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ageBreakBefore w:val="0"/>
        <w:widowControl w:val="0"/>
        <w:kinsoku/>
        <w:wordWrap w:val="0"/>
        <w:overflowPunct/>
        <w:bidi w:val="0"/>
        <w:rPr>
          <w:highlight w:val="none"/>
        </w:rPr>
      </w:pPr>
    </w:p>
    <w:p>
      <w:pPr>
        <w:pageBreakBefore w:val="0"/>
        <w:widowControl w:val="0"/>
        <w:kinsoku/>
        <w:wordWrap w:val="0"/>
        <w:overflowPunct/>
        <w:bidi w:val="0"/>
        <w:rPr>
          <w:rFonts w:hint="eastAsia" w:ascii="楷体" w:hAnsi="楷体" w:eastAsia="楷体" w:cs="楷体"/>
          <w:b/>
          <w:sz w:val="28"/>
          <w:szCs w:val="28"/>
          <w:highlight w:val="none"/>
        </w:rPr>
      </w:pPr>
      <w:r>
        <w:rPr>
          <w:rFonts w:hint="eastAsia" w:ascii="宋体" w:hAnsi="宋体" w:cs="宋体"/>
          <w:highlight w:val="none"/>
        </w:rPr>
        <w:drawing>
          <wp:inline distT="0" distB="0" distL="114300" distR="114300">
            <wp:extent cx="1761490" cy="490855"/>
            <wp:effectExtent l="0" t="0" r="10160" b="4445"/>
            <wp:docPr id="1" name="图片 2" descr="瑞琪咨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瑞琪咨询"/>
                    <pic:cNvPicPr>
                      <a:picLocks noChangeAspect="1"/>
                    </pic:cNvPicPr>
                  </pic:nvPicPr>
                  <pic:blipFill>
                    <a:blip r:embed="rId12"/>
                    <a:stretch>
                      <a:fillRect/>
                    </a:stretch>
                  </pic:blipFill>
                  <pic:spPr>
                    <a:xfrm>
                      <a:off x="0" y="0"/>
                      <a:ext cx="1761490" cy="490855"/>
                    </a:xfrm>
                    <a:prstGeom prst="rect">
                      <a:avLst/>
                    </a:prstGeom>
                    <a:noFill/>
                    <a:ln>
                      <a:noFill/>
                    </a:ln>
                  </pic:spPr>
                </pic:pic>
              </a:graphicData>
            </a:graphic>
          </wp:inline>
        </w:drawing>
      </w:r>
    </w:p>
    <w:p>
      <w:pPr>
        <w:pageBreakBefore w:val="0"/>
        <w:widowControl w:val="0"/>
        <w:kinsoku/>
        <w:wordWrap w:val="0"/>
        <w:overflowPunct/>
        <w:bidi w:val="0"/>
        <w:jc w:val="right"/>
        <w:rPr>
          <w:rFonts w:ascii="仿宋" w:hAnsi="仿宋" w:eastAsia="仿宋" w:cs="仿宋"/>
          <w:b/>
          <w:bCs/>
          <w:sz w:val="32"/>
          <w:szCs w:val="32"/>
          <w:highlight w:val="none"/>
        </w:rPr>
      </w:pPr>
      <w:r>
        <w:rPr>
          <w:rFonts w:hint="eastAsia" w:ascii="宋体" w:hAnsi="宋体" w:cs="宋体"/>
          <w:b/>
          <w:sz w:val="32"/>
          <w:szCs w:val="32"/>
          <w:highlight w:val="none"/>
        </w:rPr>
        <w:t>采购编号：</w:t>
      </w:r>
      <w:r>
        <w:rPr>
          <w:rFonts w:hint="eastAsia" w:ascii="宋体" w:hAnsi="宋体" w:cs="宋体"/>
          <w:b/>
          <w:color w:val="000000"/>
          <w:sz w:val="32"/>
          <w:szCs w:val="32"/>
          <w:highlight w:val="none"/>
          <w:lang w:val="zh-CN"/>
        </w:rPr>
        <w:t>RQDL-2022-044</w:t>
      </w:r>
    </w:p>
    <w:p>
      <w:pPr>
        <w:pageBreakBefore w:val="0"/>
        <w:widowControl w:val="0"/>
        <w:kinsoku/>
        <w:wordWrap w:val="0"/>
        <w:overflowPunct/>
        <w:bidi w:val="0"/>
        <w:rPr>
          <w:rFonts w:hint="eastAsia" w:ascii="黑体" w:hAnsi="黑体" w:eastAsia="黑体" w:cs="黑体"/>
          <w:b/>
          <w:bCs/>
          <w:sz w:val="28"/>
          <w:szCs w:val="28"/>
          <w:highlight w:val="none"/>
        </w:rPr>
      </w:pPr>
    </w:p>
    <w:p>
      <w:pPr>
        <w:pageBreakBefore w:val="0"/>
        <w:widowControl w:val="0"/>
        <w:kinsoku/>
        <w:wordWrap w:val="0"/>
        <w:overflowPunct/>
        <w:bidi w:val="0"/>
        <w:rPr>
          <w:rFonts w:hint="eastAsia" w:ascii="宋体" w:hAnsi="宋体" w:cs="宋体"/>
          <w:highlight w:val="none"/>
        </w:rPr>
      </w:pPr>
      <w:r>
        <w:rPr>
          <w:rFonts w:hint="eastAsia" w:ascii="宋体" w:hAnsi="宋体" w:cs="宋体"/>
          <w:highlight w:val="none"/>
        </w:rPr>
        <w:t xml:space="preserve">                           </w:t>
      </w:r>
    </w:p>
    <w:p>
      <w:pPr>
        <w:pStyle w:val="61"/>
        <w:pageBreakBefore w:val="0"/>
        <w:widowControl w:val="0"/>
        <w:kinsoku/>
        <w:wordWrap w:val="0"/>
        <w:overflowPunct/>
        <w:bidi w:val="0"/>
        <w:ind w:firstLine="0" w:firstLineChars="0"/>
        <w:rPr>
          <w:rFonts w:hint="eastAsia" w:ascii="宋体" w:hAnsi="宋体" w:cs="宋体"/>
          <w:b/>
          <w:bCs/>
          <w:spacing w:val="20"/>
          <w:kern w:val="0"/>
          <w:sz w:val="48"/>
          <w:szCs w:val="48"/>
          <w:highlight w:val="none"/>
        </w:rPr>
      </w:pPr>
    </w:p>
    <w:p>
      <w:pPr>
        <w:pageBreakBefore w:val="0"/>
        <w:widowControl w:val="0"/>
        <w:kinsoku/>
        <w:wordWrap w:val="0"/>
        <w:overflowPunct/>
        <w:bidi w:val="0"/>
        <w:spacing w:before="120" w:beforeLines="50" w:after="120" w:afterLines="50"/>
        <w:ind w:left="-178" w:leftChars="-85" w:right="-334" w:rightChars="-159"/>
        <w:jc w:val="center"/>
        <w:rPr>
          <w:rFonts w:hint="eastAsia" w:ascii="宋体" w:hAnsi="宋体" w:cs="宋体"/>
          <w:b/>
          <w:bCs w:val="0"/>
          <w:sz w:val="52"/>
          <w:szCs w:val="52"/>
          <w:highlight w:val="none"/>
          <w:lang w:eastAsia="zh-CN"/>
        </w:rPr>
      </w:pPr>
      <w:r>
        <w:rPr>
          <w:rFonts w:hint="eastAsia" w:ascii="宋体" w:hAnsi="宋体" w:cs="宋体"/>
          <w:b/>
          <w:bCs w:val="0"/>
          <w:sz w:val="52"/>
          <w:szCs w:val="52"/>
          <w:highlight w:val="none"/>
          <w:lang w:eastAsia="zh-CN"/>
        </w:rPr>
        <w:t>西安市公安局交通警察支队长安大队</w:t>
      </w:r>
    </w:p>
    <w:p>
      <w:pPr>
        <w:pageBreakBefore w:val="0"/>
        <w:widowControl w:val="0"/>
        <w:kinsoku/>
        <w:wordWrap w:val="0"/>
        <w:overflowPunct/>
        <w:bidi w:val="0"/>
        <w:spacing w:before="120" w:beforeLines="50" w:after="120" w:afterLines="50"/>
        <w:ind w:left="-178" w:leftChars="-85" w:right="-334" w:rightChars="-159"/>
        <w:jc w:val="center"/>
        <w:rPr>
          <w:rFonts w:hint="eastAsia" w:ascii="宋体" w:hAnsi="宋体" w:eastAsia="宋体" w:cs="宋体"/>
          <w:b/>
          <w:bCs w:val="0"/>
          <w:spacing w:val="40"/>
          <w:sz w:val="96"/>
          <w:szCs w:val="96"/>
          <w:highlight w:val="none"/>
          <w:lang w:eastAsia="zh-CN"/>
        </w:rPr>
      </w:pPr>
      <w:r>
        <w:rPr>
          <w:rFonts w:hint="eastAsia" w:ascii="宋体" w:hAnsi="宋体" w:cs="宋体"/>
          <w:b/>
          <w:bCs w:val="0"/>
          <w:sz w:val="52"/>
          <w:szCs w:val="52"/>
          <w:highlight w:val="none"/>
          <w:lang w:eastAsia="zh-CN"/>
        </w:rPr>
        <w:t>中省转移警用车辆采购</w:t>
      </w:r>
    </w:p>
    <w:p>
      <w:pPr>
        <w:pStyle w:val="61"/>
        <w:pageBreakBefore w:val="0"/>
        <w:widowControl w:val="0"/>
        <w:kinsoku/>
        <w:wordWrap w:val="0"/>
        <w:overflowPunct/>
        <w:bidi w:val="0"/>
        <w:ind w:firstLine="169" w:firstLineChars="42"/>
        <w:jc w:val="center"/>
        <w:rPr>
          <w:rFonts w:hint="eastAsia" w:ascii="宋体" w:hAnsi="宋体" w:cs="宋体"/>
          <w:b/>
          <w:bCs/>
          <w:spacing w:val="20"/>
          <w:kern w:val="0"/>
          <w:sz w:val="36"/>
          <w:szCs w:val="36"/>
          <w:highlight w:val="none"/>
        </w:rPr>
      </w:pPr>
    </w:p>
    <w:p>
      <w:pPr>
        <w:pStyle w:val="61"/>
        <w:pageBreakBefore w:val="0"/>
        <w:widowControl w:val="0"/>
        <w:kinsoku/>
        <w:wordWrap w:val="0"/>
        <w:overflowPunct/>
        <w:bidi w:val="0"/>
        <w:ind w:firstLine="219" w:firstLineChars="42"/>
        <w:jc w:val="center"/>
        <w:rPr>
          <w:rFonts w:hint="eastAsia" w:ascii="宋体" w:hAnsi="宋体" w:cs="宋体"/>
          <w:b/>
          <w:bCs/>
          <w:spacing w:val="20"/>
          <w:kern w:val="0"/>
          <w:sz w:val="48"/>
          <w:szCs w:val="48"/>
          <w:highlight w:val="none"/>
        </w:rPr>
      </w:pPr>
    </w:p>
    <w:p>
      <w:pPr>
        <w:pStyle w:val="61"/>
        <w:pageBreakBefore w:val="0"/>
        <w:widowControl w:val="0"/>
        <w:kinsoku/>
        <w:wordWrap w:val="0"/>
        <w:overflowPunct/>
        <w:bidi w:val="0"/>
        <w:ind w:firstLine="219" w:firstLineChars="42"/>
        <w:jc w:val="center"/>
        <w:rPr>
          <w:rFonts w:hint="eastAsia" w:ascii="宋体" w:hAnsi="宋体" w:cs="宋体"/>
          <w:b/>
          <w:bCs/>
          <w:spacing w:val="20"/>
          <w:kern w:val="0"/>
          <w:sz w:val="48"/>
          <w:szCs w:val="48"/>
          <w:highlight w:val="none"/>
        </w:rPr>
      </w:pPr>
    </w:p>
    <w:p>
      <w:pPr>
        <w:pStyle w:val="61"/>
        <w:pageBreakBefore w:val="0"/>
        <w:widowControl w:val="0"/>
        <w:kinsoku/>
        <w:wordWrap w:val="0"/>
        <w:overflowPunct/>
        <w:bidi w:val="0"/>
        <w:ind w:firstLine="1044"/>
        <w:rPr>
          <w:rFonts w:hint="eastAsia" w:ascii="宋体" w:hAnsi="宋体" w:cs="宋体"/>
          <w:b/>
          <w:bCs/>
          <w:spacing w:val="20"/>
          <w:kern w:val="0"/>
          <w:sz w:val="48"/>
          <w:szCs w:val="48"/>
          <w:highlight w:val="none"/>
        </w:rPr>
      </w:pPr>
    </w:p>
    <w:p>
      <w:pPr>
        <w:pageBreakBefore w:val="0"/>
        <w:widowControl w:val="0"/>
        <w:kinsoku/>
        <w:wordWrap w:val="0"/>
        <w:overflowPunct/>
        <w:bidi w:val="0"/>
        <w:spacing w:line="900" w:lineRule="exact"/>
        <w:jc w:val="center"/>
        <w:rPr>
          <w:rFonts w:hint="eastAsia" w:ascii="仿宋" w:hAnsi="仿宋" w:eastAsia="仿宋" w:cs="仿宋"/>
          <w:b/>
          <w:bCs/>
          <w:kern w:val="0"/>
          <w:sz w:val="84"/>
          <w:szCs w:val="84"/>
          <w:highlight w:val="none"/>
        </w:rPr>
      </w:pPr>
      <w:bookmarkStart w:id="0" w:name="OLE_LINK19"/>
      <w:r>
        <w:rPr>
          <w:rFonts w:hint="eastAsia" w:ascii="仿宋" w:hAnsi="仿宋" w:eastAsia="仿宋" w:cs="仿宋"/>
          <w:b/>
          <w:bCs/>
          <w:kern w:val="0"/>
          <w:sz w:val="84"/>
          <w:szCs w:val="84"/>
          <w:highlight w:val="none"/>
        </w:rPr>
        <w:t>谈 判 文 件</w:t>
      </w:r>
      <w:bookmarkEnd w:id="0"/>
    </w:p>
    <w:p>
      <w:pPr>
        <w:pageBreakBefore w:val="0"/>
        <w:widowControl w:val="0"/>
        <w:kinsoku/>
        <w:wordWrap w:val="0"/>
        <w:overflowPunct/>
        <w:bidi w:val="0"/>
        <w:spacing w:line="520" w:lineRule="exact"/>
        <w:ind w:firstLine="1687" w:firstLineChars="200"/>
        <w:jc w:val="center"/>
        <w:rPr>
          <w:rFonts w:hint="eastAsia" w:ascii="宋体" w:hAnsi="宋体" w:cs="宋体"/>
          <w:b/>
          <w:bCs/>
          <w:kern w:val="0"/>
          <w:sz w:val="84"/>
          <w:szCs w:val="84"/>
          <w:highlight w:val="none"/>
        </w:rPr>
      </w:pPr>
    </w:p>
    <w:p>
      <w:pPr>
        <w:pageBreakBefore w:val="0"/>
        <w:widowControl w:val="0"/>
        <w:tabs>
          <w:tab w:val="left" w:pos="6045"/>
        </w:tabs>
        <w:kinsoku/>
        <w:wordWrap w:val="0"/>
        <w:overflowPunct/>
        <w:bidi w:val="0"/>
        <w:spacing w:line="520" w:lineRule="exact"/>
        <w:rPr>
          <w:rFonts w:hint="eastAsia" w:ascii="宋体" w:hAnsi="宋体" w:cs="宋体"/>
          <w:sz w:val="32"/>
          <w:highlight w:val="none"/>
        </w:rPr>
      </w:pPr>
    </w:p>
    <w:p>
      <w:pPr>
        <w:pageBreakBefore w:val="0"/>
        <w:widowControl w:val="0"/>
        <w:tabs>
          <w:tab w:val="left" w:pos="6045"/>
        </w:tabs>
        <w:kinsoku/>
        <w:wordWrap w:val="0"/>
        <w:overflowPunct/>
        <w:bidi w:val="0"/>
        <w:spacing w:line="520" w:lineRule="exact"/>
        <w:rPr>
          <w:rFonts w:hint="eastAsia" w:ascii="宋体" w:hAnsi="宋体" w:cs="宋体"/>
          <w:sz w:val="32"/>
          <w:highlight w:val="none"/>
        </w:rPr>
      </w:pPr>
    </w:p>
    <w:p>
      <w:pPr>
        <w:pageBreakBefore w:val="0"/>
        <w:widowControl w:val="0"/>
        <w:tabs>
          <w:tab w:val="left" w:pos="6045"/>
        </w:tabs>
        <w:kinsoku/>
        <w:wordWrap w:val="0"/>
        <w:overflowPunct/>
        <w:bidi w:val="0"/>
        <w:spacing w:line="500" w:lineRule="exact"/>
        <w:rPr>
          <w:rFonts w:hint="eastAsia" w:ascii="宋体" w:hAnsi="宋体" w:cs="宋体"/>
          <w:sz w:val="32"/>
          <w:szCs w:val="32"/>
          <w:highlight w:val="none"/>
        </w:rPr>
      </w:pPr>
    </w:p>
    <w:p>
      <w:pPr>
        <w:pageBreakBefore w:val="0"/>
        <w:widowControl w:val="0"/>
        <w:tabs>
          <w:tab w:val="left" w:pos="6045"/>
        </w:tabs>
        <w:kinsoku/>
        <w:wordWrap w:val="0"/>
        <w:overflowPunct/>
        <w:bidi w:val="0"/>
        <w:spacing w:line="500" w:lineRule="exact"/>
        <w:rPr>
          <w:rFonts w:hint="eastAsia" w:ascii="宋体" w:hAnsi="宋体" w:cs="宋体"/>
          <w:sz w:val="32"/>
          <w:szCs w:val="32"/>
          <w:highlight w:val="none"/>
        </w:rPr>
      </w:pPr>
    </w:p>
    <w:p>
      <w:pPr>
        <w:pageBreakBefore w:val="0"/>
        <w:widowControl w:val="0"/>
        <w:kinsoku/>
        <w:wordWrap w:val="0"/>
        <w:overflowPunct/>
        <w:bidi w:val="0"/>
        <w:spacing w:line="360" w:lineRule="auto"/>
        <w:ind w:left="0" w:leftChars="0" w:firstLine="1064" w:firstLineChars="368"/>
        <w:jc w:val="left"/>
        <w:rPr>
          <w:rFonts w:hint="eastAsia" w:ascii="宋体" w:hAnsi="宋体" w:cs="宋体"/>
          <w:b/>
          <w:spacing w:val="4"/>
          <w:sz w:val="28"/>
          <w:szCs w:val="36"/>
          <w:highlight w:val="none"/>
        </w:rPr>
      </w:pPr>
      <w:bookmarkStart w:id="1" w:name="_Toc17487"/>
      <w:r>
        <w:rPr>
          <w:rFonts w:hint="eastAsia" w:ascii="宋体" w:hAnsi="宋体" w:cs="宋体"/>
          <w:b/>
          <w:spacing w:val="4"/>
          <w:sz w:val="28"/>
          <w:szCs w:val="36"/>
          <w:highlight w:val="none"/>
        </w:rPr>
        <w:t>采   购   人：西安市公安局交通警察支队长安大队</w:t>
      </w:r>
    </w:p>
    <w:p>
      <w:pPr>
        <w:pStyle w:val="73"/>
        <w:pageBreakBefore w:val="0"/>
        <w:widowControl w:val="0"/>
        <w:kinsoku/>
        <w:wordWrap w:val="0"/>
        <w:overflowPunct/>
        <w:bidi w:val="0"/>
        <w:ind w:firstLine="420"/>
        <w:jc w:val="left"/>
        <w:rPr>
          <w:rFonts w:hint="eastAsia"/>
          <w:sz w:val="21"/>
          <w:highlight w:val="none"/>
        </w:rPr>
      </w:pPr>
      <w:bookmarkStart w:id="148" w:name="_GoBack"/>
      <w:bookmarkEnd w:id="148"/>
    </w:p>
    <w:p>
      <w:pPr>
        <w:pageBreakBefore w:val="0"/>
        <w:widowControl w:val="0"/>
        <w:kinsoku/>
        <w:wordWrap w:val="0"/>
        <w:overflowPunct/>
        <w:bidi w:val="0"/>
        <w:spacing w:line="360" w:lineRule="auto"/>
        <w:ind w:left="0" w:leftChars="0" w:firstLine="1064" w:firstLineChars="368"/>
        <w:jc w:val="left"/>
        <w:rPr>
          <w:rFonts w:hint="eastAsia" w:ascii="宋体" w:hAnsi="宋体" w:cs="宋体"/>
          <w:b/>
          <w:spacing w:val="4"/>
          <w:sz w:val="28"/>
          <w:szCs w:val="36"/>
          <w:highlight w:val="none"/>
        </w:rPr>
      </w:pPr>
      <w:r>
        <w:rPr>
          <w:rFonts w:hint="eastAsia" w:ascii="宋体" w:hAnsi="宋体" w:cs="宋体"/>
          <w:b/>
          <w:spacing w:val="4"/>
          <w:sz w:val="28"/>
          <w:szCs w:val="36"/>
          <w:highlight w:val="none"/>
        </w:rPr>
        <w:t>采购代理机构：陕西瑞琪工程咨询有限公司</w:t>
      </w:r>
    </w:p>
    <w:p>
      <w:pPr>
        <w:pStyle w:val="73"/>
        <w:pageBreakBefore w:val="0"/>
        <w:widowControl w:val="0"/>
        <w:kinsoku/>
        <w:wordWrap w:val="0"/>
        <w:overflowPunct/>
        <w:bidi w:val="0"/>
        <w:ind w:firstLine="420"/>
        <w:jc w:val="left"/>
        <w:rPr>
          <w:rFonts w:hint="eastAsia"/>
          <w:sz w:val="21"/>
          <w:highlight w:val="none"/>
        </w:rPr>
      </w:pPr>
    </w:p>
    <w:p>
      <w:pPr>
        <w:pageBreakBefore w:val="0"/>
        <w:widowControl w:val="0"/>
        <w:kinsoku/>
        <w:wordWrap w:val="0"/>
        <w:overflowPunct/>
        <w:bidi w:val="0"/>
        <w:spacing w:line="360" w:lineRule="auto"/>
        <w:ind w:left="0" w:leftChars="0" w:firstLine="1064" w:firstLineChars="368"/>
        <w:jc w:val="left"/>
        <w:rPr>
          <w:rFonts w:hint="eastAsia" w:ascii="宋体" w:hAnsi="宋体" w:cs="宋体"/>
          <w:b/>
          <w:spacing w:val="4"/>
          <w:sz w:val="28"/>
          <w:szCs w:val="36"/>
          <w:highlight w:val="none"/>
        </w:rPr>
      </w:pPr>
      <w:r>
        <w:rPr>
          <w:rFonts w:hint="eastAsia" w:ascii="宋体" w:hAnsi="宋体" w:cs="宋体"/>
          <w:b/>
          <w:spacing w:val="4"/>
          <w:sz w:val="28"/>
          <w:szCs w:val="36"/>
          <w:highlight w:val="none"/>
        </w:rPr>
        <w:t>日        期：二〇二</w:t>
      </w:r>
      <w:r>
        <w:rPr>
          <w:rFonts w:hint="eastAsia" w:ascii="宋体" w:hAnsi="宋体" w:cs="宋体"/>
          <w:b/>
          <w:spacing w:val="4"/>
          <w:sz w:val="28"/>
          <w:szCs w:val="36"/>
          <w:highlight w:val="none"/>
          <w:lang w:eastAsia="zh-CN"/>
        </w:rPr>
        <w:t>二</w:t>
      </w:r>
      <w:r>
        <w:rPr>
          <w:rFonts w:hint="eastAsia" w:ascii="宋体" w:hAnsi="宋体" w:cs="宋体"/>
          <w:b/>
          <w:spacing w:val="4"/>
          <w:sz w:val="28"/>
          <w:szCs w:val="36"/>
          <w:highlight w:val="none"/>
        </w:rPr>
        <w:t>年</w:t>
      </w:r>
      <w:r>
        <w:rPr>
          <w:rFonts w:hint="eastAsia" w:ascii="宋体" w:hAnsi="宋体" w:cs="宋体"/>
          <w:b/>
          <w:spacing w:val="4"/>
          <w:sz w:val="28"/>
          <w:szCs w:val="36"/>
          <w:highlight w:val="none"/>
          <w:lang w:val="en-US" w:eastAsia="zh-CN"/>
        </w:rPr>
        <w:t>六</w:t>
      </w:r>
      <w:r>
        <w:rPr>
          <w:rFonts w:hint="eastAsia" w:ascii="宋体" w:hAnsi="宋体" w:cs="宋体"/>
          <w:b/>
          <w:spacing w:val="4"/>
          <w:sz w:val="28"/>
          <w:szCs w:val="36"/>
          <w:highlight w:val="none"/>
        </w:rPr>
        <w:t>月</w:t>
      </w:r>
    </w:p>
    <w:p>
      <w:pPr>
        <w:pageBreakBefore w:val="0"/>
        <w:widowControl w:val="0"/>
        <w:kinsoku/>
        <w:wordWrap w:val="0"/>
        <w:overflowPunct/>
        <w:bidi w:val="0"/>
        <w:rPr>
          <w:rFonts w:hint="eastAsia"/>
          <w:highlight w:val="none"/>
        </w:rPr>
        <w:sectPr>
          <w:headerReference r:id="rId4" w:type="first"/>
          <w:headerReference r:id="rId3" w:type="default"/>
          <w:footerReference r:id="rId5" w:type="default"/>
          <w:pgSz w:w="11907" w:h="16840"/>
          <w:pgMar w:top="1440" w:right="1474" w:bottom="1440" w:left="1474" w:header="794" w:footer="0" w:gutter="0"/>
          <w:cols w:space="720" w:num="1"/>
          <w:titlePg/>
          <w:docGrid w:linePitch="312" w:charSpace="0"/>
        </w:sectPr>
      </w:pPr>
    </w:p>
    <w:p>
      <w:pPr>
        <w:pStyle w:val="82"/>
        <w:pageBreakBefore w:val="0"/>
        <w:widowControl w:val="0"/>
        <w:kinsoku/>
        <w:wordWrap w:val="0"/>
        <w:overflowPunct/>
        <w:bidi w:val="0"/>
        <w:spacing w:before="240" w:after="240" w:line="700" w:lineRule="exact"/>
        <w:jc w:val="center"/>
        <w:rPr>
          <w:rFonts w:hint="eastAsia" w:ascii="仿宋" w:hAnsi="仿宋" w:eastAsia="仿宋" w:cs="仿宋"/>
          <w:color w:val="auto"/>
          <w:sz w:val="48"/>
          <w:szCs w:val="48"/>
          <w:highlight w:val="none"/>
          <w:lang w:val="zh-CN"/>
        </w:rPr>
      </w:pPr>
      <w:bookmarkStart w:id="2" w:name="_Toc1658"/>
      <w:bookmarkStart w:id="3" w:name="_Toc10448"/>
      <w:bookmarkStart w:id="4" w:name="_Toc23645"/>
      <w:bookmarkStart w:id="5" w:name="_Toc2194"/>
      <w:r>
        <w:rPr>
          <w:rFonts w:hint="eastAsia" w:ascii="仿宋" w:hAnsi="仿宋" w:eastAsia="仿宋" w:cs="仿宋"/>
          <w:color w:val="auto"/>
          <w:sz w:val="48"/>
          <w:szCs w:val="48"/>
          <w:highlight w:val="none"/>
          <w:lang w:val="zh-CN"/>
        </w:rPr>
        <w:t>目   录</w:t>
      </w:r>
      <w:bookmarkEnd w:id="1"/>
      <w:bookmarkEnd w:id="2"/>
      <w:bookmarkEnd w:id="3"/>
      <w:bookmarkEnd w:id="4"/>
      <w:bookmarkEnd w:id="5"/>
    </w:p>
    <w:p>
      <w:pPr>
        <w:pStyle w:val="24"/>
        <w:tabs>
          <w:tab w:val="right" w:leader="dot" w:pos="8959"/>
        </w:tabs>
        <w:spacing w:line="480" w:lineRule="auto"/>
        <w:rPr>
          <w:sz w:val="28"/>
          <w:szCs w:val="36"/>
        </w:rPr>
      </w:pPr>
      <w:bookmarkStart w:id="6" w:name="_Toc424292463"/>
      <w:r>
        <w:rPr>
          <w:rFonts w:hint="eastAsia" w:ascii="仿宋" w:hAnsi="仿宋" w:eastAsia="仿宋" w:cs="仿宋"/>
          <w:color w:val="000000"/>
          <w:sz w:val="200"/>
          <w:szCs w:val="200"/>
          <w:highlight w:val="none"/>
          <w:lang w:val="zh-CN"/>
        </w:rPr>
        <w:fldChar w:fldCharType="begin"/>
      </w:r>
      <w:r>
        <w:rPr>
          <w:rFonts w:hint="eastAsia" w:ascii="仿宋" w:hAnsi="仿宋" w:eastAsia="仿宋" w:cs="仿宋"/>
          <w:color w:val="000000"/>
          <w:sz w:val="200"/>
          <w:szCs w:val="200"/>
          <w:highlight w:val="none"/>
          <w:lang w:val="zh-CN"/>
        </w:rPr>
        <w:instrText xml:space="preserve">TOC \o "1-3" \h \u </w:instrText>
      </w:r>
      <w:r>
        <w:rPr>
          <w:rFonts w:hint="eastAsia" w:ascii="仿宋" w:hAnsi="仿宋" w:eastAsia="仿宋" w:cs="仿宋"/>
          <w:color w:val="000000"/>
          <w:sz w:val="200"/>
          <w:szCs w:val="200"/>
          <w:highlight w:val="none"/>
          <w:lang w:val="zh-CN"/>
        </w:rPr>
        <w:fldChar w:fldCharType="separate"/>
      </w: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_Toc25982 </w:instrText>
      </w:r>
      <w:r>
        <w:rPr>
          <w:rFonts w:hint="eastAsia" w:ascii="仿宋" w:hAnsi="仿宋" w:eastAsia="仿宋" w:cs="仿宋"/>
          <w:sz w:val="28"/>
          <w:szCs w:val="200"/>
          <w:highlight w:val="none"/>
          <w:lang w:val="zh-CN"/>
        </w:rPr>
        <w:fldChar w:fldCharType="separate"/>
      </w:r>
      <w:r>
        <w:rPr>
          <w:rFonts w:hint="eastAsia" w:ascii="仿宋" w:hAnsi="仿宋" w:eastAsia="仿宋" w:cs="仿宋"/>
          <w:bCs/>
          <w:sz w:val="28"/>
          <w:szCs w:val="52"/>
          <w:highlight w:val="none"/>
        </w:rPr>
        <w:t>第一部分  竞争性谈判公告</w:t>
      </w:r>
      <w:r>
        <w:rPr>
          <w:sz w:val="28"/>
          <w:szCs w:val="36"/>
        </w:rPr>
        <w:tab/>
      </w:r>
      <w:r>
        <w:rPr>
          <w:sz w:val="28"/>
          <w:szCs w:val="36"/>
        </w:rPr>
        <w:fldChar w:fldCharType="begin"/>
      </w:r>
      <w:r>
        <w:rPr>
          <w:sz w:val="28"/>
          <w:szCs w:val="36"/>
        </w:rPr>
        <w:instrText xml:space="preserve"> PAGEREF _Toc25982 \h </w:instrText>
      </w:r>
      <w:r>
        <w:rPr>
          <w:sz w:val="28"/>
          <w:szCs w:val="36"/>
        </w:rPr>
        <w:fldChar w:fldCharType="separate"/>
      </w:r>
      <w:r>
        <w:rPr>
          <w:sz w:val="28"/>
          <w:szCs w:val="36"/>
        </w:rPr>
        <w:t>1</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4"/>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_Toc13742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52"/>
          <w:highlight w:val="none"/>
        </w:rPr>
        <w:t>第二部分  供应商须知前附表</w:t>
      </w:r>
      <w:r>
        <w:rPr>
          <w:sz w:val="28"/>
          <w:szCs w:val="36"/>
        </w:rPr>
        <w:tab/>
      </w:r>
      <w:r>
        <w:rPr>
          <w:sz w:val="28"/>
          <w:szCs w:val="36"/>
        </w:rPr>
        <w:fldChar w:fldCharType="begin"/>
      </w:r>
      <w:r>
        <w:rPr>
          <w:sz w:val="28"/>
          <w:szCs w:val="36"/>
        </w:rPr>
        <w:instrText xml:space="preserve"> PAGEREF _Toc13742 \h </w:instrText>
      </w:r>
      <w:r>
        <w:rPr>
          <w:sz w:val="28"/>
          <w:szCs w:val="36"/>
        </w:rPr>
        <w:fldChar w:fldCharType="separate"/>
      </w:r>
      <w:r>
        <w:rPr>
          <w:sz w:val="28"/>
          <w:szCs w:val="36"/>
        </w:rPr>
        <w:t>5</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4"/>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_Toc18054 </w:instrText>
      </w:r>
      <w:r>
        <w:rPr>
          <w:rFonts w:hint="eastAsia" w:ascii="仿宋" w:hAnsi="仿宋" w:eastAsia="仿宋" w:cs="仿宋"/>
          <w:sz w:val="28"/>
          <w:szCs w:val="200"/>
          <w:highlight w:val="none"/>
          <w:lang w:val="zh-CN"/>
        </w:rPr>
        <w:fldChar w:fldCharType="separate"/>
      </w:r>
      <w:r>
        <w:rPr>
          <w:rFonts w:hint="eastAsia" w:ascii="仿宋" w:hAnsi="仿宋" w:eastAsia="仿宋" w:cs="仿宋"/>
          <w:bCs/>
          <w:sz w:val="28"/>
          <w:szCs w:val="52"/>
          <w:highlight w:val="none"/>
        </w:rPr>
        <w:t>第三部分  供应商须知</w:t>
      </w:r>
      <w:r>
        <w:rPr>
          <w:sz w:val="28"/>
          <w:szCs w:val="36"/>
        </w:rPr>
        <w:tab/>
      </w:r>
      <w:r>
        <w:rPr>
          <w:sz w:val="28"/>
          <w:szCs w:val="36"/>
        </w:rPr>
        <w:fldChar w:fldCharType="begin"/>
      </w:r>
      <w:r>
        <w:rPr>
          <w:sz w:val="28"/>
          <w:szCs w:val="36"/>
        </w:rPr>
        <w:instrText xml:space="preserve"> PAGEREF _Toc18054 \h </w:instrText>
      </w:r>
      <w:r>
        <w:rPr>
          <w:sz w:val="28"/>
          <w:szCs w:val="36"/>
        </w:rPr>
        <w:fldChar w:fldCharType="separate"/>
      </w:r>
      <w:r>
        <w:rPr>
          <w:sz w:val="28"/>
          <w:szCs w:val="36"/>
        </w:rPr>
        <w:t>9</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_Toc3571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40"/>
          <w:highlight w:val="none"/>
        </w:rPr>
        <w:t>一、名词解释</w:t>
      </w:r>
      <w:r>
        <w:rPr>
          <w:sz w:val="28"/>
          <w:szCs w:val="36"/>
        </w:rPr>
        <w:tab/>
      </w:r>
      <w:r>
        <w:rPr>
          <w:sz w:val="28"/>
          <w:szCs w:val="36"/>
        </w:rPr>
        <w:fldChar w:fldCharType="begin"/>
      </w:r>
      <w:r>
        <w:rPr>
          <w:sz w:val="28"/>
          <w:szCs w:val="36"/>
        </w:rPr>
        <w:instrText xml:space="preserve"> PAGEREF _Toc3571 \h </w:instrText>
      </w:r>
      <w:r>
        <w:rPr>
          <w:sz w:val="28"/>
          <w:szCs w:val="36"/>
        </w:rPr>
        <w:fldChar w:fldCharType="separate"/>
      </w:r>
      <w:r>
        <w:rPr>
          <w:sz w:val="28"/>
          <w:szCs w:val="36"/>
        </w:rPr>
        <w:t>9</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_Toc3908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40"/>
          <w:highlight w:val="none"/>
        </w:rPr>
        <w:t>二、竞争性谈判文件</w:t>
      </w:r>
      <w:r>
        <w:rPr>
          <w:sz w:val="28"/>
          <w:szCs w:val="36"/>
        </w:rPr>
        <w:tab/>
      </w:r>
      <w:r>
        <w:rPr>
          <w:sz w:val="28"/>
          <w:szCs w:val="36"/>
        </w:rPr>
        <w:fldChar w:fldCharType="begin"/>
      </w:r>
      <w:r>
        <w:rPr>
          <w:sz w:val="28"/>
          <w:szCs w:val="36"/>
        </w:rPr>
        <w:instrText xml:space="preserve"> PAGEREF _Toc3908 \h </w:instrText>
      </w:r>
      <w:r>
        <w:rPr>
          <w:sz w:val="28"/>
          <w:szCs w:val="36"/>
        </w:rPr>
        <w:fldChar w:fldCharType="separate"/>
      </w:r>
      <w:r>
        <w:rPr>
          <w:sz w:val="28"/>
          <w:szCs w:val="36"/>
        </w:rPr>
        <w:t>9</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_Toc29751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40"/>
          <w:highlight w:val="none"/>
        </w:rPr>
        <w:t>三、竞争性谈判响应文件</w:t>
      </w:r>
      <w:r>
        <w:rPr>
          <w:sz w:val="28"/>
          <w:szCs w:val="36"/>
        </w:rPr>
        <w:tab/>
      </w:r>
      <w:r>
        <w:rPr>
          <w:sz w:val="28"/>
          <w:szCs w:val="36"/>
        </w:rPr>
        <w:fldChar w:fldCharType="begin"/>
      </w:r>
      <w:r>
        <w:rPr>
          <w:sz w:val="28"/>
          <w:szCs w:val="36"/>
        </w:rPr>
        <w:instrText xml:space="preserve"> PAGEREF _Toc29751 \h </w:instrText>
      </w:r>
      <w:r>
        <w:rPr>
          <w:sz w:val="28"/>
          <w:szCs w:val="36"/>
        </w:rPr>
        <w:fldChar w:fldCharType="separate"/>
      </w:r>
      <w:r>
        <w:rPr>
          <w:sz w:val="28"/>
          <w:szCs w:val="36"/>
        </w:rPr>
        <w:t>12</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_Toc31641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40"/>
          <w:highlight w:val="none"/>
        </w:rPr>
        <w:t>四、谈判保证金</w:t>
      </w:r>
      <w:r>
        <w:rPr>
          <w:sz w:val="28"/>
          <w:szCs w:val="36"/>
        </w:rPr>
        <w:tab/>
      </w:r>
      <w:r>
        <w:rPr>
          <w:sz w:val="28"/>
          <w:szCs w:val="36"/>
        </w:rPr>
        <w:fldChar w:fldCharType="begin"/>
      </w:r>
      <w:r>
        <w:rPr>
          <w:sz w:val="28"/>
          <w:szCs w:val="36"/>
        </w:rPr>
        <w:instrText xml:space="preserve"> PAGEREF _Toc31641 \h </w:instrText>
      </w:r>
      <w:r>
        <w:rPr>
          <w:sz w:val="28"/>
          <w:szCs w:val="36"/>
        </w:rPr>
        <w:fldChar w:fldCharType="separate"/>
      </w:r>
      <w:r>
        <w:rPr>
          <w:sz w:val="28"/>
          <w:szCs w:val="36"/>
        </w:rPr>
        <w:t>18</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_Toc12277 </w:instrText>
      </w:r>
      <w:r>
        <w:rPr>
          <w:rFonts w:hint="eastAsia" w:ascii="仿宋" w:hAnsi="仿宋" w:eastAsia="仿宋" w:cs="仿宋"/>
          <w:sz w:val="28"/>
          <w:szCs w:val="200"/>
          <w:highlight w:val="none"/>
          <w:lang w:val="zh-CN"/>
        </w:rPr>
        <w:fldChar w:fldCharType="separate"/>
      </w:r>
      <w:r>
        <w:rPr>
          <w:rFonts w:hint="eastAsia" w:ascii="仿宋" w:hAnsi="仿宋" w:eastAsia="仿宋" w:cs="仿宋"/>
          <w:bCs/>
          <w:kern w:val="2"/>
          <w:sz w:val="28"/>
          <w:szCs w:val="40"/>
          <w:highlight w:val="none"/>
          <w:lang w:val="en-US" w:eastAsia="zh-CN" w:bidi="ar-SA"/>
        </w:rPr>
        <w:t>五、谈判、评议及定标</w:t>
      </w:r>
      <w:r>
        <w:rPr>
          <w:sz w:val="28"/>
          <w:szCs w:val="36"/>
        </w:rPr>
        <w:tab/>
      </w:r>
      <w:r>
        <w:rPr>
          <w:sz w:val="28"/>
          <w:szCs w:val="36"/>
        </w:rPr>
        <w:fldChar w:fldCharType="begin"/>
      </w:r>
      <w:r>
        <w:rPr>
          <w:sz w:val="28"/>
          <w:szCs w:val="36"/>
        </w:rPr>
        <w:instrText xml:space="preserve"> PAGEREF _Toc12277 \h </w:instrText>
      </w:r>
      <w:r>
        <w:rPr>
          <w:sz w:val="28"/>
          <w:szCs w:val="36"/>
        </w:rPr>
        <w:fldChar w:fldCharType="separate"/>
      </w:r>
      <w:r>
        <w:rPr>
          <w:sz w:val="28"/>
          <w:szCs w:val="36"/>
        </w:rPr>
        <w:t>18</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_Toc11209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40"/>
          <w:highlight w:val="none"/>
        </w:rPr>
        <w:t>六、成交通知</w:t>
      </w:r>
      <w:r>
        <w:rPr>
          <w:sz w:val="28"/>
          <w:szCs w:val="36"/>
        </w:rPr>
        <w:tab/>
      </w:r>
      <w:r>
        <w:rPr>
          <w:sz w:val="28"/>
          <w:szCs w:val="36"/>
        </w:rPr>
        <w:fldChar w:fldCharType="begin"/>
      </w:r>
      <w:r>
        <w:rPr>
          <w:sz w:val="28"/>
          <w:szCs w:val="36"/>
        </w:rPr>
        <w:instrText xml:space="preserve"> PAGEREF _Toc11209 \h </w:instrText>
      </w:r>
      <w:r>
        <w:rPr>
          <w:sz w:val="28"/>
          <w:szCs w:val="36"/>
        </w:rPr>
        <w:fldChar w:fldCharType="separate"/>
      </w:r>
      <w:r>
        <w:rPr>
          <w:sz w:val="28"/>
          <w:szCs w:val="36"/>
        </w:rPr>
        <w:t>26</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_Toc17483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40"/>
          <w:highlight w:val="none"/>
        </w:rPr>
        <w:t>七、合同授予</w:t>
      </w:r>
      <w:r>
        <w:rPr>
          <w:sz w:val="28"/>
          <w:szCs w:val="36"/>
        </w:rPr>
        <w:tab/>
      </w:r>
      <w:r>
        <w:rPr>
          <w:sz w:val="28"/>
          <w:szCs w:val="36"/>
        </w:rPr>
        <w:fldChar w:fldCharType="begin"/>
      </w:r>
      <w:r>
        <w:rPr>
          <w:sz w:val="28"/>
          <w:szCs w:val="36"/>
        </w:rPr>
        <w:instrText xml:space="preserve"> PAGEREF _Toc17483 \h </w:instrText>
      </w:r>
      <w:r>
        <w:rPr>
          <w:sz w:val="28"/>
          <w:szCs w:val="36"/>
        </w:rPr>
        <w:fldChar w:fldCharType="separate"/>
      </w:r>
      <w:r>
        <w:rPr>
          <w:sz w:val="28"/>
          <w:szCs w:val="36"/>
        </w:rPr>
        <w:t>26</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_Toc4794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40"/>
          <w:highlight w:val="none"/>
        </w:rPr>
        <w:t>八、成交服务费</w:t>
      </w:r>
      <w:r>
        <w:rPr>
          <w:sz w:val="28"/>
          <w:szCs w:val="36"/>
        </w:rPr>
        <w:tab/>
      </w:r>
      <w:r>
        <w:rPr>
          <w:sz w:val="28"/>
          <w:szCs w:val="36"/>
        </w:rPr>
        <w:fldChar w:fldCharType="begin"/>
      </w:r>
      <w:r>
        <w:rPr>
          <w:sz w:val="28"/>
          <w:szCs w:val="36"/>
        </w:rPr>
        <w:instrText xml:space="preserve"> PAGEREF _Toc4794 \h </w:instrText>
      </w:r>
      <w:r>
        <w:rPr>
          <w:sz w:val="28"/>
          <w:szCs w:val="36"/>
        </w:rPr>
        <w:fldChar w:fldCharType="separate"/>
      </w:r>
      <w:r>
        <w:rPr>
          <w:sz w:val="28"/>
          <w:szCs w:val="36"/>
        </w:rPr>
        <w:t>26</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7"/>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_Toc27580 </w:instrText>
      </w:r>
      <w:r>
        <w:rPr>
          <w:rFonts w:hint="eastAsia" w:ascii="仿宋" w:hAnsi="仿宋" w:eastAsia="仿宋" w:cs="仿宋"/>
          <w:sz w:val="28"/>
          <w:szCs w:val="200"/>
          <w:highlight w:val="none"/>
          <w:lang w:val="zh-CN"/>
        </w:rPr>
        <w:fldChar w:fldCharType="separate"/>
      </w:r>
      <w:r>
        <w:rPr>
          <w:rFonts w:hint="eastAsia" w:ascii="仿宋" w:hAnsi="仿宋" w:eastAsia="仿宋" w:cs="仿宋"/>
          <w:sz w:val="28"/>
          <w:szCs w:val="40"/>
          <w:highlight w:val="none"/>
        </w:rPr>
        <w:t>九、其他</w:t>
      </w:r>
      <w:r>
        <w:rPr>
          <w:sz w:val="28"/>
          <w:szCs w:val="36"/>
        </w:rPr>
        <w:tab/>
      </w:r>
      <w:r>
        <w:rPr>
          <w:sz w:val="28"/>
          <w:szCs w:val="36"/>
        </w:rPr>
        <w:fldChar w:fldCharType="begin"/>
      </w:r>
      <w:r>
        <w:rPr>
          <w:sz w:val="28"/>
          <w:szCs w:val="36"/>
        </w:rPr>
        <w:instrText xml:space="preserve"> PAGEREF _Toc27580 \h </w:instrText>
      </w:r>
      <w:r>
        <w:rPr>
          <w:sz w:val="28"/>
          <w:szCs w:val="36"/>
        </w:rPr>
        <w:fldChar w:fldCharType="separate"/>
      </w:r>
      <w:r>
        <w:rPr>
          <w:sz w:val="28"/>
          <w:szCs w:val="36"/>
        </w:rPr>
        <w:t>27</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4"/>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_Toc12085 </w:instrText>
      </w:r>
      <w:r>
        <w:rPr>
          <w:rFonts w:hint="eastAsia" w:ascii="仿宋" w:hAnsi="仿宋" w:eastAsia="仿宋" w:cs="仿宋"/>
          <w:sz w:val="28"/>
          <w:szCs w:val="200"/>
          <w:highlight w:val="none"/>
          <w:lang w:val="zh-CN"/>
        </w:rPr>
        <w:fldChar w:fldCharType="separate"/>
      </w:r>
      <w:r>
        <w:rPr>
          <w:rFonts w:hint="eastAsia" w:ascii="仿宋" w:hAnsi="仿宋" w:eastAsia="仿宋" w:cs="仿宋"/>
          <w:bCs/>
          <w:sz w:val="28"/>
          <w:szCs w:val="52"/>
          <w:highlight w:val="none"/>
          <w:lang w:val="en-US" w:eastAsia="zh-CN"/>
        </w:rPr>
        <w:t>第四部分  采购内容及技术要求</w:t>
      </w:r>
      <w:r>
        <w:rPr>
          <w:sz w:val="28"/>
          <w:szCs w:val="36"/>
        </w:rPr>
        <w:tab/>
      </w:r>
      <w:r>
        <w:rPr>
          <w:sz w:val="28"/>
          <w:szCs w:val="36"/>
        </w:rPr>
        <w:fldChar w:fldCharType="begin"/>
      </w:r>
      <w:r>
        <w:rPr>
          <w:sz w:val="28"/>
          <w:szCs w:val="36"/>
        </w:rPr>
        <w:instrText xml:space="preserve"> PAGEREF _Toc12085 \h </w:instrText>
      </w:r>
      <w:r>
        <w:rPr>
          <w:sz w:val="28"/>
          <w:szCs w:val="36"/>
        </w:rPr>
        <w:fldChar w:fldCharType="separate"/>
      </w:r>
      <w:r>
        <w:rPr>
          <w:sz w:val="28"/>
          <w:szCs w:val="36"/>
        </w:rPr>
        <w:t>33</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4"/>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_Toc26364 </w:instrText>
      </w:r>
      <w:r>
        <w:rPr>
          <w:rFonts w:hint="eastAsia" w:ascii="仿宋" w:hAnsi="仿宋" w:eastAsia="仿宋" w:cs="仿宋"/>
          <w:sz w:val="28"/>
          <w:szCs w:val="200"/>
          <w:highlight w:val="none"/>
          <w:lang w:val="zh-CN"/>
        </w:rPr>
        <w:fldChar w:fldCharType="separate"/>
      </w:r>
      <w:r>
        <w:rPr>
          <w:rFonts w:hint="eastAsia" w:ascii="仿宋" w:hAnsi="仿宋" w:eastAsia="仿宋" w:cs="仿宋"/>
          <w:bCs/>
          <w:sz w:val="28"/>
          <w:szCs w:val="52"/>
          <w:highlight w:val="none"/>
          <w:lang w:val="en-US" w:eastAsia="zh-CN"/>
        </w:rPr>
        <w:t>第五部分  合同条款</w:t>
      </w:r>
      <w:r>
        <w:rPr>
          <w:sz w:val="28"/>
          <w:szCs w:val="36"/>
        </w:rPr>
        <w:tab/>
      </w:r>
      <w:r>
        <w:rPr>
          <w:sz w:val="28"/>
          <w:szCs w:val="36"/>
        </w:rPr>
        <w:fldChar w:fldCharType="begin"/>
      </w:r>
      <w:r>
        <w:rPr>
          <w:sz w:val="28"/>
          <w:szCs w:val="36"/>
        </w:rPr>
        <w:instrText xml:space="preserve"> PAGEREF _Toc26364 \h </w:instrText>
      </w:r>
      <w:r>
        <w:rPr>
          <w:sz w:val="28"/>
          <w:szCs w:val="36"/>
        </w:rPr>
        <w:fldChar w:fldCharType="separate"/>
      </w:r>
      <w:r>
        <w:rPr>
          <w:sz w:val="28"/>
          <w:szCs w:val="36"/>
        </w:rPr>
        <w:t>38</w:t>
      </w:r>
      <w:r>
        <w:rPr>
          <w:sz w:val="28"/>
          <w:szCs w:val="36"/>
        </w:rPr>
        <w:fldChar w:fldCharType="end"/>
      </w:r>
      <w:r>
        <w:rPr>
          <w:rFonts w:hint="eastAsia" w:ascii="仿宋" w:hAnsi="仿宋" w:eastAsia="仿宋" w:cs="仿宋"/>
          <w:color w:val="000000"/>
          <w:sz w:val="28"/>
          <w:szCs w:val="200"/>
          <w:highlight w:val="none"/>
          <w:lang w:val="zh-CN"/>
        </w:rPr>
        <w:fldChar w:fldCharType="end"/>
      </w:r>
    </w:p>
    <w:p>
      <w:pPr>
        <w:pStyle w:val="24"/>
        <w:tabs>
          <w:tab w:val="right" w:leader="dot" w:pos="8959"/>
        </w:tabs>
        <w:spacing w:line="480" w:lineRule="auto"/>
        <w:rPr>
          <w:sz w:val="28"/>
          <w:szCs w:val="36"/>
        </w:rPr>
      </w:pPr>
      <w:r>
        <w:rPr>
          <w:rFonts w:hint="eastAsia" w:ascii="仿宋" w:hAnsi="仿宋" w:eastAsia="仿宋" w:cs="仿宋"/>
          <w:color w:val="000000"/>
          <w:sz w:val="28"/>
          <w:szCs w:val="200"/>
          <w:highlight w:val="none"/>
          <w:lang w:val="zh-CN"/>
        </w:rPr>
        <w:fldChar w:fldCharType="begin"/>
      </w:r>
      <w:r>
        <w:rPr>
          <w:rFonts w:hint="eastAsia" w:ascii="仿宋" w:hAnsi="仿宋" w:eastAsia="仿宋" w:cs="仿宋"/>
          <w:sz w:val="28"/>
          <w:szCs w:val="200"/>
          <w:highlight w:val="none"/>
          <w:lang w:val="zh-CN"/>
        </w:rPr>
        <w:instrText xml:space="preserve"> HYPERLINK \l _Toc12291 </w:instrText>
      </w:r>
      <w:r>
        <w:rPr>
          <w:rFonts w:hint="eastAsia" w:ascii="仿宋" w:hAnsi="仿宋" w:eastAsia="仿宋" w:cs="仿宋"/>
          <w:sz w:val="28"/>
          <w:szCs w:val="200"/>
          <w:highlight w:val="none"/>
          <w:lang w:val="zh-CN"/>
        </w:rPr>
        <w:fldChar w:fldCharType="separate"/>
      </w:r>
      <w:r>
        <w:rPr>
          <w:rFonts w:hint="eastAsia" w:ascii="仿宋" w:hAnsi="仿宋" w:eastAsia="仿宋" w:cs="仿宋"/>
          <w:bCs/>
          <w:sz w:val="28"/>
          <w:szCs w:val="52"/>
          <w:highlight w:val="none"/>
          <w:lang w:val="en-US" w:eastAsia="zh-CN"/>
        </w:rPr>
        <w:t>第六部分  竞争性谈判响应文件格式</w:t>
      </w:r>
      <w:r>
        <w:rPr>
          <w:sz w:val="28"/>
          <w:szCs w:val="36"/>
        </w:rPr>
        <w:tab/>
      </w:r>
      <w:r>
        <w:rPr>
          <w:sz w:val="28"/>
          <w:szCs w:val="36"/>
        </w:rPr>
        <w:fldChar w:fldCharType="begin"/>
      </w:r>
      <w:r>
        <w:rPr>
          <w:sz w:val="28"/>
          <w:szCs w:val="36"/>
        </w:rPr>
        <w:instrText xml:space="preserve"> PAGEREF _Toc12291 \h </w:instrText>
      </w:r>
      <w:r>
        <w:rPr>
          <w:sz w:val="28"/>
          <w:szCs w:val="36"/>
        </w:rPr>
        <w:fldChar w:fldCharType="separate"/>
      </w:r>
      <w:r>
        <w:rPr>
          <w:sz w:val="28"/>
          <w:szCs w:val="36"/>
        </w:rPr>
        <w:t>46</w:t>
      </w:r>
      <w:r>
        <w:rPr>
          <w:sz w:val="28"/>
          <w:szCs w:val="36"/>
        </w:rPr>
        <w:fldChar w:fldCharType="end"/>
      </w:r>
      <w:r>
        <w:rPr>
          <w:rFonts w:hint="eastAsia" w:ascii="仿宋" w:hAnsi="仿宋" w:eastAsia="仿宋" w:cs="仿宋"/>
          <w:color w:val="000000"/>
          <w:sz w:val="28"/>
          <w:szCs w:val="200"/>
          <w:highlight w:val="none"/>
          <w:lang w:val="zh-CN"/>
        </w:rPr>
        <w:fldChar w:fldCharType="end"/>
      </w:r>
    </w:p>
    <w:p>
      <w:pPr>
        <w:pageBreakBefore w:val="0"/>
        <w:widowControl w:val="0"/>
        <w:kinsoku/>
        <w:wordWrap w:val="0"/>
        <w:overflowPunct/>
        <w:bidi w:val="0"/>
        <w:spacing w:line="480" w:lineRule="auto"/>
        <w:jc w:val="center"/>
        <w:rPr>
          <w:rFonts w:hint="eastAsia" w:ascii="仿宋" w:hAnsi="仿宋" w:eastAsia="仿宋" w:cs="仿宋"/>
          <w:sz w:val="40"/>
          <w:szCs w:val="40"/>
          <w:highlight w:val="none"/>
          <w:lang w:val="zh-CN"/>
        </w:rPr>
      </w:pPr>
      <w:r>
        <w:rPr>
          <w:rFonts w:hint="eastAsia" w:ascii="仿宋" w:hAnsi="仿宋" w:eastAsia="仿宋" w:cs="仿宋"/>
          <w:color w:val="000000"/>
          <w:sz w:val="28"/>
          <w:szCs w:val="200"/>
          <w:highlight w:val="none"/>
          <w:lang w:val="zh-CN"/>
        </w:rPr>
        <w:fldChar w:fldCharType="end"/>
      </w:r>
    </w:p>
    <w:p>
      <w:pPr>
        <w:pageBreakBefore w:val="0"/>
        <w:widowControl w:val="0"/>
        <w:kinsoku/>
        <w:wordWrap w:val="0"/>
        <w:overflowPunct/>
        <w:bidi w:val="0"/>
        <w:spacing w:before="120" w:beforeLines="50" w:after="240" w:afterLines="100" w:line="460" w:lineRule="exact"/>
        <w:jc w:val="center"/>
        <w:outlineLvl w:val="0"/>
        <w:rPr>
          <w:rFonts w:hint="eastAsia" w:ascii="仿宋" w:hAnsi="仿宋" w:eastAsia="仿宋" w:cs="仿宋"/>
          <w:b/>
          <w:sz w:val="40"/>
          <w:szCs w:val="40"/>
          <w:highlight w:val="none"/>
        </w:rPr>
        <w:sectPr>
          <w:headerReference r:id="rId6" w:type="first"/>
          <w:footerReference r:id="rId8" w:type="first"/>
          <w:footerReference r:id="rId7" w:type="default"/>
          <w:pgSz w:w="11907" w:h="16840"/>
          <w:pgMar w:top="1440" w:right="1474" w:bottom="1440" w:left="1474" w:header="964" w:footer="850" w:gutter="0"/>
          <w:pgNumType w:fmt="decimal"/>
          <w:cols w:space="720" w:num="1"/>
          <w:titlePg/>
          <w:docGrid w:linePitch="312" w:charSpace="0"/>
        </w:sectPr>
      </w:pPr>
      <w:bookmarkStart w:id="7" w:name="_Toc23956"/>
      <w:bookmarkStart w:id="8" w:name="_Toc20893"/>
    </w:p>
    <w:p>
      <w:pPr>
        <w:pStyle w:val="4"/>
        <w:pageBreakBefore w:val="0"/>
        <w:widowControl w:val="0"/>
        <w:kinsoku/>
        <w:wordWrap w:val="0"/>
        <w:overflowPunct/>
        <w:bidi w:val="0"/>
        <w:spacing w:before="240" w:after="240" w:line="520" w:lineRule="exact"/>
        <w:rPr>
          <w:rFonts w:hint="eastAsia" w:ascii="仿宋" w:hAnsi="仿宋" w:eastAsia="仿宋" w:cs="仿宋"/>
          <w:b/>
          <w:bCs/>
          <w:sz w:val="40"/>
          <w:szCs w:val="40"/>
          <w:highlight w:val="none"/>
        </w:rPr>
      </w:pPr>
      <w:bookmarkStart w:id="9" w:name="_Toc25982"/>
      <w:r>
        <w:rPr>
          <w:rFonts w:hint="eastAsia" w:ascii="仿宋" w:hAnsi="仿宋" w:eastAsia="仿宋" w:cs="仿宋"/>
          <w:b/>
          <w:bCs/>
          <w:sz w:val="40"/>
          <w:szCs w:val="40"/>
          <w:highlight w:val="none"/>
        </w:rPr>
        <w:t>第一部分  竞争性谈判公告</w:t>
      </w:r>
      <w:bookmarkEnd w:id="6"/>
      <w:bookmarkEnd w:id="7"/>
      <w:bookmarkEnd w:id="8"/>
      <w:bookmarkEnd w:id="9"/>
    </w:p>
    <w:p>
      <w:pPr>
        <w:pStyle w:val="62"/>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560" w:firstLineChars="200"/>
        <w:textAlignment w:val="auto"/>
        <w:rPr>
          <w:rFonts w:hint="eastAsia" w:ascii="仿宋" w:hAnsi="仿宋" w:eastAsia="仿宋" w:cs="仿宋"/>
          <w:bCs/>
          <w:sz w:val="28"/>
          <w:szCs w:val="28"/>
          <w:highlight w:val="none"/>
          <w:lang w:eastAsia="zh-CN"/>
        </w:rPr>
      </w:pPr>
      <w:r>
        <w:rPr>
          <w:rFonts w:hint="eastAsia" w:ascii="仿宋" w:hAnsi="仿宋" w:eastAsia="仿宋" w:cs="仿宋"/>
          <w:bCs/>
          <w:sz w:val="28"/>
          <w:szCs w:val="28"/>
          <w:highlight w:val="none"/>
          <w:lang w:eastAsia="zh-CN"/>
        </w:rPr>
        <w:t>项目概况：</w:t>
      </w:r>
    </w:p>
    <w:p>
      <w:pPr>
        <w:pStyle w:val="62"/>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560" w:firstLineChars="200"/>
        <w:textAlignment w:val="auto"/>
        <w:rPr>
          <w:rFonts w:hint="eastAsia" w:ascii="仿宋" w:hAnsi="仿宋" w:eastAsia="仿宋" w:cs="仿宋"/>
          <w:bCs/>
          <w:color w:val="333333"/>
          <w:sz w:val="28"/>
          <w:szCs w:val="28"/>
          <w:highlight w:val="none"/>
        </w:rPr>
      </w:pPr>
      <w:r>
        <w:rPr>
          <w:rFonts w:hint="eastAsia" w:ascii="仿宋" w:hAnsi="仿宋" w:eastAsia="仿宋" w:cs="仿宋"/>
          <w:bCs/>
          <w:sz w:val="28"/>
          <w:szCs w:val="28"/>
          <w:highlight w:val="none"/>
          <w:lang w:eastAsia="zh-CN"/>
        </w:rPr>
        <w:t>中省转移警用车辆采购采购项目的潜在供应商应在西安市曲江新区雁翔路3269号旺座曲江H座19层1902室获取采购文件，并于 2022年07月05日 14时30分 （北京时间）前提交响应文件。</w:t>
      </w:r>
    </w:p>
    <w:p>
      <w:pPr>
        <w:pStyle w:val="62"/>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textAlignment w:val="auto"/>
        <w:rPr>
          <w:rFonts w:hint="eastAsia" w:ascii="仿宋" w:hAnsi="仿宋" w:eastAsia="仿宋" w:cs="仿宋"/>
          <w:b/>
          <w:bCs/>
          <w:color w:val="333333"/>
          <w:sz w:val="28"/>
          <w:szCs w:val="28"/>
          <w:highlight w:val="none"/>
        </w:rPr>
      </w:pPr>
      <w:r>
        <w:rPr>
          <w:rFonts w:hint="eastAsia" w:ascii="仿宋" w:hAnsi="仿宋" w:eastAsia="仿宋" w:cs="仿宋"/>
          <w:b/>
          <w:bCs/>
          <w:color w:val="333333"/>
          <w:sz w:val="28"/>
          <w:szCs w:val="28"/>
          <w:highlight w:val="none"/>
        </w:rPr>
        <w:t>一、项目基本情况：</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项目编号：RQDL-2022-044</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项目名称：中省转移警用车辆采购</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采购方式：竞争性谈判</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预算金额：1,110,000.00元</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采购需求：合同包1(中省转移警用车辆采购):</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1752" w:firstLineChars="626"/>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合同包预算金额：1,110,000.00元</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1752" w:firstLineChars="626"/>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合同包最高限价：1,110,000.00元</w:t>
      </w:r>
    </w:p>
    <w:tbl>
      <w:tblPr>
        <w:tblW w:w="9181"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14"/>
        <w:gridCol w:w="815"/>
        <w:gridCol w:w="1219"/>
        <w:gridCol w:w="1083"/>
        <w:gridCol w:w="1778"/>
        <w:gridCol w:w="1736"/>
        <w:gridCol w:w="17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80" w:hRule="atLeast"/>
          <w:tblHeader/>
        </w:trPr>
        <w:tc>
          <w:tcPr>
            <w:tcW w:w="814"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kern w:val="0"/>
                <w:sz w:val="24"/>
                <w:szCs w:val="24"/>
                <w:bdr w:val="none" w:color="auto" w:sz="0" w:space="0"/>
                <w:lang w:val="en-US" w:eastAsia="zh-CN" w:bidi="ar"/>
              </w:rPr>
              <w:t>品目号</w:t>
            </w:r>
          </w:p>
        </w:tc>
        <w:tc>
          <w:tcPr>
            <w:tcW w:w="81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kern w:val="0"/>
                <w:sz w:val="24"/>
                <w:szCs w:val="24"/>
                <w:bdr w:val="none" w:color="auto" w:sz="0" w:space="0"/>
                <w:lang w:val="en-US" w:eastAsia="zh-CN" w:bidi="ar"/>
              </w:rPr>
              <w:t>品目名称</w:t>
            </w:r>
          </w:p>
        </w:tc>
        <w:tc>
          <w:tcPr>
            <w:tcW w:w="121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kern w:val="0"/>
                <w:sz w:val="24"/>
                <w:szCs w:val="24"/>
                <w:bdr w:val="none" w:color="auto" w:sz="0" w:space="0"/>
                <w:lang w:val="en-US" w:eastAsia="zh-CN" w:bidi="ar"/>
              </w:rPr>
              <w:t>采购标的</w:t>
            </w:r>
          </w:p>
        </w:tc>
        <w:tc>
          <w:tcPr>
            <w:tcW w:w="108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kern w:val="0"/>
                <w:sz w:val="24"/>
                <w:szCs w:val="24"/>
                <w:bdr w:val="none" w:color="auto" w:sz="0" w:space="0"/>
                <w:lang w:val="en-US" w:eastAsia="zh-CN" w:bidi="ar"/>
              </w:rPr>
              <w:t>数量（单位）</w:t>
            </w:r>
          </w:p>
        </w:tc>
        <w:tc>
          <w:tcPr>
            <w:tcW w:w="177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kern w:val="0"/>
                <w:sz w:val="24"/>
                <w:szCs w:val="24"/>
                <w:bdr w:val="none" w:color="auto" w:sz="0" w:space="0"/>
                <w:lang w:val="en-US" w:eastAsia="zh-CN" w:bidi="ar"/>
              </w:rPr>
              <w:t>技术规格、参数及要求</w:t>
            </w:r>
          </w:p>
        </w:tc>
        <w:tc>
          <w:tcPr>
            <w:tcW w:w="173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kern w:val="0"/>
                <w:sz w:val="24"/>
                <w:szCs w:val="24"/>
                <w:bdr w:val="none" w:color="auto" w:sz="0" w:space="0"/>
                <w:lang w:val="en-US" w:eastAsia="zh-CN" w:bidi="ar"/>
              </w:rPr>
              <w:t>品目预算(元)</w:t>
            </w:r>
          </w:p>
        </w:tc>
        <w:tc>
          <w:tcPr>
            <w:tcW w:w="173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kern w:val="0"/>
                <w:sz w:val="24"/>
                <w:szCs w:val="24"/>
                <w:bdr w:val="none" w:color="auto" w:sz="0" w:space="0"/>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kern w:val="0"/>
                <w:sz w:val="24"/>
                <w:szCs w:val="24"/>
                <w:bdr w:val="none" w:color="auto" w:sz="0" w:space="0"/>
                <w:lang w:val="en-US" w:eastAsia="zh-CN" w:bidi="ar"/>
              </w:rPr>
              <w:t>1-1</w:t>
            </w:r>
          </w:p>
        </w:tc>
        <w:tc>
          <w:tcPr>
            <w:tcW w:w="81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kern w:val="0"/>
                <w:sz w:val="24"/>
                <w:szCs w:val="24"/>
                <w:bdr w:val="none" w:color="auto" w:sz="0" w:space="0"/>
                <w:lang w:val="en-US" w:eastAsia="zh-CN" w:bidi="ar"/>
              </w:rPr>
              <w:t>警车</w:t>
            </w:r>
          </w:p>
        </w:tc>
        <w:tc>
          <w:tcPr>
            <w:tcW w:w="121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kern w:val="0"/>
                <w:sz w:val="24"/>
                <w:szCs w:val="24"/>
                <w:bdr w:val="none" w:color="auto" w:sz="0" w:space="0"/>
                <w:lang w:val="en-US" w:eastAsia="zh-CN" w:bidi="ar"/>
              </w:rPr>
              <w:t>警用车辆</w:t>
            </w:r>
          </w:p>
        </w:tc>
        <w:tc>
          <w:tcPr>
            <w:tcW w:w="1083"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kern w:val="0"/>
                <w:sz w:val="24"/>
                <w:szCs w:val="24"/>
                <w:bdr w:val="none" w:color="auto" w:sz="0" w:space="0"/>
                <w:lang w:val="en-US" w:eastAsia="zh-CN" w:bidi="ar"/>
              </w:rPr>
              <w:t>10(辆)</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firstLine="0"/>
              <w:jc w:val="center"/>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kern w:val="0"/>
                <w:sz w:val="24"/>
                <w:szCs w:val="24"/>
                <w:bdr w:val="none" w:color="auto" w:sz="0" w:space="0"/>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firstLine="0"/>
              <w:jc w:val="right"/>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kern w:val="0"/>
                <w:sz w:val="24"/>
                <w:szCs w:val="24"/>
                <w:bdr w:val="none" w:color="auto" w:sz="0" w:space="0"/>
                <w:lang w:val="en-US" w:eastAsia="zh-CN" w:bidi="ar"/>
              </w:rPr>
              <w:t>1,110,000.00</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firstLine="0"/>
              <w:jc w:val="right"/>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kern w:val="0"/>
                <w:sz w:val="24"/>
                <w:szCs w:val="24"/>
                <w:bdr w:val="none" w:color="auto" w:sz="0" w:space="0"/>
                <w:lang w:val="en-US" w:eastAsia="zh-CN" w:bidi="ar"/>
              </w:rPr>
              <w:t>1,110,000.00</w:t>
            </w:r>
          </w:p>
        </w:tc>
      </w:tr>
    </w:tbl>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本合同包不接受联合体投标</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合同履行期限：35日历天</w:t>
      </w:r>
    </w:p>
    <w:p>
      <w:pPr>
        <w:pStyle w:val="62"/>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textAlignment w:val="auto"/>
        <w:rPr>
          <w:rFonts w:hint="eastAsia" w:ascii="仿宋" w:hAnsi="仿宋" w:eastAsia="仿宋" w:cs="仿宋"/>
          <w:b/>
          <w:bCs/>
          <w:color w:val="333333"/>
          <w:sz w:val="28"/>
          <w:szCs w:val="28"/>
          <w:highlight w:val="none"/>
        </w:rPr>
      </w:pPr>
      <w:r>
        <w:rPr>
          <w:rFonts w:hint="eastAsia" w:ascii="仿宋" w:hAnsi="仿宋" w:eastAsia="仿宋" w:cs="仿宋"/>
          <w:b/>
          <w:bCs/>
          <w:color w:val="333333"/>
          <w:sz w:val="28"/>
          <w:szCs w:val="28"/>
          <w:highlight w:val="none"/>
        </w:rPr>
        <w:t>二、</w:t>
      </w:r>
      <w:r>
        <w:rPr>
          <w:rFonts w:hint="eastAsia" w:ascii="仿宋" w:hAnsi="仿宋" w:eastAsia="仿宋" w:cs="仿宋"/>
          <w:b/>
          <w:bCs/>
          <w:color w:val="333333"/>
          <w:sz w:val="28"/>
          <w:szCs w:val="28"/>
          <w:highlight w:val="none"/>
          <w:lang w:eastAsia="zh-CN"/>
        </w:rPr>
        <w:t>申请人</w:t>
      </w:r>
      <w:r>
        <w:rPr>
          <w:rFonts w:hint="eastAsia" w:ascii="仿宋" w:hAnsi="仿宋" w:eastAsia="仿宋" w:cs="仿宋"/>
          <w:b/>
          <w:bCs/>
          <w:color w:val="333333"/>
          <w:sz w:val="28"/>
          <w:szCs w:val="28"/>
          <w:highlight w:val="none"/>
        </w:rPr>
        <w:t>的资格要求</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1.满足《中华人民共和国政府采购法》第二十二条规定;</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2.落实政府采购政策需满足的资格要求：</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合同包1(中省转移警用车辆采购)落实政府采购政策需满足的资格要求如下：本项目非专门面向中小企业采购。</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3.本项目的特定资格要求：</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合同包1(中省转移警用车辆采购)特定资格要求如下：</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1.供应商应是独立承担民事责任能力的法人、其他组织或自然人，法人、其他组织须提供合法有效的营业执照（或事业单位法人证书）等证明资料，自然人须提供身份证明；</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2.供应商提供2020年或2021年度经审计的财务报告（成立时间至开标时间不足一年的可提供成立后任意时段的资产负债表）或开户银行出具的资信证明或政府采购专业担保机构出具的投标担保函；</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3.供应商提供开标前六个月内任意一个月的税收缴纳凭证；依法免税的应提供相关文件证明；</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4.供应商提供开标前六个月内任意一个月已缴纳的社会保障资金缴存单据或社保机构开具的社会保险参保缴费情况证明；依法不需要缴纳社会保障资金的应提供相关文件证明；</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5.提供履行合同所必需的设备和专业技术能力的书面声明；</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6.提供参加政府采购活动前三年内在经营活动中没有重大违法记录的书面声明；</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7.提供授权委托书及被授权人身份证（法定代表人或自然人直接投标的只须提交其身份证）；</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8.供应商未被列入“信用中国”网站（www.creditchina.gov.cn）“记录失信被执行人或重大税收违法案件当事人名单或政府采购严重违法失信行为”记录名单。同时，不处于中国政府采购网（www.ccgp.gov.cn）“政府采购不良行为记录”中的禁止参加政府采购活动期间；</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9.本项目不接受联合体投标；</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10.单位负责人为同一人或者存在直接控股、管理关系的不同供应商，不得参加同一合同项下的政府采购活动。</w:t>
      </w:r>
    </w:p>
    <w:p>
      <w:pPr>
        <w:pStyle w:val="62"/>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textAlignment w:val="auto"/>
        <w:rPr>
          <w:rFonts w:hint="eastAsia" w:ascii="仿宋" w:hAnsi="仿宋" w:eastAsia="仿宋" w:cs="仿宋"/>
          <w:b/>
          <w:bCs/>
          <w:color w:val="333333"/>
          <w:sz w:val="28"/>
          <w:szCs w:val="28"/>
          <w:highlight w:val="none"/>
        </w:rPr>
      </w:pPr>
      <w:r>
        <w:rPr>
          <w:rFonts w:hint="eastAsia" w:ascii="仿宋" w:hAnsi="仿宋" w:eastAsia="仿宋" w:cs="仿宋"/>
          <w:b/>
          <w:bCs/>
          <w:color w:val="333333"/>
          <w:sz w:val="28"/>
          <w:szCs w:val="28"/>
          <w:highlight w:val="none"/>
        </w:rPr>
        <w:t>三、获取采购文件</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时间： 2022年06月28日 至 2022年06月30日 ，每天上午 09:00:00 至 12:00:00 ，下午 14:00:00 至 17:00:00 （北京时间,法定节假日除外）</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地点：西安市曲江新区雁翔路3269号旺座曲江H座19层1902室</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方式：现场获取</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售价： 免费获取</w:t>
      </w:r>
    </w:p>
    <w:p>
      <w:pPr>
        <w:pStyle w:val="62"/>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textAlignment w:val="auto"/>
        <w:rPr>
          <w:rFonts w:hint="eastAsia" w:ascii="仿宋" w:hAnsi="仿宋" w:eastAsia="仿宋" w:cs="仿宋"/>
          <w:b/>
          <w:bCs/>
          <w:color w:val="333333"/>
          <w:sz w:val="28"/>
          <w:szCs w:val="28"/>
          <w:highlight w:val="none"/>
        </w:rPr>
      </w:pPr>
      <w:r>
        <w:rPr>
          <w:rFonts w:hint="eastAsia" w:ascii="仿宋" w:hAnsi="仿宋" w:eastAsia="仿宋" w:cs="仿宋"/>
          <w:b/>
          <w:bCs/>
          <w:color w:val="333333"/>
          <w:sz w:val="28"/>
          <w:szCs w:val="28"/>
          <w:highlight w:val="none"/>
        </w:rPr>
        <w:t>四、响应文件提交</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截止时间： 2022年07月05日 14时30分00秒 （北京时间）</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地点：西安市曲江新区雁翔路3269号旺座曲江H座19层1908室</w:t>
      </w:r>
    </w:p>
    <w:p>
      <w:pPr>
        <w:pStyle w:val="62"/>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textAlignment w:val="auto"/>
        <w:rPr>
          <w:rFonts w:hint="eastAsia" w:ascii="仿宋" w:hAnsi="仿宋" w:eastAsia="仿宋" w:cs="仿宋"/>
          <w:b/>
          <w:bCs/>
          <w:color w:val="333333"/>
          <w:sz w:val="28"/>
          <w:szCs w:val="28"/>
          <w:highlight w:val="none"/>
        </w:rPr>
      </w:pPr>
      <w:r>
        <w:rPr>
          <w:rFonts w:hint="eastAsia" w:ascii="仿宋" w:hAnsi="仿宋" w:eastAsia="仿宋" w:cs="仿宋"/>
          <w:b/>
          <w:bCs/>
          <w:color w:val="333333"/>
          <w:sz w:val="28"/>
          <w:szCs w:val="28"/>
          <w:highlight w:val="none"/>
        </w:rPr>
        <w:t>五、开启</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时间： 2022年07月05日 14时30分00秒 （北京时间）</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地点：西安市曲江新区雁翔路3269号旺座曲江H座19层1908室</w:t>
      </w:r>
    </w:p>
    <w:p>
      <w:pPr>
        <w:pStyle w:val="62"/>
        <w:keepNext w:val="0"/>
        <w:keepLines w:val="0"/>
        <w:pageBreakBefore w:val="0"/>
        <w:widowControl w:val="0"/>
        <w:numPr>
          <w:numId w:val="0"/>
        </w:numPr>
        <w:shd w:val="clear" w:color="auto" w:fill="FFFFFF"/>
        <w:kinsoku/>
        <w:wordWrap w:val="0"/>
        <w:overflowPunct/>
        <w:bidi w:val="0"/>
        <w:adjustRightInd/>
        <w:snapToGrid/>
        <w:spacing w:before="0" w:beforeAutospacing="0" w:after="0" w:afterAutospacing="0" w:line="560" w:lineRule="exact"/>
        <w:textAlignment w:val="auto"/>
        <w:rPr>
          <w:rFonts w:hint="eastAsia" w:ascii="仿宋" w:hAnsi="仿宋" w:eastAsia="仿宋" w:cs="仿宋"/>
          <w:b/>
          <w:bCs/>
          <w:color w:val="333333"/>
          <w:sz w:val="28"/>
          <w:szCs w:val="28"/>
          <w:highlight w:val="none"/>
          <w:lang w:eastAsia="zh-CN"/>
        </w:rPr>
      </w:pPr>
      <w:r>
        <w:rPr>
          <w:rFonts w:hint="eastAsia" w:ascii="仿宋" w:hAnsi="仿宋" w:eastAsia="仿宋" w:cs="仿宋"/>
          <w:b/>
          <w:bCs/>
          <w:color w:val="333333"/>
          <w:sz w:val="28"/>
          <w:szCs w:val="28"/>
          <w:highlight w:val="none"/>
          <w:lang w:eastAsia="zh-CN"/>
        </w:rPr>
        <w:t>六、公告期限</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自本公告发布之日起3个工作日。</w:t>
      </w:r>
    </w:p>
    <w:p>
      <w:pPr>
        <w:pStyle w:val="62"/>
        <w:keepNext w:val="0"/>
        <w:keepLines w:val="0"/>
        <w:pageBreakBefore w:val="0"/>
        <w:widowControl w:val="0"/>
        <w:numPr>
          <w:numId w:val="0"/>
        </w:numPr>
        <w:shd w:val="clear" w:color="auto" w:fill="FFFFFF"/>
        <w:kinsoku/>
        <w:wordWrap w:val="0"/>
        <w:overflowPunct/>
        <w:bidi w:val="0"/>
        <w:adjustRightInd/>
        <w:snapToGrid/>
        <w:spacing w:before="0" w:beforeAutospacing="0" w:after="0" w:afterAutospacing="0" w:line="560" w:lineRule="exact"/>
        <w:textAlignment w:val="auto"/>
        <w:rPr>
          <w:rFonts w:hint="eastAsia" w:ascii="仿宋" w:hAnsi="仿宋" w:eastAsia="仿宋" w:cs="仿宋"/>
          <w:b/>
          <w:bCs/>
          <w:color w:val="333333"/>
          <w:sz w:val="28"/>
          <w:szCs w:val="28"/>
          <w:highlight w:val="none"/>
        </w:rPr>
      </w:pPr>
      <w:r>
        <w:rPr>
          <w:rFonts w:hint="eastAsia" w:ascii="仿宋" w:hAnsi="仿宋" w:eastAsia="仿宋" w:cs="仿宋"/>
          <w:b/>
          <w:bCs/>
          <w:color w:val="333333"/>
          <w:sz w:val="28"/>
          <w:szCs w:val="28"/>
          <w:highlight w:val="none"/>
          <w:lang w:eastAsia="zh-CN"/>
        </w:rPr>
        <w:t>七、</w:t>
      </w:r>
      <w:r>
        <w:rPr>
          <w:rFonts w:hint="eastAsia" w:ascii="仿宋" w:hAnsi="仿宋" w:eastAsia="仿宋" w:cs="仿宋"/>
          <w:b/>
          <w:bCs/>
          <w:color w:val="333333"/>
          <w:sz w:val="28"/>
          <w:szCs w:val="28"/>
          <w:highlight w:val="none"/>
        </w:rPr>
        <w:t>其他补充事宜</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（1）获取采购文件时，供应商代表应携带有效的单位介绍信或授权委托书原件、经办人身份证原件及加盖公章的复印件，前往采购代理机构领取文件；谢绝邮寄。</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（2）注意事项：供应商需通过陕西省政府采购网（http://www.ccgp-shaanxi.gov.cn/）注册登记加入陕西省政府采购供应商库。</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3）供应商登记免费领取采购文件的，如不参与项目投标，应在递交响应文件截止时间前一日以书面形式告知采购代理机构，否则采购代理机构可以向财政部门反映情况并提供相应佐证，供应商一年内累计出现三次该情形，将被监督部门记录为失信行为。</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b/>
          <w:bCs/>
          <w:color w:val="333333"/>
          <w:sz w:val="28"/>
          <w:szCs w:val="28"/>
          <w:highlight w:val="none"/>
        </w:rPr>
      </w:pPr>
      <w:r>
        <w:rPr>
          <w:rFonts w:hint="eastAsia" w:ascii="仿宋" w:hAnsi="仿宋" w:eastAsia="仿宋" w:cs="仿宋"/>
          <w:b/>
          <w:bCs/>
          <w:color w:val="333333"/>
          <w:sz w:val="28"/>
          <w:szCs w:val="28"/>
          <w:highlight w:val="none"/>
          <w:lang w:eastAsia="zh-CN"/>
        </w:rPr>
        <w:t>八</w:t>
      </w:r>
      <w:r>
        <w:rPr>
          <w:rFonts w:hint="eastAsia" w:ascii="仿宋" w:hAnsi="仿宋" w:eastAsia="仿宋" w:cs="仿宋"/>
          <w:b/>
          <w:bCs/>
          <w:color w:val="333333"/>
          <w:sz w:val="28"/>
          <w:szCs w:val="28"/>
          <w:highlight w:val="none"/>
        </w:rPr>
        <w:t>、凡对本次采购提出询问，请按以下方式联系。</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1.采购人信息</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名称：西安市公安局交通警察支队长安大队</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地址：西安市长安区韦曲南街</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联系方式：17629256928</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2.采购代理机构信息</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名称：陕西瑞琪工程咨询有限公司</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地址：陕西省西安市雁塔区曲江新区雁翔路3269号旺座曲江H座19F1902室</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联系方式：15291869711</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3.项目联系方式</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项目联系人：王新娜</w:t>
      </w:r>
    </w:p>
    <w:p>
      <w:pPr>
        <w:pStyle w:val="29"/>
        <w:keepNext w:val="0"/>
        <w:keepLines w:val="0"/>
        <w:pageBreakBefore w:val="0"/>
        <w:widowControl w:val="0"/>
        <w:shd w:val="clear" w:color="auto" w:fill="FFFFFF"/>
        <w:kinsoku/>
        <w:wordWrap w:val="0"/>
        <w:overflowPunct/>
        <w:bidi w:val="0"/>
        <w:adjustRightInd/>
        <w:snapToGrid/>
        <w:spacing w:before="0" w:beforeAutospacing="0" w:after="0" w:afterAutospacing="0" w:line="560" w:lineRule="exact"/>
        <w:ind w:firstLine="480"/>
        <w:textAlignment w:val="auto"/>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电话：15291869711</w:t>
      </w:r>
    </w:p>
    <w:p>
      <w:pPr>
        <w:pStyle w:val="4"/>
        <w:pageBreakBefore w:val="0"/>
        <w:widowControl w:val="0"/>
        <w:kinsoku/>
        <w:wordWrap w:val="0"/>
        <w:overflowPunct/>
        <w:bidi w:val="0"/>
        <w:spacing w:before="240" w:after="240" w:line="520" w:lineRule="exact"/>
        <w:rPr>
          <w:rFonts w:hint="eastAsia" w:ascii="仿宋" w:hAnsi="仿宋" w:eastAsia="仿宋" w:cs="仿宋"/>
          <w:highlight w:val="none"/>
        </w:rPr>
      </w:pPr>
      <w:bookmarkStart w:id="10" w:name="_Toc26243"/>
      <w:bookmarkStart w:id="11" w:name="_Toc23300"/>
      <w:bookmarkStart w:id="12" w:name="_Toc424292464"/>
      <w:r>
        <w:rPr>
          <w:rFonts w:hint="eastAsia" w:ascii="仿宋" w:hAnsi="仿宋" w:eastAsia="仿宋" w:cs="仿宋"/>
          <w:b w:val="0"/>
          <w:sz w:val="28"/>
          <w:szCs w:val="28"/>
          <w:highlight w:val="none"/>
        </w:rPr>
        <w:br w:type="page"/>
      </w:r>
      <w:bookmarkStart w:id="13" w:name="_Toc13742"/>
      <w:r>
        <w:rPr>
          <w:rFonts w:hint="eastAsia" w:ascii="仿宋" w:hAnsi="仿宋" w:eastAsia="仿宋" w:cs="仿宋"/>
          <w:sz w:val="40"/>
          <w:szCs w:val="40"/>
          <w:highlight w:val="none"/>
        </w:rPr>
        <w:t>第二部分  供应商须知前附表</w:t>
      </w:r>
      <w:bookmarkEnd w:id="10"/>
      <w:bookmarkEnd w:id="11"/>
      <w:bookmarkEnd w:id="12"/>
      <w:bookmarkEnd w:id="13"/>
    </w:p>
    <w:tbl>
      <w:tblPr>
        <w:tblStyle w:val="31"/>
        <w:tblW w:w="93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524"/>
        <w:gridCol w:w="70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 w:hRule="atLeast"/>
          <w:tblHeader/>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序号</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内    容</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1180"/>
              </w:tabs>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项目名称</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西安市公安局交通警察支队长安大队中省转移警用车辆采购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项目编号</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color w:val="333333"/>
                <w:sz w:val="28"/>
                <w:szCs w:val="28"/>
                <w:highlight w:val="none"/>
                <w:lang w:val="zh-CN"/>
              </w:rPr>
              <w:t>RQDL-2022-044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交付要求</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交货地点：西安市公安局交通警察支队长安大队指定地点</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交付期：合同签订后35日历天内交付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default" w:ascii="仿宋" w:hAnsi="仿宋" w:eastAsia="仿宋" w:cs="仿宋"/>
                <w:sz w:val="28"/>
                <w:szCs w:val="28"/>
                <w:highlight w:val="none"/>
              </w:rPr>
              <w:t>4</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采购内容</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警用车辆采购，4辆7座小轿车，6辆皮卡车；采购数量:10辆；主要功能或目标:出警使用，提高出警效率；需满足的要求:符合政府采购要求，满足使用需求。简要技术要求、用途：办公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default" w:ascii="仿宋" w:hAnsi="仿宋" w:eastAsia="仿宋" w:cs="仿宋"/>
                <w:sz w:val="28"/>
                <w:szCs w:val="28"/>
                <w:highlight w:val="none"/>
              </w:rPr>
              <w:t>5</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w:t>
            </w:r>
          </w:p>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资格要求</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供应商应是独立承担民事责任能力的法人、其他组织或自然人，法人、其他组织须提供合法有效的营业执照</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或事业单位法人证书</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等证明资料，自然人须提供身份证明；</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供应商提供20</w:t>
            </w:r>
            <w:r>
              <w:rPr>
                <w:rFonts w:hint="eastAsia" w:ascii="仿宋" w:hAnsi="仿宋" w:eastAsia="仿宋" w:cs="仿宋"/>
                <w:sz w:val="28"/>
                <w:szCs w:val="28"/>
                <w:highlight w:val="none"/>
                <w:lang w:val="en-US" w:eastAsia="zh-CN"/>
              </w:rPr>
              <w:t>20</w:t>
            </w:r>
            <w:r>
              <w:rPr>
                <w:rFonts w:hint="eastAsia" w:ascii="仿宋" w:hAnsi="仿宋" w:eastAsia="仿宋" w:cs="仿宋"/>
                <w:sz w:val="28"/>
                <w:szCs w:val="28"/>
                <w:highlight w:val="none"/>
              </w:rPr>
              <w:t>年或202</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年度经审计的财务报告（成立时间至开标时间不足一年的可提供成立后任意时段的资产负债表）或开户银行出具的资信证明或政府采购专业担保机构出具的投标担保函</w:t>
            </w:r>
            <w:r>
              <w:rPr>
                <w:rFonts w:hint="eastAsia" w:ascii="仿宋" w:hAnsi="仿宋" w:eastAsia="仿宋" w:cs="仿宋"/>
                <w:sz w:val="28"/>
                <w:szCs w:val="28"/>
                <w:highlight w:val="none"/>
                <w:lang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供应商提供开标前六个月内任意一个月的税收缴纳凭证；依法免税的应提供相关文件证明；</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供应商提供开标前六个月内任意一个月已缴纳的社会保障资金缴存单据或社保机构开具的社会保险参保缴费情况证明；依法不需要缴纳社会保障资金的应提供相关文件证明；</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提供履行合同所必需的设备和专业技术能力的书面声明</w:t>
            </w:r>
            <w:r>
              <w:rPr>
                <w:rFonts w:hint="eastAsia" w:ascii="仿宋" w:hAnsi="仿宋" w:eastAsia="仿宋" w:cs="仿宋"/>
                <w:sz w:val="28"/>
                <w:szCs w:val="28"/>
                <w:highlight w:val="none"/>
                <w:lang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提供参加政府采购活动前三年内在经营活动中没有重大违法记录的书面声明；</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（7）提供授权委托书及被授权人身份证（法定代表人或自然人直接投标的只须提交其身份证）；</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8）供应商未被列入“信用中国”网站（www.creditchina.gov.cn）“记录失信被执行人或重大税收违法案件当事人名单或政府采购严重违法失信行为”记录名单。同时，不处于中国政府采购网（www.ccgp.gov.cn）“政府采购不良行为记录”中的禁止参加政府采购活动期间；</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（9）本项目不接受联合体投标；</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（10）单位负责人为同一人或者存在直接控股、管理关系的不同供应商，不得参加同一合同项下的政府采购活动。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default" w:ascii="仿宋" w:hAnsi="仿宋" w:eastAsia="仿宋" w:cs="仿宋"/>
                <w:sz w:val="28"/>
                <w:szCs w:val="28"/>
                <w:highlight w:val="none"/>
              </w:rPr>
              <w:t>6</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报价采用币种</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default" w:ascii="仿宋" w:hAnsi="仿宋" w:eastAsia="仿宋" w:cs="仿宋"/>
                <w:sz w:val="28"/>
                <w:szCs w:val="28"/>
                <w:highlight w:val="none"/>
              </w:rPr>
              <w:t>7</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项目预算</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1110000</w:t>
            </w:r>
            <w:r>
              <w:rPr>
                <w:rFonts w:hint="eastAsia" w:ascii="仿宋" w:hAnsi="仿宋" w:eastAsia="仿宋" w:cs="仿宋"/>
                <w:sz w:val="28"/>
                <w:szCs w:val="28"/>
                <w:highlight w:val="none"/>
                <w:lang w:eastAsia="zh-CN"/>
              </w:rPr>
              <w:t>.00元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default" w:ascii="仿宋" w:hAnsi="仿宋" w:eastAsia="仿宋" w:cs="仿宋"/>
                <w:sz w:val="28"/>
                <w:szCs w:val="28"/>
                <w:highlight w:val="none"/>
              </w:rPr>
              <w:t>8</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谈判有效期</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从谈判截止之日起90个日历日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default" w:ascii="仿宋" w:hAnsi="仿宋" w:eastAsia="仿宋" w:cs="仿宋"/>
                <w:sz w:val="28"/>
                <w:szCs w:val="28"/>
                <w:highlight w:val="none"/>
              </w:rPr>
              <w:t>9</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谈判响应文件份数</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正本一份，副本二份，电子文件一份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default" w:ascii="仿宋" w:hAnsi="仿宋" w:eastAsia="仿宋" w:cs="仿宋"/>
                <w:sz w:val="28"/>
                <w:szCs w:val="28"/>
                <w:highlight w:val="none"/>
              </w:rPr>
              <w:t>10</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谈判响应文件递交地点及截止时间</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递交地点：西安市曲江新区雁翔路3269号旺座曲江H座1908室（如有变动，另行通知）</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截止时间：202</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日14：30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default" w:ascii="仿宋" w:hAnsi="仿宋" w:eastAsia="仿宋" w:cs="仿宋"/>
                <w:sz w:val="28"/>
                <w:szCs w:val="28"/>
                <w:highlight w:val="none"/>
              </w:rPr>
              <w:t>1</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谈判时间及地点</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default" w:ascii="仿宋" w:hAnsi="仿宋" w:eastAsia="仿宋" w:cs="仿宋"/>
                <w:sz w:val="28"/>
                <w:szCs w:val="28"/>
                <w:highlight w:val="none"/>
              </w:rPr>
            </w:pPr>
            <w:r>
              <w:rPr>
                <w:rFonts w:hint="eastAsia" w:ascii="仿宋" w:hAnsi="仿宋" w:eastAsia="仿宋" w:cs="仿宋"/>
                <w:sz w:val="28"/>
                <w:szCs w:val="28"/>
                <w:highlight w:val="none"/>
              </w:rPr>
              <w:t>谈判时间：202</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日14：30</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谈判地点：西安市曲江新区雁翔路3269号旺座曲江H座1908室（如有变动，另行通知）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default" w:ascii="仿宋" w:hAnsi="仿宋" w:eastAsia="仿宋" w:cs="仿宋"/>
                <w:sz w:val="28"/>
                <w:szCs w:val="28"/>
                <w:highlight w:val="none"/>
              </w:rPr>
              <w:t>2</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评标方法及标准</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最低价优先法，详见第三部分“五、谈判、评议及定标”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default" w:ascii="仿宋" w:hAnsi="仿宋" w:eastAsia="仿宋" w:cs="仿宋"/>
                <w:sz w:val="28"/>
                <w:szCs w:val="28"/>
                <w:highlight w:val="none"/>
              </w:rPr>
              <w:t>3</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发售谈判文件</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详见公告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default" w:ascii="仿宋" w:hAnsi="仿宋" w:eastAsia="仿宋" w:cs="仿宋"/>
                <w:sz w:val="28"/>
                <w:szCs w:val="28"/>
                <w:highlight w:val="none"/>
              </w:rPr>
              <w:t>4</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谈判小组的组建</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谈判小组的构成：3人。其中采购人代表1人，专家2人。</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谈判小组确定方式：开标前半天在陕西省财政厅专家库中随机抽取专家。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default" w:ascii="仿宋" w:hAnsi="仿宋" w:eastAsia="仿宋" w:cs="仿宋"/>
                <w:sz w:val="28"/>
                <w:szCs w:val="28"/>
                <w:highlight w:val="none"/>
              </w:rPr>
              <w:t>5</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成交公告</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媒体：陕西省政府采购网；公告期限：1个工作日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default" w:ascii="仿宋" w:hAnsi="仿宋" w:eastAsia="仿宋" w:cs="仿宋"/>
                <w:sz w:val="28"/>
                <w:szCs w:val="28"/>
                <w:highlight w:val="none"/>
              </w:rPr>
              <w:t>6</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谈判保证金</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本项目不提供谈判保证金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default" w:ascii="仿宋" w:hAnsi="仿宋" w:eastAsia="仿宋" w:cs="仿宋"/>
                <w:sz w:val="28"/>
                <w:szCs w:val="28"/>
                <w:highlight w:val="none"/>
              </w:rPr>
              <w:t>7</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供应商代表出席开标会</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供应商法定代表人或其委托代理人应当按时参加谈判会议，提交法定代表人身份证明文件及身份证复印件或法定代表人授权委托书及被委托人身份证复印件，出示本人身份证，以证明其出席。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default" w:ascii="仿宋" w:hAnsi="仿宋" w:eastAsia="仿宋" w:cs="仿宋"/>
                <w:color w:val="000000"/>
                <w:sz w:val="28"/>
                <w:szCs w:val="28"/>
                <w:highlight w:val="none"/>
              </w:rPr>
              <w:t>8</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采购代理服务费</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本项目采购代理服务费由成交供应商支付，采购代理服务费收取按照国家计委颁布的《招标代理服务收费管理暂行办法》（计价格[2002]1980号）和（发改办价格[2011]534号）收费标准执行收取。采购代理服务费的交纳方式：成交供应商在领取《成交通知书》时向采购代理机构一次性足额交纳采购代理服务费。</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招标代理服务费交纳账户：</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户  名：陕西瑞琪工程咨询有限公司</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账  号：7251 8101 8260 0002 063</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开户行：中信银行西安电子城支行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bidi w:val="0"/>
              <w:adjustRightInd/>
              <w:snapToGrid/>
              <w:spacing w:before="10" w:beforeAutospacing="0" w:after="10" w:afterAutospacing="0" w:line="240" w:lineRule="auto"/>
              <w:ind w:left="0" w:right="0"/>
              <w:jc w:val="center"/>
              <w:textAlignment w:val="auto"/>
              <w:rPr>
                <w:rFonts w:hint="default" w:ascii="仿宋" w:hAnsi="仿宋" w:eastAsia="仿宋" w:cs="仿宋"/>
                <w:color w:val="000000"/>
                <w:sz w:val="28"/>
                <w:szCs w:val="28"/>
                <w:highlight w:val="none"/>
                <w:lang w:val="en-US" w:eastAsia="zh-CN"/>
              </w:rPr>
            </w:pPr>
            <w:bookmarkStart w:id="14" w:name="_Toc15313"/>
            <w:r>
              <w:rPr>
                <w:rFonts w:hint="eastAsia" w:ascii="仿宋" w:hAnsi="仿宋" w:eastAsia="仿宋" w:cs="仿宋"/>
                <w:color w:val="000000"/>
                <w:sz w:val="28"/>
                <w:szCs w:val="28"/>
                <w:highlight w:val="none"/>
                <w:lang w:val="en-US" w:eastAsia="zh-CN"/>
              </w:rPr>
              <w:t>19</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suppressLineNumbers w:val="0"/>
              <w:kinsoku/>
              <w:wordWrap w:val="0"/>
              <w:overflowPunct/>
              <w:topLinePunct w:val="0"/>
              <w:autoSpaceDE w:val="0"/>
              <w:autoSpaceDN w:val="0"/>
              <w:bidi w:val="0"/>
              <w:adjustRightInd/>
              <w:snapToGrid/>
              <w:spacing w:before="10" w:beforeAutospacing="0" w:after="10" w:afterAutospacing="0" w:line="240" w:lineRule="auto"/>
              <w:ind w:left="0" w:right="0"/>
              <w:jc w:val="center"/>
              <w:textAlignment w:val="auto"/>
              <w:rPr>
                <w:rFonts w:hint="eastAsia" w:ascii="宋体" w:hAnsi="宋体" w:eastAsia="宋体" w:cs="宋体"/>
                <w:kern w:val="0"/>
                <w:sz w:val="24"/>
                <w:szCs w:val="24"/>
                <w:highlight w:val="none"/>
                <w:lang w:bidi="ar-SA"/>
              </w:rPr>
            </w:pPr>
            <w:r>
              <w:rPr>
                <w:rFonts w:hint="eastAsia" w:ascii="仿宋" w:hAnsi="仿宋" w:eastAsia="仿宋" w:cs="仿宋"/>
                <w:color w:val="000000"/>
                <w:kern w:val="2"/>
                <w:sz w:val="28"/>
                <w:szCs w:val="28"/>
                <w:highlight w:val="none"/>
                <w:lang w:val="en-US" w:eastAsia="zh-CN" w:bidi="ar-SA"/>
              </w:rPr>
              <w:t>信用查询</w:t>
            </w:r>
          </w:p>
        </w:tc>
        <w:tc>
          <w:tcPr>
            <w:tcW w:w="7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1、查询渠道：“信用中国”（www.creditchina.gov.cn）和“中国政府采购”（www.ccgp.gov.cn）为供应商信用信息查询渠道。</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2、查询时点：</w:t>
            </w:r>
            <w:r>
              <w:rPr>
                <w:rFonts w:hint="eastAsia" w:ascii="仿宋" w:hAnsi="仿宋" w:eastAsia="仿宋" w:cs="仿宋"/>
                <w:color w:val="000000"/>
                <w:sz w:val="28"/>
                <w:szCs w:val="28"/>
                <w:highlight w:val="none"/>
                <w:lang w:eastAsia="zh-CN"/>
              </w:rPr>
              <w:t>谈判</w:t>
            </w:r>
            <w:r>
              <w:rPr>
                <w:rFonts w:hint="eastAsia" w:ascii="仿宋" w:hAnsi="仿宋" w:eastAsia="仿宋" w:cs="仿宋"/>
                <w:color w:val="000000"/>
                <w:sz w:val="28"/>
                <w:szCs w:val="28"/>
                <w:highlight w:val="none"/>
              </w:rPr>
              <w:t>截止时间后二小时内。</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3、查询记录和留存方式：由采购人或者采购代理机构在</w:t>
            </w:r>
            <w:r>
              <w:rPr>
                <w:rFonts w:hint="eastAsia" w:ascii="仿宋" w:hAnsi="仿宋" w:eastAsia="仿宋" w:cs="仿宋"/>
                <w:color w:val="000000"/>
                <w:sz w:val="28"/>
                <w:szCs w:val="28"/>
                <w:highlight w:val="none"/>
                <w:lang w:eastAsia="zh-CN"/>
              </w:rPr>
              <w:t>谈判</w:t>
            </w:r>
            <w:r>
              <w:rPr>
                <w:rFonts w:hint="eastAsia" w:ascii="仿宋" w:hAnsi="仿宋" w:eastAsia="仿宋" w:cs="仿宋"/>
                <w:color w:val="000000"/>
                <w:sz w:val="28"/>
                <w:szCs w:val="28"/>
                <w:highlight w:val="none"/>
              </w:rPr>
              <w:t>现场进行查询，所有记录以现场查询结果为准，查询记录随其他采购文件一并保存。</w:t>
            </w:r>
          </w:p>
          <w:p>
            <w:pPr>
              <w:keepNext w:val="0"/>
              <w:keepLines w:val="0"/>
              <w:pageBreakBefore w:val="0"/>
              <w:widowControl w:val="0"/>
              <w:suppressLineNumbers w:val="0"/>
              <w:kinsoku/>
              <w:wordWrap w:val="0"/>
              <w:overflowPunct/>
              <w:topLinePunct w:val="0"/>
              <w:autoSpaceDE/>
              <w:autoSpaceDN/>
              <w:bidi w:val="0"/>
              <w:adjustRightInd/>
              <w:snapToGrid/>
              <w:spacing w:before="60" w:beforeAutospacing="0" w:after="60" w:afterAutospacing="0" w:line="500" w:lineRule="exact"/>
              <w:ind w:left="0" w:right="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4、使用规则：如果供应商在查询时间内已列入失信被执行人、重大税收违法案件当事人名单、政府采购严重违法失信行为记录名单，其响应无效。处罚期限届满的除外。</w:t>
            </w:r>
          </w:p>
        </w:tc>
      </w:tr>
    </w:tbl>
    <w:p>
      <w:pPr>
        <w:pStyle w:val="4"/>
        <w:pageBreakBefore w:val="0"/>
        <w:widowControl w:val="0"/>
        <w:kinsoku/>
        <w:wordWrap w:val="0"/>
        <w:overflowPunct/>
        <w:bidi w:val="0"/>
        <w:spacing w:before="240" w:after="240" w:line="520" w:lineRule="exact"/>
        <w:rPr>
          <w:rFonts w:hint="eastAsia" w:ascii="仿宋" w:hAnsi="仿宋" w:eastAsia="仿宋" w:cs="仿宋"/>
          <w:b/>
          <w:bCs/>
          <w:sz w:val="40"/>
          <w:szCs w:val="40"/>
          <w:highlight w:val="none"/>
        </w:rPr>
      </w:pPr>
      <w:r>
        <w:rPr>
          <w:rFonts w:hint="eastAsia" w:ascii="宋体" w:hAnsi="宋体" w:cs="宋体"/>
          <w:highlight w:val="none"/>
        </w:rPr>
        <w:br w:type="page"/>
      </w:r>
      <w:bookmarkStart w:id="15" w:name="_Toc18054"/>
      <w:bookmarkStart w:id="16" w:name="_Toc18221"/>
      <w:r>
        <w:rPr>
          <w:rFonts w:hint="eastAsia" w:ascii="仿宋" w:hAnsi="仿宋" w:eastAsia="仿宋" w:cs="仿宋"/>
          <w:b/>
          <w:bCs/>
          <w:sz w:val="40"/>
          <w:szCs w:val="40"/>
          <w:highlight w:val="none"/>
        </w:rPr>
        <w:t>第三部分  供应商须知</w:t>
      </w:r>
      <w:bookmarkEnd w:id="14"/>
      <w:bookmarkEnd w:id="15"/>
      <w:bookmarkEnd w:id="16"/>
    </w:p>
    <w:p>
      <w:pPr>
        <w:pageBreakBefore w:val="0"/>
        <w:widowControl w:val="0"/>
        <w:kinsoku/>
        <w:wordWrap w:val="0"/>
        <w:overflowPunct/>
        <w:bidi w:val="0"/>
        <w:spacing w:line="500" w:lineRule="exact"/>
        <w:outlineLvl w:val="1"/>
        <w:rPr>
          <w:rFonts w:hint="eastAsia" w:ascii="仿宋" w:hAnsi="仿宋" w:eastAsia="仿宋" w:cs="仿宋"/>
          <w:b/>
          <w:sz w:val="28"/>
          <w:szCs w:val="28"/>
          <w:highlight w:val="none"/>
        </w:rPr>
      </w:pPr>
      <w:bookmarkStart w:id="17" w:name="_Toc608"/>
      <w:bookmarkStart w:id="18" w:name="_Toc9822"/>
      <w:bookmarkStart w:id="19" w:name="_Toc3571"/>
      <w:r>
        <w:rPr>
          <w:rFonts w:hint="eastAsia" w:ascii="仿宋" w:hAnsi="仿宋" w:eastAsia="仿宋" w:cs="仿宋"/>
          <w:sz w:val="28"/>
          <w:szCs w:val="28"/>
          <w:highlight w:val="none"/>
        </w:rPr>
        <w:t>一、</w:t>
      </w:r>
      <w:r>
        <w:rPr>
          <w:rFonts w:hint="eastAsia" w:ascii="仿宋" w:hAnsi="仿宋" w:eastAsia="仿宋" w:cs="仿宋"/>
          <w:b/>
          <w:sz w:val="28"/>
          <w:szCs w:val="28"/>
          <w:highlight w:val="none"/>
        </w:rPr>
        <w:t>名词解释</w:t>
      </w:r>
      <w:bookmarkEnd w:id="17"/>
      <w:bookmarkEnd w:id="18"/>
      <w:bookmarkEnd w:id="19"/>
    </w:p>
    <w:p>
      <w:pPr>
        <w:pageBreakBefore w:val="0"/>
        <w:widowControl w:val="0"/>
        <w:kinsoku/>
        <w:wordWrap w:val="0"/>
        <w:overflowPunct/>
        <w:bidi w:val="0"/>
        <w:spacing w:line="500" w:lineRule="exact"/>
        <w:ind w:firstLine="686" w:firstLineChars="245"/>
        <w:rPr>
          <w:rFonts w:hint="eastAsia" w:ascii="仿宋" w:hAnsi="仿宋" w:eastAsia="仿宋" w:cs="仿宋"/>
          <w:bCs/>
          <w:sz w:val="28"/>
          <w:szCs w:val="28"/>
          <w:highlight w:val="none"/>
        </w:rPr>
      </w:pPr>
      <w:r>
        <w:rPr>
          <w:rFonts w:hint="eastAsia" w:ascii="仿宋" w:hAnsi="仿宋" w:eastAsia="仿宋" w:cs="仿宋"/>
          <w:bCs/>
          <w:sz w:val="28"/>
          <w:szCs w:val="28"/>
          <w:highlight w:val="none"/>
        </w:rPr>
        <w:t>1、采购人: 西安市公安局交通警察支队长安大队</w:t>
      </w:r>
    </w:p>
    <w:p>
      <w:pPr>
        <w:pageBreakBefore w:val="0"/>
        <w:widowControl w:val="0"/>
        <w:kinsoku/>
        <w:wordWrap w:val="0"/>
        <w:overflowPunct/>
        <w:bidi w:val="0"/>
        <w:spacing w:line="500" w:lineRule="exact"/>
        <w:ind w:firstLine="686" w:firstLineChars="245"/>
        <w:rPr>
          <w:rFonts w:hint="eastAsia" w:ascii="仿宋" w:hAnsi="仿宋" w:eastAsia="仿宋" w:cs="仿宋"/>
          <w:bCs/>
          <w:sz w:val="28"/>
          <w:szCs w:val="28"/>
          <w:highlight w:val="none"/>
        </w:rPr>
      </w:pPr>
      <w:r>
        <w:rPr>
          <w:rFonts w:hint="eastAsia" w:ascii="仿宋" w:hAnsi="仿宋" w:eastAsia="仿宋" w:cs="仿宋"/>
          <w:bCs/>
          <w:sz w:val="28"/>
          <w:szCs w:val="28"/>
          <w:highlight w:val="none"/>
        </w:rPr>
        <w:t>2、采购代理机构：陕西瑞琪工程咨询有限公司</w:t>
      </w:r>
    </w:p>
    <w:p>
      <w:pPr>
        <w:pageBreakBefore w:val="0"/>
        <w:widowControl w:val="0"/>
        <w:kinsoku/>
        <w:wordWrap w:val="0"/>
        <w:overflowPunct/>
        <w:bidi w:val="0"/>
        <w:spacing w:line="500" w:lineRule="exact"/>
        <w:ind w:firstLine="686" w:firstLineChars="245"/>
        <w:rPr>
          <w:rFonts w:hint="eastAsia" w:ascii="仿宋" w:hAnsi="仿宋" w:eastAsia="仿宋" w:cs="仿宋"/>
          <w:bCs/>
          <w:sz w:val="28"/>
          <w:szCs w:val="28"/>
          <w:highlight w:val="none"/>
        </w:rPr>
      </w:pPr>
      <w:r>
        <w:rPr>
          <w:rFonts w:hint="eastAsia" w:ascii="仿宋" w:hAnsi="仿宋" w:eastAsia="仿宋" w:cs="仿宋"/>
          <w:bCs/>
          <w:sz w:val="28"/>
          <w:szCs w:val="28"/>
          <w:highlight w:val="none"/>
        </w:rPr>
        <w:t>3、监督管理</w:t>
      </w:r>
      <w:r>
        <w:rPr>
          <w:rFonts w:hint="eastAsia" w:ascii="仿宋" w:hAnsi="仿宋" w:eastAsia="仿宋" w:cs="仿宋"/>
          <w:bCs/>
          <w:sz w:val="28"/>
          <w:szCs w:val="28"/>
          <w:highlight w:val="none"/>
          <w:lang w:val="en-US" w:eastAsia="zh-CN"/>
        </w:rPr>
        <w:t>机构</w:t>
      </w:r>
      <w:r>
        <w:rPr>
          <w:rFonts w:hint="eastAsia" w:ascii="仿宋" w:hAnsi="仿宋" w:eastAsia="仿宋" w:cs="仿宋"/>
          <w:bCs/>
          <w:sz w:val="28"/>
          <w:szCs w:val="28"/>
          <w:highlight w:val="none"/>
        </w:rPr>
        <w:t>：</w:t>
      </w:r>
      <w:r>
        <w:rPr>
          <w:rFonts w:hint="eastAsia" w:ascii="仿宋" w:hAnsi="仿宋" w:eastAsia="仿宋" w:cs="仿宋"/>
          <w:sz w:val="28"/>
          <w:szCs w:val="28"/>
          <w:highlight w:val="none"/>
        </w:rPr>
        <w:t>西安市长安区财政局</w:t>
      </w:r>
    </w:p>
    <w:p>
      <w:pPr>
        <w:pageBreakBefore w:val="0"/>
        <w:widowControl w:val="0"/>
        <w:kinsoku/>
        <w:wordWrap w:val="0"/>
        <w:overflowPunct/>
        <w:bidi w:val="0"/>
        <w:spacing w:line="500" w:lineRule="exact"/>
        <w:ind w:firstLine="686" w:firstLineChars="245"/>
        <w:rPr>
          <w:rFonts w:hint="eastAsia" w:ascii="仿宋" w:hAnsi="仿宋" w:eastAsia="仿宋" w:cs="仿宋"/>
          <w:b/>
          <w:sz w:val="28"/>
          <w:szCs w:val="28"/>
          <w:highlight w:val="none"/>
        </w:rPr>
      </w:pPr>
      <w:r>
        <w:rPr>
          <w:rFonts w:hint="eastAsia" w:ascii="仿宋" w:hAnsi="仿宋" w:eastAsia="仿宋" w:cs="仿宋"/>
          <w:bCs/>
          <w:sz w:val="28"/>
          <w:szCs w:val="28"/>
          <w:highlight w:val="none"/>
        </w:rPr>
        <w:t>4、供应商：是指响应谈判、参加谈判</w:t>
      </w:r>
      <w:r>
        <w:rPr>
          <w:rFonts w:hint="eastAsia" w:ascii="仿宋" w:hAnsi="仿宋" w:eastAsia="仿宋" w:cs="仿宋"/>
          <w:sz w:val="28"/>
          <w:szCs w:val="28"/>
          <w:highlight w:val="none"/>
        </w:rPr>
        <w:t>竞争的法人、其他组织或自然人</w:t>
      </w:r>
    </w:p>
    <w:p>
      <w:pPr>
        <w:pageBreakBefore w:val="0"/>
        <w:widowControl w:val="0"/>
        <w:kinsoku/>
        <w:wordWrap w:val="0"/>
        <w:overflowPunct/>
        <w:bidi w:val="0"/>
        <w:spacing w:line="500" w:lineRule="exact"/>
        <w:outlineLvl w:val="1"/>
        <w:rPr>
          <w:rFonts w:hint="eastAsia" w:ascii="仿宋" w:hAnsi="仿宋" w:eastAsia="仿宋" w:cs="仿宋"/>
          <w:b/>
          <w:sz w:val="28"/>
          <w:szCs w:val="28"/>
          <w:highlight w:val="none"/>
        </w:rPr>
      </w:pPr>
      <w:bookmarkStart w:id="20" w:name="_Toc23920"/>
      <w:bookmarkStart w:id="21" w:name="_Toc28557"/>
      <w:bookmarkStart w:id="22" w:name="_Toc3908"/>
      <w:r>
        <w:rPr>
          <w:rFonts w:hint="eastAsia" w:ascii="仿宋" w:hAnsi="仿宋" w:eastAsia="仿宋" w:cs="仿宋"/>
          <w:b/>
          <w:sz w:val="28"/>
          <w:szCs w:val="28"/>
          <w:highlight w:val="none"/>
        </w:rPr>
        <w:t>二、竞争性谈判文件</w:t>
      </w:r>
      <w:bookmarkEnd w:id="20"/>
      <w:bookmarkEnd w:id="21"/>
      <w:bookmarkEnd w:id="22"/>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rPr>
        <w:t>本项目竞争性谈判文件根据《中华人民共和国政府采购法》及《中华人民共和国政府采购法实施条例》等相关法律法规进行编写。</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本采购项目需要落实的政府采购政策有：</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《政府采购促进中小企业发展管理办法》（财库〔2020〕46号）；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《财政部司法部关于政府采购支持监狱企业发展有关问题的通知》（财库〔2014〕68号）；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《国务院办公厅关于建立政府强制采购节能产品制度的通知》（国办发〔2007〕51号）；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《节能</w:t>
      </w:r>
      <w:r>
        <w:rPr>
          <w:rFonts w:hint="eastAsia" w:ascii="仿宋" w:hAnsi="仿宋" w:eastAsia="仿宋" w:cs="仿宋"/>
          <w:bCs/>
          <w:sz w:val="28"/>
          <w:szCs w:val="28"/>
          <w:highlight w:val="none"/>
          <w:lang w:val="en-US" w:eastAsia="zh-CN"/>
        </w:rPr>
        <w:t>产品</w:t>
      </w:r>
      <w:r>
        <w:rPr>
          <w:rFonts w:hint="eastAsia" w:ascii="仿宋" w:hAnsi="仿宋" w:eastAsia="仿宋" w:cs="仿宋"/>
          <w:sz w:val="28"/>
          <w:szCs w:val="28"/>
          <w:highlight w:val="none"/>
        </w:rPr>
        <w:t>政府采购实施意见》（财库[2004]185号）；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《环境标志产品政府采购实施的意见》（财库[2006]90号）；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《关于促进残疾人就业政府采购政策的通知》（财库[2017]141号）；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《财政部发展改革委生态环境部市场监管总局关于调整优化节能产品、环境</w:t>
      </w:r>
      <w:r>
        <w:rPr>
          <w:rFonts w:hint="eastAsia" w:ascii="仿宋" w:hAnsi="仿宋" w:eastAsia="仿宋" w:cs="仿宋"/>
          <w:bCs/>
          <w:sz w:val="28"/>
          <w:szCs w:val="28"/>
          <w:highlight w:val="none"/>
          <w:lang w:val="en-US" w:eastAsia="zh-CN"/>
        </w:rPr>
        <w:t>标志</w:t>
      </w:r>
      <w:r>
        <w:rPr>
          <w:rFonts w:hint="eastAsia" w:ascii="仿宋" w:hAnsi="仿宋" w:eastAsia="仿宋" w:cs="仿宋"/>
          <w:sz w:val="28"/>
          <w:szCs w:val="28"/>
          <w:highlight w:val="none"/>
        </w:rPr>
        <w:t>产品政府采购执行机制的通知》（财库〔2019〕9号）；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《财政部国务院扶贫办关于运用政府采购政策支持脱贫攻坚的通知》（财库〔2019〕27号）；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w:t>
      </w:r>
      <w:r>
        <w:rPr>
          <w:rFonts w:hint="eastAsia" w:ascii="仿宋" w:hAnsi="仿宋" w:eastAsia="仿宋" w:cs="仿宋"/>
          <w:bCs/>
          <w:sz w:val="28"/>
          <w:szCs w:val="28"/>
          <w:highlight w:val="none"/>
          <w:lang w:val="en-US" w:eastAsia="zh-CN"/>
        </w:rPr>
        <w:t>关于</w:t>
      </w:r>
      <w:r>
        <w:rPr>
          <w:rFonts w:hint="eastAsia" w:ascii="仿宋" w:hAnsi="仿宋" w:eastAsia="仿宋" w:cs="仿宋"/>
          <w:sz w:val="28"/>
          <w:szCs w:val="28"/>
          <w:highlight w:val="none"/>
        </w:rPr>
        <w:t>政府采购优先购买福利性企业产品和服务的意见》（陕民发（2015）1号）；</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w:t>
      </w:r>
      <w:r>
        <w:rPr>
          <w:rFonts w:hint="eastAsia" w:ascii="仿宋" w:hAnsi="仿宋" w:eastAsia="仿宋" w:cs="仿宋"/>
          <w:bCs/>
          <w:sz w:val="28"/>
          <w:szCs w:val="28"/>
          <w:highlight w:val="none"/>
          <w:lang w:val="en-US" w:eastAsia="zh-CN"/>
        </w:rPr>
        <w:t>陕西省</w:t>
      </w:r>
      <w:r>
        <w:rPr>
          <w:rFonts w:hint="eastAsia" w:ascii="仿宋" w:hAnsi="仿宋" w:eastAsia="仿宋" w:cs="仿宋"/>
          <w:sz w:val="28"/>
          <w:szCs w:val="28"/>
          <w:highlight w:val="none"/>
        </w:rPr>
        <w:t>中小企业政府采购信用融资办法》（陕财办采〔2018〕23号）；《</w:t>
      </w:r>
      <w:r>
        <w:rPr>
          <w:rFonts w:hint="eastAsia" w:ascii="仿宋" w:hAnsi="仿宋" w:eastAsia="仿宋" w:cs="仿宋"/>
          <w:bCs/>
          <w:sz w:val="28"/>
          <w:szCs w:val="28"/>
          <w:highlight w:val="none"/>
          <w:lang w:val="en-US" w:eastAsia="zh-CN"/>
        </w:rPr>
        <w:t>西安市</w:t>
      </w:r>
      <w:r>
        <w:rPr>
          <w:rFonts w:hint="eastAsia" w:ascii="仿宋" w:hAnsi="仿宋" w:eastAsia="仿宋" w:cs="仿宋"/>
          <w:sz w:val="28"/>
          <w:szCs w:val="28"/>
          <w:highlight w:val="none"/>
        </w:rPr>
        <w:t>长安区财政局关于进一步做好政采贷工作的通知》；</w:t>
      </w:r>
    </w:p>
    <w:p>
      <w:pPr>
        <w:pageBreakBefore w:val="0"/>
        <w:widowControl w:val="0"/>
        <w:kinsoku/>
        <w:wordWrap w:val="0"/>
        <w:overflowPunct/>
        <w:bidi w:val="0"/>
        <w:spacing w:line="500" w:lineRule="exact"/>
        <w:ind w:firstLine="686" w:firstLineChars="245"/>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其他需要落实的政府采购政策。</w:t>
      </w:r>
    </w:p>
    <w:p>
      <w:pPr>
        <w:keepNext w:val="0"/>
        <w:keepLines w:val="0"/>
        <w:pageBreakBefore w:val="0"/>
        <w:widowControl w:val="0"/>
        <w:kinsoku/>
        <w:wordWrap w:val="0"/>
        <w:overflowPunct/>
        <w:topLinePunct w:val="0"/>
        <w:autoSpaceDE w:val="0"/>
        <w:autoSpaceDN w:val="0"/>
        <w:bidi w:val="0"/>
        <w:adjustRightInd w:val="0"/>
        <w:snapToGrid w:val="0"/>
        <w:spacing w:line="520" w:lineRule="exact"/>
        <w:ind w:firstLine="560" w:firstLineChars="200"/>
        <w:textAlignment w:val="auto"/>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供应商落实政府采购优惠政策：</w:t>
      </w:r>
    </w:p>
    <w:p>
      <w:pPr>
        <w:keepNext w:val="0"/>
        <w:keepLines w:val="0"/>
        <w:pageBreakBefore w:val="0"/>
        <w:widowControl w:val="0"/>
        <w:kinsoku/>
        <w:wordWrap w:val="0"/>
        <w:overflowPunct/>
        <w:topLinePunct w:val="0"/>
        <w:autoSpaceDE w:val="0"/>
        <w:autoSpaceDN w:val="0"/>
        <w:bidi w:val="0"/>
        <w:adjustRightInd w:val="0"/>
        <w:snapToGrid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2-1、中小企业落实政府采购政策</w:t>
      </w:r>
    </w:p>
    <w:p>
      <w:pPr>
        <w:keepNext w:val="0"/>
        <w:keepLines w:val="0"/>
        <w:pageBreakBefore w:val="0"/>
        <w:widowControl w:val="0"/>
        <w:kinsoku/>
        <w:wordWrap w:val="0"/>
        <w:overflowPunct/>
        <w:topLinePunct w:val="0"/>
        <w:autoSpaceDE w:val="0"/>
        <w:autoSpaceDN w:val="0"/>
        <w:bidi w:val="0"/>
        <w:adjustRightInd w:val="0"/>
        <w:snapToGrid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（1）中小企业应符合工信部联企业[2011]300号文件规定，采购活动执行《政府采购促进中小企业发展暂行办法》的规定。</w:t>
      </w:r>
    </w:p>
    <w:p>
      <w:pPr>
        <w:keepNext w:val="0"/>
        <w:keepLines w:val="0"/>
        <w:pageBreakBefore w:val="0"/>
        <w:widowControl w:val="0"/>
        <w:kinsoku/>
        <w:wordWrap w:val="0"/>
        <w:overflowPunct/>
        <w:topLinePunct w:val="0"/>
        <w:autoSpaceDE w:val="0"/>
        <w:autoSpaceDN w:val="0"/>
        <w:bidi w:val="0"/>
        <w:adjustRightInd w:val="0"/>
        <w:snapToGrid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（2）投标供应商出具《中小企业声明函》。</w:t>
      </w:r>
    </w:p>
    <w:p>
      <w:pPr>
        <w:keepNext w:val="0"/>
        <w:keepLines w:val="0"/>
        <w:pageBreakBefore w:val="0"/>
        <w:widowControl w:val="0"/>
        <w:kinsoku/>
        <w:wordWrap w:val="0"/>
        <w:overflowPunct/>
        <w:topLinePunct w:val="0"/>
        <w:autoSpaceDE w:val="0"/>
        <w:autoSpaceDN w:val="0"/>
        <w:bidi w:val="0"/>
        <w:adjustRightInd w:val="0"/>
        <w:snapToGrid w:val="0"/>
        <w:spacing w:line="520" w:lineRule="exact"/>
        <w:ind w:firstLine="560" w:firstLineChars="200"/>
        <w:textAlignment w:val="auto"/>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2-2、</w:t>
      </w:r>
      <w:r>
        <w:rPr>
          <w:rFonts w:hint="eastAsia" w:ascii="仿宋" w:hAnsi="仿宋" w:eastAsia="仿宋" w:cs="仿宋"/>
          <w:sz w:val="28"/>
          <w:szCs w:val="28"/>
          <w:highlight w:val="none"/>
          <w:lang w:val="zh-CN"/>
        </w:rPr>
        <w:t>监狱和戒毒企业应符合《财政部</w:t>
      </w:r>
      <w:r>
        <w:rPr>
          <w:rFonts w:hint="eastAsia" w:ascii="仿宋" w:hAnsi="仿宋" w:eastAsia="仿宋" w:cs="仿宋"/>
          <w:sz w:val="28"/>
          <w:szCs w:val="28"/>
          <w:highlight w:val="none"/>
        </w:rPr>
        <w:t>司法部关于政府采购支持监狱企业发展有关问题的通知》--财库〔2014〕68号</w:t>
      </w:r>
      <w:r>
        <w:rPr>
          <w:rFonts w:hint="eastAsia" w:ascii="仿宋" w:hAnsi="仿宋" w:eastAsia="仿宋" w:cs="仿宋"/>
          <w:sz w:val="28"/>
          <w:szCs w:val="28"/>
          <w:highlight w:val="none"/>
          <w:lang w:val="zh-CN"/>
        </w:rPr>
        <w:t>，并提供由省级以上监狱管理局、戒毒管理局（含新疆生产建设兵团）出具的属于监狱企业的证明。残疾人福利性单位应符合《财政部、民政部、中国残疾人联合会关于促进残疾人就业政府采购政策的通知》（财库[2017]141号）文件规定，并提供《残疾人福利性单位声明函》。残疾人福利性单位属于小型、微型企业的，不重复享受政策。</w:t>
      </w:r>
    </w:p>
    <w:p>
      <w:pPr>
        <w:keepNext w:val="0"/>
        <w:keepLines w:val="0"/>
        <w:pageBreakBefore w:val="0"/>
        <w:widowControl w:val="0"/>
        <w:kinsoku/>
        <w:wordWrap w:val="0"/>
        <w:overflowPunct/>
        <w:topLinePunct w:val="0"/>
        <w:autoSpaceDE w:val="0"/>
        <w:autoSpaceDN w:val="0"/>
        <w:bidi w:val="0"/>
        <w:adjustRightInd w:val="0"/>
        <w:snapToGrid w:val="0"/>
        <w:spacing w:line="520" w:lineRule="exact"/>
        <w:ind w:firstLine="560" w:firstLineChars="200"/>
        <w:textAlignment w:val="auto"/>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2-3、投标供</w:t>
      </w:r>
      <w:r>
        <w:rPr>
          <w:rFonts w:hint="eastAsia" w:ascii="仿宋" w:hAnsi="仿宋" w:eastAsia="仿宋" w:cs="仿宋"/>
          <w:bCs/>
          <w:sz w:val="28"/>
          <w:szCs w:val="28"/>
          <w:highlight w:val="none"/>
        </w:rPr>
        <w:t>应商应如实提供以上文件，如存在虚假应标，将取消其投标资格。</w:t>
      </w:r>
    </w:p>
    <w:p>
      <w:pPr>
        <w:keepNext w:val="0"/>
        <w:keepLines w:val="0"/>
        <w:pageBreakBefore w:val="0"/>
        <w:widowControl w:val="0"/>
        <w:kinsoku/>
        <w:wordWrap w:val="0"/>
        <w:overflowPunct/>
        <w:topLinePunct w:val="0"/>
        <w:autoSpaceDE w:val="0"/>
        <w:autoSpaceDN w:val="0"/>
        <w:bidi w:val="0"/>
        <w:adjustRightInd w:val="0"/>
        <w:snapToGrid w:val="0"/>
        <w:spacing w:line="520" w:lineRule="exact"/>
        <w:ind w:firstLine="560" w:firstLineChars="200"/>
        <w:textAlignment w:val="auto"/>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投标产品政府采购政策：</w:t>
      </w:r>
    </w:p>
    <w:p>
      <w:pPr>
        <w:keepNext w:val="0"/>
        <w:keepLines w:val="0"/>
        <w:pageBreakBefore w:val="0"/>
        <w:widowControl w:val="0"/>
        <w:kinsoku/>
        <w:wordWrap w:val="0"/>
        <w:overflowPunct/>
        <w:topLinePunct w:val="0"/>
        <w:autoSpaceDE/>
        <w:autoSpaceDN/>
        <w:bidi w:val="0"/>
        <w:adjustRightInd/>
        <w:snapToGrid w:val="0"/>
        <w:spacing w:line="520" w:lineRule="exact"/>
        <w:ind w:firstLine="560" w:firstLineChars="20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3-1、节能产品</w:t>
      </w:r>
      <w:r>
        <w:rPr>
          <w:rFonts w:hint="eastAsia" w:ascii="仿宋" w:hAnsi="仿宋" w:eastAsia="仿宋" w:cs="仿宋"/>
          <w:sz w:val="28"/>
          <w:szCs w:val="28"/>
          <w:highlight w:val="none"/>
          <w:lang w:val="zh-CN"/>
        </w:rPr>
        <w:t>根据《国务院办公厅关于建立政府强制采购节能产品制度的通知》（国办发〔</w:t>
      </w:r>
      <w:r>
        <w:rPr>
          <w:rFonts w:hint="eastAsia" w:ascii="仿宋" w:hAnsi="仿宋" w:eastAsia="仿宋" w:cs="仿宋"/>
          <w:sz w:val="28"/>
          <w:szCs w:val="28"/>
          <w:highlight w:val="none"/>
          <w:lang w:val="en-US" w:eastAsia="zh-CN"/>
        </w:rPr>
        <w:t>2007</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lang w:val="en-US" w:eastAsia="zh-CN"/>
        </w:rPr>
        <w:t>51</w:t>
      </w:r>
      <w:r>
        <w:rPr>
          <w:rFonts w:hint="eastAsia" w:ascii="仿宋" w:hAnsi="仿宋" w:eastAsia="仿宋" w:cs="仿宋"/>
          <w:sz w:val="28"/>
          <w:szCs w:val="28"/>
          <w:highlight w:val="none"/>
          <w:lang w:val="zh-CN"/>
        </w:rPr>
        <w:t>号）的规定，以中国政府采购网（www.ccgp.gov.cn）公布的最新一期节能产品政府采购清单为准。</w:t>
      </w:r>
    </w:p>
    <w:p>
      <w:pPr>
        <w:keepNext w:val="0"/>
        <w:keepLines w:val="0"/>
        <w:pageBreakBefore w:val="0"/>
        <w:widowControl w:val="0"/>
        <w:kinsoku/>
        <w:wordWrap w:val="0"/>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3-2、环境标志产品</w:t>
      </w:r>
      <w:r>
        <w:rPr>
          <w:rFonts w:hint="eastAsia" w:ascii="仿宋" w:hAnsi="仿宋" w:eastAsia="仿宋" w:cs="仿宋"/>
          <w:sz w:val="28"/>
          <w:szCs w:val="28"/>
          <w:highlight w:val="none"/>
          <w:lang w:val="zh-CN"/>
        </w:rPr>
        <w:t>根据《环境标志产品政府采购实施的意见》</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zh-CN"/>
        </w:rPr>
        <w:t>财库</w:t>
      </w:r>
      <w:r>
        <w:rPr>
          <w:rFonts w:hint="eastAsia" w:ascii="仿宋" w:hAnsi="仿宋" w:eastAsia="仿宋" w:cs="仿宋"/>
          <w:sz w:val="28"/>
          <w:szCs w:val="28"/>
          <w:highlight w:val="none"/>
        </w:rPr>
        <w:t>[2006]90</w:t>
      </w:r>
      <w:r>
        <w:rPr>
          <w:rFonts w:hint="eastAsia" w:ascii="仿宋" w:hAnsi="仿宋" w:eastAsia="仿宋" w:cs="仿宋"/>
          <w:sz w:val="28"/>
          <w:szCs w:val="28"/>
          <w:highlight w:val="none"/>
          <w:lang w:val="zh-CN"/>
        </w:rPr>
        <w:t>号</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zh-CN"/>
        </w:rPr>
        <w:t>的规定</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zh-CN"/>
        </w:rPr>
        <w:t>以中国政府采购网</w:t>
      </w:r>
      <w:r>
        <w:rPr>
          <w:rFonts w:hint="eastAsia" w:ascii="仿宋" w:hAnsi="仿宋" w:eastAsia="仿宋" w:cs="仿宋"/>
          <w:sz w:val="28"/>
          <w:szCs w:val="28"/>
          <w:highlight w:val="none"/>
        </w:rPr>
        <w:t>（www.ccgp.gov.cn）</w:t>
      </w:r>
      <w:r>
        <w:rPr>
          <w:rFonts w:hint="eastAsia" w:ascii="仿宋" w:hAnsi="仿宋" w:eastAsia="仿宋" w:cs="仿宋"/>
          <w:sz w:val="28"/>
          <w:szCs w:val="28"/>
          <w:highlight w:val="none"/>
          <w:lang w:val="zh-CN"/>
        </w:rPr>
        <w:t>公布的最新一期环境标志产品政府采购清单为准。</w:t>
      </w:r>
    </w:p>
    <w:p>
      <w:pPr>
        <w:keepNext w:val="0"/>
        <w:keepLines w:val="0"/>
        <w:pageBreakBefore w:val="0"/>
        <w:widowControl w:val="0"/>
        <w:kinsoku/>
        <w:wordWrap w:val="0"/>
        <w:overflowPunct/>
        <w:topLinePunct w:val="0"/>
        <w:bidi w:val="0"/>
        <w:snapToGrid w:val="0"/>
        <w:spacing w:line="520" w:lineRule="exact"/>
        <w:ind w:firstLine="560" w:firstLineChars="200"/>
        <w:textAlignment w:val="auto"/>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3-3</w:t>
      </w:r>
      <w:r>
        <w:rPr>
          <w:rFonts w:hint="eastAsia" w:ascii="仿宋" w:hAnsi="仿宋" w:eastAsia="仿宋" w:cs="仿宋"/>
          <w:sz w:val="28"/>
          <w:szCs w:val="28"/>
          <w:highlight w:val="none"/>
          <w:lang w:val="zh-CN"/>
        </w:rPr>
        <w:t>、投标供应商在竞争性谈判响应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 </w:t>
      </w:r>
    </w:p>
    <w:p>
      <w:pPr>
        <w:keepNext w:val="0"/>
        <w:keepLines w:val="0"/>
        <w:pageBreakBefore w:val="0"/>
        <w:widowControl w:val="0"/>
        <w:kinsoku/>
        <w:wordWrap w:val="0"/>
        <w:overflowPunct/>
        <w:topLinePunct w:val="0"/>
        <w:bidi w:val="0"/>
        <w:snapToGrid w:val="0"/>
        <w:spacing w:line="520" w:lineRule="exact"/>
        <w:ind w:firstLine="560" w:firstLineChars="200"/>
        <w:textAlignment w:val="auto"/>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3-4</w:t>
      </w:r>
      <w:r>
        <w:rPr>
          <w:rFonts w:hint="eastAsia" w:ascii="仿宋" w:hAnsi="仿宋" w:eastAsia="仿宋" w:cs="仿宋"/>
          <w:sz w:val="28"/>
          <w:szCs w:val="28"/>
          <w:highlight w:val="none"/>
          <w:lang w:val="zh-CN"/>
        </w:rPr>
        <w:t>、若节能、环保、环境标志清单内的产品仅是构成投标产品的部件、组件或零件的，则该投标产品不享受鼓励优惠政策。</w:t>
      </w:r>
    </w:p>
    <w:p>
      <w:pPr>
        <w:keepNext w:val="0"/>
        <w:keepLines w:val="0"/>
        <w:pageBreakBefore w:val="0"/>
        <w:widowControl w:val="0"/>
        <w:kinsoku/>
        <w:wordWrap w:val="0"/>
        <w:overflowPunct/>
        <w:topLinePunct w:val="0"/>
        <w:bidi w:val="0"/>
        <w:snapToGrid w:val="0"/>
        <w:spacing w:line="520" w:lineRule="exact"/>
        <w:ind w:firstLine="560" w:firstLineChars="200"/>
        <w:textAlignment w:val="auto"/>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3-5</w:t>
      </w:r>
      <w:r>
        <w:rPr>
          <w:rFonts w:hint="eastAsia" w:ascii="仿宋" w:hAnsi="仿宋" w:eastAsia="仿宋" w:cs="仿宋"/>
          <w:sz w:val="28"/>
          <w:szCs w:val="28"/>
          <w:highlight w:val="none"/>
          <w:lang w:val="zh-CN"/>
        </w:rPr>
        <w:t>、同一标段的节能、环保、环境标志产品部分计分只对属于清单内的非强制类产品进行计分，强制类产品不给予计分。</w:t>
      </w:r>
    </w:p>
    <w:p>
      <w:pPr>
        <w:keepNext w:val="0"/>
        <w:keepLines w:val="0"/>
        <w:pageBreakBefore w:val="0"/>
        <w:widowControl w:val="0"/>
        <w:kinsoku/>
        <w:wordWrap w:val="0"/>
        <w:overflowPunct/>
        <w:topLinePunct w:val="0"/>
        <w:bidi w:val="0"/>
        <w:snapToGrid w:val="0"/>
        <w:spacing w:line="520" w:lineRule="exact"/>
        <w:ind w:firstLine="560" w:firstLineChars="200"/>
        <w:textAlignment w:val="auto"/>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3-6</w:t>
      </w:r>
      <w:r>
        <w:rPr>
          <w:rFonts w:hint="eastAsia" w:ascii="仿宋" w:hAnsi="仿宋" w:eastAsia="仿宋" w:cs="仿宋"/>
          <w:sz w:val="28"/>
          <w:szCs w:val="28"/>
          <w:highlight w:val="none"/>
          <w:lang w:val="zh-CN"/>
        </w:rPr>
        <w:t>、节能、环保、环境标志产品不重复计分；同时列入国家级清单和省级清单的产品不重复计分。</w:t>
      </w:r>
    </w:p>
    <w:p>
      <w:pPr>
        <w:keepNext w:val="0"/>
        <w:keepLines w:val="0"/>
        <w:pageBreakBefore w:val="0"/>
        <w:widowControl w:val="0"/>
        <w:kinsoku/>
        <w:wordWrap w:val="0"/>
        <w:overflowPunct/>
        <w:topLinePunct w:val="0"/>
        <w:bidi w:val="0"/>
        <w:snapToGrid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3-7</w:t>
      </w:r>
      <w:r>
        <w:rPr>
          <w:rFonts w:hint="eastAsia" w:ascii="仿宋" w:hAnsi="仿宋" w:eastAsia="仿宋" w:cs="仿宋"/>
          <w:sz w:val="28"/>
          <w:szCs w:val="28"/>
          <w:highlight w:val="none"/>
          <w:lang w:val="zh-CN"/>
        </w:rPr>
        <w:t>、获得上述认证的产品在投标时应提供有效证明材料。</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4、竞争性谈判文件由竞争性谈判文件目录所有内容组成。</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5、采购人在谈判截止时间3个工作日前，可以以书面形式对竞争性谈判文件进行必要的澄清或修改，其内容均为竞争性谈判文件的组成部分，并对采购人及供应商起约束作用。</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6、供应商应详细阅读竞争性谈判文件所有的事项、条款和规范要求等，在竞争性谈判响应文件中对竞争性谈判文件的各方面都做出实质性的响应，按照竞争性谈判文件的要求提交全部资料。若供应商的竞争性谈判响应文件未按竞争性谈判文件要求提交全部资料，或没有对竞争性谈判文件做出实质性响应，将导致谈判被拒绝。</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7、竞争性谈判文件的澄清或修改：</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7-1、供应商对竞争性谈判文件如有疑问要求澄清，或认为有必要与采购人进行技术交流，应于谈判截止时间3日前，以书面形式通知采购代理机构，采购代理机构以书面形式予以答复。</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7-2、无论是采购代理机构主动对竞争性谈判文件进行必要的修改，或根据供应商的要求对竞争性谈判文件做出的澄清，都将于谈判截止时间3日前以书面形式发送给所有合格的供应商。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7-3、竞争性谈判文件的澄清或修改内容均以书面形式明确的内容为准。当竞争性谈判文件的澄清、修改、补充等在同一内容的表述上不一致时，以最后发出的书面文件为准。所有补充文件将作为竞争性谈判文件的组成部分，对所有供应商具有约束力。</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7-4、根据采购工作进展实际情况，采购人可酌情延长递交竞争性谈判响应文件的截止时间，若延长将另行以书面形式通知各供应商。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8、供应商必须从采购代理机构购买竞争性谈判文件，供应商自行转让或复制竞争性谈判文件视为无效。竞争性谈判文件售后不退，仅作为本次采购使用。</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9、竞争性谈判文件的解释权归采购代理机构所有。如发现竞争性谈判文件内容中与现行的法律法规不相符合的情况，以现行的法律法规为准；竞争性谈判文件中某个或多个条款依我国法律、法规被认定为非法、无效或不可执行的</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该无效条款的无效、失效和不可执行</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不影响亦不损害其他条款的有效性、生效性和可执行性。</w:t>
      </w:r>
    </w:p>
    <w:p>
      <w:pPr>
        <w:keepNext w:val="0"/>
        <w:keepLines w:val="0"/>
        <w:pageBreakBefore w:val="0"/>
        <w:widowControl w:val="0"/>
        <w:kinsoku/>
        <w:wordWrap w:val="0"/>
        <w:overflowPunct/>
        <w:topLinePunct w:val="0"/>
        <w:bidi w:val="0"/>
        <w:spacing w:line="520" w:lineRule="exact"/>
        <w:ind w:firstLine="138" w:firstLineChars="49"/>
        <w:textAlignment w:val="auto"/>
        <w:outlineLvl w:val="1"/>
        <w:rPr>
          <w:rFonts w:hint="eastAsia" w:ascii="仿宋" w:hAnsi="仿宋" w:eastAsia="仿宋" w:cs="仿宋"/>
          <w:b/>
          <w:sz w:val="28"/>
          <w:szCs w:val="28"/>
          <w:highlight w:val="none"/>
        </w:rPr>
      </w:pPr>
      <w:bookmarkStart w:id="23" w:name="_Toc25716"/>
      <w:bookmarkStart w:id="24" w:name="_Toc3063"/>
      <w:bookmarkStart w:id="25" w:name="_Toc29751"/>
      <w:r>
        <w:rPr>
          <w:rFonts w:hint="eastAsia" w:ascii="仿宋" w:hAnsi="仿宋" w:eastAsia="仿宋" w:cs="仿宋"/>
          <w:b/>
          <w:sz w:val="28"/>
          <w:szCs w:val="28"/>
          <w:highlight w:val="none"/>
        </w:rPr>
        <w:t>三、竞争性谈判响应文件</w:t>
      </w:r>
      <w:bookmarkEnd w:id="23"/>
      <w:bookmarkEnd w:id="24"/>
      <w:bookmarkEnd w:id="25"/>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bCs/>
          <w:sz w:val="28"/>
          <w:szCs w:val="28"/>
          <w:highlight w:val="none"/>
        </w:rPr>
      </w:pPr>
      <w:r>
        <w:rPr>
          <w:rFonts w:hint="eastAsia" w:ascii="仿宋" w:hAnsi="仿宋" w:eastAsia="仿宋" w:cs="仿宋"/>
          <w:bCs/>
          <w:sz w:val="28"/>
          <w:szCs w:val="28"/>
          <w:highlight w:val="none"/>
        </w:rPr>
        <w:t>1、“信用中国”网站（www.creditchina.gov.cn）和“中国政府采购网”（www.ccgp.gov.cn）为供应商信用信息查询渠道，如果供应商被查实在投标截止时间前已列入失信被执行人、重大税收违法案件当事人名单、政府采购严重违法失信行为记录名单，其投标为无效。</w:t>
      </w:r>
    </w:p>
    <w:p>
      <w:pPr>
        <w:pStyle w:val="61"/>
        <w:keepNext w:val="0"/>
        <w:keepLines w:val="0"/>
        <w:pageBreakBefore w:val="0"/>
        <w:widowControl w:val="0"/>
        <w:kinsoku/>
        <w:wordWrap w:val="0"/>
        <w:overflowPunct/>
        <w:topLinePunct w:val="0"/>
        <w:bidi w:val="0"/>
        <w:spacing w:line="520" w:lineRule="exact"/>
        <w:ind w:firstLine="56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2、供应商须保证资质文件的真实、合法、有效，因资质产生的一切纠纷由供应商承担法律责任；</w:t>
      </w:r>
      <w:r>
        <w:rPr>
          <w:rFonts w:hint="eastAsia" w:ascii="仿宋" w:hAnsi="仿宋" w:eastAsia="仿宋" w:cs="仿宋"/>
          <w:kern w:val="0"/>
          <w:sz w:val="28"/>
          <w:szCs w:val="28"/>
          <w:highlight w:val="none"/>
        </w:rPr>
        <w:t>单位负责人为同一人或者存在控股、管理关系的不同单位，不得参加同一标段投标或者未划分标段的同一招标项目。</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3、供应商资格要求：供应商应符合《中华人民共和国政府采购法》第二十二条中的规定。</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供应商应是独立承担民事责任能力的法人、其他组织或自然人，法人、其他组织须提供合法有效的营业执照</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或事业单位法人证书</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等证明资料，自然人须提供身份证明；</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供应商提供20</w:t>
      </w:r>
      <w:r>
        <w:rPr>
          <w:rFonts w:hint="eastAsia" w:ascii="仿宋" w:hAnsi="仿宋" w:eastAsia="仿宋" w:cs="仿宋"/>
          <w:sz w:val="28"/>
          <w:szCs w:val="28"/>
          <w:highlight w:val="none"/>
          <w:lang w:val="en-US" w:eastAsia="zh-CN"/>
        </w:rPr>
        <w:t>20</w:t>
      </w:r>
      <w:r>
        <w:rPr>
          <w:rFonts w:hint="eastAsia" w:ascii="仿宋" w:hAnsi="仿宋" w:eastAsia="仿宋" w:cs="仿宋"/>
          <w:sz w:val="28"/>
          <w:szCs w:val="28"/>
          <w:highlight w:val="none"/>
        </w:rPr>
        <w:t>年或202</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年度经审计的财务报告（成立时间至开标时间不足一年的可提供成立后任意时段的资产负债表）或开户银行出具的资信证明或政府采购专业担保机构出具的投标担保函</w:t>
      </w:r>
      <w:r>
        <w:rPr>
          <w:rFonts w:hint="eastAsia" w:ascii="仿宋" w:hAnsi="仿宋" w:eastAsia="仿宋" w:cs="仿宋"/>
          <w:sz w:val="28"/>
          <w:szCs w:val="28"/>
          <w:highlight w:val="none"/>
          <w:lang w:eastAsia="zh-CN"/>
        </w:rPr>
        <w:t>；</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供应商提供开标前六个月内任意一个月的税收缴纳凭证；依法免税的应提供相关文件证明；</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供应商提供开标前六个月内任意一个月已缴纳的社会保障资金缴存单据或社保机构开具的社会保险参保缴费情况证明；依法不需要缴纳社会保障资金的应提供相关文件证明；</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提供履行合同所必需的设备和专业技术能力的书面声明</w:t>
      </w:r>
      <w:r>
        <w:rPr>
          <w:rFonts w:hint="eastAsia" w:ascii="仿宋" w:hAnsi="仿宋" w:eastAsia="仿宋" w:cs="仿宋"/>
          <w:sz w:val="28"/>
          <w:szCs w:val="28"/>
          <w:highlight w:val="none"/>
          <w:lang w:eastAsia="zh-CN"/>
        </w:rPr>
        <w:t>；</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提供参加政府采购活动前三年内在经营活动中没有重大违法记录的书面声明；</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（7）提供授权委托书及被授权人身份证（法定代表人或自然人直接投标的只须提交其身份证）；</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8）供应商未被列入“信用中国”网站（www.creditchina.gov.cn）“记录失信被执行人或重大税收违法案件当事人名单或政府采购严重违法失信行为”记录名单。同时，不处于中国政府采购网（www.ccgp.gov.cn）“政府采购不良行为记录”中的禁止参加政府采购活动期间；</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（9）本项目不接受联合体投标；</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（10）单位负责人为同一人或者存在直接控股、管理关系的不同供应商，不得参加同一合同项下的政府采购活动。</w:t>
      </w:r>
    </w:p>
    <w:p>
      <w:pPr>
        <w:keepNext w:val="0"/>
        <w:keepLines w:val="0"/>
        <w:pageBreakBefore w:val="0"/>
        <w:widowControl w:val="0"/>
        <w:kinsoku/>
        <w:wordWrap w:val="0"/>
        <w:overflowPunct/>
        <w:topLinePunct w:val="0"/>
        <w:bidi w:val="0"/>
        <w:spacing w:line="520" w:lineRule="exact"/>
        <w:ind w:firstLine="562" w:firstLineChars="200"/>
        <w:textAlignment w:val="auto"/>
        <w:rPr>
          <w:rFonts w:hint="eastAsia" w:ascii="仿宋" w:hAnsi="仿宋" w:eastAsia="仿宋" w:cs="仿宋"/>
          <w:b/>
          <w:bCs/>
          <w:spacing w:val="-4"/>
          <w:sz w:val="28"/>
          <w:szCs w:val="28"/>
          <w:highlight w:val="none"/>
        </w:rPr>
      </w:pPr>
      <w:r>
        <w:rPr>
          <w:rFonts w:hint="eastAsia" w:ascii="仿宋" w:hAnsi="仿宋" w:eastAsia="仿宋" w:cs="仿宋"/>
          <w:b/>
          <w:bCs/>
          <w:kern w:val="0"/>
          <w:sz w:val="28"/>
          <w:szCs w:val="28"/>
          <w:highlight w:val="none"/>
        </w:rPr>
        <w:t>注：缺少任何一项或某项达不到谈判文件要求的均按无效文件处理。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、竞争性谈判响应文件的组成：</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-1、各供应商应根据竞争性谈判文件要求编制响应文件。</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-2、竞争性谈判响应文件应包括：</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-2-1.谈判函</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-2-2.谈判报价一览表</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-2-3.分项报价表</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-2-4.技术偏离表</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-2-5.商务偏离表</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-2-6.法人代表人授权书</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-2-7.资格证明文件</w:t>
      </w:r>
    </w:p>
    <w:p>
      <w:pPr>
        <w:keepNext w:val="0"/>
        <w:keepLines w:val="0"/>
        <w:pageBreakBefore w:val="0"/>
        <w:widowControl w:val="0"/>
        <w:tabs>
          <w:tab w:val="left" w:pos="5250"/>
        </w:tabs>
        <w:kinsoku/>
        <w:wordWrap w:val="0"/>
        <w:overflowPunct/>
        <w:topLinePunct w:val="0"/>
        <w:bidi w:val="0"/>
        <w:spacing w:line="520" w:lineRule="exact"/>
        <w:ind w:firstLine="565" w:firstLineChars="202"/>
        <w:jc w:val="left"/>
        <w:textAlignment w:val="auto"/>
        <w:rPr>
          <w:rFonts w:hint="eastAsia" w:ascii="仿宋" w:hAnsi="仿宋" w:eastAsia="仿宋" w:cs="仿宋"/>
          <w:sz w:val="28"/>
          <w:szCs w:val="28"/>
          <w:highlight w:val="none"/>
        </w:rPr>
      </w:pPr>
      <w:bookmarkStart w:id="26" w:name="_Toc27334"/>
      <w:r>
        <w:rPr>
          <w:rFonts w:ascii="仿宋" w:hAnsi="仿宋" w:eastAsia="仿宋" w:cs="仿宋"/>
          <w:sz w:val="28"/>
          <w:szCs w:val="28"/>
          <w:highlight w:val="none"/>
        </w:rPr>
        <w:t>4</w:t>
      </w:r>
      <w:r>
        <w:rPr>
          <w:rFonts w:hint="eastAsia" w:ascii="仿宋" w:hAnsi="仿宋" w:eastAsia="仿宋" w:cs="仿宋"/>
          <w:sz w:val="28"/>
          <w:szCs w:val="28"/>
          <w:highlight w:val="none"/>
        </w:rPr>
        <w:t>-2-8.具有履行合同所必需的设备和专业技术能力的说明及承诺</w:t>
      </w:r>
      <w:bookmarkEnd w:id="26"/>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-2-9.技术资料</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-2-10.售后服务</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-2-11.供应商认为有必要补充说明的事宜</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bCs/>
          <w:kern w:val="0"/>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-2-12.</w:t>
      </w:r>
      <w:r>
        <w:rPr>
          <w:rFonts w:hint="eastAsia" w:ascii="仿宋" w:hAnsi="仿宋" w:eastAsia="仿宋" w:cs="仿宋"/>
          <w:kern w:val="0"/>
          <w:sz w:val="28"/>
          <w:szCs w:val="28"/>
          <w:highlight w:val="none"/>
        </w:rPr>
        <w:t>供应商</w:t>
      </w:r>
      <w:r>
        <w:rPr>
          <w:rFonts w:hint="eastAsia" w:ascii="仿宋" w:hAnsi="仿宋" w:eastAsia="仿宋" w:cs="仿宋"/>
          <w:bCs/>
          <w:kern w:val="0"/>
          <w:sz w:val="28"/>
          <w:szCs w:val="28"/>
          <w:highlight w:val="none"/>
        </w:rPr>
        <w:t>拒绝政府采购领域商业贿赂承诺书</w:t>
      </w:r>
    </w:p>
    <w:p>
      <w:pPr>
        <w:keepNext w:val="0"/>
        <w:keepLines w:val="0"/>
        <w:pageBreakBefore w:val="0"/>
        <w:widowControl w:val="0"/>
        <w:kinsoku/>
        <w:wordWrap w:val="0"/>
        <w:overflowPunct/>
        <w:topLinePunct w:val="0"/>
        <w:bidi w:val="0"/>
        <w:spacing w:line="520" w:lineRule="exact"/>
        <w:ind w:firstLine="565" w:firstLineChars="202"/>
        <w:textAlignment w:val="auto"/>
        <w:rPr>
          <w:rFonts w:hint="eastAsia" w:ascii="仿宋" w:hAnsi="仿宋" w:eastAsia="仿宋" w:cs="仿宋"/>
          <w:sz w:val="28"/>
          <w:szCs w:val="28"/>
          <w:highlight w:val="none"/>
        </w:rPr>
      </w:pPr>
      <w:r>
        <w:rPr>
          <w:rFonts w:ascii="仿宋" w:hAnsi="仿宋" w:eastAsia="仿宋" w:cs="仿宋"/>
          <w:sz w:val="28"/>
          <w:szCs w:val="28"/>
          <w:highlight w:val="none"/>
        </w:rPr>
        <w:t>4</w:t>
      </w:r>
      <w:r>
        <w:rPr>
          <w:rFonts w:hint="eastAsia" w:ascii="仿宋" w:hAnsi="仿宋" w:eastAsia="仿宋" w:cs="仿宋"/>
          <w:sz w:val="28"/>
          <w:szCs w:val="28"/>
          <w:highlight w:val="none"/>
        </w:rPr>
        <w:t>-2-13.近3年内经营活动中无重大违法记录声明</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eastAsia="zh-CN"/>
        </w:rPr>
      </w:pPr>
      <w:r>
        <w:rPr>
          <w:rFonts w:ascii="仿宋" w:hAnsi="仿宋" w:eastAsia="仿宋" w:cs="仿宋"/>
          <w:sz w:val="28"/>
          <w:szCs w:val="28"/>
          <w:highlight w:val="none"/>
        </w:rPr>
        <w:t>5</w:t>
      </w:r>
      <w:r>
        <w:rPr>
          <w:rFonts w:hint="eastAsia" w:ascii="仿宋" w:hAnsi="仿宋" w:eastAsia="仿宋" w:cs="仿宋"/>
          <w:sz w:val="28"/>
          <w:szCs w:val="28"/>
          <w:highlight w:val="none"/>
        </w:rPr>
        <w:t>、必须根据竞争性谈判文件要求进行供货等</w:t>
      </w:r>
      <w:r>
        <w:rPr>
          <w:rFonts w:hint="eastAsia" w:ascii="仿宋" w:hAnsi="仿宋" w:eastAsia="仿宋" w:cs="仿宋"/>
          <w:sz w:val="28"/>
          <w:szCs w:val="28"/>
          <w:highlight w:val="none"/>
          <w:lang w:eastAsia="zh-CN"/>
        </w:rPr>
        <w:t>。</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eastAsia="zh-CN"/>
        </w:rPr>
      </w:pPr>
      <w:r>
        <w:rPr>
          <w:rFonts w:ascii="仿宋" w:hAnsi="仿宋" w:eastAsia="仿宋" w:cs="仿宋"/>
          <w:sz w:val="28"/>
          <w:szCs w:val="28"/>
          <w:highlight w:val="none"/>
        </w:rPr>
        <w:t>6</w:t>
      </w:r>
      <w:r>
        <w:rPr>
          <w:rFonts w:hint="eastAsia" w:ascii="仿宋" w:hAnsi="仿宋" w:eastAsia="仿宋" w:cs="仿宋"/>
          <w:sz w:val="28"/>
          <w:szCs w:val="28"/>
          <w:highlight w:val="none"/>
        </w:rPr>
        <w:t>、不得将本项目内容进行转包实施，一经发现，立即取消其成交资格，并承担由此引起的一切经济损失</w:t>
      </w:r>
      <w:r>
        <w:rPr>
          <w:rFonts w:hint="eastAsia" w:ascii="仿宋" w:hAnsi="仿宋" w:eastAsia="仿宋" w:cs="仿宋"/>
          <w:sz w:val="28"/>
          <w:szCs w:val="28"/>
          <w:highlight w:val="none"/>
          <w:lang w:eastAsia="zh-CN"/>
        </w:rPr>
        <w:t>。</w:t>
      </w:r>
    </w:p>
    <w:p>
      <w:pPr>
        <w:keepNext w:val="0"/>
        <w:keepLines w:val="0"/>
        <w:pageBreakBefore w:val="0"/>
        <w:widowControl w:val="0"/>
        <w:kinsoku/>
        <w:wordWrap w:val="0"/>
        <w:overflowPunct/>
        <w:topLinePunct w:val="0"/>
        <w:bidi w:val="0"/>
        <w:spacing w:line="520" w:lineRule="exact"/>
        <w:ind w:firstLine="548" w:firstLineChars="196"/>
        <w:textAlignment w:val="auto"/>
        <w:rPr>
          <w:rFonts w:hint="eastAsia" w:ascii="仿宋" w:hAnsi="仿宋" w:eastAsia="仿宋" w:cs="仿宋"/>
          <w:b/>
          <w:bCs/>
          <w:sz w:val="28"/>
          <w:szCs w:val="28"/>
          <w:highlight w:val="none"/>
        </w:rPr>
      </w:pPr>
      <w:r>
        <w:rPr>
          <w:rFonts w:ascii="仿宋" w:hAnsi="仿宋" w:eastAsia="仿宋" w:cs="仿宋"/>
          <w:sz w:val="28"/>
          <w:szCs w:val="28"/>
          <w:highlight w:val="none"/>
        </w:rPr>
        <w:t>7</w:t>
      </w:r>
      <w:r>
        <w:rPr>
          <w:rFonts w:hint="eastAsia" w:ascii="仿宋" w:hAnsi="仿宋" w:eastAsia="仿宋" w:cs="仿宋"/>
          <w:sz w:val="28"/>
          <w:szCs w:val="28"/>
          <w:highlight w:val="none"/>
        </w:rPr>
        <w:t>、接受采购人委托的相关单位对产品内容、质量、技术资料、价款支付与结算审核等的监督和管理。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ascii="仿宋" w:hAnsi="仿宋" w:eastAsia="仿宋" w:cs="仿宋"/>
          <w:sz w:val="28"/>
          <w:szCs w:val="28"/>
          <w:highlight w:val="none"/>
        </w:rPr>
        <w:t>8</w:t>
      </w:r>
      <w:r>
        <w:rPr>
          <w:rFonts w:hint="eastAsia" w:ascii="仿宋" w:hAnsi="仿宋" w:eastAsia="仿宋" w:cs="仿宋"/>
          <w:sz w:val="28"/>
          <w:szCs w:val="28"/>
          <w:highlight w:val="none"/>
        </w:rPr>
        <w:t>、供应商不得以他人名义谈判和串通谈判。</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ascii="仿宋" w:hAnsi="仿宋" w:eastAsia="仿宋" w:cs="仿宋"/>
          <w:sz w:val="28"/>
          <w:szCs w:val="28"/>
          <w:highlight w:val="none"/>
        </w:rPr>
        <w:t>9</w:t>
      </w:r>
      <w:r>
        <w:rPr>
          <w:rFonts w:hint="eastAsia" w:ascii="仿宋" w:hAnsi="仿宋" w:eastAsia="仿宋" w:cs="仿宋"/>
          <w:sz w:val="28"/>
          <w:szCs w:val="28"/>
          <w:highlight w:val="none"/>
        </w:rPr>
        <w:t>、谈判内容填写说明</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ascii="仿宋" w:hAnsi="仿宋" w:eastAsia="仿宋" w:cs="仿宋"/>
          <w:sz w:val="28"/>
          <w:szCs w:val="28"/>
          <w:highlight w:val="none"/>
        </w:rPr>
        <w:t>9</w:t>
      </w:r>
      <w:r>
        <w:rPr>
          <w:rFonts w:hint="eastAsia" w:ascii="仿宋" w:hAnsi="仿宋" w:eastAsia="仿宋" w:cs="仿宋"/>
          <w:sz w:val="28"/>
          <w:szCs w:val="28"/>
          <w:highlight w:val="none"/>
        </w:rPr>
        <w:t>-1、竞争性谈判响应文件：供应商提交的竞争性谈判响应文件应当按照竞争性谈判文件规定全部填写，装订成册。</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pacing w:val="-4"/>
          <w:sz w:val="28"/>
          <w:szCs w:val="28"/>
          <w:highlight w:val="none"/>
        </w:rPr>
      </w:pPr>
      <w:r>
        <w:rPr>
          <w:rFonts w:ascii="仿宋" w:hAnsi="仿宋" w:eastAsia="仿宋" w:cs="仿宋"/>
          <w:sz w:val="28"/>
          <w:szCs w:val="28"/>
          <w:highlight w:val="none"/>
        </w:rPr>
        <w:t>9</w:t>
      </w:r>
      <w:r>
        <w:rPr>
          <w:rFonts w:hint="eastAsia" w:ascii="仿宋" w:hAnsi="仿宋" w:eastAsia="仿宋" w:cs="仿宋"/>
          <w:sz w:val="28"/>
          <w:szCs w:val="28"/>
          <w:highlight w:val="none"/>
        </w:rPr>
        <w:t>-2、</w:t>
      </w:r>
      <w:r>
        <w:rPr>
          <w:rFonts w:hint="eastAsia" w:ascii="仿宋" w:hAnsi="仿宋" w:eastAsia="仿宋" w:cs="仿宋"/>
          <w:spacing w:val="-4"/>
          <w:sz w:val="28"/>
          <w:szCs w:val="28"/>
          <w:highlight w:val="none"/>
        </w:rPr>
        <w:t>谈判报价一览表要求按格式填写。若供应商填写有误，采购代理机构将默认为竞争性谈判文件要求格式。</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ascii="仿宋" w:hAnsi="仿宋" w:eastAsia="仿宋" w:cs="仿宋"/>
          <w:sz w:val="28"/>
          <w:szCs w:val="28"/>
          <w:highlight w:val="none"/>
        </w:rPr>
        <w:t>10</w:t>
      </w:r>
      <w:r>
        <w:rPr>
          <w:rFonts w:hint="eastAsia" w:ascii="仿宋" w:hAnsi="仿宋" w:eastAsia="仿宋" w:cs="仿宋"/>
          <w:sz w:val="28"/>
          <w:szCs w:val="28"/>
          <w:highlight w:val="none"/>
        </w:rPr>
        <w:t>、竞争性谈判响应文件的计量单位</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竞争性谈判响应文件中所使用的计量单位，除有特殊要求外，均采用国家法定计量单位。</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、谈判报价</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-1、谈判货币：人民币    单位：元。</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-2、供应商所报产品分项报价表应包含以下内容填写产品、单价及总价、制造厂家等内容，并由法人代表或授权代表签署。</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-3、本项目供应商须填报谈判总价，谈判总价大于采购预算的按无效文件处理。</w:t>
      </w:r>
    </w:p>
    <w:p>
      <w:pPr>
        <w:keepNext w:val="0"/>
        <w:keepLines w:val="0"/>
        <w:pageBreakBefore w:val="0"/>
        <w:widowControl w:val="0"/>
        <w:kinsoku/>
        <w:wordWrap w:val="0"/>
        <w:overflowPunct/>
        <w:topLinePunct w:val="0"/>
        <w:bidi w:val="0"/>
        <w:spacing w:line="520" w:lineRule="exact"/>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投标报价（含税）=产品价＋运输费+安装费+培训费+产品辅材费+运维费+售后服务费+保险费+产品相关伴随费用等。</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-4、供应商须对《采购内容及技术要求》中任何产品需求和服务等要求进行完整报价，采购代理机构拒绝只对部分产品或服务进行报价的谈判。供应商应在竞争性谈判响应文件中的投标分项报价表上标明对本次谈判拟提供货物和服务的单价和总价。任何有选择的报价将不予接受，每种产品只允许有一个报价。</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-5、分项报价表上的价格按实际情况填报。</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-6、供应商所报的谈判价在合同执行过程中是固定不变的，不得以任何理由予以变更。任何包含价格调整要求的谈判，将被认为是非响应性谈判而予以拒绝。</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-7、采购代理机构不接受供应商对任何未办理正常进口手续的产品的谈判报价。</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1</w:t>
      </w:r>
      <w:r>
        <w:rPr>
          <w:rFonts w:hint="eastAsia" w:ascii="仿宋" w:hAnsi="仿宋" w:eastAsia="仿宋" w:cs="仿宋"/>
          <w:sz w:val="28"/>
          <w:szCs w:val="28"/>
          <w:highlight w:val="none"/>
        </w:rPr>
        <w:t>-8、供应商不得以低于成本的报价参加谈判。当谈判小组认为某个供应商的谈判价或者某些分项报价明显不合理或者低于成本，有可能影响货物质量和不能诚信履约的，可要求该供应商在规定的期限内提供书面文件予以解释说明，并提交相关证明材料；否则，谈判小组认定该供应商以低于成本报价竞标，其谈判应作废标处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bCs/>
          <w:sz w:val="28"/>
          <w:szCs w:val="28"/>
          <w:highlight w:val="none"/>
        </w:rPr>
      </w:pPr>
      <w:r>
        <w:rPr>
          <w:rFonts w:hint="eastAsia" w:ascii="仿宋" w:hAnsi="仿宋" w:eastAsia="仿宋" w:cs="仿宋"/>
          <w:bCs/>
          <w:sz w:val="28"/>
          <w:szCs w:val="28"/>
          <w:highlight w:val="none"/>
        </w:rPr>
        <w:t>1</w:t>
      </w:r>
      <w:r>
        <w:rPr>
          <w:rFonts w:ascii="仿宋" w:hAnsi="仿宋" w:eastAsia="仿宋" w:cs="仿宋"/>
          <w:bCs/>
          <w:sz w:val="28"/>
          <w:szCs w:val="28"/>
          <w:highlight w:val="none"/>
        </w:rPr>
        <w:t>2</w:t>
      </w:r>
      <w:r>
        <w:rPr>
          <w:rFonts w:hint="eastAsia" w:ascii="仿宋" w:hAnsi="仿宋" w:eastAsia="仿宋" w:cs="仿宋"/>
          <w:bCs/>
          <w:sz w:val="28"/>
          <w:szCs w:val="28"/>
          <w:highlight w:val="none"/>
        </w:rPr>
        <w:t>、谈判期间一切费用自理。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bCs/>
          <w:sz w:val="28"/>
          <w:szCs w:val="28"/>
          <w:highlight w:val="none"/>
        </w:rPr>
      </w:pPr>
      <w:r>
        <w:rPr>
          <w:rFonts w:hint="eastAsia" w:ascii="仿宋" w:hAnsi="仿宋" w:eastAsia="仿宋" w:cs="仿宋"/>
          <w:bCs/>
          <w:sz w:val="28"/>
          <w:szCs w:val="28"/>
          <w:highlight w:val="none"/>
        </w:rPr>
        <w:t>1</w:t>
      </w:r>
      <w:r>
        <w:rPr>
          <w:rFonts w:ascii="仿宋" w:hAnsi="仿宋" w:eastAsia="仿宋" w:cs="仿宋"/>
          <w:bCs/>
          <w:sz w:val="28"/>
          <w:szCs w:val="28"/>
          <w:highlight w:val="none"/>
        </w:rPr>
        <w:t>3</w:t>
      </w:r>
      <w:r>
        <w:rPr>
          <w:rFonts w:hint="eastAsia" w:ascii="仿宋" w:hAnsi="仿宋" w:eastAsia="仿宋" w:cs="仿宋"/>
          <w:bCs/>
          <w:sz w:val="28"/>
          <w:szCs w:val="28"/>
          <w:highlight w:val="none"/>
        </w:rPr>
        <w:t>、竞争性谈判响应文件的制作</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bCs/>
          <w:sz w:val="28"/>
          <w:szCs w:val="28"/>
          <w:highlight w:val="none"/>
        </w:rPr>
        <w:t>1</w:t>
      </w:r>
      <w:r>
        <w:rPr>
          <w:rFonts w:ascii="仿宋" w:hAnsi="仿宋" w:eastAsia="仿宋" w:cs="仿宋"/>
          <w:bCs/>
          <w:sz w:val="28"/>
          <w:szCs w:val="28"/>
          <w:highlight w:val="none"/>
        </w:rPr>
        <w:t>3</w:t>
      </w:r>
      <w:r>
        <w:rPr>
          <w:rFonts w:hint="eastAsia" w:ascii="仿宋" w:hAnsi="仿宋" w:eastAsia="仿宋" w:cs="仿宋"/>
          <w:bCs/>
          <w:sz w:val="28"/>
          <w:szCs w:val="28"/>
          <w:highlight w:val="none"/>
        </w:rPr>
        <w:t>-1、竞争性谈判响应文件的签署及规定</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bCs/>
          <w:sz w:val="28"/>
          <w:szCs w:val="28"/>
          <w:highlight w:val="none"/>
        </w:rPr>
        <w:t>竞争性谈判响应</w:t>
      </w:r>
      <w:r>
        <w:rPr>
          <w:rFonts w:hint="eastAsia" w:ascii="仿宋" w:hAnsi="仿宋" w:eastAsia="仿宋" w:cs="仿宋"/>
          <w:sz w:val="28"/>
          <w:szCs w:val="28"/>
          <w:highlight w:val="none"/>
        </w:rPr>
        <w:t>文件的各项资料均应遵守本条规定。</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（2）供应商应填写全称，同时加盖供应商公章。</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w:t>
      </w:r>
      <w:r>
        <w:rPr>
          <w:rFonts w:hint="eastAsia" w:ascii="仿宋" w:hAnsi="仿宋" w:eastAsia="仿宋" w:cs="仿宋"/>
          <w:bCs/>
          <w:sz w:val="28"/>
          <w:szCs w:val="28"/>
          <w:highlight w:val="none"/>
        </w:rPr>
        <w:t>竞争性谈判响应</w:t>
      </w:r>
      <w:r>
        <w:rPr>
          <w:rFonts w:hint="eastAsia" w:ascii="仿宋" w:hAnsi="仿宋" w:eastAsia="仿宋" w:cs="仿宋"/>
          <w:sz w:val="28"/>
          <w:szCs w:val="28"/>
          <w:highlight w:val="none"/>
        </w:rPr>
        <w:t>文件必须由法定代表人或授权代表签字或盖章。</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（4）供应商应按竞争性谈判文件给定的</w:t>
      </w:r>
      <w:r>
        <w:rPr>
          <w:rFonts w:hint="eastAsia" w:ascii="仿宋" w:hAnsi="仿宋" w:eastAsia="仿宋" w:cs="仿宋"/>
          <w:bCs/>
          <w:sz w:val="28"/>
          <w:szCs w:val="28"/>
          <w:highlight w:val="none"/>
        </w:rPr>
        <w:t>竞争性谈判响应</w:t>
      </w:r>
      <w:r>
        <w:rPr>
          <w:rFonts w:hint="eastAsia" w:ascii="仿宋" w:hAnsi="仿宋" w:eastAsia="仿宋" w:cs="仿宋"/>
          <w:sz w:val="28"/>
          <w:szCs w:val="28"/>
          <w:highlight w:val="none"/>
        </w:rPr>
        <w:t>文件格式要求加盖供应商公章并经法定代表人或其授权代表签字（或盖章）。</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（5）全套谈判响应文件应无涂改或行间插字或增删。除非这些删改是根据采购人的指示进行的，或者是供应商造成的必须修改的错误。如有修改，修改处应加盖供应商公章及法人代表或委托人签字或盖章确认。</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（6）因字迹潦草或表达不清所引起的后果由供应商自行负责。</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3</w:t>
      </w:r>
      <w:r>
        <w:rPr>
          <w:rFonts w:hint="eastAsia" w:ascii="仿宋" w:hAnsi="仿宋" w:eastAsia="仿宋" w:cs="仿宋"/>
          <w:sz w:val="28"/>
          <w:szCs w:val="28"/>
          <w:highlight w:val="none"/>
        </w:rPr>
        <w:t>-2、</w:t>
      </w:r>
      <w:r>
        <w:rPr>
          <w:rFonts w:hint="eastAsia" w:ascii="仿宋" w:hAnsi="仿宋" w:eastAsia="仿宋" w:cs="仿宋"/>
          <w:bCs/>
          <w:sz w:val="28"/>
          <w:szCs w:val="28"/>
          <w:highlight w:val="none"/>
        </w:rPr>
        <w:t>竞争性谈判响应</w:t>
      </w:r>
      <w:r>
        <w:rPr>
          <w:rFonts w:hint="eastAsia" w:ascii="仿宋" w:hAnsi="仿宋" w:eastAsia="仿宋" w:cs="仿宋"/>
          <w:sz w:val="28"/>
          <w:szCs w:val="28"/>
          <w:highlight w:val="none"/>
        </w:rPr>
        <w:t>文件的装订和递交</w:t>
      </w:r>
      <w:r>
        <w:rPr>
          <w:rFonts w:hint="eastAsia" w:ascii="仿宋" w:hAnsi="仿宋" w:eastAsia="仿宋" w:cs="仿宋"/>
          <w:sz w:val="28"/>
          <w:szCs w:val="28"/>
          <w:highlight w:val="none"/>
        </w:rPr>
        <w:tab/>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bCs/>
          <w:sz w:val="28"/>
          <w:szCs w:val="28"/>
          <w:highlight w:val="none"/>
        </w:rPr>
        <w:t>竞争性谈判响应</w:t>
      </w:r>
      <w:r>
        <w:rPr>
          <w:rFonts w:hint="eastAsia" w:ascii="仿宋" w:hAnsi="仿宋" w:eastAsia="仿宋" w:cs="仿宋"/>
          <w:sz w:val="28"/>
          <w:szCs w:val="28"/>
          <w:highlight w:val="none"/>
        </w:rPr>
        <w:t>文件的装订：</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a、投标时，供应商应自行将</w:t>
      </w:r>
      <w:r>
        <w:rPr>
          <w:rFonts w:hint="eastAsia" w:ascii="仿宋" w:hAnsi="仿宋" w:eastAsia="仿宋" w:cs="仿宋"/>
          <w:bCs/>
          <w:sz w:val="28"/>
          <w:szCs w:val="28"/>
          <w:highlight w:val="none"/>
        </w:rPr>
        <w:t>竞争性谈判</w:t>
      </w:r>
      <w:r>
        <w:rPr>
          <w:rFonts w:hint="eastAsia" w:ascii="仿宋" w:hAnsi="仿宋" w:eastAsia="仿宋" w:cs="仿宋"/>
          <w:sz w:val="28"/>
          <w:szCs w:val="28"/>
          <w:highlight w:val="none"/>
        </w:rPr>
        <w:t>响应文件</w:t>
      </w:r>
      <w:r>
        <w:rPr>
          <w:rFonts w:hint="eastAsia" w:ascii="仿宋" w:hAnsi="仿宋" w:eastAsia="仿宋" w:cs="仿宋"/>
          <w:color w:val="000000"/>
          <w:sz w:val="28"/>
          <w:szCs w:val="28"/>
          <w:highlight w:val="none"/>
        </w:rPr>
        <w:t>密封完好。封袋上应写明项目名称、编号、供应商名称及“正本”、“副本”字样，并在密封条接缝处加盖单位公章（鲜章）和法定代表人或被授权代表印章（或签字）；</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b、</w:t>
      </w:r>
      <w:r>
        <w:rPr>
          <w:rFonts w:hint="eastAsia" w:ascii="仿宋" w:hAnsi="仿宋" w:eastAsia="仿宋" w:cs="仿宋"/>
          <w:bCs/>
          <w:sz w:val="28"/>
          <w:szCs w:val="28"/>
          <w:highlight w:val="none"/>
        </w:rPr>
        <w:t>竞争性谈判</w:t>
      </w:r>
      <w:r>
        <w:rPr>
          <w:rFonts w:hint="eastAsia" w:ascii="仿宋" w:hAnsi="仿宋" w:eastAsia="仿宋" w:cs="仿宋"/>
          <w:sz w:val="28"/>
          <w:szCs w:val="28"/>
          <w:highlight w:val="none"/>
        </w:rPr>
        <w:t>响应文件</w:t>
      </w:r>
      <w:r>
        <w:rPr>
          <w:rFonts w:hint="eastAsia" w:ascii="仿宋" w:hAnsi="仿宋" w:eastAsia="仿宋" w:cs="仿宋"/>
          <w:color w:val="000000"/>
          <w:sz w:val="28"/>
          <w:szCs w:val="28"/>
          <w:highlight w:val="none"/>
        </w:rPr>
        <w:t>一律采用书籍方式。</w:t>
      </w:r>
      <w:r>
        <w:rPr>
          <w:rFonts w:hint="eastAsia" w:ascii="仿宋" w:hAnsi="仿宋" w:eastAsia="仿宋" w:cs="仿宋"/>
          <w:bCs/>
          <w:sz w:val="28"/>
          <w:szCs w:val="28"/>
          <w:highlight w:val="none"/>
        </w:rPr>
        <w:t>竞争性谈判</w:t>
      </w:r>
      <w:r>
        <w:rPr>
          <w:rFonts w:hint="eastAsia" w:ascii="仿宋" w:hAnsi="仿宋" w:eastAsia="仿宋" w:cs="仿宋"/>
          <w:sz w:val="28"/>
          <w:szCs w:val="28"/>
          <w:highlight w:val="none"/>
        </w:rPr>
        <w:t>响应文件</w:t>
      </w:r>
      <w:r>
        <w:rPr>
          <w:rFonts w:hint="eastAsia" w:ascii="仿宋" w:hAnsi="仿宋" w:eastAsia="仿宋" w:cs="仿宋"/>
          <w:color w:val="000000"/>
          <w:sz w:val="28"/>
          <w:szCs w:val="28"/>
          <w:highlight w:val="none"/>
        </w:rPr>
        <w:t>共四份，其中正本一份，副本二份，电子文件一份</w:t>
      </w:r>
      <w:r>
        <w:rPr>
          <w:rFonts w:hint="eastAsia" w:ascii="仿宋" w:hAnsi="仿宋" w:eastAsia="仿宋" w:cs="仿宋"/>
          <w:color w:val="000000"/>
          <w:sz w:val="28"/>
          <w:szCs w:val="28"/>
          <w:highlight w:val="none"/>
          <w:lang w:eastAsia="zh-CN"/>
        </w:rPr>
        <w:t>。正副本分别</w:t>
      </w:r>
      <w:r>
        <w:rPr>
          <w:rFonts w:hint="eastAsia" w:ascii="仿宋" w:hAnsi="仿宋" w:eastAsia="仿宋" w:cs="仿宋"/>
          <w:color w:val="000000"/>
          <w:sz w:val="28"/>
          <w:szCs w:val="28"/>
          <w:highlight w:val="none"/>
        </w:rPr>
        <w:t>密封</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电子版放置“正本”密封袋内，</w:t>
      </w:r>
      <w:r>
        <w:rPr>
          <w:rFonts w:hint="eastAsia" w:ascii="仿宋" w:hAnsi="仿宋" w:eastAsia="仿宋" w:cs="仿宋"/>
          <w:color w:val="000000"/>
          <w:sz w:val="28"/>
          <w:szCs w:val="28"/>
          <w:highlight w:val="none"/>
          <w:lang w:eastAsia="zh-CN"/>
        </w:rPr>
        <w:t>封袋上需</w:t>
      </w:r>
      <w:r>
        <w:rPr>
          <w:rFonts w:hint="eastAsia" w:ascii="仿宋" w:hAnsi="仿宋" w:eastAsia="仿宋" w:cs="仿宋"/>
          <w:color w:val="000000"/>
          <w:sz w:val="28"/>
          <w:szCs w:val="28"/>
          <w:highlight w:val="none"/>
        </w:rPr>
        <w:t>注明单位名称。谈判文件正本须加盖鲜章，副本可以是正本的复印件。各标袋上注明“开标时启封”字样。如果正本与副本不符，以正本为准。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b/>
          <w:sz w:val="28"/>
          <w:szCs w:val="28"/>
          <w:highlight w:val="none"/>
        </w:rPr>
      </w:pPr>
      <w:r>
        <w:rPr>
          <w:rFonts w:hint="eastAsia" w:ascii="仿宋" w:hAnsi="仿宋" w:eastAsia="仿宋" w:cs="仿宋"/>
          <w:sz w:val="28"/>
          <w:szCs w:val="28"/>
          <w:highlight w:val="none"/>
        </w:rPr>
        <w:t>（2）</w:t>
      </w:r>
      <w:r>
        <w:rPr>
          <w:rFonts w:hint="eastAsia" w:ascii="仿宋" w:hAnsi="仿宋" w:eastAsia="仿宋" w:cs="仿宋"/>
          <w:bCs/>
          <w:sz w:val="28"/>
          <w:szCs w:val="28"/>
          <w:highlight w:val="none"/>
        </w:rPr>
        <w:t>竞争性谈判响应</w:t>
      </w:r>
      <w:r>
        <w:rPr>
          <w:rFonts w:hint="eastAsia" w:ascii="仿宋" w:hAnsi="仿宋" w:eastAsia="仿宋" w:cs="仿宋"/>
          <w:sz w:val="28"/>
          <w:szCs w:val="28"/>
          <w:highlight w:val="none"/>
        </w:rPr>
        <w:t>文件的递交：</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a、供应商应按规定的时间、地点，于谈判截止时间前递交竞争性谈判响应文件；</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b/>
          <w:sz w:val="28"/>
          <w:szCs w:val="28"/>
          <w:highlight w:val="none"/>
        </w:rPr>
      </w:pPr>
      <w:r>
        <w:rPr>
          <w:rFonts w:hint="eastAsia" w:ascii="仿宋" w:hAnsi="仿宋" w:eastAsia="仿宋" w:cs="仿宋"/>
          <w:sz w:val="28"/>
          <w:szCs w:val="28"/>
          <w:highlight w:val="none"/>
        </w:rPr>
        <w:t>b、采购代理机构推迟递交</w:t>
      </w:r>
      <w:r>
        <w:rPr>
          <w:rFonts w:hint="eastAsia" w:ascii="仿宋" w:hAnsi="仿宋" w:eastAsia="仿宋" w:cs="仿宋"/>
          <w:bCs/>
          <w:sz w:val="28"/>
          <w:szCs w:val="28"/>
          <w:highlight w:val="none"/>
        </w:rPr>
        <w:t>竞争性谈判</w:t>
      </w:r>
      <w:r>
        <w:rPr>
          <w:rFonts w:hint="eastAsia" w:ascii="仿宋" w:hAnsi="仿宋" w:eastAsia="仿宋" w:cs="仿宋"/>
          <w:sz w:val="28"/>
          <w:szCs w:val="28"/>
          <w:highlight w:val="none"/>
        </w:rPr>
        <w:t>响应文件截止时间时，应在递交</w:t>
      </w:r>
      <w:r>
        <w:rPr>
          <w:rFonts w:hint="eastAsia" w:ascii="仿宋" w:hAnsi="仿宋" w:eastAsia="仿宋" w:cs="仿宋"/>
          <w:bCs/>
          <w:sz w:val="28"/>
          <w:szCs w:val="28"/>
          <w:highlight w:val="none"/>
        </w:rPr>
        <w:t>竞争性谈判</w:t>
      </w:r>
      <w:r>
        <w:rPr>
          <w:rFonts w:hint="eastAsia" w:ascii="仿宋" w:hAnsi="仿宋" w:eastAsia="仿宋" w:cs="仿宋"/>
          <w:sz w:val="28"/>
          <w:szCs w:val="28"/>
          <w:highlight w:val="none"/>
        </w:rPr>
        <w:t>响应文件截止时间1日前以书面或传真的形式通知所有供应商。采购代理机构和供应商的权利和义务将受到新的截止期的约束。</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c、逾期递交</w:t>
      </w:r>
      <w:r>
        <w:rPr>
          <w:rFonts w:hint="eastAsia" w:ascii="仿宋" w:hAnsi="仿宋" w:eastAsia="仿宋" w:cs="仿宋"/>
          <w:bCs/>
          <w:sz w:val="28"/>
          <w:szCs w:val="28"/>
          <w:highlight w:val="none"/>
        </w:rPr>
        <w:t>竞争性谈判</w:t>
      </w:r>
      <w:r>
        <w:rPr>
          <w:rFonts w:hint="eastAsia" w:ascii="仿宋" w:hAnsi="仿宋" w:eastAsia="仿宋" w:cs="仿宋"/>
          <w:sz w:val="28"/>
          <w:szCs w:val="28"/>
          <w:highlight w:val="none"/>
        </w:rPr>
        <w:t>响应文件，将被拒收。</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w:t>
      </w:r>
      <w:r>
        <w:rPr>
          <w:rFonts w:hint="eastAsia" w:ascii="仿宋" w:hAnsi="仿宋" w:eastAsia="仿宋" w:cs="仿宋"/>
          <w:bCs/>
          <w:sz w:val="28"/>
          <w:szCs w:val="28"/>
          <w:highlight w:val="none"/>
        </w:rPr>
        <w:t>竞争性谈判</w:t>
      </w:r>
      <w:r>
        <w:rPr>
          <w:rFonts w:hint="eastAsia" w:ascii="仿宋" w:hAnsi="仿宋" w:eastAsia="仿宋" w:cs="仿宋"/>
          <w:sz w:val="28"/>
          <w:szCs w:val="28"/>
          <w:highlight w:val="none"/>
        </w:rPr>
        <w:t>响应文件的补充、修改与撤回：</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a、供应商在递交竞争性谈判响应文件以后，在规定的谈判截止时间之前</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可以书面形式补充、修改或撤回已递交的竞争性谈判响应文件，并以书面形式通知采购代理机构。补充、修改的内容应当按竞争性谈判文件要求签署、盖章，并作为竞争性谈判响应文件的组成部分；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b、供应商提出书面修改和撤标要求，须在递交竞争性谈判响应文件截止时间前密封送达采购代理机构，并在封面上加注“修改”或“撤回”字样。采购代理机构可以接受，但不退还原竞争性谈判响应文件。</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c、撤回竞争性谈判响应文件应以书面形式由有权人（法人代表或授权代表）通知采购代理机构。如采取传真形式撤回谈判，随后必须补充</w:t>
      </w:r>
      <w:r>
        <w:rPr>
          <w:rFonts w:hint="eastAsia" w:ascii="仿宋" w:hAnsi="仿宋" w:eastAsia="仿宋" w:cs="仿宋"/>
          <w:sz w:val="28"/>
          <w:szCs w:val="28"/>
          <w:highlight w:val="none"/>
          <w:lang w:eastAsia="zh-CN"/>
        </w:rPr>
        <w:t>由</w:t>
      </w:r>
      <w:r>
        <w:rPr>
          <w:rFonts w:hint="eastAsia" w:ascii="仿宋" w:hAnsi="仿宋" w:eastAsia="仿宋" w:cs="仿宋"/>
          <w:sz w:val="28"/>
          <w:szCs w:val="28"/>
          <w:highlight w:val="none"/>
        </w:rPr>
        <w:t>法人代表或授权代表签署的要求撤回谈判的正式文件。以在竞争性谈判开始前送达陕西瑞琪工程咨询有限公司为准。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d</w:t>
      </w:r>
      <w:r>
        <w:rPr>
          <w:rFonts w:hint="eastAsia" w:ascii="仿宋" w:hAnsi="仿宋" w:eastAsia="仿宋" w:cs="仿宋"/>
          <w:spacing w:val="-20"/>
          <w:sz w:val="28"/>
          <w:szCs w:val="28"/>
          <w:highlight w:val="none"/>
        </w:rPr>
        <w:t>、</w:t>
      </w:r>
      <w:r>
        <w:rPr>
          <w:rFonts w:hint="eastAsia" w:ascii="仿宋" w:hAnsi="仿宋" w:eastAsia="仿宋" w:cs="仿宋"/>
          <w:sz w:val="28"/>
          <w:szCs w:val="28"/>
          <w:highlight w:val="none"/>
        </w:rPr>
        <w:t>谈判截止时间之后，供应商不得补充、修改竞争性谈判响应文件</w:t>
      </w:r>
      <w:r>
        <w:rPr>
          <w:rFonts w:hint="eastAsia" w:ascii="仿宋" w:hAnsi="仿宋" w:eastAsia="仿宋" w:cs="仿宋"/>
          <w:spacing w:val="-20"/>
          <w:sz w:val="28"/>
          <w:szCs w:val="28"/>
          <w:highlight w:val="none"/>
          <w:lang w:eastAsia="zh-CN"/>
        </w:rPr>
        <w:t>。</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（4）竞争性谈判响应文件的审查标准：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a、竞争性谈判响应文件图表与文字不符时，以文字为准；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b、竞争性谈判响应文件正本与副本不符时，以正本为准；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c、竞争性谈判响应文件大写与小写不符时，以大写为准；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d、单价乘以数量不等于总价，以单价乘以数量为准。</w:t>
      </w:r>
    </w:p>
    <w:p>
      <w:pPr>
        <w:keepNext w:val="0"/>
        <w:keepLines w:val="0"/>
        <w:pageBreakBefore w:val="0"/>
        <w:widowControl w:val="0"/>
        <w:kinsoku/>
        <w:wordWrap w:val="0"/>
        <w:overflowPunct/>
        <w:topLinePunct w:val="0"/>
        <w:bidi w:val="0"/>
        <w:spacing w:line="520" w:lineRule="exact"/>
        <w:ind w:firstLine="562" w:firstLineChars="200"/>
        <w:textAlignment w:val="auto"/>
        <w:rPr>
          <w:rFonts w:hint="eastAsia" w:ascii="仿宋" w:hAnsi="仿宋" w:eastAsia="仿宋" w:cs="仿宋"/>
          <w:b/>
          <w:sz w:val="28"/>
          <w:szCs w:val="28"/>
          <w:highlight w:val="none"/>
        </w:rPr>
      </w:pPr>
      <w:r>
        <w:rPr>
          <w:rFonts w:hint="eastAsia" w:ascii="仿宋" w:hAnsi="仿宋" w:eastAsia="仿宋" w:cs="仿宋"/>
          <w:b/>
          <w:sz w:val="28"/>
          <w:szCs w:val="28"/>
          <w:highlight w:val="none"/>
        </w:rPr>
        <w:t>（5）竞争性谈判响应文件的有效性：</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a、开标时，谈判响应文件出现下列情形之一的，应当作为无效响应文件，不得进入评审：</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1）谈判响应文件、</w:t>
      </w:r>
      <w:r>
        <w:rPr>
          <w:rFonts w:hint="eastAsia" w:ascii="仿宋" w:hAnsi="仿宋" w:eastAsia="仿宋" w:cs="仿宋"/>
          <w:sz w:val="28"/>
          <w:szCs w:val="28"/>
          <w:highlight w:val="none"/>
          <w:lang w:eastAsia="zh-CN"/>
        </w:rPr>
        <w:t>谈判</w:t>
      </w:r>
      <w:r>
        <w:rPr>
          <w:rFonts w:hint="eastAsia" w:ascii="仿宋" w:hAnsi="仿宋" w:eastAsia="仿宋" w:cs="仿宋"/>
          <w:sz w:val="28"/>
          <w:szCs w:val="28"/>
          <w:highlight w:val="none"/>
        </w:rPr>
        <w:t>函未加盖投标人公章，或未经法定代表人或其被授权人签字或盖章的；</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2）对谈判文件重大缺项漏项</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或附加了采购人难以接受的条件或款项的；</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3）供应商有围标、串标现象，经查证属实的。 有下列情形之一的，视为串通投标，其投标无效：</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①不同供应商的谈判响应文件由同一单位或者个人编制；</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②不同供应商委托同一单位或者个人办理投标事宜；</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③不同供应商的谈判响应文件载明的项目管理成员或者联系人员为同一人；</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④不同供应商的谈判响应文件异常一致或者投标报价呈规律性差异；</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⑤不同供应商的谈判响应文件相互混装；</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⑥不符合现行法律法规和谈判文件规定的其他实质性要求的。</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4）不符合现行法律法规和谈判文件规定的其他要求的。</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b、竞争性谈判响应文件的有效期：自谈判之日起算90个日历日。</w:t>
      </w:r>
    </w:p>
    <w:p>
      <w:pPr>
        <w:keepNext w:val="0"/>
        <w:keepLines w:val="0"/>
        <w:pageBreakBefore w:val="0"/>
        <w:widowControl w:val="0"/>
        <w:kinsoku/>
        <w:wordWrap w:val="0"/>
        <w:overflowPunct/>
        <w:topLinePunct w:val="0"/>
        <w:bidi w:val="0"/>
        <w:spacing w:line="520" w:lineRule="exact"/>
        <w:ind w:firstLine="562" w:firstLineChars="200"/>
        <w:textAlignment w:val="auto"/>
        <w:outlineLvl w:val="1"/>
        <w:rPr>
          <w:rFonts w:hint="eastAsia" w:ascii="仿宋" w:hAnsi="仿宋" w:eastAsia="仿宋" w:cs="仿宋"/>
          <w:b/>
          <w:sz w:val="28"/>
          <w:szCs w:val="28"/>
          <w:highlight w:val="none"/>
        </w:rPr>
      </w:pPr>
      <w:bookmarkStart w:id="27" w:name="_Toc15881"/>
      <w:bookmarkStart w:id="28" w:name="_Toc3450"/>
      <w:bookmarkStart w:id="29" w:name="_Toc31641"/>
      <w:r>
        <w:rPr>
          <w:rFonts w:hint="eastAsia" w:ascii="仿宋" w:hAnsi="仿宋" w:eastAsia="仿宋" w:cs="仿宋"/>
          <w:b/>
          <w:sz w:val="28"/>
          <w:szCs w:val="28"/>
          <w:highlight w:val="none"/>
        </w:rPr>
        <w:t>四、谈判保证金</w:t>
      </w:r>
      <w:bookmarkEnd w:id="27"/>
      <w:bookmarkEnd w:id="28"/>
      <w:bookmarkEnd w:id="29"/>
    </w:p>
    <w:p>
      <w:pPr>
        <w:pStyle w:val="22"/>
        <w:keepNext w:val="0"/>
        <w:keepLines w:val="0"/>
        <w:pageBreakBefore w:val="0"/>
        <w:widowControl w:val="0"/>
        <w:kinsoku/>
        <w:wordWrap w:val="0"/>
        <w:overflowPunct/>
        <w:topLinePunct w:val="0"/>
        <w:bidi w:val="0"/>
        <w:spacing w:line="520" w:lineRule="exact"/>
        <w:ind w:firstLine="560" w:firstLineChars="200"/>
        <w:textAlignment w:val="auto"/>
        <w:rPr>
          <w:rFonts w:hint="default"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本项目不需要交纳谈判保证金。</w:t>
      </w:r>
    </w:p>
    <w:p>
      <w:pPr>
        <w:keepNext w:val="0"/>
        <w:keepLines w:val="0"/>
        <w:pageBreakBefore w:val="0"/>
        <w:widowControl w:val="0"/>
        <w:kinsoku/>
        <w:wordWrap w:val="0"/>
        <w:overflowPunct/>
        <w:topLinePunct w:val="0"/>
        <w:bidi w:val="0"/>
        <w:spacing w:line="520" w:lineRule="exact"/>
        <w:ind w:firstLine="562" w:firstLineChars="200"/>
        <w:textAlignment w:val="auto"/>
        <w:outlineLvl w:val="1"/>
        <w:rPr>
          <w:rFonts w:hint="eastAsia" w:ascii="仿宋" w:hAnsi="仿宋" w:eastAsia="仿宋" w:cs="仿宋"/>
          <w:b/>
          <w:bCs/>
          <w:sz w:val="28"/>
          <w:szCs w:val="28"/>
          <w:highlight w:val="none"/>
        </w:rPr>
      </w:pPr>
      <w:bookmarkStart w:id="30" w:name="_Toc22040"/>
      <w:bookmarkStart w:id="31" w:name="_Toc3814"/>
      <w:bookmarkStart w:id="32" w:name="_Toc12277"/>
      <w:bookmarkStart w:id="33" w:name="_Toc12242"/>
      <w:bookmarkStart w:id="34" w:name="_Toc26882"/>
      <w:r>
        <w:rPr>
          <w:rFonts w:hint="eastAsia" w:ascii="仿宋" w:hAnsi="仿宋" w:eastAsia="仿宋" w:cs="仿宋"/>
          <w:b/>
          <w:bCs/>
          <w:kern w:val="2"/>
          <w:sz w:val="28"/>
          <w:szCs w:val="28"/>
          <w:highlight w:val="none"/>
          <w:lang w:val="en-US" w:eastAsia="zh-CN" w:bidi="ar-SA"/>
        </w:rPr>
        <w:t>五、谈判、评议及定标</w:t>
      </w:r>
      <w:bookmarkEnd w:id="30"/>
      <w:bookmarkEnd w:id="31"/>
      <w:bookmarkEnd w:id="32"/>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1、谈判</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1-1、采购代理机构按竞争性谈判文件规定的时间、地点组织谈判大会，并通知采购人参加。</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1-2、所有参会人员应签名报到，供应商须按时签到递交谈判文件，以证明其出席。</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1-3、供应商按规定提交合格的竞争性谈判响应文件后到谈判截止时间前如中途要求撤回，若不影响正常开标时，且采购人可以接受，可退还其竞争性谈判响应文件，开标后任何单位不得随意退出招投标活动。</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1-4、不合格供应商按规定提交的谈判响应文件不予开封，摄像留存后，将竞争性谈判响应文件退还供应商。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1-5、谈判程序：</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（1）谈判会议由采购代理机构主持。</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（2）由采购人代表对供应商的身份进行确认；</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（3）供应商的法人代表或授权代表与监督管理机构代表当众共同查验竞争性谈判响应文件的密封情况，签字确认并宣读检查结果；</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（4）经确认无误后，由采购代理机构工作人员依递交竞争性谈判响应文件的摆放顺序当众拆封并交由谈判小组等待评审；</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（5）谈判小组查验供应商必备资质，未通过审查的按废标处理。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（6）由谈判小组依据竞争性谈判文件对各供应商的竞争性谈判响应文件</w:t>
      </w:r>
      <w:r>
        <w:rPr>
          <w:rFonts w:hint="eastAsia" w:ascii="仿宋" w:hAnsi="仿宋" w:eastAsia="仿宋" w:cs="仿宋"/>
          <w:sz w:val="28"/>
          <w:szCs w:val="28"/>
          <w:highlight w:val="none"/>
          <w:lang w:eastAsia="zh-CN"/>
        </w:rPr>
        <w:t>进行</w:t>
      </w:r>
      <w:r>
        <w:rPr>
          <w:rFonts w:hint="eastAsia" w:ascii="仿宋" w:hAnsi="仿宋" w:eastAsia="仿宋" w:cs="仿宋"/>
          <w:sz w:val="28"/>
          <w:szCs w:val="28"/>
          <w:highlight w:val="none"/>
          <w:lang w:val="en-US" w:eastAsia="zh-CN"/>
        </w:rPr>
        <w:t>符合性</w:t>
      </w:r>
      <w:r>
        <w:rPr>
          <w:rFonts w:hint="eastAsia" w:ascii="仿宋" w:hAnsi="仿宋" w:eastAsia="仿宋" w:cs="仿宋"/>
          <w:sz w:val="28"/>
          <w:szCs w:val="28"/>
          <w:highlight w:val="none"/>
        </w:rPr>
        <w:t>评审，通过</w:t>
      </w:r>
      <w:r>
        <w:rPr>
          <w:rFonts w:hint="eastAsia" w:ascii="仿宋" w:hAnsi="仿宋" w:eastAsia="仿宋" w:cs="仿宋"/>
          <w:sz w:val="28"/>
          <w:szCs w:val="28"/>
          <w:highlight w:val="none"/>
          <w:lang w:val="en-US" w:eastAsia="zh-CN"/>
        </w:rPr>
        <w:t>符合性</w:t>
      </w:r>
      <w:r>
        <w:rPr>
          <w:rFonts w:hint="eastAsia" w:ascii="仿宋" w:hAnsi="仿宋" w:eastAsia="仿宋" w:cs="仿宋"/>
          <w:sz w:val="28"/>
          <w:szCs w:val="28"/>
          <w:highlight w:val="none"/>
        </w:rPr>
        <w:t>评审的各供应商方可进入谈判，才有最终报价的机会；</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（7）谈判采购形式：采取背对背的谈判方式。即谈判小组所有成员集中与各供应商分别进行一对一、面对面的谈判后，由各供应商进行二次报价，开标现场不公布谈判后的价格；</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（8）最后，谈判小组按其报价由低到高，进行排序并推荐成交候选单位；</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（9）采购代理机构对谈判过程进行摄像、文字记录，并存档备查。</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2、评议</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-1、根据本次招标项目的特点，参照有关规定组建谈判小组。谈判小组专家成员在陕西省财政厅评审专家库中随机抽取，特殊情况，经主管预算单位同意，采购人或采购代理机构选定相应专业领域评标专家；采购方可派一名代表进入谈判小组。谈判小组专家人数应占总人数的2/3以上。谈判小组负责对具备实质性响应的谈判响应文件进行评估和比较。</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2-2、谈判小组按照竞争性谈判文件，相关法律法规的规定，对有实质性响应的竞争性谈判响应文件进行评审。</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2-3、谈判小组成员应当遵守并履行下列职责：</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（1）确定或制定谈判文件；</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（2）从符合相应资格条件的供应商名单中确定不少于三家的供应商参加谈判；</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（3）审查供应商的响应文件并作出评价；</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（4）要求供应商解释或澄清其响应文件；</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（5）编写评审报告；</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（6）告知采购人、采购代理机构在评审过程中发现的供应商的违法违规行为；</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2-4、谈判小组成员应当遵守并履行下列义务：</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（1）遵纪守法，客观、公正、廉洁的履行职责；</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（2）根据采购文件的规定独立进行评审，对个人的评审意见承担法律责任；</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（3）参与评审报告的起草；</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（4）配合采购人、采购代理机构答复供应商提出的质疑；</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（5）配合财政部门的投诉处理和监督检查工作。</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2-5、评标纪律</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所有参会人员须关闭所携带的通讯工具或将声音调至静音状态。</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出席评标会议的人须对谈判小组成员的人员名单，谈判过程及各供应商的商业机密予以保密。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谈判小组成员、采购人、采购代理机构人员及相关人员不得参加与自己有利害关系的政府采购项目评审活动。在评审项目中，对与自己有利害关系的，应主动提出回避。</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评标工作必须按照《政府采购法》和有关法律法规规定，坚持公平、公正、择优、保密的原则。</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5</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评委必须严格按谈判文件规定的评标方法进行认真评审，做到独立、客观、公平、公正，对所提出的意见承担个人责任。</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6</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出席评标会议的采购人代表不得干涉谈判小组的评标工作或发表诱导性语言。</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7</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谈判期间，参加谈判工作的评委和采购人代表不得随意出入谈判地点，与外界联络或会客，不得与供应商私下交换意见。</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8</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评标结束后，谈判小组成员应将开标、评标的全部资料整理后上交采购代理机构，严禁将谈判过程中的任何资料带出评标会场，严禁将评标情况扩散出谈判小组。</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2-6、采购代理机构负责组织谈判工作，集中保管谈判小组成员的通讯工具；维护评标秩序，组织谈判小组依照竞争性谈判文件规定的评审程序、方法和标准进行评审，核对评标结果，处理与评标有关的其他事项。</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2-7、评标过程严格保密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（1）开标后，凡属于对谈判响应文件的审查、澄清、评价和比较的有关资料以及成交候选人的推荐情况、与评标有关的其他任何情况均须严格保密；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（2）参与谈判的供应商对评委会的评标过程或合同授予决定施加影响的任何行为都可能导致其投标被拒绝。</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bCs/>
          <w:sz w:val="28"/>
          <w:szCs w:val="28"/>
          <w:highlight w:val="none"/>
        </w:rPr>
        <w:t>3、定标</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谈判小组依据评标办法，对竞争性谈判响应文件进行评审，向采购人提出书面评审报告并推荐合格的成交候选人。采购人根据谈判小组提交的评审报告和推荐的成交候选人按照有关规定确定成交单位，并与其签订合同。</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（2）采购代理机构在评审结束后2个工作日内将评审报告送采购人确认。</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（3）在采购有效期内，采购代理机构在接到采购人的“定标复函”通知后，在指定媒体上发布成交公告，同时向成交单位发“成交通知书”。</w:t>
      </w:r>
    </w:p>
    <w:p>
      <w:pPr>
        <w:keepNext w:val="0"/>
        <w:keepLines w:val="0"/>
        <w:pageBreakBefore w:val="0"/>
        <w:widowControl w:val="0"/>
        <w:kinsoku/>
        <w:wordWrap w:val="0"/>
        <w:overflowPunct/>
        <w:topLinePunct w:val="0"/>
        <w:bidi w:val="0"/>
        <w:spacing w:line="520" w:lineRule="exact"/>
        <w:ind w:firstLine="562" w:firstLineChars="200"/>
        <w:textAlignment w:val="auto"/>
        <w:rPr>
          <w:rFonts w:hint="eastAsia" w:ascii="仿宋" w:hAnsi="仿宋" w:eastAsia="仿宋" w:cs="仿宋"/>
          <w:b/>
          <w:sz w:val="28"/>
          <w:szCs w:val="28"/>
          <w:highlight w:val="none"/>
        </w:rPr>
      </w:pPr>
      <w:r>
        <w:rPr>
          <w:rFonts w:hint="eastAsia" w:ascii="仿宋" w:hAnsi="仿宋" w:eastAsia="仿宋" w:cs="仿宋"/>
          <w:b/>
          <w:sz w:val="28"/>
          <w:szCs w:val="28"/>
          <w:highlight w:val="none"/>
        </w:rPr>
        <w:t>4、评议、定标办法</w:t>
      </w:r>
    </w:p>
    <w:p>
      <w:pPr>
        <w:keepNext w:val="0"/>
        <w:keepLines w:val="0"/>
        <w:pageBreakBefore w:val="0"/>
        <w:widowControl w:val="0"/>
        <w:kinsoku/>
        <w:wordWrap w:val="0"/>
        <w:overflowPunct/>
        <w:topLinePunct w:val="0"/>
        <w:bidi w:val="0"/>
        <w:spacing w:line="52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4-1、评议须知</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凡属于对竞争性谈判响应文件的审查、澄清、比较和评议的有关资料、成交候选人的有关情况以及与评标有关的其他任何情况均应严格保密。</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在竞争性谈判响应文件的评审、成交单位的确定以及合同的签订过程中，供应商向谈判小组施加压力的任何行为，都将会导致其谈判被拒绝。</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为了有助于竞争性谈判响应文件的审查，谈判小组可要求供应商对竞争性谈判响应文件含义不明确的内容作必要的澄清或说明。供应商应采用书面形式进行澄清或说明，并不得超出竞争性谈判响应文件的范围或改变竞争性谈判响应文件的实质性内容。但不得寻求或建议对谈判价格和竞争性谈判响应文件的实质进行变更。</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小组对竞争性谈判响应文件中的内容有疑问的部分，可以向供应商质询并要求该供应商做出书面澄清，但不得对竞争性谈判响应文件做实质性修改，质询工作应当由全体谈判小组成员参加。对于实质性不符合竞争性谈判文件的，谈判小组有权予以拒绝。质询工作应做书面记录，采购人代表、谈判小组成员及供应商应在记录本上签字确认。</w:t>
      </w:r>
    </w:p>
    <w:p>
      <w:pPr>
        <w:keepNext w:val="0"/>
        <w:keepLines w:val="0"/>
        <w:pageBreakBefore w:val="0"/>
        <w:widowControl w:val="0"/>
        <w:kinsoku/>
        <w:wordWrap w:val="0"/>
        <w:overflowPunct/>
        <w:topLinePunct w:val="0"/>
        <w:bidi w:val="0"/>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成交单位确定后，采购人和采购代理机构对未成交原因不做任何解释，竞争性谈判响应文件不予退还。</w:t>
      </w:r>
    </w:p>
    <w:p>
      <w:pPr>
        <w:keepNext w:val="0"/>
        <w:keepLines w:val="0"/>
        <w:pageBreakBefore w:val="0"/>
        <w:widowControl w:val="0"/>
        <w:kinsoku/>
        <w:wordWrap w:val="0"/>
        <w:overflowPunct/>
        <w:topLinePunct w:val="0"/>
        <w:bidi w:val="0"/>
        <w:spacing w:line="52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4-2、评议办法</w:t>
      </w:r>
    </w:p>
    <w:p>
      <w:pPr>
        <w:pageBreakBefore w:val="0"/>
        <w:widowControl w:val="0"/>
        <w:kinsoku/>
        <w:wordWrap w:val="0"/>
        <w:overflowPunct/>
        <w:bidi w:val="0"/>
        <w:spacing w:line="500" w:lineRule="exact"/>
        <w:ind w:firstLine="562" w:firstLineChars="200"/>
        <w:jc w:val="center"/>
        <w:rPr>
          <w:rFonts w:hint="eastAsia" w:ascii="仿宋" w:hAnsi="仿宋" w:eastAsia="仿宋" w:cs="仿宋"/>
          <w:sz w:val="28"/>
          <w:szCs w:val="28"/>
          <w:highlight w:val="none"/>
        </w:rPr>
      </w:pPr>
      <w:r>
        <w:rPr>
          <w:rFonts w:hint="eastAsia" w:ascii="仿宋" w:hAnsi="仿宋" w:eastAsia="仿宋" w:cs="仿宋"/>
          <w:b/>
          <w:sz w:val="28"/>
          <w:szCs w:val="28"/>
          <w:highlight w:val="none"/>
        </w:rPr>
        <w:t>评议办法前附表</w:t>
      </w:r>
    </w:p>
    <w:tbl>
      <w:tblPr>
        <w:tblStyle w:val="31"/>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460"/>
        <w:gridCol w:w="65"/>
        <w:gridCol w:w="396"/>
        <w:gridCol w:w="1569"/>
        <w:gridCol w:w="6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blHeader/>
        </w:trPr>
        <w:tc>
          <w:tcPr>
            <w:tcW w:w="1535" w:type="dxa"/>
            <w:gridSpan w:val="3"/>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bCs w:val="0"/>
                <w:color w:val="auto"/>
                <w:sz w:val="28"/>
                <w:szCs w:val="28"/>
                <w:highlight w:val="none"/>
                <w:lang w:eastAsia="zh-CN"/>
              </w:rPr>
            </w:pPr>
            <w:r>
              <w:rPr>
                <w:rFonts w:hint="eastAsia" w:ascii="仿宋" w:hAnsi="仿宋" w:eastAsia="仿宋" w:cs="仿宋"/>
                <w:b/>
                <w:bCs w:val="0"/>
                <w:color w:val="auto"/>
                <w:sz w:val="28"/>
                <w:szCs w:val="28"/>
                <w:highlight w:val="none"/>
                <w:lang w:eastAsia="zh-CN"/>
              </w:rPr>
              <w:t>条款号</w:t>
            </w:r>
          </w:p>
        </w:tc>
        <w:tc>
          <w:tcPr>
            <w:tcW w:w="1965" w:type="dxa"/>
            <w:gridSpan w:val="2"/>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评审因素</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10" w:type="dxa"/>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2.1.1</w:t>
            </w:r>
          </w:p>
        </w:tc>
        <w:tc>
          <w:tcPr>
            <w:tcW w:w="525" w:type="dxa"/>
            <w:gridSpan w:val="2"/>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资格评审标准</w:t>
            </w:r>
          </w:p>
        </w:tc>
        <w:tc>
          <w:tcPr>
            <w:tcW w:w="1965" w:type="dxa"/>
            <w:gridSpan w:val="2"/>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基本资格条件</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满足《中华人民共和国政府采购法》第二十二条规定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sz w:val="28"/>
                <w:szCs w:val="28"/>
                <w:highlight w:val="none"/>
                <w:lang w:val="en-US" w:eastAsia="zh-CN"/>
              </w:rPr>
              <w:t>落实政府采购政策需满足的资格要求</w:t>
            </w:r>
          </w:p>
        </w:tc>
        <w:tc>
          <w:tcPr>
            <w:tcW w:w="6019"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本项目非专门面向中小企业采购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特定资格条件</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lang w:eastAsia="zh-CN"/>
              </w:rPr>
              <w:t>供应商应是独立承担民事责任能力的法人、其他组织或自然人，法人、其他组织须提供合法有效的营业执照（或事业单位法人证书）等证明资料，自然人须提供身份证明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lang w:eastAsia="zh-CN"/>
              </w:rPr>
              <w:t>供应商提供20</w:t>
            </w:r>
            <w:r>
              <w:rPr>
                <w:rFonts w:hint="eastAsia" w:ascii="仿宋" w:hAnsi="仿宋" w:eastAsia="仿宋" w:cs="仿宋"/>
                <w:b w:val="0"/>
                <w:bCs/>
                <w:color w:val="auto"/>
                <w:sz w:val="28"/>
                <w:szCs w:val="28"/>
                <w:highlight w:val="none"/>
                <w:lang w:val="en-US" w:eastAsia="zh-CN"/>
              </w:rPr>
              <w:t>20</w:t>
            </w:r>
            <w:r>
              <w:rPr>
                <w:rFonts w:hint="eastAsia" w:ascii="仿宋" w:hAnsi="仿宋" w:eastAsia="仿宋" w:cs="仿宋"/>
                <w:b w:val="0"/>
                <w:bCs/>
                <w:color w:val="auto"/>
                <w:sz w:val="28"/>
                <w:szCs w:val="28"/>
                <w:highlight w:val="none"/>
                <w:lang w:eastAsia="zh-CN"/>
              </w:rPr>
              <w:t>年或202</w:t>
            </w:r>
            <w:r>
              <w:rPr>
                <w:rFonts w:hint="eastAsia" w:ascii="仿宋" w:hAnsi="仿宋" w:eastAsia="仿宋" w:cs="仿宋"/>
                <w:b w:val="0"/>
                <w:bCs/>
                <w:color w:val="auto"/>
                <w:sz w:val="28"/>
                <w:szCs w:val="28"/>
                <w:highlight w:val="none"/>
                <w:lang w:val="en-US" w:eastAsia="zh-CN"/>
              </w:rPr>
              <w:t>1</w:t>
            </w:r>
            <w:r>
              <w:rPr>
                <w:rFonts w:hint="eastAsia" w:ascii="仿宋" w:hAnsi="仿宋" w:eastAsia="仿宋" w:cs="仿宋"/>
                <w:b w:val="0"/>
                <w:bCs/>
                <w:color w:val="auto"/>
                <w:sz w:val="28"/>
                <w:szCs w:val="28"/>
                <w:highlight w:val="none"/>
                <w:lang w:eastAsia="zh-CN"/>
              </w:rPr>
              <w:t>年度经审计的财务报告（成立时间至开标时间不足一年的可提供成立后任意时段的资产负债表）或开户银行出具的资信证明或政府采购专业担保机构出具的投标担保函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lang w:val="en-US" w:eastAsia="zh-CN"/>
              </w:rPr>
              <w:t>供应商提供开标前六个月内任意一个月的税收缴纳凭证；依法免税的应提供相关文件证明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rPr>
              <w:t>供应商提供开标前六个月内任意一个月已缴纳的社会保障资金缴存单据或社保机构开具的社会保险参保缴费情况证明；依法不需要缴纳社会保障资金的应提供相关文件证明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rPr>
              <w:t>提供履行合同所必需的设备和专业技术能力的书面声明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rPr>
              <w:t>提供参加政府采购活动前三年内在经营活动中没有重大违法记录的书面声明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rPr>
              <w:t>提供授权委托书及被授权人身份证</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法定代表人或自然人直接投标的只须提交其身份证</w:t>
            </w:r>
            <w:r>
              <w:rPr>
                <w:rFonts w:hint="eastAsia" w:ascii="仿宋" w:hAnsi="仿宋" w:eastAsia="仿宋" w:cs="仿宋"/>
                <w:b w:val="0"/>
                <w:bCs/>
                <w:color w:val="auto"/>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wordWrap w:val="0"/>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rPr>
              <w:t>供应商未被列入“信用中国”网站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www.creditchina.gov.cn</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“记录失信被执行人或重大税收违法案件当事人名单或政府采购严重违法失信行为”记录名单。同时，不处于中国政府采购网</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www.ccgp.gov.cn</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“政府采购不良行为记录”中的禁止参加政府采购活动期间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52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965"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p>
        </w:tc>
        <w:tc>
          <w:tcPr>
            <w:tcW w:w="6019" w:type="dxa"/>
            <w:noWrap w:val="0"/>
            <w:vAlign w:val="center"/>
          </w:tcPr>
          <w:p>
            <w:pPr>
              <w:keepNext w:val="0"/>
              <w:keepLines w:val="0"/>
              <w:pageBreakBefore w:val="0"/>
              <w:widowControl w:val="0"/>
              <w:suppressLineNumbers w:val="0"/>
              <w:tabs>
                <w:tab w:val="left" w:pos="0"/>
              </w:tabs>
              <w:kinsoku/>
              <w:wordWrap w:val="0"/>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sz w:val="28"/>
                <w:szCs w:val="28"/>
                <w:highlight w:val="none"/>
                <w:lang w:val="en-US" w:eastAsia="zh-CN"/>
              </w:rPr>
              <w:t>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19" w:type="dxa"/>
            <w:gridSpan w:val="6"/>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注：</w:t>
            </w:r>
            <w:r>
              <w:rPr>
                <w:rFonts w:hint="eastAsia" w:ascii="仿宋" w:hAnsi="仿宋" w:eastAsia="仿宋" w:cs="仿宋"/>
                <w:b w:val="0"/>
                <w:bCs/>
                <w:color w:val="auto"/>
                <w:sz w:val="28"/>
                <w:szCs w:val="28"/>
                <w:highlight w:val="none"/>
              </w:rPr>
              <w:t>以上为必备</w:t>
            </w:r>
            <w:r>
              <w:rPr>
                <w:rFonts w:hint="eastAsia" w:ascii="仿宋" w:hAnsi="仿宋" w:eastAsia="仿宋" w:cs="仿宋"/>
                <w:b w:val="0"/>
                <w:bCs/>
                <w:color w:val="auto"/>
                <w:sz w:val="28"/>
                <w:szCs w:val="28"/>
                <w:highlight w:val="none"/>
                <w:lang w:eastAsia="zh-CN"/>
              </w:rPr>
              <w:t>资格条件</w:t>
            </w:r>
            <w:r>
              <w:rPr>
                <w:rFonts w:hint="eastAsia" w:ascii="仿宋" w:hAnsi="仿宋" w:eastAsia="仿宋" w:cs="仿宋"/>
                <w:b w:val="0"/>
                <w:bCs/>
                <w:color w:val="auto"/>
                <w:sz w:val="28"/>
                <w:szCs w:val="28"/>
                <w:highlight w:val="none"/>
              </w:rPr>
              <w:t>，缺一项或某项达不到要求，按无效</w:t>
            </w:r>
            <w:r>
              <w:rPr>
                <w:rFonts w:hint="eastAsia" w:ascii="仿宋" w:hAnsi="仿宋" w:eastAsia="仿宋" w:cs="仿宋"/>
                <w:b w:val="0"/>
                <w:bCs/>
                <w:color w:val="auto"/>
                <w:sz w:val="28"/>
                <w:szCs w:val="28"/>
                <w:highlight w:val="none"/>
                <w:lang w:eastAsia="zh-CN"/>
              </w:rPr>
              <w:t>文件</w:t>
            </w:r>
            <w:r>
              <w:rPr>
                <w:rFonts w:hint="eastAsia" w:ascii="仿宋" w:hAnsi="仿宋" w:eastAsia="仿宋" w:cs="仿宋"/>
                <w:b w:val="0"/>
                <w:bCs/>
                <w:color w:val="auto"/>
                <w:sz w:val="28"/>
                <w:szCs w:val="28"/>
                <w:highlight w:val="none"/>
              </w:rPr>
              <w:t>处理。资格审查时以</w:t>
            </w:r>
            <w:r>
              <w:rPr>
                <w:rFonts w:hint="eastAsia" w:ascii="仿宋" w:hAnsi="仿宋" w:eastAsia="仿宋" w:cs="仿宋"/>
                <w:b w:val="0"/>
                <w:bCs/>
                <w:color w:val="auto"/>
                <w:sz w:val="28"/>
                <w:szCs w:val="28"/>
                <w:highlight w:val="none"/>
                <w:lang w:eastAsia="zh-CN"/>
              </w:rPr>
              <w:t>谈判响应文件</w:t>
            </w:r>
            <w:r>
              <w:rPr>
                <w:rFonts w:hint="eastAsia" w:ascii="仿宋" w:hAnsi="仿宋" w:eastAsia="仿宋" w:cs="仿宋"/>
                <w:b w:val="0"/>
                <w:bCs/>
                <w:color w:val="auto"/>
                <w:sz w:val="28"/>
                <w:szCs w:val="28"/>
                <w:highlight w:val="none"/>
              </w:rPr>
              <w:t>中所附证明材料</w:t>
            </w:r>
            <w:r>
              <w:rPr>
                <w:rFonts w:hint="eastAsia" w:ascii="仿宋" w:hAnsi="仿宋" w:eastAsia="仿宋" w:cs="仿宋"/>
                <w:b w:val="0"/>
                <w:bCs/>
                <w:color w:val="auto"/>
                <w:sz w:val="28"/>
                <w:szCs w:val="28"/>
                <w:highlight w:val="none"/>
                <w:lang w:eastAsia="zh-CN"/>
              </w:rPr>
              <w:t>（信用中国和中国政府采购网信用记录可不提供，由代理机构查询并留存）</w:t>
            </w:r>
            <w:r>
              <w:rPr>
                <w:rFonts w:hint="eastAsia" w:ascii="仿宋" w:hAnsi="仿宋" w:eastAsia="仿宋" w:cs="仿宋"/>
                <w:b w:val="0"/>
                <w:bCs/>
                <w:color w:val="auto"/>
                <w:sz w:val="28"/>
                <w:szCs w:val="28"/>
                <w:highlight w:val="none"/>
              </w:rPr>
              <w:t>为准，原件备查。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2.1.2</w:t>
            </w:r>
          </w:p>
        </w:tc>
        <w:tc>
          <w:tcPr>
            <w:tcW w:w="460" w:type="dxa"/>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符合性评审标准</w:t>
            </w:r>
          </w:p>
        </w:tc>
        <w:tc>
          <w:tcPr>
            <w:tcW w:w="461" w:type="dxa"/>
            <w:gridSpan w:val="2"/>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有效性审查</w:t>
            </w:r>
          </w:p>
        </w:tc>
        <w:tc>
          <w:tcPr>
            <w:tcW w:w="156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谈判响应文件</w:t>
            </w:r>
            <w:r>
              <w:rPr>
                <w:rFonts w:hint="eastAsia" w:ascii="仿宋" w:hAnsi="仿宋" w:eastAsia="仿宋" w:cs="仿宋"/>
                <w:b w:val="0"/>
                <w:bCs/>
                <w:color w:val="auto"/>
                <w:sz w:val="28"/>
                <w:szCs w:val="28"/>
                <w:highlight w:val="none"/>
              </w:rPr>
              <w:t>的签署盖章</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谈判响应文件</w:t>
            </w:r>
            <w:r>
              <w:rPr>
                <w:rFonts w:hint="eastAsia" w:ascii="仿宋" w:hAnsi="仿宋" w:eastAsia="仿宋" w:cs="仿宋"/>
                <w:b w:val="0"/>
                <w:bCs/>
                <w:color w:val="auto"/>
                <w:sz w:val="28"/>
                <w:szCs w:val="28"/>
                <w:highlight w:val="none"/>
              </w:rPr>
              <w:t>上法定代表人或其授权代表人的签字齐全并加盖公章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1" w:type="dxa"/>
            <w:gridSpan w:val="2"/>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156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谈判响应文件</w:t>
            </w:r>
            <w:r>
              <w:rPr>
                <w:rFonts w:hint="eastAsia" w:ascii="仿宋" w:hAnsi="仿宋" w:eastAsia="仿宋" w:cs="仿宋"/>
                <w:b w:val="0"/>
                <w:bCs/>
                <w:color w:val="auto"/>
                <w:sz w:val="28"/>
                <w:szCs w:val="28"/>
                <w:highlight w:val="none"/>
              </w:rPr>
              <w:t>格式</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应符合“</w:t>
            </w:r>
            <w:r>
              <w:rPr>
                <w:rFonts w:hint="eastAsia" w:ascii="仿宋" w:hAnsi="仿宋" w:eastAsia="仿宋" w:cs="仿宋"/>
                <w:b w:val="0"/>
                <w:bCs/>
                <w:color w:val="auto"/>
                <w:sz w:val="28"/>
                <w:szCs w:val="28"/>
                <w:highlight w:val="none"/>
                <w:lang w:eastAsia="zh-CN"/>
              </w:rPr>
              <w:t>谈判响应文件</w:t>
            </w:r>
            <w:r>
              <w:rPr>
                <w:rFonts w:hint="eastAsia" w:ascii="仿宋" w:hAnsi="仿宋" w:eastAsia="仿宋" w:cs="仿宋"/>
                <w:b w:val="0"/>
                <w:bCs/>
                <w:color w:val="auto"/>
                <w:sz w:val="28"/>
                <w:szCs w:val="28"/>
                <w:highlight w:val="none"/>
              </w:rPr>
              <w:t>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1" w:type="dxa"/>
            <w:gridSpan w:val="2"/>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156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报价唯一</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只能有一个有效报价，不得提交选择性报价，</w:t>
            </w:r>
            <w:r>
              <w:rPr>
                <w:rFonts w:hint="eastAsia" w:ascii="仿宋" w:hAnsi="仿宋" w:eastAsia="仿宋" w:cs="仿宋"/>
                <w:b w:val="0"/>
                <w:bCs/>
                <w:color w:val="auto"/>
                <w:sz w:val="28"/>
                <w:szCs w:val="28"/>
                <w:highlight w:val="none"/>
                <w:lang w:eastAsia="zh-CN"/>
              </w:rPr>
              <w:t>按要求提交二次或多次报价，</w:t>
            </w:r>
            <w:r>
              <w:rPr>
                <w:rFonts w:hint="eastAsia" w:ascii="仿宋" w:hAnsi="仿宋" w:eastAsia="仿宋" w:cs="仿宋"/>
                <w:b w:val="0"/>
                <w:bCs/>
                <w:color w:val="auto"/>
                <w:sz w:val="28"/>
                <w:szCs w:val="28"/>
                <w:highlight w:val="none"/>
              </w:rPr>
              <w:t>且</w:t>
            </w:r>
            <w:r>
              <w:rPr>
                <w:rFonts w:hint="eastAsia" w:ascii="仿宋" w:hAnsi="仿宋" w:eastAsia="仿宋" w:cs="仿宋"/>
                <w:b w:val="0"/>
                <w:bCs/>
                <w:color w:val="auto"/>
                <w:sz w:val="28"/>
                <w:szCs w:val="28"/>
                <w:highlight w:val="none"/>
                <w:lang w:eastAsia="zh-CN"/>
              </w:rPr>
              <w:t>每轮</w:t>
            </w:r>
            <w:r>
              <w:rPr>
                <w:rFonts w:hint="eastAsia" w:ascii="仿宋" w:hAnsi="仿宋" w:eastAsia="仿宋" w:cs="仿宋"/>
                <w:b w:val="0"/>
                <w:bCs/>
                <w:color w:val="auto"/>
                <w:sz w:val="28"/>
                <w:szCs w:val="28"/>
                <w:highlight w:val="none"/>
              </w:rPr>
              <w:t>报价不超过采购预算金额或最高限价。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461" w:type="dxa"/>
            <w:gridSpan w:val="2"/>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完整性审查</w:t>
            </w:r>
          </w:p>
        </w:tc>
        <w:tc>
          <w:tcPr>
            <w:tcW w:w="156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谈判响应文件</w:t>
            </w:r>
            <w:r>
              <w:rPr>
                <w:rFonts w:hint="eastAsia" w:ascii="仿宋" w:hAnsi="仿宋" w:eastAsia="仿宋" w:cs="仿宋"/>
                <w:b w:val="0"/>
                <w:bCs/>
                <w:color w:val="auto"/>
                <w:sz w:val="28"/>
                <w:szCs w:val="28"/>
                <w:highlight w:val="none"/>
              </w:rPr>
              <w:t>份数</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应符合“</w:t>
            </w:r>
            <w:r>
              <w:rPr>
                <w:rFonts w:hint="eastAsia" w:ascii="仿宋" w:hAnsi="仿宋" w:eastAsia="仿宋" w:cs="仿宋"/>
                <w:b w:val="0"/>
                <w:bCs/>
                <w:color w:val="auto"/>
                <w:sz w:val="28"/>
                <w:szCs w:val="28"/>
                <w:highlight w:val="none"/>
                <w:lang w:eastAsia="zh-CN"/>
              </w:rPr>
              <w:t>供应商</w:t>
            </w:r>
            <w:r>
              <w:rPr>
                <w:rFonts w:hint="eastAsia" w:ascii="仿宋" w:hAnsi="仿宋" w:eastAsia="仿宋" w:cs="仿宋"/>
                <w:b w:val="0"/>
                <w:bCs/>
                <w:color w:val="auto"/>
                <w:sz w:val="28"/>
                <w:szCs w:val="28"/>
                <w:highlight w:val="none"/>
              </w:rPr>
              <w:t>须知前附表”规定的正本、副本、电子文件数量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1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1" w:type="dxa"/>
            <w:gridSpan w:val="2"/>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156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谈判响应文件</w:t>
            </w:r>
            <w:r>
              <w:rPr>
                <w:rFonts w:hint="eastAsia" w:ascii="仿宋" w:hAnsi="仿宋" w:eastAsia="仿宋" w:cs="仿宋"/>
                <w:b w:val="0"/>
                <w:bCs/>
                <w:color w:val="auto"/>
                <w:sz w:val="28"/>
                <w:szCs w:val="28"/>
                <w:highlight w:val="none"/>
              </w:rPr>
              <w:t>内容</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谈判响应文件</w:t>
            </w:r>
            <w:r>
              <w:rPr>
                <w:rFonts w:hint="eastAsia" w:ascii="仿宋" w:hAnsi="仿宋" w:eastAsia="仿宋" w:cs="仿宋"/>
                <w:b w:val="0"/>
                <w:bCs/>
                <w:color w:val="auto"/>
                <w:sz w:val="28"/>
                <w:szCs w:val="28"/>
                <w:highlight w:val="none"/>
              </w:rPr>
              <w:t>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461" w:type="dxa"/>
            <w:gridSpan w:val="2"/>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响应性审查</w:t>
            </w:r>
          </w:p>
        </w:tc>
        <w:tc>
          <w:tcPr>
            <w:tcW w:w="1569" w:type="dxa"/>
            <w:vMerge w:val="restart"/>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对</w:t>
            </w:r>
            <w:r>
              <w:rPr>
                <w:rFonts w:hint="eastAsia" w:ascii="仿宋" w:hAnsi="仿宋" w:eastAsia="仿宋" w:cs="仿宋"/>
                <w:b w:val="0"/>
                <w:bCs/>
                <w:color w:val="auto"/>
                <w:sz w:val="28"/>
                <w:szCs w:val="28"/>
                <w:highlight w:val="none"/>
                <w:lang w:eastAsia="zh-CN"/>
              </w:rPr>
              <w:t>谈判文件</w:t>
            </w:r>
            <w:r>
              <w:rPr>
                <w:rFonts w:hint="eastAsia" w:ascii="仿宋" w:hAnsi="仿宋" w:eastAsia="仿宋" w:cs="仿宋"/>
                <w:b w:val="0"/>
                <w:bCs/>
                <w:color w:val="auto"/>
                <w:sz w:val="28"/>
                <w:szCs w:val="28"/>
                <w:highlight w:val="none"/>
              </w:rPr>
              <w:t>响应程度</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响应</w:t>
            </w:r>
            <w:r>
              <w:rPr>
                <w:rFonts w:hint="eastAsia" w:ascii="仿宋" w:hAnsi="仿宋" w:eastAsia="仿宋" w:cs="仿宋"/>
                <w:b w:val="0"/>
                <w:bCs/>
                <w:color w:val="auto"/>
                <w:sz w:val="28"/>
                <w:szCs w:val="28"/>
                <w:highlight w:val="none"/>
                <w:lang w:eastAsia="zh-CN"/>
              </w:rPr>
              <w:t>文件中</w:t>
            </w:r>
            <w:r>
              <w:rPr>
                <w:rFonts w:hint="eastAsia" w:ascii="仿宋" w:hAnsi="仿宋" w:eastAsia="仿宋" w:cs="仿宋"/>
                <w:b w:val="0"/>
                <w:bCs/>
                <w:color w:val="auto"/>
                <w:sz w:val="28"/>
                <w:szCs w:val="28"/>
                <w:highlight w:val="none"/>
              </w:rPr>
              <w:t>不能有采购人不能接受的附加条件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461"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569"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投标内容出现漏项或数量与要求不符，出现重大负偏差影响采购人使用的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01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461" w:type="dxa"/>
            <w:gridSpan w:val="2"/>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1569" w:type="dxa"/>
            <w:vMerge w:val="continue"/>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技术指标提供虚假指标或者达不到</w:t>
            </w:r>
            <w:r>
              <w:rPr>
                <w:rFonts w:hint="eastAsia" w:ascii="仿宋" w:hAnsi="仿宋" w:eastAsia="仿宋" w:cs="仿宋"/>
                <w:b w:val="0"/>
                <w:bCs/>
                <w:color w:val="auto"/>
                <w:sz w:val="28"/>
                <w:szCs w:val="28"/>
                <w:highlight w:val="none"/>
                <w:lang w:eastAsia="zh-CN"/>
              </w:rPr>
              <w:t>谈判</w:t>
            </w:r>
            <w:r>
              <w:rPr>
                <w:rFonts w:hint="eastAsia" w:ascii="仿宋" w:hAnsi="仿宋" w:eastAsia="仿宋" w:cs="仿宋"/>
                <w:b w:val="0"/>
                <w:bCs/>
                <w:color w:val="auto"/>
                <w:sz w:val="28"/>
                <w:szCs w:val="28"/>
                <w:highlight w:val="none"/>
              </w:rPr>
              <w:t>文件要求，降低了产品档次或影响产品性能、功能的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1" w:type="dxa"/>
            <w:gridSpan w:val="2"/>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156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交货</w:t>
            </w:r>
            <w:r>
              <w:rPr>
                <w:rFonts w:hint="eastAsia" w:ascii="仿宋" w:hAnsi="仿宋" w:eastAsia="仿宋" w:cs="仿宋"/>
                <w:b w:val="0"/>
                <w:bCs/>
                <w:color w:val="auto"/>
                <w:sz w:val="28"/>
                <w:szCs w:val="28"/>
                <w:highlight w:val="none"/>
              </w:rPr>
              <w:t>期</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应满足</w:t>
            </w:r>
            <w:r>
              <w:rPr>
                <w:rFonts w:hint="eastAsia" w:ascii="仿宋" w:hAnsi="仿宋" w:eastAsia="仿宋" w:cs="仿宋"/>
                <w:b w:val="0"/>
                <w:bCs/>
                <w:color w:val="auto"/>
                <w:sz w:val="28"/>
                <w:szCs w:val="28"/>
                <w:highlight w:val="none"/>
                <w:lang w:eastAsia="zh-CN"/>
              </w:rPr>
              <w:t>谈判文件</w:t>
            </w:r>
            <w:r>
              <w:rPr>
                <w:rFonts w:hint="eastAsia" w:ascii="仿宋" w:hAnsi="仿宋" w:eastAsia="仿宋" w:cs="仿宋"/>
                <w:b w:val="0"/>
                <w:bCs/>
                <w:color w:val="auto"/>
                <w:sz w:val="28"/>
                <w:szCs w:val="28"/>
                <w:highlight w:val="none"/>
              </w:rPr>
              <w:t>中要求的</w:t>
            </w:r>
            <w:r>
              <w:rPr>
                <w:rFonts w:hint="eastAsia" w:ascii="仿宋" w:hAnsi="仿宋" w:eastAsia="仿宋" w:cs="仿宋"/>
                <w:b w:val="0"/>
                <w:bCs/>
                <w:color w:val="auto"/>
                <w:sz w:val="28"/>
                <w:szCs w:val="28"/>
                <w:highlight w:val="none"/>
                <w:lang w:eastAsia="zh-CN"/>
              </w:rPr>
              <w:t>交货</w:t>
            </w:r>
            <w:r>
              <w:rPr>
                <w:rFonts w:hint="eastAsia" w:ascii="仿宋" w:hAnsi="仿宋" w:eastAsia="仿宋" w:cs="仿宋"/>
                <w:b w:val="0"/>
                <w:bCs/>
                <w:color w:val="auto"/>
                <w:sz w:val="28"/>
                <w:szCs w:val="28"/>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1" w:type="dxa"/>
            <w:gridSpan w:val="2"/>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156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eastAsia="zh-CN"/>
              </w:rPr>
              <w:t>实施</w:t>
            </w:r>
            <w:r>
              <w:rPr>
                <w:rFonts w:hint="eastAsia" w:ascii="仿宋" w:hAnsi="仿宋" w:eastAsia="仿宋" w:cs="仿宋"/>
                <w:b w:val="0"/>
                <w:bCs/>
                <w:color w:val="auto"/>
                <w:sz w:val="28"/>
                <w:szCs w:val="28"/>
                <w:highlight w:val="none"/>
              </w:rPr>
              <w:t>地点</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应满足</w:t>
            </w:r>
            <w:r>
              <w:rPr>
                <w:rFonts w:hint="eastAsia" w:ascii="仿宋" w:hAnsi="仿宋" w:eastAsia="仿宋" w:cs="仿宋"/>
                <w:b w:val="0"/>
                <w:bCs/>
                <w:color w:val="auto"/>
                <w:sz w:val="28"/>
                <w:szCs w:val="28"/>
                <w:highlight w:val="none"/>
                <w:lang w:eastAsia="zh-CN"/>
              </w:rPr>
              <w:t>谈判文件</w:t>
            </w:r>
            <w:r>
              <w:rPr>
                <w:rFonts w:hint="eastAsia" w:ascii="仿宋" w:hAnsi="仿宋" w:eastAsia="仿宋" w:cs="仿宋"/>
                <w:b w:val="0"/>
                <w:bCs/>
                <w:color w:val="auto"/>
                <w:sz w:val="28"/>
                <w:szCs w:val="28"/>
                <w:highlight w:val="none"/>
              </w:rPr>
              <w:t>中要求的</w:t>
            </w:r>
            <w:r>
              <w:rPr>
                <w:rFonts w:hint="eastAsia" w:ascii="仿宋" w:hAnsi="仿宋" w:eastAsia="仿宋" w:cs="仿宋"/>
                <w:b w:val="0"/>
                <w:bCs/>
                <w:color w:val="auto"/>
                <w:sz w:val="28"/>
                <w:szCs w:val="28"/>
                <w:highlight w:val="none"/>
                <w:lang w:eastAsia="zh-CN"/>
              </w:rPr>
              <w:t>实施</w:t>
            </w:r>
            <w:r>
              <w:rPr>
                <w:rFonts w:hint="eastAsia" w:ascii="仿宋" w:hAnsi="仿宋" w:eastAsia="仿宋" w:cs="仿宋"/>
                <w:b w:val="0"/>
                <w:bCs/>
                <w:color w:val="auto"/>
                <w:sz w:val="28"/>
                <w:szCs w:val="28"/>
                <w:highlight w:val="none"/>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0" w:type="dxa"/>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461" w:type="dxa"/>
            <w:gridSpan w:val="2"/>
            <w:vMerge w:val="continue"/>
            <w:noWrap w:val="0"/>
            <w:vAlign w:val="top"/>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line="360" w:lineRule="auto"/>
              <w:ind w:left="0" w:right="0"/>
              <w:jc w:val="center"/>
              <w:rPr>
                <w:rFonts w:hint="eastAsia" w:ascii="仿宋" w:hAnsi="仿宋" w:eastAsia="仿宋" w:cs="仿宋"/>
                <w:b w:val="0"/>
                <w:bCs/>
                <w:color w:val="auto"/>
                <w:sz w:val="28"/>
                <w:szCs w:val="28"/>
                <w:highlight w:val="none"/>
              </w:rPr>
            </w:pPr>
          </w:p>
        </w:tc>
        <w:tc>
          <w:tcPr>
            <w:tcW w:w="156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center"/>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投标有效期</w:t>
            </w:r>
          </w:p>
        </w:tc>
        <w:tc>
          <w:tcPr>
            <w:tcW w:w="6019" w:type="dxa"/>
            <w:noWrap w:val="0"/>
            <w:vAlign w:val="center"/>
          </w:tcPr>
          <w:p>
            <w:pPr>
              <w:keepNext w:val="0"/>
              <w:keepLines w:val="0"/>
              <w:pageBreakBefore w:val="0"/>
              <w:widowControl w:val="0"/>
              <w:suppressLineNumbers w:val="0"/>
              <w:tabs>
                <w:tab w:val="left" w:pos="0"/>
              </w:tabs>
              <w:kinsoku/>
              <w:overflowPunct/>
              <w:bidi w:val="0"/>
              <w:adjustRightInd w:val="0"/>
              <w:snapToGrid w:val="0"/>
              <w:spacing w:before="0" w:beforeAutospacing="0" w:after="0" w:afterAutospacing="0"/>
              <w:ind w:left="0" w:right="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应满足</w:t>
            </w:r>
            <w:r>
              <w:rPr>
                <w:rFonts w:hint="eastAsia" w:ascii="仿宋" w:hAnsi="仿宋" w:eastAsia="仿宋" w:cs="仿宋"/>
                <w:b w:val="0"/>
                <w:bCs/>
                <w:color w:val="auto"/>
                <w:sz w:val="28"/>
                <w:szCs w:val="28"/>
                <w:highlight w:val="none"/>
                <w:lang w:eastAsia="zh-CN"/>
              </w:rPr>
              <w:t>谈判文件</w:t>
            </w:r>
            <w:r>
              <w:rPr>
                <w:rFonts w:hint="eastAsia" w:ascii="仿宋" w:hAnsi="仿宋" w:eastAsia="仿宋" w:cs="仿宋"/>
                <w:b w:val="0"/>
                <w:bCs/>
                <w:color w:val="auto"/>
                <w:sz w:val="28"/>
                <w:szCs w:val="28"/>
                <w:highlight w:val="none"/>
              </w:rPr>
              <w:t>中的规定</w:t>
            </w:r>
          </w:p>
        </w:tc>
      </w:tr>
    </w:tbl>
    <w:p>
      <w:pPr>
        <w:pageBreakBefore w:val="0"/>
        <w:widowControl w:val="0"/>
        <w:kinsoku/>
        <w:wordWrap w:val="0"/>
        <w:overflowPunct/>
        <w:bidi w:val="0"/>
        <w:spacing w:line="500" w:lineRule="exact"/>
        <w:ind w:firstLine="560" w:firstLineChars="2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本次评标采用低价优先进行评审。即在通过</w:t>
      </w:r>
      <w:r>
        <w:rPr>
          <w:rFonts w:hint="eastAsia" w:ascii="仿宋" w:hAnsi="仿宋" w:eastAsia="仿宋" w:cs="仿宋"/>
          <w:sz w:val="28"/>
          <w:szCs w:val="28"/>
          <w:highlight w:val="none"/>
          <w:lang w:val="en-US" w:eastAsia="zh-CN"/>
        </w:rPr>
        <w:t>所有</w:t>
      </w:r>
      <w:r>
        <w:rPr>
          <w:rFonts w:hint="eastAsia" w:ascii="仿宋" w:hAnsi="仿宋" w:eastAsia="仿宋" w:cs="仿宋"/>
          <w:sz w:val="28"/>
          <w:szCs w:val="28"/>
          <w:highlight w:val="none"/>
        </w:rPr>
        <w:t>评审的供应商中，按照最后报价由低到高的顺序提出三名成交候选人并编写评审报告，低于成本价的或超过采购人可以接受价格的除外。</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政策性扣减：</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）供应商符合小型、微型企业或监狱企业条件的，其谈判报价价格评审时将按“谈判报价×</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lang w:eastAsia="zh-CN"/>
        </w:rPr>
        <w:t>%”进行扣减，用扣除后的价格参与评审。</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）在政府采购活动中，残疾人福利性单位视同小型、微型企业，残疾人福利性单位属于小型、微型企业的，不重复享受政策。</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）供应商符合小型、微型企业或监狱企业条件的，其谈判报价价格评审时将按相应比例进行扣减。在谈判报价的基础上，小型、微型企业或达到小型、微型企业划分标准的监狱企业，按“谈判报价×</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lang w:eastAsia="zh-CN"/>
        </w:rPr>
        <w:t>%”进行扣减，用扣除后的价格参与评审。</w:t>
      </w:r>
    </w:p>
    <w:p>
      <w:pPr>
        <w:pageBreakBefore w:val="0"/>
        <w:widowControl w:val="0"/>
        <w:kinsoku/>
        <w:wordWrap w:val="0"/>
        <w:overflowPunct/>
        <w:bidi w:val="0"/>
        <w:spacing w:line="500" w:lineRule="exact"/>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4-3、评议内容</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（1）竞争性谈判响应文件资格评审：包括基本资格条件</w:t>
      </w:r>
      <w:r>
        <w:rPr>
          <w:rFonts w:hint="eastAsia" w:ascii="仿宋" w:hAnsi="仿宋" w:eastAsia="仿宋" w:cs="仿宋"/>
          <w:sz w:val="28"/>
          <w:szCs w:val="28"/>
          <w:highlight w:val="none"/>
          <w:lang w:eastAsia="zh-CN"/>
        </w:rPr>
        <w:t>、落实政府采购政策需满足的资格要求及特定资格条件</w:t>
      </w:r>
      <w:r>
        <w:rPr>
          <w:rFonts w:hint="eastAsia" w:ascii="仿宋" w:hAnsi="仿宋" w:eastAsia="仿宋" w:cs="仿宋"/>
          <w:sz w:val="28"/>
          <w:szCs w:val="28"/>
          <w:highlight w:val="none"/>
        </w:rPr>
        <w:t>。</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（2）竞争性谈判响应文件符合性评审：包括有效性审查、完整性审查</w:t>
      </w:r>
      <w:r>
        <w:rPr>
          <w:rFonts w:hint="eastAsia" w:ascii="仿宋" w:hAnsi="仿宋" w:eastAsia="仿宋" w:cs="仿宋"/>
          <w:sz w:val="28"/>
          <w:szCs w:val="28"/>
          <w:highlight w:val="none"/>
          <w:lang w:eastAsia="zh-CN"/>
        </w:rPr>
        <w:t>及响应性审查</w:t>
      </w:r>
      <w:r>
        <w:rPr>
          <w:rFonts w:hint="eastAsia" w:ascii="仿宋" w:hAnsi="仿宋" w:eastAsia="仿宋" w:cs="仿宋"/>
          <w:sz w:val="28"/>
          <w:szCs w:val="28"/>
          <w:highlight w:val="none"/>
        </w:rPr>
        <w:t>。</w:t>
      </w:r>
    </w:p>
    <w:p>
      <w:pPr>
        <w:pageBreakBefore w:val="0"/>
        <w:widowControl w:val="0"/>
        <w:kinsoku/>
        <w:wordWrap w:val="0"/>
        <w:overflowPunct/>
        <w:bidi w:val="0"/>
        <w:spacing w:line="500" w:lineRule="exact"/>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4-4、评标程序</w:t>
      </w:r>
    </w:p>
    <w:p>
      <w:pPr>
        <w:pageBreakBefore w:val="0"/>
        <w:widowControl w:val="0"/>
        <w:kinsoku/>
        <w:wordWrap w:val="0"/>
        <w:overflowPunct/>
        <w:bidi w:val="0"/>
        <w:spacing w:line="500" w:lineRule="exact"/>
        <w:ind w:firstLine="562" w:firstLineChars="200"/>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rPr>
        <w:t>第一、由</w:t>
      </w:r>
      <w:r>
        <w:rPr>
          <w:rFonts w:hint="eastAsia" w:ascii="仿宋" w:hAnsi="仿宋" w:eastAsia="仿宋" w:cs="仿宋"/>
          <w:b/>
          <w:bCs/>
          <w:sz w:val="28"/>
          <w:szCs w:val="28"/>
          <w:highlight w:val="none"/>
          <w:lang w:val="en-US" w:eastAsia="zh-CN"/>
        </w:rPr>
        <w:t>谈判小组</w:t>
      </w:r>
      <w:r>
        <w:rPr>
          <w:rFonts w:hint="eastAsia" w:ascii="仿宋" w:hAnsi="仿宋" w:eastAsia="仿宋" w:cs="仿宋"/>
          <w:b/>
          <w:bCs/>
          <w:sz w:val="28"/>
          <w:szCs w:val="28"/>
          <w:highlight w:val="none"/>
          <w:lang w:eastAsia="zh-CN"/>
        </w:rPr>
        <w:t>对</w:t>
      </w:r>
      <w:r>
        <w:rPr>
          <w:rFonts w:hint="eastAsia" w:ascii="仿宋" w:hAnsi="仿宋" w:eastAsia="仿宋" w:cs="仿宋"/>
          <w:b/>
          <w:bCs/>
          <w:sz w:val="28"/>
          <w:szCs w:val="28"/>
          <w:highlight w:val="none"/>
        </w:rPr>
        <w:t>供应商</w:t>
      </w:r>
      <w:r>
        <w:rPr>
          <w:rFonts w:hint="eastAsia" w:ascii="仿宋" w:hAnsi="仿宋" w:eastAsia="仿宋" w:cs="仿宋"/>
          <w:b/>
          <w:bCs/>
          <w:sz w:val="28"/>
          <w:szCs w:val="28"/>
          <w:highlight w:val="none"/>
          <w:lang w:eastAsia="zh-CN"/>
        </w:rPr>
        <w:t>进行资格评审。</w:t>
      </w:r>
    </w:p>
    <w:p>
      <w:pPr>
        <w:pageBreakBefore w:val="0"/>
        <w:widowControl w:val="0"/>
        <w:kinsoku/>
        <w:wordWrap w:val="0"/>
        <w:overflowPunct/>
        <w:bidi w:val="0"/>
        <w:spacing w:line="500" w:lineRule="exact"/>
        <w:ind w:firstLine="562" w:firstLineChars="200"/>
        <w:rPr>
          <w:rFonts w:hint="eastAsia" w:ascii="仿宋" w:hAnsi="仿宋" w:eastAsia="仿宋" w:cs="仿宋"/>
          <w:b/>
          <w:sz w:val="28"/>
          <w:szCs w:val="28"/>
          <w:highlight w:val="none"/>
        </w:rPr>
      </w:pPr>
      <w:r>
        <w:rPr>
          <w:rFonts w:hint="eastAsia" w:ascii="仿宋" w:hAnsi="仿宋" w:eastAsia="仿宋" w:cs="仿宋"/>
          <w:b/>
          <w:bCs/>
          <w:sz w:val="28"/>
          <w:szCs w:val="28"/>
          <w:highlight w:val="none"/>
        </w:rPr>
        <w:t>第二、由谈判小组对资格</w:t>
      </w:r>
      <w:r>
        <w:rPr>
          <w:rFonts w:hint="eastAsia" w:ascii="仿宋" w:hAnsi="仿宋" w:eastAsia="仿宋" w:cs="仿宋"/>
          <w:b/>
          <w:bCs/>
          <w:sz w:val="28"/>
          <w:szCs w:val="28"/>
          <w:highlight w:val="none"/>
          <w:lang w:eastAsia="zh-CN"/>
        </w:rPr>
        <w:t>评</w:t>
      </w:r>
      <w:r>
        <w:rPr>
          <w:rFonts w:hint="eastAsia" w:ascii="仿宋" w:hAnsi="仿宋" w:eastAsia="仿宋" w:cs="仿宋"/>
          <w:b/>
          <w:bCs/>
          <w:sz w:val="28"/>
          <w:szCs w:val="28"/>
          <w:highlight w:val="none"/>
        </w:rPr>
        <w:t>审合格的供应商的竞争性谈判响应文件进行符合性评审。</w:t>
      </w:r>
    </w:p>
    <w:p>
      <w:pPr>
        <w:pageBreakBefore w:val="0"/>
        <w:widowControl w:val="0"/>
        <w:kinsoku/>
        <w:wordWrap w:val="0"/>
        <w:overflowPunct/>
        <w:bidi w:val="0"/>
        <w:spacing w:line="500" w:lineRule="exact"/>
        <w:ind w:firstLine="562" w:firstLineChars="200"/>
        <w:jc w:val="left"/>
        <w:rPr>
          <w:rFonts w:hint="eastAsia" w:ascii="仿宋" w:hAnsi="仿宋" w:eastAsia="仿宋" w:cs="仿宋"/>
          <w:b/>
          <w:sz w:val="28"/>
          <w:szCs w:val="28"/>
          <w:highlight w:val="none"/>
        </w:rPr>
      </w:pPr>
      <w:r>
        <w:rPr>
          <w:rFonts w:hint="eastAsia" w:ascii="仿宋" w:hAnsi="仿宋" w:eastAsia="仿宋" w:cs="仿宋"/>
          <w:b/>
          <w:sz w:val="28"/>
          <w:szCs w:val="28"/>
          <w:highlight w:val="none"/>
        </w:rPr>
        <w:t>第三、通过</w:t>
      </w:r>
      <w:r>
        <w:rPr>
          <w:rFonts w:hint="eastAsia" w:ascii="仿宋" w:hAnsi="仿宋" w:eastAsia="仿宋" w:cs="仿宋"/>
          <w:b/>
          <w:sz w:val="28"/>
          <w:szCs w:val="28"/>
          <w:highlight w:val="none"/>
          <w:lang w:eastAsia="zh-CN"/>
        </w:rPr>
        <w:t>资格评审及符合性评审</w:t>
      </w:r>
      <w:r>
        <w:rPr>
          <w:rFonts w:hint="eastAsia" w:ascii="仿宋" w:hAnsi="仿宋" w:eastAsia="仿宋" w:cs="仿宋"/>
          <w:b/>
          <w:sz w:val="28"/>
          <w:szCs w:val="28"/>
          <w:highlight w:val="none"/>
        </w:rPr>
        <w:t>的供应商，方可进入再次报价。</w:t>
      </w:r>
    </w:p>
    <w:p>
      <w:pPr>
        <w:pageBreakBefore w:val="0"/>
        <w:widowControl w:val="0"/>
        <w:kinsoku/>
        <w:wordWrap w:val="0"/>
        <w:overflowPunct/>
        <w:bidi w:val="0"/>
        <w:spacing w:line="500" w:lineRule="exact"/>
        <w:ind w:firstLine="562" w:firstLineChars="200"/>
        <w:jc w:val="left"/>
        <w:rPr>
          <w:rFonts w:hint="eastAsia" w:ascii="仿宋" w:hAnsi="仿宋" w:eastAsia="仿宋" w:cs="仿宋"/>
          <w:sz w:val="28"/>
          <w:szCs w:val="28"/>
          <w:highlight w:val="none"/>
        </w:rPr>
      </w:pPr>
      <w:r>
        <w:rPr>
          <w:rFonts w:hint="eastAsia" w:ascii="仿宋" w:hAnsi="仿宋" w:eastAsia="仿宋" w:cs="仿宋"/>
          <w:b/>
          <w:sz w:val="28"/>
          <w:szCs w:val="28"/>
          <w:highlight w:val="none"/>
        </w:rPr>
        <w:t>第四、专家按照最终报价由低到高的顺序提出三名成交候选人。</w:t>
      </w:r>
    </w:p>
    <w:p>
      <w:pPr>
        <w:pageBreakBefore w:val="0"/>
        <w:widowControl w:val="0"/>
        <w:kinsoku/>
        <w:wordWrap w:val="0"/>
        <w:overflowPunct/>
        <w:bidi w:val="0"/>
        <w:spacing w:line="500" w:lineRule="exact"/>
        <w:ind w:firstLine="551" w:firstLineChars="196"/>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5、特殊情况处理</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5-1、评议过程中，若出现本评议方法以外的特殊情况时，将暂停评审，待谈判小组商榷后再进行复会。</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5-2、若出现谈判报价相同时，由全体谈判小组成员根据技术总体优势高低进行无记名投票，得票高者为第一成交候选人。</w:t>
      </w:r>
    </w:p>
    <w:p>
      <w:pPr>
        <w:pageBreakBefore w:val="0"/>
        <w:widowControl w:val="0"/>
        <w:kinsoku/>
        <w:wordWrap w:val="0"/>
        <w:overflowPunct/>
        <w:bidi w:val="0"/>
        <w:spacing w:line="500" w:lineRule="exact"/>
        <w:ind w:firstLine="280" w:firstLineChars="1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5-3、排名第一的成交候选人放弃中标、因不可抗力不能履行合同，或被查是在投标时存在不能履约的盲目响应、提供虚假材料、供应商经营异常或者前三年违法经营被有关部门处理。或因被查实存在影响成交结果的其它违法、违规行为等情形，不符合成交条件的，采购人可以按照谈判小组提出的成交候选人名单排序依次确定其他成交候选人为中标人，也可以根据实际情况需要，依法重新招标。</w:t>
      </w:r>
    </w:p>
    <w:p>
      <w:pPr>
        <w:pageBreakBefore w:val="0"/>
        <w:widowControl w:val="0"/>
        <w:kinsoku/>
        <w:wordWrap w:val="0"/>
        <w:overflowPunct/>
        <w:bidi w:val="0"/>
        <w:spacing w:line="500" w:lineRule="exact"/>
        <w:ind w:firstLine="562" w:firstLineChars="200"/>
        <w:outlineLvl w:val="1"/>
        <w:rPr>
          <w:rFonts w:hint="eastAsia" w:ascii="仿宋" w:hAnsi="仿宋" w:eastAsia="仿宋" w:cs="仿宋"/>
          <w:b/>
          <w:sz w:val="28"/>
          <w:szCs w:val="28"/>
          <w:highlight w:val="none"/>
        </w:rPr>
      </w:pPr>
      <w:bookmarkStart w:id="35" w:name="_Toc11209"/>
      <w:r>
        <w:rPr>
          <w:rFonts w:hint="eastAsia" w:ascii="仿宋" w:hAnsi="仿宋" w:eastAsia="仿宋" w:cs="仿宋"/>
          <w:b/>
          <w:sz w:val="28"/>
          <w:szCs w:val="28"/>
          <w:highlight w:val="none"/>
        </w:rPr>
        <w:t>六、成交通知</w:t>
      </w:r>
      <w:bookmarkEnd w:id="33"/>
      <w:bookmarkEnd w:id="34"/>
      <w:bookmarkEnd w:id="35"/>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1、确定成交单位</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谈判小组向采购人提出书面评审报告并推荐合格的成交候选人，采购人根据谈判小组提交的评审报告和采购代理机构的《成交确认函》确定成交单位。</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采购代理机构接到采购人的《定标复函》后，将成交结果在《陕西省政府采购网》上进行公告。公告公示期内，其他供应商若有异议，按《中华人民共和国政府采购法》第52条执行。若无异议，采购代理机构向成交单位发出成交通知书。</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2、采购代理机构不做未成交原因的解释。</w:t>
      </w:r>
    </w:p>
    <w:p>
      <w:pPr>
        <w:pageBreakBefore w:val="0"/>
        <w:widowControl w:val="0"/>
        <w:kinsoku/>
        <w:wordWrap w:val="0"/>
        <w:overflowPunct/>
        <w:bidi w:val="0"/>
        <w:adjustRightInd w:val="0"/>
        <w:snapToGrid w:val="0"/>
        <w:spacing w:line="500" w:lineRule="exact"/>
        <w:ind w:firstLine="562" w:firstLineChars="200"/>
        <w:outlineLvl w:val="1"/>
        <w:rPr>
          <w:rFonts w:hint="eastAsia" w:ascii="仿宋" w:hAnsi="仿宋" w:eastAsia="仿宋" w:cs="仿宋"/>
          <w:sz w:val="28"/>
          <w:szCs w:val="28"/>
          <w:highlight w:val="none"/>
        </w:rPr>
      </w:pPr>
      <w:bookmarkStart w:id="36" w:name="_Toc11940"/>
      <w:bookmarkStart w:id="37" w:name="_Toc19444"/>
      <w:bookmarkStart w:id="38" w:name="_Toc17483"/>
      <w:r>
        <w:rPr>
          <w:rFonts w:hint="eastAsia" w:ascii="仿宋" w:hAnsi="仿宋" w:eastAsia="仿宋" w:cs="仿宋"/>
          <w:b/>
          <w:sz w:val="28"/>
          <w:szCs w:val="28"/>
          <w:highlight w:val="none"/>
        </w:rPr>
        <w:t>七、合同授予</w:t>
      </w:r>
      <w:bookmarkEnd w:id="36"/>
      <w:bookmarkEnd w:id="37"/>
      <w:bookmarkEnd w:id="38"/>
    </w:p>
    <w:p>
      <w:pPr>
        <w:pageBreakBefore w:val="0"/>
        <w:widowControl w:val="0"/>
        <w:kinsoku/>
        <w:wordWrap w:val="0"/>
        <w:overflowPunct/>
        <w:bidi w:val="0"/>
        <w:adjustRightInd w:val="0"/>
        <w:snapToGrid w:val="0"/>
        <w:spacing w:line="500" w:lineRule="exact"/>
        <w:ind w:firstLine="560" w:firstLineChars="200"/>
        <w:rPr>
          <w:rFonts w:hint="eastAsia" w:ascii="仿宋" w:hAnsi="仿宋" w:eastAsia="仿宋" w:cs="仿宋"/>
          <w:b/>
          <w:sz w:val="28"/>
          <w:szCs w:val="28"/>
          <w:highlight w:val="none"/>
        </w:rPr>
      </w:pPr>
      <w:r>
        <w:rPr>
          <w:rFonts w:hint="eastAsia" w:ascii="仿宋" w:hAnsi="仿宋" w:eastAsia="仿宋" w:cs="仿宋"/>
          <w:sz w:val="28"/>
          <w:szCs w:val="28"/>
          <w:highlight w:val="none"/>
        </w:rPr>
        <w:t>1、成交通知书将是合同的重要组成部分。</w:t>
      </w:r>
    </w:p>
    <w:p>
      <w:pPr>
        <w:pageBreakBefore w:val="0"/>
        <w:widowControl w:val="0"/>
        <w:kinsoku/>
        <w:wordWrap w:val="0"/>
        <w:overflowPunct/>
        <w:bidi w:val="0"/>
        <w:spacing w:line="500" w:lineRule="exact"/>
        <w:ind w:firstLine="560" w:firstLineChars="2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2、竞争性谈判文件、成交单位的竞争性谈判响应文件及评议过程中有关的澄清文件均作为合同附件。</w:t>
      </w:r>
    </w:p>
    <w:p>
      <w:pPr>
        <w:pageBreakBefore w:val="0"/>
        <w:widowControl w:val="0"/>
        <w:kinsoku/>
        <w:wordWrap w:val="0"/>
        <w:overflowPunct/>
        <w:bidi w:val="0"/>
        <w:adjustRightInd w:val="0"/>
        <w:snapToGrid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3、签订合同</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成交单位在收到成交通知书后三十个日历日内，应按竞争性谈判文件的要求，持成交通知书、法人授权委托书等与采购人签订合同。</w:t>
      </w:r>
    </w:p>
    <w:p>
      <w:pPr>
        <w:pageBreakBefore w:val="0"/>
        <w:widowControl w:val="0"/>
        <w:kinsoku/>
        <w:wordWrap w:val="0"/>
        <w:overflowPunct/>
        <w:bidi w:val="0"/>
        <w:spacing w:line="500" w:lineRule="exact"/>
        <w:ind w:left="420" w:leftChars="200"/>
        <w:jc w:val="left"/>
        <w:outlineLvl w:val="1"/>
        <w:rPr>
          <w:rFonts w:hint="eastAsia" w:ascii="仿宋" w:hAnsi="仿宋" w:eastAsia="仿宋" w:cs="仿宋"/>
          <w:b/>
          <w:sz w:val="28"/>
          <w:szCs w:val="28"/>
          <w:highlight w:val="none"/>
        </w:rPr>
      </w:pPr>
      <w:bookmarkStart w:id="39" w:name="_Toc23308"/>
      <w:bookmarkStart w:id="40" w:name="_Toc7438"/>
      <w:bookmarkStart w:id="41" w:name="_Toc4794"/>
      <w:r>
        <w:rPr>
          <w:rFonts w:hint="eastAsia" w:ascii="仿宋" w:hAnsi="仿宋" w:eastAsia="仿宋" w:cs="仿宋"/>
          <w:b/>
          <w:sz w:val="28"/>
          <w:szCs w:val="28"/>
          <w:highlight w:val="none"/>
        </w:rPr>
        <w:t>八、成交服务费</w:t>
      </w:r>
      <w:bookmarkEnd w:id="39"/>
      <w:bookmarkEnd w:id="40"/>
      <w:bookmarkEnd w:id="41"/>
    </w:p>
    <w:p>
      <w:pPr>
        <w:pageBreakBefore w:val="0"/>
        <w:widowControl w:val="0"/>
        <w:kinsoku/>
        <w:wordWrap w:val="0"/>
        <w:overflowPunct/>
        <w:bidi w:val="0"/>
        <w:spacing w:line="500" w:lineRule="exact"/>
        <w:ind w:firstLine="560" w:firstLineChars="200"/>
        <w:rPr>
          <w:rFonts w:hint="eastAsia" w:ascii="仿宋" w:hAnsi="仿宋" w:eastAsia="仿宋" w:cs="仿宋"/>
          <w:bCs/>
          <w:color w:val="000000"/>
          <w:sz w:val="28"/>
          <w:szCs w:val="28"/>
          <w:highlight w:val="none"/>
        </w:rPr>
      </w:pPr>
      <w:r>
        <w:rPr>
          <w:rFonts w:hint="eastAsia" w:ascii="仿宋" w:hAnsi="仿宋" w:eastAsia="仿宋" w:cs="仿宋"/>
          <w:bCs/>
          <w:sz w:val="28"/>
          <w:szCs w:val="28"/>
          <w:highlight w:val="none"/>
        </w:rPr>
        <w:t>1、</w:t>
      </w:r>
      <w:r>
        <w:rPr>
          <w:rFonts w:hint="eastAsia" w:ascii="仿宋" w:hAnsi="仿宋" w:eastAsia="仿宋" w:cs="仿宋"/>
          <w:bCs/>
          <w:color w:val="000000"/>
          <w:sz w:val="28"/>
          <w:szCs w:val="28"/>
          <w:highlight w:val="none"/>
        </w:rPr>
        <w:t>参照国家计委2002年颁发的《招标代理服务收费管理暂行办法》</w:t>
      </w:r>
      <w:r>
        <w:rPr>
          <w:rFonts w:hint="eastAsia" w:ascii="仿宋" w:hAnsi="仿宋" w:eastAsia="仿宋" w:cs="仿宋"/>
          <w:bCs/>
          <w:color w:val="000000"/>
          <w:sz w:val="28"/>
          <w:szCs w:val="28"/>
          <w:highlight w:val="none"/>
          <w:lang w:eastAsia="zh-CN"/>
        </w:rPr>
        <w:t>（</w:t>
      </w:r>
      <w:r>
        <w:rPr>
          <w:rFonts w:hint="eastAsia" w:ascii="仿宋" w:hAnsi="仿宋" w:eastAsia="仿宋" w:cs="仿宋"/>
          <w:bCs/>
          <w:color w:val="000000"/>
          <w:sz w:val="28"/>
          <w:szCs w:val="28"/>
          <w:highlight w:val="none"/>
        </w:rPr>
        <w:t>计价格〔2002〕1980号</w:t>
      </w:r>
      <w:r>
        <w:rPr>
          <w:rFonts w:hint="eastAsia" w:ascii="仿宋" w:hAnsi="仿宋" w:eastAsia="仿宋" w:cs="仿宋"/>
          <w:bCs/>
          <w:color w:val="000000"/>
          <w:sz w:val="28"/>
          <w:szCs w:val="28"/>
          <w:highlight w:val="none"/>
          <w:lang w:eastAsia="zh-CN"/>
        </w:rPr>
        <w:t>）</w:t>
      </w:r>
      <w:r>
        <w:rPr>
          <w:rFonts w:hint="eastAsia" w:ascii="仿宋" w:hAnsi="仿宋" w:eastAsia="仿宋" w:cs="仿宋"/>
          <w:bCs/>
          <w:color w:val="000000"/>
          <w:sz w:val="28"/>
          <w:szCs w:val="28"/>
          <w:highlight w:val="none"/>
        </w:rPr>
        <w:t>和国家发改委2011年颁布的《国家发展改革委关于降低部分建设项目收费标准规范收费行为等有关问题的通知》发改价格[2011]534号文件的规定，中标人在领取中标通知书时，采用现金、转账或汇款方式向陕西瑞琪工程咨询有限公司交纳招标服务费。</w:t>
      </w:r>
    </w:p>
    <w:p>
      <w:pPr>
        <w:pageBreakBefore w:val="0"/>
        <w:widowControl w:val="0"/>
        <w:kinsoku/>
        <w:wordWrap w:val="0"/>
        <w:overflowPunct/>
        <w:bidi w:val="0"/>
        <w:spacing w:line="50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招标</w:t>
      </w:r>
      <w:r>
        <w:rPr>
          <w:rFonts w:hint="eastAsia" w:ascii="仿宋" w:hAnsi="仿宋" w:eastAsia="仿宋" w:cs="仿宋"/>
          <w:bCs/>
          <w:color w:val="000000"/>
          <w:sz w:val="28"/>
          <w:szCs w:val="28"/>
          <w:highlight w:val="none"/>
        </w:rPr>
        <w:t>服务费</w:t>
      </w:r>
      <w:r>
        <w:rPr>
          <w:rFonts w:hint="eastAsia" w:ascii="仿宋" w:hAnsi="仿宋" w:eastAsia="仿宋" w:cs="仿宋"/>
          <w:bCs/>
          <w:sz w:val="28"/>
          <w:szCs w:val="28"/>
          <w:highlight w:val="none"/>
        </w:rPr>
        <w:t>指定银行账户</w:t>
      </w:r>
    </w:p>
    <w:tbl>
      <w:tblPr>
        <w:tblStyle w:val="31"/>
        <w:tblpPr w:leftFromText="180" w:rightFromText="180" w:vertAnchor="text" w:horzAnchor="margin" w:tblpXSpec="center" w:tblpY="178"/>
        <w:tblW w:w="0" w:type="auto"/>
        <w:tblInd w:w="0" w:type="dxa"/>
        <w:tblBorders>
          <w:top w:val="triple" w:color="auto" w:sz="4" w:space="0"/>
          <w:left w:val="triple" w:color="auto" w:sz="4" w:space="0"/>
          <w:bottom w:val="triple" w:color="auto" w:sz="4" w:space="0"/>
          <w:right w:val="triple" w:color="auto" w:sz="4" w:space="0"/>
          <w:insideH w:val="triple" w:color="auto" w:sz="4" w:space="0"/>
          <w:insideV w:val="triple" w:color="auto" w:sz="4" w:space="0"/>
        </w:tblBorders>
        <w:tblLayout w:type="fixed"/>
        <w:tblCellMar>
          <w:top w:w="0" w:type="dxa"/>
          <w:left w:w="108" w:type="dxa"/>
          <w:bottom w:w="0" w:type="dxa"/>
          <w:right w:w="108" w:type="dxa"/>
        </w:tblCellMar>
      </w:tblPr>
      <w:tblGrid>
        <w:gridCol w:w="8495"/>
      </w:tblGrid>
      <w:tr>
        <w:tblPrEx>
          <w:tblBorders>
            <w:top w:val="triple" w:color="auto" w:sz="4" w:space="0"/>
            <w:left w:val="triple" w:color="auto" w:sz="4" w:space="0"/>
            <w:bottom w:val="triple" w:color="auto" w:sz="4" w:space="0"/>
            <w:right w:val="triple" w:color="auto" w:sz="4" w:space="0"/>
            <w:insideH w:val="triple" w:color="auto" w:sz="4" w:space="0"/>
            <w:insideV w:val="triple" w:color="auto" w:sz="4" w:space="0"/>
          </w:tblBorders>
          <w:tblCellMar>
            <w:top w:w="0" w:type="dxa"/>
            <w:left w:w="108" w:type="dxa"/>
            <w:bottom w:w="0" w:type="dxa"/>
            <w:right w:w="108" w:type="dxa"/>
          </w:tblCellMar>
        </w:tblPrEx>
        <w:trPr>
          <w:trHeight w:val="2015" w:hRule="atLeast"/>
        </w:trPr>
        <w:tc>
          <w:tcPr>
            <w:tcW w:w="8495" w:type="dxa"/>
            <w:tcBorders>
              <w:top w:val="triple" w:color="auto" w:sz="4" w:space="0"/>
              <w:left w:val="triple" w:color="auto" w:sz="4" w:space="0"/>
              <w:bottom w:val="triple" w:color="auto" w:sz="4" w:space="0"/>
              <w:right w:val="triple" w:color="auto" w:sz="4" w:space="0"/>
            </w:tcBorders>
            <w:noWrap w:val="0"/>
            <w:vAlign w:val="center"/>
          </w:tcPr>
          <w:p>
            <w:pPr>
              <w:keepNext w:val="0"/>
              <w:keepLines w:val="0"/>
              <w:pageBreakBefore w:val="0"/>
              <w:widowControl w:val="0"/>
              <w:suppressLineNumbers w:val="0"/>
              <w:kinsoku/>
              <w:wordWrap w:val="0"/>
              <w:overflowPunct/>
              <w:bidi w:val="0"/>
              <w:spacing w:before="0" w:beforeAutospacing="0" w:after="0" w:afterAutospacing="0" w:line="500" w:lineRule="exact"/>
              <w:ind w:left="0" w:right="0"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开户名称：陕西瑞琪工程咨询有限公司</w:t>
            </w:r>
          </w:p>
          <w:p>
            <w:pPr>
              <w:keepNext w:val="0"/>
              <w:keepLines w:val="0"/>
              <w:pageBreakBefore w:val="0"/>
              <w:widowControl w:val="0"/>
              <w:suppressLineNumbers w:val="0"/>
              <w:kinsoku/>
              <w:wordWrap w:val="0"/>
              <w:overflowPunct/>
              <w:bidi w:val="0"/>
              <w:spacing w:before="0" w:beforeAutospacing="0" w:after="0" w:afterAutospacing="0" w:line="500" w:lineRule="exact"/>
              <w:ind w:left="0" w:right="0"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开户银行：中信银行西安电子城支行</w:t>
            </w:r>
          </w:p>
          <w:p>
            <w:pPr>
              <w:keepNext w:val="0"/>
              <w:keepLines w:val="0"/>
              <w:pageBreakBefore w:val="0"/>
              <w:widowControl w:val="0"/>
              <w:suppressLineNumbers w:val="0"/>
              <w:kinsoku/>
              <w:wordWrap w:val="0"/>
              <w:overflowPunct/>
              <w:bidi w:val="0"/>
              <w:spacing w:before="0" w:beforeAutospacing="0" w:after="0" w:afterAutospacing="0" w:line="500" w:lineRule="exact"/>
              <w:ind w:left="0" w:right="0" w:firstLine="560" w:firstLineChars="200"/>
              <w:rPr>
                <w:rFonts w:hint="eastAsia" w:ascii="仿宋" w:hAnsi="仿宋" w:eastAsia="仿宋" w:cs="仿宋"/>
                <w:b/>
                <w:sz w:val="28"/>
                <w:szCs w:val="28"/>
                <w:highlight w:val="none"/>
              </w:rPr>
            </w:pPr>
            <w:r>
              <w:rPr>
                <w:rFonts w:hint="eastAsia" w:ascii="仿宋" w:hAnsi="仿宋" w:eastAsia="仿宋" w:cs="仿宋"/>
                <w:sz w:val="28"/>
                <w:szCs w:val="28"/>
                <w:highlight w:val="none"/>
              </w:rPr>
              <w:t>账 号：7251 8101 8260 0002 063</w:t>
            </w:r>
          </w:p>
        </w:tc>
      </w:tr>
    </w:tbl>
    <w:p>
      <w:pPr>
        <w:pageBreakBefore w:val="0"/>
        <w:widowControl w:val="0"/>
        <w:kinsoku/>
        <w:wordWrap w:val="0"/>
        <w:overflowPunct/>
        <w:bidi w:val="0"/>
        <w:spacing w:line="50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2、成交服务费应按谈判文件要求的方式缴纳。</w:t>
      </w:r>
    </w:p>
    <w:p>
      <w:pPr>
        <w:pageBreakBefore w:val="0"/>
        <w:widowControl w:val="0"/>
        <w:kinsoku/>
        <w:wordWrap w:val="0"/>
        <w:overflowPunct/>
        <w:bidi w:val="0"/>
        <w:spacing w:line="500" w:lineRule="exact"/>
        <w:ind w:firstLine="562" w:firstLineChars="200"/>
        <w:jc w:val="left"/>
        <w:outlineLvl w:val="1"/>
        <w:rPr>
          <w:rFonts w:hint="eastAsia" w:ascii="仿宋" w:hAnsi="仿宋" w:eastAsia="仿宋" w:cs="仿宋"/>
          <w:b/>
          <w:sz w:val="28"/>
          <w:szCs w:val="28"/>
          <w:highlight w:val="none"/>
        </w:rPr>
      </w:pPr>
      <w:bookmarkStart w:id="42" w:name="_Toc9469"/>
      <w:bookmarkStart w:id="43" w:name="_Toc8783"/>
      <w:bookmarkStart w:id="44" w:name="_Toc27580"/>
      <w:r>
        <w:rPr>
          <w:rFonts w:hint="eastAsia" w:ascii="仿宋" w:hAnsi="仿宋" w:eastAsia="仿宋" w:cs="仿宋"/>
          <w:b/>
          <w:sz w:val="28"/>
          <w:szCs w:val="28"/>
          <w:highlight w:val="none"/>
        </w:rPr>
        <w:t>九、其他</w:t>
      </w:r>
      <w:bookmarkEnd w:id="42"/>
      <w:bookmarkEnd w:id="43"/>
      <w:bookmarkEnd w:id="44"/>
    </w:p>
    <w:p>
      <w:pPr>
        <w:pageBreakBefore w:val="0"/>
        <w:widowControl w:val="0"/>
        <w:kinsoku/>
        <w:wordWrap w:val="0"/>
        <w:overflowPunct/>
        <w:bidi w:val="0"/>
        <w:spacing w:line="500" w:lineRule="exact"/>
        <w:ind w:firstLine="562" w:firstLineChars="200"/>
        <w:rPr>
          <w:rFonts w:hint="eastAsia" w:ascii="仿宋" w:hAnsi="仿宋" w:eastAsia="仿宋" w:cs="仿宋"/>
          <w:b/>
          <w:bCs/>
          <w:sz w:val="28"/>
          <w:szCs w:val="28"/>
          <w:highlight w:val="none"/>
        </w:rPr>
      </w:pPr>
      <w:r>
        <w:rPr>
          <w:rFonts w:hint="eastAsia" w:ascii="仿宋" w:hAnsi="仿宋" w:eastAsia="仿宋" w:cs="仿宋"/>
          <w:b/>
          <w:sz w:val="28"/>
          <w:szCs w:val="28"/>
          <w:highlight w:val="none"/>
        </w:rPr>
        <w:t>1、</w:t>
      </w:r>
      <w:r>
        <w:rPr>
          <w:rFonts w:hint="eastAsia" w:ascii="仿宋" w:hAnsi="仿宋" w:eastAsia="仿宋" w:cs="仿宋"/>
          <w:b/>
          <w:bCs/>
          <w:sz w:val="28"/>
          <w:szCs w:val="28"/>
          <w:highlight w:val="none"/>
        </w:rPr>
        <w:t>如果发生下列情况本项目按废标处理：</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经资格审查后，有效供应商不足三家的；</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所有供应商的最终报价均超出采购预算限额，采购人不能支付的；</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谈判小组三分之二以上的专家认定供应商谈判报价存在价格不实的现象；</w:t>
      </w:r>
    </w:p>
    <w:p>
      <w:pPr>
        <w:pageBreakBefore w:val="0"/>
        <w:widowControl w:val="0"/>
        <w:kinsoku/>
        <w:wordWrap w:val="0"/>
        <w:overflowPunct/>
        <w:bidi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有证据证明有围标现象的发生。</w:t>
      </w:r>
    </w:p>
    <w:p>
      <w:pPr>
        <w:pageBreakBefore w:val="0"/>
        <w:widowControl w:val="0"/>
        <w:kinsoku/>
        <w:wordWrap w:val="0"/>
        <w:overflowPunct/>
        <w:bidi w:val="0"/>
        <w:spacing w:line="480" w:lineRule="exact"/>
        <w:ind w:firstLine="562" w:firstLineChars="2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2、供应商有下列情况之一的，其谈判响应文件按废标处理。</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谈判响应文件未按规定密封的；</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谈判响应文件未加盖单位公章和无法定代表人签字（或授权代理签字）的；</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谈判响应文件逾期送达的；</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不具备谈判响应文件的规定的资格证明要求或未按要求提供资格证明文件；</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谈判响应文件被视为无效文件的；</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谈判报价超过项目预算的；</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扰乱会场秩序，经劝阻仍无理取闹的；</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不符合法律、法规和谈判文件中规定的其他实质性要求的。</w:t>
      </w:r>
    </w:p>
    <w:p>
      <w:pPr>
        <w:pageBreakBefore w:val="0"/>
        <w:widowControl w:val="0"/>
        <w:kinsoku/>
        <w:wordWrap w:val="0"/>
        <w:overflowPunct/>
        <w:bidi w:val="0"/>
        <w:spacing w:line="480" w:lineRule="exact"/>
        <w:ind w:firstLine="562" w:firstLineChars="200"/>
        <w:rPr>
          <w:rFonts w:hint="eastAsia" w:ascii="仿宋" w:hAnsi="仿宋" w:eastAsia="仿宋" w:cs="仿宋"/>
          <w:b/>
          <w:sz w:val="28"/>
          <w:szCs w:val="28"/>
          <w:highlight w:val="none"/>
        </w:rPr>
      </w:pPr>
      <w:r>
        <w:rPr>
          <w:rFonts w:hint="eastAsia" w:ascii="仿宋" w:hAnsi="仿宋" w:eastAsia="仿宋" w:cs="仿宋"/>
          <w:b/>
          <w:sz w:val="28"/>
          <w:szCs w:val="28"/>
          <w:highlight w:val="none"/>
        </w:rPr>
        <w:t>3、拒绝商业贿赂</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遵照陕西省财政厅的规定，采购人、采购代理机构、供应商和评审专家在谈判活动中，都要签订相应的《拒绝政府采购领域商业贿赂承诺书》，并对违反承诺的行为承担全部责任。</w:t>
      </w:r>
    </w:p>
    <w:p>
      <w:pPr>
        <w:pageBreakBefore w:val="0"/>
        <w:widowControl w:val="0"/>
        <w:kinsoku/>
        <w:wordWrap w:val="0"/>
        <w:overflowPunct/>
        <w:bidi w:val="0"/>
        <w:spacing w:line="480" w:lineRule="exact"/>
        <w:ind w:firstLine="562" w:firstLineChars="200"/>
        <w:rPr>
          <w:rFonts w:hint="eastAsia" w:ascii="仿宋" w:hAnsi="仿宋" w:eastAsia="仿宋" w:cs="仿宋"/>
          <w:b/>
          <w:sz w:val="28"/>
          <w:szCs w:val="28"/>
          <w:highlight w:val="none"/>
          <w:lang w:eastAsia="zh-CN"/>
        </w:rPr>
      </w:pPr>
      <w:bookmarkStart w:id="45" w:name="_Toc8613"/>
      <w:bookmarkStart w:id="46" w:name="_Toc24727"/>
      <w:bookmarkStart w:id="47" w:name="_Toc31293"/>
      <w:r>
        <w:rPr>
          <w:rFonts w:hint="eastAsia" w:ascii="仿宋" w:hAnsi="仿宋" w:eastAsia="仿宋" w:cs="仿宋"/>
          <w:b/>
          <w:sz w:val="28"/>
          <w:szCs w:val="28"/>
          <w:highlight w:val="none"/>
        </w:rPr>
        <w:t>4、质疑</w:t>
      </w:r>
      <w:bookmarkEnd w:id="45"/>
      <w:bookmarkEnd w:id="46"/>
      <w:bookmarkEnd w:id="47"/>
      <w:r>
        <w:rPr>
          <w:rFonts w:hint="eastAsia" w:ascii="仿宋" w:hAnsi="仿宋" w:eastAsia="仿宋" w:cs="仿宋"/>
          <w:b/>
          <w:sz w:val="28"/>
          <w:szCs w:val="28"/>
          <w:highlight w:val="none"/>
          <w:lang w:eastAsia="zh-CN"/>
        </w:rPr>
        <w:t>、投诉</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投标人对本次采购活动有疑问的，按照《中华人民共和国政府采购法》及财政部令第94号的规定处理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投标人应在法定期限内一次性针对同一采购程序环节进行质疑。</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（2）供应商和其他利害关系人认为本次采购活动违反法律、法规和规章规定的，有权向有关行政监督机构投诉。</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bookmarkStart w:id="48" w:name="_Toc424292466"/>
      <w:bookmarkStart w:id="49" w:name="_Toc8744"/>
      <w:r>
        <w:rPr>
          <w:rFonts w:hint="eastAsia" w:ascii="仿宋" w:hAnsi="仿宋" w:eastAsia="仿宋" w:cs="仿宋"/>
          <w:sz w:val="28"/>
          <w:szCs w:val="28"/>
          <w:highlight w:val="none"/>
          <w:lang w:val="en-US" w:eastAsia="zh-CN"/>
        </w:rPr>
        <w:t>（3）质疑与投诉的所涉及的相关书面文件谢绝邮寄、传真、电子文件等形式，质疑投诉者在递交质疑与投诉的书面文件时，须出示法人授权书及本人身份证原件。（联系部门：招标部；联系电话： 029-81213656；联系地址：西安市曲江新区雁翔路3269号旺座曲江H座1902室）</w:t>
      </w:r>
      <w:bookmarkEnd w:id="48"/>
      <w:bookmarkEnd w:id="49"/>
      <w:bookmarkStart w:id="50" w:name="_Toc13305"/>
    </w:p>
    <w:p>
      <w:pPr>
        <w:pageBreakBefore w:val="0"/>
        <w:widowControl w:val="0"/>
        <w:kinsoku/>
        <w:wordWrap w:val="0"/>
        <w:overflowPunct/>
        <w:bidi w:val="0"/>
        <w:spacing w:line="480" w:lineRule="exact"/>
        <w:ind w:firstLine="562" w:firstLineChars="200"/>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5、政采贷业务介绍</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5.1</w:t>
      </w:r>
      <w:r>
        <w:rPr>
          <w:rFonts w:hint="eastAsia" w:ascii="仿宋" w:hAnsi="仿宋" w:eastAsia="仿宋" w:cs="仿宋"/>
          <w:sz w:val="28"/>
          <w:szCs w:val="28"/>
          <w:highlight w:val="none"/>
        </w:rPr>
        <w:t>　“政采贷”业务介绍</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5.2</w:t>
      </w:r>
      <w:r>
        <w:rPr>
          <w:rFonts w:hint="eastAsia" w:ascii="仿宋" w:hAnsi="仿宋" w:eastAsia="仿宋" w:cs="仿宋"/>
          <w:sz w:val="28"/>
          <w:szCs w:val="28"/>
          <w:highlight w:val="none"/>
        </w:rPr>
        <w:t>　</w:t>
      </w:r>
      <w:r>
        <w:rPr>
          <w:rFonts w:hint="eastAsia" w:ascii="仿宋" w:hAnsi="仿宋" w:eastAsia="仿宋" w:cs="仿宋"/>
          <w:sz w:val="28"/>
          <w:szCs w:val="28"/>
          <w:highlight w:val="none"/>
          <w:lang w:val="en-US" w:eastAsia="zh-CN"/>
        </w:rPr>
        <w:t>陕西政府采购供应商信用融资信息服务平台操作手册</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陕西政府采购供应商信用融资信息服务平台主要功能为：供应商凭中标项目或成交合提交融资意向，查看融资申请进度等功能，本操作手册将详细说明这些功能。</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1）首页</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平台首页主要呈现陕西政府采购信用融资相关政策法规、基本操作流程及供应商帮助内容，供应商企业可由登录注册模块登录平台。</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2）登录</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陕西政府采购网的中标企业可用手机号注册用户，注册时需要填写企业名称及社会统一信用代码等信息，如下图：</w:t>
      </w:r>
    </w:p>
    <w:p>
      <w:pPr>
        <w:pageBreakBefore w:val="0"/>
        <w:widowControl w:val="0"/>
        <w:kinsoku/>
        <w:wordWrap w:val="0"/>
        <w:overflowPunct/>
        <w:bidi w:val="0"/>
        <w:spacing w:line="480" w:lineRule="exact"/>
        <w:ind w:firstLine="420" w:firstLineChars="200"/>
        <w:rPr>
          <w:rFonts w:hint="eastAsia"/>
          <w:lang w:val="en-US" w:eastAsia="zh-CN"/>
        </w:rPr>
      </w:pPr>
    </w:p>
    <w:p>
      <w:pPr>
        <w:pStyle w:val="3"/>
        <w:pageBreakBefore w:val="0"/>
        <w:kinsoku/>
        <w:wordWrap w:val="0"/>
        <w:overflowPunct/>
        <w:topLinePunct w:val="0"/>
        <w:autoSpaceDE w:val="0"/>
        <w:autoSpaceDN w:val="0"/>
        <w:bidi w:val="0"/>
        <w:jc w:val="center"/>
        <w:rPr>
          <w:rFonts w:hint="eastAsia" w:ascii="仿宋" w:hAnsi="仿宋" w:eastAsia="仿宋" w:cs="仿宋"/>
          <w:color w:val="333333"/>
          <w:kern w:val="0"/>
          <w:sz w:val="24"/>
          <w:szCs w:val="24"/>
          <w:highlight w:val="none"/>
          <w:shd w:val="clear" w:color="auto" w:fill="FFFFFF"/>
          <w:lang w:val="en-US" w:eastAsia="zh-CN"/>
        </w:rPr>
      </w:pPr>
      <w:r>
        <w:rPr>
          <w:rFonts w:hint="eastAsia" w:ascii="仿宋" w:hAnsi="仿宋" w:eastAsia="仿宋" w:cs="仿宋"/>
          <w:kern w:val="0"/>
          <w:sz w:val="24"/>
          <w:szCs w:val="24"/>
          <w:highlight w:val="none"/>
        </w:rPr>
        <w:drawing>
          <wp:inline distT="0" distB="0" distL="114300" distR="114300">
            <wp:extent cx="5761990" cy="3239770"/>
            <wp:effectExtent l="0" t="0" r="10160" b="17780"/>
            <wp:docPr id="13"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mmexport1630048836254"/>
                    <pic:cNvPicPr>
                      <a:picLocks noChangeAspect="1"/>
                    </pic:cNvPicPr>
                  </pic:nvPicPr>
                  <pic:blipFill>
                    <a:blip r:embed="rId13"/>
                    <a:stretch>
                      <a:fillRect/>
                    </a:stretch>
                  </pic:blipFill>
                  <pic:spPr>
                    <a:xfrm>
                      <a:off x="0" y="0"/>
                      <a:ext cx="5761990" cy="3239770"/>
                    </a:xfrm>
                    <a:prstGeom prst="rect">
                      <a:avLst/>
                    </a:prstGeom>
                    <a:noFill/>
                    <a:ln>
                      <a:noFill/>
                    </a:ln>
                  </pic:spPr>
                </pic:pic>
              </a:graphicData>
            </a:graphic>
          </wp:inline>
        </w:drawing>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注册成功后，凭手机登录平台，如下图，点击首页：</w:t>
      </w:r>
    </w:p>
    <w:p>
      <w:pPr>
        <w:pageBreakBefore w:val="0"/>
        <w:widowControl w:val="0"/>
        <w:kinsoku/>
        <w:wordWrap w:val="0"/>
        <w:overflowPunct/>
        <w:bidi w:val="0"/>
        <w:spacing w:line="480" w:lineRule="exact"/>
        <w:ind w:firstLine="420" w:firstLineChars="200"/>
        <w:rPr>
          <w:rFonts w:hint="eastAsia"/>
          <w:lang w:val="en-US" w:eastAsia="zh-CN"/>
        </w:rPr>
      </w:pPr>
    </w:p>
    <w:p>
      <w:pPr>
        <w:pStyle w:val="3"/>
        <w:pageBreakBefore w:val="0"/>
        <w:kinsoku/>
        <w:wordWrap w:val="0"/>
        <w:overflowPunct/>
        <w:topLinePunct w:val="0"/>
        <w:autoSpaceDE w:val="0"/>
        <w:autoSpaceDN w:val="0"/>
        <w:bidi w:val="0"/>
        <w:spacing w:before="1"/>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drawing>
          <wp:inline distT="0" distB="0" distL="114300" distR="114300">
            <wp:extent cx="5761990" cy="3239770"/>
            <wp:effectExtent l="0" t="0" r="10160" b="17780"/>
            <wp:docPr id="14"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
                    <pic:cNvPicPr>
                      <a:picLocks noChangeAspect="1"/>
                    </pic:cNvPicPr>
                  </pic:nvPicPr>
                  <pic:blipFill>
                    <a:blip r:embed="rId14"/>
                    <a:stretch>
                      <a:fillRect/>
                    </a:stretch>
                  </pic:blipFill>
                  <pic:spPr>
                    <a:xfrm>
                      <a:off x="0" y="0"/>
                      <a:ext cx="5761990" cy="3239770"/>
                    </a:xfrm>
                    <a:prstGeom prst="rect">
                      <a:avLst/>
                    </a:prstGeom>
                    <a:noFill/>
                    <a:ln>
                      <a:noFill/>
                    </a:ln>
                  </pic:spPr>
                </pic:pic>
              </a:graphicData>
            </a:graphic>
          </wp:inline>
        </w:drawing>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点击“可融资</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rPr>
        <w:t>/合同”，再点击申请贷款：</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p>
    <w:p>
      <w:pPr>
        <w:pStyle w:val="3"/>
        <w:pageBreakBefore w:val="0"/>
        <w:kinsoku/>
        <w:wordWrap w:val="0"/>
        <w:overflowPunct/>
        <w:topLinePunct w:val="0"/>
        <w:autoSpaceDE w:val="0"/>
        <w:autoSpaceDN w:val="0"/>
        <w:bidi w:val="0"/>
        <w:spacing w:before="1"/>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drawing>
          <wp:inline distT="0" distB="0" distL="114300" distR="114300">
            <wp:extent cx="5762625" cy="3239770"/>
            <wp:effectExtent l="0" t="0" r="9525" b="17780"/>
            <wp:docPr id="15"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5"/>
                    <pic:cNvPicPr>
                      <a:picLocks noChangeAspect="1"/>
                    </pic:cNvPicPr>
                  </pic:nvPicPr>
                  <pic:blipFill>
                    <a:blip r:embed="rId15"/>
                    <a:stretch>
                      <a:fillRect/>
                    </a:stretch>
                  </pic:blipFill>
                  <pic:spPr>
                    <a:xfrm>
                      <a:off x="0" y="0"/>
                      <a:ext cx="5762625" cy="3239770"/>
                    </a:xfrm>
                    <a:prstGeom prst="rect">
                      <a:avLst/>
                    </a:prstGeom>
                    <a:noFill/>
                    <a:ln>
                      <a:noFill/>
                    </a:ln>
                  </pic:spPr>
                </pic:pic>
              </a:graphicData>
            </a:graphic>
          </wp:inline>
        </w:drawing>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勾选融资</w:t>
      </w:r>
      <w:r>
        <w:rPr>
          <w:rFonts w:hint="eastAsia" w:ascii="仿宋" w:hAnsi="仿宋" w:eastAsia="仿宋" w:cs="仿宋"/>
          <w:sz w:val="28"/>
          <w:szCs w:val="28"/>
          <w:highlight w:val="none"/>
          <w:lang w:val="en-US" w:eastAsia="zh-CN"/>
        </w:rPr>
        <w:t>意向书</w:t>
      </w:r>
      <w:r>
        <w:rPr>
          <w:rFonts w:hint="eastAsia" w:ascii="仿宋" w:hAnsi="仿宋" w:eastAsia="仿宋" w:cs="仿宋"/>
          <w:sz w:val="28"/>
          <w:szCs w:val="28"/>
          <w:highlight w:val="none"/>
        </w:rPr>
        <w:t>：</w:t>
      </w:r>
    </w:p>
    <w:p>
      <w:pPr>
        <w:pageBreakBefore w:val="0"/>
        <w:widowControl w:val="0"/>
        <w:kinsoku/>
        <w:wordWrap w:val="0"/>
        <w:overflowPunct/>
        <w:bidi w:val="0"/>
        <w:spacing w:line="480" w:lineRule="exact"/>
        <w:ind w:firstLine="560" w:firstLineChars="200"/>
        <w:rPr>
          <w:rFonts w:hint="eastAsia" w:ascii="仿宋" w:hAnsi="仿宋" w:eastAsia="仿宋" w:cs="仿宋"/>
          <w:sz w:val="28"/>
          <w:szCs w:val="28"/>
          <w:highlight w:val="none"/>
        </w:rPr>
      </w:pPr>
    </w:p>
    <w:p>
      <w:pPr>
        <w:pStyle w:val="3"/>
        <w:pageBreakBefore w:val="0"/>
        <w:kinsoku/>
        <w:wordWrap w:val="0"/>
        <w:overflowPunct/>
        <w:topLinePunct w:val="0"/>
        <w:autoSpaceDE w:val="0"/>
        <w:autoSpaceDN w:val="0"/>
        <w:bidi w:val="0"/>
        <w:spacing w:before="1"/>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drawing>
          <wp:inline distT="0" distB="0" distL="114300" distR="114300">
            <wp:extent cx="5762625" cy="3239770"/>
            <wp:effectExtent l="0" t="0" r="9525" b="17780"/>
            <wp:docPr id="16"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4"/>
                    <pic:cNvPicPr>
                      <a:picLocks noChangeAspect="1"/>
                    </pic:cNvPicPr>
                  </pic:nvPicPr>
                  <pic:blipFill>
                    <a:blip r:embed="rId16"/>
                    <a:stretch>
                      <a:fillRect/>
                    </a:stretch>
                  </pic:blipFill>
                  <pic:spPr>
                    <a:xfrm>
                      <a:off x="0" y="0"/>
                      <a:ext cx="5762625" cy="3239770"/>
                    </a:xfrm>
                    <a:prstGeom prst="rect">
                      <a:avLst/>
                    </a:prstGeom>
                    <a:noFill/>
                    <a:ln>
                      <a:noFill/>
                    </a:ln>
                  </pic:spPr>
                </pic:pic>
              </a:graphicData>
            </a:graphic>
          </wp:inline>
        </w:drawing>
      </w:r>
    </w:p>
    <w:p>
      <w:pPr>
        <w:pStyle w:val="17"/>
        <w:ind w:firstLine="560" w:firstLineChars="200"/>
        <w:rPr>
          <w:rFonts w:hint="eastAsia" w:ascii="仿宋" w:hAnsi="仿宋" w:eastAsia="仿宋" w:cs="仿宋"/>
          <w:kern w:val="2"/>
          <w:sz w:val="28"/>
          <w:szCs w:val="28"/>
          <w:highlight w:val="none"/>
          <w:lang w:val="en-US" w:eastAsia="zh-CN" w:bidi="ar-SA"/>
        </w:rPr>
      </w:pPr>
    </w:p>
    <w:p>
      <w:pPr>
        <w:pStyle w:val="17"/>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5）页面下拉，输入贷款金额、预计用款周期、可接受利率、贷款资金用途，点击保存，选择办理贷款机构所在地，例如：长安区韦曲街道，然后点击下一步。</w:t>
      </w:r>
    </w:p>
    <w:p>
      <w:pPr>
        <w:pStyle w:val="17"/>
        <w:ind w:firstLine="560" w:firstLineChars="200"/>
        <w:rPr>
          <w:rFonts w:hint="eastAsia" w:ascii="仿宋" w:hAnsi="仿宋" w:eastAsia="仿宋" w:cs="仿宋"/>
          <w:kern w:val="2"/>
          <w:sz w:val="28"/>
          <w:szCs w:val="28"/>
          <w:highlight w:val="none"/>
          <w:lang w:val="en-US" w:eastAsia="zh-CN" w:bidi="ar-SA"/>
        </w:rPr>
      </w:pPr>
    </w:p>
    <w:p>
      <w:pPr>
        <w:pStyle w:val="17"/>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drawing>
          <wp:inline distT="0" distB="0" distL="114300" distR="114300">
            <wp:extent cx="5761990" cy="3239770"/>
            <wp:effectExtent l="0" t="0" r="10160" b="17780"/>
            <wp:docPr id="17"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6"/>
                    <pic:cNvPicPr>
                      <a:picLocks noChangeAspect="1"/>
                    </pic:cNvPicPr>
                  </pic:nvPicPr>
                  <pic:blipFill>
                    <a:blip r:embed="rId17"/>
                    <a:stretch>
                      <a:fillRect/>
                    </a:stretch>
                  </pic:blipFill>
                  <pic:spPr>
                    <a:xfrm>
                      <a:off x="0" y="0"/>
                      <a:ext cx="5761990" cy="3239770"/>
                    </a:xfrm>
                    <a:prstGeom prst="rect">
                      <a:avLst/>
                    </a:prstGeom>
                    <a:noFill/>
                    <a:ln>
                      <a:noFill/>
                    </a:ln>
                  </pic:spPr>
                </pic:pic>
              </a:graphicData>
            </a:graphic>
          </wp:inline>
        </w:drawing>
      </w:r>
    </w:p>
    <w:p>
      <w:pPr>
        <w:pStyle w:val="17"/>
        <w:ind w:firstLine="560" w:firstLineChars="200"/>
        <w:rPr>
          <w:rFonts w:hint="eastAsia" w:ascii="仿宋" w:hAnsi="仿宋" w:eastAsia="仿宋" w:cs="仿宋"/>
          <w:kern w:val="2"/>
          <w:sz w:val="28"/>
          <w:szCs w:val="28"/>
          <w:highlight w:val="none"/>
          <w:lang w:val="en-US" w:eastAsia="zh-CN" w:bidi="ar-SA"/>
        </w:rPr>
      </w:pPr>
    </w:p>
    <w:p>
      <w:pPr>
        <w:pStyle w:val="17"/>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6）在意向银行列点击提交贷款意向并确定：</w:t>
      </w:r>
    </w:p>
    <w:p>
      <w:pPr>
        <w:pStyle w:val="17"/>
        <w:ind w:firstLine="560" w:firstLineChars="200"/>
        <w:rPr>
          <w:rFonts w:hint="eastAsia" w:ascii="仿宋" w:hAnsi="仿宋" w:eastAsia="仿宋" w:cs="仿宋"/>
          <w:kern w:val="2"/>
          <w:sz w:val="28"/>
          <w:szCs w:val="28"/>
          <w:highlight w:val="none"/>
          <w:lang w:val="en-US" w:eastAsia="zh-CN" w:bidi="ar-SA"/>
        </w:rPr>
      </w:pPr>
    </w:p>
    <w:p>
      <w:pPr>
        <w:pStyle w:val="3"/>
        <w:pageBreakBefore w:val="0"/>
        <w:kinsoku/>
        <w:wordWrap w:val="0"/>
        <w:overflowPunct/>
        <w:topLinePunct w:val="0"/>
        <w:autoSpaceDE w:val="0"/>
        <w:autoSpaceDN w:val="0"/>
        <w:bidi w:val="0"/>
        <w:spacing w:before="1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drawing>
          <wp:inline distT="0" distB="0" distL="114300" distR="114300">
            <wp:extent cx="5761990" cy="3239770"/>
            <wp:effectExtent l="0" t="0" r="10160" b="17780"/>
            <wp:docPr id="18"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8"/>
                    <pic:cNvPicPr>
                      <a:picLocks noChangeAspect="1"/>
                    </pic:cNvPicPr>
                  </pic:nvPicPr>
                  <pic:blipFill>
                    <a:blip r:embed="rId18"/>
                    <a:stretch>
                      <a:fillRect/>
                    </a:stretch>
                  </pic:blipFill>
                  <pic:spPr>
                    <a:xfrm>
                      <a:off x="0" y="0"/>
                      <a:ext cx="5761990" cy="3239770"/>
                    </a:xfrm>
                    <a:prstGeom prst="rect">
                      <a:avLst/>
                    </a:prstGeom>
                    <a:noFill/>
                    <a:ln>
                      <a:noFill/>
                    </a:ln>
                  </pic:spPr>
                </pic:pic>
              </a:graphicData>
            </a:graphic>
          </wp:inline>
        </w:drawing>
      </w:r>
    </w:p>
    <w:p>
      <w:pPr>
        <w:pStyle w:val="17"/>
        <w:ind w:firstLine="560" w:firstLineChars="200"/>
        <w:rPr>
          <w:rFonts w:hint="eastAsia" w:ascii="仿宋" w:hAnsi="仿宋" w:eastAsia="仿宋" w:cs="仿宋"/>
          <w:kern w:val="2"/>
          <w:sz w:val="28"/>
          <w:szCs w:val="28"/>
          <w:highlight w:val="none"/>
          <w:lang w:val="en-US" w:eastAsia="zh-CN" w:bidi="ar-SA"/>
        </w:rPr>
      </w:pPr>
    </w:p>
    <w:p>
      <w:pPr>
        <w:pStyle w:val="17"/>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7）在申请进度栏即可查看本笔融资进度：</w:t>
      </w:r>
    </w:p>
    <w:p>
      <w:pPr>
        <w:pStyle w:val="17"/>
        <w:ind w:firstLine="560" w:firstLineChars="200"/>
        <w:rPr>
          <w:rFonts w:hint="eastAsia" w:ascii="仿宋" w:hAnsi="仿宋" w:eastAsia="仿宋" w:cs="仿宋"/>
          <w:kern w:val="2"/>
          <w:sz w:val="28"/>
          <w:szCs w:val="28"/>
          <w:highlight w:val="none"/>
          <w:lang w:val="en-US" w:eastAsia="zh-CN" w:bidi="ar-SA"/>
        </w:rPr>
      </w:pPr>
    </w:p>
    <w:p>
      <w:pPr>
        <w:pStyle w:val="3"/>
        <w:pageBreakBefore w:val="0"/>
        <w:kinsoku/>
        <w:wordWrap w:val="0"/>
        <w:overflowPunct/>
        <w:topLinePunct w:val="0"/>
        <w:autoSpaceDE w:val="0"/>
        <w:autoSpaceDN w:val="0"/>
        <w:bidi w:val="0"/>
        <w:spacing w:before="10"/>
        <w:jc w:val="center"/>
        <w:rPr>
          <w:rFonts w:hint="eastAsia" w:ascii="仿宋" w:hAnsi="仿宋" w:eastAsia="仿宋" w:cs="Arial Unicode MS"/>
          <w:sz w:val="24"/>
          <w:szCs w:val="24"/>
          <w:highlight w:val="none"/>
        </w:rPr>
      </w:pPr>
      <w:r>
        <w:rPr>
          <w:rFonts w:hint="eastAsia" w:ascii="仿宋" w:hAnsi="仿宋" w:eastAsia="仿宋" w:cs="仿宋"/>
          <w:kern w:val="0"/>
          <w:sz w:val="24"/>
          <w:szCs w:val="24"/>
          <w:highlight w:val="none"/>
        </w:rPr>
        <w:drawing>
          <wp:inline distT="0" distB="0" distL="114300" distR="114300">
            <wp:extent cx="5762625" cy="3239770"/>
            <wp:effectExtent l="0" t="0" r="9525" b="17780"/>
            <wp:docPr id="19"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0"/>
                    <pic:cNvPicPr>
                      <a:picLocks noChangeAspect="1"/>
                    </pic:cNvPicPr>
                  </pic:nvPicPr>
                  <pic:blipFill>
                    <a:blip r:embed="rId19"/>
                    <a:stretch>
                      <a:fillRect/>
                    </a:stretch>
                  </pic:blipFill>
                  <pic:spPr>
                    <a:xfrm>
                      <a:off x="0" y="0"/>
                      <a:ext cx="5762625" cy="3239770"/>
                    </a:xfrm>
                    <a:prstGeom prst="rect">
                      <a:avLst/>
                    </a:prstGeom>
                    <a:noFill/>
                    <a:ln>
                      <a:noFill/>
                    </a:ln>
                  </pic:spPr>
                </pic:pic>
              </a:graphicData>
            </a:graphic>
          </wp:inline>
        </w:drawing>
      </w:r>
    </w:p>
    <w:p>
      <w:pPr>
        <w:pStyle w:val="17"/>
        <w:ind w:firstLine="560" w:firstLineChars="200"/>
        <w:rPr>
          <w:rFonts w:hint="eastAsia" w:ascii="仿宋" w:hAnsi="仿宋" w:eastAsia="仿宋" w:cs="仿宋"/>
          <w:kern w:val="2"/>
          <w:sz w:val="28"/>
          <w:szCs w:val="28"/>
          <w:highlight w:val="none"/>
          <w:lang w:val="en-US" w:eastAsia="zh-CN" w:bidi="ar-SA"/>
        </w:rPr>
      </w:pPr>
    </w:p>
    <w:p>
      <w:pPr>
        <w:pStyle w:val="17"/>
        <w:ind w:firstLine="560" w:firstLineChars="20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5.3长安区开展政采贷业务银行联系方式</w:t>
      </w:r>
    </w:p>
    <w:tbl>
      <w:tblPr>
        <w:tblStyle w:val="31"/>
        <w:tblW w:w="8990" w:type="dxa"/>
        <w:tblInd w:w="0" w:type="dxa"/>
        <w:tblLayout w:type="fixed"/>
        <w:tblCellMar>
          <w:top w:w="0" w:type="dxa"/>
          <w:left w:w="108" w:type="dxa"/>
          <w:bottom w:w="0" w:type="dxa"/>
          <w:right w:w="108" w:type="dxa"/>
        </w:tblCellMar>
      </w:tblPr>
      <w:tblGrid>
        <w:gridCol w:w="905"/>
        <w:gridCol w:w="4275"/>
        <w:gridCol w:w="1665"/>
        <w:gridCol w:w="2145"/>
      </w:tblGrid>
      <w:tr>
        <w:tblPrEx>
          <w:tblCellMar>
            <w:top w:w="0" w:type="dxa"/>
            <w:left w:w="108" w:type="dxa"/>
            <w:bottom w:w="0" w:type="dxa"/>
            <w:right w:w="108" w:type="dxa"/>
          </w:tblCellMar>
        </w:tblPrEx>
        <w:trPr>
          <w:trHeight w:val="600" w:hRule="atLeast"/>
        </w:trPr>
        <w:tc>
          <w:tcPr>
            <w:tcW w:w="90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序号</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银行名称</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联系人</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电话</w:t>
            </w:r>
          </w:p>
        </w:tc>
      </w:tr>
      <w:tr>
        <w:tblPrEx>
          <w:tblCellMar>
            <w:top w:w="0" w:type="dxa"/>
            <w:left w:w="108" w:type="dxa"/>
            <w:bottom w:w="0" w:type="dxa"/>
            <w:right w:w="108" w:type="dxa"/>
          </w:tblCellMar>
        </w:tblPrEx>
        <w:trPr>
          <w:trHeight w:val="600" w:hRule="atLeast"/>
        </w:trPr>
        <w:tc>
          <w:tcPr>
            <w:tcW w:w="90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中信银行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张天宇</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15102968497</w:t>
            </w:r>
          </w:p>
        </w:tc>
      </w:tr>
      <w:tr>
        <w:tblPrEx>
          <w:tblCellMar>
            <w:top w:w="0" w:type="dxa"/>
            <w:left w:w="108" w:type="dxa"/>
            <w:bottom w:w="0" w:type="dxa"/>
            <w:right w:w="108" w:type="dxa"/>
          </w:tblCellMar>
        </w:tblPrEx>
        <w:trPr>
          <w:trHeight w:val="600" w:hRule="atLeast"/>
        </w:trPr>
        <w:tc>
          <w:tcPr>
            <w:tcW w:w="90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中国银行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王  羡</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029-81563158</w:t>
            </w:r>
          </w:p>
        </w:tc>
      </w:tr>
      <w:tr>
        <w:tblPrEx>
          <w:tblCellMar>
            <w:top w:w="0" w:type="dxa"/>
            <w:left w:w="108" w:type="dxa"/>
            <w:bottom w:w="0" w:type="dxa"/>
            <w:right w:w="108" w:type="dxa"/>
          </w:tblCellMar>
        </w:tblPrEx>
        <w:trPr>
          <w:trHeight w:val="600" w:hRule="atLeast"/>
        </w:trPr>
        <w:tc>
          <w:tcPr>
            <w:tcW w:w="90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西安市长安区农村信用合作联社</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高  锋</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029-89230551</w:t>
            </w:r>
          </w:p>
        </w:tc>
      </w:tr>
      <w:tr>
        <w:tblPrEx>
          <w:tblCellMar>
            <w:top w:w="0" w:type="dxa"/>
            <w:left w:w="108" w:type="dxa"/>
            <w:bottom w:w="0" w:type="dxa"/>
            <w:right w:w="108" w:type="dxa"/>
          </w:tblCellMar>
        </w:tblPrEx>
        <w:trPr>
          <w:trHeight w:val="600" w:hRule="atLeast"/>
        </w:trPr>
        <w:tc>
          <w:tcPr>
            <w:tcW w:w="905" w:type="dxa"/>
            <w:vMerge w:val="restart"/>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4</w:t>
            </w:r>
          </w:p>
        </w:tc>
        <w:tc>
          <w:tcPr>
            <w:tcW w:w="4275" w:type="dxa"/>
            <w:vMerge w:val="restart"/>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浦发银行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雷  超</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13992895375</w:t>
            </w:r>
          </w:p>
        </w:tc>
      </w:tr>
      <w:tr>
        <w:tblPrEx>
          <w:tblCellMar>
            <w:top w:w="0" w:type="dxa"/>
            <w:left w:w="108" w:type="dxa"/>
            <w:bottom w:w="0" w:type="dxa"/>
            <w:right w:w="108" w:type="dxa"/>
          </w:tblCellMar>
        </w:tblPrEx>
        <w:trPr>
          <w:trHeight w:val="600" w:hRule="atLeast"/>
        </w:trPr>
        <w:tc>
          <w:tcPr>
            <w:tcW w:w="905"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p>
        </w:tc>
        <w:tc>
          <w:tcPr>
            <w:tcW w:w="4275"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李  昊</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15209277417</w:t>
            </w:r>
          </w:p>
        </w:tc>
      </w:tr>
      <w:tr>
        <w:tblPrEx>
          <w:tblCellMar>
            <w:top w:w="0" w:type="dxa"/>
            <w:left w:w="108" w:type="dxa"/>
            <w:bottom w:w="0" w:type="dxa"/>
            <w:right w:w="108" w:type="dxa"/>
          </w:tblCellMar>
        </w:tblPrEx>
        <w:trPr>
          <w:trHeight w:val="600" w:hRule="atLeast"/>
        </w:trPr>
        <w:tc>
          <w:tcPr>
            <w:tcW w:w="90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北京银行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陈  明</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18149209660</w:t>
            </w:r>
          </w:p>
        </w:tc>
      </w:tr>
      <w:tr>
        <w:tblPrEx>
          <w:tblCellMar>
            <w:top w:w="0" w:type="dxa"/>
            <w:left w:w="108" w:type="dxa"/>
            <w:bottom w:w="0" w:type="dxa"/>
            <w:right w:w="108" w:type="dxa"/>
          </w:tblCellMar>
        </w:tblPrEx>
        <w:trPr>
          <w:trHeight w:val="600" w:hRule="atLeast"/>
        </w:trPr>
        <w:tc>
          <w:tcPr>
            <w:tcW w:w="90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6</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兴业银行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孙  健</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18591051627</w:t>
            </w:r>
          </w:p>
        </w:tc>
      </w:tr>
      <w:tr>
        <w:tblPrEx>
          <w:tblCellMar>
            <w:top w:w="0" w:type="dxa"/>
            <w:left w:w="108" w:type="dxa"/>
            <w:bottom w:w="0" w:type="dxa"/>
            <w:right w:w="108" w:type="dxa"/>
          </w:tblCellMar>
        </w:tblPrEx>
        <w:trPr>
          <w:trHeight w:val="600" w:hRule="atLeast"/>
        </w:trPr>
        <w:tc>
          <w:tcPr>
            <w:tcW w:w="90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7</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中国建设银行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孙振荣</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18792546729</w:t>
            </w:r>
          </w:p>
        </w:tc>
      </w:tr>
      <w:tr>
        <w:tblPrEx>
          <w:tblCellMar>
            <w:top w:w="0" w:type="dxa"/>
            <w:left w:w="108" w:type="dxa"/>
            <w:bottom w:w="0" w:type="dxa"/>
            <w:right w:w="108" w:type="dxa"/>
          </w:tblCellMar>
        </w:tblPrEx>
        <w:trPr>
          <w:trHeight w:val="600" w:hRule="atLeast"/>
        </w:trPr>
        <w:tc>
          <w:tcPr>
            <w:tcW w:w="90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8</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中国工商银行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李碧莹</w:t>
            </w:r>
          </w:p>
        </w:tc>
        <w:tc>
          <w:tcPr>
            <w:tcW w:w="2145" w:type="dxa"/>
            <w:tcBorders>
              <w:top w:val="single" w:color="000000" w:sz="4" w:space="0"/>
              <w:left w:val="single" w:color="000000" w:sz="4" w:space="0"/>
              <w:bottom w:val="single" w:color="000000" w:sz="4" w:space="0"/>
              <w:right w:val="single" w:color="000000" w:sz="4" w:space="0"/>
            </w:tcBorders>
            <w:noWrap/>
            <w:vAlign w:val="center"/>
          </w:tcPr>
          <w:p>
            <w:pPr>
              <w:pStyle w:val="17"/>
              <w:keepNext w:val="0"/>
              <w:keepLines w:val="0"/>
              <w:suppressLineNumbers w:val="0"/>
              <w:spacing w:before="0" w:beforeAutospacing="0" w:after="0" w:afterAutospacing="0"/>
              <w:ind w:left="0" w:right="0"/>
              <w:jc w:val="center"/>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13809159860</w:t>
            </w:r>
          </w:p>
        </w:tc>
      </w:tr>
    </w:tbl>
    <w:p>
      <w:pPr>
        <w:rPr>
          <w:rFonts w:hint="eastAsia" w:eastAsia="仿宋"/>
          <w:lang w:val="en-US" w:eastAsia="zh-CN"/>
        </w:rPr>
      </w:pPr>
      <w:r>
        <w:rPr>
          <w:rFonts w:hint="eastAsia" w:eastAsia="仿宋"/>
          <w:lang w:val="en-US" w:eastAsia="zh-CN"/>
        </w:rPr>
        <w:br w:type="page"/>
      </w:r>
    </w:p>
    <w:p>
      <w:pPr>
        <w:pStyle w:val="4"/>
        <w:pageBreakBefore w:val="0"/>
        <w:widowControl w:val="0"/>
        <w:kinsoku/>
        <w:wordWrap w:val="0"/>
        <w:overflowPunct/>
        <w:bidi w:val="0"/>
        <w:spacing w:before="240" w:after="240" w:line="520" w:lineRule="exact"/>
        <w:rPr>
          <w:rFonts w:hint="eastAsia" w:ascii="仿宋" w:hAnsi="仿宋" w:eastAsia="仿宋" w:cs="仿宋"/>
          <w:b/>
          <w:bCs/>
          <w:sz w:val="40"/>
          <w:szCs w:val="40"/>
          <w:highlight w:val="none"/>
          <w:lang w:val="en-US" w:eastAsia="zh-CN"/>
        </w:rPr>
      </w:pPr>
      <w:bookmarkStart w:id="51" w:name="_Toc12085"/>
      <w:r>
        <w:rPr>
          <w:rFonts w:hint="eastAsia" w:ascii="仿宋" w:hAnsi="仿宋" w:eastAsia="仿宋" w:cs="仿宋"/>
          <w:b/>
          <w:bCs/>
          <w:sz w:val="40"/>
          <w:szCs w:val="40"/>
          <w:highlight w:val="none"/>
          <w:lang w:val="en-US" w:eastAsia="zh-CN"/>
        </w:rPr>
        <w:t>第四部分  采购内容及技术要求</w:t>
      </w:r>
      <w:bookmarkEnd w:id="51"/>
    </w:p>
    <w:p>
      <w:pPr>
        <w:pageBreakBefore w:val="0"/>
        <w:widowControl w:val="0"/>
        <w:kinsoku/>
        <w:wordWrap w:val="0"/>
        <w:overflowPunct/>
        <w:bidi w:val="0"/>
        <w:rPr>
          <w:rFonts w:hint="eastAsia"/>
          <w:highlight w:val="none"/>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b w:val="0"/>
          <w:bCs w:val="0"/>
          <w:color w:val="000000"/>
          <w:kern w:val="0"/>
          <w:sz w:val="28"/>
          <w:szCs w:val="28"/>
          <w:highlight w:val="none"/>
          <w:lang w:eastAsia="zh-CN"/>
        </w:rPr>
      </w:pPr>
      <w:r>
        <w:rPr>
          <w:rFonts w:hint="eastAsia" w:ascii="仿宋" w:hAnsi="仿宋" w:eastAsia="仿宋" w:cs="仿宋"/>
          <w:b w:val="0"/>
          <w:bCs w:val="0"/>
          <w:color w:val="000000"/>
          <w:kern w:val="0"/>
          <w:sz w:val="28"/>
          <w:szCs w:val="28"/>
          <w:highlight w:val="none"/>
        </w:rPr>
        <w:t>一、项目名称：</w:t>
      </w:r>
      <w:r>
        <w:rPr>
          <w:rFonts w:hint="eastAsia" w:ascii="仿宋" w:hAnsi="仿宋" w:eastAsia="仿宋" w:cs="仿宋"/>
          <w:b w:val="0"/>
          <w:bCs w:val="0"/>
          <w:color w:val="000000"/>
          <w:kern w:val="0"/>
          <w:sz w:val="28"/>
          <w:szCs w:val="28"/>
          <w:highlight w:val="none"/>
          <w:lang w:eastAsia="zh-CN"/>
        </w:rPr>
        <w:t>西安市公安局交通警察支队长安大队中省转移警用车辆采购</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b w:val="0"/>
          <w:bCs w:val="0"/>
          <w:color w:val="000000"/>
          <w:kern w:val="0"/>
          <w:sz w:val="28"/>
          <w:szCs w:val="28"/>
          <w:highlight w:val="none"/>
        </w:rPr>
      </w:pPr>
      <w:r>
        <w:rPr>
          <w:rFonts w:hint="eastAsia" w:ascii="仿宋" w:hAnsi="仿宋" w:eastAsia="仿宋" w:cs="仿宋"/>
          <w:b w:val="0"/>
          <w:bCs w:val="0"/>
          <w:color w:val="000000"/>
          <w:kern w:val="0"/>
          <w:sz w:val="28"/>
          <w:szCs w:val="28"/>
          <w:highlight w:val="none"/>
          <w:lang w:eastAsia="zh-CN"/>
        </w:rPr>
        <w:t>二</w:t>
      </w:r>
      <w:r>
        <w:rPr>
          <w:rFonts w:hint="eastAsia" w:ascii="仿宋" w:hAnsi="仿宋" w:eastAsia="仿宋" w:cs="仿宋"/>
          <w:b w:val="0"/>
          <w:bCs w:val="0"/>
          <w:color w:val="000000"/>
          <w:kern w:val="0"/>
          <w:sz w:val="28"/>
          <w:szCs w:val="28"/>
          <w:highlight w:val="none"/>
        </w:rPr>
        <w:t>、</w:t>
      </w:r>
      <w:r>
        <w:rPr>
          <w:rFonts w:hint="eastAsia" w:ascii="仿宋" w:hAnsi="仿宋" w:eastAsia="仿宋" w:cs="仿宋"/>
          <w:b w:val="0"/>
          <w:bCs w:val="0"/>
          <w:color w:val="000000"/>
          <w:kern w:val="0"/>
          <w:sz w:val="28"/>
          <w:szCs w:val="28"/>
          <w:highlight w:val="none"/>
          <w:lang w:eastAsia="zh-CN"/>
        </w:rPr>
        <w:t>采购</w:t>
      </w:r>
      <w:r>
        <w:rPr>
          <w:rFonts w:hint="eastAsia" w:ascii="仿宋" w:hAnsi="仿宋" w:eastAsia="仿宋" w:cs="仿宋"/>
          <w:b w:val="0"/>
          <w:bCs w:val="0"/>
          <w:color w:val="000000"/>
          <w:kern w:val="0"/>
          <w:sz w:val="28"/>
          <w:szCs w:val="28"/>
          <w:highlight w:val="none"/>
        </w:rPr>
        <w:t>内容及</w:t>
      </w:r>
      <w:r>
        <w:rPr>
          <w:rFonts w:hint="eastAsia" w:ascii="仿宋" w:hAnsi="仿宋" w:eastAsia="仿宋" w:cs="仿宋"/>
          <w:b w:val="0"/>
          <w:bCs w:val="0"/>
          <w:color w:val="000000"/>
          <w:kern w:val="0"/>
          <w:sz w:val="28"/>
          <w:szCs w:val="28"/>
          <w:highlight w:val="none"/>
          <w:lang w:val="en-US" w:eastAsia="zh-CN"/>
        </w:rPr>
        <w:t>技术</w:t>
      </w:r>
      <w:r>
        <w:rPr>
          <w:rFonts w:hint="eastAsia" w:ascii="仿宋" w:hAnsi="仿宋" w:eastAsia="仿宋" w:cs="仿宋"/>
          <w:b w:val="0"/>
          <w:bCs w:val="0"/>
          <w:color w:val="000000"/>
          <w:kern w:val="0"/>
          <w:sz w:val="28"/>
          <w:szCs w:val="28"/>
          <w:highlight w:val="none"/>
          <w:lang w:eastAsia="zh-CN"/>
        </w:rPr>
        <w:t>要求</w:t>
      </w:r>
      <w:r>
        <w:rPr>
          <w:rFonts w:hint="eastAsia" w:ascii="仿宋" w:hAnsi="仿宋" w:eastAsia="仿宋" w:cs="仿宋"/>
          <w:b w:val="0"/>
          <w:bCs w:val="0"/>
          <w:color w:val="000000"/>
          <w:kern w:val="0"/>
          <w:sz w:val="28"/>
          <w:szCs w:val="28"/>
          <w:highlight w:val="none"/>
        </w:rPr>
        <w:t>：</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val="en-US" w:eastAsia="zh-CN"/>
        </w:rPr>
      </w:pPr>
      <w:r>
        <w:rPr>
          <w:rFonts w:hint="eastAsia" w:ascii="仿宋" w:hAnsi="仿宋" w:eastAsia="仿宋" w:cs="仿宋"/>
          <w:color w:val="000000"/>
          <w:kern w:val="0"/>
          <w:sz w:val="28"/>
          <w:szCs w:val="28"/>
          <w:highlight w:val="none"/>
          <w:lang w:val="en-US" w:eastAsia="zh-CN"/>
        </w:rPr>
        <w:t>一）采购内容</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val="en-US" w:eastAsia="zh-CN"/>
        </w:rPr>
        <w:t>警用车辆采购，4辆7座小轿车，6辆皮卡车；采购数量:10辆；主要功能或目标:出警使用，提高出警效率；需满足的要求:符合政府采购要求，满足使用需求。</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二）采购清单及技术规格参数</w:t>
      </w:r>
    </w:p>
    <w:tbl>
      <w:tblPr>
        <w:tblStyle w:val="31"/>
        <w:tblW w:w="9035" w:type="dxa"/>
        <w:tblInd w:w="0" w:type="dxa"/>
        <w:tblLayout w:type="fixed"/>
        <w:tblCellMar>
          <w:top w:w="0" w:type="dxa"/>
          <w:left w:w="108" w:type="dxa"/>
          <w:bottom w:w="0" w:type="dxa"/>
          <w:right w:w="108" w:type="dxa"/>
        </w:tblCellMar>
      </w:tblPr>
      <w:tblGrid>
        <w:gridCol w:w="860"/>
        <w:gridCol w:w="2715"/>
        <w:gridCol w:w="5460"/>
      </w:tblGrid>
      <w:tr>
        <w:tblPrEx>
          <w:tblCellMar>
            <w:top w:w="0" w:type="dxa"/>
            <w:left w:w="108" w:type="dxa"/>
            <w:bottom w:w="0" w:type="dxa"/>
            <w:right w:w="108" w:type="dxa"/>
          </w:tblCellMar>
        </w:tblPrEx>
        <w:trPr>
          <w:trHeight w:val="850"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b/>
                <w:bCs w:val="0"/>
                <w:sz w:val="24"/>
                <w:szCs w:val="32"/>
                <w:lang w:val="en-US" w:eastAsia="zh-CN"/>
              </w:rPr>
            </w:pPr>
            <w:r>
              <w:rPr>
                <w:rFonts w:hint="eastAsia" w:ascii="仿宋" w:hAnsi="仿宋"/>
                <w:b/>
                <w:bCs w:val="0"/>
                <w:sz w:val="24"/>
                <w:szCs w:val="32"/>
                <w:lang w:val="en-US" w:eastAsia="zh-CN"/>
              </w:rPr>
              <w:t>序号</w:t>
            </w:r>
          </w:p>
        </w:tc>
        <w:tc>
          <w:tcPr>
            <w:tcW w:w="8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仿宋" w:hAnsi="仿宋"/>
                <w:b/>
                <w:bCs w:val="0"/>
                <w:sz w:val="24"/>
                <w:szCs w:val="32"/>
                <w:lang w:val="en-US" w:eastAsia="zh-CN"/>
              </w:rPr>
            </w:pPr>
            <w:r>
              <w:rPr>
                <w:rFonts w:hint="eastAsia" w:ascii="仿宋" w:hAnsi="仿宋"/>
                <w:b/>
                <w:bCs w:val="0"/>
                <w:sz w:val="24"/>
                <w:szCs w:val="32"/>
                <w:lang w:val="en-US" w:eastAsia="zh-CN"/>
              </w:rPr>
              <w:t>7座执法执勤车：4辆</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cs="宋体"/>
                <w:b w:val="0"/>
                <w:bCs/>
                <w:kern w:val="0"/>
                <w:szCs w:val="21"/>
                <w:lang w:val="en-US" w:eastAsia="zh-CN"/>
              </w:rPr>
            </w:pPr>
            <w:r>
              <w:rPr>
                <w:rFonts w:hint="eastAsia" w:ascii="宋体" w:hAnsi="宋体" w:cs="宋体"/>
                <w:b w:val="0"/>
                <w:bCs/>
                <w:kern w:val="0"/>
                <w:szCs w:val="21"/>
                <w:lang w:val="en-US" w:eastAsia="zh-CN"/>
              </w:rPr>
              <w:t>1</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lang w:val="en-US" w:eastAsia="zh-CN"/>
              </w:rPr>
            </w:pPr>
            <w:r>
              <w:rPr>
                <w:rFonts w:hint="eastAsia" w:ascii="仿宋" w:hAnsi="仿宋" w:cs="宋体"/>
                <w:b w:val="0"/>
                <w:bCs/>
                <w:color w:val="000000"/>
              </w:rPr>
              <w:t>长/宽/高 (mm)</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lang w:val="en-US" w:eastAsia="zh-CN"/>
              </w:rPr>
            </w:pPr>
            <w:r>
              <w:rPr>
                <w:rFonts w:hint="eastAsia" w:ascii="仿宋" w:hAnsi="仿宋" w:cs="宋体"/>
                <w:b w:val="0"/>
                <w:bCs/>
                <w:color w:val="000000"/>
                <w:lang w:val="en-US" w:eastAsia="zh-CN"/>
              </w:rPr>
              <w:t>长</w:t>
            </w:r>
            <w:r>
              <w:rPr>
                <w:rFonts w:hint="default" w:ascii="仿宋" w:hAnsi="仿宋" w:cs="宋体"/>
                <w:b w:val="0"/>
                <w:bCs/>
                <w:color w:val="000000"/>
                <w:lang w:val="en-US" w:eastAsia="zh-CN"/>
              </w:rPr>
              <w:t>≥</w:t>
            </w:r>
            <w:r>
              <w:rPr>
                <w:rFonts w:hint="eastAsia" w:ascii="仿宋" w:hAnsi="仿宋" w:cs="宋体"/>
                <w:b w:val="0"/>
                <w:bCs/>
                <w:color w:val="000000"/>
                <w:lang w:val="en-US" w:eastAsia="zh-CN"/>
              </w:rPr>
              <w:t>4750</w:t>
            </w:r>
            <w:r>
              <w:rPr>
                <w:rFonts w:hint="eastAsia" w:ascii="仿宋" w:hAnsi="仿宋" w:cs="宋体"/>
                <w:b w:val="0"/>
                <w:bCs/>
                <w:color w:val="000000"/>
              </w:rPr>
              <w:t>/</w:t>
            </w:r>
            <w:r>
              <w:rPr>
                <w:rFonts w:hint="eastAsia" w:ascii="仿宋" w:hAnsi="仿宋" w:cs="宋体"/>
                <w:b w:val="0"/>
                <w:bCs/>
                <w:color w:val="000000"/>
                <w:lang w:val="en-US" w:eastAsia="zh-CN"/>
              </w:rPr>
              <w:t>宽</w:t>
            </w:r>
            <w:r>
              <w:rPr>
                <w:rFonts w:hint="default" w:ascii="仿宋" w:hAnsi="仿宋" w:cs="宋体"/>
                <w:b w:val="0"/>
                <w:bCs/>
                <w:color w:val="000000"/>
                <w:lang w:val="en-US" w:eastAsia="zh-CN"/>
              </w:rPr>
              <w:t>≥</w:t>
            </w:r>
            <w:r>
              <w:rPr>
                <w:rFonts w:hint="eastAsia" w:ascii="仿宋" w:hAnsi="仿宋" w:cs="宋体"/>
                <w:b w:val="0"/>
                <w:bCs/>
                <w:color w:val="000000"/>
              </w:rPr>
              <w:t>1</w:t>
            </w:r>
            <w:r>
              <w:rPr>
                <w:rFonts w:hint="eastAsia" w:ascii="仿宋" w:hAnsi="仿宋" w:cs="宋体"/>
                <w:b w:val="0"/>
                <w:bCs/>
                <w:color w:val="000000"/>
                <w:lang w:val="en-US" w:eastAsia="zh-CN"/>
              </w:rPr>
              <w:t>800</w:t>
            </w:r>
            <w:r>
              <w:rPr>
                <w:rFonts w:hint="eastAsia" w:ascii="仿宋" w:hAnsi="仿宋" w:cs="宋体"/>
                <w:b w:val="0"/>
                <w:bCs/>
                <w:color w:val="000000"/>
              </w:rPr>
              <w:t>/</w:t>
            </w:r>
            <w:r>
              <w:rPr>
                <w:rFonts w:hint="eastAsia" w:ascii="仿宋" w:hAnsi="仿宋" w:cs="宋体"/>
                <w:b w:val="0"/>
                <w:bCs/>
                <w:color w:val="000000"/>
                <w:lang w:val="en-US" w:eastAsia="zh-CN"/>
              </w:rPr>
              <w:t>高</w:t>
            </w:r>
            <w:r>
              <w:rPr>
                <w:rFonts w:hint="default" w:ascii="仿宋" w:hAnsi="仿宋" w:cs="宋体"/>
                <w:b w:val="0"/>
                <w:bCs/>
                <w:color w:val="000000"/>
                <w:lang w:val="en-US" w:eastAsia="zh-CN"/>
              </w:rPr>
              <w:t>≥</w:t>
            </w:r>
            <w:r>
              <w:rPr>
                <w:rFonts w:hint="eastAsia" w:ascii="仿宋" w:hAnsi="仿宋" w:cs="宋体"/>
                <w:b w:val="0"/>
                <w:bCs/>
                <w:color w:val="000000"/>
                <w:lang w:val="en-US" w:eastAsia="zh-CN"/>
              </w:rPr>
              <w:t>1750</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kern w:val="0"/>
                <w:szCs w:val="21"/>
                <w:lang w:val="en-US" w:eastAsia="zh-CN"/>
              </w:rPr>
            </w:pPr>
            <w:r>
              <w:rPr>
                <w:rFonts w:hint="eastAsia" w:ascii="宋体" w:hAnsi="宋体" w:cs="宋体"/>
                <w:b w:val="0"/>
                <w:bCs/>
                <w:kern w:val="0"/>
                <w:szCs w:val="21"/>
                <w:lang w:val="en-US" w:eastAsia="zh-CN"/>
              </w:rPr>
              <w:t>2</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rPr>
              <w:t>轴距 (mm)</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default" w:ascii="仿宋" w:hAnsi="仿宋" w:cs="宋体"/>
                <w:b w:val="0"/>
                <w:bCs/>
                <w:color w:val="000000"/>
              </w:rPr>
              <w:t>≥</w:t>
            </w:r>
            <w:r>
              <w:rPr>
                <w:rFonts w:hint="eastAsia" w:ascii="仿宋" w:hAnsi="仿宋" w:cs="宋体"/>
                <w:b w:val="0"/>
                <w:bCs/>
                <w:color w:val="000000"/>
                <w:lang w:val="en-US" w:eastAsia="zh-CN"/>
              </w:rPr>
              <w:t>2800</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kern w:val="0"/>
                <w:szCs w:val="21"/>
                <w:lang w:val="en-US" w:eastAsia="zh-CN"/>
              </w:rPr>
            </w:pPr>
            <w:r>
              <w:rPr>
                <w:rFonts w:hint="eastAsia" w:ascii="宋体" w:hAnsi="宋体" w:cs="宋体"/>
                <w:b w:val="0"/>
                <w:bCs/>
                <w:kern w:val="0"/>
                <w:szCs w:val="21"/>
                <w:lang w:val="en-US" w:eastAsia="zh-CN"/>
              </w:rPr>
              <w:t>3</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额定载客：</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7人</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kern w:val="0"/>
                <w:szCs w:val="21"/>
                <w:lang w:val="en-US" w:eastAsia="zh-CN"/>
              </w:rPr>
            </w:pPr>
            <w:r>
              <w:rPr>
                <w:rFonts w:hint="eastAsia" w:ascii="宋体" w:hAnsi="宋体" w:cs="宋体"/>
                <w:b w:val="0"/>
                <w:bCs/>
                <w:kern w:val="0"/>
                <w:szCs w:val="21"/>
                <w:lang w:val="en-US" w:eastAsia="zh-CN"/>
              </w:rPr>
              <w:t>4</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rPr>
              <w:t>燃油类型/排量</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汽</w:t>
            </w:r>
            <w:r>
              <w:rPr>
                <w:rFonts w:hint="eastAsia" w:ascii="仿宋" w:hAnsi="仿宋" w:cs="宋体"/>
                <w:b w:val="0"/>
                <w:bCs/>
                <w:color w:val="000000"/>
              </w:rPr>
              <w:t>油/</w:t>
            </w:r>
            <w:r>
              <w:rPr>
                <w:rFonts w:hint="default" w:ascii="仿宋" w:hAnsi="仿宋" w:cs="宋体"/>
                <w:b w:val="0"/>
                <w:bCs/>
                <w:color w:val="000000"/>
                <w:lang w:val="en-US" w:eastAsia="zh-CN"/>
              </w:rPr>
              <w:t>≥</w:t>
            </w:r>
            <w:r>
              <w:rPr>
                <w:rFonts w:hint="eastAsia" w:ascii="仿宋" w:hAnsi="仿宋" w:cs="宋体"/>
                <w:b w:val="0"/>
                <w:bCs/>
                <w:color w:val="000000"/>
                <w:lang w:val="en-US" w:eastAsia="zh-CN"/>
              </w:rPr>
              <w:t>1.5</w:t>
            </w:r>
            <w:r>
              <w:rPr>
                <w:rFonts w:hint="eastAsia" w:ascii="仿宋" w:hAnsi="仿宋" w:cs="宋体"/>
                <w:b w:val="0"/>
                <w:bCs/>
                <w:color w:val="000000"/>
              </w:rPr>
              <w:t>T</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kern w:val="0"/>
                <w:szCs w:val="21"/>
                <w:lang w:val="en-US" w:eastAsia="zh-CN"/>
              </w:rPr>
            </w:pPr>
            <w:r>
              <w:rPr>
                <w:rFonts w:hint="eastAsia" w:ascii="宋体" w:hAnsi="宋体" w:cs="宋体"/>
                <w:b w:val="0"/>
                <w:bCs/>
                <w:kern w:val="0"/>
                <w:szCs w:val="21"/>
                <w:lang w:val="en-US" w:eastAsia="zh-CN"/>
              </w:rPr>
              <w:t>5</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排放标准</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国VI</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kern w:val="0"/>
                <w:szCs w:val="21"/>
                <w:lang w:val="en-US" w:eastAsia="zh-CN"/>
              </w:rPr>
            </w:pPr>
            <w:r>
              <w:rPr>
                <w:rFonts w:hint="eastAsia" w:ascii="宋体" w:hAnsi="宋体" w:cs="宋体"/>
                <w:b w:val="0"/>
                <w:bCs/>
                <w:kern w:val="0"/>
                <w:szCs w:val="21"/>
                <w:lang w:val="en-US" w:eastAsia="zh-CN"/>
              </w:rPr>
              <w:t>6</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rPr>
              <w:t>额定功率 (kW)</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default" w:ascii="仿宋" w:hAnsi="仿宋" w:cs="宋体"/>
                <w:b w:val="0"/>
                <w:bCs/>
                <w:color w:val="000000"/>
              </w:rPr>
              <w:t>≥</w:t>
            </w:r>
            <w:r>
              <w:rPr>
                <w:rFonts w:hint="eastAsia" w:ascii="仿宋" w:hAnsi="仿宋" w:cs="宋体"/>
                <w:b w:val="0"/>
                <w:bCs/>
                <w:color w:val="000000"/>
              </w:rPr>
              <w:t>1</w:t>
            </w:r>
            <w:r>
              <w:rPr>
                <w:rFonts w:hint="eastAsia" w:ascii="仿宋" w:hAnsi="仿宋" w:cs="宋体"/>
                <w:b w:val="0"/>
                <w:bCs/>
                <w:color w:val="000000"/>
                <w:lang w:val="en-US" w:eastAsia="zh-CN"/>
              </w:rPr>
              <w:t>20</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kern w:val="0"/>
                <w:szCs w:val="21"/>
                <w:lang w:val="en-US" w:eastAsia="zh-CN"/>
              </w:rPr>
            </w:pPr>
            <w:r>
              <w:rPr>
                <w:rFonts w:hint="eastAsia" w:ascii="宋体" w:hAnsi="宋体" w:cs="宋体"/>
                <w:b w:val="0"/>
                <w:bCs/>
                <w:kern w:val="0"/>
                <w:szCs w:val="21"/>
                <w:lang w:val="en-US" w:eastAsia="zh-CN"/>
              </w:rPr>
              <w:t>7</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rPr>
              <w:t>峰值扭矩  (Nm)</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default" w:ascii="仿宋" w:hAnsi="仿宋" w:cs="宋体"/>
                <w:b w:val="0"/>
                <w:bCs/>
                <w:color w:val="000000"/>
                <w:lang w:val="en-US" w:eastAsia="zh-CN"/>
              </w:rPr>
              <w:t>≥</w:t>
            </w:r>
            <w:r>
              <w:rPr>
                <w:rFonts w:hint="eastAsia" w:ascii="仿宋" w:hAnsi="仿宋" w:cs="宋体"/>
                <w:b w:val="0"/>
                <w:bCs/>
                <w:color w:val="000000"/>
                <w:lang w:val="en-US" w:eastAsia="zh-CN"/>
              </w:rPr>
              <w:t>240</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kern w:val="0"/>
                <w:szCs w:val="21"/>
                <w:lang w:val="en-US" w:eastAsia="zh-CN"/>
              </w:rPr>
            </w:pPr>
            <w:r>
              <w:rPr>
                <w:rFonts w:hint="eastAsia" w:ascii="宋体" w:hAnsi="宋体" w:cs="宋体"/>
                <w:b w:val="0"/>
                <w:bCs/>
                <w:kern w:val="0"/>
                <w:szCs w:val="21"/>
                <w:lang w:val="en-US" w:eastAsia="zh-CN"/>
              </w:rPr>
              <w:t>8</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rPr>
              <w:t>变速箱形式</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lang w:val="en-US" w:eastAsia="zh-CN"/>
              </w:rPr>
              <w:t>自动变速箱</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kern w:val="0"/>
                <w:szCs w:val="21"/>
                <w:lang w:val="en-US" w:eastAsia="zh-CN"/>
              </w:rPr>
            </w:pPr>
            <w:r>
              <w:rPr>
                <w:rFonts w:hint="eastAsia" w:ascii="宋体" w:hAnsi="宋体" w:cs="宋体"/>
                <w:b w:val="0"/>
                <w:bCs/>
                <w:kern w:val="0"/>
                <w:szCs w:val="21"/>
                <w:lang w:val="en-US" w:eastAsia="zh-CN"/>
              </w:rPr>
              <w:t>9</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rPr>
              <w:t>驱动形式</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lang w:val="en-US" w:eastAsia="zh-CN"/>
              </w:rPr>
              <w:t>前置前驱</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10</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rPr>
              <w:t>悬架形式（前/后）</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前麦弗逊</w:t>
            </w:r>
            <w:r>
              <w:rPr>
                <w:rFonts w:hint="eastAsia" w:ascii="仿宋" w:hAnsi="仿宋" w:cs="宋体"/>
                <w:b w:val="0"/>
                <w:bCs/>
                <w:color w:val="000000"/>
              </w:rPr>
              <w:t>独立悬架/</w:t>
            </w:r>
            <w:r>
              <w:rPr>
                <w:rFonts w:hint="eastAsia" w:ascii="仿宋" w:hAnsi="仿宋" w:cs="宋体"/>
                <w:b w:val="0"/>
                <w:bCs/>
                <w:color w:val="000000"/>
                <w:lang w:val="en-US" w:eastAsia="zh-CN"/>
              </w:rPr>
              <w:t>后扭力梁</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11</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安全气囊</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主副驾安全气囊</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cs="宋体"/>
                <w:b w:val="0"/>
                <w:bCs/>
                <w:kern w:val="0"/>
                <w:szCs w:val="21"/>
                <w:lang w:val="en-US" w:eastAsia="zh-CN"/>
              </w:rPr>
            </w:pPr>
            <w:r>
              <w:rPr>
                <w:rFonts w:hint="eastAsia" w:ascii="宋体" w:hAnsi="宋体" w:cs="宋体"/>
                <w:b w:val="0"/>
                <w:bCs/>
                <w:kern w:val="0"/>
                <w:szCs w:val="21"/>
                <w:lang w:val="en-US" w:eastAsia="zh-CN"/>
              </w:rPr>
              <w:t>12</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胎压监测功能</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cs="宋体"/>
                <w:b w:val="0"/>
                <w:bCs/>
                <w:kern w:val="0"/>
                <w:szCs w:val="21"/>
                <w:lang w:val="en-US" w:eastAsia="zh-CN"/>
              </w:rPr>
            </w:pPr>
            <w:r>
              <w:rPr>
                <w:rFonts w:hint="eastAsia" w:ascii="宋体" w:hAnsi="宋体" w:cs="宋体"/>
                <w:b w:val="0"/>
                <w:bCs/>
                <w:kern w:val="0"/>
                <w:szCs w:val="21"/>
                <w:lang w:val="en-US" w:eastAsia="zh-CN"/>
              </w:rPr>
              <w:t>13</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前排安全带未系提醒功能</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cs="宋体"/>
                <w:b w:val="0"/>
                <w:bCs/>
                <w:kern w:val="0"/>
                <w:szCs w:val="21"/>
                <w:lang w:val="en-US" w:eastAsia="zh-CN"/>
              </w:rPr>
            </w:pPr>
            <w:r>
              <w:rPr>
                <w:rFonts w:hint="eastAsia" w:ascii="宋体" w:hAnsi="宋体" w:cs="宋体"/>
                <w:b w:val="0"/>
                <w:bCs/>
                <w:kern w:val="0"/>
                <w:szCs w:val="21"/>
                <w:lang w:val="en-US" w:eastAsia="zh-CN"/>
              </w:rPr>
              <w:t>14</w:t>
            </w:r>
          </w:p>
        </w:tc>
        <w:tc>
          <w:tcPr>
            <w:tcW w:w="2715"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电子车身稳定系统</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15</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制动系统</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前后盘式制动</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cs="宋体"/>
                <w:b w:val="0"/>
                <w:bCs/>
                <w:kern w:val="0"/>
                <w:szCs w:val="21"/>
                <w:lang w:val="en-US" w:eastAsia="zh-CN"/>
              </w:rPr>
            </w:pPr>
            <w:r>
              <w:rPr>
                <w:rFonts w:hint="eastAsia" w:ascii="宋体" w:hAnsi="宋体" w:cs="宋体"/>
                <w:b w:val="0"/>
                <w:bCs/>
                <w:kern w:val="0"/>
                <w:szCs w:val="21"/>
                <w:lang w:val="en-US" w:eastAsia="zh-CN"/>
              </w:rPr>
              <w:t>16</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自动驻车功能</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lang w:val="en-US" w:eastAsia="zh-CN"/>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17</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rPr>
              <w:t>后驻车雷达</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lang w:val="en-US" w:eastAsia="zh-CN"/>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18</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lang w:val="en-US" w:eastAsia="zh-CN"/>
              </w:rPr>
            </w:pPr>
            <w:r>
              <w:rPr>
                <w:rFonts w:hint="eastAsia" w:ascii="仿宋" w:hAnsi="仿宋" w:cs="宋体"/>
                <w:b w:val="0"/>
                <w:bCs/>
                <w:color w:val="000000"/>
              </w:rPr>
              <w:t>转向</w:t>
            </w:r>
            <w:r>
              <w:rPr>
                <w:rFonts w:hint="eastAsia" w:ascii="仿宋" w:hAnsi="仿宋" w:cs="宋体"/>
                <w:b w:val="0"/>
                <w:bCs/>
                <w:color w:val="000000"/>
                <w:lang w:val="en-US" w:eastAsia="zh-CN"/>
              </w:rPr>
              <w:t>系统</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电动助力转向</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19</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rPr>
              <w:t>空调系统</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前后舱独立空调</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20</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lang w:val="en-US" w:eastAsia="zh-CN"/>
              </w:rPr>
              <w:t>MP3+收音机</w:t>
            </w:r>
          </w:p>
        </w:tc>
        <w:tc>
          <w:tcPr>
            <w:tcW w:w="5460"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21</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定速巡航</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lang w:val="en-US" w:eastAsia="zh-CN"/>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22</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多媒体/充电接口</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USB</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23</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电动车窗</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前后电动车窗</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24</w:t>
            </w:r>
          </w:p>
        </w:tc>
        <w:tc>
          <w:tcPr>
            <w:tcW w:w="2715" w:type="dxa"/>
            <w:tcBorders>
              <w:top w:val="nil"/>
              <w:left w:val="nil"/>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座椅调节</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主驾座椅6向调节，副驾座椅4向调节</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25</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rPr>
            </w:pPr>
            <w:r>
              <w:rPr>
                <w:rFonts w:hint="eastAsia" w:ascii="仿宋" w:hAnsi="仿宋" w:cs="宋体"/>
                <w:b w:val="0"/>
                <w:bCs/>
                <w:color w:val="000000"/>
                <w:lang w:val="en-US" w:eastAsia="zh-CN"/>
              </w:rPr>
              <w:t>LED日间行车灯</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26</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default" w:ascii="仿宋" w:hAnsi="仿宋" w:cs="宋体"/>
                <w:b w:val="0"/>
                <w:bCs/>
                <w:color w:val="000000"/>
                <w:lang w:val="en-US" w:eastAsia="zh-CN"/>
              </w:rPr>
            </w:pPr>
            <w:r>
              <w:rPr>
                <w:rFonts w:hint="eastAsia" w:ascii="仿宋" w:hAnsi="仿宋" w:cs="宋体"/>
                <w:b w:val="0"/>
                <w:bCs/>
                <w:color w:val="000000"/>
                <w:lang w:val="en-US" w:eastAsia="zh-CN"/>
              </w:rPr>
              <w:t>大灯高度可调功能</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27</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lang w:val="en-US" w:eastAsia="zh-CN"/>
              </w:rPr>
            </w:pPr>
            <w:r>
              <w:rPr>
                <w:rFonts w:hint="eastAsia" w:ascii="仿宋" w:hAnsi="仿宋" w:cs="宋体"/>
                <w:b w:val="0"/>
                <w:bCs/>
                <w:color w:val="000000"/>
                <w:lang w:val="en-US" w:eastAsia="zh-CN"/>
              </w:rPr>
              <w:t>后雾灯</w:t>
            </w:r>
          </w:p>
        </w:tc>
        <w:tc>
          <w:tcPr>
            <w:tcW w:w="5460" w:type="dxa"/>
            <w:tcBorders>
              <w:top w:val="nil"/>
              <w:left w:val="nil"/>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kern w:val="0"/>
                <w:szCs w:val="21"/>
                <w:lang w:val="en-US" w:eastAsia="zh-CN"/>
              </w:rPr>
            </w:pPr>
            <w:r>
              <w:rPr>
                <w:rFonts w:hint="eastAsia" w:ascii="宋体" w:hAnsi="宋体" w:cs="宋体"/>
                <w:b w:val="0"/>
                <w:bCs/>
                <w:kern w:val="0"/>
                <w:szCs w:val="21"/>
                <w:lang w:val="en-US" w:eastAsia="zh-CN"/>
              </w:rPr>
              <w:t>28</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lang w:val="en-US" w:eastAsia="zh-CN"/>
              </w:rPr>
            </w:pPr>
            <w:r>
              <w:rPr>
                <w:rFonts w:hint="eastAsia" w:ascii="仿宋" w:hAnsi="仿宋" w:cs="宋体"/>
                <w:b w:val="0"/>
                <w:bCs/>
                <w:color w:val="000000"/>
                <w:lang w:val="en-US" w:eastAsia="zh-CN"/>
              </w:rPr>
              <w:t>可</w:t>
            </w:r>
            <w:r>
              <w:rPr>
                <w:rFonts w:hint="eastAsia" w:ascii="仿宋" w:hAnsi="仿宋" w:cs="宋体"/>
                <w:b w:val="0"/>
                <w:bCs/>
                <w:color w:val="000000"/>
              </w:rPr>
              <w:t>调节</w:t>
            </w:r>
            <w:r>
              <w:rPr>
                <w:rFonts w:hint="eastAsia" w:ascii="仿宋" w:hAnsi="仿宋" w:cs="宋体"/>
                <w:b w:val="0"/>
                <w:bCs/>
                <w:color w:val="000000"/>
                <w:lang w:val="en-US" w:eastAsia="zh-CN"/>
              </w:rPr>
              <w:t>外后视镜</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cs="宋体"/>
                <w:b w:val="0"/>
                <w:bCs/>
                <w:color w:val="000000"/>
              </w:rPr>
            </w:pPr>
            <w:r>
              <w:rPr>
                <w:rFonts w:hint="eastAsia" w:ascii="仿宋" w:hAnsi="仿宋" w:cs="宋体"/>
                <w:b w:val="0"/>
                <w:bCs/>
                <w:color w:val="000000"/>
                <w:lang w:val="en-US" w:eastAsia="zh-CN"/>
              </w:rPr>
              <w:t>具备</w:t>
            </w:r>
          </w:p>
        </w:tc>
      </w:tr>
      <w:tr>
        <w:tblPrEx>
          <w:tblCellMar>
            <w:top w:w="0" w:type="dxa"/>
            <w:left w:w="108" w:type="dxa"/>
            <w:bottom w:w="0" w:type="dxa"/>
            <w:right w:w="108" w:type="dxa"/>
          </w:tblCellMar>
        </w:tblPrEx>
        <w:trPr>
          <w:trHeight w:val="850"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bCs w:val="0"/>
                <w:kern w:val="2"/>
                <w:sz w:val="24"/>
                <w:szCs w:val="32"/>
                <w:lang w:val="en-US" w:eastAsia="zh-CN" w:bidi="ar-SA"/>
              </w:rPr>
            </w:pPr>
            <w:r>
              <w:rPr>
                <w:rFonts w:hint="eastAsia" w:ascii="仿宋" w:hAnsi="仿宋"/>
                <w:b/>
                <w:bCs w:val="0"/>
                <w:sz w:val="24"/>
                <w:szCs w:val="32"/>
              </w:rPr>
              <w:t>序号</w:t>
            </w:r>
          </w:p>
        </w:tc>
        <w:tc>
          <w:tcPr>
            <w:tcW w:w="8175"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spacing w:before="0" w:beforeAutospacing="0" w:after="0" w:afterAutospacing="0" w:line="240" w:lineRule="auto"/>
              <w:ind w:left="0" w:right="0" w:firstLine="0" w:firstLineChars="0"/>
              <w:jc w:val="both"/>
              <w:rPr>
                <w:rFonts w:hint="eastAsia" w:ascii="仿宋" w:hAnsi="仿宋" w:eastAsia="宋体" w:cs="Times New Roman"/>
                <w:b/>
                <w:bCs w:val="0"/>
                <w:kern w:val="2"/>
                <w:sz w:val="24"/>
                <w:szCs w:val="32"/>
                <w:lang w:val="en-US" w:eastAsia="zh-CN" w:bidi="ar-SA"/>
              </w:rPr>
            </w:pPr>
            <w:r>
              <w:rPr>
                <w:rFonts w:hint="eastAsia" w:ascii="仿宋" w:hAnsi="仿宋"/>
                <w:b/>
                <w:bCs w:val="0"/>
                <w:sz w:val="24"/>
                <w:szCs w:val="32"/>
                <w:lang w:val="en-US" w:eastAsia="zh-CN"/>
              </w:rPr>
              <w:t>皮卡车：6辆</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rPr>
              <w:t>1</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车体尺寸</w:t>
            </w:r>
            <w:r>
              <w:rPr>
                <w:rFonts w:hint="default" w:ascii="仿宋" w:hAnsi="仿宋" w:cs="宋体"/>
                <w:b w:val="0"/>
                <w:bCs/>
                <w:color w:val="000000"/>
              </w:rPr>
              <w:t>mm</w:t>
            </w:r>
            <w:r>
              <w:rPr>
                <w:rFonts w:hint="eastAsia" w:ascii="仿宋" w:hAnsi="仿宋" w:cs="宋体"/>
                <w:b w:val="0"/>
                <w:bCs/>
                <w:color w:val="000000"/>
              </w:rPr>
              <w:t>：</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840" w:leftChars="0" w:right="0" w:hanging="840" w:hangingChars="40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长≥</w:t>
            </w:r>
            <w:r>
              <w:rPr>
                <w:rFonts w:hint="eastAsia" w:ascii="仿宋" w:hAnsi="仿宋"/>
                <w:b w:val="0"/>
                <w:bCs/>
                <w:color w:val="000000"/>
                <w:lang w:val="en-US" w:eastAsia="zh-CN"/>
              </w:rPr>
              <w:t>5300</w:t>
            </w:r>
            <w:r>
              <w:rPr>
                <w:rFonts w:hint="eastAsia" w:ascii="仿宋" w:hAnsi="仿宋"/>
                <w:b w:val="0"/>
                <w:bCs/>
                <w:color w:val="000000"/>
              </w:rPr>
              <w:t>mm、宽≥1</w:t>
            </w:r>
            <w:r>
              <w:rPr>
                <w:rFonts w:hint="eastAsia" w:ascii="仿宋" w:hAnsi="仿宋"/>
                <w:b w:val="0"/>
                <w:bCs/>
                <w:color w:val="000000"/>
                <w:lang w:val="en-US" w:eastAsia="zh-CN"/>
              </w:rPr>
              <w:t>800</w:t>
            </w:r>
            <w:r>
              <w:rPr>
                <w:rFonts w:hint="eastAsia" w:ascii="仿宋" w:hAnsi="仿宋"/>
                <w:b w:val="0"/>
                <w:bCs/>
                <w:color w:val="000000"/>
              </w:rPr>
              <w:t xml:space="preserve"> mm、高≥1</w:t>
            </w:r>
            <w:r>
              <w:rPr>
                <w:rFonts w:hint="eastAsia" w:ascii="仿宋" w:hAnsi="仿宋"/>
                <w:b w:val="0"/>
                <w:bCs/>
                <w:color w:val="000000"/>
                <w:lang w:val="en-US" w:eastAsia="zh-CN"/>
              </w:rPr>
              <w:t>800</w:t>
            </w:r>
            <w:r>
              <w:rPr>
                <w:rFonts w:hint="eastAsia" w:ascii="仿宋" w:hAnsi="仿宋"/>
                <w:b w:val="0"/>
                <w:bCs/>
                <w:color w:val="000000"/>
              </w:rPr>
              <w:t>mm</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2</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仿宋" w:cs="宋体"/>
                <w:b w:val="0"/>
                <w:bCs/>
                <w:color w:val="000000"/>
                <w:kern w:val="2"/>
                <w:sz w:val="21"/>
                <w:szCs w:val="24"/>
                <w:lang w:val="en-US" w:eastAsia="zh-CN" w:bidi="ar-SA"/>
              </w:rPr>
            </w:pPr>
            <w:r>
              <w:rPr>
                <w:rFonts w:hint="eastAsia" w:ascii="仿宋" w:hAnsi="仿宋" w:cs="宋体"/>
                <w:b w:val="0"/>
                <w:bCs/>
                <w:color w:val="000000"/>
                <w:lang w:val="en-US" w:eastAsia="zh-CN"/>
              </w:rPr>
              <w:t>货箱尺寸mm:</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840" w:leftChars="0" w:right="0" w:hanging="840" w:hangingChars="400"/>
              <w:jc w:val="center"/>
              <w:rPr>
                <w:rFonts w:hint="eastAsia" w:ascii="仿宋" w:hAnsi="仿宋" w:eastAsia="宋体" w:cs="Times New Roman"/>
                <w:b w:val="0"/>
                <w:bCs/>
                <w:color w:val="000000"/>
                <w:kern w:val="2"/>
                <w:sz w:val="21"/>
                <w:szCs w:val="24"/>
                <w:lang w:val="en-US" w:eastAsia="zh-CN" w:bidi="ar-SA"/>
              </w:rPr>
            </w:pPr>
            <w:r>
              <w:rPr>
                <w:rFonts w:hint="eastAsia" w:ascii="仿宋" w:hAnsi="仿宋"/>
                <w:b w:val="0"/>
                <w:bCs/>
                <w:color w:val="000000"/>
              </w:rPr>
              <w:t>长≥</w:t>
            </w:r>
            <w:r>
              <w:rPr>
                <w:rFonts w:hint="eastAsia" w:ascii="仿宋" w:hAnsi="仿宋"/>
                <w:b w:val="0"/>
                <w:bCs/>
                <w:color w:val="000000"/>
                <w:lang w:val="en-US" w:eastAsia="zh-CN"/>
              </w:rPr>
              <w:t>1500</w:t>
            </w:r>
            <w:r>
              <w:rPr>
                <w:rFonts w:hint="eastAsia" w:ascii="仿宋" w:hAnsi="仿宋"/>
                <w:b w:val="0"/>
                <w:bCs/>
                <w:color w:val="000000"/>
              </w:rPr>
              <w:t>mm、宽≥1</w:t>
            </w:r>
            <w:r>
              <w:rPr>
                <w:rFonts w:hint="eastAsia" w:ascii="仿宋" w:hAnsi="仿宋"/>
                <w:b w:val="0"/>
                <w:bCs/>
                <w:color w:val="000000"/>
                <w:lang w:val="en-US" w:eastAsia="zh-CN"/>
              </w:rPr>
              <w:t>450</w:t>
            </w:r>
            <w:r>
              <w:rPr>
                <w:rFonts w:hint="eastAsia" w:ascii="仿宋" w:hAnsi="仿宋"/>
                <w:b w:val="0"/>
                <w:bCs/>
                <w:color w:val="000000"/>
              </w:rPr>
              <w:t xml:space="preserve"> mm、高≥</w:t>
            </w:r>
            <w:r>
              <w:rPr>
                <w:rFonts w:hint="eastAsia" w:ascii="仿宋" w:hAnsi="仿宋"/>
                <w:b w:val="0"/>
                <w:bCs/>
                <w:color w:val="000000"/>
                <w:lang w:val="en-US" w:eastAsia="zh-CN"/>
              </w:rPr>
              <w:t>500</w:t>
            </w:r>
            <w:r>
              <w:rPr>
                <w:rFonts w:hint="eastAsia" w:ascii="仿宋" w:hAnsi="仿宋"/>
                <w:b w:val="0"/>
                <w:bCs/>
                <w:color w:val="000000"/>
              </w:rPr>
              <w:t>mm</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3</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轴距</w:t>
            </w:r>
            <w:r>
              <w:rPr>
                <w:rFonts w:hint="default" w:ascii="仿宋" w:hAnsi="仿宋" w:cs="宋体"/>
                <w:b w:val="0"/>
                <w:bCs/>
                <w:color w:val="000000"/>
              </w:rPr>
              <w:t>mm</w:t>
            </w:r>
            <w:r>
              <w:rPr>
                <w:rFonts w:hint="eastAsia" w:ascii="仿宋" w:hAnsi="仿宋" w:cs="宋体"/>
                <w:b w:val="0"/>
                <w:bCs/>
                <w:color w:val="000000"/>
              </w:rPr>
              <w:t>：</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hd w:val="clear" w:color="auto" w:fill="FFFFFF"/>
              <w:spacing w:before="0" w:beforeAutospacing="0" w:after="0" w:afterAutospacing="0" w:line="240" w:lineRule="auto"/>
              <w:ind w:left="0" w:right="0" w:firstLine="560" w:firstLineChars="0"/>
              <w:jc w:val="center"/>
              <w:rPr>
                <w:rFonts w:hint="eastAsia" w:ascii="仿宋" w:hAnsi="仿宋" w:eastAsia="宋体" w:cs="Times New Roman"/>
                <w:b w:val="0"/>
                <w:bCs/>
                <w:color w:val="333333"/>
                <w:kern w:val="2"/>
                <w:sz w:val="28"/>
                <w:szCs w:val="28"/>
                <w:lang w:val="en-US" w:eastAsia="zh-CN" w:bidi="ar-SA"/>
              </w:rPr>
            </w:pPr>
            <w:r>
              <w:rPr>
                <w:rFonts w:hint="eastAsia" w:ascii="仿宋" w:hAnsi="仿宋"/>
                <w:b w:val="0"/>
                <w:bCs/>
                <w:color w:val="000000"/>
                <w:sz w:val="21"/>
                <w:szCs w:val="21"/>
              </w:rPr>
              <w:t>≥</w:t>
            </w:r>
            <w:r>
              <w:rPr>
                <w:rFonts w:hint="eastAsia" w:ascii="仿宋" w:hAnsi="仿宋"/>
                <w:b w:val="0"/>
                <w:bCs/>
                <w:color w:val="000000"/>
                <w:sz w:val="21"/>
                <w:szCs w:val="21"/>
                <w:lang w:val="en-US" w:eastAsia="zh-CN"/>
              </w:rPr>
              <w:t>3300</w:t>
            </w:r>
            <w:r>
              <w:rPr>
                <w:rFonts w:hint="eastAsia" w:ascii="仿宋" w:hAnsi="仿宋"/>
                <w:b w:val="0"/>
                <w:bCs/>
                <w:color w:val="000000"/>
                <w:sz w:val="21"/>
                <w:szCs w:val="21"/>
              </w:rPr>
              <w:t>mm</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4</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Times New Roman"/>
                <w:b w:val="0"/>
                <w:bCs/>
                <w:color w:val="000000"/>
                <w:kern w:val="2"/>
                <w:sz w:val="21"/>
                <w:szCs w:val="24"/>
                <w:lang w:val="en-US" w:eastAsia="zh-CN" w:bidi="ar-SA"/>
              </w:rPr>
            </w:pPr>
            <w:r>
              <w:rPr>
                <w:rFonts w:hint="eastAsia" w:ascii="仿宋" w:hAnsi="仿宋"/>
                <w:b w:val="0"/>
                <w:bCs/>
                <w:color w:val="000000"/>
              </w:rPr>
              <w:t>座位人数</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宋体" w:cs="Times New Roman"/>
                <w:b w:val="0"/>
                <w:bCs/>
                <w:color w:val="000000"/>
                <w:kern w:val="2"/>
                <w:sz w:val="21"/>
                <w:szCs w:val="24"/>
                <w:lang w:val="en-US" w:eastAsia="zh-CN" w:bidi="ar-SA"/>
              </w:rPr>
            </w:pPr>
            <w:r>
              <w:rPr>
                <w:rFonts w:hint="eastAsia" w:ascii="仿宋" w:hAnsi="仿宋"/>
                <w:b w:val="0"/>
                <w:bCs/>
                <w:color w:val="000000"/>
                <w:lang w:val="en-US" w:eastAsia="zh-CN"/>
              </w:rPr>
              <w:t>5</w:t>
            </w:r>
            <w:r>
              <w:rPr>
                <w:rFonts w:hint="eastAsia" w:ascii="仿宋" w:hAnsi="仿宋"/>
                <w:b w:val="0"/>
                <w:bCs/>
                <w:color w:val="000000"/>
              </w:rPr>
              <w:t>人</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5</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仿宋" w:cs="宋体"/>
                <w:b w:val="0"/>
                <w:bCs/>
                <w:color w:val="000000"/>
                <w:kern w:val="2"/>
                <w:sz w:val="21"/>
                <w:szCs w:val="24"/>
                <w:lang w:val="en-US" w:eastAsia="zh-CN" w:bidi="ar-SA"/>
              </w:rPr>
            </w:pPr>
            <w:r>
              <w:rPr>
                <w:rFonts w:hint="eastAsia" w:ascii="仿宋" w:hAnsi="仿宋" w:cs="宋体"/>
                <w:b w:val="0"/>
                <w:bCs/>
                <w:color w:val="000000"/>
              </w:rPr>
              <w:t>驱动</w:t>
            </w:r>
            <w:r>
              <w:rPr>
                <w:rFonts w:hint="eastAsia" w:ascii="仿宋" w:hAnsi="仿宋" w:cs="宋体"/>
                <w:b w:val="0"/>
                <w:bCs/>
                <w:color w:val="000000"/>
                <w:lang w:val="en-US" w:eastAsia="zh-CN"/>
              </w:rPr>
              <w:t>方</w:t>
            </w:r>
            <w:r>
              <w:rPr>
                <w:rFonts w:hint="eastAsia" w:ascii="仿宋" w:hAnsi="仿宋" w:cs="宋体"/>
                <w:b w:val="0"/>
                <w:bCs/>
                <w:color w:val="000000"/>
              </w:rPr>
              <w:t>式</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仿宋" w:cs="宋体"/>
                <w:b w:val="0"/>
                <w:bCs/>
                <w:color w:val="000000"/>
                <w:kern w:val="2"/>
                <w:sz w:val="21"/>
                <w:szCs w:val="24"/>
                <w:lang w:val="en-US" w:eastAsia="zh-CN" w:bidi="ar-SA"/>
              </w:rPr>
            </w:pPr>
            <w:r>
              <w:rPr>
                <w:rFonts w:hint="eastAsia" w:ascii="仿宋" w:hAnsi="仿宋"/>
                <w:b w:val="0"/>
                <w:bCs/>
                <w:lang w:val="en-US" w:eastAsia="zh-CN"/>
              </w:rPr>
              <w:t>前置四驱</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6</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燃油种类：</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lang w:val="en-US" w:eastAsia="zh-CN"/>
              </w:rPr>
              <w:t>柴</w:t>
            </w:r>
            <w:r>
              <w:rPr>
                <w:rFonts w:hint="eastAsia" w:ascii="仿宋" w:hAnsi="仿宋" w:cs="宋体"/>
                <w:b w:val="0"/>
                <w:bCs/>
                <w:color w:val="000000"/>
              </w:rPr>
              <w:t>油</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7</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排气量（</w:t>
            </w:r>
            <w:r>
              <w:rPr>
                <w:rFonts w:hint="eastAsia" w:ascii="仿宋" w:hAnsi="仿宋" w:cs="宋体"/>
                <w:b w:val="0"/>
                <w:bCs/>
                <w:color w:val="000000"/>
                <w:lang w:val="en-US" w:eastAsia="zh-CN"/>
              </w:rPr>
              <w:t>ml</w:t>
            </w:r>
            <w:r>
              <w:rPr>
                <w:rFonts w:hint="eastAsia" w:ascii="仿宋" w:hAnsi="仿宋" w:cs="宋体"/>
                <w:b w:val="0"/>
                <w:bCs/>
                <w:color w:val="000000"/>
              </w:rPr>
              <w:t>）：</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仿宋" w:cs="宋体"/>
                <w:b w:val="0"/>
                <w:bCs/>
                <w:color w:val="000000"/>
                <w:kern w:val="2"/>
                <w:sz w:val="21"/>
                <w:szCs w:val="24"/>
                <w:lang w:val="en-US" w:eastAsia="zh-CN" w:bidi="ar-SA"/>
              </w:rPr>
            </w:pPr>
            <w:r>
              <w:rPr>
                <w:rFonts w:hint="eastAsia" w:ascii="仿宋" w:hAnsi="仿宋" w:cs="宋体"/>
                <w:b w:val="0"/>
                <w:bCs/>
                <w:color w:val="000000"/>
                <w:lang w:val="en-US" w:eastAsia="zh-CN"/>
              </w:rPr>
              <w:t>≤1999</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8</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燃油箱容积</w:t>
            </w:r>
            <w:r>
              <w:rPr>
                <w:rFonts w:hint="default" w:ascii="仿宋" w:hAnsi="仿宋" w:cs="宋体"/>
                <w:b w:val="0"/>
                <w:bCs/>
                <w:color w:val="000000"/>
              </w:rPr>
              <w:t>L</w:t>
            </w:r>
            <w:r>
              <w:rPr>
                <w:rFonts w:hint="eastAsia" w:ascii="仿宋" w:hAnsi="仿宋" w:cs="宋体"/>
                <w:b w:val="0"/>
                <w:bCs/>
                <w:color w:val="000000"/>
              </w:rPr>
              <w:t>：</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w:t>
            </w:r>
            <w:r>
              <w:rPr>
                <w:rFonts w:hint="eastAsia" w:ascii="仿宋" w:hAnsi="仿宋" w:cs="宋体"/>
                <w:b w:val="0"/>
                <w:bCs/>
                <w:color w:val="000000"/>
                <w:lang w:val="en-US" w:eastAsia="zh-CN"/>
              </w:rPr>
              <w:t>60</w:t>
            </w:r>
            <w:r>
              <w:rPr>
                <w:rFonts w:hint="default" w:ascii="仿宋" w:hAnsi="仿宋" w:cs="宋体"/>
                <w:b w:val="0"/>
                <w:bCs/>
                <w:color w:val="000000"/>
              </w:rPr>
              <w:t>L</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9</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额定功率</w:t>
            </w:r>
            <w:r>
              <w:rPr>
                <w:rFonts w:hint="default" w:ascii="仿宋" w:hAnsi="仿宋" w:cs="宋体"/>
                <w:b w:val="0"/>
                <w:bCs/>
                <w:color w:val="000000"/>
              </w:rPr>
              <w:t>kw(hp)/rpm</w:t>
            </w:r>
            <w:r>
              <w:rPr>
                <w:rFonts w:hint="eastAsia" w:ascii="仿宋" w:hAnsi="仿宋" w:cs="宋体"/>
                <w:b w:val="0"/>
                <w:bCs/>
                <w:color w:val="000000"/>
              </w:rPr>
              <w:t>：</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仿宋" w:cs="宋体"/>
                <w:b w:val="0"/>
                <w:bCs/>
                <w:color w:val="000000"/>
                <w:kern w:val="2"/>
                <w:sz w:val="21"/>
                <w:szCs w:val="24"/>
                <w:lang w:val="en-US" w:eastAsia="zh-CN" w:bidi="ar-SA"/>
              </w:rPr>
            </w:pPr>
            <w:r>
              <w:rPr>
                <w:rFonts w:hint="eastAsia" w:ascii="仿宋" w:hAnsi="仿宋"/>
                <w:b w:val="0"/>
                <w:bCs/>
                <w:color w:val="000000"/>
              </w:rPr>
              <w:t>≥1</w:t>
            </w:r>
            <w:r>
              <w:rPr>
                <w:rFonts w:hint="eastAsia" w:ascii="仿宋" w:hAnsi="仿宋"/>
                <w:b w:val="0"/>
                <w:bCs/>
                <w:color w:val="000000"/>
                <w:lang w:val="en-US" w:eastAsia="zh-CN"/>
              </w:rPr>
              <w:t>00</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10</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最大扭矩</w:t>
            </w:r>
            <w:r>
              <w:rPr>
                <w:rFonts w:hint="default" w:ascii="仿宋" w:hAnsi="仿宋" w:cs="宋体"/>
                <w:b w:val="0"/>
                <w:bCs/>
                <w:color w:val="000000"/>
              </w:rPr>
              <w:t>Nm/rpm</w:t>
            </w:r>
            <w:r>
              <w:rPr>
                <w:rFonts w:hint="eastAsia" w:ascii="仿宋" w:hAnsi="仿宋" w:cs="宋体"/>
                <w:b w:val="0"/>
                <w:bCs/>
                <w:color w:val="000000"/>
              </w:rPr>
              <w:t>：</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w:t>
            </w:r>
            <w:r>
              <w:rPr>
                <w:rFonts w:hint="eastAsia" w:ascii="仿宋" w:hAnsi="仿宋"/>
                <w:b w:val="0"/>
                <w:bCs/>
                <w:color w:val="000000"/>
                <w:lang w:val="en-US" w:eastAsia="zh-CN"/>
              </w:rPr>
              <w:t>350</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11</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排放标准</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国V</w:t>
            </w:r>
            <w:r>
              <w:rPr>
                <w:rFonts w:hint="eastAsia" w:ascii="仿宋" w:hAnsi="仿宋" w:cs="宋体"/>
                <w:b w:val="0"/>
                <w:bCs/>
                <w:color w:val="000000"/>
                <w:lang w:val="en-US" w:eastAsia="zh-CN"/>
              </w:rPr>
              <w:t>I</w:t>
            </w:r>
            <w:r>
              <w:rPr>
                <w:rFonts w:hint="eastAsia" w:ascii="仿宋" w:hAnsi="仿宋" w:cs="宋体"/>
                <w:b w:val="0"/>
                <w:bCs/>
                <w:color w:val="000000"/>
              </w:rPr>
              <w:t>排放</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12</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变速器</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仿宋" w:cs="宋体"/>
                <w:b w:val="0"/>
                <w:bCs/>
                <w:color w:val="000000"/>
                <w:kern w:val="2"/>
                <w:sz w:val="21"/>
                <w:szCs w:val="24"/>
                <w:lang w:val="en-US" w:eastAsia="zh-CN" w:bidi="ar-SA"/>
              </w:rPr>
            </w:pPr>
            <w:r>
              <w:rPr>
                <w:rFonts w:hint="eastAsia" w:ascii="仿宋" w:hAnsi="仿宋" w:cs="宋体"/>
                <w:b w:val="0"/>
                <w:bCs/>
                <w:color w:val="000000"/>
                <w:lang w:val="en-US" w:eastAsia="zh-CN"/>
              </w:rPr>
              <w:t>6MT手动变速箱</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13</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最高时速</w:t>
            </w:r>
            <w:r>
              <w:rPr>
                <w:rFonts w:hint="default" w:ascii="仿宋" w:hAnsi="仿宋" w:cs="宋体"/>
                <w:b w:val="0"/>
                <w:bCs/>
                <w:color w:val="000000"/>
              </w:rPr>
              <w:t>km/h:</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78"/>
              </w:tabs>
              <w:spacing w:before="0" w:beforeAutospacing="0" w:after="0" w:afterAutospacing="0" w:line="240" w:lineRule="auto"/>
              <w:ind w:left="0" w:right="0" w:firstLine="56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≥170</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14</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lang w:val="en-US" w:eastAsia="zh-CN"/>
              </w:rPr>
              <w:t>最小离地间隙（mm)</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≥1</w:t>
            </w:r>
            <w:r>
              <w:rPr>
                <w:rFonts w:hint="eastAsia" w:ascii="仿宋" w:hAnsi="仿宋" w:cs="宋体"/>
                <w:b w:val="0"/>
                <w:bCs/>
                <w:color w:val="000000"/>
                <w:lang w:val="en-US" w:eastAsia="zh-CN"/>
              </w:rPr>
              <w:t>8</w:t>
            </w:r>
            <w:r>
              <w:rPr>
                <w:rFonts w:hint="eastAsia" w:ascii="仿宋" w:hAnsi="仿宋" w:cs="宋体"/>
                <w:b w:val="0"/>
                <w:bCs/>
                <w:color w:val="000000"/>
              </w:rPr>
              <w:t>0</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lang w:val="en-US" w:eastAsia="zh-CN"/>
              </w:rPr>
              <w:t>15</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lang w:val="en-US" w:eastAsia="zh-CN"/>
              </w:rPr>
              <w:t>车体结构</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lang w:val="en-US" w:eastAsia="zh-CN"/>
              </w:rPr>
              <w:t>非承载式</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lang w:val="en-US" w:eastAsia="zh-CN"/>
              </w:rPr>
              <w:t>16</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lang w:val="en-US" w:eastAsia="zh-CN"/>
              </w:rPr>
              <w:t>悬架系统</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lang w:val="en-US" w:eastAsia="zh-CN"/>
              </w:rPr>
              <w:t>前双叉臂螺旋独立悬架/后渐变式钢板弹簧非独立悬架</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17</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cs="宋体"/>
                <w:b w:val="0"/>
                <w:bCs/>
                <w:color w:val="000000"/>
              </w:rPr>
              <w:t>制动系统</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宋体"/>
                <w:b w:val="0"/>
                <w:bCs/>
                <w:color w:val="000000"/>
                <w:kern w:val="2"/>
                <w:sz w:val="21"/>
                <w:szCs w:val="24"/>
                <w:lang w:val="en-US" w:eastAsia="zh-CN" w:bidi="ar-SA"/>
              </w:rPr>
            </w:pPr>
            <w:r>
              <w:rPr>
                <w:rFonts w:hint="eastAsia" w:ascii="仿宋" w:hAnsi="仿宋" w:cs="宋体"/>
                <w:b w:val="0"/>
                <w:bCs/>
                <w:color w:val="000000"/>
                <w:lang w:val="en-US" w:eastAsia="zh-CN"/>
              </w:rPr>
              <w:t>前通风盘式/后盘式</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18</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安全气囊</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color w:val="000000"/>
              </w:rPr>
              <w:t>驾驶座安全气囊</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19</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中控锁加遥控钥匙</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color w:val="000000"/>
              </w:rPr>
              <w:t>中控锁加遥控钥匙</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20</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后视镜</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color w:val="000000"/>
              </w:rPr>
              <w:t>电动可调后视镜</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b w:val="0"/>
                <w:bCs/>
                <w:lang w:val="en-US" w:eastAsia="zh-CN"/>
              </w:rPr>
              <w:t>21</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前大灯</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可调节前大灯</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22</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高位刹车灯</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color w:val="000000"/>
              </w:rPr>
              <w:t>LED高位刹车灯</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23</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rPr>
              <w:t>空调</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cs="宋体"/>
                <w:b w:val="0"/>
                <w:bCs/>
                <w:color w:val="000000"/>
              </w:rPr>
              <w:t>驾驶室</w:t>
            </w:r>
            <w:r>
              <w:rPr>
                <w:rFonts w:hint="eastAsia" w:ascii="仿宋" w:hAnsi="仿宋" w:cs="宋体"/>
                <w:b w:val="0"/>
                <w:bCs/>
                <w:color w:val="000000"/>
                <w:lang w:val="en-US" w:eastAsia="zh-CN"/>
              </w:rPr>
              <w:t>手动调节冷暖空调</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Times New Roman"/>
                <w:b w:val="0"/>
                <w:bCs/>
                <w:kern w:val="2"/>
                <w:sz w:val="21"/>
                <w:szCs w:val="24"/>
                <w:lang w:val="en-US" w:eastAsia="zh-CN" w:bidi="ar-SA"/>
              </w:rPr>
            </w:pPr>
            <w:r>
              <w:rPr>
                <w:rFonts w:hint="eastAsia" w:ascii="仿宋" w:hAnsi="仿宋" w:eastAsia="仿宋"/>
                <w:b w:val="0"/>
                <w:bCs/>
                <w:lang w:val="en-US" w:eastAsia="zh-CN"/>
              </w:rPr>
              <w:t>24</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b w:val="0"/>
                <w:bCs/>
                <w:color w:val="000000"/>
              </w:rPr>
              <w:t>转向系统</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color w:val="000000"/>
              </w:rPr>
              <w:t>液压助力转向</w:t>
            </w:r>
          </w:p>
        </w:tc>
      </w:tr>
      <w:tr>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Times New Roman"/>
                <w:b w:val="0"/>
                <w:bCs/>
                <w:kern w:val="2"/>
                <w:sz w:val="21"/>
                <w:szCs w:val="24"/>
                <w:lang w:val="en-US" w:eastAsia="zh-CN" w:bidi="ar-SA"/>
              </w:rPr>
            </w:pPr>
            <w:r>
              <w:rPr>
                <w:rFonts w:hint="eastAsia" w:ascii="仿宋" w:hAnsi="仿宋"/>
                <w:b w:val="0"/>
                <w:bCs/>
                <w:lang w:val="en-US" w:eastAsia="zh-CN"/>
              </w:rPr>
              <w:t>25</w:t>
            </w:r>
          </w:p>
        </w:tc>
        <w:tc>
          <w:tcPr>
            <w:tcW w:w="27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suppressLineNumbers w:val="0"/>
              <w:tabs>
                <w:tab w:val="left" w:pos="378"/>
              </w:tabs>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lang w:val="en-US" w:eastAsia="zh-CN"/>
              </w:rPr>
              <w:t>方向盘</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宋体" w:cs="宋体"/>
                <w:b w:val="0"/>
                <w:bCs/>
                <w:color w:val="000000"/>
                <w:kern w:val="2"/>
                <w:sz w:val="21"/>
                <w:szCs w:val="24"/>
                <w:lang w:val="en-US" w:eastAsia="zh-CN" w:bidi="ar-SA"/>
              </w:rPr>
            </w:pPr>
            <w:r>
              <w:rPr>
                <w:rFonts w:hint="eastAsia" w:ascii="仿宋" w:hAnsi="仿宋" w:cs="宋体"/>
                <w:b w:val="0"/>
                <w:bCs/>
                <w:color w:val="000000"/>
                <w:lang w:val="en-US" w:eastAsia="zh-CN"/>
              </w:rPr>
              <w:t>多功能方向盘</w:t>
            </w:r>
          </w:p>
        </w:tc>
      </w:tr>
    </w:tbl>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b w:val="0"/>
          <w:bCs w:val="0"/>
          <w:color w:val="000000"/>
          <w:kern w:val="0"/>
          <w:sz w:val="28"/>
          <w:szCs w:val="28"/>
          <w:highlight w:val="none"/>
          <w:lang w:eastAsia="zh-CN"/>
        </w:rPr>
      </w:pPr>
      <w:r>
        <w:rPr>
          <w:rFonts w:hint="eastAsia" w:ascii="仿宋" w:hAnsi="仿宋" w:eastAsia="仿宋" w:cs="仿宋"/>
          <w:b w:val="0"/>
          <w:bCs w:val="0"/>
          <w:color w:val="000000"/>
          <w:kern w:val="0"/>
          <w:sz w:val="28"/>
          <w:szCs w:val="28"/>
          <w:highlight w:val="none"/>
          <w:lang w:eastAsia="zh-CN"/>
        </w:rPr>
        <w:t>三、商务要求</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1、交付条件：</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（1）交货地点：</w:t>
      </w:r>
      <w:r>
        <w:rPr>
          <w:rFonts w:hint="eastAsia" w:ascii="仿宋" w:hAnsi="仿宋" w:eastAsia="仿宋" w:cs="仿宋"/>
          <w:sz w:val="28"/>
          <w:szCs w:val="28"/>
          <w:highlight w:val="none"/>
        </w:rPr>
        <w:t>西安市公安局交通警察支队长安大队指定地点</w:t>
      </w:r>
      <w:r>
        <w:rPr>
          <w:rFonts w:hint="eastAsia" w:ascii="仿宋" w:hAnsi="仿宋" w:eastAsia="仿宋" w:cs="仿宋"/>
          <w:color w:val="000000"/>
          <w:kern w:val="0"/>
          <w:sz w:val="28"/>
          <w:szCs w:val="28"/>
          <w:highlight w:val="none"/>
          <w:lang w:eastAsia="zh-CN"/>
        </w:rPr>
        <w:t>。</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（2）交付期：</w:t>
      </w:r>
      <w:r>
        <w:rPr>
          <w:rFonts w:hint="eastAsia" w:ascii="仿宋" w:hAnsi="仿宋" w:eastAsia="仿宋" w:cs="仿宋"/>
          <w:color w:val="000000"/>
          <w:kern w:val="0"/>
          <w:sz w:val="28"/>
          <w:szCs w:val="28"/>
          <w:highlight w:val="none"/>
          <w:lang w:val="en-US" w:eastAsia="zh-CN"/>
        </w:rPr>
        <w:t>35日历天</w:t>
      </w:r>
      <w:r>
        <w:rPr>
          <w:rFonts w:hint="eastAsia" w:ascii="仿宋" w:hAnsi="仿宋" w:eastAsia="仿宋" w:cs="仿宋"/>
          <w:color w:val="000000"/>
          <w:kern w:val="0"/>
          <w:sz w:val="28"/>
          <w:szCs w:val="28"/>
          <w:highlight w:val="none"/>
          <w:lang w:eastAsia="zh-CN"/>
        </w:rPr>
        <w:t>（此日期包含供货、调试、验收、交付使用等所有日历天）。</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2、合同价款</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合同总价一次性包死，不受市场价格变化因素的影响。</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3、款项结算</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（1）本项目无预付款，设备到货安装调试完成，经验收合格并交付使用后支付全额合同价款。</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（2）支付方式：银行转账。</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（3）结算方式：验收合格后，供应商持中标通知书、合同、发票、项目验收单，与采购人结算。</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val="en-US" w:eastAsia="zh-CN"/>
        </w:rPr>
        <w:t>4</w:t>
      </w:r>
      <w:r>
        <w:rPr>
          <w:rFonts w:hint="eastAsia" w:ascii="仿宋" w:hAnsi="仿宋" w:eastAsia="仿宋" w:cs="仿宋"/>
          <w:color w:val="000000"/>
          <w:kern w:val="0"/>
          <w:sz w:val="28"/>
          <w:szCs w:val="28"/>
          <w:highlight w:val="none"/>
          <w:lang w:eastAsia="zh-CN"/>
        </w:rPr>
        <w:t>、包装</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包装必须适应货物特性和交通运输要求，以及国家有关标准或企业标准或合同要求，并负责所发生的一切费用。成交单位应承担由于包装、防护措施不当引起的所有损失的责任和费用。</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val="en-US" w:eastAsia="zh-CN"/>
        </w:rPr>
        <w:t>5</w:t>
      </w:r>
      <w:r>
        <w:rPr>
          <w:rFonts w:hint="eastAsia" w:ascii="仿宋" w:hAnsi="仿宋" w:eastAsia="仿宋" w:cs="仿宋"/>
          <w:color w:val="000000"/>
          <w:kern w:val="0"/>
          <w:sz w:val="28"/>
          <w:szCs w:val="28"/>
          <w:highlight w:val="none"/>
          <w:lang w:eastAsia="zh-CN"/>
        </w:rPr>
        <w:t>、运输</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货物（产品）运输、安装及调试由成交单位负责。成交单位可根据供货期、运输条件自行选择运输方式（另有规定的除外），承担一切运输费用，包括从生产厂到交货现场所需的装卸、二次倒运费、运输（含保险费）及其它一切费用。</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val="en-US" w:eastAsia="zh-CN"/>
        </w:rPr>
        <w:t>6</w:t>
      </w:r>
      <w:r>
        <w:rPr>
          <w:rFonts w:hint="eastAsia" w:ascii="仿宋" w:hAnsi="仿宋" w:eastAsia="仿宋" w:cs="仿宋"/>
          <w:color w:val="000000"/>
          <w:kern w:val="0"/>
          <w:sz w:val="28"/>
          <w:szCs w:val="28"/>
          <w:highlight w:val="none"/>
          <w:lang w:eastAsia="zh-CN"/>
        </w:rPr>
        <w:t>、验收</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供应商所提供产品的设计制造和试验、验收均应遵照有关标准和规范，并满足本谈判文件技术规格及要求，经采购方认可后对项目进行复检与性能、功能测试验收，应全部符合要求。如果产品指标不满足谈判文件中的相关技术参数，采购人有权要求退货并索赔损失。</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val="en-US" w:eastAsia="zh-CN"/>
        </w:rPr>
        <w:t>7</w:t>
      </w:r>
      <w:r>
        <w:rPr>
          <w:rFonts w:hint="eastAsia" w:ascii="仿宋" w:hAnsi="仿宋" w:eastAsia="仿宋" w:cs="仿宋"/>
          <w:color w:val="000000"/>
          <w:kern w:val="0"/>
          <w:sz w:val="28"/>
          <w:szCs w:val="28"/>
          <w:highlight w:val="none"/>
          <w:lang w:eastAsia="zh-CN"/>
        </w:rPr>
        <w:t>、安装调试</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（1）成交供应商需派代表到现场进行技术服务，按照本技术规格进行安装、调试，并负责解决合同设备在安装调试、试运行中发现的制造质量及性能等有关问题。</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2）成交供应商提出并经双方确定的安装、调试和运行技术服务方案，成交供应商如有修改，须以书面形式通知采购人，经采购人确认后方可进行。为适应现场条件的要求，采购人有权提出变更或修改意见，并书面通知成交供应商，成交供应商应给予充分考虑，应尽量满足采购人要求。</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val="en-US" w:eastAsia="zh-CN"/>
        </w:rPr>
        <w:t>8</w:t>
      </w:r>
      <w:r>
        <w:rPr>
          <w:rFonts w:hint="eastAsia" w:ascii="仿宋" w:hAnsi="仿宋" w:eastAsia="仿宋" w:cs="仿宋"/>
          <w:color w:val="000000"/>
          <w:kern w:val="0"/>
          <w:sz w:val="28"/>
          <w:szCs w:val="28"/>
          <w:highlight w:val="none"/>
          <w:lang w:eastAsia="zh-CN"/>
        </w:rPr>
        <w:t>、提供产品供应渠道、来源合法正常的承诺，且无假货、水货，检验手续合法有效、无产权纠纷。格式自拟。</w:t>
      </w:r>
    </w:p>
    <w:p>
      <w:pPr>
        <w:pStyle w:val="17"/>
        <w:pageBreakBefore w:val="0"/>
        <w:widowControl w:val="0"/>
        <w:kinsoku/>
        <w:wordWrap w:val="0"/>
        <w:overflowPunct/>
        <w:topLinePunct w:val="0"/>
        <w:autoSpaceDE w:val="0"/>
        <w:autoSpaceDN w:val="0"/>
        <w:bidi w:val="0"/>
        <w:spacing w:line="360" w:lineRule="auto"/>
        <w:ind w:firstLine="560" w:firstLineChars="200"/>
        <w:rPr>
          <w:rFonts w:hint="default" w:ascii="仿宋" w:hAnsi="仿宋" w:eastAsia="仿宋" w:cs="仿宋"/>
          <w:color w:val="000000"/>
          <w:kern w:val="0"/>
          <w:sz w:val="28"/>
          <w:szCs w:val="28"/>
          <w:highlight w:val="none"/>
          <w:lang w:val="en-US" w:eastAsia="zh-CN"/>
        </w:rPr>
      </w:pPr>
      <w:r>
        <w:rPr>
          <w:rFonts w:hint="eastAsia" w:ascii="仿宋" w:hAnsi="仿宋" w:eastAsia="仿宋" w:cs="仿宋"/>
          <w:color w:val="000000"/>
          <w:kern w:val="0"/>
          <w:sz w:val="28"/>
          <w:szCs w:val="28"/>
          <w:highlight w:val="none"/>
          <w:lang w:val="en-US" w:eastAsia="zh-CN"/>
        </w:rPr>
        <w:t>9</w:t>
      </w:r>
      <w:r>
        <w:rPr>
          <w:rFonts w:hint="eastAsia" w:ascii="仿宋" w:hAnsi="仿宋" w:eastAsia="仿宋" w:cs="仿宋"/>
          <w:color w:val="000000"/>
          <w:kern w:val="0"/>
          <w:sz w:val="28"/>
          <w:szCs w:val="28"/>
          <w:highlight w:val="none"/>
          <w:lang w:eastAsia="zh-CN"/>
        </w:rPr>
        <w:t>、质保期：整车质保，三年或六万公里（以先到为准）。</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b w:val="0"/>
          <w:bCs w:val="0"/>
          <w:color w:val="000000"/>
          <w:kern w:val="0"/>
          <w:sz w:val="28"/>
          <w:szCs w:val="28"/>
          <w:highlight w:val="none"/>
          <w:lang w:val="en-US" w:eastAsia="zh-CN"/>
        </w:rPr>
      </w:pPr>
      <w:r>
        <w:rPr>
          <w:rFonts w:hint="eastAsia" w:ascii="仿宋" w:hAnsi="仿宋" w:eastAsia="仿宋" w:cs="仿宋"/>
          <w:b w:val="0"/>
          <w:bCs w:val="0"/>
          <w:color w:val="000000"/>
          <w:kern w:val="0"/>
          <w:sz w:val="28"/>
          <w:szCs w:val="28"/>
          <w:highlight w:val="none"/>
          <w:lang w:val="en-US" w:eastAsia="zh-CN"/>
        </w:rPr>
        <w:t>四、服务要求：</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1、技术资料：</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（1）合格证及检验报告；</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（2）使用说明书（中文）；</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（3）其它资料。</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2、售后服务要求：</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（1）乙方须指派专人负责与甲方联系售后服务事宜；</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（2）货物（产品）的现场安装、调试和启动监督；</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3）就货物的安装、启动、运行及维护等对甲方人员进行免费培训。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（4）质保期自甲方在货物质量验收单（终验）上签字之日起计算，质保费用计入总价；</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（5）质保期内，乙方负责对其提供的货物整机进行维修和系统维护，不再收取任何费用，但不可抗力（如火灾、雷击等）造成的故障除外；</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（6）货物故障报修的响应时间为：工作期间（星期一至星期五8：00-18：00）为2时；非工作期间为4小时；</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（7）乙方在接到甲方通知后须24小时内完成维修或更换，并承担修理或更换的费用；</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（8）所有货物服务方式均为乙方上门服务，即由乙方派员到货物使用现场维修，由此产生的一切费用均由乙方承担；</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（9）质保期结束后的货物维修、维护由双方协商再定。</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3、伴随服务</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（1）乙方应随同货物提供相应的中文的技术文件。</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（2）检验、测试报告、质量保证书等。</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t>（3）伴随服务的费用已含在合同价中，不单独进行支付。</w:t>
      </w:r>
      <w:bookmarkStart w:id="52" w:name="_Toc12253"/>
    </w:p>
    <w:p>
      <w:pPr>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lang w:eastAsia="zh-CN"/>
        </w:rPr>
        <w:br w:type="page"/>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000000"/>
          <w:kern w:val="0"/>
          <w:sz w:val="28"/>
          <w:szCs w:val="28"/>
          <w:highlight w:val="none"/>
          <w:lang w:eastAsia="zh-CN"/>
        </w:rPr>
      </w:pPr>
    </w:p>
    <w:p>
      <w:pPr>
        <w:pStyle w:val="4"/>
        <w:pageBreakBefore w:val="0"/>
        <w:widowControl w:val="0"/>
        <w:kinsoku/>
        <w:wordWrap w:val="0"/>
        <w:overflowPunct/>
        <w:bidi w:val="0"/>
        <w:spacing w:before="240" w:after="240" w:line="520" w:lineRule="exact"/>
        <w:rPr>
          <w:rFonts w:hint="eastAsia" w:ascii="仿宋" w:hAnsi="仿宋" w:eastAsia="仿宋" w:cs="仿宋"/>
          <w:b/>
          <w:bCs/>
          <w:sz w:val="40"/>
          <w:szCs w:val="40"/>
          <w:highlight w:val="none"/>
          <w:lang w:val="en-US" w:eastAsia="zh-CN"/>
        </w:rPr>
      </w:pPr>
      <w:bookmarkStart w:id="53" w:name="_Toc26364"/>
      <w:r>
        <w:rPr>
          <w:rFonts w:hint="eastAsia" w:ascii="仿宋" w:hAnsi="仿宋" w:eastAsia="仿宋" w:cs="仿宋"/>
          <w:b/>
          <w:bCs/>
          <w:sz w:val="40"/>
          <w:szCs w:val="40"/>
          <w:highlight w:val="none"/>
          <w:lang w:val="en-US" w:eastAsia="zh-CN"/>
        </w:rPr>
        <w:t xml:space="preserve">第五部分 </w:t>
      </w:r>
      <w:bookmarkEnd w:id="50"/>
      <w:bookmarkEnd w:id="52"/>
      <w:bookmarkStart w:id="54" w:name="_Toc9252"/>
      <w:bookmarkStart w:id="55" w:name="_Toc1315"/>
      <w:r>
        <w:rPr>
          <w:rFonts w:hint="eastAsia" w:ascii="仿宋" w:hAnsi="仿宋" w:eastAsia="仿宋" w:cs="仿宋"/>
          <w:b/>
          <w:bCs/>
          <w:sz w:val="40"/>
          <w:szCs w:val="40"/>
          <w:highlight w:val="none"/>
          <w:lang w:val="en-US" w:eastAsia="zh-CN"/>
        </w:rPr>
        <w:t xml:space="preserve"> 合同条款</w:t>
      </w:r>
      <w:bookmarkEnd w:id="53"/>
      <w:bookmarkEnd w:id="54"/>
    </w:p>
    <w:p>
      <w:pPr>
        <w:pStyle w:val="17"/>
        <w:pageBreakBefore w:val="0"/>
        <w:widowControl w:val="0"/>
        <w:kinsoku/>
        <w:wordWrap w:val="0"/>
        <w:overflowPunct/>
        <w:topLinePunct w:val="0"/>
        <w:autoSpaceDE w:val="0"/>
        <w:autoSpaceDN w:val="0"/>
        <w:bidi w:val="0"/>
        <w:spacing w:line="360" w:lineRule="auto"/>
        <w:ind w:firstLine="420" w:firstLineChars="200"/>
        <w:rPr>
          <w:rFonts w:hint="eastAsia"/>
          <w:highlight w:val="none"/>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一、本合同格式</w:t>
      </w:r>
      <w:r>
        <w:rPr>
          <w:rFonts w:hint="eastAsia" w:ascii="仿宋" w:hAnsi="仿宋" w:eastAsia="仿宋" w:cs="仿宋"/>
          <w:kern w:val="0"/>
          <w:sz w:val="28"/>
          <w:szCs w:val="28"/>
          <w:highlight w:val="none"/>
          <w:lang w:eastAsia="zh-CN"/>
        </w:rPr>
        <w:t>为参考格式</w:t>
      </w:r>
      <w:r>
        <w:rPr>
          <w:rFonts w:hint="eastAsia" w:ascii="仿宋" w:hAnsi="仿宋" w:eastAsia="仿宋" w:cs="仿宋"/>
          <w:kern w:val="0"/>
          <w:sz w:val="28"/>
          <w:szCs w:val="28"/>
          <w:highlight w:val="none"/>
        </w:rPr>
        <w:t>，并不限制采购人以其他方式签订合同的权利。</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二、成交后由采购人和成交供应商协商签订合同，协商签订合同不得改变结果。</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rPr>
        <w:br w:type="page"/>
      </w:r>
    </w:p>
    <w:p>
      <w:pPr>
        <w:pStyle w:val="17"/>
        <w:pageBreakBefore w:val="0"/>
        <w:widowControl w:val="0"/>
        <w:kinsoku/>
        <w:wordWrap w:val="0"/>
        <w:overflowPunct/>
        <w:topLinePunct w:val="0"/>
        <w:autoSpaceDE w:val="0"/>
        <w:autoSpaceDN w:val="0"/>
        <w:bidi w:val="0"/>
        <w:spacing w:line="360" w:lineRule="auto"/>
        <w:jc w:val="center"/>
        <w:rPr>
          <w:rFonts w:hint="eastAsia" w:ascii="仿宋" w:hAnsi="仿宋" w:eastAsia="仿宋" w:cs="仿宋"/>
          <w:b/>
          <w:bCs/>
          <w:kern w:val="0"/>
          <w:sz w:val="36"/>
          <w:szCs w:val="36"/>
          <w:highlight w:val="none"/>
          <w:lang w:val="en-US" w:eastAsia="zh-CN"/>
        </w:rPr>
      </w:pPr>
      <w:r>
        <w:rPr>
          <w:rFonts w:hint="eastAsia" w:ascii="仿宋" w:hAnsi="仿宋" w:eastAsia="仿宋" w:cs="仿宋"/>
          <w:b/>
          <w:bCs/>
          <w:kern w:val="0"/>
          <w:sz w:val="40"/>
          <w:szCs w:val="40"/>
          <w:highlight w:val="none"/>
          <w:lang w:val="en-US" w:eastAsia="zh-CN"/>
        </w:rPr>
        <w:t>西安市公安局交通警察支队长安大队中省转移警用车辆采购</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p>
    <w:p>
      <w:pPr>
        <w:pStyle w:val="17"/>
        <w:pageBreakBefore w:val="0"/>
        <w:widowControl w:val="0"/>
        <w:kinsoku/>
        <w:wordWrap w:val="0"/>
        <w:overflowPunct/>
        <w:topLinePunct w:val="0"/>
        <w:autoSpaceDE w:val="0"/>
        <w:autoSpaceDN w:val="0"/>
        <w:bidi w:val="0"/>
        <w:spacing w:line="360" w:lineRule="auto"/>
        <w:jc w:val="center"/>
        <w:rPr>
          <w:rFonts w:hint="eastAsia" w:ascii="仿宋" w:hAnsi="仿宋" w:eastAsia="仿宋" w:cs="仿宋"/>
          <w:b/>
          <w:bCs/>
          <w:kern w:val="0"/>
          <w:sz w:val="52"/>
          <w:szCs w:val="52"/>
          <w:highlight w:val="none"/>
          <w:lang w:val="en-US" w:eastAsia="zh-CN"/>
        </w:rPr>
      </w:pPr>
      <w:r>
        <w:rPr>
          <w:rFonts w:hint="eastAsia" w:ascii="仿宋" w:hAnsi="仿宋" w:eastAsia="仿宋" w:cs="仿宋"/>
          <w:b/>
          <w:bCs/>
          <w:kern w:val="0"/>
          <w:sz w:val="52"/>
          <w:szCs w:val="52"/>
          <w:highlight w:val="none"/>
          <w:lang w:val="en-US" w:eastAsia="zh-CN"/>
        </w:rPr>
        <w:t>供货合同</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kern w:val="0"/>
          <w:sz w:val="28"/>
          <w:szCs w:val="28"/>
          <w:highlight w:val="none"/>
          <w:lang w:val="en-US" w:eastAsia="zh-CN"/>
        </w:rPr>
      </w:pPr>
    </w:p>
    <w:p>
      <w:pPr>
        <w:pStyle w:val="17"/>
        <w:keepNext w:val="0"/>
        <w:keepLines w:val="0"/>
        <w:pageBreakBefore w:val="0"/>
        <w:widowControl w:val="0"/>
        <w:kinsoku/>
        <w:wordWrap w:val="0"/>
        <w:overflowPunct/>
        <w:topLinePunct w:val="0"/>
        <w:autoSpaceDE w:val="0"/>
        <w:autoSpaceDN w:val="0"/>
        <w:bidi w:val="0"/>
        <w:adjustRightInd/>
        <w:snapToGrid/>
        <w:spacing w:line="480" w:lineRule="auto"/>
        <w:ind w:firstLine="560" w:firstLineChars="200"/>
        <w:textAlignment w:val="auto"/>
        <w:rPr>
          <w:rFonts w:hint="default" w:ascii="仿宋" w:hAnsi="仿宋" w:eastAsia="仿宋" w:cs="仿宋"/>
          <w:kern w:val="0"/>
          <w:sz w:val="28"/>
          <w:szCs w:val="28"/>
          <w:highlight w:val="none"/>
          <w:u w:val="none"/>
          <w:lang w:val="en-US" w:eastAsia="zh-CN"/>
        </w:rPr>
      </w:pPr>
      <w:r>
        <w:rPr>
          <w:rFonts w:hint="eastAsia" w:ascii="仿宋" w:hAnsi="仿宋" w:eastAsia="仿宋" w:cs="仿宋"/>
          <w:kern w:val="0"/>
          <w:sz w:val="28"/>
          <w:szCs w:val="28"/>
          <w:highlight w:val="none"/>
          <w:u w:val="none"/>
          <w:lang w:val="en-US" w:eastAsia="zh-CN"/>
        </w:rPr>
        <w:t>甲方（采购人）：</w:t>
      </w:r>
      <w:r>
        <w:rPr>
          <w:rFonts w:hint="eastAsia" w:ascii="仿宋" w:hAnsi="仿宋" w:eastAsia="仿宋" w:cs="仿宋"/>
          <w:kern w:val="21"/>
          <w:sz w:val="28"/>
          <w:szCs w:val="28"/>
          <w:highlight w:val="none"/>
          <w:u w:val="single"/>
          <w:lang w:val="en-US" w:eastAsia="zh-CN"/>
        </w:rPr>
        <w:t xml:space="preserve">                                  </w:t>
      </w:r>
    </w:p>
    <w:p>
      <w:pPr>
        <w:pStyle w:val="17"/>
        <w:keepNext w:val="0"/>
        <w:keepLines w:val="0"/>
        <w:pageBreakBefore w:val="0"/>
        <w:widowControl w:val="0"/>
        <w:kinsoku/>
        <w:wordWrap w:val="0"/>
        <w:overflowPunct/>
        <w:topLinePunct w:val="0"/>
        <w:autoSpaceDE w:val="0"/>
        <w:autoSpaceDN w:val="0"/>
        <w:bidi w:val="0"/>
        <w:adjustRightInd/>
        <w:snapToGrid/>
        <w:spacing w:line="480" w:lineRule="auto"/>
        <w:ind w:firstLine="560" w:firstLineChars="200"/>
        <w:textAlignment w:val="auto"/>
        <w:rPr>
          <w:rFonts w:hint="eastAsia" w:ascii="仿宋" w:hAnsi="仿宋" w:eastAsia="仿宋" w:cs="仿宋"/>
          <w:kern w:val="0"/>
          <w:sz w:val="28"/>
          <w:szCs w:val="28"/>
          <w:highlight w:val="none"/>
          <w:u w:val="none"/>
          <w:lang w:val="en-US" w:eastAsia="zh-CN"/>
        </w:rPr>
      </w:pPr>
      <w:r>
        <w:rPr>
          <w:rFonts w:hint="eastAsia" w:ascii="仿宋" w:hAnsi="仿宋" w:eastAsia="仿宋" w:cs="仿宋"/>
          <w:kern w:val="0"/>
          <w:sz w:val="28"/>
          <w:szCs w:val="28"/>
          <w:highlight w:val="none"/>
          <w:u w:val="none"/>
          <w:lang w:val="en-US" w:eastAsia="zh-CN"/>
        </w:rPr>
        <w:t xml:space="preserve">乙方（供应商）：                                  </w:t>
      </w:r>
    </w:p>
    <w:p>
      <w:pPr>
        <w:pStyle w:val="17"/>
        <w:keepNext w:val="0"/>
        <w:keepLines w:val="0"/>
        <w:pageBreakBefore w:val="0"/>
        <w:widowControl w:val="0"/>
        <w:kinsoku/>
        <w:wordWrap w:val="0"/>
        <w:overflowPunct/>
        <w:topLinePunct w:val="0"/>
        <w:autoSpaceDE w:val="0"/>
        <w:autoSpaceDN w:val="0"/>
        <w:bidi w:val="0"/>
        <w:adjustRightInd/>
        <w:snapToGrid/>
        <w:spacing w:line="480" w:lineRule="auto"/>
        <w:ind w:firstLine="560" w:firstLineChars="200"/>
        <w:textAlignment w:val="auto"/>
        <w:rPr>
          <w:rFonts w:hint="eastAsia" w:ascii="仿宋" w:hAnsi="仿宋" w:eastAsia="仿宋" w:cs="仿宋"/>
          <w:kern w:val="0"/>
          <w:sz w:val="28"/>
          <w:szCs w:val="28"/>
          <w:highlight w:val="none"/>
          <w:u w:val="none"/>
          <w:lang w:val="en-US" w:eastAsia="zh-CN"/>
        </w:rPr>
      </w:pPr>
      <w:r>
        <w:rPr>
          <w:rFonts w:hint="eastAsia" w:ascii="仿宋" w:hAnsi="仿宋" w:eastAsia="仿宋" w:cs="仿宋"/>
          <w:kern w:val="0"/>
          <w:sz w:val="28"/>
          <w:szCs w:val="28"/>
          <w:highlight w:val="none"/>
          <w:u w:val="none"/>
          <w:lang w:val="en-US" w:eastAsia="zh-CN"/>
        </w:rPr>
        <w:t xml:space="preserve">签  订  日  期：                                  </w:t>
      </w:r>
    </w:p>
    <w:p>
      <w:pPr>
        <w:pStyle w:val="17"/>
        <w:keepNext w:val="0"/>
        <w:keepLines w:val="0"/>
        <w:pageBreakBefore w:val="0"/>
        <w:widowControl w:val="0"/>
        <w:kinsoku/>
        <w:wordWrap w:val="0"/>
        <w:overflowPunct/>
        <w:topLinePunct w:val="0"/>
        <w:autoSpaceDE w:val="0"/>
        <w:autoSpaceDN w:val="0"/>
        <w:bidi w:val="0"/>
        <w:adjustRightInd/>
        <w:snapToGrid/>
        <w:spacing w:line="480" w:lineRule="auto"/>
        <w:ind w:firstLine="560" w:firstLineChars="200"/>
        <w:textAlignment w:val="auto"/>
        <w:rPr>
          <w:rFonts w:hint="eastAsia" w:ascii="仿宋" w:hAnsi="仿宋" w:eastAsia="仿宋" w:cs="仿宋"/>
          <w:kern w:val="0"/>
          <w:sz w:val="28"/>
          <w:szCs w:val="28"/>
          <w:highlight w:val="none"/>
          <w:u w:val="none"/>
          <w:lang w:val="en-US" w:eastAsia="zh-CN"/>
        </w:rPr>
      </w:pPr>
      <w:r>
        <w:rPr>
          <w:rFonts w:hint="eastAsia" w:ascii="仿宋" w:hAnsi="仿宋" w:eastAsia="仿宋" w:cs="仿宋"/>
          <w:kern w:val="0"/>
          <w:sz w:val="28"/>
          <w:szCs w:val="28"/>
          <w:highlight w:val="none"/>
          <w:u w:val="none"/>
          <w:lang w:val="en-US" w:eastAsia="zh-CN"/>
        </w:rPr>
        <w:t xml:space="preserve">签  订  地  点：                                  </w:t>
      </w:r>
    </w:p>
    <w:p>
      <w:pPr>
        <w:adjustRightInd w:val="0"/>
        <w:snapToGrid w:val="0"/>
        <w:spacing w:line="580" w:lineRule="exact"/>
        <w:jc w:val="center"/>
        <w:rPr>
          <w:rFonts w:hint="eastAsia" w:ascii="仿宋" w:hAnsi="仿宋" w:eastAsia="仿宋" w:cs="仿宋"/>
          <w:b/>
          <w:color w:val="auto"/>
          <w:sz w:val="30"/>
          <w:szCs w:val="30"/>
          <w:lang w:val="en-US" w:eastAsia="zh-CN"/>
        </w:rPr>
      </w:pPr>
      <w:r>
        <w:rPr>
          <w:rFonts w:hint="eastAsia" w:ascii="宋体" w:hAnsi="宋体" w:eastAsia="宋体" w:cs="宋体"/>
          <w:b/>
          <w:color w:val="auto"/>
          <w:sz w:val="30"/>
          <w:szCs w:val="30"/>
          <w:lang w:val="en-US" w:eastAsia="zh-CN"/>
        </w:rPr>
        <w:br w:type="page"/>
      </w:r>
      <w:r>
        <w:rPr>
          <w:rFonts w:hint="eastAsia" w:ascii="仿宋" w:hAnsi="仿宋" w:eastAsia="仿宋" w:cs="仿宋"/>
          <w:b/>
          <w:color w:val="auto"/>
          <w:sz w:val="30"/>
          <w:szCs w:val="30"/>
          <w:lang w:val="en-US" w:eastAsia="zh-CN"/>
        </w:rPr>
        <w:t>供货合同</w:t>
      </w:r>
    </w:p>
    <w:p>
      <w:pPr>
        <w:jc w:val="center"/>
        <w:rPr>
          <w:rFonts w:hint="eastAsia" w:ascii="仿宋" w:hAnsi="仿宋" w:eastAsia="仿宋" w:cs="仿宋"/>
          <w:b/>
          <w:color w:val="auto"/>
          <w:sz w:val="15"/>
          <w:szCs w:val="15"/>
          <w:lang w:val="zh-CN"/>
        </w:rPr>
      </w:pPr>
    </w:p>
    <w:p>
      <w:pPr>
        <w:pStyle w:val="64"/>
        <w:spacing w:line="360" w:lineRule="auto"/>
        <w:ind w:firstLine="480"/>
        <w:rPr>
          <w:rFonts w:hint="eastAsia" w:ascii="仿宋" w:hAnsi="仿宋" w:eastAsia="仿宋" w:cs="仿宋"/>
          <w:u w:val="single"/>
          <w:lang w:val="en-US" w:eastAsia="zh-CN"/>
        </w:rPr>
      </w:pPr>
      <w:r>
        <w:rPr>
          <w:rFonts w:hint="eastAsia" w:ascii="仿宋" w:hAnsi="仿宋" w:eastAsia="仿宋" w:cs="仿宋"/>
        </w:rPr>
        <w:t>采购人（甲方）：</w:t>
      </w:r>
      <w:r>
        <w:rPr>
          <w:rFonts w:hint="eastAsia" w:ascii="仿宋" w:hAnsi="仿宋" w:eastAsia="仿宋" w:cs="仿宋"/>
          <w:u w:val="single"/>
          <w:lang w:val="en-US" w:eastAsia="zh-CN"/>
        </w:rPr>
        <w:t xml:space="preserve">                  </w:t>
      </w:r>
    </w:p>
    <w:p>
      <w:pPr>
        <w:pStyle w:val="64"/>
        <w:spacing w:line="360" w:lineRule="auto"/>
        <w:ind w:firstLine="480"/>
        <w:rPr>
          <w:rFonts w:hint="eastAsia" w:ascii="仿宋" w:hAnsi="仿宋" w:eastAsia="仿宋" w:cs="仿宋"/>
          <w:lang w:val="en-US" w:eastAsia="zh-CN"/>
        </w:rPr>
      </w:pPr>
      <w:r>
        <w:rPr>
          <w:rFonts w:hint="eastAsia" w:ascii="仿宋" w:hAnsi="仿宋" w:eastAsia="仿宋" w:cs="仿宋"/>
        </w:rPr>
        <w:t>成交人（乙方）：</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w:t>
      </w:r>
    </w:p>
    <w:p>
      <w:pPr>
        <w:pStyle w:val="64"/>
        <w:spacing w:line="360" w:lineRule="auto"/>
        <w:ind w:firstLine="480"/>
        <w:rPr>
          <w:rFonts w:hint="eastAsia" w:ascii="仿宋" w:hAnsi="仿宋" w:eastAsia="仿宋" w:cs="仿宋"/>
        </w:rPr>
      </w:pPr>
      <w:r>
        <w:rPr>
          <w:rFonts w:hint="eastAsia" w:ascii="仿宋" w:hAnsi="仿宋" w:eastAsia="仿宋" w:cs="仿宋"/>
        </w:rPr>
        <w:t>根据《中华人民共和国政府采购法》及实施条例、《中华人民共和国</w:t>
      </w:r>
      <w:r>
        <w:rPr>
          <w:rFonts w:hint="eastAsia" w:ascii="仿宋" w:hAnsi="仿宋" w:eastAsia="仿宋" w:cs="仿宋"/>
          <w:lang w:eastAsia="zh-CN"/>
        </w:rPr>
        <w:t>民法典</w:t>
      </w:r>
      <w:r>
        <w:rPr>
          <w:rFonts w:hint="eastAsia" w:ascii="仿宋" w:hAnsi="仿宋" w:eastAsia="仿宋" w:cs="仿宋"/>
        </w:rPr>
        <w:t>》和</w:t>
      </w:r>
      <w:r>
        <w:rPr>
          <w:rFonts w:hint="eastAsia" w:ascii="仿宋" w:hAnsi="仿宋" w:eastAsia="仿宋" w:cs="仿宋"/>
          <w:u w:val="single"/>
          <w:lang w:eastAsia="zh-CN"/>
        </w:rPr>
        <w:t>西安市公安局交通警察支队长安大队中省转移警用车辆采购</w:t>
      </w:r>
      <w:r>
        <w:rPr>
          <w:rFonts w:hint="eastAsia" w:ascii="仿宋" w:hAnsi="仿宋" w:eastAsia="仿宋" w:cs="仿宋"/>
        </w:rPr>
        <w:t>的</w:t>
      </w:r>
      <w:r>
        <w:rPr>
          <w:rFonts w:hint="eastAsia" w:ascii="仿宋" w:hAnsi="仿宋" w:eastAsia="仿宋" w:cs="仿宋"/>
          <w:lang w:val="en-US" w:eastAsia="zh-CN"/>
        </w:rPr>
        <w:t>谈判</w:t>
      </w:r>
      <w:r>
        <w:rPr>
          <w:rFonts w:hint="eastAsia" w:ascii="仿宋" w:hAnsi="仿宋" w:eastAsia="仿宋" w:cs="仿宋"/>
        </w:rPr>
        <w:t>文件、</w:t>
      </w:r>
      <w:r>
        <w:rPr>
          <w:rFonts w:hint="eastAsia" w:ascii="仿宋" w:hAnsi="仿宋" w:eastAsia="仿宋" w:cs="仿宋"/>
          <w:lang w:val="en-US" w:eastAsia="zh-CN"/>
        </w:rPr>
        <w:t>谈判</w:t>
      </w:r>
      <w:r>
        <w:rPr>
          <w:rFonts w:hint="eastAsia" w:ascii="仿宋" w:hAnsi="仿宋" w:eastAsia="仿宋" w:cs="仿宋"/>
        </w:rPr>
        <w:t>响应文件等有关规定，为确保甲方采购项目的顺利实施，甲、乙双方在平等自愿原则下签订本合同，并共同遵守如下条款：</w:t>
      </w:r>
    </w:p>
    <w:p>
      <w:pPr>
        <w:pStyle w:val="64"/>
        <w:spacing w:line="360" w:lineRule="auto"/>
        <w:ind w:firstLine="482"/>
        <w:rPr>
          <w:rFonts w:hint="eastAsia" w:ascii="仿宋" w:hAnsi="仿宋" w:eastAsia="仿宋" w:cs="仿宋"/>
          <w:b/>
        </w:rPr>
      </w:pPr>
      <w:r>
        <w:rPr>
          <w:rFonts w:hint="eastAsia" w:ascii="仿宋" w:hAnsi="仿宋" w:eastAsia="仿宋" w:cs="仿宋"/>
          <w:b/>
        </w:rPr>
        <w:t>第一条 合同标的及数量</w:t>
      </w:r>
    </w:p>
    <w:p>
      <w:pPr>
        <w:pStyle w:val="64"/>
        <w:spacing w:line="360" w:lineRule="auto"/>
        <w:ind w:firstLine="480"/>
        <w:rPr>
          <w:rFonts w:hint="eastAsia" w:ascii="仿宋" w:hAnsi="仿宋" w:eastAsia="仿宋" w:cs="仿宋"/>
          <w:b/>
        </w:rPr>
      </w:pPr>
      <w:r>
        <w:rPr>
          <w:rFonts w:hint="eastAsia" w:ascii="仿宋" w:hAnsi="仿宋" w:eastAsia="仿宋" w:cs="仿宋"/>
        </w:rPr>
        <w:t>乙方向甲方提供下列货物（产品）：</w:t>
      </w:r>
    </w:p>
    <w:p>
      <w:pPr>
        <w:pStyle w:val="10"/>
        <w:spacing w:line="360" w:lineRule="auto"/>
        <w:ind w:firstLine="0"/>
        <w:jc w:val="center"/>
        <w:rPr>
          <w:rFonts w:hint="eastAsia" w:ascii="仿宋" w:hAnsi="仿宋" w:eastAsia="仿宋" w:cs="仿宋"/>
          <w:b/>
          <w:sz w:val="24"/>
          <w:szCs w:val="24"/>
        </w:rPr>
      </w:pPr>
      <w:r>
        <w:rPr>
          <w:rFonts w:hint="eastAsia" w:ascii="仿宋" w:hAnsi="仿宋" w:eastAsia="仿宋" w:cs="仿宋"/>
          <w:b/>
          <w:sz w:val="24"/>
          <w:szCs w:val="24"/>
        </w:rPr>
        <w:t>供货一览表</w:t>
      </w:r>
    </w:p>
    <w:tbl>
      <w:tblPr>
        <w:tblStyle w:val="31"/>
        <w:tblpPr w:leftFromText="180" w:rightFromText="180" w:vertAnchor="text" w:horzAnchor="margin" w:tblpY="309"/>
        <w:tblW w:w="92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334"/>
        <w:gridCol w:w="1731"/>
        <w:gridCol w:w="1044"/>
        <w:gridCol w:w="717"/>
        <w:gridCol w:w="730"/>
        <w:gridCol w:w="1061"/>
        <w:gridCol w:w="18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731"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序号</w:t>
            </w:r>
          </w:p>
        </w:tc>
        <w:tc>
          <w:tcPr>
            <w:tcW w:w="1334"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货物名称</w:t>
            </w:r>
          </w:p>
        </w:tc>
        <w:tc>
          <w:tcPr>
            <w:tcW w:w="1731"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品牌/型号</w:t>
            </w:r>
          </w:p>
        </w:tc>
        <w:tc>
          <w:tcPr>
            <w:tcW w:w="1044"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规格</w:t>
            </w:r>
          </w:p>
        </w:tc>
        <w:tc>
          <w:tcPr>
            <w:tcW w:w="717"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计量单位</w:t>
            </w:r>
          </w:p>
        </w:tc>
        <w:tc>
          <w:tcPr>
            <w:tcW w:w="730"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数量</w:t>
            </w:r>
          </w:p>
        </w:tc>
        <w:tc>
          <w:tcPr>
            <w:tcW w:w="1061"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单价（元）</w:t>
            </w:r>
          </w:p>
        </w:tc>
        <w:tc>
          <w:tcPr>
            <w:tcW w:w="1868" w:type="dxa"/>
            <w:tcBorders>
              <w:top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金额 (元)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31" w:type="dxa"/>
            <w:tcBorders>
              <w:lef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33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731"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04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717"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730"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061"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868" w:type="dxa"/>
            <w:tcBorders>
              <w:righ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1" w:type="dxa"/>
            <w:tcBorders>
              <w:lef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33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731"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04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717"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730"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061"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868" w:type="dxa"/>
            <w:tcBorders>
              <w:righ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1" w:type="dxa"/>
            <w:tcBorders>
              <w:lef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33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731"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04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717"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730"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061"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868" w:type="dxa"/>
            <w:tcBorders>
              <w:righ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1" w:type="dxa"/>
            <w:tcBorders>
              <w:lef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33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731"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04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717"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730"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061" w:type="dxa"/>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868" w:type="dxa"/>
            <w:tcBorders>
              <w:right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31" w:type="dxa"/>
            <w:tcBorders>
              <w:left w:val="single" w:color="auto" w:sz="4" w:space="0"/>
              <w:bottom w:val="single" w:color="auto" w:sz="4" w:space="0"/>
            </w:tcBorders>
            <w:noWrap w:val="0"/>
            <w:vAlign w:val="top"/>
          </w:tcPr>
          <w:p>
            <w:pPr>
              <w:keepNext w:val="0"/>
              <w:keepLines w:val="0"/>
              <w:suppressLineNumbers w:val="0"/>
              <w:spacing w:before="0" w:beforeAutospacing="0" w:after="0" w:afterAutospacing="0"/>
              <w:ind w:left="0" w:right="0"/>
              <w:rPr>
                <w:rFonts w:hint="eastAsia" w:ascii="仿宋" w:hAnsi="仿宋" w:eastAsia="仿宋" w:cs="仿宋"/>
                <w:sz w:val="24"/>
              </w:rPr>
            </w:pPr>
          </w:p>
        </w:tc>
        <w:tc>
          <w:tcPr>
            <w:tcW w:w="1334" w:type="dxa"/>
            <w:tcBorders>
              <w:bottom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sz w:val="24"/>
              </w:rPr>
            </w:pPr>
            <w:r>
              <w:rPr>
                <w:rFonts w:hint="eastAsia" w:ascii="仿宋" w:hAnsi="仿宋" w:eastAsia="仿宋" w:cs="仿宋"/>
                <w:sz w:val="24"/>
              </w:rPr>
              <w:t>合计</w:t>
            </w:r>
          </w:p>
        </w:tc>
        <w:tc>
          <w:tcPr>
            <w:tcW w:w="4222" w:type="dxa"/>
            <w:gridSpan w:val="4"/>
            <w:tcBorders>
              <w:bottom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sz w:val="24"/>
              </w:rPr>
            </w:pPr>
            <w:r>
              <w:rPr>
                <w:rFonts w:hint="eastAsia" w:ascii="仿宋" w:hAnsi="仿宋" w:eastAsia="仿宋" w:cs="仿宋"/>
                <w:sz w:val="24"/>
              </w:rPr>
              <w:t>大写</w:t>
            </w:r>
          </w:p>
        </w:tc>
        <w:tc>
          <w:tcPr>
            <w:tcW w:w="2929" w:type="dxa"/>
            <w:gridSpan w:val="2"/>
            <w:tcBorders>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sz w:val="24"/>
              </w:rPr>
            </w:pPr>
            <w:r>
              <w:rPr>
                <w:rFonts w:hint="eastAsia" w:ascii="仿宋" w:hAnsi="仿宋" w:eastAsia="仿宋" w:cs="仿宋"/>
                <w:sz w:val="24"/>
              </w:rPr>
              <w:t>￥</w:t>
            </w:r>
          </w:p>
        </w:tc>
      </w:tr>
    </w:tbl>
    <w:p>
      <w:pPr>
        <w:pStyle w:val="64"/>
        <w:spacing w:before="240" w:line="360" w:lineRule="auto"/>
        <w:ind w:firstLine="424" w:firstLineChars="176"/>
        <w:rPr>
          <w:rFonts w:hint="eastAsia" w:ascii="仿宋" w:hAnsi="仿宋" w:eastAsia="仿宋" w:cs="仿宋"/>
          <w:b/>
        </w:rPr>
      </w:pPr>
      <w:r>
        <w:rPr>
          <w:rFonts w:hint="eastAsia" w:ascii="仿宋" w:hAnsi="仿宋" w:eastAsia="仿宋" w:cs="仿宋"/>
          <w:b/>
        </w:rPr>
        <w:t>第二条 合同价款</w:t>
      </w:r>
    </w:p>
    <w:p>
      <w:pPr>
        <w:spacing w:line="360" w:lineRule="auto"/>
        <w:ind w:firstLine="422" w:firstLineChars="176"/>
        <w:rPr>
          <w:rFonts w:hint="eastAsia" w:ascii="仿宋" w:hAnsi="仿宋" w:eastAsia="仿宋" w:cs="仿宋"/>
          <w:sz w:val="24"/>
        </w:rPr>
      </w:pPr>
      <w:r>
        <w:rPr>
          <w:rFonts w:hint="eastAsia" w:ascii="仿宋" w:hAnsi="仿宋" w:eastAsia="仿宋" w:cs="仿宋"/>
          <w:sz w:val="24"/>
        </w:rPr>
        <w:t>1、合同总价为人民币大写：</w:t>
      </w:r>
      <w:r>
        <w:rPr>
          <w:rFonts w:hint="eastAsia" w:ascii="仿宋" w:hAnsi="仿宋" w:eastAsia="仿宋" w:cs="仿宋"/>
          <w:sz w:val="24"/>
          <w:u w:val="single"/>
        </w:rPr>
        <w:t xml:space="preserve">               </w:t>
      </w:r>
      <w:r>
        <w:rPr>
          <w:rFonts w:hint="eastAsia" w:ascii="仿宋" w:hAnsi="仿宋" w:eastAsia="仿宋" w:cs="仿宋"/>
          <w:sz w:val="24"/>
        </w:rPr>
        <w:t xml:space="preserve">元， </w:t>
      </w:r>
      <w:r>
        <w:rPr>
          <w:rFonts w:hint="eastAsia" w:ascii="仿宋" w:hAnsi="仿宋" w:eastAsia="仿宋" w:cs="仿宋"/>
          <w:sz w:val="24"/>
          <w:lang w:val="en-US" w:eastAsia="zh-CN"/>
        </w:rPr>
        <w:t>小写：</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元。</w:t>
      </w:r>
    </w:p>
    <w:p>
      <w:pPr>
        <w:spacing w:line="360" w:lineRule="auto"/>
        <w:ind w:firstLine="422" w:firstLineChars="176"/>
        <w:rPr>
          <w:rFonts w:hint="eastAsia" w:ascii="仿宋" w:hAnsi="仿宋" w:eastAsia="仿宋" w:cs="仿宋"/>
          <w:sz w:val="24"/>
        </w:rPr>
      </w:pPr>
      <w:r>
        <w:rPr>
          <w:rFonts w:hint="eastAsia" w:ascii="仿宋" w:hAnsi="仿宋" w:eastAsia="仿宋" w:cs="仿宋"/>
          <w:sz w:val="24"/>
        </w:rPr>
        <w:t>2、本合同总价是货物（产品）设计、材料、制造、包装、运输、安装、调试、检测、验收合格交付使用之前及保修期内保修服务与备用对象等其他有关各项的含税费用。</w:t>
      </w:r>
    </w:p>
    <w:p>
      <w:pPr>
        <w:spacing w:line="360" w:lineRule="auto"/>
        <w:ind w:firstLine="422" w:firstLineChars="176"/>
        <w:rPr>
          <w:rFonts w:hint="eastAsia" w:ascii="仿宋" w:hAnsi="仿宋" w:eastAsia="仿宋" w:cs="仿宋"/>
          <w:sz w:val="24"/>
        </w:rPr>
      </w:pPr>
      <w:r>
        <w:rPr>
          <w:rFonts w:hint="eastAsia" w:ascii="仿宋" w:hAnsi="仿宋" w:eastAsia="仿宋" w:cs="仿宋"/>
          <w:sz w:val="24"/>
        </w:rPr>
        <w:t>3、本合同总价还包含乙方应当提供的伴随服务和售后服务费用。</w:t>
      </w:r>
    </w:p>
    <w:p>
      <w:pPr>
        <w:spacing w:line="360" w:lineRule="auto"/>
        <w:ind w:firstLine="422" w:firstLineChars="176"/>
        <w:rPr>
          <w:rFonts w:hint="eastAsia" w:ascii="仿宋" w:hAnsi="仿宋" w:eastAsia="仿宋" w:cs="仿宋"/>
          <w:sz w:val="24"/>
        </w:rPr>
      </w:pPr>
      <w:r>
        <w:rPr>
          <w:rFonts w:hint="eastAsia" w:ascii="仿宋" w:hAnsi="仿宋" w:eastAsia="仿宋" w:cs="仿宋"/>
          <w:sz w:val="24"/>
        </w:rPr>
        <w:t>4、本合同执行期间合同总价不变，甲方无须另向乙方支付本合同规定之外的其他任何费用。</w:t>
      </w:r>
    </w:p>
    <w:p>
      <w:pPr>
        <w:pStyle w:val="64"/>
        <w:spacing w:line="360" w:lineRule="auto"/>
        <w:ind w:firstLine="424" w:firstLineChars="176"/>
        <w:rPr>
          <w:rFonts w:hint="eastAsia" w:ascii="仿宋" w:hAnsi="仿宋" w:eastAsia="仿宋" w:cs="仿宋"/>
          <w:b/>
        </w:rPr>
      </w:pPr>
      <w:r>
        <w:rPr>
          <w:rFonts w:hint="eastAsia" w:ascii="仿宋" w:hAnsi="仿宋" w:eastAsia="仿宋" w:cs="仿宋"/>
          <w:b/>
        </w:rPr>
        <w:t>第三条 货款支付</w:t>
      </w:r>
    </w:p>
    <w:p>
      <w:pPr>
        <w:spacing w:line="360" w:lineRule="auto"/>
        <w:ind w:firstLine="422" w:firstLineChars="176"/>
        <w:rPr>
          <w:rFonts w:hint="eastAsia" w:ascii="仿宋" w:hAnsi="仿宋" w:eastAsia="仿宋" w:cs="仿宋"/>
          <w:sz w:val="24"/>
          <w:lang w:val="en-US" w:eastAsia="zh-CN"/>
        </w:rPr>
      </w:pPr>
      <w:r>
        <w:rPr>
          <w:rFonts w:hint="eastAsia" w:ascii="仿宋" w:hAnsi="仿宋" w:eastAsia="仿宋" w:cs="仿宋"/>
          <w:sz w:val="24"/>
        </w:rPr>
        <w:t>1、货款</w:t>
      </w:r>
      <w:r>
        <w:rPr>
          <w:rFonts w:hint="eastAsia" w:ascii="仿宋" w:hAnsi="仿宋" w:eastAsia="仿宋" w:cs="仿宋"/>
          <w:sz w:val="24"/>
          <w:lang w:val="en-US" w:eastAsia="zh-CN"/>
        </w:rPr>
        <w:t>支付方式：本项目无预付款，设备到货安装调试完成，经验收合格并交付使用后支付全额合同价款。</w:t>
      </w:r>
    </w:p>
    <w:p>
      <w:pPr>
        <w:pStyle w:val="64"/>
        <w:spacing w:line="360" w:lineRule="auto"/>
        <w:ind w:firstLine="422" w:firstLineChars="176"/>
        <w:rPr>
          <w:rFonts w:hint="eastAsia" w:ascii="仿宋" w:hAnsi="仿宋" w:eastAsia="仿宋" w:cs="仿宋"/>
          <w:highlight w:val="none"/>
        </w:rPr>
      </w:pPr>
      <w:r>
        <w:rPr>
          <w:rFonts w:hint="eastAsia" w:ascii="仿宋" w:hAnsi="仿宋" w:eastAsia="仿宋" w:cs="仿宋"/>
          <w:highlight w:val="none"/>
        </w:rPr>
        <w:t>2、乙方须向甲方出具合法有效的</w:t>
      </w:r>
      <w:r>
        <w:rPr>
          <w:rFonts w:hint="eastAsia" w:ascii="仿宋" w:hAnsi="仿宋" w:eastAsia="仿宋" w:cs="仿宋"/>
          <w:highlight w:val="none"/>
          <w:lang w:eastAsia="zh-CN"/>
        </w:rPr>
        <w:t>等额</w:t>
      </w:r>
      <w:r>
        <w:rPr>
          <w:rFonts w:hint="eastAsia" w:ascii="仿宋" w:hAnsi="仿宋" w:eastAsia="仿宋" w:cs="仿宋"/>
          <w:highlight w:val="none"/>
        </w:rPr>
        <w:t>完税发票，甲方进行支付结算。</w:t>
      </w:r>
    </w:p>
    <w:p>
      <w:pPr>
        <w:pStyle w:val="64"/>
        <w:spacing w:line="360" w:lineRule="auto"/>
        <w:ind w:firstLine="422" w:firstLineChars="176"/>
        <w:rPr>
          <w:rFonts w:hint="eastAsia" w:ascii="仿宋" w:hAnsi="仿宋" w:eastAsia="仿宋" w:cs="仿宋"/>
          <w:highlight w:val="none"/>
        </w:rPr>
      </w:pPr>
      <w:r>
        <w:rPr>
          <w:rFonts w:hint="eastAsia" w:ascii="仿宋" w:hAnsi="仿宋" w:eastAsia="仿宋" w:cs="仿宋"/>
          <w:highlight w:val="none"/>
        </w:rPr>
        <w:t>3、结算方式：银行转账。</w:t>
      </w:r>
    </w:p>
    <w:p>
      <w:pPr>
        <w:pStyle w:val="64"/>
        <w:spacing w:line="360" w:lineRule="auto"/>
        <w:ind w:firstLine="424" w:firstLineChars="176"/>
        <w:rPr>
          <w:rFonts w:hint="eastAsia" w:ascii="仿宋" w:hAnsi="仿宋" w:eastAsia="仿宋" w:cs="仿宋"/>
          <w:b/>
          <w:highlight w:val="none"/>
        </w:rPr>
      </w:pPr>
      <w:r>
        <w:rPr>
          <w:rFonts w:hint="eastAsia" w:ascii="仿宋" w:hAnsi="仿宋" w:eastAsia="仿宋" w:cs="仿宋"/>
          <w:b/>
          <w:highlight w:val="none"/>
        </w:rPr>
        <w:t>第四条 交货时间与地点</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乙方在合同签订生效之日起，按甲方指定时间、地点交货。</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交付期</w:t>
      </w:r>
      <w:r>
        <w:rPr>
          <w:rFonts w:hint="eastAsia" w:ascii="仿宋" w:hAnsi="仿宋" w:eastAsia="仿宋" w:cs="仿宋"/>
        </w:rPr>
        <w:t>（</w:t>
      </w:r>
      <w:r>
        <w:rPr>
          <w:rFonts w:hint="eastAsia" w:ascii="仿宋" w:hAnsi="仿宋" w:eastAsia="仿宋" w:cs="仿宋"/>
          <w:color w:val="auto"/>
          <w:kern w:val="0"/>
          <w:sz w:val="24"/>
          <w:szCs w:val="22"/>
          <w:highlight w:val="none"/>
          <w:lang w:val="en-US" w:eastAsia="zh-CN" w:bidi="ar-SA"/>
        </w:rPr>
        <w:t>供货期</w:t>
      </w: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rPr>
        <w:t>。</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2、交货地点：采购人指定地点</w:t>
      </w:r>
    </w:p>
    <w:p>
      <w:pPr>
        <w:pStyle w:val="64"/>
        <w:spacing w:line="360" w:lineRule="auto"/>
        <w:ind w:firstLine="424" w:firstLineChars="176"/>
        <w:rPr>
          <w:rFonts w:hint="eastAsia" w:ascii="仿宋" w:hAnsi="仿宋" w:eastAsia="仿宋" w:cs="仿宋"/>
          <w:b/>
        </w:rPr>
      </w:pPr>
      <w:r>
        <w:rPr>
          <w:rFonts w:hint="eastAsia" w:ascii="仿宋" w:hAnsi="仿宋" w:eastAsia="仿宋" w:cs="仿宋"/>
          <w:b/>
        </w:rPr>
        <w:t>第五条 质量保证</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1、乙方须提供全新的、未使用过的合格正品货物（含零部件、配件等），完全符合合同规定的质量、规格和性能的要求。</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2、乙方提供的节能和环保产品必须是列入政府采购清单的产品。</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3、质量标准按照最新颁布的国家标准、行业标准或制造商企业标准确定，上述标准不一致的，以严格标准为准。</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4、货物制造质量出现问题，乙方应负责三包（包修、包换、包退），费用由乙方负担，甲方有权到乙方生产场地检查货物质量和生产进度。</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5、质保期 ：整车质保</w:t>
      </w:r>
      <w:r>
        <w:rPr>
          <w:rFonts w:hint="eastAsia" w:ascii="仿宋" w:hAnsi="仿宋" w:eastAsia="仿宋" w:cs="仿宋"/>
          <w:lang w:eastAsia="zh-CN"/>
        </w:rPr>
        <w:t>，</w:t>
      </w:r>
      <w:r>
        <w:rPr>
          <w:rFonts w:hint="eastAsia" w:ascii="仿宋" w:hAnsi="仿宋" w:eastAsia="仿宋" w:cs="仿宋"/>
        </w:rPr>
        <w:t>三年或六万公里（以先到为准）。成交供应商承诺超过</w:t>
      </w:r>
      <w:r>
        <w:rPr>
          <w:rFonts w:hint="eastAsia" w:ascii="仿宋" w:hAnsi="仿宋" w:eastAsia="仿宋" w:cs="仿宋"/>
          <w:lang w:val="en-US" w:eastAsia="zh-CN"/>
        </w:rPr>
        <w:t>谈判</w:t>
      </w:r>
      <w:r>
        <w:rPr>
          <w:rFonts w:hint="eastAsia" w:ascii="仿宋" w:hAnsi="仿宋" w:eastAsia="仿宋" w:cs="仿宋"/>
        </w:rPr>
        <w:t>文件要求的，按其承诺期质保。质保期起始时间为终验合格之日。</w:t>
      </w:r>
    </w:p>
    <w:p>
      <w:pPr>
        <w:pStyle w:val="64"/>
        <w:spacing w:line="360" w:lineRule="auto"/>
        <w:ind w:firstLine="424" w:firstLineChars="176"/>
        <w:rPr>
          <w:rFonts w:hint="eastAsia" w:ascii="仿宋" w:hAnsi="仿宋" w:eastAsia="仿宋" w:cs="仿宋"/>
          <w:b/>
        </w:rPr>
      </w:pPr>
      <w:r>
        <w:rPr>
          <w:rFonts w:hint="eastAsia" w:ascii="仿宋" w:hAnsi="仿宋" w:eastAsia="仿宋" w:cs="仿宋"/>
          <w:b/>
        </w:rPr>
        <w:t>第六条 权利保证</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1、乙方保证对其出售的货物享有合法的权利。</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2、乙方保证对其出售的货物上不存在任何未曾向甲方透露的担保物权，如抵押权、质押权、留置权。</w:t>
      </w:r>
    </w:p>
    <w:p>
      <w:pPr>
        <w:pStyle w:val="64"/>
        <w:spacing w:line="360" w:lineRule="auto"/>
        <w:ind w:firstLine="422" w:firstLineChars="176"/>
        <w:rPr>
          <w:rFonts w:hint="eastAsia" w:ascii="仿宋" w:hAnsi="仿宋" w:eastAsia="仿宋" w:cs="仿宋"/>
        </w:rPr>
      </w:pPr>
      <w:r>
        <w:rPr>
          <w:rFonts w:hint="eastAsia" w:ascii="仿宋" w:hAnsi="仿宋" w:eastAsia="仿宋" w:cs="仿宋"/>
        </w:rPr>
        <w:t>3、乙方保证对其出售的货物或其任何一部分没有侵犯第三方的专利权、版权、商标权或其他权利。</w:t>
      </w:r>
    </w:p>
    <w:p>
      <w:pPr>
        <w:pStyle w:val="64"/>
        <w:spacing w:line="360" w:lineRule="auto"/>
        <w:ind w:left="0" w:leftChars="0" w:firstLine="480" w:firstLineChars="200"/>
        <w:rPr>
          <w:rFonts w:hint="eastAsia" w:ascii="仿宋" w:hAnsi="仿宋" w:eastAsia="仿宋" w:cs="仿宋"/>
          <w:b/>
        </w:rPr>
      </w:pPr>
      <w:r>
        <w:rPr>
          <w:rFonts w:hint="eastAsia" w:ascii="仿宋" w:hAnsi="仿宋" w:eastAsia="仿宋" w:cs="仿宋"/>
        </w:rPr>
        <w:t>4、如甲方在使用该货物构成上述侵权的，则由乙方承担全部责任。</w:t>
      </w:r>
    </w:p>
    <w:p>
      <w:pPr>
        <w:pStyle w:val="64"/>
        <w:spacing w:line="360" w:lineRule="auto"/>
        <w:ind w:left="141" w:leftChars="67" w:firstLine="424" w:firstLineChars="176"/>
        <w:rPr>
          <w:rFonts w:hint="eastAsia" w:ascii="仿宋" w:hAnsi="仿宋" w:eastAsia="仿宋" w:cs="仿宋"/>
        </w:rPr>
      </w:pPr>
      <w:r>
        <w:rPr>
          <w:rFonts w:hint="eastAsia" w:ascii="仿宋" w:hAnsi="仿宋" w:eastAsia="仿宋" w:cs="仿宋"/>
          <w:b/>
        </w:rPr>
        <w:t>第七条 包装要求与运输方式</w:t>
      </w:r>
    </w:p>
    <w:p>
      <w:pPr>
        <w:pStyle w:val="64"/>
        <w:spacing w:line="360" w:lineRule="auto"/>
        <w:ind w:left="141" w:leftChars="67" w:firstLine="422" w:firstLineChars="176"/>
        <w:rPr>
          <w:rFonts w:hint="eastAsia" w:ascii="仿宋" w:hAnsi="仿宋" w:eastAsia="仿宋" w:cs="仿宋"/>
        </w:rPr>
      </w:pPr>
      <w:r>
        <w:rPr>
          <w:rFonts w:hint="eastAsia" w:ascii="仿宋" w:hAnsi="仿宋" w:eastAsia="仿宋" w:cs="仿宋"/>
        </w:rPr>
        <w:t>1、除合同另有规定外，乙方提供的全部货物均应按标准保护措施进行包装，该包装应适应于远距离运输、防潮、防震、防锈和防野蛮装卸，以确保货物安全运抵指定地点。</w:t>
      </w:r>
    </w:p>
    <w:p>
      <w:pPr>
        <w:pStyle w:val="64"/>
        <w:spacing w:line="360" w:lineRule="auto"/>
        <w:ind w:left="141" w:leftChars="67" w:firstLine="422" w:firstLineChars="176"/>
        <w:rPr>
          <w:rFonts w:hint="eastAsia" w:ascii="仿宋" w:hAnsi="仿宋" w:eastAsia="仿宋" w:cs="仿宋"/>
        </w:rPr>
      </w:pPr>
      <w:r>
        <w:rPr>
          <w:rFonts w:hint="eastAsia" w:ascii="仿宋" w:hAnsi="仿宋" w:eastAsia="仿宋" w:cs="仿宋"/>
        </w:rPr>
        <w:t>2、每一包装单元应附详细的装箱单和质量合格证。</w:t>
      </w:r>
    </w:p>
    <w:p>
      <w:pPr>
        <w:pStyle w:val="64"/>
        <w:spacing w:line="360" w:lineRule="auto"/>
        <w:ind w:left="141" w:leftChars="67" w:firstLine="422" w:firstLineChars="176"/>
        <w:rPr>
          <w:rFonts w:hint="eastAsia" w:ascii="仿宋" w:hAnsi="仿宋" w:eastAsia="仿宋" w:cs="仿宋"/>
        </w:rPr>
      </w:pPr>
      <w:r>
        <w:rPr>
          <w:rFonts w:hint="eastAsia" w:ascii="仿宋" w:hAnsi="仿宋" w:eastAsia="仿宋" w:cs="仿宋"/>
        </w:rPr>
        <w:t>3、货物（产品）运输方式：</w:t>
      </w:r>
      <w:r>
        <w:rPr>
          <w:rFonts w:hint="eastAsia" w:ascii="仿宋" w:hAnsi="仿宋" w:eastAsia="仿宋" w:cs="仿宋"/>
          <w:u w:val="single"/>
        </w:rPr>
        <w:t xml:space="preserve">       </w:t>
      </w:r>
      <w:r>
        <w:rPr>
          <w:rFonts w:hint="eastAsia" w:ascii="仿宋" w:hAnsi="仿宋" w:eastAsia="仿宋" w:cs="仿宋"/>
        </w:rPr>
        <w:t>。</w:t>
      </w:r>
    </w:p>
    <w:p>
      <w:pPr>
        <w:pStyle w:val="64"/>
        <w:spacing w:line="360" w:lineRule="auto"/>
        <w:ind w:left="141" w:leftChars="67" w:firstLine="424" w:firstLineChars="176"/>
        <w:rPr>
          <w:rFonts w:hint="eastAsia" w:ascii="仿宋" w:hAnsi="仿宋" w:eastAsia="仿宋" w:cs="仿宋"/>
        </w:rPr>
      </w:pPr>
      <w:r>
        <w:rPr>
          <w:rFonts w:hint="eastAsia" w:ascii="仿宋" w:hAnsi="仿宋" w:eastAsia="仿宋" w:cs="仿宋"/>
          <w:b/>
        </w:rPr>
        <w:t>第八条 货物验收</w:t>
      </w:r>
    </w:p>
    <w:p>
      <w:pPr>
        <w:pStyle w:val="64"/>
        <w:keepNext w:val="0"/>
        <w:keepLines w:val="0"/>
        <w:pageBreakBefore w:val="0"/>
        <w:kinsoku/>
        <w:wordWrap/>
        <w:overflowPunct/>
        <w:topLinePunct w:val="0"/>
        <w:autoSpaceDE/>
        <w:autoSpaceDN/>
        <w:bidi w:val="0"/>
        <w:adjustRightInd/>
        <w:spacing w:line="360" w:lineRule="auto"/>
        <w:ind w:left="141" w:leftChars="67"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1、货物验收由甲方组织，乙方配合，并按下列程序进行：</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1）交货验收时，乙方须提供质检部门产品抽样检查合格的检测报告（或制造商自检报告）及所提供货物（产品）的合格证、装箱清单、配件、随机工具、用户使用手册（产品使用说明书）、保修卡等资料交付给甲方；</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（2）到货验收 ：货物到达后，按合同第一条款的货物清单和装箱单经行逐一核对，同时检查货物外观，是否有划痕或破损的，并做好相应记录；</w:t>
      </w:r>
    </w:p>
    <w:p>
      <w:pPr>
        <w:pStyle w:val="64"/>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（3）货物初验：乙方应在货物到货之日起，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日内全部完成安装调试完毕；乙方安装调试完毕后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日内完成初步验收；初步验收合格后，进入</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日试用期；试用期间发生重大质量问题，修复后试用期相应顺延；</w:t>
      </w:r>
    </w:p>
    <w:p>
      <w:pPr>
        <w:pStyle w:val="64"/>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（4）货物终验：试用期结束后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日内完成最终验收；</w:t>
      </w:r>
    </w:p>
    <w:p>
      <w:pPr>
        <w:pStyle w:val="64"/>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（5）质量验收合格，双方签署质量验收报告。</w:t>
      </w:r>
    </w:p>
    <w:p>
      <w:pPr>
        <w:pStyle w:val="64"/>
        <w:keepNext w:val="0"/>
        <w:keepLines w:val="0"/>
        <w:pageBreakBefore w:val="0"/>
        <w:kinsoku/>
        <w:wordWrap/>
        <w:overflowPunct/>
        <w:topLinePunct w:val="0"/>
        <w:autoSpaceDE/>
        <w:autoSpaceDN/>
        <w:bidi w:val="0"/>
        <w:adjustRightInd/>
        <w:spacing w:line="360" w:lineRule="auto"/>
        <w:ind w:left="141" w:leftChars="67" w:firstLine="422" w:firstLineChars="176"/>
        <w:rPr>
          <w:rFonts w:hint="eastAsia" w:ascii="仿宋" w:hAnsi="仿宋" w:eastAsia="仿宋" w:cs="仿宋"/>
          <w:color w:val="auto"/>
          <w:szCs w:val="22"/>
          <w:highlight w:val="none"/>
        </w:rPr>
      </w:pPr>
      <w:r>
        <w:rPr>
          <w:rFonts w:hint="eastAsia" w:ascii="仿宋" w:hAnsi="仿宋" w:eastAsia="仿宋" w:cs="仿宋"/>
          <w:color w:val="auto"/>
          <w:szCs w:val="22"/>
          <w:highlight w:val="none"/>
        </w:rPr>
        <w:t>2、货物验收依据：</w:t>
      </w:r>
    </w:p>
    <w:p>
      <w:pPr>
        <w:pStyle w:val="64"/>
        <w:keepNext w:val="0"/>
        <w:keepLines w:val="0"/>
        <w:pageBreakBefore w:val="0"/>
        <w:kinsoku/>
        <w:wordWrap/>
        <w:overflowPunct/>
        <w:topLinePunct w:val="0"/>
        <w:autoSpaceDE/>
        <w:autoSpaceDN/>
        <w:bidi w:val="0"/>
        <w:adjustRightInd/>
        <w:spacing w:line="360" w:lineRule="auto"/>
        <w:ind w:left="141" w:leftChars="67" w:firstLine="422" w:firstLineChars="176"/>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lang w:eastAsia="zh-CN"/>
        </w:rPr>
        <w:t>（1）谈判文件；</w:t>
      </w:r>
    </w:p>
    <w:p>
      <w:pPr>
        <w:pStyle w:val="64"/>
        <w:keepNext w:val="0"/>
        <w:keepLines w:val="0"/>
        <w:pageBreakBefore w:val="0"/>
        <w:kinsoku/>
        <w:wordWrap/>
        <w:overflowPunct/>
        <w:topLinePunct w:val="0"/>
        <w:autoSpaceDE/>
        <w:autoSpaceDN/>
        <w:bidi w:val="0"/>
        <w:adjustRightInd/>
        <w:spacing w:line="360" w:lineRule="auto"/>
        <w:ind w:left="141" w:leftChars="67" w:firstLine="422" w:firstLineChars="176"/>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lang w:eastAsia="zh-CN"/>
        </w:rPr>
        <w:t>（2）谈判响应文件；</w:t>
      </w:r>
    </w:p>
    <w:p>
      <w:pPr>
        <w:pStyle w:val="64"/>
        <w:keepNext w:val="0"/>
        <w:keepLines w:val="0"/>
        <w:pageBreakBefore w:val="0"/>
        <w:kinsoku/>
        <w:wordWrap/>
        <w:overflowPunct/>
        <w:topLinePunct w:val="0"/>
        <w:autoSpaceDE/>
        <w:autoSpaceDN/>
        <w:bidi w:val="0"/>
        <w:adjustRightInd/>
        <w:spacing w:line="360" w:lineRule="auto"/>
        <w:ind w:left="141" w:leftChars="67" w:firstLine="422" w:firstLineChars="176"/>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lang w:eastAsia="zh-CN"/>
        </w:rPr>
        <w:t>（3）采购合同及补充协议；</w:t>
      </w:r>
    </w:p>
    <w:p>
      <w:pPr>
        <w:pStyle w:val="64"/>
        <w:keepNext w:val="0"/>
        <w:keepLines w:val="0"/>
        <w:pageBreakBefore w:val="0"/>
        <w:kinsoku/>
        <w:wordWrap/>
        <w:overflowPunct/>
        <w:topLinePunct w:val="0"/>
        <w:autoSpaceDE/>
        <w:autoSpaceDN/>
        <w:bidi w:val="0"/>
        <w:adjustRightInd/>
        <w:spacing w:line="360" w:lineRule="auto"/>
        <w:ind w:left="141" w:leftChars="67" w:firstLine="422" w:firstLineChars="176"/>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lang w:eastAsia="zh-CN"/>
        </w:rPr>
        <w:t>（4）质检部门抽样检查货物（产品）合格的检测报告。</w:t>
      </w:r>
    </w:p>
    <w:p>
      <w:pPr>
        <w:pStyle w:val="64"/>
        <w:keepNext w:val="0"/>
        <w:keepLines w:val="0"/>
        <w:pageBreakBefore w:val="0"/>
        <w:kinsoku/>
        <w:wordWrap/>
        <w:overflowPunct/>
        <w:topLinePunct w:val="0"/>
        <w:autoSpaceDE/>
        <w:autoSpaceDN/>
        <w:bidi w:val="0"/>
        <w:adjustRightInd/>
        <w:spacing w:line="360" w:lineRule="auto"/>
        <w:ind w:left="141" w:leftChars="67" w:firstLine="422" w:firstLineChars="176"/>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lang w:eastAsia="zh-CN"/>
        </w:rPr>
        <w:t>3、货物验收时发现问题的处理办法：</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（1）乙方提供不符合竞争性谈判文件和本合同规定的货物（产品），甲方有权拒绝接受；</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如发现所交付的货物有短装、次品、损坏或其它不符合标准及本合同规定之情形者，甲方有权要求更换货物（产品），同时做出详尽的现场记录，或由甲乙双方签署备忘录，此现场记录或备忘录可用作补充、缺失和更换损坏部件或更换整个货物（产品）有效证据，由此产生的时间延误与有关费用由乙方承担，验收期限相应顺延；</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（3）如货物经乙方</w:t>
      </w:r>
      <w:r>
        <w:rPr>
          <w:rFonts w:hint="eastAsia" w:ascii="仿宋" w:hAnsi="仿宋" w:eastAsia="仿宋" w:cs="仿宋"/>
          <w:color w:val="auto"/>
          <w:sz w:val="24"/>
          <w:szCs w:val="24"/>
          <w:highlight w:val="none"/>
          <w:u w:val="single"/>
          <w:lang w:eastAsia="zh-CN"/>
        </w:rPr>
        <w:t xml:space="preserve"> 2 </w:t>
      </w:r>
      <w:r>
        <w:rPr>
          <w:rFonts w:hint="eastAsia" w:ascii="仿宋" w:hAnsi="仿宋" w:eastAsia="仿宋" w:cs="仿宋"/>
          <w:color w:val="auto"/>
          <w:sz w:val="24"/>
          <w:szCs w:val="24"/>
          <w:highlight w:val="none"/>
          <w:lang w:eastAsia="zh-CN"/>
        </w:rPr>
        <w:t>次维修仍不能达到合同约定的质量标准，甲方有权退货，并视作乙方不能交付货物而须支付违约赔偿金给甲方，甲方还可依法追究乙方的违约责任；</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（4）货物完成</w:t>
      </w:r>
      <w:r>
        <w:rPr>
          <w:rFonts w:hint="eastAsia" w:ascii="仿宋" w:hAnsi="仿宋" w:eastAsia="仿宋" w:cs="仿宋"/>
          <w:color w:val="auto"/>
          <w:sz w:val="24"/>
          <w:szCs w:val="24"/>
          <w:highlight w:val="none"/>
          <w:lang w:val="en-US" w:eastAsia="zh-CN"/>
        </w:rPr>
        <w:t>送货</w:t>
      </w:r>
      <w:r>
        <w:rPr>
          <w:rFonts w:hint="eastAsia" w:ascii="仿宋" w:hAnsi="仿宋" w:eastAsia="仿宋" w:cs="仿宋"/>
          <w:color w:val="auto"/>
          <w:sz w:val="24"/>
          <w:szCs w:val="24"/>
          <w:highlight w:val="none"/>
          <w:lang w:eastAsia="zh-CN"/>
        </w:rPr>
        <w:t>后</w:t>
      </w:r>
      <w:r>
        <w:rPr>
          <w:rFonts w:hint="eastAsia" w:ascii="仿宋" w:hAnsi="仿宋" w:eastAsia="仿宋" w:cs="仿宋"/>
          <w:color w:val="auto"/>
          <w:sz w:val="24"/>
          <w:szCs w:val="24"/>
          <w:highlight w:val="none"/>
          <w:u w:val="single"/>
          <w:lang w:eastAsia="zh-CN"/>
        </w:rPr>
        <w:t xml:space="preserve"> 3 </w:t>
      </w:r>
      <w:r>
        <w:rPr>
          <w:rFonts w:hint="eastAsia" w:ascii="仿宋" w:hAnsi="仿宋" w:eastAsia="仿宋" w:cs="仿宋"/>
          <w:color w:val="auto"/>
          <w:sz w:val="24"/>
          <w:szCs w:val="24"/>
          <w:highlight w:val="none"/>
          <w:lang w:eastAsia="zh-CN"/>
        </w:rPr>
        <w:t>日内，甲方无故不进行验收工作并已使用货物的，视同已安装调试完成并验收合格；</w:t>
      </w:r>
    </w:p>
    <w:p>
      <w:pPr>
        <w:pStyle w:val="64"/>
        <w:spacing w:line="360" w:lineRule="auto"/>
        <w:ind w:firstLine="422" w:firstLineChars="176"/>
        <w:rPr>
          <w:rFonts w:hint="eastAsia" w:ascii="仿宋" w:hAnsi="仿宋" w:eastAsia="仿宋" w:cs="仿宋"/>
          <w:lang w:eastAsia="zh-CN"/>
        </w:rPr>
      </w:pPr>
      <w:r>
        <w:rPr>
          <w:rFonts w:hint="eastAsia" w:ascii="仿宋" w:hAnsi="仿宋" w:eastAsia="仿宋" w:cs="仿宋"/>
          <w:color w:val="auto"/>
          <w:sz w:val="24"/>
          <w:szCs w:val="24"/>
          <w:highlight w:val="none"/>
          <w:lang w:eastAsia="zh-CN"/>
        </w:rPr>
        <w:t>（5）乙方不能完整交付货物及本条第一款规定的单证和工具的，必须负责补齐，否则视为未按合同约定交货</w:t>
      </w:r>
      <w:r>
        <w:rPr>
          <w:rFonts w:hint="eastAsia" w:ascii="仿宋" w:hAnsi="仿宋" w:eastAsia="仿宋" w:cs="仿宋"/>
          <w:lang w:eastAsia="zh-CN"/>
        </w:rPr>
        <w:t>。</w:t>
      </w:r>
    </w:p>
    <w:p>
      <w:pPr>
        <w:pStyle w:val="64"/>
        <w:spacing w:line="360" w:lineRule="auto"/>
        <w:ind w:firstLine="424" w:firstLineChars="176"/>
        <w:rPr>
          <w:rFonts w:hint="eastAsia" w:ascii="仿宋" w:hAnsi="仿宋" w:eastAsia="仿宋" w:cs="仿宋"/>
          <w:b/>
        </w:rPr>
      </w:pPr>
      <w:r>
        <w:rPr>
          <w:rFonts w:hint="eastAsia" w:ascii="仿宋" w:hAnsi="仿宋" w:eastAsia="仿宋" w:cs="仿宋"/>
          <w:b/>
        </w:rPr>
        <w:t>第九条 售后服务</w:t>
      </w:r>
    </w:p>
    <w:p>
      <w:pPr>
        <w:pStyle w:val="64"/>
        <w:spacing w:line="360" w:lineRule="auto"/>
        <w:ind w:firstLine="422" w:firstLineChars="176"/>
        <w:rPr>
          <w:rFonts w:hint="eastAsia" w:ascii="仿宋" w:hAnsi="仿宋" w:eastAsia="仿宋" w:cs="仿宋"/>
          <w:kern w:val="0"/>
        </w:rPr>
      </w:pPr>
      <w:r>
        <w:rPr>
          <w:rFonts w:hint="eastAsia" w:ascii="仿宋" w:hAnsi="仿宋" w:eastAsia="仿宋" w:cs="仿宋"/>
          <w:kern w:val="0"/>
          <w:lang w:val="en-US" w:eastAsia="zh-CN"/>
        </w:rPr>
        <w:t>1、</w:t>
      </w:r>
      <w:r>
        <w:rPr>
          <w:rFonts w:hint="eastAsia" w:ascii="仿宋" w:hAnsi="仿宋" w:eastAsia="仿宋" w:cs="仿宋"/>
          <w:kern w:val="0"/>
        </w:rPr>
        <w:t>乙方应按照国家有关法律法规和“三包”规定以及竞争性谈判文件要求和</w:t>
      </w:r>
      <w:r>
        <w:rPr>
          <w:rFonts w:hint="eastAsia" w:ascii="仿宋" w:hAnsi="仿宋" w:eastAsia="仿宋" w:cs="仿宋"/>
          <w:kern w:val="0"/>
          <w:lang w:eastAsia="zh-CN"/>
        </w:rPr>
        <w:t>竞争性谈判响应文件</w:t>
      </w:r>
      <w:r>
        <w:rPr>
          <w:rFonts w:hint="eastAsia" w:ascii="仿宋" w:hAnsi="仿宋" w:eastAsia="仿宋" w:cs="仿宋"/>
          <w:kern w:val="0"/>
        </w:rPr>
        <w:t>的“服务承诺”提供服务。</w:t>
      </w:r>
    </w:p>
    <w:p>
      <w:pPr>
        <w:pStyle w:val="64"/>
        <w:spacing w:line="360" w:lineRule="auto"/>
        <w:ind w:firstLine="422" w:firstLineChars="176"/>
        <w:rPr>
          <w:rFonts w:hint="eastAsia" w:ascii="仿宋" w:hAnsi="仿宋" w:eastAsia="仿宋" w:cs="仿宋"/>
          <w:kern w:val="0"/>
        </w:rPr>
      </w:pPr>
      <w:r>
        <w:rPr>
          <w:rFonts w:hint="eastAsia" w:ascii="仿宋" w:hAnsi="仿宋" w:eastAsia="仿宋" w:cs="仿宋"/>
          <w:kern w:val="0"/>
          <w:lang w:val="en-US" w:eastAsia="zh-CN"/>
        </w:rPr>
        <w:t>2、在质保期内，出现问题随时协调解决，超过1天未能解决时，应当及时配备备用设备，以确保工作正常进行</w:t>
      </w:r>
      <w:r>
        <w:rPr>
          <w:rFonts w:hint="eastAsia" w:ascii="仿宋" w:hAnsi="仿宋" w:eastAsia="仿宋" w:cs="仿宋"/>
          <w:kern w:val="0"/>
        </w:rPr>
        <w:t>。</w:t>
      </w:r>
    </w:p>
    <w:p>
      <w:pPr>
        <w:pStyle w:val="64"/>
        <w:spacing w:line="360" w:lineRule="auto"/>
        <w:ind w:firstLine="424" w:firstLineChars="176"/>
        <w:rPr>
          <w:rFonts w:hint="eastAsia" w:ascii="仿宋" w:hAnsi="仿宋" w:eastAsia="仿宋" w:cs="仿宋"/>
        </w:rPr>
      </w:pPr>
      <w:r>
        <w:rPr>
          <w:rFonts w:hint="eastAsia" w:ascii="仿宋" w:hAnsi="仿宋" w:eastAsia="仿宋" w:cs="仿宋"/>
          <w:b/>
        </w:rPr>
        <w:t>第十条 违约责任</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1、甲方违约责任</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kern w:val="0"/>
          <w:szCs w:val="22"/>
          <w:highlight w:val="none"/>
          <w:lang w:val="en-US" w:eastAsia="zh-CN"/>
        </w:rPr>
      </w:pPr>
      <w:r>
        <w:rPr>
          <w:rFonts w:hint="eastAsia" w:ascii="仿宋" w:hAnsi="仿宋" w:eastAsia="仿宋" w:cs="仿宋"/>
          <w:color w:val="auto"/>
          <w:kern w:val="0"/>
          <w:szCs w:val="22"/>
          <w:highlight w:val="none"/>
          <w:lang w:val="en-US" w:eastAsia="zh-CN"/>
        </w:rPr>
        <w:t>甲方无正当理由拒收货物的，甲方应偿付合同总价</w:t>
      </w:r>
      <w:r>
        <w:rPr>
          <w:rFonts w:hint="eastAsia" w:ascii="仿宋" w:hAnsi="仿宋" w:eastAsia="仿宋" w:cs="仿宋"/>
          <w:color w:val="auto"/>
          <w:kern w:val="0"/>
          <w:szCs w:val="22"/>
          <w:highlight w:val="none"/>
          <w:u w:val="single"/>
          <w:lang w:val="en-US" w:eastAsia="zh-CN"/>
        </w:rPr>
        <w:t xml:space="preserve"> 5 %</w:t>
      </w:r>
      <w:r>
        <w:rPr>
          <w:rFonts w:hint="eastAsia" w:ascii="仿宋" w:hAnsi="仿宋" w:eastAsia="仿宋" w:cs="仿宋"/>
          <w:color w:val="auto"/>
          <w:kern w:val="0"/>
          <w:szCs w:val="22"/>
          <w:highlight w:val="none"/>
          <w:lang w:val="en-US" w:eastAsia="zh-CN"/>
        </w:rPr>
        <w:t>的违约金；</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2、乙方违约责任</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（1）如乙方不能交付货物，乙方应向甲方支付合同总价</w:t>
      </w:r>
      <w:r>
        <w:rPr>
          <w:rFonts w:hint="eastAsia" w:ascii="仿宋" w:hAnsi="仿宋" w:eastAsia="仿宋" w:cs="仿宋"/>
          <w:color w:val="auto"/>
          <w:sz w:val="24"/>
          <w:szCs w:val="24"/>
          <w:highlight w:val="none"/>
          <w:u w:val="single"/>
          <w:lang w:eastAsia="zh-CN"/>
        </w:rPr>
        <w:t xml:space="preserve"> 5 </w:t>
      </w:r>
      <w:r>
        <w:rPr>
          <w:rFonts w:hint="eastAsia" w:ascii="仿宋" w:hAnsi="仿宋" w:eastAsia="仿宋" w:cs="仿宋"/>
          <w:color w:val="auto"/>
          <w:sz w:val="24"/>
          <w:szCs w:val="24"/>
          <w:highlight w:val="none"/>
          <w:lang w:eastAsia="zh-CN"/>
        </w:rPr>
        <w:t>%的违约金；</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（2）乙方逾期交付货物的，每逾期1天，乙方向甲方偿付逾期交货部分货款总额的</w:t>
      </w:r>
      <w:r>
        <w:rPr>
          <w:rFonts w:hint="eastAsia" w:ascii="仿宋" w:hAnsi="仿宋" w:eastAsia="仿宋" w:cs="仿宋"/>
          <w:color w:val="auto"/>
          <w:sz w:val="24"/>
          <w:szCs w:val="24"/>
          <w:highlight w:val="none"/>
          <w:u w:val="single"/>
          <w:lang w:eastAsia="zh-CN"/>
        </w:rPr>
        <w:t xml:space="preserve"> 5 </w:t>
      </w:r>
      <w:r>
        <w:rPr>
          <w:rFonts w:hint="eastAsia" w:ascii="仿宋" w:hAnsi="仿宋" w:eastAsia="仿宋" w:cs="仿宋"/>
          <w:color w:val="auto"/>
          <w:sz w:val="24"/>
          <w:szCs w:val="24"/>
          <w:highlight w:val="none"/>
          <w:lang w:eastAsia="zh-CN"/>
        </w:rPr>
        <w:t>‰的滞纳金。如乙方逾期交货达</w:t>
      </w:r>
      <w:r>
        <w:rPr>
          <w:rFonts w:hint="eastAsia" w:ascii="仿宋" w:hAnsi="仿宋" w:eastAsia="仿宋" w:cs="仿宋"/>
          <w:color w:val="auto"/>
          <w:sz w:val="24"/>
          <w:szCs w:val="24"/>
          <w:highlight w:val="none"/>
          <w:u w:val="single"/>
          <w:lang w:val="en-US" w:eastAsia="zh-CN"/>
        </w:rPr>
        <w:t xml:space="preserve"> 10 </w:t>
      </w:r>
      <w:r>
        <w:rPr>
          <w:rFonts w:hint="eastAsia" w:ascii="仿宋" w:hAnsi="仿宋" w:eastAsia="仿宋" w:cs="仿宋"/>
          <w:color w:val="auto"/>
          <w:sz w:val="24"/>
          <w:szCs w:val="24"/>
          <w:highlight w:val="none"/>
          <w:lang w:eastAsia="zh-CN"/>
        </w:rPr>
        <w:t>天，甲方有权解除合同，解除合同的通知自到达乙方时生效；</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（3）乙方所交付的货物品种、型号、规格不符合合同规定的，甲方有权拒收。甲方拒收的，乙方应向甲方支付货款总额</w:t>
      </w:r>
      <w:r>
        <w:rPr>
          <w:rFonts w:hint="eastAsia" w:ascii="仿宋" w:hAnsi="仿宋" w:eastAsia="仿宋" w:cs="仿宋"/>
          <w:color w:val="auto"/>
          <w:sz w:val="24"/>
          <w:szCs w:val="24"/>
          <w:highlight w:val="none"/>
          <w:u w:val="single"/>
          <w:lang w:eastAsia="zh-CN"/>
        </w:rPr>
        <w:t xml:space="preserve"> 5 </w:t>
      </w:r>
      <w:r>
        <w:rPr>
          <w:rFonts w:hint="eastAsia" w:ascii="仿宋" w:hAnsi="仿宋" w:eastAsia="仿宋" w:cs="仿宋"/>
          <w:color w:val="auto"/>
          <w:sz w:val="24"/>
          <w:szCs w:val="24"/>
          <w:highlight w:val="none"/>
          <w:lang w:eastAsia="zh-CN"/>
        </w:rPr>
        <w:t>%的违约金；</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（4）乙方货物经甲方送交具有法定资格条件的质量技术监督机构检测后，如检测结果认定货物质量不符合本合同规定标准的，则视为乙方没有按时交货而违约，乙方须在 3 天内无条件更换合格的货物，如逾期不能更换合格的货物，甲方有权终止本合同，乙方应另向甲方支付货款总额的</w:t>
      </w:r>
      <w:r>
        <w:rPr>
          <w:rFonts w:hint="eastAsia" w:ascii="仿宋" w:hAnsi="仿宋" w:eastAsia="仿宋" w:cs="仿宋"/>
          <w:color w:val="auto"/>
          <w:sz w:val="24"/>
          <w:szCs w:val="24"/>
          <w:highlight w:val="none"/>
          <w:u w:val="single"/>
          <w:lang w:eastAsia="zh-CN"/>
        </w:rPr>
        <w:t xml:space="preserve"> 5 </w:t>
      </w:r>
      <w:r>
        <w:rPr>
          <w:rFonts w:hint="eastAsia" w:ascii="仿宋" w:hAnsi="仿宋" w:eastAsia="仿宋" w:cs="仿宋"/>
          <w:color w:val="auto"/>
          <w:sz w:val="24"/>
          <w:szCs w:val="24"/>
          <w:highlight w:val="none"/>
          <w:lang w:eastAsia="zh-CN"/>
        </w:rPr>
        <w:t>%的违约金；</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在乙方承诺的或国家规定的质量保证期内（取两者中最长的期限），如经乙方两次维修或更换，货物仍不能达到合同约定的质量标准，甲方有权退货，乙方应退回全部货款，并按第3款处理，同时，乙方还须赔偿甲方因此遭受的损失；</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）乙方未按本合同的规定和“服务承诺”提供伴随服务/售后服务的，应按合同总价款的</w:t>
      </w:r>
      <w:r>
        <w:rPr>
          <w:rFonts w:hint="eastAsia" w:ascii="仿宋" w:hAnsi="仿宋" w:eastAsia="仿宋" w:cs="仿宋"/>
          <w:color w:val="auto"/>
          <w:sz w:val="24"/>
          <w:szCs w:val="24"/>
          <w:highlight w:val="none"/>
          <w:u w:val="single"/>
          <w:lang w:eastAsia="zh-CN"/>
        </w:rPr>
        <w:t xml:space="preserve"> 5 </w:t>
      </w:r>
      <w:r>
        <w:rPr>
          <w:rFonts w:hint="eastAsia" w:ascii="仿宋" w:hAnsi="仿宋" w:eastAsia="仿宋" w:cs="仿宋"/>
          <w:color w:val="auto"/>
          <w:sz w:val="24"/>
          <w:szCs w:val="24"/>
          <w:highlight w:val="none"/>
          <w:lang w:eastAsia="zh-CN"/>
        </w:rPr>
        <w:t>%向甲方承担违约责任；</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）乙方在承担上述1-7款一项或多项违约责任后，仍应继续履行合同规定的义务（甲方解除合同的除外）。甲方未能及时追究乙方的任何一项违约责任并不表明甲方放弃追究乙方该项或其他违约责任；</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）乙方偿付的违约金不足以弥补甲方损失的，还应按甲方损失尚未弥补的部分，支付赔偿金给甲方。</w:t>
      </w:r>
    </w:p>
    <w:p>
      <w:pPr>
        <w:pStyle w:val="64"/>
        <w:spacing w:line="360" w:lineRule="auto"/>
        <w:ind w:firstLine="424" w:firstLineChars="176"/>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第十</w:t>
      </w: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lang w:eastAsia="zh-CN"/>
        </w:rPr>
        <w:t>条 合同的变更和终止</w:t>
      </w:r>
    </w:p>
    <w:p>
      <w:pPr>
        <w:pStyle w:val="64"/>
        <w:spacing w:line="360" w:lineRule="auto"/>
        <w:ind w:firstLine="422" w:firstLineChars="176"/>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除《中华人民共和国政府采购法》第49条、第50条第二款规定的情形外，本合同一经签订，甲乙双方不得擅自变更、中止或终止合同。</w:t>
      </w:r>
    </w:p>
    <w:p>
      <w:pPr>
        <w:pStyle w:val="64"/>
        <w:spacing w:line="360" w:lineRule="auto"/>
        <w:ind w:firstLine="424" w:firstLineChars="176"/>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第十</w:t>
      </w: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eastAsia="zh-CN"/>
        </w:rPr>
        <w:t>条 履约担保</w:t>
      </w:r>
    </w:p>
    <w:p>
      <w:pPr>
        <w:pStyle w:val="64"/>
        <w:spacing w:line="360" w:lineRule="auto"/>
        <w:ind w:firstLine="422" w:firstLineChars="176"/>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乙方是否提供履约担保：</w:t>
      </w:r>
      <w:r>
        <w:rPr>
          <w:rFonts w:hint="eastAsia" w:ascii="仿宋" w:hAnsi="仿宋" w:eastAsia="仿宋" w:cs="仿宋"/>
          <w:color w:val="auto"/>
          <w:sz w:val="24"/>
          <w:szCs w:val="24"/>
          <w:highlight w:val="none"/>
          <w:u w:val="single"/>
          <w:lang w:val="en-US" w:eastAsia="zh-CN"/>
        </w:rPr>
        <w:t xml:space="preserve">     /     </w:t>
      </w:r>
      <w:r>
        <w:rPr>
          <w:rFonts w:hint="eastAsia" w:ascii="仿宋" w:hAnsi="仿宋" w:eastAsia="仿宋" w:cs="仿宋"/>
          <w:color w:val="auto"/>
          <w:sz w:val="24"/>
          <w:szCs w:val="24"/>
          <w:highlight w:val="none"/>
          <w:lang w:val="en-US" w:eastAsia="zh-CN"/>
        </w:rPr>
        <w:t xml:space="preserve"> 。</w:t>
      </w:r>
    </w:p>
    <w:p>
      <w:pPr>
        <w:pStyle w:val="64"/>
        <w:spacing w:line="360" w:lineRule="auto"/>
        <w:ind w:firstLine="422" w:firstLineChars="176"/>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乙方提供履约担保的形式、金额及期限的：</w:t>
      </w:r>
      <w:r>
        <w:rPr>
          <w:rFonts w:hint="eastAsia" w:ascii="仿宋" w:hAnsi="仿宋" w:eastAsia="仿宋" w:cs="仿宋"/>
          <w:color w:val="auto"/>
          <w:sz w:val="24"/>
          <w:szCs w:val="24"/>
          <w:highlight w:val="none"/>
          <w:u w:val="single"/>
          <w:lang w:val="en-US" w:eastAsia="zh-CN"/>
        </w:rPr>
        <w:t xml:space="preserve">   /    </w:t>
      </w:r>
      <w:r>
        <w:rPr>
          <w:rFonts w:hint="eastAsia" w:ascii="仿宋" w:hAnsi="仿宋" w:eastAsia="仿宋" w:cs="仿宋"/>
          <w:color w:val="auto"/>
          <w:sz w:val="24"/>
          <w:szCs w:val="24"/>
          <w:highlight w:val="none"/>
          <w:lang w:val="en-US" w:eastAsia="zh-CN"/>
        </w:rPr>
        <w:t xml:space="preserve"> 。</w:t>
      </w:r>
    </w:p>
    <w:p>
      <w:pPr>
        <w:keepNext w:val="0"/>
        <w:keepLines w:val="0"/>
        <w:pageBreakBefore w:val="0"/>
        <w:widowControl/>
        <w:kinsoku/>
        <w:wordWrap/>
        <w:overflowPunct/>
        <w:topLinePunct w:val="0"/>
        <w:autoSpaceDE/>
        <w:autoSpaceDN/>
        <w:bidi w:val="0"/>
        <w:adjustRightInd/>
        <w:spacing w:line="360" w:lineRule="auto"/>
        <w:ind w:firstLine="424" w:firstLineChars="176"/>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第十</w:t>
      </w:r>
      <w:r>
        <w:rPr>
          <w:rFonts w:hint="eastAsia" w:ascii="仿宋" w:hAnsi="仿宋" w:eastAsia="仿宋" w:cs="仿宋"/>
          <w:b/>
          <w:color w:val="auto"/>
          <w:kern w:val="0"/>
          <w:sz w:val="24"/>
          <w:highlight w:val="none"/>
          <w:lang w:val="en-US" w:eastAsia="zh-CN"/>
        </w:rPr>
        <w:t>三</w:t>
      </w:r>
      <w:r>
        <w:rPr>
          <w:rFonts w:hint="eastAsia" w:ascii="仿宋" w:hAnsi="仿宋" w:eastAsia="仿宋" w:cs="仿宋"/>
          <w:b/>
          <w:color w:val="auto"/>
          <w:kern w:val="0"/>
          <w:sz w:val="24"/>
          <w:highlight w:val="none"/>
        </w:rPr>
        <w:t>条</w:t>
      </w:r>
      <w:r>
        <w:rPr>
          <w:rFonts w:hint="eastAsia" w:ascii="仿宋" w:hAnsi="仿宋" w:eastAsia="仿宋" w:cs="仿宋"/>
          <w:b/>
          <w:color w:val="auto"/>
          <w:kern w:val="0"/>
          <w:sz w:val="24"/>
          <w:highlight w:val="none"/>
          <w:lang w:val="en-US" w:eastAsia="zh-CN"/>
        </w:rPr>
        <w:t xml:space="preserve">  </w:t>
      </w:r>
      <w:r>
        <w:rPr>
          <w:rFonts w:hint="eastAsia" w:ascii="仿宋" w:hAnsi="仿宋" w:eastAsia="仿宋" w:cs="仿宋"/>
          <w:b/>
          <w:color w:val="auto"/>
          <w:kern w:val="0"/>
          <w:sz w:val="24"/>
          <w:highlight w:val="none"/>
        </w:rPr>
        <w:t>争议的解决</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1、因货物的质量问题发生争议，由质量技术监督部门或其指定的质量鉴定机构进行质量鉴定。货物符合标准的，鉴定费由甲方承担；货物不符合质量标准的，鉴定费由乙方承担。</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2、因履行本合同引起的或与本合同有关的争议，甲、乙双方应首先通过友好协商解决，如果协商不成，则采取以下第2种方式解决争议：</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（1）向甲方所在地有管辖权的人民法院提起诉讼；</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（2）向</w:t>
      </w:r>
      <w:r>
        <w:rPr>
          <w:rFonts w:hint="eastAsia" w:ascii="仿宋" w:hAnsi="仿宋" w:eastAsia="仿宋" w:cs="仿宋"/>
          <w:color w:val="auto"/>
          <w:highlight w:val="none"/>
          <w:lang w:val="en-US" w:eastAsia="zh-CN"/>
        </w:rPr>
        <w:t xml:space="preserve"> 西安 </w:t>
      </w:r>
      <w:r>
        <w:rPr>
          <w:rFonts w:hint="eastAsia" w:ascii="仿宋" w:hAnsi="仿宋" w:eastAsia="仿宋" w:cs="仿宋"/>
          <w:color w:val="auto"/>
          <w:highlight w:val="none"/>
        </w:rPr>
        <w:t>仲裁委员会按其仲裁规则申请仲裁。</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3．在仲裁期间，本合同应继续履行。</w:t>
      </w:r>
    </w:p>
    <w:p>
      <w:pPr>
        <w:pStyle w:val="64"/>
        <w:keepNext w:val="0"/>
        <w:keepLines w:val="0"/>
        <w:pageBreakBefore w:val="0"/>
        <w:kinsoku/>
        <w:wordWrap/>
        <w:overflowPunct/>
        <w:topLinePunct w:val="0"/>
        <w:autoSpaceDE/>
        <w:autoSpaceDN/>
        <w:bidi w:val="0"/>
        <w:adjustRightInd/>
        <w:spacing w:line="360" w:lineRule="auto"/>
        <w:ind w:firstLine="424" w:firstLineChars="176"/>
        <w:rPr>
          <w:rFonts w:hint="eastAsia" w:ascii="仿宋" w:hAnsi="仿宋" w:eastAsia="仿宋" w:cs="仿宋"/>
          <w:b/>
          <w:bCs/>
          <w:color w:val="auto"/>
          <w:highlight w:val="none"/>
        </w:rPr>
      </w:pPr>
      <w:r>
        <w:rPr>
          <w:rFonts w:hint="eastAsia" w:ascii="仿宋" w:hAnsi="仿宋" w:eastAsia="仿宋" w:cs="仿宋"/>
          <w:b/>
          <w:bCs/>
          <w:color w:val="auto"/>
          <w:highlight w:val="none"/>
        </w:rPr>
        <w:t>第十</w:t>
      </w:r>
      <w:r>
        <w:rPr>
          <w:rFonts w:hint="eastAsia" w:ascii="仿宋" w:hAnsi="仿宋" w:eastAsia="仿宋" w:cs="仿宋"/>
          <w:b/>
          <w:bCs/>
          <w:color w:val="auto"/>
          <w:highlight w:val="none"/>
          <w:lang w:val="en-US" w:eastAsia="zh-CN"/>
        </w:rPr>
        <w:t>四</w:t>
      </w:r>
      <w:r>
        <w:rPr>
          <w:rFonts w:hint="eastAsia" w:ascii="仿宋" w:hAnsi="仿宋" w:eastAsia="仿宋" w:cs="仿宋"/>
          <w:b/>
          <w:bCs/>
          <w:color w:val="auto"/>
          <w:highlight w:val="none"/>
        </w:rPr>
        <w:t>条 合同文件</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详细技术说明及其他有关合同项目的特定信息由合同附件予以说明，下列文件构成本合同的组成部分，应该认为是一个整体，彼此相互解释，相互补充。组成合同的多个文件的优先支配地位的次序如下：</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1、本合同书</w:t>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成交</w:t>
      </w:r>
      <w:r>
        <w:rPr>
          <w:rFonts w:hint="eastAsia" w:ascii="仿宋" w:hAnsi="仿宋" w:eastAsia="仿宋" w:cs="仿宋"/>
          <w:color w:val="auto"/>
          <w:highlight w:val="none"/>
        </w:rPr>
        <w:t>通知书</w:t>
      </w:r>
      <w:r>
        <w:rPr>
          <w:rFonts w:hint="eastAsia" w:ascii="仿宋" w:hAnsi="仿宋" w:eastAsia="仿宋" w:cs="仿宋"/>
          <w:color w:val="auto"/>
          <w:highlight w:val="none"/>
        </w:rPr>
        <w:tab/>
      </w:r>
    </w:p>
    <w:p>
      <w:pPr>
        <w:pStyle w:val="64"/>
        <w:keepNext w:val="0"/>
        <w:keepLines w:val="0"/>
        <w:pageBreakBefore w:val="0"/>
        <w:kinsoku/>
        <w:wordWrap/>
        <w:overflowPunct/>
        <w:topLinePunct w:val="0"/>
        <w:autoSpaceDE/>
        <w:autoSpaceDN/>
        <w:bidi w:val="0"/>
        <w:adjustRightInd/>
        <w:spacing w:line="360" w:lineRule="auto"/>
        <w:ind w:firstLine="422" w:firstLineChars="176"/>
        <w:rPr>
          <w:rFonts w:hint="eastAsia" w:ascii="仿宋" w:hAnsi="仿宋" w:eastAsia="仿宋" w:cs="仿宋"/>
          <w:color w:val="auto"/>
          <w:highlight w:val="none"/>
        </w:rPr>
      </w:pPr>
      <w:r>
        <w:rPr>
          <w:rFonts w:hint="eastAsia" w:ascii="仿宋" w:hAnsi="仿宋" w:eastAsia="仿宋" w:cs="仿宋"/>
          <w:color w:val="auto"/>
          <w:highlight w:val="none"/>
        </w:rPr>
        <w:t>3、协议</w:t>
      </w:r>
    </w:p>
    <w:p>
      <w:pPr>
        <w:keepNext w:val="0"/>
        <w:keepLines w:val="0"/>
        <w:pageBreakBefore w:val="0"/>
        <w:kinsoku/>
        <w:wordWrap/>
        <w:overflowPunct/>
        <w:topLinePunct w:val="0"/>
        <w:autoSpaceDE/>
        <w:autoSpaceDN/>
        <w:bidi w:val="0"/>
        <w:adjustRightInd/>
        <w:snapToGrid w:val="0"/>
        <w:spacing w:line="360" w:lineRule="auto"/>
        <w:ind w:firstLine="422" w:firstLineChars="176"/>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竞争性谈判</w:t>
      </w:r>
      <w:r>
        <w:rPr>
          <w:rFonts w:hint="eastAsia" w:ascii="仿宋" w:hAnsi="仿宋" w:eastAsia="仿宋" w:cs="仿宋"/>
          <w:color w:val="auto"/>
          <w:sz w:val="24"/>
          <w:highlight w:val="none"/>
        </w:rPr>
        <w:t>文件(含澄清文件)</w:t>
      </w:r>
    </w:p>
    <w:p>
      <w:pPr>
        <w:keepNext w:val="0"/>
        <w:keepLines w:val="0"/>
        <w:pageBreakBefore w:val="0"/>
        <w:kinsoku/>
        <w:wordWrap/>
        <w:overflowPunct/>
        <w:topLinePunct w:val="0"/>
        <w:autoSpaceDE/>
        <w:autoSpaceDN/>
        <w:bidi w:val="0"/>
        <w:adjustRightInd/>
        <w:snapToGrid w:val="0"/>
        <w:spacing w:line="360" w:lineRule="auto"/>
        <w:ind w:firstLine="422" w:firstLineChars="176"/>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竞争性谈判响应</w:t>
      </w:r>
      <w:r>
        <w:rPr>
          <w:rFonts w:hint="eastAsia" w:ascii="仿宋" w:hAnsi="仿宋" w:eastAsia="仿宋" w:cs="仿宋"/>
          <w:color w:val="auto"/>
          <w:sz w:val="24"/>
          <w:highlight w:val="none"/>
        </w:rPr>
        <w:t>文件</w:t>
      </w:r>
    </w:p>
    <w:p>
      <w:pPr>
        <w:keepNext w:val="0"/>
        <w:keepLines w:val="0"/>
        <w:pageBreakBefore w:val="0"/>
        <w:kinsoku/>
        <w:wordWrap/>
        <w:overflowPunct/>
        <w:topLinePunct w:val="0"/>
        <w:autoSpaceDE/>
        <w:autoSpaceDN/>
        <w:bidi w:val="0"/>
        <w:adjustRightInd/>
        <w:snapToGrid w:val="0"/>
        <w:spacing w:line="360" w:lineRule="auto"/>
        <w:ind w:firstLine="424" w:firstLineChars="176"/>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第十</w:t>
      </w:r>
      <w:r>
        <w:rPr>
          <w:rFonts w:hint="eastAsia" w:ascii="仿宋" w:hAnsi="仿宋" w:eastAsia="仿宋" w:cs="仿宋"/>
          <w:b/>
          <w:color w:val="auto"/>
          <w:sz w:val="24"/>
          <w:highlight w:val="none"/>
          <w:lang w:val="en-US" w:eastAsia="zh-CN"/>
        </w:rPr>
        <w:t>五</w:t>
      </w:r>
      <w:r>
        <w:rPr>
          <w:rFonts w:hint="eastAsia" w:ascii="仿宋" w:hAnsi="仿宋" w:eastAsia="仿宋" w:cs="仿宋"/>
          <w:b/>
          <w:color w:val="auto"/>
          <w:sz w:val="24"/>
          <w:highlight w:val="none"/>
        </w:rPr>
        <w:t xml:space="preserve">条 </w:t>
      </w:r>
      <w:r>
        <w:rPr>
          <w:rFonts w:hint="eastAsia" w:ascii="仿宋" w:hAnsi="仿宋" w:eastAsia="仿宋" w:cs="仿宋"/>
          <w:b/>
          <w:color w:val="auto"/>
          <w:kern w:val="0"/>
          <w:sz w:val="24"/>
          <w:highlight w:val="none"/>
        </w:rPr>
        <w:t>合同生效及其他</w:t>
      </w:r>
    </w:p>
    <w:p>
      <w:pPr>
        <w:keepNext w:val="0"/>
        <w:keepLines w:val="0"/>
        <w:pageBreakBefore w:val="0"/>
        <w:kinsoku/>
        <w:wordWrap/>
        <w:overflowPunct/>
        <w:topLinePunct w:val="0"/>
        <w:autoSpaceDE/>
        <w:autoSpaceDN/>
        <w:bidi w:val="0"/>
        <w:adjustRightInd/>
        <w:snapToGrid w:val="0"/>
        <w:spacing w:line="360" w:lineRule="auto"/>
        <w:ind w:firstLine="422" w:firstLineChars="176"/>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sz w:val="24"/>
          <w:highlight w:val="none"/>
        </w:rPr>
        <w:t>如有未尽事宜，由双方依法订立补充合同。</w:t>
      </w:r>
    </w:p>
    <w:p>
      <w:pPr>
        <w:keepNext w:val="0"/>
        <w:keepLines w:val="0"/>
        <w:pageBreakBefore w:val="0"/>
        <w:kinsoku/>
        <w:wordWrap/>
        <w:overflowPunct/>
        <w:topLinePunct w:val="0"/>
        <w:autoSpaceDE/>
        <w:autoSpaceDN/>
        <w:bidi w:val="0"/>
        <w:adjustRightInd/>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2、本合同自签订之日起生效。</w:t>
      </w:r>
    </w:p>
    <w:p>
      <w:pPr>
        <w:spacing w:line="360" w:lineRule="auto"/>
        <w:ind w:firstLine="480" w:firstLineChars="200"/>
        <w:rPr>
          <w:rFonts w:hint="eastAsia" w:ascii="仿宋" w:hAnsi="仿宋" w:eastAsia="仿宋" w:cs="仿宋"/>
          <w:color w:val="auto"/>
        </w:rPr>
      </w:pPr>
      <w:r>
        <w:rPr>
          <w:rFonts w:hint="eastAsia" w:ascii="仿宋" w:hAnsi="仿宋" w:eastAsia="仿宋" w:cs="仿宋"/>
          <w:color w:val="auto"/>
          <w:kern w:val="0"/>
          <w:sz w:val="24"/>
          <w:highlight w:val="none"/>
        </w:rPr>
        <w:t>3、本合同一式___份，具有同等法律效力，甲乙双方各执____份，___份报送政府采购监督管理部门备案，一份采购代理机构存档</w:t>
      </w:r>
      <w:r>
        <w:rPr>
          <w:rFonts w:hint="eastAsia" w:ascii="仿宋" w:hAnsi="仿宋" w:eastAsia="仿宋" w:cs="仿宋"/>
          <w:bCs/>
          <w:color w:val="auto"/>
          <w:sz w:val="24"/>
          <w:szCs w:val="22"/>
        </w:rPr>
        <w:t>。</w:t>
      </w:r>
    </w:p>
    <w:p>
      <w:pPr>
        <w:widowControl/>
        <w:spacing w:line="500" w:lineRule="exact"/>
        <w:ind w:right="-195" w:rightChars="-93"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（以下无正文）</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甲方名称：（盖章）                     乙方名称：（盖章）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法定代表人：（签字）　　　　          法定代表人：（签字）</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委托代理人：（签字）　　　   　       委托代理人：（签字）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邮政编码：        </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邮政编码：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地</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址</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　　话：</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电　　话：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传　　真：</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传　　真：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开户银行：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银行帐号：   </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银行帐号：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纳税人识别号：</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纳税人识别号： </w:t>
      </w:r>
    </w:p>
    <w:p>
      <w:pPr>
        <w:widowControl/>
        <w:spacing w:line="500" w:lineRule="exact"/>
        <w:ind w:right="-195" w:rightChars="-93"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联系人：       </w:t>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ab/>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联系人：</w:t>
      </w:r>
    </w:p>
    <w:p>
      <w:pPr>
        <w:pStyle w:val="17"/>
        <w:pageBreakBefore w:val="0"/>
        <w:widowControl w:val="0"/>
        <w:kinsoku/>
        <w:wordWrap w:val="0"/>
        <w:overflowPunct/>
        <w:topLinePunct w:val="0"/>
        <w:autoSpaceDE w:val="0"/>
        <w:autoSpaceDN w:val="0"/>
        <w:bidi w:val="0"/>
        <w:spacing w:line="360" w:lineRule="auto"/>
        <w:ind w:firstLine="560" w:firstLineChars="200"/>
        <w:rPr>
          <w:rFonts w:hint="eastAsia" w:ascii="仿宋" w:hAnsi="仿宋" w:eastAsia="仿宋" w:cs="仿宋"/>
          <w:color w:val="auto"/>
          <w:kern w:val="0"/>
          <w:sz w:val="28"/>
          <w:szCs w:val="28"/>
          <w:highlight w:val="none"/>
        </w:rPr>
      </w:pPr>
    </w:p>
    <w:p>
      <w:pPr>
        <w:pStyle w:val="4"/>
        <w:pageBreakBefore w:val="0"/>
        <w:widowControl w:val="0"/>
        <w:kinsoku/>
        <w:wordWrap w:val="0"/>
        <w:overflowPunct/>
        <w:bidi w:val="0"/>
        <w:spacing w:before="240" w:after="240" w:line="520" w:lineRule="exact"/>
        <w:rPr>
          <w:rFonts w:hint="eastAsia" w:ascii="仿宋" w:hAnsi="仿宋" w:eastAsia="仿宋" w:cs="仿宋"/>
          <w:b/>
          <w:bCs/>
          <w:sz w:val="40"/>
          <w:szCs w:val="40"/>
          <w:highlight w:val="none"/>
          <w:lang w:val="en-US" w:eastAsia="zh-CN"/>
        </w:rPr>
      </w:pPr>
      <w:r>
        <w:rPr>
          <w:rFonts w:hint="eastAsia" w:ascii="仿宋" w:hAnsi="仿宋" w:eastAsia="仿宋" w:cs="仿宋"/>
          <w:color w:val="auto"/>
          <w:kern w:val="0"/>
          <w:sz w:val="28"/>
          <w:szCs w:val="28"/>
          <w:highlight w:val="none"/>
        </w:rPr>
        <w:br w:type="page"/>
      </w:r>
      <w:bookmarkStart w:id="56" w:name="_Toc17176"/>
      <w:bookmarkStart w:id="57" w:name="_Toc12291"/>
      <w:r>
        <w:rPr>
          <w:rFonts w:hint="eastAsia" w:ascii="仿宋" w:hAnsi="仿宋" w:eastAsia="仿宋" w:cs="仿宋"/>
          <w:b/>
          <w:bCs/>
          <w:sz w:val="40"/>
          <w:szCs w:val="40"/>
          <w:highlight w:val="none"/>
          <w:lang w:val="en-US" w:eastAsia="zh-CN"/>
        </w:rPr>
        <w:t>第六部分  竞争性谈判响应文件格式</w:t>
      </w:r>
      <w:bookmarkEnd w:id="55"/>
      <w:bookmarkEnd w:id="56"/>
      <w:bookmarkEnd w:id="57"/>
    </w:p>
    <w:p>
      <w:pPr>
        <w:pageBreakBefore w:val="0"/>
        <w:widowControl w:val="0"/>
        <w:kinsoku/>
        <w:wordWrap w:val="0"/>
        <w:overflowPunct/>
        <w:bidi w:val="0"/>
        <w:spacing w:line="520" w:lineRule="exact"/>
        <w:ind w:firstLine="2800" w:firstLineChars="1000"/>
        <w:rPr>
          <w:rFonts w:hint="eastAsia" w:ascii="仿宋" w:hAnsi="仿宋" w:eastAsia="仿宋" w:cs="仿宋"/>
          <w:sz w:val="28"/>
          <w:szCs w:val="28"/>
          <w:highlight w:val="none"/>
        </w:rPr>
      </w:pPr>
      <w:r>
        <w:rPr>
          <w:rFonts w:hint="eastAsia" w:ascii="仿宋" w:hAnsi="仿宋" w:eastAsia="仿宋" w:cs="仿宋"/>
          <w:sz w:val="28"/>
          <w:szCs w:val="28"/>
          <w:highlight w:val="none"/>
        </w:rPr>
        <w:t>竞争性谈判文件响应说明</w:t>
      </w:r>
    </w:p>
    <w:p>
      <w:pPr>
        <w:pageBreakBefore w:val="0"/>
        <w:widowControl w:val="0"/>
        <w:numPr>
          <w:ilvl w:val="0"/>
          <w:numId w:val="1"/>
        </w:numPr>
        <w:kinsoku/>
        <w:wordWrap w:val="0"/>
        <w:overflowPunct/>
        <w:bidi w:val="0"/>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供应商编制竞争性谈判响应文件前，请详细阅读竞争性谈判文件，根据陕西瑞琪工程咨询有限公司提供的竞争性谈判响应文件格式，理解文件中的每一项要求。</w:t>
      </w:r>
      <w:r>
        <w:rPr>
          <w:rFonts w:hint="eastAsia" w:ascii="仿宋" w:hAnsi="仿宋" w:eastAsia="仿宋" w:cs="仿宋"/>
          <w:sz w:val="28"/>
          <w:szCs w:val="28"/>
          <w:highlight w:val="none"/>
        </w:rPr>
        <w:cr/>
      </w:r>
      <w:r>
        <w:rPr>
          <w:rFonts w:hint="eastAsia" w:ascii="仿宋" w:hAnsi="仿宋" w:eastAsia="仿宋" w:cs="仿宋"/>
          <w:sz w:val="28"/>
          <w:szCs w:val="28"/>
          <w:highlight w:val="none"/>
        </w:rPr>
        <w:t xml:space="preserve">    2、竞争性谈判响应文件的编制应按照样本格式提供的内容，做出逐一明确的答复；供应商认为有必要，还可以做其它补充说明。</w:t>
      </w:r>
    </w:p>
    <w:p>
      <w:pPr>
        <w:pageBreakBefore w:val="0"/>
        <w:widowControl w:val="0"/>
        <w:kinsoku/>
        <w:wordWrap w:val="0"/>
        <w:overflowPunct/>
        <w:bidi w:val="0"/>
        <w:rPr>
          <w:rFonts w:hint="eastAsia" w:ascii="宋体" w:hAnsi="宋体" w:cs="宋体"/>
          <w:b/>
          <w:sz w:val="28"/>
          <w:szCs w:val="28"/>
          <w:highlight w:val="none"/>
        </w:rPr>
      </w:pPr>
      <w:r>
        <w:rPr>
          <w:rFonts w:hint="eastAsia" w:ascii="宋体" w:hAnsi="宋体" w:cs="宋体"/>
          <w:b/>
          <w:sz w:val="28"/>
          <w:szCs w:val="28"/>
          <w:highlight w:val="none"/>
        </w:rPr>
        <w:br w:type="page"/>
      </w:r>
    </w:p>
    <w:p>
      <w:pPr>
        <w:pageBreakBefore w:val="0"/>
        <w:widowControl w:val="0"/>
        <w:kinsoku/>
        <w:wordWrap w:val="0"/>
        <w:overflowPunct/>
        <w:bidi w:val="0"/>
        <w:rPr>
          <w:rFonts w:hint="eastAsia" w:ascii="仿宋" w:hAnsi="仿宋" w:eastAsia="仿宋" w:cs="仿宋"/>
          <w:sz w:val="28"/>
          <w:szCs w:val="28"/>
          <w:highlight w:val="none"/>
          <w:lang w:eastAsia="zh-CN"/>
        </w:rPr>
      </w:pPr>
      <w:r>
        <w:rPr>
          <w:rFonts w:hint="eastAsia" w:ascii="仿宋" w:hAnsi="仿宋" w:eastAsia="仿宋" w:cs="仿宋"/>
          <w:b/>
          <w:bCs/>
          <w:sz w:val="32"/>
          <w:szCs w:val="32"/>
          <w:highlight w:val="none"/>
        </w:rPr>
        <w:t>项目编号: </w:t>
      </w:r>
      <w:r>
        <w:rPr>
          <w:rFonts w:hint="eastAsia" w:ascii="仿宋" w:hAnsi="仿宋" w:eastAsia="仿宋" w:cs="仿宋"/>
          <w:b/>
          <w:bCs/>
          <w:sz w:val="32"/>
          <w:szCs w:val="32"/>
          <w:highlight w:val="none"/>
          <w:lang w:eastAsia="zh-CN"/>
        </w:rPr>
        <w:t>RQDL-2022-044</w:t>
      </w:r>
    </w:p>
    <w:p>
      <w:pPr>
        <w:pageBreakBefore w:val="0"/>
        <w:widowControl w:val="0"/>
        <w:kinsoku/>
        <w:wordWrap w:val="0"/>
        <w:overflowPunct/>
        <w:bidi w:val="0"/>
        <w:spacing w:line="520" w:lineRule="exact"/>
        <w:ind w:firstLine="562" w:firstLineChars="200"/>
        <w:rPr>
          <w:rFonts w:hint="eastAsia" w:ascii="仿宋" w:hAnsi="仿宋" w:eastAsia="仿宋" w:cs="仿宋"/>
          <w:b/>
          <w:sz w:val="28"/>
          <w:szCs w:val="28"/>
          <w:highlight w:val="none"/>
        </w:rPr>
      </w:pPr>
    </w:p>
    <w:p>
      <w:pPr>
        <w:pageBreakBefore w:val="0"/>
        <w:widowControl w:val="0"/>
        <w:shd w:val="clear" w:color="auto" w:fill="FFFFFF"/>
        <w:kinsoku/>
        <w:wordWrap w:val="0"/>
        <w:overflowPunct/>
        <w:bidi w:val="0"/>
        <w:spacing w:line="520" w:lineRule="exact"/>
        <w:ind w:firstLine="7871" w:firstLineChars="28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正/副本</w:t>
      </w:r>
    </w:p>
    <w:p>
      <w:pPr>
        <w:pageBreakBefore w:val="0"/>
        <w:widowControl w:val="0"/>
        <w:kinsoku/>
        <w:wordWrap w:val="0"/>
        <w:overflowPunct/>
        <w:bidi w:val="0"/>
        <w:spacing w:line="520" w:lineRule="exact"/>
        <w:rPr>
          <w:rFonts w:hint="eastAsia" w:ascii="仿宋" w:hAnsi="仿宋" w:eastAsia="仿宋" w:cs="仿宋"/>
          <w:b/>
          <w:sz w:val="52"/>
          <w:szCs w:val="52"/>
          <w:highlight w:val="none"/>
        </w:rPr>
      </w:pPr>
    </w:p>
    <w:p>
      <w:pPr>
        <w:pageBreakBefore w:val="0"/>
        <w:widowControl w:val="0"/>
        <w:kinsoku/>
        <w:wordWrap w:val="0"/>
        <w:overflowPunct/>
        <w:bidi w:val="0"/>
        <w:spacing w:line="520" w:lineRule="exact"/>
        <w:ind w:firstLine="1193" w:firstLineChars="297"/>
        <w:rPr>
          <w:rFonts w:hint="eastAsia" w:ascii="仿宋" w:hAnsi="仿宋" w:eastAsia="仿宋" w:cs="仿宋"/>
          <w:b/>
          <w:sz w:val="40"/>
          <w:szCs w:val="40"/>
          <w:highlight w:val="none"/>
        </w:rPr>
      </w:pPr>
    </w:p>
    <w:p>
      <w:pPr>
        <w:pStyle w:val="61"/>
        <w:pageBreakBefore w:val="0"/>
        <w:widowControl w:val="0"/>
        <w:kinsoku/>
        <w:wordWrap w:val="0"/>
        <w:overflowPunct/>
        <w:bidi w:val="0"/>
        <w:ind w:firstLine="0" w:firstLineChars="0"/>
        <w:jc w:val="center"/>
        <w:rPr>
          <w:rFonts w:hint="eastAsia" w:ascii="仿宋" w:hAnsi="仿宋" w:eastAsia="仿宋" w:cs="仿宋"/>
          <w:b/>
          <w:spacing w:val="20"/>
          <w:kern w:val="0"/>
          <w:sz w:val="48"/>
          <w:szCs w:val="72"/>
          <w:highlight w:val="none"/>
          <w:lang w:eastAsia="zh-CN"/>
        </w:rPr>
      </w:pPr>
      <w:r>
        <w:rPr>
          <w:rFonts w:hint="eastAsia" w:ascii="仿宋" w:hAnsi="仿宋" w:eastAsia="仿宋" w:cs="仿宋"/>
          <w:b/>
          <w:spacing w:val="20"/>
          <w:kern w:val="0"/>
          <w:sz w:val="48"/>
          <w:szCs w:val="72"/>
          <w:highlight w:val="none"/>
          <w:lang w:eastAsia="zh-CN"/>
        </w:rPr>
        <w:t>西安市公安局交通警察支队长安大队</w:t>
      </w:r>
    </w:p>
    <w:p>
      <w:pPr>
        <w:pStyle w:val="61"/>
        <w:pageBreakBefore w:val="0"/>
        <w:widowControl w:val="0"/>
        <w:kinsoku/>
        <w:wordWrap w:val="0"/>
        <w:overflowPunct/>
        <w:bidi w:val="0"/>
        <w:ind w:firstLine="0" w:firstLineChars="0"/>
        <w:jc w:val="center"/>
        <w:rPr>
          <w:rFonts w:hint="eastAsia" w:ascii="宋体" w:hAnsi="宋体" w:eastAsia="宋体" w:cs="宋体"/>
          <w:b/>
          <w:spacing w:val="20"/>
          <w:kern w:val="0"/>
          <w:sz w:val="24"/>
          <w:szCs w:val="36"/>
          <w:highlight w:val="none"/>
          <w:lang w:eastAsia="zh-CN"/>
        </w:rPr>
      </w:pPr>
      <w:r>
        <w:rPr>
          <w:rFonts w:hint="eastAsia" w:ascii="仿宋" w:hAnsi="仿宋" w:eastAsia="仿宋" w:cs="仿宋"/>
          <w:b/>
          <w:spacing w:val="20"/>
          <w:kern w:val="0"/>
          <w:sz w:val="48"/>
          <w:szCs w:val="72"/>
          <w:highlight w:val="none"/>
          <w:lang w:eastAsia="zh-CN"/>
        </w:rPr>
        <w:t>中省转移警用车辆采购</w:t>
      </w:r>
    </w:p>
    <w:p>
      <w:pPr>
        <w:pStyle w:val="61"/>
        <w:pageBreakBefore w:val="0"/>
        <w:widowControl w:val="0"/>
        <w:kinsoku/>
        <w:wordWrap w:val="0"/>
        <w:overflowPunct/>
        <w:bidi w:val="0"/>
        <w:ind w:firstLine="1044"/>
        <w:rPr>
          <w:rFonts w:hint="eastAsia" w:ascii="仿宋" w:hAnsi="仿宋" w:eastAsia="仿宋" w:cs="仿宋"/>
          <w:b/>
          <w:sz w:val="52"/>
          <w:szCs w:val="52"/>
          <w:highlight w:val="none"/>
        </w:rPr>
      </w:pPr>
    </w:p>
    <w:p>
      <w:pPr>
        <w:pStyle w:val="61"/>
        <w:pageBreakBefore w:val="0"/>
        <w:widowControl w:val="0"/>
        <w:kinsoku/>
        <w:wordWrap w:val="0"/>
        <w:overflowPunct/>
        <w:bidi w:val="0"/>
        <w:ind w:firstLine="1044"/>
        <w:rPr>
          <w:rFonts w:hint="eastAsia" w:ascii="仿宋" w:hAnsi="仿宋" w:eastAsia="仿宋" w:cs="仿宋"/>
          <w:b/>
          <w:sz w:val="52"/>
          <w:szCs w:val="52"/>
          <w:highlight w:val="none"/>
        </w:rPr>
      </w:pPr>
    </w:p>
    <w:p>
      <w:pPr>
        <w:pStyle w:val="61"/>
        <w:pageBreakBefore w:val="0"/>
        <w:widowControl w:val="0"/>
        <w:kinsoku/>
        <w:wordWrap w:val="0"/>
        <w:overflowPunct/>
        <w:bidi w:val="0"/>
        <w:ind w:firstLine="1044"/>
        <w:rPr>
          <w:rFonts w:hint="eastAsia" w:ascii="仿宋" w:hAnsi="仿宋" w:eastAsia="仿宋" w:cs="仿宋"/>
          <w:b/>
          <w:sz w:val="52"/>
          <w:szCs w:val="52"/>
          <w:highlight w:val="none"/>
        </w:rPr>
      </w:pPr>
    </w:p>
    <w:p>
      <w:pPr>
        <w:pageBreakBefore w:val="0"/>
        <w:widowControl w:val="0"/>
        <w:kinsoku/>
        <w:wordWrap w:val="0"/>
        <w:overflowPunct/>
        <w:bidi w:val="0"/>
        <w:spacing w:line="360" w:lineRule="auto"/>
        <w:jc w:val="center"/>
        <w:rPr>
          <w:rFonts w:hint="eastAsia" w:ascii="仿宋" w:hAnsi="仿宋" w:eastAsia="仿宋" w:cs="仿宋"/>
          <w:b/>
          <w:sz w:val="56"/>
          <w:szCs w:val="72"/>
          <w:highlight w:val="none"/>
        </w:rPr>
      </w:pPr>
      <w:r>
        <w:rPr>
          <w:rFonts w:hint="eastAsia" w:ascii="仿宋" w:hAnsi="仿宋" w:eastAsia="仿宋" w:cs="仿宋"/>
          <w:b/>
          <w:sz w:val="56"/>
          <w:szCs w:val="72"/>
          <w:highlight w:val="none"/>
        </w:rPr>
        <w:t>响应文件</w:t>
      </w:r>
    </w:p>
    <w:p>
      <w:pPr>
        <w:pageBreakBefore w:val="0"/>
        <w:widowControl w:val="0"/>
        <w:kinsoku/>
        <w:wordWrap w:val="0"/>
        <w:overflowPunct/>
        <w:bidi w:val="0"/>
        <w:spacing w:line="520" w:lineRule="exact"/>
        <w:rPr>
          <w:rFonts w:hint="eastAsia" w:ascii="宋体" w:hAnsi="宋体" w:cs="宋体"/>
          <w:sz w:val="32"/>
          <w:szCs w:val="32"/>
          <w:highlight w:val="none"/>
        </w:rPr>
      </w:pPr>
    </w:p>
    <w:p>
      <w:pPr>
        <w:pStyle w:val="3"/>
        <w:rPr>
          <w:rFonts w:hint="eastAsia"/>
        </w:rPr>
      </w:pPr>
    </w:p>
    <w:p>
      <w:pPr>
        <w:pageBreakBefore w:val="0"/>
        <w:widowControl w:val="0"/>
        <w:kinsoku/>
        <w:wordWrap w:val="0"/>
        <w:overflowPunct/>
        <w:bidi w:val="0"/>
        <w:spacing w:line="520" w:lineRule="exact"/>
        <w:rPr>
          <w:rFonts w:hint="eastAsia" w:ascii="宋体" w:hAnsi="宋体" w:cs="宋体"/>
          <w:sz w:val="32"/>
          <w:szCs w:val="32"/>
          <w:highlight w:val="none"/>
        </w:rPr>
      </w:pPr>
    </w:p>
    <w:p>
      <w:pPr>
        <w:pageBreakBefore w:val="0"/>
        <w:widowControl w:val="0"/>
        <w:kinsoku/>
        <w:wordWrap w:val="0"/>
        <w:overflowPunct/>
        <w:bidi w:val="0"/>
        <w:spacing w:line="520" w:lineRule="exact"/>
        <w:rPr>
          <w:rFonts w:hint="eastAsia" w:ascii="宋体" w:hAnsi="宋体" w:cs="宋体"/>
          <w:sz w:val="32"/>
          <w:szCs w:val="32"/>
          <w:highlight w:val="none"/>
        </w:rPr>
      </w:pPr>
    </w:p>
    <w:p>
      <w:pPr>
        <w:pageBreakBefore w:val="0"/>
        <w:widowControl w:val="0"/>
        <w:kinsoku/>
        <w:wordWrap w:val="0"/>
        <w:overflowPunct/>
        <w:bidi w:val="0"/>
        <w:spacing w:line="520" w:lineRule="exact"/>
        <w:ind w:firstLine="1940" w:firstLineChars="690"/>
        <w:rPr>
          <w:rFonts w:hint="eastAsia" w:ascii="仿宋" w:hAnsi="仿宋" w:eastAsia="仿宋" w:cs="仿宋"/>
          <w:b/>
          <w:sz w:val="28"/>
          <w:szCs w:val="28"/>
          <w:highlight w:val="none"/>
        </w:rPr>
      </w:pPr>
      <w:r>
        <w:rPr>
          <w:rFonts w:hint="eastAsia" w:ascii="仿宋" w:hAnsi="仿宋" w:eastAsia="仿宋" w:cs="仿宋"/>
          <w:b/>
          <w:sz w:val="28"/>
          <w:szCs w:val="28"/>
          <w:highlight w:val="none"/>
        </w:rPr>
        <w:t>供   应   商：</w:t>
      </w:r>
      <w:r>
        <w:rPr>
          <w:rFonts w:hint="eastAsia" w:ascii="仿宋" w:hAnsi="仿宋" w:eastAsia="仿宋" w:cs="仿宋"/>
          <w:b/>
          <w:i/>
          <w:sz w:val="28"/>
          <w:szCs w:val="28"/>
          <w:highlight w:val="none"/>
        </w:rPr>
        <w:t xml:space="preserve"> </w:t>
      </w:r>
      <w:r>
        <w:rPr>
          <w:rFonts w:hint="eastAsia" w:ascii="仿宋" w:hAnsi="仿宋" w:eastAsia="仿宋" w:cs="仿宋"/>
          <w:b/>
          <w:i/>
          <w:sz w:val="28"/>
          <w:szCs w:val="28"/>
          <w:highlight w:val="none"/>
          <w:u w:val="single"/>
        </w:rPr>
        <w:t xml:space="preserve"> </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 xml:space="preserve">（盖章）  </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 xml:space="preserve">  </w:t>
      </w:r>
    </w:p>
    <w:p>
      <w:pPr>
        <w:pageBreakBefore w:val="0"/>
        <w:widowControl w:val="0"/>
        <w:kinsoku/>
        <w:wordWrap w:val="0"/>
        <w:overflowPunct/>
        <w:bidi w:val="0"/>
        <w:spacing w:line="520" w:lineRule="exact"/>
        <w:ind w:firstLine="1940" w:firstLineChars="690"/>
        <w:rPr>
          <w:rFonts w:hint="eastAsia" w:ascii="仿宋" w:hAnsi="仿宋" w:eastAsia="仿宋" w:cs="仿宋"/>
          <w:b/>
          <w:bCs/>
          <w:sz w:val="28"/>
          <w:szCs w:val="28"/>
          <w:highlight w:val="none"/>
          <w:u w:val="single"/>
        </w:rPr>
      </w:pPr>
      <w:r>
        <w:rPr>
          <w:rFonts w:hint="eastAsia" w:ascii="仿宋" w:hAnsi="仿宋" w:eastAsia="仿宋" w:cs="仿宋"/>
          <w:b/>
          <w:sz w:val="28"/>
          <w:szCs w:val="28"/>
          <w:highlight w:val="none"/>
        </w:rPr>
        <w:t xml:space="preserve"> </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 xml:space="preserve">                      </w:t>
      </w:r>
    </w:p>
    <w:p>
      <w:pPr>
        <w:pageBreakBefore w:val="0"/>
        <w:widowControl w:val="0"/>
        <w:kinsoku/>
        <w:wordWrap w:val="0"/>
        <w:overflowPunct/>
        <w:bidi w:val="0"/>
        <w:spacing w:line="520" w:lineRule="exact"/>
        <w:ind w:firstLine="3345" w:firstLineChars="1190"/>
        <w:rPr>
          <w:rFonts w:hint="eastAsia" w:ascii="仿宋" w:hAnsi="仿宋" w:eastAsia="仿宋" w:cs="仿宋"/>
          <w:b/>
          <w:sz w:val="28"/>
          <w:szCs w:val="28"/>
          <w:highlight w:val="none"/>
          <w:u w:val="single"/>
        </w:rPr>
      </w:pPr>
      <w:r>
        <w:rPr>
          <w:rFonts w:hint="eastAsia" w:ascii="仿宋" w:hAnsi="仿宋" w:eastAsia="仿宋" w:cs="仿宋"/>
          <w:b/>
          <w:sz w:val="28"/>
          <w:szCs w:val="28"/>
          <w:highlight w:val="none"/>
        </w:rPr>
        <w:t>时        间：</w:t>
      </w:r>
    </w:p>
    <w:p>
      <w:pPr>
        <w:pageBreakBefore w:val="0"/>
        <w:widowControl w:val="0"/>
        <w:kinsoku/>
        <w:wordWrap w:val="0"/>
        <w:overflowPunct/>
        <w:bidi w:val="0"/>
        <w:spacing w:line="520" w:lineRule="exact"/>
        <w:rPr>
          <w:rFonts w:hint="eastAsia" w:ascii="仿宋" w:hAnsi="仿宋" w:eastAsia="仿宋" w:cs="仿宋"/>
          <w:b/>
          <w:sz w:val="28"/>
          <w:szCs w:val="28"/>
          <w:highlight w:val="none"/>
        </w:rPr>
      </w:pPr>
    </w:p>
    <w:p>
      <w:pPr>
        <w:pageBreakBefore w:val="0"/>
        <w:widowControl w:val="0"/>
        <w:kinsoku/>
        <w:wordWrap w:val="0"/>
        <w:overflowPunct/>
        <w:bidi w:val="0"/>
        <w:spacing w:line="520" w:lineRule="exact"/>
        <w:rPr>
          <w:rFonts w:hint="eastAsia" w:ascii="仿宋" w:hAnsi="仿宋" w:eastAsia="仿宋" w:cs="仿宋"/>
          <w:b/>
          <w:sz w:val="44"/>
          <w:szCs w:val="44"/>
          <w:highlight w:val="none"/>
        </w:rPr>
      </w:pPr>
      <w:bookmarkStart w:id="58" w:name="_Toc28244"/>
      <w:r>
        <w:rPr>
          <w:rFonts w:hint="eastAsia" w:ascii="仿宋" w:hAnsi="仿宋" w:eastAsia="仿宋" w:cs="仿宋"/>
          <w:b/>
          <w:sz w:val="44"/>
          <w:szCs w:val="44"/>
          <w:highlight w:val="none"/>
        </w:rPr>
        <w:br w:type="page"/>
      </w:r>
    </w:p>
    <w:p>
      <w:pPr>
        <w:pageBreakBefore w:val="0"/>
        <w:widowControl w:val="0"/>
        <w:kinsoku/>
        <w:wordWrap w:val="0"/>
        <w:overflowPunct/>
        <w:bidi w:val="0"/>
        <w:spacing w:line="520" w:lineRule="exact"/>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  录</w:t>
      </w:r>
      <w:bookmarkEnd w:id="58"/>
    </w:p>
    <w:p>
      <w:pPr>
        <w:pageBreakBefore w:val="0"/>
        <w:widowControl w:val="0"/>
        <w:kinsoku/>
        <w:wordWrap w:val="0"/>
        <w:overflowPunct/>
        <w:bidi w:val="0"/>
        <w:spacing w:line="520" w:lineRule="exact"/>
        <w:rPr>
          <w:rFonts w:hint="eastAsia" w:ascii="仿宋" w:hAnsi="仿宋" w:eastAsia="仿宋" w:cs="仿宋"/>
          <w:b/>
          <w:sz w:val="36"/>
          <w:szCs w:val="36"/>
          <w:highlight w:val="none"/>
        </w:rPr>
      </w:pPr>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59" w:name="_Toc8713"/>
      <w:bookmarkStart w:id="60" w:name="_Toc23731"/>
      <w:r>
        <w:rPr>
          <w:rFonts w:hint="eastAsia" w:ascii="仿宋" w:hAnsi="仿宋" w:eastAsia="仿宋" w:cs="仿宋"/>
          <w:sz w:val="28"/>
          <w:szCs w:val="28"/>
          <w:highlight w:val="none"/>
        </w:rPr>
        <w:t>1、谈判函</w:t>
      </w:r>
      <w:bookmarkEnd w:id="59"/>
      <w:bookmarkEnd w:id="60"/>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61" w:name="_Toc4069"/>
      <w:bookmarkStart w:id="62" w:name="_Toc15774"/>
      <w:r>
        <w:rPr>
          <w:rFonts w:hint="eastAsia" w:ascii="仿宋" w:hAnsi="仿宋" w:eastAsia="仿宋" w:cs="仿宋"/>
          <w:sz w:val="28"/>
          <w:szCs w:val="28"/>
          <w:highlight w:val="none"/>
        </w:rPr>
        <w:t>2、谈判报价一览表</w:t>
      </w:r>
      <w:bookmarkEnd w:id="61"/>
      <w:bookmarkEnd w:id="62"/>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63" w:name="_Toc495"/>
      <w:bookmarkStart w:id="64" w:name="_Toc24577"/>
      <w:r>
        <w:rPr>
          <w:rFonts w:hint="eastAsia" w:ascii="仿宋" w:hAnsi="仿宋" w:eastAsia="仿宋" w:cs="仿宋"/>
          <w:sz w:val="28"/>
          <w:szCs w:val="28"/>
          <w:highlight w:val="none"/>
        </w:rPr>
        <w:t>3、分项报价表</w:t>
      </w:r>
      <w:bookmarkEnd w:id="63"/>
      <w:bookmarkEnd w:id="64"/>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65" w:name="_Toc16975"/>
      <w:bookmarkStart w:id="66" w:name="_Toc4672"/>
      <w:r>
        <w:rPr>
          <w:rFonts w:hint="eastAsia" w:ascii="仿宋" w:hAnsi="仿宋" w:eastAsia="仿宋" w:cs="仿宋"/>
          <w:sz w:val="28"/>
          <w:szCs w:val="28"/>
          <w:highlight w:val="none"/>
        </w:rPr>
        <w:t>4、技术偏离表</w:t>
      </w:r>
      <w:bookmarkEnd w:id="65"/>
      <w:bookmarkEnd w:id="66"/>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67" w:name="_Toc13497"/>
      <w:bookmarkStart w:id="68" w:name="_Toc19740"/>
      <w:r>
        <w:rPr>
          <w:rFonts w:hint="eastAsia" w:ascii="仿宋" w:hAnsi="仿宋" w:eastAsia="仿宋" w:cs="仿宋"/>
          <w:sz w:val="28"/>
          <w:szCs w:val="28"/>
          <w:highlight w:val="none"/>
        </w:rPr>
        <w:t>5、商务偏离表</w:t>
      </w:r>
      <w:bookmarkEnd w:id="67"/>
      <w:bookmarkEnd w:id="68"/>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69" w:name="_Toc32478"/>
      <w:bookmarkStart w:id="70" w:name="_Toc25033"/>
      <w:r>
        <w:rPr>
          <w:rFonts w:hint="eastAsia" w:ascii="仿宋" w:hAnsi="仿宋" w:eastAsia="仿宋" w:cs="仿宋"/>
          <w:sz w:val="28"/>
          <w:szCs w:val="28"/>
          <w:highlight w:val="none"/>
        </w:rPr>
        <w:t>6、法人代表人授权书</w:t>
      </w:r>
      <w:bookmarkEnd w:id="69"/>
      <w:bookmarkEnd w:id="70"/>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71" w:name="_Toc13363"/>
      <w:bookmarkStart w:id="72" w:name="_Toc5618"/>
      <w:r>
        <w:rPr>
          <w:rFonts w:hint="eastAsia" w:ascii="仿宋" w:hAnsi="仿宋" w:eastAsia="仿宋" w:cs="仿宋"/>
          <w:sz w:val="28"/>
          <w:szCs w:val="28"/>
          <w:highlight w:val="none"/>
        </w:rPr>
        <w:t>7、资格证明文件</w:t>
      </w:r>
      <w:bookmarkEnd w:id="71"/>
      <w:bookmarkEnd w:id="72"/>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73" w:name="_Toc11928"/>
      <w:bookmarkStart w:id="74" w:name="_Toc8094"/>
      <w:r>
        <w:rPr>
          <w:rFonts w:hint="eastAsia" w:ascii="仿宋" w:hAnsi="仿宋" w:eastAsia="仿宋" w:cs="仿宋"/>
          <w:sz w:val="28"/>
          <w:szCs w:val="28"/>
          <w:highlight w:val="none"/>
        </w:rPr>
        <w:t>8</w:t>
      </w:r>
      <w:bookmarkEnd w:id="73"/>
      <w:bookmarkEnd w:id="74"/>
      <w:r>
        <w:rPr>
          <w:rFonts w:hint="eastAsia" w:ascii="仿宋" w:hAnsi="仿宋" w:eastAsia="仿宋" w:cs="仿宋"/>
          <w:sz w:val="28"/>
          <w:szCs w:val="28"/>
          <w:highlight w:val="none"/>
        </w:rPr>
        <w:t>、具有履行合同所必需的设备和专业技术能力的说明及承诺</w:t>
      </w:r>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75" w:name="_Toc25135"/>
      <w:bookmarkStart w:id="76" w:name="_Toc9997"/>
      <w:r>
        <w:rPr>
          <w:rFonts w:hint="eastAsia" w:ascii="仿宋" w:hAnsi="仿宋" w:eastAsia="仿宋" w:cs="仿宋"/>
          <w:sz w:val="28"/>
          <w:szCs w:val="28"/>
          <w:highlight w:val="none"/>
        </w:rPr>
        <w:t>9、技术资料</w:t>
      </w:r>
      <w:bookmarkEnd w:id="75"/>
      <w:bookmarkEnd w:id="76"/>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77" w:name="_Toc26938"/>
      <w:bookmarkStart w:id="78" w:name="_Toc12251"/>
      <w:r>
        <w:rPr>
          <w:rFonts w:hint="eastAsia" w:ascii="仿宋" w:hAnsi="仿宋" w:eastAsia="仿宋" w:cs="仿宋"/>
          <w:sz w:val="28"/>
          <w:szCs w:val="28"/>
          <w:highlight w:val="none"/>
        </w:rPr>
        <w:t>10、售后服务</w:t>
      </w:r>
      <w:bookmarkEnd w:id="77"/>
      <w:bookmarkEnd w:id="78"/>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79" w:name="_Toc28726"/>
      <w:bookmarkStart w:id="80" w:name="_Toc910"/>
      <w:r>
        <w:rPr>
          <w:rFonts w:hint="eastAsia" w:ascii="仿宋" w:hAnsi="仿宋" w:eastAsia="仿宋" w:cs="仿宋"/>
          <w:sz w:val="28"/>
          <w:szCs w:val="28"/>
          <w:highlight w:val="none"/>
        </w:rPr>
        <w:t>11、供应商认为有必要说明的事宜</w:t>
      </w:r>
      <w:bookmarkEnd w:id="79"/>
      <w:bookmarkEnd w:id="80"/>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81" w:name="_Toc7122"/>
      <w:bookmarkStart w:id="82" w:name="_Toc13111"/>
      <w:r>
        <w:rPr>
          <w:rFonts w:hint="eastAsia" w:ascii="仿宋" w:hAnsi="仿宋" w:eastAsia="仿宋" w:cs="仿宋"/>
          <w:sz w:val="28"/>
          <w:szCs w:val="28"/>
          <w:highlight w:val="none"/>
        </w:rPr>
        <w:t>12、拒绝政府采购领域商业贿赂承诺书</w:t>
      </w:r>
      <w:bookmarkEnd w:id="81"/>
      <w:bookmarkEnd w:id="82"/>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bookmarkStart w:id="83" w:name="_Toc10889"/>
      <w:bookmarkStart w:id="84" w:name="_Toc16350"/>
      <w:r>
        <w:rPr>
          <w:rFonts w:hint="eastAsia" w:ascii="仿宋" w:hAnsi="仿宋" w:eastAsia="仿宋" w:cs="仿宋"/>
          <w:sz w:val="28"/>
          <w:szCs w:val="28"/>
          <w:highlight w:val="none"/>
        </w:rPr>
        <w:t>13</w:t>
      </w:r>
      <w:bookmarkEnd w:id="83"/>
      <w:r>
        <w:rPr>
          <w:rFonts w:hint="eastAsia" w:ascii="仿宋" w:hAnsi="仿宋" w:eastAsia="仿宋" w:cs="仿宋"/>
          <w:sz w:val="28"/>
          <w:szCs w:val="28"/>
          <w:highlight w:val="none"/>
        </w:rPr>
        <w:t>、近3年内经营活动中无重大违法记录声明</w:t>
      </w:r>
      <w:bookmarkEnd w:id="84"/>
      <w:bookmarkStart w:id="85" w:name="_Toc20707"/>
      <w:bookmarkStart w:id="86" w:name="_Toc27401"/>
      <w:bookmarkStart w:id="87" w:name="_Toc22623"/>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14、中小企业声明函</w:t>
      </w:r>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15、残疾人福利性单位声明函</w:t>
      </w:r>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16、监狱企业证明函</w:t>
      </w:r>
    </w:p>
    <w:p>
      <w:pPr>
        <w:pageBreakBefore w:val="0"/>
        <w:widowControl w:val="0"/>
        <w:kinsoku/>
        <w:wordWrap w:val="0"/>
        <w:overflowPunct/>
        <w:bidi w:val="0"/>
        <w:spacing w:line="520" w:lineRule="exact"/>
        <w:ind w:firstLine="560" w:firstLineChars="200"/>
        <w:jc w:val="center"/>
        <w:rPr>
          <w:rFonts w:hint="eastAsia" w:ascii="仿宋" w:hAnsi="仿宋" w:eastAsia="仿宋" w:cs="仿宋"/>
          <w:b/>
          <w:bCs/>
          <w:sz w:val="44"/>
          <w:szCs w:val="44"/>
          <w:highlight w:val="none"/>
        </w:rPr>
      </w:pPr>
      <w:r>
        <w:rPr>
          <w:rFonts w:hint="eastAsia" w:ascii="仿宋" w:hAnsi="仿宋" w:eastAsia="仿宋" w:cs="仿宋"/>
          <w:sz w:val="28"/>
          <w:szCs w:val="28"/>
          <w:highlight w:val="none"/>
        </w:rPr>
        <w:br w:type="page"/>
      </w:r>
      <w:bookmarkEnd w:id="85"/>
      <w:bookmarkEnd w:id="86"/>
      <w:r>
        <w:rPr>
          <w:rFonts w:hint="eastAsia" w:ascii="仿宋" w:hAnsi="仿宋" w:eastAsia="仿宋" w:cs="仿宋"/>
          <w:b/>
          <w:bCs/>
          <w:sz w:val="44"/>
          <w:szCs w:val="44"/>
          <w:highlight w:val="none"/>
          <w:lang w:val="en-US" w:eastAsia="zh-CN"/>
        </w:rPr>
        <w:t>1、</w:t>
      </w:r>
      <w:r>
        <w:rPr>
          <w:rFonts w:hint="eastAsia" w:ascii="仿宋" w:hAnsi="仿宋" w:eastAsia="仿宋" w:cs="仿宋"/>
          <w:b/>
          <w:bCs/>
          <w:sz w:val="44"/>
          <w:szCs w:val="44"/>
          <w:highlight w:val="none"/>
        </w:rPr>
        <w:t>谈 判 函</w:t>
      </w:r>
    </w:p>
    <w:p>
      <w:pPr>
        <w:pageBreakBefore w:val="0"/>
        <w:widowControl w:val="0"/>
        <w:kinsoku/>
        <w:wordWrap w:val="0"/>
        <w:overflowPunct/>
        <w:bidi w:val="0"/>
        <w:spacing w:line="520" w:lineRule="exact"/>
        <w:rPr>
          <w:rFonts w:ascii="仿宋" w:hAnsi="仿宋" w:eastAsia="仿宋" w:cs="仿宋"/>
          <w:b/>
          <w:sz w:val="28"/>
          <w:szCs w:val="28"/>
          <w:highlight w:val="none"/>
        </w:rPr>
      </w:pPr>
      <w:r>
        <w:rPr>
          <w:rFonts w:hint="eastAsia" w:ascii="仿宋" w:hAnsi="仿宋" w:eastAsia="仿宋" w:cs="仿宋"/>
          <w:b/>
          <w:sz w:val="28"/>
          <w:szCs w:val="28"/>
          <w:highlight w:val="none"/>
        </w:rPr>
        <w:t>致：陕西瑞琪工程咨询有限公司</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根据贵单位</w:t>
      </w:r>
      <w:r>
        <w:rPr>
          <w:rFonts w:hint="eastAsia" w:ascii="仿宋" w:hAnsi="仿宋" w:eastAsia="仿宋" w:cs="仿宋"/>
          <w:sz w:val="28"/>
          <w:szCs w:val="28"/>
          <w:highlight w:val="none"/>
          <w:u w:val="single"/>
        </w:rPr>
        <w:t xml:space="preserve">                         项目（项目编号</w:t>
      </w:r>
      <w:r>
        <w:rPr>
          <w:rFonts w:hint="eastAsia" w:ascii="仿宋" w:hAnsi="仿宋" w:eastAsia="仿宋" w:cs="仿宋"/>
          <w:sz w:val="28"/>
          <w:szCs w:val="28"/>
          <w:highlight w:val="none"/>
          <w:u w:val="single"/>
          <w:lang w:eastAsia="zh-CN"/>
        </w:rPr>
        <w:t>：</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的谈判文件，我方代表</w:t>
      </w:r>
      <w:r>
        <w:rPr>
          <w:rFonts w:hint="eastAsia" w:ascii="仿宋" w:hAnsi="仿宋" w:eastAsia="仿宋" w:cs="仿宋"/>
          <w:sz w:val="28"/>
          <w:szCs w:val="28"/>
          <w:highlight w:val="none"/>
          <w:u w:val="single"/>
        </w:rPr>
        <w:t xml:space="preserve">   （姓名、职务）   </w:t>
      </w:r>
      <w:r>
        <w:rPr>
          <w:rFonts w:hint="eastAsia" w:ascii="仿宋" w:hAnsi="仿宋" w:eastAsia="仿宋" w:cs="仿宋"/>
          <w:sz w:val="28"/>
          <w:szCs w:val="28"/>
          <w:highlight w:val="none"/>
        </w:rPr>
        <w:t>经正式授权并代表</w:t>
      </w:r>
      <w:r>
        <w:rPr>
          <w:rFonts w:hint="eastAsia" w:ascii="仿宋" w:hAnsi="仿宋" w:eastAsia="仿宋" w:cs="仿宋"/>
          <w:sz w:val="28"/>
          <w:szCs w:val="28"/>
          <w:highlight w:val="none"/>
          <w:u w:val="single"/>
        </w:rPr>
        <w:t xml:space="preserve">     （供应商名称）     </w:t>
      </w:r>
      <w:r>
        <w:rPr>
          <w:rFonts w:hint="eastAsia" w:ascii="仿宋" w:hAnsi="仿宋" w:eastAsia="仿宋" w:cs="仿宋"/>
          <w:sz w:val="28"/>
          <w:szCs w:val="28"/>
          <w:highlight w:val="none"/>
        </w:rPr>
        <w:t>就该项目进行谈判。</w:t>
      </w:r>
    </w:p>
    <w:p>
      <w:pPr>
        <w:keepNext w:val="0"/>
        <w:keepLines w:val="0"/>
        <w:pageBreakBefore w:val="0"/>
        <w:widowControl w:val="0"/>
        <w:kinsoku/>
        <w:wordWrap w:val="0"/>
        <w:overflowPunct/>
        <w:topLinePunct w:val="0"/>
        <w:autoSpaceDE/>
        <w:autoSpaceDN/>
        <w:bidi w:val="0"/>
        <w:adjustRightInd/>
        <w:snapToGrid/>
        <w:spacing w:line="520" w:lineRule="exact"/>
        <w:ind w:firstLine="562" w:firstLineChars="200"/>
        <w:textAlignment w:val="auto"/>
        <w:rPr>
          <w:rFonts w:hint="eastAsia" w:ascii="仿宋" w:hAnsi="仿宋" w:eastAsia="仿宋" w:cs="仿宋"/>
          <w:b/>
          <w:sz w:val="28"/>
          <w:szCs w:val="28"/>
          <w:highlight w:val="none"/>
        </w:rPr>
      </w:pPr>
      <w:r>
        <w:rPr>
          <w:rFonts w:hint="eastAsia" w:ascii="仿宋" w:hAnsi="仿宋" w:eastAsia="仿宋" w:cs="仿宋"/>
          <w:b/>
          <w:sz w:val="28"/>
          <w:szCs w:val="28"/>
          <w:highlight w:val="none"/>
        </w:rPr>
        <w:t>在此，我方郑重声明以下诸点，并负法律责任：</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1、我方提交的竞争性谈判响应文件一式四份，</w:t>
      </w:r>
      <w:r>
        <w:rPr>
          <w:rFonts w:hint="eastAsia" w:ascii="仿宋" w:hAnsi="仿宋" w:eastAsia="仿宋" w:cs="仿宋"/>
          <w:sz w:val="28"/>
          <w:szCs w:val="28"/>
          <w:highlight w:val="none"/>
          <w:lang w:eastAsia="zh-CN"/>
        </w:rPr>
        <w:t>其中</w:t>
      </w:r>
      <w:r>
        <w:rPr>
          <w:rFonts w:hint="eastAsia" w:ascii="仿宋" w:hAnsi="仿宋" w:eastAsia="仿宋" w:cs="仿宋"/>
          <w:sz w:val="28"/>
          <w:szCs w:val="28"/>
          <w:highlight w:val="none"/>
        </w:rPr>
        <w:t>正本一份，副本二份，电子文件一份。</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b/>
          <w:sz w:val="28"/>
          <w:szCs w:val="28"/>
          <w:highlight w:val="none"/>
        </w:rPr>
      </w:pPr>
      <w:r>
        <w:rPr>
          <w:rFonts w:hint="eastAsia" w:ascii="仿宋" w:hAnsi="仿宋" w:eastAsia="仿宋" w:cs="仿宋"/>
          <w:sz w:val="28"/>
          <w:szCs w:val="28"/>
          <w:highlight w:val="none"/>
        </w:rPr>
        <w:t>2、我方所附谈判报价表中应提交和交付的产品谈判总价为人民币：</w:t>
      </w:r>
      <w:r>
        <w:rPr>
          <w:rFonts w:hint="eastAsia" w:ascii="仿宋" w:hAnsi="仿宋" w:eastAsia="仿宋" w:cs="仿宋"/>
          <w:sz w:val="28"/>
          <w:szCs w:val="28"/>
          <w:highlight w:val="none"/>
          <w:u w:val="single"/>
        </w:rPr>
        <w:t>大写</w:t>
      </w:r>
      <w:r>
        <w:rPr>
          <w:rFonts w:hint="eastAsia" w:ascii="仿宋" w:hAnsi="仿宋" w:eastAsia="仿宋" w:cs="仿宋"/>
          <w:sz w:val="28"/>
          <w:szCs w:val="28"/>
          <w:highlight w:val="none"/>
          <w:u w:val="single"/>
          <w:lang w:eastAsia="zh-CN"/>
        </w:rPr>
        <w:t>：</w:t>
      </w:r>
      <w:r>
        <w:rPr>
          <w:rFonts w:hint="eastAsia" w:ascii="仿宋" w:hAnsi="仿宋" w:eastAsia="仿宋" w:cs="仿宋"/>
          <w:sz w:val="28"/>
          <w:szCs w:val="28"/>
          <w:highlight w:val="none"/>
          <w:u w:val="single"/>
          <w:lang w:val="en-US" w:eastAsia="zh-CN"/>
        </w:rPr>
        <w:t xml:space="preserve">                       小写：￥</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3、我方已详细审查全部竞争性谈判文件，完全理解并同意放弃对这方面有不明及误解质疑的权力。</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4、我方同意按照要求提供谈判有关的一切数据或资料。</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5、我方将按竞争性谈判文件的规定履行合同责任和义务。</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6、我方承诺本次参与投标的所有产品均为正品，因此产生的一切问题由我方自行承担。</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7、我方同意按竞争性谈判文件规定，遵守贵方有关采购的各项规定。</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8、若我方被选为成交单位，我方保证按有关规定向贵方支付招标服务费。</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9、谈判有效期为自谈判日起90个日历日。</w:t>
      </w:r>
    </w:p>
    <w:p>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10、所有关于本项目的函电，请按下列地址联系：</w:t>
      </w:r>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供应商名称（公章）：</w:t>
      </w:r>
    </w:p>
    <w:p>
      <w:pPr>
        <w:pageBreakBefore w:val="0"/>
        <w:widowControl w:val="0"/>
        <w:kinsoku/>
        <w:wordWrap w:val="0"/>
        <w:overflowPunct/>
        <w:bidi w:val="0"/>
        <w:spacing w:line="520" w:lineRule="exact"/>
        <w:ind w:firstLine="560" w:firstLineChars="20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详 细 地 址：</w:t>
      </w:r>
    </w:p>
    <w:p>
      <w:pPr>
        <w:pageBreakBefore w:val="0"/>
        <w:widowControl w:val="0"/>
        <w:tabs>
          <w:tab w:val="left" w:pos="360"/>
        </w:tabs>
        <w:kinsoku/>
        <w:wordWrap w:val="0"/>
        <w:overflowPunct/>
        <w:bidi w:val="0"/>
        <w:spacing w:line="520" w:lineRule="exact"/>
        <w:ind w:firstLine="560" w:firstLineChars="20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邮 政 编 码：</w:t>
      </w:r>
    </w:p>
    <w:p>
      <w:pPr>
        <w:pageBreakBefore w:val="0"/>
        <w:widowControl w:val="0"/>
        <w:kinsoku/>
        <w:wordWrap w:val="0"/>
        <w:overflowPunct/>
        <w:autoSpaceDE w:val="0"/>
        <w:autoSpaceDN w:val="0"/>
        <w:bidi w:val="0"/>
        <w:adjustRightInd w:val="0"/>
        <w:spacing w:line="520" w:lineRule="exact"/>
        <w:ind w:firstLine="560" w:firstLineChars="20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电       话：</w:t>
      </w:r>
    </w:p>
    <w:p>
      <w:pPr>
        <w:pageBreakBefore w:val="0"/>
        <w:widowControl w:val="0"/>
        <w:kinsoku/>
        <w:wordWrap w:val="0"/>
        <w:overflowPunct/>
        <w:autoSpaceDE w:val="0"/>
        <w:autoSpaceDN w:val="0"/>
        <w:bidi w:val="0"/>
        <w:adjustRightInd w:val="0"/>
        <w:spacing w:line="520" w:lineRule="exact"/>
        <w:ind w:firstLine="560" w:firstLineChars="20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传       真：</w:t>
      </w:r>
    </w:p>
    <w:p>
      <w:pPr>
        <w:pageBreakBefore w:val="0"/>
        <w:widowControl w:val="0"/>
        <w:tabs>
          <w:tab w:val="left" w:pos="360"/>
        </w:tabs>
        <w:kinsoku/>
        <w:wordWrap w:val="0"/>
        <w:overflowPunct/>
        <w:bidi w:val="0"/>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电 子 邮 件：</w:t>
      </w:r>
    </w:p>
    <w:p>
      <w:pPr>
        <w:pageBreakBefore w:val="0"/>
        <w:widowControl w:val="0"/>
        <w:kinsoku/>
        <w:wordWrap w:val="0"/>
        <w:overflowPunct/>
        <w:autoSpaceDE w:val="0"/>
        <w:autoSpaceDN w:val="0"/>
        <w:bidi w:val="0"/>
        <w:adjustRightInd w:val="0"/>
        <w:spacing w:line="520" w:lineRule="exact"/>
        <w:ind w:firstLine="560" w:firstLineChars="200"/>
        <w:rPr>
          <w:rFonts w:hint="eastAsia" w:ascii="仿宋" w:hAnsi="仿宋" w:eastAsia="仿宋" w:cs="仿宋"/>
          <w:sz w:val="28"/>
          <w:szCs w:val="28"/>
          <w:highlight w:val="none"/>
          <w:u w:val="single"/>
          <w:lang w:val="zh-CN"/>
        </w:rPr>
      </w:pPr>
      <w:r>
        <w:rPr>
          <w:rFonts w:hint="eastAsia" w:ascii="仿宋" w:hAnsi="仿宋" w:eastAsia="仿宋" w:cs="仿宋"/>
          <w:sz w:val="28"/>
          <w:szCs w:val="28"/>
          <w:highlight w:val="none"/>
          <w:lang w:val="zh-CN"/>
        </w:rPr>
        <w:t>开 户 银 行：</w:t>
      </w:r>
    </w:p>
    <w:p>
      <w:pPr>
        <w:pageBreakBefore w:val="0"/>
        <w:widowControl w:val="0"/>
        <w:kinsoku/>
        <w:wordWrap w:val="0"/>
        <w:overflowPunct/>
        <w:autoSpaceDE w:val="0"/>
        <w:autoSpaceDN w:val="0"/>
        <w:bidi w:val="0"/>
        <w:adjustRightInd w:val="0"/>
        <w:spacing w:line="520" w:lineRule="exact"/>
        <w:ind w:firstLine="560" w:firstLineChars="20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帐       号：</w:t>
      </w:r>
    </w:p>
    <w:p>
      <w:pPr>
        <w:pageBreakBefore w:val="0"/>
        <w:widowControl w:val="0"/>
        <w:kinsoku/>
        <w:wordWrap w:val="0"/>
        <w:overflowPunct/>
        <w:autoSpaceDE w:val="0"/>
        <w:autoSpaceDN w:val="0"/>
        <w:bidi w:val="0"/>
        <w:adjustRightInd w:val="0"/>
        <w:spacing w:line="520" w:lineRule="exact"/>
        <w:ind w:hanging="60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 xml:space="preserve">            </w:t>
      </w:r>
    </w:p>
    <w:p>
      <w:pPr>
        <w:pageBreakBefore w:val="0"/>
        <w:widowControl w:val="0"/>
        <w:kinsoku/>
        <w:wordWrap w:val="0"/>
        <w:overflowPunct/>
        <w:autoSpaceDE w:val="0"/>
        <w:autoSpaceDN w:val="0"/>
        <w:bidi w:val="0"/>
        <w:adjustRightInd w:val="0"/>
        <w:spacing w:line="520" w:lineRule="exact"/>
        <w:jc w:val="center"/>
        <w:rPr>
          <w:rFonts w:hint="eastAsia" w:ascii="仿宋" w:hAnsi="仿宋" w:eastAsia="仿宋" w:cs="仿宋"/>
          <w:sz w:val="24"/>
          <w:highlight w:val="none"/>
        </w:rPr>
      </w:pPr>
    </w:p>
    <w:p>
      <w:pPr>
        <w:pageBreakBefore w:val="0"/>
        <w:widowControl w:val="0"/>
        <w:kinsoku/>
        <w:wordWrap w:val="0"/>
        <w:overflowPunct/>
        <w:autoSpaceDE w:val="0"/>
        <w:autoSpaceDN w:val="0"/>
        <w:bidi w:val="0"/>
        <w:adjustRightInd w:val="0"/>
        <w:spacing w:line="520" w:lineRule="exact"/>
        <w:jc w:val="center"/>
        <w:rPr>
          <w:rFonts w:hint="eastAsia" w:ascii="仿宋" w:hAnsi="仿宋" w:eastAsia="仿宋" w:cs="仿宋"/>
          <w:sz w:val="24"/>
          <w:highlight w:val="none"/>
        </w:rPr>
      </w:pPr>
    </w:p>
    <w:p>
      <w:pPr>
        <w:pageBreakBefore w:val="0"/>
        <w:widowControl w:val="0"/>
        <w:kinsoku/>
        <w:wordWrap w:val="0"/>
        <w:overflowPunct/>
        <w:autoSpaceDE w:val="0"/>
        <w:autoSpaceDN w:val="0"/>
        <w:bidi w:val="0"/>
        <w:adjustRightInd w:val="0"/>
        <w:spacing w:line="520" w:lineRule="exact"/>
        <w:jc w:val="both"/>
        <w:rPr>
          <w:rFonts w:hint="eastAsia" w:ascii="仿宋" w:hAnsi="仿宋" w:eastAsia="仿宋" w:cs="仿宋"/>
          <w:sz w:val="28"/>
          <w:szCs w:val="28"/>
          <w:highlight w:val="none"/>
        </w:rPr>
      </w:pPr>
      <w:r>
        <w:rPr>
          <w:rFonts w:hint="eastAsia" w:ascii="仿宋" w:hAnsi="仿宋" w:eastAsia="仿宋" w:cs="仿宋"/>
          <w:sz w:val="28"/>
          <w:szCs w:val="28"/>
          <w:highlight w:val="none"/>
          <w:lang w:val="zh-CN"/>
        </w:rPr>
        <w:t>法</w:t>
      </w:r>
      <w:r>
        <w:rPr>
          <w:rFonts w:hint="eastAsia" w:ascii="仿宋" w:hAnsi="仿宋" w:eastAsia="仿宋" w:cs="仿宋"/>
          <w:color w:val="000000"/>
          <w:sz w:val="28"/>
          <w:szCs w:val="28"/>
          <w:highlight w:val="none"/>
          <w:lang w:val="zh-CN"/>
        </w:rPr>
        <w:t>人或被授权人签字：</w:t>
      </w:r>
    </w:p>
    <w:p>
      <w:pPr>
        <w:pageBreakBefore w:val="0"/>
        <w:widowControl w:val="0"/>
        <w:kinsoku/>
        <w:wordWrap w:val="0"/>
        <w:overflowPunct/>
        <w:autoSpaceDE w:val="0"/>
        <w:autoSpaceDN w:val="0"/>
        <w:bidi w:val="0"/>
        <w:adjustRightInd w:val="0"/>
        <w:spacing w:line="520" w:lineRule="exact"/>
        <w:jc w:val="both"/>
        <w:rPr>
          <w:rFonts w:hint="eastAsia" w:ascii="仿宋" w:hAnsi="仿宋" w:eastAsia="仿宋" w:cs="仿宋"/>
          <w:sz w:val="28"/>
          <w:szCs w:val="28"/>
          <w:highlight w:val="none"/>
          <w:u w:val="single"/>
          <w:lang w:val="zh-CN"/>
        </w:rPr>
      </w:pPr>
      <w:r>
        <w:rPr>
          <w:rFonts w:hint="eastAsia" w:ascii="仿宋" w:hAnsi="仿宋" w:eastAsia="仿宋" w:cs="仿宋"/>
          <w:sz w:val="28"/>
          <w:szCs w:val="28"/>
          <w:highlight w:val="none"/>
          <w:lang w:val="zh-CN"/>
        </w:rPr>
        <w:t>联系电话/手机：</w:t>
      </w:r>
    </w:p>
    <w:p>
      <w:pPr>
        <w:pageBreakBefore w:val="0"/>
        <w:widowControl w:val="0"/>
        <w:kinsoku/>
        <w:wordWrap w:val="0"/>
        <w:overflowPunct/>
        <w:autoSpaceDE w:val="0"/>
        <w:autoSpaceDN w:val="0"/>
        <w:bidi w:val="0"/>
        <w:adjustRightInd w:val="0"/>
        <w:spacing w:line="520" w:lineRule="exact"/>
        <w:jc w:val="both"/>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日 期</w:t>
      </w:r>
      <w:r>
        <w:rPr>
          <w:rFonts w:hint="eastAsia" w:ascii="仿宋" w:hAnsi="仿宋" w:eastAsia="仿宋" w:cs="仿宋"/>
          <w:sz w:val="28"/>
          <w:szCs w:val="28"/>
          <w:highlight w:val="none"/>
          <w:lang w:eastAsia="zh-CN"/>
        </w:rPr>
        <w:t>：</w:t>
      </w:r>
    </w:p>
    <w:bookmarkEnd w:id="87"/>
    <w:p>
      <w:pPr>
        <w:keepNext w:val="0"/>
        <w:keepLines w:val="0"/>
        <w:pageBreakBefore w:val="0"/>
        <w:widowControl w:val="0"/>
        <w:kinsoku/>
        <w:wordWrap w:val="0"/>
        <w:overflowPunct/>
        <w:topLinePunct w:val="0"/>
        <w:autoSpaceDE/>
        <w:autoSpaceDN/>
        <w:bidi w:val="0"/>
        <w:adjustRightInd/>
        <w:snapToGrid/>
        <w:spacing w:before="157" w:beforeLines="50" w:after="157" w:afterLines="50" w:line="480" w:lineRule="auto"/>
        <w:jc w:val="center"/>
        <w:textAlignment w:val="auto"/>
        <w:outlineLvl w:val="9"/>
        <w:rPr>
          <w:rFonts w:hint="eastAsia" w:ascii="仿宋" w:hAnsi="仿宋" w:eastAsia="仿宋" w:cs="仿宋"/>
          <w:b/>
          <w:bCs/>
          <w:sz w:val="36"/>
          <w:szCs w:val="21"/>
          <w:highlight w:val="none"/>
        </w:rPr>
      </w:pPr>
      <w:bookmarkStart w:id="88" w:name="_Toc188808834"/>
      <w:bookmarkStart w:id="89" w:name="_Toc193187098"/>
      <w:bookmarkStart w:id="90" w:name="_Toc16339"/>
      <w:bookmarkStart w:id="91" w:name="_Toc193126882"/>
      <w:bookmarkStart w:id="92" w:name="_Toc194663919"/>
      <w:bookmarkStart w:id="93" w:name="_Toc26433"/>
      <w:bookmarkStart w:id="94" w:name="_Toc424292476"/>
      <w:r>
        <w:rPr>
          <w:rFonts w:hint="eastAsia" w:ascii="仿宋" w:hAnsi="仿宋" w:eastAsia="仿宋" w:cs="仿宋"/>
          <w:b/>
          <w:sz w:val="28"/>
          <w:szCs w:val="28"/>
          <w:highlight w:val="none"/>
        </w:rPr>
        <w:br w:type="page"/>
      </w:r>
      <w:bookmarkEnd w:id="88"/>
      <w:bookmarkEnd w:id="89"/>
      <w:bookmarkEnd w:id="90"/>
      <w:bookmarkEnd w:id="91"/>
      <w:bookmarkEnd w:id="92"/>
      <w:bookmarkEnd w:id="93"/>
      <w:bookmarkEnd w:id="94"/>
      <w:r>
        <w:rPr>
          <w:rFonts w:hint="eastAsia" w:ascii="仿宋" w:hAnsi="仿宋" w:eastAsia="仿宋" w:cs="仿宋"/>
          <w:b/>
          <w:bCs/>
          <w:sz w:val="36"/>
          <w:szCs w:val="21"/>
          <w:highlight w:val="none"/>
          <w:lang w:val="en-US" w:eastAsia="zh-CN"/>
        </w:rPr>
        <w:t>2、</w:t>
      </w:r>
      <w:r>
        <w:rPr>
          <w:rFonts w:hint="eastAsia" w:ascii="仿宋" w:hAnsi="仿宋" w:eastAsia="仿宋" w:cs="仿宋"/>
          <w:b/>
          <w:bCs/>
          <w:sz w:val="36"/>
          <w:szCs w:val="21"/>
          <w:highlight w:val="none"/>
        </w:rPr>
        <w:t>谈判报价一览表</w:t>
      </w:r>
    </w:p>
    <w:tbl>
      <w:tblPr>
        <w:tblStyle w:val="31"/>
        <w:tblW w:w="903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3"/>
        <w:gridCol w:w="614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926" w:hRule="atLeast"/>
          <w:jc w:val="center"/>
        </w:trPr>
        <w:tc>
          <w:tcPr>
            <w:tcW w:w="2893"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firstLine="138" w:firstLineChars="49"/>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项目编号</w:t>
            </w:r>
          </w:p>
        </w:tc>
        <w:tc>
          <w:tcPr>
            <w:tcW w:w="6144"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2893"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firstLine="138" w:firstLineChars="49"/>
              <w:jc w:val="center"/>
              <w:outlineLvl w:val="9"/>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eastAsia="zh-CN"/>
              </w:rPr>
              <w:t>项目名称</w:t>
            </w:r>
          </w:p>
        </w:tc>
        <w:tc>
          <w:tcPr>
            <w:tcW w:w="6144"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8"/>
                <w:szCs w:val="28"/>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2893"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default" w:ascii="仿宋" w:hAnsi="仿宋" w:eastAsia="仿宋" w:cs="仿宋"/>
                <w:sz w:val="28"/>
                <w:szCs w:val="28"/>
                <w:highlight w:val="none"/>
              </w:rPr>
            </w:pPr>
            <w:r>
              <w:rPr>
                <w:rFonts w:hint="eastAsia" w:ascii="仿宋" w:hAnsi="仿宋" w:eastAsia="仿宋" w:cs="仿宋"/>
                <w:b/>
                <w:sz w:val="28"/>
                <w:szCs w:val="28"/>
                <w:highlight w:val="none"/>
              </w:rPr>
              <w:t>谈判总价</w:t>
            </w:r>
            <w:r>
              <w:rPr>
                <w:rFonts w:hint="eastAsia" w:ascii="仿宋" w:hAnsi="仿宋" w:eastAsia="仿宋" w:cs="仿宋"/>
                <w:b/>
                <w:sz w:val="28"/>
                <w:szCs w:val="28"/>
                <w:highlight w:val="none"/>
                <w:lang w:eastAsia="zh-CN"/>
              </w:rPr>
              <w:t>（小写）</w:t>
            </w:r>
          </w:p>
        </w:tc>
        <w:tc>
          <w:tcPr>
            <w:tcW w:w="6144"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2893"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default" w:ascii="仿宋" w:hAnsi="仿宋" w:eastAsia="仿宋" w:cs="仿宋"/>
                <w:sz w:val="28"/>
                <w:szCs w:val="28"/>
                <w:highlight w:val="none"/>
              </w:rPr>
            </w:pPr>
            <w:bookmarkStart w:id="95" w:name="OLE_LINK3"/>
            <w:r>
              <w:rPr>
                <w:rFonts w:hint="eastAsia" w:ascii="仿宋" w:hAnsi="仿宋" w:eastAsia="仿宋" w:cs="仿宋"/>
                <w:b/>
                <w:sz w:val="28"/>
                <w:szCs w:val="28"/>
                <w:highlight w:val="none"/>
              </w:rPr>
              <w:t>谈</w:t>
            </w:r>
            <w:r>
              <w:rPr>
                <w:rFonts w:hint="eastAsia" w:ascii="仿宋" w:hAnsi="仿宋" w:eastAsia="仿宋" w:cs="仿宋"/>
                <w:b/>
                <w:color w:val="000000"/>
                <w:sz w:val="28"/>
                <w:szCs w:val="28"/>
                <w:highlight w:val="none"/>
              </w:rPr>
              <w:t>判总价</w:t>
            </w:r>
            <w:r>
              <w:rPr>
                <w:rFonts w:hint="eastAsia" w:ascii="仿宋" w:hAnsi="仿宋" w:eastAsia="仿宋" w:cs="仿宋"/>
                <w:b/>
                <w:color w:val="000000"/>
                <w:sz w:val="28"/>
                <w:szCs w:val="28"/>
                <w:highlight w:val="none"/>
                <w:lang w:eastAsia="zh-CN"/>
              </w:rPr>
              <w:t>（</w:t>
            </w:r>
            <w:r>
              <w:rPr>
                <w:rFonts w:hint="eastAsia" w:ascii="仿宋" w:hAnsi="仿宋" w:eastAsia="仿宋" w:cs="仿宋"/>
                <w:b/>
                <w:color w:val="000000"/>
                <w:sz w:val="28"/>
                <w:szCs w:val="28"/>
                <w:highlight w:val="none"/>
              </w:rPr>
              <w:t>大写</w:t>
            </w:r>
            <w:r>
              <w:rPr>
                <w:rFonts w:hint="eastAsia" w:ascii="仿宋" w:hAnsi="仿宋" w:eastAsia="仿宋" w:cs="仿宋"/>
                <w:b/>
                <w:color w:val="000000"/>
                <w:sz w:val="28"/>
                <w:szCs w:val="28"/>
                <w:highlight w:val="none"/>
                <w:lang w:eastAsia="zh-CN"/>
              </w:rPr>
              <w:t>）</w:t>
            </w:r>
            <w:bookmarkEnd w:id="95"/>
            <w:r>
              <w:rPr>
                <w:rFonts w:hint="eastAsia" w:ascii="仿宋" w:hAnsi="仿宋" w:eastAsia="仿宋" w:cs="仿宋"/>
                <w:b/>
                <w:color w:val="000000"/>
                <w:sz w:val="28"/>
                <w:szCs w:val="28"/>
                <w:highlight w:val="none"/>
              </w:rPr>
              <w:t xml:space="preserve"> </w:t>
            </w:r>
          </w:p>
        </w:tc>
        <w:tc>
          <w:tcPr>
            <w:tcW w:w="6144"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926" w:hRule="atLeast"/>
          <w:jc w:val="center"/>
        </w:trPr>
        <w:tc>
          <w:tcPr>
            <w:tcW w:w="289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8"/>
                <w:szCs w:val="28"/>
                <w:highlight w:val="none"/>
              </w:rPr>
            </w:pPr>
            <w:r>
              <w:rPr>
                <w:rFonts w:hint="eastAsia" w:ascii="仿宋" w:hAnsi="仿宋" w:eastAsia="仿宋" w:cs="仿宋"/>
                <w:b/>
                <w:sz w:val="28"/>
                <w:szCs w:val="28"/>
                <w:highlight w:val="none"/>
              </w:rPr>
              <w:t>交</w:t>
            </w:r>
            <w:r>
              <w:rPr>
                <w:rFonts w:hint="eastAsia" w:ascii="仿宋" w:hAnsi="仿宋" w:eastAsia="仿宋" w:cs="仿宋"/>
                <w:b/>
                <w:sz w:val="28"/>
                <w:szCs w:val="28"/>
                <w:highlight w:val="none"/>
                <w:lang w:eastAsia="zh-CN"/>
              </w:rPr>
              <w:t>付</w:t>
            </w:r>
            <w:r>
              <w:rPr>
                <w:rFonts w:hint="eastAsia" w:ascii="仿宋" w:hAnsi="仿宋" w:eastAsia="仿宋" w:cs="仿宋"/>
                <w:b/>
                <w:sz w:val="28"/>
                <w:szCs w:val="28"/>
                <w:highlight w:val="none"/>
              </w:rPr>
              <w:t>期（日历日）</w:t>
            </w:r>
          </w:p>
        </w:tc>
        <w:tc>
          <w:tcPr>
            <w:tcW w:w="6144"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289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8"/>
                <w:szCs w:val="28"/>
                <w:highlight w:val="none"/>
              </w:rPr>
            </w:pPr>
            <w:r>
              <w:rPr>
                <w:rFonts w:hint="eastAsia" w:ascii="仿宋" w:hAnsi="仿宋" w:eastAsia="仿宋" w:cs="仿宋"/>
                <w:b/>
                <w:sz w:val="28"/>
                <w:szCs w:val="28"/>
                <w:highlight w:val="none"/>
              </w:rPr>
              <w:t>质保期</w:t>
            </w:r>
          </w:p>
        </w:tc>
        <w:tc>
          <w:tcPr>
            <w:tcW w:w="6144" w:type="dxa"/>
            <w:tcBorders>
              <w:top w:val="single" w:color="auto" w:sz="4" w:space="0"/>
            </w:tcBorders>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p>
        </w:tc>
      </w:tr>
    </w:tbl>
    <w:p>
      <w:pPr>
        <w:keepNext w:val="0"/>
        <w:keepLines w:val="0"/>
        <w:pageBreakBefore w:val="0"/>
        <w:widowControl w:val="0"/>
        <w:kinsoku/>
        <w:wordWrap w:val="0"/>
        <w:overflowPunct/>
        <w:topLinePunct w:val="0"/>
        <w:bidi w:val="0"/>
        <w:spacing w:line="520" w:lineRule="exact"/>
        <w:ind w:firstLine="360" w:firstLineChars="150"/>
        <w:outlineLvl w:val="9"/>
        <w:rPr>
          <w:rFonts w:hint="eastAsia" w:ascii="仿宋" w:hAnsi="仿宋" w:eastAsia="仿宋" w:cs="仿宋"/>
          <w:sz w:val="24"/>
          <w:highlight w:val="none"/>
        </w:rPr>
      </w:pPr>
      <w:r>
        <w:rPr>
          <w:rFonts w:hint="eastAsia" w:ascii="仿宋" w:hAnsi="仿宋" w:eastAsia="仿宋" w:cs="仿宋"/>
          <w:sz w:val="24"/>
          <w:highlight w:val="none"/>
        </w:rPr>
        <w:t>注：1、本表价格应按谈判总价填写，同时应保证谈判响应文件的正、副本中仍有此表且一致。</w:t>
      </w:r>
    </w:p>
    <w:p>
      <w:pPr>
        <w:keepNext w:val="0"/>
        <w:keepLines w:val="0"/>
        <w:pageBreakBefore w:val="0"/>
        <w:widowControl w:val="0"/>
        <w:kinsoku/>
        <w:wordWrap w:val="0"/>
        <w:overflowPunct/>
        <w:topLinePunct w:val="0"/>
        <w:bidi w:val="0"/>
        <w:spacing w:line="520" w:lineRule="exact"/>
        <w:ind w:firstLine="360" w:firstLineChars="150"/>
        <w:outlineLvl w:val="9"/>
        <w:rPr>
          <w:rFonts w:hint="eastAsia" w:ascii="仿宋" w:hAnsi="仿宋" w:eastAsia="仿宋" w:cs="仿宋"/>
          <w:sz w:val="24"/>
          <w:highlight w:val="none"/>
        </w:rPr>
      </w:pPr>
      <w:r>
        <w:rPr>
          <w:rFonts w:hint="eastAsia" w:ascii="仿宋" w:hAnsi="仿宋" w:eastAsia="仿宋" w:cs="仿宋"/>
          <w:sz w:val="24"/>
          <w:highlight w:val="none"/>
        </w:rPr>
        <w:t xml:space="preserve">    2、此表中任何信息与响应文件其他处不一致时以此表为准。</w:t>
      </w:r>
    </w:p>
    <w:p>
      <w:pPr>
        <w:keepNext w:val="0"/>
        <w:keepLines w:val="0"/>
        <w:pageBreakBefore w:val="0"/>
        <w:widowControl w:val="0"/>
        <w:kinsoku/>
        <w:wordWrap w:val="0"/>
        <w:overflowPunct/>
        <w:topLinePunct w:val="0"/>
        <w:bidi w:val="0"/>
        <w:spacing w:line="520" w:lineRule="exact"/>
        <w:ind w:firstLine="120" w:firstLineChars="50"/>
        <w:outlineLvl w:val="9"/>
        <w:rPr>
          <w:rFonts w:hint="eastAsia" w:ascii="仿宋" w:hAnsi="仿宋" w:eastAsia="仿宋" w:cs="仿宋"/>
          <w:bCs/>
          <w:kern w:val="0"/>
          <w:sz w:val="28"/>
          <w:szCs w:val="28"/>
          <w:highlight w:val="none"/>
          <w:u w:val="single"/>
        </w:rPr>
      </w:pPr>
      <w:r>
        <w:rPr>
          <w:rFonts w:hint="eastAsia" w:ascii="仿宋" w:hAnsi="仿宋" w:eastAsia="仿宋" w:cs="仿宋"/>
          <w:sz w:val="24"/>
          <w:highlight w:val="none"/>
        </w:rPr>
        <w:t xml:space="preserve"> </w:t>
      </w:r>
    </w:p>
    <w:p>
      <w:pPr>
        <w:keepNext w:val="0"/>
        <w:keepLines w:val="0"/>
        <w:pageBreakBefore w:val="0"/>
        <w:widowControl w:val="0"/>
        <w:kinsoku/>
        <w:wordWrap w:val="0"/>
        <w:overflowPunct/>
        <w:topLinePunct w:val="0"/>
        <w:bidi w:val="0"/>
        <w:spacing w:line="520" w:lineRule="exact"/>
        <w:ind w:firstLine="720" w:firstLineChars="300"/>
        <w:outlineLvl w:val="9"/>
        <w:rPr>
          <w:rFonts w:hint="eastAsia" w:ascii="仿宋" w:hAnsi="仿宋" w:eastAsia="仿宋" w:cs="仿宋"/>
          <w:sz w:val="24"/>
          <w:highlight w:val="none"/>
        </w:rPr>
      </w:pPr>
    </w:p>
    <w:p>
      <w:pPr>
        <w:keepNext w:val="0"/>
        <w:keepLines w:val="0"/>
        <w:pageBreakBefore w:val="0"/>
        <w:widowControl w:val="0"/>
        <w:kinsoku/>
        <w:wordWrap w:val="0"/>
        <w:overflowPunct/>
        <w:topLinePunct w:val="0"/>
        <w:bidi w:val="0"/>
        <w:spacing w:line="520" w:lineRule="exact"/>
        <w:ind w:firstLine="140" w:firstLineChars="50"/>
        <w:outlineLvl w:val="9"/>
        <w:rPr>
          <w:rFonts w:hint="eastAsia" w:ascii="仿宋" w:hAnsi="仿宋" w:eastAsia="仿宋" w:cs="仿宋"/>
          <w:bCs/>
          <w:kern w:val="0"/>
          <w:sz w:val="28"/>
          <w:szCs w:val="28"/>
          <w:highlight w:val="none"/>
          <w:u w:val="single"/>
        </w:rPr>
      </w:pPr>
      <w:r>
        <w:rPr>
          <w:rFonts w:hint="eastAsia" w:ascii="仿宋" w:hAnsi="仿宋" w:eastAsia="仿宋" w:cs="仿宋"/>
          <w:bCs/>
          <w:kern w:val="0"/>
          <w:sz w:val="28"/>
          <w:szCs w:val="28"/>
          <w:highlight w:val="none"/>
        </w:rPr>
        <w:t>供应商名称：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bCs/>
          <w:kern w:val="0"/>
          <w:sz w:val="28"/>
          <w:szCs w:val="28"/>
          <w:highlight w:val="none"/>
          <w:lang w:val="zh-CN"/>
        </w:rPr>
        <w:t>（供应商公章）</w:t>
      </w:r>
    </w:p>
    <w:p>
      <w:pPr>
        <w:keepNext w:val="0"/>
        <w:keepLines w:val="0"/>
        <w:pageBreakBefore w:val="0"/>
        <w:widowControl w:val="0"/>
        <w:kinsoku/>
        <w:wordWrap w:val="0"/>
        <w:overflowPunct/>
        <w:topLinePunct w:val="0"/>
        <w:bidi w:val="0"/>
        <w:spacing w:line="520" w:lineRule="exact"/>
        <w:ind w:firstLine="140" w:firstLineChars="50"/>
        <w:outlineLvl w:val="9"/>
        <w:rPr>
          <w:rFonts w:hint="eastAsia" w:ascii="仿宋" w:hAnsi="仿宋" w:eastAsia="仿宋" w:cs="仿宋"/>
          <w:sz w:val="24"/>
          <w:highlight w:val="none"/>
          <w:lang w:eastAsia="zh-CN"/>
        </w:rPr>
      </w:pPr>
      <w:r>
        <w:rPr>
          <w:rFonts w:hint="eastAsia" w:ascii="仿宋" w:hAnsi="仿宋" w:eastAsia="仿宋" w:cs="仿宋"/>
          <w:bCs/>
          <w:kern w:val="0"/>
          <w:sz w:val="28"/>
          <w:szCs w:val="28"/>
          <w:highlight w:val="none"/>
          <w:lang w:val="zh-CN"/>
        </w:rPr>
        <w:t>法人或被授权人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eastAsia="zh-CN"/>
        </w:rPr>
        <w:t>（</w:t>
      </w:r>
      <w:r>
        <w:rPr>
          <w:rFonts w:hint="eastAsia" w:ascii="仿宋" w:hAnsi="仿宋" w:eastAsia="仿宋" w:cs="仿宋"/>
          <w:bCs/>
          <w:kern w:val="0"/>
          <w:sz w:val="28"/>
          <w:szCs w:val="28"/>
          <w:highlight w:val="none"/>
          <w:lang w:val="zh-CN"/>
        </w:rPr>
        <w:t>签字或盖章</w:t>
      </w:r>
      <w:r>
        <w:rPr>
          <w:rFonts w:hint="eastAsia" w:ascii="仿宋" w:hAnsi="仿宋" w:eastAsia="仿宋" w:cs="仿宋"/>
          <w:sz w:val="24"/>
          <w:highlight w:val="none"/>
          <w:lang w:eastAsia="zh-CN"/>
        </w:rPr>
        <w:t>）</w:t>
      </w:r>
    </w:p>
    <w:p>
      <w:pPr>
        <w:keepNext w:val="0"/>
        <w:keepLines w:val="0"/>
        <w:pageBreakBefore w:val="0"/>
        <w:widowControl w:val="0"/>
        <w:kinsoku/>
        <w:wordWrap w:val="0"/>
        <w:overflowPunct/>
        <w:topLinePunct w:val="0"/>
        <w:bidi w:val="0"/>
        <w:spacing w:line="520" w:lineRule="exact"/>
        <w:ind w:firstLine="140" w:firstLineChars="50"/>
        <w:outlineLvl w:val="9"/>
        <w:rPr>
          <w:rFonts w:hint="eastAsia" w:ascii="仿宋" w:hAnsi="仿宋" w:eastAsia="仿宋" w:cs="仿宋"/>
          <w:bCs/>
          <w:kern w:val="0"/>
          <w:sz w:val="28"/>
          <w:szCs w:val="28"/>
          <w:highlight w:val="none"/>
        </w:rPr>
      </w:pPr>
      <w:r>
        <w:rPr>
          <w:rFonts w:hint="eastAsia" w:ascii="仿宋" w:hAnsi="仿宋" w:eastAsia="仿宋" w:cs="仿宋"/>
          <w:bCs/>
          <w:kern w:val="0"/>
          <w:sz w:val="28"/>
          <w:szCs w:val="28"/>
          <w:highlight w:val="none"/>
        </w:rPr>
        <w:t>日 期：</w:t>
      </w:r>
      <w:bookmarkStart w:id="96" w:name="_Toc194663921"/>
      <w:bookmarkStart w:id="97" w:name="_Toc193187100"/>
      <w:bookmarkStart w:id="98" w:name="_Toc424292477"/>
      <w:bookmarkStart w:id="99" w:name="_Toc193126884"/>
      <w:bookmarkStart w:id="100" w:name="_Toc28086"/>
      <w:bookmarkStart w:id="101" w:name="_Toc8578"/>
    </w:p>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b/>
          <w:bCs/>
          <w:sz w:val="36"/>
          <w:szCs w:val="36"/>
          <w:highlight w:val="none"/>
        </w:rPr>
      </w:pPr>
      <w:r>
        <w:rPr>
          <w:rFonts w:hint="eastAsia"/>
          <w:sz w:val="24"/>
          <w:highlight w:val="none"/>
          <w:u w:val="single"/>
        </w:rPr>
        <w:br w:type="page"/>
      </w:r>
      <w:bookmarkEnd w:id="96"/>
      <w:bookmarkEnd w:id="97"/>
      <w:bookmarkEnd w:id="98"/>
      <w:bookmarkEnd w:id="99"/>
      <w:bookmarkEnd w:id="100"/>
      <w:bookmarkEnd w:id="101"/>
      <w:bookmarkStart w:id="102" w:name="_Toc424292478"/>
      <w:r>
        <w:rPr>
          <w:rFonts w:hint="eastAsia" w:ascii="仿宋" w:hAnsi="仿宋" w:eastAsia="仿宋" w:cs="仿宋"/>
          <w:b/>
          <w:bCs/>
          <w:sz w:val="36"/>
          <w:szCs w:val="36"/>
          <w:highlight w:val="none"/>
          <w:lang w:val="en-US" w:eastAsia="zh-CN"/>
        </w:rPr>
        <w:t>3、</w:t>
      </w:r>
      <w:r>
        <w:rPr>
          <w:rFonts w:hint="eastAsia" w:ascii="仿宋" w:hAnsi="仿宋" w:eastAsia="仿宋" w:cs="仿宋"/>
          <w:b/>
          <w:bCs/>
          <w:sz w:val="36"/>
          <w:szCs w:val="36"/>
          <w:highlight w:val="none"/>
        </w:rPr>
        <w:t>分项报价表</w:t>
      </w:r>
    </w:p>
    <w:p>
      <w:pPr>
        <w:keepNext w:val="0"/>
        <w:keepLines w:val="0"/>
        <w:pageBreakBefore w:val="0"/>
        <w:widowControl w:val="0"/>
        <w:kinsoku/>
        <w:wordWrap w:val="0"/>
        <w:overflowPunct/>
        <w:topLinePunct w:val="0"/>
        <w:bidi w:val="0"/>
        <w:jc w:val="center"/>
        <w:outlineLvl w:val="9"/>
        <w:rPr>
          <w:rFonts w:hint="eastAsia"/>
          <w:b/>
          <w:highlight w:val="none"/>
        </w:rPr>
      </w:pPr>
    </w:p>
    <w:p>
      <w:pPr>
        <w:keepNext w:val="0"/>
        <w:keepLines w:val="0"/>
        <w:pageBreakBefore w:val="0"/>
        <w:widowControl w:val="0"/>
        <w:kinsoku/>
        <w:wordWrap w:val="0"/>
        <w:overflowPunct/>
        <w:topLinePunct w:val="0"/>
        <w:bidi w:val="0"/>
        <w:spacing w:line="520" w:lineRule="exact"/>
        <w:jc w:val="left"/>
        <w:outlineLvl w:val="9"/>
        <w:rPr>
          <w:rFonts w:hint="eastAsia" w:ascii="仿宋" w:hAnsi="仿宋" w:eastAsia="仿宋" w:cs="仿宋"/>
          <w:sz w:val="28"/>
          <w:szCs w:val="28"/>
          <w:highlight w:val="none"/>
        </w:rPr>
      </w:pPr>
      <w:r>
        <w:rPr>
          <w:rFonts w:hint="eastAsia" w:ascii="仿宋" w:hAnsi="仿宋" w:eastAsia="仿宋" w:cs="仿宋"/>
          <w:bCs/>
          <w:kern w:val="0"/>
          <w:sz w:val="28"/>
          <w:szCs w:val="28"/>
          <w:highlight w:val="none"/>
        </w:rPr>
        <w:t>项目编号</w:t>
      </w:r>
      <w:r>
        <w:rPr>
          <w:rFonts w:hint="eastAsia" w:ascii="仿宋" w:hAnsi="仿宋" w:eastAsia="仿宋" w:cs="仿宋"/>
          <w:sz w:val="28"/>
          <w:szCs w:val="28"/>
          <w:highlight w:val="none"/>
        </w:rPr>
        <w:t>：</w:t>
      </w:r>
    </w:p>
    <w:p>
      <w:pPr>
        <w:pStyle w:val="17"/>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项目名称：</w:t>
      </w:r>
    </w:p>
    <w:tbl>
      <w:tblPr>
        <w:tblStyle w:val="31"/>
        <w:tblW w:w="991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239"/>
        <w:gridCol w:w="1353"/>
        <w:gridCol w:w="1214"/>
        <w:gridCol w:w="1719"/>
        <w:gridCol w:w="995"/>
        <w:gridCol w:w="1126"/>
        <w:gridCol w:w="1056"/>
        <w:gridCol w:w="71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3"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1239"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名 称</w:t>
            </w:r>
          </w:p>
        </w:tc>
        <w:tc>
          <w:tcPr>
            <w:tcW w:w="1353"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品牌/型号</w:t>
            </w:r>
          </w:p>
        </w:tc>
        <w:tc>
          <w:tcPr>
            <w:tcW w:w="1214"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制造厂家</w:t>
            </w:r>
          </w:p>
        </w:tc>
        <w:tc>
          <w:tcPr>
            <w:tcW w:w="1719"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规格和说明</w:t>
            </w:r>
          </w:p>
        </w:tc>
        <w:tc>
          <w:tcPr>
            <w:tcW w:w="995"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数量/单位</w:t>
            </w:r>
          </w:p>
        </w:tc>
        <w:tc>
          <w:tcPr>
            <w:tcW w:w="1126" w:type="dxa"/>
            <w:noWrap w:val="0"/>
            <w:tcMar>
              <w:top w:w="28" w:type="dxa"/>
              <w:left w:w="57" w:type="dxa"/>
              <w:bottom w:w="28"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单价</w:t>
            </w:r>
          </w:p>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15"/>
                <w:szCs w:val="15"/>
                <w:highlight w:val="none"/>
              </w:rPr>
              <w:t>（人民币：元）</w:t>
            </w:r>
          </w:p>
        </w:tc>
        <w:tc>
          <w:tcPr>
            <w:tcW w:w="1056" w:type="dxa"/>
            <w:noWrap w:val="0"/>
            <w:tcMar>
              <w:top w:w="28" w:type="dxa"/>
              <w:left w:w="57" w:type="dxa"/>
              <w:bottom w:w="28"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总价</w:t>
            </w:r>
          </w:p>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15"/>
                <w:szCs w:val="15"/>
                <w:highlight w:val="none"/>
              </w:rPr>
              <w:t>（人民币：元）</w:t>
            </w:r>
          </w:p>
        </w:tc>
        <w:tc>
          <w:tcPr>
            <w:tcW w:w="711" w:type="dxa"/>
            <w:noWrap w:val="0"/>
            <w:tcMar>
              <w:top w:w="28" w:type="dxa"/>
              <w:left w:w="57" w:type="dxa"/>
              <w:bottom w:w="28"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03"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1239"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1353"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1214"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1719"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995"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firstLine="480" w:firstLineChars="200"/>
              <w:jc w:val="center"/>
              <w:outlineLvl w:val="9"/>
              <w:rPr>
                <w:rFonts w:hint="eastAsia" w:ascii="仿宋" w:hAnsi="仿宋" w:eastAsia="仿宋" w:cs="仿宋"/>
                <w:sz w:val="24"/>
                <w:szCs w:val="24"/>
                <w:highlight w:val="none"/>
              </w:rPr>
            </w:pPr>
          </w:p>
        </w:tc>
        <w:tc>
          <w:tcPr>
            <w:tcW w:w="1126"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1056"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711"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03"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1239"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1353"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1214"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1719"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995"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firstLine="480" w:firstLineChars="200"/>
              <w:jc w:val="center"/>
              <w:outlineLvl w:val="9"/>
              <w:rPr>
                <w:rFonts w:hint="eastAsia" w:ascii="仿宋" w:hAnsi="仿宋" w:eastAsia="仿宋" w:cs="仿宋"/>
                <w:sz w:val="24"/>
                <w:szCs w:val="24"/>
                <w:highlight w:val="none"/>
              </w:rPr>
            </w:pPr>
          </w:p>
        </w:tc>
        <w:tc>
          <w:tcPr>
            <w:tcW w:w="1126"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1056"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c>
          <w:tcPr>
            <w:tcW w:w="711"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503"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p>
        </w:tc>
        <w:tc>
          <w:tcPr>
            <w:tcW w:w="1239"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default" w:ascii="仿宋" w:hAnsi="仿宋" w:eastAsia="仿宋" w:cs="仿宋"/>
                <w:sz w:val="24"/>
                <w:szCs w:val="24"/>
                <w:highlight w:val="none"/>
              </w:rPr>
              <w:t>…</w:t>
            </w:r>
          </w:p>
        </w:tc>
        <w:tc>
          <w:tcPr>
            <w:tcW w:w="1353"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default" w:ascii="仿宋" w:hAnsi="仿宋" w:eastAsia="仿宋" w:cs="仿宋"/>
                <w:sz w:val="24"/>
                <w:szCs w:val="24"/>
                <w:highlight w:val="none"/>
              </w:rPr>
              <w:t>…</w:t>
            </w:r>
          </w:p>
        </w:tc>
        <w:tc>
          <w:tcPr>
            <w:tcW w:w="1214"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default" w:ascii="仿宋" w:hAnsi="仿宋" w:eastAsia="仿宋" w:cs="仿宋"/>
                <w:sz w:val="24"/>
                <w:szCs w:val="24"/>
                <w:highlight w:val="none"/>
              </w:rPr>
              <w:t>…</w:t>
            </w:r>
          </w:p>
        </w:tc>
        <w:tc>
          <w:tcPr>
            <w:tcW w:w="1719"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default" w:ascii="仿宋" w:hAnsi="仿宋" w:eastAsia="仿宋" w:cs="仿宋"/>
                <w:sz w:val="24"/>
                <w:szCs w:val="24"/>
                <w:highlight w:val="none"/>
              </w:rPr>
              <w:t>…</w:t>
            </w:r>
          </w:p>
        </w:tc>
        <w:tc>
          <w:tcPr>
            <w:tcW w:w="995"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firstLine="480" w:firstLineChars="200"/>
              <w:jc w:val="center"/>
              <w:outlineLvl w:val="9"/>
              <w:rPr>
                <w:rFonts w:hint="eastAsia" w:ascii="仿宋" w:hAnsi="仿宋" w:eastAsia="仿宋" w:cs="仿宋"/>
                <w:sz w:val="24"/>
                <w:szCs w:val="24"/>
                <w:highlight w:val="none"/>
              </w:rPr>
            </w:pPr>
            <w:r>
              <w:rPr>
                <w:rFonts w:hint="default" w:ascii="仿宋" w:hAnsi="仿宋" w:eastAsia="仿宋" w:cs="仿宋"/>
                <w:sz w:val="24"/>
                <w:szCs w:val="24"/>
                <w:highlight w:val="none"/>
              </w:rPr>
              <w:t>…</w:t>
            </w:r>
          </w:p>
        </w:tc>
        <w:tc>
          <w:tcPr>
            <w:tcW w:w="1126"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default" w:ascii="仿宋" w:hAnsi="仿宋" w:eastAsia="仿宋" w:cs="仿宋"/>
                <w:sz w:val="24"/>
                <w:szCs w:val="24"/>
                <w:highlight w:val="none"/>
              </w:rPr>
              <w:t>…</w:t>
            </w:r>
          </w:p>
        </w:tc>
        <w:tc>
          <w:tcPr>
            <w:tcW w:w="1056"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default" w:ascii="仿宋" w:hAnsi="仿宋" w:eastAsia="仿宋" w:cs="仿宋"/>
                <w:sz w:val="24"/>
                <w:szCs w:val="24"/>
                <w:highlight w:val="none"/>
              </w:rPr>
              <w:t>…</w:t>
            </w:r>
          </w:p>
        </w:tc>
        <w:tc>
          <w:tcPr>
            <w:tcW w:w="711" w:type="dxa"/>
            <w:tcBorders>
              <w:bottom w:val="single" w:color="auto" w:sz="4" w:space="0"/>
            </w:tcBorders>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default" w:ascii="仿宋" w:hAnsi="仿宋" w:eastAsia="仿宋" w:cs="仿宋"/>
                <w:sz w:val="24"/>
                <w:szCs w:val="24"/>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42" w:type="dxa"/>
            <w:gridSpan w:val="2"/>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总 计</w:t>
            </w:r>
          </w:p>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（人民币元）</w:t>
            </w:r>
          </w:p>
        </w:tc>
        <w:tc>
          <w:tcPr>
            <w:tcW w:w="4286" w:type="dxa"/>
            <w:gridSpan w:val="3"/>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both"/>
              <w:outlineLvl w:val="9"/>
              <w:rPr>
                <w:rFonts w:hint="eastAsia" w:ascii="仿宋" w:hAnsi="仿宋" w:eastAsia="仿宋" w:cs="仿宋"/>
                <w:sz w:val="24"/>
                <w:szCs w:val="24"/>
                <w:highlight w:val="none"/>
              </w:rPr>
            </w:pPr>
          </w:p>
        </w:tc>
        <w:tc>
          <w:tcPr>
            <w:tcW w:w="3888" w:type="dxa"/>
            <w:gridSpan w:val="4"/>
            <w:noWrap w:val="0"/>
            <w:tcMar>
              <w:left w:w="57" w:type="dxa"/>
              <w:right w:w="57"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both"/>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r>
    </w:tbl>
    <w:p>
      <w:pPr>
        <w:keepNext w:val="0"/>
        <w:keepLines w:val="0"/>
        <w:pageBreakBefore w:val="0"/>
        <w:widowControl w:val="0"/>
        <w:kinsoku/>
        <w:wordWrap w:val="0"/>
        <w:overflowPunct/>
        <w:topLinePunct w:val="0"/>
        <w:bidi w:val="0"/>
        <w:spacing w:line="520" w:lineRule="exact"/>
        <w:outlineLvl w:val="9"/>
        <w:rPr>
          <w:rFonts w:hint="eastAsia" w:ascii="仿宋" w:hAnsi="仿宋" w:eastAsia="仿宋" w:cs="仿宋"/>
          <w:iCs/>
          <w:sz w:val="24"/>
          <w:highlight w:val="none"/>
        </w:rPr>
      </w:pPr>
      <w:r>
        <w:rPr>
          <w:rFonts w:hint="eastAsia" w:ascii="仿宋" w:hAnsi="仿宋" w:eastAsia="仿宋" w:cs="仿宋"/>
          <w:sz w:val="24"/>
          <w:highlight w:val="none"/>
        </w:rPr>
        <w:t>注：1.</w:t>
      </w:r>
      <w:r>
        <w:rPr>
          <w:rFonts w:hint="eastAsia" w:ascii="仿宋" w:hAnsi="仿宋" w:eastAsia="仿宋" w:cs="仿宋"/>
          <w:iCs/>
          <w:sz w:val="24"/>
          <w:highlight w:val="none"/>
        </w:rPr>
        <w:t>注:本表应按“供应商须知”规定的要求填写。</w:t>
      </w:r>
    </w:p>
    <w:p>
      <w:pPr>
        <w:keepNext w:val="0"/>
        <w:keepLines w:val="0"/>
        <w:pageBreakBefore w:val="0"/>
        <w:widowControl w:val="0"/>
        <w:kinsoku/>
        <w:wordWrap w:val="0"/>
        <w:overflowPunct/>
        <w:topLinePunct w:val="0"/>
        <w:bidi w:val="0"/>
        <w:spacing w:line="520" w:lineRule="exact"/>
        <w:ind w:firstLine="480" w:firstLineChars="200"/>
        <w:outlineLvl w:val="9"/>
        <w:rPr>
          <w:rFonts w:hint="eastAsia" w:ascii="仿宋" w:hAnsi="仿宋" w:eastAsia="仿宋" w:cs="仿宋"/>
          <w:sz w:val="24"/>
          <w:highlight w:val="none"/>
        </w:rPr>
      </w:pPr>
      <w:r>
        <w:rPr>
          <w:rFonts w:hint="eastAsia" w:ascii="仿宋" w:hAnsi="仿宋" w:eastAsia="仿宋" w:cs="仿宋"/>
          <w:sz w:val="24"/>
          <w:highlight w:val="none"/>
        </w:rPr>
        <w:t>2.如果按单价计算的结果与总价不一致，以单价为准修正总价。</w:t>
      </w:r>
    </w:p>
    <w:p>
      <w:pPr>
        <w:keepNext w:val="0"/>
        <w:keepLines w:val="0"/>
        <w:pageBreakBefore w:val="0"/>
        <w:widowControl w:val="0"/>
        <w:kinsoku/>
        <w:wordWrap w:val="0"/>
        <w:overflowPunct/>
        <w:topLinePunct w:val="0"/>
        <w:bidi w:val="0"/>
        <w:spacing w:line="520" w:lineRule="exact"/>
        <w:ind w:firstLine="480" w:firstLineChars="200"/>
        <w:outlineLvl w:val="9"/>
        <w:rPr>
          <w:rFonts w:hint="eastAsia" w:ascii="仿宋" w:hAnsi="仿宋" w:eastAsia="仿宋" w:cs="仿宋"/>
          <w:sz w:val="24"/>
          <w:highlight w:val="none"/>
        </w:rPr>
      </w:pPr>
      <w:r>
        <w:rPr>
          <w:rFonts w:hint="eastAsia" w:ascii="仿宋" w:hAnsi="仿宋" w:eastAsia="仿宋" w:cs="仿宋"/>
          <w:sz w:val="24"/>
          <w:highlight w:val="none"/>
        </w:rPr>
        <w:t>3.根据实际情况对具体附属服务项目进行说明。</w:t>
      </w:r>
    </w:p>
    <w:p>
      <w:pPr>
        <w:keepNext w:val="0"/>
        <w:keepLines w:val="0"/>
        <w:pageBreakBefore w:val="0"/>
        <w:widowControl w:val="0"/>
        <w:kinsoku/>
        <w:wordWrap w:val="0"/>
        <w:overflowPunct/>
        <w:topLinePunct w:val="0"/>
        <w:bidi w:val="0"/>
        <w:spacing w:line="520" w:lineRule="exact"/>
        <w:ind w:firstLine="480" w:firstLineChars="200"/>
        <w:outlineLvl w:val="9"/>
        <w:rPr>
          <w:rFonts w:hint="eastAsia" w:ascii="仿宋" w:hAnsi="仿宋" w:eastAsia="仿宋" w:cs="仿宋"/>
          <w:sz w:val="24"/>
          <w:highlight w:val="none"/>
        </w:rPr>
      </w:pPr>
      <w:r>
        <w:rPr>
          <w:rFonts w:hint="eastAsia" w:ascii="仿宋" w:hAnsi="仿宋" w:eastAsia="仿宋" w:cs="仿宋"/>
          <w:sz w:val="24"/>
          <w:highlight w:val="none"/>
        </w:rPr>
        <w:t>4.本表可根据需要自行扩展</w:t>
      </w:r>
    </w:p>
    <w:p>
      <w:pPr>
        <w:keepNext w:val="0"/>
        <w:keepLines w:val="0"/>
        <w:pageBreakBefore w:val="0"/>
        <w:widowControl w:val="0"/>
        <w:kinsoku/>
        <w:wordWrap w:val="0"/>
        <w:overflowPunct/>
        <w:topLinePunct w:val="0"/>
        <w:bidi w:val="0"/>
        <w:spacing w:line="520" w:lineRule="exact"/>
        <w:ind w:firstLine="420" w:firstLineChars="200"/>
        <w:outlineLvl w:val="9"/>
        <w:rPr>
          <w:rFonts w:hint="eastAsia" w:ascii="仿宋" w:hAnsi="仿宋" w:eastAsia="仿宋" w:cs="仿宋"/>
          <w:highlight w:val="none"/>
        </w:rPr>
      </w:pPr>
    </w:p>
    <w:p>
      <w:pPr>
        <w:keepNext w:val="0"/>
        <w:keepLines w:val="0"/>
        <w:pageBreakBefore w:val="0"/>
        <w:widowControl w:val="0"/>
        <w:kinsoku/>
        <w:wordWrap w:val="0"/>
        <w:overflowPunct/>
        <w:topLinePunct w:val="0"/>
        <w:bidi w:val="0"/>
        <w:spacing w:line="520" w:lineRule="exact"/>
        <w:ind w:firstLine="420" w:firstLineChars="200"/>
        <w:outlineLvl w:val="9"/>
        <w:rPr>
          <w:rFonts w:hint="eastAsia" w:ascii="仿宋" w:hAnsi="仿宋" w:eastAsia="仿宋" w:cs="仿宋"/>
          <w:sz w:val="24"/>
          <w:highlight w:val="none"/>
        </w:rPr>
      </w:pPr>
      <w:r>
        <w:rPr>
          <w:rFonts w:hint="eastAsia" w:ascii="仿宋" w:hAnsi="仿宋" w:eastAsia="仿宋" w:cs="仿宋"/>
          <w:highlight w:val="none"/>
        </w:rPr>
        <w:t>供应商：</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（盖章） </w:t>
      </w:r>
    </w:p>
    <w:p>
      <w:pPr>
        <w:keepNext w:val="0"/>
        <w:keepLines w:val="0"/>
        <w:pageBreakBefore w:val="0"/>
        <w:widowControl w:val="0"/>
        <w:kinsoku/>
        <w:wordWrap w:val="0"/>
        <w:overflowPunct/>
        <w:topLinePunct w:val="0"/>
        <w:bidi w:val="0"/>
        <w:spacing w:line="520" w:lineRule="exact"/>
        <w:ind w:firstLine="420" w:firstLineChars="200"/>
        <w:outlineLvl w:val="9"/>
        <w:rPr>
          <w:rFonts w:hint="eastAsia" w:ascii="仿宋" w:hAnsi="仿宋" w:eastAsia="仿宋" w:cs="仿宋"/>
          <w:highlight w:val="none"/>
          <w:u w:val="single"/>
        </w:rPr>
      </w:pPr>
      <w:r>
        <w:rPr>
          <w:rFonts w:hint="eastAsia" w:ascii="仿宋" w:hAnsi="仿宋" w:eastAsia="仿宋" w:cs="仿宋"/>
          <w:highlight w:val="none"/>
          <w:lang w:val="zh-CN"/>
        </w:rPr>
        <w:t>法人或被授权人</w:t>
      </w:r>
      <w:r>
        <w:rPr>
          <w:rFonts w:hint="eastAsia" w:ascii="仿宋" w:hAnsi="仿宋" w:eastAsia="仿宋" w:cs="仿宋"/>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zh-CN"/>
        </w:rPr>
        <w:t>签字或盖章</w:t>
      </w:r>
      <w:r>
        <w:rPr>
          <w:rFonts w:hint="eastAsia" w:ascii="仿宋" w:hAnsi="仿宋" w:eastAsia="仿宋" w:cs="仿宋"/>
          <w:sz w:val="24"/>
          <w:highlight w:val="none"/>
          <w:u w:val="single"/>
          <w:lang w:eastAsia="zh-CN"/>
        </w:rPr>
        <w:t>）</w:t>
      </w:r>
    </w:p>
    <w:p>
      <w:pPr>
        <w:keepNext w:val="0"/>
        <w:keepLines w:val="0"/>
        <w:pageBreakBefore w:val="0"/>
        <w:widowControl w:val="0"/>
        <w:kinsoku/>
        <w:wordWrap w:val="0"/>
        <w:overflowPunct/>
        <w:topLinePunct w:val="0"/>
        <w:bidi w:val="0"/>
        <w:spacing w:line="520" w:lineRule="exact"/>
        <w:ind w:firstLine="420" w:firstLineChars="200"/>
        <w:outlineLvl w:val="9"/>
        <w:rPr>
          <w:rFonts w:hint="eastAsia" w:ascii="仿宋" w:hAnsi="仿宋" w:eastAsia="仿宋" w:cs="仿宋"/>
          <w:highlight w:val="none"/>
          <w:u w:val="single"/>
        </w:rPr>
      </w:pPr>
      <w:r>
        <w:rPr>
          <w:rFonts w:hint="eastAsia" w:ascii="仿宋" w:hAnsi="仿宋" w:eastAsia="仿宋" w:cs="仿宋"/>
          <w:highlight w:val="none"/>
        </w:rPr>
        <w:t>日 期：</w:t>
      </w:r>
      <w:bookmarkStart w:id="103" w:name="_Toc188808837"/>
      <w:bookmarkStart w:id="104" w:name="_Toc193187102"/>
      <w:bookmarkStart w:id="105" w:name="_Toc193126886"/>
      <w:bookmarkStart w:id="106" w:name="_Toc194663923"/>
    </w:p>
    <w:bookmarkEnd w:id="102"/>
    <w:bookmarkEnd w:id="103"/>
    <w:bookmarkEnd w:id="104"/>
    <w:bookmarkEnd w:id="105"/>
    <w:bookmarkEnd w:id="106"/>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b/>
          <w:bCs/>
          <w:sz w:val="36"/>
          <w:szCs w:val="36"/>
          <w:highlight w:val="none"/>
        </w:rPr>
      </w:pPr>
      <w:bookmarkStart w:id="107" w:name="_Toc16499"/>
      <w:bookmarkStart w:id="108" w:name="_Toc4818"/>
      <w:bookmarkStart w:id="109" w:name="OLE_LINK11"/>
      <w:r>
        <w:rPr>
          <w:rFonts w:hint="eastAsia" w:ascii="仿宋" w:hAnsi="仿宋" w:eastAsia="仿宋" w:cs="仿宋"/>
          <w:b/>
          <w:sz w:val="28"/>
          <w:szCs w:val="28"/>
          <w:highlight w:val="none"/>
        </w:rPr>
        <w:br w:type="page"/>
      </w:r>
      <w:bookmarkEnd w:id="107"/>
      <w:bookmarkEnd w:id="108"/>
      <w:r>
        <w:rPr>
          <w:rFonts w:hint="eastAsia" w:ascii="仿宋" w:hAnsi="仿宋" w:eastAsia="仿宋" w:cs="仿宋"/>
          <w:b/>
          <w:bCs/>
          <w:sz w:val="36"/>
          <w:szCs w:val="36"/>
          <w:highlight w:val="none"/>
          <w:lang w:val="en-US" w:eastAsia="zh-CN"/>
        </w:rPr>
        <w:t>4、</w:t>
      </w:r>
      <w:r>
        <w:rPr>
          <w:rFonts w:hint="eastAsia" w:ascii="仿宋" w:hAnsi="仿宋" w:eastAsia="仿宋" w:cs="仿宋"/>
          <w:b/>
          <w:bCs/>
          <w:sz w:val="36"/>
          <w:szCs w:val="36"/>
          <w:highlight w:val="none"/>
        </w:rPr>
        <w:t>技术偏离表</w:t>
      </w:r>
    </w:p>
    <w:p>
      <w:pPr>
        <w:keepNext w:val="0"/>
        <w:keepLines w:val="0"/>
        <w:pageBreakBefore w:val="0"/>
        <w:widowControl w:val="0"/>
        <w:kinsoku/>
        <w:wordWrap w:val="0"/>
        <w:overflowPunct/>
        <w:topLinePunct w:val="0"/>
        <w:bidi w:val="0"/>
        <w:spacing w:line="520" w:lineRule="exact"/>
        <w:jc w:val="left"/>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项目编号：</w:t>
      </w:r>
    </w:p>
    <w:p>
      <w:pPr>
        <w:pStyle w:val="17"/>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项目名称：</w:t>
      </w:r>
    </w:p>
    <w:tbl>
      <w:tblPr>
        <w:tblStyle w:val="31"/>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3"/>
        <w:gridCol w:w="2659"/>
        <w:gridCol w:w="1689"/>
        <w:gridCol w:w="131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序号</w:t>
            </w: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竞争性谈判文件</w:t>
            </w:r>
          </w:p>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技术需求</w:t>
            </w: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竞争性谈判响应文件技术响应</w:t>
            </w: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偏离情况</w:t>
            </w: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说 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48"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48"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48"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tcBorders>
              <w:bottom w:val="single" w:color="auto" w:sz="4" w:space="0"/>
            </w:tcBorders>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883"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5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8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319"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bl>
    <w:p>
      <w:pPr>
        <w:keepNext w:val="0"/>
        <w:keepLines w:val="0"/>
        <w:pageBreakBefore w:val="0"/>
        <w:widowControl w:val="0"/>
        <w:kinsoku/>
        <w:wordWrap w:val="0"/>
        <w:overflowPunct/>
        <w:topLinePunct w:val="0"/>
        <w:bidi w:val="0"/>
        <w:spacing w:line="520" w:lineRule="exact"/>
        <w:ind w:firstLine="630" w:firstLineChars="300"/>
        <w:outlineLvl w:val="9"/>
        <w:rPr>
          <w:rFonts w:hint="eastAsia" w:ascii="仿宋" w:hAnsi="仿宋" w:eastAsia="仿宋" w:cs="仿宋"/>
          <w:szCs w:val="21"/>
          <w:highlight w:val="none"/>
          <w:lang w:val="zh-CN"/>
        </w:rPr>
      </w:pPr>
      <w:r>
        <w:rPr>
          <w:rFonts w:hint="eastAsia" w:ascii="仿宋" w:hAnsi="仿宋" w:eastAsia="仿宋" w:cs="仿宋"/>
          <w:szCs w:val="21"/>
          <w:highlight w:val="none"/>
        </w:rPr>
        <w:t>注：如有漏报、瞒报谈判文件所要求的性能指标等将视为没有实质性响应谈判文件</w:t>
      </w:r>
      <w:r>
        <w:rPr>
          <w:rFonts w:hint="eastAsia" w:ascii="仿宋" w:hAnsi="仿宋" w:eastAsia="仿宋" w:cs="仿宋"/>
          <w:szCs w:val="21"/>
          <w:highlight w:val="none"/>
          <w:lang w:val="zh-CN"/>
        </w:rPr>
        <w:t>。</w:t>
      </w:r>
    </w:p>
    <w:p>
      <w:pPr>
        <w:keepNext w:val="0"/>
        <w:keepLines w:val="0"/>
        <w:pageBreakBefore w:val="0"/>
        <w:widowControl w:val="0"/>
        <w:kinsoku/>
        <w:wordWrap w:val="0"/>
        <w:overflowPunct/>
        <w:topLinePunct w:val="0"/>
        <w:bidi w:val="0"/>
        <w:spacing w:line="520" w:lineRule="exact"/>
        <w:ind w:firstLine="630" w:firstLineChars="300"/>
        <w:outlineLvl w:val="9"/>
        <w:rPr>
          <w:rFonts w:hint="eastAsia" w:ascii="仿宋" w:hAnsi="仿宋" w:eastAsia="仿宋" w:cs="仿宋"/>
          <w:szCs w:val="21"/>
          <w:highlight w:val="none"/>
          <w:lang w:val="zh-CN"/>
        </w:rPr>
      </w:pPr>
    </w:p>
    <w:p>
      <w:pPr>
        <w:keepNext w:val="0"/>
        <w:keepLines w:val="0"/>
        <w:pageBreakBefore w:val="0"/>
        <w:widowControl w:val="0"/>
        <w:kinsoku/>
        <w:wordWrap w:val="0"/>
        <w:overflowPunct/>
        <w:topLinePunct w:val="0"/>
        <w:bidi w:val="0"/>
        <w:spacing w:line="520" w:lineRule="exact"/>
        <w:ind w:firstLine="630" w:firstLineChars="300"/>
        <w:outlineLvl w:val="9"/>
        <w:rPr>
          <w:rFonts w:hint="eastAsia" w:ascii="仿宋" w:hAnsi="仿宋" w:eastAsia="仿宋" w:cs="仿宋"/>
          <w:szCs w:val="21"/>
          <w:highlight w:val="none"/>
          <w:lang w:val="zh-CN" w:eastAsia="zh-CN"/>
        </w:rPr>
      </w:pPr>
      <w:r>
        <w:rPr>
          <w:rFonts w:hint="eastAsia" w:ascii="仿宋" w:hAnsi="仿宋" w:eastAsia="仿宋" w:cs="仿宋"/>
          <w:szCs w:val="21"/>
          <w:highlight w:val="none"/>
          <w:lang w:val="zh-CN"/>
        </w:rPr>
        <w:t>供应商名称：</w:t>
      </w:r>
      <w:r>
        <w:rPr>
          <w:rFonts w:hint="eastAsia" w:ascii="仿宋" w:hAnsi="仿宋" w:eastAsia="仿宋" w:cs="仿宋"/>
          <w:sz w:val="28"/>
          <w:szCs w:val="28"/>
          <w:highlight w:val="none"/>
          <w:u w:val="single"/>
        </w:rPr>
        <w:t xml:space="preserve">                </w:t>
      </w:r>
      <w:r>
        <w:rPr>
          <w:rFonts w:hint="eastAsia" w:ascii="仿宋" w:hAnsi="仿宋" w:eastAsia="仿宋" w:cs="仿宋"/>
          <w:szCs w:val="21"/>
          <w:highlight w:val="none"/>
          <w:lang w:eastAsia="zh-CN"/>
        </w:rPr>
        <w:t>（</w:t>
      </w:r>
      <w:r>
        <w:rPr>
          <w:rFonts w:hint="eastAsia" w:ascii="仿宋" w:hAnsi="仿宋" w:eastAsia="仿宋" w:cs="仿宋"/>
          <w:szCs w:val="21"/>
          <w:highlight w:val="none"/>
        </w:rPr>
        <w:t>供应商公章</w:t>
      </w:r>
      <w:r>
        <w:rPr>
          <w:rFonts w:hint="eastAsia" w:ascii="仿宋" w:hAnsi="仿宋" w:eastAsia="仿宋" w:cs="仿宋"/>
          <w:szCs w:val="21"/>
          <w:highlight w:val="none"/>
          <w:lang w:eastAsia="zh-CN"/>
        </w:rPr>
        <w:t>）</w:t>
      </w:r>
    </w:p>
    <w:p>
      <w:pPr>
        <w:keepNext w:val="0"/>
        <w:keepLines w:val="0"/>
        <w:pageBreakBefore w:val="0"/>
        <w:widowControl w:val="0"/>
        <w:kinsoku/>
        <w:wordWrap w:val="0"/>
        <w:overflowPunct/>
        <w:topLinePunct w:val="0"/>
        <w:bidi w:val="0"/>
        <w:spacing w:line="520" w:lineRule="exact"/>
        <w:ind w:firstLine="630" w:firstLineChars="300"/>
        <w:outlineLvl w:val="9"/>
        <w:rPr>
          <w:rFonts w:hint="eastAsia" w:ascii="仿宋" w:hAnsi="仿宋" w:eastAsia="仿宋" w:cs="仿宋"/>
          <w:szCs w:val="21"/>
          <w:highlight w:val="none"/>
        </w:rPr>
      </w:pPr>
      <w:r>
        <w:rPr>
          <w:rFonts w:hint="eastAsia" w:ascii="仿宋" w:hAnsi="仿宋" w:eastAsia="仿宋" w:cs="仿宋"/>
          <w:szCs w:val="21"/>
          <w:highlight w:val="none"/>
          <w:lang w:val="zh-CN"/>
        </w:rPr>
        <w:t>法人或被授权人</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lang w:eastAsia="zh-CN"/>
        </w:rPr>
        <w:t>（</w:t>
      </w:r>
      <w:r>
        <w:rPr>
          <w:rFonts w:hint="eastAsia" w:ascii="仿宋" w:hAnsi="仿宋" w:eastAsia="仿宋" w:cs="仿宋"/>
          <w:szCs w:val="21"/>
          <w:highlight w:val="none"/>
          <w:lang w:val="zh-CN"/>
        </w:rPr>
        <w:t>签字或盖章</w:t>
      </w:r>
      <w:r>
        <w:rPr>
          <w:rFonts w:hint="eastAsia" w:ascii="仿宋" w:hAnsi="仿宋" w:eastAsia="仿宋" w:cs="仿宋"/>
          <w:szCs w:val="21"/>
          <w:highlight w:val="none"/>
          <w:lang w:eastAsia="zh-CN"/>
        </w:rPr>
        <w:t>）</w:t>
      </w:r>
    </w:p>
    <w:p>
      <w:pPr>
        <w:keepNext w:val="0"/>
        <w:keepLines w:val="0"/>
        <w:pageBreakBefore w:val="0"/>
        <w:widowControl w:val="0"/>
        <w:kinsoku/>
        <w:wordWrap w:val="0"/>
        <w:overflowPunct/>
        <w:topLinePunct w:val="0"/>
        <w:bidi w:val="0"/>
        <w:spacing w:line="520" w:lineRule="exact"/>
        <w:ind w:firstLine="630" w:firstLineChars="300"/>
        <w:outlineLvl w:val="9"/>
        <w:rPr>
          <w:rFonts w:hint="eastAsia" w:ascii="仿宋" w:hAnsi="仿宋" w:eastAsia="仿宋" w:cs="仿宋"/>
          <w:szCs w:val="21"/>
          <w:highlight w:val="none"/>
          <w:u w:val="single"/>
        </w:rPr>
      </w:pPr>
      <w:r>
        <w:rPr>
          <w:rFonts w:hint="eastAsia" w:ascii="仿宋" w:hAnsi="仿宋" w:eastAsia="仿宋" w:cs="仿宋"/>
          <w:szCs w:val="21"/>
          <w:highlight w:val="none"/>
        </w:rPr>
        <w:t>日 期：</w:t>
      </w:r>
      <w:bookmarkStart w:id="110" w:name="_Toc17831"/>
      <w:bookmarkStart w:id="111" w:name="_Toc424292479"/>
      <w:bookmarkStart w:id="112" w:name="_Toc26992"/>
    </w:p>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b/>
          <w:bCs/>
          <w:sz w:val="36"/>
          <w:szCs w:val="36"/>
          <w:highlight w:val="none"/>
        </w:rPr>
      </w:pPr>
      <w:r>
        <w:rPr>
          <w:rFonts w:hint="eastAsia" w:ascii="仿宋" w:hAnsi="仿宋" w:eastAsia="仿宋" w:cs="仿宋"/>
          <w:szCs w:val="21"/>
          <w:highlight w:val="none"/>
          <w:u w:val="single"/>
        </w:rPr>
        <w:br w:type="page"/>
      </w:r>
      <w:bookmarkEnd w:id="110"/>
      <w:bookmarkEnd w:id="111"/>
      <w:bookmarkEnd w:id="112"/>
      <w:bookmarkStart w:id="113" w:name="_Toc18616"/>
      <w:r>
        <w:rPr>
          <w:rFonts w:hint="eastAsia" w:ascii="仿宋" w:hAnsi="仿宋" w:eastAsia="仿宋" w:cs="仿宋"/>
          <w:b/>
          <w:bCs/>
          <w:sz w:val="36"/>
          <w:szCs w:val="36"/>
          <w:highlight w:val="none"/>
          <w:lang w:val="en-US" w:eastAsia="zh-CN"/>
        </w:rPr>
        <w:t>5、</w:t>
      </w:r>
      <w:r>
        <w:rPr>
          <w:rFonts w:hint="eastAsia" w:ascii="仿宋" w:hAnsi="仿宋" w:eastAsia="仿宋" w:cs="仿宋"/>
          <w:b/>
          <w:bCs/>
          <w:sz w:val="36"/>
          <w:szCs w:val="36"/>
          <w:highlight w:val="none"/>
        </w:rPr>
        <w:t>商务偏离表</w:t>
      </w:r>
      <w:bookmarkEnd w:id="113"/>
    </w:p>
    <w:p>
      <w:pPr>
        <w:keepNext w:val="0"/>
        <w:keepLines w:val="0"/>
        <w:pageBreakBefore w:val="0"/>
        <w:widowControl w:val="0"/>
        <w:kinsoku/>
        <w:wordWrap w:val="0"/>
        <w:overflowPunct/>
        <w:topLinePunct w:val="0"/>
        <w:bidi w:val="0"/>
        <w:spacing w:line="520" w:lineRule="exact"/>
        <w:jc w:val="left"/>
        <w:outlineLvl w:val="9"/>
        <w:rPr>
          <w:rFonts w:hint="eastAsia" w:ascii="仿宋" w:hAnsi="仿宋" w:eastAsia="仿宋" w:cs="仿宋"/>
          <w:sz w:val="24"/>
          <w:highlight w:val="none"/>
        </w:rPr>
      </w:pPr>
      <w:r>
        <w:rPr>
          <w:rFonts w:hint="eastAsia" w:ascii="仿宋" w:hAnsi="仿宋" w:eastAsia="仿宋" w:cs="仿宋"/>
          <w:sz w:val="24"/>
          <w:highlight w:val="none"/>
        </w:rPr>
        <w:t>项目编号：</w:t>
      </w:r>
    </w:p>
    <w:p>
      <w:pPr>
        <w:pStyle w:val="17"/>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项目名称：</w:t>
      </w:r>
    </w:p>
    <w:tbl>
      <w:tblPr>
        <w:tblStyle w:val="31"/>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 xml:space="preserve"> 序号</w:t>
            </w: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竞争性谈判文件</w:t>
            </w:r>
          </w:p>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商务要求</w:t>
            </w: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竞争性谈判响应文件</w:t>
            </w:r>
          </w:p>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商务响应</w:t>
            </w: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偏离情况</w:t>
            </w: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678"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270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650" w:type="dxa"/>
            <w:noWrap w:val="0"/>
            <w:tcMar>
              <w:top w:w="57" w:type="dxa"/>
              <w:left w:w="28" w:type="dxa"/>
              <w:bottom w:w="57" w:type="dxa"/>
              <w:right w:w="28" w:type="dxa"/>
            </w:tcMar>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c>
          <w:tcPr>
            <w:tcW w:w="1438" w:type="dxa"/>
            <w:noWrap w:val="0"/>
            <w:vAlign w:val="center"/>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outlineLvl w:val="9"/>
              <w:rPr>
                <w:rFonts w:hint="eastAsia" w:ascii="仿宋" w:hAnsi="仿宋" w:eastAsia="仿宋" w:cs="仿宋"/>
                <w:sz w:val="28"/>
                <w:szCs w:val="28"/>
                <w:highlight w:val="none"/>
              </w:rPr>
            </w:pPr>
          </w:p>
        </w:tc>
      </w:tr>
    </w:tbl>
    <w:p>
      <w:pPr>
        <w:keepNext w:val="0"/>
        <w:keepLines w:val="0"/>
        <w:pageBreakBefore w:val="0"/>
        <w:widowControl w:val="0"/>
        <w:kinsoku/>
        <w:wordWrap w:val="0"/>
        <w:overflowPunct/>
        <w:topLinePunct w:val="0"/>
        <w:bidi w:val="0"/>
        <w:spacing w:line="520" w:lineRule="exact"/>
        <w:outlineLvl w:val="9"/>
        <w:rPr>
          <w:rFonts w:hint="eastAsia" w:ascii="仿宋" w:hAnsi="仿宋" w:eastAsia="仿宋" w:cs="仿宋"/>
          <w:szCs w:val="21"/>
          <w:highlight w:val="none"/>
        </w:rPr>
      </w:pPr>
      <w:r>
        <w:rPr>
          <w:rFonts w:hint="eastAsia" w:ascii="仿宋" w:hAnsi="仿宋" w:eastAsia="仿宋" w:cs="仿宋"/>
          <w:szCs w:val="21"/>
          <w:highlight w:val="none"/>
        </w:rPr>
        <w:t>声明：除本商务偏离表中所列的偏离项目外，其他所有商务均完全响应“谈判文件”中的要求。</w:t>
      </w:r>
    </w:p>
    <w:p>
      <w:pPr>
        <w:keepNext w:val="0"/>
        <w:keepLines w:val="0"/>
        <w:pageBreakBefore w:val="0"/>
        <w:widowControl w:val="0"/>
        <w:kinsoku/>
        <w:wordWrap w:val="0"/>
        <w:overflowPunct/>
        <w:topLinePunct w:val="0"/>
        <w:bidi w:val="0"/>
        <w:spacing w:line="520" w:lineRule="exact"/>
        <w:outlineLvl w:val="9"/>
        <w:rPr>
          <w:rFonts w:hint="eastAsia" w:ascii="仿宋" w:hAnsi="仿宋" w:eastAsia="仿宋" w:cs="仿宋"/>
          <w:sz w:val="24"/>
          <w:highlight w:val="none"/>
        </w:rPr>
      </w:pPr>
      <w:bookmarkStart w:id="114" w:name="_Toc424292480"/>
      <w:bookmarkStart w:id="115" w:name="_Toc775"/>
      <w:r>
        <w:rPr>
          <w:rFonts w:hint="eastAsia" w:ascii="仿宋" w:hAnsi="仿宋" w:eastAsia="仿宋" w:cs="仿宋"/>
          <w:sz w:val="24"/>
          <w:highlight w:val="none"/>
        </w:rPr>
        <w:t>供应商名称：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eastAsia="zh-CN"/>
        </w:rPr>
        <w:t>（</w:t>
      </w:r>
      <w:r>
        <w:rPr>
          <w:rFonts w:hint="eastAsia" w:ascii="仿宋" w:hAnsi="仿宋" w:eastAsia="仿宋" w:cs="仿宋"/>
          <w:szCs w:val="21"/>
          <w:highlight w:val="none"/>
        </w:rPr>
        <w:t>供应商单位公章</w:t>
      </w:r>
      <w:r>
        <w:rPr>
          <w:rFonts w:hint="eastAsia" w:ascii="仿宋" w:hAnsi="仿宋" w:eastAsia="仿宋" w:cs="仿宋"/>
          <w:szCs w:val="21"/>
          <w:highlight w:val="none"/>
          <w:lang w:eastAsia="zh-CN"/>
        </w:rPr>
        <w:t>）</w:t>
      </w:r>
      <w:r>
        <w:rPr>
          <w:rFonts w:hint="eastAsia" w:ascii="仿宋" w:hAnsi="仿宋" w:eastAsia="仿宋" w:cs="仿宋"/>
          <w:szCs w:val="21"/>
          <w:highlight w:val="none"/>
        </w:rPr>
        <w:t xml:space="preserve"> </w:t>
      </w:r>
    </w:p>
    <w:p>
      <w:pPr>
        <w:keepNext w:val="0"/>
        <w:keepLines w:val="0"/>
        <w:pageBreakBefore w:val="0"/>
        <w:widowControl w:val="0"/>
        <w:kinsoku/>
        <w:wordWrap w:val="0"/>
        <w:overflowPunct/>
        <w:topLinePunct w:val="0"/>
        <w:bidi w:val="0"/>
        <w:spacing w:line="520" w:lineRule="exact"/>
        <w:outlineLvl w:val="9"/>
        <w:rPr>
          <w:rFonts w:hint="eastAsia" w:ascii="仿宋" w:hAnsi="仿宋" w:eastAsia="仿宋" w:cs="仿宋"/>
          <w:szCs w:val="21"/>
          <w:highlight w:val="none"/>
        </w:rPr>
      </w:pPr>
      <w:r>
        <w:rPr>
          <w:rFonts w:hint="eastAsia" w:ascii="仿宋" w:hAnsi="仿宋" w:eastAsia="仿宋" w:cs="仿宋"/>
          <w:szCs w:val="21"/>
          <w:highlight w:val="none"/>
          <w:lang w:val="zh-CN"/>
        </w:rPr>
        <w:t>法人或被授权人</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eastAsia="zh-CN"/>
        </w:rPr>
        <w:t>（</w:t>
      </w:r>
      <w:r>
        <w:rPr>
          <w:rFonts w:hint="eastAsia" w:ascii="仿宋" w:hAnsi="仿宋" w:eastAsia="仿宋" w:cs="仿宋"/>
          <w:szCs w:val="21"/>
          <w:highlight w:val="none"/>
          <w:lang w:val="zh-CN"/>
        </w:rPr>
        <w:t>签字或盖章</w:t>
      </w:r>
      <w:r>
        <w:rPr>
          <w:rFonts w:hint="eastAsia" w:ascii="仿宋" w:hAnsi="仿宋" w:eastAsia="仿宋" w:cs="仿宋"/>
          <w:szCs w:val="21"/>
          <w:highlight w:val="none"/>
          <w:lang w:eastAsia="zh-CN"/>
        </w:rPr>
        <w:t>）</w:t>
      </w:r>
    </w:p>
    <w:p>
      <w:pPr>
        <w:keepNext w:val="0"/>
        <w:keepLines w:val="0"/>
        <w:pageBreakBefore w:val="0"/>
        <w:widowControl w:val="0"/>
        <w:kinsoku/>
        <w:wordWrap w:val="0"/>
        <w:overflowPunct/>
        <w:topLinePunct w:val="0"/>
        <w:bidi w:val="0"/>
        <w:spacing w:line="520" w:lineRule="exact"/>
        <w:outlineLvl w:val="9"/>
        <w:rPr>
          <w:rFonts w:hint="eastAsia" w:ascii="仿宋" w:hAnsi="仿宋" w:eastAsia="仿宋" w:cs="仿宋"/>
          <w:szCs w:val="21"/>
          <w:highlight w:val="none"/>
        </w:rPr>
      </w:pPr>
      <w:r>
        <w:rPr>
          <w:rFonts w:hint="eastAsia" w:ascii="仿宋" w:hAnsi="仿宋" w:eastAsia="仿宋" w:cs="仿宋"/>
          <w:szCs w:val="21"/>
          <w:highlight w:val="none"/>
        </w:rPr>
        <w:t>日 期：</w:t>
      </w:r>
      <w:bookmarkStart w:id="116" w:name="_Toc47261690"/>
      <w:bookmarkStart w:id="117" w:name="_Toc47418938"/>
      <w:bookmarkStart w:id="118" w:name="_Toc47261885"/>
      <w:bookmarkStart w:id="119" w:name="_Toc47418255"/>
      <w:bookmarkStart w:id="120" w:name="_Toc47262069"/>
      <w:bookmarkStart w:id="121" w:name="_Toc48791235"/>
      <w:bookmarkStart w:id="122" w:name="_Toc47418731"/>
      <w:bookmarkStart w:id="123" w:name="_Toc49019236"/>
      <w:bookmarkStart w:id="124" w:name="_Toc49019497"/>
      <w:bookmarkStart w:id="125" w:name="_Toc48995851"/>
      <w:bookmarkStart w:id="126" w:name="_Toc194663925"/>
      <w:bookmarkStart w:id="127" w:name="_Toc424292481"/>
      <w:bookmarkStart w:id="128" w:name="_Toc188808839"/>
      <w:bookmarkStart w:id="129" w:name="_Toc193126888"/>
      <w:bookmarkStart w:id="130" w:name="_Toc193187104"/>
      <w:bookmarkStart w:id="131" w:name="_Toc21261"/>
    </w:p>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sz w:val="28"/>
          <w:szCs w:val="28"/>
          <w:highlight w:val="none"/>
        </w:rPr>
      </w:pPr>
      <w:r>
        <w:rPr>
          <w:rFonts w:hint="eastAsia" w:ascii="仿宋" w:hAnsi="仿宋" w:eastAsia="仿宋" w:cs="仿宋"/>
          <w:szCs w:val="21"/>
          <w:highlight w:val="none"/>
        </w:rPr>
        <w:br w:type="page"/>
      </w:r>
      <w:r>
        <w:rPr>
          <w:rFonts w:hint="eastAsia" w:ascii="仿宋" w:hAnsi="仿宋" w:eastAsia="仿宋" w:cs="仿宋"/>
          <w:b/>
          <w:bCs/>
          <w:sz w:val="28"/>
          <w:szCs w:val="28"/>
          <w:highlight w:val="none"/>
        </w:rPr>
        <w:t>6</w:t>
      </w:r>
      <w:bookmarkEnd w:id="116"/>
      <w:bookmarkEnd w:id="117"/>
      <w:bookmarkEnd w:id="118"/>
      <w:bookmarkEnd w:id="119"/>
      <w:bookmarkEnd w:id="120"/>
      <w:bookmarkEnd w:id="121"/>
      <w:bookmarkEnd w:id="122"/>
      <w:bookmarkEnd w:id="123"/>
      <w:bookmarkEnd w:id="124"/>
      <w:bookmarkEnd w:id="125"/>
      <w:r>
        <w:rPr>
          <w:rFonts w:hint="eastAsia" w:ascii="仿宋" w:hAnsi="仿宋" w:eastAsia="仿宋" w:cs="仿宋"/>
          <w:b/>
          <w:bCs/>
          <w:sz w:val="28"/>
          <w:szCs w:val="28"/>
          <w:highlight w:val="none"/>
        </w:rPr>
        <w:t>、法定代表人授权书</w:t>
      </w:r>
      <w:bookmarkEnd w:id="114"/>
      <w:bookmarkEnd w:id="115"/>
      <w:bookmarkEnd w:id="126"/>
      <w:bookmarkEnd w:id="127"/>
      <w:bookmarkEnd w:id="128"/>
      <w:bookmarkEnd w:id="129"/>
      <w:bookmarkEnd w:id="130"/>
      <w:bookmarkEnd w:id="131"/>
    </w:p>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b/>
          <w:bCs/>
          <w:sz w:val="24"/>
          <w:highlight w:val="none"/>
        </w:rPr>
      </w:pPr>
      <w:bookmarkStart w:id="132" w:name="_Toc1798"/>
      <w:bookmarkStart w:id="133" w:name="_Toc424292482"/>
      <w:r>
        <w:rPr>
          <w:rFonts w:hint="eastAsia" w:ascii="仿宋" w:hAnsi="仿宋" w:eastAsia="仿宋" w:cs="仿宋"/>
          <w:b/>
          <w:bCs/>
          <w:sz w:val="24"/>
          <w:highlight w:val="none"/>
        </w:rPr>
        <w:t>6-1、法定代表人证明书</w:t>
      </w:r>
      <w:bookmarkEnd w:id="132"/>
      <w:bookmarkEnd w:id="133"/>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980"/>
        <w:gridCol w:w="1965"/>
        <w:gridCol w:w="1336"/>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36" w:type="dxa"/>
            <w:gridSpan w:val="5"/>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致：陕西瑞琪工程咨询有限公司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Merge w:val="restart"/>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企</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业</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法</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人</w:t>
            </w: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 xml:space="preserve">企 业 名 称 </w:t>
            </w: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法 定 地 址</w:t>
            </w: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邮 政 编 码</w:t>
            </w: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网       址</w:t>
            </w: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工商登记机关</w:t>
            </w: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0" w:firstLineChars="100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vMerge w:val="restart"/>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税务登记机关</w:t>
            </w: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机构代码证号或统一社会信用代码</w:t>
            </w: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restart"/>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法 定</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代 表</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人</w:t>
            </w: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姓    名</w:t>
            </w:r>
          </w:p>
        </w:tc>
        <w:tc>
          <w:tcPr>
            <w:tcW w:w="1965"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3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性    别</w:t>
            </w:r>
          </w:p>
        </w:tc>
        <w:tc>
          <w:tcPr>
            <w:tcW w:w="2375"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职    务</w:t>
            </w:r>
          </w:p>
        </w:tc>
        <w:tc>
          <w:tcPr>
            <w:tcW w:w="1965"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3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联系电话</w:t>
            </w:r>
          </w:p>
        </w:tc>
        <w:tc>
          <w:tcPr>
            <w:tcW w:w="2375"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980"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240" w:firstLineChars="10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传    真</w:t>
            </w:r>
          </w:p>
        </w:tc>
        <w:tc>
          <w:tcPr>
            <w:tcW w:w="5676"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080" w:type="dxa"/>
            <w:vMerge w:val="restart"/>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法定代表人身份证复印件</w:t>
            </w:r>
          </w:p>
        </w:tc>
        <w:tc>
          <w:tcPr>
            <w:tcW w:w="3945" w:type="dxa"/>
            <w:gridSpan w:val="2"/>
            <w:vMerge w:val="restart"/>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spacing w:val="-4"/>
                <w:sz w:val="24"/>
                <w:highlight w:val="none"/>
              </w:rPr>
              <w:t>二代身份证双面</w:t>
            </w:r>
          </w:p>
        </w:tc>
        <w:tc>
          <w:tcPr>
            <w:tcW w:w="3711" w:type="dxa"/>
            <w:gridSpan w:val="2"/>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caps/>
                <w:sz w:val="24"/>
                <w:highlight w:val="none"/>
              </w:rPr>
            </w:pPr>
            <w:r>
              <w:rPr>
                <w:rFonts w:hint="eastAsia" w:ascii="仿宋" w:hAnsi="仿宋" w:eastAsia="仿宋" w:cs="仿宋"/>
                <w:caps/>
                <w:sz w:val="24"/>
                <w:highlight w:val="none"/>
              </w:rPr>
              <w:t>（法定代表人签字）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1080"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3945" w:type="dxa"/>
            <w:gridSpan w:val="2"/>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3711" w:type="dxa"/>
            <w:gridSpan w:val="2"/>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caps/>
                <w:sz w:val="24"/>
                <w:highlight w:val="none"/>
              </w:rPr>
            </w:pP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120" w:firstLineChars="50"/>
              <w:jc w:val="center"/>
              <w:outlineLvl w:val="9"/>
              <w:rPr>
                <w:rFonts w:hint="eastAsia" w:ascii="仿宋" w:hAnsi="仿宋" w:eastAsia="仿宋" w:cs="仿宋"/>
                <w:caps/>
                <w:sz w:val="24"/>
                <w:highlight w:val="none"/>
              </w:rPr>
            </w:pPr>
            <w:r>
              <w:rPr>
                <w:rFonts w:hint="eastAsia" w:ascii="仿宋" w:hAnsi="仿宋" w:eastAsia="仿宋" w:cs="仿宋"/>
                <w:caps/>
                <w:sz w:val="24"/>
                <w:highlight w:val="none"/>
              </w:rPr>
              <w:t>（公章）</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caps/>
                <w:sz w:val="24"/>
                <w:highlight w:val="none"/>
              </w:rPr>
            </w:pPr>
            <w:r>
              <w:rPr>
                <w:rFonts w:hint="eastAsia" w:ascii="仿宋" w:hAnsi="仿宋" w:eastAsia="仿宋" w:cs="仿宋"/>
                <w:caps/>
                <w:sz w:val="24"/>
                <w:highlight w:val="none"/>
              </w:rPr>
              <w:t xml:space="preserve">    </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1440" w:firstLineChars="600"/>
              <w:jc w:val="left"/>
              <w:outlineLvl w:val="9"/>
              <w:rPr>
                <w:rFonts w:hint="eastAsia" w:ascii="仿宋" w:hAnsi="仿宋" w:eastAsia="仿宋" w:cs="仿宋"/>
                <w:caps/>
                <w:sz w:val="24"/>
                <w:highlight w:val="none"/>
              </w:rPr>
            </w:pPr>
            <w:r>
              <w:rPr>
                <w:rFonts w:hint="eastAsia" w:ascii="仿宋" w:hAnsi="仿宋" w:eastAsia="仿宋" w:cs="仿宋"/>
                <w:caps/>
                <w:sz w:val="24"/>
                <w:highlight w:val="none"/>
              </w:rPr>
              <w:t>年  月  日</w:t>
            </w:r>
          </w:p>
        </w:tc>
      </w:tr>
    </w:tbl>
    <w:p>
      <w:pPr>
        <w:keepNext w:val="0"/>
        <w:keepLines w:val="0"/>
        <w:pageBreakBefore w:val="0"/>
        <w:widowControl w:val="0"/>
        <w:kinsoku/>
        <w:wordWrap w:val="0"/>
        <w:overflowPunct/>
        <w:topLinePunct w:val="0"/>
        <w:bidi w:val="0"/>
        <w:spacing w:line="520" w:lineRule="exact"/>
        <w:ind w:firstLine="3345" w:firstLineChars="1190"/>
        <w:outlineLvl w:val="9"/>
        <w:rPr>
          <w:rFonts w:hint="eastAsia" w:ascii="仿宋" w:hAnsi="仿宋" w:eastAsia="仿宋" w:cs="仿宋"/>
          <w:b/>
          <w:bCs/>
          <w:sz w:val="28"/>
          <w:szCs w:val="28"/>
          <w:highlight w:val="none"/>
        </w:rPr>
      </w:pPr>
      <w:bookmarkStart w:id="134" w:name="_Toc10735"/>
      <w:bookmarkStart w:id="135" w:name="_Toc424292483"/>
    </w:p>
    <w:p>
      <w:pPr>
        <w:keepNext w:val="0"/>
        <w:keepLines w:val="0"/>
        <w:pageBreakBefore w:val="0"/>
        <w:widowControl w:val="0"/>
        <w:kinsoku/>
        <w:wordWrap w:val="0"/>
        <w:overflowPunct/>
        <w:topLinePunct w:val="0"/>
        <w:bidi w:val="0"/>
        <w:spacing w:line="520" w:lineRule="exact"/>
        <w:ind w:firstLine="3345" w:firstLineChars="1190"/>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6-2、法定代表人授权书</w:t>
      </w:r>
      <w:bookmarkEnd w:id="134"/>
      <w:bookmarkEnd w:id="135"/>
    </w:p>
    <w:tbl>
      <w:tblPr>
        <w:tblStyle w:val="31"/>
        <w:tblW w:w="0" w:type="auto"/>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436"/>
        <w:gridCol w:w="2227"/>
        <w:gridCol w:w="1123"/>
        <w:gridCol w:w="1331"/>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40" w:type="dxa"/>
            <w:gridSpan w:val="6"/>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致：</w:t>
            </w:r>
            <w:r>
              <w:rPr>
                <w:rFonts w:hint="eastAsia" w:ascii="仿宋" w:hAnsi="仿宋" w:eastAsia="仿宋" w:cs="仿宋"/>
                <w:bCs/>
                <w:sz w:val="24"/>
                <w:highlight w:val="none"/>
              </w:rPr>
              <w:t>陕西瑞琪工程咨询有限公司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restart"/>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被</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授</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权</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人</w:t>
            </w: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姓    名</w:t>
            </w:r>
          </w:p>
        </w:tc>
        <w:tc>
          <w:tcPr>
            <w:tcW w:w="3350" w:type="dxa"/>
            <w:gridSpan w:val="2"/>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331"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性    别</w:t>
            </w:r>
          </w:p>
        </w:tc>
        <w:tc>
          <w:tcPr>
            <w:tcW w:w="2497"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职    务</w:t>
            </w:r>
          </w:p>
        </w:tc>
        <w:tc>
          <w:tcPr>
            <w:tcW w:w="3350" w:type="dxa"/>
            <w:gridSpan w:val="2"/>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331"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手机号码</w:t>
            </w:r>
          </w:p>
        </w:tc>
        <w:tc>
          <w:tcPr>
            <w:tcW w:w="2497"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联系电话</w:t>
            </w:r>
          </w:p>
        </w:tc>
        <w:tc>
          <w:tcPr>
            <w:tcW w:w="3350" w:type="dxa"/>
            <w:gridSpan w:val="2"/>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331"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图文传真</w:t>
            </w:r>
          </w:p>
        </w:tc>
        <w:tc>
          <w:tcPr>
            <w:tcW w:w="2497"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通讯地址</w:t>
            </w:r>
          </w:p>
        </w:tc>
        <w:tc>
          <w:tcPr>
            <w:tcW w:w="7178" w:type="dxa"/>
            <w:gridSpan w:val="4"/>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网    址</w:t>
            </w:r>
          </w:p>
        </w:tc>
        <w:tc>
          <w:tcPr>
            <w:tcW w:w="7178" w:type="dxa"/>
            <w:gridSpan w:val="4"/>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restart"/>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被</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授</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权</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项</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目</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与</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内</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容</w:t>
            </w: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项目编号</w:t>
            </w:r>
          </w:p>
        </w:tc>
        <w:tc>
          <w:tcPr>
            <w:tcW w:w="7178" w:type="dxa"/>
            <w:gridSpan w:val="4"/>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项目名称</w:t>
            </w:r>
          </w:p>
        </w:tc>
        <w:tc>
          <w:tcPr>
            <w:tcW w:w="7178" w:type="dxa"/>
            <w:gridSpan w:val="4"/>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lang w:eastAsia="zh-CN"/>
              </w:rPr>
            </w:pPr>
            <w:r>
              <w:rPr>
                <w:rFonts w:hint="eastAsia" w:ascii="仿宋" w:hAnsi="仿宋" w:eastAsia="仿宋" w:cs="仿宋"/>
                <w:bCs/>
                <w:caps/>
                <w:sz w:val="24"/>
                <w:highlight w:val="none"/>
                <w:lang w:eastAsia="zh-CN"/>
              </w:rPr>
              <w:t>标包号</w:t>
            </w:r>
          </w:p>
        </w:tc>
        <w:tc>
          <w:tcPr>
            <w:tcW w:w="7178" w:type="dxa"/>
            <w:gridSpan w:val="4"/>
            <w:noWrap w:val="0"/>
            <w:vAlign w:val="top"/>
          </w:tcPr>
          <w:p>
            <w:pPr>
              <w:keepNext w:val="0"/>
              <w:keepLines w:val="0"/>
              <w:pageBreakBefore w:val="0"/>
              <w:widowControl w:val="0"/>
              <w:suppressLineNumbers w:val="0"/>
              <w:kinsoku/>
              <w:wordWrap w:val="0"/>
              <w:overflowPunct/>
              <w:topLinePunct w:val="0"/>
              <w:bidi w:val="0"/>
              <w:spacing w:before="0" w:beforeAutospacing="0" w:after="0" w:afterAutospacing="0" w:line="520" w:lineRule="exact"/>
              <w:ind w:left="0" w:right="0"/>
              <w:jc w:val="both"/>
              <w:outlineLvl w:val="9"/>
              <w:rPr>
                <w:rFonts w:hint="eastAsia" w:ascii="仿宋" w:hAnsi="仿宋" w:eastAsia="仿宋" w:cs="仿宋"/>
                <w:bCs/>
                <w:caps/>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授权范围</w:t>
            </w:r>
          </w:p>
        </w:tc>
        <w:tc>
          <w:tcPr>
            <w:tcW w:w="7178" w:type="dxa"/>
            <w:gridSpan w:val="4"/>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全权办理本次采购项目的谈判、联系、现场澄清、洽谈、签约、执行等具体事务，签署全部有关文件、文书、协议及合同。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法律责任</w:t>
            </w:r>
          </w:p>
        </w:tc>
        <w:tc>
          <w:tcPr>
            <w:tcW w:w="7178" w:type="dxa"/>
            <w:gridSpan w:val="4"/>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本公司对被授权人在本项目中的签名承担全部法律责任。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1436" w:type="dxa"/>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授权期限</w:t>
            </w:r>
          </w:p>
        </w:tc>
        <w:tc>
          <w:tcPr>
            <w:tcW w:w="7178" w:type="dxa"/>
            <w:gridSpan w:val="4"/>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本授权书自谈判大会之日计算有效期为</w:t>
            </w:r>
            <w:r>
              <w:rPr>
                <w:rFonts w:hint="eastAsia" w:ascii="仿宋" w:hAnsi="仿宋" w:eastAsia="仿宋" w:cs="仿宋"/>
                <w:bCs/>
                <w:caps/>
                <w:sz w:val="24"/>
                <w:highlight w:val="none"/>
                <w:u w:val="single"/>
              </w:rPr>
              <w:t xml:space="preserve"> 90 </w:t>
            </w:r>
            <w:r>
              <w:rPr>
                <w:rFonts w:hint="eastAsia" w:ascii="仿宋" w:hAnsi="仿宋" w:eastAsia="仿宋" w:cs="仿宋"/>
                <w:bCs/>
                <w:caps/>
                <w:sz w:val="24"/>
                <w:highlight w:val="none"/>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9" w:type="dxa"/>
            <w:gridSpan w:val="3"/>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firstLine="560"/>
              <w:jc w:val="center"/>
              <w:outlineLvl w:val="9"/>
              <w:rPr>
                <w:rFonts w:hint="eastAsia" w:ascii="仿宋" w:hAnsi="仿宋" w:eastAsia="仿宋" w:cs="仿宋"/>
                <w:bCs/>
                <w:caps/>
                <w:sz w:val="24"/>
                <w:highlight w:val="none"/>
              </w:rPr>
            </w:pPr>
            <w:r>
              <w:rPr>
                <w:rFonts w:hint="eastAsia" w:ascii="仿宋" w:hAnsi="仿宋" w:eastAsia="仿宋" w:cs="仿宋"/>
                <w:bCs/>
                <w:caps/>
                <w:sz w:val="24"/>
                <w:highlight w:val="none"/>
              </w:rPr>
              <w:t>被授权人身份证复印件</w:t>
            </w:r>
          </w:p>
        </w:tc>
        <w:tc>
          <w:tcPr>
            <w:tcW w:w="4951" w:type="dxa"/>
            <w:gridSpan w:val="3"/>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caps/>
                <w:sz w:val="24"/>
                <w:highlight w:val="none"/>
              </w:rPr>
            </w:pPr>
            <w:r>
              <w:rPr>
                <w:rFonts w:hint="eastAsia" w:ascii="仿宋" w:hAnsi="仿宋" w:eastAsia="仿宋" w:cs="仿宋"/>
                <w:caps/>
                <w:sz w:val="24"/>
                <w:highlight w:val="none"/>
              </w:rPr>
              <w:t>签署栏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9" w:type="dxa"/>
            <w:gridSpan w:val="3"/>
            <w:vMerge w:val="restart"/>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bCs/>
                <w:caps/>
                <w:sz w:val="24"/>
                <w:highlight w:val="none"/>
              </w:rPr>
            </w:pPr>
            <w:r>
              <w:rPr>
                <w:rFonts w:hint="eastAsia" w:ascii="仿宋" w:hAnsi="仿宋" w:eastAsia="仿宋" w:cs="仿宋"/>
                <w:spacing w:val="-4"/>
                <w:sz w:val="24"/>
                <w:highlight w:val="none"/>
              </w:rPr>
              <w:t>二代身份证双面</w:t>
            </w:r>
          </w:p>
        </w:tc>
        <w:tc>
          <w:tcPr>
            <w:tcW w:w="4951" w:type="dxa"/>
            <w:gridSpan w:val="3"/>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both"/>
              <w:outlineLvl w:val="9"/>
              <w:rPr>
                <w:rFonts w:hint="eastAsia" w:ascii="仿宋" w:hAnsi="仿宋" w:eastAsia="仿宋" w:cs="仿宋"/>
                <w:spacing w:val="-4"/>
                <w:sz w:val="24"/>
                <w:highlight w:val="none"/>
              </w:rPr>
            </w:pPr>
            <w:r>
              <w:rPr>
                <w:rFonts w:hint="eastAsia" w:ascii="仿宋" w:hAnsi="仿宋" w:eastAsia="仿宋" w:cs="仿宋"/>
                <w:spacing w:val="-4"/>
                <w:sz w:val="24"/>
                <w:highlight w:val="none"/>
              </w:rPr>
              <w:t>法定代表人签字：</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spacing w:val="-4"/>
                <w:sz w:val="24"/>
                <w:highlight w:val="none"/>
              </w:rPr>
            </w:pP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both"/>
              <w:outlineLvl w:val="9"/>
              <w:rPr>
                <w:rFonts w:hint="eastAsia" w:ascii="仿宋" w:hAnsi="仿宋" w:eastAsia="仿宋" w:cs="仿宋"/>
                <w:spacing w:val="-4"/>
                <w:sz w:val="24"/>
                <w:highlight w:val="none"/>
              </w:rPr>
            </w:pPr>
            <w:r>
              <w:rPr>
                <w:rFonts w:hint="eastAsia" w:ascii="仿宋" w:hAnsi="仿宋" w:eastAsia="仿宋" w:cs="仿宋"/>
                <w:spacing w:val="-4"/>
                <w:sz w:val="24"/>
                <w:highlight w:val="none"/>
              </w:rPr>
              <w:t>被授权代表人签字：</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spacing w:val="-4"/>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9" w:type="dxa"/>
            <w:gridSpan w:val="3"/>
            <w:vMerge w:val="continue"/>
            <w:noWrap w:val="0"/>
            <w:vAlign w:val="top"/>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left"/>
              <w:outlineLvl w:val="9"/>
              <w:rPr>
                <w:rFonts w:hint="eastAsia" w:ascii="仿宋" w:hAnsi="仿宋" w:eastAsia="仿宋" w:cs="仿宋"/>
                <w:bCs/>
                <w:caps/>
                <w:sz w:val="24"/>
                <w:highlight w:val="none"/>
              </w:rPr>
            </w:pPr>
          </w:p>
        </w:tc>
        <w:tc>
          <w:tcPr>
            <w:tcW w:w="4951" w:type="dxa"/>
            <w:gridSpan w:val="3"/>
            <w:noWrap w:val="0"/>
            <w:vAlign w:val="center"/>
          </w:tcPr>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caps/>
                <w:sz w:val="24"/>
                <w:highlight w:val="none"/>
              </w:rPr>
            </w:pP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caps/>
                <w:sz w:val="24"/>
                <w:highlight w:val="none"/>
              </w:rPr>
            </w:pPr>
            <w:r>
              <w:rPr>
                <w:rFonts w:hint="eastAsia" w:ascii="仿宋" w:hAnsi="仿宋" w:eastAsia="仿宋" w:cs="仿宋"/>
                <w:caps/>
                <w:sz w:val="24"/>
                <w:highlight w:val="none"/>
              </w:rPr>
              <w:t>（公章）</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caps/>
                <w:sz w:val="24"/>
                <w:highlight w:val="none"/>
              </w:rPr>
            </w:pP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caps/>
                <w:sz w:val="24"/>
                <w:highlight w:val="none"/>
              </w:rPr>
            </w:pPr>
            <w:r>
              <w:rPr>
                <w:rFonts w:hint="eastAsia" w:ascii="仿宋" w:hAnsi="仿宋" w:eastAsia="仿宋" w:cs="仿宋"/>
                <w:caps/>
                <w:sz w:val="24"/>
                <w:highlight w:val="none"/>
              </w:rPr>
              <w:t>年  月  日</w:t>
            </w:r>
          </w:p>
          <w:p>
            <w:pPr>
              <w:keepNext w:val="0"/>
              <w:keepLines w:val="0"/>
              <w:pageBreakBefore w:val="0"/>
              <w:widowControl w:val="0"/>
              <w:suppressLineNumbers w:val="0"/>
              <w:tabs>
                <w:tab w:val="right" w:leader="dot" w:pos="9022"/>
              </w:tabs>
              <w:kinsoku/>
              <w:wordWrap w:val="0"/>
              <w:overflowPunct/>
              <w:topLinePunct w:val="0"/>
              <w:autoSpaceDE w:val="0"/>
              <w:autoSpaceDN w:val="0"/>
              <w:bidi w:val="0"/>
              <w:adjustRightInd w:val="0"/>
              <w:spacing w:before="0" w:beforeAutospacing="0" w:after="0" w:afterAutospacing="0" w:line="520" w:lineRule="exact"/>
              <w:ind w:left="0" w:right="0"/>
              <w:jc w:val="center"/>
              <w:outlineLvl w:val="9"/>
              <w:rPr>
                <w:rFonts w:hint="eastAsia" w:ascii="仿宋" w:hAnsi="仿宋" w:eastAsia="仿宋" w:cs="仿宋"/>
                <w:caps/>
                <w:sz w:val="24"/>
                <w:highlight w:val="none"/>
              </w:rPr>
            </w:pPr>
          </w:p>
        </w:tc>
      </w:tr>
    </w:tbl>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sz w:val="24"/>
          <w:highlight w:val="none"/>
          <w:u w:val="single"/>
        </w:rPr>
      </w:pPr>
      <w:bookmarkStart w:id="136" w:name="_Toc20459"/>
      <w:r>
        <w:rPr>
          <w:rFonts w:hint="eastAsia" w:ascii="仿宋" w:hAnsi="仿宋" w:eastAsia="仿宋" w:cs="仿宋"/>
          <w:b/>
          <w:sz w:val="28"/>
          <w:szCs w:val="28"/>
          <w:highlight w:val="none"/>
        </w:rPr>
        <w:br w:type="page"/>
      </w:r>
      <w:r>
        <w:rPr>
          <w:rFonts w:hint="eastAsia" w:ascii="仿宋" w:hAnsi="仿宋" w:eastAsia="仿宋" w:cs="仿宋"/>
          <w:b/>
          <w:sz w:val="28"/>
          <w:szCs w:val="28"/>
          <w:highlight w:val="none"/>
        </w:rPr>
        <w:t>7、</w:t>
      </w:r>
      <w:r>
        <w:rPr>
          <w:rFonts w:hint="eastAsia" w:ascii="仿宋" w:hAnsi="仿宋" w:eastAsia="仿宋" w:cs="仿宋"/>
          <w:b/>
          <w:bCs/>
          <w:sz w:val="28"/>
          <w:szCs w:val="28"/>
          <w:highlight w:val="none"/>
        </w:rPr>
        <w:t>资格证明文件</w:t>
      </w:r>
      <w:bookmarkEnd w:id="136"/>
    </w:p>
    <w:p>
      <w:pPr>
        <w:keepNext w:val="0"/>
        <w:keepLines w:val="0"/>
        <w:pageBreakBefore w:val="0"/>
        <w:widowControl w:val="0"/>
        <w:kinsoku/>
        <w:wordWrap w:val="0"/>
        <w:overflowPunct/>
        <w:topLinePunct w:val="0"/>
        <w:bidi w:val="0"/>
        <w:adjustRightInd/>
        <w:snapToGrid/>
        <w:spacing w:line="560" w:lineRule="exact"/>
        <w:ind w:firstLine="280" w:firstLineChars="1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供应商资格要求：</w:t>
      </w:r>
    </w:p>
    <w:p>
      <w:pPr>
        <w:keepNext w:val="0"/>
        <w:keepLines w:val="0"/>
        <w:pageBreakBefore w:val="0"/>
        <w:widowControl w:val="0"/>
        <w:kinsoku/>
        <w:wordWrap w:val="0"/>
        <w:overflowPunct/>
        <w:topLinePunct w:val="0"/>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供应商应是独立承担民事责任能力的法人、其他组织或自然人，法人、其他组织须提供合法有效的营业执照</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或事业单位法人证书</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等证明资料，自然人须提供身份证明；</w:t>
      </w:r>
    </w:p>
    <w:p>
      <w:pPr>
        <w:keepNext w:val="0"/>
        <w:keepLines w:val="0"/>
        <w:pageBreakBefore w:val="0"/>
        <w:widowControl w:val="0"/>
        <w:kinsoku/>
        <w:wordWrap w:val="0"/>
        <w:overflowPunct/>
        <w:topLinePunct w:val="0"/>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供应商提供20</w:t>
      </w:r>
      <w:r>
        <w:rPr>
          <w:rFonts w:hint="eastAsia" w:ascii="仿宋" w:hAnsi="仿宋" w:eastAsia="仿宋" w:cs="仿宋"/>
          <w:sz w:val="28"/>
          <w:szCs w:val="28"/>
          <w:highlight w:val="none"/>
          <w:lang w:val="en-US" w:eastAsia="zh-CN"/>
        </w:rPr>
        <w:t>20</w:t>
      </w:r>
      <w:r>
        <w:rPr>
          <w:rFonts w:hint="eastAsia" w:ascii="仿宋" w:hAnsi="仿宋" w:eastAsia="仿宋" w:cs="仿宋"/>
          <w:sz w:val="28"/>
          <w:szCs w:val="28"/>
          <w:highlight w:val="none"/>
        </w:rPr>
        <w:t>年或202</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年度经审计的财务报告（成立时间至开标时间不足一年的可提供成立后任意时段的资产负债表）或开户银行出具的资信证明或政府采购专业担保机构出具的投标担保函</w:t>
      </w:r>
      <w:r>
        <w:rPr>
          <w:rFonts w:hint="eastAsia" w:ascii="仿宋" w:hAnsi="仿宋" w:eastAsia="仿宋" w:cs="仿宋"/>
          <w:sz w:val="28"/>
          <w:szCs w:val="28"/>
          <w:highlight w:val="none"/>
          <w:lang w:eastAsia="zh-CN"/>
        </w:rPr>
        <w:t>；</w:t>
      </w:r>
    </w:p>
    <w:p>
      <w:pPr>
        <w:keepNext w:val="0"/>
        <w:keepLines w:val="0"/>
        <w:pageBreakBefore w:val="0"/>
        <w:widowControl w:val="0"/>
        <w:kinsoku/>
        <w:wordWrap w:val="0"/>
        <w:overflowPunct/>
        <w:topLinePunct w:val="0"/>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供应商提供开标前六个月内任意一个月的税收缴纳凭证；依法免税的应提供相关文件证明；</w:t>
      </w:r>
    </w:p>
    <w:p>
      <w:pPr>
        <w:keepNext w:val="0"/>
        <w:keepLines w:val="0"/>
        <w:pageBreakBefore w:val="0"/>
        <w:widowControl w:val="0"/>
        <w:kinsoku/>
        <w:wordWrap w:val="0"/>
        <w:overflowPunct/>
        <w:topLinePunct w:val="0"/>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供应商提供开标前六个月内任意一个月已缴纳的社会保障资金缴存单据或社保机构开具的社会保险参保缴费情况证明；依法不需要缴纳社会保障资金的应提供相关文件证明；</w:t>
      </w:r>
    </w:p>
    <w:p>
      <w:pPr>
        <w:keepNext w:val="0"/>
        <w:keepLines w:val="0"/>
        <w:pageBreakBefore w:val="0"/>
        <w:widowControl w:val="0"/>
        <w:kinsoku/>
        <w:wordWrap w:val="0"/>
        <w:overflowPunct/>
        <w:topLinePunct w:val="0"/>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提供履行合同所必需的设备和专业技术能力的书面声明。</w:t>
      </w:r>
    </w:p>
    <w:p>
      <w:pPr>
        <w:keepNext w:val="0"/>
        <w:keepLines w:val="0"/>
        <w:pageBreakBefore w:val="0"/>
        <w:widowControl w:val="0"/>
        <w:kinsoku/>
        <w:wordWrap w:val="0"/>
        <w:overflowPunct/>
        <w:topLinePunct w:val="0"/>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提供参加政府采购活动前三年内在经营活动中没有重大违法记录的书面声明；</w:t>
      </w:r>
    </w:p>
    <w:p>
      <w:pPr>
        <w:pStyle w:val="29"/>
        <w:keepNext w:val="0"/>
        <w:keepLines w:val="0"/>
        <w:pageBreakBefore w:val="0"/>
        <w:widowControl w:val="0"/>
        <w:kinsoku/>
        <w:wordWrap w:val="0"/>
        <w:overflowPunct/>
        <w:topLinePunct w:val="0"/>
        <w:autoSpaceDE w:val="0"/>
        <w:autoSpaceDN w:val="0"/>
        <w:bidi w:val="0"/>
        <w:adjustRightInd/>
        <w:snapToGrid/>
        <w:spacing w:before="0" w:beforeLines="0" w:beforeAutospacing="0" w:after="0" w:afterLines="0" w:afterAutospacing="0"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（7）提供授权委托书及被授权人身份证（法定代表人或自然人直接投标的只须提交其身份证）；</w:t>
      </w:r>
    </w:p>
    <w:p>
      <w:pPr>
        <w:pStyle w:val="29"/>
        <w:keepNext w:val="0"/>
        <w:keepLines w:val="0"/>
        <w:pageBreakBefore w:val="0"/>
        <w:widowControl w:val="0"/>
        <w:kinsoku/>
        <w:wordWrap w:val="0"/>
        <w:overflowPunct/>
        <w:topLinePunct w:val="0"/>
        <w:autoSpaceDE w:val="0"/>
        <w:autoSpaceDN w:val="0"/>
        <w:bidi w:val="0"/>
        <w:adjustRightInd/>
        <w:snapToGrid/>
        <w:spacing w:before="0" w:beforeLines="0" w:beforeAutospacing="0" w:after="0" w:afterLines="0" w:afterAutospacing="0"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8）供应商未被列入“信用中国”网站（www.creditchina.gov.cn）“记录失信被执行人或重大税收违法案件当事人名单或政府采购严重违法失信行为”记录名单。同时，不处于中国政府采购网（www.ccgp.gov.cn）“政府采购不良行为记录”中的禁止参加政府采购活动期间；</w:t>
      </w:r>
    </w:p>
    <w:p>
      <w:pPr>
        <w:pStyle w:val="29"/>
        <w:keepNext w:val="0"/>
        <w:keepLines w:val="0"/>
        <w:pageBreakBefore w:val="0"/>
        <w:widowControl w:val="0"/>
        <w:kinsoku/>
        <w:wordWrap w:val="0"/>
        <w:overflowPunct/>
        <w:topLinePunct w:val="0"/>
        <w:autoSpaceDE w:val="0"/>
        <w:autoSpaceDN w:val="0"/>
        <w:bidi w:val="0"/>
        <w:adjustRightInd/>
        <w:snapToGrid/>
        <w:spacing w:before="0" w:beforeLines="0" w:beforeAutospacing="0" w:after="0" w:afterLines="0" w:afterAutospacing="0" w:line="560" w:lineRule="exact"/>
        <w:ind w:firstLine="42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（9）本项目不接受联合体投标；</w:t>
      </w:r>
    </w:p>
    <w:p>
      <w:pPr>
        <w:pStyle w:val="29"/>
        <w:keepNext w:val="0"/>
        <w:keepLines w:val="0"/>
        <w:pageBreakBefore w:val="0"/>
        <w:widowControl w:val="0"/>
        <w:kinsoku/>
        <w:wordWrap w:val="0"/>
        <w:overflowPunct/>
        <w:topLinePunct w:val="0"/>
        <w:autoSpaceDE w:val="0"/>
        <w:autoSpaceDN w:val="0"/>
        <w:bidi w:val="0"/>
        <w:adjustRightInd/>
        <w:snapToGrid/>
        <w:spacing w:before="0" w:beforeLines="0" w:beforeAutospacing="0" w:after="0" w:afterLines="0" w:afterAutospacing="0" w:line="560" w:lineRule="exact"/>
        <w:ind w:firstLine="420"/>
        <w:textAlignment w:val="auto"/>
        <w:outlineLvl w:val="9"/>
        <w:rPr>
          <w:rFonts w:hint="eastAsia" w:ascii="仿宋" w:hAnsi="仿宋" w:eastAsia="仿宋" w:cs="仿宋"/>
          <w:b/>
          <w:bCs/>
          <w:kern w:val="0"/>
          <w:sz w:val="28"/>
          <w:szCs w:val="28"/>
          <w:highlight w:val="none"/>
        </w:rPr>
      </w:pPr>
      <w:r>
        <w:rPr>
          <w:rFonts w:hint="eastAsia" w:ascii="仿宋" w:hAnsi="仿宋" w:eastAsia="仿宋" w:cs="仿宋"/>
          <w:kern w:val="2"/>
          <w:sz w:val="28"/>
          <w:szCs w:val="28"/>
          <w:highlight w:val="none"/>
          <w:lang w:val="en-US" w:eastAsia="zh-CN" w:bidi="ar-SA"/>
        </w:rPr>
        <w:t>（10）单位负责人为同一人或者存在直接控股、管理关系的不同供应商，不得参加同一合同项下的政府采购活动。</w:t>
      </w:r>
      <w:bookmarkStart w:id="137" w:name="_Toc13791"/>
    </w:p>
    <w:p>
      <w:pPr>
        <w:keepNext w:val="0"/>
        <w:keepLines w:val="0"/>
        <w:pageBreakBefore w:val="0"/>
        <w:widowControl w:val="0"/>
        <w:tabs>
          <w:tab w:val="left" w:pos="5250"/>
        </w:tabs>
        <w:kinsoku/>
        <w:wordWrap w:val="0"/>
        <w:overflowPunct/>
        <w:topLinePunct w:val="0"/>
        <w:bidi w:val="0"/>
        <w:jc w:val="center"/>
        <w:outlineLvl w:val="9"/>
        <w:rPr>
          <w:rFonts w:hint="eastAsia" w:ascii="仿宋" w:hAnsi="仿宋" w:eastAsia="仿宋" w:cs="仿宋"/>
          <w:b/>
          <w:sz w:val="28"/>
          <w:szCs w:val="28"/>
          <w:highlight w:val="none"/>
        </w:rPr>
      </w:pPr>
      <w:r>
        <w:rPr>
          <w:rFonts w:hint="eastAsia" w:ascii="仿宋" w:hAnsi="仿宋" w:eastAsia="仿宋" w:cs="仿宋"/>
          <w:b/>
          <w:bCs/>
          <w:kern w:val="0"/>
          <w:sz w:val="28"/>
          <w:szCs w:val="28"/>
          <w:highlight w:val="none"/>
        </w:rPr>
        <w:br w:type="page"/>
      </w:r>
      <w:r>
        <w:rPr>
          <w:rFonts w:hint="eastAsia" w:ascii="仿宋" w:hAnsi="仿宋" w:eastAsia="仿宋" w:cs="仿宋"/>
          <w:b/>
          <w:bCs/>
          <w:kern w:val="0"/>
          <w:sz w:val="28"/>
          <w:szCs w:val="28"/>
          <w:highlight w:val="none"/>
        </w:rPr>
        <w:t>8、</w:t>
      </w:r>
      <w:r>
        <w:rPr>
          <w:rFonts w:hint="eastAsia" w:ascii="仿宋" w:hAnsi="仿宋" w:eastAsia="仿宋" w:cs="仿宋"/>
          <w:b/>
          <w:sz w:val="28"/>
          <w:szCs w:val="28"/>
          <w:highlight w:val="none"/>
        </w:rPr>
        <w:t>具有履行合同所必需的设备和专业技术能力的说明及承诺</w:t>
      </w:r>
      <w:bookmarkEnd w:id="137"/>
    </w:p>
    <w:p>
      <w:pPr>
        <w:pStyle w:val="17"/>
        <w:keepNext w:val="0"/>
        <w:keepLines w:val="0"/>
        <w:pageBreakBefore w:val="0"/>
        <w:widowControl w:val="0"/>
        <w:kinsoku/>
        <w:wordWrap w:val="0"/>
        <w:overflowPunct/>
        <w:topLinePunct w:val="0"/>
        <w:bidi w:val="0"/>
        <w:adjustRightInd w:val="0"/>
        <w:snapToGrid w:val="0"/>
        <w:ind w:firstLine="883"/>
        <w:jc w:val="center"/>
        <w:outlineLvl w:val="9"/>
        <w:rPr>
          <w:rFonts w:hint="eastAsia" w:ascii="仿宋" w:hAnsi="仿宋" w:eastAsia="仿宋" w:cs="仿宋"/>
          <w:b/>
          <w:sz w:val="28"/>
          <w:szCs w:val="28"/>
          <w:highlight w:val="none"/>
        </w:rPr>
      </w:pPr>
    </w:p>
    <w:p>
      <w:pPr>
        <w:pStyle w:val="17"/>
        <w:keepNext w:val="0"/>
        <w:keepLines w:val="0"/>
        <w:pageBreakBefore w:val="0"/>
        <w:widowControl w:val="0"/>
        <w:kinsoku/>
        <w:wordWrap w:val="0"/>
        <w:overflowPunct/>
        <w:topLinePunct w:val="0"/>
        <w:bidi w:val="0"/>
        <w:adjustRightInd w:val="0"/>
        <w:snapToGrid w:val="0"/>
        <w:ind w:firstLine="883"/>
        <w:jc w:val="center"/>
        <w:outlineLvl w:val="9"/>
        <w:rPr>
          <w:rFonts w:hint="eastAsia" w:ascii="仿宋" w:hAnsi="仿宋" w:eastAsia="仿宋" w:cs="仿宋"/>
          <w:b/>
          <w:sz w:val="28"/>
          <w:szCs w:val="28"/>
          <w:highlight w:val="none"/>
        </w:rPr>
      </w:pPr>
    </w:p>
    <w:p>
      <w:pPr>
        <w:keepNext w:val="0"/>
        <w:keepLines w:val="0"/>
        <w:pageBreakBefore w:val="0"/>
        <w:widowControl w:val="0"/>
        <w:kinsoku/>
        <w:wordWrap w:val="0"/>
        <w:overflowPunct/>
        <w:topLinePunct w:val="0"/>
        <w:bidi w:val="0"/>
        <w:spacing w:line="480" w:lineRule="auto"/>
        <w:outlineLvl w:val="9"/>
        <w:rPr>
          <w:rFonts w:hint="eastAsia" w:ascii="仿宋" w:hAnsi="仿宋" w:eastAsia="仿宋" w:cs="仿宋"/>
          <w:spacing w:val="4"/>
          <w:sz w:val="28"/>
          <w:szCs w:val="28"/>
          <w:highlight w:val="none"/>
          <w:u w:val="none"/>
        </w:rPr>
      </w:pPr>
      <w:r>
        <w:rPr>
          <w:rFonts w:hint="eastAsia" w:ascii="仿宋" w:hAnsi="仿宋" w:eastAsia="仿宋" w:cs="仿宋"/>
          <w:spacing w:val="4"/>
          <w:sz w:val="28"/>
          <w:szCs w:val="28"/>
          <w:highlight w:val="none"/>
          <w:u w:val="none"/>
        </w:rPr>
        <w:t>陕西瑞琪工程咨询有限公司：</w:t>
      </w:r>
    </w:p>
    <w:p>
      <w:pPr>
        <w:pStyle w:val="17"/>
        <w:keepNext w:val="0"/>
        <w:keepLines w:val="0"/>
        <w:pageBreakBefore w:val="0"/>
        <w:widowControl w:val="0"/>
        <w:kinsoku/>
        <w:wordWrap w:val="0"/>
        <w:overflowPunct/>
        <w:topLinePunct w:val="0"/>
        <w:bidi w:val="0"/>
        <w:adjustRightInd w:val="0"/>
        <w:snapToGrid w:val="0"/>
        <w:spacing w:line="480" w:lineRule="auto"/>
        <w:ind w:firstLine="496"/>
        <w:outlineLvl w:val="9"/>
        <w:rPr>
          <w:rFonts w:hint="eastAsia" w:ascii="仿宋" w:hAnsi="仿宋" w:eastAsia="仿宋" w:cs="仿宋"/>
          <w:spacing w:val="4"/>
          <w:sz w:val="28"/>
          <w:szCs w:val="28"/>
          <w:highlight w:val="none"/>
        </w:rPr>
      </w:pPr>
      <w:r>
        <w:rPr>
          <w:rFonts w:hint="eastAsia" w:ascii="仿宋" w:hAnsi="仿宋" w:eastAsia="仿宋" w:cs="仿宋"/>
          <w:spacing w:val="4"/>
          <w:sz w:val="28"/>
          <w:szCs w:val="28"/>
          <w:highlight w:val="none"/>
        </w:rPr>
        <w:t xml:space="preserve">   </w:t>
      </w:r>
      <w:r>
        <w:rPr>
          <w:rFonts w:hint="eastAsia" w:ascii="仿宋" w:hAnsi="仿宋" w:eastAsia="仿宋" w:cs="仿宋"/>
          <w:spacing w:val="4"/>
          <w:sz w:val="28"/>
          <w:szCs w:val="28"/>
          <w:highlight w:val="none"/>
          <w:u w:val="single"/>
        </w:rPr>
        <w:t xml:space="preserve">      （</w:t>
      </w:r>
      <w:r>
        <w:rPr>
          <w:rFonts w:hint="eastAsia" w:ascii="仿宋" w:hAnsi="仿宋" w:eastAsia="仿宋" w:cs="仿宋"/>
          <w:spacing w:val="4"/>
          <w:sz w:val="28"/>
          <w:szCs w:val="28"/>
          <w:highlight w:val="none"/>
          <w:u w:val="single"/>
          <w:lang w:val="en-US" w:eastAsia="zh-CN"/>
        </w:rPr>
        <w:t>供应商</w:t>
      </w:r>
      <w:r>
        <w:rPr>
          <w:rFonts w:hint="eastAsia" w:ascii="仿宋" w:hAnsi="仿宋" w:eastAsia="仿宋" w:cs="仿宋"/>
          <w:spacing w:val="4"/>
          <w:sz w:val="28"/>
          <w:szCs w:val="28"/>
          <w:highlight w:val="none"/>
          <w:u w:val="single"/>
        </w:rPr>
        <w:t xml:space="preserve">名称）    </w:t>
      </w:r>
      <w:r>
        <w:rPr>
          <w:rFonts w:hint="eastAsia" w:ascii="仿宋" w:hAnsi="仿宋" w:eastAsia="仿宋" w:cs="仿宋"/>
          <w:spacing w:val="4"/>
          <w:sz w:val="28"/>
          <w:szCs w:val="28"/>
          <w:highlight w:val="none"/>
        </w:rPr>
        <w:t xml:space="preserve"> 于</w:t>
      </w:r>
      <w:r>
        <w:rPr>
          <w:rFonts w:hint="eastAsia" w:ascii="仿宋" w:hAnsi="仿宋" w:eastAsia="仿宋" w:cs="仿宋"/>
          <w:spacing w:val="4"/>
          <w:sz w:val="28"/>
          <w:szCs w:val="28"/>
          <w:highlight w:val="none"/>
          <w:u w:val="single"/>
        </w:rPr>
        <w:t xml:space="preserve">     </w:t>
      </w:r>
      <w:r>
        <w:rPr>
          <w:rFonts w:hint="eastAsia" w:ascii="仿宋" w:hAnsi="仿宋" w:eastAsia="仿宋" w:cs="仿宋"/>
          <w:spacing w:val="4"/>
          <w:sz w:val="28"/>
          <w:szCs w:val="28"/>
          <w:highlight w:val="none"/>
        </w:rPr>
        <w:t>年</w:t>
      </w:r>
      <w:r>
        <w:rPr>
          <w:rFonts w:hint="eastAsia" w:ascii="仿宋" w:hAnsi="仿宋" w:eastAsia="仿宋" w:cs="仿宋"/>
          <w:spacing w:val="4"/>
          <w:sz w:val="28"/>
          <w:szCs w:val="28"/>
          <w:highlight w:val="none"/>
          <w:u w:val="single"/>
        </w:rPr>
        <w:t xml:space="preserve">    </w:t>
      </w:r>
      <w:r>
        <w:rPr>
          <w:rFonts w:hint="eastAsia" w:ascii="仿宋" w:hAnsi="仿宋" w:eastAsia="仿宋" w:cs="仿宋"/>
          <w:spacing w:val="4"/>
          <w:sz w:val="28"/>
          <w:szCs w:val="28"/>
          <w:highlight w:val="none"/>
        </w:rPr>
        <w:t>月</w:t>
      </w:r>
      <w:r>
        <w:rPr>
          <w:rFonts w:hint="eastAsia" w:ascii="仿宋" w:hAnsi="仿宋" w:eastAsia="仿宋" w:cs="仿宋"/>
          <w:spacing w:val="4"/>
          <w:sz w:val="28"/>
          <w:szCs w:val="28"/>
          <w:highlight w:val="none"/>
          <w:u w:val="single"/>
        </w:rPr>
        <w:t xml:space="preserve">   </w:t>
      </w:r>
      <w:r>
        <w:rPr>
          <w:rFonts w:hint="eastAsia" w:ascii="仿宋" w:hAnsi="仿宋" w:eastAsia="仿宋" w:cs="仿宋"/>
          <w:spacing w:val="4"/>
          <w:sz w:val="28"/>
          <w:szCs w:val="28"/>
          <w:highlight w:val="none"/>
        </w:rPr>
        <w:t>日在中华人民共和国境内</w:t>
      </w:r>
      <w:r>
        <w:rPr>
          <w:rFonts w:hint="eastAsia" w:ascii="仿宋" w:hAnsi="仿宋" w:eastAsia="仿宋" w:cs="仿宋"/>
          <w:spacing w:val="4"/>
          <w:sz w:val="28"/>
          <w:szCs w:val="28"/>
          <w:highlight w:val="none"/>
          <w:u w:val="single"/>
        </w:rPr>
        <w:t xml:space="preserve">     （详细注册地址）     </w:t>
      </w:r>
      <w:r>
        <w:rPr>
          <w:rFonts w:hint="eastAsia" w:ascii="仿宋" w:hAnsi="仿宋" w:eastAsia="仿宋" w:cs="仿宋"/>
          <w:spacing w:val="4"/>
          <w:sz w:val="28"/>
          <w:szCs w:val="28"/>
          <w:highlight w:val="none"/>
        </w:rPr>
        <w:t>合法注册并经营，公司主营业务为</w:t>
      </w:r>
      <w:r>
        <w:rPr>
          <w:rFonts w:hint="eastAsia" w:ascii="仿宋" w:hAnsi="仿宋" w:eastAsia="仿宋" w:cs="仿宋"/>
          <w:spacing w:val="4"/>
          <w:sz w:val="28"/>
          <w:szCs w:val="28"/>
          <w:highlight w:val="none"/>
          <w:u w:val="single"/>
        </w:rPr>
        <w:t xml:space="preserve">                          </w:t>
      </w:r>
      <w:r>
        <w:rPr>
          <w:rFonts w:hint="eastAsia" w:ascii="仿宋" w:hAnsi="仿宋" w:eastAsia="仿宋" w:cs="仿宋"/>
          <w:spacing w:val="4"/>
          <w:sz w:val="28"/>
          <w:szCs w:val="28"/>
          <w:highlight w:val="none"/>
        </w:rPr>
        <w:t>，营业（生产经营）面积为</w:t>
      </w:r>
      <w:r>
        <w:rPr>
          <w:rFonts w:hint="eastAsia" w:ascii="仿宋" w:hAnsi="仿宋" w:eastAsia="仿宋" w:cs="仿宋"/>
          <w:spacing w:val="4"/>
          <w:sz w:val="28"/>
          <w:szCs w:val="28"/>
          <w:highlight w:val="none"/>
          <w:u w:val="single"/>
        </w:rPr>
        <w:t xml:space="preserve">             </w:t>
      </w:r>
      <w:r>
        <w:rPr>
          <w:rFonts w:hint="eastAsia" w:ascii="仿宋" w:hAnsi="仿宋" w:eastAsia="仿宋" w:cs="仿宋"/>
          <w:spacing w:val="4"/>
          <w:sz w:val="28"/>
          <w:szCs w:val="28"/>
          <w:highlight w:val="none"/>
        </w:rPr>
        <w:t xml:space="preserve"> ，现有员工数量为</w:t>
      </w:r>
      <w:r>
        <w:rPr>
          <w:rFonts w:hint="eastAsia" w:ascii="仿宋" w:hAnsi="仿宋" w:eastAsia="仿宋" w:cs="仿宋"/>
          <w:spacing w:val="4"/>
          <w:sz w:val="28"/>
          <w:szCs w:val="28"/>
          <w:highlight w:val="none"/>
          <w:u w:val="single"/>
        </w:rPr>
        <w:t xml:space="preserve">         </w:t>
      </w:r>
      <w:r>
        <w:rPr>
          <w:rFonts w:hint="eastAsia" w:ascii="仿宋" w:hAnsi="仿宋" w:eastAsia="仿宋" w:cs="仿宋"/>
          <w:spacing w:val="4"/>
          <w:sz w:val="28"/>
          <w:szCs w:val="28"/>
          <w:highlight w:val="none"/>
        </w:rPr>
        <w:t>，本公司郑重承诺，具有履行本合同所必需的设备和专业技术能力。</w:t>
      </w:r>
    </w:p>
    <w:p>
      <w:pPr>
        <w:pStyle w:val="17"/>
        <w:keepNext w:val="0"/>
        <w:keepLines w:val="0"/>
        <w:pageBreakBefore w:val="0"/>
        <w:widowControl w:val="0"/>
        <w:kinsoku/>
        <w:wordWrap w:val="0"/>
        <w:overflowPunct/>
        <w:topLinePunct w:val="0"/>
        <w:bidi w:val="0"/>
        <w:adjustRightInd w:val="0"/>
        <w:snapToGrid w:val="0"/>
        <w:ind w:firstLine="496"/>
        <w:outlineLvl w:val="9"/>
        <w:rPr>
          <w:rFonts w:hint="eastAsia" w:ascii="仿宋" w:hAnsi="仿宋" w:eastAsia="仿宋" w:cs="仿宋"/>
          <w:spacing w:val="4"/>
          <w:sz w:val="28"/>
          <w:szCs w:val="28"/>
          <w:highlight w:val="none"/>
        </w:rPr>
      </w:pPr>
    </w:p>
    <w:p>
      <w:pPr>
        <w:pStyle w:val="17"/>
        <w:keepNext w:val="0"/>
        <w:keepLines w:val="0"/>
        <w:pageBreakBefore w:val="0"/>
        <w:widowControl w:val="0"/>
        <w:kinsoku/>
        <w:wordWrap w:val="0"/>
        <w:overflowPunct/>
        <w:topLinePunct w:val="0"/>
        <w:bidi w:val="0"/>
        <w:adjustRightInd w:val="0"/>
        <w:snapToGrid w:val="0"/>
        <w:ind w:firstLine="496"/>
        <w:outlineLvl w:val="9"/>
        <w:rPr>
          <w:rFonts w:hint="eastAsia" w:ascii="仿宋" w:hAnsi="仿宋" w:eastAsia="仿宋" w:cs="仿宋"/>
          <w:spacing w:val="4"/>
          <w:sz w:val="28"/>
          <w:szCs w:val="28"/>
          <w:highlight w:val="none"/>
        </w:rPr>
      </w:pPr>
    </w:p>
    <w:p>
      <w:pPr>
        <w:pStyle w:val="17"/>
        <w:keepNext w:val="0"/>
        <w:keepLines w:val="0"/>
        <w:pageBreakBefore w:val="0"/>
        <w:widowControl w:val="0"/>
        <w:kinsoku/>
        <w:wordWrap w:val="0"/>
        <w:overflowPunct/>
        <w:topLinePunct w:val="0"/>
        <w:bidi w:val="0"/>
        <w:adjustRightInd w:val="0"/>
        <w:snapToGrid w:val="0"/>
        <w:ind w:firstLine="496"/>
        <w:outlineLvl w:val="9"/>
        <w:rPr>
          <w:rFonts w:hint="eastAsia" w:ascii="仿宋" w:hAnsi="仿宋" w:eastAsia="仿宋" w:cs="仿宋"/>
          <w:spacing w:val="4"/>
          <w:sz w:val="28"/>
          <w:szCs w:val="28"/>
          <w:highlight w:val="none"/>
        </w:rPr>
      </w:pPr>
    </w:p>
    <w:p>
      <w:pPr>
        <w:keepNext w:val="0"/>
        <w:keepLines w:val="0"/>
        <w:pageBreakBefore w:val="0"/>
        <w:widowControl w:val="0"/>
        <w:kinsoku/>
        <w:wordWrap w:val="0"/>
        <w:overflowPunct/>
        <w:topLinePunct w:val="0"/>
        <w:bidi w:val="0"/>
        <w:spacing w:line="360" w:lineRule="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供应商名称：（公章）                        </w:t>
      </w:r>
    </w:p>
    <w:p>
      <w:pPr>
        <w:keepNext w:val="0"/>
        <w:keepLines w:val="0"/>
        <w:pageBreakBefore w:val="0"/>
        <w:widowControl w:val="0"/>
        <w:kinsoku/>
        <w:wordWrap w:val="0"/>
        <w:overflowPunct/>
        <w:topLinePunct w:val="0"/>
        <w:bidi w:val="0"/>
        <w:spacing w:line="360" w:lineRule="auto"/>
        <w:ind w:firstLine="211"/>
        <w:outlineLvl w:val="9"/>
        <w:rPr>
          <w:rFonts w:hint="eastAsia" w:ascii="仿宋" w:hAnsi="仿宋" w:eastAsia="仿宋" w:cs="仿宋"/>
          <w:sz w:val="28"/>
          <w:szCs w:val="28"/>
          <w:highlight w:val="none"/>
        </w:rPr>
      </w:pPr>
    </w:p>
    <w:p>
      <w:pPr>
        <w:keepNext w:val="0"/>
        <w:keepLines w:val="0"/>
        <w:pageBreakBefore w:val="0"/>
        <w:widowControl w:val="0"/>
        <w:kinsoku/>
        <w:wordWrap w:val="0"/>
        <w:overflowPunct/>
        <w:topLinePunct w:val="0"/>
        <w:bidi w:val="0"/>
        <w:spacing w:line="360" w:lineRule="auto"/>
        <w:outlineLvl w:val="9"/>
        <w:rPr>
          <w:rFonts w:hint="eastAsia" w:ascii="仿宋" w:hAnsi="仿宋" w:eastAsia="仿宋" w:cs="仿宋"/>
          <w:sz w:val="28"/>
          <w:szCs w:val="28"/>
          <w:highlight w:val="none"/>
        </w:rPr>
      </w:pPr>
    </w:p>
    <w:p>
      <w:pPr>
        <w:keepNext w:val="0"/>
        <w:keepLines w:val="0"/>
        <w:pageBreakBefore w:val="0"/>
        <w:widowControl w:val="0"/>
        <w:kinsoku/>
        <w:wordWrap w:val="0"/>
        <w:overflowPunct/>
        <w:topLinePunct w:val="0"/>
        <w:bidi w:val="0"/>
        <w:spacing w:line="360" w:lineRule="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法定代表人/授权代表</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签字或盖章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w:t>
      </w:r>
    </w:p>
    <w:p>
      <w:pPr>
        <w:keepNext w:val="0"/>
        <w:keepLines w:val="0"/>
        <w:pageBreakBefore w:val="0"/>
        <w:widowControl w:val="0"/>
        <w:kinsoku/>
        <w:wordWrap w:val="0"/>
        <w:overflowPunct/>
        <w:topLinePunct w:val="0"/>
        <w:bidi w:val="0"/>
        <w:spacing w:line="360" w:lineRule="auto"/>
        <w:ind w:firstLine="211"/>
        <w:outlineLvl w:val="9"/>
        <w:rPr>
          <w:rFonts w:hint="eastAsia" w:ascii="仿宋" w:hAnsi="仿宋" w:eastAsia="仿宋" w:cs="仿宋"/>
          <w:sz w:val="28"/>
          <w:szCs w:val="28"/>
          <w:highlight w:val="none"/>
        </w:rPr>
      </w:pPr>
    </w:p>
    <w:p>
      <w:pPr>
        <w:keepNext w:val="0"/>
        <w:keepLines w:val="0"/>
        <w:pageBreakBefore w:val="0"/>
        <w:widowControl w:val="0"/>
        <w:kinsoku/>
        <w:wordWrap w:val="0"/>
        <w:overflowPunct/>
        <w:topLinePunct w:val="0"/>
        <w:bidi w:val="0"/>
        <w:spacing w:line="360" w:lineRule="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pPr>
        <w:keepNext w:val="0"/>
        <w:keepLines w:val="0"/>
        <w:pageBreakBefore w:val="0"/>
        <w:widowControl w:val="0"/>
        <w:kinsoku/>
        <w:wordWrap w:val="0"/>
        <w:overflowPunct/>
        <w:topLinePunct w:val="0"/>
        <w:bidi w:val="0"/>
        <w:spacing w:line="480" w:lineRule="exact"/>
        <w:outlineLvl w:val="9"/>
        <w:rPr>
          <w:rFonts w:hint="eastAsia" w:ascii="仿宋" w:hAnsi="仿宋" w:eastAsia="仿宋" w:cs="仿宋"/>
          <w:b/>
          <w:sz w:val="28"/>
          <w:szCs w:val="28"/>
          <w:highlight w:val="none"/>
        </w:rPr>
      </w:pPr>
      <w:r>
        <w:rPr>
          <w:rFonts w:hint="eastAsia" w:ascii="仿宋" w:hAnsi="仿宋" w:eastAsia="仿宋" w:cs="仿宋"/>
          <w:sz w:val="28"/>
          <w:szCs w:val="28"/>
          <w:highlight w:val="none"/>
        </w:rPr>
        <w:t>年  月  日</w:t>
      </w:r>
    </w:p>
    <w:p>
      <w:pPr>
        <w:keepNext w:val="0"/>
        <w:keepLines w:val="0"/>
        <w:pageBreakBefore w:val="0"/>
        <w:widowControl w:val="0"/>
        <w:kinsoku/>
        <w:wordWrap w:val="0"/>
        <w:overflowPunct/>
        <w:topLinePunct w:val="0"/>
        <w:autoSpaceDE w:val="0"/>
        <w:autoSpaceDN w:val="0"/>
        <w:bidi w:val="0"/>
        <w:spacing w:line="520" w:lineRule="exact"/>
        <w:jc w:val="center"/>
        <w:outlineLvl w:val="9"/>
        <w:rPr>
          <w:rFonts w:hint="eastAsia" w:ascii="仿宋" w:hAnsi="仿宋" w:eastAsia="仿宋" w:cs="仿宋"/>
          <w:b/>
          <w:sz w:val="28"/>
          <w:szCs w:val="28"/>
          <w:highlight w:val="none"/>
        </w:rPr>
      </w:pPr>
      <w:bookmarkStart w:id="138" w:name="_Toc4431"/>
      <w:r>
        <w:rPr>
          <w:rFonts w:hint="eastAsia" w:ascii="仿宋" w:hAnsi="仿宋" w:eastAsia="仿宋" w:cs="仿宋"/>
          <w:b/>
          <w:sz w:val="28"/>
          <w:szCs w:val="28"/>
          <w:highlight w:val="none"/>
        </w:rPr>
        <w:br w:type="page"/>
      </w:r>
      <w:r>
        <w:rPr>
          <w:rFonts w:hint="eastAsia" w:ascii="仿宋" w:hAnsi="仿宋" w:eastAsia="仿宋" w:cs="仿宋"/>
          <w:b/>
          <w:sz w:val="28"/>
          <w:szCs w:val="28"/>
          <w:highlight w:val="none"/>
        </w:rPr>
        <w:t>9、技术资料</w:t>
      </w:r>
    </w:p>
    <w:p>
      <w:pPr>
        <w:keepNext w:val="0"/>
        <w:keepLines w:val="0"/>
        <w:pageBreakBefore w:val="0"/>
        <w:widowControl w:val="0"/>
        <w:kinsoku/>
        <w:wordWrap w:val="0"/>
        <w:overflowPunct/>
        <w:topLinePunct w:val="0"/>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p>
    <w:p>
      <w:pPr>
        <w:keepNext w:val="0"/>
        <w:keepLines w:val="0"/>
        <w:pageBreakBefore w:val="0"/>
        <w:widowControl w:val="0"/>
        <w:kinsoku/>
        <w:wordWrap w:val="0"/>
        <w:overflowPunct/>
        <w:topLinePunct w:val="0"/>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注：</w:t>
      </w:r>
      <w:r>
        <w:rPr>
          <w:rFonts w:hint="eastAsia" w:ascii="仿宋" w:hAnsi="仿宋" w:eastAsia="仿宋" w:cs="仿宋"/>
          <w:sz w:val="28"/>
          <w:szCs w:val="28"/>
          <w:highlight w:val="none"/>
        </w:rPr>
        <w:t>根据采购内容及技术要求进行编制）</w:t>
      </w:r>
      <w:bookmarkEnd w:id="138"/>
    </w:p>
    <w:p>
      <w:pPr>
        <w:keepNext w:val="0"/>
        <w:keepLines w:val="0"/>
        <w:pageBreakBefore w:val="0"/>
        <w:widowControl w:val="0"/>
        <w:kinsoku/>
        <w:wordWrap w:val="0"/>
        <w:overflowPunct/>
        <w:topLinePunct w:val="0"/>
        <w:autoSpaceDE w:val="0"/>
        <w:autoSpaceDN w:val="0"/>
        <w:bidi w:val="0"/>
        <w:spacing w:line="520" w:lineRule="exact"/>
        <w:jc w:val="center"/>
        <w:outlineLvl w:val="9"/>
        <w:rPr>
          <w:rFonts w:hint="eastAsia" w:ascii="仿宋" w:hAnsi="仿宋" w:eastAsia="仿宋" w:cs="仿宋"/>
          <w:b/>
          <w:sz w:val="28"/>
          <w:szCs w:val="28"/>
          <w:highlight w:val="none"/>
        </w:rPr>
      </w:pPr>
      <w:bookmarkStart w:id="139" w:name="_Toc11850"/>
      <w:bookmarkStart w:id="140" w:name="_Toc193187108"/>
      <w:bookmarkStart w:id="141" w:name="_Toc188808852"/>
      <w:bookmarkStart w:id="142" w:name="_Toc194663939"/>
      <w:bookmarkStart w:id="143" w:name="_Toc193126902"/>
      <w:r>
        <w:rPr>
          <w:rFonts w:hint="eastAsia" w:ascii="仿宋" w:hAnsi="仿宋" w:eastAsia="仿宋" w:cs="仿宋"/>
          <w:sz w:val="28"/>
          <w:szCs w:val="28"/>
          <w:highlight w:val="none"/>
        </w:rPr>
        <w:br w:type="page"/>
      </w:r>
      <w:r>
        <w:rPr>
          <w:rFonts w:hint="eastAsia" w:ascii="仿宋" w:hAnsi="仿宋" w:eastAsia="仿宋" w:cs="仿宋"/>
          <w:b/>
          <w:sz w:val="28"/>
          <w:szCs w:val="28"/>
          <w:highlight w:val="none"/>
        </w:rPr>
        <w:t>10、售后服务</w:t>
      </w:r>
      <w:bookmarkEnd w:id="139"/>
    </w:p>
    <w:p>
      <w:pPr>
        <w:keepNext w:val="0"/>
        <w:keepLines w:val="0"/>
        <w:pageBreakBefore w:val="0"/>
        <w:widowControl w:val="0"/>
        <w:kinsoku/>
        <w:wordWrap w:val="0"/>
        <w:overflowPunct/>
        <w:topLinePunct w:val="0"/>
        <w:autoSpaceDE w:val="0"/>
        <w:autoSpaceDN w:val="0"/>
        <w:bidi w:val="0"/>
        <w:spacing w:line="520" w:lineRule="exact"/>
        <w:jc w:val="center"/>
        <w:outlineLvl w:val="9"/>
        <w:rPr>
          <w:rFonts w:hint="eastAsia" w:ascii="仿宋" w:hAnsi="仿宋" w:eastAsia="仿宋" w:cs="仿宋"/>
          <w:b/>
          <w:sz w:val="28"/>
          <w:szCs w:val="28"/>
          <w:highlight w:val="none"/>
        </w:rPr>
      </w:pPr>
      <w:bookmarkStart w:id="144" w:name="_Toc997"/>
      <w:r>
        <w:rPr>
          <w:rFonts w:hint="eastAsia" w:ascii="仿宋" w:hAnsi="仿宋" w:eastAsia="仿宋" w:cs="仿宋"/>
          <w:b/>
          <w:sz w:val="28"/>
          <w:szCs w:val="28"/>
          <w:highlight w:val="none"/>
        </w:rPr>
        <w:br w:type="page"/>
      </w:r>
      <w:r>
        <w:rPr>
          <w:rFonts w:hint="eastAsia" w:ascii="仿宋" w:hAnsi="仿宋" w:eastAsia="仿宋" w:cs="仿宋"/>
          <w:b/>
          <w:sz w:val="28"/>
          <w:szCs w:val="28"/>
          <w:highlight w:val="none"/>
        </w:rPr>
        <w:t>11、供应商认为有必要补充说明的事宜</w:t>
      </w:r>
      <w:bookmarkEnd w:id="144"/>
    </w:p>
    <w:bookmarkEnd w:id="140"/>
    <w:bookmarkEnd w:id="141"/>
    <w:bookmarkEnd w:id="142"/>
    <w:bookmarkEnd w:id="143"/>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sz w:val="28"/>
          <w:szCs w:val="28"/>
          <w:highlight w:val="none"/>
        </w:rPr>
      </w:pPr>
      <w:bookmarkStart w:id="145" w:name="_Toc424292489"/>
      <w:r>
        <w:rPr>
          <w:rFonts w:hint="eastAsia" w:ascii="仿宋" w:hAnsi="仿宋" w:eastAsia="仿宋" w:cs="仿宋"/>
          <w:b/>
          <w:bCs/>
          <w:sz w:val="24"/>
          <w:highlight w:val="none"/>
        </w:rPr>
        <w:br w:type="page"/>
      </w:r>
      <w:bookmarkStart w:id="146" w:name="_Toc3614"/>
      <w:r>
        <w:rPr>
          <w:rFonts w:hint="eastAsia" w:ascii="仿宋" w:hAnsi="仿宋" w:eastAsia="仿宋" w:cs="仿宋"/>
          <w:b/>
          <w:bCs/>
          <w:sz w:val="28"/>
          <w:szCs w:val="28"/>
          <w:highlight w:val="none"/>
        </w:rPr>
        <w:t>12、</w:t>
      </w:r>
      <w:r>
        <w:rPr>
          <w:rFonts w:hint="eastAsia" w:ascii="仿宋" w:hAnsi="仿宋" w:eastAsia="仿宋" w:cs="仿宋"/>
          <w:b/>
          <w:sz w:val="28"/>
          <w:szCs w:val="28"/>
          <w:highlight w:val="none"/>
        </w:rPr>
        <w:t>《拒绝政府采购领域商业贿赂承诺书》</w:t>
      </w:r>
      <w:bookmarkEnd w:id="145"/>
      <w:bookmarkEnd w:id="146"/>
    </w:p>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陕西省政府采购供应商</w:t>
      </w:r>
    </w:p>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拒绝政府采购领域商业贿赂承诺书</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为响应党中央、国务院关于治理政府采购领域商业贿赂行为的号召，我单位在此庄严承诺：</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1、在参与政府采购活动中遵纪守法、诚信经营、公平竞标。 </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2、不向采购人、采购代理机构和政府采购评审专家进行任何形式的商业贿赂以谋取交易机会。</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3、不向政府采购采购代理机构和采购人提供虚假资质文件或采用虚假应标方式参与政府采购市场竞争并谋取成交。</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4、不采取“围标、陪标”等商业欺诈手段获得政府采购定单。</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5、不采取不正当手段诋毁、排挤其他供应商。</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6、不在提供商品和服务时“偷梁换柱、以次充好”损害采购人的合法权益。</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7、不与采购人、采购代理机构政府采购评审专家或其它供应商恶意串通，进行质疑和投诉，维护政府采购市场秩序。</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8、尊重和接受政府采购监督管理部门的监督和政府采购代理机构采购要求，承担因违约行为给采购人造成的损失。</w:t>
      </w:r>
    </w:p>
    <w:p>
      <w:pPr>
        <w:keepNext w:val="0"/>
        <w:keepLines w:val="0"/>
        <w:pageBreakBefore w:val="0"/>
        <w:widowControl w:val="0"/>
        <w:kinsoku/>
        <w:wordWrap w:val="0"/>
        <w:overflowPunct/>
        <w:topLinePunct w:val="0"/>
        <w:bidi w:val="0"/>
        <w:spacing w:line="520"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9、不发生其他有悖于政府采购公开、公平、公正和诚信原则的行为。</w:t>
      </w:r>
    </w:p>
    <w:p>
      <w:pPr>
        <w:keepNext w:val="0"/>
        <w:keepLines w:val="0"/>
        <w:pageBreakBefore w:val="0"/>
        <w:widowControl w:val="0"/>
        <w:kinsoku/>
        <w:wordWrap w:val="0"/>
        <w:overflowPunct/>
        <w:topLinePunct w:val="0"/>
        <w:bidi w:val="0"/>
        <w:spacing w:line="520" w:lineRule="exact"/>
        <w:outlineLvl w:val="9"/>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  </w:t>
      </w:r>
    </w:p>
    <w:p>
      <w:pPr>
        <w:keepNext w:val="0"/>
        <w:keepLines w:val="0"/>
        <w:pageBreakBefore w:val="0"/>
        <w:widowControl w:val="0"/>
        <w:kinsoku/>
        <w:wordWrap w:val="0"/>
        <w:overflowPunct/>
        <w:topLinePunct w:val="0"/>
        <w:bidi w:val="0"/>
        <w:spacing w:line="520" w:lineRule="exact"/>
        <w:ind w:firstLine="280" w:firstLineChars="100"/>
        <w:outlineLvl w:val="9"/>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承诺单位：</w:t>
      </w:r>
      <w:r>
        <w:rPr>
          <w:rFonts w:hint="eastAsia" w:ascii="仿宋" w:hAnsi="仿宋" w:eastAsia="仿宋" w:cs="仿宋"/>
          <w:kern w:val="0"/>
          <w:sz w:val="28"/>
          <w:szCs w:val="28"/>
          <w:highlight w:val="none"/>
          <w:u w:val="single"/>
        </w:rPr>
        <w:t>　　                 　</w:t>
      </w:r>
      <w:r>
        <w:rPr>
          <w:rFonts w:hint="eastAsia" w:ascii="仿宋" w:hAnsi="仿宋" w:eastAsia="仿宋" w:cs="仿宋"/>
          <w:kern w:val="0"/>
          <w:sz w:val="28"/>
          <w:szCs w:val="28"/>
          <w:highlight w:val="none"/>
        </w:rPr>
        <w:t>（盖章）</w:t>
      </w:r>
    </w:p>
    <w:p>
      <w:pPr>
        <w:keepNext w:val="0"/>
        <w:keepLines w:val="0"/>
        <w:pageBreakBefore w:val="0"/>
        <w:widowControl w:val="0"/>
        <w:kinsoku/>
        <w:wordWrap w:val="0"/>
        <w:overflowPunct/>
        <w:topLinePunct w:val="0"/>
        <w:bidi w:val="0"/>
        <w:spacing w:line="520" w:lineRule="exact"/>
        <w:ind w:firstLine="280" w:firstLineChars="100"/>
        <w:outlineLvl w:val="9"/>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法定代表人：</w:t>
      </w:r>
      <w:r>
        <w:rPr>
          <w:rFonts w:hint="eastAsia" w:ascii="仿宋" w:hAnsi="仿宋" w:eastAsia="仿宋" w:cs="仿宋"/>
          <w:kern w:val="0"/>
          <w:sz w:val="28"/>
          <w:szCs w:val="28"/>
          <w:highlight w:val="none"/>
          <w:u w:val="single"/>
        </w:rPr>
        <w:t>　　　　　     　　　</w:t>
      </w:r>
      <w:r>
        <w:rPr>
          <w:rFonts w:hint="eastAsia" w:ascii="仿宋" w:hAnsi="仿宋" w:eastAsia="仿宋" w:cs="仿宋"/>
          <w:kern w:val="0"/>
          <w:sz w:val="28"/>
          <w:szCs w:val="28"/>
          <w:highlight w:val="none"/>
        </w:rPr>
        <w:t>（签字</w:t>
      </w:r>
      <w:r>
        <w:rPr>
          <w:rFonts w:hint="eastAsia" w:ascii="仿宋" w:hAnsi="仿宋" w:eastAsia="仿宋" w:cs="仿宋"/>
          <w:kern w:val="0"/>
          <w:sz w:val="28"/>
          <w:szCs w:val="28"/>
          <w:highlight w:val="none"/>
          <w:lang w:eastAsia="zh-CN"/>
        </w:rPr>
        <w:t>或盖章</w:t>
      </w:r>
      <w:r>
        <w:rPr>
          <w:rFonts w:hint="eastAsia" w:ascii="仿宋" w:hAnsi="仿宋" w:eastAsia="仿宋" w:cs="仿宋"/>
          <w:kern w:val="0"/>
          <w:sz w:val="28"/>
          <w:szCs w:val="28"/>
          <w:highlight w:val="none"/>
        </w:rPr>
        <w:t>）</w:t>
      </w:r>
    </w:p>
    <w:p>
      <w:pPr>
        <w:keepNext w:val="0"/>
        <w:keepLines w:val="0"/>
        <w:pageBreakBefore w:val="0"/>
        <w:widowControl w:val="0"/>
        <w:kinsoku/>
        <w:wordWrap w:val="0"/>
        <w:overflowPunct/>
        <w:topLinePunct w:val="0"/>
        <w:bidi w:val="0"/>
        <w:spacing w:line="520" w:lineRule="exact"/>
        <w:ind w:firstLine="280" w:firstLineChars="100"/>
        <w:outlineLvl w:val="9"/>
        <w:rPr>
          <w:rFonts w:hint="eastAsia" w:ascii="仿宋" w:hAnsi="仿宋" w:eastAsia="仿宋" w:cs="仿宋"/>
          <w:kern w:val="0"/>
          <w:sz w:val="28"/>
          <w:szCs w:val="28"/>
          <w:highlight w:val="none"/>
          <w:u w:val="single"/>
        </w:rPr>
      </w:pPr>
      <w:r>
        <w:rPr>
          <w:rFonts w:hint="eastAsia" w:ascii="仿宋" w:hAnsi="仿宋" w:eastAsia="仿宋" w:cs="仿宋"/>
          <w:kern w:val="0"/>
          <w:sz w:val="28"/>
          <w:szCs w:val="28"/>
          <w:highlight w:val="none"/>
        </w:rPr>
        <w:t>地　　址：</w:t>
      </w:r>
      <w:r>
        <w:rPr>
          <w:rFonts w:hint="eastAsia" w:ascii="仿宋" w:hAnsi="仿宋" w:eastAsia="仿宋" w:cs="仿宋"/>
          <w:kern w:val="0"/>
          <w:sz w:val="28"/>
          <w:szCs w:val="28"/>
          <w:highlight w:val="none"/>
          <w:u w:val="single"/>
        </w:rPr>
        <w:t>　　                     　　</w:t>
      </w:r>
    </w:p>
    <w:p>
      <w:pPr>
        <w:keepNext w:val="0"/>
        <w:keepLines w:val="0"/>
        <w:pageBreakBefore w:val="0"/>
        <w:widowControl w:val="0"/>
        <w:kinsoku/>
        <w:wordWrap w:val="0"/>
        <w:overflowPunct/>
        <w:topLinePunct w:val="0"/>
        <w:bidi w:val="0"/>
        <w:spacing w:line="520" w:lineRule="exact"/>
        <w:ind w:firstLine="280" w:firstLineChars="100"/>
        <w:outlineLvl w:val="9"/>
        <w:rPr>
          <w:rFonts w:hint="eastAsia" w:ascii="仿宋" w:hAnsi="仿宋" w:eastAsia="仿宋" w:cs="仿宋"/>
          <w:kern w:val="0"/>
          <w:sz w:val="28"/>
          <w:szCs w:val="28"/>
          <w:highlight w:val="none"/>
          <w:u w:val="single"/>
        </w:rPr>
      </w:pPr>
      <w:r>
        <w:rPr>
          <w:rFonts w:hint="eastAsia" w:ascii="仿宋" w:hAnsi="仿宋" w:eastAsia="仿宋" w:cs="仿宋"/>
          <w:kern w:val="0"/>
          <w:sz w:val="28"/>
          <w:szCs w:val="28"/>
          <w:highlight w:val="none"/>
        </w:rPr>
        <w:t>邮    编：</w:t>
      </w: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u w:val="single"/>
          <w:lang w:val="en-US" w:eastAsia="zh-CN"/>
        </w:rPr>
        <w:t xml:space="preserve">  </w:t>
      </w:r>
      <w:r>
        <w:rPr>
          <w:rFonts w:hint="eastAsia" w:ascii="仿宋" w:hAnsi="仿宋" w:eastAsia="仿宋" w:cs="仿宋"/>
          <w:kern w:val="0"/>
          <w:sz w:val="28"/>
          <w:szCs w:val="28"/>
          <w:highlight w:val="none"/>
          <w:u w:val="single"/>
        </w:rPr>
        <w:t xml:space="preserve"> 　</w:t>
      </w:r>
    </w:p>
    <w:p>
      <w:pPr>
        <w:keepNext w:val="0"/>
        <w:keepLines w:val="0"/>
        <w:pageBreakBefore w:val="0"/>
        <w:widowControl w:val="0"/>
        <w:kinsoku/>
        <w:wordWrap w:val="0"/>
        <w:overflowPunct/>
        <w:topLinePunct w:val="0"/>
        <w:bidi w:val="0"/>
        <w:spacing w:line="520" w:lineRule="exact"/>
        <w:ind w:firstLine="280" w:firstLineChars="100"/>
        <w:outlineLvl w:val="9"/>
        <w:rPr>
          <w:rFonts w:hint="eastAsia" w:ascii="仿宋" w:hAnsi="仿宋" w:eastAsia="仿宋" w:cs="仿宋"/>
          <w:kern w:val="0"/>
          <w:sz w:val="28"/>
          <w:szCs w:val="28"/>
          <w:highlight w:val="none"/>
          <w:u w:val="single"/>
        </w:rPr>
      </w:pPr>
      <w:r>
        <w:rPr>
          <w:rFonts w:hint="eastAsia" w:ascii="仿宋" w:hAnsi="仿宋" w:eastAsia="仿宋" w:cs="仿宋"/>
          <w:kern w:val="0"/>
          <w:sz w:val="28"/>
          <w:szCs w:val="28"/>
          <w:highlight w:val="none"/>
        </w:rPr>
        <w:t>电　　话：</w:t>
      </w:r>
      <w:r>
        <w:rPr>
          <w:rFonts w:hint="eastAsia" w:ascii="仿宋" w:hAnsi="仿宋" w:eastAsia="仿宋" w:cs="仿宋"/>
          <w:kern w:val="0"/>
          <w:sz w:val="28"/>
          <w:szCs w:val="28"/>
          <w:highlight w:val="none"/>
          <w:u w:val="single"/>
        </w:rPr>
        <w:t>　　　                　</w:t>
      </w:r>
      <w:r>
        <w:rPr>
          <w:rFonts w:hint="eastAsia" w:ascii="仿宋" w:hAnsi="仿宋" w:eastAsia="仿宋" w:cs="仿宋"/>
          <w:kern w:val="0"/>
          <w:sz w:val="28"/>
          <w:szCs w:val="28"/>
          <w:highlight w:val="none"/>
          <w:u w:val="single"/>
          <w:lang w:val="en-US" w:eastAsia="zh-CN"/>
        </w:rPr>
        <w:t xml:space="preserve"> </w:t>
      </w:r>
      <w:r>
        <w:rPr>
          <w:rFonts w:hint="eastAsia" w:ascii="仿宋" w:hAnsi="仿宋" w:eastAsia="仿宋" w:cs="仿宋"/>
          <w:kern w:val="0"/>
          <w:sz w:val="28"/>
          <w:szCs w:val="28"/>
          <w:highlight w:val="none"/>
          <w:u w:val="single"/>
        </w:rPr>
        <w:t>　　</w:t>
      </w:r>
    </w:p>
    <w:p>
      <w:pPr>
        <w:keepNext w:val="0"/>
        <w:keepLines w:val="0"/>
        <w:pageBreakBefore w:val="0"/>
        <w:widowControl w:val="0"/>
        <w:kinsoku/>
        <w:wordWrap w:val="0"/>
        <w:overflowPunct/>
        <w:topLinePunct w:val="0"/>
        <w:bidi w:val="0"/>
        <w:spacing w:line="520" w:lineRule="exact"/>
        <w:ind w:firstLine="281" w:firstLineChars="100"/>
        <w:jc w:val="center"/>
        <w:outlineLvl w:val="9"/>
        <w:rPr>
          <w:rFonts w:hint="eastAsia" w:ascii="仿宋" w:hAnsi="仿宋" w:eastAsia="仿宋" w:cs="仿宋"/>
          <w:b/>
          <w:bCs/>
          <w:kern w:val="1"/>
          <w:sz w:val="28"/>
          <w:szCs w:val="28"/>
          <w:highlight w:val="none"/>
        </w:rPr>
      </w:pPr>
      <w:r>
        <w:rPr>
          <w:rFonts w:hint="eastAsia" w:ascii="仿宋" w:hAnsi="仿宋" w:eastAsia="仿宋" w:cs="仿宋"/>
          <w:b/>
          <w:bCs/>
          <w:kern w:val="1"/>
          <w:sz w:val="28"/>
          <w:szCs w:val="28"/>
          <w:highlight w:val="none"/>
        </w:rPr>
        <w:br w:type="page"/>
      </w:r>
      <w:r>
        <w:rPr>
          <w:rFonts w:hint="eastAsia" w:ascii="仿宋" w:hAnsi="仿宋" w:eastAsia="仿宋" w:cs="仿宋"/>
          <w:b/>
          <w:bCs/>
          <w:kern w:val="1"/>
          <w:sz w:val="28"/>
          <w:szCs w:val="28"/>
          <w:highlight w:val="none"/>
        </w:rPr>
        <w:t>13、近3年内经营活动中无重大违法记录声明</w:t>
      </w:r>
    </w:p>
    <w:p>
      <w:pPr>
        <w:pStyle w:val="10"/>
        <w:keepNext w:val="0"/>
        <w:keepLines w:val="0"/>
        <w:pageBreakBefore w:val="0"/>
        <w:widowControl w:val="0"/>
        <w:kinsoku/>
        <w:wordWrap w:val="0"/>
        <w:overflowPunct/>
        <w:topLinePunct w:val="0"/>
        <w:bidi w:val="0"/>
        <w:spacing w:line="520" w:lineRule="exact"/>
        <w:ind w:firstLine="562"/>
        <w:jc w:val="center"/>
        <w:outlineLvl w:val="9"/>
        <w:rPr>
          <w:rFonts w:hint="eastAsia" w:ascii="仿宋" w:hAnsi="仿宋" w:eastAsia="仿宋" w:cs="仿宋"/>
          <w:b/>
          <w:sz w:val="28"/>
          <w:szCs w:val="28"/>
          <w:highlight w:val="none"/>
        </w:rPr>
      </w:pPr>
    </w:p>
    <w:p>
      <w:pPr>
        <w:pStyle w:val="10"/>
        <w:keepNext w:val="0"/>
        <w:keepLines w:val="0"/>
        <w:pageBreakBefore w:val="0"/>
        <w:widowControl w:val="0"/>
        <w:kinsoku/>
        <w:wordWrap w:val="0"/>
        <w:overflowPunct/>
        <w:topLinePunct w:val="0"/>
        <w:bidi w:val="0"/>
        <w:spacing w:line="520" w:lineRule="exact"/>
        <w:ind w:left="0" w:leftChars="0" w:firstLine="0" w:firstLineChars="0"/>
        <w:outlineLvl w:val="9"/>
        <w:rPr>
          <w:rFonts w:ascii="仿宋" w:hAnsi="仿宋" w:eastAsia="仿宋" w:cs="仿宋"/>
          <w:b/>
          <w:sz w:val="28"/>
          <w:szCs w:val="28"/>
          <w:highlight w:val="none"/>
        </w:rPr>
      </w:pPr>
      <w:r>
        <w:rPr>
          <w:rFonts w:hint="eastAsia" w:ascii="仿宋" w:hAnsi="仿宋" w:eastAsia="仿宋" w:cs="仿宋"/>
          <w:b/>
          <w:sz w:val="28"/>
          <w:szCs w:val="28"/>
          <w:highlight w:val="none"/>
        </w:rPr>
        <w:t>致：陕西瑞琪工程咨询有限公司</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我公司</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（供应商名称），就参加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采购项目（采购项目编号： </w:t>
      </w:r>
      <w:r>
        <w:rPr>
          <w:rFonts w:hint="eastAsia" w:ascii="仿宋" w:hAnsi="仿宋" w:eastAsia="仿宋" w:cs="仿宋"/>
          <w:sz w:val="28"/>
          <w:szCs w:val="28"/>
          <w:highlight w:val="none"/>
          <w:lang w:eastAsia="zh-CN"/>
        </w:rPr>
        <w:t>RQDL-2022-044</w:t>
      </w:r>
      <w:r>
        <w:rPr>
          <w:rFonts w:hint="eastAsia" w:ascii="仿宋" w:hAnsi="仿宋" w:eastAsia="仿宋" w:cs="仿宋"/>
          <w:sz w:val="28"/>
          <w:szCs w:val="28"/>
          <w:highlight w:val="none"/>
        </w:rPr>
        <w:t>）投标事宜，在此郑重声明：</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1、我公司所提交的竞争性谈判响应文件全部真实有效；</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2、我公司近3年来无因安全事故、质量事故、投标违规等不良记录被政府有关部门处罚或仍在处罚期限内的情形存在；</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3、我公司近3年来无违规违法经营受到责令停产</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或停止经营</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 吊销生产许可证（或经营许可证）、较大数额罚款等行政处罚的情形存在；</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4、我公司无企业财产被查封、冻结或处于破产状态或严重亏损状态等情形存在；</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5、我公司承诺在投标过程中，保证不予其他单位围标、串标，不出让投标资格，不采取不正当手段诋毁、排挤其他供应商，不向采购人、谈判小组成员行贿。</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6、我公司承诺在投标过程中不存在单位负责人为同一人或者存在直接控股、管理关系的不同供应商。</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以上声明若有违反，一经查实，本公司愿意接受政府有关部门的相应处罚，并愿意承担由此带来的法律后果。</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特此声明！</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声  明  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供应商名称、公章</w:t>
      </w:r>
      <w:r>
        <w:rPr>
          <w:rFonts w:hint="eastAsia" w:ascii="仿宋" w:hAnsi="仿宋" w:eastAsia="仿宋" w:cs="仿宋"/>
          <w:sz w:val="28"/>
          <w:szCs w:val="28"/>
          <w:highlight w:val="none"/>
          <w:lang w:eastAsia="zh-CN"/>
        </w:rPr>
        <w:t>）</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    （签字</w:t>
      </w:r>
      <w:r>
        <w:rPr>
          <w:rFonts w:hint="eastAsia" w:ascii="仿宋" w:hAnsi="仿宋" w:eastAsia="仿宋" w:cs="仿宋"/>
          <w:sz w:val="28"/>
          <w:szCs w:val="28"/>
          <w:highlight w:val="none"/>
          <w:lang w:eastAsia="zh-CN"/>
        </w:rPr>
        <w:t>或盖章</w:t>
      </w:r>
      <w:r>
        <w:rPr>
          <w:rFonts w:hint="eastAsia" w:ascii="仿宋" w:hAnsi="仿宋" w:eastAsia="仿宋" w:cs="仿宋"/>
          <w:sz w:val="28"/>
          <w:szCs w:val="28"/>
          <w:highlight w:val="none"/>
        </w:rPr>
        <w:t>）</w:t>
      </w:r>
    </w:p>
    <w:p>
      <w:pPr>
        <w:pStyle w:val="10"/>
        <w:keepNext w:val="0"/>
        <w:keepLines w:val="0"/>
        <w:pageBreakBefore w:val="0"/>
        <w:widowControl w:val="0"/>
        <w:kinsoku/>
        <w:wordWrap w:val="0"/>
        <w:overflowPunct/>
        <w:topLinePunct w:val="0"/>
        <w:bidi w:val="0"/>
        <w:spacing w:line="520" w:lineRule="exact"/>
        <w:ind w:firstLine="56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日      期：</w:t>
      </w:r>
    </w:p>
    <w:bookmarkEnd w:id="109"/>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sz w:val="24"/>
          <w:highlight w:val="none"/>
        </w:rPr>
      </w:pPr>
      <w:r>
        <w:rPr>
          <w:sz w:val="24"/>
          <w:highlight w:val="none"/>
        </w:rPr>
        <w:br w:type="page"/>
      </w:r>
      <w:r>
        <w:rPr>
          <w:rFonts w:ascii="仿宋" w:hAnsi="仿宋" w:eastAsia="仿宋" w:cs="仿宋"/>
          <w:b/>
          <w:bCs/>
          <w:kern w:val="1"/>
          <w:sz w:val="28"/>
          <w:szCs w:val="28"/>
          <w:highlight w:val="none"/>
        </w:rPr>
        <w:t>14</w:t>
      </w:r>
      <w:r>
        <w:rPr>
          <w:rFonts w:hint="eastAsia" w:ascii="仿宋" w:hAnsi="仿宋" w:eastAsia="仿宋" w:cs="仿宋"/>
          <w:b/>
          <w:bCs/>
          <w:kern w:val="1"/>
          <w:sz w:val="28"/>
          <w:szCs w:val="28"/>
          <w:highlight w:val="none"/>
        </w:rPr>
        <w:t>、中小企业声明函</w:t>
      </w: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本公司郑重声明，根据《政府采购促进中小企业发展管理办法》（财库〔2020〕46号）的规定，本公司参加</w:t>
      </w:r>
      <w:r>
        <w:rPr>
          <w:rFonts w:hint="eastAsia" w:ascii="仿宋" w:hAnsi="仿宋" w:eastAsia="仿宋" w:cs="仿宋"/>
          <w:color w:val="auto"/>
          <w:sz w:val="28"/>
          <w:szCs w:val="28"/>
          <w:highlight w:val="none"/>
          <w:u w:val="single"/>
        </w:rPr>
        <w:t xml:space="preserve"> （单位名称） </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rPr>
        <w:t xml:space="preserve"> （项目名称）</w:t>
      </w:r>
      <w:r>
        <w:rPr>
          <w:rFonts w:hint="eastAsia" w:ascii="仿宋" w:hAnsi="仿宋" w:eastAsia="仿宋" w:cs="仿宋"/>
          <w:color w:val="auto"/>
          <w:sz w:val="28"/>
          <w:szCs w:val="28"/>
          <w:highlight w:val="none"/>
        </w:rPr>
        <w:t>第</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包</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的采购活动，提供的货物全部符合政策要求的中小企业制造。相关企业的具体情况如下：</w:t>
      </w: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u w:val="single"/>
        </w:rPr>
        <w:t xml:space="preserve">  （标的名称）  </w:t>
      </w:r>
      <w:r>
        <w:rPr>
          <w:rFonts w:hint="eastAsia" w:ascii="仿宋" w:hAnsi="仿宋" w:eastAsia="仿宋" w:cs="仿宋"/>
          <w:color w:val="auto"/>
          <w:sz w:val="28"/>
          <w:szCs w:val="28"/>
          <w:highlight w:val="none"/>
        </w:rPr>
        <w:t>，属于</w:t>
      </w:r>
      <w:r>
        <w:rPr>
          <w:rFonts w:hint="eastAsia" w:ascii="仿宋" w:hAnsi="仿宋" w:eastAsia="仿宋" w:cs="仿宋"/>
          <w:color w:val="auto"/>
          <w:sz w:val="28"/>
          <w:szCs w:val="28"/>
          <w:highlight w:val="none"/>
          <w:u w:val="single"/>
        </w:rPr>
        <w:t xml:space="preserve"> （采购文件中明确的所属行业） 行业</w:t>
      </w:r>
      <w:r>
        <w:rPr>
          <w:rFonts w:hint="eastAsia" w:ascii="仿宋" w:hAnsi="仿宋" w:eastAsia="仿宋" w:cs="仿宋"/>
          <w:color w:val="auto"/>
          <w:sz w:val="28"/>
          <w:szCs w:val="28"/>
          <w:highlight w:val="none"/>
        </w:rPr>
        <w:t>；制造商为</w:t>
      </w:r>
      <w:r>
        <w:rPr>
          <w:rFonts w:hint="eastAsia" w:ascii="仿宋" w:hAnsi="仿宋" w:eastAsia="仿宋" w:cs="仿宋"/>
          <w:color w:val="auto"/>
          <w:sz w:val="28"/>
          <w:szCs w:val="28"/>
          <w:highlight w:val="none"/>
          <w:u w:val="single"/>
        </w:rPr>
        <w:t xml:space="preserve"> （企业名称） </w:t>
      </w:r>
      <w:r>
        <w:rPr>
          <w:rFonts w:hint="eastAsia" w:ascii="仿宋" w:hAnsi="仿宋" w:eastAsia="仿宋" w:cs="仿宋"/>
          <w:color w:val="auto"/>
          <w:sz w:val="28"/>
          <w:szCs w:val="28"/>
          <w:highlight w:val="none"/>
        </w:rPr>
        <w:t>，从业人员</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人，营业收入为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万元，资产总额为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万元，属于</w:t>
      </w:r>
      <w:r>
        <w:rPr>
          <w:rFonts w:hint="eastAsia" w:ascii="仿宋" w:hAnsi="仿宋" w:eastAsia="仿宋" w:cs="仿宋"/>
          <w:color w:val="auto"/>
          <w:sz w:val="28"/>
          <w:szCs w:val="28"/>
          <w:highlight w:val="none"/>
          <w:u w:val="single"/>
        </w:rPr>
        <w:t>（中型企业、小型企业、微型企业）</w:t>
      </w:r>
      <w:r>
        <w:rPr>
          <w:rFonts w:hint="eastAsia" w:ascii="仿宋" w:hAnsi="仿宋" w:eastAsia="仿宋" w:cs="仿宋"/>
          <w:color w:val="auto"/>
          <w:sz w:val="28"/>
          <w:szCs w:val="28"/>
          <w:highlight w:val="none"/>
        </w:rPr>
        <w:t>；</w:t>
      </w: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u w:val="single"/>
        </w:rPr>
        <w:t xml:space="preserve">  （标的名称）  </w:t>
      </w:r>
      <w:r>
        <w:rPr>
          <w:rFonts w:hint="eastAsia" w:ascii="仿宋" w:hAnsi="仿宋" w:eastAsia="仿宋" w:cs="仿宋"/>
          <w:color w:val="auto"/>
          <w:sz w:val="28"/>
          <w:szCs w:val="28"/>
          <w:highlight w:val="none"/>
        </w:rPr>
        <w:t>，属于</w:t>
      </w:r>
      <w:r>
        <w:rPr>
          <w:rFonts w:hint="eastAsia" w:ascii="仿宋" w:hAnsi="仿宋" w:eastAsia="仿宋" w:cs="仿宋"/>
          <w:color w:val="auto"/>
          <w:sz w:val="28"/>
          <w:szCs w:val="28"/>
          <w:highlight w:val="none"/>
          <w:u w:val="single"/>
        </w:rPr>
        <w:t xml:space="preserve"> （采购文件中明确的所属行业） 行业</w:t>
      </w:r>
      <w:r>
        <w:rPr>
          <w:rFonts w:hint="eastAsia" w:ascii="仿宋" w:hAnsi="仿宋" w:eastAsia="仿宋" w:cs="仿宋"/>
          <w:color w:val="auto"/>
          <w:sz w:val="28"/>
          <w:szCs w:val="28"/>
          <w:highlight w:val="none"/>
        </w:rPr>
        <w:t>；制造商为</w:t>
      </w:r>
      <w:r>
        <w:rPr>
          <w:rFonts w:hint="eastAsia" w:ascii="仿宋" w:hAnsi="仿宋" w:eastAsia="仿宋" w:cs="仿宋"/>
          <w:color w:val="auto"/>
          <w:sz w:val="28"/>
          <w:szCs w:val="28"/>
          <w:highlight w:val="none"/>
          <w:u w:val="single"/>
        </w:rPr>
        <w:t xml:space="preserve"> （企业名称） </w:t>
      </w:r>
      <w:r>
        <w:rPr>
          <w:rFonts w:hint="eastAsia" w:ascii="仿宋" w:hAnsi="仿宋" w:eastAsia="仿宋" w:cs="仿宋"/>
          <w:color w:val="auto"/>
          <w:sz w:val="28"/>
          <w:szCs w:val="28"/>
          <w:highlight w:val="none"/>
        </w:rPr>
        <w:t>，从业人员</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人，营业收入为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万元，资产总额为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万元，属于</w:t>
      </w:r>
      <w:r>
        <w:rPr>
          <w:rFonts w:hint="eastAsia" w:ascii="仿宋" w:hAnsi="仿宋" w:eastAsia="仿宋" w:cs="仿宋"/>
          <w:color w:val="auto"/>
          <w:sz w:val="28"/>
          <w:szCs w:val="28"/>
          <w:highlight w:val="none"/>
          <w:u w:val="single"/>
        </w:rPr>
        <w:t>（中型企业、小型企业、微型企业）</w:t>
      </w:r>
      <w:r>
        <w:rPr>
          <w:rFonts w:hint="eastAsia" w:ascii="仿宋" w:hAnsi="仿宋" w:eastAsia="仿宋" w:cs="仿宋"/>
          <w:color w:val="auto"/>
          <w:sz w:val="28"/>
          <w:szCs w:val="28"/>
          <w:highlight w:val="none"/>
        </w:rPr>
        <w:t>；</w:t>
      </w: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pPr>
        <w:keepNext w:val="0"/>
        <w:keepLines w:val="0"/>
        <w:pageBreakBefore w:val="0"/>
        <w:widowControl w:val="0"/>
        <w:kinsoku/>
        <w:wordWrap w:val="0"/>
        <w:overflowPunct/>
        <w:topLinePunct w:val="0"/>
        <w:autoSpaceDE/>
        <w:autoSpaceDN/>
        <w:bidi w:val="0"/>
        <w:adjustRightInd/>
        <w:snapToGrid/>
        <w:spacing w:line="500" w:lineRule="exact"/>
        <w:ind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中小企业投标时，应提供声明函（按给定格式）。未提供或未按给定格式提供声明函的，将不能享受招标文件规定的价格扣除，但不影响投标文件的有效性。</w:t>
      </w:r>
    </w:p>
    <w:p>
      <w:pPr>
        <w:keepNext w:val="0"/>
        <w:keepLines w:val="0"/>
        <w:pageBreakBefore w:val="0"/>
        <w:widowControl w:val="0"/>
        <w:kinsoku/>
        <w:wordWrap w:val="0"/>
        <w:overflowPunct/>
        <w:topLinePunct w:val="0"/>
        <w:autoSpaceDE/>
        <w:autoSpaceDN/>
        <w:bidi w:val="0"/>
        <w:adjustRightInd/>
        <w:snapToGrid/>
        <w:spacing w:line="500" w:lineRule="exact"/>
        <w:jc w:val="left"/>
        <w:textAlignment w:val="auto"/>
        <w:outlineLvl w:val="9"/>
        <w:rPr>
          <w:rFonts w:hint="eastAsia" w:ascii="仿宋" w:hAnsi="仿宋" w:eastAsia="仿宋" w:cs="仿宋"/>
          <w:color w:val="auto"/>
          <w:sz w:val="28"/>
          <w:szCs w:val="28"/>
          <w:highlight w:val="none"/>
        </w:rPr>
      </w:pPr>
    </w:p>
    <w:p>
      <w:pPr>
        <w:keepNext w:val="0"/>
        <w:keepLines w:val="0"/>
        <w:pageBreakBefore w:val="0"/>
        <w:widowControl w:val="0"/>
        <w:kinsoku/>
        <w:wordWrap w:val="0"/>
        <w:overflowPunct/>
        <w:topLinePunct w:val="0"/>
        <w:autoSpaceDE/>
        <w:autoSpaceDN/>
        <w:bidi w:val="0"/>
        <w:adjustRightInd/>
        <w:snapToGrid/>
        <w:spacing w:line="500" w:lineRule="exact"/>
        <w:jc w:val="left"/>
        <w:textAlignment w:val="auto"/>
        <w:outlineLvl w:val="9"/>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注：从业人员、营业收入、资产总额填报上一年度数据，无上一年度数据的新成立企业可不填报。</w:t>
      </w:r>
    </w:p>
    <w:p>
      <w:pPr>
        <w:keepNext w:val="0"/>
        <w:keepLines w:val="0"/>
        <w:pageBreakBefore w:val="0"/>
        <w:widowControl w:val="0"/>
        <w:kinsoku/>
        <w:wordWrap w:val="0"/>
        <w:overflowPunct/>
        <w:topLinePunct w:val="0"/>
        <w:bidi w:val="0"/>
        <w:spacing w:line="360" w:lineRule="auto"/>
        <w:ind w:firstLine="4760" w:firstLineChars="1700"/>
        <w:outlineLvl w:val="9"/>
        <w:rPr>
          <w:rFonts w:hint="eastAsia" w:ascii="仿宋" w:hAnsi="仿宋" w:eastAsia="仿宋" w:cs="仿宋"/>
          <w:color w:val="auto"/>
          <w:sz w:val="28"/>
          <w:szCs w:val="28"/>
          <w:highlight w:val="none"/>
        </w:rPr>
      </w:pPr>
    </w:p>
    <w:p>
      <w:pPr>
        <w:keepNext w:val="0"/>
        <w:keepLines w:val="0"/>
        <w:pageBreakBefore w:val="0"/>
        <w:widowControl w:val="0"/>
        <w:kinsoku/>
        <w:wordWrap w:val="0"/>
        <w:overflowPunct/>
        <w:topLinePunct w:val="0"/>
        <w:bidi w:val="0"/>
        <w:spacing w:line="360" w:lineRule="auto"/>
        <w:ind w:firstLine="4760" w:firstLineChars="170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企业名称（盖章）：</w:t>
      </w:r>
    </w:p>
    <w:p>
      <w:pPr>
        <w:keepNext w:val="0"/>
        <w:keepLines w:val="0"/>
        <w:pageBreakBefore w:val="0"/>
        <w:widowControl w:val="0"/>
        <w:kinsoku/>
        <w:wordWrap w:val="0"/>
        <w:overflowPunct/>
        <w:topLinePunct w:val="0"/>
        <w:bidi w:val="0"/>
        <w:spacing w:line="360" w:lineRule="auto"/>
        <w:ind w:firstLine="4760" w:firstLineChars="170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日 期：</w:t>
      </w:r>
    </w:p>
    <w:p>
      <w:pPr>
        <w:keepNext w:val="0"/>
        <w:keepLines w:val="0"/>
        <w:pageBreakBefore w:val="0"/>
        <w:widowControl w:val="0"/>
        <w:kinsoku/>
        <w:wordWrap w:val="0"/>
        <w:overflowPunct/>
        <w:topLinePunct w:val="0"/>
        <w:bidi w:val="0"/>
        <w:spacing w:line="360" w:lineRule="auto"/>
        <w:outlineLvl w:val="9"/>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附：《中小企业划型标准规定》各行业划型标准</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（一）农、林、牧、渔业。营业收入20000万元以下的为中小微型企业。其中，营业收入500万元及以上的为中型企业，营业收入50万元及以上的为小型企业，营业收入50万元以下的为微型企业。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keepNext w:val="0"/>
        <w:keepLines w:val="0"/>
        <w:pageBreakBefore w:val="0"/>
        <w:widowControl w:val="0"/>
        <w:kinsoku/>
        <w:wordWrap w:val="0"/>
        <w:overflowPunct/>
        <w:topLinePunct w:val="0"/>
        <w:bidi w:val="0"/>
        <w:spacing w:line="360" w:lineRule="auto"/>
        <w:ind w:firstLine="420"/>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（十六）其他未列明行业。从业人员300人以下的为中小微型企业。其中，从业人员100人及以上的为中型企业；从业人员10人及以上的为小型企业；从业人员10人以下的为微型企业。</w:t>
      </w:r>
    </w:p>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b/>
          <w:bCs/>
          <w:kern w:val="1"/>
          <w:sz w:val="28"/>
          <w:szCs w:val="28"/>
          <w:highlight w:val="none"/>
        </w:rPr>
      </w:pPr>
      <w:r>
        <w:rPr>
          <w:rFonts w:hint="eastAsia" w:ascii="仿宋" w:hAnsi="仿宋" w:eastAsia="仿宋" w:cs="仿宋"/>
          <w:color w:val="auto"/>
          <w:sz w:val="28"/>
          <w:szCs w:val="28"/>
          <w:highlight w:val="none"/>
        </w:rPr>
        <w:br w:type="page"/>
      </w:r>
      <w:r>
        <w:rPr>
          <w:rFonts w:ascii="仿宋" w:hAnsi="仿宋" w:eastAsia="仿宋" w:cs="仿宋"/>
          <w:b/>
          <w:bCs/>
          <w:kern w:val="1"/>
          <w:sz w:val="28"/>
          <w:szCs w:val="28"/>
          <w:highlight w:val="none"/>
        </w:rPr>
        <w:t>15</w:t>
      </w:r>
      <w:r>
        <w:rPr>
          <w:rFonts w:hint="eastAsia" w:ascii="仿宋" w:hAnsi="仿宋" w:eastAsia="仿宋" w:cs="仿宋"/>
          <w:b/>
          <w:bCs/>
          <w:kern w:val="1"/>
          <w:sz w:val="28"/>
          <w:szCs w:val="28"/>
          <w:highlight w:val="none"/>
        </w:rPr>
        <w:t>、残疾人福利性单位声明函</w:t>
      </w:r>
    </w:p>
    <w:p>
      <w:pPr>
        <w:keepNext w:val="0"/>
        <w:keepLines w:val="0"/>
        <w:pageBreakBefore w:val="0"/>
        <w:widowControl w:val="0"/>
        <w:kinsoku/>
        <w:wordWrap w:val="0"/>
        <w:overflowPunct/>
        <w:topLinePunct w:val="0"/>
        <w:bidi w:val="0"/>
        <w:spacing w:line="588" w:lineRule="exact"/>
        <w:ind w:firstLine="504" w:firstLineChars="200"/>
        <w:outlineLvl w:val="9"/>
        <w:rPr>
          <w:rFonts w:ascii="宋体" w:hAnsi="宋体"/>
          <w:spacing w:val="6"/>
          <w:sz w:val="24"/>
          <w:highlight w:val="none"/>
        </w:rPr>
      </w:pPr>
    </w:p>
    <w:p>
      <w:pPr>
        <w:keepNext w:val="0"/>
        <w:keepLines w:val="0"/>
        <w:pageBreakBefore w:val="0"/>
        <w:widowControl w:val="0"/>
        <w:kinsoku/>
        <w:wordWrap w:val="0"/>
        <w:overflowPunct/>
        <w:topLinePunct w:val="0"/>
        <w:bidi w:val="0"/>
        <w:spacing w:line="588" w:lineRule="exact"/>
        <w:ind w:firstLine="560" w:firstLineChars="200"/>
        <w:outlineLvl w:val="9"/>
        <w:rPr>
          <w:rFonts w:ascii="仿宋" w:hAnsi="仿宋" w:eastAsia="仿宋" w:cs="仿宋"/>
          <w:sz w:val="28"/>
          <w:szCs w:val="28"/>
          <w:highlight w:val="none"/>
        </w:rPr>
      </w:pPr>
      <w:r>
        <w:rPr>
          <w:rFonts w:hint="eastAsia" w:ascii="仿宋" w:hAnsi="仿宋" w:eastAsia="仿宋" w:cs="仿宋"/>
          <w:sz w:val="28"/>
          <w:szCs w:val="28"/>
          <w:highlight w:val="none"/>
        </w:rPr>
        <w:t>本单位郑重声明，根据《财政部 民政部 中国残疾人联合会关于促进残疾人就业政府采购政策的通知》（财库〔2017〕 141号）的规定，本单位为符合条件的残疾人福利性单位，且本单位参加___单位的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val="0"/>
        <w:overflowPunct/>
        <w:topLinePunct w:val="0"/>
        <w:bidi w:val="0"/>
        <w:spacing w:line="588"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本单位对上述声明的真实性负责。如有虚假，将依法承担相应责任。</w:t>
      </w:r>
    </w:p>
    <w:p>
      <w:pPr>
        <w:keepNext w:val="0"/>
        <w:keepLines w:val="0"/>
        <w:pageBreakBefore w:val="0"/>
        <w:widowControl w:val="0"/>
        <w:kinsoku/>
        <w:wordWrap w:val="0"/>
        <w:overflowPunct/>
        <w:topLinePunct w:val="0"/>
        <w:bidi w:val="0"/>
        <w:spacing w:line="588"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注：对拟享受残疾人福利性企业价格折扣政策的投标产品及其报价单独作分类汇总。</w:t>
      </w:r>
    </w:p>
    <w:p>
      <w:pPr>
        <w:keepNext w:val="0"/>
        <w:keepLines w:val="0"/>
        <w:pageBreakBefore w:val="0"/>
        <w:widowControl w:val="0"/>
        <w:kinsoku/>
        <w:wordWrap w:val="0"/>
        <w:overflowPunct/>
        <w:topLinePunct w:val="0"/>
        <w:bidi w:val="0"/>
        <w:spacing w:line="588" w:lineRule="exact"/>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残疾人福利性单位投标时，应提供声明函（按给定格式）。未提供或未按给定格式提供声明函的，其所投产品中的残疾人福利性单位生产的产品将不能享受谈判文件规定的价格扣除，但不影响谈判文件的有效性。</w:t>
      </w:r>
    </w:p>
    <w:p>
      <w:pPr>
        <w:keepNext w:val="0"/>
        <w:keepLines w:val="0"/>
        <w:pageBreakBefore w:val="0"/>
        <w:widowControl w:val="0"/>
        <w:kinsoku/>
        <w:wordWrap w:val="0"/>
        <w:overflowPunct/>
        <w:topLinePunct w:val="0"/>
        <w:bidi w:val="0"/>
        <w:spacing w:line="588" w:lineRule="exact"/>
        <w:ind w:right="1686"/>
        <w:jc w:val="left"/>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pPr>
        <w:keepNext w:val="0"/>
        <w:keepLines w:val="0"/>
        <w:pageBreakBefore w:val="0"/>
        <w:widowControl w:val="0"/>
        <w:kinsoku/>
        <w:wordWrap w:val="0"/>
        <w:overflowPunct/>
        <w:topLinePunct w:val="0"/>
        <w:bidi w:val="0"/>
        <w:spacing w:line="588" w:lineRule="exact"/>
        <w:ind w:right="1686"/>
        <w:jc w:val="left"/>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pPr>
        <w:keepNext w:val="0"/>
        <w:keepLines w:val="0"/>
        <w:pageBreakBefore w:val="0"/>
        <w:widowControl w:val="0"/>
        <w:kinsoku/>
        <w:wordWrap w:val="0"/>
        <w:overflowPunct/>
        <w:topLinePunct w:val="0"/>
        <w:bidi w:val="0"/>
        <w:spacing w:line="360" w:lineRule="auto"/>
        <w:ind w:firstLine="5552" w:firstLineChars="1983"/>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pPr>
        <w:keepNext w:val="0"/>
        <w:keepLines w:val="0"/>
        <w:pageBreakBefore w:val="0"/>
        <w:widowControl w:val="0"/>
        <w:kinsoku/>
        <w:wordWrap w:val="0"/>
        <w:overflowPunct/>
        <w:topLinePunct w:val="0"/>
        <w:bidi w:val="0"/>
        <w:spacing w:line="360" w:lineRule="auto"/>
        <w:ind w:firstLine="5552" w:firstLineChars="1983"/>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pPr>
        <w:keepNext w:val="0"/>
        <w:keepLines w:val="0"/>
        <w:pageBreakBefore w:val="0"/>
        <w:widowControl w:val="0"/>
        <w:kinsoku/>
        <w:wordWrap w:val="0"/>
        <w:overflowPunct/>
        <w:topLinePunct w:val="0"/>
        <w:bidi w:val="0"/>
        <w:spacing w:line="360" w:lineRule="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供应商全称</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盖章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w:t>
      </w:r>
    </w:p>
    <w:p>
      <w:pPr>
        <w:keepNext w:val="0"/>
        <w:keepLines w:val="0"/>
        <w:pageBreakBefore w:val="0"/>
        <w:widowControl w:val="0"/>
        <w:kinsoku/>
        <w:wordWrap w:val="0"/>
        <w:overflowPunct/>
        <w:topLinePunct w:val="0"/>
        <w:bidi w:val="0"/>
        <w:spacing w:line="360" w:lineRule="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法人代表人或法定授权代表人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签字或盖章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w:t>
      </w:r>
    </w:p>
    <w:p>
      <w:pPr>
        <w:keepNext w:val="0"/>
        <w:keepLines w:val="0"/>
        <w:pageBreakBefore w:val="0"/>
        <w:widowControl w:val="0"/>
        <w:kinsoku/>
        <w:wordWrap w:val="0"/>
        <w:overflowPunct/>
        <w:topLinePunct w:val="0"/>
        <w:bidi w:val="0"/>
        <w:spacing w:line="360" w:lineRule="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日  期：</w:t>
      </w:r>
    </w:p>
    <w:p>
      <w:pPr>
        <w:keepNext w:val="0"/>
        <w:keepLines w:val="0"/>
        <w:pageBreakBefore w:val="0"/>
        <w:widowControl w:val="0"/>
        <w:kinsoku/>
        <w:wordWrap w:val="0"/>
        <w:overflowPunct/>
        <w:topLinePunct w:val="0"/>
        <w:bidi w:val="0"/>
        <w:spacing w:line="520" w:lineRule="exact"/>
        <w:jc w:val="center"/>
        <w:outlineLvl w:val="9"/>
        <w:rPr>
          <w:kern w:val="0"/>
          <w:sz w:val="28"/>
          <w:szCs w:val="28"/>
          <w:highlight w:val="none"/>
        </w:rPr>
      </w:pPr>
      <w:r>
        <w:rPr>
          <w:rFonts w:hint="eastAsia" w:ascii="仿宋" w:hAnsi="仿宋" w:eastAsia="仿宋" w:cs="仿宋"/>
          <w:sz w:val="28"/>
          <w:szCs w:val="28"/>
          <w:highlight w:val="none"/>
        </w:rPr>
        <w:br w:type="page"/>
      </w:r>
      <w:r>
        <w:rPr>
          <w:rFonts w:ascii="仿宋" w:hAnsi="仿宋" w:eastAsia="仿宋" w:cs="仿宋"/>
          <w:b/>
          <w:bCs/>
          <w:kern w:val="1"/>
          <w:sz w:val="28"/>
          <w:szCs w:val="28"/>
          <w:highlight w:val="none"/>
        </w:rPr>
        <w:t>16</w:t>
      </w:r>
      <w:r>
        <w:rPr>
          <w:rFonts w:hint="eastAsia" w:ascii="仿宋" w:hAnsi="仿宋" w:eastAsia="仿宋" w:cs="仿宋"/>
          <w:b/>
          <w:bCs/>
          <w:kern w:val="1"/>
          <w:sz w:val="28"/>
          <w:szCs w:val="28"/>
          <w:highlight w:val="none"/>
        </w:rPr>
        <w:t>、监狱企业证明函</w:t>
      </w:r>
    </w:p>
    <w:p>
      <w:pPr>
        <w:keepNext w:val="0"/>
        <w:keepLines w:val="0"/>
        <w:pageBreakBefore w:val="0"/>
        <w:widowControl w:val="0"/>
        <w:kinsoku/>
        <w:wordWrap w:val="0"/>
        <w:overflowPunct/>
        <w:topLinePunct w:val="0"/>
        <w:bidi w:val="0"/>
        <w:jc w:val="center"/>
        <w:outlineLvl w:val="9"/>
        <w:rPr>
          <w:rFonts w:ascii="宋体" w:hAnsi="宋体"/>
          <w:sz w:val="24"/>
          <w:highlight w:val="none"/>
        </w:rPr>
      </w:pPr>
      <w:r>
        <w:rPr>
          <w:rFonts w:hint="eastAsia" w:ascii="宋体" w:hAnsi="宋体"/>
          <w:b/>
          <w:bCs/>
          <w:sz w:val="30"/>
          <w:szCs w:val="30"/>
          <w:highlight w:val="none"/>
        </w:rPr>
        <w:t xml:space="preserve"> </w:t>
      </w:r>
    </w:p>
    <w:p>
      <w:pPr>
        <w:keepNext w:val="0"/>
        <w:keepLines w:val="0"/>
        <w:pageBreakBefore w:val="0"/>
        <w:widowControl w:val="0"/>
        <w:kinsoku/>
        <w:wordWrap w:val="0"/>
        <w:overflowPunct/>
        <w:topLinePunct w:val="0"/>
        <w:bidi w:val="0"/>
        <w:spacing w:line="360" w:lineRule="auto"/>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val="0"/>
        <w:overflowPunct/>
        <w:topLinePunct w:val="0"/>
        <w:bidi w:val="0"/>
        <w:spacing w:line="360" w:lineRule="auto"/>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监狱企业参加政府采购活动时，应当提供由省级以上监狱管理局、戒毒管理局（含新疆生产建设兵团）出具的属于监狱企业的证明文件。</w:t>
      </w:r>
    </w:p>
    <w:p>
      <w:pPr>
        <w:keepNext w:val="0"/>
        <w:keepLines w:val="0"/>
        <w:pageBreakBefore w:val="0"/>
        <w:widowControl w:val="0"/>
        <w:kinsoku/>
        <w:wordWrap w:val="0"/>
        <w:overflowPunct/>
        <w:topLinePunct w:val="0"/>
        <w:bidi w:val="0"/>
        <w:spacing w:line="360" w:lineRule="auto"/>
        <w:ind w:firstLine="560" w:firstLineChars="20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pPr>
        <w:keepNext w:val="0"/>
        <w:keepLines w:val="0"/>
        <w:pageBreakBefore w:val="0"/>
        <w:widowControl w:val="0"/>
        <w:kinsoku/>
        <w:wordWrap w:val="0"/>
        <w:overflowPunct/>
        <w:topLinePunct w:val="0"/>
        <w:bidi w:val="0"/>
        <w:spacing w:line="360" w:lineRule="auto"/>
        <w:ind w:firstLine="560" w:firstLineChars="200"/>
        <w:outlineLvl w:val="9"/>
        <w:rPr>
          <w:rFonts w:hint="eastAsia" w:ascii="仿宋" w:hAnsi="仿宋" w:eastAsia="仿宋" w:cs="仿宋"/>
          <w:b/>
          <w:sz w:val="44"/>
          <w:szCs w:val="44"/>
          <w:highlight w:val="none"/>
        </w:rPr>
      </w:pPr>
      <w:r>
        <w:rPr>
          <w:rFonts w:hint="eastAsia" w:ascii="仿宋" w:hAnsi="仿宋" w:eastAsia="仿宋" w:cs="仿宋"/>
          <w:sz w:val="28"/>
          <w:szCs w:val="28"/>
          <w:highlight w:val="none"/>
        </w:rPr>
        <w:t>监狱企业投标时，应当提供由省级以上监狱管理局、戒毒管理局（含新疆生产建设兵团）出具的属于监狱企业的证明文件（格式不做要求）。未提供证明文件的不能享受谈判文件规定的价格扣除，但不影响头脑那文件的有效性。</w:t>
      </w:r>
    </w:p>
    <w:p>
      <w:pPr>
        <w:keepNext w:val="0"/>
        <w:keepLines w:val="0"/>
        <w:pageBreakBefore w:val="0"/>
        <w:widowControl w:val="0"/>
        <w:kinsoku/>
        <w:wordWrap w:val="0"/>
        <w:overflowPunct/>
        <w:topLinePunct w:val="0"/>
        <w:bidi w:val="0"/>
        <w:spacing w:line="520" w:lineRule="exact"/>
        <w:outlineLvl w:val="9"/>
        <w:rPr>
          <w:rFonts w:hint="eastAsia" w:ascii="仿宋" w:hAnsi="仿宋" w:eastAsia="仿宋" w:cs="仿宋"/>
          <w:b/>
          <w:sz w:val="44"/>
          <w:szCs w:val="44"/>
          <w:highlight w:val="none"/>
        </w:rPr>
      </w:pPr>
    </w:p>
    <w:p>
      <w:pPr>
        <w:keepNext w:val="0"/>
        <w:keepLines w:val="0"/>
        <w:pageBreakBefore w:val="0"/>
        <w:widowControl w:val="0"/>
        <w:kinsoku/>
        <w:wordWrap w:val="0"/>
        <w:overflowPunct/>
        <w:topLinePunct w:val="0"/>
        <w:bidi w:val="0"/>
        <w:spacing w:line="520" w:lineRule="exact"/>
        <w:jc w:val="center"/>
        <w:outlineLvl w:val="9"/>
        <w:rPr>
          <w:rFonts w:hint="eastAsia" w:ascii="仿宋" w:hAnsi="仿宋" w:eastAsia="仿宋" w:cs="仿宋"/>
          <w:b/>
          <w:sz w:val="44"/>
          <w:szCs w:val="44"/>
          <w:highlight w:val="none"/>
        </w:rPr>
      </w:pPr>
      <w:bookmarkStart w:id="147" w:name="_Toc7542"/>
      <w:r>
        <w:rPr>
          <w:rFonts w:hint="eastAsia" w:ascii="仿宋" w:hAnsi="仿宋" w:eastAsia="仿宋" w:cs="仿宋"/>
          <w:b/>
          <w:sz w:val="44"/>
          <w:szCs w:val="44"/>
          <w:highlight w:val="none"/>
          <w:lang w:eastAsia="zh-CN"/>
        </w:rPr>
        <w:t>（</w:t>
      </w:r>
      <w:r>
        <w:rPr>
          <w:rFonts w:hint="eastAsia" w:ascii="仿宋" w:hAnsi="仿宋" w:eastAsia="仿宋" w:cs="仿宋"/>
          <w:b/>
          <w:sz w:val="44"/>
          <w:szCs w:val="44"/>
          <w:highlight w:val="none"/>
        </w:rPr>
        <w:t>以下无内容</w:t>
      </w:r>
      <w:bookmarkEnd w:id="147"/>
      <w:r>
        <w:rPr>
          <w:rFonts w:hint="eastAsia" w:ascii="仿宋" w:hAnsi="仿宋" w:eastAsia="仿宋" w:cs="仿宋"/>
          <w:b/>
          <w:sz w:val="44"/>
          <w:szCs w:val="44"/>
          <w:highlight w:val="none"/>
          <w:lang w:eastAsia="zh-CN"/>
        </w:rPr>
        <w:t>）</w:t>
      </w:r>
    </w:p>
    <w:p>
      <w:pPr>
        <w:keepNext w:val="0"/>
        <w:keepLines w:val="0"/>
        <w:pageBreakBefore w:val="0"/>
        <w:widowControl w:val="0"/>
        <w:kinsoku/>
        <w:wordWrap w:val="0"/>
        <w:overflowPunct/>
        <w:topLinePunct w:val="0"/>
        <w:bidi w:val="0"/>
        <w:spacing w:line="520" w:lineRule="exact"/>
        <w:outlineLvl w:val="9"/>
        <w:rPr>
          <w:rFonts w:hint="eastAsia" w:ascii="仿宋" w:hAnsi="仿宋" w:eastAsia="仿宋" w:cs="仿宋"/>
          <w:highlight w:val="none"/>
        </w:rPr>
      </w:pPr>
    </w:p>
    <w:sectPr>
      <w:headerReference r:id="rId9" w:type="default"/>
      <w:footerReference r:id="rId10" w:type="default"/>
      <w:pgSz w:w="11907" w:h="16840"/>
      <w:pgMar w:top="1440" w:right="1474" w:bottom="1440" w:left="1474" w:header="1020" w:footer="624"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opperplate Gothic Bold">
    <w:altName w:val="Segoe Print"/>
    <w:panose1 w:val="020E0705020206020404"/>
    <w:charset w:val="00"/>
    <w:family w:val="swiss"/>
    <w:pitch w:val="default"/>
    <w:sig w:usb0="00000000" w:usb1="00000000" w:usb2="00000000" w:usb3="00000000" w:csb0="2000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jc w:val="both"/>
      <w:rPr>
        <w:rFonts w:hint="eastAsia" w:hAnsi="宋体" w:cs="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62</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410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1iUpz1AEAAKYDAAAOAAAAAAAAAAEAIAAA&#10;ACIBAABkcnMvZTJvRG9jLnhtbFBLBQYAAAAABgAGAFkBAABoBQAAAAA=&#10;">
              <v:fill on="f" focussize="0,0"/>
              <v:stroke on="f" weight="1.25pt"/>
              <v:imagedata o:title=""/>
              <o:lock v:ext="edit" aspectratio="f"/>
              <v:textbox inset="0mm,0mm,0mm,0mm" style="mso-fit-shape-to-text:t;">
                <w:txbxContent>
                  <w:p>
                    <w:pPr>
                      <w:pStyle w:val="2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62</w:t>
                    </w:r>
                    <w:r>
                      <w:rPr>
                        <w:rFonts w:hint="eastAsia"/>
                      </w:rPr>
                      <w:fldChar w:fldCharType="end"/>
                    </w:r>
                    <w:r>
                      <w:rPr>
                        <w:rFonts w:hint="eastAsia"/>
                      </w:rPr>
                      <w:t xml:space="preserve"> 页</w:t>
                    </w:r>
                  </w:p>
                </w:txbxContent>
              </v:textbox>
            </v:shape>
          </w:pict>
        </mc:Fallback>
      </mc:AlternateContent>
    </w:r>
    <w:r>
      <w:rPr>
        <w:rFonts w:hint="eastAsia" w:hAnsi="宋体" w:cs="宋体"/>
        <w:sz w:val="21"/>
        <w:szCs w:val="21"/>
      </w:rPr>
      <w:t xml:space="preserve">陕西瑞琪工程咨询有限公司               </w:t>
    </w:r>
    <w:r>
      <w:rPr>
        <w:rFonts w:hint="eastAsia" w:hAnsi="宋体" w:cs="宋体"/>
        <w:sz w:val="21"/>
        <w:szCs w:val="21"/>
      </w:rPr>
      <w:tab/>
    </w:r>
    <w:r>
      <w:rPr>
        <w:rFonts w:hint="eastAsia" w:hAnsi="宋体" w:cs="宋体"/>
        <w:sz w:val="21"/>
        <w:szCs w:val="21"/>
      </w:rPr>
      <w:t xml:space="preserve">                                   029-81213656</w:t>
    </w:r>
  </w:p>
  <w:p>
    <w:pPr>
      <w:pStyle w:val="22"/>
      <w:pBdr>
        <w:top w:val="single" w:color="auto" w:sz="4" w:space="1"/>
      </w:pBdr>
      <w:jc w:val="center"/>
      <w:rPr>
        <w:rFonts w:hint="eastAsia"/>
      </w:rPr>
    </w:pPr>
    <w:r>
      <w:rPr>
        <w:rFonts w:hint="eastAsia" w:hAnsi="宋体" w:cs="宋体"/>
        <w:sz w:val="21"/>
        <w:szCs w:val="21"/>
      </w:rPr>
      <w:t xml:space="preserve">      </w:t>
    </w:r>
    <w:r>
      <w:rPr>
        <w:rFonts w:hAnsi="宋体" w:cs="宋体"/>
        <w:sz w:val="21"/>
        <w:szCs w:val="21"/>
      </w:rPr>
      <w:t>陕西省西安市曲江新区雁翔路 3269 号旺座曲江 H 座 19层</w:t>
    </w:r>
  </w:p>
  <w:p>
    <w:pPr>
      <w:spacing w:line="280" w:lineRule="exact"/>
      <w:jc w:val="center"/>
      <w:rPr>
        <w:rFonts w:ascii="宋体" w:hAnsi="宋体" w:cs="宋体"/>
        <w:b/>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jc w:val="both"/>
      <w:rPr>
        <w:rFonts w:hint="eastAsia" w:hAnsi="宋体" w:cs="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4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411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aYJL0wAA&#10;AAUBAAAPAAAAAAAAAAEAIAAAACIAAABkcnMvZG93bnJldi54bWxQSwECFAAUAAAACACHTuJAuaJF&#10;POoBAADMAwAADgAAAAAAAAABACAAAAAiAQAAZHJzL2Uyb0RvYy54bWxQSwUGAAAAAAYABgBZAQAA&#10;fgUAAAAA&#10;">
              <v:fill on="f" focussize="0,0"/>
              <v:stroke on="f" weight="1.2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r>
      <w:rPr>
        <w:rFonts w:hint="eastAsia" w:hAnsi="宋体" w:cs="宋体"/>
        <w:sz w:val="21"/>
        <w:szCs w:val="21"/>
      </w:rPr>
      <w:t xml:space="preserve">陕西瑞琪工程咨询有限公司               </w:t>
    </w:r>
    <w:r>
      <w:rPr>
        <w:rFonts w:hint="eastAsia" w:hAnsi="宋体" w:cs="宋体"/>
        <w:sz w:val="21"/>
        <w:szCs w:val="21"/>
      </w:rPr>
      <w:tab/>
    </w:r>
    <w:r>
      <w:rPr>
        <w:rFonts w:hint="eastAsia" w:hAnsi="宋体" w:cs="宋体"/>
        <w:sz w:val="21"/>
        <w:szCs w:val="21"/>
      </w:rPr>
      <w:t xml:space="preserve">                                   029-81213656</w:t>
    </w:r>
  </w:p>
  <w:p>
    <w:pPr>
      <w:pStyle w:val="22"/>
      <w:pBdr>
        <w:top w:val="single" w:color="auto" w:sz="4" w:space="1"/>
      </w:pBdr>
      <w:jc w:val="center"/>
      <w:rPr>
        <w:rFonts w:hint="eastAsia"/>
      </w:rPr>
    </w:pPr>
    <w:r>
      <w:rPr>
        <w:rFonts w:hint="eastAsia" w:hAnsi="宋体" w:cs="宋体"/>
        <w:sz w:val="21"/>
        <w:szCs w:val="21"/>
      </w:rPr>
      <w:t xml:space="preserve">      </w:t>
    </w:r>
    <w:r>
      <w:rPr>
        <w:rFonts w:hAnsi="宋体" w:cs="宋体"/>
        <w:sz w:val="21"/>
        <w:szCs w:val="21"/>
      </w:rPr>
      <w:t>陕西省西安市曲江新区雁翔路 3269 号旺座曲江 H 座 19层</w:t>
    </w:r>
  </w:p>
  <w:p>
    <w:pPr>
      <w:spacing w:line="280" w:lineRule="exact"/>
      <w:jc w:val="center"/>
      <w:rPr>
        <w:rFonts w:ascii="宋体" w:hAnsi="宋体" w:cs="宋体"/>
        <w:b/>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jc w:val="both"/>
      <w:rPr>
        <w:rFonts w:hint="eastAsia" w:hAnsi="宋体" w:cs="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pPr>
                          <w:r>
                            <w:t xml:space="preserve">第 </w:t>
                          </w:r>
                          <w:r>
                            <w:rPr>
                              <w:rFonts w:hint="eastAsia"/>
                              <w:lang w:val="en-US" w:eastAsia="zh-CN"/>
                            </w:rPr>
                            <w:t>1</w:t>
                          </w:r>
                          <w:r>
                            <w:t xml:space="preserve"> 页 共 </w:t>
                          </w:r>
                          <w:r>
                            <w:rPr>
                              <w:rFonts w:hint="eastAsia"/>
                              <w:lang w:val="en-US" w:eastAsia="zh-CN"/>
                            </w:rPr>
                            <w:t>1</w:t>
                          </w:r>
                          <w:r>
                            <w:t xml:space="preserve"> 页</w:t>
                          </w:r>
                        </w:p>
                      </w:txbxContent>
                    </wps:txbx>
                    <wps:bodyPr vert="horz" wrap="none" lIns="0" tIns="0" rIns="0" bIns="0" anchor="t" anchorCtr="0" upright="0">
                      <a:spAutoFit/>
                    </wps:bodyPr>
                  </wps:wsp>
                </a:graphicData>
              </a:graphic>
            </wp:anchor>
          </w:drawing>
        </mc:Choice>
        <mc:Fallback>
          <w:pict>
            <v:shape id="文本框 411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aYJL0wAA&#10;AAUBAAAPAAAAAAAAAAEAIAAAACIAAABkcnMvZG93bnJldi54bWxQSwECFAAUAAAACACHTuJAJEJh&#10;2+oBAADMAwAADgAAAAAAAAABACAAAAAiAQAAZHJzL2Uyb0RvYy54bWxQSwUGAAAAAAYABgBZAQAA&#10;fgUAAAAA&#10;">
              <v:fill on="f" focussize="0,0"/>
              <v:stroke on="f" weight="1.25pt"/>
              <v:imagedata o:title=""/>
              <o:lock v:ext="edit" aspectratio="f"/>
              <v:textbox inset="0mm,0mm,0mm,0mm" style="mso-fit-shape-to-text:t;">
                <w:txbxContent>
                  <w:p>
                    <w:pPr>
                      <w:pStyle w:val="22"/>
                    </w:pPr>
                    <w:r>
                      <w:t xml:space="preserve">第 </w:t>
                    </w:r>
                    <w:r>
                      <w:rPr>
                        <w:rFonts w:hint="eastAsia"/>
                        <w:lang w:val="en-US" w:eastAsia="zh-CN"/>
                      </w:rPr>
                      <w:t>1</w:t>
                    </w:r>
                    <w:r>
                      <w:t xml:space="preserve"> 页 共 </w:t>
                    </w:r>
                    <w:r>
                      <w:rPr>
                        <w:rFonts w:hint="eastAsia"/>
                        <w:lang w:val="en-US" w:eastAsia="zh-CN"/>
                      </w:rPr>
                      <w:t>1</w:t>
                    </w:r>
                    <w:r>
                      <w:t xml:space="preserve"> 页</w:t>
                    </w:r>
                  </w:p>
                </w:txbxContent>
              </v:textbox>
            </v:shape>
          </w:pict>
        </mc:Fallback>
      </mc:AlternateContent>
    </w:r>
    <w:r>
      <w:rPr>
        <w:rFonts w:hint="eastAsia" w:hAnsi="宋体" w:cs="宋体"/>
        <w:sz w:val="21"/>
        <w:szCs w:val="21"/>
      </w:rPr>
      <w:t xml:space="preserve">陕西瑞琪工程咨询有限公司               </w:t>
    </w:r>
    <w:r>
      <w:rPr>
        <w:rFonts w:hint="eastAsia" w:hAnsi="宋体" w:cs="宋体"/>
        <w:sz w:val="21"/>
        <w:szCs w:val="21"/>
      </w:rPr>
      <w:tab/>
    </w:r>
    <w:r>
      <w:rPr>
        <w:rFonts w:hint="eastAsia" w:hAnsi="宋体" w:cs="宋体"/>
        <w:sz w:val="21"/>
        <w:szCs w:val="21"/>
      </w:rPr>
      <w:t xml:space="preserve">                   </w:t>
    </w:r>
    <w:r>
      <w:rPr>
        <w:rFonts w:hint="eastAsia" w:hAnsi="宋体" w:cs="宋体"/>
        <w:sz w:val="21"/>
        <w:szCs w:val="21"/>
        <w:lang w:val="en-US" w:eastAsia="zh-CN"/>
      </w:rPr>
      <w:t xml:space="preserve"> </w:t>
    </w:r>
    <w:r>
      <w:rPr>
        <w:rFonts w:hint="eastAsia" w:hAnsi="宋体" w:cs="宋体"/>
        <w:sz w:val="21"/>
        <w:szCs w:val="21"/>
      </w:rPr>
      <w:t xml:space="preserve">              029-81213656</w:t>
    </w:r>
  </w:p>
  <w:p>
    <w:pPr>
      <w:pStyle w:val="22"/>
      <w:pBdr>
        <w:top w:val="single" w:color="auto" w:sz="4" w:space="1"/>
      </w:pBdr>
      <w:jc w:val="center"/>
    </w:pPr>
    <w:r>
      <w:rPr>
        <w:rFonts w:hint="eastAsia" w:hAnsi="宋体" w:cs="宋体"/>
        <w:sz w:val="21"/>
        <w:szCs w:val="21"/>
      </w:rPr>
      <w:t xml:space="preserve">      </w:t>
    </w:r>
    <w:r>
      <w:rPr>
        <w:rFonts w:hAnsi="宋体" w:cs="宋体"/>
        <w:sz w:val="21"/>
        <w:szCs w:val="21"/>
      </w:rPr>
      <w:t>陕西省西安市曲江新区雁翔路 3269 号旺座曲江 H 座 19层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jc w:val="both"/>
      <w:rPr>
        <w:rFonts w:hint="eastAsia" w:hAnsi="宋体" w:cs="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4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r>
                            <w:rPr>
                              <w:rFonts w:hint="eastAsia"/>
                            </w:rPr>
                            <w:t xml:space="preserve"> 页 共 </w:t>
                          </w:r>
                          <w:r>
                            <w:rPr>
                              <w:rFonts w:hint="eastAsia"/>
                              <w:lang w:val="en-US" w:eastAsia="zh-CN"/>
                            </w:rPr>
                            <w:t>69</w:t>
                          </w:r>
                          <w:r>
                            <w:rPr>
                              <w:rFonts w:hint="eastAsia"/>
                            </w:rPr>
                            <w:t xml:space="preserve"> 页</w:t>
                          </w:r>
                        </w:p>
                      </w:txbxContent>
                    </wps:txbx>
                    <wps:bodyPr wrap="none" lIns="0" tIns="0" rIns="0" bIns="0" upright="0">
                      <a:spAutoFit/>
                    </wps:bodyPr>
                  </wps:wsp>
                </a:graphicData>
              </a:graphic>
            </wp:anchor>
          </w:drawing>
        </mc:Choice>
        <mc:Fallback>
          <w:pict>
            <v:shape id="文本框 41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AKopYb1AEAAKcDAAAOAAAAAAAAAAEAIAAA&#10;ACIBAABkcnMvZTJvRG9jLnhtbFBLBQYAAAAABgAGAFkBAABoBQAAAAA=&#10;">
              <v:fill on="f" focussize="0,0"/>
              <v:stroke on="f" weight="1.25pt"/>
              <v:imagedata o:title=""/>
              <o:lock v:ext="edit" aspectratio="f"/>
              <v:textbox inset="0mm,0mm,0mm,0mm" style="mso-fit-shape-to-text:t;">
                <w:txbxContent>
                  <w:p>
                    <w:pPr>
                      <w:pStyle w:val="2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r>
                      <w:rPr>
                        <w:rFonts w:hint="eastAsia"/>
                      </w:rPr>
                      <w:t xml:space="preserve"> 页 共 </w:t>
                    </w:r>
                    <w:r>
                      <w:rPr>
                        <w:rFonts w:hint="eastAsia"/>
                        <w:lang w:val="en-US" w:eastAsia="zh-CN"/>
                      </w:rPr>
                      <w:t>69</w:t>
                    </w:r>
                    <w:r>
                      <w:rPr>
                        <w:rFonts w:hint="eastAsia"/>
                      </w:rPr>
                      <w:t xml:space="preserve"> 页</w:t>
                    </w:r>
                  </w:p>
                </w:txbxContent>
              </v:textbox>
            </v:shape>
          </w:pict>
        </mc:Fallback>
      </mc:AlternateContent>
    </w:r>
    <w:r>
      <w:rPr>
        <w:rFonts w:hint="eastAsia" w:hAnsi="宋体" w:cs="宋体"/>
        <w:sz w:val="21"/>
        <w:szCs w:val="21"/>
      </w:rPr>
      <w:t xml:space="preserve">陕西瑞琪工程咨询有限公司               </w:t>
    </w:r>
    <w:r>
      <w:rPr>
        <w:rFonts w:hint="eastAsia" w:hAnsi="宋体" w:cs="宋体"/>
        <w:sz w:val="21"/>
        <w:szCs w:val="21"/>
      </w:rPr>
      <w:tab/>
    </w:r>
    <w:r>
      <w:rPr>
        <w:rFonts w:hint="eastAsia" w:hAnsi="宋体" w:cs="宋体"/>
        <w:sz w:val="21"/>
        <w:szCs w:val="21"/>
      </w:rPr>
      <w:t xml:space="preserve">                                  029-81213656</w:t>
    </w:r>
  </w:p>
  <w:p>
    <w:pPr>
      <w:pStyle w:val="22"/>
      <w:pBdr>
        <w:top w:val="single" w:color="auto" w:sz="4" w:space="1"/>
      </w:pBdr>
      <w:jc w:val="both"/>
      <w:rPr>
        <w:rFonts w:hint="eastAsia" w:hAnsi="宋体" w:cs="宋体"/>
        <w:sz w:val="21"/>
        <w:szCs w:val="21"/>
      </w:rPr>
    </w:pPr>
  </w:p>
  <w:p>
    <w:pPr>
      <w:pStyle w:val="22"/>
      <w:pBdr>
        <w:top w:val="single" w:color="auto" w:sz="4" w:space="1"/>
      </w:pBdr>
      <w:jc w:val="center"/>
      <w:rPr>
        <w:rFonts w:hint="eastAsia"/>
        <w:szCs w:val="21"/>
      </w:rPr>
    </w:pPr>
    <w:r>
      <w:rPr>
        <w:rFonts w:hint="eastAsia" w:hAnsi="宋体" w:cs="宋体"/>
        <w:sz w:val="21"/>
        <w:szCs w:val="21"/>
      </w:rPr>
      <w:t xml:space="preserve">      </w:t>
    </w:r>
    <w:r>
      <w:rPr>
        <w:rFonts w:hAnsi="宋体" w:cs="宋体"/>
        <w:sz w:val="21"/>
        <w:szCs w:val="21"/>
      </w:rPr>
      <w:t>陕西省西安市曲江新区雁翔路 3269 号旺座曲江 H 座 19层</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left"/>
      <w:rPr>
        <w:rFonts w:hint="eastAsia"/>
      </w:rPr>
    </w:pPr>
    <w:r>
      <w:rPr>
        <w:rFonts w:hint="eastAsia" w:ascii="宋体" w:hAnsi="宋体" w:cs="宋体"/>
        <w:bCs/>
        <w:sz w:val="21"/>
        <w:szCs w:val="21"/>
        <w:lang w:eastAsia="zh-CN"/>
      </w:rPr>
      <w:t>西安市公安局交通警察支队长安大队中省转移警用摩托车及配套装备</w:t>
    </w:r>
    <w:r>
      <w:rPr>
        <w:rFonts w:hint="eastAsia" w:ascii="宋体" w:hAnsi="宋体" w:cs="宋体"/>
        <w:bCs/>
        <w:sz w:val="21"/>
        <w:szCs w:val="21"/>
      </w:rPr>
      <w:t xml:space="preserve">                   竞争性谈判文件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tabs>
        <w:tab w:val="clear" w:pos="4153"/>
      </w:tabs>
      <w:spacing w:line="276" w:lineRule="auto"/>
      <w:jc w:val="both"/>
      <w:rPr>
        <w:rFonts w:ascii="宋体" w:hAnsi="宋体"/>
        <w:b/>
        <w:w w:val="90"/>
        <w:szCs w:val="21"/>
        <w:shd w:val="clear" w:color="FFFFFF" w:fill="D9D9D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spacing w:line="276" w:lineRule="auto"/>
      <w:jc w:val="left"/>
      <w:rPr>
        <w:rFonts w:ascii="宋体" w:hAnsi="宋体" w:cs="宋体"/>
        <w:bCs/>
        <w:sz w:val="21"/>
        <w:szCs w:val="21"/>
      </w:rPr>
    </w:pPr>
    <w:r>
      <w:rPr>
        <w:rFonts w:hint="eastAsia" w:ascii="宋体" w:hAnsi="宋体" w:cs="宋体"/>
        <w:bCs/>
        <w:sz w:val="21"/>
        <w:szCs w:val="21"/>
      </w:rPr>
      <w:t>西安市公安局交通警察支队长安大队中省转移警用车辆采购</w:t>
    </w:r>
    <w:r>
      <w:rPr>
        <w:rFonts w:hint="eastAsia" w:ascii="宋体" w:hAnsi="宋体" w:cs="宋体"/>
        <w:bCs/>
        <w:sz w:val="21"/>
        <w:szCs w:val="21"/>
        <w:lang w:val="en-US" w:eastAsia="zh-CN"/>
      </w:rPr>
      <w:t xml:space="preserve">        </w:t>
    </w:r>
    <w:r>
      <w:rPr>
        <w:rFonts w:hint="eastAsia" w:ascii="宋体" w:hAnsi="宋体" w:cs="宋体"/>
        <w:bCs/>
        <w:sz w:val="21"/>
        <w:szCs w:val="21"/>
      </w:rPr>
      <w:t xml:space="preserve">     </w:t>
    </w:r>
    <w:r>
      <w:rPr>
        <w:rFonts w:hint="eastAsia" w:ascii="宋体" w:hAnsi="宋体" w:cs="宋体"/>
        <w:bCs/>
        <w:sz w:val="21"/>
        <w:szCs w:val="21"/>
        <w:lang w:val="en-US" w:eastAsia="zh-CN"/>
      </w:rPr>
      <w:t xml:space="preserve">    </w:t>
    </w:r>
    <w:r>
      <w:rPr>
        <w:rFonts w:hint="eastAsia" w:ascii="宋体" w:hAnsi="宋体" w:cs="宋体"/>
        <w:bCs/>
        <w:sz w:val="21"/>
        <w:szCs w:val="21"/>
      </w:rPr>
      <w:t xml:space="preserve">       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spacing w:line="276" w:lineRule="auto"/>
      <w:jc w:val="left"/>
      <w:rPr>
        <w:rFonts w:hint="eastAsia" w:ascii="宋体" w:hAnsi="宋体" w:eastAsia="宋体" w:cs="宋体"/>
        <w:bCs/>
        <w:sz w:val="21"/>
        <w:szCs w:val="21"/>
        <w:lang w:eastAsia="zh-CN"/>
      </w:rPr>
    </w:pPr>
    <w:r>
      <w:rPr>
        <w:rFonts w:hint="eastAsia" w:ascii="宋体" w:hAnsi="宋体" w:eastAsia="宋体" w:cs="宋体"/>
        <w:bCs/>
        <w:sz w:val="21"/>
        <w:szCs w:val="21"/>
        <w:lang w:eastAsia="zh-CN"/>
      </w:rPr>
      <w:t>西安市公安局交通警察支队长安大队中省转移警用车辆采购</w:t>
    </w:r>
    <w:r>
      <w:rPr>
        <w:rFonts w:hint="eastAsia" w:ascii="宋体" w:hAnsi="宋体" w:cs="宋体"/>
        <w:bCs/>
        <w:sz w:val="21"/>
        <w:szCs w:val="21"/>
        <w:lang w:val="en-US" w:eastAsia="zh-CN"/>
      </w:rPr>
      <w:t xml:space="preserve">        </w:t>
    </w:r>
    <w:r>
      <w:rPr>
        <w:rFonts w:hint="eastAsia" w:ascii="宋体" w:hAnsi="宋体" w:eastAsia="宋体" w:cs="宋体"/>
        <w:bCs/>
        <w:sz w:val="21"/>
        <w:szCs w:val="21"/>
        <w:lang w:eastAsia="zh-CN"/>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lang w:eastAsia="zh-CN"/>
      </w:rPr>
      <w:t xml:space="preserve">           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1E6682"/>
    <w:multiLevelType w:val="singleLevel"/>
    <w:tmpl w:val="5A1E668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5,6"/>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2MWY3N2UwMWUwMjAyYmU2Y2JhNGQyM2YzYTIyOGMifQ=="/>
  </w:docVars>
  <w:rsids>
    <w:rsidRoot w:val="00172A27"/>
    <w:rsid w:val="00001962"/>
    <w:rsid w:val="000034A7"/>
    <w:rsid w:val="000066D2"/>
    <w:rsid w:val="000103F2"/>
    <w:rsid w:val="00022932"/>
    <w:rsid w:val="00026B01"/>
    <w:rsid w:val="000344BE"/>
    <w:rsid w:val="0003530F"/>
    <w:rsid w:val="000410E4"/>
    <w:rsid w:val="00044088"/>
    <w:rsid w:val="000445A2"/>
    <w:rsid w:val="00046463"/>
    <w:rsid w:val="0004730E"/>
    <w:rsid w:val="00051811"/>
    <w:rsid w:val="00055DB2"/>
    <w:rsid w:val="00057A51"/>
    <w:rsid w:val="00061D5C"/>
    <w:rsid w:val="000631B2"/>
    <w:rsid w:val="00064549"/>
    <w:rsid w:val="00066D63"/>
    <w:rsid w:val="0006707E"/>
    <w:rsid w:val="00074EB7"/>
    <w:rsid w:val="000767DA"/>
    <w:rsid w:val="00085000"/>
    <w:rsid w:val="00087A56"/>
    <w:rsid w:val="000927BB"/>
    <w:rsid w:val="00095385"/>
    <w:rsid w:val="000964B8"/>
    <w:rsid w:val="000972E0"/>
    <w:rsid w:val="00097F6D"/>
    <w:rsid w:val="000A27BE"/>
    <w:rsid w:val="000A32D1"/>
    <w:rsid w:val="000B0C30"/>
    <w:rsid w:val="000B192D"/>
    <w:rsid w:val="000B2B51"/>
    <w:rsid w:val="000C0739"/>
    <w:rsid w:val="000C687E"/>
    <w:rsid w:val="000D6C8C"/>
    <w:rsid w:val="000D7E50"/>
    <w:rsid w:val="000E2CEA"/>
    <w:rsid w:val="000E4E25"/>
    <w:rsid w:val="000F36AB"/>
    <w:rsid w:val="000F3982"/>
    <w:rsid w:val="000F3B47"/>
    <w:rsid w:val="000F49D1"/>
    <w:rsid w:val="000F71CB"/>
    <w:rsid w:val="00105095"/>
    <w:rsid w:val="00107D2F"/>
    <w:rsid w:val="00110294"/>
    <w:rsid w:val="001102D8"/>
    <w:rsid w:val="00110700"/>
    <w:rsid w:val="00111A0D"/>
    <w:rsid w:val="001217D5"/>
    <w:rsid w:val="00123ABE"/>
    <w:rsid w:val="00125A50"/>
    <w:rsid w:val="00127958"/>
    <w:rsid w:val="00131264"/>
    <w:rsid w:val="00147ADA"/>
    <w:rsid w:val="0015202F"/>
    <w:rsid w:val="00152076"/>
    <w:rsid w:val="00152D48"/>
    <w:rsid w:val="001534F8"/>
    <w:rsid w:val="00153813"/>
    <w:rsid w:val="00154094"/>
    <w:rsid w:val="00156865"/>
    <w:rsid w:val="00161465"/>
    <w:rsid w:val="00161586"/>
    <w:rsid w:val="00161C7A"/>
    <w:rsid w:val="00163697"/>
    <w:rsid w:val="00163B1A"/>
    <w:rsid w:val="00174057"/>
    <w:rsid w:val="00174B78"/>
    <w:rsid w:val="00176566"/>
    <w:rsid w:val="00176714"/>
    <w:rsid w:val="00185CE0"/>
    <w:rsid w:val="00187940"/>
    <w:rsid w:val="001879AC"/>
    <w:rsid w:val="00190171"/>
    <w:rsid w:val="00191A41"/>
    <w:rsid w:val="001924A1"/>
    <w:rsid w:val="001A011D"/>
    <w:rsid w:val="001A0C08"/>
    <w:rsid w:val="001A34CD"/>
    <w:rsid w:val="001B12F3"/>
    <w:rsid w:val="001B43A0"/>
    <w:rsid w:val="001B4910"/>
    <w:rsid w:val="001B64EE"/>
    <w:rsid w:val="001B65CA"/>
    <w:rsid w:val="001C12F8"/>
    <w:rsid w:val="001C17B0"/>
    <w:rsid w:val="001C22F9"/>
    <w:rsid w:val="001C2966"/>
    <w:rsid w:val="001C641A"/>
    <w:rsid w:val="001C6ECB"/>
    <w:rsid w:val="001C7455"/>
    <w:rsid w:val="001E0606"/>
    <w:rsid w:val="001E35C1"/>
    <w:rsid w:val="001E5B71"/>
    <w:rsid w:val="001E7D50"/>
    <w:rsid w:val="001F26D9"/>
    <w:rsid w:val="001F38F7"/>
    <w:rsid w:val="001F6166"/>
    <w:rsid w:val="001F61D8"/>
    <w:rsid w:val="002008A3"/>
    <w:rsid w:val="0020569F"/>
    <w:rsid w:val="00205D41"/>
    <w:rsid w:val="002104ED"/>
    <w:rsid w:val="002137A7"/>
    <w:rsid w:val="00215AA2"/>
    <w:rsid w:val="00224589"/>
    <w:rsid w:val="00224986"/>
    <w:rsid w:val="00227DEA"/>
    <w:rsid w:val="0023225C"/>
    <w:rsid w:val="00234B32"/>
    <w:rsid w:val="00240F4F"/>
    <w:rsid w:val="00244357"/>
    <w:rsid w:val="0024598B"/>
    <w:rsid w:val="00253DCA"/>
    <w:rsid w:val="002550CA"/>
    <w:rsid w:val="00257263"/>
    <w:rsid w:val="0026550A"/>
    <w:rsid w:val="002700EB"/>
    <w:rsid w:val="002713DC"/>
    <w:rsid w:val="0027248C"/>
    <w:rsid w:val="002728EE"/>
    <w:rsid w:val="00275DC3"/>
    <w:rsid w:val="00283149"/>
    <w:rsid w:val="00292940"/>
    <w:rsid w:val="00297659"/>
    <w:rsid w:val="002A177B"/>
    <w:rsid w:val="002A360C"/>
    <w:rsid w:val="002A4947"/>
    <w:rsid w:val="002B2661"/>
    <w:rsid w:val="002B45A7"/>
    <w:rsid w:val="002C1512"/>
    <w:rsid w:val="002C3777"/>
    <w:rsid w:val="002C5BD6"/>
    <w:rsid w:val="002C7677"/>
    <w:rsid w:val="002D05F1"/>
    <w:rsid w:val="002D1ADD"/>
    <w:rsid w:val="002E1EE4"/>
    <w:rsid w:val="002F1FB8"/>
    <w:rsid w:val="002F5611"/>
    <w:rsid w:val="002F5A47"/>
    <w:rsid w:val="00304B1D"/>
    <w:rsid w:val="00305BC4"/>
    <w:rsid w:val="00307515"/>
    <w:rsid w:val="003104EA"/>
    <w:rsid w:val="00312D6B"/>
    <w:rsid w:val="003137E2"/>
    <w:rsid w:val="00313CB7"/>
    <w:rsid w:val="00317243"/>
    <w:rsid w:val="00317B62"/>
    <w:rsid w:val="00317FD2"/>
    <w:rsid w:val="0032488D"/>
    <w:rsid w:val="00324FC8"/>
    <w:rsid w:val="00327A7E"/>
    <w:rsid w:val="00332A0E"/>
    <w:rsid w:val="00334069"/>
    <w:rsid w:val="0033574E"/>
    <w:rsid w:val="0033615F"/>
    <w:rsid w:val="003363EC"/>
    <w:rsid w:val="003379AC"/>
    <w:rsid w:val="00341608"/>
    <w:rsid w:val="0034212D"/>
    <w:rsid w:val="003443A5"/>
    <w:rsid w:val="0034649E"/>
    <w:rsid w:val="00355D05"/>
    <w:rsid w:val="00357B1C"/>
    <w:rsid w:val="00362C21"/>
    <w:rsid w:val="00362D8A"/>
    <w:rsid w:val="00363D5B"/>
    <w:rsid w:val="003648C3"/>
    <w:rsid w:val="003660D8"/>
    <w:rsid w:val="003676AD"/>
    <w:rsid w:val="0037229A"/>
    <w:rsid w:val="00372E56"/>
    <w:rsid w:val="003749BF"/>
    <w:rsid w:val="00384430"/>
    <w:rsid w:val="00390D95"/>
    <w:rsid w:val="00392B97"/>
    <w:rsid w:val="00393001"/>
    <w:rsid w:val="00393269"/>
    <w:rsid w:val="00395545"/>
    <w:rsid w:val="0039672C"/>
    <w:rsid w:val="00397E62"/>
    <w:rsid w:val="00397ED1"/>
    <w:rsid w:val="003A1CB6"/>
    <w:rsid w:val="003A27BC"/>
    <w:rsid w:val="003A3812"/>
    <w:rsid w:val="003A4A96"/>
    <w:rsid w:val="003A5DDC"/>
    <w:rsid w:val="003A688A"/>
    <w:rsid w:val="003A735B"/>
    <w:rsid w:val="003B1451"/>
    <w:rsid w:val="003B26F5"/>
    <w:rsid w:val="003B6564"/>
    <w:rsid w:val="003C304B"/>
    <w:rsid w:val="003C6C27"/>
    <w:rsid w:val="003D245E"/>
    <w:rsid w:val="003D7B85"/>
    <w:rsid w:val="003D7E0F"/>
    <w:rsid w:val="003E02C1"/>
    <w:rsid w:val="003E0704"/>
    <w:rsid w:val="003E0CFA"/>
    <w:rsid w:val="003E3567"/>
    <w:rsid w:val="003E449B"/>
    <w:rsid w:val="003F51AC"/>
    <w:rsid w:val="004048A4"/>
    <w:rsid w:val="004065CB"/>
    <w:rsid w:val="00406C4D"/>
    <w:rsid w:val="00410F7B"/>
    <w:rsid w:val="00410F95"/>
    <w:rsid w:val="0041534B"/>
    <w:rsid w:val="0041742C"/>
    <w:rsid w:val="00421E37"/>
    <w:rsid w:val="00422139"/>
    <w:rsid w:val="0043015A"/>
    <w:rsid w:val="004326FA"/>
    <w:rsid w:val="00433D1F"/>
    <w:rsid w:val="00436D93"/>
    <w:rsid w:val="004469A6"/>
    <w:rsid w:val="00455BD3"/>
    <w:rsid w:val="004566BB"/>
    <w:rsid w:val="00457418"/>
    <w:rsid w:val="00461531"/>
    <w:rsid w:val="00463EC7"/>
    <w:rsid w:val="004657C3"/>
    <w:rsid w:val="004678E8"/>
    <w:rsid w:val="004774B7"/>
    <w:rsid w:val="0048052F"/>
    <w:rsid w:val="00481A39"/>
    <w:rsid w:val="004871DC"/>
    <w:rsid w:val="00493D2F"/>
    <w:rsid w:val="00494F5B"/>
    <w:rsid w:val="004A09AD"/>
    <w:rsid w:val="004A2390"/>
    <w:rsid w:val="004A3DD2"/>
    <w:rsid w:val="004A4350"/>
    <w:rsid w:val="004A5596"/>
    <w:rsid w:val="004B454C"/>
    <w:rsid w:val="004B461A"/>
    <w:rsid w:val="004B477E"/>
    <w:rsid w:val="004B5A32"/>
    <w:rsid w:val="004C38CC"/>
    <w:rsid w:val="004C74B7"/>
    <w:rsid w:val="004D1E69"/>
    <w:rsid w:val="004D3B75"/>
    <w:rsid w:val="004E13A3"/>
    <w:rsid w:val="004E2351"/>
    <w:rsid w:val="004E2A08"/>
    <w:rsid w:val="004E2C01"/>
    <w:rsid w:val="004E45CA"/>
    <w:rsid w:val="004F0622"/>
    <w:rsid w:val="004F4BEF"/>
    <w:rsid w:val="004F4E7F"/>
    <w:rsid w:val="004F5AEF"/>
    <w:rsid w:val="004F72CA"/>
    <w:rsid w:val="005038A8"/>
    <w:rsid w:val="005043C5"/>
    <w:rsid w:val="0050562E"/>
    <w:rsid w:val="00511C56"/>
    <w:rsid w:val="00517C48"/>
    <w:rsid w:val="0052136C"/>
    <w:rsid w:val="00521E5C"/>
    <w:rsid w:val="00523899"/>
    <w:rsid w:val="005263E1"/>
    <w:rsid w:val="0053056D"/>
    <w:rsid w:val="0053507F"/>
    <w:rsid w:val="00535648"/>
    <w:rsid w:val="00535C51"/>
    <w:rsid w:val="00536C6E"/>
    <w:rsid w:val="00540759"/>
    <w:rsid w:val="00540D98"/>
    <w:rsid w:val="00541844"/>
    <w:rsid w:val="005433C8"/>
    <w:rsid w:val="00546757"/>
    <w:rsid w:val="0054784C"/>
    <w:rsid w:val="00551237"/>
    <w:rsid w:val="00556AF1"/>
    <w:rsid w:val="00560E14"/>
    <w:rsid w:val="00561B64"/>
    <w:rsid w:val="0056431D"/>
    <w:rsid w:val="005737A2"/>
    <w:rsid w:val="0057671F"/>
    <w:rsid w:val="00576A36"/>
    <w:rsid w:val="00576B2A"/>
    <w:rsid w:val="00580170"/>
    <w:rsid w:val="005809E8"/>
    <w:rsid w:val="005819E7"/>
    <w:rsid w:val="00582112"/>
    <w:rsid w:val="005841BD"/>
    <w:rsid w:val="00585A37"/>
    <w:rsid w:val="005871B2"/>
    <w:rsid w:val="00591A5C"/>
    <w:rsid w:val="00595108"/>
    <w:rsid w:val="00595211"/>
    <w:rsid w:val="0059676F"/>
    <w:rsid w:val="005A16DD"/>
    <w:rsid w:val="005A2DE0"/>
    <w:rsid w:val="005B1165"/>
    <w:rsid w:val="005B6C55"/>
    <w:rsid w:val="005C0BC2"/>
    <w:rsid w:val="005C2461"/>
    <w:rsid w:val="005C34A8"/>
    <w:rsid w:val="005C6CF1"/>
    <w:rsid w:val="005C75BE"/>
    <w:rsid w:val="005D4E57"/>
    <w:rsid w:val="005D7A3C"/>
    <w:rsid w:val="005E03EE"/>
    <w:rsid w:val="005E3B6A"/>
    <w:rsid w:val="005E53B0"/>
    <w:rsid w:val="005E676F"/>
    <w:rsid w:val="005E6BFD"/>
    <w:rsid w:val="005E799D"/>
    <w:rsid w:val="005F0C28"/>
    <w:rsid w:val="005F0D83"/>
    <w:rsid w:val="005F120F"/>
    <w:rsid w:val="005F3A8E"/>
    <w:rsid w:val="005F4262"/>
    <w:rsid w:val="005F4D42"/>
    <w:rsid w:val="005F6200"/>
    <w:rsid w:val="00604087"/>
    <w:rsid w:val="00605962"/>
    <w:rsid w:val="006060D5"/>
    <w:rsid w:val="006114CE"/>
    <w:rsid w:val="00613ABA"/>
    <w:rsid w:val="006145D7"/>
    <w:rsid w:val="00615D6A"/>
    <w:rsid w:val="006160D0"/>
    <w:rsid w:val="00616A1E"/>
    <w:rsid w:val="006177B2"/>
    <w:rsid w:val="00617CAA"/>
    <w:rsid w:val="00621E93"/>
    <w:rsid w:val="0062270C"/>
    <w:rsid w:val="00624409"/>
    <w:rsid w:val="0062581E"/>
    <w:rsid w:val="00626341"/>
    <w:rsid w:val="006276F8"/>
    <w:rsid w:val="00631347"/>
    <w:rsid w:val="00633E6A"/>
    <w:rsid w:val="00634750"/>
    <w:rsid w:val="00636DC6"/>
    <w:rsid w:val="0064256C"/>
    <w:rsid w:val="00645B7F"/>
    <w:rsid w:val="006478A9"/>
    <w:rsid w:val="00654CCB"/>
    <w:rsid w:val="00655B42"/>
    <w:rsid w:val="00660B2E"/>
    <w:rsid w:val="0066100F"/>
    <w:rsid w:val="00661E42"/>
    <w:rsid w:val="00662071"/>
    <w:rsid w:val="006654D5"/>
    <w:rsid w:val="00667E80"/>
    <w:rsid w:val="00671F2C"/>
    <w:rsid w:val="006751ED"/>
    <w:rsid w:val="00690B5B"/>
    <w:rsid w:val="00691174"/>
    <w:rsid w:val="006912BA"/>
    <w:rsid w:val="00691B24"/>
    <w:rsid w:val="006941CF"/>
    <w:rsid w:val="00694A75"/>
    <w:rsid w:val="006A1D68"/>
    <w:rsid w:val="006A3ED6"/>
    <w:rsid w:val="006A4F6B"/>
    <w:rsid w:val="006A5C14"/>
    <w:rsid w:val="006A6F81"/>
    <w:rsid w:val="006B07C2"/>
    <w:rsid w:val="006B24AF"/>
    <w:rsid w:val="006B2582"/>
    <w:rsid w:val="006B300E"/>
    <w:rsid w:val="006D0340"/>
    <w:rsid w:val="006D13D2"/>
    <w:rsid w:val="006D1C8C"/>
    <w:rsid w:val="006D2E07"/>
    <w:rsid w:val="006D3D75"/>
    <w:rsid w:val="006E0686"/>
    <w:rsid w:val="006E184C"/>
    <w:rsid w:val="006E2649"/>
    <w:rsid w:val="006E37F8"/>
    <w:rsid w:val="006E38ED"/>
    <w:rsid w:val="006E5C1E"/>
    <w:rsid w:val="006E6B67"/>
    <w:rsid w:val="006F3B94"/>
    <w:rsid w:val="006F4496"/>
    <w:rsid w:val="006F7107"/>
    <w:rsid w:val="006F715D"/>
    <w:rsid w:val="00701EF8"/>
    <w:rsid w:val="00706800"/>
    <w:rsid w:val="00706D4F"/>
    <w:rsid w:val="00715336"/>
    <w:rsid w:val="00721D8D"/>
    <w:rsid w:val="00722273"/>
    <w:rsid w:val="007261A6"/>
    <w:rsid w:val="00727FD6"/>
    <w:rsid w:val="00732D49"/>
    <w:rsid w:val="00733B29"/>
    <w:rsid w:val="0073430A"/>
    <w:rsid w:val="007358DD"/>
    <w:rsid w:val="007364C4"/>
    <w:rsid w:val="007373B6"/>
    <w:rsid w:val="00743E9F"/>
    <w:rsid w:val="0074774B"/>
    <w:rsid w:val="0075022C"/>
    <w:rsid w:val="0075322E"/>
    <w:rsid w:val="00753230"/>
    <w:rsid w:val="00763316"/>
    <w:rsid w:val="00764C39"/>
    <w:rsid w:val="00771742"/>
    <w:rsid w:val="00771851"/>
    <w:rsid w:val="00773762"/>
    <w:rsid w:val="00773B6F"/>
    <w:rsid w:val="0078294E"/>
    <w:rsid w:val="00785A45"/>
    <w:rsid w:val="00787977"/>
    <w:rsid w:val="007924DF"/>
    <w:rsid w:val="00795117"/>
    <w:rsid w:val="007962E7"/>
    <w:rsid w:val="007A3D70"/>
    <w:rsid w:val="007A5F61"/>
    <w:rsid w:val="007A5FD3"/>
    <w:rsid w:val="007A621F"/>
    <w:rsid w:val="007B0890"/>
    <w:rsid w:val="007B209B"/>
    <w:rsid w:val="007B244D"/>
    <w:rsid w:val="007B2AEF"/>
    <w:rsid w:val="007B79AD"/>
    <w:rsid w:val="007C3100"/>
    <w:rsid w:val="007D1EF0"/>
    <w:rsid w:val="007D64D0"/>
    <w:rsid w:val="007D6B2B"/>
    <w:rsid w:val="007E30E5"/>
    <w:rsid w:val="007E4307"/>
    <w:rsid w:val="007F0D4D"/>
    <w:rsid w:val="007F6FA6"/>
    <w:rsid w:val="007F708C"/>
    <w:rsid w:val="00807F6F"/>
    <w:rsid w:val="00811E67"/>
    <w:rsid w:val="008122AC"/>
    <w:rsid w:val="00813984"/>
    <w:rsid w:val="0081688D"/>
    <w:rsid w:val="00817EA9"/>
    <w:rsid w:val="00820490"/>
    <w:rsid w:val="008221B9"/>
    <w:rsid w:val="008233E2"/>
    <w:rsid w:val="00826D5C"/>
    <w:rsid w:val="00841189"/>
    <w:rsid w:val="00844DC7"/>
    <w:rsid w:val="00846914"/>
    <w:rsid w:val="008513FD"/>
    <w:rsid w:val="00855F98"/>
    <w:rsid w:val="00861788"/>
    <w:rsid w:val="00863450"/>
    <w:rsid w:val="00870678"/>
    <w:rsid w:val="00871914"/>
    <w:rsid w:val="008726D9"/>
    <w:rsid w:val="00872D3C"/>
    <w:rsid w:val="00873E58"/>
    <w:rsid w:val="0087545E"/>
    <w:rsid w:val="00880326"/>
    <w:rsid w:val="00881F95"/>
    <w:rsid w:val="00883391"/>
    <w:rsid w:val="00885978"/>
    <w:rsid w:val="008866E1"/>
    <w:rsid w:val="008869EC"/>
    <w:rsid w:val="00896598"/>
    <w:rsid w:val="008A08F4"/>
    <w:rsid w:val="008A45EE"/>
    <w:rsid w:val="008A6771"/>
    <w:rsid w:val="008B1E81"/>
    <w:rsid w:val="008B401F"/>
    <w:rsid w:val="008B62CA"/>
    <w:rsid w:val="008C588A"/>
    <w:rsid w:val="008C6CF3"/>
    <w:rsid w:val="008D024F"/>
    <w:rsid w:val="008D2296"/>
    <w:rsid w:val="008D3282"/>
    <w:rsid w:val="008D5D2F"/>
    <w:rsid w:val="008D7561"/>
    <w:rsid w:val="008D798C"/>
    <w:rsid w:val="008E400F"/>
    <w:rsid w:val="008E66B1"/>
    <w:rsid w:val="008F1DE3"/>
    <w:rsid w:val="008F29A6"/>
    <w:rsid w:val="008F33E1"/>
    <w:rsid w:val="008F5938"/>
    <w:rsid w:val="008F6AFC"/>
    <w:rsid w:val="008F6E76"/>
    <w:rsid w:val="00900BE4"/>
    <w:rsid w:val="00901662"/>
    <w:rsid w:val="00904169"/>
    <w:rsid w:val="009064E9"/>
    <w:rsid w:val="009102E2"/>
    <w:rsid w:val="009136FA"/>
    <w:rsid w:val="00913C91"/>
    <w:rsid w:val="00914898"/>
    <w:rsid w:val="00917DD1"/>
    <w:rsid w:val="00920019"/>
    <w:rsid w:val="009231AF"/>
    <w:rsid w:val="0092332B"/>
    <w:rsid w:val="00924742"/>
    <w:rsid w:val="00924A2A"/>
    <w:rsid w:val="00927126"/>
    <w:rsid w:val="009300B6"/>
    <w:rsid w:val="00931E38"/>
    <w:rsid w:val="00932ADF"/>
    <w:rsid w:val="00932D3E"/>
    <w:rsid w:val="0093508D"/>
    <w:rsid w:val="00937E8D"/>
    <w:rsid w:val="009401B3"/>
    <w:rsid w:val="0094084F"/>
    <w:rsid w:val="009448CB"/>
    <w:rsid w:val="00947749"/>
    <w:rsid w:val="00950D38"/>
    <w:rsid w:val="00952F15"/>
    <w:rsid w:val="009573AD"/>
    <w:rsid w:val="009577B7"/>
    <w:rsid w:val="009660BD"/>
    <w:rsid w:val="0097185E"/>
    <w:rsid w:val="0097353E"/>
    <w:rsid w:val="00973BEB"/>
    <w:rsid w:val="00974CC9"/>
    <w:rsid w:val="009756DA"/>
    <w:rsid w:val="00985C81"/>
    <w:rsid w:val="00986EA5"/>
    <w:rsid w:val="00987E80"/>
    <w:rsid w:val="00993FE6"/>
    <w:rsid w:val="009949E0"/>
    <w:rsid w:val="0099650B"/>
    <w:rsid w:val="009A3F26"/>
    <w:rsid w:val="009A4C7A"/>
    <w:rsid w:val="009A576E"/>
    <w:rsid w:val="009A57CB"/>
    <w:rsid w:val="009B0CA6"/>
    <w:rsid w:val="009B4718"/>
    <w:rsid w:val="009B4BEE"/>
    <w:rsid w:val="009C1514"/>
    <w:rsid w:val="009C6503"/>
    <w:rsid w:val="009C70C5"/>
    <w:rsid w:val="009C7647"/>
    <w:rsid w:val="009D0027"/>
    <w:rsid w:val="009D0616"/>
    <w:rsid w:val="009E5464"/>
    <w:rsid w:val="009E601E"/>
    <w:rsid w:val="009F351E"/>
    <w:rsid w:val="009F3541"/>
    <w:rsid w:val="009F6226"/>
    <w:rsid w:val="00A00FB4"/>
    <w:rsid w:val="00A02FE4"/>
    <w:rsid w:val="00A0500E"/>
    <w:rsid w:val="00A05ABF"/>
    <w:rsid w:val="00A071AA"/>
    <w:rsid w:val="00A07388"/>
    <w:rsid w:val="00A17583"/>
    <w:rsid w:val="00A2057E"/>
    <w:rsid w:val="00A23FA4"/>
    <w:rsid w:val="00A25F77"/>
    <w:rsid w:val="00A34877"/>
    <w:rsid w:val="00A35822"/>
    <w:rsid w:val="00A35F30"/>
    <w:rsid w:val="00A4368A"/>
    <w:rsid w:val="00A4566E"/>
    <w:rsid w:val="00A46873"/>
    <w:rsid w:val="00A46D06"/>
    <w:rsid w:val="00A4798B"/>
    <w:rsid w:val="00A50DF3"/>
    <w:rsid w:val="00A526DB"/>
    <w:rsid w:val="00A5545C"/>
    <w:rsid w:val="00A57307"/>
    <w:rsid w:val="00A61B0F"/>
    <w:rsid w:val="00A61DAF"/>
    <w:rsid w:val="00A62357"/>
    <w:rsid w:val="00A62645"/>
    <w:rsid w:val="00A62D1B"/>
    <w:rsid w:val="00A63B38"/>
    <w:rsid w:val="00A643C9"/>
    <w:rsid w:val="00A66C97"/>
    <w:rsid w:val="00A66F74"/>
    <w:rsid w:val="00A67312"/>
    <w:rsid w:val="00A80763"/>
    <w:rsid w:val="00A81682"/>
    <w:rsid w:val="00A81D5E"/>
    <w:rsid w:val="00A85D7E"/>
    <w:rsid w:val="00A861C7"/>
    <w:rsid w:val="00A867AF"/>
    <w:rsid w:val="00A86D7A"/>
    <w:rsid w:val="00A91302"/>
    <w:rsid w:val="00A9399F"/>
    <w:rsid w:val="00A9531D"/>
    <w:rsid w:val="00A9764E"/>
    <w:rsid w:val="00A97E18"/>
    <w:rsid w:val="00AA1DC6"/>
    <w:rsid w:val="00AA3C09"/>
    <w:rsid w:val="00AA43F3"/>
    <w:rsid w:val="00AA6E20"/>
    <w:rsid w:val="00AB1E42"/>
    <w:rsid w:val="00AB2DE5"/>
    <w:rsid w:val="00AB4D7F"/>
    <w:rsid w:val="00AB506B"/>
    <w:rsid w:val="00AB7987"/>
    <w:rsid w:val="00AC12BF"/>
    <w:rsid w:val="00AC31EE"/>
    <w:rsid w:val="00AD3171"/>
    <w:rsid w:val="00AD5087"/>
    <w:rsid w:val="00AD6211"/>
    <w:rsid w:val="00AE2A13"/>
    <w:rsid w:val="00AE2AFC"/>
    <w:rsid w:val="00AE3809"/>
    <w:rsid w:val="00AE3C9B"/>
    <w:rsid w:val="00AE3D16"/>
    <w:rsid w:val="00AE6C36"/>
    <w:rsid w:val="00AE71AB"/>
    <w:rsid w:val="00AE7526"/>
    <w:rsid w:val="00AF002E"/>
    <w:rsid w:val="00AF5567"/>
    <w:rsid w:val="00AF58F4"/>
    <w:rsid w:val="00AF6F83"/>
    <w:rsid w:val="00AF73BF"/>
    <w:rsid w:val="00B03436"/>
    <w:rsid w:val="00B045CE"/>
    <w:rsid w:val="00B050C1"/>
    <w:rsid w:val="00B051F4"/>
    <w:rsid w:val="00B0685A"/>
    <w:rsid w:val="00B108C8"/>
    <w:rsid w:val="00B11912"/>
    <w:rsid w:val="00B21B20"/>
    <w:rsid w:val="00B25A37"/>
    <w:rsid w:val="00B31160"/>
    <w:rsid w:val="00B312FA"/>
    <w:rsid w:val="00B318D2"/>
    <w:rsid w:val="00B378CC"/>
    <w:rsid w:val="00B53905"/>
    <w:rsid w:val="00B54712"/>
    <w:rsid w:val="00B55914"/>
    <w:rsid w:val="00B55E3D"/>
    <w:rsid w:val="00B60FF9"/>
    <w:rsid w:val="00B62B7D"/>
    <w:rsid w:val="00B64AEB"/>
    <w:rsid w:val="00B64E5C"/>
    <w:rsid w:val="00B672A8"/>
    <w:rsid w:val="00B67ED1"/>
    <w:rsid w:val="00B717CE"/>
    <w:rsid w:val="00B71912"/>
    <w:rsid w:val="00B74856"/>
    <w:rsid w:val="00B83906"/>
    <w:rsid w:val="00B87090"/>
    <w:rsid w:val="00B91AB4"/>
    <w:rsid w:val="00B97C1E"/>
    <w:rsid w:val="00B97F8C"/>
    <w:rsid w:val="00BA2693"/>
    <w:rsid w:val="00BA27C7"/>
    <w:rsid w:val="00BA4983"/>
    <w:rsid w:val="00BB0B54"/>
    <w:rsid w:val="00BB0C1E"/>
    <w:rsid w:val="00BB3197"/>
    <w:rsid w:val="00BB4AB0"/>
    <w:rsid w:val="00BB59DB"/>
    <w:rsid w:val="00BB75B8"/>
    <w:rsid w:val="00BB7B14"/>
    <w:rsid w:val="00BC01EA"/>
    <w:rsid w:val="00BC48BF"/>
    <w:rsid w:val="00BD03A1"/>
    <w:rsid w:val="00BD10A0"/>
    <w:rsid w:val="00BD5DFF"/>
    <w:rsid w:val="00BE196F"/>
    <w:rsid w:val="00BE1C30"/>
    <w:rsid w:val="00BE22CC"/>
    <w:rsid w:val="00BE2E52"/>
    <w:rsid w:val="00BE58A0"/>
    <w:rsid w:val="00BF22E6"/>
    <w:rsid w:val="00BF53A2"/>
    <w:rsid w:val="00BF5D45"/>
    <w:rsid w:val="00BF7B9A"/>
    <w:rsid w:val="00C00E5F"/>
    <w:rsid w:val="00C019CB"/>
    <w:rsid w:val="00C01EC5"/>
    <w:rsid w:val="00C02C48"/>
    <w:rsid w:val="00C02F4F"/>
    <w:rsid w:val="00C04A7D"/>
    <w:rsid w:val="00C06695"/>
    <w:rsid w:val="00C21B02"/>
    <w:rsid w:val="00C3565B"/>
    <w:rsid w:val="00C37892"/>
    <w:rsid w:val="00C47CC4"/>
    <w:rsid w:val="00C50F5C"/>
    <w:rsid w:val="00C51175"/>
    <w:rsid w:val="00C51A6D"/>
    <w:rsid w:val="00C621F2"/>
    <w:rsid w:val="00C62355"/>
    <w:rsid w:val="00C71570"/>
    <w:rsid w:val="00C80FE7"/>
    <w:rsid w:val="00C85E8C"/>
    <w:rsid w:val="00C8767B"/>
    <w:rsid w:val="00C90AA4"/>
    <w:rsid w:val="00C9112E"/>
    <w:rsid w:val="00C93F07"/>
    <w:rsid w:val="00C96179"/>
    <w:rsid w:val="00CA3190"/>
    <w:rsid w:val="00CA53CD"/>
    <w:rsid w:val="00CA61E5"/>
    <w:rsid w:val="00CA768E"/>
    <w:rsid w:val="00CA7B38"/>
    <w:rsid w:val="00CB3E61"/>
    <w:rsid w:val="00CB7FE2"/>
    <w:rsid w:val="00CC1082"/>
    <w:rsid w:val="00CC647B"/>
    <w:rsid w:val="00CC78AF"/>
    <w:rsid w:val="00CD33A1"/>
    <w:rsid w:val="00CD3424"/>
    <w:rsid w:val="00CD5067"/>
    <w:rsid w:val="00CE1A81"/>
    <w:rsid w:val="00CE3166"/>
    <w:rsid w:val="00CE3915"/>
    <w:rsid w:val="00CE56AE"/>
    <w:rsid w:val="00CE6151"/>
    <w:rsid w:val="00CF0EBB"/>
    <w:rsid w:val="00CF1383"/>
    <w:rsid w:val="00CF1662"/>
    <w:rsid w:val="00CF26DF"/>
    <w:rsid w:val="00CF3DD0"/>
    <w:rsid w:val="00CF3ED6"/>
    <w:rsid w:val="00CF5502"/>
    <w:rsid w:val="00D02F18"/>
    <w:rsid w:val="00D03244"/>
    <w:rsid w:val="00D04F34"/>
    <w:rsid w:val="00D10B36"/>
    <w:rsid w:val="00D11877"/>
    <w:rsid w:val="00D167BF"/>
    <w:rsid w:val="00D21F8B"/>
    <w:rsid w:val="00D228FD"/>
    <w:rsid w:val="00D2392F"/>
    <w:rsid w:val="00D24192"/>
    <w:rsid w:val="00D24BE8"/>
    <w:rsid w:val="00D25080"/>
    <w:rsid w:val="00D2543B"/>
    <w:rsid w:val="00D36423"/>
    <w:rsid w:val="00D41C80"/>
    <w:rsid w:val="00D42C07"/>
    <w:rsid w:val="00D43E0C"/>
    <w:rsid w:val="00D46797"/>
    <w:rsid w:val="00D5108E"/>
    <w:rsid w:val="00D538D9"/>
    <w:rsid w:val="00D55D6E"/>
    <w:rsid w:val="00D5722D"/>
    <w:rsid w:val="00D600D6"/>
    <w:rsid w:val="00D605BD"/>
    <w:rsid w:val="00D607CC"/>
    <w:rsid w:val="00D625FD"/>
    <w:rsid w:val="00D64378"/>
    <w:rsid w:val="00D64565"/>
    <w:rsid w:val="00D65932"/>
    <w:rsid w:val="00D659AE"/>
    <w:rsid w:val="00D665A3"/>
    <w:rsid w:val="00D741FF"/>
    <w:rsid w:val="00D75945"/>
    <w:rsid w:val="00D77945"/>
    <w:rsid w:val="00D81C6C"/>
    <w:rsid w:val="00D83276"/>
    <w:rsid w:val="00D914BC"/>
    <w:rsid w:val="00D91BB4"/>
    <w:rsid w:val="00D95036"/>
    <w:rsid w:val="00D96306"/>
    <w:rsid w:val="00DA5C19"/>
    <w:rsid w:val="00DB0386"/>
    <w:rsid w:val="00DB07E0"/>
    <w:rsid w:val="00DB2F48"/>
    <w:rsid w:val="00DB4A42"/>
    <w:rsid w:val="00DC4095"/>
    <w:rsid w:val="00DD38B3"/>
    <w:rsid w:val="00DD4C94"/>
    <w:rsid w:val="00DD7063"/>
    <w:rsid w:val="00DE32C7"/>
    <w:rsid w:val="00DE4575"/>
    <w:rsid w:val="00DE5B1E"/>
    <w:rsid w:val="00DF2611"/>
    <w:rsid w:val="00DF2B67"/>
    <w:rsid w:val="00DF3E38"/>
    <w:rsid w:val="00DF4979"/>
    <w:rsid w:val="00DF5208"/>
    <w:rsid w:val="00DF52AF"/>
    <w:rsid w:val="00DF684F"/>
    <w:rsid w:val="00E02C1C"/>
    <w:rsid w:val="00E03D1F"/>
    <w:rsid w:val="00E045A8"/>
    <w:rsid w:val="00E07360"/>
    <w:rsid w:val="00E073C3"/>
    <w:rsid w:val="00E1051C"/>
    <w:rsid w:val="00E140B1"/>
    <w:rsid w:val="00E14A5C"/>
    <w:rsid w:val="00E209B9"/>
    <w:rsid w:val="00E23ADD"/>
    <w:rsid w:val="00E32176"/>
    <w:rsid w:val="00E3250C"/>
    <w:rsid w:val="00E34A52"/>
    <w:rsid w:val="00E35E7A"/>
    <w:rsid w:val="00E41A0E"/>
    <w:rsid w:val="00E434C8"/>
    <w:rsid w:val="00E517E8"/>
    <w:rsid w:val="00E54EDA"/>
    <w:rsid w:val="00E57D1F"/>
    <w:rsid w:val="00E61F39"/>
    <w:rsid w:val="00E71968"/>
    <w:rsid w:val="00E74442"/>
    <w:rsid w:val="00E747B7"/>
    <w:rsid w:val="00E74EF6"/>
    <w:rsid w:val="00E77083"/>
    <w:rsid w:val="00E803F7"/>
    <w:rsid w:val="00E840FF"/>
    <w:rsid w:val="00E8611A"/>
    <w:rsid w:val="00E92423"/>
    <w:rsid w:val="00E936DB"/>
    <w:rsid w:val="00E95216"/>
    <w:rsid w:val="00E9662F"/>
    <w:rsid w:val="00E97655"/>
    <w:rsid w:val="00EA1ACB"/>
    <w:rsid w:val="00EB06A5"/>
    <w:rsid w:val="00EB0FBD"/>
    <w:rsid w:val="00EB4194"/>
    <w:rsid w:val="00EB6A96"/>
    <w:rsid w:val="00EB7829"/>
    <w:rsid w:val="00EB7A32"/>
    <w:rsid w:val="00EB7EBA"/>
    <w:rsid w:val="00EC5DDC"/>
    <w:rsid w:val="00ED1A43"/>
    <w:rsid w:val="00ED21FE"/>
    <w:rsid w:val="00ED3CF3"/>
    <w:rsid w:val="00ED46CD"/>
    <w:rsid w:val="00EE0479"/>
    <w:rsid w:val="00EE0501"/>
    <w:rsid w:val="00EE0795"/>
    <w:rsid w:val="00EE0B8F"/>
    <w:rsid w:val="00EE0D92"/>
    <w:rsid w:val="00EE2DA2"/>
    <w:rsid w:val="00EE53C4"/>
    <w:rsid w:val="00EF1F71"/>
    <w:rsid w:val="00EF36FD"/>
    <w:rsid w:val="00EF54BA"/>
    <w:rsid w:val="00F03BBA"/>
    <w:rsid w:val="00F06556"/>
    <w:rsid w:val="00F11B27"/>
    <w:rsid w:val="00F12F71"/>
    <w:rsid w:val="00F14A6F"/>
    <w:rsid w:val="00F15B84"/>
    <w:rsid w:val="00F20B6C"/>
    <w:rsid w:val="00F231F3"/>
    <w:rsid w:val="00F2490B"/>
    <w:rsid w:val="00F26388"/>
    <w:rsid w:val="00F27D83"/>
    <w:rsid w:val="00F35313"/>
    <w:rsid w:val="00F41B38"/>
    <w:rsid w:val="00F42BE3"/>
    <w:rsid w:val="00F47583"/>
    <w:rsid w:val="00F528E7"/>
    <w:rsid w:val="00F5537B"/>
    <w:rsid w:val="00F55658"/>
    <w:rsid w:val="00F57FF3"/>
    <w:rsid w:val="00F653CB"/>
    <w:rsid w:val="00F65E46"/>
    <w:rsid w:val="00F70BDD"/>
    <w:rsid w:val="00F719CF"/>
    <w:rsid w:val="00F81F6E"/>
    <w:rsid w:val="00F82B75"/>
    <w:rsid w:val="00F82C22"/>
    <w:rsid w:val="00F84423"/>
    <w:rsid w:val="00F847A6"/>
    <w:rsid w:val="00F8537A"/>
    <w:rsid w:val="00F86EB3"/>
    <w:rsid w:val="00F87239"/>
    <w:rsid w:val="00F90D46"/>
    <w:rsid w:val="00F910D1"/>
    <w:rsid w:val="00F9300A"/>
    <w:rsid w:val="00F935B0"/>
    <w:rsid w:val="00F9401E"/>
    <w:rsid w:val="00F94340"/>
    <w:rsid w:val="00F95BC2"/>
    <w:rsid w:val="00F9751D"/>
    <w:rsid w:val="00FA4CCB"/>
    <w:rsid w:val="00FA74E8"/>
    <w:rsid w:val="00FB1EEE"/>
    <w:rsid w:val="00FB266D"/>
    <w:rsid w:val="00FB326F"/>
    <w:rsid w:val="00FB481A"/>
    <w:rsid w:val="00FB4FD2"/>
    <w:rsid w:val="00FB74B4"/>
    <w:rsid w:val="00FC38A0"/>
    <w:rsid w:val="00FC6A20"/>
    <w:rsid w:val="00FC7631"/>
    <w:rsid w:val="00FD0432"/>
    <w:rsid w:val="00FD0FC7"/>
    <w:rsid w:val="00FD1987"/>
    <w:rsid w:val="00FD349E"/>
    <w:rsid w:val="00FD3A73"/>
    <w:rsid w:val="00FD40CB"/>
    <w:rsid w:val="00FD7778"/>
    <w:rsid w:val="00FD7F2D"/>
    <w:rsid w:val="00FE13E3"/>
    <w:rsid w:val="00FE30B4"/>
    <w:rsid w:val="00FE388A"/>
    <w:rsid w:val="00FF1A94"/>
    <w:rsid w:val="00FF2FEC"/>
    <w:rsid w:val="00FF76A8"/>
    <w:rsid w:val="0105502B"/>
    <w:rsid w:val="01124CC6"/>
    <w:rsid w:val="01130FA0"/>
    <w:rsid w:val="01184352"/>
    <w:rsid w:val="01225530"/>
    <w:rsid w:val="01305F81"/>
    <w:rsid w:val="013272E4"/>
    <w:rsid w:val="013B04B1"/>
    <w:rsid w:val="013E4429"/>
    <w:rsid w:val="01480499"/>
    <w:rsid w:val="014B07F6"/>
    <w:rsid w:val="015924E8"/>
    <w:rsid w:val="015D5DE3"/>
    <w:rsid w:val="017F6C03"/>
    <w:rsid w:val="01863740"/>
    <w:rsid w:val="018B5A23"/>
    <w:rsid w:val="018D342B"/>
    <w:rsid w:val="01A12CEF"/>
    <w:rsid w:val="01AB15C8"/>
    <w:rsid w:val="01B12B1C"/>
    <w:rsid w:val="01B16E3E"/>
    <w:rsid w:val="01BD431B"/>
    <w:rsid w:val="01BE7323"/>
    <w:rsid w:val="01C43D6B"/>
    <w:rsid w:val="01CF6F8D"/>
    <w:rsid w:val="01D53BED"/>
    <w:rsid w:val="01DF19AB"/>
    <w:rsid w:val="01E16E45"/>
    <w:rsid w:val="01E72D6D"/>
    <w:rsid w:val="01F15965"/>
    <w:rsid w:val="01F46102"/>
    <w:rsid w:val="020408FA"/>
    <w:rsid w:val="022B670B"/>
    <w:rsid w:val="022B7DDB"/>
    <w:rsid w:val="022D7094"/>
    <w:rsid w:val="02344BD0"/>
    <w:rsid w:val="02376621"/>
    <w:rsid w:val="023E3145"/>
    <w:rsid w:val="024762F1"/>
    <w:rsid w:val="024B3E8C"/>
    <w:rsid w:val="024C78C1"/>
    <w:rsid w:val="026713EF"/>
    <w:rsid w:val="026B1786"/>
    <w:rsid w:val="02883E0A"/>
    <w:rsid w:val="028A11FE"/>
    <w:rsid w:val="02955CDA"/>
    <w:rsid w:val="02AF0F85"/>
    <w:rsid w:val="02BD0E73"/>
    <w:rsid w:val="02C528AC"/>
    <w:rsid w:val="02CD06D3"/>
    <w:rsid w:val="02CD3CC1"/>
    <w:rsid w:val="02D40B0F"/>
    <w:rsid w:val="02D73908"/>
    <w:rsid w:val="02E05B6F"/>
    <w:rsid w:val="02E15C11"/>
    <w:rsid w:val="02F90329"/>
    <w:rsid w:val="02FC704B"/>
    <w:rsid w:val="02FD4B75"/>
    <w:rsid w:val="02FE361D"/>
    <w:rsid w:val="03013450"/>
    <w:rsid w:val="030D716C"/>
    <w:rsid w:val="030D7908"/>
    <w:rsid w:val="03146A77"/>
    <w:rsid w:val="03147391"/>
    <w:rsid w:val="03191ED8"/>
    <w:rsid w:val="0328664E"/>
    <w:rsid w:val="032C2483"/>
    <w:rsid w:val="0338432F"/>
    <w:rsid w:val="03385656"/>
    <w:rsid w:val="033D1ADE"/>
    <w:rsid w:val="03425851"/>
    <w:rsid w:val="03473AA1"/>
    <w:rsid w:val="034C69A0"/>
    <w:rsid w:val="035213EC"/>
    <w:rsid w:val="035D1B55"/>
    <w:rsid w:val="035E0FCF"/>
    <w:rsid w:val="0369560C"/>
    <w:rsid w:val="0374417E"/>
    <w:rsid w:val="03757776"/>
    <w:rsid w:val="0378111D"/>
    <w:rsid w:val="037D605E"/>
    <w:rsid w:val="038774C5"/>
    <w:rsid w:val="03891210"/>
    <w:rsid w:val="038A3802"/>
    <w:rsid w:val="038B049A"/>
    <w:rsid w:val="03914375"/>
    <w:rsid w:val="03AD10E5"/>
    <w:rsid w:val="03BE6311"/>
    <w:rsid w:val="03C237A5"/>
    <w:rsid w:val="03C828B8"/>
    <w:rsid w:val="03CF374A"/>
    <w:rsid w:val="03E83996"/>
    <w:rsid w:val="03EB6B0E"/>
    <w:rsid w:val="040C3DC4"/>
    <w:rsid w:val="04161F65"/>
    <w:rsid w:val="04206EF1"/>
    <w:rsid w:val="042242FF"/>
    <w:rsid w:val="04261A5C"/>
    <w:rsid w:val="043622B1"/>
    <w:rsid w:val="04471B8B"/>
    <w:rsid w:val="044A0997"/>
    <w:rsid w:val="044A51A9"/>
    <w:rsid w:val="044F37C7"/>
    <w:rsid w:val="045A393D"/>
    <w:rsid w:val="045A4C2A"/>
    <w:rsid w:val="045E0C58"/>
    <w:rsid w:val="045F4CBA"/>
    <w:rsid w:val="04613C48"/>
    <w:rsid w:val="046206C8"/>
    <w:rsid w:val="0469000D"/>
    <w:rsid w:val="04704AE6"/>
    <w:rsid w:val="04724708"/>
    <w:rsid w:val="04794A22"/>
    <w:rsid w:val="047A2CEB"/>
    <w:rsid w:val="047C31E4"/>
    <w:rsid w:val="047E7EEC"/>
    <w:rsid w:val="04804811"/>
    <w:rsid w:val="04A32058"/>
    <w:rsid w:val="04AE5A31"/>
    <w:rsid w:val="04B534BF"/>
    <w:rsid w:val="04B92ADA"/>
    <w:rsid w:val="04BD3366"/>
    <w:rsid w:val="04C602E0"/>
    <w:rsid w:val="04CE67E6"/>
    <w:rsid w:val="04D574DF"/>
    <w:rsid w:val="04DA2B54"/>
    <w:rsid w:val="04EC14A6"/>
    <w:rsid w:val="04F34FAB"/>
    <w:rsid w:val="04F50939"/>
    <w:rsid w:val="04FB147E"/>
    <w:rsid w:val="04FC35BF"/>
    <w:rsid w:val="05055648"/>
    <w:rsid w:val="050C5D89"/>
    <w:rsid w:val="05106F20"/>
    <w:rsid w:val="051C0CEF"/>
    <w:rsid w:val="05271C7E"/>
    <w:rsid w:val="052E05D3"/>
    <w:rsid w:val="0533246C"/>
    <w:rsid w:val="05376F1C"/>
    <w:rsid w:val="053D36A0"/>
    <w:rsid w:val="053E548A"/>
    <w:rsid w:val="054A7378"/>
    <w:rsid w:val="05530B97"/>
    <w:rsid w:val="055B39A0"/>
    <w:rsid w:val="05665DF4"/>
    <w:rsid w:val="05672C8A"/>
    <w:rsid w:val="057F7BA5"/>
    <w:rsid w:val="05835753"/>
    <w:rsid w:val="05865B6F"/>
    <w:rsid w:val="058F4BBF"/>
    <w:rsid w:val="05945D34"/>
    <w:rsid w:val="05974E24"/>
    <w:rsid w:val="05996954"/>
    <w:rsid w:val="059E2051"/>
    <w:rsid w:val="05EB6E42"/>
    <w:rsid w:val="05F30934"/>
    <w:rsid w:val="05FE7247"/>
    <w:rsid w:val="060C0879"/>
    <w:rsid w:val="06190F92"/>
    <w:rsid w:val="0620381D"/>
    <w:rsid w:val="0622048E"/>
    <w:rsid w:val="06227CD4"/>
    <w:rsid w:val="062B272B"/>
    <w:rsid w:val="063D1483"/>
    <w:rsid w:val="064C5225"/>
    <w:rsid w:val="064D2019"/>
    <w:rsid w:val="064F3B1A"/>
    <w:rsid w:val="06537ADB"/>
    <w:rsid w:val="065A6A3E"/>
    <w:rsid w:val="065C396A"/>
    <w:rsid w:val="065F647A"/>
    <w:rsid w:val="06600C3F"/>
    <w:rsid w:val="066A4F7C"/>
    <w:rsid w:val="06757782"/>
    <w:rsid w:val="068A1AEE"/>
    <w:rsid w:val="068B37E6"/>
    <w:rsid w:val="069D376A"/>
    <w:rsid w:val="06AB46BC"/>
    <w:rsid w:val="06AC70E1"/>
    <w:rsid w:val="06B50648"/>
    <w:rsid w:val="06B61AB0"/>
    <w:rsid w:val="06BD25FD"/>
    <w:rsid w:val="06C53390"/>
    <w:rsid w:val="06C91291"/>
    <w:rsid w:val="06CB7AC8"/>
    <w:rsid w:val="06DE1ACA"/>
    <w:rsid w:val="06EA7B0F"/>
    <w:rsid w:val="06ED6AEE"/>
    <w:rsid w:val="06EE07A3"/>
    <w:rsid w:val="06EE4AF3"/>
    <w:rsid w:val="06F17D0E"/>
    <w:rsid w:val="06F71C77"/>
    <w:rsid w:val="06FE2589"/>
    <w:rsid w:val="070079E2"/>
    <w:rsid w:val="070D6C89"/>
    <w:rsid w:val="07150A9B"/>
    <w:rsid w:val="07202B1E"/>
    <w:rsid w:val="07334107"/>
    <w:rsid w:val="07390821"/>
    <w:rsid w:val="073A3CAF"/>
    <w:rsid w:val="073B186C"/>
    <w:rsid w:val="075A6B0F"/>
    <w:rsid w:val="07662378"/>
    <w:rsid w:val="076B5BC3"/>
    <w:rsid w:val="077B1B26"/>
    <w:rsid w:val="07804604"/>
    <w:rsid w:val="078437D0"/>
    <w:rsid w:val="07AE71C1"/>
    <w:rsid w:val="07BE6EC2"/>
    <w:rsid w:val="07D356B7"/>
    <w:rsid w:val="07D75F8B"/>
    <w:rsid w:val="07D92C62"/>
    <w:rsid w:val="07DF441B"/>
    <w:rsid w:val="07F76CAE"/>
    <w:rsid w:val="07FD4083"/>
    <w:rsid w:val="08020B1E"/>
    <w:rsid w:val="08080F93"/>
    <w:rsid w:val="08110EC0"/>
    <w:rsid w:val="081C4B54"/>
    <w:rsid w:val="081E70AB"/>
    <w:rsid w:val="082370F7"/>
    <w:rsid w:val="08276282"/>
    <w:rsid w:val="082A235E"/>
    <w:rsid w:val="0834372D"/>
    <w:rsid w:val="083A0034"/>
    <w:rsid w:val="08405474"/>
    <w:rsid w:val="0841654C"/>
    <w:rsid w:val="085C27E7"/>
    <w:rsid w:val="087E21B4"/>
    <w:rsid w:val="088654BF"/>
    <w:rsid w:val="0888779C"/>
    <w:rsid w:val="0893656B"/>
    <w:rsid w:val="08A23EEB"/>
    <w:rsid w:val="08A844DB"/>
    <w:rsid w:val="08AB6853"/>
    <w:rsid w:val="08BE779C"/>
    <w:rsid w:val="08BF35DC"/>
    <w:rsid w:val="08C60B7B"/>
    <w:rsid w:val="08C7797B"/>
    <w:rsid w:val="08C91993"/>
    <w:rsid w:val="08D73FFE"/>
    <w:rsid w:val="08DC7AB0"/>
    <w:rsid w:val="08E16C4F"/>
    <w:rsid w:val="08EA3C3E"/>
    <w:rsid w:val="090B6EFC"/>
    <w:rsid w:val="092911D9"/>
    <w:rsid w:val="092E56F0"/>
    <w:rsid w:val="09336C26"/>
    <w:rsid w:val="09372607"/>
    <w:rsid w:val="093B2706"/>
    <w:rsid w:val="09431273"/>
    <w:rsid w:val="094D6DA3"/>
    <w:rsid w:val="09585281"/>
    <w:rsid w:val="096A5A3B"/>
    <w:rsid w:val="096A763F"/>
    <w:rsid w:val="09795E36"/>
    <w:rsid w:val="097E1723"/>
    <w:rsid w:val="09855672"/>
    <w:rsid w:val="098E52BB"/>
    <w:rsid w:val="099265FA"/>
    <w:rsid w:val="09A95425"/>
    <w:rsid w:val="09AB6E4B"/>
    <w:rsid w:val="09AE0E06"/>
    <w:rsid w:val="09BC3FD9"/>
    <w:rsid w:val="09C1778E"/>
    <w:rsid w:val="09C778E1"/>
    <w:rsid w:val="09CE0AE7"/>
    <w:rsid w:val="09D83A6D"/>
    <w:rsid w:val="09D96EB9"/>
    <w:rsid w:val="09DA4F5D"/>
    <w:rsid w:val="09DF15A7"/>
    <w:rsid w:val="09E14D4F"/>
    <w:rsid w:val="09F13FB7"/>
    <w:rsid w:val="0A0377B6"/>
    <w:rsid w:val="0A387F5C"/>
    <w:rsid w:val="0A3C34E2"/>
    <w:rsid w:val="0A4A4317"/>
    <w:rsid w:val="0A5165C7"/>
    <w:rsid w:val="0A5764EC"/>
    <w:rsid w:val="0A576EC7"/>
    <w:rsid w:val="0A6B0FAC"/>
    <w:rsid w:val="0A772EC3"/>
    <w:rsid w:val="0A7814BB"/>
    <w:rsid w:val="0A795420"/>
    <w:rsid w:val="0A893CA9"/>
    <w:rsid w:val="0A8C1DD2"/>
    <w:rsid w:val="0A937595"/>
    <w:rsid w:val="0A9B1A48"/>
    <w:rsid w:val="0AA55E2E"/>
    <w:rsid w:val="0AB61D36"/>
    <w:rsid w:val="0AC51F3F"/>
    <w:rsid w:val="0AD750B9"/>
    <w:rsid w:val="0AE979AE"/>
    <w:rsid w:val="0AFA3237"/>
    <w:rsid w:val="0B0C0F05"/>
    <w:rsid w:val="0B121773"/>
    <w:rsid w:val="0B161371"/>
    <w:rsid w:val="0B350ED4"/>
    <w:rsid w:val="0B3864F3"/>
    <w:rsid w:val="0B3A775F"/>
    <w:rsid w:val="0B533001"/>
    <w:rsid w:val="0B6108CF"/>
    <w:rsid w:val="0B834D33"/>
    <w:rsid w:val="0B91187B"/>
    <w:rsid w:val="0BA145F7"/>
    <w:rsid w:val="0BA2684E"/>
    <w:rsid w:val="0BAD2EA3"/>
    <w:rsid w:val="0BB413F8"/>
    <w:rsid w:val="0BC618D8"/>
    <w:rsid w:val="0BCA3781"/>
    <w:rsid w:val="0BCC7ED1"/>
    <w:rsid w:val="0BCE1395"/>
    <w:rsid w:val="0BD46830"/>
    <w:rsid w:val="0BD762BF"/>
    <w:rsid w:val="0BE5348C"/>
    <w:rsid w:val="0BED7FE9"/>
    <w:rsid w:val="0BEE57FA"/>
    <w:rsid w:val="0BF12993"/>
    <w:rsid w:val="0BF2276F"/>
    <w:rsid w:val="0BF4520A"/>
    <w:rsid w:val="0BF86C06"/>
    <w:rsid w:val="0BFC6C95"/>
    <w:rsid w:val="0C031E73"/>
    <w:rsid w:val="0C2C02B1"/>
    <w:rsid w:val="0C2E177E"/>
    <w:rsid w:val="0C2F299D"/>
    <w:rsid w:val="0C3A71AA"/>
    <w:rsid w:val="0C3B6041"/>
    <w:rsid w:val="0C3E2903"/>
    <w:rsid w:val="0C433497"/>
    <w:rsid w:val="0C4D3405"/>
    <w:rsid w:val="0C4F26F8"/>
    <w:rsid w:val="0C590D5A"/>
    <w:rsid w:val="0C7363AD"/>
    <w:rsid w:val="0C7F0134"/>
    <w:rsid w:val="0C840D1E"/>
    <w:rsid w:val="0C925339"/>
    <w:rsid w:val="0CA67F64"/>
    <w:rsid w:val="0CC26397"/>
    <w:rsid w:val="0CC41025"/>
    <w:rsid w:val="0CC83FF0"/>
    <w:rsid w:val="0CE743BE"/>
    <w:rsid w:val="0CE87D28"/>
    <w:rsid w:val="0CE95CB1"/>
    <w:rsid w:val="0D0539CE"/>
    <w:rsid w:val="0D110341"/>
    <w:rsid w:val="0D137095"/>
    <w:rsid w:val="0D18148E"/>
    <w:rsid w:val="0D182B7A"/>
    <w:rsid w:val="0D1D4812"/>
    <w:rsid w:val="0D225EE8"/>
    <w:rsid w:val="0D263085"/>
    <w:rsid w:val="0D31177A"/>
    <w:rsid w:val="0D3E1375"/>
    <w:rsid w:val="0D446FED"/>
    <w:rsid w:val="0D460742"/>
    <w:rsid w:val="0D4D54AC"/>
    <w:rsid w:val="0D58742F"/>
    <w:rsid w:val="0D5C30F8"/>
    <w:rsid w:val="0D5F74DF"/>
    <w:rsid w:val="0D684AE6"/>
    <w:rsid w:val="0D794072"/>
    <w:rsid w:val="0D821B4C"/>
    <w:rsid w:val="0D8C710B"/>
    <w:rsid w:val="0D9B1B2E"/>
    <w:rsid w:val="0DAA75B7"/>
    <w:rsid w:val="0DAB12B6"/>
    <w:rsid w:val="0DB0666F"/>
    <w:rsid w:val="0DB5534B"/>
    <w:rsid w:val="0DB64A2C"/>
    <w:rsid w:val="0DBF3B4C"/>
    <w:rsid w:val="0DC07198"/>
    <w:rsid w:val="0DC57814"/>
    <w:rsid w:val="0DC645FB"/>
    <w:rsid w:val="0DD471CA"/>
    <w:rsid w:val="0DD72BA5"/>
    <w:rsid w:val="0DD861B4"/>
    <w:rsid w:val="0DE17C2E"/>
    <w:rsid w:val="0DE234F6"/>
    <w:rsid w:val="0DE607CB"/>
    <w:rsid w:val="0DE87349"/>
    <w:rsid w:val="0DF26CD2"/>
    <w:rsid w:val="0DF7232A"/>
    <w:rsid w:val="0E14240E"/>
    <w:rsid w:val="0E183713"/>
    <w:rsid w:val="0E194B3F"/>
    <w:rsid w:val="0E2570D6"/>
    <w:rsid w:val="0E275DA7"/>
    <w:rsid w:val="0E2E33FF"/>
    <w:rsid w:val="0E4A2698"/>
    <w:rsid w:val="0E527DA4"/>
    <w:rsid w:val="0E5B7254"/>
    <w:rsid w:val="0E611261"/>
    <w:rsid w:val="0E673A71"/>
    <w:rsid w:val="0E706561"/>
    <w:rsid w:val="0E7914B9"/>
    <w:rsid w:val="0E79205F"/>
    <w:rsid w:val="0E8A1018"/>
    <w:rsid w:val="0E9E6FF0"/>
    <w:rsid w:val="0EAA6F8E"/>
    <w:rsid w:val="0EB05860"/>
    <w:rsid w:val="0EB23894"/>
    <w:rsid w:val="0EB34E0B"/>
    <w:rsid w:val="0EC27E2B"/>
    <w:rsid w:val="0ECC5810"/>
    <w:rsid w:val="0ED03A81"/>
    <w:rsid w:val="0ED346FA"/>
    <w:rsid w:val="0EE76605"/>
    <w:rsid w:val="0EEE39A0"/>
    <w:rsid w:val="0EF12B60"/>
    <w:rsid w:val="0F0131EA"/>
    <w:rsid w:val="0F025411"/>
    <w:rsid w:val="0F045F8C"/>
    <w:rsid w:val="0F0D5F19"/>
    <w:rsid w:val="0F1B763D"/>
    <w:rsid w:val="0F242743"/>
    <w:rsid w:val="0F296761"/>
    <w:rsid w:val="0F2E164E"/>
    <w:rsid w:val="0F392F09"/>
    <w:rsid w:val="0F4439CB"/>
    <w:rsid w:val="0F4C1046"/>
    <w:rsid w:val="0F557705"/>
    <w:rsid w:val="0F6912C6"/>
    <w:rsid w:val="0F6D13A1"/>
    <w:rsid w:val="0F773E9D"/>
    <w:rsid w:val="0F8143FC"/>
    <w:rsid w:val="0F83001E"/>
    <w:rsid w:val="0FA23A93"/>
    <w:rsid w:val="0FA54340"/>
    <w:rsid w:val="0FA556BC"/>
    <w:rsid w:val="0FB7447C"/>
    <w:rsid w:val="0FBC3043"/>
    <w:rsid w:val="0FBD15E3"/>
    <w:rsid w:val="0FC05175"/>
    <w:rsid w:val="0FEA5ADC"/>
    <w:rsid w:val="0FEB2089"/>
    <w:rsid w:val="0FF46887"/>
    <w:rsid w:val="0FF90F71"/>
    <w:rsid w:val="0FFA719D"/>
    <w:rsid w:val="100B7CBD"/>
    <w:rsid w:val="102501EF"/>
    <w:rsid w:val="1034548D"/>
    <w:rsid w:val="103916F9"/>
    <w:rsid w:val="103C7CDB"/>
    <w:rsid w:val="1043314E"/>
    <w:rsid w:val="10440BE1"/>
    <w:rsid w:val="1049628A"/>
    <w:rsid w:val="104A469C"/>
    <w:rsid w:val="104E60B4"/>
    <w:rsid w:val="105408C2"/>
    <w:rsid w:val="10605D3B"/>
    <w:rsid w:val="10633410"/>
    <w:rsid w:val="106C3761"/>
    <w:rsid w:val="107525D9"/>
    <w:rsid w:val="107B7F6B"/>
    <w:rsid w:val="107E6415"/>
    <w:rsid w:val="108160EB"/>
    <w:rsid w:val="109C4208"/>
    <w:rsid w:val="10B77D5F"/>
    <w:rsid w:val="10B95885"/>
    <w:rsid w:val="10C5390D"/>
    <w:rsid w:val="10CF50A9"/>
    <w:rsid w:val="10DF5303"/>
    <w:rsid w:val="10E259DE"/>
    <w:rsid w:val="10E320E1"/>
    <w:rsid w:val="10F87D28"/>
    <w:rsid w:val="111A324F"/>
    <w:rsid w:val="114B465F"/>
    <w:rsid w:val="11633BA9"/>
    <w:rsid w:val="11731C54"/>
    <w:rsid w:val="117621F2"/>
    <w:rsid w:val="117B32BD"/>
    <w:rsid w:val="118C470D"/>
    <w:rsid w:val="11904251"/>
    <w:rsid w:val="11950920"/>
    <w:rsid w:val="119618E8"/>
    <w:rsid w:val="11A516BB"/>
    <w:rsid w:val="11A7386F"/>
    <w:rsid w:val="11A8708A"/>
    <w:rsid w:val="11B648A3"/>
    <w:rsid w:val="11D262BF"/>
    <w:rsid w:val="11D80770"/>
    <w:rsid w:val="11DD668D"/>
    <w:rsid w:val="11DF6590"/>
    <w:rsid w:val="11E01543"/>
    <w:rsid w:val="11E271A0"/>
    <w:rsid w:val="11F61ACB"/>
    <w:rsid w:val="11FD2592"/>
    <w:rsid w:val="11FD36B6"/>
    <w:rsid w:val="12034D22"/>
    <w:rsid w:val="120427A0"/>
    <w:rsid w:val="12175254"/>
    <w:rsid w:val="12177F1E"/>
    <w:rsid w:val="12185445"/>
    <w:rsid w:val="121E407C"/>
    <w:rsid w:val="12372622"/>
    <w:rsid w:val="123F41FF"/>
    <w:rsid w:val="12401FBE"/>
    <w:rsid w:val="12491877"/>
    <w:rsid w:val="1251019F"/>
    <w:rsid w:val="125F2159"/>
    <w:rsid w:val="126C3BE6"/>
    <w:rsid w:val="126F2829"/>
    <w:rsid w:val="127C017B"/>
    <w:rsid w:val="12873EA3"/>
    <w:rsid w:val="128E25CA"/>
    <w:rsid w:val="12A145E4"/>
    <w:rsid w:val="12A25309"/>
    <w:rsid w:val="12A4076A"/>
    <w:rsid w:val="12B7206B"/>
    <w:rsid w:val="12CE7FED"/>
    <w:rsid w:val="12DE4D05"/>
    <w:rsid w:val="12E148DA"/>
    <w:rsid w:val="12EF13C7"/>
    <w:rsid w:val="130D1D7B"/>
    <w:rsid w:val="13171B7F"/>
    <w:rsid w:val="13183D44"/>
    <w:rsid w:val="1324563D"/>
    <w:rsid w:val="132F7548"/>
    <w:rsid w:val="133155E6"/>
    <w:rsid w:val="133A70FA"/>
    <w:rsid w:val="13467AEF"/>
    <w:rsid w:val="13482F68"/>
    <w:rsid w:val="134C782D"/>
    <w:rsid w:val="13564603"/>
    <w:rsid w:val="135F7D4A"/>
    <w:rsid w:val="136020C2"/>
    <w:rsid w:val="138B7147"/>
    <w:rsid w:val="139164E0"/>
    <w:rsid w:val="13917AC1"/>
    <w:rsid w:val="1392386A"/>
    <w:rsid w:val="139850C8"/>
    <w:rsid w:val="13A51AA0"/>
    <w:rsid w:val="13A6234C"/>
    <w:rsid w:val="13BB65DA"/>
    <w:rsid w:val="13C2068B"/>
    <w:rsid w:val="13C56471"/>
    <w:rsid w:val="13CD3DDD"/>
    <w:rsid w:val="13DD0C77"/>
    <w:rsid w:val="13E32AB7"/>
    <w:rsid w:val="13EB40C1"/>
    <w:rsid w:val="13F9276F"/>
    <w:rsid w:val="14034792"/>
    <w:rsid w:val="1406789C"/>
    <w:rsid w:val="140954C8"/>
    <w:rsid w:val="14222169"/>
    <w:rsid w:val="14233017"/>
    <w:rsid w:val="1429669D"/>
    <w:rsid w:val="14330813"/>
    <w:rsid w:val="14357EA3"/>
    <w:rsid w:val="143B1C51"/>
    <w:rsid w:val="14454134"/>
    <w:rsid w:val="144F46A4"/>
    <w:rsid w:val="14550016"/>
    <w:rsid w:val="14653DEE"/>
    <w:rsid w:val="146544DB"/>
    <w:rsid w:val="14694803"/>
    <w:rsid w:val="147E0F7C"/>
    <w:rsid w:val="147F66ED"/>
    <w:rsid w:val="148E51A9"/>
    <w:rsid w:val="14900985"/>
    <w:rsid w:val="149D0CC3"/>
    <w:rsid w:val="14A51374"/>
    <w:rsid w:val="14AE4C0A"/>
    <w:rsid w:val="14B64D09"/>
    <w:rsid w:val="14C153D0"/>
    <w:rsid w:val="14CA2BB7"/>
    <w:rsid w:val="14D9786E"/>
    <w:rsid w:val="14F45F4B"/>
    <w:rsid w:val="14FF6E91"/>
    <w:rsid w:val="15032923"/>
    <w:rsid w:val="150A2DD1"/>
    <w:rsid w:val="150B102D"/>
    <w:rsid w:val="15187C94"/>
    <w:rsid w:val="151C014F"/>
    <w:rsid w:val="152A065B"/>
    <w:rsid w:val="1537292E"/>
    <w:rsid w:val="15394249"/>
    <w:rsid w:val="153C00E9"/>
    <w:rsid w:val="15436990"/>
    <w:rsid w:val="154F3E72"/>
    <w:rsid w:val="15580EF9"/>
    <w:rsid w:val="155D571F"/>
    <w:rsid w:val="156801A2"/>
    <w:rsid w:val="157849C1"/>
    <w:rsid w:val="15867E11"/>
    <w:rsid w:val="15892B52"/>
    <w:rsid w:val="158F5D0E"/>
    <w:rsid w:val="15936581"/>
    <w:rsid w:val="15973A51"/>
    <w:rsid w:val="159A1731"/>
    <w:rsid w:val="159C2D52"/>
    <w:rsid w:val="159C7878"/>
    <w:rsid w:val="159D78DD"/>
    <w:rsid w:val="15AD52A1"/>
    <w:rsid w:val="15AF2B0A"/>
    <w:rsid w:val="15B63E75"/>
    <w:rsid w:val="15BC3AC6"/>
    <w:rsid w:val="15C6536B"/>
    <w:rsid w:val="15D33C1F"/>
    <w:rsid w:val="15D87256"/>
    <w:rsid w:val="15EA1332"/>
    <w:rsid w:val="15EF4DE7"/>
    <w:rsid w:val="15F03CF3"/>
    <w:rsid w:val="15F60143"/>
    <w:rsid w:val="15FA44A7"/>
    <w:rsid w:val="16002CEF"/>
    <w:rsid w:val="16032D77"/>
    <w:rsid w:val="16035B90"/>
    <w:rsid w:val="16057EAE"/>
    <w:rsid w:val="160D0964"/>
    <w:rsid w:val="162503F7"/>
    <w:rsid w:val="16264EDD"/>
    <w:rsid w:val="162732A8"/>
    <w:rsid w:val="16305CB1"/>
    <w:rsid w:val="16387163"/>
    <w:rsid w:val="163872FB"/>
    <w:rsid w:val="164010C6"/>
    <w:rsid w:val="1663419E"/>
    <w:rsid w:val="16695B41"/>
    <w:rsid w:val="166B56A1"/>
    <w:rsid w:val="166B7621"/>
    <w:rsid w:val="166C03E2"/>
    <w:rsid w:val="1674056C"/>
    <w:rsid w:val="167406BD"/>
    <w:rsid w:val="167978D6"/>
    <w:rsid w:val="16892EEC"/>
    <w:rsid w:val="168E7115"/>
    <w:rsid w:val="168F1D1F"/>
    <w:rsid w:val="169300B1"/>
    <w:rsid w:val="16A02C47"/>
    <w:rsid w:val="16C617D0"/>
    <w:rsid w:val="16C638AF"/>
    <w:rsid w:val="16CB40AA"/>
    <w:rsid w:val="16D81C84"/>
    <w:rsid w:val="16E00329"/>
    <w:rsid w:val="16E82490"/>
    <w:rsid w:val="16F57369"/>
    <w:rsid w:val="1703407B"/>
    <w:rsid w:val="17056CD0"/>
    <w:rsid w:val="170E1C94"/>
    <w:rsid w:val="171B1404"/>
    <w:rsid w:val="171B6EAC"/>
    <w:rsid w:val="171B74DC"/>
    <w:rsid w:val="171F11EA"/>
    <w:rsid w:val="172449F5"/>
    <w:rsid w:val="17293A43"/>
    <w:rsid w:val="172B385F"/>
    <w:rsid w:val="174619F9"/>
    <w:rsid w:val="17513C68"/>
    <w:rsid w:val="17597463"/>
    <w:rsid w:val="175D5A1E"/>
    <w:rsid w:val="176359BA"/>
    <w:rsid w:val="176B6498"/>
    <w:rsid w:val="176F6310"/>
    <w:rsid w:val="1774122A"/>
    <w:rsid w:val="17786CE5"/>
    <w:rsid w:val="178570A5"/>
    <w:rsid w:val="17955325"/>
    <w:rsid w:val="17A44D98"/>
    <w:rsid w:val="17B81831"/>
    <w:rsid w:val="17CD1C99"/>
    <w:rsid w:val="17CE0D68"/>
    <w:rsid w:val="17DF63E9"/>
    <w:rsid w:val="17E02874"/>
    <w:rsid w:val="17E13EB1"/>
    <w:rsid w:val="17E215DA"/>
    <w:rsid w:val="17E57C4C"/>
    <w:rsid w:val="17F82881"/>
    <w:rsid w:val="181B4890"/>
    <w:rsid w:val="18372547"/>
    <w:rsid w:val="183C1B8C"/>
    <w:rsid w:val="183F1529"/>
    <w:rsid w:val="18431A2B"/>
    <w:rsid w:val="18477218"/>
    <w:rsid w:val="18510FFB"/>
    <w:rsid w:val="1861279C"/>
    <w:rsid w:val="18651C01"/>
    <w:rsid w:val="18671C4F"/>
    <w:rsid w:val="186F47B4"/>
    <w:rsid w:val="187352C3"/>
    <w:rsid w:val="18813B0D"/>
    <w:rsid w:val="18862D96"/>
    <w:rsid w:val="189324BE"/>
    <w:rsid w:val="18987E78"/>
    <w:rsid w:val="189C5A87"/>
    <w:rsid w:val="18A6098C"/>
    <w:rsid w:val="18AD717D"/>
    <w:rsid w:val="18B07774"/>
    <w:rsid w:val="18C96FAA"/>
    <w:rsid w:val="18D74432"/>
    <w:rsid w:val="18DD5FA2"/>
    <w:rsid w:val="18E00670"/>
    <w:rsid w:val="18E65550"/>
    <w:rsid w:val="18E6580A"/>
    <w:rsid w:val="18E737F9"/>
    <w:rsid w:val="18EB4F3D"/>
    <w:rsid w:val="18EE009F"/>
    <w:rsid w:val="18F14279"/>
    <w:rsid w:val="18F331D0"/>
    <w:rsid w:val="19000EF3"/>
    <w:rsid w:val="1903147B"/>
    <w:rsid w:val="19120856"/>
    <w:rsid w:val="19124FEB"/>
    <w:rsid w:val="191B7B84"/>
    <w:rsid w:val="192175EA"/>
    <w:rsid w:val="19384503"/>
    <w:rsid w:val="193C27B3"/>
    <w:rsid w:val="194418A5"/>
    <w:rsid w:val="1952712E"/>
    <w:rsid w:val="19591B5F"/>
    <w:rsid w:val="19763EFC"/>
    <w:rsid w:val="197839FA"/>
    <w:rsid w:val="197C5DAD"/>
    <w:rsid w:val="19896F23"/>
    <w:rsid w:val="198C0AC4"/>
    <w:rsid w:val="198E5C92"/>
    <w:rsid w:val="199474AF"/>
    <w:rsid w:val="19B27315"/>
    <w:rsid w:val="19B45E75"/>
    <w:rsid w:val="19BA5AE4"/>
    <w:rsid w:val="19BD7CC5"/>
    <w:rsid w:val="19CA11E7"/>
    <w:rsid w:val="19CC3524"/>
    <w:rsid w:val="19D05BE4"/>
    <w:rsid w:val="19DB2E31"/>
    <w:rsid w:val="19DE0635"/>
    <w:rsid w:val="19F13E30"/>
    <w:rsid w:val="19F61069"/>
    <w:rsid w:val="19FC1A44"/>
    <w:rsid w:val="1A001322"/>
    <w:rsid w:val="1A0148F7"/>
    <w:rsid w:val="1A0430E6"/>
    <w:rsid w:val="1A1F6876"/>
    <w:rsid w:val="1A201089"/>
    <w:rsid w:val="1A280AF6"/>
    <w:rsid w:val="1A304CC5"/>
    <w:rsid w:val="1A3D1161"/>
    <w:rsid w:val="1A431FDC"/>
    <w:rsid w:val="1A457FB9"/>
    <w:rsid w:val="1A477171"/>
    <w:rsid w:val="1A590E98"/>
    <w:rsid w:val="1A60615A"/>
    <w:rsid w:val="1A64634E"/>
    <w:rsid w:val="1A66398D"/>
    <w:rsid w:val="1A887EB8"/>
    <w:rsid w:val="1A8D57B7"/>
    <w:rsid w:val="1A9E72B8"/>
    <w:rsid w:val="1AA94EC7"/>
    <w:rsid w:val="1AAE2603"/>
    <w:rsid w:val="1AB91D3E"/>
    <w:rsid w:val="1AD81B59"/>
    <w:rsid w:val="1ADA4704"/>
    <w:rsid w:val="1AEE033B"/>
    <w:rsid w:val="1AFC7FDA"/>
    <w:rsid w:val="1B0508FD"/>
    <w:rsid w:val="1B070305"/>
    <w:rsid w:val="1B1C7B86"/>
    <w:rsid w:val="1B1E0C31"/>
    <w:rsid w:val="1B215F8C"/>
    <w:rsid w:val="1B2919B1"/>
    <w:rsid w:val="1B350553"/>
    <w:rsid w:val="1B6520A0"/>
    <w:rsid w:val="1B7952C1"/>
    <w:rsid w:val="1B84087B"/>
    <w:rsid w:val="1B8B0D6E"/>
    <w:rsid w:val="1B901CA3"/>
    <w:rsid w:val="1B9B1DF0"/>
    <w:rsid w:val="1B9E2917"/>
    <w:rsid w:val="1BAD071C"/>
    <w:rsid w:val="1BBE381C"/>
    <w:rsid w:val="1BC54643"/>
    <w:rsid w:val="1BD40FD4"/>
    <w:rsid w:val="1BD57F16"/>
    <w:rsid w:val="1BD76DCC"/>
    <w:rsid w:val="1BDA7401"/>
    <w:rsid w:val="1BE80C13"/>
    <w:rsid w:val="1BFA21AC"/>
    <w:rsid w:val="1BFF6520"/>
    <w:rsid w:val="1C0E2785"/>
    <w:rsid w:val="1C231024"/>
    <w:rsid w:val="1C27623B"/>
    <w:rsid w:val="1C3C0BA2"/>
    <w:rsid w:val="1C4502E2"/>
    <w:rsid w:val="1C453151"/>
    <w:rsid w:val="1C55440D"/>
    <w:rsid w:val="1C641B50"/>
    <w:rsid w:val="1C652527"/>
    <w:rsid w:val="1C852DF7"/>
    <w:rsid w:val="1C853311"/>
    <w:rsid w:val="1C877D0F"/>
    <w:rsid w:val="1C8E34A9"/>
    <w:rsid w:val="1C922612"/>
    <w:rsid w:val="1CA40E27"/>
    <w:rsid w:val="1CA55C0E"/>
    <w:rsid w:val="1CAA65C5"/>
    <w:rsid w:val="1CB05D13"/>
    <w:rsid w:val="1CB36592"/>
    <w:rsid w:val="1CB5743B"/>
    <w:rsid w:val="1CB83CAC"/>
    <w:rsid w:val="1CC26FBD"/>
    <w:rsid w:val="1CC45335"/>
    <w:rsid w:val="1CCF3290"/>
    <w:rsid w:val="1CD163BD"/>
    <w:rsid w:val="1CDA66F7"/>
    <w:rsid w:val="1CDD545D"/>
    <w:rsid w:val="1CE4599B"/>
    <w:rsid w:val="1CEF3420"/>
    <w:rsid w:val="1CF31AF1"/>
    <w:rsid w:val="1CF4263E"/>
    <w:rsid w:val="1D027DA6"/>
    <w:rsid w:val="1D125F6B"/>
    <w:rsid w:val="1D144E1B"/>
    <w:rsid w:val="1D165A43"/>
    <w:rsid w:val="1D352577"/>
    <w:rsid w:val="1D3B0736"/>
    <w:rsid w:val="1D3F334E"/>
    <w:rsid w:val="1D4820A9"/>
    <w:rsid w:val="1D486AEB"/>
    <w:rsid w:val="1D491BD5"/>
    <w:rsid w:val="1D5F03AE"/>
    <w:rsid w:val="1D851D43"/>
    <w:rsid w:val="1D911D6C"/>
    <w:rsid w:val="1D912545"/>
    <w:rsid w:val="1D976A5F"/>
    <w:rsid w:val="1D9B17E6"/>
    <w:rsid w:val="1DA44B29"/>
    <w:rsid w:val="1DAD79D0"/>
    <w:rsid w:val="1DB25F40"/>
    <w:rsid w:val="1DB576A8"/>
    <w:rsid w:val="1DC214B9"/>
    <w:rsid w:val="1DDB0EF6"/>
    <w:rsid w:val="1DDD0A0E"/>
    <w:rsid w:val="1DE1320A"/>
    <w:rsid w:val="1DF0089C"/>
    <w:rsid w:val="1DF44F8E"/>
    <w:rsid w:val="1DF61711"/>
    <w:rsid w:val="1DF76134"/>
    <w:rsid w:val="1E00354C"/>
    <w:rsid w:val="1E0E4D0C"/>
    <w:rsid w:val="1E0F3536"/>
    <w:rsid w:val="1E141DDF"/>
    <w:rsid w:val="1E16605A"/>
    <w:rsid w:val="1E1E4DFB"/>
    <w:rsid w:val="1E2264F8"/>
    <w:rsid w:val="1E356A0C"/>
    <w:rsid w:val="1E437B8F"/>
    <w:rsid w:val="1E4445D4"/>
    <w:rsid w:val="1E4F2AD3"/>
    <w:rsid w:val="1E517102"/>
    <w:rsid w:val="1E562CB3"/>
    <w:rsid w:val="1E6F501B"/>
    <w:rsid w:val="1E720F0F"/>
    <w:rsid w:val="1E7A6779"/>
    <w:rsid w:val="1E9271D0"/>
    <w:rsid w:val="1E9D2C85"/>
    <w:rsid w:val="1EA731B1"/>
    <w:rsid w:val="1EAB2BB5"/>
    <w:rsid w:val="1EB13144"/>
    <w:rsid w:val="1EB578F0"/>
    <w:rsid w:val="1EBB1F4A"/>
    <w:rsid w:val="1EBD1107"/>
    <w:rsid w:val="1ED51CA2"/>
    <w:rsid w:val="1EE96FAF"/>
    <w:rsid w:val="1EF57E0C"/>
    <w:rsid w:val="1EFD0E66"/>
    <w:rsid w:val="1EFD74DF"/>
    <w:rsid w:val="1F0C74C8"/>
    <w:rsid w:val="1F232A8F"/>
    <w:rsid w:val="1F260FFF"/>
    <w:rsid w:val="1F265127"/>
    <w:rsid w:val="1F3246B2"/>
    <w:rsid w:val="1F644C1E"/>
    <w:rsid w:val="1F6C22DF"/>
    <w:rsid w:val="1F712175"/>
    <w:rsid w:val="1F80501B"/>
    <w:rsid w:val="1F9850D8"/>
    <w:rsid w:val="1F992AA0"/>
    <w:rsid w:val="1F9D5967"/>
    <w:rsid w:val="1FA23ED0"/>
    <w:rsid w:val="1FA75CA8"/>
    <w:rsid w:val="1FAB7736"/>
    <w:rsid w:val="1FAD6FE8"/>
    <w:rsid w:val="1FB13D44"/>
    <w:rsid w:val="1FB51FD1"/>
    <w:rsid w:val="1FC05E77"/>
    <w:rsid w:val="1FC070DA"/>
    <w:rsid w:val="1FC37E40"/>
    <w:rsid w:val="1FC9152A"/>
    <w:rsid w:val="1FC962B8"/>
    <w:rsid w:val="1FDF77F8"/>
    <w:rsid w:val="1FE14B20"/>
    <w:rsid w:val="1FE81BEA"/>
    <w:rsid w:val="1FED4FFC"/>
    <w:rsid w:val="1FF650BF"/>
    <w:rsid w:val="1FFD6E47"/>
    <w:rsid w:val="200418CF"/>
    <w:rsid w:val="20120691"/>
    <w:rsid w:val="2013095D"/>
    <w:rsid w:val="201F3C91"/>
    <w:rsid w:val="20376DFA"/>
    <w:rsid w:val="203D7BD5"/>
    <w:rsid w:val="203E5AE5"/>
    <w:rsid w:val="20480F03"/>
    <w:rsid w:val="20585EA2"/>
    <w:rsid w:val="20736268"/>
    <w:rsid w:val="2079268D"/>
    <w:rsid w:val="20834E38"/>
    <w:rsid w:val="20895671"/>
    <w:rsid w:val="20951315"/>
    <w:rsid w:val="20BA0019"/>
    <w:rsid w:val="20BB20C0"/>
    <w:rsid w:val="20C6198D"/>
    <w:rsid w:val="20CE2F04"/>
    <w:rsid w:val="20D42237"/>
    <w:rsid w:val="20DA182C"/>
    <w:rsid w:val="20E07BEC"/>
    <w:rsid w:val="20EA6FA9"/>
    <w:rsid w:val="2110752A"/>
    <w:rsid w:val="2111371F"/>
    <w:rsid w:val="21195325"/>
    <w:rsid w:val="21254EE6"/>
    <w:rsid w:val="212B12C5"/>
    <w:rsid w:val="212B1EAE"/>
    <w:rsid w:val="214851A7"/>
    <w:rsid w:val="214C0B21"/>
    <w:rsid w:val="2155477F"/>
    <w:rsid w:val="215A6C54"/>
    <w:rsid w:val="21603092"/>
    <w:rsid w:val="216B28C3"/>
    <w:rsid w:val="21776985"/>
    <w:rsid w:val="217C4483"/>
    <w:rsid w:val="217D437D"/>
    <w:rsid w:val="218940E5"/>
    <w:rsid w:val="2193409F"/>
    <w:rsid w:val="2197413B"/>
    <w:rsid w:val="21A4203E"/>
    <w:rsid w:val="21AB477C"/>
    <w:rsid w:val="21AC5E36"/>
    <w:rsid w:val="21AE225C"/>
    <w:rsid w:val="21AF0D14"/>
    <w:rsid w:val="21BF5163"/>
    <w:rsid w:val="21C72251"/>
    <w:rsid w:val="21D336A2"/>
    <w:rsid w:val="21DD4F15"/>
    <w:rsid w:val="21E76E72"/>
    <w:rsid w:val="21FB27AE"/>
    <w:rsid w:val="21FE0593"/>
    <w:rsid w:val="22093762"/>
    <w:rsid w:val="22103E9C"/>
    <w:rsid w:val="2218628F"/>
    <w:rsid w:val="223D3AA2"/>
    <w:rsid w:val="223E19DD"/>
    <w:rsid w:val="223F2BE5"/>
    <w:rsid w:val="22457048"/>
    <w:rsid w:val="22694BAB"/>
    <w:rsid w:val="226F1602"/>
    <w:rsid w:val="2270231A"/>
    <w:rsid w:val="227316B5"/>
    <w:rsid w:val="22781438"/>
    <w:rsid w:val="228243F1"/>
    <w:rsid w:val="2299794B"/>
    <w:rsid w:val="229D5325"/>
    <w:rsid w:val="229F55A9"/>
    <w:rsid w:val="22A43B93"/>
    <w:rsid w:val="22AC1DBD"/>
    <w:rsid w:val="22BA47C0"/>
    <w:rsid w:val="22C84C59"/>
    <w:rsid w:val="22E43E3E"/>
    <w:rsid w:val="22EA2F10"/>
    <w:rsid w:val="22F62E34"/>
    <w:rsid w:val="230412CB"/>
    <w:rsid w:val="23141F52"/>
    <w:rsid w:val="232038CE"/>
    <w:rsid w:val="23254C60"/>
    <w:rsid w:val="233072BE"/>
    <w:rsid w:val="23367578"/>
    <w:rsid w:val="23392C89"/>
    <w:rsid w:val="2339614C"/>
    <w:rsid w:val="233B3AA2"/>
    <w:rsid w:val="234E2F1E"/>
    <w:rsid w:val="236137C3"/>
    <w:rsid w:val="23685B22"/>
    <w:rsid w:val="237D439E"/>
    <w:rsid w:val="238F70EC"/>
    <w:rsid w:val="239E15F7"/>
    <w:rsid w:val="23A87039"/>
    <w:rsid w:val="23B138DC"/>
    <w:rsid w:val="23BC4BAE"/>
    <w:rsid w:val="23BD1DC7"/>
    <w:rsid w:val="23C77517"/>
    <w:rsid w:val="23C77D7F"/>
    <w:rsid w:val="23C80FC8"/>
    <w:rsid w:val="23E317A5"/>
    <w:rsid w:val="23E978BE"/>
    <w:rsid w:val="23FC5856"/>
    <w:rsid w:val="2402679B"/>
    <w:rsid w:val="2403551B"/>
    <w:rsid w:val="24043FE1"/>
    <w:rsid w:val="24333DCB"/>
    <w:rsid w:val="24411865"/>
    <w:rsid w:val="24466AD6"/>
    <w:rsid w:val="24526424"/>
    <w:rsid w:val="246D607F"/>
    <w:rsid w:val="246F2493"/>
    <w:rsid w:val="24780ED5"/>
    <w:rsid w:val="247B2D72"/>
    <w:rsid w:val="24882A11"/>
    <w:rsid w:val="2488752C"/>
    <w:rsid w:val="24992565"/>
    <w:rsid w:val="24A255D9"/>
    <w:rsid w:val="24A93F5C"/>
    <w:rsid w:val="24B01605"/>
    <w:rsid w:val="24B74A87"/>
    <w:rsid w:val="24BE0077"/>
    <w:rsid w:val="24CA0DDD"/>
    <w:rsid w:val="24CA3832"/>
    <w:rsid w:val="24CF3471"/>
    <w:rsid w:val="24D80CD9"/>
    <w:rsid w:val="24DC206D"/>
    <w:rsid w:val="24E80747"/>
    <w:rsid w:val="24F52454"/>
    <w:rsid w:val="24FA60CE"/>
    <w:rsid w:val="25150916"/>
    <w:rsid w:val="25246F31"/>
    <w:rsid w:val="25294471"/>
    <w:rsid w:val="252A1870"/>
    <w:rsid w:val="252D551A"/>
    <w:rsid w:val="253D3947"/>
    <w:rsid w:val="25476DA0"/>
    <w:rsid w:val="254D31CF"/>
    <w:rsid w:val="255D54D3"/>
    <w:rsid w:val="255D5A3D"/>
    <w:rsid w:val="25715A3C"/>
    <w:rsid w:val="25725A6F"/>
    <w:rsid w:val="25783608"/>
    <w:rsid w:val="2593314B"/>
    <w:rsid w:val="259600C6"/>
    <w:rsid w:val="25A31098"/>
    <w:rsid w:val="25A33A66"/>
    <w:rsid w:val="25AB39CF"/>
    <w:rsid w:val="25AB6AE6"/>
    <w:rsid w:val="25AE2F56"/>
    <w:rsid w:val="25AF093B"/>
    <w:rsid w:val="25AF5CB8"/>
    <w:rsid w:val="25B14925"/>
    <w:rsid w:val="25BB57D2"/>
    <w:rsid w:val="25EF7D0C"/>
    <w:rsid w:val="25F55BF1"/>
    <w:rsid w:val="26052E87"/>
    <w:rsid w:val="26157CF6"/>
    <w:rsid w:val="2616494F"/>
    <w:rsid w:val="26345AF2"/>
    <w:rsid w:val="263B7F06"/>
    <w:rsid w:val="263C0582"/>
    <w:rsid w:val="265E7742"/>
    <w:rsid w:val="266347D0"/>
    <w:rsid w:val="266F7E9B"/>
    <w:rsid w:val="26766B5F"/>
    <w:rsid w:val="267F3F0B"/>
    <w:rsid w:val="26A46F87"/>
    <w:rsid w:val="26A533E1"/>
    <w:rsid w:val="26A77E3A"/>
    <w:rsid w:val="26AA114D"/>
    <w:rsid w:val="26BD0A9C"/>
    <w:rsid w:val="26C97227"/>
    <w:rsid w:val="26CE5149"/>
    <w:rsid w:val="26D37FD1"/>
    <w:rsid w:val="26E37DE3"/>
    <w:rsid w:val="26E52F8F"/>
    <w:rsid w:val="26F65143"/>
    <w:rsid w:val="27005049"/>
    <w:rsid w:val="27027297"/>
    <w:rsid w:val="27095262"/>
    <w:rsid w:val="27105978"/>
    <w:rsid w:val="271B47E9"/>
    <w:rsid w:val="27350D44"/>
    <w:rsid w:val="273959BB"/>
    <w:rsid w:val="273A7D13"/>
    <w:rsid w:val="274E6637"/>
    <w:rsid w:val="27515F6B"/>
    <w:rsid w:val="27574E32"/>
    <w:rsid w:val="2761647D"/>
    <w:rsid w:val="27660085"/>
    <w:rsid w:val="276756B2"/>
    <w:rsid w:val="276B7137"/>
    <w:rsid w:val="276F55DF"/>
    <w:rsid w:val="27854B4C"/>
    <w:rsid w:val="27897019"/>
    <w:rsid w:val="278B07C6"/>
    <w:rsid w:val="278B2198"/>
    <w:rsid w:val="278C27C2"/>
    <w:rsid w:val="278F62B0"/>
    <w:rsid w:val="279A4162"/>
    <w:rsid w:val="27A14EBF"/>
    <w:rsid w:val="27B350AC"/>
    <w:rsid w:val="27C56669"/>
    <w:rsid w:val="27CB2555"/>
    <w:rsid w:val="27CF5A4C"/>
    <w:rsid w:val="27D51569"/>
    <w:rsid w:val="27DD0116"/>
    <w:rsid w:val="27DE0B74"/>
    <w:rsid w:val="27E1637F"/>
    <w:rsid w:val="27ED29B6"/>
    <w:rsid w:val="28054D42"/>
    <w:rsid w:val="280D5743"/>
    <w:rsid w:val="281361A0"/>
    <w:rsid w:val="281467F7"/>
    <w:rsid w:val="282567B8"/>
    <w:rsid w:val="28260876"/>
    <w:rsid w:val="28351AA4"/>
    <w:rsid w:val="2848402F"/>
    <w:rsid w:val="28493E91"/>
    <w:rsid w:val="285667F3"/>
    <w:rsid w:val="286A5695"/>
    <w:rsid w:val="287A0206"/>
    <w:rsid w:val="288B175D"/>
    <w:rsid w:val="288F030A"/>
    <w:rsid w:val="28AC4A45"/>
    <w:rsid w:val="28B83D64"/>
    <w:rsid w:val="28B907FD"/>
    <w:rsid w:val="28C37AAF"/>
    <w:rsid w:val="28FB078F"/>
    <w:rsid w:val="29004B5E"/>
    <w:rsid w:val="290769C0"/>
    <w:rsid w:val="292F5CBF"/>
    <w:rsid w:val="293164A9"/>
    <w:rsid w:val="29327F21"/>
    <w:rsid w:val="29380CA2"/>
    <w:rsid w:val="293B1305"/>
    <w:rsid w:val="294A2810"/>
    <w:rsid w:val="294C33E8"/>
    <w:rsid w:val="294E1436"/>
    <w:rsid w:val="29616D07"/>
    <w:rsid w:val="29633549"/>
    <w:rsid w:val="29774F98"/>
    <w:rsid w:val="29892DD5"/>
    <w:rsid w:val="29957166"/>
    <w:rsid w:val="299F187D"/>
    <w:rsid w:val="29A75253"/>
    <w:rsid w:val="29B53901"/>
    <w:rsid w:val="29B94631"/>
    <w:rsid w:val="29BD0DE8"/>
    <w:rsid w:val="29C63BBE"/>
    <w:rsid w:val="29C740C9"/>
    <w:rsid w:val="29CB75EF"/>
    <w:rsid w:val="29DC1795"/>
    <w:rsid w:val="29F65AC0"/>
    <w:rsid w:val="2A050206"/>
    <w:rsid w:val="2A082ED1"/>
    <w:rsid w:val="2A09105B"/>
    <w:rsid w:val="2A0A5582"/>
    <w:rsid w:val="2A0B3EB3"/>
    <w:rsid w:val="2A134884"/>
    <w:rsid w:val="2A1511A6"/>
    <w:rsid w:val="2A163860"/>
    <w:rsid w:val="2A1D048F"/>
    <w:rsid w:val="2A2062B3"/>
    <w:rsid w:val="2A3006A2"/>
    <w:rsid w:val="2A462BCD"/>
    <w:rsid w:val="2A493DF8"/>
    <w:rsid w:val="2A5F6F0F"/>
    <w:rsid w:val="2A6141BA"/>
    <w:rsid w:val="2A6212AF"/>
    <w:rsid w:val="2A7565BF"/>
    <w:rsid w:val="2A771012"/>
    <w:rsid w:val="2A7E757E"/>
    <w:rsid w:val="2A935D6F"/>
    <w:rsid w:val="2A994270"/>
    <w:rsid w:val="2A996484"/>
    <w:rsid w:val="2AA41396"/>
    <w:rsid w:val="2AA63BF6"/>
    <w:rsid w:val="2AB216BF"/>
    <w:rsid w:val="2ABB74D8"/>
    <w:rsid w:val="2ABF2F5A"/>
    <w:rsid w:val="2ADE3403"/>
    <w:rsid w:val="2AEE231E"/>
    <w:rsid w:val="2AF20181"/>
    <w:rsid w:val="2AF33F9B"/>
    <w:rsid w:val="2AF46EA4"/>
    <w:rsid w:val="2B0B5130"/>
    <w:rsid w:val="2B14475C"/>
    <w:rsid w:val="2B1775FE"/>
    <w:rsid w:val="2B237A05"/>
    <w:rsid w:val="2B266B0B"/>
    <w:rsid w:val="2B2E4DEA"/>
    <w:rsid w:val="2B3B6703"/>
    <w:rsid w:val="2B4D1349"/>
    <w:rsid w:val="2B4F00CC"/>
    <w:rsid w:val="2B5A0FFD"/>
    <w:rsid w:val="2B5B5429"/>
    <w:rsid w:val="2B6D46DE"/>
    <w:rsid w:val="2B701801"/>
    <w:rsid w:val="2B710E5A"/>
    <w:rsid w:val="2B785CA2"/>
    <w:rsid w:val="2B7D11A6"/>
    <w:rsid w:val="2B94448B"/>
    <w:rsid w:val="2BAD0514"/>
    <w:rsid w:val="2BB448C8"/>
    <w:rsid w:val="2BC33246"/>
    <w:rsid w:val="2BE30D8F"/>
    <w:rsid w:val="2BE64361"/>
    <w:rsid w:val="2C023F13"/>
    <w:rsid w:val="2C062D42"/>
    <w:rsid w:val="2C1939DD"/>
    <w:rsid w:val="2C217BEF"/>
    <w:rsid w:val="2C244441"/>
    <w:rsid w:val="2C32759D"/>
    <w:rsid w:val="2C462A2C"/>
    <w:rsid w:val="2C5508BF"/>
    <w:rsid w:val="2C5C66DA"/>
    <w:rsid w:val="2C757705"/>
    <w:rsid w:val="2C7F788B"/>
    <w:rsid w:val="2C845F22"/>
    <w:rsid w:val="2C8D31B6"/>
    <w:rsid w:val="2CAE5ABF"/>
    <w:rsid w:val="2CB27E14"/>
    <w:rsid w:val="2CBB7602"/>
    <w:rsid w:val="2CCB4679"/>
    <w:rsid w:val="2CCB7CB3"/>
    <w:rsid w:val="2CCD13EA"/>
    <w:rsid w:val="2CD3042A"/>
    <w:rsid w:val="2CD50D29"/>
    <w:rsid w:val="2CE422AE"/>
    <w:rsid w:val="2CF53E56"/>
    <w:rsid w:val="2CFD78BC"/>
    <w:rsid w:val="2D021E4A"/>
    <w:rsid w:val="2D05245B"/>
    <w:rsid w:val="2D116B08"/>
    <w:rsid w:val="2D131BA9"/>
    <w:rsid w:val="2D187AE3"/>
    <w:rsid w:val="2D1F2E3C"/>
    <w:rsid w:val="2D307389"/>
    <w:rsid w:val="2D36293A"/>
    <w:rsid w:val="2D397C10"/>
    <w:rsid w:val="2D4A5E98"/>
    <w:rsid w:val="2D5519A7"/>
    <w:rsid w:val="2D5C5ABE"/>
    <w:rsid w:val="2D6164A8"/>
    <w:rsid w:val="2D6A7B2A"/>
    <w:rsid w:val="2D712F0C"/>
    <w:rsid w:val="2D7460C2"/>
    <w:rsid w:val="2D7542D6"/>
    <w:rsid w:val="2D8246E2"/>
    <w:rsid w:val="2D8660FB"/>
    <w:rsid w:val="2D8774C4"/>
    <w:rsid w:val="2D8B6F65"/>
    <w:rsid w:val="2D9D595B"/>
    <w:rsid w:val="2DB36B2A"/>
    <w:rsid w:val="2DBE5C22"/>
    <w:rsid w:val="2DBE5DC4"/>
    <w:rsid w:val="2DC94BA9"/>
    <w:rsid w:val="2DD3023A"/>
    <w:rsid w:val="2DEC26FC"/>
    <w:rsid w:val="2DF219C3"/>
    <w:rsid w:val="2E0026F7"/>
    <w:rsid w:val="2E0412CF"/>
    <w:rsid w:val="2E1E6F13"/>
    <w:rsid w:val="2E2A7081"/>
    <w:rsid w:val="2E3D5816"/>
    <w:rsid w:val="2E3D742A"/>
    <w:rsid w:val="2E47069E"/>
    <w:rsid w:val="2E482488"/>
    <w:rsid w:val="2E4C7F04"/>
    <w:rsid w:val="2E505128"/>
    <w:rsid w:val="2E591798"/>
    <w:rsid w:val="2E723F7C"/>
    <w:rsid w:val="2E766081"/>
    <w:rsid w:val="2E81689E"/>
    <w:rsid w:val="2EA446E7"/>
    <w:rsid w:val="2EAF42B9"/>
    <w:rsid w:val="2EBD6B1A"/>
    <w:rsid w:val="2EC441E2"/>
    <w:rsid w:val="2ECB5651"/>
    <w:rsid w:val="2ECF10BB"/>
    <w:rsid w:val="2EDD40F9"/>
    <w:rsid w:val="2EE04D28"/>
    <w:rsid w:val="2EE311DB"/>
    <w:rsid w:val="2EE42D92"/>
    <w:rsid w:val="2EEB2AF1"/>
    <w:rsid w:val="2EF4017C"/>
    <w:rsid w:val="2EF47FCD"/>
    <w:rsid w:val="2EF74836"/>
    <w:rsid w:val="2EFC1293"/>
    <w:rsid w:val="2EFF05CF"/>
    <w:rsid w:val="2F116FAB"/>
    <w:rsid w:val="2F123D92"/>
    <w:rsid w:val="2F263DB1"/>
    <w:rsid w:val="2F3377C7"/>
    <w:rsid w:val="2F391FF5"/>
    <w:rsid w:val="2F3C7D5D"/>
    <w:rsid w:val="2F3E5D5E"/>
    <w:rsid w:val="2F423D03"/>
    <w:rsid w:val="2F4253D4"/>
    <w:rsid w:val="2F4C5290"/>
    <w:rsid w:val="2F6C74FC"/>
    <w:rsid w:val="2F7629DD"/>
    <w:rsid w:val="2F865A08"/>
    <w:rsid w:val="2F8A147B"/>
    <w:rsid w:val="2F8F624B"/>
    <w:rsid w:val="2F9145DE"/>
    <w:rsid w:val="2F980145"/>
    <w:rsid w:val="2FBA5C8B"/>
    <w:rsid w:val="2FBD2F20"/>
    <w:rsid w:val="2FBE45E9"/>
    <w:rsid w:val="2FC52285"/>
    <w:rsid w:val="2FC75239"/>
    <w:rsid w:val="2FC77542"/>
    <w:rsid w:val="30000B58"/>
    <w:rsid w:val="30074E91"/>
    <w:rsid w:val="300B3546"/>
    <w:rsid w:val="301955FF"/>
    <w:rsid w:val="3022487F"/>
    <w:rsid w:val="30305321"/>
    <w:rsid w:val="303B7594"/>
    <w:rsid w:val="304212EA"/>
    <w:rsid w:val="305B5947"/>
    <w:rsid w:val="305F0099"/>
    <w:rsid w:val="306E4478"/>
    <w:rsid w:val="307715E0"/>
    <w:rsid w:val="307A4C95"/>
    <w:rsid w:val="30837914"/>
    <w:rsid w:val="3093558E"/>
    <w:rsid w:val="309B3B02"/>
    <w:rsid w:val="30AC18BC"/>
    <w:rsid w:val="30C22CAC"/>
    <w:rsid w:val="30C4579F"/>
    <w:rsid w:val="30D04C43"/>
    <w:rsid w:val="30E229FB"/>
    <w:rsid w:val="30EA1BE8"/>
    <w:rsid w:val="30F117E1"/>
    <w:rsid w:val="310E395C"/>
    <w:rsid w:val="310E70CF"/>
    <w:rsid w:val="311714AA"/>
    <w:rsid w:val="31201289"/>
    <w:rsid w:val="312E6B03"/>
    <w:rsid w:val="31366B47"/>
    <w:rsid w:val="31386B1A"/>
    <w:rsid w:val="31407139"/>
    <w:rsid w:val="315465AB"/>
    <w:rsid w:val="315B6B55"/>
    <w:rsid w:val="31695EC5"/>
    <w:rsid w:val="3171020E"/>
    <w:rsid w:val="31726365"/>
    <w:rsid w:val="31735806"/>
    <w:rsid w:val="31761914"/>
    <w:rsid w:val="31824839"/>
    <w:rsid w:val="31891D68"/>
    <w:rsid w:val="31A74EF3"/>
    <w:rsid w:val="31BA7AAA"/>
    <w:rsid w:val="31BD52B3"/>
    <w:rsid w:val="31C14C6B"/>
    <w:rsid w:val="31C92509"/>
    <w:rsid w:val="31D320F3"/>
    <w:rsid w:val="31D841EA"/>
    <w:rsid w:val="31D84BD1"/>
    <w:rsid w:val="31DA2B94"/>
    <w:rsid w:val="31E17BDD"/>
    <w:rsid w:val="31F94075"/>
    <w:rsid w:val="32185415"/>
    <w:rsid w:val="32185F4E"/>
    <w:rsid w:val="322509C7"/>
    <w:rsid w:val="322A4AF3"/>
    <w:rsid w:val="322F5231"/>
    <w:rsid w:val="323C5292"/>
    <w:rsid w:val="323D12FD"/>
    <w:rsid w:val="324213CC"/>
    <w:rsid w:val="324219D1"/>
    <w:rsid w:val="324C7138"/>
    <w:rsid w:val="32563708"/>
    <w:rsid w:val="325B25E2"/>
    <w:rsid w:val="326543F2"/>
    <w:rsid w:val="326B1262"/>
    <w:rsid w:val="328B7DA7"/>
    <w:rsid w:val="328D2F60"/>
    <w:rsid w:val="3293031B"/>
    <w:rsid w:val="32972ACA"/>
    <w:rsid w:val="329C0405"/>
    <w:rsid w:val="32A2432F"/>
    <w:rsid w:val="32A80946"/>
    <w:rsid w:val="32A910C0"/>
    <w:rsid w:val="32AD56A6"/>
    <w:rsid w:val="32C52B20"/>
    <w:rsid w:val="32D44EE5"/>
    <w:rsid w:val="32D741C9"/>
    <w:rsid w:val="32DD7861"/>
    <w:rsid w:val="32DE2058"/>
    <w:rsid w:val="32E10A15"/>
    <w:rsid w:val="32E351E2"/>
    <w:rsid w:val="32F120D0"/>
    <w:rsid w:val="32F7688E"/>
    <w:rsid w:val="32FD38E6"/>
    <w:rsid w:val="33051A38"/>
    <w:rsid w:val="33107D25"/>
    <w:rsid w:val="331135B6"/>
    <w:rsid w:val="33152DFF"/>
    <w:rsid w:val="331D10CD"/>
    <w:rsid w:val="33433F07"/>
    <w:rsid w:val="334A0F0D"/>
    <w:rsid w:val="33524F55"/>
    <w:rsid w:val="33537D6A"/>
    <w:rsid w:val="33766D94"/>
    <w:rsid w:val="33792F26"/>
    <w:rsid w:val="33897F5E"/>
    <w:rsid w:val="3391139A"/>
    <w:rsid w:val="33915803"/>
    <w:rsid w:val="33927E2E"/>
    <w:rsid w:val="339837E2"/>
    <w:rsid w:val="33A30E4F"/>
    <w:rsid w:val="33BA755D"/>
    <w:rsid w:val="33C07B53"/>
    <w:rsid w:val="33C564AC"/>
    <w:rsid w:val="33CD1210"/>
    <w:rsid w:val="33E3428E"/>
    <w:rsid w:val="33E5666E"/>
    <w:rsid w:val="33E67E90"/>
    <w:rsid w:val="33E713F7"/>
    <w:rsid w:val="33F25C05"/>
    <w:rsid w:val="34066EA3"/>
    <w:rsid w:val="340C33EE"/>
    <w:rsid w:val="342524F1"/>
    <w:rsid w:val="34253162"/>
    <w:rsid w:val="34272BC7"/>
    <w:rsid w:val="342A3BC0"/>
    <w:rsid w:val="343446A3"/>
    <w:rsid w:val="344B2822"/>
    <w:rsid w:val="3452526C"/>
    <w:rsid w:val="34572EF0"/>
    <w:rsid w:val="34746EB7"/>
    <w:rsid w:val="348B4FAE"/>
    <w:rsid w:val="34A2339A"/>
    <w:rsid w:val="34AB7B24"/>
    <w:rsid w:val="34B847B6"/>
    <w:rsid w:val="34C575FD"/>
    <w:rsid w:val="34D5759C"/>
    <w:rsid w:val="34DF27AB"/>
    <w:rsid w:val="34E97791"/>
    <w:rsid w:val="34F6130E"/>
    <w:rsid w:val="350B6C92"/>
    <w:rsid w:val="350E6B38"/>
    <w:rsid w:val="350F2F75"/>
    <w:rsid w:val="35377508"/>
    <w:rsid w:val="353B3001"/>
    <w:rsid w:val="353E0766"/>
    <w:rsid w:val="353E4DE7"/>
    <w:rsid w:val="35464BD5"/>
    <w:rsid w:val="35600D75"/>
    <w:rsid w:val="35617853"/>
    <w:rsid w:val="356442F2"/>
    <w:rsid w:val="356A1DE3"/>
    <w:rsid w:val="356A6455"/>
    <w:rsid w:val="35701C01"/>
    <w:rsid w:val="35722D1B"/>
    <w:rsid w:val="35725C2E"/>
    <w:rsid w:val="35726E69"/>
    <w:rsid w:val="357C036C"/>
    <w:rsid w:val="357C70FD"/>
    <w:rsid w:val="357D4CCE"/>
    <w:rsid w:val="358D3AEE"/>
    <w:rsid w:val="35955E67"/>
    <w:rsid w:val="359813F8"/>
    <w:rsid w:val="359B3BAD"/>
    <w:rsid w:val="35B146FF"/>
    <w:rsid w:val="35B2133A"/>
    <w:rsid w:val="35B35255"/>
    <w:rsid w:val="35B97B73"/>
    <w:rsid w:val="35C27673"/>
    <w:rsid w:val="35C86DB5"/>
    <w:rsid w:val="35CB7DE8"/>
    <w:rsid w:val="35D13CF9"/>
    <w:rsid w:val="35D653D6"/>
    <w:rsid w:val="35D963E6"/>
    <w:rsid w:val="35DC1D7C"/>
    <w:rsid w:val="35E70B0A"/>
    <w:rsid w:val="35FC1297"/>
    <w:rsid w:val="36010864"/>
    <w:rsid w:val="360352C0"/>
    <w:rsid w:val="360D434A"/>
    <w:rsid w:val="360E4272"/>
    <w:rsid w:val="36165887"/>
    <w:rsid w:val="36171C91"/>
    <w:rsid w:val="3617399B"/>
    <w:rsid w:val="36180962"/>
    <w:rsid w:val="362051F9"/>
    <w:rsid w:val="36301E7A"/>
    <w:rsid w:val="3631599E"/>
    <w:rsid w:val="36354E70"/>
    <w:rsid w:val="363611DD"/>
    <w:rsid w:val="36482130"/>
    <w:rsid w:val="36501278"/>
    <w:rsid w:val="36626988"/>
    <w:rsid w:val="3668448C"/>
    <w:rsid w:val="366C1BFE"/>
    <w:rsid w:val="366F0D48"/>
    <w:rsid w:val="36781EE6"/>
    <w:rsid w:val="36787BC1"/>
    <w:rsid w:val="36946D2E"/>
    <w:rsid w:val="369B0B78"/>
    <w:rsid w:val="36A02025"/>
    <w:rsid w:val="36B63BC7"/>
    <w:rsid w:val="36B652B0"/>
    <w:rsid w:val="36BE105F"/>
    <w:rsid w:val="36D26EB4"/>
    <w:rsid w:val="36E23D13"/>
    <w:rsid w:val="36E56972"/>
    <w:rsid w:val="36E81B45"/>
    <w:rsid w:val="36FA6341"/>
    <w:rsid w:val="36FE704D"/>
    <w:rsid w:val="370D6989"/>
    <w:rsid w:val="370E0F92"/>
    <w:rsid w:val="370F2912"/>
    <w:rsid w:val="37143B53"/>
    <w:rsid w:val="37204AC0"/>
    <w:rsid w:val="373570B9"/>
    <w:rsid w:val="374733CA"/>
    <w:rsid w:val="374C7366"/>
    <w:rsid w:val="37544E83"/>
    <w:rsid w:val="37560DD6"/>
    <w:rsid w:val="37565E32"/>
    <w:rsid w:val="3757642D"/>
    <w:rsid w:val="375D6CF1"/>
    <w:rsid w:val="37602537"/>
    <w:rsid w:val="377D183D"/>
    <w:rsid w:val="37801213"/>
    <w:rsid w:val="3785642D"/>
    <w:rsid w:val="379A7209"/>
    <w:rsid w:val="37A84E3E"/>
    <w:rsid w:val="37AE2AF9"/>
    <w:rsid w:val="37BF6223"/>
    <w:rsid w:val="37D61CC2"/>
    <w:rsid w:val="37E4591B"/>
    <w:rsid w:val="37F73170"/>
    <w:rsid w:val="37FA6C38"/>
    <w:rsid w:val="3802294C"/>
    <w:rsid w:val="38194159"/>
    <w:rsid w:val="38263DA9"/>
    <w:rsid w:val="382A36BB"/>
    <w:rsid w:val="38306919"/>
    <w:rsid w:val="383562EA"/>
    <w:rsid w:val="3837762B"/>
    <w:rsid w:val="383C541A"/>
    <w:rsid w:val="383E029A"/>
    <w:rsid w:val="384577E4"/>
    <w:rsid w:val="38460C48"/>
    <w:rsid w:val="38610413"/>
    <w:rsid w:val="3862273E"/>
    <w:rsid w:val="3863404A"/>
    <w:rsid w:val="38667B56"/>
    <w:rsid w:val="386A72C5"/>
    <w:rsid w:val="386D347E"/>
    <w:rsid w:val="387C6EC6"/>
    <w:rsid w:val="387E42A8"/>
    <w:rsid w:val="388B11B0"/>
    <w:rsid w:val="38B51247"/>
    <w:rsid w:val="38BB2B62"/>
    <w:rsid w:val="38C778E1"/>
    <w:rsid w:val="38D03B62"/>
    <w:rsid w:val="38D43BB2"/>
    <w:rsid w:val="38D839B2"/>
    <w:rsid w:val="38E71A74"/>
    <w:rsid w:val="38E901BB"/>
    <w:rsid w:val="38EE04C7"/>
    <w:rsid w:val="38FC7030"/>
    <w:rsid w:val="39017B56"/>
    <w:rsid w:val="3913473E"/>
    <w:rsid w:val="3917651A"/>
    <w:rsid w:val="391D6A63"/>
    <w:rsid w:val="392326EC"/>
    <w:rsid w:val="392C3532"/>
    <w:rsid w:val="39337265"/>
    <w:rsid w:val="393D5933"/>
    <w:rsid w:val="39474C29"/>
    <w:rsid w:val="394D55C2"/>
    <w:rsid w:val="395F210D"/>
    <w:rsid w:val="39604D11"/>
    <w:rsid w:val="3969753C"/>
    <w:rsid w:val="396D463A"/>
    <w:rsid w:val="396E4191"/>
    <w:rsid w:val="39737D01"/>
    <w:rsid w:val="39757842"/>
    <w:rsid w:val="39774CE3"/>
    <w:rsid w:val="398422FA"/>
    <w:rsid w:val="398D0FF8"/>
    <w:rsid w:val="39A424AF"/>
    <w:rsid w:val="39A80E0E"/>
    <w:rsid w:val="39AB29B7"/>
    <w:rsid w:val="39B46177"/>
    <w:rsid w:val="39BD535C"/>
    <w:rsid w:val="39C265A9"/>
    <w:rsid w:val="39C82DD9"/>
    <w:rsid w:val="39C840E5"/>
    <w:rsid w:val="39E21A52"/>
    <w:rsid w:val="3A01042F"/>
    <w:rsid w:val="3A05309B"/>
    <w:rsid w:val="3A0759DA"/>
    <w:rsid w:val="3A0F2D7D"/>
    <w:rsid w:val="3A113248"/>
    <w:rsid w:val="3A125CF6"/>
    <w:rsid w:val="3A135617"/>
    <w:rsid w:val="3A177252"/>
    <w:rsid w:val="3A1C0E5C"/>
    <w:rsid w:val="3A2B33FB"/>
    <w:rsid w:val="3A322808"/>
    <w:rsid w:val="3A346945"/>
    <w:rsid w:val="3A615B47"/>
    <w:rsid w:val="3A6F32FB"/>
    <w:rsid w:val="3A72247D"/>
    <w:rsid w:val="3A753BBF"/>
    <w:rsid w:val="3A7573A6"/>
    <w:rsid w:val="3A9A199D"/>
    <w:rsid w:val="3AA56038"/>
    <w:rsid w:val="3AA85B94"/>
    <w:rsid w:val="3AAF04CC"/>
    <w:rsid w:val="3ABE2C36"/>
    <w:rsid w:val="3AC11A75"/>
    <w:rsid w:val="3ACD08B2"/>
    <w:rsid w:val="3ACD7414"/>
    <w:rsid w:val="3AE718D5"/>
    <w:rsid w:val="3AF52546"/>
    <w:rsid w:val="3AFB4834"/>
    <w:rsid w:val="3B02584E"/>
    <w:rsid w:val="3B0970E8"/>
    <w:rsid w:val="3B0D21A6"/>
    <w:rsid w:val="3B120273"/>
    <w:rsid w:val="3B1C7AFE"/>
    <w:rsid w:val="3B297507"/>
    <w:rsid w:val="3B2B554C"/>
    <w:rsid w:val="3B2D1376"/>
    <w:rsid w:val="3B37670B"/>
    <w:rsid w:val="3B376748"/>
    <w:rsid w:val="3B3B35AF"/>
    <w:rsid w:val="3B3E74C2"/>
    <w:rsid w:val="3B4156EF"/>
    <w:rsid w:val="3B4938CE"/>
    <w:rsid w:val="3B4A3561"/>
    <w:rsid w:val="3B5910FE"/>
    <w:rsid w:val="3B5B6ADC"/>
    <w:rsid w:val="3B5F761F"/>
    <w:rsid w:val="3B607B44"/>
    <w:rsid w:val="3B616FE6"/>
    <w:rsid w:val="3B6E7E68"/>
    <w:rsid w:val="3B7047B0"/>
    <w:rsid w:val="3B752DBF"/>
    <w:rsid w:val="3B8F0008"/>
    <w:rsid w:val="3B922926"/>
    <w:rsid w:val="3BA13454"/>
    <w:rsid w:val="3BB13F7E"/>
    <w:rsid w:val="3BB329B6"/>
    <w:rsid w:val="3BBD69A7"/>
    <w:rsid w:val="3BBE2AB7"/>
    <w:rsid w:val="3BC60721"/>
    <w:rsid w:val="3BC658BD"/>
    <w:rsid w:val="3BCB4706"/>
    <w:rsid w:val="3BD375F7"/>
    <w:rsid w:val="3BDB1434"/>
    <w:rsid w:val="3C034918"/>
    <w:rsid w:val="3C194609"/>
    <w:rsid w:val="3C1E1D37"/>
    <w:rsid w:val="3C290FB2"/>
    <w:rsid w:val="3C353D09"/>
    <w:rsid w:val="3C4A7EBF"/>
    <w:rsid w:val="3C5C5AB0"/>
    <w:rsid w:val="3C6B36DB"/>
    <w:rsid w:val="3C6D59E9"/>
    <w:rsid w:val="3C81559B"/>
    <w:rsid w:val="3C844C9D"/>
    <w:rsid w:val="3C8F6377"/>
    <w:rsid w:val="3C9733E8"/>
    <w:rsid w:val="3C987F70"/>
    <w:rsid w:val="3CA57A94"/>
    <w:rsid w:val="3CC16698"/>
    <w:rsid w:val="3CC73BCE"/>
    <w:rsid w:val="3CD1347F"/>
    <w:rsid w:val="3CD965B8"/>
    <w:rsid w:val="3CDD2309"/>
    <w:rsid w:val="3CDF0310"/>
    <w:rsid w:val="3CDF2114"/>
    <w:rsid w:val="3CE12D69"/>
    <w:rsid w:val="3CE90FB4"/>
    <w:rsid w:val="3CF51A02"/>
    <w:rsid w:val="3CF6411E"/>
    <w:rsid w:val="3CF868ED"/>
    <w:rsid w:val="3CFE00A9"/>
    <w:rsid w:val="3D004F26"/>
    <w:rsid w:val="3D0700D7"/>
    <w:rsid w:val="3D1F69B8"/>
    <w:rsid w:val="3D26456C"/>
    <w:rsid w:val="3D3A0DAE"/>
    <w:rsid w:val="3D6670D0"/>
    <w:rsid w:val="3D7639C3"/>
    <w:rsid w:val="3D834628"/>
    <w:rsid w:val="3D9316F0"/>
    <w:rsid w:val="3D933A76"/>
    <w:rsid w:val="3D982AA7"/>
    <w:rsid w:val="3DA04B81"/>
    <w:rsid w:val="3DA926D7"/>
    <w:rsid w:val="3DAD3E21"/>
    <w:rsid w:val="3DB03BF3"/>
    <w:rsid w:val="3DC56EE3"/>
    <w:rsid w:val="3DC774F8"/>
    <w:rsid w:val="3DCC6A91"/>
    <w:rsid w:val="3DD46ABC"/>
    <w:rsid w:val="3DD7211D"/>
    <w:rsid w:val="3DD97342"/>
    <w:rsid w:val="3DDA421C"/>
    <w:rsid w:val="3DDE2BFD"/>
    <w:rsid w:val="3DE86386"/>
    <w:rsid w:val="3DEC2EF9"/>
    <w:rsid w:val="3DF91700"/>
    <w:rsid w:val="3DFE216D"/>
    <w:rsid w:val="3DFF19F4"/>
    <w:rsid w:val="3E1150A2"/>
    <w:rsid w:val="3E1152DB"/>
    <w:rsid w:val="3E121D37"/>
    <w:rsid w:val="3E154482"/>
    <w:rsid w:val="3E183B14"/>
    <w:rsid w:val="3E227B46"/>
    <w:rsid w:val="3E395D48"/>
    <w:rsid w:val="3E3F23ED"/>
    <w:rsid w:val="3E4413E0"/>
    <w:rsid w:val="3E5C0506"/>
    <w:rsid w:val="3E627AB0"/>
    <w:rsid w:val="3E631692"/>
    <w:rsid w:val="3E65610B"/>
    <w:rsid w:val="3E7A7829"/>
    <w:rsid w:val="3E8427A0"/>
    <w:rsid w:val="3E8450E8"/>
    <w:rsid w:val="3E876768"/>
    <w:rsid w:val="3E890177"/>
    <w:rsid w:val="3E9C5A4E"/>
    <w:rsid w:val="3EA70DFA"/>
    <w:rsid w:val="3EC6250A"/>
    <w:rsid w:val="3ECE27A0"/>
    <w:rsid w:val="3ED84F33"/>
    <w:rsid w:val="3ED86961"/>
    <w:rsid w:val="3EE173EB"/>
    <w:rsid w:val="3EE64F7E"/>
    <w:rsid w:val="3EEA75DA"/>
    <w:rsid w:val="3EFC6532"/>
    <w:rsid w:val="3F0B75FA"/>
    <w:rsid w:val="3F0D704C"/>
    <w:rsid w:val="3F167682"/>
    <w:rsid w:val="3F2C3176"/>
    <w:rsid w:val="3F2E074D"/>
    <w:rsid w:val="3F33063E"/>
    <w:rsid w:val="3F36131F"/>
    <w:rsid w:val="3F385C9B"/>
    <w:rsid w:val="3F3B6572"/>
    <w:rsid w:val="3F3E414F"/>
    <w:rsid w:val="3F3F3E11"/>
    <w:rsid w:val="3F580E06"/>
    <w:rsid w:val="3F5F6901"/>
    <w:rsid w:val="3F635ECB"/>
    <w:rsid w:val="3F666919"/>
    <w:rsid w:val="3F67205A"/>
    <w:rsid w:val="3F6737F1"/>
    <w:rsid w:val="3F674AEE"/>
    <w:rsid w:val="3FAD45EF"/>
    <w:rsid w:val="3FC1746A"/>
    <w:rsid w:val="3FCA6A01"/>
    <w:rsid w:val="3FCD1BA3"/>
    <w:rsid w:val="3FD55947"/>
    <w:rsid w:val="3FE30845"/>
    <w:rsid w:val="3FFE0E31"/>
    <w:rsid w:val="400C2135"/>
    <w:rsid w:val="400E04D8"/>
    <w:rsid w:val="40141986"/>
    <w:rsid w:val="401804CF"/>
    <w:rsid w:val="401914D4"/>
    <w:rsid w:val="402138D7"/>
    <w:rsid w:val="40232DA1"/>
    <w:rsid w:val="402417F1"/>
    <w:rsid w:val="402A52FC"/>
    <w:rsid w:val="403169BB"/>
    <w:rsid w:val="40352A03"/>
    <w:rsid w:val="403D0282"/>
    <w:rsid w:val="404236EC"/>
    <w:rsid w:val="40466B6C"/>
    <w:rsid w:val="40490A4D"/>
    <w:rsid w:val="404B2EA8"/>
    <w:rsid w:val="405D065C"/>
    <w:rsid w:val="406A142C"/>
    <w:rsid w:val="40776005"/>
    <w:rsid w:val="407E6486"/>
    <w:rsid w:val="40874E58"/>
    <w:rsid w:val="40923131"/>
    <w:rsid w:val="40933D53"/>
    <w:rsid w:val="40947539"/>
    <w:rsid w:val="40982040"/>
    <w:rsid w:val="409A3F8F"/>
    <w:rsid w:val="40A848E6"/>
    <w:rsid w:val="40B83F21"/>
    <w:rsid w:val="40BB467A"/>
    <w:rsid w:val="40C55256"/>
    <w:rsid w:val="40D501CA"/>
    <w:rsid w:val="40D616A5"/>
    <w:rsid w:val="40D67888"/>
    <w:rsid w:val="40E42B80"/>
    <w:rsid w:val="40E74439"/>
    <w:rsid w:val="40F17EDC"/>
    <w:rsid w:val="40FA1911"/>
    <w:rsid w:val="40FA40CB"/>
    <w:rsid w:val="40FC1AEF"/>
    <w:rsid w:val="410B3C6E"/>
    <w:rsid w:val="41152CB0"/>
    <w:rsid w:val="41245313"/>
    <w:rsid w:val="412A0F1B"/>
    <w:rsid w:val="412E024C"/>
    <w:rsid w:val="41353A06"/>
    <w:rsid w:val="41380A34"/>
    <w:rsid w:val="413C096A"/>
    <w:rsid w:val="414F6945"/>
    <w:rsid w:val="41540793"/>
    <w:rsid w:val="415A0281"/>
    <w:rsid w:val="41651128"/>
    <w:rsid w:val="41815FB5"/>
    <w:rsid w:val="41827236"/>
    <w:rsid w:val="41830D4C"/>
    <w:rsid w:val="419130D7"/>
    <w:rsid w:val="41AF42D1"/>
    <w:rsid w:val="41C83C6D"/>
    <w:rsid w:val="41CF7132"/>
    <w:rsid w:val="41D917B2"/>
    <w:rsid w:val="41DB67DE"/>
    <w:rsid w:val="41E450F0"/>
    <w:rsid w:val="41E94E70"/>
    <w:rsid w:val="420319CB"/>
    <w:rsid w:val="42034F17"/>
    <w:rsid w:val="42062F6D"/>
    <w:rsid w:val="42105F23"/>
    <w:rsid w:val="42113723"/>
    <w:rsid w:val="42122D1C"/>
    <w:rsid w:val="422510A8"/>
    <w:rsid w:val="42294471"/>
    <w:rsid w:val="422A3041"/>
    <w:rsid w:val="422A5E05"/>
    <w:rsid w:val="42421111"/>
    <w:rsid w:val="42475534"/>
    <w:rsid w:val="42482B0C"/>
    <w:rsid w:val="425267D1"/>
    <w:rsid w:val="4253755D"/>
    <w:rsid w:val="425770F3"/>
    <w:rsid w:val="425C2EFC"/>
    <w:rsid w:val="426A2C27"/>
    <w:rsid w:val="42717E88"/>
    <w:rsid w:val="427455EE"/>
    <w:rsid w:val="42915F89"/>
    <w:rsid w:val="429A3D1F"/>
    <w:rsid w:val="42A37D97"/>
    <w:rsid w:val="42B11C9D"/>
    <w:rsid w:val="42B37DC1"/>
    <w:rsid w:val="42B42C03"/>
    <w:rsid w:val="42C04FA6"/>
    <w:rsid w:val="42C26682"/>
    <w:rsid w:val="42C4131C"/>
    <w:rsid w:val="42D0362C"/>
    <w:rsid w:val="42D1298C"/>
    <w:rsid w:val="42D26643"/>
    <w:rsid w:val="42DC2FC0"/>
    <w:rsid w:val="42DC62D7"/>
    <w:rsid w:val="42DD68EF"/>
    <w:rsid w:val="42DE77A9"/>
    <w:rsid w:val="42DF4645"/>
    <w:rsid w:val="42E21624"/>
    <w:rsid w:val="42E52F3B"/>
    <w:rsid w:val="42E7150C"/>
    <w:rsid w:val="42F07198"/>
    <w:rsid w:val="42FA6301"/>
    <w:rsid w:val="43035CF3"/>
    <w:rsid w:val="430374EA"/>
    <w:rsid w:val="430950FE"/>
    <w:rsid w:val="43155FF2"/>
    <w:rsid w:val="43177578"/>
    <w:rsid w:val="432651C7"/>
    <w:rsid w:val="4330230E"/>
    <w:rsid w:val="43365077"/>
    <w:rsid w:val="433C1C32"/>
    <w:rsid w:val="433F048B"/>
    <w:rsid w:val="43420696"/>
    <w:rsid w:val="43444F40"/>
    <w:rsid w:val="4348113F"/>
    <w:rsid w:val="434A2499"/>
    <w:rsid w:val="43534594"/>
    <w:rsid w:val="4354793A"/>
    <w:rsid w:val="43564DDA"/>
    <w:rsid w:val="435A6BAE"/>
    <w:rsid w:val="435E21CB"/>
    <w:rsid w:val="43611189"/>
    <w:rsid w:val="43631490"/>
    <w:rsid w:val="437A0D5E"/>
    <w:rsid w:val="437C6CC5"/>
    <w:rsid w:val="4385757C"/>
    <w:rsid w:val="43921924"/>
    <w:rsid w:val="43A618CB"/>
    <w:rsid w:val="43B6512E"/>
    <w:rsid w:val="43B95A48"/>
    <w:rsid w:val="43C6645E"/>
    <w:rsid w:val="43D67DE8"/>
    <w:rsid w:val="43DE0AAE"/>
    <w:rsid w:val="43ED4775"/>
    <w:rsid w:val="43F46C70"/>
    <w:rsid w:val="43F84B82"/>
    <w:rsid w:val="43FB7EA8"/>
    <w:rsid w:val="440517DC"/>
    <w:rsid w:val="44085609"/>
    <w:rsid w:val="440A7BCA"/>
    <w:rsid w:val="440F40BC"/>
    <w:rsid w:val="44194708"/>
    <w:rsid w:val="441C1F71"/>
    <w:rsid w:val="44206760"/>
    <w:rsid w:val="44214510"/>
    <w:rsid w:val="44247336"/>
    <w:rsid w:val="44251835"/>
    <w:rsid w:val="442D09ED"/>
    <w:rsid w:val="442E2172"/>
    <w:rsid w:val="442F57F7"/>
    <w:rsid w:val="443024FB"/>
    <w:rsid w:val="443F5506"/>
    <w:rsid w:val="44463BA2"/>
    <w:rsid w:val="444F7F01"/>
    <w:rsid w:val="4467247F"/>
    <w:rsid w:val="446B2B30"/>
    <w:rsid w:val="44706B5F"/>
    <w:rsid w:val="4472190D"/>
    <w:rsid w:val="449556E6"/>
    <w:rsid w:val="44985750"/>
    <w:rsid w:val="4499578A"/>
    <w:rsid w:val="449A797E"/>
    <w:rsid w:val="44AD29FF"/>
    <w:rsid w:val="44BD7CB2"/>
    <w:rsid w:val="44C11826"/>
    <w:rsid w:val="44E21D26"/>
    <w:rsid w:val="44E65B7D"/>
    <w:rsid w:val="44E72A5D"/>
    <w:rsid w:val="450764BE"/>
    <w:rsid w:val="451C7F09"/>
    <w:rsid w:val="45225AD3"/>
    <w:rsid w:val="452D1F8E"/>
    <w:rsid w:val="45310B94"/>
    <w:rsid w:val="453A73C8"/>
    <w:rsid w:val="4544580E"/>
    <w:rsid w:val="4552545A"/>
    <w:rsid w:val="455A4F47"/>
    <w:rsid w:val="455E4C2A"/>
    <w:rsid w:val="456E69AF"/>
    <w:rsid w:val="458102A5"/>
    <w:rsid w:val="45813C9F"/>
    <w:rsid w:val="458D1548"/>
    <w:rsid w:val="458E3133"/>
    <w:rsid w:val="45907AA5"/>
    <w:rsid w:val="45A25319"/>
    <w:rsid w:val="45A31429"/>
    <w:rsid w:val="45B46DE5"/>
    <w:rsid w:val="45C914C1"/>
    <w:rsid w:val="45D51945"/>
    <w:rsid w:val="45DD60AF"/>
    <w:rsid w:val="45EB6B09"/>
    <w:rsid w:val="45F82684"/>
    <w:rsid w:val="45FD1754"/>
    <w:rsid w:val="46045B00"/>
    <w:rsid w:val="46373F15"/>
    <w:rsid w:val="463C0B61"/>
    <w:rsid w:val="463E4D11"/>
    <w:rsid w:val="46451674"/>
    <w:rsid w:val="4647245D"/>
    <w:rsid w:val="46514E7E"/>
    <w:rsid w:val="4666230A"/>
    <w:rsid w:val="466946C1"/>
    <w:rsid w:val="466D1D62"/>
    <w:rsid w:val="466F332A"/>
    <w:rsid w:val="46741C5A"/>
    <w:rsid w:val="46901CED"/>
    <w:rsid w:val="469B6805"/>
    <w:rsid w:val="469F2DE2"/>
    <w:rsid w:val="46AC4091"/>
    <w:rsid w:val="46AF0F5A"/>
    <w:rsid w:val="46AF685F"/>
    <w:rsid w:val="46B4048E"/>
    <w:rsid w:val="46C34A00"/>
    <w:rsid w:val="46CB2AB1"/>
    <w:rsid w:val="46CC14CA"/>
    <w:rsid w:val="46D77D49"/>
    <w:rsid w:val="46E8399C"/>
    <w:rsid w:val="46F50AFD"/>
    <w:rsid w:val="47021811"/>
    <w:rsid w:val="471E105C"/>
    <w:rsid w:val="47224DA0"/>
    <w:rsid w:val="4726444D"/>
    <w:rsid w:val="47296A9E"/>
    <w:rsid w:val="47404262"/>
    <w:rsid w:val="474274FF"/>
    <w:rsid w:val="47511203"/>
    <w:rsid w:val="476F67BD"/>
    <w:rsid w:val="477540D5"/>
    <w:rsid w:val="477D184A"/>
    <w:rsid w:val="47A06E0B"/>
    <w:rsid w:val="47AA383E"/>
    <w:rsid w:val="47AE1922"/>
    <w:rsid w:val="47AF16E0"/>
    <w:rsid w:val="47B001AA"/>
    <w:rsid w:val="47B13FF9"/>
    <w:rsid w:val="47B23713"/>
    <w:rsid w:val="47B97D00"/>
    <w:rsid w:val="47BA4DA3"/>
    <w:rsid w:val="47C52AC4"/>
    <w:rsid w:val="47D63DE9"/>
    <w:rsid w:val="47E1684D"/>
    <w:rsid w:val="47E52A25"/>
    <w:rsid w:val="47E60017"/>
    <w:rsid w:val="47EE4D2C"/>
    <w:rsid w:val="47F45741"/>
    <w:rsid w:val="47F46507"/>
    <w:rsid w:val="47F83570"/>
    <w:rsid w:val="48076998"/>
    <w:rsid w:val="48145D87"/>
    <w:rsid w:val="48230DDD"/>
    <w:rsid w:val="482B4F73"/>
    <w:rsid w:val="482C785C"/>
    <w:rsid w:val="483D0EC8"/>
    <w:rsid w:val="483F6853"/>
    <w:rsid w:val="48423983"/>
    <w:rsid w:val="4843325F"/>
    <w:rsid w:val="484A35E8"/>
    <w:rsid w:val="484B18CB"/>
    <w:rsid w:val="484B1D81"/>
    <w:rsid w:val="48597D37"/>
    <w:rsid w:val="485A41C1"/>
    <w:rsid w:val="4862174E"/>
    <w:rsid w:val="48732F2E"/>
    <w:rsid w:val="488D76E8"/>
    <w:rsid w:val="489642A6"/>
    <w:rsid w:val="48A37CF1"/>
    <w:rsid w:val="48A5728A"/>
    <w:rsid w:val="48AC6C0A"/>
    <w:rsid w:val="48BC215E"/>
    <w:rsid w:val="48BD14C1"/>
    <w:rsid w:val="48C179F6"/>
    <w:rsid w:val="48C42CA8"/>
    <w:rsid w:val="48CE6A35"/>
    <w:rsid w:val="48D141BE"/>
    <w:rsid w:val="48D206EA"/>
    <w:rsid w:val="48D766C1"/>
    <w:rsid w:val="48DA0EC8"/>
    <w:rsid w:val="48E264E9"/>
    <w:rsid w:val="48E64F44"/>
    <w:rsid w:val="48ED04A5"/>
    <w:rsid w:val="48F002CA"/>
    <w:rsid w:val="48F367AF"/>
    <w:rsid w:val="48F90F65"/>
    <w:rsid w:val="48FA364D"/>
    <w:rsid w:val="48FE3C8C"/>
    <w:rsid w:val="490E0509"/>
    <w:rsid w:val="4910199C"/>
    <w:rsid w:val="49236FBA"/>
    <w:rsid w:val="49295ABD"/>
    <w:rsid w:val="492A4330"/>
    <w:rsid w:val="493262A3"/>
    <w:rsid w:val="49447E8E"/>
    <w:rsid w:val="494F1A44"/>
    <w:rsid w:val="49504558"/>
    <w:rsid w:val="495373FA"/>
    <w:rsid w:val="495A3E84"/>
    <w:rsid w:val="495E61A7"/>
    <w:rsid w:val="49683B08"/>
    <w:rsid w:val="497A38DE"/>
    <w:rsid w:val="49857C65"/>
    <w:rsid w:val="498C4765"/>
    <w:rsid w:val="498C5A53"/>
    <w:rsid w:val="498F65EC"/>
    <w:rsid w:val="4992652A"/>
    <w:rsid w:val="49B12447"/>
    <w:rsid w:val="49B37B29"/>
    <w:rsid w:val="49CC58B3"/>
    <w:rsid w:val="49D44892"/>
    <w:rsid w:val="49D96F7E"/>
    <w:rsid w:val="49DA797A"/>
    <w:rsid w:val="49FB04BE"/>
    <w:rsid w:val="4A116969"/>
    <w:rsid w:val="4A117BE9"/>
    <w:rsid w:val="4A2A1C6C"/>
    <w:rsid w:val="4A2B4D1C"/>
    <w:rsid w:val="4A3055CD"/>
    <w:rsid w:val="4A33279D"/>
    <w:rsid w:val="4A4B7094"/>
    <w:rsid w:val="4A4D2965"/>
    <w:rsid w:val="4A5C2011"/>
    <w:rsid w:val="4A666485"/>
    <w:rsid w:val="4A6C7F40"/>
    <w:rsid w:val="4A6F201D"/>
    <w:rsid w:val="4A860AB0"/>
    <w:rsid w:val="4A8652F6"/>
    <w:rsid w:val="4A8C7859"/>
    <w:rsid w:val="4A907005"/>
    <w:rsid w:val="4A9F1BC7"/>
    <w:rsid w:val="4AA52BA3"/>
    <w:rsid w:val="4AAD494B"/>
    <w:rsid w:val="4AB37320"/>
    <w:rsid w:val="4ABF2ADE"/>
    <w:rsid w:val="4AC6168D"/>
    <w:rsid w:val="4AD23539"/>
    <w:rsid w:val="4AD2787B"/>
    <w:rsid w:val="4ADA6BBE"/>
    <w:rsid w:val="4AE84C80"/>
    <w:rsid w:val="4AEC0C1C"/>
    <w:rsid w:val="4AF41F2D"/>
    <w:rsid w:val="4B0927FF"/>
    <w:rsid w:val="4B1B0875"/>
    <w:rsid w:val="4B2A371C"/>
    <w:rsid w:val="4B2F4E71"/>
    <w:rsid w:val="4B305BEF"/>
    <w:rsid w:val="4B33175B"/>
    <w:rsid w:val="4B3A55EC"/>
    <w:rsid w:val="4B3C5713"/>
    <w:rsid w:val="4B490CB2"/>
    <w:rsid w:val="4B5A5576"/>
    <w:rsid w:val="4B647FCB"/>
    <w:rsid w:val="4B6B1D6B"/>
    <w:rsid w:val="4B6E7AB7"/>
    <w:rsid w:val="4B917AD3"/>
    <w:rsid w:val="4B985162"/>
    <w:rsid w:val="4B985CC5"/>
    <w:rsid w:val="4BA85F70"/>
    <w:rsid w:val="4BAC40C1"/>
    <w:rsid w:val="4BC34BFD"/>
    <w:rsid w:val="4BD96F71"/>
    <w:rsid w:val="4BE140B0"/>
    <w:rsid w:val="4BE94B34"/>
    <w:rsid w:val="4BF35D87"/>
    <w:rsid w:val="4C0241C6"/>
    <w:rsid w:val="4C1927DE"/>
    <w:rsid w:val="4C206CA4"/>
    <w:rsid w:val="4C273CF4"/>
    <w:rsid w:val="4C276AB1"/>
    <w:rsid w:val="4C2950F7"/>
    <w:rsid w:val="4C2B6930"/>
    <w:rsid w:val="4C3B4A5D"/>
    <w:rsid w:val="4C3B666B"/>
    <w:rsid w:val="4C4346DE"/>
    <w:rsid w:val="4C695C28"/>
    <w:rsid w:val="4C701471"/>
    <w:rsid w:val="4C7E5553"/>
    <w:rsid w:val="4C8268BD"/>
    <w:rsid w:val="4C8D7199"/>
    <w:rsid w:val="4CA350F1"/>
    <w:rsid w:val="4CA65FFF"/>
    <w:rsid w:val="4CB177BF"/>
    <w:rsid w:val="4CB36432"/>
    <w:rsid w:val="4CB574F8"/>
    <w:rsid w:val="4CC255FC"/>
    <w:rsid w:val="4CC72E5C"/>
    <w:rsid w:val="4CCB5B0A"/>
    <w:rsid w:val="4CCE6A8F"/>
    <w:rsid w:val="4CD305AD"/>
    <w:rsid w:val="4CD372F6"/>
    <w:rsid w:val="4CD42D18"/>
    <w:rsid w:val="4CD7191D"/>
    <w:rsid w:val="4CEF2E9C"/>
    <w:rsid w:val="4D052739"/>
    <w:rsid w:val="4D091D1D"/>
    <w:rsid w:val="4D0A5254"/>
    <w:rsid w:val="4D0C3700"/>
    <w:rsid w:val="4D1E02AE"/>
    <w:rsid w:val="4D2736F0"/>
    <w:rsid w:val="4D3C4098"/>
    <w:rsid w:val="4D4A4BEF"/>
    <w:rsid w:val="4D4E67AA"/>
    <w:rsid w:val="4D672053"/>
    <w:rsid w:val="4D741651"/>
    <w:rsid w:val="4D973215"/>
    <w:rsid w:val="4D997466"/>
    <w:rsid w:val="4D9B7144"/>
    <w:rsid w:val="4DB12E15"/>
    <w:rsid w:val="4DB73AEC"/>
    <w:rsid w:val="4DBF06B2"/>
    <w:rsid w:val="4DC72BD4"/>
    <w:rsid w:val="4DCA6BA1"/>
    <w:rsid w:val="4DCF1CDD"/>
    <w:rsid w:val="4DD42635"/>
    <w:rsid w:val="4DE174AD"/>
    <w:rsid w:val="4DFA0C0F"/>
    <w:rsid w:val="4E0009A5"/>
    <w:rsid w:val="4E005790"/>
    <w:rsid w:val="4E110E5E"/>
    <w:rsid w:val="4E167A01"/>
    <w:rsid w:val="4E1773E4"/>
    <w:rsid w:val="4E18581D"/>
    <w:rsid w:val="4E2042E0"/>
    <w:rsid w:val="4E235A08"/>
    <w:rsid w:val="4E396345"/>
    <w:rsid w:val="4E4502D8"/>
    <w:rsid w:val="4E5C1292"/>
    <w:rsid w:val="4E6347B3"/>
    <w:rsid w:val="4E641E60"/>
    <w:rsid w:val="4E68737C"/>
    <w:rsid w:val="4E795D52"/>
    <w:rsid w:val="4E995F65"/>
    <w:rsid w:val="4E9D3408"/>
    <w:rsid w:val="4E9E1840"/>
    <w:rsid w:val="4EA857C1"/>
    <w:rsid w:val="4EAA7292"/>
    <w:rsid w:val="4EB51649"/>
    <w:rsid w:val="4EB81AF6"/>
    <w:rsid w:val="4ED60DA8"/>
    <w:rsid w:val="4EDB49F0"/>
    <w:rsid w:val="4EF040D9"/>
    <w:rsid w:val="4EF35A15"/>
    <w:rsid w:val="4EFB7500"/>
    <w:rsid w:val="4EFF22F0"/>
    <w:rsid w:val="4F1044B2"/>
    <w:rsid w:val="4F1639A0"/>
    <w:rsid w:val="4F18568A"/>
    <w:rsid w:val="4F205FDF"/>
    <w:rsid w:val="4F2236F7"/>
    <w:rsid w:val="4F295DE1"/>
    <w:rsid w:val="4F2E5C91"/>
    <w:rsid w:val="4F414269"/>
    <w:rsid w:val="4F433BE6"/>
    <w:rsid w:val="4F616D69"/>
    <w:rsid w:val="4F762CE6"/>
    <w:rsid w:val="4F795376"/>
    <w:rsid w:val="4F814069"/>
    <w:rsid w:val="4F8254EA"/>
    <w:rsid w:val="4F920D33"/>
    <w:rsid w:val="4F982EC3"/>
    <w:rsid w:val="4F9939DA"/>
    <w:rsid w:val="4FA82A40"/>
    <w:rsid w:val="4FBB63FE"/>
    <w:rsid w:val="4FC12B1F"/>
    <w:rsid w:val="4FC155FE"/>
    <w:rsid w:val="4FC45960"/>
    <w:rsid w:val="4FD64889"/>
    <w:rsid w:val="4FE43949"/>
    <w:rsid w:val="4FF71540"/>
    <w:rsid w:val="5003778A"/>
    <w:rsid w:val="500D7E88"/>
    <w:rsid w:val="502269E3"/>
    <w:rsid w:val="505B4908"/>
    <w:rsid w:val="507148CE"/>
    <w:rsid w:val="50890D97"/>
    <w:rsid w:val="50906AC5"/>
    <w:rsid w:val="5098785D"/>
    <w:rsid w:val="50B166DC"/>
    <w:rsid w:val="50B40EB0"/>
    <w:rsid w:val="50B607C8"/>
    <w:rsid w:val="50B92642"/>
    <w:rsid w:val="50CF5230"/>
    <w:rsid w:val="50D45E57"/>
    <w:rsid w:val="50D66FDA"/>
    <w:rsid w:val="50DB40B6"/>
    <w:rsid w:val="50DC5319"/>
    <w:rsid w:val="50DE0415"/>
    <w:rsid w:val="50E062A8"/>
    <w:rsid w:val="50F82C48"/>
    <w:rsid w:val="50FE39E2"/>
    <w:rsid w:val="510402C5"/>
    <w:rsid w:val="511B2921"/>
    <w:rsid w:val="51233C4A"/>
    <w:rsid w:val="51247379"/>
    <w:rsid w:val="512D4C0B"/>
    <w:rsid w:val="51307AB7"/>
    <w:rsid w:val="51391ED1"/>
    <w:rsid w:val="51461F9F"/>
    <w:rsid w:val="51515967"/>
    <w:rsid w:val="516F72F9"/>
    <w:rsid w:val="517E5BD7"/>
    <w:rsid w:val="517F06C4"/>
    <w:rsid w:val="5181737B"/>
    <w:rsid w:val="518356DD"/>
    <w:rsid w:val="51890F91"/>
    <w:rsid w:val="518B3BC2"/>
    <w:rsid w:val="519F03B8"/>
    <w:rsid w:val="51B42176"/>
    <w:rsid w:val="51B8408A"/>
    <w:rsid w:val="51C1171B"/>
    <w:rsid w:val="51D85596"/>
    <w:rsid w:val="51ED19C8"/>
    <w:rsid w:val="51FB5E5F"/>
    <w:rsid w:val="51FD2748"/>
    <w:rsid w:val="520765BA"/>
    <w:rsid w:val="520B222A"/>
    <w:rsid w:val="520E4CC3"/>
    <w:rsid w:val="52165B82"/>
    <w:rsid w:val="521832EE"/>
    <w:rsid w:val="521D3B69"/>
    <w:rsid w:val="52283D58"/>
    <w:rsid w:val="52295538"/>
    <w:rsid w:val="523556EA"/>
    <w:rsid w:val="52530110"/>
    <w:rsid w:val="525740B0"/>
    <w:rsid w:val="5261379E"/>
    <w:rsid w:val="5261760D"/>
    <w:rsid w:val="52645995"/>
    <w:rsid w:val="526E1D9D"/>
    <w:rsid w:val="527274A1"/>
    <w:rsid w:val="52766F2A"/>
    <w:rsid w:val="527D1FAA"/>
    <w:rsid w:val="52896623"/>
    <w:rsid w:val="529D34F7"/>
    <w:rsid w:val="52AE2145"/>
    <w:rsid w:val="52B85107"/>
    <w:rsid w:val="52C0405E"/>
    <w:rsid w:val="52CD4A82"/>
    <w:rsid w:val="52D902F9"/>
    <w:rsid w:val="52DB6BC5"/>
    <w:rsid w:val="52E21004"/>
    <w:rsid w:val="52F15E9B"/>
    <w:rsid w:val="52F20C69"/>
    <w:rsid w:val="53025824"/>
    <w:rsid w:val="53031B0D"/>
    <w:rsid w:val="5310251E"/>
    <w:rsid w:val="53112C8F"/>
    <w:rsid w:val="53230EC5"/>
    <w:rsid w:val="53235263"/>
    <w:rsid w:val="53381F16"/>
    <w:rsid w:val="534B527C"/>
    <w:rsid w:val="534D12ED"/>
    <w:rsid w:val="53547339"/>
    <w:rsid w:val="53553B4C"/>
    <w:rsid w:val="536D1DFF"/>
    <w:rsid w:val="537C3EDB"/>
    <w:rsid w:val="538F52E9"/>
    <w:rsid w:val="53980AC2"/>
    <w:rsid w:val="53AB4814"/>
    <w:rsid w:val="53DC01FD"/>
    <w:rsid w:val="53E313F2"/>
    <w:rsid w:val="53E94033"/>
    <w:rsid w:val="53FE2336"/>
    <w:rsid w:val="54087E10"/>
    <w:rsid w:val="540E5E23"/>
    <w:rsid w:val="540F43F3"/>
    <w:rsid w:val="54183759"/>
    <w:rsid w:val="542B6FF4"/>
    <w:rsid w:val="543D094B"/>
    <w:rsid w:val="544F0630"/>
    <w:rsid w:val="54561FCA"/>
    <w:rsid w:val="54595350"/>
    <w:rsid w:val="546649C1"/>
    <w:rsid w:val="546A6BBF"/>
    <w:rsid w:val="54724E0B"/>
    <w:rsid w:val="547A3E32"/>
    <w:rsid w:val="547D323C"/>
    <w:rsid w:val="547D4C84"/>
    <w:rsid w:val="548054C1"/>
    <w:rsid w:val="54827945"/>
    <w:rsid w:val="54850F8A"/>
    <w:rsid w:val="548D54EA"/>
    <w:rsid w:val="548E1302"/>
    <w:rsid w:val="548E3EED"/>
    <w:rsid w:val="54937EB4"/>
    <w:rsid w:val="54944948"/>
    <w:rsid w:val="54985D6C"/>
    <w:rsid w:val="549A4D6C"/>
    <w:rsid w:val="549B7D8A"/>
    <w:rsid w:val="549E52C3"/>
    <w:rsid w:val="54A56750"/>
    <w:rsid w:val="54C034FF"/>
    <w:rsid w:val="54C97892"/>
    <w:rsid w:val="54D71A8A"/>
    <w:rsid w:val="54D768EF"/>
    <w:rsid w:val="54DF43D6"/>
    <w:rsid w:val="54E33F13"/>
    <w:rsid w:val="55436706"/>
    <w:rsid w:val="554D1BF7"/>
    <w:rsid w:val="554E684C"/>
    <w:rsid w:val="55596FEB"/>
    <w:rsid w:val="556A5361"/>
    <w:rsid w:val="55715232"/>
    <w:rsid w:val="55742CBA"/>
    <w:rsid w:val="55785A2F"/>
    <w:rsid w:val="557B323C"/>
    <w:rsid w:val="55891946"/>
    <w:rsid w:val="55923C1A"/>
    <w:rsid w:val="55AF2B00"/>
    <w:rsid w:val="55B4472C"/>
    <w:rsid w:val="55BB7AD3"/>
    <w:rsid w:val="55BE6AC9"/>
    <w:rsid w:val="55C018F1"/>
    <w:rsid w:val="55C12791"/>
    <w:rsid w:val="55C43445"/>
    <w:rsid w:val="55C70461"/>
    <w:rsid w:val="55CD0B5B"/>
    <w:rsid w:val="55D331F8"/>
    <w:rsid w:val="55D4510A"/>
    <w:rsid w:val="55D9708F"/>
    <w:rsid w:val="55E21D70"/>
    <w:rsid w:val="55EA4783"/>
    <w:rsid w:val="55EB124C"/>
    <w:rsid w:val="55F579F3"/>
    <w:rsid w:val="55F71CA9"/>
    <w:rsid w:val="55FA0230"/>
    <w:rsid w:val="56014AE0"/>
    <w:rsid w:val="56021996"/>
    <w:rsid w:val="560D0996"/>
    <w:rsid w:val="563C1D0E"/>
    <w:rsid w:val="563F0FB1"/>
    <w:rsid w:val="564D1600"/>
    <w:rsid w:val="566E6718"/>
    <w:rsid w:val="566F4A49"/>
    <w:rsid w:val="567379E6"/>
    <w:rsid w:val="56787D87"/>
    <w:rsid w:val="56893596"/>
    <w:rsid w:val="5691066F"/>
    <w:rsid w:val="56A221B9"/>
    <w:rsid w:val="56AF0998"/>
    <w:rsid w:val="56D34241"/>
    <w:rsid w:val="56D41A6F"/>
    <w:rsid w:val="56D469F3"/>
    <w:rsid w:val="56E275C1"/>
    <w:rsid w:val="56E3615C"/>
    <w:rsid w:val="56E66C7F"/>
    <w:rsid w:val="56EA3640"/>
    <w:rsid w:val="56FA08FF"/>
    <w:rsid w:val="56FC589F"/>
    <w:rsid w:val="570357ED"/>
    <w:rsid w:val="57156F60"/>
    <w:rsid w:val="572D0FCA"/>
    <w:rsid w:val="572F40D1"/>
    <w:rsid w:val="573934EB"/>
    <w:rsid w:val="573D4121"/>
    <w:rsid w:val="57420AC9"/>
    <w:rsid w:val="575D07B3"/>
    <w:rsid w:val="57673181"/>
    <w:rsid w:val="5767708B"/>
    <w:rsid w:val="576B65F4"/>
    <w:rsid w:val="578B11E3"/>
    <w:rsid w:val="579104BD"/>
    <w:rsid w:val="5797175C"/>
    <w:rsid w:val="579D5081"/>
    <w:rsid w:val="57A50237"/>
    <w:rsid w:val="57C87A81"/>
    <w:rsid w:val="57D577A7"/>
    <w:rsid w:val="57F403C6"/>
    <w:rsid w:val="57F908C1"/>
    <w:rsid w:val="57FB65D9"/>
    <w:rsid w:val="58141F1E"/>
    <w:rsid w:val="58175A5C"/>
    <w:rsid w:val="5824102E"/>
    <w:rsid w:val="58402D2A"/>
    <w:rsid w:val="585F79BA"/>
    <w:rsid w:val="5863178C"/>
    <w:rsid w:val="58755DE7"/>
    <w:rsid w:val="587B1D19"/>
    <w:rsid w:val="588107FC"/>
    <w:rsid w:val="588368A3"/>
    <w:rsid w:val="58844754"/>
    <w:rsid w:val="588A232C"/>
    <w:rsid w:val="58916AE2"/>
    <w:rsid w:val="58937A1A"/>
    <w:rsid w:val="58962B27"/>
    <w:rsid w:val="58A90EDF"/>
    <w:rsid w:val="58AF3681"/>
    <w:rsid w:val="58BB04D1"/>
    <w:rsid w:val="58BB257D"/>
    <w:rsid w:val="58C121ED"/>
    <w:rsid w:val="58D74EA8"/>
    <w:rsid w:val="58D865DF"/>
    <w:rsid w:val="58D95A00"/>
    <w:rsid w:val="58DB6736"/>
    <w:rsid w:val="58DF4490"/>
    <w:rsid w:val="58E83852"/>
    <w:rsid w:val="58EC41D6"/>
    <w:rsid w:val="58F32484"/>
    <w:rsid w:val="58F471E5"/>
    <w:rsid w:val="58F92C09"/>
    <w:rsid w:val="58FA5383"/>
    <w:rsid w:val="59103774"/>
    <w:rsid w:val="59105C7F"/>
    <w:rsid w:val="59350310"/>
    <w:rsid w:val="593E130D"/>
    <w:rsid w:val="593F35DB"/>
    <w:rsid w:val="59417459"/>
    <w:rsid w:val="59483B8D"/>
    <w:rsid w:val="59512950"/>
    <w:rsid w:val="59527BF2"/>
    <w:rsid w:val="595A1292"/>
    <w:rsid w:val="596029ED"/>
    <w:rsid w:val="59640F0A"/>
    <w:rsid w:val="59775F0A"/>
    <w:rsid w:val="597B407C"/>
    <w:rsid w:val="598046A5"/>
    <w:rsid w:val="59852333"/>
    <w:rsid w:val="598A13F7"/>
    <w:rsid w:val="59912246"/>
    <w:rsid w:val="59980B96"/>
    <w:rsid w:val="599C2F5F"/>
    <w:rsid w:val="599D77CC"/>
    <w:rsid w:val="59A85E85"/>
    <w:rsid w:val="59C17BDC"/>
    <w:rsid w:val="59C773D3"/>
    <w:rsid w:val="59DF07DE"/>
    <w:rsid w:val="59E659A6"/>
    <w:rsid w:val="59E74198"/>
    <w:rsid w:val="59F13073"/>
    <w:rsid w:val="59F9159D"/>
    <w:rsid w:val="5A0475B3"/>
    <w:rsid w:val="5A0C5721"/>
    <w:rsid w:val="5A0D5A13"/>
    <w:rsid w:val="5A2E4414"/>
    <w:rsid w:val="5A3A4513"/>
    <w:rsid w:val="5A4561C9"/>
    <w:rsid w:val="5A523F3C"/>
    <w:rsid w:val="5A5569F8"/>
    <w:rsid w:val="5A5954A3"/>
    <w:rsid w:val="5A6073A6"/>
    <w:rsid w:val="5A6500ED"/>
    <w:rsid w:val="5A705DBB"/>
    <w:rsid w:val="5A8849A2"/>
    <w:rsid w:val="5A8E13E7"/>
    <w:rsid w:val="5A99099E"/>
    <w:rsid w:val="5AA90FE8"/>
    <w:rsid w:val="5AB85C55"/>
    <w:rsid w:val="5ABF4B51"/>
    <w:rsid w:val="5AC05769"/>
    <w:rsid w:val="5ACC4A4D"/>
    <w:rsid w:val="5AD600AA"/>
    <w:rsid w:val="5AD92E6F"/>
    <w:rsid w:val="5AE23BE6"/>
    <w:rsid w:val="5AF47AE7"/>
    <w:rsid w:val="5AF66C26"/>
    <w:rsid w:val="5AFF1DA7"/>
    <w:rsid w:val="5B0B6F1F"/>
    <w:rsid w:val="5B0F57A6"/>
    <w:rsid w:val="5B187472"/>
    <w:rsid w:val="5B1D5DD8"/>
    <w:rsid w:val="5B2965A7"/>
    <w:rsid w:val="5B3F45F8"/>
    <w:rsid w:val="5B4E57C5"/>
    <w:rsid w:val="5B597D08"/>
    <w:rsid w:val="5B671FAC"/>
    <w:rsid w:val="5B6727E4"/>
    <w:rsid w:val="5B69768F"/>
    <w:rsid w:val="5B6D26FD"/>
    <w:rsid w:val="5B75307F"/>
    <w:rsid w:val="5B7633F2"/>
    <w:rsid w:val="5B783A54"/>
    <w:rsid w:val="5B8070AE"/>
    <w:rsid w:val="5B8414E0"/>
    <w:rsid w:val="5B9C0CB8"/>
    <w:rsid w:val="5B9D022E"/>
    <w:rsid w:val="5BB10517"/>
    <w:rsid w:val="5BB556AE"/>
    <w:rsid w:val="5BBC56D4"/>
    <w:rsid w:val="5BC31F35"/>
    <w:rsid w:val="5BC3220B"/>
    <w:rsid w:val="5BC709A1"/>
    <w:rsid w:val="5BCB1C34"/>
    <w:rsid w:val="5BD3284D"/>
    <w:rsid w:val="5BE71C68"/>
    <w:rsid w:val="5BEC2029"/>
    <w:rsid w:val="5BEC652F"/>
    <w:rsid w:val="5C021B23"/>
    <w:rsid w:val="5C0306DA"/>
    <w:rsid w:val="5C143628"/>
    <w:rsid w:val="5C307D2D"/>
    <w:rsid w:val="5C310C95"/>
    <w:rsid w:val="5C402A8C"/>
    <w:rsid w:val="5C410B95"/>
    <w:rsid w:val="5C5552EA"/>
    <w:rsid w:val="5C5A2CE3"/>
    <w:rsid w:val="5C63237F"/>
    <w:rsid w:val="5CAB55E5"/>
    <w:rsid w:val="5CAB60ED"/>
    <w:rsid w:val="5CB22A2C"/>
    <w:rsid w:val="5CC81D34"/>
    <w:rsid w:val="5CCF2FF6"/>
    <w:rsid w:val="5CD10E53"/>
    <w:rsid w:val="5CE34E01"/>
    <w:rsid w:val="5CE90EFE"/>
    <w:rsid w:val="5CF048D0"/>
    <w:rsid w:val="5CF3245C"/>
    <w:rsid w:val="5D081DF1"/>
    <w:rsid w:val="5D092DA7"/>
    <w:rsid w:val="5D093C2F"/>
    <w:rsid w:val="5D09654B"/>
    <w:rsid w:val="5D1A5F65"/>
    <w:rsid w:val="5D2A75A7"/>
    <w:rsid w:val="5D330CE5"/>
    <w:rsid w:val="5D33780F"/>
    <w:rsid w:val="5D362641"/>
    <w:rsid w:val="5D6F0389"/>
    <w:rsid w:val="5D706E0A"/>
    <w:rsid w:val="5D7B3F1E"/>
    <w:rsid w:val="5D884BA2"/>
    <w:rsid w:val="5D8915CE"/>
    <w:rsid w:val="5D892F7F"/>
    <w:rsid w:val="5D8A031D"/>
    <w:rsid w:val="5D8F597D"/>
    <w:rsid w:val="5D98319C"/>
    <w:rsid w:val="5D9C7342"/>
    <w:rsid w:val="5DBE353E"/>
    <w:rsid w:val="5DCB6B84"/>
    <w:rsid w:val="5DCD5542"/>
    <w:rsid w:val="5DD1691F"/>
    <w:rsid w:val="5DD532EB"/>
    <w:rsid w:val="5DE8612F"/>
    <w:rsid w:val="5DF052FD"/>
    <w:rsid w:val="5DF6644E"/>
    <w:rsid w:val="5E083356"/>
    <w:rsid w:val="5E0978A0"/>
    <w:rsid w:val="5E100E59"/>
    <w:rsid w:val="5E120873"/>
    <w:rsid w:val="5E302BF3"/>
    <w:rsid w:val="5E346DF4"/>
    <w:rsid w:val="5E3614FC"/>
    <w:rsid w:val="5E3C6E84"/>
    <w:rsid w:val="5E4975B8"/>
    <w:rsid w:val="5E4F3E9A"/>
    <w:rsid w:val="5E507C51"/>
    <w:rsid w:val="5E55246C"/>
    <w:rsid w:val="5E577084"/>
    <w:rsid w:val="5E633DC7"/>
    <w:rsid w:val="5E6B3678"/>
    <w:rsid w:val="5E73301D"/>
    <w:rsid w:val="5E754D87"/>
    <w:rsid w:val="5E7751EA"/>
    <w:rsid w:val="5E8A53F5"/>
    <w:rsid w:val="5EA760E3"/>
    <w:rsid w:val="5EB57FE2"/>
    <w:rsid w:val="5EC42D76"/>
    <w:rsid w:val="5ECB07CE"/>
    <w:rsid w:val="5ED13BB7"/>
    <w:rsid w:val="5ED31EA9"/>
    <w:rsid w:val="5EDA585D"/>
    <w:rsid w:val="5EDD06BF"/>
    <w:rsid w:val="5EDD34B2"/>
    <w:rsid w:val="5EE10CB6"/>
    <w:rsid w:val="5EEA3C17"/>
    <w:rsid w:val="5EEA69BE"/>
    <w:rsid w:val="5EF01120"/>
    <w:rsid w:val="5F244935"/>
    <w:rsid w:val="5F2847F1"/>
    <w:rsid w:val="5F2B6E5B"/>
    <w:rsid w:val="5F2F42FB"/>
    <w:rsid w:val="5F461C58"/>
    <w:rsid w:val="5F5159EF"/>
    <w:rsid w:val="5F6650F3"/>
    <w:rsid w:val="5F68537F"/>
    <w:rsid w:val="5F6F45EB"/>
    <w:rsid w:val="5F762558"/>
    <w:rsid w:val="5F78700C"/>
    <w:rsid w:val="5F794A2E"/>
    <w:rsid w:val="5F7D4FDA"/>
    <w:rsid w:val="5F7F0EA7"/>
    <w:rsid w:val="5F8160DA"/>
    <w:rsid w:val="5F8430EB"/>
    <w:rsid w:val="5F8F3BD1"/>
    <w:rsid w:val="5F9A33D8"/>
    <w:rsid w:val="5FA2009E"/>
    <w:rsid w:val="5FB13E34"/>
    <w:rsid w:val="5FB22CE1"/>
    <w:rsid w:val="5FB3369D"/>
    <w:rsid w:val="5FBF1411"/>
    <w:rsid w:val="5FC400F8"/>
    <w:rsid w:val="5FE63AD1"/>
    <w:rsid w:val="5FEB0A35"/>
    <w:rsid w:val="5FEC6596"/>
    <w:rsid w:val="5FED3DF4"/>
    <w:rsid w:val="5FF90EFC"/>
    <w:rsid w:val="5FFE6400"/>
    <w:rsid w:val="60046E7E"/>
    <w:rsid w:val="60082EAA"/>
    <w:rsid w:val="6009156B"/>
    <w:rsid w:val="600E4542"/>
    <w:rsid w:val="60297558"/>
    <w:rsid w:val="602D6C1D"/>
    <w:rsid w:val="603138D9"/>
    <w:rsid w:val="604C013E"/>
    <w:rsid w:val="60613EC1"/>
    <w:rsid w:val="6061582C"/>
    <w:rsid w:val="60667D70"/>
    <w:rsid w:val="607863E4"/>
    <w:rsid w:val="607C2CB1"/>
    <w:rsid w:val="60837061"/>
    <w:rsid w:val="6086395D"/>
    <w:rsid w:val="608A08E5"/>
    <w:rsid w:val="60A642F4"/>
    <w:rsid w:val="60C02039"/>
    <w:rsid w:val="60CA3DF9"/>
    <w:rsid w:val="60CE2328"/>
    <w:rsid w:val="60DC229F"/>
    <w:rsid w:val="60E64A6D"/>
    <w:rsid w:val="60E869AE"/>
    <w:rsid w:val="60ED4211"/>
    <w:rsid w:val="60ED7321"/>
    <w:rsid w:val="60EF1F35"/>
    <w:rsid w:val="60F17952"/>
    <w:rsid w:val="60FF3CBC"/>
    <w:rsid w:val="610F1A3A"/>
    <w:rsid w:val="61251402"/>
    <w:rsid w:val="612D3A4C"/>
    <w:rsid w:val="61365F1B"/>
    <w:rsid w:val="6140454C"/>
    <w:rsid w:val="614139BD"/>
    <w:rsid w:val="61421BEC"/>
    <w:rsid w:val="61465593"/>
    <w:rsid w:val="614B101F"/>
    <w:rsid w:val="614C64C0"/>
    <w:rsid w:val="61622396"/>
    <w:rsid w:val="616617F5"/>
    <w:rsid w:val="617109B2"/>
    <w:rsid w:val="61731230"/>
    <w:rsid w:val="617F0C40"/>
    <w:rsid w:val="6192309A"/>
    <w:rsid w:val="619A03A1"/>
    <w:rsid w:val="619E6A79"/>
    <w:rsid w:val="61AB4BB8"/>
    <w:rsid w:val="61AE2863"/>
    <w:rsid w:val="61BD34A5"/>
    <w:rsid w:val="61CB4462"/>
    <w:rsid w:val="61CB5514"/>
    <w:rsid w:val="62106B2A"/>
    <w:rsid w:val="621114E8"/>
    <w:rsid w:val="62240537"/>
    <w:rsid w:val="622503D0"/>
    <w:rsid w:val="62371A82"/>
    <w:rsid w:val="624071DA"/>
    <w:rsid w:val="624E760D"/>
    <w:rsid w:val="625A47D1"/>
    <w:rsid w:val="626D31EE"/>
    <w:rsid w:val="62700652"/>
    <w:rsid w:val="62735E16"/>
    <w:rsid w:val="627A5E9C"/>
    <w:rsid w:val="62894B2D"/>
    <w:rsid w:val="629B38EA"/>
    <w:rsid w:val="629C5660"/>
    <w:rsid w:val="629E598A"/>
    <w:rsid w:val="62AB03AF"/>
    <w:rsid w:val="62B14F5B"/>
    <w:rsid w:val="62B54EAC"/>
    <w:rsid w:val="62BC35C5"/>
    <w:rsid w:val="62BC3B48"/>
    <w:rsid w:val="62C05D8B"/>
    <w:rsid w:val="62D45CCA"/>
    <w:rsid w:val="62D5754D"/>
    <w:rsid w:val="62DD66DC"/>
    <w:rsid w:val="62E53096"/>
    <w:rsid w:val="62E6097C"/>
    <w:rsid w:val="62F17F96"/>
    <w:rsid w:val="63110A08"/>
    <w:rsid w:val="632266F4"/>
    <w:rsid w:val="63231669"/>
    <w:rsid w:val="63240E11"/>
    <w:rsid w:val="632515C7"/>
    <w:rsid w:val="63434448"/>
    <w:rsid w:val="63465FF5"/>
    <w:rsid w:val="63506386"/>
    <w:rsid w:val="63530B91"/>
    <w:rsid w:val="635352F1"/>
    <w:rsid w:val="635B6BF7"/>
    <w:rsid w:val="63701C46"/>
    <w:rsid w:val="637024B9"/>
    <w:rsid w:val="638143F4"/>
    <w:rsid w:val="638D32E8"/>
    <w:rsid w:val="6398708B"/>
    <w:rsid w:val="63992E98"/>
    <w:rsid w:val="63A20ADE"/>
    <w:rsid w:val="63CB0539"/>
    <w:rsid w:val="63CE45BB"/>
    <w:rsid w:val="63CF2E96"/>
    <w:rsid w:val="63D02C5B"/>
    <w:rsid w:val="63D22FD5"/>
    <w:rsid w:val="63DC65C6"/>
    <w:rsid w:val="63DE10E2"/>
    <w:rsid w:val="63E00DEC"/>
    <w:rsid w:val="63F00F13"/>
    <w:rsid w:val="64033564"/>
    <w:rsid w:val="64111962"/>
    <w:rsid w:val="6416076D"/>
    <w:rsid w:val="641F1703"/>
    <w:rsid w:val="641F3163"/>
    <w:rsid w:val="642442D0"/>
    <w:rsid w:val="64271725"/>
    <w:rsid w:val="642B579A"/>
    <w:rsid w:val="64380A24"/>
    <w:rsid w:val="6442425C"/>
    <w:rsid w:val="645340D9"/>
    <w:rsid w:val="6453786F"/>
    <w:rsid w:val="64767FD5"/>
    <w:rsid w:val="64775E5C"/>
    <w:rsid w:val="64797CBD"/>
    <w:rsid w:val="648B233E"/>
    <w:rsid w:val="649D4D6D"/>
    <w:rsid w:val="649F4F70"/>
    <w:rsid w:val="64B22D30"/>
    <w:rsid w:val="64B60A09"/>
    <w:rsid w:val="64BC4E0B"/>
    <w:rsid w:val="64BF1616"/>
    <w:rsid w:val="64DC3460"/>
    <w:rsid w:val="64EF2369"/>
    <w:rsid w:val="64FA2218"/>
    <w:rsid w:val="650263D5"/>
    <w:rsid w:val="65141D8A"/>
    <w:rsid w:val="65193B4A"/>
    <w:rsid w:val="651A3432"/>
    <w:rsid w:val="651B5170"/>
    <w:rsid w:val="65313A62"/>
    <w:rsid w:val="65381284"/>
    <w:rsid w:val="653832F8"/>
    <w:rsid w:val="65486F8F"/>
    <w:rsid w:val="65557D60"/>
    <w:rsid w:val="6566235C"/>
    <w:rsid w:val="6566541C"/>
    <w:rsid w:val="656F2B46"/>
    <w:rsid w:val="656F4D0D"/>
    <w:rsid w:val="6579597C"/>
    <w:rsid w:val="65814EA1"/>
    <w:rsid w:val="65923994"/>
    <w:rsid w:val="65A05FA3"/>
    <w:rsid w:val="65A800C7"/>
    <w:rsid w:val="65AA331E"/>
    <w:rsid w:val="65AC09C2"/>
    <w:rsid w:val="65B06CE3"/>
    <w:rsid w:val="65BA596C"/>
    <w:rsid w:val="65BD7F45"/>
    <w:rsid w:val="65C01F00"/>
    <w:rsid w:val="65CD20D5"/>
    <w:rsid w:val="65CE7C85"/>
    <w:rsid w:val="65D23C7A"/>
    <w:rsid w:val="65E410E3"/>
    <w:rsid w:val="65F5542C"/>
    <w:rsid w:val="65FD0E71"/>
    <w:rsid w:val="661041B5"/>
    <w:rsid w:val="661B4A2A"/>
    <w:rsid w:val="661E540B"/>
    <w:rsid w:val="662031E7"/>
    <w:rsid w:val="662730F9"/>
    <w:rsid w:val="662F73E2"/>
    <w:rsid w:val="66341E38"/>
    <w:rsid w:val="6636464A"/>
    <w:rsid w:val="663956BB"/>
    <w:rsid w:val="663C4518"/>
    <w:rsid w:val="66427741"/>
    <w:rsid w:val="66474F83"/>
    <w:rsid w:val="664E475C"/>
    <w:rsid w:val="665D32AE"/>
    <w:rsid w:val="665E5619"/>
    <w:rsid w:val="6664785F"/>
    <w:rsid w:val="66697254"/>
    <w:rsid w:val="666C06EB"/>
    <w:rsid w:val="667245C7"/>
    <w:rsid w:val="669524B7"/>
    <w:rsid w:val="66A501BB"/>
    <w:rsid w:val="66A8441C"/>
    <w:rsid w:val="66AE253B"/>
    <w:rsid w:val="66BF5539"/>
    <w:rsid w:val="66C31450"/>
    <w:rsid w:val="66CB0ACE"/>
    <w:rsid w:val="66DA50DF"/>
    <w:rsid w:val="66E520F4"/>
    <w:rsid w:val="66EF5667"/>
    <w:rsid w:val="66F757D5"/>
    <w:rsid w:val="67037EFF"/>
    <w:rsid w:val="67144738"/>
    <w:rsid w:val="6717108D"/>
    <w:rsid w:val="671A2DBE"/>
    <w:rsid w:val="671B7875"/>
    <w:rsid w:val="6720534E"/>
    <w:rsid w:val="6721665C"/>
    <w:rsid w:val="67241341"/>
    <w:rsid w:val="672C531C"/>
    <w:rsid w:val="67361D37"/>
    <w:rsid w:val="673756F4"/>
    <w:rsid w:val="673C6410"/>
    <w:rsid w:val="67421678"/>
    <w:rsid w:val="674A101D"/>
    <w:rsid w:val="675503FA"/>
    <w:rsid w:val="675A45FA"/>
    <w:rsid w:val="676552A6"/>
    <w:rsid w:val="677478C8"/>
    <w:rsid w:val="67835CA3"/>
    <w:rsid w:val="6788713A"/>
    <w:rsid w:val="678D139A"/>
    <w:rsid w:val="67970BFE"/>
    <w:rsid w:val="67987FF5"/>
    <w:rsid w:val="679B4032"/>
    <w:rsid w:val="679B6AC5"/>
    <w:rsid w:val="67AA575E"/>
    <w:rsid w:val="67C22AF4"/>
    <w:rsid w:val="67CA4C9A"/>
    <w:rsid w:val="67D41D1B"/>
    <w:rsid w:val="67E51A25"/>
    <w:rsid w:val="67E93739"/>
    <w:rsid w:val="67F03D29"/>
    <w:rsid w:val="67F93C21"/>
    <w:rsid w:val="68070F98"/>
    <w:rsid w:val="680A05C8"/>
    <w:rsid w:val="680E1C35"/>
    <w:rsid w:val="6817555D"/>
    <w:rsid w:val="68197598"/>
    <w:rsid w:val="682717AA"/>
    <w:rsid w:val="682B30C9"/>
    <w:rsid w:val="68415D0D"/>
    <w:rsid w:val="684B48FF"/>
    <w:rsid w:val="68590026"/>
    <w:rsid w:val="68595231"/>
    <w:rsid w:val="68622A69"/>
    <w:rsid w:val="6867701F"/>
    <w:rsid w:val="68680F3A"/>
    <w:rsid w:val="686B421B"/>
    <w:rsid w:val="687317F9"/>
    <w:rsid w:val="68740850"/>
    <w:rsid w:val="6880034C"/>
    <w:rsid w:val="6882330B"/>
    <w:rsid w:val="68854382"/>
    <w:rsid w:val="689006B6"/>
    <w:rsid w:val="68913248"/>
    <w:rsid w:val="68986415"/>
    <w:rsid w:val="689B0B43"/>
    <w:rsid w:val="68A064FA"/>
    <w:rsid w:val="68AA3C90"/>
    <w:rsid w:val="68B75289"/>
    <w:rsid w:val="68C1743E"/>
    <w:rsid w:val="68CC0BAD"/>
    <w:rsid w:val="68ED3FEF"/>
    <w:rsid w:val="68F02F50"/>
    <w:rsid w:val="69054F96"/>
    <w:rsid w:val="69131C0F"/>
    <w:rsid w:val="691D4401"/>
    <w:rsid w:val="692F3192"/>
    <w:rsid w:val="69304F31"/>
    <w:rsid w:val="69335F27"/>
    <w:rsid w:val="69416CF2"/>
    <w:rsid w:val="69517516"/>
    <w:rsid w:val="695C0F6D"/>
    <w:rsid w:val="696F4FBC"/>
    <w:rsid w:val="69702FEC"/>
    <w:rsid w:val="69730BFB"/>
    <w:rsid w:val="697921B5"/>
    <w:rsid w:val="697A2026"/>
    <w:rsid w:val="697A490B"/>
    <w:rsid w:val="699B0138"/>
    <w:rsid w:val="699E493A"/>
    <w:rsid w:val="69A5328F"/>
    <w:rsid w:val="69B166A5"/>
    <w:rsid w:val="69BB545F"/>
    <w:rsid w:val="69C03203"/>
    <w:rsid w:val="69CC10A2"/>
    <w:rsid w:val="69D22AF8"/>
    <w:rsid w:val="69ED0FF2"/>
    <w:rsid w:val="69EF4A7D"/>
    <w:rsid w:val="69F008FC"/>
    <w:rsid w:val="69F134E0"/>
    <w:rsid w:val="69F55995"/>
    <w:rsid w:val="69F579A3"/>
    <w:rsid w:val="69F76AE0"/>
    <w:rsid w:val="69FA007A"/>
    <w:rsid w:val="69FE4931"/>
    <w:rsid w:val="6A08021E"/>
    <w:rsid w:val="6A0D23C3"/>
    <w:rsid w:val="6A1175F9"/>
    <w:rsid w:val="6A16241A"/>
    <w:rsid w:val="6A186ADC"/>
    <w:rsid w:val="6A241DD5"/>
    <w:rsid w:val="6A282221"/>
    <w:rsid w:val="6A2D10B5"/>
    <w:rsid w:val="6A365E36"/>
    <w:rsid w:val="6A4D0612"/>
    <w:rsid w:val="6A5034F9"/>
    <w:rsid w:val="6A511A0F"/>
    <w:rsid w:val="6A5B663E"/>
    <w:rsid w:val="6A7D542B"/>
    <w:rsid w:val="6A88619B"/>
    <w:rsid w:val="6A8F1865"/>
    <w:rsid w:val="6A916C44"/>
    <w:rsid w:val="6A932F20"/>
    <w:rsid w:val="6A9F3B5E"/>
    <w:rsid w:val="6A9F7870"/>
    <w:rsid w:val="6AAF1B82"/>
    <w:rsid w:val="6ABE46F9"/>
    <w:rsid w:val="6ABF608F"/>
    <w:rsid w:val="6AC51AA9"/>
    <w:rsid w:val="6AC70A94"/>
    <w:rsid w:val="6ADB08A4"/>
    <w:rsid w:val="6AE1537E"/>
    <w:rsid w:val="6AE362EB"/>
    <w:rsid w:val="6AEA02CB"/>
    <w:rsid w:val="6AEA06FE"/>
    <w:rsid w:val="6AED3B6C"/>
    <w:rsid w:val="6AF77FFE"/>
    <w:rsid w:val="6AFC5D5A"/>
    <w:rsid w:val="6B04780B"/>
    <w:rsid w:val="6B1F7E05"/>
    <w:rsid w:val="6B2B38B4"/>
    <w:rsid w:val="6B33213F"/>
    <w:rsid w:val="6B4050D6"/>
    <w:rsid w:val="6B4B24DE"/>
    <w:rsid w:val="6B4B6DC2"/>
    <w:rsid w:val="6B6A5B1B"/>
    <w:rsid w:val="6B705BB8"/>
    <w:rsid w:val="6B775469"/>
    <w:rsid w:val="6B7C2528"/>
    <w:rsid w:val="6B841702"/>
    <w:rsid w:val="6B8A7FBE"/>
    <w:rsid w:val="6B8E6E5E"/>
    <w:rsid w:val="6B9E5E1C"/>
    <w:rsid w:val="6BB348A3"/>
    <w:rsid w:val="6BC90788"/>
    <w:rsid w:val="6BCB1690"/>
    <w:rsid w:val="6BD1165D"/>
    <w:rsid w:val="6BE81FFE"/>
    <w:rsid w:val="6BFE1955"/>
    <w:rsid w:val="6C05165C"/>
    <w:rsid w:val="6C0932C7"/>
    <w:rsid w:val="6C0A7819"/>
    <w:rsid w:val="6C0D5AF3"/>
    <w:rsid w:val="6C0E363E"/>
    <w:rsid w:val="6C116DE8"/>
    <w:rsid w:val="6C182278"/>
    <w:rsid w:val="6C1A4170"/>
    <w:rsid w:val="6C2734CC"/>
    <w:rsid w:val="6C2B1EA3"/>
    <w:rsid w:val="6C542C99"/>
    <w:rsid w:val="6C616824"/>
    <w:rsid w:val="6C6B2F64"/>
    <w:rsid w:val="6C6C6219"/>
    <w:rsid w:val="6C7A6497"/>
    <w:rsid w:val="6C846B79"/>
    <w:rsid w:val="6C9C71CB"/>
    <w:rsid w:val="6CA85049"/>
    <w:rsid w:val="6CB74BC8"/>
    <w:rsid w:val="6CDC66F1"/>
    <w:rsid w:val="6CDE5DB7"/>
    <w:rsid w:val="6CE01960"/>
    <w:rsid w:val="6CE835A0"/>
    <w:rsid w:val="6CF54C78"/>
    <w:rsid w:val="6CF55F1C"/>
    <w:rsid w:val="6CF84B0C"/>
    <w:rsid w:val="6D146B2F"/>
    <w:rsid w:val="6D1A3364"/>
    <w:rsid w:val="6D1E1512"/>
    <w:rsid w:val="6D435505"/>
    <w:rsid w:val="6D4A13B1"/>
    <w:rsid w:val="6D4A4986"/>
    <w:rsid w:val="6D541069"/>
    <w:rsid w:val="6D5F49C2"/>
    <w:rsid w:val="6D677E66"/>
    <w:rsid w:val="6D6B63B1"/>
    <w:rsid w:val="6D7A6C67"/>
    <w:rsid w:val="6DC27C41"/>
    <w:rsid w:val="6DC87D98"/>
    <w:rsid w:val="6DC96CD5"/>
    <w:rsid w:val="6DD23707"/>
    <w:rsid w:val="6DD85494"/>
    <w:rsid w:val="6DF62E78"/>
    <w:rsid w:val="6DFB1617"/>
    <w:rsid w:val="6DFF3ADE"/>
    <w:rsid w:val="6E074549"/>
    <w:rsid w:val="6E08378E"/>
    <w:rsid w:val="6E0C648F"/>
    <w:rsid w:val="6E126663"/>
    <w:rsid w:val="6E221FF0"/>
    <w:rsid w:val="6E2E6EF4"/>
    <w:rsid w:val="6E38535C"/>
    <w:rsid w:val="6E3A1A83"/>
    <w:rsid w:val="6E425FDA"/>
    <w:rsid w:val="6E45781F"/>
    <w:rsid w:val="6E510732"/>
    <w:rsid w:val="6E5926F8"/>
    <w:rsid w:val="6E6439D2"/>
    <w:rsid w:val="6E702B66"/>
    <w:rsid w:val="6E903A65"/>
    <w:rsid w:val="6EA71D61"/>
    <w:rsid w:val="6EAA6ED1"/>
    <w:rsid w:val="6EB556CF"/>
    <w:rsid w:val="6EC24C1A"/>
    <w:rsid w:val="6EC61F71"/>
    <w:rsid w:val="6ECB1154"/>
    <w:rsid w:val="6ED11D80"/>
    <w:rsid w:val="6EE30AAC"/>
    <w:rsid w:val="6EEE22A8"/>
    <w:rsid w:val="6EEE79F6"/>
    <w:rsid w:val="6EF325AD"/>
    <w:rsid w:val="6EF334FC"/>
    <w:rsid w:val="6EFF47AD"/>
    <w:rsid w:val="6F03475E"/>
    <w:rsid w:val="6F0D58E7"/>
    <w:rsid w:val="6F193195"/>
    <w:rsid w:val="6F1A6D4A"/>
    <w:rsid w:val="6F275398"/>
    <w:rsid w:val="6F335D4E"/>
    <w:rsid w:val="6F3C1769"/>
    <w:rsid w:val="6F401B4C"/>
    <w:rsid w:val="6F4F211E"/>
    <w:rsid w:val="6F583FA6"/>
    <w:rsid w:val="6F657EEB"/>
    <w:rsid w:val="6F6D291C"/>
    <w:rsid w:val="6F8722A0"/>
    <w:rsid w:val="6F8D7A4B"/>
    <w:rsid w:val="6F9C0D83"/>
    <w:rsid w:val="6FAD1D26"/>
    <w:rsid w:val="6FBC4D47"/>
    <w:rsid w:val="6FC03200"/>
    <w:rsid w:val="6FFA4B24"/>
    <w:rsid w:val="6FFD77F6"/>
    <w:rsid w:val="6FFE27CE"/>
    <w:rsid w:val="6FFF3543"/>
    <w:rsid w:val="702F2DDA"/>
    <w:rsid w:val="70366EE3"/>
    <w:rsid w:val="703C13D7"/>
    <w:rsid w:val="703E210F"/>
    <w:rsid w:val="704716DB"/>
    <w:rsid w:val="70496F51"/>
    <w:rsid w:val="70570F0C"/>
    <w:rsid w:val="705E0679"/>
    <w:rsid w:val="70622BD5"/>
    <w:rsid w:val="706D0467"/>
    <w:rsid w:val="707819F8"/>
    <w:rsid w:val="708534A3"/>
    <w:rsid w:val="708E0C73"/>
    <w:rsid w:val="70933BCB"/>
    <w:rsid w:val="70990ACF"/>
    <w:rsid w:val="7099520C"/>
    <w:rsid w:val="709B394E"/>
    <w:rsid w:val="709F25CF"/>
    <w:rsid w:val="70A1275E"/>
    <w:rsid w:val="70A34522"/>
    <w:rsid w:val="70C01059"/>
    <w:rsid w:val="70C226F8"/>
    <w:rsid w:val="70C83A25"/>
    <w:rsid w:val="70DE78BA"/>
    <w:rsid w:val="70E10306"/>
    <w:rsid w:val="70E23F12"/>
    <w:rsid w:val="70E32D8B"/>
    <w:rsid w:val="70FD11F9"/>
    <w:rsid w:val="70FF2A07"/>
    <w:rsid w:val="70FF2FDB"/>
    <w:rsid w:val="71033318"/>
    <w:rsid w:val="710B2CFE"/>
    <w:rsid w:val="710E2FA4"/>
    <w:rsid w:val="711062AD"/>
    <w:rsid w:val="711774AF"/>
    <w:rsid w:val="71212007"/>
    <w:rsid w:val="712A0160"/>
    <w:rsid w:val="71375F2A"/>
    <w:rsid w:val="71404465"/>
    <w:rsid w:val="71497301"/>
    <w:rsid w:val="714A0278"/>
    <w:rsid w:val="716939CF"/>
    <w:rsid w:val="716D7196"/>
    <w:rsid w:val="716F2863"/>
    <w:rsid w:val="71701661"/>
    <w:rsid w:val="71761440"/>
    <w:rsid w:val="717958C4"/>
    <w:rsid w:val="71931FD0"/>
    <w:rsid w:val="71C064A1"/>
    <w:rsid w:val="71CA30E9"/>
    <w:rsid w:val="71DC09F7"/>
    <w:rsid w:val="71E6127B"/>
    <w:rsid w:val="71EF6666"/>
    <w:rsid w:val="71F45E57"/>
    <w:rsid w:val="71FF3071"/>
    <w:rsid w:val="7201698B"/>
    <w:rsid w:val="7204769D"/>
    <w:rsid w:val="720A4106"/>
    <w:rsid w:val="72326781"/>
    <w:rsid w:val="72372EB1"/>
    <w:rsid w:val="723A0E7D"/>
    <w:rsid w:val="72435339"/>
    <w:rsid w:val="72606394"/>
    <w:rsid w:val="726B6195"/>
    <w:rsid w:val="727077E0"/>
    <w:rsid w:val="727717A4"/>
    <w:rsid w:val="729618C9"/>
    <w:rsid w:val="729657C8"/>
    <w:rsid w:val="729B3B5E"/>
    <w:rsid w:val="72AD36A4"/>
    <w:rsid w:val="72AF3467"/>
    <w:rsid w:val="72B076B8"/>
    <w:rsid w:val="72B15531"/>
    <w:rsid w:val="72B565E6"/>
    <w:rsid w:val="72C16948"/>
    <w:rsid w:val="72CC67C2"/>
    <w:rsid w:val="72D34469"/>
    <w:rsid w:val="73054687"/>
    <w:rsid w:val="730A7C10"/>
    <w:rsid w:val="730B42F6"/>
    <w:rsid w:val="730E4111"/>
    <w:rsid w:val="73102417"/>
    <w:rsid w:val="73122641"/>
    <w:rsid w:val="73470AE2"/>
    <w:rsid w:val="7354453F"/>
    <w:rsid w:val="7354517A"/>
    <w:rsid w:val="73641673"/>
    <w:rsid w:val="736E6056"/>
    <w:rsid w:val="737020E9"/>
    <w:rsid w:val="73713D20"/>
    <w:rsid w:val="7374735A"/>
    <w:rsid w:val="73890F98"/>
    <w:rsid w:val="738B72F8"/>
    <w:rsid w:val="73912327"/>
    <w:rsid w:val="73931ABE"/>
    <w:rsid w:val="739A0DBE"/>
    <w:rsid w:val="73A070BE"/>
    <w:rsid w:val="73A07A5A"/>
    <w:rsid w:val="73A675CC"/>
    <w:rsid w:val="73A77E49"/>
    <w:rsid w:val="73AC0197"/>
    <w:rsid w:val="73BD4FF2"/>
    <w:rsid w:val="73C21171"/>
    <w:rsid w:val="73C879EA"/>
    <w:rsid w:val="73C93C0E"/>
    <w:rsid w:val="73CA7111"/>
    <w:rsid w:val="73DB6E57"/>
    <w:rsid w:val="73DD3E5E"/>
    <w:rsid w:val="73E00847"/>
    <w:rsid w:val="73FA298D"/>
    <w:rsid w:val="7401620A"/>
    <w:rsid w:val="740F74E3"/>
    <w:rsid w:val="74117556"/>
    <w:rsid w:val="74152187"/>
    <w:rsid w:val="74164064"/>
    <w:rsid w:val="742E08BD"/>
    <w:rsid w:val="7431269B"/>
    <w:rsid w:val="743852AB"/>
    <w:rsid w:val="744A6660"/>
    <w:rsid w:val="74584D3B"/>
    <w:rsid w:val="746B330F"/>
    <w:rsid w:val="74712FEA"/>
    <w:rsid w:val="74755BAF"/>
    <w:rsid w:val="74807B54"/>
    <w:rsid w:val="748B5DC2"/>
    <w:rsid w:val="748C7356"/>
    <w:rsid w:val="74A06BEC"/>
    <w:rsid w:val="74A70F64"/>
    <w:rsid w:val="74AE7F7A"/>
    <w:rsid w:val="74D0076D"/>
    <w:rsid w:val="74D0463D"/>
    <w:rsid w:val="74DE47CC"/>
    <w:rsid w:val="74E12DB8"/>
    <w:rsid w:val="74F262AF"/>
    <w:rsid w:val="74F71E1F"/>
    <w:rsid w:val="74F80749"/>
    <w:rsid w:val="74F85ECA"/>
    <w:rsid w:val="74FA1F5D"/>
    <w:rsid w:val="75022522"/>
    <w:rsid w:val="7512077A"/>
    <w:rsid w:val="75235615"/>
    <w:rsid w:val="7525164D"/>
    <w:rsid w:val="75275C40"/>
    <w:rsid w:val="753C5919"/>
    <w:rsid w:val="753D2C47"/>
    <w:rsid w:val="75417B03"/>
    <w:rsid w:val="75515578"/>
    <w:rsid w:val="75550C76"/>
    <w:rsid w:val="756329AA"/>
    <w:rsid w:val="756707C3"/>
    <w:rsid w:val="757F0B52"/>
    <w:rsid w:val="758A0336"/>
    <w:rsid w:val="758A493F"/>
    <w:rsid w:val="758E351A"/>
    <w:rsid w:val="758F5EB7"/>
    <w:rsid w:val="7591037F"/>
    <w:rsid w:val="75AA1471"/>
    <w:rsid w:val="75AB1BCA"/>
    <w:rsid w:val="75B045C5"/>
    <w:rsid w:val="75BC2A15"/>
    <w:rsid w:val="75C50020"/>
    <w:rsid w:val="75CA19B2"/>
    <w:rsid w:val="75CE5FB2"/>
    <w:rsid w:val="75DB34D7"/>
    <w:rsid w:val="75DC2ED0"/>
    <w:rsid w:val="75E92C42"/>
    <w:rsid w:val="75EC7C12"/>
    <w:rsid w:val="75F11528"/>
    <w:rsid w:val="76094035"/>
    <w:rsid w:val="760E078A"/>
    <w:rsid w:val="761832FF"/>
    <w:rsid w:val="76210641"/>
    <w:rsid w:val="76266F66"/>
    <w:rsid w:val="765C57E2"/>
    <w:rsid w:val="7663633A"/>
    <w:rsid w:val="76735057"/>
    <w:rsid w:val="76842AAA"/>
    <w:rsid w:val="768D3BBF"/>
    <w:rsid w:val="76955C13"/>
    <w:rsid w:val="769D0B7C"/>
    <w:rsid w:val="769D6CF0"/>
    <w:rsid w:val="769F50AF"/>
    <w:rsid w:val="76BA4E43"/>
    <w:rsid w:val="76C066D5"/>
    <w:rsid w:val="76C57950"/>
    <w:rsid w:val="76CA3BC3"/>
    <w:rsid w:val="76CC3BB6"/>
    <w:rsid w:val="76D01A79"/>
    <w:rsid w:val="76D25109"/>
    <w:rsid w:val="76D47017"/>
    <w:rsid w:val="76D64C65"/>
    <w:rsid w:val="76DE6A08"/>
    <w:rsid w:val="76E460C9"/>
    <w:rsid w:val="76E946BF"/>
    <w:rsid w:val="76F84DE6"/>
    <w:rsid w:val="77062347"/>
    <w:rsid w:val="77232076"/>
    <w:rsid w:val="77247C84"/>
    <w:rsid w:val="77255C62"/>
    <w:rsid w:val="773D3D6A"/>
    <w:rsid w:val="77432AB8"/>
    <w:rsid w:val="776A0F52"/>
    <w:rsid w:val="77722534"/>
    <w:rsid w:val="77776B5C"/>
    <w:rsid w:val="777F313D"/>
    <w:rsid w:val="777F52D6"/>
    <w:rsid w:val="7782630C"/>
    <w:rsid w:val="778F77C1"/>
    <w:rsid w:val="7790740E"/>
    <w:rsid w:val="779172EA"/>
    <w:rsid w:val="779231A0"/>
    <w:rsid w:val="77987FB0"/>
    <w:rsid w:val="779E5EF4"/>
    <w:rsid w:val="77AD6E7D"/>
    <w:rsid w:val="77BD6D8D"/>
    <w:rsid w:val="77CC4B81"/>
    <w:rsid w:val="77CC5841"/>
    <w:rsid w:val="77D461B3"/>
    <w:rsid w:val="77DE222E"/>
    <w:rsid w:val="77E42BF9"/>
    <w:rsid w:val="77E873E8"/>
    <w:rsid w:val="77F556FB"/>
    <w:rsid w:val="78007341"/>
    <w:rsid w:val="780B0E95"/>
    <w:rsid w:val="78162F90"/>
    <w:rsid w:val="78175683"/>
    <w:rsid w:val="78245A4E"/>
    <w:rsid w:val="782F25CC"/>
    <w:rsid w:val="7830090F"/>
    <w:rsid w:val="783259CA"/>
    <w:rsid w:val="78376848"/>
    <w:rsid w:val="783C797B"/>
    <w:rsid w:val="78513D52"/>
    <w:rsid w:val="78577D15"/>
    <w:rsid w:val="785875BC"/>
    <w:rsid w:val="786060AD"/>
    <w:rsid w:val="7874418A"/>
    <w:rsid w:val="7879509B"/>
    <w:rsid w:val="787D153B"/>
    <w:rsid w:val="78816E3D"/>
    <w:rsid w:val="78845899"/>
    <w:rsid w:val="788C65C7"/>
    <w:rsid w:val="7890393D"/>
    <w:rsid w:val="789A3238"/>
    <w:rsid w:val="78A33235"/>
    <w:rsid w:val="78C37746"/>
    <w:rsid w:val="78E14C66"/>
    <w:rsid w:val="78ED3686"/>
    <w:rsid w:val="78F00B47"/>
    <w:rsid w:val="78F40406"/>
    <w:rsid w:val="78FB1102"/>
    <w:rsid w:val="79037D54"/>
    <w:rsid w:val="790B034D"/>
    <w:rsid w:val="79101C86"/>
    <w:rsid w:val="791C0CA9"/>
    <w:rsid w:val="79307A97"/>
    <w:rsid w:val="79312BE4"/>
    <w:rsid w:val="793F4ADF"/>
    <w:rsid w:val="79432CB1"/>
    <w:rsid w:val="79444DEA"/>
    <w:rsid w:val="79517DCE"/>
    <w:rsid w:val="795330F1"/>
    <w:rsid w:val="795F2A9A"/>
    <w:rsid w:val="79753492"/>
    <w:rsid w:val="79784E9D"/>
    <w:rsid w:val="798C2B85"/>
    <w:rsid w:val="798E735B"/>
    <w:rsid w:val="7996641D"/>
    <w:rsid w:val="79A47583"/>
    <w:rsid w:val="79AB6971"/>
    <w:rsid w:val="79C066CF"/>
    <w:rsid w:val="79C54042"/>
    <w:rsid w:val="79D60680"/>
    <w:rsid w:val="79DC7D9E"/>
    <w:rsid w:val="79E15C6C"/>
    <w:rsid w:val="79E36A42"/>
    <w:rsid w:val="79E57777"/>
    <w:rsid w:val="79EF0388"/>
    <w:rsid w:val="7A061159"/>
    <w:rsid w:val="7A0B6886"/>
    <w:rsid w:val="7A1A0655"/>
    <w:rsid w:val="7A210713"/>
    <w:rsid w:val="7A225431"/>
    <w:rsid w:val="7A227CD3"/>
    <w:rsid w:val="7A2B18E9"/>
    <w:rsid w:val="7A3062A8"/>
    <w:rsid w:val="7A343D8B"/>
    <w:rsid w:val="7A345EB6"/>
    <w:rsid w:val="7A3E3E52"/>
    <w:rsid w:val="7A3F116D"/>
    <w:rsid w:val="7A4073B9"/>
    <w:rsid w:val="7A4467E5"/>
    <w:rsid w:val="7A451974"/>
    <w:rsid w:val="7A493C78"/>
    <w:rsid w:val="7A6366DB"/>
    <w:rsid w:val="7A6737A2"/>
    <w:rsid w:val="7A715CA4"/>
    <w:rsid w:val="7A731DF6"/>
    <w:rsid w:val="7A871EE4"/>
    <w:rsid w:val="7A901478"/>
    <w:rsid w:val="7A944AC5"/>
    <w:rsid w:val="7A9F46C4"/>
    <w:rsid w:val="7AA36837"/>
    <w:rsid w:val="7AA478A5"/>
    <w:rsid w:val="7AA66851"/>
    <w:rsid w:val="7AA66A36"/>
    <w:rsid w:val="7AA9225B"/>
    <w:rsid w:val="7AAE51D2"/>
    <w:rsid w:val="7AB114DA"/>
    <w:rsid w:val="7AE32CE6"/>
    <w:rsid w:val="7AE5360F"/>
    <w:rsid w:val="7AF026A3"/>
    <w:rsid w:val="7AF12566"/>
    <w:rsid w:val="7AFB5AFC"/>
    <w:rsid w:val="7B0321EC"/>
    <w:rsid w:val="7B080EA8"/>
    <w:rsid w:val="7B124301"/>
    <w:rsid w:val="7B1F17A6"/>
    <w:rsid w:val="7B291153"/>
    <w:rsid w:val="7B317CAD"/>
    <w:rsid w:val="7B333DF6"/>
    <w:rsid w:val="7B35635D"/>
    <w:rsid w:val="7B367A63"/>
    <w:rsid w:val="7B387F3E"/>
    <w:rsid w:val="7B3A1C4C"/>
    <w:rsid w:val="7B3D5FC9"/>
    <w:rsid w:val="7B441773"/>
    <w:rsid w:val="7B4C50EA"/>
    <w:rsid w:val="7B670CA5"/>
    <w:rsid w:val="7B6A6A86"/>
    <w:rsid w:val="7B6B42CE"/>
    <w:rsid w:val="7B6C4E63"/>
    <w:rsid w:val="7B7E53AB"/>
    <w:rsid w:val="7B857DD3"/>
    <w:rsid w:val="7B860A38"/>
    <w:rsid w:val="7B863D0D"/>
    <w:rsid w:val="7B8C13BA"/>
    <w:rsid w:val="7B8F62F6"/>
    <w:rsid w:val="7B962235"/>
    <w:rsid w:val="7B9A59FA"/>
    <w:rsid w:val="7B9A6571"/>
    <w:rsid w:val="7BA10384"/>
    <w:rsid w:val="7BA10EB5"/>
    <w:rsid w:val="7BA82B1E"/>
    <w:rsid w:val="7BAB2674"/>
    <w:rsid w:val="7BB002C1"/>
    <w:rsid w:val="7BB0329A"/>
    <w:rsid w:val="7BB06B44"/>
    <w:rsid w:val="7BB76B44"/>
    <w:rsid w:val="7BBA1A03"/>
    <w:rsid w:val="7BBA611E"/>
    <w:rsid w:val="7BBF149C"/>
    <w:rsid w:val="7BC2255D"/>
    <w:rsid w:val="7BC31DB4"/>
    <w:rsid w:val="7BCD5423"/>
    <w:rsid w:val="7BE840F2"/>
    <w:rsid w:val="7BF053DC"/>
    <w:rsid w:val="7BF61470"/>
    <w:rsid w:val="7C006E6E"/>
    <w:rsid w:val="7C01189C"/>
    <w:rsid w:val="7C184BDA"/>
    <w:rsid w:val="7C2F2340"/>
    <w:rsid w:val="7C3E0A10"/>
    <w:rsid w:val="7C424E03"/>
    <w:rsid w:val="7C4A5C4E"/>
    <w:rsid w:val="7C5D3E70"/>
    <w:rsid w:val="7C5F38B3"/>
    <w:rsid w:val="7C622333"/>
    <w:rsid w:val="7C6372F0"/>
    <w:rsid w:val="7C760A8C"/>
    <w:rsid w:val="7C83135F"/>
    <w:rsid w:val="7C862C36"/>
    <w:rsid w:val="7C9159A4"/>
    <w:rsid w:val="7C972C10"/>
    <w:rsid w:val="7C9852FC"/>
    <w:rsid w:val="7CA04DB9"/>
    <w:rsid w:val="7CA87A43"/>
    <w:rsid w:val="7CAA4538"/>
    <w:rsid w:val="7CAD68B4"/>
    <w:rsid w:val="7CBF6D6C"/>
    <w:rsid w:val="7CC5553F"/>
    <w:rsid w:val="7CD16E40"/>
    <w:rsid w:val="7CED1604"/>
    <w:rsid w:val="7CF473D5"/>
    <w:rsid w:val="7CF77C8A"/>
    <w:rsid w:val="7D017312"/>
    <w:rsid w:val="7D0D336D"/>
    <w:rsid w:val="7D140933"/>
    <w:rsid w:val="7D1F2A69"/>
    <w:rsid w:val="7D2C1020"/>
    <w:rsid w:val="7D2D2F6F"/>
    <w:rsid w:val="7D2E3E87"/>
    <w:rsid w:val="7D402548"/>
    <w:rsid w:val="7D5920C5"/>
    <w:rsid w:val="7D7872E5"/>
    <w:rsid w:val="7D813B85"/>
    <w:rsid w:val="7D8457A5"/>
    <w:rsid w:val="7D8A1051"/>
    <w:rsid w:val="7D910439"/>
    <w:rsid w:val="7D9A0B9D"/>
    <w:rsid w:val="7DA210DF"/>
    <w:rsid w:val="7DB37B29"/>
    <w:rsid w:val="7DB41594"/>
    <w:rsid w:val="7DBC53AD"/>
    <w:rsid w:val="7DCE4957"/>
    <w:rsid w:val="7DD3209F"/>
    <w:rsid w:val="7DDA54D4"/>
    <w:rsid w:val="7DDB2052"/>
    <w:rsid w:val="7DDD0145"/>
    <w:rsid w:val="7DE07A2F"/>
    <w:rsid w:val="7DE64804"/>
    <w:rsid w:val="7DE821C7"/>
    <w:rsid w:val="7DEC5843"/>
    <w:rsid w:val="7DEF1674"/>
    <w:rsid w:val="7DF52383"/>
    <w:rsid w:val="7E165051"/>
    <w:rsid w:val="7E1B3F69"/>
    <w:rsid w:val="7E2C1791"/>
    <w:rsid w:val="7E2D04FE"/>
    <w:rsid w:val="7E403940"/>
    <w:rsid w:val="7E42677E"/>
    <w:rsid w:val="7E4D69A4"/>
    <w:rsid w:val="7E4D7F8F"/>
    <w:rsid w:val="7E525557"/>
    <w:rsid w:val="7E614319"/>
    <w:rsid w:val="7E715A51"/>
    <w:rsid w:val="7E772B0A"/>
    <w:rsid w:val="7E80356B"/>
    <w:rsid w:val="7E927557"/>
    <w:rsid w:val="7EA96F6E"/>
    <w:rsid w:val="7EB10554"/>
    <w:rsid w:val="7EB406FB"/>
    <w:rsid w:val="7EC65344"/>
    <w:rsid w:val="7EDD7748"/>
    <w:rsid w:val="7EDE0099"/>
    <w:rsid w:val="7EE4560D"/>
    <w:rsid w:val="7EFC2A6D"/>
    <w:rsid w:val="7F102899"/>
    <w:rsid w:val="7F3C3B6A"/>
    <w:rsid w:val="7F490A9C"/>
    <w:rsid w:val="7F534619"/>
    <w:rsid w:val="7F5F221D"/>
    <w:rsid w:val="7F74622B"/>
    <w:rsid w:val="7F7A60BE"/>
    <w:rsid w:val="7F7C0ADE"/>
    <w:rsid w:val="7F891E13"/>
    <w:rsid w:val="7F9C7E01"/>
    <w:rsid w:val="7FA030AD"/>
    <w:rsid w:val="7FAF6CB1"/>
    <w:rsid w:val="7FB0335F"/>
    <w:rsid w:val="7FB6339D"/>
    <w:rsid w:val="7FB93CCB"/>
    <w:rsid w:val="7FC3732F"/>
    <w:rsid w:val="7FCC39AA"/>
    <w:rsid w:val="7FD44A0D"/>
    <w:rsid w:val="7FD8724E"/>
    <w:rsid w:val="7FDE15F6"/>
    <w:rsid w:val="7FE056D0"/>
    <w:rsid w:val="7FE67B8B"/>
    <w:rsid w:val="7FE80899"/>
    <w:rsid w:val="7FE90180"/>
    <w:rsid w:val="7FFB22C2"/>
    <w:rsid w:val="7FFD630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5"/>
    <w:qFormat/>
    <w:uiPriority w:val="0"/>
    <w:pPr>
      <w:keepNext/>
      <w:keepLines/>
      <w:spacing w:before="100" w:beforeLines="100" w:after="100" w:afterLines="100" w:line="240" w:lineRule="auto"/>
      <w:jc w:val="center"/>
      <w:outlineLvl w:val="0"/>
    </w:pPr>
    <w:rPr>
      <w:b/>
      <w:bCs/>
      <w:kern w:val="44"/>
      <w:sz w:val="44"/>
      <w:szCs w:val="44"/>
    </w:rPr>
  </w:style>
  <w:style w:type="paragraph" w:styleId="5">
    <w:name w:val="heading 2"/>
    <w:basedOn w:val="1"/>
    <w:next w:val="1"/>
    <w:qFormat/>
    <w:uiPriority w:val="0"/>
    <w:pPr>
      <w:keepNext/>
      <w:keepLines/>
      <w:spacing w:before="260" w:beforeLines="0" w:after="260" w:afterLines="0" w:line="413" w:lineRule="auto"/>
      <w:outlineLvl w:val="1"/>
    </w:pPr>
    <w:rPr>
      <w:rFonts w:ascii="Arial" w:hAnsi="Arial" w:eastAsia="黑体" w:cs="Arial"/>
      <w:b/>
      <w:bCs/>
      <w:sz w:val="32"/>
      <w:szCs w:val="32"/>
    </w:rPr>
  </w:style>
  <w:style w:type="paragraph" w:styleId="6">
    <w:name w:val="heading 3"/>
    <w:basedOn w:val="1"/>
    <w:next w:val="1"/>
    <w:qFormat/>
    <w:uiPriority w:val="0"/>
    <w:pPr>
      <w:keepNext/>
      <w:keepLines/>
      <w:spacing w:before="260" w:beforeLines="0" w:after="260" w:afterLines="0" w:line="413" w:lineRule="auto"/>
      <w:outlineLvl w:val="2"/>
    </w:pPr>
    <w:rPr>
      <w:rFonts w:eastAsia="楷体_GB2312"/>
      <w:b/>
      <w:bCs/>
      <w:sz w:val="30"/>
      <w:szCs w:val="30"/>
    </w:rPr>
  </w:style>
  <w:style w:type="paragraph" w:styleId="7">
    <w:name w:val="heading 4"/>
    <w:basedOn w:val="1"/>
    <w:next w:val="1"/>
    <w:qFormat/>
    <w:uiPriority w:val="0"/>
    <w:pPr>
      <w:widowControl/>
      <w:spacing w:before="100" w:beforeAutospacing="1" w:after="100" w:afterAutospacing="1"/>
      <w:jc w:val="left"/>
      <w:outlineLvl w:val="3"/>
    </w:pPr>
    <w:rPr>
      <w:rFonts w:ascii="宋体" w:hAnsi="宋体" w:cs="宋体"/>
      <w:b/>
      <w:bCs/>
      <w:kern w:val="0"/>
      <w:sz w:val="24"/>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3">
    <w:name w:val="Default Paragraph Font"/>
    <w:qFormat/>
    <w:uiPriority w:val="0"/>
  </w:style>
  <w:style w:type="table" w:default="1" w:styleId="3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qFormat/>
    <w:uiPriority w:val="0"/>
    <w:rPr>
      <w:sz w:val="24"/>
    </w:rPr>
  </w:style>
  <w:style w:type="paragraph" w:styleId="9">
    <w:name w:val="toc 7"/>
    <w:basedOn w:val="1"/>
    <w:next w:val="1"/>
    <w:qFormat/>
    <w:uiPriority w:val="0"/>
    <w:pPr>
      <w:ind w:left="2520" w:leftChars="1200"/>
    </w:pPr>
  </w:style>
  <w:style w:type="paragraph" w:styleId="10">
    <w:name w:val="Normal Indent"/>
    <w:basedOn w:val="1"/>
    <w:qFormat/>
    <w:uiPriority w:val="99"/>
    <w:pPr>
      <w:ind w:firstLine="420" w:firstLineChars="200"/>
    </w:pPr>
  </w:style>
  <w:style w:type="paragraph" w:styleId="11">
    <w:name w:val="Document Map"/>
    <w:basedOn w:val="1"/>
    <w:qFormat/>
    <w:uiPriority w:val="0"/>
    <w:pPr>
      <w:shd w:val="clear" w:color="auto" w:fill="000080"/>
    </w:pPr>
  </w:style>
  <w:style w:type="paragraph" w:styleId="12">
    <w:name w:val="annotation text"/>
    <w:basedOn w:val="1"/>
    <w:unhideWhenUsed/>
    <w:qFormat/>
    <w:uiPriority w:val="99"/>
    <w:pPr>
      <w:jc w:val="left"/>
    </w:pPr>
  </w:style>
  <w:style w:type="paragraph" w:styleId="13">
    <w:name w:val="Body Text Indent"/>
    <w:basedOn w:val="1"/>
    <w:qFormat/>
    <w:uiPriority w:val="0"/>
    <w:pPr>
      <w:spacing w:after="120" w:afterLines="0"/>
      <w:ind w:left="420" w:leftChars="200"/>
    </w:pPr>
  </w:style>
  <w:style w:type="paragraph" w:styleId="14">
    <w:name w:val="Block Text"/>
    <w:basedOn w:val="1"/>
    <w:qFormat/>
    <w:uiPriority w:val="0"/>
    <w:pPr>
      <w:ind w:left="420" w:leftChars="200" w:right="-70" w:rightChars="-70" w:firstLine="560" w:firstLineChars="200"/>
    </w:pPr>
    <w:rPr>
      <w:rFonts w:ascii="楷体_GB2312" w:eastAsia="楷体_GB2312"/>
      <w:sz w:val="28"/>
      <w:szCs w:val="20"/>
    </w:rPr>
  </w:style>
  <w:style w:type="paragraph" w:styleId="15">
    <w:name w:val="toc 5"/>
    <w:basedOn w:val="1"/>
    <w:next w:val="1"/>
    <w:qFormat/>
    <w:uiPriority w:val="0"/>
    <w:pPr>
      <w:ind w:left="1680" w:leftChars="800"/>
    </w:pPr>
  </w:style>
  <w:style w:type="paragraph" w:styleId="16">
    <w:name w:val="toc 3"/>
    <w:basedOn w:val="1"/>
    <w:next w:val="1"/>
    <w:qFormat/>
    <w:uiPriority w:val="39"/>
    <w:pPr>
      <w:ind w:left="840" w:leftChars="400"/>
    </w:pPr>
  </w:style>
  <w:style w:type="paragraph" w:styleId="17">
    <w:name w:val="Plain Text"/>
    <w:basedOn w:val="1"/>
    <w:link w:val="46"/>
    <w:qFormat/>
    <w:uiPriority w:val="0"/>
    <w:rPr>
      <w:rFonts w:ascii="宋体" w:eastAsia="Times New Roman"/>
      <w:szCs w:val="21"/>
    </w:rPr>
  </w:style>
  <w:style w:type="paragraph" w:styleId="18">
    <w:name w:val="toc 8"/>
    <w:basedOn w:val="1"/>
    <w:next w:val="1"/>
    <w:qFormat/>
    <w:uiPriority w:val="0"/>
    <w:pPr>
      <w:ind w:left="2940" w:leftChars="1400"/>
    </w:pPr>
  </w:style>
  <w:style w:type="paragraph" w:styleId="19">
    <w:name w:val="Date"/>
    <w:basedOn w:val="1"/>
    <w:next w:val="1"/>
    <w:link w:val="47"/>
    <w:qFormat/>
    <w:uiPriority w:val="0"/>
    <w:pPr>
      <w:ind w:left="100" w:leftChars="2500"/>
    </w:pPr>
  </w:style>
  <w:style w:type="paragraph" w:styleId="20">
    <w:name w:val="Body Text Indent 2"/>
    <w:basedOn w:val="1"/>
    <w:qFormat/>
    <w:uiPriority w:val="0"/>
    <w:pPr>
      <w:tabs>
        <w:tab w:val="left" w:pos="360"/>
      </w:tabs>
      <w:spacing w:line="360" w:lineRule="auto"/>
      <w:ind w:firstLine="480" w:firstLineChars="200"/>
    </w:pPr>
    <w:rPr>
      <w:sz w:val="24"/>
    </w:rPr>
  </w:style>
  <w:style w:type="paragraph" w:styleId="21">
    <w:name w:val="Balloon Text"/>
    <w:basedOn w:val="1"/>
    <w:qFormat/>
    <w:uiPriority w:val="0"/>
    <w:rPr>
      <w:sz w:val="18"/>
      <w:szCs w:val="18"/>
    </w:rPr>
  </w:style>
  <w:style w:type="paragraph" w:styleId="22">
    <w:name w:val="footer"/>
    <w:basedOn w:val="1"/>
    <w:link w:val="48"/>
    <w:qFormat/>
    <w:uiPriority w:val="99"/>
    <w:pPr>
      <w:tabs>
        <w:tab w:val="center" w:pos="4153"/>
        <w:tab w:val="right" w:pos="8306"/>
      </w:tabs>
      <w:snapToGrid w:val="0"/>
      <w:jc w:val="left"/>
    </w:pPr>
    <w:rPr>
      <w:sz w:val="18"/>
      <w:szCs w:val="18"/>
    </w:rPr>
  </w:style>
  <w:style w:type="paragraph" w:styleId="23">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style>
  <w:style w:type="paragraph" w:styleId="25">
    <w:name w:val="toc 4"/>
    <w:basedOn w:val="1"/>
    <w:next w:val="1"/>
    <w:qFormat/>
    <w:uiPriority w:val="0"/>
    <w:pPr>
      <w:ind w:left="1260" w:leftChars="600"/>
    </w:pPr>
  </w:style>
  <w:style w:type="paragraph" w:styleId="26">
    <w:name w:val="toc 6"/>
    <w:basedOn w:val="1"/>
    <w:next w:val="1"/>
    <w:qFormat/>
    <w:uiPriority w:val="0"/>
    <w:pPr>
      <w:ind w:left="2100" w:leftChars="1000"/>
    </w:pPr>
  </w:style>
  <w:style w:type="paragraph" w:styleId="27">
    <w:name w:val="toc 2"/>
    <w:basedOn w:val="1"/>
    <w:next w:val="1"/>
    <w:qFormat/>
    <w:uiPriority w:val="39"/>
    <w:pPr>
      <w:ind w:left="420" w:leftChars="200"/>
    </w:pPr>
  </w:style>
  <w:style w:type="paragraph" w:styleId="28">
    <w:name w:val="toc 9"/>
    <w:basedOn w:val="1"/>
    <w:next w:val="1"/>
    <w:qFormat/>
    <w:uiPriority w:val="0"/>
    <w:pPr>
      <w:ind w:left="3360" w:leftChars="1600"/>
    </w:pPr>
  </w:style>
  <w:style w:type="paragraph" w:styleId="29">
    <w:name w:val="Normal (Web)"/>
    <w:basedOn w:val="1"/>
    <w:qFormat/>
    <w:uiPriority w:val="99"/>
    <w:pPr>
      <w:widowControl/>
      <w:spacing w:before="100" w:beforeLines="0" w:beforeAutospacing="1" w:after="100" w:afterLines="0" w:afterAutospacing="1"/>
      <w:jc w:val="left"/>
    </w:pPr>
    <w:rPr>
      <w:rFonts w:ascii="宋体" w:hAnsi="宋体"/>
      <w:sz w:val="24"/>
    </w:rPr>
  </w:style>
  <w:style w:type="paragraph" w:styleId="30">
    <w:name w:val="Title"/>
    <w:basedOn w:val="1"/>
    <w:next w:val="1"/>
    <w:qFormat/>
    <w:uiPriority w:val="0"/>
    <w:pPr>
      <w:spacing w:before="120" w:beforeLines="0" w:beforeAutospacing="0" w:after="120" w:afterLines="0" w:afterAutospacing="0"/>
      <w:jc w:val="center"/>
    </w:pPr>
    <w:rPr>
      <w:rFonts w:eastAsia="黑体"/>
      <w:b/>
      <w:sz w:val="32"/>
    </w:rPr>
  </w:style>
  <w:style w:type="table" w:styleId="32">
    <w:name w:val="Table Grid"/>
    <w:basedOn w:val="31"/>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FollowedHyperlink"/>
    <w:qFormat/>
    <w:uiPriority w:val="0"/>
    <w:rPr>
      <w:color w:val="338DE6"/>
      <w:u w:val="none"/>
    </w:rPr>
  </w:style>
  <w:style w:type="character" w:styleId="37">
    <w:name w:val="Emphasis"/>
    <w:qFormat/>
    <w:uiPriority w:val="0"/>
  </w:style>
  <w:style w:type="character" w:styleId="38">
    <w:name w:val="HTML Definition"/>
    <w:qFormat/>
    <w:uiPriority w:val="0"/>
  </w:style>
  <w:style w:type="character" w:styleId="39">
    <w:name w:val="HTML Variable"/>
    <w:qFormat/>
    <w:uiPriority w:val="0"/>
  </w:style>
  <w:style w:type="character" w:styleId="40">
    <w:name w:val="Hyperlink"/>
    <w:qFormat/>
    <w:uiPriority w:val="99"/>
    <w:rPr>
      <w:color w:val="338DE6"/>
      <w:u w:val="none"/>
    </w:rPr>
  </w:style>
  <w:style w:type="character" w:styleId="41">
    <w:name w:val="HTML Code"/>
    <w:qFormat/>
    <w:uiPriority w:val="0"/>
    <w:rPr>
      <w:rFonts w:ascii="serif" w:hAnsi="serif" w:eastAsia="serif" w:cs="serif"/>
      <w:sz w:val="21"/>
      <w:szCs w:val="21"/>
    </w:rPr>
  </w:style>
  <w:style w:type="character" w:styleId="42">
    <w:name w:val="HTML Cite"/>
    <w:qFormat/>
    <w:uiPriority w:val="0"/>
  </w:style>
  <w:style w:type="character" w:styleId="43">
    <w:name w:val="HTML Keyboard"/>
    <w:qFormat/>
    <w:uiPriority w:val="0"/>
    <w:rPr>
      <w:rFonts w:hint="default" w:ascii="serif" w:hAnsi="serif" w:eastAsia="serif" w:cs="serif"/>
      <w:sz w:val="21"/>
      <w:szCs w:val="21"/>
    </w:rPr>
  </w:style>
  <w:style w:type="character" w:styleId="44">
    <w:name w:val="HTML Sample"/>
    <w:qFormat/>
    <w:uiPriority w:val="0"/>
    <w:rPr>
      <w:rFonts w:hint="default" w:ascii="serif" w:hAnsi="serif" w:eastAsia="serif" w:cs="serif"/>
      <w:sz w:val="21"/>
      <w:szCs w:val="21"/>
    </w:rPr>
  </w:style>
  <w:style w:type="character" w:customStyle="1" w:styleId="45">
    <w:name w:val="标题 1 字符"/>
    <w:link w:val="4"/>
    <w:qFormat/>
    <w:uiPriority w:val="0"/>
    <w:rPr>
      <w:rFonts w:ascii="Times New Roman" w:hAnsi="Times New Roman" w:eastAsia="宋体"/>
      <w:b/>
      <w:bCs/>
      <w:kern w:val="44"/>
      <w:sz w:val="44"/>
      <w:szCs w:val="44"/>
    </w:rPr>
  </w:style>
  <w:style w:type="character" w:customStyle="1" w:styleId="46">
    <w:name w:val="纯文本 字符"/>
    <w:link w:val="17"/>
    <w:qFormat/>
    <w:uiPriority w:val="0"/>
    <w:rPr>
      <w:rFonts w:ascii="宋体"/>
      <w:kern w:val="2"/>
      <w:sz w:val="21"/>
      <w:szCs w:val="21"/>
      <w:lang w:bidi="ar-SA"/>
    </w:rPr>
  </w:style>
  <w:style w:type="character" w:customStyle="1" w:styleId="47">
    <w:name w:val="日期 字符"/>
    <w:link w:val="19"/>
    <w:qFormat/>
    <w:uiPriority w:val="0"/>
    <w:rPr>
      <w:rFonts w:eastAsia="宋体"/>
      <w:kern w:val="2"/>
      <w:sz w:val="21"/>
      <w:szCs w:val="24"/>
      <w:lang w:val="en-US" w:eastAsia="zh-CN" w:bidi="ar-SA"/>
    </w:rPr>
  </w:style>
  <w:style w:type="character" w:customStyle="1" w:styleId="48">
    <w:name w:val="页脚 字符"/>
    <w:link w:val="22"/>
    <w:qFormat/>
    <w:uiPriority w:val="99"/>
    <w:rPr>
      <w:kern w:val="2"/>
      <w:sz w:val="18"/>
      <w:szCs w:val="18"/>
    </w:rPr>
  </w:style>
  <w:style w:type="character" w:customStyle="1" w:styleId="49">
    <w:name w:val="页眉 字符"/>
    <w:link w:val="23"/>
    <w:qFormat/>
    <w:uiPriority w:val="0"/>
    <w:rPr>
      <w:kern w:val="2"/>
      <w:sz w:val="18"/>
      <w:szCs w:val="18"/>
    </w:rPr>
  </w:style>
  <w:style w:type="character" w:customStyle="1" w:styleId="50">
    <w:name w:val="displayarti"/>
    <w:qFormat/>
    <w:uiPriority w:val="0"/>
    <w:rPr>
      <w:color w:val="FFFFFF"/>
      <w:shd w:val="clear" w:color="auto" w:fill="A00000"/>
    </w:rPr>
  </w:style>
  <w:style w:type="character" w:customStyle="1" w:styleId="51">
    <w:name w:val="fontstrikethrough"/>
    <w:qFormat/>
    <w:uiPriority w:val="0"/>
    <w:rPr>
      <w:strike/>
    </w:rPr>
  </w:style>
  <w:style w:type="character" w:customStyle="1" w:styleId="52">
    <w:name w:val="gpa"/>
    <w:qFormat/>
    <w:uiPriority w:val="0"/>
    <w:rPr>
      <w:rFonts w:ascii="Arial" w:hAnsi="Arial" w:cs="Arial"/>
      <w:sz w:val="15"/>
      <w:szCs w:val="15"/>
    </w:rPr>
  </w:style>
  <w:style w:type="character" w:customStyle="1" w:styleId="53">
    <w:name w:val="fontborder"/>
    <w:qFormat/>
    <w:uiPriority w:val="0"/>
    <w:rPr>
      <w:bdr w:val="single" w:color="000000" w:sz="6" w:space="0"/>
    </w:rPr>
  </w:style>
  <w:style w:type="character" w:customStyle="1" w:styleId="54">
    <w:name w:val="apple-converted-space"/>
    <w:basedOn w:val="33"/>
    <w:qFormat/>
    <w:uiPriority w:val="0"/>
  </w:style>
  <w:style w:type="character" w:customStyle="1" w:styleId="55">
    <w:name w:val="paramname3"/>
    <w:qFormat/>
    <w:uiPriority w:val="0"/>
    <w:rPr>
      <w:color w:val="999999"/>
    </w:rPr>
  </w:style>
  <w:style w:type="character" w:customStyle="1" w:styleId="56">
    <w:name w:val="font61"/>
    <w:qFormat/>
    <w:uiPriority w:val="0"/>
    <w:rPr>
      <w:rFonts w:hint="eastAsia" w:ascii="宋体" w:hAnsi="宋体" w:eastAsia="宋体" w:cs="宋体"/>
      <w:color w:val="000000"/>
      <w:sz w:val="20"/>
      <w:szCs w:val="20"/>
      <w:u w:val="none"/>
    </w:rPr>
  </w:style>
  <w:style w:type="character" w:customStyle="1" w:styleId="57">
    <w:name w:val="font21"/>
    <w:qFormat/>
    <w:uiPriority w:val="0"/>
    <w:rPr>
      <w:rFonts w:hint="eastAsia" w:ascii="宋体" w:hAnsi="宋体" w:eastAsia="宋体" w:cs="宋体"/>
      <w:color w:val="000000"/>
      <w:sz w:val="24"/>
      <w:szCs w:val="24"/>
      <w:u w:val="none"/>
    </w:rPr>
  </w:style>
  <w:style w:type="character" w:customStyle="1" w:styleId="58">
    <w:name w:val="selected"/>
    <w:qFormat/>
    <w:uiPriority w:val="0"/>
    <w:rPr>
      <w:shd w:val="clear" w:color="auto" w:fill="B00006"/>
    </w:rPr>
  </w:style>
  <w:style w:type="paragraph" w:customStyle="1" w:styleId="59">
    <w:name w:val="批注框文本 Char Char Char Char"/>
    <w:basedOn w:val="1"/>
    <w:qFormat/>
    <w:uiPriority w:val="0"/>
    <w:pPr>
      <w:adjustRightInd w:val="0"/>
      <w:spacing w:line="312" w:lineRule="atLeast"/>
      <w:textAlignment w:val="baseline"/>
    </w:pPr>
    <w:rPr>
      <w:kern w:val="0"/>
      <w:sz w:val="18"/>
      <w:szCs w:val="18"/>
    </w:rPr>
  </w:style>
  <w:style w:type="paragraph" w:customStyle="1" w:styleId="60">
    <w:name w:val=" Char1 Char Char Char1"/>
    <w:basedOn w:val="1"/>
    <w:qFormat/>
    <w:uiPriority w:val="0"/>
    <w:pPr>
      <w:widowControl/>
      <w:spacing w:after="160" w:afterLines="0" w:line="240" w:lineRule="exact"/>
      <w:jc w:val="left"/>
    </w:pPr>
    <w:rPr>
      <w:rFonts w:ascii="Verdana" w:hAnsi="Verdana" w:eastAsia="仿宋_GB2312"/>
      <w:kern w:val="0"/>
      <w:sz w:val="28"/>
      <w:szCs w:val="20"/>
      <w:lang w:eastAsia="en-US"/>
    </w:rPr>
  </w:style>
  <w:style w:type="paragraph" w:customStyle="1" w:styleId="61">
    <w:name w:val="列出段落1"/>
    <w:basedOn w:val="1"/>
    <w:qFormat/>
    <w:uiPriority w:val="99"/>
    <w:pPr>
      <w:ind w:firstLine="420" w:firstLineChars="200"/>
    </w:pPr>
    <w:rPr>
      <w:szCs w:val="20"/>
    </w:rPr>
  </w:style>
  <w:style w:type="paragraph" w:customStyle="1" w:styleId="62">
    <w:name w:val="title1"/>
    <w:basedOn w:val="1"/>
    <w:qFormat/>
    <w:uiPriority w:val="0"/>
    <w:pPr>
      <w:widowControl/>
      <w:spacing w:before="100" w:beforeAutospacing="1" w:after="100" w:afterAutospacing="1"/>
      <w:jc w:val="left"/>
    </w:pPr>
    <w:rPr>
      <w:rFonts w:ascii="宋体" w:hAnsi="宋体" w:cs="宋体"/>
      <w:kern w:val="0"/>
      <w:sz w:val="24"/>
    </w:rPr>
  </w:style>
  <w:style w:type="paragraph" w:customStyle="1" w:styleId="63">
    <w:name w:val="p0"/>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64">
    <w:name w:val="样式 首行缩进:  2 字符"/>
    <w:basedOn w:val="1"/>
    <w:qFormat/>
    <w:uiPriority w:val="0"/>
    <w:pPr>
      <w:spacing w:line="400" w:lineRule="exact"/>
      <w:ind w:firstLine="200" w:firstLineChars="200"/>
    </w:pPr>
    <w:rPr>
      <w:rFonts w:cs="宋体"/>
      <w:sz w:val="24"/>
    </w:rPr>
  </w:style>
  <w:style w:type="paragraph" w:customStyle="1" w:styleId="65">
    <w:name w:val="正文1"/>
    <w:basedOn w:val="1"/>
    <w:qFormat/>
    <w:uiPriority w:val="0"/>
    <w:pPr>
      <w:spacing w:beforeLines="50" w:afterLines="50" w:line="360" w:lineRule="auto"/>
      <w:ind w:firstLine="200" w:firstLineChars="200"/>
    </w:pPr>
    <w:rPr>
      <w:rFonts w:ascii="Calibri" w:hAnsi="Calibri" w:eastAsia="宋体" w:cs="Times New Roman"/>
    </w:rPr>
  </w:style>
  <w:style w:type="paragraph" w:customStyle="1" w:styleId="66">
    <w:name w:val="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67">
    <w:name w:val="xl54"/>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Arial" w:hAnsi="Arial" w:eastAsia="Arial Unicode MS" w:cs="Arial"/>
      <w:b/>
      <w:bCs/>
      <w:kern w:val="0"/>
      <w:sz w:val="20"/>
      <w:szCs w:val="20"/>
    </w:rPr>
  </w:style>
  <w:style w:type="paragraph" w:customStyle="1" w:styleId="68">
    <w:name w:val="Char Char Char"/>
    <w:basedOn w:val="1"/>
    <w:qFormat/>
    <w:uiPriority w:val="0"/>
    <w:rPr>
      <w:rFonts w:ascii="Copperplate Gothic Bold" w:hAnsi="Copperplate Gothic Bold"/>
      <w:kern w:val="0"/>
      <w:sz w:val="28"/>
      <w:szCs w:val="28"/>
    </w:rPr>
  </w:style>
  <w:style w:type="paragraph" w:customStyle="1" w:styleId="69">
    <w:name w:val="四号"/>
    <w:basedOn w:val="1"/>
    <w:next w:val="10"/>
    <w:qFormat/>
    <w:uiPriority w:val="0"/>
    <w:pPr>
      <w:spacing w:line="360" w:lineRule="auto"/>
      <w:ind w:left="1134"/>
    </w:pPr>
    <w:rPr>
      <w:sz w:val="24"/>
    </w:rPr>
  </w:style>
  <w:style w:type="paragraph" w:styleId="70">
    <w:name w:val="List Paragraph"/>
    <w:basedOn w:val="1"/>
    <w:qFormat/>
    <w:uiPriority w:val="0"/>
    <w:pPr>
      <w:ind w:firstLine="420" w:firstLineChars="200"/>
    </w:pPr>
    <w:rPr>
      <w:rFonts w:eastAsia="黑体"/>
      <w:sz w:val="24"/>
    </w:rPr>
  </w:style>
  <w:style w:type="paragraph" w:customStyle="1" w:styleId="71">
    <w:name w:val="WPSOffice手动目录 1"/>
    <w:qFormat/>
    <w:uiPriority w:val="0"/>
    <w:rPr>
      <w:rFonts w:ascii="Times New Roman" w:hAnsi="Times New Roman" w:eastAsia="宋体" w:cs="Times New Roman"/>
      <w:lang w:val="en-US" w:eastAsia="zh-CN" w:bidi="ar-SA"/>
    </w:rPr>
  </w:style>
  <w:style w:type="paragraph" w:customStyle="1" w:styleId="72">
    <w:name w:val="表格文字"/>
    <w:basedOn w:val="1"/>
    <w:qFormat/>
    <w:uiPriority w:val="0"/>
    <w:rPr>
      <w:rFonts w:ascii="Times New Roman" w:hAnsi="Times New Roman" w:eastAsia="宋体" w:cs="Times New Roman"/>
      <w:szCs w:val="24"/>
    </w:rPr>
  </w:style>
  <w:style w:type="paragraph" w:customStyle="1" w:styleId="73">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74">
    <w:name w:val="font14"/>
    <w:basedOn w:val="1"/>
    <w:qFormat/>
    <w:uiPriority w:val="0"/>
    <w:pPr>
      <w:widowControl/>
      <w:spacing w:before="100" w:beforeLines="0" w:beforeAutospacing="1" w:after="100" w:afterLines="0" w:afterAutospacing="1" w:line="288" w:lineRule="auto"/>
      <w:jc w:val="left"/>
    </w:pPr>
    <w:rPr>
      <w:rFonts w:ascii="ˎ̥" w:hAnsi="ˎ̥" w:cs="宋体"/>
      <w:color w:val="000000"/>
      <w:kern w:val="0"/>
      <w:sz w:val="22"/>
      <w:szCs w:val="22"/>
    </w:rPr>
  </w:style>
  <w:style w:type="paragraph" w:customStyle="1" w:styleId="75">
    <w:name w:val=" Char Char Char Char Char Char Char"/>
    <w:basedOn w:val="11"/>
    <w:qFormat/>
    <w:uiPriority w:val="0"/>
    <w:rPr>
      <w:rFonts w:ascii="Tahoma" w:hAnsi="Tahoma"/>
      <w:sz w:val="24"/>
    </w:rPr>
  </w:style>
  <w:style w:type="paragraph" w:customStyle="1" w:styleId="76">
    <w:name w:val="Normal Indent"/>
    <w:basedOn w:val="1"/>
    <w:qFormat/>
    <w:uiPriority w:val="0"/>
    <w:pPr>
      <w:spacing w:line="300" w:lineRule="auto"/>
      <w:ind w:firstLine="420" w:firstLineChars="200"/>
    </w:pPr>
    <w:rPr>
      <w:rFonts w:ascii="Times New Roman"/>
      <w:kern w:val="2"/>
      <w:sz w:val="21"/>
      <w:szCs w:val="24"/>
    </w:rPr>
  </w:style>
  <w:style w:type="paragraph" w:customStyle="1" w:styleId="77">
    <w:name w:val="Char"/>
    <w:basedOn w:val="1"/>
    <w:qFormat/>
    <w:uiPriority w:val="0"/>
    <w:rPr>
      <w:rFonts w:ascii="Tahoma" w:hAnsi="Tahoma"/>
      <w:sz w:val="24"/>
      <w:szCs w:val="20"/>
    </w:rPr>
  </w:style>
  <w:style w:type="paragraph" w:customStyle="1" w:styleId="78">
    <w:name w:val="Char1"/>
    <w:basedOn w:val="1"/>
    <w:qFormat/>
    <w:uiPriority w:val="0"/>
    <w:rPr>
      <w:rFonts w:ascii="仿宋_GB2312" w:eastAsia="仿宋_GB2312"/>
      <w:b/>
      <w:sz w:val="32"/>
      <w:szCs w:val="32"/>
    </w:rPr>
  </w:style>
  <w:style w:type="paragraph" w:customStyle="1" w:styleId="79">
    <w:name w:val="1 Char Char Char Char"/>
    <w:basedOn w:val="1"/>
    <w:qFormat/>
    <w:uiPriority w:val="0"/>
    <w:pPr>
      <w:spacing w:line="360" w:lineRule="auto"/>
      <w:jc w:val="center"/>
    </w:pPr>
    <w:rPr>
      <w:rFonts w:ascii="Tahoma" w:hAnsi="Tahoma"/>
      <w:sz w:val="24"/>
      <w:szCs w:val="20"/>
    </w:rPr>
  </w:style>
  <w:style w:type="paragraph" w:customStyle="1" w:styleId="80">
    <w:name w:val=" Char1"/>
    <w:basedOn w:val="1"/>
    <w:qFormat/>
    <w:uiPriority w:val="0"/>
    <w:pPr>
      <w:tabs>
        <w:tab w:val="left" w:pos="360"/>
      </w:tabs>
    </w:pPr>
  </w:style>
  <w:style w:type="paragraph" w:customStyle="1" w:styleId="81">
    <w:name w:val="List Paragraph1"/>
    <w:basedOn w:val="1"/>
    <w:qFormat/>
    <w:uiPriority w:val="34"/>
    <w:pPr>
      <w:ind w:firstLine="420" w:firstLineChars="200"/>
    </w:pPr>
  </w:style>
  <w:style w:type="paragraph" w:customStyle="1" w:styleId="82">
    <w:name w:val="_Style 80"/>
    <w:basedOn w:val="4"/>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83">
    <w:name w:val="样式2"/>
    <w:basedOn w:val="1"/>
    <w:qFormat/>
    <w:uiPriority w:val="0"/>
    <w:pPr>
      <w:tabs>
        <w:tab w:val="left" w:pos="425"/>
      </w:tabs>
      <w:ind w:left="425" w:hanging="425"/>
    </w:pPr>
    <w:rPr>
      <w:szCs w:val="20"/>
    </w:rPr>
  </w:style>
  <w:style w:type="paragraph" w:customStyle="1" w:styleId="84">
    <w:name w:val="无间隔1"/>
    <w:qFormat/>
    <w:uiPriority w:val="1"/>
    <w:pPr>
      <w:widowControl w:val="0"/>
      <w:suppressAutoHyphens/>
      <w:ind w:left="85" w:right="85"/>
    </w:pPr>
    <w:rPr>
      <w:rFonts w:ascii="Times New Roman" w:hAnsi="Times New Roman" w:eastAsia="仿宋_GB2312" w:cs="Times New Roman"/>
      <w:sz w:val="24"/>
      <w:szCs w:val="24"/>
      <w:lang w:val="en-US" w:eastAsia="zh-CN" w:bidi="ar-SA"/>
    </w:rPr>
  </w:style>
  <w:style w:type="paragraph" w:customStyle="1" w:styleId="85">
    <w:name w:val="p15"/>
    <w:basedOn w:val="1"/>
    <w:qFormat/>
    <w:uiPriority w:val="0"/>
    <w:pPr>
      <w:widowControl/>
      <w:spacing w:line="460" w:lineRule="atLeast"/>
      <w:ind w:firstLine="420"/>
    </w:pPr>
    <w:rPr>
      <w:rFonts w:ascii="宋体" w:hAnsi="宋体" w:cs="宋体"/>
      <w:kern w:val="0"/>
      <w:sz w:val="28"/>
      <w:szCs w:val="28"/>
    </w:rPr>
  </w:style>
  <w:style w:type="paragraph" w:customStyle="1" w:styleId="86">
    <w:name w:val="表头"/>
    <w:basedOn w:val="1"/>
    <w:next w:val="1"/>
    <w:qFormat/>
    <w:uiPriority w:val="0"/>
    <w:pPr>
      <w:spacing w:line="360" w:lineRule="auto"/>
      <w:jc w:val="center"/>
    </w:pPr>
    <w:rPr>
      <w:rFonts w:ascii="Calibri" w:hAnsi="Calibri" w:eastAsia="宋体" w:cs="Times New Roman"/>
      <w:b/>
    </w:rPr>
  </w:style>
  <w:style w:type="character" w:customStyle="1" w:styleId="87">
    <w:name w:val="font01"/>
    <w:basedOn w:val="33"/>
    <w:qFormat/>
    <w:uiPriority w:val="0"/>
    <w:rPr>
      <w:rFonts w:hint="default" w:ascii="Times New Roman" w:hAnsi="Times New Roman" w:cs="Times New Roman"/>
      <w:color w:val="000000"/>
      <w:sz w:val="24"/>
      <w:szCs w:val="24"/>
      <w:u w:val="none"/>
    </w:rPr>
  </w:style>
  <w:style w:type="character" w:customStyle="1" w:styleId="88">
    <w:name w:val="font41"/>
    <w:basedOn w:val="33"/>
    <w:qFormat/>
    <w:uiPriority w:val="0"/>
    <w:rPr>
      <w:rFonts w:hint="eastAsia" w:ascii="宋体" w:hAnsi="宋体" w:eastAsia="宋体" w:cs="宋体"/>
      <w:color w:val="000000"/>
      <w:sz w:val="24"/>
      <w:szCs w:val="24"/>
      <w:u w:val="none"/>
    </w:rPr>
  </w:style>
  <w:style w:type="character" w:customStyle="1" w:styleId="89">
    <w:name w:val="hover"/>
    <w:basedOn w:val="33"/>
    <w:qFormat/>
    <w:uiPriority w:val="0"/>
    <w:rPr>
      <w:shd w:val="clear" w:color="auto" w:fill="EEEEEE"/>
    </w:rPr>
  </w:style>
  <w:style w:type="character" w:customStyle="1" w:styleId="90">
    <w:name w:val="indent"/>
    <w:basedOn w:val="33"/>
    <w:qFormat/>
    <w:uiPriority w:val="0"/>
  </w:style>
  <w:style w:type="character" w:customStyle="1" w:styleId="91">
    <w:name w:val="glyphicon4"/>
    <w:basedOn w:val="33"/>
    <w:qFormat/>
    <w:uiPriority w:val="0"/>
  </w:style>
  <w:style w:type="character" w:customStyle="1" w:styleId="92">
    <w:name w:val="tmpztreemove_arrow"/>
    <w:basedOn w:val="33"/>
    <w:qFormat/>
    <w:uiPriority w:val="0"/>
    <w:rPr>
      <w:shd w:val="clear" w:color="auto" w:fill="FFFFFF"/>
    </w:rPr>
  </w:style>
  <w:style w:type="character" w:customStyle="1" w:styleId="93">
    <w:name w:val="button"/>
    <w:basedOn w:val="33"/>
    <w:qFormat/>
    <w:uiPriority w:val="0"/>
  </w:style>
  <w:style w:type="character" w:customStyle="1" w:styleId="94">
    <w:name w:val="old"/>
    <w:basedOn w:val="33"/>
    <w:qFormat/>
    <w:uiPriority w:val="0"/>
    <w:rPr>
      <w:color w:val="999999"/>
    </w:rPr>
  </w:style>
  <w:style w:type="character" w:customStyle="1" w:styleId="95">
    <w:name w:val="hour_am"/>
    <w:basedOn w:val="33"/>
    <w:qFormat/>
    <w:uiPriority w:val="0"/>
  </w:style>
  <w:style w:type="character" w:customStyle="1" w:styleId="96">
    <w:name w:val="hour_pm"/>
    <w:basedOn w:val="33"/>
    <w:qFormat/>
    <w:uiPriority w:val="0"/>
  </w:style>
  <w:style w:type="paragraph" w:customStyle="1" w:styleId="97">
    <w:name w:val="样式 10 磅"/>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71</Pages>
  <Words>27701</Words>
  <Characters>29300</Characters>
  <Lines>215</Lines>
  <Paragraphs>60</Paragraphs>
  <TotalTime>52</TotalTime>
  <ScaleCrop>false</ScaleCrop>
  <LinksUpToDate>false</LinksUpToDate>
  <CharactersWithSpaces>33533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2021-03-03T02:37:00Z</dcterms:created>
  <dc:creator>YlmF</dc:creator>
  <cp:lastModifiedBy>Administrator</cp:lastModifiedBy>
  <cp:lastPrinted>2020-06-17T06:10:00Z</cp:lastPrinted>
  <dcterms:modified xsi:type="dcterms:W3CDTF">2022-06-27T06:55:20Z</dcterms:modified>
  <dc:title>目     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A7F511A75670440CB337D710AF780C58</vt:lpwstr>
  </property>
</Properties>
</file>