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rPr>
          <w:rFonts w:hint="eastAsia" w:ascii="宋体" w:hAnsi="宋体"/>
          <w:b/>
          <w:color w:val="auto"/>
          <w:sz w:val="32"/>
          <w:szCs w:val="32"/>
        </w:rPr>
      </w:pPr>
      <w:r>
        <w:rPr>
          <w:rFonts w:hint="eastAsia" w:ascii="宋体" w:hAnsi="宋体" w:cs="Arial"/>
          <w:b/>
          <w:color w:val="auto"/>
          <w:kern w:val="0"/>
          <w:sz w:val="32"/>
          <w:szCs w:val="32"/>
        </w:rPr>
        <w:t>项目编号</w:t>
      </w:r>
      <w:r>
        <w:rPr>
          <w:rFonts w:ascii="宋体" w:hAnsi="宋体" w:cs="Arial"/>
          <w:b/>
          <w:color w:val="auto"/>
          <w:kern w:val="0"/>
          <w:sz w:val="32"/>
          <w:szCs w:val="32"/>
        </w:rPr>
        <w:t>：</w:t>
      </w:r>
      <w:r>
        <w:rPr>
          <w:rFonts w:hint="eastAsia" w:ascii="宋体" w:hAnsi="宋体" w:cs="Arial"/>
          <w:b/>
          <w:color w:val="auto"/>
          <w:kern w:val="0"/>
          <w:sz w:val="32"/>
          <w:szCs w:val="32"/>
          <w:highlight w:val="none"/>
        </w:rPr>
        <w:t>HCCG-202</w:t>
      </w:r>
      <w:r>
        <w:rPr>
          <w:rFonts w:hint="eastAsia" w:ascii="宋体" w:hAnsi="宋体" w:cs="Arial"/>
          <w:b/>
          <w:color w:val="auto"/>
          <w:kern w:val="0"/>
          <w:sz w:val="32"/>
          <w:szCs w:val="32"/>
          <w:highlight w:val="none"/>
          <w:lang w:val="en-US" w:eastAsia="zh-CN"/>
        </w:rPr>
        <w:t>2</w:t>
      </w:r>
      <w:r>
        <w:rPr>
          <w:rFonts w:hint="eastAsia" w:ascii="宋体" w:hAnsi="宋体" w:cs="Arial"/>
          <w:b/>
          <w:color w:val="auto"/>
          <w:kern w:val="0"/>
          <w:sz w:val="32"/>
          <w:szCs w:val="32"/>
          <w:highlight w:val="none"/>
        </w:rPr>
        <w:t>-</w:t>
      </w:r>
      <w:r>
        <w:rPr>
          <w:rFonts w:hint="eastAsia" w:ascii="宋体" w:hAnsi="宋体" w:cs="Arial"/>
          <w:b/>
          <w:color w:val="auto"/>
          <w:kern w:val="0"/>
          <w:sz w:val="32"/>
          <w:szCs w:val="32"/>
          <w:highlight w:val="none"/>
          <w:lang w:val="en-US" w:eastAsia="zh-CN"/>
        </w:rPr>
        <w:t>121</w:t>
      </w:r>
      <w:r>
        <w:rPr>
          <w:rFonts w:hint="eastAsia" w:ascii="宋体" w:hAnsi="宋体" w:cs="Arial"/>
          <w:b/>
          <w:color w:val="auto"/>
          <w:kern w:val="0"/>
          <w:sz w:val="32"/>
          <w:szCs w:val="32"/>
        </w:rPr>
        <w:t xml:space="preserve"> </w:t>
      </w:r>
    </w:p>
    <w:p>
      <w:pPr>
        <w:jc w:val="center"/>
        <w:rPr>
          <w:rFonts w:hint="eastAsia" w:ascii="宋体" w:hAnsi="宋体"/>
          <w:sz w:val="48"/>
          <w14:shadow w14:blurRad="50800" w14:dist="38100" w14:dir="2700000" w14:sx="100000" w14:sy="100000" w14:kx="0" w14:ky="0" w14:algn="tl">
            <w14:srgbClr w14:val="000000">
              <w14:alpha w14:val="60000"/>
            </w14:srgbClr>
          </w14:shadow>
        </w:rPr>
      </w:pPr>
    </w:p>
    <w:p>
      <w:pPr>
        <w:ind w:firstLine="420"/>
        <w:rPr>
          <w:rFonts w:ascii="宋体" w:hAnsi="宋体"/>
        </w:rPr>
      </w:pPr>
    </w:p>
    <w:p>
      <w:pPr>
        <w:jc w:val="center"/>
        <w:rPr>
          <w:rFonts w:hint="eastAsia" w:ascii="宋体" w:hAnsi="宋体"/>
          <w:b/>
          <w:bCs/>
          <w:sz w:val="52"/>
          <w:szCs w:val="52"/>
        </w:rPr>
      </w:pPr>
      <w:r>
        <w:rPr>
          <w:rFonts w:hint="eastAsia" w:ascii="宋体" w:hAnsi="宋体"/>
          <w:b/>
          <w:bCs/>
          <w:sz w:val="52"/>
          <w:szCs w:val="52"/>
        </w:rPr>
        <w:t>西安市长安区公务用车信息化监管服务平台运维项目</w:t>
      </w:r>
    </w:p>
    <w:p>
      <w:pPr>
        <w:ind w:firstLine="420"/>
        <w:rPr>
          <w:rFonts w:hint="eastAsia" w:ascii="宋体" w:hAnsi="宋体"/>
        </w:rPr>
      </w:pPr>
    </w:p>
    <w:p>
      <w:pPr>
        <w:ind w:firstLine="420"/>
        <w:rPr>
          <w:rFonts w:hint="eastAsia" w:ascii="宋体" w:hAnsi="宋体"/>
        </w:rPr>
      </w:pPr>
    </w:p>
    <w:p>
      <w:pPr>
        <w:rPr>
          <w:rFonts w:hint="eastAsia" w:ascii="宋体" w:hAnsi="宋体"/>
        </w:rPr>
      </w:pPr>
    </w:p>
    <w:p>
      <w:pPr>
        <w:pStyle w:val="9"/>
        <w:rPr>
          <w:rFonts w:hint="eastAsia"/>
        </w:rPr>
      </w:pPr>
    </w:p>
    <w:p>
      <w:pPr>
        <w:rPr>
          <w:rFonts w:hint="eastAsia" w:ascii="宋体" w:hAnsi="宋体"/>
        </w:rPr>
      </w:pPr>
    </w:p>
    <w:p>
      <w:pPr>
        <w:spacing w:line="360" w:lineRule="atLeast"/>
        <w:jc w:val="center"/>
        <w:rPr>
          <w:rFonts w:hint="eastAsia" w:ascii="宋体" w:hAnsi="宋体"/>
          <w:b/>
          <w:sz w:val="80"/>
          <w:szCs w:val="80"/>
        </w:rPr>
      </w:pPr>
    </w:p>
    <w:p>
      <w:pPr>
        <w:spacing w:line="360" w:lineRule="atLeast"/>
        <w:jc w:val="center"/>
        <w:rPr>
          <w:rFonts w:hint="eastAsia" w:ascii="宋体" w:hAnsi="宋体"/>
          <w:b/>
          <w:sz w:val="80"/>
          <w:szCs w:val="80"/>
        </w:rPr>
      </w:pPr>
      <w:r>
        <w:rPr>
          <w:rFonts w:hint="eastAsia" w:ascii="宋体" w:hAnsi="宋体"/>
          <w:b/>
          <w:sz w:val="72"/>
          <w:szCs w:val="72"/>
        </w:rPr>
        <w:t>单一来源谈判文件</w:t>
      </w:r>
    </w:p>
    <w:p>
      <w:pPr>
        <w:spacing w:line="360" w:lineRule="atLeast"/>
        <w:jc w:val="center"/>
        <w:rPr>
          <w:rFonts w:hint="eastAsia" w:ascii="宋体" w:hAnsi="宋体"/>
          <w:b/>
          <w:sz w:val="52"/>
          <w:szCs w:val="52"/>
        </w:rPr>
      </w:pPr>
    </w:p>
    <w:p>
      <w:pPr>
        <w:pStyle w:val="3"/>
        <w:rPr>
          <w:rFonts w:hint="eastAsia" w:ascii="宋体" w:hAnsi="宋体"/>
          <w:b/>
          <w:sz w:val="52"/>
          <w:szCs w:val="52"/>
        </w:rPr>
      </w:pPr>
    </w:p>
    <w:p>
      <w:pPr>
        <w:rPr>
          <w:rFonts w:hint="eastAsia"/>
        </w:rPr>
      </w:pPr>
    </w:p>
    <w:p>
      <w:pPr>
        <w:rPr>
          <w:rFonts w:hint="eastAsia" w:ascii="宋体" w:hAnsi="宋体"/>
          <w:b/>
          <w:sz w:val="30"/>
        </w:rPr>
      </w:pPr>
    </w:p>
    <w:p>
      <w:pPr>
        <w:spacing w:line="336" w:lineRule="auto"/>
        <w:ind w:firstLine="643" w:firstLineChars="200"/>
        <w:rPr>
          <w:rFonts w:hint="eastAsia" w:ascii="宋体" w:hAnsi="宋体" w:eastAsia="宋体" w:cs="宋体"/>
          <w:b/>
          <w:bCs/>
          <w:sz w:val="32"/>
          <w:szCs w:val="32"/>
          <w:u w:val="single"/>
          <w:lang w:eastAsia="zh-CN"/>
        </w:rPr>
      </w:pPr>
      <w:bookmarkStart w:id="0" w:name="_Toc328739375"/>
      <w:bookmarkStart w:id="1" w:name="_Toc16554"/>
      <w:bookmarkStart w:id="2" w:name="_Toc2903"/>
      <w:bookmarkStart w:id="3" w:name="_Toc5147"/>
      <w:bookmarkStart w:id="4" w:name="_Toc12596"/>
      <w:r>
        <w:rPr>
          <w:rFonts w:hint="eastAsia" w:ascii="宋体" w:hAnsi="宋体" w:cs="宋体"/>
          <w:b/>
          <w:bCs/>
          <w:sz w:val="32"/>
          <w:szCs w:val="32"/>
        </w:rPr>
        <w:t>采   购   人：</w:t>
      </w:r>
      <w:r>
        <w:rPr>
          <w:rFonts w:hint="eastAsia" w:ascii="宋体" w:hAnsi="宋体" w:cs="宋体"/>
          <w:b/>
          <w:bCs/>
          <w:sz w:val="32"/>
          <w:szCs w:val="32"/>
          <w:u w:val="single"/>
          <w:lang w:eastAsia="zh-CN"/>
        </w:rPr>
        <w:t>西安市长安区机关事务服务中心</w:t>
      </w:r>
    </w:p>
    <w:p>
      <w:pPr>
        <w:spacing w:line="336" w:lineRule="auto"/>
        <w:ind w:firstLine="643" w:firstLineChars="200"/>
        <w:rPr>
          <w:rFonts w:ascii="宋体" w:hAnsi="宋体" w:cs="宋体"/>
          <w:b/>
          <w:bCs/>
          <w:sz w:val="32"/>
          <w:szCs w:val="32"/>
        </w:rPr>
      </w:pPr>
      <w:r>
        <w:rPr>
          <w:rFonts w:hint="eastAsia" w:ascii="宋体" w:hAnsi="宋体" w:cs="宋体"/>
          <w:b/>
          <w:bCs/>
          <w:sz w:val="32"/>
          <w:szCs w:val="32"/>
        </w:rPr>
        <w:t>采购代理机构：</w:t>
      </w:r>
      <w:r>
        <w:rPr>
          <w:rFonts w:hint="eastAsia" w:ascii="宋体" w:hAnsi="宋体" w:cs="宋体"/>
          <w:b/>
          <w:bCs/>
          <w:sz w:val="32"/>
          <w:szCs w:val="32"/>
          <w:u w:val="single"/>
          <w:lang w:eastAsia="zh-CN"/>
        </w:rPr>
        <w:t>华春建设工程项目管理有限责任公司</w:t>
      </w:r>
      <w:r>
        <w:rPr>
          <w:rFonts w:hint="eastAsia" w:ascii="宋体" w:hAnsi="宋体" w:cs="宋体"/>
          <w:b/>
          <w:bCs/>
          <w:sz w:val="32"/>
          <w:szCs w:val="32"/>
        </w:rPr>
        <w:t xml:space="preserve">    </w:t>
      </w:r>
    </w:p>
    <w:p>
      <w:pPr>
        <w:tabs>
          <w:tab w:val="right" w:leader="middleDot" w:pos="9000"/>
        </w:tabs>
        <w:spacing w:line="600" w:lineRule="auto"/>
        <w:ind w:firstLine="643" w:firstLineChars="200"/>
        <w:rPr>
          <w:rFonts w:hint="eastAsia" w:ascii="宋体" w:hAnsi="宋体" w:cs="Arial"/>
          <w:b/>
          <w:kern w:val="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986" w:bottom="1418" w:left="1560" w:header="851" w:footer="992" w:gutter="0"/>
          <w:pgNumType w:start="1"/>
          <w:cols w:space="720" w:num="1"/>
          <w:titlePg/>
          <w:docGrid w:type="lines" w:linePitch="326" w:charSpace="0"/>
        </w:sectPr>
      </w:pPr>
      <w:r>
        <w:rPr>
          <w:rFonts w:hint="eastAsia" w:ascii="宋体" w:hAnsi="宋体" w:cs="宋体"/>
          <w:b/>
          <w:bCs/>
          <w:sz w:val="32"/>
          <w:szCs w:val="32"/>
        </w:rPr>
        <w:t>日        期：</w:t>
      </w:r>
      <w:r>
        <w:rPr>
          <w:rFonts w:hint="eastAsia" w:ascii="宋体" w:hAnsi="宋体" w:cs="宋体"/>
          <w:b/>
          <w:bCs/>
          <w:sz w:val="32"/>
          <w:szCs w:val="32"/>
          <w:u w:val="single"/>
        </w:rPr>
        <w:t xml:space="preserve">  二〇二</w:t>
      </w:r>
      <w:r>
        <w:rPr>
          <w:rFonts w:hint="eastAsia" w:ascii="宋体" w:hAnsi="宋体" w:cs="宋体"/>
          <w:b/>
          <w:bCs/>
          <w:sz w:val="32"/>
          <w:szCs w:val="32"/>
          <w:u w:val="single"/>
          <w:lang w:eastAsia="zh-CN"/>
        </w:rPr>
        <w:t>二</w:t>
      </w:r>
      <w:r>
        <w:rPr>
          <w:rFonts w:hint="eastAsia" w:ascii="宋体" w:hAnsi="宋体" w:cs="宋体"/>
          <w:b/>
          <w:bCs/>
          <w:sz w:val="32"/>
          <w:szCs w:val="32"/>
          <w:u w:val="single"/>
        </w:rPr>
        <w:t>年</w:t>
      </w:r>
      <w:r>
        <w:rPr>
          <w:rFonts w:hint="eastAsia" w:ascii="宋体" w:hAnsi="宋体" w:cs="宋体"/>
          <w:b/>
          <w:bCs/>
          <w:sz w:val="32"/>
          <w:szCs w:val="32"/>
          <w:u w:val="single"/>
          <w:lang w:eastAsia="zh-CN"/>
        </w:rPr>
        <w:t>七</w:t>
      </w:r>
      <w:r>
        <w:rPr>
          <w:rFonts w:hint="eastAsia" w:ascii="宋体" w:hAnsi="宋体" w:cs="宋体"/>
          <w:b/>
          <w:bCs/>
          <w:sz w:val="32"/>
          <w:szCs w:val="32"/>
          <w:u w:val="single"/>
        </w:rPr>
        <w:t xml:space="preserve">月         </w:t>
      </w:r>
    </w:p>
    <w:p>
      <w:pPr>
        <w:tabs>
          <w:tab w:val="right" w:leader="middleDot" w:pos="9000"/>
        </w:tabs>
        <w:spacing w:line="600" w:lineRule="auto"/>
        <w:jc w:val="center"/>
        <w:rPr>
          <w:rFonts w:hint="eastAsia" w:ascii="宋体" w:hAnsi="宋体" w:cs="Arial"/>
          <w:bCs/>
          <w:kern w:val="0"/>
          <w:sz w:val="36"/>
          <w:szCs w:val="36"/>
        </w:rPr>
      </w:pPr>
      <w:r>
        <w:rPr>
          <w:rFonts w:hint="eastAsia" w:ascii="宋体" w:hAnsi="宋体" w:cs="Arial"/>
          <w:b/>
          <w:kern w:val="0"/>
          <w:sz w:val="36"/>
          <w:szCs w:val="36"/>
        </w:rPr>
        <w:t>目  录</w:t>
      </w:r>
      <w:bookmarkEnd w:id="0"/>
      <w:bookmarkEnd w:id="1"/>
      <w:bookmarkEnd w:id="2"/>
      <w:bookmarkEnd w:id="3"/>
      <w:bookmarkEnd w:id="4"/>
    </w:p>
    <w:p>
      <w:pPr>
        <w:pStyle w:val="22"/>
        <w:tabs>
          <w:tab w:val="right" w:leader="dot" w:pos="9360"/>
        </w:tabs>
        <w:spacing w:line="600" w:lineRule="auto"/>
        <w:rPr>
          <w:sz w:val="28"/>
          <w:szCs w:val="36"/>
        </w:rPr>
      </w:pPr>
      <w:r>
        <w:rPr>
          <w:rFonts w:hint="eastAsia"/>
          <w:sz w:val="28"/>
          <w:szCs w:val="36"/>
        </w:rPr>
        <w:fldChar w:fldCharType="begin"/>
      </w:r>
      <w:r>
        <w:rPr>
          <w:rFonts w:hint="eastAsia"/>
          <w:sz w:val="28"/>
          <w:szCs w:val="36"/>
        </w:rPr>
        <w:instrText xml:space="preserve">TOC \o "1-1" \h \u </w:instrText>
      </w:r>
      <w:r>
        <w:rPr>
          <w:rFonts w:hint="eastAsia"/>
          <w:sz w:val="28"/>
          <w:szCs w:val="36"/>
        </w:rPr>
        <w:fldChar w:fldCharType="separate"/>
      </w:r>
      <w:r>
        <w:rPr>
          <w:rFonts w:hint="eastAsia"/>
          <w:sz w:val="28"/>
          <w:szCs w:val="36"/>
        </w:rPr>
        <w:fldChar w:fldCharType="begin"/>
      </w:r>
      <w:r>
        <w:rPr>
          <w:rFonts w:hint="eastAsia"/>
          <w:sz w:val="28"/>
          <w:szCs w:val="36"/>
        </w:rPr>
        <w:instrText xml:space="preserve"> HYPERLINK \l _Toc22119 </w:instrText>
      </w:r>
      <w:r>
        <w:rPr>
          <w:rFonts w:hint="eastAsia"/>
          <w:sz w:val="28"/>
          <w:szCs w:val="36"/>
        </w:rPr>
        <w:fldChar w:fldCharType="separate"/>
      </w:r>
      <w:r>
        <w:rPr>
          <w:rFonts w:hint="eastAsia" w:ascii="宋体" w:hAnsi="宋体"/>
          <w:sz w:val="28"/>
          <w:szCs w:val="48"/>
        </w:rPr>
        <w:t>第一部分  单一来源谈判邀请函</w:t>
      </w:r>
      <w:r>
        <w:rPr>
          <w:sz w:val="28"/>
          <w:szCs w:val="36"/>
        </w:rPr>
        <w:tab/>
      </w:r>
      <w:r>
        <w:rPr>
          <w:sz w:val="28"/>
          <w:szCs w:val="36"/>
        </w:rPr>
        <w:fldChar w:fldCharType="begin"/>
      </w:r>
      <w:r>
        <w:rPr>
          <w:sz w:val="28"/>
          <w:szCs w:val="36"/>
        </w:rPr>
        <w:instrText xml:space="preserve"> PAGEREF _Toc22119 </w:instrText>
      </w:r>
      <w:r>
        <w:rPr>
          <w:sz w:val="28"/>
          <w:szCs w:val="36"/>
        </w:rPr>
        <w:fldChar w:fldCharType="separate"/>
      </w:r>
      <w:r>
        <w:rPr>
          <w:sz w:val="28"/>
          <w:szCs w:val="36"/>
        </w:rPr>
        <w:t>2</w:t>
      </w:r>
      <w:r>
        <w:rPr>
          <w:sz w:val="28"/>
          <w:szCs w:val="36"/>
        </w:rPr>
        <w:fldChar w:fldCharType="end"/>
      </w:r>
      <w:r>
        <w:rPr>
          <w:rFonts w:hint="eastAsia"/>
          <w:sz w:val="28"/>
          <w:szCs w:val="36"/>
        </w:rPr>
        <w:fldChar w:fldCharType="end"/>
      </w:r>
    </w:p>
    <w:p>
      <w:pPr>
        <w:pStyle w:val="22"/>
        <w:tabs>
          <w:tab w:val="right" w:leader="dot" w:pos="9360"/>
        </w:tabs>
        <w:spacing w:line="600" w:lineRule="auto"/>
        <w:rPr>
          <w:sz w:val="28"/>
          <w:szCs w:val="36"/>
        </w:rPr>
      </w:pPr>
      <w:r>
        <w:rPr>
          <w:rFonts w:hint="eastAsia"/>
          <w:sz w:val="28"/>
          <w:szCs w:val="36"/>
        </w:rPr>
        <w:fldChar w:fldCharType="begin"/>
      </w:r>
      <w:r>
        <w:rPr>
          <w:rFonts w:hint="eastAsia"/>
          <w:sz w:val="28"/>
          <w:szCs w:val="36"/>
        </w:rPr>
        <w:instrText xml:space="preserve"> HYPERLINK \l _Toc12067 </w:instrText>
      </w:r>
      <w:r>
        <w:rPr>
          <w:rFonts w:hint="eastAsia"/>
          <w:sz w:val="28"/>
          <w:szCs w:val="36"/>
        </w:rPr>
        <w:fldChar w:fldCharType="separate"/>
      </w:r>
      <w:r>
        <w:rPr>
          <w:rFonts w:hint="eastAsia" w:ascii="宋体" w:hAnsi="宋体"/>
          <w:sz w:val="28"/>
          <w:szCs w:val="48"/>
        </w:rPr>
        <w:t>第二部分  供应商须知</w:t>
      </w:r>
      <w:r>
        <w:rPr>
          <w:sz w:val="28"/>
          <w:szCs w:val="36"/>
        </w:rPr>
        <w:tab/>
      </w:r>
      <w:r>
        <w:rPr>
          <w:sz w:val="28"/>
          <w:szCs w:val="36"/>
        </w:rPr>
        <w:fldChar w:fldCharType="begin"/>
      </w:r>
      <w:r>
        <w:rPr>
          <w:sz w:val="28"/>
          <w:szCs w:val="36"/>
        </w:rPr>
        <w:instrText xml:space="preserve"> PAGEREF _Toc12067 </w:instrText>
      </w:r>
      <w:r>
        <w:rPr>
          <w:sz w:val="28"/>
          <w:szCs w:val="36"/>
        </w:rPr>
        <w:fldChar w:fldCharType="separate"/>
      </w:r>
      <w:r>
        <w:rPr>
          <w:sz w:val="28"/>
          <w:szCs w:val="36"/>
        </w:rPr>
        <w:t>5</w:t>
      </w:r>
      <w:r>
        <w:rPr>
          <w:sz w:val="28"/>
          <w:szCs w:val="36"/>
        </w:rPr>
        <w:fldChar w:fldCharType="end"/>
      </w:r>
      <w:r>
        <w:rPr>
          <w:rFonts w:hint="eastAsia"/>
          <w:sz w:val="28"/>
          <w:szCs w:val="36"/>
        </w:rPr>
        <w:fldChar w:fldCharType="end"/>
      </w:r>
    </w:p>
    <w:p>
      <w:pPr>
        <w:pStyle w:val="22"/>
        <w:tabs>
          <w:tab w:val="right" w:leader="dot" w:pos="9360"/>
        </w:tabs>
        <w:spacing w:line="600" w:lineRule="auto"/>
        <w:rPr>
          <w:sz w:val="28"/>
          <w:szCs w:val="36"/>
        </w:rPr>
      </w:pPr>
      <w:r>
        <w:rPr>
          <w:rFonts w:hint="eastAsia"/>
          <w:sz w:val="28"/>
          <w:szCs w:val="36"/>
        </w:rPr>
        <w:fldChar w:fldCharType="begin"/>
      </w:r>
      <w:r>
        <w:rPr>
          <w:rFonts w:hint="eastAsia"/>
          <w:sz w:val="28"/>
          <w:szCs w:val="36"/>
        </w:rPr>
        <w:instrText xml:space="preserve"> HYPERLINK \l _Toc13036 </w:instrText>
      </w:r>
      <w:r>
        <w:rPr>
          <w:rFonts w:hint="eastAsia"/>
          <w:sz w:val="28"/>
          <w:szCs w:val="36"/>
        </w:rPr>
        <w:fldChar w:fldCharType="separate"/>
      </w:r>
      <w:r>
        <w:rPr>
          <w:rFonts w:hint="eastAsia"/>
          <w:sz w:val="28"/>
          <w:szCs w:val="48"/>
        </w:rPr>
        <w:t>第三部分  技术内容与要求</w:t>
      </w:r>
      <w:r>
        <w:rPr>
          <w:sz w:val="28"/>
          <w:szCs w:val="36"/>
        </w:rPr>
        <w:tab/>
      </w:r>
      <w:r>
        <w:rPr>
          <w:sz w:val="28"/>
          <w:szCs w:val="36"/>
        </w:rPr>
        <w:fldChar w:fldCharType="begin"/>
      </w:r>
      <w:r>
        <w:rPr>
          <w:sz w:val="28"/>
          <w:szCs w:val="36"/>
        </w:rPr>
        <w:instrText xml:space="preserve"> PAGEREF _Toc13036 </w:instrText>
      </w:r>
      <w:r>
        <w:rPr>
          <w:sz w:val="28"/>
          <w:szCs w:val="36"/>
        </w:rPr>
        <w:fldChar w:fldCharType="separate"/>
      </w:r>
      <w:r>
        <w:rPr>
          <w:sz w:val="28"/>
          <w:szCs w:val="36"/>
        </w:rPr>
        <w:t>17</w:t>
      </w:r>
      <w:r>
        <w:rPr>
          <w:sz w:val="28"/>
          <w:szCs w:val="36"/>
        </w:rPr>
        <w:fldChar w:fldCharType="end"/>
      </w:r>
      <w:r>
        <w:rPr>
          <w:rFonts w:hint="eastAsia"/>
          <w:sz w:val="28"/>
          <w:szCs w:val="36"/>
        </w:rPr>
        <w:fldChar w:fldCharType="end"/>
      </w:r>
    </w:p>
    <w:p>
      <w:pPr>
        <w:pStyle w:val="22"/>
        <w:tabs>
          <w:tab w:val="right" w:leader="dot" w:pos="9360"/>
        </w:tabs>
        <w:spacing w:line="600" w:lineRule="auto"/>
        <w:rPr>
          <w:rFonts w:hint="eastAsia"/>
          <w:sz w:val="28"/>
          <w:szCs w:val="36"/>
        </w:rPr>
      </w:pPr>
      <w:r>
        <w:rPr>
          <w:rFonts w:hint="eastAsia"/>
          <w:sz w:val="28"/>
          <w:szCs w:val="36"/>
        </w:rPr>
        <w:fldChar w:fldCharType="begin"/>
      </w:r>
      <w:r>
        <w:rPr>
          <w:rFonts w:hint="eastAsia"/>
          <w:sz w:val="28"/>
          <w:szCs w:val="36"/>
        </w:rPr>
        <w:instrText xml:space="preserve"> HYPERLINK \l _Toc18055 </w:instrText>
      </w:r>
      <w:r>
        <w:rPr>
          <w:rFonts w:hint="eastAsia"/>
          <w:sz w:val="28"/>
          <w:szCs w:val="36"/>
        </w:rPr>
        <w:fldChar w:fldCharType="separate"/>
      </w:r>
      <w:r>
        <w:rPr>
          <w:rFonts w:hint="eastAsia" w:ascii="宋体" w:hAnsi="宋体"/>
          <w:sz w:val="28"/>
          <w:szCs w:val="48"/>
        </w:rPr>
        <w:t>第四部分  合同主要条款</w:t>
      </w:r>
      <w:r>
        <w:rPr>
          <w:sz w:val="28"/>
          <w:szCs w:val="36"/>
        </w:rPr>
        <w:tab/>
      </w:r>
      <w:r>
        <w:rPr>
          <w:rFonts w:hint="eastAsia"/>
          <w:sz w:val="28"/>
          <w:szCs w:val="36"/>
        </w:rPr>
        <w:t>2</w:t>
      </w:r>
      <w:r>
        <w:rPr>
          <w:rFonts w:hint="eastAsia"/>
          <w:sz w:val="28"/>
          <w:szCs w:val="36"/>
        </w:rPr>
        <w:fldChar w:fldCharType="end"/>
      </w:r>
      <w:r>
        <w:rPr>
          <w:rFonts w:hint="eastAsia"/>
          <w:sz w:val="28"/>
          <w:szCs w:val="36"/>
        </w:rPr>
        <w:t>5</w:t>
      </w:r>
    </w:p>
    <w:p>
      <w:pPr>
        <w:pStyle w:val="22"/>
        <w:tabs>
          <w:tab w:val="right" w:leader="dot" w:pos="9360"/>
        </w:tabs>
        <w:spacing w:line="600" w:lineRule="auto"/>
        <w:rPr>
          <w:rFonts w:hint="eastAsia"/>
          <w:sz w:val="28"/>
          <w:szCs w:val="36"/>
        </w:rPr>
      </w:pPr>
      <w:r>
        <w:rPr>
          <w:rFonts w:hint="eastAsia"/>
          <w:sz w:val="28"/>
          <w:szCs w:val="36"/>
        </w:rPr>
        <w:fldChar w:fldCharType="begin"/>
      </w:r>
      <w:r>
        <w:rPr>
          <w:rFonts w:hint="eastAsia"/>
          <w:sz w:val="28"/>
          <w:szCs w:val="36"/>
        </w:rPr>
        <w:instrText xml:space="preserve"> HYPERLINK \l _Toc5119 </w:instrText>
      </w:r>
      <w:r>
        <w:rPr>
          <w:rFonts w:hint="eastAsia"/>
          <w:sz w:val="28"/>
          <w:szCs w:val="36"/>
        </w:rPr>
        <w:fldChar w:fldCharType="separate"/>
      </w:r>
      <w:r>
        <w:rPr>
          <w:rFonts w:hint="eastAsia" w:ascii="宋体" w:hAnsi="宋体"/>
          <w:sz w:val="28"/>
          <w:szCs w:val="48"/>
        </w:rPr>
        <w:t>第五部分  谈判响应文件格式</w:t>
      </w:r>
      <w:r>
        <w:rPr>
          <w:sz w:val="28"/>
          <w:szCs w:val="36"/>
        </w:rPr>
        <w:tab/>
      </w:r>
      <w:r>
        <w:rPr>
          <w:rFonts w:hint="eastAsia"/>
          <w:sz w:val="28"/>
          <w:szCs w:val="36"/>
        </w:rPr>
        <w:t>2</w:t>
      </w:r>
      <w:r>
        <w:rPr>
          <w:rFonts w:hint="eastAsia"/>
          <w:sz w:val="28"/>
          <w:szCs w:val="36"/>
        </w:rPr>
        <w:fldChar w:fldCharType="end"/>
      </w:r>
      <w:r>
        <w:rPr>
          <w:rFonts w:hint="eastAsia"/>
          <w:sz w:val="28"/>
          <w:szCs w:val="36"/>
        </w:rPr>
        <w:t>7</w:t>
      </w:r>
    </w:p>
    <w:p>
      <w:pPr>
        <w:pStyle w:val="3"/>
        <w:spacing w:line="600" w:lineRule="auto"/>
        <w:rPr>
          <w:rFonts w:hint="eastAsia"/>
        </w:rPr>
      </w:pPr>
      <w:r>
        <w:rPr>
          <w:rFonts w:hint="eastAsia"/>
          <w:sz w:val="36"/>
          <w:szCs w:val="36"/>
        </w:rPr>
        <w:fldChar w:fldCharType="end"/>
      </w:r>
    </w:p>
    <w:p>
      <w:pPr>
        <w:tabs>
          <w:tab w:val="right" w:leader="middleDot" w:pos="9000"/>
        </w:tabs>
        <w:spacing w:line="600" w:lineRule="auto"/>
        <w:ind w:firstLine="420"/>
        <w:rPr>
          <w:rFonts w:hint="eastAsia" w:ascii="宋体" w:hAnsi="宋体"/>
          <w:sz w:val="32"/>
          <w:szCs w:val="32"/>
        </w:rPr>
      </w:pPr>
    </w:p>
    <w:p>
      <w:pPr>
        <w:spacing w:line="480" w:lineRule="auto"/>
        <w:ind w:firstLine="602" w:firstLineChars="200"/>
        <w:rPr>
          <w:rFonts w:hint="eastAsia" w:ascii="宋体" w:hAnsi="宋体"/>
          <w:b/>
          <w:sz w:val="32"/>
          <w:szCs w:val="32"/>
        </w:rPr>
        <w:sectPr>
          <w:footerReference r:id="rId12" w:type="first"/>
          <w:footerReference r:id="rId11" w:type="default"/>
          <w:pgSz w:w="11906" w:h="16838"/>
          <w:pgMar w:top="1418" w:right="986" w:bottom="1418" w:left="1560" w:header="851" w:footer="992" w:gutter="0"/>
          <w:pgNumType w:start="1"/>
          <w:cols w:space="720" w:num="1"/>
          <w:titlePg/>
          <w:docGrid w:type="lines" w:linePitch="326" w:charSpace="0"/>
        </w:sectPr>
      </w:pPr>
      <w:r>
        <w:rPr>
          <w:rFonts w:hint="eastAsia" w:ascii="宋体" w:hAnsi="宋体"/>
          <w:b/>
          <w:sz w:val="30"/>
          <w:szCs w:val="30"/>
        </w:rPr>
        <w:t xml:space="preserve"> </w:t>
      </w:r>
    </w:p>
    <w:p>
      <w:pPr>
        <w:spacing w:line="480" w:lineRule="auto"/>
        <w:jc w:val="center"/>
        <w:outlineLvl w:val="0"/>
        <w:rPr>
          <w:rFonts w:hint="eastAsia" w:ascii="宋体" w:hAnsi="宋体"/>
          <w:b/>
          <w:sz w:val="36"/>
          <w:szCs w:val="36"/>
        </w:rPr>
      </w:pPr>
      <w:bookmarkStart w:id="5" w:name="_Toc494"/>
      <w:bookmarkStart w:id="6" w:name="_Toc17123"/>
      <w:bookmarkStart w:id="7" w:name="_Toc328739376"/>
      <w:bookmarkStart w:id="8" w:name="_Toc22119"/>
      <w:r>
        <w:rPr>
          <w:rFonts w:hint="eastAsia" w:ascii="宋体" w:hAnsi="宋体"/>
          <w:b/>
          <w:sz w:val="36"/>
          <w:szCs w:val="36"/>
        </w:rPr>
        <w:t>第一部分  单一来源谈判邀请函</w:t>
      </w:r>
      <w:bookmarkEnd w:id="5"/>
      <w:bookmarkEnd w:id="6"/>
      <w:bookmarkEnd w:id="7"/>
      <w:bookmarkEnd w:id="8"/>
    </w:p>
    <w:p>
      <w:pPr>
        <w:widowControl/>
        <w:spacing w:line="560" w:lineRule="exact"/>
        <w:jc w:val="left"/>
        <w:rPr>
          <w:rFonts w:ascii="宋体" w:hAnsi="宋体"/>
          <w:sz w:val="24"/>
        </w:rPr>
      </w:pPr>
      <w:r>
        <w:rPr>
          <w:rFonts w:hint="eastAsia" w:ascii="宋体" w:hAnsi="宋体"/>
          <w:sz w:val="24"/>
          <w:u w:val="single"/>
        </w:rPr>
        <w:t>致：易迅通科技有限公司</w:t>
      </w:r>
    </w:p>
    <w:p>
      <w:pPr>
        <w:widowControl/>
        <w:spacing w:line="560" w:lineRule="exact"/>
        <w:ind w:firstLine="480" w:firstLineChars="200"/>
        <w:jc w:val="left"/>
        <w:rPr>
          <w:rFonts w:hint="eastAsia" w:ascii="宋体" w:hAnsi="宋体"/>
          <w:sz w:val="24"/>
        </w:rPr>
      </w:pPr>
      <w:r>
        <w:rPr>
          <w:rFonts w:hint="eastAsia" w:ascii="宋体" w:hAnsi="宋体"/>
          <w:sz w:val="24"/>
          <w:lang w:eastAsia="zh-CN"/>
        </w:rPr>
        <w:t>华春建设工程项目管理有限责任公司</w:t>
      </w:r>
      <w:r>
        <w:rPr>
          <w:rFonts w:hint="eastAsia" w:ascii="宋体" w:hAnsi="宋体"/>
          <w:sz w:val="24"/>
        </w:rPr>
        <w:t>受</w:t>
      </w:r>
      <w:r>
        <w:rPr>
          <w:rFonts w:hint="eastAsia" w:ascii="宋体" w:hAnsi="宋体"/>
          <w:sz w:val="24"/>
          <w:lang w:eastAsia="zh-CN"/>
        </w:rPr>
        <w:t>西安市长安区机关事务服务中心</w:t>
      </w:r>
      <w:r>
        <w:rPr>
          <w:rFonts w:hint="eastAsia" w:ascii="宋体" w:hAnsi="宋体"/>
          <w:sz w:val="24"/>
        </w:rPr>
        <w:t>的委托，按照政府采购程序，对</w:t>
      </w:r>
      <w:r>
        <w:rPr>
          <w:rFonts w:hint="eastAsia" w:ascii="宋体" w:hAnsi="宋体"/>
          <w:sz w:val="24"/>
          <w:lang w:eastAsia="zh-CN"/>
        </w:rPr>
        <w:t>西安市长安区公务用车信息化监管服务平台运维项目</w:t>
      </w:r>
      <w:r>
        <w:rPr>
          <w:rFonts w:hint="eastAsia" w:ascii="宋体" w:hAnsi="宋体"/>
          <w:sz w:val="24"/>
        </w:rPr>
        <w:t>进行单一来源方式采购，特邀请贵单位参加谈判，现将有关事项通知如下：</w:t>
      </w:r>
    </w:p>
    <w:p>
      <w:pPr>
        <w:widowControl/>
        <w:spacing w:line="560" w:lineRule="exact"/>
        <w:ind w:firstLine="480" w:firstLineChars="200"/>
        <w:jc w:val="left"/>
        <w:rPr>
          <w:rFonts w:hint="eastAsia" w:ascii="宋体" w:hAnsi="宋体"/>
          <w:sz w:val="24"/>
        </w:rPr>
      </w:pPr>
      <w:r>
        <w:rPr>
          <w:rFonts w:hint="eastAsia" w:ascii="宋体" w:hAnsi="宋体"/>
          <w:sz w:val="24"/>
        </w:rPr>
        <w:t>一、项目基本情况：</w:t>
      </w:r>
    </w:p>
    <w:p>
      <w:pPr>
        <w:widowControl/>
        <w:spacing w:line="560" w:lineRule="exact"/>
        <w:ind w:firstLine="480" w:firstLineChars="200"/>
        <w:jc w:val="left"/>
        <w:rPr>
          <w:rFonts w:hint="eastAsia" w:ascii="宋体" w:hAnsi="宋体"/>
          <w:sz w:val="24"/>
        </w:rPr>
      </w:pPr>
      <w:r>
        <w:rPr>
          <w:rFonts w:hint="eastAsia" w:ascii="宋体" w:hAnsi="宋体"/>
          <w:sz w:val="24"/>
        </w:rPr>
        <w:t>1、项目编号：HCCG-2022-121</w:t>
      </w:r>
    </w:p>
    <w:p>
      <w:pPr>
        <w:widowControl/>
        <w:spacing w:line="560" w:lineRule="exact"/>
        <w:ind w:firstLine="480" w:firstLineChars="200"/>
        <w:jc w:val="left"/>
        <w:rPr>
          <w:rFonts w:hint="eastAsia" w:ascii="宋体" w:hAnsi="宋体" w:eastAsia="宋体"/>
          <w:sz w:val="24"/>
          <w:lang w:eastAsia="zh-CN"/>
        </w:rPr>
      </w:pPr>
      <w:r>
        <w:rPr>
          <w:rFonts w:hint="eastAsia" w:ascii="宋体" w:hAnsi="宋体"/>
          <w:sz w:val="24"/>
        </w:rPr>
        <w:t>2、项目名称：</w:t>
      </w:r>
      <w:r>
        <w:rPr>
          <w:rFonts w:hint="eastAsia" w:ascii="宋体" w:hAnsi="宋体"/>
          <w:sz w:val="24"/>
          <w:lang w:eastAsia="zh-CN"/>
        </w:rPr>
        <w:t>西安市长安区公务用车信息化监管服务平台运维项目</w:t>
      </w:r>
    </w:p>
    <w:p>
      <w:pPr>
        <w:widowControl/>
        <w:spacing w:line="560" w:lineRule="exact"/>
        <w:ind w:firstLine="480" w:firstLineChars="200"/>
        <w:jc w:val="left"/>
        <w:rPr>
          <w:rFonts w:hint="eastAsia" w:ascii="宋体" w:hAnsi="宋体"/>
          <w:sz w:val="24"/>
          <w:highlight w:val="none"/>
        </w:rPr>
      </w:pPr>
      <w:r>
        <w:rPr>
          <w:rFonts w:hint="eastAsia" w:ascii="宋体" w:hAnsi="宋体"/>
          <w:sz w:val="24"/>
        </w:rPr>
        <w:t>3、预算金</w:t>
      </w:r>
      <w:r>
        <w:rPr>
          <w:rFonts w:hint="eastAsia" w:ascii="宋体" w:hAnsi="宋体"/>
          <w:sz w:val="24"/>
          <w:highlight w:val="none"/>
        </w:rPr>
        <w:t>额：</w:t>
      </w:r>
      <w:r>
        <w:rPr>
          <w:rFonts w:hint="eastAsia" w:ascii="宋体" w:hAnsi="宋体"/>
          <w:sz w:val="24"/>
          <w:highlight w:val="none"/>
          <w:lang w:val="en-US" w:eastAsia="zh-CN"/>
        </w:rPr>
        <w:t>761840</w:t>
      </w:r>
      <w:r>
        <w:rPr>
          <w:rFonts w:ascii="宋体" w:hAnsi="宋体"/>
          <w:sz w:val="24"/>
          <w:highlight w:val="none"/>
        </w:rPr>
        <w:t>.00</w:t>
      </w:r>
      <w:r>
        <w:rPr>
          <w:rFonts w:hint="eastAsia" w:ascii="宋体" w:hAnsi="宋体"/>
          <w:sz w:val="24"/>
          <w:highlight w:val="none"/>
        </w:rPr>
        <w:t>元</w:t>
      </w:r>
    </w:p>
    <w:p>
      <w:pPr>
        <w:widowControl/>
        <w:spacing w:line="560" w:lineRule="exact"/>
        <w:ind w:firstLine="480" w:firstLineChars="200"/>
        <w:jc w:val="left"/>
        <w:rPr>
          <w:rFonts w:hint="eastAsia" w:ascii="宋体" w:hAnsi="宋体"/>
          <w:sz w:val="24"/>
        </w:rPr>
      </w:pPr>
      <w:r>
        <w:rPr>
          <w:rFonts w:hint="eastAsia" w:ascii="宋体" w:hAnsi="宋体"/>
          <w:sz w:val="24"/>
        </w:rPr>
        <w:t>4、最高限价：无</w:t>
      </w:r>
    </w:p>
    <w:p>
      <w:pPr>
        <w:widowControl/>
        <w:spacing w:line="560" w:lineRule="exact"/>
        <w:ind w:firstLine="480" w:firstLineChars="200"/>
        <w:jc w:val="left"/>
        <w:rPr>
          <w:rFonts w:hint="eastAsia" w:ascii="宋体" w:hAnsi="宋体"/>
          <w:sz w:val="24"/>
        </w:rPr>
      </w:pPr>
      <w:r>
        <w:rPr>
          <w:rFonts w:hint="eastAsia" w:ascii="宋体" w:hAnsi="宋体"/>
          <w:sz w:val="24"/>
        </w:rPr>
        <w:t>5、采购需求：</w:t>
      </w:r>
      <w:r>
        <w:rPr>
          <w:rFonts w:hint="eastAsia" w:ascii="宋体" w:hAnsi="宋体"/>
          <w:sz w:val="24"/>
          <w:lang w:eastAsia="zh-CN"/>
        </w:rPr>
        <w:t>西安市长安区公务用车信息化监管服务平台运维项目</w:t>
      </w:r>
      <w:r>
        <w:rPr>
          <w:rFonts w:hint="eastAsia" w:ascii="宋体" w:hAnsi="宋体"/>
          <w:sz w:val="24"/>
        </w:rPr>
        <w:t>，1批， 采购预算：</w:t>
      </w:r>
      <w:r>
        <w:rPr>
          <w:rFonts w:hint="eastAsia" w:ascii="宋体" w:hAnsi="宋体"/>
          <w:sz w:val="24"/>
          <w:highlight w:val="none"/>
          <w:lang w:val="en-US" w:eastAsia="zh-CN"/>
        </w:rPr>
        <w:t>761840</w:t>
      </w:r>
      <w:r>
        <w:rPr>
          <w:rFonts w:ascii="宋体" w:hAnsi="宋体"/>
          <w:sz w:val="24"/>
          <w:highlight w:val="none"/>
        </w:rPr>
        <w:t>.00</w:t>
      </w:r>
      <w:r>
        <w:rPr>
          <w:rFonts w:hint="eastAsia" w:ascii="宋体" w:hAnsi="宋体"/>
          <w:sz w:val="24"/>
          <w:highlight w:val="none"/>
        </w:rPr>
        <w:t>元</w:t>
      </w:r>
      <w:r>
        <w:rPr>
          <w:rFonts w:hint="eastAsia" w:ascii="宋体" w:hAnsi="宋体"/>
          <w:sz w:val="24"/>
        </w:rPr>
        <w:t>， 项目概况：</w:t>
      </w:r>
      <w:r>
        <w:rPr>
          <w:rFonts w:hint="eastAsia" w:ascii="宋体" w:hAnsi="宋体"/>
          <w:sz w:val="24"/>
          <w:highlight w:val="none"/>
        </w:rPr>
        <w:t>本项目实施内容是</w:t>
      </w:r>
      <w:r>
        <w:rPr>
          <w:rFonts w:hint="eastAsia" w:ascii="宋体" w:hAnsi="宋体"/>
          <w:sz w:val="24"/>
          <w:highlight w:val="none"/>
          <w:lang w:eastAsia="zh-CN"/>
        </w:rPr>
        <w:t>长安区</w:t>
      </w:r>
      <w:r>
        <w:rPr>
          <w:rFonts w:hint="eastAsia" w:ascii="宋体" w:hAnsi="宋体"/>
          <w:sz w:val="24"/>
          <w:highlight w:val="none"/>
        </w:rPr>
        <w:t>公务用车信息化管理服务平台系统及系统中加装北斗定位</w:t>
      </w:r>
      <w:r>
        <w:rPr>
          <w:rFonts w:hint="eastAsia" w:ascii="宋体" w:hAnsi="宋体"/>
          <w:sz w:val="24"/>
          <w:highlight w:val="none"/>
          <w:lang w:eastAsia="zh-CN"/>
        </w:rPr>
        <w:t>系统</w:t>
      </w:r>
      <w:r>
        <w:rPr>
          <w:rFonts w:hint="eastAsia" w:ascii="宋体" w:hAnsi="宋体"/>
          <w:sz w:val="24"/>
          <w:highlight w:val="none"/>
        </w:rPr>
        <w:t>574辆车</w:t>
      </w:r>
      <w:r>
        <w:rPr>
          <w:rFonts w:hint="eastAsia" w:ascii="宋体" w:hAnsi="宋体"/>
          <w:sz w:val="24"/>
          <w:highlight w:val="none"/>
          <w:lang w:eastAsia="zh-CN"/>
        </w:rPr>
        <w:t>（其中</w:t>
      </w:r>
      <w:r>
        <w:rPr>
          <w:rFonts w:hint="eastAsia" w:ascii="宋体" w:hAnsi="宋体"/>
          <w:sz w:val="24"/>
          <w:highlight w:val="none"/>
        </w:rPr>
        <w:t>党政机关246辆、事业单位328辆）进行运维维护</w:t>
      </w:r>
      <w:r>
        <w:rPr>
          <w:rFonts w:hint="eastAsia" w:ascii="宋体" w:hAnsi="宋体"/>
          <w:sz w:val="24"/>
          <w:highlight w:val="none"/>
          <w:lang w:eastAsia="zh-CN"/>
        </w:rPr>
        <w:t>，保障公车信息化平台接入车辆系统运行、短信收发支持、数据储存等运维维护服务采购</w:t>
      </w:r>
      <w:r>
        <w:rPr>
          <w:rFonts w:hint="eastAsia" w:ascii="宋体" w:hAnsi="宋体"/>
          <w:sz w:val="24"/>
          <w:highlight w:val="none"/>
        </w:rPr>
        <w:t>，最终满足省、市级文件所要求“全市一张网”系统正常运行</w:t>
      </w:r>
      <w:r>
        <w:rPr>
          <w:rFonts w:hint="eastAsia" w:ascii="宋体" w:hAnsi="宋体"/>
          <w:sz w:val="24"/>
          <w:highlight w:val="none"/>
          <w:lang w:eastAsia="zh-CN"/>
        </w:rPr>
        <w:t>。</w:t>
      </w:r>
      <w:r>
        <w:rPr>
          <w:rFonts w:hint="eastAsia" w:ascii="宋体" w:hAnsi="宋体"/>
          <w:sz w:val="24"/>
        </w:rPr>
        <w:t>具体内容详见单一来源采购文件。简要技术要求、用途： 自用。</w:t>
      </w:r>
    </w:p>
    <w:p>
      <w:pPr>
        <w:widowControl/>
        <w:spacing w:line="560" w:lineRule="exact"/>
        <w:ind w:firstLine="480" w:firstLineChars="200"/>
        <w:jc w:val="left"/>
        <w:rPr>
          <w:rFonts w:hint="eastAsia" w:ascii="宋体" w:hAnsi="宋体"/>
          <w:sz w:val="24"/>
        </w:rPr>
      </w:pPr>
      <w:r>
        <w:rPr>
          <w:rFonts w:hint="eastAsia" w:ascii="宋体" w:hAnsi="宋体"/>
          <w:sz w:val="24"/>
        </w:rPr>
        <w:t>6、合同履行期</w:t>
      </w:r>
      <w:r>
        <w:rPr>
          <w:rFonts w:hint="eastAsia" w:ascii="宋体" w:hAnsi="宋体"/>
          <w:sz w:val="24"/>
          <w:highlight w:val="none"/>
        </w:rPr>
        <w:t>限：</w:t>
      </w:r>
      <w:r>
        <w:rPr>
          <w:rFonts w:hint="eastAsia" w:ascii="宋体" w:hAnsi="宋体"/>
          <w:sz w:val="24"/>
          <w:highlight w:val="none"/>
          <w:lang w:val="en-US" w:eastAsia="zh-CN"/>
        </w:rPr>
        <w:t>3</w:t>
      </w:r>
      <w:r>
        <w:rPr>
          <w:rFonts w:hint="eastAsia" w:ascii="宋体" w:hAnsi="宋体"/>
          <w:sz w:val="24"/>
          <w:highlight w:val="none"/>
        </w:rPr>
        <w:t>年</w:t>
      </w:r>
    </w:p>
    <w:p>
      <w:pPr>
        <w:widowControl/>
        <w:spacing w:line="560" w:lineRule="exact"/>
        <w:ind w:firstLine="480" w:firstLineChars="200"/>
        <w:jc w:val="left"/>
        <w:rPr>
          <w:rFonts w:hint="eastAsia" w:ascii="宋体" w:hAnsi="宋体"/>
          <w:sz w:val="24"/>
        </w:rPr>
      </w:pPr>
      <w:r>
        <w:rPr>
          <w:rFonts w:hint="eastAsia" w:ascii="宋体" w:hAnsi="宋体"/>
          <w:sz w:val="24"/>
        </w:rPr>
        <w:t>7、本项目是否接受联合体投标：否</w:t>
      </w:r>
    </w:p>
    <w:p>
      <w:pPr>
        <w:widowControl/>
        <w:spacing w:line="560" w:lineRule="exact"/>
        <w:ind w:firstLine="480" w:firstLineChars="200"/>
        <w:jc w:val="left"/>
        <w:rPr>
          <w:rFonts w:hint="eastAsia" w:ascii="宋体" w:hAnsi="宋体"/>
          <w:sz w:val="24"/>
        </w:rPr>
      </w:pPr>
      <w:r>
        <w:rPr>
          <w:rFonts w:hint="eastAsia" w:ascii="宋体" w:hAnsi="宋体"/>
          <w:sz w:val="24"/>
        </w:rPr>
        <w:t>二、 响应供应商的资格要求</w:t>
      </w:r>
    </w:p>
    <w:p>
      <w:pPr>
        <w:widowControl/>
        <w:spacing w:line="560" w:lineRule="exact"/>
        <w:ind w:firstLine="480" w:firstLineChars="200"/>
        <w:jc w:val="left"/>
        <w:rPr>
          <w:rFonts w:hint="eastAsia" w:ascii="宋体" w:hAnsi="宋体"/>
          <w:sz w:val="24"/>
        </w:rPr>
      </w:pPr>
      <w:r>
        <w:rPr>
          <w:rFonts w:hint="eastAsia" w:ascii="宋体" w:hAnsi="宋体"/>
          <w:sz w:val="24"/>
        </w:rPr>
        <w:t>1、满足《中华人民共和国政府采购法》第二十二条规定</w:t>
      </w:r>
    </w:p>
    <w:p>
      <w:pPr>
        <w:widowControl/>
        <w:spacing w:line="560" w:lineRule="exact"/>
        <w:ind w:firstLine="480" w:firstLineChars="200"/>
        <w:jc w:val="left"/>
        <w:rPr>
          <w:rFonts w:hint="eastAsia" w:ascii="宋体" w:hAnsi="宋体"/>
          <w:sz w:val="24"/>
        </w:rPr>
      </w:pPr>
      <w:r>
        <w:rPr>
          <w:rFonts w:hint="eastAsia" w:ascii="宋体" w:hAnsi="宋体"/>
          <w:sz w:val="24"/>
        </w:rPr>
        <w:t>2、落实政府采购政策需满足的资格要求：</w:t>
      </w:r>
      <w:r>
        <w:rPr>
          <w:rFonts w:hint="eastAsia" w:ascii="宋体" w:hAnsi="宋体" w:cs="宋体"/>
          <w:sz w:val="24"/>
          <w:szCs w:val="24"/>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 财库[2017]141号）；7、《关于运用政府采购政策支持乡村产业振兴的通知》（财库〔2021〕19 号）；8、陕西省财政厅关于加快推进我省中小企业政府采购信用融资工作的通知》（陕财办采〔2020〕15号），参考《陕西省中小企业政府采购信用融资办法》（陕财办采〔2018〕23号）及《西安市政府采购信用担保及信用融资工作实施方案（试行）》（市财发〔2014〕167）；9、其他需要落实的政府采购政策。</w:t>
      </w:r>
    </w:p>
    <w:p>
      <w:pPr>
        <w:widowControl/>
        <w:spacing w:line="560" w:lineRule="exact"/>
        <w:ind w:firstLine="480" w:firstLineChars="200"/>
        <w:jc w:val="left"/>
        <w:rPr>
          <w:rFonts w:hint="default" w:ascii="宋体" w:hAnsi="宋体" w:eastAsia="宋体"/>
          <w:sz w:val="24"/>
          <w:lang w:val="en-US" w:eastAsia="zh-CN"/>
        </w:rPr>
      </w:pPr>
      <w:r>
        <w:rPr>
          <w:rFonts w:hint="eastAsia" w:ascii="宋体" w:hAnsi="宋体"/>
          <w:sz w:val="24"/>
        </w:rPr>
        <w:t>3、本项目的特定资格要求：（1）供应商具有独立承担民事责任能力的法人、其他组织或自然人，并出具合法有效的营业执照或事业单位法人证书等国家规定的相关证明，自然人参与的提供其身份证明；（2）财务状况报告：提供上一年度完整的财务审计报告，或开标时间前六个月内其基本存款账户开户银行出具的资信证明（提供基本存款账户证明材料）；其他组织和自然人提供银行出具的资信证明。（3）税收缴纳证明：供应商提供开标前一年内任意一个月的纳税证明或完税证明，纳税证明或完税证明上应有代收机构或税务机关的公章，依法免税的供应商应提供相关文件证明；（4）社会保障资金缴纳证明：供应商应提供开标前一年内任意一个月的社会保障资金缴存单据或社保机构开具的社会保险参保缴费情况证明，依法不需要缴纳社会保障资金的供应商应提供相关文件证明； （5）书面声明：参加本次政府采购活动前三年内在经营活动中没有重大违纪，以及未被信用中国网（www.creditchina.gov.cn）列入失信被执行人、重大税收违法案件当事人名单，未被中国政府采购网（www.ccgp.gov.cn）列入政府采购严重违法失信行为记录名单的书面声明；（6）提供具有履行合同所必需的设备和专业技术能力的承诺函。（7）供应商应授权合法的人员参加谈判全过程，其中法定代表人/负责人直接谈判，须提交法定代表人/负责人身份证明书和身份证。法定代表人/负责人授权代表参加谈判的，须出具法定代表人/负责人授权书及授权代表身份证。</w:t>
      </w:r>
      <w:r>
        <w:rPr>
          <w:rFonts w:hint="eastAsia" w:ascii="宋体" w:hAnsi="宋体"/>
          <w:sz w:val="24"/>
          <w:lang w:eastAsia="zh-CN"/>
        </w:rPr>
        <w:t>（</w:t>
      </w:r>
      <w:r>
        <w:rPr>
          <w:rFonts w:hint="eastAsia" w:ascii="宋体" w:hAnsi="宋体"/>
          <w:sz w:val="24"/>
          <w:lang w:val="en-US" w:eastAsia="zh-CN"/>
        </w:rPr>
        <w:t>8）本项目为专门面向中小企业采购，供应商应提供中小企业声明函。</w:t>
      </w:r>
    </w:p>
    <w:p>
      <w:pPr>
        <w:widowControl/>
        <w:spacing w:line="560" w:lineRule="exact"/>
        <w:ind w:firstLine="480" w:firstLineChars="200"/>
        <w:jc w:val="left"/>
        <w:rPr>
          <w:rFonts w:hint="eastAsia" w:ascii="宋体" w:hAnsi="宋体"/>
          <w:sz w:val="24"/>
        </w:rPr>
      </w:pPr>
      <w:r>
        <w:rPr>
          <w:rFonts w:hint="eastAsia" w:ascii="宋体" w:hAnsi="宋体"/>
          <w:sz w:val="24"/>
        </w:rPr>
        <w:t>三、 采购文件的获取方式</w:t>
      </w:r>
    </w:p>
    <w:p>
      <w:pPr>
        <w:widowControl/>
        <w:spacing w:line="560" w:lineRule="exact"/>
        <w:ind w:firstLine="480" w:firstLineChars="200"/>
        <w:jc w:val="left"/>
        <w:rPr>
          <w:rFonts w:hint="eastAsia" w:ascii="宋体" w:hAnsi="宋体"/>
          <w:sz w:val="24"/>
          <w:highlight w:val="none"/>
        </w:rPr>
      </w:pPr>
      <w:r>
        <w:rPr>
          <w:rFonts w:hint="eastAsia" w:ascii="宋体" w:hAnsi="宋体"/>
          <w:sz w:val="24"/>
        </w:rPr>
        <w:t>时间</w:t>
      </w:r>
      <w:r>
        <w:rPr>
          <w:rFonts w:hint="eastAsia" w:ascii="宋体" w:hAnsi="宋体"/>
          <w:sz w:val="24"/>
          <w:highlight w:val="none"/>
        </w:rPr>
        <w:t>：即日起至202</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 xml:space="preserve">27 </w:t>
      </w:r>
      <w:r>
        <w:rPr>
          <w:rFonts w:hint="eastAsia" w:ascii="宋体" w:hAnsi="宋体"/>
          <w:sz w:val="24"/>
          <w:highlight w:val="none"/>
        </w:rPr>
        <w:t xml:space="preserve"> 17:00:00 止</w:t>
      </w:r>
    </w:p>
    <w:p>
      <w:pPr>
        <w:widowControl/>
        <w:spacing w:line="560" w:lineRule="exact"/>
        <w:ind w:firstLine="480" w:firstLineChars="200"/>
        <w:jc w:val="left"/>
        <w:rPr>
          <w:rFonts w:hint="eastAsia" w:ascii="宋体" w:hAnsi="宋体"/>
          <w:sz w:val="24"/>
        </w:rPr>
      </w:pPr>
      <w:r>
        <w:rPr>
          <w:rFonts w:hint="eastAsia" w:ascii="宋体" w:hAnsi="宋体"/>
          <w:sz w:val="24"/>
        </w:rPr>
        <w:t>地点：西安市碑林区南二环西段21号华融国际商务大厦A座22层</w:t>
      </w:r>
    </w:p>
    <w:p>
      <w:pPr>
        <w:widowControl/>
        <w:spacing w:line="560" w:lineRule="exact"/>
        <w:ind w:firstLine="480" w:firstLineChars="200"/>
        <w:jc w:val="left"/>
        <w:rPr>
          <w:rFonts w:hint="eastAsia" w:ascii="宋体" w:hAnsi="宋体" w:eastAsia="宋体"/>
          <w:sz w:val="24"/>
          <w:lang w:val="en-US" w:eastAsia="zh-CN"/>
        </w:rPr>
      </w:pPr>
      <w:r>
        <w:rPr>
          <w:rFonts w:hint="eastAsia" w:ascii="宋体" w:hAnsi="宋体"/>
          <w:sz w:val="24"/>
        </w:rPr>
        <w:t>方式：现场购买/邮寄</w:t>
      </w:r>
      <w:r>
        <w:rPr>
          <w:rFonts w:hint="eastAsia" w:ascii="宋体" w:hAnsi="宋体"/>
          <w:sz w:val="24"/>
          <w:lang w:val="en-US" w:eastAsia="zh-CN"/>
        </w:rPr>
        <w:t xml:space="preserve">   </w:t>
      </w:r>
      <w:r>
        <w:rPr>
          <w:rFonts w:hint="eastAsia" w:ascii="宋体" w:hAnsi="宋体"/>
          <w:sz w:val="24"/>
        </w:rPr>
        <w:t>售价：</w:t>
      </w:r>
      <w:r>
        <w:rPr>
          <w:rFonts w:hint="eastAsia" w:ascii="宋体" w:hAnsi="宋体"/>
          <w:sz w:val="24"/>
          <w:lang w:eastAsia="zh-CN"/>
        </w:rPr>
        <w:t>免费赠送</w:t>
      </w:r>
    </w:p>
    <w:p>
      <w:pPr>
        <w:widowControl/>
        <w:spacing w:line="560" w:lineRule="exact"/>
        <w:ind w:firstLine="480" w:firstLineChars="200"/>
        <w:jc w:val="left"/>
        <w:rPr>
          <w:rFonts w:hint="eastAsia" w:ascii="宋体" w:hAnsi="宋体"/>
          <w:sz w:val="24"/>
        </w:rPr>
      </w:pPr>
      <w:r>
        <w:rPr>
          <w:rFonts w:hint="eastAsia" w:ascii="宋体" w:hAnsi="宋体"/>
          <w:sz w:val="24"/>
        </w:rPr>
        <w:t>注：（</w:t>
      </w:r>
      <w:r>
        <w:rPr>
          <w:rFonts w:hint="eastAsia" w:ascii="宋体" w:hAnsi="宋体"/>
          <w:sz w:val="24"/>
          <w:highlight w:val="none"/>
        </w:rPr>
        <w:t>1）（北</w:t>
      </w:r>
      <w:r>
        <w:rPr>
          <w:rFonts w:hint="eastAsia" w:ascii="宋体" w:hAnsi="宋体"/>
          <w:sz w:val="24"/>
        </w:rPr>
        <w:t>京时间，法定节假日除外），请携带有效的单位介绍信及被介绍人身份证复印件加盖供应商公章在西安市碑林区南二环西段21号华融国际商务大厦A座22层</w:t>
      </w:r>
      <w:r>
        <w:rPr>
          <w:rFonts w:hint="eastAsia" w:ascii="宋体" w:hAnsi="宋体"/>
          <w:sz w:val="24"/>
          <w:lang w:eastAsia="zh-CN"/>
        </w:rPr>
        <w:t>领取</w:t>
      </w:r>
      <w:r>
        <w:rPr>
          <w:rFonts w:hint="eastAsia" w:ascii="宋体" w:hAnsi="宋体"/>
          <w:sz w:val="24"/>
        </w:rPr>
        <w:t>谈判文件</w:t>
      </w:r>
      <w:r>
        <w:rPr>
          <w:rFonts w:hint="eastAsia" w:ascii="宋体" w:hAnsi="宋体"/>
          <w:sz w:val="24"/>
          <w:lang w:eastAsia="zh-CN"/>
        </w:rPr>
        <w:t>，</w:t>
      </w:r>
      <w:r>
        <w:rPr>
          <w:rFonts w:hint="eastAsia" w:ascii="宋体" w:hAnsi="宋体"/>
          <w:sz w:val="24"/>
        </w:rPr>
        <w:t>谢绝邮递。（2）请供应商按照陕西省财政厅关于政府采购供应商注册登记有关事项的通知中的要求，通过陕西省政府采购网（http://www.ccgp-shaanxi.gov.cn/）注册登记加入陕西省政府采购供应商库。</w:t>
      </w:r>
    </w:p>
    <w:p>
      <w:pPr>
        <w:widowControl/>
        <w:spacing w:line="560" w:lineRule="exact"/>
        <w:ind w:firstLine="480" w:firstLineChars="200"/>
        <w:jc w:val="left"/>
        <w:rPr>
          <w:rFonts w:hint="eastAsia" w:ascii="宋体" w:hAnsi="宋体"/>
          <w:sz w:val="24"/>
          <w:highlight w:val="none"/>
        </w:rPr>
      </w:pPr>
      <w:r>
        <w:rPr>
          <w:rFonts w:hint="eastAsia" w:ascii="宋体" w:hAnsi="宋体"/>
          <w:sz w:val="24"/>
          <w:highlight w:val="none"/>
        </w:rPr>
        <w:t>四、 响应文件递交</w:t>
      </w:r>
    </w:p>
    <w:p>
      <w:pPr>
        <w:widowControl/>
        <w:spacing w:line="560" w:lineRule="exact"/>
        <w:ind w:firstLine="480" w:firstLineChars="200"/>
        <w:jc w:val="left"/>
        <w:rPr>
          <w:rFonts w:hint="eastAsia" w:ascii="宋体" w:hAnsi="宋体"/>
          <w:sz w:val="24"/>
          <w:highlight w:val="none"/>
        </w:rPr>
      </w:pPr>
      <w:r>
        <w:rPr>
          <w:rFonts w:hint="eastAsia" w:ascii="宋体" w:hAnsi="宋体"/>
          <w:sz w:val="24"/>
          <w:highlight w:val="none"/>
        </w:rPr>
        <w:t>截止时间： 202</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29</w:t>
      </w:r>
      <w:r>
        <w:rPr>
          <w:rFonts w:hint="eastAsia" w:ascii="宋体" w:hAnsi="宋体"/>
          <w:sz w:val="24"/>
          <w:highlight w:val="none"/>
        </w:rPr>
        <w:t xml:space="preserve">  </w:t>
      </w:r>
      <w:r>
        <w:rPr>
          <w:rFonts w:hint="eastAsia" w:ascii="宋体" w:hAnsi="宋体"/>
          <w:sz w:val="24"/>
          <w:highlight w:val="none"/>
          <w:lang w:val="en-US" w:eastAsia="zh-CN"/>
        </w:rPr>
        <w:t>15</w:t>
      </w: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0:00</w:t>
      </w:r>
    </w:p>
    <w:p>
      <w:pPr>
        <w:widowControl/>
        <w:spacing w:line="560" w:lineRule="exact"/>
        <w:ind w:firstLine="480" w:firstLineChars="200"/>
        <w:jc w:val="left"/>
        <w:rPr>
          <w:rFonts w:hint="default" w:ascii="宋体" w:hAnsi="宋体" w:eastAsia="宋体"/>
          <w:sz w:val="24"/>
          <w:highlight w:val="none"/>
          <w:lang w:val="en-US" w:eastAsia="zh-CN"/>
        </w:rPr>
      </w:pPr>
      <w:r>
        <w:rPr>
          <w:rFonts w:hint="eastAsia" w:ascii="宋体" w:hAnsi="宋体"/>
          <w:sz w:val="24"/>
          <w:highlight w:val="none"/>
        </w:rPr>
        <w:t>地点：</w:t>
      </w:r>
      <w:r>
        <w:rPr>
          <w:rFonts w:hint="eastAsia" w:ascii="宋体" w:hAnsi="宋体"/>
          <w:sz w:val="24"/>
          <w:highlight w:val="none"/>
          <w:lang w:eastAsia="zh-CN"/>
        </w:rPr>
        <w:t>西安市南二环西段</w:t>
      </w:r>
      <w:r>
        <w:rPr>
          <w:rFonts w:hint="eastAsia" w:ascii="宋体" w:hAnsi="宋体"/>
          <w:sz w:val="24"/>
          <w:highlight w:val="none"/>
          <w:lang w:val="en-US" w:eastAsia="zh-CN"/>
        </w:rPr>
        <w:t>58</w:t>
      </w:r>
      <w:r>
        <w:rPr>
          <w:rFonts w:hint="eastAsia" w:ascii="宋体" w:hAnsi="宋体"/>
          <w:sz w:val="24"/>
          <w:highlight w:val="none"/>
          <w:lang w:eastAsia="zh-CN"/>
        </w:rPr>
        <w:t>号成长大厦</w:t>
      </w:r>
      <w:r>
        <w:rPr>
          <w:rFonts w:hint="eastAsia" w:ascii="宋体" w:hAnsi="宋体"/>
          <w:sz w:val="24"/>
          <w:highlight w:val="none"/>
          <w:lang w:val="en-US" w:eastAsia="zh-CN"/>
        </w:rPr>
        <w:t>8楼会议室</w:t>
      </w:r>
    </w:p>
    <w:p>
      <w:pPr>
        <w:widowControl/>
        <w:spacing w:line="560" w:lineRule="exact"/>
        <w:ind w:firstLine="480" w:firstLineChars="200"/>
        <w:jc w:val="left"/>
        <w:rPr>
          <w:rFonts w:hint="eastAsia" w:ascii="宋体" w:hAnsi="宋体"/>
          <w:sz w:val="24"/>
          <w:highlight w:val="none"/>
        </w:rPr>
      </w:pPr>
      <w:r>
        <w:rPr>
          <w:rFonts w:hint="eastAsia" w:ascii="宋体" w:hAnsi="宋体"/>
          <w:sz w:val="24"/>
          <w:highlight w:val="none"/>
        </w:rPr>
        <w:t>五、对本次采购提出询问，请按以下方式联系。</w:t>
      </w:r>
    </w:p>
    <w:p>
      <w:pPr>
        <w:widowControl/>
        <w:spacing w:line="560" w:lineRule="exact"/>
        <w:ind w:firstLine="480" w:firstLineChars="200"/>
        <w:jc w:val="left"/>
        <w:rPr>
          <w:rFonts w:hint="eastAsia" w:ascii="宋体" w:hAnsi="宋体" w:eastAsia="宋体"/>
          <w:sz w:val="24"/>
          <w:highlight w:val="none"/>
          <w:lang w:val="en-US" w:eastAsia="zh-CN"/>
        </w:rPr>
      </w:pPr>
      <w:r>
        <w:rPr>
          <w:rFonts w:hint="eastAsia" w:ascii="宋体" w:hAnsi="宋体"/>
          <w:sz w:val="24"/>
          <w:highlight w:val="none"/>
        </w:rPr>
        <w:t>1、采购人信息：</w:t>
      </w:r>
      <w:r>
        <w:rPr>
          <w:rFonts w:hint="eastAsia" w:ascii="宋体" w:hAnsi="宋体"/>
          <w:sz w:val="24"/>
          <w:highlight w:val="none"/>
          <w:lang w:eastAsia="zh-CN"/>
        </w:rPr>
        <w:t>西安市长安区机关事务服务中心</w:t>
      </w:r>
    </w:p>
    <w:p>
      <w:pPr>
        <w:widowControl/>
        <w:spacing w:line="560" w:lineRule="exact"/>
        <w:ind w:firstLine="480" w:firstLineChars="200"/>
        <w:jc w:val="left"/>
        <w:rPr>
          <w:rFonts w:hint="default" w:ascii="宋体" w:hAnsi="宋体" w:eastAsia="宋体"/>
          <w:sz w:val="24"/>
          <w:highlight w:val="none"/>
          <w:lang w:val="en-US" w:eastAsia="zh-CN"/>
        </w:rPr>
      </w:pPr>
      <w:r>
        <w:rPr>
          <w:rFonts w:hint="eastAsia" w:ascii="宋体" w:hAnsi="宋体"/>
          <w:sz w:val="24"/>
          <w:highlight w:val="none"/>
        </w:rPr>
        <w:t>地址：西安市长安区长安街669号</w:t>
      </w:r>
      <w:r>
        <w:rPr>
          <w:rFonts w:hint="eastAsia" w:ascii="宋体" w:hAnsi="宋体"/>
          <w:sz w:val="24"/>
          <w:highlight w:val="none"/>
          <w:lang w:val="en-US" w:eastAsia="zh-CN"/>
        </w:rPr>
        <w:t xml:space="preserve">   </w:t>
      </w:r>
    </w:p>
    <w:p>
      <w:pPr>
        <w:widowControl/>
        <w:spacing w:line="560" w:lineRule="exact"/>
        <w:ind w:firstLine="480" w:firstLineChars="200"/>
        <w:jc w:val="left"/>
        <w:rPr>
          <w:rFonts w:hint="eastAsia" w:ascii="宋体" w:hAnsi="宋体"/>
          <w:sz w:val="24"/>
          <w:highlight w:val="none"/>
        </w:rPr>
      </w:pPr>
      <w:r>
        <w:rPr>
          <w:rFonts w:hint="eastAsia" w:ascii="宋体" w:hAnsi="宋体"/>
          <w:sz w:val="24"/>
          <w:highlight w:val="none"/>
        </w:rPr>
        <w:t>联系人：公务用车管理科</w:t>
      </w:r>
    </w:p>
    <w:p>
      <w:pPr>
        <w:widowControl/>
        <w:spacing w:line="560" w:lineRule="exact"/>
        <w:ind w:firstLine="480" w:firstLineChars="200"/>
        <w:jc w:val="left"/>
        <w:rPr>
          <w:rFonts w:hint="eastAsia" w:ascii="宋体" w:hAnsi="宋体"/>
          <w:sz w:val="24"/>
          <w:highlight w:val="none"/>
        </w:rPr>
      </w:pPr>
      <w:r>
        <w:rPr>
          <w:rFonts w:hint="eastAsia" w:ascii="宋体" w:hAnsi="宋体"/>
          <w:sz w:val="24"/>
          <w:highlight w:val="none"/>
        </w:rPr>
        <w:t>电话：029-89258066</w:t>
      </w:r>
    </w:p>
    <w:p>
      <w:pPr>
        <w:widowControl/>
        <w:spacing w:line="560" w:lineRule="exact"/>
        <w:ind w:firstLine="480" w:firstLineChars="200"/>
        <w:jc w:val="left"/>
        <w:rPr>
          <w:rFonts w:hint="eastAsia" w:ascii="宋体" w:hAnsi="宋体"/>
          <w:sz w:val="24"/>
          <w:highlight w:val="none"/>
        </w:rPr>
      </w:pPr>
      <w:r>
        <w:rPr>
          <w:rFonts w:hint="eastAsia" w:ascii="宋体" w:hAnsi="宋体"/>
          <w:sz w:val="24"/>
          <w:highlight w:val="none"/>
        </w:rPr>
        <w:t>2、项目联系方式</w:t>
      </w:r>
    </w:p>
    <w:p>
      <w:pPr>
        <w:widowControl/>
        <w:spacing w:line="560" w:lineRule="exact"/>
        <w:ind w:firstLine="480" w:firstLineChars="200"/>
        <w:jc w:val="left"/>
        <w:rPr>
          <w:rFonts w:hint="eastAsia" w:ascii="宋体" w:hAnsi="宋体"/>
          <w:sz w:val="24"/>
        </w:rPr>
      </w:pPr>
      <w:r>
        <w:rPr>
          <w:rFonts w:hint="eastAsia" w:ascii="宋体" w:hAnsi="宋体"/>
          <w:sz w:val="24"/>
        </w:rPr>
        <w:t>项目联系人：杨工</w:t>
      </w:r>
    </w:p>
    <w:p>
      <w:pPr>
        <w:widowControl/>
        <w:spacing w:line="560" w:lineRule="exact"/>
        <w:ind w:firstLine="480" w:firstLineChars="200"/>
        <w:jc w:val="left"/>
        <w:rPr>
          <w:rFonts w:hint="eastAsia" w:ascii="宋体" w:hAnsi="宋体"/>
          <w:sz w:val="24"/>
        </w:rPr>
      </w:pPr>
      <w:r>
        <w:rPr>
          <w:rFonts w:hint="eastAsia" w:ascii="宋体" w:hAnsi="宋体"/>
          <w:sz w:val="24"/>
        </w:rPr>
        <w:t>电 话：17719677871</w:t>
      </w:r>
    </w:p>
    <w:p>
      <w:pPr>
        <w:widowControl/>
        <w:spacing w:line="560" w:lineRule="exact"/>
        <w:ind w:firstLine="480" w:firstLineChars="200"/>
        <w:jc w:val="left"/>
        <w:rPr>
          <w:rFonts w:hint="eastAsia" w:ascii="宋体" w:hAnsi="宋体"/>
          <w:sz w:val="24"/>
        </w:rPr>
      </w:pPr>
      <w:r>
        <w:rPr>
          <w:rFonts w:hint="eastAsia" w:ascii="宋体" w:hAnsi="宋体"/>
          <w:sz w:val="24"/>
        </w:rPr>
        <w:t>3、采购代理机构信息</w:t>
      </w:r>
    </w:p>
    <w:p>
      <w:pPr>
        <w:widowControl/>
        <w:spacing w:line="560" w:lineRule="exact"/>
        <w:ind w:firstLine="480" w:firstLineChars="200"/>
        <w:jc w:val="left"/>
        <w:rPr>
          <w:rFonts w:hint="eastAsia" w:ascii="宋体" w:hAnsi="宋体" w:eastAsia="宋体"/>
          <w:sz w:val="24"/>
          <w:lang w:eastAsia="zh-CN"/>
        </w:rPr>
      </w:pPr>
      <w:r>
        <w:rPr>
          <w:rFonts w:hint="eastAsia" w:ascii="宋体" w:hAnsi="宋体"/>
          <w:sz w:val="24"/>
        </w:rPr>
        <w:t>名称：</w:t>
      </w:r>
      <w:r>
        <w:rPr>
          <w:rFonts w:hint="eastAsia" w:ascii="宋体" w:hAnsi="宋体"/>
          <w:sz w:val="24"/>
          <w:lang w:eastAsia="zh-CN"/>
        </w:rPr>
        <w:t>华春建设工程项目管理有限责任公司</w:t>
      </w:r>
    </w:p>
    <w:p>
      <w:pPr>
        <w:widowControl/>
        <w:spacing w:line="560" w:lineRule="exact"/>
        <w:ind w:firstLine="480" w:firstLineChars="200"/>
        <w:jc w:val="left"/>
        <w:rPr>
          <w:rFonts w:hint="eastAsia" w:ascii="宋体" w:hAnsi="宋体"/>
          <w:sz w:val="24"/>
          <w:lang w:eastAsia="zh-CN"/>
        </w:rPr>
      </w:pPr>
      <w:r>
        <w:rPr>
          <w:rFonts w:hint="eastAsia" w:ascii="宋体" w:hAnsi="宋体"/>
          <w:sz w:val="24"/>
        </w:rPr>
        <w:t>联系地址：</w:t>
      </w:r>
      <w:r>
        <w:rPr>
          <w:rFonts w:hint="eastAsia" w:ascii="宋体" w:hAnsi="宋体"/>
          <w:sz w:val="24"/>
          <w:lang w:eastAsia="zh-CN"/>
        </w:rPr>
        <w:t>西安市碑林区南二环西段21号华融国际商务大厦A座22层</w:t>
      </w:r>
    </w:p>
    <w:p>
      <w:pPr>
        <w:widowControl/>
        <w:spacing w:line="560" w:lineRule="exact"/>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eastAsia="zh-CN"/>
        </w:rPr>
        <w:t>联系方式：</w:t>
      </w:r>
      <w:r>
        <w:rPr>
          <w:rFonts w:hint="eastAsia" w:ascii="宋体" w:hAnsi="宋体" w:eastAsia="宋体" w:cs="Times New Roman"/>
          <w:sz w:val="24"/>
          <w:lang w:eastAsia="zh-CN"/>
        </w:rPr>
        <w:fldChar w:fldCharType="begin"/>
      </w:r>
      <w:r>
        <w:rPr>
          <w:rFonts w:hint="eastAsia" w:ascii="宋体" w:hAnsi="宋体" w:eastAsia="宋体" w:cs="Times New Roman"/>
          <w:sz w:val="24"/>
          <w:lang w:eastAsia="zh-CN"/>
        </w:rPr>
        <w:instrText xml:space="preserve"> HYPERLINK "http://www.ccgp.gov.cn/agency/a_agencylist.html" \t "_blank" </w:instrText>
      </w:r>
      <w:r>
        <w:rPr>
          <w:rFonts w:hint="eastAsia" w:ascii="宋体" w:hAnsi="宋体" w:eastAsia="宋体" w:cs="Times New Roman"/>
          <w:sz w:val="24"/>
          <w:lang w:eastAsia="zh-CN"/>
        </w:rPr>
        <w:fldChar w:fldCharType="separate"/>
      </w:r>
      <w:r>
        <w:rPr>
          <w:rFonts w:hint="eastAsia" w:ascii="宋体" w:hAnsi="宋体" w:eastAsia="宋体" w:cs="Times New Roman"/>
          <w:sz w:val="24"/>
          <w:lang w:eastAsia="zh-CN"/>
        </w:rPr>
        <w:t>http://www.ccgp.gov.cn/agency/a_agencylist.html</w:t>
      </w:r>
      <w:r>
        <w:rPr>
          <w:rFonts w:hint="eastAsia" w:ascii="宋体" w:hAnsi="宋体" w:eastAsia="宋体" w:cs="Times New Roman"/>
          <w:sz w:val="24"/>
          <w:lang w:eastAsia="zh-CN"/>
        </w:rPr>
        <w:fldChar w:fldCharType="end"/>
      </w:r>
    </w:p>
    <w:p>
      <w:pPr>
        <w:spacing w:line="560" w:lineRule="exact"/>
        <w:jc w:val="right"/>
        <w:rPr>
          <w:rFonts w:hint="eastAsia" w:ascii="宋体" w:hAnsi="宋体"/>
          <w:sz w:val="24"/>
        </w:rPr>
      </w:pPr>
      <w:r>
        <w:rPr>
          <w:rFonts w:hint="eastAsia" w:ascii="宋体" w:hAnsi="宋体"/>
          <w:sz w:val="24"/>
          <w:lang w:eastAsia="zh-CN"/>
        </w:rPr>
        <w:t>华春建设工程项目管理有限责任公司</w:t>
      </w:r>
      <w:r>
        <w:rPr>
          <w:rFonts w:hint="eastAsia" w:ascii="宋体" w:hAnsi="宋体"/>
          <w:sz w:val="24"/>
        </w:rPr>
        <w:t xml:space="preserve">                              </w:t>
      </w:r>
    </w:p>
    <w:p>
      <w:pPr>
        <w:spacing w:line="560" w:lineRule="exact"/>
        <w:rPr>
          <w:rFonts w:hint="eastAsia" w:ascii="宋体" w:hAnsi="宋体"/>
          <w:sz w:val="24"/>
          <w:highlight w:val="none"/>
        </w:rPr>
        <w:sectPr>
          <w:headerReference r:id="rId13" w:type="default"/>
          <w:footerReference r:id="rId14" w:type="default"/>
          <w:pgSz w:w="11906" w:h="16838"/>
          <w:pgMar w:top="1418" w:right="1247" w:bottom="1418" w:left="1247" w:header="851" w:footer="992" w:gutter="0"/>
          <w:cols w:space="720" w:num="1"/>
          <w:docGrid w:type="linesAndChars" w:linePitch="312" w:charSpace="0"/>
        </w:sectPr>
      </w:pPr>
      <w:r>
        <w:rPr>
          <w:rFonts w:hint="eastAsia" w:ascii="宋体" w:hAnsi="宋体"/>
          <w:sz w:val="24"/>
        </w:rPr>
        <w:t xml:space="preserve">                                                    </w:t>
      </w:r>
      <w:r>
        <w:rPr>
          <w:rFonts w:hint="eastAsia" w:ascii="宋体" w:hAnsi="宋体"/>
          <w:sz w:val="24"/>
          <w:highlight w:val="none"/>
        </w:rPr>
        <w:t xml:space="preserve">   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22</w:t>
      </w:r>
      <w:r>
        <w:rPr>
          <w:rFonts w:hint="eastAsia" w:ascii="宋体" w:hAnsi="宋体"/>
          <w:sz w:val="24"/>
          <w:highlight w:val="none"/>
        </w:rPr>
        <w:t>日</w:t>
      </w:r>
    </w:p>
    <w:p>
      <w:pPr>
        <w:pStyle w:val="4"/>
        <w:keepNext w:val="0"/>
        <w:keepLines w:val="0"/>
        <w:spacing w:before="0" w:after="0" w:line="560" w:lineRule="exact"/>
        <w:rPr>
          <w:rFonts w:hint="eastAsia" w:ascii="宋体" w:hAnsi="宋体"/>
          <w:sz w:val="36"/>
          <w:szCs w:val="36"/>
        </w:rPr>
      </w:pPr>
      <w:bookmarkStart w:id="9" w:name="_Toc19394"/>
      <w:bookmarkStart w:id="10" w:name="_Toc6239"/>
      <w:bookmarkStart w:id="11" w:name="_Toc12067"/>
      <w:bookmarkStart w:id="12" w:name="_Toc328739377"/>
      <w:r>
        <w:rPr>
          <w:rFonts w:hint="eastAsia" w:ascii="宋体" w:hAnsi="宋体"/>
          <w:sz w:val="36"/>
          <w:szCs w:val="36"/>
        </w:rPr>
        <w:t>第二部分  供应商须知</w:t>
      </w:r>
      <w:bookmarkEnd w:id="9"/>
      <w:bookmarkEnd w:id="10"/>
      <w:bookmarkEnd w:id="11"/>
      <w:bookmarkEnd w:id="12"/>
    </w:p>
    <w:p>
      <w:pPr>
        <w:spacing w:line="560" w:lineRule="exact"/>
        <w:jc w:val="center"/>
        <w:rPr>
          <w:rFonts w:hint="eastAsia" w:ascii="宋体" w:hAnsi="宋体"/>
          <w:b/>
          <w:sz w:val="30"/>
          <w:szCs w:val="30"/>
        </w:rPr>
      </w:pPr>
      <w:r>
        <w:rPr>
          <w:rFonts w:hint="eastAsia" w:ascii="宋体" w:hAnsi="宋体"/>
          <w:b/>
          <w:sz w:val="30"/>
          <w:szCs w:val="30"/>
        </w:rPr>
        <w:t>一．名词解释</w:t>
      </w:r>
    </w:p>
    <w:p>
      <w:pPr>
        <w:tabs>
          <w:tab w:val="left" w:pos="480"/>
        </w:tabs>
        <w:spacing w:line="560" w:lineRule="exact"/>
        <w:rPr>
          <w:rFonts w:hint="eastAsia" w:ascii="宋体" w:hAnsi="宋体" w:eastAsia="宋体"/>
          <w:spacing w:val="-6"/>
          <w:sz w:val="24"/>
          <w:lang w:eastAsia="zh-CN"/>
        </w:rPr>
      </w:pPr>
      <w:r>
        <w:rPr>
          <w:rFonts w:hint="eastAsia" w:ascii="宋体" w:hAnsi="宋体"/>
          <w:spacing w:val="-6"/>
          <w:sz w:val="24"/>
        </w:rPr>
        <w:t>1、采购人：</w:t>
      </w:r>
      <w:r>
        <w:rPr>
          <w:rFonts w:hint="eastAsia" w:ascii="宋体" w:hAnsi="宋体"/>
          <w:sz w:val="24"/>
          <w:lang w:eastAsia="zh-CN"/>
        </w:rPr>
        <w:t>西安市长安区机关事务服务中心</w:t>
      </w:r>
    </w:p>
    <w:p>
      <w:pPr>
        <w:tabs>
          <w:tab w:val="left" w:pos="480"/>
        </w:tabs>
        <w:spacing w:line="560" w:lineRule="exact"/>
        <w:rPr>
          <w:rFonts w:hint="eastAsia" w:ascii="宋体" w:hAnsi="宋体"/>
          <w:spacing w:val="-6"/>
          <w:sz w:val="24"/>
        </w:rPr>
      </w:pPr>
      <w:r>
        <w:rPr>
          <w:rFonts w:hint="eastAsia" w:ascii="宋体" w:hAnsi="宋体"/>
          <w:spacing w:val="-6"/>
          <w:sz w:val="24"/>
        </w:rPr>
        <w:t>2、监督机构：西安市</w:t>
      </w:r>
      <w:r>
        <w:rPr>
          <w:rFonts w:hint="eastAsia" w:ascii="宋体" w:hAnsi="宋体"/>
          <w:spacing w:val="-6"/>
          <w:sz w:val="24"/>
          <w:lang w:eastAsia="zh-CN"/>
        </w:rPr>
        <w:t>长安区</w:t>
      </w:r>
      <w:r>
        <w:rPr>
          <w:rFonts w:hint="eastAsia" w:ascii="宋体" w:hAnsi="宋体"/>
          <w:sz w:val="24"/>
        </w:rPr>
        <w:t>财政局</w:t>
      </w:r>
    </w:p>
    <w:p>
      <w:pPr>
        <w:tabs>
          <w:tab w:val="left" w:pos="480"/>
        </w:tabs>
        <w:spacing w:line="560" w:lineRule="exact"/>
        <w:rPr>
          <w:rFonts w:hint="eastAsia" w:ascii="宋体" w:hAnsi="宋体" w:eastAsia="宋体"/>
          <w:spacing w:val="-6"/>
          <w:sz w:val="24"/>
          <w:lang w:eastAsia="zh-CN"/>
        </w:rPr>
      </w:pPr>
      <w:r>
        <w:rPr>
          <w:rFonts w:hint="eastAsia" w:ascii="宋体" w:hAnsi="宋体"/>
          <w:spacing w:val="-6"/>
          <w:sz w:val="24"/>
        </w:rPr>
        <w:t>3、采购代理机构：</w:t>
      </w:r>
      <w:r>
        <w:rPr>
          <w:rFonts w:hint="eastAsia" w:ascii="宋体" w:hAnsi="宋体"/>
          <w:spacing w:val="-6"/>
          <w:sz w:val="24"/>
          <w:lang w:eastAsia="zh-CN"/>
        </w:rPr>
        <w:t>华春建设工程项目管理有限责任公司</w:t>
      </w:r>
    </w:p>
    <w:p>
      <w:pPr>
        <w:tabs>
          <w:tab w:val="left" w:pos="480"/>
        </w:tabs>
        <w:spacing w:line="560" w:lineRule="exact"/>
        <w:rPr>
          <w:rFonts w:hint="eastAsia" w:ascii="宋体" w:hAnsi="宋体"/>
          <w:spacing w:val="-6"/>
          <w:sz w:val="24"/>
        </w:rPr>
      </w:pPr>
      <w:r>
        <w:rPr>
          <w:rFonts w:hint="eastAsia" w:ascii="宋体" w:hAnsi="宋体"/>
          <w:spacing w:val="-6"/>
          <w:sz w:val="24"/>
        </w:rPr>
        <w:t>4、谈判供应商：</w:t>
      </w:r>
      <w:r>
        <w:rPr>
          <w:rFonts w:hint="eastAsia" w:ascii="宋体" w:hAnsi="宋体"/>
          <w:sz w:val="24"/>
        </w:rPr>
        <w:t>满足本次采购要求的供应商</w:t>
      </w:r>
    </w:p>
    <w:p>
      <w:pPr>
        <w:tabs>
          <w:tab w:val="left" w:pos="480"/>
        </w:tabs>
        <w:spacing w:line="560" w:lineRule="exact"/>
        <w:rPr>
          <w:rFonts w:hint="eastAsia" w:ascii="宋体" w:hAnsi="宋体"/>
          <w:spacing w:val="-6"/>
          <w:sz w:val="24"/>
        </w:rPr>
      </w:pPr>
      <w:r>
        <w:rPr>
          <w:rFonts w:hint="eastAsia" w:ascii="宋体" w:hAnsi="宋体"/>
          <w:sz w:val="24"/>
        </w:rPr>
        <w:t>5、成交供应商：由谈判小组推荐经采购单位确认的谈判供应商</w:t>
      </w:r>
    </w:p>
    <w:p>
      <w:pPr>
        <w:numPr>
          <w:ilvl w:val="0"/>
          <w:numId w:val="2"/>
        </w:numPr>
        <w:spacing w:line="560" w:lineRule="exact"/>
        <w:jc w:val="center"/>
        <w:rPr>
          <w:rFonts w:hint="eastAsia" w:ascii="宋体" w:hAnsi="宋体"/>
          <w:b/>
          <w:sz w:val="30"/>
          <w:szCs w:val="30"/>
        </w:rPr>
      </w:pPr>
      <w:r>
        <w:rPr>
          <w:rFonts w:hint="eastAsia" w:ascii="宋体" w:hAnsi="宋体"/>
          <w:b/>
          <w:sz w:val="30"/>
          <w:szCs w:val="30"/>
        </w:rPr>
        <w:t>供应商</w:t>
      </w:r>
    </w:p>
    <w:p>
      <w:pPr>
        <w:spacing w:line="560" w:lineRule="exact"/>
        <w:ind w:firstLine="120" w:firstLineChars="50"/>
        <w:rPr>
          <w:rFonts w:hint="eastAsia" w:ascii="宋体" w:hAnsi="宋体"/>
          <w:b/>
          <w:sz w:val="24"/>
        </w:rPr>
      </w:pPr>
      <w:r>
        <w:rPr>
          <w:rFonts w:hint="eastAsia" w:ascii="宋体" w:hAnsi="宋体"/>
          <w:b/>
          <w:sz w:val="24"/>
        </w:rPr>
        <w:t>1、合格供应商</w:t>
      </w:r>
    </w:p>
    <w:p>
      <w:pPr>
        <w:spacing w:line="560" w:lineRule="exact"/>
        <w:ind w:firstLine="240" w:firstLineChars="100"/>
        <w:rPr>
          <w:rFonts w:hint="eastAsia" w:ascii="宋体" w:hAnsi="宋体"/>
          <w:sz w:val="24"/>
        </w:rPr>
      </w:pPr>
      <w:r>
        <w:rPr>
          <w:rFonts w:hint="eastAsia" w:ascii="宋体" w:hAnsi="宋体"/>
          <w:sz w:val="24"/>
        </w:rPr>
        <w:t>（1）</w:t>
      </w:r>
      <w:r>
        <w:rPr>
          <w:rFonts w:hint="eastAsia" w:ascii="宋体" w:hAnsi="宋体" w:cs="宋体"/>
          <w:sz w:val="24"/>
        </w:rPr>
        <w:t>具有独立承担民事责任的能力；</w:t>
      </w:r>
    </w:p>
    <w:p>
      <w:pPr>
        <w:spacing w:line="560" w:lineRule="exact"/>
        <w:ind w:firstLine="240" w:firstLineChars="100"/>
        <w:rPr>
          <w:rFonts w:hint="eastAsia" w:ascii="宋体" w:hAnsi="宋体" w:cs="宋体"/>
          <w:sz w:val="24"/>
        </w:rPr>
      </w:pPr>
      <w:r>
        <w:rPr>
          <w:rFonts w:hint="eastAsia" w:ascii="宋体" w:hAnsi="宋体"/>
          <w:sz w:val="24"/>
        </w:rPr>
        <w:t>（2）</w:t>
      </w:r>
      <w:r>
        <w:rPr>
          <w:rFonts w:hint="eastAsia" w:ascii="宋体" w:hAnsi="宋体" w:cs="宋体"/>
          <w:sz w:val="24"/>
        </w:rPr>
        <w:t>具有良好的商业信誉和健全的财务会计制度；</w:t>
      </w:r>
    </w:p>
    <w:p>
      <w:pPr>
        <w:spacing w:line="560" w:lineRule="exact"/>
        <w:ind w:firstLine="240" w:firstLineChars="100"/>
        <w:rPr>
          <w:rFonts w:hint="eastAsia" w:ascii="宋体" w:hAnsi="宋体"/>
          <w:sz w:val="24"/>
        </w:rPr>
      </w:pPr>
      <w:r>
        <w:rPr>
          <w:rFonts w:hint="eastAsia" w:ascii="宋体" w:hAnsi="宋体"/>
          <w:sz w:val="24"/>
        </w:rPr>
        <w:t>（3）</w:t>
      </w:r>
      <w:r>
        <w:rPr>
          <w:rFonts w:hint="eastAsia" w:ascii="宋体" w:hAnsi="宋体" w:cs="宋体"/>
          <w:sz w:val="24"/>
        </w:rPr>
        <w:t>具有履行合同所必需的设备和专业技术能力；</w:t>
      </w:r>
    </w:p>
    <w:p>
      <w:pPr>
        <w:spacing w:line="560" w:lineRule="exact"/>
        <w:ind w:firstLine="240" w:firstLineChars="100"/>
        <w:rPr>
          <w:rFonts w:hint="eastAsia" w:ascii="宋体" w:hAnsi="宋体" w:cs="宋体"/>
          <w:sz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cs="宋体"/>
          <w:sz w:val="24"/>
        </w:rPr>
        <w:t>有依法缴纳税收和社会保障资金的良好记录；</w:t>
      </w:r>
    </w:p>
    <w:p>
      <w:pPr>
        <w:spacing w:line="560" w:lineRule="exact"/>
        <w:ind w:firstLine="240" w:firstLineChars="100"/>
        <w:rPr>
          <w:rFonts w:hint="eastAsia" w:ascii="宋体" w:hAnsi="宋体"/>
          <w:sz w:val="24"/>
        </w:rPr>
      </w:pPr>
      <w:r>
        <w:rPr>
          <w:rFonts w:hint="eastAsia" w:ascii="宋体" w:hAnsi="宋体"/>
          <w:sz w:val="24"/>
        </w:rPr>
        <w:t>（5）</w:t>
      </w:r>
      <w:r>
        <w:rPr>
          <w:rFonts w:hint="eastAsia" w:ascii="宋体" w:hAnsi="宋体" w:cs="宋体"/>
          <w:sz w:val="24"/>
        </w:rPr>
        <w:t>参加政府采购活动前三年内，在经营活动中没有重大违法记录；</w:t>
      </w:r>
    </w:p>
    <w:p>
      <w:pPr>
        <w:spacing w:line="560" w:lineRule="exact"/>
        <w:ind w:firstLine="240" w:firstLineChars="100"/>
        <w:rPr>
          <w:rFonts w:hint="eastAsia" w:ascii="宋体" w:hAnsi="宋体"/>
          <w:sz w:val="24"/>
        </w:rPr>
      </w:pPr>
      <w:r>
        <w:rPr>
          <w:rFonts w:hint="eastAsia" w:ascii="宋体" w:hAnsi="宋体"/>
          <w:sz w:val="24"/>
        </w:rPr>
        <w:t>（6）法律、行政法规规定的其他条件。</w:t>
      </w:r>
    </w:p>
    <w:p>
      <w:pPr>
        <w:spacing w:line="560" w:lineRule="exact"/>
        <w:rPr>
          <w:rFonts w:hint="eastAsia" w:ascii="宋体" w:hAnsi="宋体"/>
          <w:b/>
          <w:sz w:val="24"/>
        </w:rPr>
      </w:pPr>
      <w:r>
        <w:rPr>
          <w:rFonts w:hint="eastAsia" w:ascii="宋体" w:hAnsi="宋体"/>
          <w:b/>
          <w:sz w:val="24"/>
        </w:rPr>
        <w:t>2、谈判费用</w:t>
      </w:r>
    </w:p>
    <w:p>
      <w:pPr>
        <w:spacing w:line="560" w:lineRule="exact"/>
        <w:ind w:firstLine="480" w:firstLineChars="200"/>
        <w:rPr>
          <w:rFonts w:hint="eastAsia" w:ascii="宋体" w:hAnsi="宋体"/>
          <w:sz w:val="24"/>
        </w:rPr>
      </w:pPr>
      <w:r>
        <w:rPr>
          <w:rFonts w:hint="eastAsia" w:ascii="宋体" w:hAnsi="宋体"/>
          <w:sz w:val="24"/>
        </w:rPr>
        <w:t>无论谈判结果如何，谈判供应商自行承担参加谈判相关的全部费用。</w:t>
      </w:r>
    </w:p>
    <w:p>
      <w:pPr>
        <w:spacing w:line="560" w:lineRule="exact"/>
        <w:jc w:val="center"/>
        <w:rPr>
          <w:rFonts w:hint="eastAsia" w:ascii="宋体" w:hAnsi="宋体"/>
          <w:sz w:val="30"/>
          <w:szCs w:val="30"/>
        </w:rPr>
      </w:pPr>
      <w:r>
        <w:rPr>
          <w:rFonts w:hint="eastAsia" w:ascii="宋体" w:hAnsi="宋体"/>
          <w:b/>
          <w:sz w:val="30"/>
          <w:szCs w:val="30"/>
        </w:rPr>
        <w:t>三．谈判文件</w:t>
      </w:r>
    </w:p>
    <w:p>
      <w:pPr>
        <w:spacing w:line="560" w:lineRule="exact"/>
        <w:rPr>
          <w:rFonts w:hint="eastAsia" w:ascii="宋体" w:hAnsi="宋体"/>
          <w:b/>
          <w:sz w:val="24"/>
        </w:rPr>
      </w:pPr>
      <w:r>
        <w:rPr>
          <w:rFonts w:hint="eastAsia" w:ascii="宋体" w:hAnsi="宋体"/>
          <w:b/>
          <w:sz w:val="24"/>
        </w:rPr>
        <w:t>1、谈判文件</w:t>
      </w:r>
    </w:p>
    <w:p>
      <w:pPr>
        <w:spacing w:line="560" w:lineRule="exact"/>
        <w:ind w:firstLine="480" w:firstLineChars="200"/>
        <w:rPr>
          <w:rFonts w:hint="eastAsia" w:ascii="宋体" w:hAnsi="宋体"/>
          <w:sz w:val="24"/>
        </w:rPr>
      </w:pPr>
      <w:r>
        <w:rPr>
          <w:rFonts w:hint="eastAsia" w:ascii="宋体" w:hAnsi="宋体"/>
          <w:sz w:val="24"/>
        </w:rPr>
        <w:t>谈判文件由谈判文件总目录所列内容组成；谈判供应商应详细阅读谈判文件中所有的事项、格式、条款和规范要求,在谈判响应文件中对谈判文件的各方面都应做出实质性的响应，按照谈判文件的要求提交全部资料。</w:t>
      </w:r>
    </w:p>
    <w:p>
      <w:pPr>
        <w:spacing w:line="560" w:lineRule="exact"/>
        <w:rPr>
          <w:rFonts w:ascii="宋体" w:hAnsi="宋体"/>
          <w:sz w:val="24"/>
        </w:rPr>
      </w:pPr>
      <w:r>
        <w:rPr>
          <w:rFonts w:hint="eastAsia" w:ascii="宋体" w:hAnsi="宋体"/>
          <w:b/>
          <w:sz w:val="24"/>
        </w:rPr>
        <w:t>2、谈判文件的澄清或修改</w:t>
      </w:r>
    </w:p>
    <w:p>
      <w:pPr>
        <w:spacing w:line="560" w:lineRule="exact"/>
        <w:ind w:firstLine="480" w:firstLineChars="200"/>
        <w:rPr>
          <w:rFonts w:ascii="宋体" w:hAnsi="宋体"/>
          <w:sz w:val="24"/>
        </w:rPr>
      </w:pPr>
      <w:r>
        <w:rPr>
          <w:rFonts w:hint="eastAsia" w:ascii="宋体" w:hAnsi="宋体"/>
          <w:sz w:val="24"/>
        </w:rPr>
        <w:t>提交首次响应文件截至之日前，采购代理机构可以对已发出的谈判文件进行必要的澄清或者修改，澄清或者修改的内容作为谈判文件的组成部分。澄清或者修改的内容可能影响响应文件编制的，采购代理机构应当在提交首次响应文件截止之日3个工作日前，以书面形式通知所有接收谈判文件的供应商，不足3个工作日的，将顺延提交首次响应文件的截止之日。</w:t>
      </w:r>
    </w:p>
    <w:p>
      <w:pPr>
        <w:spacing w:line="560" w:lineRule="exact"/>
        <w:rPr>
          <w:rFonts w:hint="eastAsia" w:ascii="宋体" w:hAnsi="宋体"/>
          <w:b/>
          <w:sz w:val="24"/>
        </w:rPr>
      </w:pPr>
      <w:r>
        <w:rPr>
          <w:rFonts w:hint="eastAsia" w:ascii="宋体" w:hAnsi="宋体"/>
          <w:b/>
          <w:sz w:val="24"/>
        </w:rPr>
        <w:t>3、谈判文件的购买</w:t>
      </w:r>
    </w:p>
    <w:p>
      <w:pPr>
        <w:spacing w:line="560" w:lineRule="exact"/>
        <w:ind w:firstLine="480" w:firstLineChars="200"/>
        <w:rPr>
          <w:rFonts w:hint="eastAsia" w:ascii="宋体" w:hAnsi="宋体"/>
          <w:sz w:val="24"/>
        </w:rPr>
      </w:pPr>
      <w:r>
        <w:rPr>
          <w:rFonts w:hint="eastAsia" w:ascii="宋体" w:hAnsi="宋体"/>
          <w:sz w:val="24"/>
        </w:rPr>
        <w:t>谈判供应商必须从采购代理机构购买谈判文件，供应商自行转让或复制的谈判文件视为无效文件；谈判文件一经售出，一律不退，且仅作为本次谈判使用。</w:t>
      </w:r>
    </w:p>
    <w:p>
      <w:pPr>
        <w:spacing w:line="560" w:lineRule="exact"/>
        <w:rPr>
          <w:rFonts w:hint="eastAsia" w:ascii="宋体" w:hAnsi="宋体"/>
          <w:b/>
          <w:sz w:val="24"/>
        </w:rPr>
      </w:pPr>
      <w:r>
        <w:rPr>
          <w:rFonts w:hint="eastAsia" w:ascii="宋体" w:hAnsi="宋体"/>
          <w:b/>
          <w:sz w:val="24"/>
        </w:rPr>
        <w:t>4、谈判的处理依据</w:t>
      </w:r>
    </w:p>
    <w:p>
      <w:pPr>
        <w:spacing w:line="560" w:lineRule="exact"/>
        <w:ind w:firstLine="480" w:firstLineChars="200"/>
        <w:rPr>
          <w:rFonts w:hint="eastAsia" w:ascii="宋体" w:hAnsi="宋体"/>
          <w:sz w:val="24"/>
        </w:rPr>
      </w:pPr>
      <w:r>
        <w:rPr>
          <w:rFonts w:hint="eastAsia" w:ascii="宋体" w:hAnsi="宋体"/>
          <w:sz w:val="24"/>
        </w:rPr>
        <w:t>谈判小组有权对谈判过程中出现的一切问题，根据《中华人民共和国政府采购法》和《政府采购货物和服务招标投标管理办法》和《政府采购非招标采购方式管理办法》的条款，本着公平、公正</w:t>
      </w:r>
      <w:r>
        <w:rPr>
          <w:rFonts w:hint="eastAsia" w:ascii="宋体" w:hAnsi="宋体"/>
          <w:sz w:val="24"/>
          <w:lang w:eastAsia="zh-CN"/>
        </w:rPr>
        <w:t>、科学、择优</w:t>
      </w:r>
      <w:r>
        <w:rPr>
          <w:rFonts w:hint="eastAsia" w:ascii="宋体" w:hAnsi="宋体"/>
          <w:sz w:val="24"/>
        </w:rPr>
        <w:t>的原则进行处理。</w:t>
      </w:r>
    </w:p>
    <w:p>
      <w:pPr>
        <w:spacing w:line="560" w:lineRule="exact"/>
        <w:rPr>
          <w:rFonts w:hint="eastAsia" w:ascii="宋体" w:hAnsi="宋体"/>
          <w:b/>
          <w:sz w:val="24"/>
        </w:rPr>
      </w:pPr>
      <w:r>
        <w:rPr>
          <w:rFonts w:hint="eastAsia" w:ascii="宋体" w:hAnsi="宋体"/>
          <w:b/>
          <w:sz w:val="24"/>
        </w:rPr>
        <w:t>5、解释权归属</w:t>
      </w:r>
    </w:p>
    <w:p>
      <w:pPr>
        <w:spacing w:line="560" w:lineRule="exact"/>
        <w:ind w:firstLine="480" w:firstLineChars="200"/>
        <w:rPr>
          <w:rFonts w:hint="eastAsia" w:ascii="宋体" w:hAnsi="宋体"/>
          <w:sz w:val="24"/>
        </w:rPr>
      </w:pPr>
      <w:r>
        <w:rPr>
          <w:rFonts w:hint="eastAsia" w:ascii="宋体" w:hAnsi="宋体"/>
          <w:sz w:val="24"/>
        </w:rPr>
        <w:t>本谈判文件的解释权归采购代理机构。</w:t>
      </w:r>
    </w:p>
    <w:p>
      <w:pPr>
        <w:spacing w:line="560" w:lineRule="exact"/>
        <w:jc w:val="center"/>
        <w:rPr>
          <w:rFonts w:hint="eastAsia" w:ascii="宋体" w:hAnsi="宋体"/>
          <w:sz w:val="30"/>
          <w:szCs w:val="30"/>
        </w:rPr>
      </w:pPr>
      <w:r>
        <w:rPr>
          <w:rFonts w:hint="eastAsia" w:ascii="宋体" w:hAnsi="宋体"/>
          <w:b/>
          <w:sz w:val="30"/>
          <w:szCs w:val="30"/>
        </w:rPr>
        <w:t>四．谈判要求</w:t>
      </w:r>
    </w:p>
    <w:p>
      <w:pPr>
        <w:spacing w:line="560" w:lineRule="exact"/>
        <w:rPr>
          <w:rFonts w:hint="eastAsia" w:ascii="宋体" w:hAnsi="宋体"/>
          <w:b/>
          <w:sz w:val="24"/>
        </w:rPr>
      </w:pPr>
      <w:r>
        <w:rPr>
          <w:rFonts w:hint="eastAsia" w:ascii="宋体" w:hAnsi="宋体"/>
          <w:b/>
          <w:sz w:val="24"/>
        </w:rPr>
        <w:t>1、谈判内容</w:t>
      </w:r>
    </w:p>
    <w:p>
      <w:pPr>
        <w:spacing w:line="560" w:lineRule="exact"/>
        <w:ind w:firstLine="480" w:firstLineChars="200"/>
        <w:rPr>
          <w:sz w:val="24"/>
        </w:rPr>
      </w:pPr>
      <w:r>
        <w:rPr>
          <w:rFonts w:hint="eastAsia" w:ascii="宋体" w:hAnsi="宋体"/>
          <w:sz w:val="24"/>
        </w:rPr>
        <w:t>本次谈判为：</w:t>
      </w:r>
      <w:r>
        <w:rPr>
          <w:rFonts w:hint="eastAsia" w:ascii="宋体" w:hAnsi="宋体"/>
          <w:sz w:val="24"/>
          <w:lang w:eastAsia="zh-CN"/>
        </w:rPr>
        <w:t>西安市长安区公务用车信息化监管服务平台运维项目</w:t>
      </w:r>
      <w:r>
        <w:rPr>
          <w:rFonts w:hint="eastAsia" w:ascii="宋体" w:hAnsi="宋体"/>
          <w:spacing w:val="-6"/>
          <w:sz w:val="24"/>
        </w:rPr>
        <w:t>。</w:t>
      </w:r>
      <w:r>
        <w:rPr>
          <w:rFonts w:hint="eastAsia" w:ascii="宋体" w:hAnsi="宋体"/>
          <w:sz w:val="24"/>
        </w:rPr>
        <w:t>谈判响应单位可根据自身的资质情况和经营范围对本项目进行谈判；谈判、澄清、成交、签订合同均以项目为单位进行。</w:t>
      </w:r>
    </w:p>
    <w:p>
      <w:pPr>
        <w:spacing w:line="560" w:lineRule="exact"/>
        <w:rPr>
          <w:rFonts w:hint="eastAsia" w:ascii="宋体" w:hAnsi="宋体"/>
          <w:b/>
          <w:sz w:val="24"/>
        </w:rPr>
      </w:pPr>
      <w:r>
        <w:rPr>
          <w:rFonts w:hint="eastAsia" w:ascii="宋体" w:hAnsi="宋体"/>
          <w:b/>
          <w:sz w:val="24"/>
        </w:rPr>
        <w:t>2、供应商须提交以下资格证明文件</w:t>
      </w:r>
    </w:p>
    <w:p>
      <w:pPr>
        <w:spacing w:line="560" w:lineRule="exact"/>
        <w:ind w:firstLine="480"/>
        <w:rPr>
          <w:rFonts w:hint="eastAsia" w:ascii="宋体" w:hAnsi="宋体"/>
          <w:sz w:val="24"/>
        </w:rPr>
      </w:pPr>
      <w:bookmarkStart w:id="13" w:name="OLE_LINK32"/>
      <w:r>
        <w:rPr>
          <w:rFonts w:hint="eastAsia" w:ascii="宋体" w:hAnsi="宋体"/>
          <w:sz w:val="24"/>
        </w:rPr>
        <w:t xml:space="preserve">（1）供应商具有独立承担民事责任能力的法人、其他组织或自然人，并出具合法有效的营业执照或事业单位法人证书等国家规定的相关证明，自然人参与的提供其身份证明； </w:t>
      </w:r>
    </w:p>
    <w:p>
      <w:pPr>
        <w:spacing w:line="560" w:lineRule="exact"/>
        <w:ind w:firstLine="480"/>
        <w:rPr>
          <w:rFonts w:hint="eastAsia" w:ascii="宋体" w:hAnsi="宋体"/>
          <w:sz w:val="24"/>
        </w:rPr>
      </w:pPr>
      <w:r>
        <w:rPr>
          <w:rFonts w:hint="eastAsia" w:ascii="宋体" w:hAnsi="宋体"/>
          <w:sz w:val="24"/>
        </w:rPr>
        <w:t xml:space="preserve">（2）财务状况报告：提供上一年度完整的财务审计报告，或开标时间前六个月内其基本存款账户开户银行出具的资信证明（提供基本存款账户证明材料）；其他组织和自然人提供银行出具的资信证明。 </w:t>
      </w:r>
    </w:p>
    <w:p>
      <w:pPr>
        <w:spacing w:line="560" w:lineRule="exact"/>
        <w:ind w:firstLine="480"/>
        <w:rPr>
          <w:rFonts w:hint="eastAsia" w:ascii="宋体" w:hAnsi="宋体"/>
          <w:sz w:val="24"/>
        </w:rPr>
      </w:pPr>
      <w:r>
        <w:rPr>
          <w:rFonts w:hint="eastAsia" w:ascii="宋体" w:hAnsi="宋体"/>
          <w:sz w:val="24"/>
        </w:rPr>
        <w:t xml:space="preserve">（3）税收缴纳证明：供应商提供开标前一年内任意一个月的纳税证明或完税证明，纳税证明或完税证明上应有代收机构或税务机关的公章，依法免税的供应商应提供相关文件证明； </w:t>
      </w:r>
    </w:p>
    <w:p>
      <w:pPr>
        <w:spacing w:line="560" w:lineRule="exact"/>
        <w:ind w:firstLine="480"/>
        <w:rPr>
          <w:rFonts w:hint="eastAsia" w:ascii="宋体" w:hAnsi="宋体"/>
          <w:sz w:val="24"/>
        </w:rPr>
      </w:pPr>
      <w:r>
        <w:rPr>
          <w:rFonts w:hint="eastAsia" w:ascii="宋体" w:hAnsi="宋体"/>
          <w:sz w:val="24"/>
        </w:rPr>
        <w:t xml:space="preserve">（4）社会保障资金缴纳证明：供应商应提供开标前一年内任意一个月的社会保障资金缴存单据或社保机构开具的社会保险参保缴费情况证明，依法不需要缴纳社会保障资金的供应商应提供相关文件证明； </w:t>
      </w:r>
    </w:p>
    <w:p>
      <w:pPr>
        <w:spacing w:line="560" w:lineRule="exact"/>
        <w:ind w:firstLine="480"/>
        <w:rPr>
          <w:rFonts w:hint="eastAsia" w:ascii="宋体" w:hAnsi="宋体"/>
          <w:sz w:val="24"/>
        </w:rPr>
      </w:pPr>
      <w:r>
        <w:rPr>
          <w:rFonts w:hint="eastAsia" w:ascii="宋体" w:hAnsi="宋体"/>
          <w:sz w:val="24"/>
        </w:rPr>
        <w:t xml:space="preserve">（5）书面声明：参加本次政府采购活动前三年内在经营活动中没有重大违纪，以及未被信用中国网（www.creditchina.gov.cn）列入失信被执行人、重大税收违法案件当事人名单，未被中国政府采购网（www.ccgp.gov.cn）列入政府采购严重违法失信行为记录名单的书面声明。 </w:t>
      </w:r>
    </w:p>
    <w:p>
      <w:pPr>
        <w:spacing w:line="560" w:lineRule="exact"/>
        <w:ind w:firstLine="480"/>
        <w:rPr>
          <w:rFonts w:hint="eastAsia" w:ascii="宋体" w:hAnsi="宋体"/>
          <w:sz w:val="24"/>
        </w:rPr>
      </w:pPr>
      <w:r>
        <w:rPr>
          <w:rFonts w:hint="eastAsia" w:ascii="宋体" w:hAnsi="宋体"/>
          <w:sz w:val="24"/>
        </w:rPr>
        <w:t xml:space="preserve">（6）提供具有履行合同所必需的设备和专业技术能力的承诺函。 </w:t>
      </w:r>
    </w:p>
    <w:p>
      <w:pPr>
        <w:spacing w:line="560" w:lineRule="exact"/>
        <w:ind w:firstLine="480"/>
        <w:rPr>
          <w:rFonts w:hint="eastAsia" w:ascii="宋体" w:hAnsi="宋体"/>
          <w:sz w:val="24"/>
        </w:rPr>
      </w:pPr>
      <w:r>
        <w:rPr>
          <w:rFonts w:hint="eastAsia" w:ascii="宋体" w:hAnsi="宋体"/>
          <w:sz w:val="24"/>
        </w:rPr>
        <w:t>（7）供应商应授权合法的人员参加谈判全过程，其中法定代表人/负责人直接谈判，须提交法定代表人/负责人身份证明书和身份证。法定代表人/负责人授权代表参加谈判的，须出具法定代表人/负责人授权书及授权代表身份证。</w:t>
      </w:r>
    </w:p>
    <w:p>
      <w:pPr>
        <w:spacing w:line="560" w:lineRule="exact"/>
        <w:ind w:firstLine="480"/>
        <w:rPr>
          <w:rFonts w:hint="eastAsia" w:ascii="宋体" w:hAnsi="宋体"/>
          <w:sz w:val="24"/>
        </w:rPr>
      </w:pPr>
      <w:r>
        <w:rPr>
          <w:rFonts w:hint="eastAsia" w:ascii="宋体" w:hAnsi="宋体"/>
          <w:sz w:val="24"/>
        </w:rPr>
        <w:t>（8）本项目为专门面向中小企业采购，供应商应提供中小企业</w:t>
      </w:r>
      <w:r>
        <w:rPr>
          <w:rFonts w:hint="eastAsia" w:ascii="宋体" w:hAnsi="宋体"/>
          <w:sz w:val="24"/>
          <w:lang w:eastAsia="zh-CN"/>
        </w:rPr>
        <w:t>声明函</w:t>
      </w:r>
      <w:r>
        <w:rPr>
          <w:rFonts w:hint="eastAsia" w:ascii="宋体" w:hAnsi="宋体"/>
          <w:sz w:val="24"/>
        </w:rPr>
        <w:t>。</w:t>
      </w:r>
    </w:p>
    <w:bookmarkEnd w:id="13"/>
    <w:p>
      <w:pPr>
        <w:pStyle w:val="14"/>
        <w:kinsoku w:val="0"/>
        <w:autoSpaceDE w:val="0"/>
        <w:autoSpaceDN w:val="0"/>
        <w:adjustRightInd w:val="0"/>
        <w:spacing w:line="560" w:lineRule="exact"/>
        <w:ind w:firstLine="480" w:firstLineChars="200"/>
        <w:rPr>
          <w:rFonts w:hint="eastAsia"/>
          <w:sz w:val="24"/>
        </w:rPr>
      </w:pPr>
      <w:r>
        <w:rPr>
          <w:rFonts w:hint="eastAsia"/>
          <w:b/>
          <w:bCs/>
          <w:sz w:val="24"/>
        </w:rPr>
        <w:t>以上为必备资质，缺一项或某项达不到要求，按无效谈判处理。以上资质在谈判响应文件中附复印件并加盖公章（其中谈判响应文件正本中的法定代表人或负责人身份证明或法定代表人或负责人授权书及相关声明或承诺均为原件），资格审查时以谈判响应文件中所附证明材料为准。</w:t>
      </w:r>
    </w:p>
    <w:p>
      <w:pPr>
        <w:pStyle w:val="14"/>
        <w:kinsoku w:val="0"/>
        <w:autoSpaceDE w:val="0"/>
        <w:autoSpaceDN w:val="0"/>
        <w:adjustRightInd w:val="0"/>
        <w:spacing w:line="560" w:lineRule="exact"/>
        <w:ind w:firstLine="0"/>
        <w:rPr>
          <w:rFonts w:hint="eastAsia"/>
          <w:b/>
          <w:sz w:val="24"/>
        </w:rPr>
      </w:pPr>
      <w:r>
        <w:rPr>
          <w:rFonts w:hint="eastAsia"/>
          <w:b/>
          <w:sz w:val="24"/>
        </w:rPr>
        <w:t>3、谈判响应文件的编制</w:t>
      </w:r>
    </w:p>
    <w:p>
      <w:pPr>
        <w:spacing w:line="560" w:lineRule="exact"/>
        <w:ind w:firstLine="480" w:firstLineChars="200"/>
        <w:rPr>
          <w:rFonts w:hint="eastAsia" w:ascii="宋体" w:hAnsi="宋体"/>
          <w:sz w:val="24"/>
        </w:rPr>
      </w:pPr>
      <w:r>
        <w:rPr>
          <w:rFonts w:hint="eastAsia" w:ascii="宋体" w:hAnsi="宋体"/>
          <w:sz w:val="24"/>
        </w:rPr>
        <w:t>谈判响应文件必须根据谈判文件提供的内容及格式编制，并对谈判文件做出实质性响应。</w:t>
      </w:r>
      <w:r>
        <w:rPr>
          <w:rFonts w:hint="eastAsia" w:ascii="宋体" w:hAnsi="宋体"/>
          <w:color w:val="auto"/>
          <w:sz w:val="24"/>
        </w:rPr>
        <w:t>具体内容包括：</w:t>
      </w:r>
    </w:p>
    <w:p>
      <w:pPr>
        <w:tabs>
          <w:tab w:val="left" w:pos="1080"/>
        </w:tabs>
        <w:spacing w:line="560" w:lineRule="exact"/>
        <w:ind w:firstLine="360" w:firstLineChars="150"/>
        <w:rPr>
          <w:rFonts w:hint="eastAsia" w:ascii="宋体" w:hAnsi="宋体"/>
          <w:sz w:val="24"/>
        </w:rPr>
      </w:pPr>
      <w:r>
        <w:rPr>
          <w:rFonts w:hint="eastAsia" w:ascii="宋体" w:hAnsi="宋体"/>
          <w:sz w:val="24"/>
        </w:rPr>
        <w:t>（1）谈判响应函；</w:t>
      </w:r>
    </w:p>
    <w:p>
      <w:pPr>
        <w:spacing w:line="560" w:lineRule="exact"/>
        <w:ind w:firstLine="360" w:firstLineChars="150"/>
        <w:rPr>
          <w:rFonts w:hint="eastAsia" w:ascii="宋体" w:hAnsi="宋体"/>
          <w:sz w:val="24"/>
        </w:rPr>
      </w:pPr>
      <w:r>
        <w:rPr>
          <w:rFonts w:hint="eastAsia" w:ascii="宋体" w:hAnsi="宋体"/>
          <w:sz w:val="24"/>
        </w:rPr>
        <w:t>（2）报价一览表；</w:t>
      </w:r>
    </w:p>
    <w:p>
      <w:pPr>
        <w:tabs>
          <w:tab w:val="left" w:pos="1080"/>
        </w:tabs>
        <w:spacing w:line="560" w:lineRule="exact"/>
        <w:ind w:firstLine="360" w:firstLineChars="150"/>
        <w:rPr>
          <w:rFonts w:hint="eastAsia" w:ascii="宋体" w:hAnsi="宋体"/>
          <w:sz w:val="24"/>
        </w:rPr>
      </w:pPr>
      <w:r>
        <w:rPr>
          <w:rFonts w:hint="eastAsia" w:ascii="宋体" w:hAnsi="宋体"/>
          <w:sz w:val="24"/>
        </w:rPr>
        <w:t>（3）供应商资格证明文件；</w:t>
      </w:r>
    </w:p>
    <w:p>
      <w:pPr>
        <w:tabs>
          <w:tab w:val="left" w:pos="1080"/>
        </w:tabs>
        <w:spacing w:line="560" w:lineRule="exact"/>
        <w:ind w:firstLine="360" w:firstLineChars="150"/>
        <w:rPr>
          <w:rFonts w:hint="eastAsia" w:ascii="宋体" w:hAnsi="宋体"/>
          <w:bCs/>
          <w:sz w:val="24"/>
        </w:rPr>
      </w:pPr>
      <w:r>
        <w:rPr>
          <w:rFonts w:hint="eastAsia" w:ascii="宋体" w:hAnsi="宋体"/>
          <w:bCs/>
          <w:sz w:val="24"/>
        </w:rPr>
        <w:t>（4）技术响应；</w:t>
      </w:r>
    </w:p>
    <w:p>
      <w:pPr>
        <w:tabs>
          <w:tab w:val="left" w:pos="1080"/>
        </w:tabs>
        <w:spacing w:line="560" w:lineRule="exact"/>
        <w:ind w:firstLine="360" w:firstLineChars="150"/>
        <w:rPr>
          <w:rFonts w:hint="eastAsia" w:ascii="宋体" w:hAnsi="宋体"/>
          <w:bCs/>
          <w:sz w:val="24"/>
        </w:rPr>
      </w:pPr>
      <w:r>
        <w:rPr>
          <w:rFonts w:hint="eastAsia" w:ascii="宋体" w:hAnsi="宋体"/>
          <w:sz w:val="24"/>
        </w:rPr>
        <w:t>（5）合同条款响应偏离表</w:t>
      </w:r>
      <w:r>
        <w:rPr>
          <w:rFonts w:hint="eastAsia" w:ascii="宋体" w:hAnsi="宋体"/>
          <w:bCs/>
          <w:sz w:val="24"/>
        </w:rPr>
        <w:t>；</w:t>
      </w:r>
    </w:p>
    <w:p>
      <w:pPr>
        <w:tabs>
          <w:tab w:val="left" w:pos="1080"/>
        </w:tabs>
        <w:spacing w:line="560" w:lineRule="exact"/>
        <w:ind w:firstLine="360" w:firstLineChars="150"/>
        <w:rPr>
          <w:rFonts w:hint="eastAsia" w:ascii="宋体" w:hAnsi="宋体"/>
          <w:sz w:val="24"/>
        </w:rPr>
      </w:pPr>
      <w:r>
        <w:rPr>
          <w:rFonts w:hint="eastAsia" w:ascii="宋体" w:hAnsi="宋体"/>
          <w:sz w:val="24"/>
        </w:rPr>
        <w:t>（6）诚信投标承诺书；</w:t>
      </w:r>
    </w:p>
    <w:p>
      <w:pPr>
        <w:tabs>
          <w:tab w:val="left" w:pos="1080"/>
        </w:tabs>
        <w:spacing w:line="560" w:lineRule="exact"/>
        <w:ind w:firstLine="360" w:firstLineChars="150"/>
        <w:rPr>
          <w:rFonts w:hint="eastAsia" w:ascii="宋体" w:hAnsi="宋体"/>
          <w:sz w:val="24"/>
        </w:rPr>
      </w:pPr>
      <w:r>
        <w:rPr>
          <w:rFonts w:hint="eastAsia" w:ascii="宋体" w:hAnsi="宋体"/>
          <w:sz w:val="24"/>
        </w:rPr>
        <w:t>（7）其他资料。</w:t>
      </w:r>
    </w:p>
    <w:p>
      <w:pPr>
        <w:spacing w:line="560" w:lineRule="exact"/>
        <w:rPr>
          <w:rFonts w:hint="eastAsia" w:ascii="宋体" w:hAnsi="宋体"/>
          <w:b/>
          <w:sz w:val="24"/>
        </w:rPr>
      </w:pPr>
      <w:r>
        <w:rPr>
          <w:rFonts w:hint="eastAsia" w:ascii="宋体" w:hAnsi="宋体"/>
          <w:b/>
          <w:sz w:val="24"/>
        </w:rPr>
        <w:t>4、谈判报价</w:t>
      </w:r>
    </w:p>
    <w:p>
      <w:pPr>
        <w:kinsoku w:val="0"/>
        <w:spacing w:line="560" w:lineRule="exact"/>
        <w:ind w:left="0" w:leftChars="0" w:firstLine="420" w:firstLineChars="175"/>
        <w:rPr>
          <w:rFonts w:hint="eastAsia" w:ascii="宋体" w:hAnsi="宋体"/>
          <w:sz w:val="24"/>
        </w:rPr>
      </w:pPr>
      <w:r>
        <w:rPr>
          <w:rFonts w:hint="eastAsia" w:ascii="宋体" w:hAnsi="宋体"/>
          <w:sz w:val="24"/>
        </w:rPr>
        <w:t>（1）谈判报价是指完成此次项目的所有费用，以谈判文件的内容和要求作为依据；</w:t>
      </w:r>
    </w:p>
    <w:p>
      <w:pPr>
        <w:spacing w:line="560" w:lineRule="exact"/>
        <w:ind w:left="0" w:leftChars="0" w:firstLine="420" w:firstLineChars="175"/>
        <w:rPr>
          <w:rFonts w:hint="eastAsia" w:ascii="宋体" w:hAnsi="宋体"/>
          <w:sz w:val="24"/>
        </w:rPr>
      </w:pPr>
      <w:r>
        <w:rPr>
          <w:rFonts w:hint="eastAsia" w:ascii="宋体" w:hAnsi="宋体"/>
          <w:sz w:val="24"/>
        </w:rPr>
        <w:t>（2）供应商应在谈判响应文件中的响应报价表上，标明谈判响应：</w:t>
      </w:r>
    </w:p>
    <w:p>
      <w:pPr>
        <w:spacing w:line="560" w:lineRule="exact"/>
        <w:ind w:left="0" w:leftChars="0" w:firstLine="420" w:firstLineChars="175"/>
        <w:rPr>
          <w:rFonts w:hint="eastAsia" w:ascii="宋体" w:hAnsi="宋体"/>
          <w:sz w:val="24"/>
        </w:rPr>
      </w:pPr>
      <w:r>
        <w:rPr>
          <w:rFonts w:hint="eastAsia" w:ascii="宋体" w:hAnsi="宋体"/>
          <w:sz w:val="24"/>
        </w:rPr>
        <w:t>（3）谈判货币：人民币；单位：</w:t>
      </w:r>
      <w:r>
        <w:rPr>
          <w:rFonts w:hint="eastAsia" w:ascii="宋体" w:hAnsi="宋体"/>
          <w:bCs/>
          <w:sz w:val="24"/>
        </w:rPr>
        <w:t>元（</w:t>
      </w:r>
      <w:r>
        <w:rPr>
          <w:rFonts w:hint="eastAsia" w:ascii="宋体" w:hAnsi="宋体"/>
          <w:sz w:val="24"/>
        </w:rPr>
        <w:t>精确到小数点后两位）；</w:t>
      </w:r>
    </w:p>
    <w:p>
      <w:pPr>
        <w:spacing w:line="560" w:lineRule="exact"/>
        <w:ind w:left="0" w:leftChars="0" w:firstLine="420" w:firstLineChars="175"/>
        <w:rPr>
          <w:rFonts w:hint="eastAsia" w:ascii="宋体" w:hAnsi="宋体"/>
          <w:sz w:val="24"/>
        </w:rPr>
      </w:pPr>
      <w:r>
        <w:rPr>
          <w:rFonts w:hint="eastAsia" w:ascii="宋体" w:hAnsi="宋体"/>
          <w:sz w:val="24"/>
        </w:rPr>
        <w:t>（4）响应报价表应有法定代表人或负责人或被授权人的签字；</w:t>
      </w:r>
    </w:p>
    <w:p>
      <w:pPr>
        <w:spacing w:line="560" w:lineRule="exact"/>
        <w:ind w:left="0" w:leftChars="0" w:firstLine="420" w:firstLineChars="175"/>
        <w:rPr>
          <w:rFonts w:hint="eastAsia" w:ascii="宋体" w:hAnsi="宋体"/>
          <w:sz w:val="24"/>
        </w:rPr>
      </w:pPr>
      <w:r>
        <w:rPr>
          <w:rFonts w:hint="eastAsia" w:ascii="宋体" w:hAnsi="宋体"/>
          <w:sz w:val="24"/>
        </w:rPr>
        <w:t>（5）合同价格：经谈判小组确认供应商的最终报价；</w:t>
      </w:r>
    </w:p>
    <w:p>
      <w:pPr>
        <w:spacing w:line="560" w:lineRule="exact"/>
        <w:ind w:left="0" w:leftChars="0" w:firstLine="420" w:firstLineChars="175"/>
        <w:rPr>
          <w:rFonts w:hint="eastAsia" w:ascii="宋体" w:hAnsi="宋体"/>
          <w:sz w:val="24"/>
        </w:rPr>
      </w:pPr>
      <w:r>
        <w:rPr>
          <w:rFonts w:hint="eastAsia" w:ascii="宋体" w:hAnsi="宋体"/>
          <w:sz w:val="24"/>
        </w:rPr>
        <w:t>（6）凡因供应商对谈判文件阅读不深、理解不透、误解、疏漏或因市场行情了解不清造成的后果和风险均由供应商自负；</w:t>
      </w:r>
    </w:p>
    <w:p>
      <w:pPr>
        <w:spacing w:line="560" w:lineRule="exact"/>
        <w:ind w:left="0" w:leftChars="0" w:firstLine="420" w:firstLineChars="175"/>
        <w:rPr>
          <w:rFonts w:hint="eastAsia" w:ascii="宋体" w:hAnsi="宋体"/>
          <w:sz w:val="24"/>
        </w:rPr>
      </w:pPr>
      <w:r>
        <w:rPr>
          <w:rFonts w:hint="eastAsia" w:ascii="宋体" w:hAnsi="宋体"/>
          <w:sz w:val="24"/>
        </w:rPr>
        <w:t>（7）供应商不得以低于成本的报价参加谈判。当谈判小组认为供应商的谈判价或者某些分项报价明显不合理或者低于成本，有可能影响服务质量和不能诚信履约的，可要求供应商在规定的期限内提供书面文件予以解释说明，并提交相关证明材料；否则，谈判小组可以取消供应商的成交资格。</w:t>
      </w:r>
    </w:p>
    <w:p>
      <w:pPr>
        <w:spacing w:line="560" w:lineRule="exact"/>
        <w:rPr>
          <w:rFonts w:hint="eastAsia" w:ascii="宋体" w:hAnsi="宋体"/>
          <w:b/>
          <w:sz w:val="24"/>
        </w:rPr>
      </w:pPr>
      <w:r>
        <w:rPr>
          <w:rFonts w:hint="eastAsia" w:ascii="宋体" w:hAnsi="宋体"/>
          <w:b/>
          <w:sz w:val="24"/>
        </w:rPr>
        <w:t>5、谈判保证金</w:t>
      </w:r>
    </w:p>
    <w:p>
      <w:pPr>
        <w:spacing w:line="560" w:lineRule="exact"/>
        <w:ind w:firstLine="480" w:firstLineChars="200"/>
        <w:rPr>
          <w:rFonts w:hint="eastAsia" w:ascii="宋体" w:hAnsi="宋体" w:cs="宋体"/>
          <w:sz w:val="24"/>
          <w:lang w:bidi="ar"/>
        </w:rPr>
      </w:pPr>
      <w:r>
        <w:rPr>
          <w:rFonts w:hint="eastAsia" w:ascii="宋体" w:hAnsi="宋体" w:cs="宋体"/>
          <w:sz w:val="24"/>
          <w:lang w:bidi="ar"/>
        </w:rPr>
        <w:t>本项目不收取谈判保证金。</w:t>
      </w:r>
    </w:p>
    <w:p>
      <w:pPr>
        <w:spacing w:line="560" w:lineRule="exact"/>
        <w:rPr>
          <w:rFonts w:hint="eastAsia" w:ascii="宋体" w:hAnsi="宋体"/>
          <w:b/>
          <w:sz w:val="24"/>
        </w:rPr>
      </w:pPr>
      <w:r>
        <w:rPr>
          <w:rFonts w:hint="eastAsia" w:ascii="宋体" w:hAnsi="宋体" w:cs="宋体"/>
          <w:b/>
          <w:sz w:val="24"/>
          <w:lang w:bidi="ar"/>
        </w:rPr>
        <w:t>6、</w:t>
      </w:r>
      <w:r>
        <w:rPr>
          <w:rFonts w:hint="eastAsia" w:ascii="宋体" w:hAnsi="宋体"/>
          <w:b/>
          <w:sz w:val="24"/>
        </w:rPr>
        <w:t>谈判响应文件的有效期</w:t>
      </w:r>
    </w:p>
    <w:p>
      <w:pPr>
        <w:pStyle w:val="82"/>
        <w:spacing w:line="560" w:lineRule="exact"/>
        <w:ind w:firstLine="480"/>
        <w:rPr>
          <w:rFonts w:hint="eastAsia" w:ascii="宋体" w:hAnsi="宋体"/>
          <w:kern w:val="2"/>
          <w:sz w:val="24"/>
          <w:szCs w:val="24"/>
        </w:rPr>
      </w:pPr>
      <w:r>
        <w:rPr>
          <w:rFonts w:hint="eastAsia" w:ascii="宋体" w:hAnsi="宋体"/>
          <w:sz w:val="24"/>
          <w:szCs w:val="24"/>
        </w:rPr>
        <w:t>谈判响应文件有效期为</w:t>
      </w:r>
      <w:r>
        <w:rPr>
          <w:rFonts w:hint="eastAsia" w:ascii="宋体" w:hAnsi="宋体"/>
          <w:kern w:val="2"/>
          <w:sz w:val="24"/>
          <w:szCs w:val="24"/>
        </w:rPr>
        <w:t>自谈判之日起九十（90）个日历日；有效期短于规定的谈判有效期，视为无效文件。成交供应商的谈判响应文件有效期延长至合同执行完毕。</w:t>
      </w:r>
    </w:p>
    <w:p>
      <w:pPr>
        <w:numPr>
          <w:ilvl w:val="0"/>
          <w:numId w:val="3"/>
        </w:numPr>
        <w:tabs>
          <w:tab w:val="left" w:pos="6341"/>
        </w:tabs>
        <w:spacing w:line="560" w:lineRule="exact"/>
        <w:rPr>
          <w:rFonts w:hint="eastAsia" w:ascii="宋体" w:hAnsi="宋体"/>
          <w:b/>
          <w:sz w:val="24"/>
        </w:rPr>
      </w:pPr>
      <w:r>
        <w:rPr>
          <w:rFonts w:hint="eastAsia" w:ascii="宋体" w:hAnsi="宋体"/>
          <w:b/>
          <w:sz w:val="24"/>
        </w:rPr>
        <w:t>谈判响应文件的签署及规定</w:t>
      </w:r>
    </w:p>
    <w:p>
      <w:pPr>
        <w:tabs>
          <w:tab w:val="left" w:pos="6341"/>
        </w:tabs>
        <w:spacing w:line="560" w:lineRule="exact"/>
        <w:ind w:firstLine="480" w:firstLineChars="200"/>
        <w:rPr>
          <w:rFonts w:hint="eastAsia" w:ascii="宋体" w:hAnsi="宋体"/>
          <w:sz w:val="24"/>
        </w:rPr>
      </w:pPr>
      <w:r>
        <w:rPr>
          <w:rFonts w:hint="eastAsia" w:ascii="宋体" w:hAnsi="宋体"/>
          <w:sz w:val="24"/>
        </w:rPr>
        <w:t>（1）供应商须依据谈判文件内容和谈判响应文件格式的要求编制谈判响应文件；</w:t>
      </w:r>
    </w:p>
    <w:p>
      <w:pPr>
        <w:spacing w:line="560" w:lineRule="exact"/>
        <w:ind w:firstLine="480" w:firstLineChars="200"/>
        <w:rPr>
          <w:rFonts w:hint="eastAsia" w:ascii="宋体" w:hAnsi="宋体"/>
          <w:sz w:val="24"/>
        </w:rPr>
      </w:pPr>
      <w:r>
        <w:rPr>
          <w:rFonts w:hint="eastAsia" w:ascii="宋体" w:hAnsi="宋体"/>
          <w:sz w:val="24"/>
        </w:rPr>
        <w:t>（2）谈判响应文件的正本和所有的副本均需打印或用不褪色的蓝（黑）墨水填写，注明“正本”“副本”字样。统一装订、编码，在每一页的正下方清楚标明共几页、第几页等字样；</w:t>
      </w:r>
    </w:p>
    <w:p>
      <w:pPr>
        <w:spacing w:line="560" w:lineRule="exact"/>
        <w:ind w:firstLine="480" w:firstLineChars="200"/>
        <w:rPr>
          <w:rFonts w:hint="eastAsia" w:ascii="宋体" w:hAnsi="宋体"/>
          <w:sz w:val="24"/>
        </w:rPr>
      </w:pPr>
      <w:r>
        <w:rPr>
          <w:rFonts w:hint="eastAsia" w:ascii="宋体" w:hAnsi="宋体"/>
          <w:sz w:val="24"/>
        </w:rPr>
        <w:t>（3）谈判响应文件份数，本次谈判需提交谈判响应文件正本壹份，副本贰份，在封面标明“正本”和“副本”字样；电子版文件贰份（U盘），其内容应包含纸质版文件所有内容；</w:t>
      </w:r>
    </w:p>
    <w:p>
      <w:pPr>
        <w:spacing w:line="560" w:lineRule="exact"/>
        <w:ind w:firstLine="480" w:firstLineChars="200"/>
        <w:rPr>
          <w:rFonts w:hint="eastAsia" w:ascii="宋体" w:hAnsi="宋体"/>
          <w:sz w:val="24"/>
        </w:rPr>
      </w:pPr>
      <w:r>
        <w:rPr>
          <w:rFonts w:hint="eastAsia" w:ascii="宋体" w:hAnsi="宋体"/>
          <w:sz w:val="24"/>
        </w:rPr>
        <w:t>（4） 供应商在谈判响应文件中指定的页面落款处，必须按谈判文件要求加盖印章或签字；</w:t>
      </w:r>
    </w:p>
    <w:p>
      <w:pPr>
        <w:spacing w:line="560" w:lineRule="exact"/>
        <w:ind w:firstLine="480" w:firstLineChars="200"/>
        <w:rPr>
          <w:rFonts w:hint="eastAsia" w:ascii="宋体" w:hAnsi="宋体"/>
          <w:sz w:val="24"/>
        </w:rPr>
      </w:pPr>
      <w:r>
        <w:rPr>
          <w:rFonts w:hint="eastAsia" w:ascii="宋体" w:hAnsi="宋体"/>
          <w:sz w:val="24"/>
        </w:rPr>
        <w:t>（5）供应商名称应填写全称，同时加盖公章；</w:t>
      </w:r>
    </w:p>
    <w:p>
      <w:pPr>
        <w:spacing w:line="560" w:lineRule="exact"/>
        <w:ind w:firstLine="480" w:firstLineChars="200"/>
        <w:rPr>
          <w:rFonts w:hint="eastAsia" w:ascii="宋体" w:hAnsi="宋体"/>
          <w:sz w:val="24"/>
        </w:rPr>
      </w:pPr>
      <w:r>
        <w:rPr>
          <w:rFonts w:hint="eastAsia" w:ascii="宋体" w:hAnsi="宋体"/>
          <w:sz w:val="24"/>
        </w:rPr>
        <w:t>（6）谈判响应文件的任何行间插字、涂改和增删，必须由法定代表人或负责人或被授权人在改动处旁签字方为有效；</w:t>
      </w:r>
    </w:p>
    <w:p>
      <w:pPr>
        <w:spacing w:line="560" w:lineRule="exact"/>
        <w:ind w:firstLine="480" w:firstLineChars="200"/>
        <w:rPr>
          <w:rFonts w:hint="eastAsia" w:ascii="宋体" w:hAnsi="宋体"/>
          <w:sz w:val="24"/>
        </w:rPr>
      </w:pPr>
      <w:r>
        <w:rPr>
          <w:rFonts w:hint="eastAsia" w:ascii="宋体" w:hAnsi="宋体"/>
          <w:sz w:val="24"/>
        </w:rPr>
        <w:t>（7）谈判响应文件因字迹潦草或表达不清所引起的后果由供应商负责。</w:t>
      </w:r>
    </w:p>
    <w:p>
      <w:pPr>
        <w:spacing w:line="560" w:lineRule="exact"/>
        <w:rPr>
          <w:rFonts w:hint="eastAsia" w:ascii="宋体" w:hAnsi="宋体"/>
          <w:b/>
          <w:sz w:val="24"/>
        </w:rPr>
      </w:pPr>
      <w:r>
        <w:rPr>
          <w:rFonts w:hint="eastAsia" w:ascii="宋体" w:hAnsi="宋体"/>
          <w:b/>
          <w:sz w:val="24"/>
        </w:rPr>
        <w:t>8、文字要求</w:t>
      </w:r>
    </w:p>
    <w:p>
      <w:pPr>
        <w:spacing w:line="560" w:lineRule="exact"/>
        <w:ind w:firstLine="480" w:firstLineChars="200"/>
        <w:rPr>
          <w:rFonts w:hint="eastAsia" w:ascii="宋体" w:hAnsi="宋体"/>
          <w:sz w:val="24"/>
        </w:rPr>
      </w:pPr>
      <w:r>
        <w:rPr>
          <w:rFonts w:hint="eastAsia" w:ascii="宋体" w:hAnsi="宋体"/>
          <w:sz w:val="24"/>
        </w:rPr>
        <w:t>本次谈判只接受简体中文文字的谈判响应文件。</w:t>
      </w:r>
    </w:p>
    <w:p>
      <w:pPr>
        <w:spacing w:line="560" w:lineRule="exact"/>
        <w:jc w:val="center"/>
        <w:rPr>
          <w:rFonts w:hint="eastAsia" w:ascii="宋体" w:hAnsi="宋体"/>
          <w:sz w:val="30"/>
          <w:szCs w:val="30"/>
        </w:rPr>
      </w:pPr>
      <w:r>
        <w:rPr>
          <w:rFonts w:hint="eastAsia" w:ascii="宋体" w:hAnsi="宋体"/>
          <w:b/>
          <w:sz w:val="30"/>
          <w:szCs w:val="30"/>
        </w:rPr>
        <w:t>五．谈判响应文件封装、递交</w:t>
      </w:r>
    </w:p>
    <w:p>
      <w:pPr>
        <w:spacing w:line="560" w:lineRule="exact"/>
        <w:rPr>
          <w:rFonts w:hint="eastAsia" w:ascii="宋体" w:hAnsi="宋体"/>
          <w:b/>
          <w:sz w:val="24"/>
        </w:rPr>
      </w:pPr>
      <w:r>
        <w:rPr>
          <w:rFonts w:hint="eastAsia" w:ascii="宋体" w:hAnsi="宋体"/>
          <w:b/>
          <w:sz w:val="24"/>
        </w:rPr>
        <w:t>1、谈判响应文件的封装及标记</w:t>
      </w:r>
    </w:p>
    <w:p>
      <w:pPr>
        <w:spacing w:line="560" w:lineRule="exact"/>
        <w:ind w:firstLine="360" w:firstLineChars="150"/>
        <w:rPr>
          <w:rFonts w:hint="eastAsia" w:ascii="宋体" w:hAnsi="宋体"/>
          <w:sz w:val="24"/>
        </w:rPr>
      </w:pPr>
      <w:r>
        <w:rPr>
          <w:rFonts w:hint="eastAsia" w:ascii="宋体" w:hAnsi="宋体"/>
          <w:sz w:val="24"/>
        </w:rPr>
        <w:t>（1）</w:t>
      </w:r>
      <w:r>
        <w:rPr>
          <w:rFonts w:hint="eastAsia" w:ascii="宋体" w:hAnsi="宋体"/>
          <w:spacing w:val="6"/>
          <w:sz w:val="24"/>
        </w:rPr>
        <w:t>谈判响应文件</w:t>
      </w:r>
      <w:r>
        <w:rPr>
          <w:rFonts w:hint="eastAsia" w:ascii="宋体" w:hAnsi="宋体"/>
          <w:sz w:val="24"/>
        </w:rPr>
        <w:t>封装：谈判响应文件应胶装，谈判供应商应将谈判响应文件正本、所有的副本以及电子版本分开密封装在单独的信封中（封袋不得有破损），且在信封上标明“正本”“副本”“电子版本”字样。封袋应加贴封条，并在封线处加盖</w:t>
      </w:r>
      <w:r>
        <w:rPr>
          <w:rFonts w:hint="eastAsia" w:ascii="宋体" w:hAnsi="宋体"/>
          <w:spacing w:val="6"/>
          <w:sz w:val="24"/>
        </w:rPr>
        <w:t>谈判供应商</w:t>
      </w:r>
      <w:r>
        <w:rPr>
          <w:rFonts w:hint="eastAsia" w:ascii="宋体" w:hAnsi="宋体"/>
          <w:sz w:val="24"/>
        </w:rPr>
        <w:t>公章，封袋封袋上标注谈判供应商全称、项目名称，项目编号。</w:t>
      </w:r>
    </w:p>
    <w:p>
      <w:pPr>
        <w:spacing w:line="560" w:lineRule="exact"/>
        <w:ind w:firstLine="360" w:firstLineChars="150"/>
        <w:rPr>
          <w:rFonts w:hint="eastAsia" w:ascii="宋体" w:hAnsi="宋体"/>
          <w:sz w:val="24"/>
        </w:rPr>
      </w:pPr>
      <w:r>
        <w:rPr>
          <w:rFonts w:hint="eastAsia" w:ascii="宋体" w:hAnsi="宋体"/>
          <w:sz w:val="24"/>
        </w:rPr>
        <w:t>（2）如果供应商未按上述要求封装及加写标记，误投或过早启封的谈判响应文件，出现此类情况的谈判响应文件，采购代理机构将拒绝接收，并退回供应商。采购代理机构对谈判响应文件的误投和提前启封概不负责。</w:t>
      </w:r>
    </w:p>
    <w:p>
      <w:pPr>
        <w:spacing w:line="560" w:lineRule="exact"/>
        <w:rPr>
          <w:rFonts w:hint="eastAsia" w:ascii="宋体" w:hAnsi="宋体"/>
          <w:b/>
          <w:sz w:val="24"/>
        </w:rPr>
      </w:pPr>
      <w:r>
        <w:rPr>
          <w:rFonts w:hint="eastAsia" w:ascii="宋体" w:hAnsi="宋体"/>
          <w:b/>
          <w:sz w:val="24"/>
        </w:rPr>
        <w:t>2、谈判响应文件递交</w:t>
      </w:r>
    </w:p>
    <w:p>
      <w:pPr>
        <w:spacing w:line="560" w:lineRule="exact"/>
        <w:ind w:firstLine="480" w:firstLineChars="200"/>
        <w:rPr>
          <w:rFonts w:hint="eastAsia" w:ascii="宋体" w:hAnsi="宋体"/>
          <w:sz w:val="24"/>
        </w:rPr>
      </w:pPr>
      <w:r>
        <w:rPr>
          <w:rFonts w:hint="eastAsia" w:ascii="宋体" w:hAnsi="宋体"/>
          <w:sz w:val="24"/>
        </w:rPr>
        <w:t>（1）供应商必须在谈判文件规定的时间和地点，将全部谈判响应文件递交至采购代理机构；</w:t>
      </w:r>
    </w:p>
    <w:p>
      <w:pPr>
        <w:spacing w:line="560" w:lineRule="exact"/>
        <w:ind w:firstLine="480" w:firstLineChars="200"/>
        <w:rPr>
          <w:rFonts w:hint="eastAsia" w:ascii="宋体" w:hAnsi="宋体"/>
          <w:sz w:val="24"/>
        </w:rPr>
      </w:pPr>
      <w:r>
        <w:rPr>
          <w:rFonts w:hint="eastAsia" w:ascii="宋体" w:hAnsi="宋体"/>
          <w:sz w:val="24"/>
        </w:rPr>
        <w:t>（2）采购代理机构在谈判文件规定的谈判响应文件递交截止时间前，只负责谈判响应文件的接收、清点、造册登记工作，并请递交人签字确认，对其有效性不负任何责任；</w:t>
      </w:r>
    </w:p>
    <w:p>
      <w:pPr>
        <w:spacing w:line="560" w:lineRule="exact"/>
        <w:ind w:firstLine="480" w:firstLineChars="200"/>
        <w:rPr>
          <w:rFonts w:hint="eastAsia" w:ascii="宋体" w:hAnsi="宋体"/>
          <w:sz w:val="24"/>
        </w:rPr>
      </w:pPr>
      <w:r>
        <w:rPr>
          <w:rFonts w:hint="eastAsia" w:ascii="宋体" w:hAnsi="宋体"/>
          <w:sz w:val="24"/>
        </w:rPr>
        <w:t>（3）采购代理机构在宣布递交谈判响应文件时间截止之后，拒绝接收任何人送达、递交的谈判响应文件；</w:t>
      </w:r>
    </w:p>
    <w:p>
      <w:pPr>
        <w:spacing w:line="560" w:lineRule="exact"/>
        <w:ind w:firstLine="480" w:firstLineChars="200"/>
        <w:rPr>
          <w:rFonts w:hint="eastAsia" w:ascii="宋体" w:hAnsi="宋体"/>
          <w:sz w:val="24"/>
        </w:rPr>
      </w:pPr>
      <w:r>
        <w:rPr>
          <w:rFonts w:hint="eastAsia" w:ascii="宋体" w:hAnsi="宋体"/>
          <w:sz w:val="24"/>
        </w:rPr>
        <w:t>（4）无论供应商成交与否，其谈判响应文件恕不退还。</w:t>
      </w:r>
    </w:p>
    <w:p>
      <w:pPr>
        <w:spacing w:line="560" w:lineRule="exact"/>
        <w:rPr>
          <w:rFonts w:hint="eastAsia" w:ascii="宋体" w:hAnsi="宋体"/>
          <w:b/>
          <w:sz w:val="24"/>
        </w:rPr>
      </w:pPr>
      <w:r>
        <w:rPr>
          <w:rFonts w:hint="eastAsia" w:ascii="宋体" w:hAnsi="宋体"/>
          <w:b/>
          <w:sz w:val="24"/>
        </w:rPr>
        <w:t>3、谈判响应文件递交截止时间</w:t>
      </w:r>
    </w:p>
    <w:p>
      <w:pPr>
        <w:spacing w:line="560" w:lineRule="exact"/>
        <w:ind w:firstLine="470" w:firstLineChars="196"/>
        <w:rPr>
          <w:rFonts w:hint="eastAsia" w:ascii="宋体" w:hAnsi="宋体"/>
          <w:b/>
          <w:sz w:val="24"/>
        </w:rPr>
      </w:pPr>
      <w:r>
        <w:rPr>
          <w:rFonts w:hint="eastAsia" w:ascii="宋体" w:hAnsi="宋体"/>
          <w:sz w:val="24"/>
        </w:rPr>
        <w:t>（1）供应商</w:t>
      </w:r>
      <w:r>
        <w:rPr>
          <w:rFonts w:hint="eastAsia" w:ascii="宋体" w:hAnsi="宋体"/>
          <w:spacing w:val="6"/>
          <w:sz w:val="24"/>
        </w:rPr>
        <w:t>必须在谈判文件规定的递交截止时间之前递交谈判响应文件，</w:t>
      </w:r>
      <w:r>
        <w:rPr>
          <w:rFonts w:hint="eastAsia" w:ascii="宋体" w:hAnsi="宋体"/>
          <w:sz w:val="24"/>
        </w:rPr>
        <w:t>采购代理机构在截止时间后拒绝接收任何谈判响应文件。</w:t>
      </w:r>
    </w:p>
    <w:p>
      <w:pPr>
        <w:kinsoku w:val="0"/>
        <w:spacing w:line="560" w:lineRule="exact"/>
        <w:ind w:firstLine="480" w:firstLineChars="200"/>
        <w:rPr>
          <w:rFonts w:hint="eastAsia" w:ascii="宋体" w:hAnsi="宋体"/>
          <w:sz w:val="24"/>
        </w:rPr>
      </w:pPr>
      <w:r>
        <w:rPr>
          <w:rFonts w:hint="eastAsia" w:ascii="宋体" w:hAnsi="宋体"/>
          <w:sz w:val="24"/>
        </w:rPr>
        <w:t>（2）采购代理机构因采购单位推迟谈判截止时间时，应以书面（或传真）形式通知供应商；在这种情况下，采购代理机构和供应商的权利和义务将受到新的截止期的约束。</w:t>
      </w:r>
    </w:p>
    <w:p>
      <w:pPr>
        <w:spacing w:line="560" w:lineRule="exact"/>
        <w:rPr>
          <w:rFonts w:hint="eastAsia" w:ascii="宋体" w:hAnsi="宋体"/>
          <w:b/>
          <w:sz w:val="24"/>
        </w:rPr>
      </w:pPr>
      <w:r>
        <w:rPr>
          <w:rFonts w:hint="eastAsia" w:ascii="宋体" w:hAnsi="宋体"/>
          <w:b/>
          <w:sz w:val="24"/>
        </w:rPr>
        <w:t>4、谈判响应文件的修改和撤回</w:t>
      </w:r>
    </w:p>
    <w:p>
      <w:pPr>
        <w:spacing w:line="560" w:lineRule="exact"/>
        <w:ind w:firstLine="360" w:firstLineChars="150"/>
        <w:rPr>
          <w:rFonts w:hint="eastAsia" w:ascii="宋体" w:hAnsi="宋体"/>
          <w:sz w:val="24"/>
        </w:rPr>
      </w:pPr>
      <w:r>
        <w:rPr>
          <w:rFonts w:hint="eastAsia" w:ascii="宋体" w:hAnsi="宋体"/>
          <w:sz w:val="24"/>
        </w:rPr>
        <w:t>（1）谈判响应文件递交后，如果供应商提出书面修改和撤回谈判响应文件要求，在谈判截止时间前以书面形式送达采购代理机构；</w:t>
      </w:r>
    </w:p>
    <w:p>
      <w:pPr>
        <w:spacing w:line="560" w:lineRule="exact"/>
        <w:ind w:firstLine="360" w:firstLineChars="150"/>
        <w:rPr>
          <w:rFonts w:hint="eastAsia" w:ascii="宋体" w:hAnsi="宋体"/>
          <w:sz w:val="24"/>
        </w:rPr>
      </w:pPr>
      <w:r>
        <w:rPr>
          <w:rFonts w:hint="eastAsia" w:ascii="宋体" w:hAnsi="宋体"/>
          <w:sz w:val="24"/>
        </w:rPr>
        <w:t>（2）供应商修改谈判响应文件的书面材料，须密封送达采购代理机构，修改或补充的内容应按谈判文件要求签署、盖章、密封、标记，并作为谈判响应文件的组成部分；</w:t>
      </w:r>
    </w:p>
    <w:p>
      <w:pPr>
        <w:spacing w:line="560" w:lineRule="exact"/>
        <w:ind w:firstLine="360" w:firstLineChars="150"/>
        <w:rPr>
          <w:rFonts w:hint="eastAsia" w:ascii="宋体" w:hAnsi="宋体"/>
          <w:sz w:val="24"/>
        </w:rPr>
      </w:pPr>
      <w:r>
        <w:rPr>
          <w:rFonts w:hint="eastAsia" w:ascii="宋体" w:hAnsi="宋体"/>
          <w:sz w:val="24"/>
        </w:rPr>
        <w:t>（3）撤回谈判响应文件应以书面（或传真）的形式通知采购代理机构。如采取传真形式撤回谈判响应文件，随后必须补充有法定代表人或负责人或被授权人签署的要求撤回谈判响应文件的正式文件；撤回谈判响应文件的时间以送达采购代理机构到达日戳为准；</w:t>
      </w:r>
    </w:p>
    <w:p>
      <w:pPr>
        <w:spacing w:line="560" w:lineRule="exact"/>
        <w:ind w:firstLine="360" w:firstLineChars="150"/>
        <w:rPr>
          <w:rFonts w:hint="eastAsia" w:ascii="宋体" w:hAnsi="宋体"/>
          <w:sz w:val="24"/>
        </w:rPr>
      </w:pPr>
      <w:r>
        <w:rPr>
          <w:rFonts w:hint="eastAsia" w:ascii="宋体" w:hAnsi="宋体"/>
          <w:sz w:val="24"/>
        </w:rPr>
        <w:t>（4）在谈判截止时间后到谈判文件规定的谈判有效期满之间的这段时间内，供应商不得撤回其谈判响应文件；</w:t>
      </w:r>
    </w:p>
    <w:p>
      <w:pPr>
        <w:spacing w:line="560" w:lineRule="exact"/>
        <w:ind w:firstLine="360" w:firstLineChars="150"/>
        <w:rPr>
          <w:rFonts w:ascii="宋体" w:hAnsi="宋体"/>
          <w:sz w:val="24"/>
        </w:rPr>
      </w:pPr>
      <w:r>
        <w:rPr>
          <w:rFonts w:hint="eastAsia" w:ascii="宋体" w:hAnsi="宋体"/>
          <w:sz w:val="24"/>
        </w:rPr>
        <w:t>（5）供应商在谈判响应文件递交截止时间后，不得对其谈判响应文件做任何修改。</w:t>
      </w:r>
    </w:p>
    <w:p>
      <w:pPr>
        <w:spacing w:line="560" w:lineRule="exact"/>
        <w:jc w:val="center"/>
        <w:rPr>
          <w:rFonts w:hint="eastAsia" w:ascii="宋体" w:hAnsi="宋体"/>
          <w:sz w:val="30"/>
          <w:szCs w:val="30"/>
        </w:rPr>
      </w:pPr>
      <w:r>
        <w:rPr>
          <w:rFonts w:hint="eastAsia" w:ascii="宋体" w:hAnsi="宋体"/>
          <w:b/>
          <w:sz w:val="30"/>
          <w:szCs w:val="30"/>
        </w:rPr>
        <w:t>六．谈判、澄清、成交</w:t>
      </w:r>
    </w:p>
    <w:p>
      <w:pPr>
        <w:spacing w:line="560" w:lineRule="exact"/>
        <w:rPr>
          <w:rFonts w:hint="eastAsia" w:ascii="宋体" w:hAnsi="宋体"/>
          <w:b/>
          <w:sz w:val="24"/>
        </w:rPr>
      </w:pPr>
      <w:r>
        <w:rPr>
          <w:rFonts w:hint="eastAsia" w:ascii="宋体" w:hAnsi="宋体"/>
          <w:b/>
          <w:sz w:val="24"/>
        </w:rPr>
        <w:t>1、谈判</w:t>
      </w:r>
    </w:p>
    <w:p>
      <w:pPr>
        <w:spacing w:line="560" w:lineRule="exact"/>
        <w:ind w:firstLine="480" w:firstLineChars="200"/>
        <w:rPr>
          <w:rFonts w:hint="eastAsia" w:ascii="宋体" w:hAnsi="宋体"/>
          <w:sz w:val="24"/>
        </w:rPr>
      </w:pPr>
      <w:r>
        <w:rPr>
          <w:rFonts w:hint="eastAsia" w:ascii="宋体" w:hAnsi="宋体"/>
          <w:sz w:val="24"/>
        </w:rPr>
        <w:t>（1）谈判组织机构按谈判文件规定的时间、地点组织谈判；谈判大会由谈判组织机构主持，谈判小组、采购人代表、监督机构及有关工作人员参加，响应参加谈判的代表应签名报到以证明其出席；谈判供应商派代表参加谈判大会；</w:t>
      </w:r>
    </w:p>
    <w:p>
      <w:pPr>
        <w:tabs>
          <w:tab w:val="left" w:pos="1200"/>
        </w:tabs>
        <w:spacing w:line="560" w:lineRule="exact"/>
        <w:ind w:firstLine="480" w:firstLineChars="200"/>
        <w:rPr>
          <w:rFonts w:hint="eastAsia" w:ascii="宋体" w:hAnsi="宋体"/>
          <w:sz w:val="24"/>
        </w:rPr>
      </w:pPr>
      <w:r>
        <w:rPr>
          <w:rFonts w:hint="eastAsia" w:ascii="宋体" w:hAnsi="宋体"/>
          <w:sz w:val="24"/>
        </w:rPr>
        <w:t>（2）为确保谈判工作公开、公平、公正，依法成立谈判小组。谈判小组由有关专家组成，其中技术、经济等方面的专家不少于谈判小组成员总数的三分之二，专家名单由有关人员在政府采购专家库中随机抽取，谈判小组成员应当遵守并履行下列责任和义务：</w:t>
      </w:r>
    </w:p>
    <w:p>
      <w:pPr>
        <w:tabs>
          <w:tab w:val="left" w:pos="1200"/>
        </w:tabs>
        <w:spacing w:line="560" w:lineRule="exact"/>
        <w:ind w:firstLine="480" w:firstLineChars="200"/>
        <w:rPr>
          <w:rFonts w:hint="eastAsia" w:ascii="宋体" w:hAnsi="宋体"/>
          <w:sz w:val="24"/>
        </w:rPr>
      </w:pPr>
      <w:r>
        <w:rPr>
          <w:rFonts w:hint="eastAsia" w:ascii="宋体" w:hAnsi="宋体"/>
          <w:sz w:val="24"/>
        </w:rPr>
        <w:t>A、遵纪守法，客观、公正、认真负责地履行职责，审查谈判响应文件是否符合谈判文件的要求，并做出评价；</w:t>
      </w:r>
    </w:p>
    <w:p>
      <w:pPr>
        <w:tabs>
          <w:tab w:val="left" w:pos="1200"/>
        </w:tabs>
        <w:spacing w:line="560" w:lineRule="exact"/>
        <w:ind w:firstLine="480" w:firstLineChars="200"/>
        <w:rPr>
          <w:rFonts w:hint="eastAsia" w:ascii="宋体" w:hAnsi="宋体"/>
          <w:sz w:val="24"/>
        </w:rPr>
      </w:pPr>
      <w:r>
        <w:rPr>
          <w:rFonts w:hint="eastAsia" w:ascii="宋体" w:hAnsi="宋体"/>
          <w:sz w:val="24"/>
        </w:rPr>
        <w:t>B、要求谈判供应商对谈判响应文件有关事项作出解释或澄清；</w:t>
      </w:r>
    </w:p>
    <w:p>
      <w:pPr>
        <w:tabs>
          <w:tab w:val="left" w:pos="1200"/>
        </w:tabs>
        <w:spacing w:line="560" w:lineRule="exact"/>
        <w:ind w:firstLine="480" w:firstLineChars="200"/>
        <w:rPr>
          <w:rFonts w:hint="eastAsia" w:ascii="宋体" w:hAnsi="宋体"/>
          <w:sz w:val="24"/>
        </w:rPr>
      </w:pPr>
      <w:r>
        <w:rPr>
          <w:rFonts w:hint="eastAsia" w:ascii="宋体" w:hAnsi="宋体"/>
          <w:sz w:val="24"/>
        </w:rPr>
        <w:t>C、按照谈判文件的要求和谈判标准进行谈判，推荐成交候选供应商名单，对评审意见承担个人责任；</w:t>
      </w:r>
    </w:p>
    <w:p>
      <w:pPr>
        <w:tabs>
          <w:tab w:val="left" w:pos="1200"/>
        </w:tabs>
        <w:spacing w:line="560" w:lineRule="exact"/>
        <w:ind w:firstLine="480" w:firstLineChars="200"/>
        <w:rPr>
          <w:rFonts w:hint="eastAsia" w:ascii="宋体" w:hAnsi="宋体"/>
          <w:sz w:val="24"/>
        </w:rPr>
      </w:pPr>
      <w:r>
        <w:rPr>
          <w:rFonts w:hint="eastAsia" w:ascii="宋体" w:hAnsi="宋体"/>
          <w:sz w:val="24"/>
        </w:rPr>
        <w:t>D、对谈判过程和结果以及谈判供应商的商业秘密保密；</w:t>
      </w:r>
    </w:p>
    <w:p>
      <w:pPr>
        <w:tabs>
          <w:tab w:val="left" w:pos="1200"/>
        </w:tabs>
        <w:spacing w:line="560" w:lineRule="exact"/>
        <w:ind w:firstLine="480" w:firstLineChars="200"/>
        <w:rPr>
          <w:rFonts w:hint="eastAsia" w:ascii="宋体" w:hAnsi="宋体"/>
          <w:sz w:val="24"/>
        </w:rPr>
      </w:pPr>
      <w:r>
        <w:rPr>
          <w:rFonts w:hint="eastAsia" w:ascii="宋体" w:hAnsi="宋体"/>
          <w:sz w:val="24"/>
        </w:rPr>
        <w:t>（3）本次谈判小组成员共</w:t>
      </w:r>
      <w:r>
        <w:rPr>
          <w:rFonts w:hint="eastAsia" w:ascii="宋体" w:hAnsi="宋体"/>
          <w:sz w:val="24"/>
          <w:u w:val="single"/>
        </w:rPr>
        <w:t xml:space="preserve"> 3</w:t>
      </w:r>
      <w:r>
        <w:rPr>
          <w:rFonts w:hint="eastAsia" w:ascii="宋体" w:hAnsi="宋体"/>
          <w:sz w:val="24"/>
        </w:rPr>
        <w:t>人。谈判小组</w:t>
      </w:r>
      <w:r>
        <w:rPr>
          <w:rFonts w:ascii="宋体" w:hAnsi="宋体"/>
          <w:sz w:val="24"/>
        </w:rPr>
        <w:t>按照</w:t>
      </w:r>
      <w:r>
        <w:rPr>
          <w:rFonts w:hint="eastAsia" w:ascii="宋体" w:hAnsi="宋体"/>
          <w:sz w:val="24"/>
        </w:rPr>
        <w:t>单一来源谈判</w:t>
      </w:r>
      <w:r>
        <w:rPr>
          <w:rFonts w:ascii="宋体" w:hAnsi="宋体"/>
          <w:sz w:val="24"/>
        </w:rPr>
        <w:t>文件规定的</w:t>
      </w:r>
      <w:r>
        <w:rPr>
          <w:rFonts w:hint="eastAsia" w:ascii="宋体" w:hAnsi="宋体"/>
          <w:sz w:val="24"/>
        </w:rPr>
        <w:t>评审</w:t>
      </w:r>
      <w:r>
        <w:rPr>
          <w:rFonts w:ascii="宋体" w:hAnsi="宋体"/>
          <w:sz w:val="24"/>
        </w:rPr>
        <w:t>方法独立进行</w:t>
      </w:r>
      <w:r>
        <w:rPr>
          <w:rFonts w:hint="eastAsia" w:ascii="宋体" w:hAnsi="宋体"/>
          <w:sz w:val="24"/>
        </w:rPr>
        <w:t>评审</w:t>
      </w:r>
      <w:r>
        <w:rPr>
          <w:rFonts w:ascii="宋体" w:hAnsi="宋体"/>
          <w:sz w:val="24"/>
        </w:rPr>
        <w:t>工作。</w:t>
      </w:r>
    </w:p>
    <w:p>
      <w:pPr>
        <w:spacing w:line="560" w:lineRule="exact"/>
        <w:ind w:firstLine="480" w:firstLineChars="200"/>
        <w:rPr>
          <w:rFonts w:hint="eastAsia" w:ascii="宋体" w:hAnsi="宋体"/>
          <w:sz w:val="24"/>
        </w:rPr>
      </w:pPr>
      <w:r>
        <w:rPr>
          <w:rFonts w:hint="eastAsia" w:ascii="宋体" w:hAnsi="宋体"/>
          <w:sz w:val="24"/>
        </w:rPr>
        <w:t>（4）由供应商代表和监标人共同查验谈判响应文件密封情况，确认无误后拆封，谈判组织机构指定专人负责将谈判供应商的名称、谈判项目名称、谈判价格记录，并存档备案。</w:t>
      </w:r>
    </w:p>
    <w:p>
      <w:pPr>
        <w:spacing w:line="560" w:lineRule="exact"/>
        <w:ind w:firstLine="480" w:firstLineChars="200"/>
        <w:rPr>
          <w:rFonts w:ascii="宋体" w:hAnsi="宋体"/>
          <w:sz w:val="24"/>
        </w:rPr>
      </w:pPr>
      <w:r>
        <w:rPr>
          <w:rFonts w:hint="eastAsia" w:ascii="宋体" w:hAnsi="宋体"/>
          <w:sz w:val="24"/>
        </w:rPr>
        <w:t>当第二次报价超过财政预算限额或均低于公认的制作成本时，谈判小组有权决定是否谈判失败或进行第三次报价。当第三次报价若超出财政预算，且采购人又无力支付</w:t>
      </w:r>
      <w:r>
        <w:rPr>
          <w:rFonts w:hint="eastAsia" w:ascii="宋体" w:hAnsi="宋体"/>
          <w:sz w:val="24"/>
          <w:lang w:eastAsia="zh-CN"/>
        </w:rPr>
        <w:t>，</w:t>
      </w:r>
      <w:r>
        <w:rPr>
          <w:rFonts w:hint="eastAsia" w:ascii="宋体" w:hAnsi="宋体"/>
          <w:sz w:val="24"/>
        </w:rPr>
        <w:t>谈判小组有权决定谈判失败。</w:t>
      </w:r>
    </w:p>
    <w:p>
      <w:pPr>
        <w:spacing w:line="560" w:lineRule="exact"/>
        <w:ind w:left="140" w:leftChars="67" w:firstLine="480" w:firstLineChars="200"/>
        <w:rPr>
          <w:rFonts w:hint="eastAsia" w:ascii="宋体" w:hAnsi="宋体"/>
          <w:sz w:val="24"/>
        </w:rPr>
      </w:pPr>
      <w:r>
        <w:rPr>
          <w:rFonts w:hint="eastAsia" w:ascii="宋体" w:hAnsi="宋体"/>
          <w:sz w:val="24"/>
        </w:rPr>
        <w:t>（5）评审时，谈判响应文件中出现下列情况，修正原则为：</w:t>
      </w:r>
    </w:p>
    <w:p>
      <w:pPr>
        <w:spacing w:line="500" w:lineRule="exact"/>
        <w:ind w:firstLine="480" w:firstLineChars="200"/>
        <w:rPr>
          <w:rFonts w:hint="eastAsia" w:ascii="宋体" w:hAnsi="宋体"/>
          <w:sz w:val="24"/>
        </w:rPr>
      </w:pPr>
      <w:r>
        <w:rPr>
          <w:rFonts w:hint="eastAsia" w:ascii="宋体" w:hAnsi="宋体"/>
          <w:sz w:val="24"/>
        </w:rPr>
        <w:t>A、报价一览表内容与谈判响应文件中明细表内容不一致的，以报价一览表为准。</w:t>
      </w:r>
    </w:p>
    <w:p>
      <w:pPr>
        <w:spacing w:line="560" w:lineRule="exact"/>
        <w:ind w:firstLine="480" w:firstLineChars="200"/>
        <w:rPr>
          <w:rFonts w:hint="eastAsia" w:ascii="宋体" w:hAnsi="宋体"/>
          <w:sz w:val="24"/>
        </w:rPr>
      </w:pPr>
      <w:r>
        <w:rPr>
          <w:rFonts w:hint="eastAsia" w:ascii="宋体" w:hAnsi="宋体"/>
          <w:sz w:val="24"/>
        </w:rPr>
        <w:t>B、谈判报价的大写金额和小写金额不一致的，以大写金额为准；</w:t>
      </w:r>
    </w:p>
    <w:p>
      <w:pPr>
        <w:spacing w:line="560" w:lineRule="exact"/>
        <w:ind w:firstLine="480" w:firstLineChars="200"/>
        <w:rPr>
          <w:rFonts w:hint="eastAsia" w:ascii="宋体" w:hAnsi="宋体"/>
          <w:sz w:val="24"/>
        </w:rPr>
      </w:pPr>
      <w:r>
        <w:rPr>
          <w:rFonts w:hint="eastAsia" w:ascii="宋体" w:hAnsi="宋体"/>
          <w:sz w:val="24"/>
        </w:rPr>
        <w:t>C、单价金额小数点或者百分比有明显错位的，以报价一览表的总价为准，并修改单价；</w:t>
      </w:r>
    </w:p>
    <w:p>
      <w:pPr>
        <w:spacing w:line="560" w:lineRule="exact"/>
        <w:ind w:firstLine="480" w:firstLineChars="200"/>
        <w:rPr>
          <w:rFonts w:hint="eastAsia" w:ascii="宋体" w:hAnsi="宋体"/>
          <w:sz w:val="24"/>
        </w:rPr>
      </w:pPr>
      <w:r>
        <w:rPr>
          <w:rFonts w:hint="eastAsia" w:ascii="宋体" w:hAnsi="宋体"/>
          <w:sz w:val="24"/>
        </w:rPr>
        <w:t>D、总价金额与按单价汇总金额不一致的，以单价金额计算结果为准。</w:t>
      </w:r>
    </w:p>
    <w:p>
      <w:pPr>
        <w:spacing w:line="560" w:lineRule="exact"/>
        <w:ind w:left="119" w:leftChars="57" w:firstLine="480" w:firstLineChars="200"/>
        <w:rPr>
          <w:rFonts w:hint="eastAsia" w:ascii="宋体" w:hAnsi="宋体"/>
          <w:sz w:val="24"/>
        </w:rPr>
      </w:pPr>
      <w:r>
        <w:rPr>
          <w:rFonts w:hint="eastAsia" w:ascii="宋体" w:hAnsi="宋体"/>
          <w:sz w:val="24"/>
        </w:rPr>
        <w:t>按上述修正错误的原则及方法调整或修正谈判响应文件的报价，谈判供应商同意后，调整后的报价对谈判供应商起约束作用。如果谈判供应商不接受修正后的报价，则其谈判响应文件将被拒绝。</w:t>
      </w:r>
    </w:p>
    <w:p>
      <w:pPr>
        <w:spacing w:line="560" w:lineRule="exact"/>
        <w:ind w:firstLine="480" w:firstLineChars="200"/>
        <w:rPr>
          <w:rFonts w:hint="eastAsia" w:ascii="宋体" w:hAnsi="宋体"/>
          <w:sz w:val="24"/>
        </w:rPr>
      </w:pPr>
      <w:r>
        <w:rPr>
          <w:rFonts w:hint="eastAsia" w:ascii="宋体" w:hAnsi="宋体"/>
          <w:sz w:val="24"/>
        </w:rPr>
        <w:t xml:space="preserve">（6）报价后，直到向成交的供应商授予合同为止，凡审查、澄清、评价和比较谈判的有关资料及被授权文件等内容，谈判小组成员均不得向谈判供应商及与谈判无关的其他人透露。 </w:t>
      </w:r>
    </w:p>
    <w:p>
      <w:pPr>
        <w:spacing w:line="560" w:lineRule="exact"/>
        <w:rPr>
          <w:rFonts w:hint="eastAsia" w:ascii="宋体" w:hAnsi="宋体"/>
          <w:b/>
          <w:sz w:val="24"/>
        </w:rPr>
      </w:pPr>
      <w:r>
        <w:rPr>
          <w:rFonts w:hint="eastAsia" w:ascii="宋体" w:hAnsi="宋体"/>
          <w:b/>
          <w:sz w:val="24"/>
        </w:rPr>
        <w:t>2、谈判响应文件的初审（含资格性审查和符合性审查）</w:t>
      </w:r>
    </w:p>
    <w:p>
      <w:pPr>
        <w:spacing w:line="560" w:lineRule="exact"/>
        <w:ind w:firstLine="480" w:firstLineChars="200"/>
        <w:rPr>
          <w:rFonts w:hint="eastAsia" w:ascii="宋体" w:hAnsi="宋体"/>
          <w:sz w:val="24"/>
        </w:rPr>
      </w:pPr>
      <w:r>
        <w:rPr>
          <w:rFonts w:hint="eastAsia" w:ascii="宋体" w:hAnsi="宋体"/>
          <w:sz w:val="24"/>
        </w:rPr>
        <w:t>（1）初审内容为谈判响应文件的完整性、响应性、有效性是否符合谈判文件的要求，对供应商文件中的资格证明进行审查，以确定供应商是否具备谈判资格；</w:t>
      </w:r>
    </w:p>
    <w:p>
      <w:pPr>
        <w:spacing w:line="560" w:lineRule="exact"/>
        <w:ind w:firstLine="480" w:firstLineChars="200"/>
        <w:rPr>
          <w:rFonts w:hint="eastAsia" w:ascii="宋体" w:hAnsi="宋体"/>
          <w:sz w:val="24"/>
        </w:rPr>
      </w:pPr>
      <w:r>
        <w:rPr>
          <w:rFonts w:hint="eastAsia" w:ascii="宋体" w:hAnsi="宋体"/>
          <w:sz w:val="24"/>
        </w:rPr>
        <w:t>（2）供应商及谈判响应文件有效性和符合性审查，出现下列情况之一者（但不限于），按无效文件处理：</w:t>
      </w:r>
    </w:p>
    <w:p>
      <w:pPr>
        <w:kinsoku w:val="0"/>
        <w:spacing w:line="560" w:lineRule="exact"/>
        <w:ind w:left="1" w:firstLine="480" w:firstLineChars="200"/>
        <w:rPr>
          <w:rFonts w:hint="eastAsia" w:ascii="宋体" w:hAnsi="宋体"/>
          <w:sz w:val="24"/>
        </w:rPr>
      </w:pPr>
      <w:r>
        <w:rPr>
          <w:rFonts w:hint="eastAsia" w:ascii="宋体" w:hAnsi="宋体"/>
          <w:sz w:val="24"/>
        </w:rPr>
        <w:t>A、必备资质的有效性和符合性不符合要求；</w:t>
      </w:r>
    </w:p>
    <w:p>
      <w:pPr>
        <w:kinsoku w:val="0"/>
        <w:spacing w:line="560" w:lineRule="exact"/>
        <w:ind w:firstLine="480" w:firstLineChars="200"/>
        <w:rPr>
          <w:rFonts w:hint="eastAsia" w:ascii="宋体" w:hAnsi="宋体"/>
          <w:sz w:val="24"/>
        </w:rPr>
      </w:pPr>
      <w:r>
        <w:rPr>
          <w:rFonts w:hint="eastAsia" w:ascii="宋体" w:hAnsi="宋体"/>
          <w:sz w:val="24"/>
        </w:rPr>
        <w:t>B、谈判响应</w:t>
      </w:r>
      <w:r>
        <w:rPr>
          <w:rFonts w:hint="eastAsia" w:ascii="宋体" w:hAnsi="宋体"/>
          <w:spacing w:val="-6"/>
          <w:sz w:val="24"/>
        </w:rPr>
        <w:t>文件</w:t>
      </w:r>
      <w:r>
        <w:rPr>
          <w:rFonts w:hint="eastAsia" w:ascii="宋体" w:hAnsi="宋体"/>
          <w:sz w:val="24"/>
        </w:rPr>
        <w:t>未按谈判文件要求密封、签署、盖章的；</w:t>
      </w:r>
    </w:p>
    <w:p>
      <w:pPr>
        <w:kinsoku w:val="0"/>
        <w:spacing w:line="560" w:lineRule="exact"/>
        <w:ind w:firstLine="480" w:firstLineChars="200"/>
        <w:rPr>
          <w:rFonts w:ascii="宋体" w:hAnsi="宋体"/>
          <w:spacing w:val="-6"/>
          <w:sz w:val="24"/>
        </w:rPr>
      </w:pPr>
      <w:r>
        <w:rPr>
          <w:rFonts w:hint="eastAsia" w:ascii="宋体" w:hAnsi="宋体"/>
          <w:sz w:val="24"/>
        </w:rPr>
        <w:t>C、</w:t>
      </w:r>
      <w:r>
        <w:rPr>
          <w:rFonts w:hint="eastAsia" w:ascii="宋体" w:hAnsi="宋体"/>
          <w:spacing w:val="-6"/>
          <w:sz w:val="24"/>
        </w:rPr>
        <w:t>无谈判有效期或有效期达不到谈判文件要求的；</w:t>
      </w:r>
    </w:p>
    <w:p>
      <w:pPr>
        <w:kinsoku w:val="0"/>
        <w:spacing w:line="560" w:lineRule="exact"/>
        <w:ind w:firstLine="480" w:firstLineChars="200"/>
        <w:rPr>
          <w:rFonts w:ascii="宋体" w:hAnsi="宋体"/>
          <w:spacing w:val="-6"/>
          <w:sz w:val="24"/>
        </w:rPr>
      </w:pPr>
      <w:r>
        <w:rPr>
          <w:rFonts w:hint="eastAsia" w:ascii="宋体" w:hAnsi="宋体"/>
          <w:sz w:val="24"/>
        </w:rPr>
        <w:t>D、未按谈判文件要求提交谈判保证金的；</w:t>
      </w:r>
    </w:p>
    <w:p>
      <w:pPr>
        <w:kinsoku w:val="0"/>
        <w:spacing w:line="560" w:lineRule="exact"/>
        <w:ind w:left="1" w:firstLine="480" w:firstLineChars="200"/>
        <w:rPr>
          <w:rFonts w:ascii="宋体" w:hAnsi="宋体"/>
          <w:sz w:val="24"/>
        </w:rPr>
      </w:pPr>
      <w:r>
        <w:rPr>
          <w:rFonts w:hint="eastAsia" w:ascii="宋体" w:hAnsi="宋体"/>
          <w:sz w:val="24"/>
        </w:rPr>
        <w:t>E、供应商未按照谈判文件格式及内容要求填写的 ；</w:t>
      </w:r>
    </w:p>
    <w:p>
      <w:pPr>
        <w:kinsoku w:val="0"/>
        <w:spacing w:line="560" w:lineRule="exact"/>
        <w:ind w:left="1" w:firstLine="480" w:firstLineChars="200"/>
        <w:rPr>
          <w:rFonts w:hint="eastAsia" w:ascii="宋体" w:hAnsi="宋体"/>
          <w:sz w:val="24"/>
        </w:rPr>
      </w:pPr>
      <w:r>
        <w:rPr>
          <w:rFonts w:hint="eastAsia" w:ascii="宋体" w:hAnsi="宋体"/>
          <w:sz w:val="24"/>
        </w:rPr>
        <w:t>F、供应商针对同一项目递交两份或多份内容不同的谈判响应文件，未书面声明哪一份是有效的或出现选择性报价的；</w:t>
      </w:r>
    </w:p>
    <w:p>
      <w:pPr>
        <w:kinsoku w:val="0"/>
        <w:spacing w:line="560" w:lineRule="exact"/>
        <w:ind w:left="1" w:firstLine="480" w:firstLineChars="200"/>
        <w:rPr>
          <w:rFonts w:hint="eastAsia" w:ascii="宋体" w:hAnsi="宋体"/>
          <w:sz w:val="24"/>
        </w:rPr>
      </w:pPr>
      <w:r>
        <w:rPr>
          <w:rFonts w:hint="eastAsia" w:ascii="宋体" w:hAnsi="宋体"/>
          <w:sz w:val="24"/>
        </w:rPr>
        <w:t>G、提供虚假证明（包括第三方提供的虚假证明），开具虚假资质，出现虚假应答的，除按无效文件处理外，还将按照政府采购的有关规定进行处罚；</w:t>
      </w:r>
    </w:p>
    <w:p>
      <w:pPr>
        <w:kinsoku w:val="0"/>
        <w:spacing w:line="560" w:lineRule="exact"/>
        <w:ind w:firstLine="480" w:firstLineChars="200"/>
        <w:rPr>
          <w:rFonts w:hint="eastAsia" w:ascii="宋体" w:hAnsi="宋体"/>
          <w:sz w:val="24"/>
        </w:rPr>
      </w:pPr>
      <w:r>
        <w:rPr>
          <w:rFonts w:hint="eastAsia" w:ascii="宋体" w:hAnsi="宋体"/>
          <w:sz w:val="24"/>
        </w:rPr>
        <w:t>H、谈判响应文件含有采购人不能接受的附加条件的；</w:t>
      </w:r>
    </w:p>
    <w:p>
      <w:pPr>
        <w:kinsoku w:val="0"/>
        <w:spacing w:line="560" w:lineRule="exact"/>
        <w:ind w:firstLine="480" w:firstLineChars="200"/>
        <w:rPr>
          <w:rFonts w:hint="eastAsia" w:ascii="宋体" w:hAnsi="宋体"/>
          <w:sz w:val="24"/>
        </w:rPr>
      </w:pPr>
      <w:r>
        <w:rPr>
          <w:rFonts w:hint="eastAsia" w:ascii="宋体" w:hAnsi="宋体"/>
          <w:sz w:val="24"/>
        </w:rPr>
        <w:t>I、谈判总报价超过竞争性谈判文件公布的采购预算的；</w:t>
      </w:r>
    </w:p>
    <w:p>
      <w:pPr>
        <w:kinsoku w:val="0"/>
        <w:spacing w:line="560" w:lineRule="exact"/>
        <w:ind w:firstLine="480" w:firstLineChars="200"/>
        <w:rPr>
          <w:rFonts w:hint="eastAsia" w:ascii="宋体" w:hAnsi="宋体"/>
          <w:sz w:val="24"/>
        </w:rPr>
      </w:pPr>
      <w:r>
        <w:rPr>
          <w:rFonts w:hint="eastAsia" w:ascii="宋体" w:hAnsi="宋体"/>
          <w:sz w:val="24"/>
        </w:rPr>
        <w:t>J、供应商被列入失信被执行人、重大税收违法案件当事人名单、政府采购严重违法失信行为记录名单的；</w:t>
      </w:r>
    </w:p>
    <w:p>
      <w:pPr>
        <w:kinsoku w:val="0"/>
        <w:spacing w:line="560" w:lineRule="exact"/>
        <w:ind w:firstLine="480" w:firstLineChars="200"/>
        <w:rPr>
          <w:rFonts w:hint="eastAsia" w:ascii="宋体" w:hAnsi="宋体"/>
          <w:sz w:val="24"/>
        </w:rPr>
      </w:pPr>
      <w:r>
        <w:rPr>
          <w:rFonts w:hint="eastAsia" w:ascii="宋体" w:hAnsi="宋体"/>
          <w:sz w:val="24"/>
        </w:rPr>
        <w:t>K、法律、法规规定的其他无效情形。</w:t>
      </w:r>
    </w:p>
    <w:p>
      <w:pPr>
        <w:pStyle w:val="3"/>
        <w:rPr>
          <w:rFonts w:hint="eastAsia" w:ascii="宋体" w:hAnsi="宋体"/>
          <w:sz w:val="24"/>
        </w:rPr>
      </w:pPr>
    </w:p>
    <w:p>
      <w:pPr>
        <w:rPr>
          <w:rFonts w:hint="eastAsia"/>
        </w:rPr>
      </w:pPr>
      <w:r>
        <w:rPr>
          <w:rFonts w:hint="eastAsia"/>
        </w:rPr>
        <w:br w:type="page"/>
      </w:r>
    </w:p>
    <w:p>
      <w:pPr>
        <w:spacing w:line="440" w:lineRule="exact"/>
        <w:ind w:firstLine="480" w:firstLineChars="200"/>
        <w:rPr>
          <w:rFonts w:ascii="宋体" w:hAnsi="宋体" w:eastAsia="宋体" w:cs="Times New Roman"/>
          <w:b/>
          <w:bCs/>
          <w:sz w:val="24"/>
        </w:rPr>
      </w:pPr>
      <w:r>
        <w:rPr>
          <w:rFonts w:ascii="宋体" w:hAnsi="宋体" w:eastAsia="宋体" w:cs="Times New Roman"/>
          <w:b/>
          <w:bCs/>
          <w:sz w:val="24"/>
        </w:rPr>
        <w:t>初审分为资格性</w:t>
      </w:r>
      <w:r>
        <w:rPr>
          <w:rFonts w:hint="eastAsia" w:ascii="宋体" w:hAnsi="宋体" w:eastAsia="宋体" w:cs="Times New Roman"/>
          <w:b/>
          <w:bCs/>
          <w:sz w:val="24"/>
        </w:rPr>
        <w:t>审</w:t>
      </w:r>
      <w:r>
        <w:rPr>
          <w:rFonts w:ascii="宋体" w:hAnsi="宋体" w:eastAsia="宋体" w:cs="Times New Roman"/>
          <w:b/>
          <w:bCs/>
          <w:sz w:val="24"/>
        </w:rPr>
        <w:t>查和符合性</w:t>
      </w:r>
      <w:r>
        <w:rPr>
          <w:rFonts w:hint="eastAsia" w:ascii="宋体" w:hAnsi="宋体" w:eastAsia="宋体" w:cs="Times New Roman"/>
          <w:b/>
          <w:bCs/>
          <w:sz w:val="24"/>
        </w:rPr>
        <w:t>审</w:t>
      </w:r>
      <w:r>
        <w:rPr>
          <w:rFonts w:ascii="宋体" w:hAnsi="宋体" w:eastAsia="宋体" w:cs="Times New Roman"/>
          <w:b/>
          <w:bCs/>
          <w:sz w:val="24"/>
        </w:rPr>
        <w:t>查。</w:t>
      </w:r>
      <w:r>
        <w:rPr>
          <w:rFonts w:hint="eastAsia" w:ascii="宋体" w:hAnsi="宋体" w:eastAsia="宋体" w:cs="Times New Roman"/>
          <w:b/>
          <w:bCs/>
          <w:sz w:val="24"/>
        </w:rPr>
        <w:t>（有一项不满足将</w:t>
      </w:r>
      <w:r>
        <w:rPr>
          <w:rFonts w:hint="eastAsia" w:ascii="宋体" w:hAnsi="宋体" w:cs="Times New Roman"/>
          <w:b/>
          <w:bCs/>
          <w:sz w:val="24"/>
          <w:lang w:eastAsia="zh-CN"/>
        </w:rPr>
        <w:t>不得进入下一步评审</w:t>
      </w:r>
      <w:r>
        <w:rPr>
          <w:rFonts w:hint="eastAsia" w:ascii="宋体" w:hAnsi="宋体" w:eastAsia="宋体" w:cs="Times New Roman"/>
          <w:b/>
          <w:bCs/>
          <w:sz w:val="24"/>
        </w:rPr>
        <w:t>）</w:t>
      </w:r>
    </w:p>
    <w:p>
      <w:pPr>
        <w:spacing w:line="240" w:lineRule="auto"/>
        <w:rPr>
          <w:rFonts w:ascii="Times New Roman" w:hAnsi="Times New Roman" w:eastAsia="宋体" w:cs="Times New Roman"/>
        </w:rPr>
      </w:pPr>
    </w:p>
    <w:tbl>
      <w:tblPr>
        <w:tblStyle w:val="29"/>
        <w:tblW w:w="9072" w:type="dxa"/>
        <w:tblInd w:w="250" w:type="dxa"/>
        <w:tblLayout w:type="fixed"/>
        <w:tblCellMar>
          <w:top w:w="0" w:type="dxa"/>
          <w:left w:w="108" w:type="dxa"/>
          <w:bottom w:w="0" w:type="dxa"/>
          <w:right w:w="108" w:type="dxa"/>
        </w:tblCellMar>
      </w:tblPr>
      <w:tblGrid>
        <w:gridCol w:w="723"/>
        <w:gridCol w:w="885"/>
        <w:gridCol w:w="3212"/>
        <w:gridCol w:w="4252"/>
      </w:tblGrid>
      <w:tr>
        <w:tblPrEx>
          <w:tblCellMar>
            <w:top w:w="0" w:type="dxa"/>
            <w:left w:w="108" w:type="dxa"/>
            <w:bottom w:w="0" w:type="dxa"/>
            <w:right w:w="108" w:type="dxa"/>
          </w:tblCellMar>
        </w:tblPrEx>
        <w:trPr>
          <w:trHeight w:val="451" w:hRule="atLeast"/>
        </w:trPr>
        <w:tc>
          <w:tcPr>
            <w:tcW w:w="1608" w:type="dxa"/>
            <w:gridSpan w:val="2"/>
            <w:tcBorders>
              <w:top w:val="single" w:color="auto" w:sz="4" w:space="0"/>
              <w:left w:val="single" w:color="auto" w:sz="4" w:space="0"/>
              <w:bottom w:val="single" w:color="auto" w:sz="4" w:space="0"/>
              <w:right w:val="single" w:color="auto" w:sz="4" w:space="0"/>
            </w:tcBorders>
            <w:noWrap w:val="0"/>
            <w:vAlign w:val="center"/>
          </w:tcPr>
          <w:p>
            <w:pPr>
              <w:spacing w:line="273" w:lineRule="auto"/>
              <w:jc w:val="center"/>
              <w:rPr>
                <w:rFonts w:ascii="宋体" w:hAnsi="宋体" w:eastAsia="宋体" w:cs="Calibri"/>
                <w:b/>
                <w:bCs/>
                <w:szCs w:val="21"/>
              </w:rPr>
            </w:pPr>
            <w:r>
              <w:rPr>
                <w:rFonts w:hint="eastAsia" w:ascii="宋体" w:hAnsi="宋体" w:eastAsia="宋体" w:cs="Times New Roman"/>
                <w:b/>
                <w:bCs/>
                <w:color w:val="000000"/>
              </w:rPr>
              <w:t>条款号</w:t>
            </w:r>
          </w:p>
        </w:tc>
        <w:tc>
          <w:tcPr>
            <w:tcW w:w="3212" w:type="dxa"/>
            <w:tcBorders>
              <w:top w:val="single" w:color="auto" w:sz="4" w:space="0"/>
              <w:left w:val="nil"/>
              <w:bottom w:val="single" w:color="auto" w:sz="4" w:space="0"/>
              <w:right w:val="single" w:color="auto" w:sz="4" w:space="0"/>
            </w:tcBorders>
            <w:noWrap w:val="0"/>
            <w:vAlign w:val="bottom"/>
          </w:tcPr>
          <w:p>
            <w:pPr>
              <w:spacing w:line="360" w:lineRule="auto"/>
              <w:jc w:val="center"/>
              <w:rPr>
                <w:rFonts w:ascii="宋体" w:hAnsi="宋体" w:eastAsia="宋体" w:cs="Times New Roman"/>
                <w:b/>
                <w:bCs/>
                <w:color w:val="000000"/>
                <w:szCs w:val="21"/>
              </w:rPr>
            </w:pPr>
            <w:r>
              <w:rPr>
                <w:rFonts w:hint="eastAsia" w:ascii="宋体" w:hAnsi="宋体" w:eastAsia="宋体" w:cs="Times New Roman"/>
                <w:b/>
                <w:bCs/>
                <w:color w:val="000000"/>
              </w:rPr>
              <w:t>审查因素</w:t>
            </w:r>
          </w:p>
        </w:tc>
        <w:tc>
          <w:tcPr>
            <w:tcW w:w="4252" w:type="dxa"/>
            <w:tcBorders>
              <w:top w:val="single" w:color="auto" w:sz="4" w:space="0"/>
              <w:left w:val="nil"/>
              <w:bottom w:val="single" w:color="auto" w:sz="4" w:space="0"/>
              <w:right w:val="single" w:color="auto" w:sz="4" w:space="0"/>
            </w:tcBorders>
            <w:noWrap w:val="0"/>
            <w:vAlign w:val="bottom"/>
          </w:tcPr>
          <w:p>
            <w:pPr>
              <w:spacing w:line="360" w:lineRule="auto"/>
              <w:jc w:val="center"/>
              <w:rPr>
                <w:rFonts w:ascii="宋体" w:hAnsi="宋体" w:eastAsia="宋体" w:cs="Times New Roman"/>
                <w:b/>
                <w:bCs/>
                <w:color w:val="000000"/>
                <w:szCs w:val="21"/>
              </w:rPr>
            </w:pPr>
            <w:r>
              <w:rPr>
                <w:rFonts w:hint="eastAsia" w:ascii="宋体" w:hAnsi="宋体" w:eastAsia="宋体" w:cs="Times New Roman"/>
                <w:b/>
                <w:bCs/>
                <w:color w:val="000000"/>
              </w:rPr>
              <w:t>审查标准</w:t>
            </w:r>
          </w:p>
        </w:tc>
      </w:tr>
      <w:tr>
        <w:tblPrEx>
          <w:tblCellMar>
            <w:top w:w="0" w:type="dxa"/>
            <w:left w:w="108" w:type="dxa"/>
            <w:bottom w:w="0" w:type="dxa"/>
            <w:right w:w="108" w:type="dxa"/>
          </w:tblCellMar>
        </w:tblPrEx>
        <w:trPr>
          <w:trHeight w:val="508" w:hRule="atLeast"/>
        </w:trPr>
        <w:tc>
          <w:tcPr>
            <w:tcW w:w="723" w:type="dxa"/>
            <w:vMerge w:val="restart"/>
            <w:tcBorders>
              <w:top w:val="single" w:color="auto" w:sz="4" w:space="0"/>
              <w:left w:val="single" w:color="auto" w:sz="4" w:space="0"/>
              <w:right w:val="single" w:color="auto" w:sz="4" w:space="0"/>
            </w:tcBorders>
            <w:noWrap w:val="0"/>
            <w:vAlign w:val="center"/>
          </w:tcPr>
          <w:p>
            <w:pPr>
              <w:spacing w:line="273" w:lineRule="auto"/>
              <w:jc w:val="center"/>
              <w:rPr>
                <w:rFonts w:ascii="宋体" w:hAnsi="宋体" w:eastAsia="宋体" w:cs="宋体"/>
                <w:b/>
                <w:bCs/>
                <w:color w:val="000000"/>
                <w:sz w:val="24"/>
              </w:rPr>
            </w:pPr>
            <w:r>
              <w:rPr>
                <w:rFonts w:hint="eastAsia" w:ascii="宋体" w:hAnsi="宋体" w:eastAsia="宋体" w:cs="宋体"/>
                <w:sz w:val="24"/>
              </w:rPr>
              <w:t>3.2</w:t>
            </w:r>
          </w:p>
        </w:tc>
        <w:tc>
          <w:tcPr>
            <w:tcW w:w="885" w:type="dxa"/>
            <w:vMerge w:val="restart"/>
            <w:tcBorders>
              <w:top w:val="single" w:color="auto" w:sz="4" w:space="0"/>
              <w:left w:val="nil"/>
              <w:right w:val="single" w:color="auto" w:sz="4" w:space="0"/>
            </w:tcBorders>
            <w:noWrap w:val="0"/>
            <w:vAlign w:val="center"/>
          </w:tcPr>
          <w:p>
            <w:pPr>
              <w:spacing w:line="240" w:lineRule="auto"/>
              <w:jc w:val="center"/>
              <w:rPr>
                <w:rFonts w:ascii="宋体" w:hAnsi="宋体" w:eastAsia="宋体" w:cs="宋体"/>
                <w:color w:val="000000"/>
                <w:sz w:val="24"/>
              </w:rPr>
            </w:pPr>
            <w:r>
              <w:rPr>
                <w:rFonts w:hint="eastAsia" w:ascii="宋体" w:hAnsi="宋体" w:eastAsia="宋体" w:cs="宋体"/>
                <w:color w:val="000000"/>
                <w:sz w:val="24"/>
              </w:rPr>
              <w:t>资格</w:t>
            </w:r>
          </w:p>
          <w:p>
            <w:pPr>
              <w:spacing w:line="240" w:lineRule="auto"/>
              <w:jc w:val="center"/>
              <w:rPr>
                <w:rFonts w:ascii="宋体" w:hAnsi="宋体" w:eastAsia="宋体" w:cs="宋体"/>
                <w:color w:val="000000"/>
                <w:sz w:val="24"/>
              </w:rPr>
            </w:pPr>
            <w:r>
              <w:rPr>
                <w:rFonts w:hint="eastAsia" w:ascii="宋体" w:hAnsi="宋体" w:eastAsia="宋体" w:cs="宋体"/>
                <w:color w:val="000000"/>
                <w:sz w:val="24"/>
              </w:rPr>
              <w:t>审查</w:t>
            </w:r>
          </w:p>
          <w:p>
            <w:pPr>
              <w:spacing w:line="240" w:lineRule="auto"/>
              <w:jc w:val="center"/>
              <w:rPr>
                <w:rFonts w:ascii="宋体" w:hAnsi="宋体" w:eastAsia="宋体" w:cs="宋体"/>
                <w:b/>
                <w:bCs/>
                <w:color w:val="000000"/>
                <w:sz w:val="24"/>
              </w:rPr>
            </w:pPr>
            <w:r>
              <w:rPr>
                <w:rFonts w:hint="eastAsia" w:ascii="宋体" w:hAnsi="宋体" w:eastAsia="宋体" w:cs="宋体"/>
                <w:color w:val="000000"/>
                <w:sz w:val="24"/>
              </w:rPr>
              <w:t>标准</w:t>
            </w: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具备《中华人民共和国政府采购法》第二十二条规定的条件</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符合磋商文件要求</w:t>
            </w:r>
          </w:p>
        </w:tc>
      </w:tr>
      <w:tr>
        <w:tblPrEx>
          <w:tblCellMar>
            <w:top w:w="0" w:type="dxa"/>
            <w:left w:w="108" w:type="dxa"/>
            <w:bottom w:w="0" w:type="dxa"/>
            <w:right w:w="108" w:type="dxa"/>
          </w:tblCellMar>
        </w:tblPrEx>
        <w:trPr>
          <w:trHeight w:val="508" w:hRule="atLeast"/>
        </w:trPr>
        <w:tc>
          <w:tcPr>
            <w:tcW w:w="723" w:type="dxa"/>
            <w:vMerge w:val="continue"/>
            <w:tcBorders>
              <w:left w:val="single" w:color="auto" w:sz="4" w:space="0"/>
              <w:right w:val="single" w:color="auto" w:sz="4" w:space="0"/>
            </w:tcBorders>
            <w:noWrap w:val="0"/>
            <w:vAlign w:val="center"/>
          </w:tcPr>
          <w:p>
            <w:pPr>
              <w:spacing w:line="273" w:lineRule="auto"/>
              <w:jc w:val="center"/>
              <w:rPr>
                <w:rFonts w:ascii="宋体" w:hAnsi="宋体" w:eastAsia="宋体" w:cs="宋体"/>
                <w:b/>
                <w:bCs/>
                <w:color w:val="000000"/>
                <w:sz w:val="24"/>
              </w:rPr>
            </w:pPr>
          </w:p>
        </w:tc>
        <w:tc>
          <w:tcPr>
            <w:tcW w:w="885" w:type="dxa"/>
            <w:vMerge w:val="continue"/>
            <w:tcBorders>
              <w:left w:val="nil"/>
              <w:right w:val="single" w:color="auto" w:sz="4" w:space="0"/>
            </w:tcBorders>
            <w:noWrap w:val="0"/>
            <w:vAlign w:val="center"/>
          </w:tcPr>
          <w:p>
            <w:pPr>
              <w:spacing w:line="240" w:lineRule="auto"/>
              <w:jc w:val="center"/>
              <w:rPr>
                <w:rFonts w:ascii="宋体" w:hAnsi="宋体" w:eastAsia="宋体" w:cs="宋体"/>
                <w:b/>
                <w:bCs/>
                <w:color w:val="000000"/>
                <w:sz w:val="24"/>
              </w:rPr>
            </w:pP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营业执照</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有效</w:t>
            </w:r>
          </w:p>
        </w:tc>
      </w:tr>
      <w:tr>
        <w:tblPrEx>
          <w:tblCellMar>
            <w:top w:w="0" w:type="dxa"/>
            <w:left w:w="108" w:type="dxa"/>
            <w:bottom w:w="0" w:type="dxa"/>
            <w:right w:w="108" w:type="dxa"/>
          </w:tblCellMar>
        </w:tblPrEx>
        <w:trPr>
          <w:trHeight w:val="508" w:hRule="atLeast"/>
        </w:trPr>
        <w:tc>
          <w:tcPr>
            <w:tcW w:w="723" w:type="dxa"/>
            <w:vMerge w:val="continue"/>
            <w:tcBorders>
              <w:left w:val="single" w:color="auto" w:sz="4" w:space="0"/>
              <w:right w:val="single" w:color="auto" w:sz="4" w:space="0"/>
            </w:tcBorders>
            <w:noWrap w:val="0"/>
            <w:vAlign w:val="center"/>
          </w:tcPr>
          <w:p>
            <w:pPr>
              <w:spacing w:line="273" w:lineRule="auto"/>
              <w:jc w:val="center"/>
              <w:rPr>
                <w:rFonts w:ascii="宋体" w:hAnsi="宋体" w:eastAsia="宋体" w:cs="宋体"/>
                <w:b/>
                <w:bCs/>
                <w:color w:val="000000"/>
                <w:sz w:val="24"/>
              </w:rPr>
            </w:pPr>
          </w:p>
        </w:tc>
        <w:tc>
          <w:tcPr>
            <w:tcW w:w="885" w:type="dxa"/>
            <w:vMerge w:val="continue"/>
            <w:tcBorders>
              <w:left w:val="nil"/>
              <w:right w:val="single" w:color="auto" w:sz="4" w:space="0"/>
            </w:tcBorders>
            <w:noWrap w:val="0"/>
            <w:vAlign w:val="center"/>
          </w:tcPr>
          <w:p>
            <w:pPr>
              <w:spacing w:line="240" w:lineRule="auto"/>
              <w:jc w:val="center"/>
              <w:rPr>
                <w:rFonts w:ascii="宋体" w:hAnsi="宋体" w:eastAsia="宋体" w:cs="宋体"/>
                <w:b/>
                <w:bCs/>
                <w:color w:val="000000"/>
                <w:sz w:val="24"/>
              </w:rPr>
            </w:pP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4"/>
              </w:rPr>
            </w:pPr>
            <w:r>
              <w:rPr>
                <w:rFonts w:hint="eastAsia" w:ascii="宋体" w:hAnsi="宋体" w:eastAsia="宋体" w:cs="宋体"/>
                <w:color w:val="000000"/>
                <w:sz w:val="24"/>
              </w:rPr>
              <w:t>法定代表人授权书</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4"/>
              </w:rPr>
            </w:pPr>
            <w:r>
              <w:rPr>
                <w:rFonts w:hint="eastAsia" w:ascii="宋体" w:hAnsi="宋体" w:eastAsia="宋体" w:cs="宋体"/>
                <w:color w:val="000000"/>
                <w:sz w:val="24"/>
              </w:rPr>
              <w:t>合格有效</w:t>
            </w:r>
          </w:p>
        </w:tc>
      </w:tr>
      <w:tr>
        <w:tblPrEx>
          <w:tblCellMar>
            <w:top w:w="0" w:type="dxa"/>
            <w:left w:w="108" w:type="dxa"/>
            <w:bottom w:w="0" w:type="dxa"/>
            <w:right w:w="108" w:type="dxa"/>
          </w:tblCellMar>
        </w:tblPrEx>
        <w:trPr>
          <w:trHeight w:val="567" w:hRule="atLeast"/>
        </w:trPr>
        <w:tc>
          <w:tcPr>
            <w:tcW w:w="723" w:type="dxa"/>
            <w:vMerge w:val="continue"/>
            <w:tcBorders>
              <w:left w:val="single" w:color="auto" w:sz="4" w:space="0"/>
              <w:right w:val="single" w:color="auto" w:sz="4" w:space="0"/>
            </w:tcBorders>
            <w:noWrap w:val="0"/>
            <w:vAlign w:val="top"/>
          </w:tcPr>
          <w:p>
            <w:pPr>
              <w:spacing w:line="360" w:lineRule="auto"/>
              <w:rPr>
                <w:rFonts w:ascii="宋体" w:hAnsi="宋体" w:eastAsia="宋体" w:cs="宋体"/>
                <w:b/>
                <w:bCs/>
                <w:color w:val="000000"/>
                <w:sz w:val="24"/>
              </w:rPr>
            </w:pPr>
          </w:p>
        </w:tc>
        <w:tc>
          <w:tcPr>
            <w:tcW w:w="885" w:type="dxa"/>
            <w:vMerge w:val="continue"/>
            <w:tcBorders>
              <w:left w:val="nil"/>
              <w:right w:val="single" w:color="auto" w:sz="4" w:space="0"/>
            </w:tcBorders>
            <w:noWrap w:val="0"/>
            <w:vAlign w:val="top"/>
          </w:tcPr>
          <w:p>
            <w:pPr>
              <w:spacing w:line="360" w:lineRule="auto"/>
              <w:rPr>
                <w:rFonts w:ascii="宋体" w:hAnsi="宋体" w:eastAsia="宋体" w:cs="宋体"/>
                <w:b/>
                <w:bCs/>
                <w:color w:val="000000"/>
                <w:sz w:val="24"/>
              </w:rPr>
            </w:pP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4"/>
                <w:lang w:eastAsia="zh-CN"/>
              </w:rPr>
            </w:pPr>
            <w:r>
              <w:rPr>
                <w:rFonts w:hint="eastAsia" w:ascii="宋体" w:hAnsi="宋体" w:cs="宋体"/>
                <w:color w:val="000000"/>
                <w:sz w:val="24"/>
                <w:lang w:eastAsia="zh-CN"/>
              </w:rPr>
              <w:t>中小企业声明函</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合格有效</w:t>
            </w:r>
          </w:p>
        </w:tc>
      </w:tr>
      <w:tr>
        <w:tblPrEx>
          <w:tblCellMar>
            <w:top w:w="0" w:type="dxa"/>
            <w:left w:w="108" w:type="dxa"/>
            <w:bottom w:w="0" w:type="dxa"/>
            <w:right w:w="108" w:type="dxa"/>
          </w:tblCellMar>
        </w:tblPrEx>
        <w:trPr>
          <w:trHeight w:val="567" w:hRule="atLeast"/>
        </w:trPr>
        <w:tc>
          <w:tcPr>
            <w:tcW w:w="723" w:type="dxa"/>
            <w:vMerge w:val="restart"/>
            <w:tcBorders>
              <w:top w:val="single" w:color="auto" w:sz="4" w:space="0"/>
              <w:left w:val="single" w:color="auto" w:sz="4" w:space="0"/>
              <w:right w:val="single" w:color="auto" w:sz="4" w:space="0"/>
            </w:tcBorders>
            <w:noWrap w:val="0"/>
            <w:vAlign w:val="center"/>
          </w:tcPr>
          <w:p>
            <w:pPr>
              <w:spacing w:line="273" w:lineRule="auto"/>
              <w:jc w:val="center"/>
              <w:rPr>
                <w:rFonts w:ascii="宋体" w:hAnsi="宋体" w:eastAsia="宋体" w:cs="宋体"/>
                <w:b/>
                <w:bCs/>
                <w:sz w:val="24"/>
              </w:rPr>
            </w:pPr>
            <w:r>
              <w:rPr>
                <w:rFonts w:hint="eastAsia" w:ascii="宋体" w:hAnsi="宋体" w:eastAsia="宋体" w:cs="宋体"/>
                <w:sz w:val="24"/>
              </w:rPr>
              <w:t>3.3</w:t>
            </w:r>
          </w:p>
        </w:tc>
        <w:tc>
          <w:tcPr>
            <w:tcW w:w="885" w:type="dxa"/>
            <w:vMerge w:val="restart"/>
            <w:tcBorders>
              <w:top w:val="single" w:color="auto" w:sz="4" w:space="0"/>
              <w:left w:val="nil"/>
              <w:right w:val="single" w:color="auto" w:sz="4" w:space="0"/>
            </w:tcBorders>
            <w:noWrap w:val="0"/>
            <w:vAlign w:val="center"/>
          </w:tcPr>
          <w:p>
            <w:pPr>
              <w:spacing w:line="360" w:lineRule="auto"/>
              <w:jc w:val="center"/>
              <w:rPr>
                <w:rFonts w:ascii="宋体" w:hAnsi="宋体" w:eastAsia="宋体" w:cs="宋体"/>
                <w:b/>
                <w:bCs/>
                <w:color w:val="000000"/>
                <w:sz w:val="24"/>
              </w:rPr>
            </w:pPr>
            <w:r>
              <w:rPr>
                <w:rFonts w:hint="eastAsia" w:ascii="宋体" w:hAnsi="宋体" w:eastAsia="宋体" w:cs="宋体"/>
                <w:color w:val="000000"/>
                <w:sz w:val="24"/>
              </w:rPr>
              <w:t>符合性审查标准</w:t>
            </w: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供应商名称</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与营业执照一致</w:t>
            </w:r>
          </w:p>
        </w:tc>
      </w:tr>
      <w:tr>
        <w:tblPrEx>
          <w:tblCellMar>
            <w:top w:w="0" w:type="dxa"/>
            <w:left w:w="108" w:type="dxa"/>
            <w:bottom w:w="0" w:type="dxa"/>
            <w:right w:w="108" w:type="dxa"/>
          </w:tblCellMar>
        </w:tblPrEx>
        <w:trPr>
          <w:trHeight w:val="739" w:hRule="atLeast"/>
        </w:trPr>
        <w:tc>
          <w:tcPr>
            <w:tcW w:w="723" w:type="dxa"/>
            <w:vMerge w:val="continue"/>
            <w:tcBorders>
              <w:left w:val="single" w:color="auto" w:sz="4" w:space="0"/>
              <w:right w:val="single" w:color="auto" w:sz="4" w:space="0"/>
            </w:tcBorders>
            <w:noWrap w:val="0"/>
            <w:vAlign w:val="top"/>
          </w:tcPr>
          <w:p>
            <w:pPr>
              <w:spacing w:line="273" w:lineRule="auto"/>
              <w:jc w:val="center"/>
              <w:rPr>
                <w:rFonts w:ascii="宋体" w:hAnsi="宋体" w:eastAsia="宋体" w:cs="宋体"/>
                <w:b/>
                <w:bCs/>
                <w:sz w:val="24"/>
              </w:rPr>
            </w:pPr>
          </w:p>
        </w:tc>
        <w:tc>
          <w:tcPr>
            <w:tcW w:w="885" w:type="dxa"/>
            <w:vMerge w:val="continue"/>
            <w:tcBorders>
              <w:left w:val="nil"/>
              <w:right w:val="single" w:color="auto" w:sz="4" w:space="0"/>
            </w:tcBorders>
            <w:noWrap w:val="0"/>
            <w:vAlign w:val="top"/>
          </w:tcPr>
          <w:p>
            <w:pPr>
              <w:spacing w:line="360" w:lineRule="auto"/>
              <w:rPr>
                <w:rFonts w:ascii="宋体" w:hAnsi="宋体" w:eastAsia="宋体" w:cs="宋体"/>
                <w:color w:val="000000"/>
                <w:sz w:val="24"/>
              </w:rPr>
            </w:pP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签字盖章</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在</w:t>
            </w:r>
            <w:r>
              <w:rPr>
                <w:rFonts w:hint="eastAsia" w:ascii="宋体" w:hAnsi="宋体" w:eastAsia="宋体" w:cs="宋体"/>
                <w:color w:val="000000"/>
                <w:sz w:val="24"/>
                <w:lang w:eastAsia="zh-CN"/>
              </w:rPr>
              <w:t>谈判响应</w:t>
            </w:r>
            <w:r>
              <w:rPr>
                <w:rFonts w:hint="eastAsia" w:ascii="宋体" w:hAnsi="宋体" w:eastAsia="宋体" w:cs="宋体"/>
                <w:color w:val="000000"/>
                <w:sz w:val="24"/>
              </w:rPr>
              <w:t>文件中指定落款处，按文件要求盖章或签字</w:t>
            </w:r>
          </w:p>
        </w:tc>
      </w:tr>
      <w:tr>
        <w:tblPrEx>
          <w:tblCellMar>
            <w:top w:w="0" w:type="dxa"/>
            <w:left w:w="108" w:type="dxa"/>
            <w:bottom w:w="0" w:type="dxa"/>
            <w:right w:w="108" w:type="dxa"/>
          </w:tblCellMar>
        </w:tblPrEx>
        <w:trPr>
          <w:trHeight w:val="567" w:hRule="atLeast"/>
        </w:trPr>
        <w:tc>
          <w:tcPr>
            <w:tcW w:w="723" w:type="dxa"/>
            <w:vMerge w:val="continue"/>
            <w:tcBorders>
              <w:left w:val="single" w:color="auto" w:sz="4" w:space="0"/>
              <w:right w:val="single" w:color="auto" w:sz="4" w:space="0"/>
            </w:tcBorders>
            <w:noWrap w:val="0"/>
            <w:vAlign w:val="top"/>
          </w:tcPr>
          <w:p>
            <w:pPr>
              <w:spacing w:line="273" w:lineRule="auto"/>
              <w:jc w:val="center"/>
              <w:rPr>
                <w:rFonts w:ascii="宋体" w:hAnsi="宋体" w:eastAsia="宋体" w:cs="宋体"/>
                <w:b/>
                <w:bCs/>
                <w:sz w:val="24"/>
              </w:rPr>
            </w:pPr>
          </w:p>
        </w:tc>
        <w:tc>
          <w:tcPr>
            <w:tcW w:w="885" w:type="dxa"/>
            <w:vMerge w:val="continue"/>
            <w:tcBorders>
              <w:left w:val="nil"/>
              <w:right w:val="single" w:color="auto" w:sz="4" w:space="0"/>
            </w:tcBorders>
            <w:noWrap w:val="0"/>
            <w:vAlign w:val="top"/>
          </w:tcPr>
          <w:p>
            <w:pPr>
              <w:spacing w:line="360" w:lineRule="auto"/>
              <w:rPr>
                <w:rFonts w:ascii="宋体" w:hAnsi="宋体" w:eastAsia="宋体" w:cs="宋体"/>
                <w:color w:val="000000"/>
                <w:sz w:val="24"/>
              </w:rPr>
            </w:pP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lang w:eastAsia="zh-CN"/>
              </w:rPr>
              <w:t>谈判</w:t>
            </w:r>
            <w:r>
              <w:rPr>
                <w:rFonts w:hint="eastAsia" w:ascii="宋体" w:hAnsi="宋体" w:eastAsia="宋体" w:cs="宋体"/>
                <w:color w:val="000000"/>
                <w:sz w:val="24"/>
              </w:rPr>
              <w:t>响应文件格式</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符合</w:t>
            </w:r>
            <w:r>
              <w:rPr>
                <w:rFonts w:hint="eastAsia" w:ascii="宋体" w:hAnsi="宋体" w:eastAsia="宋体" w:cs="宋体"/>
                <w:color w:val="000000"/>
                <w:sz w:val="24"/>
                <w:lang w:eastAsia="zh-CN"/>
              </w:rPr>
              <w:t>采购</w:t>
            </w:r>
            <w:r>
              <w:rPr>
                <w:rFonts w:hint="eastAsia" w:ascii="宋体" w:hAnsi="宋体" w:eastAsia="宋体" w:cs="宋体"/>
                <w:color w:val="000000"/>
                <w:sz w:val="24"/>
              </w:rPr>
              <w:t>文件的格式要求</w:t>
            </w:r>
          </w:p>
        </w:tc>
      </w:tr>
      <w:tr>
        <w:tblPrEx>
          <w:tblCellMar>
            <w:top w:w="0" w:type="dxa"/>
            <w:left w:w="108" w:type="dxa"/>
            <w:bottom w:w="0" w:type="dxa"/>
            <w:right w:w="108" w:type="dxa"/>
          </w:tblCellMar>
        </w:tblPrEx>
        <w:trPr>
          <w:trHeight w:val="567" w:hRule="atLeast"/>
        </w:trPr>
        <w:tc>
          <w:tcPr>
            <w:tcW w:w="723" w:type="dxa"/>
            <w:vMerge w:val="continue"/>
            <w:tcBorders>
              <w:left w:val="single" w:color="auto" w:sz="4" w:space="0"/>
              <w:right w:val="single" w:color="auto" w:sz="4" w:space="0"/>
            </w:tcBorders>
            <w:noWrap w:val="0"/>
            <w:vAlign w:val="top"/>
          </w:tcPr>
          <w:p>
            <w:pPr>
              <w:spacing w:line="273" w:lineRule="auto"/>
              <w:jc w:val="center"/>
              <w:rPr>
                <w:rFonts w:ascii="宋体" w:hAnsi="宋体" w:eastAsia="宋体" w:cs="宋体"/>
                <w:b/>
                <w:bCs/>
                <w:sz w:val="24"/>
                <w:highlight w:val="yellow"/>
              </w:rPr>
            </w:pPr>
          </w:p>
        </w:tc>
        <w:tc>
          <w:tcPr>
            <w:tcW w:w="885" w:type="dxa"/>
            <w:vMerge w:val="continue"/>
            <w:tcBorders>
              <w:left w:val="nil"/>
              <w:right w:val="single" w:color="auto" w:sz="4" w:space="0"/>
            </w:tcBorders>
            <w:noWrap w:val="0"/>
            <w:vAlign w:val="top"/>
          </w:tcPr>
          <w:p>
            <w:pPr>
              <w:spacing w:line="360" w:lineRule="auto"/>
              <w:rPr>
                <w:rFonts w:ascii="宋体" w:hAnsi="宋体" w:eastAsia="宋体" w:cs="宋体"/>
                <w:color w:val="000000"/>
                <w:sz w:val="24"/>
                <w:highlight w:val="yellow"/>
              </w:rPr>
            </w:pPr>
          </w:p>
        </w:tc>
        <w:tc>
          <w:tcPr>
            <w:tcW w:w="3212" w:type="dxa"/>
            <w:tcBorders>
              <w:top w:val="single" w:color="auto" w:sz="4" w:space="0"/>
              <w:left w:val="nil"/>
              <w:bottom w:val="single" w:color="auto" w:sz="4" w:space="0"/>
              <w:right w:val="single" w:color="auto" w:sz="4" w:space="0"/>
            </w:tcBorders>
            <w:noWrap w:val="0"/>
            <w:vAlign w:val="center"/>
          </w:tcPr>
          <w:p>
            <w:pPr>
              <w:widowControl/>
              <w:spacing w:before="0" w:beforeAutospacing="0" w:after="0" w:afterAutospacing="0" w:line="420" w:lineRule="exact"/>
              <w:jc w:val="left"/>
              <w:rPr>
                <w:rFonts w:ascii="宋体" w:hAnsi="宋体" w:eastAsia="宋体" w:cs="宋体"/>
                <w:color w:val="333333"/>
                <w:kern w:val="0"/>
                <w:sz w:val="24"/>
                <w:szCs w:val="24"/>
                <w:lang w:val="en-US" w:eastAsia="zh-CN" w:bidi="ar-SA"/>
              </w:rPr>
            </w:pPr>
            <w:r>
              <w:rPr>
                <w:rFonts w:hint="eastAsia" w:ascii="宋体" w:hAnsi="宋体" w:eastAsia="宋体" w:cs="宋体"/>
                <w:color w:val="000000"/>
                <w:kern w:val="2"/>
                <w:sz w:val="24"/>
                <w:szCs w:val="24"/>
                <w:lang w:val="en-US" w:eastAsia="zh-CN" w:bidi="ar-SA"/>
              </w:rPr>
              <w:t>服务期限</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符合采购文件要求</w:t>
            </w:r>
          </w:p>
        </w:tc>
      </w:tr>
      <w:tr>
        <w:tblPrEx>
          <w:tblCellMar>
            <w:top w:w="0" w:type="dxa"/>
            <w:left w:w="108" w:type="dxa"/>
            <w:bottom w:w="0" w:type="dxa"/>
            <w:right w:w="108" w:type="dxa"/>
          </w:tblCellMar>
        </w:tblPrEx>
        <w:trPr>
          <w:trHeight w:val="567" w:hRule="atLeast"/>
        </w:trPr>
        <w:tc>
          <w:tcPr>
            <w:tcW w:w="723" w:type="dxa"/>
            <w:vMerge w:val="continue"/>
            <w:tcBorders>
              <w:left w:val="single" w:color="auto" w:sz="4" w:space="0"/>
              <w:right w:val="single" w:color="auto" w:sz="4" w:space="0"/>
            </w:tcBorders>
            <w:noWrap w:val="0"/>
            <w:vAlign w:val="top"/>
          </w:tcPr>
          <w:p>
            <w:pPr>
              <w:spacing w:line="273" w:lineRule="auto"/>
              <w:jc w:val="center"/>
              <w:rPr>
                <w:rFonts w:ascii="宋体" w:hAnsi="宋体" w:eastAsia="宋体" w:cs="宋体"/>
                <w:b/>
                <w:bCs/>
                <w:sz w:val="24"/>
              </w:rPr>
            </w:pPr>
          </w:p>
        </w:tc>
        <w:tc>
          <w:tcPr>
            <w:tcW w:w="885" w:type="dxa"/>
            <w:vMerge w:val="continue"/>
            <w:tcBorders>
              <w:left w:val="nil"/>
              <w:right w:val="single" w:color="auto" w:sz="4" w:space="0"/>
            </w:tcBorders>
            <w:noWrap w:val="0"/>
            <w:vAlign w:val="top"/>
          </w:tcPr>
          <w:p>
            <w:pPr>
              <w:spacing w:line="360" w:lineRule="auto"/>
              <w:rPr>
                <w:rFonts w:ascii="宋体" w:hAnsi="宋体" w:eastAsia="宋体" w:cs="宋体"/>
                <w:color w:val="000000"/>
                <w:sz w:val="24"/>
              </w:rPr>
            </w:pP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lang w:eastAsia="zh-CN"/>
              </w:rPr>
              <w:t>谈判</w:t>
            </w:r>
            <w:r>
              <w:rPr>
                <w:rFonts w:hint="eastAsia" w:ascii="宋体" w:hAnsi="宋体" w:eastAsia="宋体" w:cs="宋体"/>
                <w:color w:val="000000"/>
                <w:sz w:val="24"/>
              </w:rPr>
              <w:t>有效期</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符合采购文件要求</w:t>
            </w:r>
          </w:p>
        </w:tc>
      </w:tr>
      <w:tr>
        <w:tblPrEx>
          <w:tblCellMar>
            <w:top w:w="0" w:type="dxa"/>
            <w:left w:w="108" w:type="dxa"/>
            <w:bottom w:w="0" w:type="dxa"/>
            <w:right w:w="108" w:type="dxa"/>
          </w:tblCellMar>
        </w:tblPrEx>
        <w:trPr>
          <w:trHeight w:val="567" w:hRule="atLeast"/>
        </w:trPr>
        <w:tc>
          <w:tcPr>
            <w:tcW w:w="723" w:type="dxa"/>
            <w:vMerge w:val="continue"/>
            <w:tcBorders>
              <w:left w:val="single" w:color="auto" w:sz="4" w:space="0"/>
              <w:bottom w:val="single" w:color="auto" w:sz="4" w:space="0"/>
              <w:right w:val="single" w:color="auto" w:sz="4" w:space="0"/>
            </w:tcBorders>
            <w:noWrap w:val="0"/>
            <w:vAlign w:val="top"/>
          </w:tcPr>
          <w:p>
            <w:pPr>
              <w:spacing w:line="273" w:lineRule="auto"/>
              <w:jc w:val="center"/>
              <w:rPr>
                <w:rFonts w:ascii="宋体" w:hAnsi="宋体" w:eastAsia="宋体" w:cs="宋体"/>
                <w:b/>
                <w:bCs/>
                <w:sz w:val="24"/>
              </w:rPr>
            </w:pPr>
          </w:p>
        </w:tc>
        <w:tc>
          <w:tcPr>
            <w:tcW w:w="885" w:type="dxa"/>
            <w:vMerge w:val="continue"/>
            <w:tcBorders>
              <w:left w:val="nil"/>
              <w:bottom w:val="single" w:color="auto" w:sz="4" w:space="0"/>
              <w:right w:val="single" w:color="auto" w:sz="4" w:space="0"/>
            </w:tcBorders>
            <w:noWrap w:val="0"/>
            <w:vAlign w:val="top"/>
          </w:tcPr>
          <w:p>
            <w:pPr>
              <w:spacing w:line="360" w:lineRule="auto"/>
              <w:rPr>
                <w:rFonts w:ascii="宋体" w:hAnsi="宋体" w:eastAsia="宋体" w:cs="宋体"/>
                <w:color w:val="000000"/>
                <w:sz w:val="24"/>
              </w:rPr>
            </w:pPr>
          </w:p>
        </w:tc>
        <w:tc>
          <w:tcPr>
            <w:tcW w:w="321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lang w:eastAsia="zh-CN"/>
              </w:rPr>
              <w:t>谈判</w:t>
            </w:r>
            <w:r>
              <w:rPr>
                <w:rFonts w:hint="eastAsia" w:ascii="宋体" w:hAnsi="宋体" w:eastAsia="宋体" w:cs="宋体"/>
                <w:color w:val="000000"/>
                <w:sz w:val="24"/>
              </w:rPr>
              <w:t>报价</w:t>
            </w:r>
          </w:p>
        </w:tc>
        <w:tc>
          <w:tcPr>
            <w:tcW w:w="4252" w:type="dxa"/>
            <w:tcBorders>
              <w:top w:val="single" w:color="auto" w:sz="4" w:space="0"/>
              <w:left w:val="nil"/>
              <w:bottom w:val="single" w:color="auto" w:sz="4" w:space="0"/>
              <w:right w:val="single" w:color="auto" w:sz="4" w:space="0"/>
            </w:tcBorders>
            <w:noWrap w:val="0"/>
            <w:vAlign w:val="center"/>
          </w:tcPr>
          <w:p>
            <w:pPr>
              <w:spacing w:line="240" w:lineRule="auto"/>
              <w:rPr>
                <w:rFonts w:ascii="宋体" w:hAnsi="宋体" w:eastAsia="宋体" w:cs="宋体"/>
                <w:color w:val="000000"/>
                <w:sz w:val="24"/>
              </w:rPr>
            </w:pPr>
            <w:r>
              <w:rPr>
                <w:rFonts w:hint="eastAsia" w:ascii="宋体" w:hAnsi="宋体" w:eastAsia="宋体" w:cs="宋体"/>
                <w:color w:val="000000"/>
                <w:sz w:val="24"/>
              </w:rPr>
              <w:t>未超过采购预算</w:t>
            </w:r>
          </w:p>
        </w:tc>
      </w:tr>
    </w:tbl>
    <w:p>
      <w:pPr>
        <w:spacing w:line="560" w:lineRule="exact"/>
        <w:rPr>
          <w:rFonts w:hint="eastAsia" w:ascii="宋体" w:hAnsi="宋体"/>
          <w:b/>
          <w:sz w:val="24"/>
        </w:rPr>
      </w:pPr>
      <w:r>
        <w:rPr>
          <w:rFonts w:hint="eastAsia" w:ascii="宋体" w:hAnsi="宋体"/>
          <w:b/>
          <w:sz w:val="24"/>
        </w:rPr>
        <w:t>3、澄清</w:t>
      </w:r>
    </w:p>
    <w:p>
      <w:pPr>
        <w:spacing w:line="560" w:lineRule="exact"/>
        <w:ind w:firstLine="355" w:firstLineChars="148"/>
        <w:rPr>
          <w:rFonts w:hint="eastAsia" w:ascii="宋体" w:hAnsi="宋体"/>
          <w:b/>
          <w:sz w:val="24"/>
        </w:rPr>
      </w:pPr>
      <w:r>
        <w:rPr>
          <w:rFonts w:hint="eastAsia" w:ascii="宋体" w:hAnsi="宋体"/>
          <w:sz w:val="24"/>
        </w:rPr>
        <w:t>（1）谈判小组有权就谈判响应文件中含义不明确、同类问题表述不一致或者有明显文字和计算错误的内容之处向供应商提出询问或澄清要求；供应商将有关询标澄清、补正、说明的内容应以书面形式提交；</w:t>
      </w:r>
    </w:p>
    <w:p>
      <w:pPr>
        <w:spacing w:line="560" w:lineRule="exact"/>
        <w:ind w:firstLine="360" w:firstLineChars="150"/>
        <w:rPr>
          <w:rFonts w:hint="eastAsia" w:ascii="宋体" w:hAnsi="宋体"/>
          <w:sz w:val="24"/>
        </w:rPr>
      </w:pPr>
      <w:r>
        <w:rPr>
          <w:rFonts w:hint="eastAsia" w:ascii="宋体" w:hAnsi="宋体"/>
          <w:sz w:val="24"/>
        </w:rPr>
        <w:t>（2）谈判文件、谈判响应文件作为谈判的依据，澄清、补正、说明的内容只作为谈判参考。谈判澄清时供应商只作说明和解释，不得借此对谈判报价、服务期、谈判内容及要求、商务及合同主要条款等实质性内容做任何修改；如澄清、补正、说明的内容与谈判响应文件内容有重大相悖或矛盾，将被认定为无效文件；</w:t>
      </w:r>
    </w:p>
    <w:p>
      <w:pPr>
        <w:spacing w:line="560" w:lineRule="exact"/>
        <w:ind w:firstLine="360" w:firstLineChars="150"/>
        <w:rPr>
          <w:rFonts w:hint="eastAsia" w:ascii="宋体" w:hAnsi="宋体"/>
          <w:sz w:val="24"/>
        </w:rPr>
      </w:pPr>
      <w:r>
        <w:rPr>
          <w:rFonts w:hint="eastAsia" w:ascii="宋体" w:hAnsi="宋体"/>
          <w:sz w:val="24"/>
        </w:rPr>
        <w:t>（3）供应商对谈判响应文件的澄清不得改变谈判价格及实质内容。</w:t>
      </w:r>
      <w:bookmarkStart w:id="14" w:name="_Toc27026"/>
      <w:bookmarkStart w:id="15" w:name="_Toc1052"/>
      <w:bookmarkStart w:id="16" w:name="_Toc11047"/>
      <w:bookmarkStart w:id="17" w:name="_Toc8907"/>
      <w:bookmarkStart w:id="18" w:name="_Toc31035"/>
    </w:p>
    <w:p>
      <w:pPr>
        <w:kinsoku w:val="0"/>
        <w:spacing w:line="560" w:lineRule="exact"/>
        <w:rPr>
          <w:rFonts w:hint="eastAsia" w:ascii="宋体" w:hAnsi="宋体"/>
          <w:b/>
          <w:sz w:val="24"/>
        </w:rPr>
      </w:pPr>
      <w:r>
        <w:rPr>
          <w:rFonts w:hint="eastAsia" w:ascii="宋体" w:hAnsi="宋体"/>
          <w:b/>
          <w:sz w:val="24"/>
        </w:rPr>
        <w:t>4、谈判方法</w:t>
      </w:r>
      <w:bookmarkEnd w:id="14"/>
      <w:bookmarkEnd w:id="15"/>
      <w:bookmarkEnd w:id="16"/>
      <w:bookmarkEnd w:id="17"/>
      <w:bookmarkEnd w:id="18"/>
    </w:p>
    <w:p>
      <w:pPr>
        <w:spacing w:line="560" w:lineRule="exact"/>
        <w:ind w:firstLine="360" w:firstLineChars="15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）谈判原则：谈判小组根据符合单一来源采购的技术要求、质量和服务的要求，且报价合理的原则确定成交供应商。</w:t>
      </w:r>
    </w:p>
    <w:p>
      <w:pPr>
        <w:spacing w:line="560" w:lineRule="exact"/>
        <w:ind w:firstLine="360" w:firstLineChars="15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）谈判程序：由谈判小组成员与供应商进行谈判。</w:t>
      </w:r>
    </w:p>
    <w:p>
      <w:pPr>
        <w:spacing w:line="560" w:lineRule="exact"/>
        <w:ind w:firstLine="360" w:firstLineChars="150"/>
        <w:rPr>
          <w:rFonts w:hint="eastAsia" w:ascii="宋体" w:hAnsi="宋体"/>
          <w:sz w:val="24"/>
        </w:rPr>
      </w:pPr>
      <w:r>
        <w:rPr>
          <w:rFonts w:hint="eastAsia" w:ascii="宋体" w:hAnsi="宋体"/>
          <w:sz w:val="24"/>
        </w:rPr>
        <w:t>（3）</w:t>
      </w:r>
      <w:r>
        <w:rPr>
          <w:rFonts w:ascii="宋体" w:hAnsi="宋体"/>
          <w:sz w:val="24"/>
        </w:rPr>
        <w:t>谈判步骤为：</w:t>
      </w:r>
      <w:r>
        <w:rPr>
          <w:rFonts w:hint="eastAsia" w:ascii="宋体" w:hAnsi="宋体"/>
          <w:sz w:val="24"/>
        </w:rPr>
        <w:t>第一次报价</w:t>
      </w:r>
      <w:r>
        <w:rPr>
          <w:rFonts w:ascii="宋体" w:hAnsi="宋体"/>
          <w:sz w:val="24"/>
        </w:rPr>
        <w:t>---谈判---第二次报价---评审推荐成交</w:t>
      </w:r>
      <w:r>
        <w:rPr>
          <w:rFonts w:hint="eastAsia" w:ascii="宋体" w:hAnsi="宋体"/>
          <w:sz w:val="24"/>
        </w:rPr>
        <w:t>供应商</w:t>
      </w:r>
      <w:r>
        <w:rPr>
          <w:rFonts w:ascii="宋体" w:hAnsi="宋体"/>
          <w:sz w:val="24"/>
        </w:rPr>
        <w:t>。</w:t>
      </w:r>
    </w:p>
    <w:p>
      <w:pPr>
        <w:kinsoku w:val="0"/>
        <w:spacing w:line="560" w:lineRule="exact"/>
        <w:rPr>
          <w:rFonts w:hint="eastAsia" w:ascii="宋体" w:hAnsi="宋体"/>
          <w:b/>
          <w:sz w:val="24"/>
        </w:rPr>
      </w:pPr>
      <w:r>
        <w:rPr>
          <w:rFonts w:hint="eastAsia" w:ascii="宋体" w:hAnsi="宋体"/>
          <w:b/>
          <w:sz w:val="24"/>
        </w:rPr>
        <w:t>5、谈判内容</w:t>
      </w:r>
    </w:p>
    <w:p>
      <w:pPr>
        <w:kinsoku w:val="0"/>
        <w:spacing w:line="560" w:lineRule="exact"/>
        <w:ind w:firstLine="360"/>
        <w:rPr>
          <w:rFonts w:hint="eastAsia" w:ascii="宋体" w:hAnsi="宋体"/>
          <w:sz w:val="24"/>
        </w:rPr>
      </w:pPr>
      <w:r>
        <w:rPr>
          <w:rFonts w:hint="eastAsia" w:ascii="宋体" w:hAnsi="宋体"/>
          <w:sz w:val="24"/>
        </w:rPr>
        <w:t>（1）谈判小组在评定时，将主要考虑下列因素：</w:t>
      </w:r>
    </w:p>
    <w:p>
      <w:pPr>
        <w:kinsoku w:val="0"/>
        <w:spacing w:line="560" w:lineRule="exact"/>
        <w:ind w:firstLine="480" w:firstLineChars="200"/>
        <w:rPr>
          <w:rFonts w:hint="eastAsia" w:ascii="宋体" w:hAnsi="宋体"/>
          <w:sz w:val="24"/>
        </w:rPr>
      </w:pPr>
      <w:r>
        <w:rPr>
          <w:rFonts w:hint="eastAsia" w:ascii="宋体" w:hAnsi="宋体"/>
          <w:sz w:val="24"/>
        </w:rPr>
        <w:t>A、谈判供应商最终报价；</w:t>
      </w:r>
    </w:p>
    <w:p>
      <w:pPr>
        <w:kinsoku w:val="0"/>
        <w:spacing w:line="560" w:lineRule="exact"/>
        <w:ind w:firstLine="480" w:firstLineChars="200"/>
        <w:rPr>
          <w:rFonts w:hint="eastAsia" w:ascii="宋体" w:hAnsi="宋体"/>
          <w:sz w:val="24"/>
        </w:rPr>
      </w:pPr>
      <w:r>
        <w:rPr>
          <w:rFonts w:hint="eastAsia" w:ascii="宋体" w:hAnsi="宋体"/>
          <w:sz w:val="24"/>
        </w:rPr>
        <w:t>B、响应服务方案、响应时效性、指标的质量、性能、技术参数；</w:t>
      </w:r>
    </w:p>
    <w:p>
      <w:pPr>
        <w:kinsoku w:val="0"/>
        <w:spacing w:line="560" w:lineRule="exact"/>
        <w:ind w:firstLine="480" w:firstLineChars="200"/>
        <w:rPr>
          <w:rFonts w:hint="eastAsia" w:ascii="宋体" w:hAnsi="宋体"/>
          <w:sz w:val="24"/>
        </w:rPr>
      </w:pPr>
      <w:r>
        <w:rPr>
          <w:rFonts w:hint="eastAsia" w:ascii="宋体" w:hAnsi="宋体"/>
          <w:sz w:val="24"/>
        </w:rPr>
        <w:t>C、谈判供应商完成项目的组织机构、实施计划。</w:t>
      </w:r>
    </w:p>
    <w:p>
      <w:pPr>
        <w:kinsoku w:val="0"/>
        <w:spacing w:line="560" w:lineRule="exact"/>
        <w:ind w:firstLine="480" w:firstLineChars="200"/>
        <w:rPr>
          <w:rFonts w:hint="eastAsia" w:ascii="宋体" w:hAnsi="宋体"/>
          <w:sz w:val="24"/>
        </w:rPr>
      </w:pPr>
      <w:r>
        <w:rPr>
          <w:rFonts w:hint="eastAsia" w:ascii="宋体" w:hAnsi="宋体"/>
          <w:sz w:val="24"/>
        </w:rPr>
        <w:t>D、谈判供应商售后服务的承诺；</w:t>
      </w:r>
    </w:p>
    <w:p>
      <w:pPr>
        <w:kinsoku w:val="0"/>
        <w:spacing w:line="560" w:lineRule="exact"/>
        <w:ind w:firstLine="480" w:firstLineChars="200"/>
        <w:rPr>
          <w:rFonts w:hint="eastAsia" w:ascii="宋体" w:hAnsi="宋体"/>
          <w:sz w:val="24"/>
        </w:rPr>
      </w:pPr>
      <w:r>
        <w:rPr>
          <w:rFonts w:hint="eastAsia" w:ascii="宋体" w:hAnsi="宋体"/>
          <w:sz w:val="24"/>
        </w:rPr>
        <w:t>E、谈判供应商商务响应；</w:t>
      </w:r>
    </w:p>
    <w:p>
      <w:pPr>
        <w:kinsoku w:val="0"/>
        <w:spacing w:line="560" w:lineRule="exact"/>
        <w:ind w:firstLine="480" w:firstLineChars="200"/>
        <w:rPr>
          <w:rFonts w:hint="eastAsia" w:ascii="宋体" w:hAnsi="宋体"/>
          <w:sz w:val="24"/>
        </w:rPr>
      </w:pPr>
      <w:r>
        <w:rPr>
          <w:rFonts w:hint="eastAsia" w:ascii="宋体" w:hAnsi="宋体"/>
          <w:sz w:val="24"/>
        </w:rPr>
        <w:t>F、谈判供应商完成项目的保障能力；</w:t>
      </w:r>
    </w:p>
    <w:p>
      <w:pPr>
        <w:kinsoku w:val="0"/>
        <w:spacing w:line="560" w:lineRule="exact"/>
        <w:ind w:firstLine="480" w:firstLineChars="200"/>
        <w:rPr>
          <w:rFonts w:hint="eastAsia" w:ascii="宋体" w:hAnsi="宋体"/>
          <w:sz w:val="24"/>
        </w:rPr>
      </w:pPr>
      <w:r>
        <w:rPr>
          <w:rFonts w:hint="eastAsia" w:ascii="宋体" w:hAnsi="宋体"/>
          <w:sz w:val="24"/>
        </w:rPr>
        <w:t>G、谈判供应商的业绩、信誉；</w:t>
      </w:r>
    </w:p>
    <w:p>
      <w:pPr>
        <w:kinsoku w:val="0"/>
        <w:spacing w:line="560" w:lineRule="exact"/>
        <w:ind w:firstLine="360" w:firstLineChars="150"/>
        <w:rPr>
          <w:rFonts w:hint="eastAsia" w:ascii="宋体" w:hAnsi="宋体"/>
          <w:sz w:val="24"/>
        </w:rPr>
      </w:pPr>
      <w:r>
        <w:rPr>
          <w:rFonts w:hint="eastAsia" w:ascii="宋体" w:hAnsi="宋体"/>
          <w:sz w:val="24"/>
        </w:rPr>
        <w:t>（2）谈判确定的最终价格及服务等仍不能满足采购单位的要求，采购单位及谈判小组将保留最终放弃本次谈判的权利。</w:t>
      </w:r>
    </w:p>
    <w:p>
      <w:pPr>
        <w:spacing w:line="560" w:lineRule="exact"/>
        <w:rPr>
          <w:rFonts w:hint="eastAsia" w:ascii="宋体" w:hAnsi="宋体"/>
          <w:b/>
          <w:sz w:val="24"/>
        </w:rPr>
      </w:pPr>
      <w:r>
        <w:rPr>
          <w:rFonts w:hint="eastAsia" w:ascii="宋体" w:hAnsi="宋体"/>
          <w:b/>
          <w:sz w:val="24"/>
        </w:rPr>
        <w:t>6、成交</w:t>
      </w:r>
    </w:p>
    <w:p>
      <w:pPr>
        <w:spacing w:line="560" w:lineRule="exact"/>
        <w:ind w:firstLine="480" w:firstLineChars="200"/>
        <w:rPr>
          <w:rFonts w:hint="eastAsia" w:ascii="宋体" w:hAnsi="宋体"/>
          <w:sz w:val="24"/>
        </w:rPr>
      </w:pPr>
      <w:r>
        <w:rPr>
          <w:rFonts w:hint="eastAsia" w:ascii="宋体" w:hAnsi="宋体"/>
          <w:sz w:val="24"/>
        </w:rPr>
        <w:t>（1）采购代理机构在谈判结束后两个工作日内将谈判报告送达采购人，采购人在收到谈判报告后五个工作日内，按照谈判报告中推荐的成交候选供应商确定成交供应商，同时书面复函采购代理机构；</w:t>
      </w:r>
    </w:p>
    <w:p>
      <w:pPr>
        <w:spacing w:line="560" w:lineRule="exact"/>
        <w:ind w:firstLine="480" w:firstLineChars="200"/>
        <w:rPr>
          <w:rFonts w:hint="eastAsia" w:ascii="宋体" w:hAnsi="宋体"/>
          <w:sz w:val="24"/>
        </w:rPr>
      </w:pPr>
      <w:r>
        <w:rPr>
          <w:rFonts w:hint="eastAsia" w:ascii="宋体" w:hAnsi="宋体"/>
          <w:sz w:val="24"/>
        </w:rPr>
        <w:t>（2）采购代理机构收到采购人“成交复函”后二个工作日内，发布“成交公告”并向成交供应商发出“成交通知书”。</w:t>
      </w:r>
    </w:p>
    <w:p>
      <w:pPr>
        <w:spacing w:line="560" w:lineRule="exact"/>
        <w:jc w:val="center"/>
        <w:rPr>
          <w:rFonts w:hint="eastAsia" w:ascii="宋体" w:hAnsi="宋体"/>
          <w:b/>
          <w:sz w:val="30"/>
          <w:szCs w:val="30"/>
        </w:rPr>
      </w:pPr>
      <w:r>
        <w:rPr>
          <w:rFonts w:hint="eastAsia" w:ascii="宋体" w:hAnsi="宋体"/>
          <w:b/>
          <w:sz w:val="30"/>
          <w:szCs w:val="30"/>
        </w:rPr>
        <w:t>七．签订合同</w:t>
      </w:r>
    </w:p>
    <w:p>
      <w:pPr>
        <w:spacing w:line="560" w:lineRule="exact"/>
        <w:ind w:firstLine="480" w:firstLineChars="200"/>
        <w:rPr>
          <w:rFonts w:hint="eastAsia" w:ascii="宋体" w:hAnsi="宋体"/>
          <w:sz w:val="24"/>
        </w:rPr>
      </w:pPr>
      <w:r>
        <w:rPr>
          <w:rFonts w:hint="eastAsia" w:ascii="宋体" w:hAnsi="宋体"/>
          <w:sz w:val="24"/>
        </w:rPr>
        <w:t>1、成交后，成交供应商与采购人洽谈合同条款，并签订政府采购合同，谈判文件及成交供应商谈判响应文件均作为合同的组成部分；</w:t>
      </w:r>
    </w:p>
    <w:p>
      <w:pPr>
        <w:spacing w:line="560" w:lineRule="exact"/>
        <w:ind w:firstLine="480" w:firstLineChars="200"/>
        <w:rPr>
          <w:rFonts w:hint="eastAsia" w:ascii="宋体" w:hAnsi="宋体"/>
          <w:sz w:val="24"/>
        </w:rPr>
      </w:pPr>
      <w:r>
        <w:rPr>
          <w:rFonts w:hint="eastAsia" w:ascii="宋体" w:hAnsi="宋体"/>
          <w:sz w:val="24"/>
        </w:rPr>
        <w:t>2、政府采购合同履行中，单位需追加与合同标的相同的货物、工程或者服务的，在不改变合同其他条款的前提下，可以与供应商协商签订补充合同，但所有补充合同的采购金额不得超过原合同采购金额的百分之十。</w:t>
      </w:r>
    </w:p>
    <w:p>
      <w:pPr>
        <w:spacing w:line="560" w:lineRule="exact"/>
        <w:jc w:val="center"/>
        <w:rPr>
          <w:rFonts w:hint="eastAsia" w:ascii="宋体" w:hAnsi="宋体"/>
          <w:b/>
          <w:sz w:val="30"/>
          <w:szCs w:val="30"/>
        </w:rPr>
      </w:pPr>
      <w:r>
        <w:rPr>
          <w:rFonts w:hint="eastAsia" w:ascii="宋体" w:hAnsi="宋体"/>
          <w:b/>
          <w:sz w:val="30"/>
          <w:szCs w:val="30"/>
        </w:rPr>
        <w:t>八．成交服务费</w:t>
      </w:r>
    </w:p>
    <w:p>
      <w:pPr>
        <w:spacing w:line="560" w:lineRule="exact"/>
        <w:ind w:firstLine="480" w:firstLineChars="200"/>
        <w:rPr>
          <w:rFonts w:hint="eastAsia" w:ascii="宋体" w:hAnsi="宋体"/>
          <w:sz w:val="24"/>
        </w:rPr>
      </w:pPr>
      <w:r>
        <w:rPr>
          <w:rFonts w:hint="eastAsia" w:ascii="宋体" w:hAnsi="宋体"/>
          <w:sz w:val="24"/>
        </w:rPr>
        <w:t>1、成交服务费按约定由成交供应商支付，成交单位在领取成交通知书前，须向采购代理机构一次性支付成交服务费。</w:t>
      </w:r>
    </w:p>
    <w:p>
      <w:pPr>
        <w:spacing w:line="560" w:lineRule="exact"/>
        <w:ind w:firstLine="480" w:firstLineChars="200"/>
        <w:rPr>
          <w:rFonts w:hint="eastAsia" w:ascii="宋体" w:hAnsi="宋体"/>
          <w:sz w:val="24"/>
        </w:rPr>
      </w:pPr>
      <w:r>
        <w:rPr>
          <w:rFonts w:hint="eastAsia" w:ascii="宋体" w:hAnsi="宋体"/>
          <w:sz w:val="24"/>
        </w:rPr>
        <w:t>2、按</w:t>
      </w:r>
      <w:bookmarkStart w:id="19" w:name="OLE_LINK10"/>
      <w:bookmarkStart w:id="20" w:name="OLE_LINK9"/>
      <w:r>
        <w:rPr>
          <w:rFonts w:hint="eastAsia" w:ascii="宋体" w:hAnsi="宋体"/>
          <w:sz w:val="24"/>
        </w:rPr>
        <w:t>国家计委颁发的《招标代理服务收费管理暂行办法》（计价格[2002]1980号）和国家发展改革委员会颁发的《</w:t>
      </w:r>
      <w:r>
        <w:rPr>
          <w:rFonts w:hint="eastAsia" w:ascii="宋体" w:hAnsi="宋体"/>
          <w:sz w:val="24"/>
          <w:lang w:val="zh-CN"/>
        </w:rPr>
        <w:t>国家发展改革委关于降低部分建设项目收费标准规范收费行为等有关问题的通知</w:t>
      </w:r>
      <w:r>
        <w:rPr>
          <w:rFonts w:hint="eastAsia" w:ascii="宋体" w:hAnsi="宋体"/>
          <w:sz w:val="24"/>
        </w:rPr>
        <w:t>》（</w:t>
      </w:r>
      <w:r>
        <w:rPr>
          <w:rFonts w:hint="eastAsia" w:ascii="宋体" w:hAnsi="宋体"/>
          <w:sz w:val="24"/>
          <w:lang w:val="zh-CN"/>
        </w:rPr>
        <w:t>发改价格【2011】534号</w:t>
      </w:r>
      <w:r>
        <w:rPr>
          <w:rFonts w:hint="eastAsia" w:ascii="宋体" w:hAnsi="宋体"/>
          <w:sz w:val="24"/>
        </w:rPr>
        <w:t>）的有关规定执行</w:t>
      </w:r>
      <w:r>
        <w:rPr>
          <w:rFonts w:hint="eastAsia" w:ascii="宋体" w:hAnsi="宋体"/>
          <w:sz w:val="24"/>
          <w:lang w:eastAsia="zh-CN"/>
        </w:rPr>
        <w:t>，计算基数为采购成交金额</w:t>
      </w:r>
      <w:r>
        <w:rPr>
          <w:rFonts w:hint="eastAsia" w:ascii="宋体" w:hAnsi="宋体"/>
          <w:sz w:val="24"/>
        </w:rPr>
        <w:t>。</w:t>
      </w:r>
      <w:bookmarkEnd w:id="19"/>
      <w:bookmarkEnd w:id="20"/>
    </w:p>
    <w:p>
      <w:pPr>
        <w:spacing w:line="560" w:lineRule="exact"/>
        <w:jc w:val="center"/>
        <w:rPr>
          <w:rFonts w:ascii="宋体" w:hAnsi="宋体"/>
          <w:b/>
          <w:sz w:val="30"/>
          <w:szCs w:val="30"/>
        </w:rPr>
      </w:pPr>
      <w:r>
        <w:rPr>
          <w:rFonts w:hint="eastAsia" w:ascii="宋体" w:hAnsi="宋体"/>
          <w:b/>
          <w:sz w:val="30"/>
          <w:szCs w:val="30"/>
        </w:rPr>
        <w:t>九．质疑</w:t>
      </w:r>
    </w:p>
    <w:p>
      <w:pPr>
        <w:spacing w:line="500" w:lineRule="exact"/>
        <w:ind w:right="12" w:firstLine="480"/>
        <w:rPr>
          <w:rFonts w:hint="eastAsia" w:ascii="宋体" w:hAnsi="宋体" w:cs="宋体"/>
          <w:sz w:val="24"/>
        </w:rPr>
      </w:pPr>
      <w:bookmarkStart w:id="21" w:name="_Toc328739378"/>
      <w:r>
        <w:rPr>
          <w:rFonts w:hint="eastAsia" w:ascii="宋体" w:hAnsi="宋体" w:cs="宋体"/>
          <w:sz w:val="24"/>
        </w:rPr>
        <w:t>1、供应商认为谈判文件、采购过程、成交结果使自己的权益受到损害的，可以在知道或者应知其权益受到损害之日起7个工作日内，以书面形式向采购人、采购代理机构提出质疑。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32"/>
          <w:rFonts w:hint="eastAsia" w:ascii="宋体" w:hAnsi="宋体" w:cs="宋体"/>
          <w:color w:val="0000FF"/>
          <w:sz w:val="24"/>
          <w:szCs w:val="24"/>
          <w:shd w:val="clear" w:color="auto" w:fill="FFFFFF"/>
        </w:rPr>
      </w:pPr>
      <w:r>
        <w:rPr>
          <w:rFonts w:hint="eastAsia" w:ascii="宋体" w:hAnsi="宋体" w:cs="宋体"/>
          <w:sz w:val="24"/>
        </w:rPr>
        <w:t>2、供应商必须在法定质疑期内一次性提出针对同一采购程序环节的质疑。</w:t>
      </w:r>
    </w:p>
    <w:p>
      <w:pPr>
        <w:spacing w:line="500" w:lineRule="exact"/>
        <w:ind w:left="3" w:firstLine="518" w:firstLineChars="216"/>
        <w:rPr>
          <w:rStyle w:val="32"/>
          <w:rFonts w:hint="eastAsia" w:ascii="宋体" w:hAnsi="宋体" w:cs="宋体"/>
          <w:b w:val="0"/>
          <w:bCs/>
          <w:color w:val="000000"/>
          <w:sz w:val="24"/>
          <w:szCs w:val="24"/>
          <w:shd w:val="clear" w:color="auto" w:fill="FFFFFF"/>
        </w:rPr>
      </w:pPr>
      <w:r>
        <w:rPr>
          <w:rStyle w:val="32"/>
          <w:rFonts w:hint="eastAsia" w:ascii="宋体" w:hAnsi="宋体" w:cs="宋体"/>
          <w:b w:val="0"/>
          <w:bCs/>
          <w:color w:val="000000"/>
          <w:sz w:val="24"/>
          <w:szCs w:val="24"/>
          <w:shd w:val="clear" w:color="auto" w:fill="FFFFFF"/>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pPr>
        <w:spacing w:line="500" w:lineRule="exact"/>
        <w:ind w:left="3" w:firstLine="518" w:firstLineChars="216"/>
        <w:rPr>
          <w:rStyle w:val="32"/>
          <w:rFonts w:hint="eastAsia" w:ascii="宋体" w:hAnsi="宋体" w:cs="宋体"/>
          <w:b w:val="0"/>
          <w:bCs/>
          <w:color w:val="000000"/>
          <w:sz w:val="24"/>
          <w:szCs w:val="24"/>
          <w:shd w:val="clear" w:color="auto" w:fill="FFFFFF"/>
        </w:rPr>
      </w:pPr>
      <w:r>
        <w:rPr>
          <w:rStyle w:val="32"/>
          <w:rFonts w:hint="eastAsia" w:ascii="宋体" w:hAnsi="宋体" w:cs="宋体"/>
          <w:b w:val="0"/>
          <w:bCs/>
          <w:color w:val="000000"/>
          <w:sz w:val="24"/>
          <w:szCs w:val="24"/>
          <w:shd w:val="clear" w:color="auto" w:fill="FFFFFF"/>
        </w:rPr>
        <w:t>4、以联合体形式参加政府采购活动的，其质疑应当由组成联合体的所有供应商共同提出。</w:t>
      </w:r>
    </w:p>
    <w:p>
      <w:pPr>
        <w:spacing w:line="500" w:lineRule="exact"/>
        <w:ind w:right="12" w:firstLine="480" w:firstLineChars="200"/>
        <w:rPr>
          <w:rFonts w:hint="eastAsia" w:ascii="宋体" w:hAnsi="宋体" w:cs="宋体"/>
          <w:sz w:val="24"/>
        </w:rPr>
      </w:pPr>
      <w:r>
        <w:rPr>
          <w:rFonts w:hint="eastAsia" w:ascii="宋体" w:hAnsi="宋体" w:cs="宋体"/>
          <w:sz w:val="24"/>
        </w:rPr>
        <w:t>5、供应商提出质疑应当提交质疑函和必要的证明材料。质疑函应当包括下列内容：</w:t>
      </w:r>
    </w:p>
    <w:p>
      <w:pPr>
        <w:spacing w:line="500" w:lineRule="exact"/>
        <w:ind w:right="12" w:firstLine="480" w:firstLineChars="200"/>
        <w:rPr>
          <w:rFonts w:hint="eastAsia" w:ascii="宋体" w:hAnsi="宋体" w:cs="宋体"/>
          <w:sz w:val="24"/>
        </w:rPr>
      </w:pPr>
      <w:r>
        <w:rPr>
          <w:rFonts w:hint="eastAsia" w:ascii="宋体" w:hAnsi="宋体" w:cs="宋体"/>
          <w:sz w:val="24"/>
        </w:rPr>
        <w:t>5.1供应商的姓名或者名称、地址、邮编、联系人及联系电话；</w:t>
      </w:r>
    </w:p>
    <w:p>
      <w:pPr>
        <w:spacing w:line="500" w:lineRule="exact"/>
        <w:ind w:right="12" w:firstLine="480" w:firstLineChars="200"/>
        <w:rPr>
          <w:rFonts w:hint="eastAsia" w:ascii="宋体" w:hAnsi="宋体" w:cs="宋体"/>
          <w:sz w:val="24"/>
        </w:rPr>
      </w:pPr>
      <w:r>
        <w:rPr>
          <w:rFonts w:hint="eastAsia" w:ascii="宋体" w:hAnsi="宋体" w:cs="宋体"/>
          <w:sz w:val="24"/>
        </w:rPr>
        <w:t>5.2质疑项目的名称、编号；</w:t>
      </w:r>
    </w:p>
    <w:p>
      <w:pPr>
        <w:spacing w:line="500" w:lineRule="exact"/>
        <w:ind w:right="12" w:firstLine="480" w:firstLineChars="200"/>
        <w:rPr>
          <w:rFonts w:hint="eastAsia" w:ascii="宋体" w:hAnsi="宋体" w:cs="宋体"/>
          <w:sz w:val="24"/>
        </w:rPr>
      </w:pPr>
      <w:r>
        <w:rPr>
          <w:rFonts w:hint="eastAsia" w:ascii="宋体" w:hAnsi="宋体" w:cs="宋体"/>
          <w:sz w:val="24"/>
        </w:rPr>
        <w:t>5.3具体、明确的质疑事项和与质疑事项相关的请求；</w:t>
      </w:r>
    </w:p>
    <w:p>
      <w:pPr>
        <w:spacing w:line="500" w:lineRule="exact"/>
        <w:ind w:right="12" w:firstLine="480" w:firstLineChars="200"/>
        <w:rPr>
          <w:rFonts w:hint="eastAsia" w:ascii="宋体" w:hAnsi="宋体" w:cs="宋体"/>
          <w:sz w:val="24"/>
        </w:rPr>
      </w:pPr>
      <w:r>
        <w:rPr>
          <w:rFonts w:hint="eastAsia" w:ascii="宋体" w:hAnsi="宋体" w:cs="宋体"/>
          <w:sz w:val="24"/>
        </w:rPr>
        <w:t>5.4事实依据；</w:t>
      </w:r>
    </w:p>
    <w:p>
      <w:pPr>
        <w:spacing w:line="500" w:lineRule="exact"/>
        <w:ind w:right="12" w:firstLine="480" w:firstLineChars="200"/>
        <w:rPr>
          <w:rFonts w:hint="eastAsia" w:ascii="宋体" w:hAnsi="宋体" w:cs="宋体"/>
          <w:sz w:val="24"/>
        </w:rPr>
      </w:pPr>
      <w:r>
        <w:rPr>
          <w:rFonts w:hint="eastAsia" w:ascii="宋体" w:hAnsi="宋体" w:cs="宋体"/>
          <w:sz w:val="24"/>
        </w:rPr>
        <w:t>5.5必要的法律依据；</w:t>
      </w:r>
    </w:p>
    <w:p>
      <w:pPr>
        <w:spacing w:line="500" w:lineRule="exact"/>
        <w:ind w:right="12" w:firstLine="480" w:firstLineChars="200"/>
        <w:rPr>
          <w:rStyle w:val="32"/>
          <w:rFonts w:hint="eastAsia" w:ascii="宋体" w:hAnsi="宋体" w:cs="宋体"/>
          <w:b w:val="0"/>
          <w:bCs/>
          <w:color w:val="000000"/>
          <w:sz w:val="24"/>
          <w:szCs w:val="24"/>
          <w:shd w:val="clear" w:color="auto" w:fill="FFFFFF"/>
        </w:rPr>
      </w:pPr>
      <w:r>
        <w:rPr>
          <w:rFonts w:hint="eastAsia" w:ascii="宋体" w:hAnsi="宋体" w:cs="宋体"/>
          <w:sz w:val="24"/>
        </w:rPr>
        <w:t>5.6提出质疑的日期。</w:t>
      </w:r>
    </w:p>
    <w:p>
      <w:pPr>
        <w:widowControl/>
        <w:spacing w:line="360" w:lineRule="auto"/>
        <w:ind w:firstLine="480" w:firstLineChars="200"/>
        <w:rPr>
          <w:rFonts w:hint="eastAsia" w:ascii="宋体" w:hAnsi="宋体" w:cs="宋体"/>
          <w:sz w:val="24"/>
        </w:rPr>
      </w:pPr>
      <w:r>
        <w:rPr>
          <w:rFonts w:hint="eastAsia" w:ascii="宋体" w:hAnsi="宋体" w:cs="宋体"/>
          <w:sz w:val="24"/>
        </w:rPr>
        <w:t>6、有下列情形之一的，属于无效质疑，采购代理机构和采购人不予受理：</w:t>
      </w:r>
    </w:p>
    <w:p>
      <w:pPr>
        <w:widowControl/>
        <w:spacing w:line="360" w:lineRule="auto"/>
        <w:ind w:firstLine="480" w:firstLineChars="200"/>
        <w:rPr>
          <w:rFonts w:hint="eastAsia" w:ascii="宋体" w:hAnsi="宋体" w:cs="宋体"/>
          <w:sz w:val="24"/>
        </w:rPr>
      </w:pPr>
      <w:r>
        <w:rPr>
          <w:rFonts w:hint="eastAsia" w:ascii="宋体" w:hAnsi="宋体" w:cs="宋体"/>
          <w:sz w:val="24"/>
        </w:rPr>
        <w:t>6.1质疑供应商不是参与本次政府采购项目的供应商；</w:t>
      </w:r>
    </w:p>
    <w:p>
      <w:pPr>
        <w:widowControl/>
        <w:spacing w:line="360" w:lineRule="auto"/>
        <w:ind w:firstLine="480" w:firstLineChars="200"/>
        <w:rPr>
          <w:rFonts w:hint="eastAsia" w:ascii="宋体" w:hAnsi="宋体" w:cs="宋体"/>
          <w:sz w:val="24"/>
        </w:rPr>
      </w:pPr>
      <w:r>
        <w:rPr>
          <w:rFonts w:hint="eastAsia" w:ascii="宋体" w:hAnsi="宋体" w:cs="宋体"/>
          <w:sz w:val="24"/>
        </w:rPr>
        <w:t>6.2质疑供应商与质疑事项不存在利害关系的；</w:t>
      </w:r>
    </w:p>
    <w:p>
      <w:pPr>
        <w:widowControl/>
        <w:spacing w:line="360" w:lineRule="auto"/>
        <w:ind w:firstLine="480" w:firstLineChars="200"/>
        <w:rPr>
          <w:rFonts w:hint="eastAsia" w:ascii="宋体" w:hAnsi="宋体" w:cs="宋体"/>
          <w:sz w:val="24"/>
        </w:rPr>
      </w:pPr>
      <w:r>
        <w:rPr>
          <w:rFonts w:hint="eastAsia" w:ascii="宋体" w:hAnsi="宋体" w:cs="宋体"/>
          <w:sz w:val="24"/>
        </w:rPr>
        <w:t>6.3未在法定期限内提出质疑的；</w:t>
      </w:r>
    </w:p>
    <w:p>
      <w:pPr>
        <w:widowControl/>
        <w:spacing w:line="360" w:lineRule="auto"/>
        <w:ind w:firstLine="480" w:firstLineChars="200"/>
        <w:rPr>
          <w:rFonts w:hint="eastAsia" w:ascii="宋体" w:hAnsi="宋体" w:cs="宋体"/>
          <w:sz w:val="24"/>
        </w:rPr>
      </w:pPr>
      <w:r>
        <w:rPr>
          <w:rFonts w:hint="eastAsia" w:ascii="宋体" w:hAnsi="宋体" w:cs="宋体"/>
          <w:sz w:val="24"/>
        </w:rPr>
        <w:t>6.4质疑未以书面形式提出，或质疑函主要内容构成不完整的；</w:t>
      </w:r>
    </w:p>
    <w:p>
      <w:pPr>
        <w:widowControl/>
        <w:spacing w:line="360" w:lineRule="auto"/>
        <w:ind w:firstLine="480" w:firstLineChars="200"/>
        <w:rPr>
          <w:rFonts w:hint="eastAsia" w:ascii="宋体" w:hAnsi="宋体" w:cs="宋体"/>
          <w:sz w:val="24"/>
        </w:rPr>
      </w:pPr>
      <w:r>
        <w:rPr>
          <w:rFonts w:hint="eastAsia" w:ascii="宋体" w:hAnsi="宋体" w:cs="宋体"/>
          <w:sz w:val="24"/>
        </w:rPr>
        <w:t>6.5应当提交授权书而未提交的；</w:t>
      </w:r>
    </w:p>
    <w:p>
      <w:pPr>
        <w:widowControl/>
        <w:spacing w:line="360" w:lineRule="auto"/>
        <w:ind w:firstLine="480" w:firstLineChars="200"/>
        <w:rPr>
          <w:rFonts w:hint="eastAsia" w:ascii="宋体" w:hAnsi="宋体" w:cs="宋体"/>
          <w:sz w:val="24"/>
        </w:rPr>
      </w:pPr>
      <w:r>
        <w:rPr>
          <w:rFonts w:hint="eastAsia" w:ascii="宋体" w:hAnsi="宋体" w:cs="宋体"/>
          <w:sz w:val="24"/>
        </w:rPr>
        <w:t>6.6以非法手段取得证据、材料的；</w:t>
      </w:r>
    </w:p>
    <w:p>
      <w:pPr>
        <w:widowControl/>
        <w:spacing w:line="360" w:lineRule="auto"/>
        <w:ind w:firstLine="480" w:firstLineChars="200"/>
        <w:rPr>
          <w:rFonts w:hint="eastAsia" w:ascii="宋体" w:hAnsi="宋体" w:cs="宋体"/>
          <w:sz w:val="24"/>
        </w:rPr>
      </w:pPr>
      <w:r>
        <w:rPr>
          <w:rFonts w:hint="eastAsia" w:ascii="宋体" w:hAnsi="宋体" w:cs="宋体"/>
          <w:sz w:val="24"/>
        </w:rPr>
        <w:t>6.7质疑答复后，同一质疑人就同一事项或同一采购程序环节再次提出质疑的；</w:t>
      </w:r>
    </w:p>
    <w:p>
      <w:pPr>
        <w:widowControl/>
        <w:spacing w:line="360" w:lineRule="auto"/>
        <w:ind w:firstLine="480" w:firstLineChars="200"/>
        <w:rPr>
          <w:rStyle w:val="32"/>
          <w:rFonts w:hint="eastAsia" w:ascii="宋体" w:hAnsi="宋体" w:cs="宋体"/>
          <w:b w:val="0"/>
          <w:bCs/>
          <w:sz w:val="24"/>
          <w:szCs w:val="24"/>
          <w:shd w:val="clear" w:color="auto" w:fill="FFFFFF"/>
        </w:rPr>
      </w:pPr>
      <w:r>
        <w:rPr>
          <w:rFonts w:hint="eastAsia" w:ascii="宋体" w:hAnsi="宋体" w:cs="宋体"/>
          <w:sz w:val="24"/>
        </w:rPr>
        <w:t>6.8不符合法律、法规、规章和政府采购监管机构规定的其他条件的。</w:t>
      </w:r>
    </w:p>
    <w:p>
      <w:pPr>
        <w:spacing w:line="500" w:lineRule="exact"/>
        <w:ind w:right="12"/>
        <w:rPr>
          <w:rFonts w:hint="eastAsia" w:ascii="宋体" w:hAnsi="宋体" w:cs="宋体"/>
          <w:sz w:val="24"/>
        </w:rPr>
      </w:pPr>
      <w:r>
        <w:rPr>
          <w:rFonts w:hint="eastAsia" w:ascii="宋体" w:hAnsi="宋体" w:cs="宋体"/>
          <w:sz w:val="24"/>
        </w:rPr>
        <w:t xml:space="preserve">    7、质疑答复</w:t>
      </w:r>
    </w:p>
    <w:p>
      <w:pPr>
        <w:pStyle w:val="76"/>
        <w:spacing w:line="500" w:lineRule="exact"/>
        <w:ind w:firstLine="480"/>
        <w:jc w:val="left"/>
        <w:rPr>
          <w:rFonts w:hint="eastAsia" w:ascii="宋体" w:hAnsi="宋体" w:cs="宋体"/>
          <w:sz w:val="24"/>
        </w:rPr>
      </w:pPr>
      <w:r>
        <w:rPr>
          <w:rFonts w:hint="eastAsia" w:ascii="宋体" w:hAnsi="宋体" w:cs="宋体"/>
          <w:sz w:val="24"/>
        </w:rPr>
        <w:t>7.1采购人或采购代理机构在收到质疑函后7个工作日内作出答复，并以书面形式通知质疑供应商和其他有关供应商。</w:t>
      </w:r>
    </w:p>
    <w:p>
      <w:pPr>
        <w:pStyle w:val="76"/>
        <w:spacing w:line="500" w:lineRule="exact"/>
        <w:ind w:firstLine="480" w:firstLineChars="0"/>
        <w:jc w:val="left"/>
        <w:rPr>
          <w:rFonts w:hint="eastAsia" w:ascii="宋体" w:hAnsi="宋体" w:cs="宋体"/>
          <w:sz w:val="24"/>
        </w:rPr>
      </w:pPr>
      <w:r>
        <w:rPr>
          <w:rFonts w:hint="eastAsia" w:ascii="宋体" w:hAnsi="宋体" w:cs="宋体"/>
          <w:sz w:val="24"/>
        </w:rPr>
        <w:t>7.2质疑供应商对采购人、采购代理机构的答复不满意，或者采购人、采购代理机构未在规定时间内作出答复的，可以在答复期满后15个工作日内向西安市</w:t>
      </w:r>
      <w:r>
        <w:rPr>
          <w:rFonts w:hint="eastAsia" w:ascii="宋体" w:hAnsi="宋体" w:cs="宋体"/>
          <w:sz w:val="24"/>
          <w:lang w:eastAsia="zh-CN"/>
        </w:rPr>
        <w:t>长安区</w:t>
      </w:r>
      <w:r>
        <w:rPr>
          <w:rFonts w:hint="eastAsia" w:ascii="宋体" w:hAnsi="宋体" w:cs="宋体"/>
          <w:sz w:val="24"/>
        </w:rPr>
        <w:t>财政局提起投诉。</w:t>
      </w:r>
    </w:p>
    <w:p>
      <w:pPr>
        <w:pStyle w:val="76"/>
        <w:spacing w:line="500" w:lineRule="exact"/>
        <w:ind w:firstLine="480" w:firstLineChars="0"/>
        <w:jc w:val="left"/>
        <w:rPr>
          <w:rFonts w:hint="eastAsia" w:ascii="宋体" w:hAnsi="宋体" w:cs="宋体"/>
          <w:sz w:val="24"/>
        </w:rPr>
      </w:pPr>
      <w:r>
        <w:rPr>
          <w:rFonts w:hint="eastAsia" w:ascii="宋体" w:hAnsi="宋体" w:cs="宋体"/>
          <w:sz w:val="24"/>
        </w:rPr>
        <w:t>8、其他需要说明的事项</w:t>
      </w:r>
    </w:p>
    <w:p>
      <w:pPr>
        <w:pStyle w:val="76"/>
        <w:spacing w:line="500" w:lineRule="exact"/>
        <w:ind w:firstLine="480" w:firstLineChars="0"/>
        <w:jc w:val="left"/>
        <w:rPr>
          <w:rFonts w:hint="eastAsia" w:ascii="宋体" w:hAnsi="宋体" w:eastAsia="宋体" w:cs="宋体"/>
          <w:sz w:val="24"/>
          <w:lang w:eastAsia="zh-CN"/>
        </w:rPr>
      </w:pPr>
      <w:r>
        <w:rPr>
          <w:rFonts w:hint="eastAsia" w:ascii="宋体" w:hAnsi="宋体" w:cs="宋体"/>
          <w:sz w:val="24"/>
        </w:rPr>
        <w:t>8.1质疑函须按财政部《质疑函范本》给定的格式进行填写，</w:t>
      </w:r>
      <w:r>
        <w:rPr>
          <w:rFonts w:hint="eastAsia" w:ascii="宋体" w:hAnsi="宋体" w:cs="宋体"/>
          <w:sz w:val="24"/>
          <w:lang w:eastAsia="zh-CN"/>
        </w:rPr>
        <w:t>见附件；</w:t>
      </w:r>
    </w:p>
    <w:p>
      <w:pPr>
        <w:pStyle w:val="76"/>
        <w:spacing w:line="500" w:lineRule="exact"/>
        <w:ind w:firstLine="480" w:firstLineChars="0"/>
        <w:jc w:val="left"/>
        <w:rPr>
          <w:rFonts w:hint="eastAsia" w:ascii="宋体" w:hAnsi="宋体" w:cs="宋体"/>
          <w:sz w:val="24"/>
        </w:rPr>
      </w:pPr>
      <w:r>
        <w:rPr>
          <w:rFonts w:hint="eastAsia" w:ascii="宋体" w:hAnsi="宋体" w:cs="宋体"/>
          <w:sz w:val="24"/>
        </w:rPr>
        <w:t>8.2接收质疑函的方式：书面形式</w:t>
      </w:r>
    </w:p>
    <w:p>
      <w:pPr>
        <w:pStyle w:val="76"/>
        <w:spacing w:line="500" w:lineRule="exact"/>
        <w:ind w:firstLine="480" w:firstLineChars="0"/>
        <w:jc w:val="left"/>
        <w:rPr>
          <w:rFonts w:hint="eastAsia" w:ascii="宋体" w:hAnsi="宋体" w:cs="宋体"/>
          <w:sz w:val="24"/>
        </w:rPr>
      </w:pPr>
      <w:r>
        <w:rPr>
          <w:rFonts w:hint="eastAsia" w:ascii="宋体" w:hAnsi="宋体" w:cs="宋体"/>
          <w:sz w:val="24"/>
        </w:rPr>
        <w:t>8.3联系部门：</w:t>
      </w:r>
      <w:r>
        <w:rPr>
          <w:rFonts w:hint="eastAsia" w:ascii="宋体" w:hAnsi="宋体"/>
          <w:sz w:val="24"/>
          <w:lang w:eastAsia="zh-CN"/>
        </w:rPr>
        <w:t>华春建设工程项目管理有限责任公司</w:t>
      </w:r>
    </w:p>
    <w:p>
      <w:pPr>
        <w:pStyle w:val="76"/>
        <w:spacing w:line="500" w:lineRule="exact"/>
        <w:ind w:firstLine="480" w:firstLineChars="0"/>
        <w:jc w:val="left"/>
        <w:rPr>
          <w:rFonts w:hint="default" w:ascii="宋体" w:hAnsi="宋体" w:eastAsia="宋体" w:cs="宋体"/>
          <w:sz w:val="24"/>
          <w:lang w:val="en-US" w:eastAsia="zh-CN"/>
        </w:rPr>
      </w:pPr>
      <w:r>
        <w:rPr>
          <w:rFonts w:hint="eastAsia" w:ascii="宋体" w:hAnsi="宋体" w:cs="宋体"/>
          <w:sz w:val="24"/>
        </w:rPr>
        <w:t>8.4联系电话：</w:t>
      </w:r>
      <w:r>
        <w:rPr>
          <w:rFonts w:hint="eastAsia" w:ascii="宋体" w:hAnsi="宋体"/>
          <w:sz w:val="24"/>
          <w:lang w:val="en-US" w:eastAsia="zh-CN"/>
        </w:rPr>
        <w:t>17719677871</w:t>
      </w:r>
    </w:p>
    <w:p>
      <w:pPr>
        <w:pStyle w:val="76"/>
        <w:spacing w:line="500" w:lineRule="exact"/>
        <w:ind w:firstLine="480" w:firstLineChars="0"/>
        <w:jc w:val="left"/>
        <w:rPr>
          <w:rFonts w:hint="eastAsia" w:ascii="宋体" w:hAnsi="宋体" w:cs="宋体"/>
          <w:sz w:val="24"/>
        </w:rPr>
      </w:pPr>
      <w:r>
        <w:rPr>
          <w:rFonts w:hint="eastAsia" w:ascii="宋体" w:hAnsi="宋体" w:cs="宋体"/>
          <w:sz w:val="24"/>
        </w:rPr>
        <w:t>8.5通讯地址：</w:t>
      </w:r>
      <w:r>
        <w:rPr>
          <w:rFonts w:hint="eastAsia" w:ascii="宋体" w:hAnsi="宋体"/>
          <w:sz w:val="24"/>
        </w:rPr>
        <w:t>西安市碑林区南二环西段21号华融国际商务大厦A座22层</w:t>
      </w:r>
    </w:p>
    <w:p>
      <w:pPr>
        <w:spacing w:line="560" w:lineRule="exact"/>
        <w:jc w:val="center"/>
        <w:rPr>
          <w:rFonts w:hint="eastAsia" w:ascii="宋体" w:hAnsi="宋体"/>
          <w:b/>
          <w:sz w:val="30"/>
          <w:szCs w:val="30"/>
        </w:rPr>
      </w:pPr>
      <w:r>
        <w:rPr>
          <w:rFonts w:hint="eastAsia" w:ascii="宋体" w:hAnsi="宋体"/>
          <w:b/>
          <w:sz w:val="30"/>
          <w:szCs w:val="30"/>
        </w:rPr>
        <w:t>十.其它事项</w:t>
      </w:r>
    </w:p>
    <w:p>
      <w:pPr>
        <w:spacing w:line="560" w:lineRule="exact"/>
        <w:ind w:firstLine="600" w:firstLineChars="250"/>
        <w:rPr>
          <w:rFonts w:hint="eastAsia" w:ascii="宋体" w:hAnsi="宋体"/>
          <w:sz w:val="24"/>
        </w:rPr>
      </w:pPr>
      <w:r>
        <w:rPr>
          <w:rFonts w:hint="eastAsia" w:ascii="宋体" w:hAnsi="宋体"/>
          <w:sz w:val="24"/>
        </w:rPr>
        <w:t>1、当最终报价超出财政预算，且采购人又无力支付，谈判小组有权决定谈判失败。</w:t>
      </w:r>
    </w:p>
    <w:p>
      <w:pPr>
        <w:spacing w:line="560" w:lineRule="exact"/>
        <w:ind w:firstLine="600" w:firstLineChars="250"/>
        <w:rPr>
          <w:rFonts w:hint="eastAsia" w:ascii="宋体" w:hAnsi="宋体"/>
          <w:sz w:val="24"/>
        </w:rPr>
      </w:pPr>
      <w:bookmarkStart w:id="22" w:name="_Toc8969"/>
      <w:r>
        <w:rPr>
          <w:rFonts w:hint="eastAsia" w:ascii="宋体" w:hAnsi="宋体"/>
          <w:sz w:val="24"/>
        </w:rPr>
        <w:t>2、成交供应商确定后，成交供应商无正当理由拖延或拒签合同的，采购人有权取消其成交资格，并承担由此引起采购人的一切损失及后果。同时报请监督机构予以通报，禁止其进入政府采购市场。</w:t>
      </w:r>
      <w:bookmarkEnd w:id="22"/>
    </w:p>
    <w:p>
      <w:pPr>
        <w:spacing w:line="560" w:lineRule="exact"/>
        <w:ind w:firstLine="600" w:firstLineChars="250"/>
        <w:rPr>
          <w:rFonts w:hint="eastAsia" w:ascii="宋体" w:hAnsi="宋体"/>
          <w:sz w:val="24"/>
        </w:rPr>
      </w:pPr>
      <w:r>
        <w:rPr>
          <w:rFonts w:hint="eastAsia" w:ascii="宋体" w:hAnsi="宋体"/>
          <w:sz w:val="24"/>
        </w:rPr>
        <w:t>3、采购人与成交供应商应当在成交通知书发出之日起三十日内，按照采购文件确定的事项签订政府采购合同。</w:t>
      </w:r>
    </w:p>
    <w:p>
      <w:pPr>
        <w:tabs>
          <w:tab w:val="left" w:pos="0"/>
        </w:tabs>
        <w:spacing w:line="360" w:lineRule="auto"/>
        <w:jc w:val="left"/>
        <w:rPr>
          <w:rFonts w:ascii="宋体" w:hAnsi="宋体"/>
          <w:b/>
          <w:bCs/>
          <w:kern w:val="0"/>
          <w:szCs w:val="21"/>
        </w:rPr>
      </w:pPr>
      <w:bookmarkStart w:id="23" w:name="_Toc16041"/>
      <w:bookmarkStart w:id="24" w:name="_Toc13036"/>
      <w:bookmarkStart w:id="25" w:name="_Toc518"/>
      <w:r>
        <w:rPr>
          <w:rFonts w:hint="eastAsia"/>
          <w:sz w:val="36"/>
          <w:szCs w:val="36"/>
        </w:rPr>
        <w:br w:type="page"/>
      </w:r>
      <w:r>
        <w:rPr>
          <w:rFonts w:hint="eastAsia" w:ascii="宋体" w:hAnsi="宋体"/>
          <w:b/>
          <w:szCs w:val="21"/>
        </w:rPr>
        <w:t>附件</w:t>
      </w:r>
      <w:r>
        <w:rPr>
          <w:rFonts w:hint="eastAsia" w:ascii="宋体" w:hAnsi="宋体"/>
          <w:szCs w:val="21"/>
        </w:rPr>
        <w:t>：</w:t>
      </w:r>
    </w:p>
    <w:p>
      <w:pPr>
        <w:numPr>
          <w:ilvl w:val="0"/>
          <w:numId w:val="4"/>
        </w:numPr>
        <w:spacing w:line="360" w:lineRule="auto"/>
        <w:jc w:val="center"/>
        <w:rPr>
          <w:rFonts w:ascii="宋体" w:hAnsi="宋体"/>
          <w:b/>
          <w:bCs/>
          <w:kern w:val="0"/>
          <w:szCs w:val="21"/>
        </w:rPr>
      </w:pPr>
      <w:r>
        <w:rPr>
          <w:rFonts w:ascii="宋体" w:hAnsi="宋体"/>
          <w:b/>
          <w:bCs/>
          <w:kern w:val="0"/>
          <w:szCs w:val="21"/>
        </w:rPr>
        <w:t>关于信用担保的说明</w:t>
      </w:r>
    </w:p>
    <w:p>
      <w:pPr>
        <w:numPr>
          <w:ilvl w:val="0"/>
          <w:numId w:val="4"/>
        </w:numPr>
        <w:adjustRightInd w:val="0"/>
        <w:snapToGrid w:val="0"/>
        <w:spacing w:line="360" w:lineRule="auto"/>
        <w:jc w:val="left"/>
        <w:rPr>
          <w:rFonts w:hint="eastAsia" w:ascii="宋体" w:hAnsi="宋体" w:cs="宋体"/>
          <w:szCs w:val="21"/>
          <w:lang w:val="zh-CN"/>
        </w:rPr>
      </w:pPr>
      <w:r>
        <w:rPr>
          <w:rFonts w:hint="eastAsia" w:ascii="宋体" w:hAnsi="宋体" w:cs="宋体"/>
          <w:szCs w:val="21"/>
          <w:lang w:val="zh-CN"/>
        </w:rPr>
        <w:t>（一）陕西省信用担保</w:t>
      </w:r>
      <w:r>
        <w:rPr>
          <w:rFonts w:hint="eastAsia" w:ascii="宋体" w:hAnsi="宋体" w:cs="宋体"/>
          <w:szCs w:val="21"/>
        </w:rPr>
        <w:t>及信用融资政策</w:t>
      </w:r>
    </w:p>
    <w:p>
      <w:pPr>
        <w:widowControl/>
        <w:numPr>
          <w:ilvl w:val="0"/>
          <w:numId w:val="4"/>
        </w:numPr>
        <w:adjustRightInd w:val="0"/>
        <w:snapToGrid w:val="0"/>
        <w:spacing w:line="360" w:lineRule="auto"/>
        <w:jc w:val="left"/>
        <w:rPr>
          <w:rFonts w:hint="eastAsia" w:ascii="宋体" w:hAnsi="宋体" w:cs="宋体"/>
          <w:szCs w:val="21"/>
          <w:lang w:val="zh-CN"/>
        </w:rPr>
      </w:pPr>
      <w:r>
        <w:rPr>
          <w:rFonts w:hint="eastAsia" w:ascii="宋体" w:hAnsi="宋体" w:cs="宋体"/>
          <w:szCs w:val="21"/>
          <w:lang w:val="zh-CN"/>
        </w:rPr>
        <w:t>为支持和促进中小企业发展，进一步发挥政府采购政策功能作用，有效缓解中小企业融资难等问题，根据财政部财库【2011】124号文件的精神，陕西省财政厅制订了</w:t>
      </w:r>
      <w:r>
        <w:rPr>
          <w:rFonts w:hint="eastAsia" w:ascii="宋体" w:hAnsi="宋体" w:cs="宋体"/>
          <w:color w:val="333333"/>
          <w:szCs w:val="21"/>
        </w:rPr>
        <w:t>《陕西省中小企业政府采购信用融资办法》</w:t>
      </w:r>
      <w:r>
        <w:rPr>
          <w:rFonts w:hint="eastAsia" w:ascii="宋体" w:hAnsi="宋体" w:cs="宋体"/>
          <w:color w:val="333333"/>
          <w:kern w:val="0"/>
          <w:szCs w:val="21"/>
          <w:lang w:bidi="ar"/>
        </w:rPr>
        <w:t>陕财办采〔2018〕23号</w:t>
      </w:r>
      <w:r>
        <w:rPr>
          <w:rFonts w:hint="eastAsia" w:ascii="宋体" w:hAnsi="宋体" w:cs="宋体"/>
          <w:szCs w:val="21"/>
          <w:lang w:val="zh-CN"/>
        </w:rPr>
        <w:t>，为参与陕西省政府采购项目的供应商提供政府采购信用担保，并按照程序确定了合作的担保机构。供应商在交纳磋商保证金及中标人交纳履约保证金时可自愿选择通过担保机构保函的形式交纳；中标人如果需要融资贷款服务的，可凭中标通知书、政府采购合同等相关资料，按照文件规定的程序申请办理，具体规定可登陆陕西省政府采购网(www.ccgp-shaanxi.gov.cn/)重要通知专栏中查询了解。</w:t>
      </w:r>
    </w:p>
    <w:tbl>
      <w:tblPr>
        <w:tblStyle w:val="29"/>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985"/>
        <w:gridCol w:w="3403"/>
        <w:gridCol w:w="227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5"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单位名称</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地址</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联系电话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1"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中国投资担保有限公司</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北京市海淀区西三环北路100号金玉大厦写字楼19层</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Cs w:val="21"/>
              </w:rPr>
            </w:pPr>
            <w:r>
              <w:rPr>
                <w:rFonts w:hint="eastAsia" w:ascii="宋体" w:hAnsi="宋体" w:cs="宋体"/>
                <w:kern w:val="0"/>
                <w:szCs w:val="21"/>
                <w:lang w:bidi="ar"/>
              </w:rPr>
              <w:t>010-88822659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7"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陕西省信用再担保有限责任公司</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西安市高新区唐延路3号旺座国际B座25层</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Cs w:val="21"/>
              </w:rPr>
            </w:pPr>
            <w:r>
              <w:rPr>
                <w:rFonts w:hint="eastAsia" w:ascii="宋体" w:hAnsi="宋体" w:cs="宋体"/>
                <w:kern w:val="0"/>
                <w:szCs w:val="21"/>
                <w:lang w:bidi="ar"/>
              </w:rPr>
              <w:t>029-88606032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7"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西安投融资担保有限公司</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西安市太白北路320号市财政局综合楼5层</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szCs w:val="21"/>
              </w:rPr>
            </w:pPr>
            <w:r>
              <w:rPr>
                <w:rFonts w:hint="eastAsia" w:ascii="宋体" w:hAnsi="宋体" w:cs="宋体"/>
                <w:kern w:val="0"/>
                <w:szCs w:val="21"/>
                <w:lang w:bidi="ar"/>
              </w:rPr>
              <w:t>029-88480371</w:t>
            </w:r>
          </w:p>
        </w:tc>
      </w:tr>
    </w:tbl>
    <w:p>
      <w:pPr>
        <w:numPr>
          <w:ilvl w:val="0"/>
          <w:numId w:val="4"/>
        </w:numPr>
        <w:adjustRightInd w:val="0"/>
        <w:snapToGrid w:val="0"/>
        <w:spacing w:line="360" w:lineRule="auto"/>
        <w:rPr>
          <w:rFonts w:hint="eastAsia" w:ascii="宋体" w:hAnsi="宋体" w:cs="宋体"/>
          <w:szCs w:val="21"/>
          <w:lang w:val="zh-CN"/>
        </w:rPr>
      </w:pPr>
      <w:r>
        <w:rPr>
          <w:rFonts w:hint="eastAsia" w:ascii="宋体" w:hAnsi="宋体" w:cs="宋体"/>
          <w:bCs/>
          <w:szCs w:val="21"/>
        </w:rPr>
        <w:t>（二）西安市政府采购信用担保及信用融资政策</w:t>
      </w:r>
    </w:p>
    <w:p>
      <w:pPr>
        <w:numPr>
          <w:ilvl w:val="0"/>
          <w:numId w:val="4"/>
        </w:numPr>
        <w:autoSpaceDE w:val="0"/>
        <w:autoSpaceDN w:val="0"/>
        <w:adjustRightInd w:val="0"/>
        <w:snapToGrid w:val="0"/>
        <w:spacing w:line="360" w:lineRule="auto"/>
        <w:rPr>
          <w:rFonts w:hint="eastAsia" w:ascii="宋体" w:hAnsi="宋体" w:cs="宋体"/>
          <w:szCs w:val="21"/>
        </w:rPr>
      </w:pPr>
      <w:bookmarkStart w:id="26" w:name="_Toc11988"/>
      <w:r>
        <w:rPr>
          <w:rFonts w:hint="eastAsia" w:ascii="宋体" w:hAnsi="宋体" w:cs="宋体"/>
          <w:szCs w:val="21"/>
        </w:rPr>
        <w:t xml:space="preserve">    为发挥政府采购促进中小企业发展的政策功能，西安市财政局制定了</w:t>
      </w:r>
      <w:r>
        <w:rPr>
          <w:rFonts w:hint="eastAsia" w:ascii="宋体" w:hAnsi="宋体" w:cs="宋体"/>
          <w:kern w:val="0"/>
          <w:szCs w:val="21"/>
          <w:shd w:val="clear" w:color="auto" w:fill="FFFFFF"/>
          <w:lang w:bidi="ar"/>
        </w:rPr>
        <w:t>《西安市财政局关于贯彻落实&lt;西安市政府采购信用担保及信用融资工作实施方案（试行）&gt;有关事宜的通知》（市财发〔2015〕4号）</w:t>
      </w:r>
      <w:r>
        <w:rPr>
          <w:rFonts w:hint="eastAsia" w:ascii="宋体" w:hAnsi="宋体" w:cs="宋体"/>
          <w:szCs w:val="21"/>
        </w:rPr>
        <w:t>，为参与西安市市级政府采购项目的供应商提供政府采购信用担保和融资服务，并按照程序确定了合作的担保机构和商业银行。供应商在交纳磋商保证金及中标人交纳履约保证金时可自愿选择通过担保机构保函的形式交纳；中标人如果需要融资贷款服务的，可凭中标通知书、政府采购合同等相关资料，按照实施方案规定的程序申请办理，具体规定可登陆西安政府采购网(www.xazfcg.gov.cn)重要通知专栏和西安市财政局网站(www.xaczj.gov.cn)政府采购专栏中查询了解。</w:t>
      </w:r>
      <w:bookmarkEnd w:id="26"/>
    </w:p>
    <w:tbl>
      <w:tblPr>
        <w:tblStyle w:val="29"/>
        <w:tblW w:w="9032" w:type="dxa"/>
        <w:jc w:val="center"/>
        <w:tblLayout w:type="fixed"/>
        <w:tblCellMar>
          <w:top w:w="15" w:type="dxa"/>
          <w:left w:w="15" w:type="dxa"/>
          <w:bottom w:w="15" w:type="dxa"/>
          <w:right w:w="15" w:type="dxa"/>
        </w:tblCellMar>
      </w:tblPr>
      <w:tblGrid>
        <w:gridCol w:w="536"/>
        <w:gridCol w:w="1812"/>
        <w:gridCol w:w="1843"/>
        <w:gridCol w:w="1036"/>
        <w:gridCol w:w="1035"/>
        <w:gridCol w:w="1980"/>
        <w:gridCol w:w="790"/>
      </w:tblGrid>
      <w:tr>
        <w:tblPrEx>
          <w:tblCellMar>
            <w:top w:w="15" w:type="dxa"/>
            <w:left w:w="15" w:type="dxa"/>
            <w:bottom w:w="15" w:type="dxa"/>
            <w:right w:w="15" w:type="dxa"/>
          </w:tblCellMar>
        </w:tblPrEx>
        <w:trPr>
          <w:cantSplit/>
          <w:trHeight w:val="585" w:hRule="atLeast"/>
          <w:jc w:val="center"/>
        </w:trPr>
        <w:tc>
          <w:tcPr>
            <w:tcW w:w="8242" w:type="dxa"/>
            <w:gridSpan w:val="6"/>
            <w:tcBorders>
              <w:bottom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西安市政府采购信用担保及信用融资合作机构联系名单</w:t>
            </w:r>
          </w:p>
        </w:tc>
        <w:tc>
          <w:tcPr>
            <w:tcW w:w="790" w:type="dxa"/>
            <w:noWrap w:val="0"/>
            <w:vAlign w:val="center"/>
          </w:tcPr>
          <w:p>
            <w:pPr>
              <w:snapToGrid w:val="0"/>
              <w:spacing w:line="360" w:lineRule="auto"/>
              <w:rPr>
                <w:rFonts w:hint="eastAsia" w:ascii="宋体" w:hAnsi="宋体" w:cs="宋体"/>
                <w:bCs/>
                <w:color w:val="000000"/>
                <w:szCs w:val="21"/>
              </w:rPr>
            </w:pPr>
          </w:p>
        </w:tc>
      </w:tr>
      <w:tr>
        <w:tblPrEx>
          <w:tblCellMar>
            <w:top w:w="15" w:type="dxa"/>
            <w:left w:w="15" w:type="dxa"/>
            <w:bottom w:w="15" w:type="dxa"/>
            <w:right w:w="15" w:type="dxa"/>
          </w:tblCellMar>
        </w:tblPrEx>
        <w:trPr>
          <w:cantSplit/>
          <w:trHeight w:val="495"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序号</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合作单位名称</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主办单位名称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联系部门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联系</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人员</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联系电话</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备注</w:t>
            </w:r>
          </w:p>
        </w:tc>
      </w:tr>
      <w:tr>
        <w:tblPrEx>
          <w:tblCellMar>
            <w:top w:w="15" w:type="dxa"/>
            <w:left w:w="15" w:type="dxa"/>
            <w:bottom w:w="15" w:type="dxa"/>
            <w:right w:w="15" w:type="dxa"/>
          </w:tblCellMar>
        </w:tblPrEx>
        <w:trPr>
          <w:cantSplit/>
          <w:trHeight w:val="825"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西安投融资担保有限公司</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西安投融资担保有限公司</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业务五部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李晓</w:t>
            </w:r>
          </w:p>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何彦君</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张华</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88499422 13572821281</w:t>
            </w:r>
          </w:p>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88499422 13679255205</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88499422 18220823060</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担保</w:t>
            </w:r>
          </w:p>
        </w:tc>
      </w:tr>
      <w:tr>
        <w:tblPrEx>
          <w:tblCellMar>
            <w:top w:w="15" w:type="dxa"/>
            <w:left w:w="15" w:type="dxa"/>
            <w:bottom w:w="15" w:type="dxa"/>
            <w:right w:w="15" w:type="dxa"/>
          </w:tblCellMar>
        </w:tblPrEx>
        <w:trPr>
          <w:cantSplit/>
          <w:trHeight w:val="8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2</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陕西省信用再担保</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有限责任公司</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陕西省信用再担保</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有限责任公司</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业务三部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夏靖颜</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朱筠祥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88606038-6027</w:t>
            </w:r>
          </w:p>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18591406320</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18629282228</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担保</w:t>
            </w:r>
          </w:p>
        </w:tc>
      </w:tr>
      <w:tr>
        <w:tblPrEx>
          <w:tblCellMar>
            <w:top w:w="15" w:type="dxa"/>
            <w:left w:w="15" w:type="dxa"/>
            <w:bottom w:w="15" w:type="dxa"/>
            <w:right w:w="15" w:type="dxa"/>
          </w:tblCellMar>
        </w:tblPrEx>
        <w:trPr>
          <w:cantSplit/>
          <w:trHeight w:val="1088"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3</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中国银行股份有限公司陕西省分行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中国银行西安二环世纪星支行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公司业务部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 xml:space="preserve">胡涛 </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叶楚沙</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88360743 18629048822</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88360749 13772153612</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4</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中国建设银行股份有限公司陕西省分行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建设银行西安市南大街支行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公司部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杨向晖</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87281468</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13379229383</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5</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中国工商银行股份有限公司陕西省分行营业部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工商银行陕西分行营业部</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小企业金融业务部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牛国群</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张航</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87609569 18992851811</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87609761 13891883334</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6</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中国农业银行股份有限公司陕西省分行营业部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农业银行西安西大街支行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公司业务部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贾珊</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高雅</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87617245 13891957123</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87613444 13659192425</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7</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交通银行股份有限公司陕西省分行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交通银行西安西五路支行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个人贷款中心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李卫公</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雷强</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87297632 13991290525</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87272444 18629362690</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335"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8</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招商银行股份有限公司西安分行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招商银行西安未央路支行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公司银行部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杨皓</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马秦香</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62811553 15002905553</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62811553 13609183259</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9</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中国民生银行股份有限公司西安分行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民生银行西安分行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城建金融部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李楠</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88266088-8450</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13572058213</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10</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中国光大银行股份有限公司西安分行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光大银行经济技术开发区支行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对公客户经理部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高艺瑄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15619006186</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11</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昆仑银行股份有限公司西安分行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昆仑银行西安分行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机构投行部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韩天清</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86978975</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15609108028</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12</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平安银行股份有限公司西安分行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平安银行西安分行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业务发展七部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祝捷</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王尧</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18629505188</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18591767577</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13</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北京银行股份有限公司西安分行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北京银行西安分行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营业部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范诗阳</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曹英</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13991945764</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18691892195</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14</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兴业银行股份有限公司西安分行</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兴业银行西安分行</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新城业务总部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徐常磊</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鲁旸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eastAsia="宋体" w:cs="宋体"/>
                <w:bCs/>
                <w:color w:val="000000"/>
                <w:kern w:val="0"/>
                <w:szCs w:val="21"/>
                <w:lang w:eastAsia="zh-CN" w:bidi="ar"/>
              </w:rPr>
            </w:pPr>
            <w:r>
              <w:rPr>
                <w:rFonts w:hint="eastAsia" w:ascii="宋体" w:hAnsi="宋体" w:cs="宋体"/>
                <w:bCs/>
                <w:color w:val="000000"/>
                <w:kern w:val="0"/>
                <w:szCs w:val="21"/>
                <w:lang w:bidi="ar"/>
              </w:rPr>
              <w:t>15991623666</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15389081886</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信用</w:t>
            </w:r>
          </w:p>
          <w:p>
            <w:pPr>
              <w:widowControl/>
              <w:snapToGrid w:val="0"/>
              <w:spacing w:line="360" w:lineRule="auto"/>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融资</w:t>
            </w:r>
          </w:p>
        </w:tc>
      </w:tr>
    </w:tbl>
    <w:p>
      <w:pPr>
        <w:tabs>
          <w:tab w:val="left" w:pos="0"/>
        </w:tabs>
        <w:spacing w:line="360" w:lineRule="auto"/>
        <w:rPr>
          <w:rFonts w:ascii="宋体" w:hAnsi="宋体"/>
          <w:b/>
          <w:bCs/>
          <w:kern w:val="0"/>
          <w:szCs w:val="21"/>
        </w:rPr>
      </w:pPr>
      <w:r>
        <w:rPr>
          <w:rFonts w:ascii="宋体" w:hAnsi="宋体"/>
          <w:b/>
          <w:bCs/>
          <w:kern w:val="0"/>
          <w:szCs w:val="21"/>
        </w:rPr>
        <w:br w:type="page"/>
      </w:r>
      <w:r>
        <w:rPr>
          <w:rFonts w:ascii="宋体" w:hAnsi="宋体"/>
          <w:b/>
          <w:bCs/>
          <w:kern w:val="0"/>
          <w:szCs w:val="21"/>
        </w:rPr>
        <w:t>附件</w:t>
      </w:r>
      <w:r>
        <w:rPr>
          <w:rFonts w:hint="eastAsia" w:ascii="宋体" w:hAnsi="宋体"/>
          <w:b/>
          <w:bCs/>
          <w:kern w:val="0"/>
          <w:szCs w:val="21"/>
        </w:rPr>
        <w:t>1</w:t>
      </w:r>
      <w:r>
        <w:rPr>
          <w:rFonts w:ascii="宋体" w:hAnsi="宋体"/>
          <w:b/>
          <w:bCs/>
          <w:kern w:val="0"/>
          <w:szCs w:val="21"/>
        </w:rPr>
        <w:t>：</w:t>
      </w:r>
    </w:p>
    <w:p>
      <w:pPr>
        <w:numPr>
          <w:ilvl w:val="0"/>
          <w:numId w:val="4"/>
        </w:numPr>
        <w:spacing w:line="360" w:lineRule="auto"/>
        <w:jc w:val="center"/>
        <w:rPr>
          <w:rFonts w:ascii="宋体" w:hAnsi="宋体"/>
          <w:kern w:val="0"/>
          <w:szCs w:val="21"/>
        </w:rPr>
      </w:pPr>
      <w:r>
        <w:rPr>
          <w:rFonts w:ascii="宋体" w:hAnsi="宋体"/>
          <w:b/>
          <w:bCs/>
          <w:kern w:val="0"/>
          <w:szCs w:val="21"/>
        </w:rPr>
        <w:t>政府采购投标担保函 （项目用）</w:t>
      </w:r>
    </w:p>
    <w:p>
      <w:pPr>
        <w:numPr>
          <w:ilvl w:val="0"/>
          <w:numId w:val="4"/>
        </w:numPr>
        <w:spacing w:line="360" w:lineRule="auto"/>
        <w:rPr>
          <w:rFonts w:ascii="宋体" w:hAnsi="宋体"/>
          <w:kern w:val="0"/>
          <w:szCs w:val="21"/>
        </w:rPr>
      </w:pPr>
      <w:r>
        <w:rPr>
          <w:rFonts w:hint="eastAsia" w:ascii="宋体" w:hAnsi="宋体"/>
          <w:kern w:val="0"/>
          <w:szCs w:val="21"/>
        </w:rPr>
        <w:t xml:space="preserve">                                                           </w:t>
      </w:r>
      <w:r>
        <w:rPr>
          <w:rFonts w:ascii="宋体" w:hAnsi="宋体"/>
          <w:kern w:val="0"/>
          <w:szCs w:val="21"/>
        </w:rPr>
        <w:t xml:space="preserve">编号： </w:t>
      </w:r>
    </w:p>
    <w:p>
      <w:pPr>
        <w:numPr>
          <w:ilvl w:val="0"/>
          <w:numId w:val="4"/>
        </w:numPr>
        <w:spacing w:line="360" w:lineRule="auto"/>
        <w:rPr>
          <w:rFonts w:ascii="宋体" w:hAnsi="宋体"/>
          <w:kern w:val="0"/>
          <w:szCs w:val="21"/>
        </w:rPr>
      </w:pPr>
      <w:r>
        <w:rPr>
          <w:rFonts w:ascii="宋体" w:hAnsi="宋体"/>
          <w:kern w:val="0"/>
          <w:szCs w:val="21"/>
          <w:u w:val="single"/>
        </w:rPr>
        <w:t xml:space="preserve">                  </w:t>
      </w:r>
      <w:r>
        <w:rPr>
          <w:rFonts w:ascii="宋体" w:hAnsi="宋体"/>
          <w:kern w:val="0"/>
          <w:szCs w:val="21"/>
        </w:rPr>
        <w:t xml:space="preserve">（采购代理机构）： </w:t>
      </w:r>
    </w:p>
    <w:p>
      <w:pPr>
        <w:numPr>
          <w:ilvl w:val="0"/>
          <w:numId w:val="4"/>
        </w:numPr>
        <w:spacing w:line="360" w:lineRule="auto"/>
        <w:rPr>
          <w:rFonts w:ascii="宋体" w:hAnsi="宋体"/>
          <w:kern w:val="0"/>
          <w:szCs w:val="21"/>
        </w:rPr>
      </w:pPr>
      <w:r>
        <w:rPr>
          <w:rFonts w:hint="eastAsia" w:ascii="宋体" w:hAnsi="宋体"/>
          <w:kern w:val="0"/>
          <w:szCs w:val="21"/>
        </w:rPr>
        <w:t xml:space="preserve">    </w:t>
      </w:r>
      <w:r>
        <w:rPr>
          <w:rFonts w:ascii="宋体" w:hAnsi="宋体"/>
          <w:kern w:val="0"/>
          <w:szCs w:val="21"/>
        </w:rPr>
        <w:t>鉴于</w:t>
      </w:r>
      <w:r>
        <w:rPr>
          <w:rFonts w:ascii="宋体" w:hAnsi="宋体"/>
          <w:kern w:val="0"/>
          <w:szCs w:val="21"/>
          <w:u w:val="single"/>
        </w:rPr>
        <w:t>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（以下简称“供应商”）拟参加编号</w:t>
      </w:r>
      <w:r>
        <w:rPr>
          <w:rFonts w:ascii="宋体" w:hAnsi="宋体"/>
          <w:kern w:val="0"/>
          <w:szCs w:val="21"/>
          <w:u w:val="single"/>
        </w:rPr>
        <w:t xml:space="preserve">     </w:t>
      </w:r>
      <w:r>
        <w:rPr>
          <w:rFonts w:ascii="宋体" w:hAnsi="宋体"/>
          <w:kern w:val="0"/>
          <w:szCs w:val="21"/>
        </w:rPr>
        <w:t>的</w:t>
      </w:r>
      <w:r>
        <w:rPr>
          <w:rFonts w:ascii="宋体" w:hAnsi="宋体"/>
          <w:kern w:val="0"/>
          <w:szCs w:val="21"/>
          <w:u w:val="single"/>
        </w:rPr>
        <w:t>      </w:t>
      </w:r>
      <w:r>
        <w:rPr>
          <w:rFonts w:ascii="宋体" w:hAnsi="宋体"/>
          <w:kern w:val="0"/>
          <w:szCs w:val="21"/>
        </w:rPr>
        <w:t xml:space="preserve"> </w:t>
      </w:r>
    </w:p>
    <w:p>
      <w:pPr>
        <w:numPr>
          <w:ilvl w:val="0"/>
          <w:numId w:val="4"/>
        </w:numPr>
        <w:spacing w:line="360" w:lineRule="auto"/>
        <w:rPr>
          <w:rFonts w:ascii="宋体" w:hAnsi="宋体"/>
          <w:kern w:val="0"/>
          <w:szCs w:val="21"/>
        </w:rPr>
      </w:pPr>
      <w:r>
        <w:rPr>
          <w:rFonts w:ascii="宋体" w:hAnsi="宋体"/>
          <w:kern w:val="0"/>
          <w:szCs w:val="21"/>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pPr>
        <w:numPr>
          <w:ilvl w:val="0"/>
          <w:numId w:val="4"/>
        </w:numPr>
        <w:spacing w:line="360" w:lineRule="auto"/>
        <w:ind w:firstLine="480"/>
        <w:rPr>
          <w:rFonts w:ascii="宋体" w:hAnsi="宋体"/>
          <w:kern w:val="0"/>
          <w:szCs w:val="21"/>
        </w:rPr>
      </w:pPr>
      <w:r>
        <w:rPr>
          <w:rFonts w:ascii="宋体" w:hAnsi="宋体"/>
          <w:kern w:val="0"/>
          <w:szCs w:val="21"/>
        </w:rPr>
        <w:t xml:space="preserve">一、保证责任的情形及保证金额 </w:t>
      </w:r>
    </w:p>
    <w:p>
      <w:pPr>
        <w:numPr>
          <w:ilvl w:val="0"/>
          <w:numId w:val="4"/>
        </w:numPr>
        <w:spacing w:line="360" w:lineRule="auto"/>
        <w:ind w:firstLine="480"/>
        <w:rPr>
          <w:rFonts w:ascii="宋体" w:hAnsi="宋体"/>
          <w:kern w:val="0"/>
          <w:szCs w:val="21"/>
        </w:rPr>
      </w:pPr>
      <w:r>
        <w:rPr>
          <w:rFonts w:ascii="宋体" w:hAnsi="宋体"/>
          <w:kern w:val="0"/>
          <w:szCs w:val="21"/>
        </w:rPr>
        <w:t>（一）在供应商出现下列情形之一时，我方承担保证责任：</w:t>
      </w:r>
    </w:p>
    <w:p>
      <w:pPr>
        <w:numPr>
          <w:ilvl w:val="0"/>
          <w:numId w:val="4"/>
        </w:numPr>
        <w:spacing w:line="360" w:lineRule="auto"/>
        <w:ind w:firstLine="480"/>
        <w:rPr>
          <w:rFonts w:ascii="宋体" w:hAnsi="宋体"/>
          <w:kern w:val="0"/>
          <w:szCs w:val="21"/>
        </w:rPr>
      </w:pPr>
      <w:r>
        <w:rPr>
          <w:rFonts w:ascii="宋体" w:hAnsi="宋体"/>
          <w:kern w:val="0"/>
          <w:szCs w:val="21"/>
        </w:rPr>
        <w:t xml:space="preserve">1．中标后供应商无正当理由不与采购人或者采购代理机构签订《政府采购合同》； </w:t>
      </w:r>
    </w:p>
    <w:p>
      <w:pPr>
        <w:numPr>
          <w:ilvl w:val="0"/>
          <w:numId w:val="4"/>
        </w:numPr>
        <w:spacing w:line="360" w:lineRule="auto"/>
        <w:ind w:firstLine="480"/>
        <w:rPr>
          <w:rFonts w:ascii="宋体" w:hAnsi="宋体"/>
          <w:kern w:val="0"/>
          <w:szCs w:val="21"/>
        </w:rPr>
      </w:pPr>
      <w:r>
        <w:rPr>
          <w:rFonts w:ascii="宋体" w:hAnsi="宋体"/>
          <w:kern w:val="0"/>
          <w:szCs w:val="21"/>
        </w:rPr>
        <w:t xml:space="preserve">2．招标文件规定的供应商应当缴纳保证金的其他情形。 </w:t>
      </w:r>
    </w:p>
    <w:p>
      <w:pPr>
        <w:numPr>
          <w:ilvl w:val="0"/>
          <w:numId w:val="4"/>
        </w:numPr>
        <w:spacing w:line="360" w:lineRule="auto"/>
        <w:ind w:firstLine="480"/>
        <w:rPr>
          <w:rFonts w:ascii="宋体" w:hAnsi="宋体"/>
          <w:kern w:val="0"/>
          <w:szCs w:val="21"/>
        </w:rPr>
      </w:pPr>
      <w:r>
        <w:rPr>
          <w:rFonts w:ascii="宋体" w:hAnsi="宋体"/>
          <w:kern w:val="0"/>
          <w:szCs w:val="21"/>
        </w:rPr>
        <w:t>（二）我方承担保证责任的最高金额为人民币</w:t>
      </w:r>
      <w:r>
        <w:rPr>
          <w:rFonts w:ascii="宋体" w:hAnsi="宋体"/>
          <w:kern w:val="0"/>
          <w:szCs w:val="21"/>
          <w:u w:val="single"/>
        </w:rPr>
        <w:t xml:space="preserve">      </w:t>
      </w:r>
      <w:r>
        <w:rPr>
          <w:rFonts w:ascii="宋体" w:hAnsi="宋体"/>
          <w:kern w:val="0"/>
          <w:szCs w:val="21"/>
        </w:rPr>
        <w:t>元（大写</w:t>
      </w:r>
      <w:r>
        <w:rPr>
          <w:rFonts w:ascii="宋体" w:hAnsi="宋体"/>
          <w:kern w:val="0"/>
          <w:szCs w:val="21"/>
          <w:u w:val="single"/>
        </w:rPr>
        <w:t xml:space="preserve">            </w:t>
      </w:r>
      <w:r>
        <w:rPr>
          <w:rFonts w:ascii="宋体" w:hAnsi="宋体"/>
          <w:kern w:val="0"/>
          <w:szCs w:val="21"/>
        </w:rPr>
        <w:t xml:space="preserve">），即本项目的投标保证金金额。 </w:t>
      </w:r>
    </w:p>
    <w:p>
      <w:pPr>
        <w:numPr>
          <w:ilvl w:val="0"/>
          <w:numId w:val="4"/>
        </w:numPr>
        <w:spacing w:line="360" w:lineRule="auto"/>
        <w:ind w:firstLine="480"/>
        <w:rPr>
          <w:rFonts w:ascii="宋体" w:hAnsi="宋体"/>
          <w:kern w:val="0"/>
          <w:szCs w:val="21"/>
        </w:rPr>
      </w:pPr>
      <w:r>
        <w:rPr>
          <w:rFonts w:ascii="宋体" w:hAnsi="宋体"/>
          <w:kern w:val="0"/>
          <w:szCs w:val="21"/>
        </w:rPr>
        <w:t xml:space="preserve">二、保证的方式及保证期间 </w:t>
      </w:r>
    </w:p>
    <w:p>
      <w:pPr>
        <w:numPr>
          <w:ilvl w:val="0"/>
          <w:numId w:val="4"/>
        </w:numPr>
        <w:spacing w:line="360" w:lineRule="auto"/>
        <w:ind w:firstLine="480"/>
        <w:rPr>
          <w:rFonts w:ascii="宋体" w:hAnsi="宋体"/>
          <w:kern w:val="0"/>
          <w:szCs w:val="21"/>
        </w:rPr>
      </w:pPr>
      <w:r>
        <w:rPr>
          <w:rFonts w:ascii="宋体" w:hAnsi="宋体"/>
          <w:kern w:val="0"/>
          <w:szCs w:val="21"/>
        </w:rPr>
        <w:t xml:space="preserve">我方保证的方式为：连带责任保证。 </w:t>
      </w:r>
    </w:p>
    <w:p>
      <w:pPr>
        <w:numPr>
          <w:ilvl w:val="0"/>
          <w:numId w:val="4"/>
        </w:numPr>
        <w:spacing w:line="360" w:lineRule="auto"/>
        <w:ind w:firstLine="480"/>
        <w:rPr>
          <w:rFonts w:ascii="宋体" w:hAnsi="宋体"/>
          <w:kern w:val="0"/>
          <w:szCs w:val="21"/>
        </w:rPr>
      </w:pPr>
      <w:r>
        <w:rPr>
          <w:rFonts w:ascii="宋体" w:hAnsi="宋体"/>
          <w:kern w:val="0"/>
          <w:szCs w:val="21"/>
        </w:rPr>
        <w:t>我方的保证期间为：自本保函生效之日起</w:t>
      </w:r>
      <w:r>
        <w:rPr>
          <w:rFonts w:ascii="宋体" w:hAnsi="宋体"/>
          <w:kern w:val="0"/>
          <w:szCs w:val="21"/>
          <w:u w:val="single"/>
        </w:rPr>
        <w:t xml:space="preserve">    </w:t>
      </w:r>
      <w:r>
        <w:rPr>
          <w:rFonts w:ascii="宋体" w:hAnsi="宋体"/>
          <w:kern w:val="0"/>
          <w:szCs w:val="21"/>
        </w:rPr>
        <w:t>个月止。</w:t>
      </w:r>
    </w:p>
    <w:p>
      <w:pPr>
        <w:numPr>
          <w:ilvl w:val="0"/>
          <w:numId w:val="4"/>
        </w:numPr>
        <w:spacing w:line="360" w:lineRule="auto"/>
        <w:ind w:firstLine="480"/>
        <w:rPr>
          <w:rFonts w:ascii="宋体" w:hAnsi="宋体"/>
          <w:kern w:val="0"/>
          <w:szCs w:val="21"/>
        </w:rPr>
      </w:pPr>
      <w:r>
        <w:rPr>
          <w:rFonts w:ascii="宋体" w:hAnsi="宋体"/>
          <w:kern w:val="0"/>
          <w:szCs w:val="21"/>
        </w:rPr>
        <w:t xml:space="preserve">三、承担保证责任的程序 </w:t>
      </w:r>
    </w:p>
    <w:p>
      <w:pPr>
        <w:numPr>
          <w:ilvl w:val="0"/>
          <w:numId w:val="4"/>
        </w:numPr>
        <w:spacing w:line="360" w:lineRule="auto"/>
        <w:ind w:firstLine="480"/>
        <w:rPr>
          <w:rFonts w:ascii="宋体" w:hAnsi="宋体"/>
          <w:kern w:val="0"/>
          <w:szCs w:val="21"/>
        </w:rPr>
      </w:pPr>
      <w:r>
        <w:rPr>
          <w:rFonts w:ascii="宋体" w:hAnsi="宋体"/>
          <w:kern w:val="0"/>
          <w:szCs w:val="21"/>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numPr>
          <w:ilvl w:val="0"/>
          <w:numId w:val="4"/>
        </w:numPr>
        <w:spacing w:line="360" w:lineRule="auto"/>
        <w:ind w:firstLine="480"/>
        <w:rPr>
          <w:rFonts w:ascii="宋体" w:hAnsi="宋体"/>
          <w:kern w:val="0"/>
          <w:szCs w:val="21"/>
        </w:rPr>
      </w:pPr>
      <w:r>
        <w:rPr>
          <w:rFonts w:ascii="宋体" w:hAnsi="宋体"/>
          <w:kern w:val="0"/>
          <w:szCs w:val="21"/>
        </w:rPr>
        <w:t>2．我方在收到索赔通知及相关证明材料后，在</w:t>
      </w:r>
      <w:r>
        <w:rPr>
          <w:rFonts w:ascii="宋体" w:hAnsi="宋体"/>
          <w:kern w:val="0"/>
          <w:szCs w:val="21"/>
          <w:u w:val="single"/>
        </w:rPr>
        <w:t xml:space="preserve">   </w:t>
      </w:r>
      <w:r>
        <w:rPr>
          <w:rFonts w:ascii="宋体" w:hAnsi="宋体"/>
          <w:kern w:val="0"/>
          <w:szCs w:val="21"/>
        </w:rPr>
        <w:t>个工作日内进行审查，符合应承担保证责任情形的，我方应按照你方的要求代供应商向你方支付投标保证金。</w:t>
      </w:r>
    </w:p>
    <w:p>
      <w:pPr>
        <w:numPr>
          <w:ilvl w:val="0"/>
          <w:numId w:val="4"/>
        </w:numPr>
        <w:spacing w:line="360" w:lineRule="auto"/>
        <w:ind w:firstLine="480"/>
        <w:rPr>
          <w:rFonts w:ascii="宋体" w:hAnsi="宋体"/>
          <w:kern w:val="0"/>
          <w:szCs w:val="21"/>
        </w:rPr>
      </w:pPr>
      <w:r>
        <w:rPr>
          <w:rFonts w:ascii="宋体" w:hAnsi="宋体"/>
          <w:kern w:val="0"/>
          <w:szCs w:val="21"/>
        </w:rPr>
        <w:t xml:space="preserve">四、保证责任的终止 </w:t>
      </w:r>
    </w:p>
    <w:p>
      <w:pPr>
        <w:numPr>
          <w:ilvl w:val="0"/>
          <w:numId w:val="4"/>
        </w:numPr>
        <w:spacing w:line="360" w:lineRule="auto"/>
        <w:ind w:firstLine="480"/>
        <w:rPr>
          <w:rFonts w:ascii="宋体" w:hAnsi="宋体"/>
          <w:kern w:val="0"/>
          <w:szCs w:val="21"/>
        </w:rPr>
      </w:pPr>
      <w:r>
        <w:rPr>
          <w:rFonts w:ascii="宋体" w:hAnsi="宋体"/>
          <w:kern w:val="0"/>
          <w:szCs w:val="21"/>
        </w:rPr>
        <w:t xml:space="preserve">1．保证期间届满你方未向我方书面主张保证责任的，自保证期间届满次日起，我方保证责任自动终止。 </w:t>
      </w:r>
    </w:p>
    <w:p>
      <w:pPr>
        <w:numPr>
          <w:ilvl w:val="0"/>
          <w:numId w:val="4"/>
        </w:numPr>
        <w:spacing w:line="360" w:lineRule="auto"/>
        <w:ind w:firstLine="480"/>
        <w:rPr>
          <w:rFonts w:ascii="宋体" w:hAnsi="宋体"/>
          <w:kern w:val="0"/>
          <w:szCs w:val="21"/>
        </w:rPr>
      </w:pPr>
      <w:r>
        <w:rPr>
          <w:rFonts w:ascii="宋体" w:hAnsi="宋体"/>
          <w:kern w:val="0"/>
          <w:szCs w:val="21"/>
        </w:rPr>
        <w:t xml:space="preserve">2．我方按照本保函向你方履行了保证责任后，自我方向你方支付款项（支付款项从我方账户划出）之日起，保证责任终止。 </w:t>
      </w:r>
    </w:p>
    <w:p>
      <w:pPr>
        <w:numPr>
          <w:ilvl w:val="0"/>
          <w:numId w:val="4"/>
        </w:numPr>
        <w:spacing w:line="360" w:lineRule="auto"/>
        <w:ind w:firstLine="480"/>
        <w:rPr>
          <w:rFonts w:ascii="宋体" w:hAnsi="宋体"/>
          <w:kern w:val="0"/>
          <w:szCs w:val="21"/>
        </w:rPr>
      </w:pPr>
      <w:r>
        <w:rPr>
          <w:rFonts w:ascii="宋体" w:hAnsi="宋体"/>
          <w:kern w:val="0"/>
          <w:szCs w:val="21"/>
        </w:rPr>
        <w:t xml:space="preserve">3．按照法律法规的规定或出现我方保证责任终止的其它情形的，我方在本保函项下的保证责任亦终止。 </w:t>
      </w:r>
    </w:p>
    <w:p>
      <w:pPr>
        <w:numPr>
          <w:ilvl w:val="0"/>
          <w:numId w:val="4"/>
        </w:numPr>
        <w:spacing w:line="360" w:lineRule="auto"/>
        <w:ind w:firstLine="480"/>
        <w:rPr>
          <w:rFonts w:ascii="宋体" w:hAnsi="宋体"/>
          <w:kern w:val="0"/>
          <w:szCs w:val="21"/>
        </w:rPr>
      </w:pPr>
      <w:r>
        <w:rPr>
          <w:rFonts w:ascii="宋体" w:hAnsi="宋体"/>
          <w:kern w:val="0"/>
          <w:szCs w:val="21"/>
        </w:rPr>
        <w:t xml:space="preserve">五、免责条款 </w:t>
      </w:r>
    </w:p>
    <w:p>
      <w:pPr>
        <w:numPr>
          <w:ilvl w:val="0"/>
          <w:numId w:val="4"/>
        </w:numPr>
        <w:spacing w:line="360" w:lineRule="auto"/>
        <w:ind w:firstLine="480"/>
        <w:rPr>
          <w:rFonts w:ascii="宋体" w:hAnsi="宋体"/>
          <w:kern w:val="0"/>
          <w:szCs w:val="21"/>
        </w:rPr>
      </w:pPr>
      <w:r>
        <w:rPr>
          <w:rFonts w:ascii="宋体" w:hAnsi="宋体"/>
          <w:kern w:val="0"/>
          <w:szCs w:val="21"/>
        </w:rPr>
        <w:t xml:space="preserve">1．依照法律规定或你方与供应商的另行约定，全部或者部分免除供应商投标保证金义务时，我方亦免除相应的保证责任。 </w:t>
      </w:r>
    </w:p>
    <w:p>
      <w:pPr>
        <w:numPr>
          <w:ilvl w:val="0"/>
          <w:numId w:val="4"/>
        </w:numPr>
        <w:spacing w:line="360" w:lineRule="auto"/>
        <w:ind w:firstLine="480"/>
        <w:rPr>
          <w:rFonts w:ascii="宋体" w:hAnsi="宋体"/>
          <w:kern w:val="0"/>
          <w:szCs w:val="21"/>
        </w:rPr>
      </w:pPr>
      <w:r>
        <w:rPr>
          <w:rFonts w:ascii="宋体" w:hAnsi="宋体"/>
          <w:kern w:val="0"/>
          <w:szCs w:val="21"/>
        </w:rPr>
        <w:t xml:space="preserve">2．因你方原因致使供应商发生本保函第一条第（一）款约定情形的，我方不承担保证责任。 </w:t>
      </w:r>
    </w:p>
    <w:p>
      <w:pPr>
        <w:numPr>
          <w:ilvl w:val="0"/>
          <w:numId w:val="4"/>
        </w:numPr>
        <w:spacing w:line="360" w:lineRule="auto"/>
        <w:ind w:firstLine="480"/>
        <w:rPr>
          <w:rFonts w:ascii="宋体" w:hAnsi="宋体"/>
          <w:kern w:val="0"/>
          <w:szCs w:val="21"/>
        </w:rPr>
      </w:pPr>
      <w:r>
        <w:rPr>
          <w:rFonts w:ascii="宋体" w:hAnsi="宋体"/>
          <w:kern w:val="0"/>
          <w:szCs w:val="21"/>
        </w:rPr>
        <w:t xml:space="preserve">3．因不可抗力造成供应商发生本保函第一条约定情形的，我方不承担保证责任。 </w:t>
      </w:r>
    </w:p>
    <w:p>
      <w:pPr>
        <w:numPr>
          <w:ilvl w:val="0"/>
          <w:numId w:val="4"/>
        </w:numPr>
        <w:spacing w:line="360" w:lineRule="auto"/>
        <w:ind w:firstLine="480"/>
        <w:rPr>
          <w:rFonts w:ascii="宋体" w:hAnsi="宋体"/>
          <w:kern w:val="0"/>
          <w:szCs w:val="21"/>
        </w:rPr>
      </w:pPr>
      <w:r>
        <w:rPr>
          <w:rFonts w:ascii="宋体" w:hAnsi="宋体"/>
          <w:kern w:val="0"/>
          <w:szCs w:val="21"/>
        </w:rPr>
        <w:t>4．你方或其他有权机关对招标文件进行任何澄清或修改，加重我方保证责任的，我方对加重部分不承担保证责任，但该澄清或修改经我方事先书面同意的除外。</w:t>
      </w:r>
    </w:p>
    <w:p>
      <w:pPr>
        <w:numPr>
          <w:ilvl w:val="0"/>
          <w:numId w:val="4"/>
        </w:numPr>
        <w:spacing w:line="360" w:lineRule="auto"/>
        <w:ind w:firstLine="480"/>
        <w:rPr>
          <w:rFonts w:ascii="宋体" w:hAnsi="宋体"/>
          <w:kern w:val="0"/>
          <w:szCs w:val="21"/>
        </w:rPr>
      </w:pPr>
      <w:r>
        <w:rPr>
          <w:rFonts w:ascii="宋体" w:hAnsi="宋体"/>
          <w:kern w:val="0"/>
          <w:szCs w:val="21"/>
        </w:rPr>
        <w:t xml:space="preserve">六、争议的解决 </w:t>
      </w:r>
    </w:p>
    <w:p>
      <w:pPr>
        <w:numPr>
          <w:ilvl w:val="0"/>
          <w:numId w:val="4"/>
        </w:numPr>
        <w:spacing w:line="360" w:lineRule="auto"/>
        <w:ind w:firstLine="480"/>
        <w:rPr>
          <w:rFonts w:ascii="宋体" w:hAnsi="宋体"/>
          <w:kern w:val="0"/>
          <w:szCs w:val="21"/>
        </w:rPr>
      </w:pPr>
      <w:r>
        <w:rPr>
          <w:rFonts w:ascii="宋体" w:hAnsi="宋体"/>
          <w:kern w:val="0"/>
          <w:szCs w:val="21"/>
        </w:rPr>
        <w:t>因本保函发生的纠纷，由你我双方协商解决，协商不成的，通过诉讼程序解决，诉讼管辖地法院为</w:t>
      </w:r>
      <w:r>
        <w:rPr>
          <w:rFonts w:ascii="宋体" w:hAnsi="宋体"/>
          <w:kern w:val="0"/>
          <w:szCs w:val="21"/>
          <w:u w:val="single"/>
        </w:rPr>
        <w:t xml:space="preserve">          </w:t>
      </w:r>
      <w:r>
        <w:rPr>
          <w:rFonts w:ascii="宋体" w:hAnsi="宋体"/>
          <w:kern w:val="0"/>
          <w:szCs w:val="21"/>
        </w:rPr>
        <w:t xml:space="preserve">法院。 </w:t>
      </w:r>
    </w:p>
    <w:p>
      <w:pPr>
        <w:numPr>
          <w:ilvl w:val="0"/>
          <w:numId w:val="4"/>
        </w:numPr>
        <w:spacing w:line="360" w:lineRule="auto"/>
        <w:ind w:firstLine="480"/>
        <w:rPr>
          <w:rFonts w:ascii="宋体" w:hAnsi="宋体"/>
          <w:kern w:val="0"/>
          <w:szCs w:val="21"/>
        </w:rPr>
      </w:pPr>
      <w:r>
        <w:rPr>
          <w:rFonts w:ascii="宋体" w:hAnsi="宋体"/>
          <w:kern w:val="0"/>
          <w:szCs w:val="21"/>
        </w:rPr>
        <w:t xml:space="preserve">七、保函的生效 </w:t>
      </w:r>
    </w:p>
    <w:p>
      <w:pPr>
        <w:numPr>
          <w:ilvl w:val="0"/>
          <w:numId w:val="4"/>
        </w:numPr>
        <w:spacing w:line="360" w:lineRule="auto"/>
        <w:ind w:firstLine="480"/>
        <w:rPr>
          <w:rFonts w:ascii="宋体" w:hAnsi="宋体"/>
          <w:kern w:val="0"/>
          <w:szCs w:val="21"/>
        </w:rPr>
      </w:pPr>
      <w:r>
        <w:rPr>
          <w:rFonts w:ascii="宋体" w:hAnsi="宋体"/>
          <w:kern w:val="0"/>
          <w:szCs w:val="21"/>
        </w:rPr>
        <w:t xml:space="preserve">本保函自我方加盖公章之日起生效。 </w:t>
      </w:r>
    </w:p>
    <w:p>
      <w:pPr>
        <w:tabs>
          <w:tab w:val="left" w:pos="0"/>
        </w:tabs>
        <w:spacing w:line="360" w:lineRule="auto"/>
        <w:rPr>
          <w:rFonts w:ascii="宋体" w:hAnsi="宋体"/>
          <w:kern w:val="0"/>
          <w:szCs w:val="21"/>
        </w:rPr>
      </w:pPr>
    </w:p>
    <w:p>
      <w:pPr>
        <w:tabs>
          <w:tab w:val="left" w:pos="0"/>
        </w:tabs>
        <w:spacing w:line="360" w:lineRule="auto"/>
        <w:rPr>
          <w:rFonts w:ascii="宋体" w:hAnsi="宋体"/>
          <w:kern w:val="0"/>
          <w:szCs w:val="21"/>
        </w:rPr>
      </w:pPr>
    </w:p>
    <w:p>
      <w:pPr>
        <w:numPr>
          <w:ilvl w:val="0"/>
          <w:numId w:val="4"/>
        </w:numPr>
        <w:spacing w:line="360" w:lineRule="auto"/>
        <w:rPr>
          <w:rFonts w:ascii="宋体" w:hAnsi="宋体"/>
          <w:kern w:val="0"/>
          <w:szCs w:val="21"/>
        </w:rPr>
      </w:pPr>
      <w:r>
        <w:rPr>
          <w:rFonts w:hint="eastAsia" w:ascii="宋体" w:hAnsi="宋体"/>
          <w:kern w:val="0"/>
          <w:szCs w:val="21"/>
        </w:rPr>
        <w:t xml:space="preserve">                                             </w:t>
      </w:r>
      <w:r>
        <w:rPr>
          <w:rFonts w:ascii="宋体" w:hAnsi="宋体"/>
          <w:kern w:val="0"/>
          <w:szCs w:val="21"/>
        </w:rPr>
        <w:t>保证人：（公章）</w:t>
      </w:r>
    </w:p>
    <w:p>
      <w:pPr>
        <w:numPr>
          <w:ilvl w:val="0"/>
          <w:numId w:val="4"/>
        </w:numPr>
        <w:spacing w:line="360" w:lineRule="auto"/>
        <w:rPr>
          <w:rFonts w:ascii="宋体" w:hAnsi="宋体"/>
          <w:kern w:val="0"/>
          <w:szCs w:val="21"/>
        </w:rPr>
      </w:pPr>
      <w:r>
        <w:rPr>
          <w:rFonts w:ascii="宋体" w:hAnsi="宋体"/>
          <w:kern w:val="0"/>
          <w:szCs w:val="21"/>
        </w:rPr>
        <w:t xml:space="preserve">                         年   月   日 </w:t>
      </w:r>
    </w:p>
    <w:p>
      <w:pPr>
        <w:tabs>
          <w:tab w:val="left" w:pos="0"/>
        </w:tabs>
        <w:spacing w:line="360" w:lineRule="auto"/>
        <w:rPr>
          <w:rFonts w:ascii="宋体" w:hAnsi="宋体"/>
          <w:kern w:val="0"/>
          <w:szCs w:val="21"/>
        </w:rPr>
      </w:pPr>
    </w:p>
    <w:p>
      <w:pPr>
        <w:numPr>
          <w:ilvl w:val="0"/>
          <w:numId w:val="4"/>
        </w:numPr>
        <w:spacing w:line="360" w:lineRule="auto"/>
        <w:rPr>
          <w:rFonts w:ascii="宋体" w:hAnsi="宋体"/>
          <w:b/>
          <w:kern w:val="0"/>
          <w:szCs w:val="21"/>
        </w:rPr>
      </w:pPr>
      <w:r>
        <w:rPr>
          <w:rFonts w:ascii="宋体" w:hAnsi="宋体"/>
          <w:b/>
          <w:kern w:val="0"/>
          <w:szCs w:val="21"/>
        </w:rPr>
        <w:br w:type="page"/>
      </w:r>
      <w:r>
        <w:rPr>
          <w:rFonts w:ascii="宋体" w:hAnsi="宋体"/>
          <w:b/>
          <w:kern w:val="0"/>
          <w:szCs w:val="21"/>
        </w:rPr>
        <w:t>附件</w:t>
      </w:r>
      <w:r>
        <w:rPr>
          <w:rFonts w:hint="eastAsia" w:ascii="宋体" w:hAnsi="宋体"/>
          <w:b/>
          <w:kern w:val="0"/>
          <w:szCs w:val="21"/>
        </w:rPr>
        <w:t>2</w:t>
      </w:r>
      <w:r>
        <w:rPr>
          <w:rFonts w:ascii="宋体" w:hAnsi="宋体"/>
          <w:b/>
          <w:kern w:val="0"/>
          <w:szCs w:val="21"/>
        </w:rPr>
        <w:t xml:space="preserve">： </w:t>
      </w:r>
    </w:p>
    <w:p>
      <w:pPr>
        <w:numPr>
          <w:ilvl w:val="0"/>
          <w:numId w:val="4"/>
        </w:numPr>
        <w:spacing w:line="360" w:lineRule="auto"/>
        <w:jc w:val="center"/>
        <w:rPr>
          <w:rFonts w:ascii="宋体" w:hAnsi="宋体"/>
          <w:b/>
          <w:kern w:val="0"/>
          <w:szCs w:val="21"/>
        </w:rPr>
      </w:pPr>
      <w:r>
        <w:rPr>
          <w:rFonts w:ascii="宋体" w:hAnsi="宋体"/>
          <w:b/>
          <w:bCs/>
          <w:kern w:val="0"/>
          <w:szCs w:val="21"/>
        </w:rPr>
        <w:t>政府采购履约担保函（项目用）</w:t>
      </w:r>
    </w:p>
    <w:p>
      <w:pPr>
        <w:numPr>
          <w:ilvl w:val="0"/>
          <w:numId w:val="4"/>
        </w:numPr>
        <w:spacing w:line="360" w:lineRule="auto"/>
        <w:rPr>
          <w:rFonts w:ascii="宋体" w:hAnsi="宋体"/>
          <w:kern w:val="0"/>
          <w:szCs w:val="21"/>
        </w:rPr>
      </w:pPr>
      <w:r>
        <w:rPr>
          <w:rFonts w:ascii="宋体" w:hAnsi="宋体"/>
          <w:kern w:val="0"/>
          <w:szCs w:val="21"/>
        </w:rPr>
        <w:t xml:space="preserve">                               编号： </w:t>
      </w:r>
    </w:p>
    <w:p>
      <w:pPr>
        <w:numPr>
          <w:ilvl w:val="0"/>
          <w:numId w:val="4"/>
        </w:numPr>
        <w:spacing w:line="360" w:lineRule="auto"/>
        <w:rPr>
          <w:rFonts w:ascii="宋体" w:hAnsi="宋体"/>
          <w:kern w:val="0"/>
          <w:szCs w:val="21"/>
        </w:rPr>
      </w:pPr>
      <w:r>
        <w:rPr>
          <w:rFonts w:ascii="宋体" w:hAnsi="宋体"/>
          <w:kern w:val="0"/>
          <w:szCs w:val="21"/>
          <w:u w:val="single"/>
        </w:rPr>
        <w:t xml:space="preserve">                  </w:t>
      </w:r>
      <w:r>
        <w:rPr>
          <w:rFonts w:ascii="宋体" w:hAnsi="宋体"/>
          <w:kern w:val="0"/>
          <w:szCs w:val="21"/>
        </w:rPr>
        <w:t xml:space="preserve">（采购人）： </w:t>
      </w:r>
    </w:p>
    <w:p>
      <w:pPr>
        <w:numPr>
          <w:ilvl w:val="0"/>
          <w:numId w:val="4"/>
        </w:numPr>
        <w:spacing w:line="360" w:lineRule="auto"/>
        <w:ind w:firstLine="480"/>
        <w:rPr>
          <w:rFonts w:ascii="宋体" w:hAnsi="宋体"/>
          <w:kern w:val="0"/>
          <w:szCs w:val="21"/>
        </w:rPr>
      </w:pPr>
      <w:r>
        <w:rPr>
          <w:rFonts w:ascii="宋体" w:hAnsi="宋体"/>
          <w:kern w:val="0"/>
          <w:szCs w:val="21"/>
        </w:rPr>
        <w:t>鉴于你方与</w:t>
      </w:r>
      <w:r>
        <w:rPr>
          <w:rFonts w:ascii="宋体" w:hAnsi="宋体"/>
          <w:kern w:val="0"/>
          <w:szCs w:val="21"/>
          <w:u w:val="single"/>
        </w:rPr>
        <w:t xml:space="preserve">                    </w:t>
      </w:r>
      <w:r>
        <w:rPr>
          <w:rFonts w:ascii="宋体" w:hAnsi="宋体"/>
          <w:kern w:val="0"/>
          <w:szCs w:val="21"/>
        </w:rPr>
        <w:t>（以下简称供应商）于</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日签定编号为</w:t>
      </w:r>
      <w:r>
        <w:rPr>
          <w:rFonts w:ascii="宋体" w:hAnsi="宋体"/>
          <w:kern w:val="0"/>
          <w:szCs w:val="21"/>
          <w:u w:val="single"/>
        </w:rPr>
        <w:t xml:space="preserve">      </w:t>
      </w:r>
      <w:r>
        <w:rPr>
          <w:rFonts w:ascii="宋体" w:hAnsi="宋体"/>
          <w:kern w:val="0"/>
          <w:szCs w:val="21"/>
        </w:rPr>
        <w:t> 的《</w:t>
      </w:r>
      <w:r>
        <w:rPr>
          <w:rFonts w:ascii="宋体" w:hAnsi="宋体"/>
          <w:kern w:val="0"/>
          <w:szCs w:val="21"/>
          <w:u w:val="single"/>
        </w:rPr>
        <w:t xml:space="preserve">           </w:t>
      </w:r>
      <w:r>
        <w:rPr>
          <w:rFonts w:ascii="宋体" w:hAnsi="宋体"/>
          <w:kern w:val="0"/>
          <w:szCs w:val="21"/>
        </w:rPr>
        <w:t>政府采购合同》（以下简称主合同），且依据该合同的约定，供应商应在</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 xml:space="preserve">日前向你方交纳履约保证金，且可以履约担保函的形式交纳履约保证金。应供应商的申请，我方以保证的方式向你方提供如下履约保证金担保： </w:t>
      </w:r>
    </w:p>
    <w:p>
      <w:pPr>
        <w:numPr>
          <w:ilvl w:val="0"/>
          <w:numId w:val="4"/>
        </w:numPr>
        <w:spacing w:line="360" w:lineRule="auto"/>
        <w:ind w:firstLine="480"/>
        <w:rPr>
          <w:rFonts w:ascii="宋体" w:hAnsi="宋体"/>
          <w:kern w:val="0"/>
          <w:szCs w:val="21"/>
        </w:rPr>
      </w:pPr>
      <w:r>
        <w:rPr>
          <w:rFonts w:ascii="宋体" w:hAnsi="宋体"/>
          <w:kern w:val="0"/>
          <w:szCs w:val="21"/>
        </w:rPr>
        <w:t xml:space="preserve">一、保证责任的情形及保证金额 </w:t>
      </w:r>
    </w:p>
    <w:p>
      <w:pPr>
        <w:numPr>
          <w:ilvl w:val="0"/>
          <w:numId w:val="4"/>
        </w:numPr>
        <w:spacing w:line="360" w:lineRule="auto"/>
        <w:ind w:firstLine="480"/>
        <w:rPr>
          <w:rFonts w:ascii="宋体" w:hAnsi="宋体"/>
          <w:kern w:val="0"/>
          <w:szCs w:val="21"/>
        </w:rPr>
      </w:pPr>
      <w:r>
        <w:rPr>
          <w:rFonts w:ascii="宋体" w:hAnsi="宋体"/>
          <w:kern w:val="0"/>
          <w:szCs w:val="21"/>
        </w:rPr>
        <w:t xml:space="preserve">（一）在供应商出现下列情形之一时，我方承担保证责任： </w:t>
      </w:r>
    </w:p>
    <w:p>
      <w:pPr>
        <w:numPr>
          <w:ilvl w:val="0"/>
          <w:numId w:val="4"/>
        </w:numPr>
        <w:spacing w:line="360" w:lineRule="auto"/>
        <w:ind w:firstLine="480"/>
        <w:rPr>
          <w:rFonts w:ascii="宋体" w:hAnsi="宋体"/>
          <w:kern w:val="0"/>
          <w:szCs w:val="21"/>
        </w:rPr>
      </w:pPr>
      <w:r>
        <w:rPr>
          <w:rFonts w:ascii="宋体" w:hAnsi="宋体"/>
          <w:kern w:val="0"/>
          <w:szCs w:val="21"/>
        </w:rPr>
        <w:t xml:space="preserve">1．将中标项目转让给他人，或者在投标文件中未说明，且未经采购招标机构人同意，将中标项目分包给他人的； </w:t>
      </w:r>
    </w:p>
    <w:p>
      <w:pPr>
        <w:numPr>
          <w:ilvl w:val="0"/>
          <w:numId w:val="4"/>
        </w:numPr>
        <w:spacing w:line="360" w:lineRule="auto"/>
        <w:ind w:firstLine="480"/>
        <w:rPr>
          <w:rFonts w:ascii="宋体" w:hAnsi="宋体"/>
          <w:kern w:val="0"/>
          <w:szCs w:val="21"/>
        </w:rPr>
      </w:pPr>
      <w:r>
        <w:rPr>
          <w:rFonts w:ascii="宋体" w:hAnsi="宋体"/>
          <w:kern w:val="0"/>
          <w:szCs w:val="21"/>
        </w:rPr>
        <w:t xml:space="preserve">2．主合同约定的应当缴纳履约保证金的情形: </w:t>
      </w:r>
    </w:p>
    <w:p>
      <w:pPr>
        <w:numPr>
          <w:ilvl w:val="0"/>
          <w:numId w:val="4"/>
        </w:numPr>
        <w:spacing w:line="360" w:lineRule="auto"/>
        <w:ind w:firstLine="480"/>
        <w:rPr>
          <w:rFonts w:ascii="宋体" w:hAnsi="宋体"/>
          <w:kern w:val="0"/>
          <w:szCs w:val="21"/>
        </w:rPr>
      </w:pPr>
      <w:r>
        <w:rPr>
          <w:rFonts w:ascii="宋体" w:hAnsi="宋体"/>
          <w:kern w:val="0"/>
          <w:szCs w:val="21"/>
        </w:rPr>
        <w:t xml:space="preserve">（1）未按主合同约定的质量、数量和期限供应货物/提供服务/完成工程的； </w:t>
      </w:r>
    </w:p>
    <w:p>
      <w:pPr>
        <w:numPr>
          <w:ilvl w:val="0"/>
          <w:numId w:val="4"/>
        </w:numPr>
        <w:spacing w:line="360" w:lineRule="auto"/>
        <w:ind w:firstLine="480"/>
        <w:rPr>
          <w:rFonts w:ascii="宋体" w:hAnsi="宋体"/>
          <w:kern w:val="0"/>
          <w:szCs w:val="21"/>
        </w:rPr>
      </w:pPr>
      <w:r>
        <w:rPr>
          <w:rFonts w:ascii="宋体" w:hAnsi="宋体"/>
          <w:kern w:val="0"/>
          <w:szCs w:val="21"/>
        </w:rPr>
        <w:t>（2）</w:t>
      </w:r>
      <w:r>
        <w:rPr>
          <w:rFonts w:ascii="宋体" w:hAnsi="宋体"/>
          <w:kern w:val="0"/>
          <w:szCs w:val="21"/>
          <w:u w:val="single"/>
        </w:rPr>
        <w:t xml:space="preserve">                                  </w:t>
      </w:r>
      <w:r>
        <w:rPr>
          <w:rFonts w:ascii="宋体" w:hAnsi="宋体"/>
          <w:kern w:val="0"/>
          <w:szCs w:val="21"/>
        </w:rPr>
        <w:t xml:space="preserve">。 </w:t>
      </w:r>
    </w:p>
    <w:p>
      <w:pPr>
        <w:numPr>
          <w:ilvl w:val="0"/>
          <w:numId w:val="4"/>
        </w:numPr>
        <w:spacing w:line="360" w:lineRule="auto"/>
        <w:ind w:firstLine="480"/>
        <w:rPr>
          <w:rFonts w:ascii="宋体" w:hAnsi="宋体"/>
          <w:kern w:val="0"/>
          <w:szCs w:val="21"/>
        </w:rPr>
      </w:pPr>
      <w:r>
        <w:rPr>
          <w:rFonts w:ascii="宋体" w:hAnsi="宋体"/>
          <w:kern w:val="0"/>
          <w:szCs w:val="21"/>
        </w:rPr>
        <w:t>（二）我方的保证范围是主合同约定的合同价款总额的</w:t>
      </w:r>
      <w:r>
        <w:rPr>
          <w:rFonts w:ascii="宋体" w:hAnsi="宋体"/>
          <w:kern w:val="0"/>
          <w:szCs w:val="21"/>
          <w:u w:val="single"/>
        </w:rPr>
        <w:t>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%数额为</w:t>
      </w:r>
      <w:r>
        <w:rPr>
          <w:rFonts w:ascii="宋体" w:hAnsi="宋体"/>
          <w:kern w:val="0"/>
          <w:szCs w:val="21"/>
          <w:u w:val="single"/>
        </w:rPr>
        <w:t>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元（大写</w:t>
      </w:r>
      <w:r>
        <w:rPr>
          <w:rFonts w:ascii="宋体" w:hAnsi="宋体"/>
          <w:kern w:val="0"/>
          <w:szCs w:val="21"/>
          <w:u w:val="single"/>
        </w:rPr>
        <w:t xml:space="preserve">         </w:t>
      </w:r>
      <w:r>
        <w:rPr>
          <w:rFonts w:ascii="宋体" w:hAnsi="宋体"/>
          <w:kern w:val="0"/>
          <w:szCs w:val="21"/>
        </w:rPr>
        <w:t>），币种为</w:t>
      </w:r>
      <w:r>
        <w:rPr>
          <w:rFonts w:ascii="宋体" w:hAnsi="宋体"/>
          <w:kern w:val="0"/>
          <w:szCs w:val="21"/>
          <w:u w:val="single"/>
        </w:rPr>
        <w:t xml:space="preserve">      </w:t>
      </w:r>
      <w:r>
        <w:rPr>
          <w:rFonts w:ascii="宋体" w:hAnsi="宋体"/>
          <w:kern w:val="0"/>
          <w:szCs w:val="21"/>
        </w:rPr>
        <w:t xml:space="preserve">。（即主合同履约保证金金额） </w:t>
      </w:r>
    </w:p>
    <w:p>
      <w:pPr>
        <w:numPr>
          <w:ilvl w:val="0"/>
          <w:numId w:val="4"/>
        </w:numPr>
        <w:spacing w:line="360" w:lineRule="auto"/>
        <w:ind w:firstLine="480"/>
        <w:rPr>
          <w:rFonts w:ascii="宋体" w:hAnsi="宋体"/>
          <w:kern w:val="0"/>
          <w:szCs w:val="21"/>
        </w:rPr>
      </w:pPr>
      <w:r>
        <w:rPr>
          <w:rFonts w:ascii="宋体" w:hAnsi="宋体"/>
          <w:kern w:val="0"/>
          <w:szCs w:val="21"/>
        </w:rPr>
        <w:t xml:space="preserve">二、保证的方式及保证期间 </w:t>
      </w:r>
    </w:p>
    <w:p>
      <w:pPr>
        <w:numPr>
          <w:ilvl w:val="0"/>
          <w:numId w:val="4"/>
        </w:numPr>
        <w:spacing w:line="360" w:lineRule="auto"/>
        <w:ind w:firstLine="480"/>
        <w:rPr>
          <w:rFonts w:ascii="宋体" w:hAnsi="宋体"/>
          <w:kern w:val="0"/>
          <w:szCs w:val="21"/>
        </w:rPr>
      </w:pPr>
      <w:r>
        <w:rPr>
          <w:rFonts w:ascii="宋体" w:hAnsi="宋体"/>
          <w:kern w:val="0"/>
          <w:szCs w:val="21"/>
        </w:rPr>
        <w:t xml:space="preserve">我方保证的方式为：连带责任保证。 </w:t>
      </w:r>
    </w:p>
    <w:p>
      <w:pPr>
        <w:numPr>
          <w:ilvl w:val="0"/>
          <w:numId w:val="4"/>
        </w:numPr>
        <w:spacing w:line="360" w:lineRule="auto"/>
        <w:ind w:firstLine="480"/>
        <w:rPr>
          <w:rFonts w:ascii="宋体" w:hAnsi="宋体"/>
          <w:kern w:val="0"/>
          <w:szCs w:val="21"/>
        </w:rPr>
      </w:pPr>
      <w:r>
        <w:rPr>
          <w:rFonts w:ascii="宋体" w:hAnsi="宋体"/>
          <w:kern w:val="0"/>
          <w:szCs w:val="21"/>
        </w:rPr>
        <w:t>我方保证的期间为：自本合同生效之日起至供应商按照主合同约定的供货/完工期限届满后</w:t>
      </w:r>
      <w:r>
        <w:rPr>
          <w:rFonts w:ascii="宋体" w:hAnsi="宋体"/>
          <w:kern w:val="0"/>
          <w:szCs w:val="21"/>
          <w:u w:val="single"/>
        </w:rPr>
        <w:t xml:space="preserve">     </w:t>
      </w:r>
      <w:r>
        <w:rPr>
          <w:rFonts w:ascii="宋体" w:hAnsi="宋体"/>
          <w:kern w:val="0"/>
          <w:szCs w:val="21"/>
        </w:rPr>
        <w:t xml:space="preserve">日内。 </w:t>
      </w:r>
    </w:p>
    <w:p>
      <w:pPr>
        <w:numPr>
          <w:ilvl w:val="0"/>
          <w:numId w:val="4"/>
        </w:numPr>
        <w:spacing w:line="360" w:lineRule="auto"/>
        <w:ind w:firstLine="480"/>
        <w:rPr>
          <w:rFonts w:ascii="宋体" w:hAnsi="宋体"/>
          <w:kern w:val="0"/>
          <w:szCs w:val="21"/>
        </w:rPr>
      </w:pPr>
      <w:r>
        <w:rPr>
          <w:rFonts w:ascii="宋体" w:hAnsi="宋体"/>
          <w:kern w:val="0"/>
          <w:szCs w:val="21"/>
        </w:rPr>
        <w:t xml:space="preserve">如果供应商未按主合同约定向贵方供应货物/提供服务/完成工程的，由我方在保证金额内向你方支付上述款项。 </w:t>
      </w:r>
    </w:p>
    <w:p>
      <w:pPr>
        <w:numPr>
          <w:ilvl w:val="0"/>
          <w:numId w:val="4"/>
        </w:numPr>
        <w:spacing w:line="360" w:lineRule="auto"/>
        <w:ind w:firstLine="480"/>
        <w:rPr>
          <w:rFonts w:ascii="宋体" w:hAnsi="宋体"/>
          <w:kern w:val="0"/>
          <w:szCs w:val="21"/>
        </w:rPr>
      </w:pPr>
      <w:r>
        <w:rPr>
          <w:rFonts w:ascii="宋体" w:hAnsi="宋体"/>
          <w:kern w:val="0"/>
          <w:szCs w:val="21"/>
        </w:rPr>
        <w:t xml:space="preserve">三、承担保证责任的程序 </w:t>
      </w:r>
    </w:p>
    <w:p>
      <w:pPr>
        <w:numPr>
          <w:ilvl w:val="0"/>
          <w:numId w:val="4"/>
        </w:numPr>
        <w:spacing w:line="360" w:lineRule="auto"/>
        <w:ind w:firstLine="480"/>
        <w:rPr>
          <w:rFonts w:ascii="宋体" w:hAnsi="宋体"/>
          <w:kern w:val="0"/>
          <w:szCs w:val="21"/>
        </w:rPr>
      </w:pPr>
      <w:r>
        <w:rPr>
          <w:rFonts w:ascii="宋体" w:hAnsi="宋体"/>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numPr>
          <w:ilvl w:val="0"/>
          <w:numId w:val="4"/>
        </w:numPr>
        <w:spacing w:line="360" w:lineRule="auto"/>
        <w:ind w:firstLine="480"/>
        <w:rPr>
          <w:rFonts w:ascii="宋体" w:hAnsi="宋体"/>
          <w:kern w:val="0"/>
          <w:szCs w:val="21"/>
        </w:rPr>
      </w:pPr>
      <w:r>
        <w:rPr>
          <w:rFonts w:ascii="宋体" w:hAnsi="宋体"/>
          <w:kern w:val="0"/>
          <w:szCs w:val="21"/>
        </w:rPr>
        <w:t>如果你方与供应商因货物质量问题产生争议，你方还需同时提供</w:t>
      </w:r>
      <w:r>
        <w:rPr>
          <w:rFonts w:ascii="宋体" w:hAnsi="宋体"/>
          <w:kern w:val="0"/>
          <w:szCs w:val="21"/>
          <w:u w:val="single"/>
        </w:rPr>
        <w:t xml:space="preserve">        </w:t>
      </w:r>
      <w:r>
        <w:rPr>
          <w:rFonts w:ascii="宋体" w:hAnsi="宋体"/>
          <w:kern w:val="0"/>
          <w:szCs w:val="21"/>
        </w:rPr>
        <w:t xml:space="preserve">部门出具的质量检测报告，或经诉讼（仲裁）程序裁决后的裁决书、调解书，本保证人即按照检测结果或裁决书、调解书决定是否承担保证责任。 </w:t>
      </w:r>
    </w:p>
    <w:p>
      <w:pPr>
        <w:numPr>
          <w:ilvl w:val="0"/>
          <w:numId w:val="4"/>
        </w:numPr>
        <w:spacing w:line="360" w:lineRule="auto"/>
        <w:ind w:firstLine="480"/>
        <w:rPr>
          <w:rFonts w:ascii="宋体" w:hAnsi="宋体"/>
          <w:kern w:val="0"/>
          <w:szCs w:val="21"/>
        </w:rPr>
      </w:pPr>
      <w:r>
        <w:rPr>
          <w:rFonts w:ascii="宋体" w:hAnsi="宋体"/>
          <w:kern w:val="0"/>
          <w:szCs w:val="21"/>
        </w:rPr>
        <w:t>2． 我方收到你方的书面索赔通知及相应证明材料，在</w:t>
      </w:r>
      <w:r>
        <w:rPr>
          <w:rFonts w:ascii="宋体" w:hAnsi="宋体"/>
          <w:kern w:val="0"/>
          <w:szCs w:val="21"/>
          <w:u w:val="single"/>
        </w:rPr>
        <w:t xml:space="preserve">     </w:t>
      </w:r>
      <w:r>
        <w:rPr>
          <w:rFonts w:ascii="宋体" w:hAnsi="宋体"/>
          <w:kern w:val="0"/>
          <w:szCs w:val="21"/>
        </w:rPr>
        <w:t xml:space="preserve">工作日内进行核定后按照本保函的承诺承担保证责任。 </w:t>
      </w:r>
    </w:p>
    <w:p>
      <w:pPr>
        <w:numPr>
          <w:ilvl w:val="0"/>
          <w:numId w:val="4"/>
        </w:numPr>
        <w:spacing w:line="360" w:lineRule="auto"/>
        <w:ind w:firstLine="480"/>
        <w:rPr>
          <w:rFonts w:ascii="宋体" w:hAnsi="宋体"/>
          <w:kern w:val="0"/>
          <w:szCs w:val="21"/>
        </w:rPr>
      </w:pPr>
      <w:r>
        <w:rPr>
          <w:rFonts w:ascii="宋体" w:hAnsi="宋体"/>
          <w:kern w:val="0"/>
          <w:szCs w:val="21"/>
        </w:rPr>
        <w:t xml:space="preserve">四、保证责任的终止 </w:t>
      </w:r>
    </w:p>
    <w:p>
      <w:pPr>
        <w:numPr>
          <w:ilvl w:val="0"/>
          <w:numId w:val="4"/>
        </w:numPr>
        <w:spacing w:line="360" w:lineRule="auto"/>
        <w:ind w:firstLine="480"/>
        <w:rPr>
          <w:rFonts w:ascii="宋体" w:hAnsi="宋体"/>
          <w:kern w:val="0"/>
          <w:szCs w:val="21"/>
        </w:rPr>
      </w:pPr>
      <w:r>
        <w:rPr>
          <w:rFonts w:ascii="宋体" w:hAnsi="宋体"/>
          <w:kern w:val="0"/>
          <w:szCs w:val="21"/>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pPr>
        <w:numPr>
          <w:ilvl w:val="0"/>
          <w:numId w:val="4"/>
        </w:numPr>
        <w:spacing w:line="360" w:lineRule="auto"/>
        <w:ind w:firstLine="480"/>
        <w:rPr>
          <w:rFonts w:ascii="宋体" w:hAnsi="宋体"/>
          <w:kern w:val="0"/>
          <w:szCs w:val="21"/>
        </w:rPr>
      </w:pPr>
      <w:r>
        <w:rPr>
          <w:rFonts w:ascii="宋体" w:hAnsi="宋体"/>
          <w:kern w:val="0"/>
          <w:szCs w:val="21"/>
        </w:rPr>
        <w:t xml:space="preserve">2．我方按照本保函向你方履行了保证责任后，自我方向你方支付款项（支付款项从我方账户划出）之日起，保证责任即终止。 </w:t>
      </w:r>
    </w:p>
    <w:p>
      <w:pPr>
        <w:numPr>
          <w:ilvl w:val="0"/>
          <w:numId w:val="4"/>
        </w:numPr>
        <w:spacing w:line="360" w:lineRule="auto"/>
        <w:ind w:firstLine="480"/>
        <w:rPr>
          <w:rFonts w:ascii="宋体" w:hAnsi="宋体"/>
          <w:kern w:val="0"/>
          <w:szCs w:val="21"/>
        </w:rPr>
      </w:pPr>
      <w:r>
        <w:rPr>
          <w:rFonts w:ascii="宋体" w:hAnsi="宋体"/>
          <w:kern w:val="0"/>
          <w:szCs w:val="21"/>
        </w:rPr>
        <w:t xml:space="preserve">3．按照法律法规的规定或出现应终止我方保证责任的其它情形的，我方在本保函项下的保证责任亦终止。 </w:t>
      </w:r>
    </w:p>
    <w:p>
      <w:pPr>
        <w:numPr>
          <w:ilvl w:val="0"/>
          <w:numId w:val="4"/>
        </w:numPr>
        <w:spacing w:line="360" w:lineRule="auto"/>
        <w:ind w:firstLine="480"/>
        <w:rPr>
          <w:rFonts w:ascii="宋体" w:hAnsi="宋体"/>
          <w:kern w:val="0"/>
          <w:szCs w:val="21"/>
        </w:rPr>
      </w:pPr>
      <w:r>
        <w:rPr>
          <w:rFonts w:ascii="宋体" w:hAnsi="宋体"/>
          <w:kern w:val="0"/>
          <w:szCs w:val="21"/>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pPr>
        <w:numPr>
          <w:ilvl w:val="0"/>
          <w:numId w:val="4"/>
        </w:numPr>
        <w:spacing w:line="360" w:lineRule="auto"/>
        <w:ind w:firstLine="480"/>
        <w:rPr>
          <w:rFonts w:ascii="宋体" w:hAnsi="宋体"/>
          <w:kern w:val="0"/>
          <w:szCs w:val="21"/>
        </w:rPr>
      </w:pPr>
      <w:r>
        <w:rPr>
          <w:rFonts w:ascii="宋体" w:hAnsi="宋体"/>
          <w:kern w:val="0"/>
          <w:szCs w:val="21"/>
        </w:rPr>
        <w:t xml:space="preserve">五、免责条款 </w:t>
      </w:r>
    </w:p>
    <w:p>
      <w:pPr>
        <w:numPr>
          <w:ilvl w:val="0"/>
          <w:numId w:val="4"/>
        </w:numPr>
        <w:spacing w:line="360" w:lineRule="auto"/>
        <w:ind w:firstLine="480"/>
        <w:rPr>
          <w:rFonts w:ascii="宋体" w:hAnsi="宋体"/>
          <w:kern w:val="0"/>
          <w:szCs w:val="21"/>
        </w:rPr>
      </w:pPr>
      <w:r>
        <w:rPr>
          <w:rFonts w:ascii="宋体" w:hAnsi="宋体"/>
          <w:kern w:val="0"/>
          <w:szCs w:val="21"/>
        </w:rPr>
        <w:t>1．因你方违反主合同约定致使供应商不能履行义务的，我方不承担保证责任。</w:t>
      </w:r>
    </w:p>
    <w:p>
      <w:pPr>
        <w:numPr>
          <w:ilvl w:val="0"/>
          <w:numId w:val="4"/>
        </w:numPr>
        <w:spacing w:line="360" w:lineRule="auto"/>
        <w:ind w:firstLine="480"/>
        <w:rPr>
          <w:rFonts w:ascii="宋体" w:hAnsi="宋体"/>
          <w:kern w:val="0"/>
          <w:szCs w:val="21"/>
        </w:rPr>
      </w:pPr>
      <w:r>
        <w:rPr>
          <w:rFonts w:ascii="宋体" w:hAnsi="宋体"/>
          <w:kern w:val="0"/>
          <w:szCs w:val="21"/>
        </w:rPr>
        <w:t xml:space="preserve">2．依照法律法规的规定或你方与供应商的另行约定，全部或者部分免除供应商应缴纳的保证金义务的，我方亦免除相应的保证责任。 </w:t>
      </w:r>
    </w:p>
    <w:p>
      <w:pPr>
        <w:numPr>
          <w:ilvl w:val="0"/>
          <w:numId w:val="4"/>
        </w:numPr>
        <w:spacing w:line="360" w:lineRule="auto"/>
        <w:ind w:firstLine="480"/>
        <w:rPr>
          <w:rFonts w:ascii="宋体" w:hAnsi="宋体"/>
          <w:kern w:val="0"/>
          <w:szCs w:val="21"/>
        </w:rPr>
      </w:pPr>
      <w:r>
        <w:rPr>
          <w:rFonts w:ascii="宋体" w:hAnsi="宋体"/>
          <w:kern w:val="0"/>
          <w:szCs w:val="21"/>
        </w:rPr>
        <w:t xml:space="preserve">3．因不可抗力造成供应商不能履行供货义务的，我方不承担保证责任。 </w:t>
      </w:r>
    </w:p>
    <w:p>
      <w:pPr>
        <w:numPr>
          <w:ilvl w:val="0"/>
          <w:numId w:val="4"/>
        </w:numPr>
        <w:spacing w:line="360" w:lineRule="auto"/>
        <w:ind w:firstLine="480"/>
        <w:rPr>
          <w:rFonts w:ascii="宋体" w:hAnsi="宋体"/>
          <w:kern w:val="0"/>
          <w:szCs w:val="21"/>
        </w:rPr>
      </w:pPr>
      <w:r>
        <w:rPr>
          <w:rFonts w:ascii="宋体" w:hAnsi="宋体"/>
          <w:kern w:val="0"/>
          <w:szCs w:val="21"/>
        </w:rPr>
        <w:t xml:space="preserve">六、争议的解决 </w:t>
      </w:r>
    </w:p>
    <w:p>
      <w:pPr>
        <w:numPr>
          <w:ilvl w:val="0"/>
          <w:numId w:val="4"/>
        </w:numPr>
        <w:spacing w:line="360" w:lineRule="auto"/>
        <w:ind w:firstLine="480"/>
        <w:rPr>
          <w:rFonts w:ascii="宋体" w:hAnsi="宋体"/>
          <w:kern w:val="0"/>
          <w:szCs w:val="21"/>
        </w:rPr>
      </w:pPr>
      <w:r>
        <w:rPr>
          <w:rFonts w:ascii="宋体" w:hAnsi="宋体"/>
          <w:kern w:val="0"/>
          <w:szCs w:val="21"/>
        </w:rPr>
        <w:t>因本保函发生的纠纷，由你我双方协商解决，协商不成的，通过诉讼程序解决，诉讼管辖地法院为</w:t>
      </w:r>
      <w:r>
        <w:rPr>
          <w:rFonts w:ascii="宋体" w:hAnsi="宋体"/>
          <w:kern w:val="0"/>
          <w:szCs w:val="21"/>
          <w:u w:val="single"/>
        </w:rPr>
        <w:t xml:space="preserve">        </w:t>
      </w:r>
      <w:r>
        <w:rPr>
          <w:rFonts w:ascii="宋体" w:hAnsi="宋体"/>
          <w:kern w:val="0"/>
          <w:szCs w:val="21"/>
        </w:rPr>
        <w:t xml:space="preserve">法院。 </w:t>
      </w:r>
    </w:p>
    <w:p>
      <w:pPr>
        <w:numPr>
          <w:ilvl w:val="0"/>
          <w:numId w:val="4"/>
        </w:numPr>
        <w:spacing w:line="360" w:lineRule="auto"/>
        <w:ind w:firstLine="480"/>
        <w:rPr>
          <w:rFonts w:ascii="宋体" w:hAnsi="宋体"/>
          <w:kern w:val="0"/>
          <w:szCs w:val="21"/>
        </w:rPr>
      </w:pPr>
      <w:r>
        <w:rPr>
          <w:rFonts w:ascii="宋体" w:hAnsi="宋体"/>
          <w:kern w:val="0"/>
          <w:szCs w:val="21"/>
        </w:rPr>
        <w:t xml:space="preserve">七、保函的生效 </w:t>
      </w:r>
    </w:p>
    <w:p>
      <w:pPr>
        <w:numPr>
          <w:ilvl w:val="0"/>
          <w:numId w:val="4"/>
        </w:numPr>
        <w:spacing w:line="360" w:lineRule="auto"/>
        <w:ind w:firstLine="480"/>
        <w:rPr>
          <w:rFonts w:ascii="宋体" w:hAnsi="宋体"/>
          <w:kern w:val="0"/>
          <w:szCs w:val="21"/>
        </w:rPr>
      </w:pPr>
      <w:r>
        <w:rPr>
          <w:rFonts w:ascii="宋体" w:hAnsi="宋体"/>
          <w:kern w:val="0"/>
          <w:szCs w:val="21"/>
        </w:rPr>
        <w:t>本保函自我方加盖公章之日起生效。</w:t>
      </w:r>
    </w:p>
    <w:p>
      <w:pPr>
        <w:numPr>
          <w:ilvl w:val="0"/>
          <w:numId w:val="4"/>
        </w:numPr>
        <w:spacing w:line="360" w:lineRule="auto"/>
        <w:ind w:firstLine="480"/>
        <w:rPr>
          <w:rFonts w:ascii="宋体" w:hAnsi="宋体"/>
          <w:kern w:val="0"/>
          <w:szCs w:val="21"/>
        </w:rPr>
      </w:pPr>
    </w:p>
    <w:p>
      <w:pPr>
        <w:numPr>
          <w:ilvl w:val="0"/>
          <w:numId w:val="4"/>
        </w:numPr>
        <w:spacing w:line="360" w:lineRule="auto"/>
        <w:ind w:firstLine="480"/>
        <w:rPr>
          <w:rFonts w:ascii="宋体" w:hAnsi="宋体"/>
          <w:kern w:val="0"/>
          <w:szCs w:val="21"/>
        </w:rPr>
      </w:pPr>
      <w:r>
        <w:rPr>
          <w:rFonts w:ascii="宋体" w:hAnsi="宋体"/>
          <w:kern w:val="0"/>
          <w:szCs w:val="21"/>
        </w:rPr>
        <w:t xml:space="preserve">保证人：（公章） </w:t>
      </w:r>
      <w:r>
        <w:rPr>
          <w:rFonts w:hint="eastAsia" w:ascii="宋体" w:hAnsi="宋体"/>
          <w:kern w:val="0"/>
          <w:szCs w:val="21"/>
        </w:rPr>
        <w:t xml:space="preserve">                          </w:t>
      </w:r>
      <w:r>
        <w:rPr>
          <w:rFonts w:ascii="宋体" w:hAnsi="宋体"/>
          <w:kern w:val="0"/>
          <w:szCs w:val="21"/>
        </w:rPr>
        <w:t>年  月 日</w:t>
      </w:r>
    </w:p>
    <w:p>
      <w:pPr>
        <w:spacing w:after="156" w:afterLines="50"/>
        <w:jc w:val="left"/>
        <w:rPr>
          <w:rFonts w:hint="eastAsia" w:ascii="宋体" w:hAnsi="宋体"/>
          <w:b/>
          <w:kern w:val="0"/>
          <w:sz w:val="24"/>
          <w:szCs w:val="24"/>
        </w:rPr>
      </w:pPr>
      <w:r>
        <w:rPr>
          <w:rFonts w:ascii="宋体" w:hAnsi="宋体"/>
          <w:kern w:val="0"/>
          <w:szCs w:val="21"/>
        </w:rPr>
        <w:br w:type="page"/>
      </w:r>
      <w:r>
        <w:rPr>
          <w:rFonts w:hint="eastAsia" w:ascii="宋体" w:hAnsi="宋体"/>
          <w:b/>
          <w:kern w:val="0"/>
          <w:sz w:val="24"/>
          <w:szCs w:val="24"/>
        </w:rPr>
        <w:t>附件：</w:t>
      </w:r>
    </w:p>
    <w:p>
      <w:pPr>
        <w:spacing w:line="360" w:lineRule="auto"/>
        <w:jc w:val="center"/>
        <w:rPr>
          <w:rFonts w:ascii="宋体" w:hAnsi="宋体"/>
          <w:b/>
          <w:sz w:val="30"/>
          <w:szCs w:val="30"/>
        </w:rPr>
      </w:pPr>
      <w:r>
        <w:rPr>
          <w:rFonts w:hint="eastAsia" w:ascii="宋体" w:hAnsi="宋体"/>
          <w:b/>
          <w:sz w:val="30"/>
          <w:szCs w:val="30"/>
        </w:rPr>
        <w:t>质疑函范本</w:t>
      </w:r>
    </w:p>
    <w:p>
      <w:pPr>
        <w:spacing w:line="360" w:lineRule="auto"/>
        <w:rPr>
          <w:rFonts w:ascii="宋体" w:hAnsi="宋体"/>
          <w:szCs w:val="21"/>
        </w:rPr>
      </w:pPr>
      <w:r>
        <w:rPr>
          <w:rFonts w:hint="eastAsia" w:ascii="宋体" w:hAnsi="宋体"/>
          <w:szCs w:val="21"/>
        </w:rPr>
        <w:t>一、质疑供应商基本信息</w:t>
      </w:r>
    </w:p>
    <w:p>
      <w:pPr>
        <w:spacing w:line="360" w:lineRule="auto"/>
        <w:rPr>
          <w:rFonts w:ascii="宋体" w:hAnsi="宋体"/>
          <w:szCs w:val="21"/>
        </w:rPr>
      </w:pPr>
      <w:r>
        <w:rPr>
          <w:rFonts w:hint="eastAsia" w:ascii="宋体" w:hAnsi="宋体"/>
          <w:szCs w:val="21"/>
        </w:rPr>
        <w:t>质疑供应商：</w:t>
      </w:r>
    </w:p>
    <w:p>
      <w:pPr>
        <w:spacing w:line="360" w:lineRule="auto"/>
        <w:rPr>
          <w:rFonts w:ascii="宋体" w:hAnsi="宋体"/>
          <w:szCs w:val="21"/>
        </w:rPr>
      </w:pPr>
      <w:r>
        <w:rPr>
          <w:rFonts w:hint="eastAsia" w:ascii="宋体" w:hAnsi="宋体"/>
          <w:szCs w:val="21"/>
        </w:rPr>
        <w:t>地址：                         邮编：</w:t>
      </w:r>
    </w:p>
    <w:p>
      <w:pPr>
        <w:spacing w:line="360" w:lineRule="auto"/>
        <w:rPr>
          <w:rFonts w:ascii="宋体" w:hAnsi="宋体"/>
          <w:szCs w:val="21"/>
        </w:rPr>
      </w:pPr>
      <w:r>
        <w:rPr>
          <w:rFonts w:hint="eastAsia" w:ascii="宋体" w:hAnsi="宋体"/>
          <w:szCs w:val="21"/>
        </w:rPr>
        <w:t>联系人：                       联系电话：</w:t>
      </w:r>
    </w:p>
    <w:p>
      <w:pPr>
        <w:spacing w:line="360" w:lineRule="auto"/>
        <w:rPr>
          <w:rFonts w:ascii="宋体" w:hAnsi="宋体"/>
          <w:szCs w:val="21"/>
        </w:rPr>
      </w:pPr>
      <w:r>
        <w:rPr>
          <w:rFonts w:hint="eastAsia" w:ascii="宋体" w:hAnsi="宋体"/>
          <w:szCs w:val="21"/>
        </w:rPr>
        <w:t>授权代表：                     联系电话：</w:t>
      </w:r>
    </w:p>
    <w:p>
      <w:pPr>
        <w:spacing w:line="360" w:lineRule="auto"/>
        <w:rPr>
          <w:rFonts w:hint="eastAsia" w:ascii="宋体" w:hAnsi="宋体"/>
          <w:szCs w:val="21"/>
        </w:rPr>
      </w:pPr>
      <w:r>
        <w:rPr>
          <w:rFonts w:hint="eastAsia" w:ascii="宋体" w:hAnsi="宋体"/>
          <w:szCs w:val="21"/>
        </w:rPr>
        <w:t>地址：                         邮编：</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二、质疑项目基本情况</w:t>
      </w:r>
    </w:p>
    <w:p>
      <w:pPr>
        <w:spacing w:line="360" w:lineRule="auto"/>
        <w:rPr>
          <w:rFonts w:ascii="宋体" w:hAnsi="宋体"/>
          <w:szCs w:val="21"/>
        </w:rPr>
      </w:pPr>
      <w:r>
        <w:rPr>
          <w:rFonts w:hint="eastAsia" w:ascii="宋体" w:hAnsi="宋体"/>
          <w:szCs w:val="21"/>
        </w:rPr>
        <w:t>质疑项目的名称：</w:t>
      </w:r>
    </w:p>
    <w:p>
      <w:pPr>
        <w:spacing w:line="360" w:lineRule="auto"/>
        <w:rPr>
          <w:rFonts w:ascii="宋体" w:hAnsi="宋体"/>
          <w:szCs w:val="21"/>
        </w:rPr>
      </w:pPr>
      <w:r>
        <w:rPr>
          <w:rFonts w:hint="eastAsia" w:ascii="宋体" w:hAnsi="宋体"/>
          <w:szCs w:val="21"/>
        </w:rPr>
        <w:t>质疑项目的编号：               包号：</w:t>
      </w:r>
    </w:p>
    <w:p>
      <w:pPr>
        <w:spacing w:line="360" w:lineRule="auto"/>
        <w:rPr>
          <w:rFonts w:ascii="宋体" w:hAnsi="宋体"/>
          <w:szCs w:val="21"/>
        </w:rPr>
      </w:pPr>
      <w:r>
        <w:rPr>
          <w:rFonts w:hint="eastAsia" w:ascii="宋体" w:hAnsi="宋体"/>
          <w:szCs w:val="21"/>
        </w:rPr>
        <w:t>采购人名称：</w:t>
      </w:r>
    </w:p>
    <w:p>
      <w:pPr>
        <w:spacing w:line="360" w:lineRule="auto"/>
        <w:rPr>
          <w:rFonts w:hint="eastAsia" w:ascii="宋体" w:hAnsi="宋体"/>
          <w:szCs w:val="21"/>
        </w:rPr>
      </w:pPr>
      <w:r>
        <w:rPr>
          <w:rFonts w:hint="eastAsia" w:ascii="宋体" w:hAnsi="宋体"/>
          <w:szCs w:val="21"/>
        </w:rPr>
        <w:t>采购文件获取日期：</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三、质疑事项具体内容</w:t>
      </w:r>
    </w:p>
    <w:p>
      <w:pPr>
        <w:spacing w:line="360" w:lineRule="auto"/>
        <w:rPr>
          <w:rFonts w:ascii="宋体" w:hAnsi="宋体"/>
          <w:szCs w:val="21"/>
        </w:rPr>
      </w:pPr>
      <w:r>
        <w:rPr>
          <w:rFonts w:hint="eastAsia" w:ascii="宋体" w:hAnsi="宋体"/>
          <w:szCs w:val="21"/>
        </w:rPr>
        <w:t>质疑事项1：</w:t>
      </w:r>
    </w:p>
    <w:p>
      <w:pPr>
        <w:spacing w:line="360" w:lineRule="auto"/>
        <w:rPr>
          <w:rFonts w:ascii="宋体" w:hAnsi="宋体"/>
          <w:szCs w:val="21"/>
        </w:rPr>
      </w:pPr>
      <w:r>
        <w:rPr>
          <w:rFonts w:hint="eastAsia" w:ascii="宋体" w:hAnsi="宋体"/>
          <w:szCs w:val="21"/>
        </w:rPr>
        <w:t>事实依据：</w:t>
      </w:r>
    </w:p>
    <w:p>
      <w:pPr>
        <w:spacing w:line="360" w:lineRule="auto"/>
        <w:rPr>
          <w:rFonts w:ascii="宋体" w:hAnsi="宋体"/>
          <w:szCs w:val="21"/>
        </w:rPr>
      </w:pPr>
      <w:r>
        <w:rPr>
          <w:rFonts w:hint="eastAsia" w:ascii="宋体" w:hAnsi="宋体"/>
          <w:szCs w:val="21"/>
        </w:rPr>
        <w:t>法律依据：</w:t>
      </w:r>
    </w:p>
    <w:p>
      <w:pPr>
        <w:spacing w:line="360" w:lineRule="auto"/>
        <w:rPr>
          <w:rFonts w:ascii="宋体" w:hAnsi="宋体"/>
          <w:szCs w:val="21"/>
        </w:rPr>
      </w:pPr>
      <w:r>
        <w:rPr>
          <w:rFonts w:hint="eastAsia" w:ascii="宋体" w:hAnsi="宋体"/>
          <w:szCs w:val="21"/>
        </w:rPr>
        <w:t>质疑事项2：</w:t>
      </w:r>
    </w:p>
    <w:p>
      <w:pPr>
        <w:spacing w:line="360" w:lineRule="auto"/>
        <w:rPr>
          <w:rFonts w:hint="eastAsia" w:ascii="宋体" w:hAnsi="宋体"/>
          <w:szCs w:val="21"/>
        </w:rPr>
      </w:pPr>
      <w:r>
        <w:rPr>
          <w:rFonts w:ascii="宋体" w:hAnsi="宋体"/>
          <w:szCs w:val="21"/>
        </w:rPr>
        <w:t>……</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四、与质疑事项相关的质疑请求</w:t>
      </w:r>
    </w:p>
    <w:p>
      <w:pPr>
        <w:spacing w:line="360" w:lineRule="auto"/>
        <w:rPr>
          <w:rFonts w:ascii="宋体" w:hAnsi="宋体"/>
          <w:szCs w:val="21"/>
        </w:rPr>
      </w:pPr>
      <w:r>
        <w:rPr>
          <w:rFonts w:hint="eastAsia" w:ascii="宋体" w:hAnsi="宋体"/>
          <w:szCs w:val="21"/>
        </w:rPr>
        <w:t>请求：</w:t>
      </w:r>
    </w:p>
    <w:p>
      <w:pPr>
        <w:spacing w:line="360" w:lineRule="auto"/>
        <w:rPr>
          <w:rFonts w:ascii="宋体" w:hAnsi="宋体"/>
          <w:szCs w:val="21"/>
        </w:rPr>
      </w:pPr>
      <w:r>
        <w:rPr>
          <w:rFonts w:hint="eastAsia" w:ascii="宋体" w:hAnsi="宋体"/>
          <w:szCs w:val="21"/>
        </w:rPr>
        <w:t>签字（签章）：           公章：</w:t>
      </w:r>
    </w:p>
    <w:p>
      <w:pPr>
        <w:spacing w:line="360" w:lineRule="auto"/>
        <w:rPr>
          <w:rFonts w:hint="eastAsia" w:ascii="宋体" w:hAnsi="宋体"/>
          <w:szCs w:val="21"/>
        </w:rPr>
      </w:pPr>
      <w:r>
        <w:rPr>
          <w:rFonts w:hint="eastAsia" w:ascii="宋体" w:hAnsi="宋体"/>
          <w:szCs w:val="21"/>
        </w:rPr>
        <w:t>日期：</w:t>
      </w:r>
    </w:p>
    <w:p>
      <w:pPr>
        <w:pStyle w:val="2"/>
        <w:rPr>
          <w:rFonts w:hint="eastAsia"/>
        </w:rPr>
      </w:pPr>
      <w:r>
        <w:rPr>
          <w:rFonts w:hint="eastAsia"/>
        </w:rPr>
        <w:br w:type="page"/>
      </w:r>
    </w:p>
    <w:p>
      <w:pPr>
        <w:pStyle w:val="4"/>
        <w:keepNext w:val="0"/>
        <w:keepLines w:val="0"/>
        <w:spacing w:before="0" w:after="0" w:line="560" w:lineRule="exact"/>
        <w:rPr>
          <w:rFonts w:hint="eastAsia" w:ascii="宋体" w:hAnsi="宋体"/>
          <w:sz w:val="36"/>
          <w:szCs w:val="36"/>
        </w:rPr>
      </w:pPr>
      <w:r>
        <w:rPr>
          <w:rFonts w:hint="eastAsia"/>
          <w:sz w:val="36"/>
          <w:szCs w:val="36"/>
        </w:rPr>
        <w:t xml:space="preserve">第三部分 </w:t>
      </w:r>
      <w:bookmarkEnd w:id="21"/>
      <w:bookmarkEnd w:id="23"/>
      <w:r>
        <w:rPr>
          <w:rFonts w:hint="eastAsia"/>
          <w:sz w:val="36"/>
          <w:szCs w:val="36"/>
        </w:rPr>
        <w:t xml:space="preserve"> 技术内容与要求</w:t>
      </w:r>
      <w:bookmarkEnd w:id="24"/>
      <w:bookmarkEnd w:id="25"/>
      <w:bookmarkStart w:id="27" w:name="_Toc4732"/>
      <w:bookmarkStart w:id="28" w:name="_Toc328739379"/>
    </w:p>
    <w:p>
      <w:pPr>
        <w:spacing w:line="360" w:lineRule="auto"/>
        <w:ind w:firstLine="480" w:firstLineChars="200"/>
        <w:contextualSpacing/>
        <w:rPr>
          <w:rFonts w:hint="eastAsia" w:ascii="宋体" w:hAnsi="宋体" w:cs="宋体"/>
          <w:sz w:val="24"/>
        </w:rPr>
      </w:pPr>
      <w:bookmarkStart w:id="29" w:name="_Toc13556"/>
      <w:r>
        <w:rPr>
          <w:rFonts w:hint="eastAsia" w:ascii="宋体" w:hAnsi="宋体" w:cs="宋体"/>
          <w:sz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000000"/>
          <w:sz w:val="24"/>
          <w:shd w:val="clear" w:color="auto" w:fill="FFFFFF"/>
        </w:rPr>
      </w:pPr>
      <w:r>
        <w:rPr>
          <w:rFonts w:hint="eastAsia" w:ascii="宋体" w:hAnsi="宋体" w:cs="宋体"/>
          <w:sz w:val="24"/>
        </w:rPr>
        <w:t>1、项目背景：</w:t>
      </w:r>
      <w:r>
        <w:rPr>
          <w:rFonts w:hint="eastAsia" w:ascii="宋体" w:hAnsi="宋体" w:cs="宋体"/>
          <w:sz w:val="24"/>
          <w:lang w:eastAsia="zh-CN"/>
        </w:rPr>
        <w:t>西安市长安区</w:t>
      </w:r>
      <w:bookmarkStart w:id="45" w:name="_GoBack"/>
      <w:bookmarkEnd w:id="45"/>
      <w:r>
        <w:rPr>
          <w:rFonts w:hint="eastAsia" w:ascii="宋体" w:hAnsi="宋体" w:cs="宋体"/>
          <w:sz w:val="24"/>
          <w:lang w:eastAsia="zh-CN"/>
        </w:rPr>
        <w:t>公务用车信息化监管服务平台运维项目</w:t>
      </w:r>
      <w:r>
        <w:rPr>
          <w:rFonts w:hint="eastAsia" w:ascii="宋体" w:hAnsi="宋体" w:cs="宋体"/>
          <w:bCs/>
          <w:color w:val="000000"/>
          <w:sz w:val="24"/>
        </w:rPr>
        <w:t>要与陕西省、西安市</w:t>
      </w:r>
      <w:r>
        <w:rPr>
          <w:rFonts w:hint="eastAsia" w:ascii="宋体" w:hAnsi="宋体" w:cs="宋体"/>
          <w:spacing w:val="-6"/>
          <w:sz w:val="24"/>
        </w:rPr>
        <w:t>公务用车信息化平台无缝对接、互联互通</w:t>
      </w:r>
      <w:r>
        <w:rPr>
          <w:rFonts w:hint="eastAsia" w:ascii="宋体" w:hAnsi="宋体" w:cs="宋体"/>
          <w:bCs/>
          <w:color w:val="000000"/>
          <w:sz w:val="24"/>
        </w:rPr>
        <w:t>，</w:t>
      </w:r>
      <w:r>
        <w:rPr>
          <w:rFonts w:hint="eastAsia" w:ascii="宋体" w:hAnsi="宋体" w:cs="宋体"/>
          <w:bCs/>
          <w:color w:val="000000"/>
          <w:sz w:val="24"/>
          <w:shd w:val="clear" w:color="auto" w:fill="FFFFFF"/>
        </w:rPr>
        <w:t>实现“全市一张网”的要求。</w:t>
      </w:r>
    </w:p>
    <w:p>
      <w:pPr>
        <w:pStyle w:val="7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宋体" w:hAnsi="宋体"/>
          <w:sz w:val="24"/>
        </w:rPr>
        <w:t>2、项目名称：</w:t>
      </w:r>
      <w:r>
        <w:rPr>
          <w:rFonts w:hint="eastAsia" w:ascii="宋体" w:hAnsi="宋体" w:cs="宋体"/>
          <w:sz w:val="24"/>
          <w:lang w:eastAsia="zh-CN"/>
        </w:rPr>
        <w:t>西安市长安区公务用车信息化监管服务平台运维项目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cs="宋体"/>
          <w:sz w:val="24"/>
        </w:rPr>
        <w:t>3、项目内容</w:t>
      </w:r>
      <w:r>
        <w:rPr>
          <w:rFonts w:hint="eastAsia" w:ascii="宋体" w:hAnsi="宋体" w:cs="宋体"/>
          <w:sz w:val="24"/>
          <w:highlight w:val="none"/>
        </w:rPr>
        <w:t>：</w:t>
      </w:r>
      <w:r>
        <w:rPr>
          <w:rFonts w:hint="eastAsia" w:ascii="宋体" w:hAnsi="宋体" w:cs="宋体"/>
          <w:bCs/>
          <w:color w:val="000000"/>
          <w:sz w:val="24"/>
          <w:highlight w:val="none"/>
          <w:shd w:val="clear" w:color="auto" w:fill="FFFFFF"/>
        </w:rPr>
        <w:t>本项目实施内容是长安区公务用车信息化管理服务平台系统及系统中加装北斗定位系统574辆车（其中党政机关246辆、事业单位328辆）进行运维维护</w:t>
      </w:r>
      <w:r>
        <w:rPr>
          <w:rFonts w:hint="eastAsia" w:ascii="宋体" w:hAnsi="宋体" w:cs="宋体"/>
          <w:bCs/>
          <w:color w:val="000000"/>
          <w:sz w:val="24"/>
          <w:highlight w:val="none"/>
          <w:shd w:val="clear" w:color="auto" w:fill="FFFFFF"/>
          <w:lang w:eastAsia="zh-CN"/>
        </w:rPr>
        <w:t>，保障</w:t>
      </w:r>
      <w:r>
        <w:rPr>
          <w:rFonts w:hint="eastAsia" w:ascii="宋体" w:hAnsi="宋体" w:cs="宋体"/>
          <w:bCs/>
          <w:color w:val="000000"/>
          <w:sz w:val="24"/>
          <w:highlight w:val="none"/>
          <w:shd w:val="clear" w:color="auto" w:fill="FFFFFF"/>
        </w:rPr>
        <w:t>公车信息化平台接入车辆系统运行、短信收发支持、数据储存等运维维护服务采购，最终满足省、市级文件所要求“全市一张网”系统正常运行</w:t>
      </w:r>
      <w:r>
        <w:rPr>
          <w:rFonts w:hint="eastAsia" w:ascii="宋体" w:hAnsi="宋体"/>
          <w:sz w:val="24"/>
          <w:highlight w:val="none"/>
        </w:rPr>
        <w:t>。</w:t>
      </w:r>
    </w:p>
    <w:p>
      <w:pPr>
        <w:pStyle w:val="78"/>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sz w:val="24"/>
          <w:highlight w:val="none"/>
        </w:rPr>
        <w:t xml:space="preserve">  </w:t>
      </w:r>
      <w:r>
        <w:rPr>
          <w:rFonts w:hint="eastAsia" w:ascii="宋体" w:hAnsi="宋体"/>
          <w:color w:val="auto"/>
          <w:sz w:val="24"/>
          <w:highlight w:val="none"/>
        </w:rPr>
        <w:t xml:space="preserve">  4、服务期限：共计三年，本次采购金额为首年运维费用，一年期满后经采购人确认可续签服务合同，以与采购人所签订的服务合同为准。</w:t>
      </w:r>
    </w:p>
    <w:p>
      <w:pPr>
        <w:pStyle w:val="7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spacing w:val="-6"/>
          <w:sz w:val="24"/>
          <w:highlight w:val="none"/>
        </w:rPr>
      </w:pPr>
      <w:r>
        <w:rPr>
          <w:rFonts w:hint="eastAsia" w:ascii="宋体" w:hAnsi="宋体" w:cs="宋体"/>
          <w:spacing w:val="-6"/>
          <w:sz w:val="24"/>
          <w:highlight w:val="none"/>
        </w:rPr>
        <w:t>5、项目预算金额：</w:t>
      </w:r>
      <w:r>
        <w:rPr>
          <w:rFonts w:hint="eastAsia" w:ascii="宋体" w:hAnsi="宋体" w:cs="宋体"/>
          <w:spacing w:val="-6"/>
          <w:sz w:val="24"/>
          <w:highlight w:val="none"/>
          <w:lang w:val="en-US" w:eastAsia="zh-CN"/>
        </w:rPr>
        <w:t>761840.0000</w:t>
      </w:r>
      <w:r>
        <w:rPr>
          <w:rFonts w:hint="eastAsia" w:ascii="宋体" w:hAnsi="宋体" w:cs="宋体"/>
          <w:spacing w:val="-6"/>
          <w:sz w:val="24"/>
          <w:highlight w:val="none"/>
        </w:rPr>
        <w:t>元。</w:t>
      </w:r>
    </w:p>
    <w:p>
      <w:pPr>
        <w:spacing w:line="540" w:lineRule="exact"/>
        <w:ind w:firstLine="480" w:firstLineChars="200"/>
        <w:rPr>
          <w:rFonts w:ascii="宋体" w:hAnsi="宋体"/>
          <w:b/>
          <w:sz w:val="24"/>
        </w:rPr>
      </w:pPr>
      <w:r>
        <w:rPr>
          <w:rFonts w:hint="eastAsia" w:ascii="宋体" w:hAnsi="宋体"/>
          <w:b/>
          <w:sz w:val="24"/>
        </w:rPr>
        <w:t>二.软件技术要求</w:t>
      </w:r>
    </w:p>
    <w:p>
      <w:pPr>
        <w:spacing w:line="540" w:lineRule="exact"/>
        <w:ind w:firstLine="480" w:firstLineChars="200"/>
        <w:rPr>
          <w:rFonts w:hint="eastAsia" w:ascii="宋体" w:hAnsi="宋体"/>
          <w:b/>
          <w:sz w:val="24"/>
        </w:rPr>
      </w:pPr>
      <w:r>
        <w:rPr>
          <w:rFonts w:hint="eastAsia" w:ascii="宋体" w:hAnsi="宋体"/>
          <w:b/>
          <w:sz w:val="24"/>
        </w:rPr>
        <w:t>1.1保留车辆管理服务平台</w:t>
      </w:r>
    </w:p>
    <w:p>
      <w:pPr>
        <w:spacing w:line="540" w:lineRule="exact"/>
        <w:ind w:firstLine="480" w:firstLineChars="200"/>
        <w:rPr>
          <w:rFonts w:ascii="宋体" w:hAnsi="宋体"/>
          <w:sz w:val="24"/>
        </w:rPr>
      </w:pPr>
      <w:r>
        <w:rPr>
          <w:rFonts w:ascii="宋体" w:hAnsi="宋体"/>
          <w:sz w:val="24"/>
        </w:rPr>
        <w:t>平台用户为</w:t>
      </w:r>
      <w:r>
        <w:rPr>
          <w:rFonts w:hint="eastAsia" w:ascii="宋体" w:hAnsi="宋体"/>
          <w:sz w:val="24"/>
        </w:rPr>
        <w:t>区级</w:t>
      </w:r>
      <w:r>
        <w:rPr>
          <w:rFonts w:ascii="宋体" w:hAnsi="宋体"/>
          <w:sz w:val="24"/>
        </w:rPr>
        <w:t>机关、</w:t>
      </w:r>
      <w:r>
        <w:rPr>
          <w:rFonts w:hint="eastAsia" w:ascii="宋体" w:hAnsi="宋体"/>
          <w:sz w:val="24"/>
        </w:rPr>
        <w:t>事业</w:t>
      </w:r>
      <w:r>
        <w:rPr>
          <w:rFonts w:ascii="宋体" w:hAnsi="宋体"/>
          <w:sz w:val="24"/>
        </w:rPr>
        <w:t>单位，提供</w:t>
      </w:r>
      <w:r>
        <w:rPr>
          <w:rFonts w:hint="eastAsia" w:ascii="宋体" w:hAnsi="宋体"/>
          <w:sz w:val="24"/>
        </w:rPr>
        <w:t>调度管理、维保管理、加油管理、车辆资产管理、信息安全管理（系统防护、权限划分）、基础管理（单位信息、驾驶员信息、车辆信息）、保险管理、车辆等位管理、车辆预警管理</w:t>
      </w:r>
      <w:r>
        <w:rPr>
          <w:rFonts w:ascii="宋体" w:hAnsi="宋体"/>
          <w:sz w:val="24"/>
        </w:rPr>
        <w:t>等功能。</w:t>
      </w:r>
    </w:p>
    <w:p>
      <w:pPr>
        <w:spacing w:line="540" w:lineRule="exact"/>
        <w:ind w:firstLine="480" w:firstLineChars="200"/>
        <w:rPr>
          <w:rFonts w:ascii="宋体" w:hAnsi="宋体"/>
          <w:sz w:val="24"/>
        </w:rPr>
      </w:pPr>
      <w:r>
        <w:rPr>
          <w:rFonts w:hint="eastAsia" w:ascii="宋体" w:hAnsi="宋体"/>
          <w:sz w:val="24"/>
        </w:rPr>
        <w:t>1.1.</w:t>
      </w:r>
      <w:r>
        <w:rPr>
          <w:rFonts w:ascii="宋体" w:hAnsi="宋体"/>
          <w:sz w:val="24"/>
        </w:rPr>
        <w:t>1.通过平台可申请、审核用车、调度派车，管理车辆保险、维保等信息，实现保留车辆购置处置的在线申请，查看车辆实时位置、历史轨迹，并可统计分析车辆使用情况。综合执法、执法执勤单位可通过平台申请用车。</w:t>
      </w:r>
    </w:p>
    <w:p>
      <w:pPr>
        <w:spacing w:line="540" w:lineRule="exact"/>
        <w:ind w:firstLine="480" w:firstLineChars="200"/>
        <w:rPr>
          <w:rFonts w:ascii="宋体" w:hAnsi="宋体"/>
          <w:sz w:val="24"/>
        </w:rPr>
      </w:pPr>
      <w:r>
        <w:rPr>
          <w:rFonts w:hint="eastAsia" w:ascii="宋体" w:hAnsi="宋体"/>
          <w:sz w:val="24"/>
        </w:rPr>
        <w:t>1.1.</w:t>
      </w:r>
      <w:r>
        <w:rPr>
          <w:rFonts w:ascii="宋体" w:hAnsi="宋体"/>
          <w:sz w:val="24"/>
        </w:rPr>
        <w:t>2.平台支持与服务中心和社会化租赁公司信息对接。用车单位通过平台可向服务中心和社会化租赁公司提交用车申请，并结算租车费用。</w:t>
      </w:r>
    </w:p>
    <w:p>
      <w:pPr>
        <w:spacing w:line="540" w:lineRule="exact"/>
        <w:ind w:firstLine="480" w:firstLineChars="200"/>
        <w:rPr>
          <w:rFonts w:ascii="宋体" w:hAnsi="宋体"/>
          <w:sz w:val="24"/>
        </w:rPr>
      </w:pPr>
      <w:r>
        <w:rPr>
          <w:rFonts w:hint="eastAsia" w:ascii="宋体" w:hAnsi="宋体"/>
          <w:sz w:val="24"/>
        </w:rPr>
        <w:t>1.1.</w:t>
      </w:r>
      <w:r>
        <w:rPr>
          <w:rFonts w:ascii="宋体" w:hAnsi="宋体"/>
          <w:sz w:val="24"/>
        </w:rPr>
        <w:t>3.平台可管理用户单位交通补贴信息，查询车辆运行费用，确保公务支出费用可控。</w:t>
      </w:r>
    </w:p>
    <w:p>
      <w:pPr>
        <w:spacing w:line="540" w:lineRule="exact"/>
        <w:ind w:firstLine="480" w:firstLineChars="200"/>
        <w:rPr>
          <w:rFonts w:ascii="宋体" w:hAnsi="宋体"/>
          <w:b/>
          <w:sz w:val="24"/>
        </w:rPr>
      </w:pPr>
      <w:r>
        <w:rPr>
          <w:rFonts w:hint="eastAsia" w:ascii="宋体" w:hAnsi="宋体"/>
          <w:b/>
          <w:sz w:val="24"/>
        </w:rPr>
        <w:t>1.2.公务用车服务管理平台</w:t>
      </w:r>
    </w:p>
    <w:p>
      <w:pPr>
        <w:spacing w:line="540" w:lineRule="exact"/>
        <w:ind w:firstLine="480" w:firstLineChars="200"/>
        <w:rPr>
          <w:rFonts w:ascii="宋体" w:hAnsi="宋体"/>
          <w:sz w:val="24"/>
        </w:rPr>
      </w:pPr>
      <w:r>
        <w:rPr>
          <w:rFonts w:ascii="宋体" w:hAnsi="宋体"/>
          <w:sz w:val="24"/>
        </w:rPr>
        <w:t>用户为公务用车服务中心，提供</w:t>
      </w:r>
      <w:r>
        <w:rPr>
          <w:rFonts w:hint="eastAsia" w:ascii="宋体" w:hAnsi="宋体"/>
          <w:sz w:val="24"/>
        </w:rPr>
        <w:t>调度管理、维保管理、加油管理、车辆资产管理、信息安全管理（系统防护、权限划分）、基础管理（单位信息、驾驶员信息、车辆信息）、保险管理、车辆等位管理、车辆预警管理</w:t>
      </w:r>
      <w:r>
        <w:rPr>
          <w:rFonts w:ascii="宋体" w:hAnsi="宋体"/>
          <w:sz w:val="24"/>
        </w:rPr>
        <w:t>功能</w:t>
      </w:r>
      <w:r>
        <w:rPr>
          <w:rFonts w:hint="eastAsia" w:ascii="宋体" w:hAnsi="宋体"/>
          <w:sz w:val="24"/>
        </w:rPr>
        <w:t>，实现车辆全生命周期管理</w:t>
      </w:r>
      <w:r>
        <w:rPr>
          <w:rFonts w:ascii="宋体" w:hAnsi="宋体"/>
          <w:sz w:val="24"/>
        </w:rPr>
        <w:t>。</w:t>
      </w:r>
    </w:p>
    <w:p>
      <w:pPr>
        <w:spacing w:line="540" w:lineRule="exact"/>
        <w:ind w:firstLine="480" w:firstLineChars="200"/>
        <w:rPr>
          <w:rFonts w:ascii="宋体" w:hAnsi="宋体"/>
          <w:sz w:val="24"/>
        </w:rPr>
      </w:pPr>
      <w:r>
        <w:rPr>
          <w:rFonts w:hint="eastAsia" w:ascii="宋体" w:hAnsi="宋体"/>
          <w:sz w:val="24"/>
        </w:rPr>
        <w:t>1.2.</w:t>
      </w:r>
      <w:r>
        <w:rPr>
          <w:rFonts w:ascii="宋体" w:hAnsi="宋体"/>
          <w:sz w:val="24"/>
        </w:rPr>
        <w:t>1. 平台面向服务中心内部及外部用车单位提供用车申请、审核、调度功能，具备车辆调拨与派车功能，可查看平台派车信息，保障公务出行。</w:t>
      </w:r>
    </w:p>
    <w:p>
      <w:pPr>
        <w:spacing w:line="540" w:lineRule="exact"/>
        <w:ind w:firstLine="480" w:firstLineChars="200"/>
        <w:rPr>
          <w:rFonts w:ascii="宋体" w:hAnsi="宋体"/>
          <w:sz w:val="24"/>
        </w:rPr>
      </w:pPr>
      <w:r>
        <w:rPr>
          <w:rFonts w:hint="eastAsia" w:ascii="宋体" w:hAnsi="宋体"/>
          <w:sz w:val="24"/>
        </w:rPr>
        <w:t>1.2.</w:t>
      </w:r>
      <w:r>
        <w:rPr>
          <w:rFonts w:ascii="宋体" w:hAnsi="宋体"/>
          <w:sz w:val="24"/>
        </w:rPr>
        <w:t>2. 平台可查看服务中心车辆实时位置与历史轨迹；管理车辆加油，保险，维保、违章等信息；对司机进行考勤与业绩考核；统计车辆行驶里程、运行费用，实现业绩统计。</w:t>
      </w:r>
    </w:p>
    <w:p>
      <w:pPr>
        <w:spacing w:line="540" w:lineRule="exact"/>
        <w:ind w:firstLine="480" w:firstLineChars="200"/>
        <w:rPr>
          <w:rFonts w:ascii="宋体" w:hAnsi="宋体"/>
          <w:sz w:val="24"/>
        </w:rPr>
      </w:pPr>
      <w:r>
        <w:rPr>
          <w:rFonts w:hint="eastAsia" w:ascii="宋体" w:hAnsi="宋体"/>
          <w:sz w:val="24"/>
        </w:rPr>
        <w:t>1.2.</w:t>
      </w:r>
      <w:r>
        <w:rPr>
          <w:rFonts w:ascii="宋体" w:hAnsi="宋体"/>
          <w:sz w:val="24"/>
        </w:rPr>
        <w:t>3.平台调度员调度派车，驾驶员执行出车任务，出车任务结束后完成交车。</w:t>
      </w:r>
    </w:p>
    <w:p>
      <w:pPr>
        <w:spacing w:line="540" w:lineRule="exact"/>
        <w:ind w:firstLine="480" w:firstLineChars="200"/>
        <w:rPr>
          <w:rFonts w:hint="eastAsia" w:ascii="宋体" w:hAnsi="宋体"/>
          <w:b/>
          <w:sz w:val="24"/>
        </w:rPr>
      </w:pPr>
      <w:r>
        <w:rPr>
          <w:rFonts w:hint="eastAsia" w:ascii="宋体" w:hAnsi="宋体"/>
          <w:b/>
          <w:sz w:val="24"/>
        </w:rPr>
        <w:t>1.3.执法执勤车辆管理服务平台</w:t>
      </w:r>
    </w:p>
    <w:p>
      <w:pPr>
        <w:spacing w:line="540" w:lineRule="exact"/>
        <w:ind w:firstLine="480" w:firstLineChars="200"/>
        <w:rPr>
          <w:rFonts w:ascii="宋体" w:hAnsi="宋体"/>
          <w:sz w:val="24"/>
        </w:rPr>
      </w:pPr>
      <w:r>
        <w:rPr>
          <w:rFonts w:ascii="宋体" w:hAnsi="宋体"/>
          <w:sz w:val="24"/>
        </w:rPr>
        <w:t>用户为</w:t>
      </w:r>
      <w:r>
        <w:rPr>
          <w:rFonts w:hint="eastAsia" w:ascii="宋体" w:hAnsi="宋体"/>
          <w:sz w:val="24"/>
        </w:rPr>
        <w:t>区级</w:t>
      </w:r>
      <w:r>
        <w:rPr>
          <w:rFonts w:ascii="宋体" w:hAnsi="宋体"/>
          <w:sz w:val="24"/>
        </w:rPr>
        <w:t>综合执法单位，提供“集中管理、统一调度”功能</w:t>
      </w:r>
      <w:r>
        <w:rPr>
          <w:rFonts w:hint="eastAsia" w:ascii="宋体" w:hAnsi="宋体"/>
          <w:sz w:val="24"/>
        </w:rPr>
        <w:t>，实现对执法执勤车辆的全生命周期管理，实现执法车辆资产信息化管理</w:t>
      </w:r>
      <w:r>
        <w:rPr>
          <w:rFonts w:ascii="宋体" w:hAnsi="宋体"/>
          <w:sz w:val="24"/>
        </w:rPr>
        <w:t>。</w:t>
      </w:r>
    </w:p>
    <w:p>
      <w:pPr>
        <w:spacing w:line="540" w:lineRule="exact"/>
        <w:ind w:firstLine="480" w:firstLineChars="200"/>
        <w:rPr>
          <w:rFonts w:ascii="宋体" w:hAnsi="宋体"/>
          <w:sz w:val="24"/>
        </w:rPr>
      </w:pPr>
      <w:r>
        <w:rPr>
          <w:rFonts w:hint="eastAsia" w:ascii="宋体" w:hAnsi="宋体"/>
          <w:sz w:val="24"/>
        </w:rPr>
        <w:t>1.3.</w:t>
      </w:r>
      <w:r>
        <w:rPr>
          <w:rFonts w:ascii="宋体" w:hAnsi="宋体"/>
          <w:sz w:val="24"/>
        </w:rPr>
        <w:t>1.执法车辆管理。通过平台可管理执法单位、车辆及执勤司机信息；监控执法车辆实时位置、历史轨迹；管理执法车辆加油、维保、保险、违章信息。</w:t>
      </w:r>
    </w:p>
    <w:p>
      <w:pPr>
        <w:spacing w:line="540" w:lineRule="exact"/>
        <w:ind w:firstLine="480" w:firstLineChars="200"/>
        <w:rPr>
          <w:rFonts w:ascii="宋体" w:hAnsi="宋体"/>
          <w:sz w:val="24"/>
        </w:rPr>
      </w:pPr>
      <w:r>
        <w:rPr>
          <w:rFonts w:hint="eastAsia" w:ascii="宋体" w:hAnsi="宋体"/>
          <w:sz w:val="24"/>
        </w:rPr>
        <w:t>1.3.</w:t>
      </w:r>
      <w:r>
        <w:rPr>
          <w:rFonts w:ascii="宋体" w:hAnsi="宋体"/>
          <w:sz w:val="24"/>
        </w:rPr>
        <w:t>2.执法用车调度。平台提供申请用车、调度派车功能。当遇有重大或紧急情况，平台提供集中管理，统一调度功能，应对各种突发事件。</w:t>
      </w:r>
    </w:p>
    <w:p>
      <w:pPr>
        <w:spacing w:line="540" w:lineRule="exact"/>
        <w:ind w:firstLine="480" w:firstLineChars="200"/>
        <w:rPr>
          <w:rFonts w:ascii="宋体" w:hAnsi="宋体"/>
          <w:sz w:val="24"/>
        </w:rPr>
      </w:pPr>
      <w:r>
        <w:rPr>
          <w:rFonts w:hint="eastAsia" w:ascii="宋体" w:hAnsi="宋体"/>
          <w:sz w:val="24"/>
        </w:rPr>
        <w:t>1.3.</w:t>
      </w:r>
      <w:r>
        <w:rPr>
          <w:rFonts w:ascii="宋体" w:hAnsi="宋体"/>
          <w:sz w:val="24"/>
        </w:rPr>
        <w:t>3.统一规章制度。平台提供执法依据、流程、文件等规章制度发布功能，实现车辆管理规范透明。</w:t>
      </w:r>
    </w:p>
    <w:p>
      <w:pPr>
        <w:spacing w:line="540" w:lineRule="exact"/>
        <w:ind w:firstLine="480" w:firstLineChars="200"/>
        <w:rPr>
          <w:rFonts w:hint="eastAsia" w:ascii="宋体" w:hAnsi="宋体"/>
          <w:b/>
          <w:sz w:val="24"/>
        </w:rPr>
      </w:pPr>
      <w:r>
        <w:rPr>
          <w:rFonts w:hint="eastAsia" w:ascii="宋体" w:hAnsi="宋体"/>
          <w:b/>
          <w:sz w:val="24"/>
        </w:rPr>
        <w:t>1.4.公务用车监督管理平台</w:t>
      </w:r>
    </w:p>
    <w:p>
      <w:pPr>
        <w:spacing w:line="540" w:lineRule="exact"/>
        <w:ind w:firstLine="480" w:firstLineChars="200"/>
        <w:rPr>
          <w:rFonts w:ascii="宋体" w:hAnsi="宋体"/>
          <w:sz w:val="24"/>
        </w:rPr>
      </w:pPr>
      <w:r>
        <w:rPr>
          <w:rFonts w:hint="eastAsia" w:ascii="宋体" w:hAnsi="宋体"/>
          <w:sz w:val="24"/>
        </w:rPr>
        <w:t>实现对全区车辆参改单位的车辆网络信息化监督管理，包含车辆定位系统、监督管理系统、调度管理系统等子模块；各部门采取网上申请申报公务用车；公务用车服务中心实现网上调派车辆；执行任务车辆安装卫星定位系统、驾驶员安装手机APP，实现对所监管车辆的全方位监督。保障各行政区域机关跨区域公务出行和综合执法用车服务。各行政区域可实现平台化车辆管理，对车辆档案、车辆行驶 轨迹、车辆报警、车辆维保信息、车辆加油信息 、车辆违章事故信息进行电子存档、随时调阅;实现单车成本核算、合理核定公务用车运行维护费用。科学分析车辆运行数据，对车辆油耗、里程实现车载终端自动采集上传、自动存档、随时调阅；对公务出行收入、成本、用车高峰期、维保成本进行统计分析，有效配置公车资源，切实保障公务出行需要等。</w:t>
      </w:r>
    </w:p>
    <w:p>
      <w:pPr>
        <w:spacing w:line="540" w:lineRule="exact"/>
        <w:ind w:firstLine="480" w:firstLineChars="200"/>
        <w:rPr>
          <w:rFonts w:ascii="宋体" w:hAnsi="宋体"/>
          <w:b/>
          <w:sz w:val="24"/>
        </w:rPr>
      </w:pPr>
      <w:r>
        <w:rPr>
          <w:rFonts w:hint="eastAsia" w:ascii="宋体" w:hAnsi="宋体"/>
          <w:b/>
          <w:sz w:val="24"/>
        </w:rPr>
        <w:t>1.5.公务用车驾驶员手机客户端软件</w:t>
      </w:r>
    </w:p>
    <w:p>
      <w:pPr>
        <w:spacing w:line="540" w:lineRule="exact"/>
        <w:ind w:firstLine="480" w:firstLineChars="200"/>
        <w:rPr>
          <w:rFonts w:ascii="宋体" w:hAnsi="宋体"/>
          <w:sz w:val="24"/>
        </w:rPr>
      </w:pPr>
      <w:r>
        <w:rPr>
          <w:rFonts w:ascii="宋体" w:hAnsi="宋体"/>
          <w:sz w:val="24"/>
        </w:rPr>
        <w:t>根据公务用车服务对象，需要针对驾驶员设计专用的手机客户端软件。驾驶员通过手机接收任务、执行任务。驾驶员通过手机完成上下班考勤登记，查看考勤信息，包括考勤时间、考勤地点。出车结束后通过手机交车，并由单位调度员通过手机确认交车。</w:t>
      </w:r>
    </w:p>
    <w:p>
      <w:pPr>
        <w:spacing w:line="540" w:lineRule="exact"/>
        <w:ind w:firstLine="480" w:firstLineChars="200"/>
        <w:rPr>
          <w:rFonts w:ascii="宋体" w:hAnsi="宋体"/>
          <w:b/>
          <w:sz w:val="24"/>
        </w:rPr>
      </w:pPr>
      <w:r>
        <w:rPr>
          <w:rFonts w:hint="eastAsia" w:ascii="宋体" w:hAnsi="宋体"/>
          <w:b/>
          <w:sz w:val="24"/>
        </w:rPr>
        <w:t>1.6.公务用车手机客户端软件</w:t>
      </w:r>
    </w:p>
    <w:p>
      <w:pPr>
        <w:spacing w:line="540" w:lineRule="exact"/>
        <w:ind w:firstLine="480" w:firstLineChars="200"/>
        <w:rPr>
          <w:rFonts w:ascii="宋体" w:hAnsi="宋体"/>
          <w:sz w:val="24"/>
        </w:rPr>
      </w:pPr>
      <w:r>
        <w:rPr>
          <w:rFonts w:ascii="宋体" w:hAnsi="宋体"/>
          <w:sz w:val="24"/>
        </w:rPr>
        <w:t>用户角色包括普通用车人、审核员、调度员。用户通过手机申请用车，申请人所在单位审核员通过手机审核，保障公务出行的公务用车服务中心或者租赁公司的调度员通过手机调度派车。派车信息发送给驾驶员手机，驾驶员通过手机接收任务，出车结束后通过手机交车，并由单位调度员通过手机确认交车。</w:t>
      </w:r>
    </w:p>
    <w:p>
      <w:pPr>
        <w:spacing w:line="540" w:lineRule="exact"/>
        <w:ind w:firstLine="480" w:firstLineChars="200"/>
        <w:rPr>
          <w:rFonts w:ascii="宋体" w:hAnsi="宋体"/>
          <w:b/>
          <w:sz w:val="24"/>
        </w:rPr>
      </w:pPr>
      <w:r>
        <w:rPr>
          <w:rFonts w:hint="eastAsia" w:ascii="宋体" w:hAnsi="宋体"/>
          <w:b/>
          <w:sz w:val="24"/>
        </w:rPr>
        <w:t>2.主要硬件技术要求</w:t>
      </w:r>
    </w:p>
    <w:p>
      <w:pPr>
        <w:autoSpaceDE w:val="0"/>
        <w:autoSpaceDN w:val="0"/>
        <w:spacing w:line="360" w:lineRule="auto"/>
        <w:ind w:firstLine="480" w:firstLineChars="200"/>
        <w:contextualSpacing/>
        <w:rPr>
          <w:rFonts w:hint="eastAsia" w:ascii="宋体" w:hAnsi="宋体" w:cs="宋体"/>
          <w:b/>
          <w:bCs/>
          <w:color w:val="000000"/>
          <w:sz w:val="24"/>
        </w:rPr>
      </w:pPr>
      <w:r>
        <w:rPr>
          <w:rFonts w:hint="eastAsia" w:ascii="宋体" w:hAnsi="宋体" w:cs="宋体"/>
          <w:b/>
          <w:bCs/>
          <w:color w:val="000000"/>
          <w:sz w:val="24"/>
        </w:rPr>
        <w:t>2.1 北斗定位车载终端</w:t>
      </w:r>
    </w:p>
    <w:p>
      <w:pPr>
        <w:autoSpaceDE w:val="0"/>
        <w:autoSpaceDN w:val="0"/>
        <w:spacing w:line="360" w:lineRule="auto"/>
        <w:ind w:firstLine="480" w:firstLineChars="200"/>
        <w:contextualSpacing/>
        <w:rPr>
          <w:rFonts w:hint="eastAsia" w:ascii="宋体" w:hAnsi="宋体" w:cs="宋体"/>
          <w:sz w:val="24"/>
        </w:rPr>
      </w:pPr>
      <w:r>
        <w:rPr>
          <w:rFonts w:hint="eastAsia" w:ascii="宋体" w:hAnsi="宋体" w:cs="宋体"/>
          <w:color w:val="000000"/>
          <w:sz w:val="24"/>
        </w:rPr>
        <w:t>北斗车载终端可实现车辆定位及车身动态信息采集，具有远程参数配置功能，</w:t>
      </w:r>
      <w:r>
        <w:rPr>
          <w:rFonts w:hint="eastAsia" w:ascii="宋体" w:hAnsi="宋体" w:cs="宋体"/>
          <w:sz w:val="24"/>
        </w:rPr>
        <w:t>为了保证后续产品服务的连贯性，北斗定位终端供应商应该与本平台建设供应方保持一致或能够提供统一的售后服务及技术服务。</w:t>
      </w:r>
    </w:p>
    <w:p>
      <w:pPr>
        <w:autoSpaceDE w:val="0"/>
        <w:autoSpaceDN w:val="0"/>
        <w:spacing w:line="360" w:lineRule="auto"/>
        <w:ind w:firstLine="480" w:firstLineChars="200"/>
        <w:contextualSpacing/>
        <w:rPr>
          <w:rFonts w:hint="eastAsia" w:ascii="宋体" w:hAnsi="宋体" w:cs="宋体"/>
          <w:b/>
          <w:bCs/>
          <w:sz w:val="24"/>
        </w:rPr>
      </w:pPr>
      <w:r>
        <w:rPr>
          <w:rFonts w:hint="eastAsia" w:ascii="宋体" w:hAnsi="宋体" w:cs="宋体"/>
          <w:b/>
          <w:bCs/>
          <w:sz w:val="24"/>
        </w:rPr>
        <w:t>2.1.1北斗定位车载终端技术要求</w:t>
      </w:r>
    </w:p>
    <w:p>
      <w:pPr>
        <w:autoSpaceDE w:val="0"/>
        <w:autoSpaceDN w:val="0"/>
        <w:spacing w:line="360" w:lineRule="auto"/>
        <w:ind w:firstLine="480" w:firstLineChars="200"/>
        <w:contextualSpacing/>
        <w:rPr>
          <w:rFonts w:hint="eastAsia" w:ascii="宋体" w:hAnsi="宋体" w:cs="宋体"/>
          <w:sz w:val="24"/>
        </w:rPr>
      </w:pPr>
      <w:r>
        <w:rPr>
          <w:rFonts w:hint="eastAsia" w:ascii="宋体" w:hAnsi="宋体" w:cs="宋体"/>
          <w:sz w:val="24"/>
        </w:rPr>
        <w:t xml:space="preserve">工作电压： 9V-36V/31mA; </w:t>
      </w:r>
    </w:p>
    <w:p>
      <w:pPr>
        <w:autoSpaceDE w:val="0"/>
        <w:autoSpaceDN w:val="0"/>
        <w:spacing w:line="360" w:lineRule="auto"/>
        <w:ind w:firstLine="480" w:firstLineChars="200"/>
        <w:contextualSpacing/>
        <w:rPr>
          <w:rFonts w:hint="eastAsia" w:ascii="宋体" w:hAnsi="宋体" w:cs="宋体"/>
          <w:sz w:val="24"/>
        </w:rPr>
      </w:pPr>
      <w:r>
        <w:rPr>
          <w:rFonts w:hint="eastAsia" w:ascii="宋体" w:hAnsi="宋体" w:cs="宋体"/>
          <w:sz w:val="24"/>
        </w:rPr>
        <w:t>正常工作功耗：0.35W</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最大工作功耗：1.2W</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最低功耗：0.24W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硬件架构：工业级芯片架构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数据通信方式：GSM/GPRS制式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可靠性设计：电源高低压保护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定位方式：BDS 北斗通讯方式： （TCP）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定位精度：小于10米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温度特性：工作温度-30 ℃ ～ +70 ℃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存储特性：存储温度-40 ℃ ～ +85 ℃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在线参数配置：可远程配置车载客户端参数，包括车牌号绑定、数据发送频率、远程主机地址、速度报警阈值。 </w:t>
      </w:r>
    </w:p>
    <w:p>
      <w:pPr>
        <w:autoSpaceDE w:val="0"/>
        <w:autoSpaceDN w:val="0"/>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rPr>
        <w:t xml:space="preserve">卫星定位性能:北斗   </w:t>
      </w:r>
    </w:p>
    <w:p>
      <w:pPr>
        <w:rPr>
          <w:rFonts w:hint="eastAsia" w:ascii="宋体" w:hAnsi="宋体" w:cs="宋体"/>
          <w:color w:val="000000"/>
          <w:sz w:val="24"/>
        </w:rPr>
      </w:pPr>
      <w:r>
        <w:rPr>
          <w:rFonts w:hint="eastAsia" w:ascii="宋体" w:hAnsi="宋体" w:cs="宋体"/>
          <w:color w:val="000000"/>
          <w:sz w:val="24"/>
        </w:rPr>
        <w:t>其他性能要求：数据协议 符合国家交通部JT808协议，无缝对接公车管理平台，实现车载数据的接受、解析和存储，并与业务关联，实现对平台车辆的监督管理。</w:t>
      </w:r>
    </w:p>
    <w:p>
      <w:pPr>
        <w:rPr>
          <w:rFonts w:hint="eastAsia" w:ascii="宋体" w:hAnsi="宋体" w:eastAsia="宋体" w:cs="宋体"/>
          <w:sz w:val="20"/>
          <w:szCs w:val="22"/>
        </w:rPr>
      </w:pPr>
      <w:r>
        <w:rPr>
          <w:rFonts w:hint="eastAsia" w:ascii="宋体" w:hAnsi="宋体" w:eastAsia="宋体" w:cs="宋体"/>
          <w:color w:val="000000"/>
          <w:sz w:val="22"/>
          <w:szCs w:val="22"/>
        </w:rPr>
        <w:t xml:space="preserve"> </w:t>
      </w:r>
      <w:r>
        <w:rPr>
          <w:rFonts w:hint="eastAsia" w:ascii="宋体" w:hAnsi="宋体" w:eastAsia="宋体" w:cs="宋体"/>
          <w:b/>
          <w:bCs/>
          <w:sz w:val="24"/>
          <w:szCs w:val="24"/>
        </w:rPr>
        <w:t>3.</w:t>
      </w:r>
      <w:r>
        <w:rPr>
          <w:rFonts w:hint="eastAsia" w:ascii="宋体" w:hAnsi="宋体" w:eastAsia="宋体" w:cs="宋体"/>
          <w:b/>
          <w:bCs/>
          <w:sz w:val="24"/>
          <w:szCs w:val="24"/>
          <w:lang w:eastAsia="zh-CN"/>
        </w:rPr>
        <w:t>长安区</w:t>
      </w:r>
      <w:r>
        <w:rPr>
          <w:rFonts w:hint="eastAsia" w:ascii="宋体" w:hAnsi="宋体" w:eastAsia="宋体" w:cs="宋体"/>
          <w:b/>
          <w:bCs/>
          <w:sz w:val="24"/>
          <w:szCs w:val="24"/>
        </w:rPr>
        <w:t>公务用车信息化平台建设及运维服务采购需求表</w:t>
      </w:r>
    </w:p>
    <w:tbl>
      <w:tblPr>
        <w:tblStyle w:val="29"/>
        <w:tblW w:w="9405" w:type="dxa"/>
        <w:tblInd w:w="-129" w:type="dxa"/>
        <w:tblLayout w:type="fixed"/>
        <w:tblCellMar>
          <w:top w:w="15" w:type="dxa"/>
          <w:left w:w="15" w:type="dxa"/>
          <w:bottom w:w="15" w:type="dxa"/>
          <w:right w:w="15" w:type="dxa"/>
        </w:tblCellMar>
      </w:tblPr>
      <w:tblGrid>
        <w:gridCol w:w="356"/>
        <w:gridCol w:w="439"/>
        <w:gridCol w:w="218"/>
        <w:gridCol w:w="1162"/>
        <w:gridCol w:w="1770"/>
        <w:gridCol w:w="4200"/>
        <w:gridCol w:w="630"/>
        <w:gridCol w:w="630"/>
      </w:tblGrid>
      <w:tr>
        <w:tblPrEx>
          <w:tblCellMar>
            <w:top w:w="15" w:type="dxa"/>
            <w:left w:w="15" w:type="dxa"/>
            <w:bottom w:w="15" w:type="dxa"/>
            <w:right w:w="15" w:type="dxa"/>
          </w:tblCellMar>
        </w:tblPrEx>
        <w:trPr>
          <w:trHeight w:val="375" w:hRule="atLeast"/>
        </w:trPr>
        <w:tc>
          <w:tcPr>
            <w:tcW w:w="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rPr>
            </w:pPr>
            <w:r>
              <w:rPr>
                <w:rFonts w:ascii="宋体" w:hAnsi="宋体" w:cs="宋体"/>
                <w:b/>
                <w:kern w:val="0"/>
                <w:sz w:val="24"/>
                <w:lang w:bidi="ar"/>
              </w:rPr>
              <w:t>序号</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rPr>
            </w:pPr>
            <w:r>
              <w:rPr>
                <w:rFonts w:ascii="宋体" w:hAnsi="宋体" w:cs="宋体"/>
                <w:b/>
                <w:kern w:val="0"/>
                <w:sz w:val="24"/>
                <w:lang w:bidi="ar"/>
              </w:rPr>
              <w:t>名称</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rPr>
            </w:pPr>
            <w:r>
              <w:rPr>
                <w:rFonts w:ascii="宋体" w:hAnsi="宋体" w:cs="宋体"/>
                <w:b/>
                <w:kern w:val="0"/>
                <w:sz w:val="24"/>
                <w:lang w:bidi="ar"/>
              </w:rPr>
              <w:t>子平台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rPr>
            </w:pPr>
            <w:r>
              <w:rPr>
                <w:rFonts w:ascii="宋体" w:hAnsi="宋体" w:cs="宋体"/>
                <w:b/>
                <w:kern w:val="0"/>
                <w:sz w:val="24"/>
                <w:lang w:bidi="ar"/>
              </w:rPr>
              <w:t>功能模块</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rPr>
            </w:pPr>
            <w:r>
              <w:rPr>
                <w:rFonts w:ascii="宋体" w:hAnsi="宋体" w:cs="宋体"/>
                <w:b/>
                <w:kern w:val="0"/>
                <w:sz w:val="24"/>
                <w:lang w:bidi="ar"/>
              </w:rPr>
              <w:t>型号及配置描述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rPr>
            </w:pPr>
            <w:r>
              <w:rPr>
                <w:rFonts w:ascii="宋体" w:hAnsi="宋体" w:cs="宋体"/>
                <w:b/>
                <w:kern w:val="0"/>
                <w:sz w:val="24"/>
                <w:lang w:bidi="ar"/>
              </w:rPr>
              <w:t>数量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rPr>
            </w:pPr>
            <w:r>
              <w:rPr>
                <w:rFonts w:ascii="宋体" w:hAnsi="宋体" w:cs="宋体"/>
                <w:b/>
                <w:kern w:val="0"/>
                <w:sz w:val="24"/>
                <w:lang w:bidi="ar"/>
              </w:rPr>
              <w:t>单位</w:t>
            </w:r>
          </w:p>
        </w:tc>
      </w:tr>
      <w:tr>
        <w:tblPrEx>
          <w:tblCellMar>
            <w:top w:w="15" w:type="dxa"/>
            <w:left w:w="15" w:type="dxa"/>
            <w:bottom w:w="15" w:type="dxa"/>
            <w:right w:w="15" w:type="dxa"/>
          </w:tblCellMar>
        </w:tblPrEx>
        <w:trPr>
          <w:trHeight w:val="518" w:hRule="atLeast"/>
        </w:trPr>
        <w:tc>
          <w:tcPr>
            <w:tcW w:w="814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 w:val="22"/>
              </w:rPr>
            </w:pPr>
            <w:r>
              <w:rPr>
                <w:rFonts w:ascii="宋体" w:hAnsi="宋体" w:cs="宋体"/>
                <w:b/>
                <w:kern w:val="0"/>
                <w:sz w:val="22"/>
                <w:lang w:bidi="ar"/>
              </w:rPr>
              <w:t>1、软件应用</w:t>
            </w: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Ansi="宋体" w:cs="宋体"/>
                <w:b/>
                <w:sz w:val="22"/>
              </w:rPr>
            </w:pPr>
          </w:p>
        </w:tc>
      </w:tr>
      <w:tr>
        <w:tblPrEx>
          <w:tblCellMar>
            <w:top w:w="15" w:type="dxa"/>
            <w:left w:w="15" w:type="dxa"/>
            <w:bottom w:w="15" w:type="dxa"/>
            <w:right w:w="15" w:type="dxa"/>
          </w:tblCellMar>
        </w:tblPrEx>
        <w:trPr>
          <w:trHeight w:val="863" w:hRule="atLeast"/>
        </w:trPr>
        <w:tc>
          <w:tcPr>
            <w:tcW w:w="3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1.1</w:t>
            </w:r>
          </w:p>
        </w:tc>
        <w:tc>
          <w:tcPr>
            <w:tcW w:w="4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公务用车服务平台</w:t>
            </w:r>
          </w:p>
        </w:tc>
        <w:tc>
          <w:tcPr>
            <w:tcW w:w="13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hint="eastAsia" w:ascii="宋体" w:hAnsi="宋体" w:cs="宋体"/>
                <w:sz w:val="20"/>
              </w:rPr>
              <w:t>服务管理平台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sz w:val="20"/>
              </w:rPr>
            </w:pPr>
            <w:r>
              <w:rPr>
                <w:rFonts w:ascii="宋体" w:hAnsi="宋体" w:cs="宋体"/>
                <w:kern w:val="0"/>
                <w:sz w:val="20"/>
                <w:lang w:bidi="ar"/>
              </w:rPr>
              <w:t>用户</w:t>
            </w:r>
            <w:r>
              <w:rPr>
                <w:rFonts w:hint="eastAsia" w:ascii="宋体" w:hAnsi="宋体" w:cs="宋体"/>
                <w:kern w:val="0"/>
                <w:sz w:val="20"/>
                <w:lang w:bidi="ar"/>
              </w:rPr>
              <w:t>登录</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hAnsi="宋体" w:cs="宋体"/>
                <w:sz w:val="20"/>
              </w:rPr>
            </w:pPr>
            <w:r>
              <w:rPr>
                <w:rFonts w:ascii="宋体" w:hAnsi="宋体" w:cs="宋体"/>
                <w:kern w:val="0"/>
                <w:sz w:val="20"/>
                <w:lang w:bidi="ar"/>
              </w:rPr>
              <w:t>Web端和APP端支持用户名和口令</w:t>
            </w:r>
            <w:r>
              <w:rPr>
                <w:rFonts w:hint="eastAsia" w:ascii="宋体" w:hAnsi="宋体" w:cs="宋体"/>
                <w:kern w:val="0"/>
                <w:sz w:val="20"/>
                <w:lang w:bidi="ar"/>
              </w:rPr>
              <w:t>登录</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17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用车申请</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Ansi="宋体" w:cs="宋体"/>
                <w:sz w:val="20"/>
              </w:rPr>
            </w:pPr>
            <w:r>
              <w:rPr>
                <w:rFonts w:hint="eastAsia"/>
                <w:sz w:val="20"/>
              </w:rPr>
              <w:t>包含前台预约申请子系统及后台管理系统，为用车部门提供申请用车服务</w:t>
            </w:r>
            <w:r>
              <w:rPr>
                <w:rFonts w:ascii="宋体" w:hAnsi="宋体" w:cs="宋体"/>
                <w:kern w:val="0"/>
                <w:sz w:val="20"/>
                <w:lang w:bidi="ar"/>
              </w:rPr>
              <w:t>，支持</w:t>
            </w:r>
            <w:r>
              <w:rPr>
                <w:rFonts w:hint="eastAsia" w:ascii="宋体" w:hAnsi="宋体" w:cs="宋体"/>
                <w:kern w:val="0"/>
                <w:sz w:val="20"/>
                <w:lang w:bidi="ar"/>
              </w:rPr>
              <w:t>区级</w:t>
            </w:r>
            <w:r>
              <w:rPr>
                <w:rFonts w:ascii="宋体" w:hAnsi="宋体" w:cs="宋体"/>
                <w:kern w:val="0"/>
                <w:sz w:val="20"/>
                <w:lang w:bidi="ar"/>
              </w:rPr>
              <w:t>机关向</w:t>
            </w:r>
            <w:r>
              <w:rPr>
                <w:rFonts w:hint="eastAsia" w:ascii="宋体" w:hAnsi="宋体" w:cs="宋体"/>
                <w:kern w:val="0"/>
                <w:sz w:val="20"/>
                <w:lang w:bidi="ar"/>
              </w:rPr>
              <w:t>区级</w:t>
            </w:r>
            <w:r>
              <w:rPr>
                <w:rFonts w:ascii="宋体" w:hAnsi="宋体" w:cs="宋体"/>
                <w:kern w:val="0"/>
                <w:sz w:val="20"/>
                <w:lang w:bidi="ar"/>
              </w:rPr>
              <w:t>公务用车管理服务中心平台申请用车与审核；支持</w:t>
            </w:r>
            <w:r>
              <w:rPr>
                <w:rFonts w:hint="eastAsia" w:ascii="宋体" w:hAnsi="宋体" w:cs="宋体"/>
                <w:kern w:val="0"/>
                <w:sz w:val="20"/>
                <w:lang w:bidi="ar"/>
              </w:rPr>
              <w:t>区级</w:t>
            </w:r>
            <w:r>
              <w:rPr>
                <w:rFonts w:ascii="宋体" w:hAnsi="宋体" w:cs="宋体"/>
                <w:kern w:val="0"/>
                <w:sz w:val="20"/>
                <w:lang w:bidi="ar"/>
              </w:rPr>
              <w:t>综合执法单位向</w:t>
            </w:r>
            <w:r>
              <w:rPr>
                <w:rFonts w:hint="eastAsia" w:ascii="宋体" w:hAnsi="宋体" w:cs="宋体"/>
                <w:kern w:val="0"/>
                <w:sz w:val="20"/>
                <w:lang w:bidi="ar"/>
              </w:rPr>
              <w:t>区级</w:t>
            </w:r>
            <w:r>
              <w:rPr>
                <w:rFonts w:ascii="宋体" w:hAnsi="宋体" w:cs="宋体"/>
                <w:kern w:val="0"/>
                <w:sz w:val="20"/>
                <w:lang w:bidi="ar"/>
              </w:rPr>
              <w:t>综合执法应急保障平台申请用车与审核；支持向</w:t>
            </w:r>
            <w:r>
              <w:rPr>
                <w:rFonts w:hint="eastAsia" w:ascii="宋体" w:hAnsi="宋体" w:cs="宋体"/>
                <w:kern w:val="0"/>
                <w:sz w:val="20"/>
                <w:lang w:bidi="ar"/>
              </w:rPr>
              <w:t>区</w:t>
            </w:r>
            <w:r>
              <w:rPr>
                <w:rFonts w:ascii="宋体" w:hAnsi="宋体" w:cs="宋体"/>
                <w:kern w:val="0"/>
                <w:sz w:val="20"/>
                <w:lang w:bidi="ar"/>
              </w:rPr>
              <w:t>、</w:t>
            </w:r>
            <w:r>
              <w:rPr>
                <w:rFonts w:hint="eastAsia" w:ascii="宋体" w:hAnsi="宋体" w:cs="宋体"/>
                <w:kern w:val="0"/>
                <w:sz w:val="20"/>
                <w:lang w:bidi="ar"/>
              </w:rPr>
              <w:t>乡镇</w:t>
            </w:r>
            <w:r>
              <w:rPr>
                <w:rFonts w:ascii="宋体" w:hAnsi="宋体" w:cs="宋体"/>
                <w:kern w:val="0"/>
                <w:sz w:val="20"/>
                <w:lang w:bidi="ar"/>
              </w:rPr>
              <w:t>公务用车服务中心申请用车与审核，实现异地公务出行用车服务；支持</w:t>
            </w:r>
            <w:r>
              <w:rPr>
                <w:rFonts w:hint="eastAsia" w:ascii="宋体" w:hAnsi="宋体" w:cs="宋体"/>
                <w:kern w:val="0"/>
                <w:sz w:val="20"/>
                <w:lang w:bidi="ar"/>
              </w:rPr>
              <w:t>区级</w:t>
            </w:r>
            <w:r>
              <w:rPr>
                <w:rFonts w:ascii="宋体" w:hAnsi="宋体" w:cs="宋体"/>
                <w:kern w:val="0"/>
                <w:sz w:val="20"/>
                <w:lang w:bidi="ar"/>
              </w:rPr>
              <w:t>机关向社会化租赁公司申请用车与审核</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审核签批</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Ansi="宋体" w:cs="宋体"/>
                <w:sz w:val="20"/>
              </w:rPr>
            </w:pPr>
            <w:r>
              <w:rPr>
                <w:rFonts w:ascii="宋体" w:hAnsi="宋体" w:cs="宋体"/>
                <w:kern w:val="0"/>
                <w:sz w:val="20"/>
                <w:lang w:bidi="ar"/>
              </w:rPr>
              <w:t>用车审核提供多级审核功能和批量审核功能，支持电子签章，审核层级可自定义</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102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订单详情记录</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Ansi="宋体" w:cs="宋体"/>
                <w:sz w:val="20"/>
              </w:rPr>
            </w:pPr>
            <w:r>
              <w:rPr>
                <w:rFonts w:ascii="宋体" w:hAnsi="宋体" w:cs="宋体"/>
                <w:kern w:val="0"/>
                <w:sz w:val="20"/>
                <w:lang w:bidi="ar"/>
              </w:rPr>
              <w:t>可按用车人、申请时间、车牌号等方式查询用车订单，内容包括申请信息、审核信息、派车信息、费用信息以及订单结算统计功能。可查询订单从开始到结束全状态</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车辆配备更新处置</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Ansi="宋体" w:cs="宋体"/>
                <w:sz w:val="20"/>
              </w:rPr>
            </w:pPr>
            <w:r>
              <w:rPr>
                <w:rFonts w:ascii="宋体" w:hAnsi="宋体" w:cs="宋体"/>
                <w:kern w:val="0"/>
                <w:sz w:val="20"/>
                <w:lang w:bidi="ar"/>
              </w:rPr>
              <w:t>可实现单位车辆购买申请、审批、报废、处置等功能</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车辆监控</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Ansi="宋体" w:cs="宋体"/>
                <w:sz w:val="20"/>
              </w:rPr>
            </w:pPr>
            <w:r>
              <w:rPr>
                <w:rFonts w:ascii="宋体" w:hAnsi="宋体" w:cs="宋体"/>
                <w:kern w:val="0"/>
                <w:sz w:val="20"/>
                <w:lang w:bidi="ar"/>
              </w:rPr>
              <w:t>车辆实时位置监控、单车追踪、行驶轨迹查询、公车私用报警等</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公务用车监管平台</w:t>
            </w: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车辆位置监督</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1.总览车辆位置信息，显示平台行驶总里程、总油耗；</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2.精准车辆实时</w:t>
            </w:r>
            <w:r>
              <w:rPr>
                <w:rFonts w:hint="eastAsia" w:ascii="宋体" w:hAnsi="宋体" w:cs="宋体"/>
                <w:kern w:val="0"/>
                <w:sz w:val="20"/>
                <w:lang w:bidi="ar"/>
              </w:rPr>
              <w:t>运行</w:t>
            </w:r>
            <w:r>
              <w:rPr>
                <w:rFonts w:ascii="宋体" w:hAnsi="宋体" w:cs="宋体"/>
                <w:kern w:val="0"/>
                <w:sz w:val="20"/>
                <w:lang w:bidi="ar"/>
              </w:rPr>
              <w:t>状态跟踪，实现轨迹平滑移动；</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3.实时刷新公务出行车辆去向动态，查看使用详情；</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4.查看车辆行驶轨迹，实现播放速度控制、车辆位置标注。</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sz w:val="20"/>
              </w:rPr>
              <w:t>统计分析</w:t>
            </w:r>
            <w:r>
              <w:rPr>
                <w:rFonts w:ascii="宋体" w:hAnsi="宋体" w:cs="宋体"/>
                <w:kern w:val="0"/>
                <w:sz w:val="20"/>
                <w:lang w:bidi="ar"/>
              </w:rPr>
              <w:t>监督</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1.查看地区车辆出行公务简报，并形象的进行展示；</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2.查看行政区域机务简报；</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3.查看区域运营信息简报</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4.查看区域公务出行报警简报信息；</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5.对各地区公务出行情况进行统计，分析各个地区用车拥挤时段。</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公务出行监督</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查看公务出行信息，包含单位名称、公务类型、用车天数等</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车辆报警监督</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1.车辆位置超速报警；</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2.解读车辆故障代码进行实时同步报警；</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3.敏感区域及行政区域划分出入报警；</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4.终端设备报警。</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综合执法车辆管理平台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hAnsi="宋体" w:cs="宋体"/>
                <w:sz w:val="20"/>
              </w:rPr>
            </w:pPr>
            <w:r>
              <w:rPr>
                <w:rFonts w:ascii="宋体" w:hAnsi="宋体" w:cs="宋体"/>
                <w:kern w:val="0"/>
                <w:sz w:val="20"/>
                <w:lang w:bidi="ar"/>
              </w:rPr>
              <w:t>用户</w:t>
            </w:r>
            <w:r>
              <w:rPr>
                <w:rFonts w:hint="eastAsia" w:ascii="宋体" w:hAnsi="宋体" w:cs="宋体"/>
                <w:kern w:val="0"/>
                <w:sz w:val="20"/>
                <w:lang w:bidi="ar"/>
              </w:rPr>
              <w:t>登录</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hAnsi="宋体" w:cs="宋体"/>
                <w:sz w:val="20"/>
              </w:rPr>
            </w:pPr>
            <w:r>
              <w:rPr>
                <w:rFonts w:ascii="宋体" w:hAnsi="宋体" w:cs="宋体"/>
                <w:kern w:val="0"/>
                <w:sz w:val="20"/>
                <w:lang w:bidi="ar"/>
              </w:rPr>
              <w:t>Web端和APP端支持用户名和口令</w:t>
            </w:r>
            <w:r>
              <w:rPr>
                <w:rFonts w:hint="eastAsia" w:ascii="宋体" w:hAnsi="宋体" w:cs="宋体"/>
                <w:kern w:val="0"/>
                <w:sz w:val="20"/>
                <w:lang w:bidi="ar"/>
              </w:rPr>
              <w:t>登录</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153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车辆调度管理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根据用车申请信息，具有选择车型、驾驶员进行调度派车功能；实现车辆、驾驶员、调度员等服务人员配置功能；具有对</w:t>
            </w:r>
            <w:r>
              <w:rPr>
                <w:rFonts w:hint="eastAsia" w:ascii="宋体" w:hAnsi="宋体" w:cs="宋体"/>
                <w:kern w:val="0"/>
                <w:sz w:val="20"/>
                <w:lang w:bidi="ar"/>
              </w:rPr>
              <w:t>区级</w:t>
            </w:r>
            <w:r>
              <w:rPr>
                <w:rFonts w:ascii="宋体" w:hAnsi="宋体" w:cs="宋体"/>
                <w:kern w:val="0"/>
                <w:sz w:val="20"/>
                <w:lang w:bidi="ar"/>
              </w:rPr>
              <w:t>机关保留车辆调度功能；具有对大型活动，如重大会议，实现对保留车辆的统一征集调度功能；在平台车辆不足情况下，具有对租赁公司车辆征集调度功能。</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驾驶员管理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实现驾驶员考勤管理、档案管理、任务管理</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76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车辆管理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提供车辆类型、车辆购置时间、价格、年审时间等基本信息管理功能；提供保养、保险等车辆使用管理与提醒功能</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执法执勤车辆管理平台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单位信息</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查看各执法单位联系方式，包括执法单位、联系人、联系方式信息等功能</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申请审核</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在线填写执法事由，选择执法车辆等信息，完成执法用车申请，审核并完成对执法用车的调度</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7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统一征集调度</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Ansi="宋体" w:cs="宋体"/>
                <w:sz w:val="20"/>
              </w:rPr>
            </w:pPr>
            <w:r>
              <w:rPr>
                <w:rFonts w:ascii="宋体" w:hAnsi="宋体" w:cs="宋体"/>
                <w:kern w:val="0"/>
                <w:sz w:val="20"/>
                <w:lang w:bidi="ar"/>
              </w:rPr>
              <w:t>实现在重大任务或活动时，可进行同级部门车辆调度、车辆归还操作</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自动派车</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可根据实际工作情况进行自动派车设置，系统自动完成用车的审批、指派等操作</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sz w:val="20"/>
              </w:rPr>
              <w:t>统计分析</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统计车辆出行任务单金额、维修保养金额等。</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维保管理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实现车辆的维修、保养等相信信息输入，并进行到期提醒设置</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年检管理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实现车辆年检信息录入、到期提醒</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9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企事业单位车辆管理平台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hAnsi="宋体" w:cs="宋体"/>
                <w:sz w:val="20"/>
              </w:rPr>
            </w:pPr>
            <w:r>
              <w:rPr>
                <w:rFonts w:ascii="宋体" w:hAnsi="宋体" w:cs="宋体"/>
                <w:kern w:val="0"/>
                <w:sz w:val="20"/>
                <w:lang w:bidi="ar"/>
              </w:rPr>
              <w:t>用户</w:t>
            </w:r>
            <w:r>
              <w:rPr>
                <w:rFonts w:hint="eastAsia" w:ascii="宋体" w:hAnsi="宋体" w:cs="宋体"/>
                <w:kern w:val="0"/>
                <w:sz w:val="20"/>
                <w:lang w:bidi="ar"/>
              </w:rPr>
              <w:t>登录</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int="eastAsia" w:hAnsi="宋体" w:cs="宋体"/>
                <w:sz w:val="20"/>
              </w:rPr>
            </w:pPr>
            <w:r>
              <w:rPr>
                <w:rFonts w:ascii="宋体" w:hAnsi="宋体" w:cs="宋体"/>
                <w:kern w:val="0"/>
                <w:sz w:val="20"/>
                <w:lang w:bidi="ar"/>
              </w:rPr>
              <w:t>Web端和APP端支持用户名和口令</w:t>
            </w:r>
            <w:r>
              <w:rPr>
                <w:rFonts w:hint="eastAsia" w:ascii="宋体" w:hAnsi="宋体" w:cs="宋体"/>
                <w:kern w:val="0"/>
                <w:sz w:val="20"/>
                <w:lang w:bidi="ar"/>
              </w:rPr>
              <w:t>登录</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调度管理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根据用车申请信息，具有选择车型、驾驶员进行调度派车功能；具有对事业单位车辆调度功能</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驾驶员管理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实现驾驶员考勤管理、档案管理、任务管理</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76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车辆管理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提供车辆类型、车辆购置时间、价格、年审时间等基本信息管理功能；提供保养、保险等车辆使用管理与提醒功能</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费用标准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具备根据车型、车况、行驶里程、用车时间制定价格标准的管理功能。支持多种类型计价方式</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报表统计</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车辆里程、油耗统计；实现按时间段对部门用车、任务用车等运行费用信息统计分析</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租车管理调度服务平台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调度管理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对租车服务进行调度指派车辆和驾驶员，并通过系统实时推送指派信息</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车型管理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对车型进行统一管理，实现车型与车辆的对应关系，车型的删除、增加等</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客户管理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实现客户欠费管理机制，客户欠费后，将不能进行申请用车</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系统管理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系统权限树管理</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车辆管理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记录开始时间、结束时间，统计车辆里程和油耗信息；</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单趟任务出行成本统计；</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车辆和驾驶员出勤统计；</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285"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基础管理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实现驾驶员、车辆、及基础数据分类式档案管理</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510" w:hRule="atLeast"/>
        </w:trPr>
        <w:tc>
          <w:tcPr>
            <w:tcW w:w="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费用管理</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可实现单任务费用结算，APP上传费用，管理人员进行费用核实，手动矫正费用信息</w:t>
            </w: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Ansi="宋体" w:cs="宋体"/>
                <w:sz w:val="20"/>
              </w:rPr>
            </w:pPr>
          </w:p>
        </w:tc>
      </w:tr>
      <w:tr>
        <w:tblPrEx>
          <w:tblCellMar>
            <w:top w:w="15" w:type="dxa"/>
            <w:left w:w="15" w:type="dxa"/>
            <w:bottom w:w="15" w:type="dxa"/>
            <w:right w:w="15" w:type="dxa"/>
          </w:tblCellMar>
        </w:tblPrEx>
        <w:trPr>
          <w:trHeight w:val="1020" w:hRule="atLeast"/>
        </w:trPr>
        <w:tc>
          <w:tcPr>
            <w:tcW w:w="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1.2</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sz w:val="20"/>
              </w:rPr>
              <w:t>驾驶员用户端</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驾驶员端APP</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驾驶员使用</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pStyle w:val="73"/>
              <w:ind w:firstLine="0"/>
              <w:rPr>
                <w:rFonts w:hAnsi="宋体" w:cs="宋体"/>
                <w:sz w:val="20"/>
                <w:szCs w:val="20"/>
              </w:rPr>
            </w:pPr>
            <w:r>
              <w:rPr>
                <w:rFonts w:ascii="宋体" w:hAnsi="宋体" w:cs="宋体"/>
                <w:kern w:val="0"/>
                <w:sz w:val="20"/>
                <w:szCs w:val="20"/>
                <w:lang w:bidi="ar"/>
              </w:rPr>
              <w:t>实现驾驶员账号口令登录，在线任务操作，通过手机APP实现接单、执行任务、提交车辆产生费用、入库操作；在线申请维修、保养，在线申请请假、休假，打卡签到操作（显示打卡时间、地点），实现任务导航功能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1020" w:hRule="atLeast"/>
        </w:trPr>
        <w:tc>
          <w:tcPr>
            <w:tcW w:w="356" w:type="dxa"/>
            <w:vMerge w:val="restart"/>
            <w:tcBorders>
              <w:top w:val="single" w:color="000000" w:sz="4" w:space="0"/>
              <w:left w:val="single" w:color="000000" w:sz="4" w:space="0"/>
              <w:right w:val="single" w:color="000000" w:sz="4" w:space="0"/>
            </w:tcBorders>
            <w:noWrap w:val="0"/>
            <w:vAlign w:val="center"/>
          </w:tcPr>
          <w:p>
            <w:pPr>
              <w:jc w:val="center"/>
              <w:rPr>
                <w:rFonts w:hAnsi="宋体" w:cs="宋体"/>
                <w:sz w:val="20"/>
              </w:rPr>
            </w:pPr>
            <w:r>
              <w:rPr>
                <w:rFonts w:ascii="宋体" w:hAnsi="宋体" w:cs="宋体"/>
                <w:sz w:val="20"/>
              </w:rPr>
              <w:t>1.3</w:t>
            </w:r>
          </w:p>
        </w:tc>
        <w:tc>
          <w:tcPr>
            <w:tcW w:w="439" w:type="dxa"/>
            <w:vMerge w:val="restart"/>
            <w:tcBorders>
              <w:top w:val="single" w:color="000000" w:sz="4" w:space="0"/>
              <w:left w:val="single" w:color="000000" w:sz="4" w:space="0"/>
              <w:right w:val="single" w:color="000000" w:sz="4" w:space="0"/>
            </w:tcBorders>
            <w:noWrap w:val="0"/>
            <w:vAlign w:val="center"/>
          </w:tcPr>
          <w:p>
            <w:pPr>
              <w:jc w:val="center"/>
              <w:rPr>
                <w:rFonts w:hAnsi="宋体" w:cs="宋体"/>
                <w:sz w:val="20"/>
              </w:rPr>
            </w:pPr>
            <w:r>
              <w:rPr>
                <w:rFonts w:ascii="宋体" w:hAnsi="宋体" w:cs="宋体"/>
                <w:sz w:val="20"/>
              </w:rPr>
              <w:t>手机管理端软件</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管理端APP</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管理端使用</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管理人员通过账号、口令</w:t>
            </w:r>
            <w:r>
              <w:rPr>
                <w:rFonts w:hint="eastAsia" w:ascii="宋体" w:hAnsi="宋体" w:cs="宋体"/>
                <w:kern w:val="0"/>
                <w:sz w:val="20"/>
                <w:lang w:bidi="ar"/>
              </w:rPr>
              <w:t>登录</w:t>
            </w:r>
            <w:r>
              <w:rPr>
                <w:rFonts w:ascii="宋体" w:hAnsi="宋体" w:cs="宋体"/>
                <w:kern w:val="0"/>
                <w:sz w:val="20"/>
                <w:lang w:bidi="ar"/>
              </w:rPr>
              <w:t>，实现订单多级在线审批、自动签字功能，车辆总体位置监控、单车任务跟踪、历史轨迹回放、费用核实、统计分析、调度日志查看。</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1020" w:hRule="atLeast"/>
        </w:trPr>
        <w:tc>
          <w:tcPr>
            <w:tcW w:w="356" w:type="dxa"/>
            <w:vMerge w:val="continue"/>
            <w:tcBorders>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439" w:type="dxa"/>
            <w:vMerge w:val="continue"/>
            <w:tcBorders>
              <w:left w:val="single" w:color="000000" w:sz="4" w:space="0"/>
              <w:bottom w:val="single" w:color="000000" w:sz="4" w:space="0"/>
              <w:right w:val="single" w:color="000000" w:sz="4" w:space="0"/>
            </w:tcBorders>
            <w:noWrap w:val="0"/>
            <w:vAlign w:val="center"/>
          </w:tcPr>
          <w:p>
            <w:pPr>
              <w:jc w:val="center"/>
              <w:rPr>
                <w:rFonts w:hAnsi="宋体" w:cs="宋体"/>
                <w:sz w:val="20"/>
              </w:rPr>
            </w:pP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客户端APP</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rPr>
            </w:pPr>
            <w:r>
              <w:rPr>
                <w:rFonts w:ascii="宋体" w:hAnsi="宋体" w:cs="宋体"/>
                <w:kern w:val="0"/>
                <w:sz w:val="20"/>
                <w:lang w:bidi="ar"/>
              </w:rPr>
              <w:t>客户端使用</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rPr>
            </w:pPr>
            <w:r>
              <w:rPr>
                <w:rFonts w:ascii="宋体" w:hAnsi="宋体" w:cs="宋体"/>
                <w:kern w:val="0"/>
                <w:sz w:val="20"/>
                <w:lang w:bidi="ar"/>
              </w:rPr>
              <w:t>用户通过账号、口令</w:t>
            </w:r>
            <w:r>
              <w:rPr>
                <w:rFonts w:hint="eastAsia" w:ascii="宋体" w:hAnsi="宋体" w:cs="宋体"/>
                <w:kern w:val="0"/>
                <w:sz w:val="20"/>
                <w:lang w:bidi="ar"/>
              </w:rPr>
              <w:t>登录</w:t>
            </w:r>
            <w:r>
              <w:rPr>
                <w:rFonts w:ascii="宋体" w:hAnsi="宋体" w:cs="宋体"/>
                <w:kern w:val="0"/>
                <w:sz w:val="20"/>
                <w:lang w:bidi="ar"/>
              </w:rPr>
              <w:t>，定位当前申请用车地点，在线填写用车信息，选择用车类型，上传用车附件，查看历史申请记录及历史订单状态，订单审批，费用核实；</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套</w:t>
            </w:r>
          </w:p>
        </w:tc>
      </w:tr>
      <w:tr>
        <w:tblPrEx>
          <w:tblCellMar>
            <w:top w:w="15" w:type="dxa"/>
            <w:left w:w="15" w:type="dxa"/>
            <w:bottom w:w="15" w:type="dxa"/>
            <w:right w:w="15" w:type="dxa"/>
          </w:tblCellMar>
        </w:tblPrEx>
        <w:trPr>
          <w:trHeight w:val="1020" w:hRule="atLeast"/>
        </w:trPr>
        <w:tc>
          <w:tcPr>
            <w:tcW w:w="356" w:type="dxa"/>
            <w:vMerge w:val="restart"/>
            <w:tcBorders>
              <w:left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ascii="宋体" w:hAnsi="宋体" w:cs="宋体"/>
                <w:kern w:val="0"/>
                <w:sz w:val="20"/>
                <w:lang w:bidi="ar"/>
              </w:rPr>
              <w:t>1.4</w:t>
            </w:r>
          </w:p>
        </w:tc>
        <w:tc>
          <w:tcPr>
            <w:tcW w:w="439" w:type="dxa"/>
            <w:vMerge w:val="restart"/>
            <w:tcBorders>
              <w:left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ascii="宋体" w:hAnsi="宋体" w:cs="宋体"/>
                <w:kern w:val="0"/>
                <w:sz w:val="20"/>
                <w:lang w:bidi="ar"/>
              </w:rPr>
              <w:t>预留兼容对接接口</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hint="eastAsia" w:ascii="宋体" w:hAnsi="宋体" w:cs="宋体"/>
                <w:kern w:val="0"/>
                <w:sz w:val="20"/>
                <w:lang w:bidi="ar"/>
              </w:rPr>
              <w:t>三级监管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ascii="宋体" w:hAnsi="宋体" w:cs="宋体"/>
                <w:kern w:val="0"/>
                <w:sz w:val="20"/>
                <w:lang w:bidi="ar"/>
              </w:rPr>
              <w:t>预留对接接口</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hAnsi="宋体" w:cs="宋体"/>
                <w:sz w:val="20"/>
                <w:lang w:bidi="ar"/>
              </w:rPr>
            </w:pPr>
            <w:r>
              <w:rPr>
                <w:rFonts w:ascii="宋体" w:hAnsi="宋体" w:cs="宋体"/>
                <w:kern w:val="0"/>
                <w:sz w:val="20"/>
                <w:lang w:bidi="ar"/>
              </w:rPr>
              <w:t>1：向上</w:t>
            </w:r>
            <w:r>
              <w:rPr>
                <w:rFonts w:hint="eastAsia" w:ascii="宋体" w:hAnsi="宋体" w:cs="宋体"/>
                <w:kern w:val="0"/>
                <w:sz w:val="20"/>
                <w:lang w:bidi="ar"/>
              </w:rPr>
              <w:t>与市级</w:t>
            </w:r>
            <w:r>
              <w:rPr>
                <w:rFonts w:ascii="宋体" w:hAnsi="宋体" w:cs="宋体"/>
                <w:kern w:val="0"/>
                <w:sz w:val="20"/>
                <w:lang w:bidi="ar"/>
              </w:rPr>
              <w:t xml:space="preserve">主管部门预留对接接口； </w:t>
            </w:r>
          </w:p>
          <w:p>
            <w:pPr>
              <w:widowControl/>
              <w:jc w:val="left"/>
              <w:textAlignment w:val="top"/>
              <w:rPr>
                <w:rFonts w:hint="eastAsia" w:ascii="宋体" w:hAnsi="宋体" w:cs="宋体"/>
                <w:color w:val="FF0000"/>
                <w:sz w:val="20"/>
              </w:rPr>
            </w:pPr>
            <w:r>
              <w:rPr>
                <w:rFonts w:ascii="宋体" w:hAnsi="宋体" w:cs="宋体"/>
                <w:kern w:val="0"/>
                <w:sz w:val="20"/>
                <w:lang w:bidi="ar"/>
              </w:rPr>
              <w:t>2：向下</w:t>
            </w:r>
            <w:r>
              <w:rPr>
                <w:rFonts w:hint="eastAsia" w:ascii="宋体" w:hAnsi="宋体" w:cs="宋体"/>
                <w:kern w:val="0"/>
                <w:sz w:val="20"/>
                <w:lang w:bidi="ar"/>
              </w:rPr>
              <w:t>与乡镇平台</w:t>
            </w:r>
            <w:r>
              <w:rPr>
                <w:rFonts w:ascii="宋体" w:hAnsi="宋体" w:cs="宋体"/>
                <w:kern w:val="0"/>
                <w:sz w:val="20"/>
                <w:lang w:bidi="ar"/>
              </w:rPr>
              <w:t>预留对接接口。</w:t>
            </w:r>
            <w:r>
              <w:rPr>
                <w:rFonts w:hint="eastAsia" w:ascii="宋体" w:hAnsi="宋体" w:cs="宋体"/>
                <w:sz w:val="20"/>
              </w:rPr>
              <w:t>在车辆主管部门、质检监察、财政、审计等单位实现资源共赏，互联互通，利用平台车辆使用信息，严查公车私用等违纪违规行为，科学分析</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hint="eastAsia" w:ascii="宋体" w:hAnsi="宋体" w:cs="宋体"/>
                <w:kern w:val="0"/>
                <w:sz w:val="20"/>
                <w:lang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ascii="宋体" w:hAnsi="宋体" w:cs="宋体"/>
                <w:kern w:val="0"/>
                <w:sz w:val="20"/>
                <w:lang w:bidi="ar"/>
              </w:rPr>
              <w:t>套</w:t>
            </w:r>
          </w:p>
        </w:tc>
      </w:tr>
      <w:tr>
        <w:tblPrEx>
          <w:tblCellMar>
            <w:top w:w="15" w:type="dxa"/>
            <w:left w:w="15" w:type="dxa"/>
            <w:bottom w:w="15" w:type="dxa"/>
            <w:right w:w="15" w:type="dxa"/>
          </w:tblCellMar>
        </w:tblPrEx>
        <w:trPr>
          <w:trHeight w:val="1020" w:hRule="atLeast"/>
        </w:trPr>
        <w:tc>
          <w:tcPr>
            <w:tcW w:w="356" w:type="dxa"/>
            <w:vMerge w:val="continue"/>
            <w:tcBorders>
              <w:left w:val="single" w:color="000000" w:sz="4" w:space="0"/>
              <w:right w:val="single" w:color="000000" w:sz="4" w:space="0"/>
            </w:tcBorders>
            <w:noWrap w:val="0"/>
            <w:vAlign w:val="center"/>
          </w:tcPr>
          <w:p>
            <w:pPr>
              <w:widowControl/>
              <w:jc w:val="left"/>
              <w:textAlignment w:val="top"/>
              <w:rPr>
                <w:rFonts w:hAnsi="宋体" w:cs="宋体"/>
                <w:sz w:val="20"/>
                <w:lang w:bidi="ar"/>
              </w:rPr>
            </w:pPr>
          </w:p>
        </w:tc>
        <w:tc>
          <w:tcPr>
            <w:tcW w:w="439" w:type="dxa"/>
            <w:vMerge w:val="continue"/>
            <w:tcBorders>
              <w:left w:val="single" w:color="000000" w:sz="4" w:space="0"/>
              <w:right w:val="single" w:color="000000" w:sz="4" w:space="0"/>
            </w:tcBorders>
            <w:noWrap w:val="0"/>
            <w:vAlign w:val="center"/>
          </w:tcPr>
          <w:p>
            <w:pPr>
              <w:widowControl/>
              <w:jc w:val="center"/>
              <w:textAlignment w:val="top"/>
              <w:rPr>
                <w:rFonts w:hAnsi="宋体" w:cs="宋体"/>
                <w:sz w:val="20"/>
                <w:lang w:bidi="ar"/>
              </w:rPr>
            </w:pP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Ansi="宋体" w:cs="宋体"/>
                <w:sz w:val="20"/>
                <w:lang w:bidi="ar"/>
              </w:rPr>
            </w:pPr>
            <w:r>
              <w:rPr>
                <w:rFonts w:hint="eastAsia" w:ascii="宋体" w:hAnsi="宋体" w:cs="宋体"/>
                <w:kern w:val="0"/>
                <w:sz w:val="20"/>
                <w:lang w:bidi="ar"/>
              </w:rPr>
              <w:t>公检法预留接口</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Ansi="宋体" w:cs="宋体"/>
                <w:sz w:val="20"/>
                <w:lang w:bidi="ar"/>
              </w:rPr>
            </w:pPr>
            <w:r>
              <w:rPr>
                <w:rFonts w:hint="eastAsia" w:ascii="宋体" w:hAnsi="宋体" w:cs="宋体"/>
                <w:sz w:val="20"/>
              </w:rPr>
              <w:t>根据需求、预留接口</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lang w:bidi="ar"/>
              </w:rPr>
            </w:pPr>
            <w:r>
              <w:rPr>
                <w:rFonts w:hint="eastAsia" w:ascii="宋体" w:hAnsi="宋体" w:cs="宋体"/>
                <w:sz w:val="20"/>
              </w:rPr>
              <w:t>公安局、检察院、法院、交警支队、机关单位办公系统</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hint="eastAsia" w:ascii="宋体" w:hAnsi="宋体" w:cs="宋体"/>
                <w:kern w:val="0"/>
                <w:sz w:val="20"/>
                <w:lang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ascii="宋体" w:hAnsi="宋体" w:cs="宋体"/>
                <w:kern w:val="0"/>
                <w:sz w:val="20"/>
                <w:lang w:bidi="ar"/>
              </w:rPr>
              <w:t>套</w:t>
            </w:r>
          </w:p>
        </w:tc>
      </w:tr>
      <w:tr>
        <w:tblPrEx>
          <w:tblCellMar>
            <w:top w:w="15" w:type="dxa"/>
            <w:left w:w="15" w:type="dxa"/>
            <w:bottom w:w="15" w:type="dxa"/>
            <w:right w:w="15" w:type="dxa"/>
          </w:tblCellMar>
        </w:tblPrEx>
        <w:trPr>
          <w:trHeight w:val="1020" w:hRule="atLeast"/>
        </w:trPr>
        <w:tc>
          <w:tcPr>
            <w:tcW w:w="356" w:type="dxa"/>
            <w:vMerge w:val="continue"/>
            <w:tcBorders>
              <w:left w:val="single" w:color="000000" w:sz="4" w:space="0"/>
              <w:bottom w:val="single" w:color="000000" w:sz="4" w:space="0"/>
              <w:right w:val="single" w:color="000000" w:sz="4" w:space="0"/>
            </w:tcBorders>
            <w:noWrap w:val="0"/>
            <w:vAlign w:val="center"/>
          </w:tcPr>
          <w:p>
            <w:pPr>
              <w:widowControl/>
              <w:jc w:val="left"/>
              <w:textAlignment w:val="top"/>
              <w:rPr>
                <w:rFonts w:hAnsi="宋体" w:cs="宋体"/>
                <w:sz w:val="20"/>
                <w:lang w:bidi="ar"/>
              </w:rPr>
            </w:pPr>
          </w:p>
        </w:tc>
        <w:tc>
          <w:tcPr>
            <w:tcW w:w="43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Ansi="宋体" w:cs="宋体"/>
                <w:sz w:val="20"/>
                <w:lang w:bidi="ar"/>
              </w:rPr>
            </w:pPr>
            <w:r>
              <w:rPr>
                <w:rFonts w:hint="eastAsia" w:ascii="宋体" w:hAnsi="宋体" w:cs="宋体"/>
                <w:sz w:val="20"/>
              </w:rPr>
              <w:t>其他扩展性</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Ansi="宋体" w:cs="宋体"/>
                <w:sz w:val="20"/>
                <w:lang w:bidi="ar"/>
              </w:rPr>
            </w:pPr>
            <w:r>
              <w:rPr>
                <w:rFonts w:hint="eastAsia" w:ascii="宋体" w:hAnsi="宋体" w:cs="宋体"/>
                <w:sz w:val="20"/>
              </w:rPr>
              <w:t>根据需求、预留接口</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lang w:bidi="ar"/>
              </w:rPr>
            </w:pPr>
            <w:r>
              <w:rPr>
                <w:rFonts w:hint="eastAsia" w:ascii="宋体" w:hAnsi="宋体" w:cs="宋体"/>
                <w:kern w:val="0"/>
                <w:sz w:val="20"/>
                <w:lang w:bidi="ar"/>
              </w:rPr>
              <w:t>机关后勤物业、节能、餐饮、办公用房、资产等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hint="eastAsia" w:ascii="宋体" w:hAnsi="宋体" w:cs="宋体"/>
                <w:kern w:val="0"/>
                <w:sz w:val="20"/>
                <w:lang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ascii="宋体" w:hAnsi="宋体" w:cs="宋体"/>
                <w:kern w:val="0"/>
                <w:sz w:val="20"/>
                <w:lang w:bidi="ar"/>
              </w:rPr>
              <w:t>套</w:t>
            </w:r>
          </w:p>
        </w:tc>
      </w:tr>
      <w:tr>
        <w:tblPrEx>
          <w:tblCellMar>
            <w:top w:w="15" w:type="dxa"/>
            <w:left w:w="15" w:type="dxa"/>
            <w:bottom w:w="15" w:type="dxa"/>
            <w:right w:w="15" w:type="dxa"/>
          </w:tblCellMar>
        </w:tblPrEx>
        <w:trPr>
          <w:trHeight w:val="758" w:hRule="atLeast"/>
        </w:trPr>
        <w:tc>
          <w:tcPr>
            <w:tcW w:w="814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 w:val="22"/>
              </w:rPr>
            </w:pPr>
            <w:r>
              <w:rPr>
                <w:rFonts w:ascii="宋体" w:hAnsi="宋体" w:cs="宋体"/>
                <w:b/>
                <w:kern w:val="0"/>
                <w:sz w:val="22"/>
                <w:lang w:bidi="ar"/>
              </w:rPr>
              <w:t>2、数据通讯及技术服务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rPr>
                <w:rFonts w:hAnsi="宋体" w:cs="宋体"/>
                <w:sz w:val="22"/>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rPr>
                <w:rFonts w:hAnsi="宋体" w:cs="宋体"/>
                <w:sz w:val="22"/>
              </w:rPr>
            </w:pPr>
          </w:p>
        </w:tc>
      </w:tr>
      <w:tr>
        <w:tblPrEx>
          <w:tblCellMar>
            <w:top w:w="15" w:type="dxa"/>
            <w:left w:w="15" w:type="dxa"/>
            <w:bottom w:w="15" w:type="dxa"/>
            <w:right w:w="15" w:type="dxa"/>
          </w:tblCellMar>
        </w:tblPrEx>
        <w:trPr>
          <w:trHeight w:val="720" w:hRule="atLeast"/>
        </w:trPr>
        <w:tc>
          <w:tcPr>
            <w:tcW w:w="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lang w:bidi="ar"/>
              </w:rPr>
            </w:pPr>
            <w:r>
              <w:rPr>
                <w:rFonts w:hint="eastAsia" w:ascii="宋体" w:hAnsi="宋体" w:cs="宋体"/>
                <w:kern w:val="0"/>
                <w:szCs w:val="21"/>
                <w:lang w:bidi="ar"/>
              </w:rPr>
              <w:t>2</w:t>
            </w:r>
            <w:r>
              <w:rPr>
                <w:rFonts w:ascii="宋体" w:hAnsi="宋体" w:cs="宋体"/>
                <w:kern w:val="0"/>
                <w:szCs w:val="21"/>
                <w:lang w:bidi="ar"/>
              </w:rPr>
              <w:t>.1</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公务用车</w:t>
            </w:r>
            <w:r>
              <w:rPr>
                <w:rFonts w:hint="eastAsia" w:ascii="宋体" w:hAnsi="宋体" w:cs="宋体"/>
                <w:kern w:val="0"/>
                <w:sz w:val="20"/>
                <w:lang w:bidi="ar"/>
              </w:rPr>
              <w:t>信息化管理服务</w:t>
            </w:r>
            <w:r>
              <w:rPr>
                <w:rFonts w:ascii="宋体" w:hAnsi="宋体" w:cs="宋体"/>
                <w:kern w:val="0"/>
                <w:sz w:val="20"/>
                <w:lang w:bidi="ar"/>
              </w:rPr>
              <w:t>平台维护费用</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rPr>
            </w:pPr>
            <w:r>
              <w:rPr>
                <w:rFonts w:ascii="宋体" w:hAnsi="宋体" w:cs="宋体"/>
                <w:kern w:val="0"/>
                <w:sz w:val="20"/>
                <w:lang w:bidi="ar"/>
              </w:rPr>
              <w:t>公务用车</w:t>
            </w:r>
            <w:r>
              <w:rPr>
                <w:rFonts w:hint="eastAsia" w:ascii="宋体" w:hAnsi="宋体" w:cs="宋体"/>
                <w:kern w:val="0"/>
                <w:sz w:val="20"/>
                <w:lang w:bidi="ar"/>
              </w:rPr>
              <w:t>信息化管理服务</w:t>
            </w:r>
            <w:r>
              <w:rPr>
                <w:rFonts w:ascii="宋体" w:hAnsi="宋体" w:cs="宋体"/>
                <w:kern w:val="0"/>
                <w:sz w:val="20"/>
                <w:lang w:bidi="ar"/>
              </w:rPr>
              <w:t>平台维护</w:t>
            </w:r>
            <w:r>
              <w:rPr>
                <w:rFonts w:hint="eastAsia" w:ascii="宋体" w:hAnsi="宋体" w:cs="宋体"/>
                <w:kern w:val="0"/>
                <w:sz w:val="20"/>
                <w:lang w:bidi="ar"/>
              </w:rPr>
              <w:t>费用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hint="eastAsia" w:ascii="宋体" w:hAnsi="宋体" w:cs="宋体"/>
                <w:kern w:val="0"/>
                <w:sz w:val="20"/>
                <w:lang w:bidi="ar"/>
              </w:rPr>
              <w:t>系统平台运行维护费</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5"/>
              </w:numPr>
              <w:textAlignment w:val="center"/>
              <w:rPr>
                <w:rFonts w:hAnsi="宋体" w:cs="宋体"/>
                <w:sz w:val="20"/>
                <w:lang w:bidi="ar"/>
              </w:rPr>
            </w:pPr>
            <w:r>
              <w:rPr>
                <w:rFonts w:hint="eastAsia" w:ascii="宋体" w:hAnsi="宋体" w:cs="宋体"/>
                <w:kern w:val="0"/>
                <w:sz w:val="20"/>
                <w:lang w:bidi="ar"/>
              </w:rPr>
              <w:t>平台日常维护</w:t>
            </w:r>
            <w:r>
              <w:rPr>
                <w:rFonts w:hint="eastAsia" w:hAnsi="宋体" w:cs="宋体"/>
                <w:kern w:val="0"/>
                <w:sz w:val="20"/>
                <w:lang w:bidi="ar"/>
              </w:rPr>
              <w:t>：每天定时登录服务器检查Tomcat、NGINX、Mycat、Mysql等服务器软件日志是否存在异常和报错，检查服务器网络是否存在异常</w:t>
            </w:r>
          </w:p>
          <w:p>
            <w:pPr>
              <w:widowControl/>
              <w:numPr>
                <w:ilvl w:val="0"/>
                <w:numId w:val="5"/>
              </w:numPr>
              <w:textAlignment w:val="center"/>
              <w:rPr>
                <w:rFonts w:hAnsi="宋体" w:cs="宋体"/>
                <w:sz w:val="20"/>
              </w:rPr>
            </w:pPr>
            <w:r>
              <w:rPr>
                <w:rFonts w:hint="eastAsia" w:ascii="宋体" w:hAnsi="宋体" w:cs="宋体"/>
                <w:kern w:val="0"/>
                <w:sz w:val="20"/>
                <w:lang w:bidi="ar"/>
              </w:rPr>
              <w:t>平台漏洞修复</w:t>
            </w:r>
            <w:r>
              <w:rPr>
                <w:rFonts w:hint="eastAsia" w:hAnsi="宋体" w:cs="宋体"/>
                <w:kern w:val="0"/>
                <w:sz w:val="20"/>
                <w:lang w:bidi="ar"/>
              </w:rPr>
              <w:t>：根据定期漏扫的结果及报告及时修复漏洞；</w:t>
            </w:r>
          </w:p>
          <w:p>
            <w:pPr>
              <w:widowControl/>
              <w:numPr>
                <w:ilvl w:val="0"/>
                <w:numId w:val="5"/>
              </w:numPr>
              <w:textAlignment w:val="center"/>
              <w:rPr>
                <w:rFonts w:hAnsi="宋体" w:cs="宋体"/>
                <w:sz w:val="20"/>
              </w:rPr>
            </w:pPr>
            <w:r>
              <w:rPr>
                <w:rFonts w:hint="eastAsia" w:ascii="宋体" w:hAnsi="宋体" w:cs="宋体"/>
                <w:kern w:val="0"/>
                <w:sz w:val="20"/>
                <w:lang w:bidi="ar"/>
              </w:rPr>
              <w:t>平台功能升级</w:t>
            </w:r>
            <w:r>
              <w:rPr>
                <w:rFonts w:ascii="宋体" w:hAnsi="宋体" w:cs="宋体"/>
                <w:kern w:val="0"/>
                <w:sz w:val="20"/>
                <w:lang w:bidi="ar"/>
              </w:rPr>
              <w:t>、车载客户端软件、平台联调集成、接入后管理运营</w:t>
            </w:r>
            <w:r>
              <w:rPr>
                <w:rFonts w:hint="eastAsia" w:hAnsi="宋体" w:cs="宋体"/>
                <w:kern w:val="0"/>
                <w:sz w:val="20"/>
                <w:lang w:bidi="ar"/>
              </w:rPr>
              <w:t>、数据备份</w:t>
            </w:r>
            <w:r>
              <w:rPr>
                <w:rFonts w:ascii="宋体" w:hAnsi="宋体" w:cs="宋体"/>
                <w:kern w:val="0"/>
                <w:sz w:val="20"/>
                <w:lang w:bidi="ar"/>
              </w:rPr>
              <w:t>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hAnsi="宋体" w:eastAsia="宋体" w:cs="宋体"/>
                <w:sz w:val="20"/>
                <w:lang w:val="en-US" w:eastAsia="zh-CN"/>
              </w:rPr>
            </w:pPr>
            <w:r>
              <w:rPr>
                <w:rFonts w:hint="eastAsia" w:hAnsi="宋体" w:cs="宋体"/>
                <w:sz w:val="20"/>
                <w:lang w:val="en-US" w:eastAsia="zh-CN"/>
              </w:rPr>
              <w:t>574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hint="eastAsia" w:ascii="宋体" w:hAnsi="宋体" w:cs="宋体"/>
                <w:kern w:val="0"/>
                <w:sz w:val="20"/>
                <w:lang w:bidi="ar"/>
              </w:rPr>
              <w:t>台/</w:t>
            </w:r>
            <w:r>
              <w:rPr>
                <w:rFonts w:ascii="宋体" w:hAnsi="宋体" w:cs="宋体"/>
                <w:kern w:val="0"/>
                <w:sz w:val="20"/>
                <w:lang w:bidi="ar"/>
              </w:rPr>
              <w:t>年</w:t>
            </w:r>
          </w:p>
        </w:tc>
      </w:tr>
      <w:tr>
        <w:tblPrEx>
          <w:tblCellMar>
            <w:top w:w="15" w:type="dxa"/>
            <w:left w:w="15" w:type="dxa"/>
            <w:bottom w:w="15" w:type="dxa"/>
            <w:right w:w="15" w:type="dxa"/>
          </w:tblCellMar>
        </w:tblPrEx>
        <w:trPr>
          <w:trHeight w:val="480" w:hRule="atLeast"/>
        </w:trPr>
        <w:tc>
          <w:tcPr>
            <w:tcW w:w="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szCs w:val="21"/>
                <w:lang w:bidi="ar"/>
              </w:rPr>
            </w:pPr>
            <w:r>
              <w:rPr>
                <w:rFonts w:hint="eastAsia" w:ascii="宋体" w:hAnsi="宋体" w:cs="宋体"/>
                <w:kern w:val="0"/>
                <w:szCs w:val="21"/>
                <w:lang w:bidi="ar"/>
              </w:rPr>
              <w:t>2.2</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lang w:bidi="ar"/>
              </w:rPr>
            </w:pPr>
            <w:r>
              <w:rPr>
                <w:rFonts w:ascii="宋体" w:hAnsi="宋体" w:cs="宋体"/>
                <w:kern w:val="0"/>
                <w:sz w:val="20"/>
                <w:lang w:bidi="ar"/>
              </w:rPr>
              <w:t>SIM卡</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lang w:bidi="ar"/>
              </w:rPr>
            </w:pPr>
            <w:r>
              <w:rPr>
                <w:rFonts w:ascii="宋体" w:hAnsi="宋体" w:cs="宋体"/>
                <w:kern w:val="0"/>
                <w:sz w:val="20"/>
                <w:lang w:bidi="ar"/>
              </w:rPr>
              <w:t>物联网SIM卡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Ansi="宋体" w:cs="宋体"/>
                <w:sz w:val="20"/>
                <w:lang w:bidi="ar"/>
              </w:rPr>
            </w:pPr>
            <w:r>
              <w:rPr>
                <w:rFonts w:hint="eastAsia" w:ascii="宋体" w:hAnsi="宋体" w:cs="宋体"/>
                <w:kern w:val="0"/>
                <w:sz w:val="20"/>
                <w:lang w:bidi="ar"/>
              </w:rPr>
              <w:t>数据流量通讯费</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Ansi="宋体" w:cs="宋体"/>
                <w:sz w:val="20"/>
                <w:lang w:bidi="ar"/>
              </w:rPr>
            </w:pPr>
            <w:r>
              <w:rPr>
                <w:rFonts w:hint="eastAsia" w:ascii="宋体" w:hAnsi="宋体" w:cs="宋体"/>
                <w:kern w:val="0"/>
                <w:sz w:val="20"/>
                <w:lang w:bidi="ar"/>
              </w:rPr>
              <w:t>物联网卡移动数据通讯及流量费，用于车辆定位监控系统所有数据通讯</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hAnsi="宋体" w:eastAsia="宋体" w:cs="宋体"/>
                <w:sz w:val="20"/>
                <w:lang w:val="en-US" w:eastAsia="zh-CN" w:bidi="ar"/>
              </w:rPr>
            </w:pPr>
            <w:r>
              <w:rPr>
                <w:rFonts w:hint="eastAsia" w:hAnsi="宋体" w:cs="宋体"/>
                <w:sz w:val="20"/>
                <w:lang w:val="en-US" w:eastAsia="zh-CN"/>
              </w:rPr>
              <w:t>574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lang w:bidi="ar"/>
              </w:rPr>
            </w:pPr>
            <w:r>
              <w:rPr>
                <w:rFonts w:ascii="宋体" w:hAnsi="宋体" w:cs="宋体"/>
                <w:kern w:val="0"/>
                <w:sz w:val="20"/>
                <w:lang w:bidi="ar"/>
              </w:rPr>
              <w:t>张</w:t>
            </w:r>
            <w:r>
              <w:rPr>
                <w:rFonts w:hint="eastAsia" w:ascii="宋体" w:hAnsi="宋体" w:cs="宋体"/>
                <w:kern w:val="0"/>
                <w:sz w:val="20"/>
                <w:lang w:bidi="ar"/>
              </w:rPr>
              <w:t>/</w:t>
            </w:r>
            <w:r>
              <w:rPr>
                <w:rFonts w:ascii="宋体" w:hAnsi="宋体" w:cs="宋体"/>
                <w:kern w:val="0"/>
                <w:sz w:val="20"/>
                <w:lang w:bidi="ar"/>
              </w:rPr>
              <w:t>年</w:t>
            </w:r>
          </w:p>
        </w:tc>
      </w:tr>
      <w:tr>
        <w:tblPrEx>
          <w:tblCellMar>
            <w:top w:w="15" w:type="dxa"/>
            <w:left w:w="15" w:type="dxa"/>
            <w:bottom w:w="15" w:type="dxa"/>
            <w:right w:w="15" w:type="dxa"/>
          </w:tblCellMar>
        </w:tblPrEx>
        <w:trPr>
          <w:trHeight w:val="480" w:hRule="atLeast"/>
        </w:trPr>
        <w:tc>
          <w:tcPr>
            <w:tcW w:w="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2.3</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平台短信服务费</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rPr>
            </w:pPr>
            <w:r>
              <w:rPr>
                <w:rFonts w:ascii="宋体" w:hAnsi="宋体" w:cs="宋体"/>
                <w:kern w:val="0"/>
                <w:sz w:val="20"/>
                <w:lang w:bidi="ar"/>
              </w:rPr>
              <w:t>平台短信服务费</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sz w:val="20"/>
              </w:rPr>
            </w:pPr>
            <w:r>
              <w:rPr>
                <w:rFonts w:ascii="宋体" w:hAnsi="宋体" w:cs="宋体"/>
                <w:kern w:val="0"/>
                <w:sz w:val="20"/>
                <w:lang w:bidi="ar"/>
              </w:rPr>
              <w:t>平台短信服务</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sz w:val="20"/>
              </w:rPr>
            </w:pPr>
            <w:r>
              <w:rPr>
                <w:rFonts w:hint="eastAsia" w:ascii="宋体" w:hAnsi="宋体" w:cs="宋体"/>
                <w:kern w:val="0"/>
                <w:sz w:val="20"/>
                <w:lang w:bidi="ar"/>
              </w:rPr>
              <w:t>10690专用通道短信费；用于平台系统所有用车申请、审核、调度等短信通知，会议培训通知及相关报警事件触发提醒通知等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hint="eastAsia" w:hAnsi="宋体" w:cs="宋体"/>
                <w:sz w:val="20"/>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套/年</w:t>
            </w:r>
          </w:p>
        </w:tc>
      </w:tr>
      <w:tr>
        <w:tblPrEx>
          <w:tblCellMar>
            <w:top w:w="15" w:type="dxa"/>
            <w:left w:w="15" w:type="dxa"/>
            <w:bottom w:w="15" w:type="dxa"/>
            <w:right w:w="15" w:type="dxa"/>
          </w:tblCellMar>
        </w:tblPrEx>
        <w:trPr>
          <w:trHeight w:val="480" w:hRule="atLeast"/>
        </w:trPr>
        <w:tc>
          <w:tcPr>
            <w:tcW w:w="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2.4</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ascii="宋体" w:hAnsi="宋体" w:cs="宋体"/>
                <w:kern w:val="0"/>
                <w:sz w:val="20"/>
                <w:lang w:bidi="ar"/>
              </w:rPr>
              <w:t>平台云资源服务</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rPr>
            </w:pPr>
            <w:r>
              <w:rPr>
                <w:rFonts w:ascii="宋体" w:hAnsi="宋体" w:cs="宋体"/>
                <w:kern w:val="0"/>
                <w:sz w:val="20"/>
                <w:lang w:bidi="ar"/>
              </w:rPr>
              <w:t>平台云资源服务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sz w:val="20"/>
              </w:rPr>
            </w:pPr>
            <w:r>
              <w:rPr>
                <w:rFonts w:ascii="宋体" w:hAnsi="宋体" w:cs="宋体"/>
                <w:kern w:val="0"/>
                <w:sz w:val="20"/>
                <w:lang w:bidi="ar"/>
              </w:rPr>
              <w:t>平台云资源服务</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sz w:val="20"/>
              </w:rPr>
            </w:pPr>
            <w:r>
              <w:rPr>
                <w:rFonts w:ascii="宋体" w:hAnsi="宋体" w:cs="宋体"/>
                <w:kern w:val="0"/>
                <w:sz w:val="20"/>
                <w:lang w:bidi="ar"/>
              </w:rPr>
              <w:t>云服务器租赁：包括</w:t>
            </w:r>
            <w:r>
              <w:rPr>
                <w:rFonts w:hint="eastAsia" w:ascii="宋体" w:hAnsi="宋体" w:cs="宋体"/>
                <w:kern w:val="0"/>
                <w:sz w:val="20"/>
                <w:lang w:bidi="ar"/>
              </w:rPr>
              <w:t>信息安全防护、</w:t>
            </w:r>
            <w:r>
              <w:rPr>
                <w:rFonts w:ascii="宋体" w:hAnsi="宋体" w:cs="宋体"/>
                <w:kern w:val="0"/>
                <w:sz w:val="20"/>
                <w:lang w:bidi="ar"/>
              </w:rPr>
              <w:t>防火墙、云服务主机、存储、网络带宽和数据服务。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 w:val="20"/>
              </w:rPr>
            </w:pPr>
            <w:r>
              <w:rPr>
                <w:rFonts w:hint="eastAsia" w:hAnsi="宋体" w:cs="宋体"/>
                <w:sz w:val="20"/>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套/年</w:t>
            </w:r>
          </w:p>
        </w:tc>
      </w:tr>
      <w:tr>
        <w:tblPrEx>
          <w:tblCellMar>
            <w:top w:w="15" w:type="dxa"/>
            <w:left w:w="15" w:type="dxa"/>
            <w:bottom w:w="15" w:type="dxa"/>
            <w:right w:w="15" w:type="dxa"/>
          </w:tblCellMar>
        </w:tblPrEx>
        <w:trPr>
          <w:trHeight w:val="480" w:hRule="atLeast"/>
        </w:trPr>
        <w:tc>
          <w:tcPr>
            <w:tcW w:w="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2.5</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lang w:bidi="ar"/>
              </w:rPr>
            </w:pPr>
            <w:r>
              <w:rPr>
                <w:rFonts w:hint="eastAsia" w:ascii="宋体" w:hAnsi="宋体" w:cs="宋体"/>
                <w:kern w:val="0"/>
                <w:sz w:val="20"/>
                <w:lang w:bidi="ar"/>
              </w:rPr>
              <w:t>数据备份服务器</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lang w:bidi="ar"/>
              </w:rPr>
            </w:pPr>
            <w:r>
              <w:rPr>
                <w:rFonts w:hint="eastAsia" w:ascii="宋体" w:hAnsi="宋体" w:cs="宋体"/>
                <w:kern w:val="0"/>
                <w:sz w:val="20"/>
                <w:lang w:bidi="ar"/>
              </w:rPr>
              <w:t>数据备份服务器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lang w:bidi="ar"/>
              </w:rPr>
            </w:pPr>
            <w:r>
              <w:rPr>
                <w:rFonts w:hint="eastAsia" w:ascii="宋体" w:hAnsi="宋体" w:cs="宋体"/>
                <w:kern w:val="0"/>
                <w:sz w:val="20"/>
                <w:lang w:bidi="ar"/>
              </w:rPr>
              <w:t>数据备份服务器</w:t>
            </w:r>
          </w:p>
        </w:tc>
        <w:tc>
          <w:tcPr>
            <w:tcW w:w="42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sz w:val="20"/>
                <w:lang w:bidi="ar"/>
              </w:rPr>
            </w:pPr>
            <w:r>
              <w:rPr>
                <w:rFonts w:hint="eastAsia" w:ascii="宋体" w:hAnsi="宋体" w:cs="宋体"/>
                <w:kern w:val="0"/>
                <w:sz w:val="20"/>
                <w:lang w:bidi="ar"/>
              </w:rPr>
              <w:t>备份数据库、文件、图片等其它结构化和非结构化数据（每天零点在线备份一次，每周远程备份一次）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套/年</w:t>
            </w:r>
          </w:p>
        </w:tc>
      </w:tr>
    </w:tbl>
    <w:p>
      <w:pPr>
        <w:rPr>
          <w:rFonts w:hint="eastAsia"/>
          <w:highlight w:val="yellow"/>
        </w:rPr>
      </w:pPr>
    </w:p>
    <w:p>
      <w:pPr>
        <w:rPr>
          <w:rFonts w:hint="eastAsia"/>
        </w:rPr>
      </w:pPr>
    </w:p>
    <w:p>
      <w:pPr>
        <w:pStyle w:val="80"/>
        <w:ind w:firstLine="0" w:firstLineChars="0"/>
        <w:jc w:val="center"/>
        <w:outlineLvl w:val="0"/>
        <w:rPr>
          <w:rFonts w:hint="eastAsia" w:ascii="宋体" w:hAnsi="宋体"/>
          <w:b/>
          <w:sz w:val="36"/>
          <w:szCs w:val="36"/>
        </w:rPr>
      </w:pPr>
      <w:r>
        <w:rPr>
          <w:rFonts w:hint="eastAsia" w:ascii="宋体" w:hAnsi="宋体" w:cs="宋体"/>
          <w:b/>
          <w:bCs/>
          <w:sz w:val="24"/>
        </w:rPr>
        <w:br w:type="page"/>
      </w:r>
      <w:bookmarkStart w:id="30" w:name="_Toc18055"/>
      <w:r>
        <w:rPr>
          <w:rFonts w:hint="eastAsia" w:ascii="宋体" w:hAnsi="宋体"/>
          <w:b/>
          <w:sz w:val="36"/>
          <w:szCs w:val="36"/>
        </w:rPr>
        <w:t>第四部分  合同主要条款</w:t>
      </w:r>
      <w:bookmarkEnd w:id="27"/>
      <w:bookmarkEnd w:id="28"/>
      <w:bookmarkEnd w:id="29"/>
      <w:bookmarkEnd w:id="30"/>
    </w:p>
    <w:p>
      <w:pPr>
        <w:spacing w:line="720" w:lineRule="auto"/>
        <w:jc w:val="center"/>
        <w:rPr>
          <w:rFonts w:hint="eastAsia" w:ascii="宋体" w:hAnsi="宋体" w:cs="宋体"/>
          <w:b/>
          <w:bCs/>
          <w:sz w:val="44"/>
          <w:szCs w:val="44"/>
        </w:rPr>
      </w:pPr>
      <w:bookmarkStart w:id="31" w:name="_Toc5119"/>
      <w:bookmarkStart w:id="32" w:name="_Toc328739380"/>
      <w:bookmarkStart w:id="33" w:name="_Toc16810"/>
      <w:bookmarkStart w:id="34" w:name="_Toc1532"/>
    </w:p>
    <w:p>
      <w:pPr>
        <w:pStyle w:val="9"/>
        <w:rPr>
          <w:rFonts w:hint="eastAsia"/>
        </w:rPr>
      </w:pPr>
    </w:p>
    <w:p>
      <w:pPr>
        <w:spacing w:line="720" w:lineRule="auto"/>
        <w:jc w:val="center"/>
        <w:rPr>
          <w:rFonts w:hint="eastAsia" w:ascii="宋体" w:hAnsi="宋体" w:cs="宋体"/>
          <w:b/>
          <w:bCs/>
          <w:sz w:val="44"/>
          <w:szCs w:val="44"/>
        </w:rPr>
      </w:pPr>
    </w:p>
    <w:p>
      <w:pPr>
        <w:spacing w:line="720" w:lineRule="auto"/>
        <w:jc w:val="center"/>
        <w:rPr>
          <w:rFonts w:hint="eastAsia" w:ascii="宋体" w:hAnsi="宋体" w:cs="宋体"/>
          <w:b/>
          <w:bCs/>
          <w:sz w:val="44"/>
          <w:szCs w:val="44"/>
        </w:rPr>
      </w:pPr>
    </w:p>
    <w:p>
      <w:pPr>
        <w:spacing w:line="720" w:lineRule="auto"/>
        <w:jc w:val="center"/>
        <w:rPr>
          <w:rFonts w:hint="eastAsia" w:ascii="宋体" w:hAnsi="宋体" w:cs="宋体"/>
          <w:b/>
          <w:bCs/>
          <w:sz w:val="44"/>
          <w:szCs w:val="44"/>
        </w:rPr>
      </w:pPr>
    </w:p>
    <w:p>
      <w:pPr>
        <w:spacing w:line="720" w:lineRule="auto"/>
        <w:jc w:val="center"/>
        <w:rPr>
          <w:rFonts w:hint="eastAsia" w:ascii="宋体" w:hAnsi="宋体" w:cs="宋体"/>
          <w:b/>
          <w:bCs/>
          <w:sz w:val="44"/>
          <w:szCs w:val="44"/>
        </w:rPr>
      </w:pPr>
      <w:r>
        <w:rPr>
          <w:rFonts w:hint="eastAsia" w:ascii="宋体" w:hAnsi="宋体" w:cs="宋体"/>
          <w:b/>
          <w:bCs/>
          <w:sz w:val="44"/>
          <w:szCs w:val="44"/>
        </w:rPr>
        <w:t>政府采购合同</w:t>
      </w:r>
    </w:p>
    <w:p>
      <w:pPr>
        <w:pStyle w:val="9"/>
        <w:ind w:firstLine="883"/>
        <w:rPr>
          <w:rFonts w:hint="eastAsia" w:ascii="宋体" w:hAnsi="宋体" w:cs="宋体"/>
          <w:b/>
          <w:bCs/>
          <w:sz w:val="44"/>
          <w:szCs w:val="44"/>
        </w:rPr>
      </w:pPr>
    </w:p>
    <w:p>
      <w:pPr>
        <w:pStyle w:val="9"/>
        <w:ind w:firstLine="883"/>
        <w:rPr>
          <w:rFonts w:hint="eastAsia" w:ascii="宋体" w:hAnsi="宋体" w:cs="宋体"/>
          <w:b/>
          <w:bCs/>
          <w:sz w:val="44"/>
          <w:szCs w:val="44"/>
        </w:rPr>
      </w:pPr>
    </w:p>
    <w:p>
      <w:pPr>
        <w:pStyle w:val="9"/>
        <w:ind w:firstLine="883"/>
        <w:rPr>
          <w:rFonts w:hint="eastAsia" w:ascii="宋体" w:hAnsi="宋体" w:cs="宋体"/>
          <w:b/>
          <w:bCs/>
          <w:sz w:val="44"/>
          <w:szCs w:val="44"/>
        </w:rPr>
      </w:pPr>
    </w:p>
    <w:p>
      <w:pPr>
        <w:pStyle w:val="9"/>
        <w:ind w:firstLine="883"/>
        <w:rPr>
          <w:rFonts w:hint="eastAsia" w:ascii="宋体" w:hAnsi="宋体" w:cs="宋体"/>
          <w:b/>
          <w:bCs/>
          <w:sz w:val="44"/>
          <w:szCs w:val="44"/>
        </w:rPr>
      </w:pPr>
    </w:p>
    <w:p>
      <w:pPr>
        <w:pStyle w:val="9"/>
        <w:ind w:firstLine="883"/>
        <w:rPr>
          <w:rFonts w:hint="eastAsia" w:ascii="宋体" w:hAnsi="宋体" w:cs="宋体"/>
          <w:b/>
          <w:bCs/>
          <w:sz w:val="44"/>
          <w:szCs w:val="44"/>
        </w:rPr>
      </w:pPr>
    </w:p>
    <w:p>
      <w:pPr>
        <w:ind w:firstLine="1920" w:firstLineChars="600"/>
        <w:rPr>
          <w:rFonts w:hint="eastAsia"/>
          <w:b/>
          <w:sz w:val="32"/>
          <w:szCs w:val="32"/>
          <w:u w:val="single"/>
        </w:rPr>
      </w:pPr>
      <w:r>
        <w:rPr>
          <w:rFonts w:hint="eastAsia"/>
          <w:b/>
          <w:sz w:val="32"/>
          <w:szCs w:val="32"/>
        </w:rPr>
        <w:t>甲方：</w:t>
      </w:r>
      <w:r>
        <w:rPr>
          <w:rFonts w:hint="eastAsia"/>
          <w:b/>
          <w:sz w:val="32"/>
          <w:szCs w:val="32"/>
          <w:u w:val="single"/>
        </w:rPr>
        <w:t xml:space="preserve">                       </w:t>
      </w:r>
    </w:p>
    <w:p>
      <w:pPr>
        <w:pStyle w:val="9"/>
      </w:pPr>
    </w:p>
    <w:p>
      <w:pPr>
        <w:ind w:firstLine="1920" w:firstLineChars="600"/>
        <w:rPr>
          <w:rFonts w:hint="eastAsia"/>
          <w:b/>
          <w:sz w:val="32"/>
          <w:szCs w:val="32"/>
          <w:u w:val="single"/>
        </w:rPr>
      </w:pPr>
      <w:r>
        <w:rPr>
          <w:rFonts w:hint="eastAsia"/>
          <w:b/>
          <w:sz w:val="32"/>
          <w:szCs w:val="32"/>
        </w:rPr>
        <w:t>乙方：</w:t>
      </w:r>
      <w:r>
        <w:rPr>
          <w:rFonts w:hint="eastAsia"/>
          <w:b/>
          <w:sz w:val="32"/>
          <w:szCs w:val="32"/>
          <w:u w:val="single"/>
        </w:rPr>
        <w:t xml:space="preserve">                       </w:t>
      </w:r>
    </w:p>
    <w:p>
      <w:pPr>
        <w:pStyle w:val="9"/>
        <w:ind w:firstLine="640"/>
        <w:rPr>
          <w:sz w:val="32"/>
          <w:szCs w:val="32"/>
        </w:rPr>
      </w:pPr>
    </w:p>
    <w:p>
      <w:pPr>
        <w:autoSpaceDE w:val="0"/>
        <w:autoSpaceDN w:val="0"/>
        <w:adjustRightInd w:val="0"/>
        <w:snapToGrid w:val="0"/>
        <w:spacing w:line="360" w:lineRule="auto"/>
        <w:ind w:firstLine="1920" w:firstLineChars="600"/>
        <w:rPr>
          <w:rFonts w:ascii="仿宋_GB2312" w:eastAsia="仿宋_GB2312"/>
          <w:b/>
          <w:bCs/>
          <w:color w:val="000000"/>
          <w:sz w:val="32"/>
          <w:szCs w:val="32"/>
          <w:u w:val="single"/>
        </w:rPr>
      </w:pPr>
      <w:r>
        <w:rPr>
          <w:rFonts w:hint="eastAsia" w:ascii="宋体" w:hAnsi="宋体" w:cs="宋体"/>
          <w:b/>
          <w:bCs/>
          <w:sz w:val="32"/>
          <w:szCs w:val="32"/>
        </w:rPr>
        <w:t>日期：</w:t>
      </w:r>
      <w:r>
        <w:rPr>
          <w:rFonts w:hint="eastAsia"/>
          <w:b/>
          <w:sz w:val="32"/>
          <w:szCs w:val="32"/>
          <w:u w:val="single"/>
        </w:rPr>
        <w:t xml:space="preserve">                       </w:t>
      </w:r>
    </w:p>
    <w:p>
      <w:pPr>
        <w:adjustRightInd w:val="0"/>
        <w:snapToGrid w:val="0"/>
        <w:spacing w:line="360" w:lineRule="auto"/>
        <w:rPr>
          <w:rFonts w:hint="eastAsia" w:hAnsi="宋体"/>
          <w:b/>
        </w:rPr>
      </w:pPr>
    </w:p>
    <w:p>
      <w:pPr>
        <w:spacing w:before="156" w:beforeLines="50" w:line="360" w:lineRule="auto"/>
        <w:jc w:val="center"/>
        <w:rPr>
          <w:rFonts w:hint="eastAsia" w:hAnsi="宋体"/>
          <w:b/>
        </w:rPr>
      </w:pPr>
      <w:r>
        <w:rPr>
          <w:rFonts w:hint="eastAsia" w:hAnsi="宋体"/>
          <w:b/>
          <w:bCs/>
          <w:sz w:val="36"/>
          <w:szCs w:val="36"/>
        </w:rPr>
        <w:br w:type="page"/>
      </w:r>
    </w:p>
    <w:p>
      <w:pPr>
        <w:adjustRightInd w:val="0"/>
        <w:snapToGrid w:val="0"/>
        <w:spacing w:line="360" w:lineRule="auto"/>
        <w:ind w:firstLine="480" w:firstLineChars="200"/>
        <w:rPr>
          <w:rFonts w:hint="eastAsia" w:ascii="宋体" w:hAnsi="宋体" w:cs="宋体"/>
          <w:b/>
          <w:sz w:val="24"/>
        </w:rPr>
      </w:pPr>
      <w:r>
        <w:rPr>
          <w:rFonts w:hint="eastAsia" w:ascii="宋体" w:hAnsi="宋体" w:cs="宋体"/>
          <w:b/>
          <w:sz w:val="24"/>
        </w:rPr>
        <w:t>采购人（全称）：</w:t>
      </w:r>
      <w:r>
        <w:rPr>
          <w:rFonts w:hint="eastAsia" w:ascii="宋体" w:hAnsi="宋体" w:cs="宋体"/>
          <w:b/>
          <w:sz w:val="24"/>
          <w:u w:val="single"/>
        </w:rPr>
        <w:t xml:space="preserve">                                      </w:t>
      </w:r>
    </w:p>
    <w:p>
      <w:pPr>
        <w:adjustRightInd w:val="0"/>
        <w:snapToGrid w:val="0"/>
        <w:spacing w:line="360" w:lineRule="auto"/>
        <w:ind w:firstLine="480" w:firstLineChars="200"/>
        <w:rPr>
          <w:rFonts w:hint="eastAsia" w:ascii="宋体" w:hAnsi="宋体" w:cs="宋体"/>
          <w:sz w:val="24"/>
        </w:rPr>
      </w:pPr>
      <w:r>
        <w:rPr>
          <w:rFonts w:hint="eastAsia" w:ascii="宋体" w:hAnsi="宋体" w:cs="宋体"/>
          <w:b/>
          <w:sz w:val="24"/>
        </w:rPr>
        <w:t>中标人（全称）：</w:t>
      </w:r>
      <w:r>
        <w:rPr>
          <w:rFonts w:hint="eastAsia" w:ascii="宋体" w:hAnsi="宋体" w:cs="宋体"/>
          <w:b/>
          <w:sz w:val="24"/>
          <w:u w:val="single"/>
        </w:rPr>
        <w:t xml:space="preserve">                                   </w:t>
      </w:r>
      <w:r>
        <w:rPr>
          <w:rFonts w:hint="eastAsia" w:ascii="宋体" w:hAnsi="宋体" w:cs="宋体"/>
          <w:sz w:val="24"/>
          <w:u w:val="single"/>
        </w:rPr>
        <w:t xml:space="preserve">   </w:t>
      </w:r>
    </w:p>
    <w:p>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》及其他有关法律、法规，遵循平等、自愿、公平和诚信的原则，双方就下述项目范围与相关服务事项协商一致，订立本合同。</w:t>
      </w:r>
    </w:p>
    <w:p>
      <w:pPr>
        <w:spacing w:line="360" w:lineRule="auto"/>
        <w:rPr>
          <w:rFonts w:hint="eastAsia" w:ascii="宋体" w:hAnsi="宋体" w:cs="宋体"/>
          <w:b/>
          <w:sz w:val="24"/>
        </w:rPr>
      </w:pPr>
      <w:r>
        <w:rPr>
          <w:rFonts w:hint="eastAsia" w:ascii="宋体" w:hAnsi="宋体" w:cs="宋体"/>
          <w:b/>
          <w:sz w:val="24"/>
        </w:rPr>
        <w:t>一、项目概况</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1. 项目名称：</w:t>
      </w:r>
      <w:r>
        <w:rPr>
          <w:rFonts w:hint="eastAsia" w:ascii="宋体" w:hAnsi="宋体" w:cs="宋体"/>
          <w:sz w:val="24"/>
          <w:u w:val="single"/>
        </w:rPr>
        <w:t xml:space="preserve">                                        ；</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2. 项目地点：</w:t>
      </w:r>
      <w:r>
        <w:rPr>
          <w:rFonts w:hint="eastAsia" w:ascii="宋体" w:hAnsi="宋体" w:cs="宋体"/>
          <w:sz w:val="24"/>
          <w:u w:val="single"/>
        </w:rPr>
        <w:t xml:space="preserve">                                        </w:t>
      </w:r>
      <w:r>
        <w:rPr>
          <w:rFonts w:hint="eastAsia" w:ascii="宋体" w:hAnsi="宋体" w:cs="宋体"/>
          <w:sz w:val="24"/>
        </w:rPr>
        <w:t>；</w:t>
      </w:r>
    </w:p>
    <w:p>
      <w:pPr>
        <w:adjustRightInd w:val="0"/>
        <w:snapToGrid w:val="0"/>
        <w:spacing w:line="360" w:lineRule="auto"/>
        <w:ind w:firstLine="475" w:firstLineChars="198"/>
        <w:jc w:val="left"/>
        <w:rPr>
          <w:rFonts w:hint="eastAsia" w:ascii="宋体" w:hAnsi="宋体" w:cs="宋体"/>
          <w:sz w:val="24"/>
        </w:rPr>
      </w:pPr>
      <w:r>
        <w:rPr>
          <w:rFonts w:hint="eastAsia" w:ascii="宋体" w:hAnsi="宋体" w:cs="宋体"/>
          <w:sz w:val="24"/>
        </w:rPr>
        <w:t>3. 项目内容：</w:t>
      </w:r>
      <w:r>
        <w:rPr>
          <w:rFonts w:hint="eastAsia" w:ascii="宋体" w:hAnsi="宋体" w:cs="宋体"/>
          <w:sz w:val="24"/>
          <w:u w:val="single"/>
        </w:rPr>
        <w:t xml:space="preserve">                                        </w:t>
      </w:r>
      <w:r>
        <w:rPr>
          <w:rFonts w:hint="eastAsia" w:ascii="宋体" w:hAnsi="宋体" w:cs="宋体"/>
          <w:sz w:val="24"/>
        </w:rPr>
        <w:t>。</w:t>
      </w:r>
    </w:p>
    <w:p>
      <w:pPr>
        <w:spacing w:line="360" w:lineRule="auto"/>
        <w:rPr>
          <w:rFonts w:hint="eastAsia"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2. 中标通知书、投标文件、招标文件、澄清、投标补充文件；</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 相关服务建议书；</w:t>
      </w:r>
    </w:p>
    <w:p>
      <w:pPr>
        <w:adjustRightInd w:val="0"/>
        <w:snapToGrid w:val="0"/>
        <w:spacing w:line="360" w:lineRule="auto"/>
        <w:rPr>
          <w:rFonts w:hint="eastAsia"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hint="eastAsia" w:ascii="宋体" w:hAnsi="宋体" w:cs="宋体"/>
          <w:b/>
          <w:sz w:val="24"/>
        </w:rPr>
      </w:pPr>
      <w:r>
        <w:rPr>
          <w:rFonts w:hint="eastAsia" w:ascii="宋体" w:hAnsi="宋体" w:cs="宋体"/>
          <w:b/>
          <w:sz w:val="24"/>
        </w:rPr>
        <w:t>三、合同金额</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合同金额（大写）：</w:t>
      </w:r>
      <w:r>
        <w:rPr>
          <w:rFonts w:hint="eastAsia" w:ascii="宋体" w:hAnsi="宋体" w:cs="宋体"/>
          <w:sz w:val="24"/>
          <w:u w:val="single"/>
        </w:rPr>
        <w:t xml:space="preserve">                            </w:t>
      </w:r>
      <w:r>
        <w:rPr>
          <w:rFonts w:hint="eastAsia" w:ascii="宋体" w:hAnsi="宋体" w:cs="宋体"/>
          <w:sz w:val="24"/>
        </w:rPr>
        <w:t>（¥        ）。</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合同总价即中标价，为一次性</w:t>
      </w:r>
      <w:r>
        <w:rPr>
          <w:rFonts w:hint="eastAsia" w:ascii="宋体" w:hAnsi="宋体"/>
          <w:sz w:val="24"/>
        </w:rPr>
        <w:t>包死</w:t>
      </w:r>
      <w:r>
        <w:rPr>
          <w:rFonts w:hint="eastAsia" w:ascii="宋体" w:hAnsi="宋体" w:cs="宋体"/>
          <w:sz w:val="24"/>
        </w:rPr>
        <w:t>价格，不受市场价变化的影响。合同价格为含税价，投标人（中标人）提供产品所发生的一切税（包括增值税）费等都已包含于合同价款中。</w:t>
      </w:r>
    </w:p>
    <w:p>
      <w:pPr>
        <w:numPr>
          <w:ilvl w:val="0"/>
          <w:numId w:val="6"/>
        </w:numPr>
        <w:adjustRightInd w:val="0"/>
        <w:snapToGrid w:val="0"/>
        <w:spacing w:line="360" w:lineRule="auto"/>
        <w:rPr>
          <w:rFonts w:hint="eastAsia" w:ascii="宋体" w:hAnsi="宋体" w:cs="宋体"/>
          <w:b/>
          <w:sz w:val="24"/>
        </w:rPr>
      </w:pPr>
      <w:r>
        <w:rPr>
          <w:rFonts w:hint="eastAsia" w:ascii="宋体" w:hAnsi="宋体" w:cs="宋体"/>
          <w:b/>
          <w:sz w:val="24"/>
          <w:lang w:eastAsia="zh-CN"/>
        </w:rPr>
        <w:t>付款</w:t>
      </w:r>
      <w:r>
        <w:rPr>
          <w:rFonts w:hint="eastAsia" w:ascii="宋体" w:hAnsi="宋体" w:cs="宋体"/>
          <w:b/>
          <w:sz w:val="24"/>
        </w:rPr>
        <w:t>方式</w:t>
      </w:r>
    </w:p>
    <w:p>
      <w:pPr>
        <w:pStyle w:val="9"/>
        <w:ind w:firstLine="480"/>
        <w:rPr>
          <w:rFonts w:hint="eastAsia" w:ascii="宋体" w:hAnsi="宋体" w:cs="宋体"/>
          <w:sz w:val="24"/>
          <w:highlight w:val="none"/>
        </w:rPr>
      </w:pPr>
      <w:r>
        <w:rPr>
          <w:rFonts w:hint="eastAsia" w:ascii="宋体" w:hAnsi="宋体" w:cs="宋体"/>
          <w:sz w:val="24"/>
          <w:highlight w:val="none"/>
        </w:rPr>
        <w:t>自合同签订</w:t>
      </w:r>
      <w:r>
        <w:rPr>
          <w:rFonts w:hint="eastAsia" w:ascii="宋体" w:hAnsi="宋体" w:cs="宋体"/>
          <w:sz w:val="24"/>
          <w:highlight w:val="none"/>
          <w:lang w:eastAsia="zh-CN"/>
        </w:rPr>
        <w:t>后，财局将资金转账到长安区机关事务服务中心之日起</w:t>
      </w:r>
      <w:r>
        <w:rPr>
          <w:rFonts w:hint="eastAsia" w:ascii="宋体" w:hAnsi="宋体" w:cs="宋体"/>
          <w:sz w:val="24"/>
          <w:highlight w:val="none"/>
          <w:lang w:val="en-US" w:eastAsia="zh-CN"/>
        </w:rPr>
        <w:t>10个工作日内，</w:t>
      </w:r>
      <w:r>
        <w:rPr>
          <w:rFonts w:hint="eastAsia" w:ascii="宋体" w:hAnsi="宋体" w:cs="宋体"/>
          <w:sz w:val="24"/>
          <w:highlight w:val="none"/>
        </w:rPr>
        <w:t>采购人向中标人支付合同总价款的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sz w:val="24"/>
          <w:highlight w:val="none"/>
          <w:lang w:eastAsia="zh-CN"/>
        </w:rPr>
        <w:t>剩余</w:t>
      </w:r>
      <w:r>
        <w:rPr>
          <w:rFonts w:hint="eastAsia" w:ascii="宋体" w:hAnsi="宋体" w:cs="宋体"/>
          <w:sz w:val="24"/>
          <w:highlight w:val="none"/>
          <w:lang w:val="en-US" w:eastAsia="zh-CN"/>
        </w:rPr>
        <w:t>5%作为服务期满后的保证金</w:t>
      </w:r>
      <w:r>
        <w:rPr>
          <w:rFonts w:hint="eastAsia" w:ascii="宋体" w:hAnsi="宋体" w:cs="宋体"/>
          <w:sz w:val="24"/>
          <w:highlight w:val="none"/>
        </w:rPr>
        <w:t>。</w:t>
      </w:r>
    </w:p>
    <w:p>
      <w:pPr>
        <w:spacing w:line="360" w:lineRule="auto"/>
        <w:rPr>
          <w:rFonts w:hint="eastAsia" w:ascii="宋体" w:hAnsi="宋体" w:eastAsia="宋体" w:cs="宋体"/>
          <w:b/>
          <w:sz w:val="24"/>
          <w:lang w:eastAsia="zh-CN"/>
        </w:rPr>
      </w:pPr>
      <w:r>
        <w:rPr>
          <w:rFonts w:hint="eastAsia" w:ascii="宋体" w:hAnsi="宋体" w:cs="宋体"/>
          <w:b/>
          <w:sz w:val="24"/>
        </w:rPr>
        <w:t>五、项目实施地点</w:t>
      </w:r>
      <w:r>
        <w:rPr>
          <w:rFonts w:hint="eastAsia" w:ascii="宋体" w:hAnsi="宋体" w:cs="宋体"/>
          <w:b/>
          <w:sz w:val="24"/>
          <w:lang w:eastAsia="zh-CN"/>
        </w:rPr>
        <w:t>及服务期</w:t>
      </w:r>
    </w:p>
    <w:p>
      <w:pPr>
        <w:spacing w:line="360" w:lineRule="auto"/>
        <w:rPr>
          <w:rFonts w:hint="eastAsia" w:ascii="宋体" w:hAnsi="宋体" w:eastAsia="宋体" w:cs="宋体"/>
          <w:b/>
          <w:sz w:val="24"/>
          <w:lang w:eastAsia="zh-CN"/>
        </w:rPr>
      </w:pPr>
      <w:r>
        <w:rPr>
          <w:rFonts w:hint="eastAsia" w:ascii="宋体" w:hAnsi="宋体" w:cs="宋体"/>
          <w:sz w:val="24"/>
        </w:rPr>
        <w:t xml:space="preserve">    实施地点</w:t>
      </w:r>
      <w:r>
        <w:rPr>
          <w:rFonts w:hint="eastAsia" w:ascii="宋体" w:hAnsi="宋体" w:cs="宋体"/>
          <w:sz w:val="24"/>
          <w:lang w:eastAsia="zh-CN"/>
        </w:rPr>
        <w:t>：</w:t>
      </w:r>
      <w:r>
        <w:rPr>
          <w:rFonts w:hint="eastAsia" w:ascii="宋体" w:hAnsi="宋体" w:cs="宋体"/>
          <w:sz w:val="24"/>
        </w:rPr>
        <w:t>采购人指定地点。</w:t>
      </w:r>
      <w:r>
        <w:rPr>
          <w:rFonts w:hint="eastAsia" w:ascii="宋体" w:hAnsi="宋体" w:cs="宋体"/>
          <w:sz w:val="24"/>
          <w:lang w:eastAsia="zh-CN"/>
        </w:rPr>
        <w:t>服务期：合同签订之日起三年。</w:t>
      </w:r>
    </w:p>
    <w:p>
      <w:pPr>
        <w:spacing w:line="360" w:lineRule="auto"/>
        <w:rPr>
          <w:rFonts w:hint="eastAsia" w:ascii="宋体" w:hAnsi="宋体" w:cs="宋体"/>
          <w:b/>
          <w:sz w:val="24"/>
        </w:rPr>
      </w:pPr>
      <w:r>
        <w:rPr>
          <w:rFonts w:hint="eastAsia" w:ascii="宋体" w:hAnsi="宋体" w:cs="宋体"/>
          <w:b/>
          <w:sz w:val="24"/>
        </w:rPr>
        <w:t>六、技术支持</w:t>
      </w:r>
    </w:p>
    <w:p>
      <w:pPr>
        <w:tabs>
          <w:tab w:val="left" w:pos="840"/>
        </w:tabs>
        <w:spacing w:line="360" w:lineRule="auto"/>
        <w:ind w:firstLine="480" w:firstLineChars="200"/>
        <w:rPr>
          <w:rFonts w:hint="eastAsia" w:ascii="宋体" w:hAnsi="宋体" w:cs="宋体"/>
          <w:sz w:val="24"/>
        </w:rPr>
      </w:pPr>
      <w:r>
        <w:rPr>
          <w:rFonts w:hint="eastAsia" w:ascii="宋体" w:hAnsi="宋体" w:cs="宋体"/>
          <w:sz w:val="24"/>
        </w:rPr>
        <w:t>详见招标文件及中标人的投标文件及相关的澄清资料。</w:t>
      </w:r>
    </w:p>
    <w:p>
      <w:pPr>
        <w:spacing w:line="360" w:lineRule="auto"/>
        <w:rPr>
          <w:rFonts w:hint="eastAsia" w:ascii="宋体" w:hAnsi="宋体" w:cs="宋体"/>
          <w:b/>
          <w:sz w:val="24"/>
        </w:rPr>
      </w:pPr>
      <w:r>
        <w:rPr>
          <w:rFonts w:hint="eastAsia" w:ascii="宋体" w:hAnsi="宋体" w:cs="宋体"/>
          <w:b/>
          <w:sz w:val="24"/>
        </w:rPr>
        <w:t>七、技术资料要求</w:t>
      </w:r>
    </w:p>
    <w:p>
      <w:pPr>
        <w:tabs>
          <w:tab w:val="left" w:pos="840"/>
        </w:tabs>
        <w:spacing w:line="360" w:lineRule="auto"/>
        <w:ind w:firstLine="480" w:firstLineChars="200"/>
        <w:rPr>
          <w:rFonts w:hint="eastAsia" w:ascii="宋体" w:hAnsi="宋体" w:cs="宋体"/>
          <w:sz w:val="24"/>
        </w:rPr>
      </w:pPr>
      <w:r>
        <w:rPr>
          <w:rFonts w:hint="eastAsia" w:ascii="宋体" w:hAnsi="宋体" w:cs="宋体"/>
          <w:sz w:val="24"/>
        </w:rPr>
        <w:t>详见招标文件及中标人的投标文件及相关的澄清资料。</w:t>
      </w:r>
    </w:p>
    <w:p>
      <w:pPr>
        <w:spacing w:line="360" w:lineRule="auto"/>
        <w:rPr>
          <w:rFonts w:hint="eastAsia" w:ascii="宋体" w:hAnsi="宋体" w:cs="宋体"/>
          <w:b/>
          <w:sz w:val="24"/>
        </w:rPr>
      </w:pPr>
      <w:r>
        <w:rPr>
          <w:rFonts w:hint="eastAsia" w:ascii="宋体" w:hAnsi="宋体" w:cs="宋体"/>
          <w:b/>
          <w:sz w:val="24"/>
        </w:rPr>
        <w:t>八、质量保证</w:t>
      </w:r>
    </w:p>
    <w:p>
      <w:pPr>
        <w:tabs>
          <w:tab w:val="left" w:pos="840"/>
        </w:tabs>
        <w:spacing w:line="360" w:lineRule="auto"/>
        <w:ind w:firstLine="480" w:firstLineChars="200"/>
        <w:rPr>
          <w:rFonts w:hint="eastAsia" w:ascii="宋体" w:hAnsi="宋体" w:cs="宋体"/>
          <w:sz w:val="24"/>
        </w:rPr>
      </w:pPr>
      <w:r>
        <w:rPr>
          <w:rFonts w:hint="eastAsia" w:ascii="宋体" w:hAnsi="宋体" w:cs="宋体"/>
          <w:sz w:val="24"/>
        </w:rPr>
        <w:t>详见招标文件及中标人的投标文件及相关的澄清资料。</w:t>
      </w:r>
    </w:p>
    <w:p>
      <w:pPr>
        <w:spacing w:line="360" w:lineRule="auto"/>
        <w:rPr>
          <w:rFonts w:hint="eastAsia" w:ascii="宋体" w:hAnsi="宋体" w:cs="宋体"/>
          <w:b/>
          <w:sz w:val="24"/>
        </w:rPr>
      </w:pPr>
      <w:r>
        <w:rPr>
          <w:rFonts w:hint="eastAsia" w:ascii="宋体" w:hAnsi="宋体" w:cs="宋体"/>
          <w:b/>
          <w:sz w:val="24"/>
        </w:rPr>
        <w:t>九、验收</w:t>
      </w:r>
    </w:p>
    <w:p>
      <w:pPr>
        <w:tabs>
          <w:tab w:val="left" w:pos="840"/>
        </w:tabs>
        <w:spacing w:line="360" w:lineRule="auto"/>
        <w:ind w:firstLine="480" w:firstLineChars="200"/>
        <w:rPr>
          <w:rFonts w:hint="eastAsia" w:ascii="宋体" w:hAnsi="宋体" w:cs="宋体"/>
          <w:sz w:val="24"/>
        </w:rPr>
      </w:pPr>
      <w:r>
        <w:rPr>
          <w:rFonts w:hint="eastAsia" w:ascii="宋体" w:hAnsi="宋体" w:cs="宋体"/>
          <w:sz w:val="24"/>
        </w:rPr>
        <w:t>详见招标文件及中标人的投标文件及相关的澄清资料。</w:t>
      </w:r>
    </w:p>
    <w:p>
      <w:pPr>
        <w:spacing w:line="360" w:lineRule="auto"/>
        <w:rPr>
          <w:rFonts w:hint="eastAsia" w:ascii="宋体" w:hAnsi="宋体" w:cs="宋体"/>
          <w:b/>
          <w:sz w:val="24"/>
        </w:rPr>
      </w:pPr>
      <w:r>
        <w:rPr>
          <w:rFonts w:hint="eastAsia" w:ascii="宋体" w:hAnsi="宋体" w:cs="宋体"/>
          <w:b/>
          <w:sz w:val="24"/>
        </w:rPr>
        <w:t>十、保密</w:t>
      </w:r>
    </w:p>
    <w:p>
      <w:pPr>
        <w:tabs>
          <w:tab w:val="left" w:pos="1080"/>
        </w:tabs>
        <w:spacing w:line="360" w:lineRule="auto"/>
        <w:ind w:firstLine="360" w:firstLineChars="150"/>
        <w:rPr>
          <w:rFonts w:hint="eastAsia" w:ascii="宋体" w:hAnsi="宋体" w:cs="宋体"/>
          <w:sz w:val="24"/>
        </w:rPr>
      </w:pPr>
      <w:r>
        <w:rPr>
          <w:rFonts w:hint="eastAsia" w:ascii="宋体" w:hAnsi="宋体" w:cs="宋体"/>
          <w:sz w:val="24"/>
        </w:rPr>
        <w:t xml:space="preserve"> 对工作中了解到的采购人的技术、机密等进行严格保密，不得向他人泄漏。本合同的解除或终止不免除</w:t>
      </w:r>
      <w:r>
        <w:rPr>
          <w:rFonts w:hint="eastAsia" w:ascii="宋体" w:hAnsi="宋体" w:cs="宋体"/>
          <w:sz w:val="24"/>
          <w:lang w:eastAsia="zh-CN"/>
        </w:rPr>
        <w:t>供应商</w:t>
      </w:r>
      <w:r>
        <w:rPr>
          <w:rFonts w:hint="eastAsia" w:ascii="宋体" w:hAnsi="宋体" w:cs="宋体"/>
          <w:sz w:val="24"/>
        </w:rPr>
        <w:t>应承担的保密义务。</w:t>
      </w:r>
    </w:p>
    <w:p>
      <w:pPr>
        <w:spacing w:line="360" w:lineRule="auto"/>
        <w:rPr>
          <w:rFonts w:hint="eastAsia" w:ascii="宋体" w:hAnsi="宋体" w:cs="宋体"/>
          <w:b/>
          <w:sz w:val="24"/>
        </w:rPr>
      </w:pPr>
      <w:r>
        <w:rPr>
          <w:rFonts w:hint="eastAsia" w:ascii="宋体" w:hAnsi="宋体" w:cs="宋体"/>
          <w:b/>
          <w:sz w:val="24"/>
        </w:rPr>
        <w:t>十一、知识产权</w:t>
      </w:r>
    </w:p>
    <w:p>
      <w:pPr>
        <w:spacing w:line="360" w:lineRule="auto"/>
        <w:ind w:firstLine="480" w:firstLineChars="200"/>
        <w:rPr>
          <w:rFonts w:hint="eastAsia" w:ascii="宋体" w:hAnsi="宋体" w:cs="宋体"/>
          <w:sz w:val="24"/>
        </w:rPr>
      </w:pPr>
      <w:r>
        <w:rPr>
          <w:rFonts w:hint="eastAsia" w:ascii="宋体" w:hAnsi="宋体" w:cs="宋体"/>
          <w:sz w:val="24"/>
        </w:rPr>
        <w:t>中标供应商应保证提供服务过程中不会侵犯任何第三方的知识产权，如果任何第三方提出侵权指控，中标供应商须与第三方交涉并独立承担可能发生的一切法律责任和费用。</w:t>
      </w:r>
    </w:p>
    <w:p>
      <w:pPr>
        <w:spacing w:line="360" w:lineRule="auto"/>
        <w:rPr>
          <w:rFonts w:hint="eastAsia" w:ascii="宋体" w:hAnsi="宋体" w:cs="宋体"/>
          <w:b/>
          <w:sz w:val="24"/>
        </w:rPr>
      </w:pPr>
      <w:r>
        <w:rPr>
          <w:rFonts w:hint="eastAsia" w:ascii="宋体" w:hAnsi="宋体" w:cs="宋体"/>
          <w:b/>
          <w:sz w:val="24"/>
        </w:rPr>
        <w:t>十二、合同争议的解决</w:t>
      </w:r>
    </w:p>
    <w:p>
      <w:pPr>
        <w:spacing w:line="360" w:lineRule="auto"/>
        <w:rPr>
          <w:rFonts w:hint="eastAsia" w:ascii="宋体" w:hAnsi="宋体" w:cs="宋体"/>
          <w:sz w:val="24"/>
        </w:rPr>
      </w:pPr>
      <w:r>
        <w:rPr>
          <w:rFonts w:hint="eastAsia" w:ascii="宋体" w:hAnsi="宋体" w:cs="宋体"/>
          <w:sz w:val="24"/>
        </w:rPr>
        <w:t xml:space="preserve">    合同执行中发生争议的，当事人双方应协商解决。协商达不成一致时，可向当地行政仲裁机关申请仲裁或者向采购人所在地人民法院提请诉讼。</w:t>
      </w:r>
    </w:p>
    <w:p>
      <w:pPr>
        <w:spacing w:line="360" w:lineRule="auto"/>
        <w:jc w:val="left"/>
        <w:rPr>
          <w:rFonts w:hint="eastAsia" w:ascii="宋体" w:hAnsi="宋体" w:cs="宋体"/>
          <w:b/>
          <w:bCs/>
          <w:sz w:val="24"/>
        </w:rPr>
      </w:pPr>
      <w:r>
        <w:rPr>
          <w:rFonts w:hint="eastAsia" w:ascii="宋体" w:hAnsi="宋体" w:cs="宋体"/>
          <w:b/>
          <w:bCs/>
          <w:sz w:val="24"/>
        </w:rPr>
        <w:t>十三、不可抗力情况下的免责约定</w:t>
      </w:r>
    </w:p>
    <w:p>
      <w:pPr>
        <w:spacing w:line="360" w:lineRule="auto"/>
        <w:jc w:val="left"/>
        <w:rPr>
          <w:rFonts w:hint="eastAsia"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宋体" w:hAnsi="宋体" w:cs="宋体"/>
          <w:b/>
          <w:sz w:val="24"/>
        </w:rPr>
      </w:pPr>
      <w:r>
        <w:rPr>
          <w:rFonts w:hint="eastAsia" w:ascii="宋体" w:hAnsi="宋体" w:cs="宋体"/>
          <w:b/>
          <w:sz w:val="24"/>
        </w:rPr>
        <w:t>十四、违约责任</w:t>
      </w:r>
    </w:p>
    <w:p>
      <w:pPr>
        <w:spacing w:line="360" w:lineRule="auto"/>
        <w:rPr>
          <w:rFonts w:hint="eastAsia" w:ascii="宋体" w:hAnsi="宋体" w:cs="宋体"/>
          <w:sz w:val="24"/>
        </w:rPr>
      </w:pPr>
      <w:r>
        <w:rPr>
          <w:rFonts w:hint="eastAsia" w:ascii="宋体" w:hAnsi="宋体" w:cs="宋体"/>
          <w:sz w:val="24"/>
        </w:rPr>
        <w:t xml:space="preserve">    依据《中华人民共和国</w:t>
      </w:r>
      <w:r>
        <w:rPr>
          <w:rFonts w:hint="eastAsia" w:ascii="宋体" w:hAnsi="宋体" w:cs="宋体"/>
          <w:sz w:val="24"/>
          <w:lang w:eastAsia="zh-CN"/>
        </w:rPr>
        <w:t>民法典</w:t>
      </w:r>
      <w:r>
        <w:rPr>
          <w:rFonts w:hint="eastAsia" w:ascii="宋体" w:hAnsi="宋体" w:cs="宋体"/>
          <w:sz w:val="24"/>
        </w:rPr>
        <w:t>》、《中华人民共和国政府采购法》、《中华人民共和国政府采购法实施条例》的相关条款和本合同约定，中标人未全面履行合同义务或者发生违约，采购人有权终止合同，依法向中标人进行经济索赔，并报请政府采购监督管理机关进行相应的行政处罚。采购人违约的，应当赔偿给中标人造成的经济损失。</w:t>
      </w:r>
    </w:p>
    <w:p>
      <w:pPr>
        <w:spacing w:line="360" w:lineRule="auto"/>
        <w:rPr>
          <w:rFonts w:hint="eastAsia" w:ascii="宋体" w:hAnsi="宋体" w:cs="宋体"/>
          <w:sz w:val="24"/>
        </w:rPr>
      </w:pPr>
      <w:r>
        <w:rPr>
          <w:rFonts w:hint="eastAsia" w:ascii="宋体" w:hAnsi="宋体" w:cs="宋体"/>
          <w:b/>
          <w:sz w:val="24"/>
        </w:rPr>
        <w:t>十五、其他（</w:t>
      </w:r>
      <w:r>
        <w:rPr>
          <w:rFonts w:hint="eastAsia" w:ascii="宋体" w:hAnsi="宋体" w:cs="宋体"/>
          <w:sz w:val="24"/>
        </w:rPr>
        <w:t>在合同中具体明确）</w:t>
      </w:r>
    </w:p>
    <w:p>
      <w:pPr>
        <w:spacing w:line="360" w:lineRule="auto"/>
        <w:rPr>
          <w:rFonts w:hint="eastAsia" w:ascii="宋体" w:hAnsi="宋体" w:cs="宋体"/>
          <w:b/>
          <w:sz w:val="24"/>
        </w:rPr>
      </w:pPr>
      <w:r>
        <w:rPr>
          <w:rFonts w:hint="eastAsia" w:ascii="宋体" w:hAnsi="宋体" w:cs="宋体"/>
          <w:b/>
          <w:sz w:val="24"/>
        </w:rPr>
        <w:t>十六、合同订立</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1. 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2. 订立地点：</w:t>
      </w:r>
      <w:r>
        <w:rPr>
          <w:rFonts w:hint="eastAsia" w:ascii="宋体" w:hAnsi="宋体" w:cs="宋体"/>
          <w:sz w:val="24"/>
          <w:u w:val="single"/>
        </w:rPr>
        <w:t xml:space="preserve">                                 </w:t>
      </w:r>
      <w:r>
        <w:rPr>
          <w:rFonts w:hint="eastAsia" w:ascii="宋体" w:hAnsi="宋体" w:cs="宋体"/>
          <w:sz w:val="24"/>
        </w:rPr>
        <w:t>。</w:t>
      </w:r>
    </w:p>
    <w:p>
      <w:pPr>
        <w:tabs>
          <w:tab w:val="left" w:pos="980"/>
        </w:tabs>
        <w:kinsoku w:val="0"/>
        <w:spacing w:line="360" w:lineRule="auto"/>
        <w:ind w:firstLine="480" w:firstLineChars="200"/>
        <w:rPr>
          <w:rFonts w:hint="eastAsia" w:ascii="宋体" w:hAnsi="宋体" w:cs="宋体"/>
          <w:sz w:val="24"/>
        </w:rPr>
      </w:pPr>
      <w:r>
        <w:rPr>
          <w:rFonts w:hint="eastAsia" w:ascii="宋体" w:hAnsi="宋体" w:cs="宋体"/>
          <w:sz w:val="24"/>
        </w:rPr>
        <w:t>3. 本合同一式</w:t>
      </w:r>
      <w:r>
        <w:rPr>
          <w:rFonts w:hint="eastAsia" w:ascii="宋体" w:hAnsi="宋体" w:cs="宋体"/>
          <w:sz w:val="24"/>
          <w:u w:val="single"/>
        </w:rPr>
        <w:t xml:space="preserve">     </w:t>
      </w:r>
      <w:r>
        <w:rPr>
          <w:rFonts w:hint="eastAsia" w:ascii="宋体" w:hAnsi="宋体" w:cs="宋体"/>
          <w:sz w:val="24"/>
        </w:rPr>
        <w:t>份，具有同等法律效力，双方各执</w:t>
      </w:r>
      <w:r>
        <w:rPr>
          <w:rFonts w:hint="eastAsia" w:ascii="宋体" w:hAnsi="宋体" w:cs="宋体"/>
          <w:sz w:val="24"/>
          <w:u w:val="single"/>
        </w:rPr>
        <w:t xml:space="preserve">     </w:t>
      </w:r>
      <w:r>
        <w:rPr>
          <w:rFonts w:hint="eastAsia" w:ascii="宋体" w:hAnsi="宋体" w:cs="宋体"/>
          <w:sz w:val="24"/>
        </w:rPr>
        <w:t>份。各方签字盖章后生效，合同执行完毕自动失效。（合同的服务承诺则长期有效）。</w:t>
      </w:r>
    </w:p>
    <w:p>
      <w:pPr>
        <w:adjustRightInd w:val="0"/>
        <w:snapToGrid w:val="0"/>
        <w:spacing w:line="360" w:lineRule="auto"/>
        <w:ind w:firstLine="475" w:firstLineChars="198"/>
        <w:rPr>
          <w:rFonts w:hint="eastAsia" w:ascii="宋体" w:hAnsi="宋体" w:cs="宋体"/>
          <w:sz w:val="24"/>
        </w:rPr>
      </w:pP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中标人：</w:t>
      </w:r>
      <w:r>
        <w:rPr>
          <w:rFonts w:hint="eastAsia" w:ascii="宋体" w:hAnsi="宋体" w:cs="宋体"/>
          <w:sz w:val="24"/>
          <w:u w:val="single"/>
        </w:rPr>
        <w:t xml:space="preserve">   （盖章）         </w:t>
      </w:r>
    </w:p>
    <w:p>
      <w:pPr>
        <w:adjustRightInd w:val="0"/>
        <w:snapToGrid w:val="0"/>
        <w:spacing w:line="360" w:lineRule="auto"/>
        <w:ind w:firstLine="475" w:firstLineChars="198"/>
        <w:rPr>
          <w:rFonts w:hint="eastAsia"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邮政编码：</w:t>
      </w:r>
      <w:r>
        <w:rPr>
          <w:rFonts w:hint="eastAsia" w:ascii="宋体" w:hAnsi="宋体" w:cs="宋体"/>
          <w:sz w:val="24"/>
          <w:u w:val="single"/>
        </w:rPr>
        <w:t xml:space="preserve">                  </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法定代表人或其授权                   法定代表人或其授权</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账号：</w:t>
      </w:r>
      <w:r>
        <w:rPr>
          <w:rFonts w:hint="eastAsia" w:ascii="宋体" w:hAnsi="宋体" w:cs="宋体"/>
          <w:sz w:val="24"/>
          <w:u w:val="single"/>
        </w:rPr>
        <w:t xml:space="preserve">                      </w:t>
      </w:r>
      <w:r>
        <w:rPr>
          <w:rFonts w:hint="eastAsia" w:ascii="宋体" w:hAnsi="宋体" w:cs="宋体"/>
          <w:sz w:val="24"/>
        </w:rPr>
        <w:t xml:space="preserve">         账号：</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adjustRightInd w:val="0"/>
        <w:snapToGrid w:val="0"/>
        <w:spacing w:line="360" w:lineRule="auto"/>
        <w:ind w:firstLine="475" w:firstLineChars="198"/>
        <w:rPr>
          <w:rFonts w:hint="eastAsia" w:ascii="宋体" w:hAnsi="宋体" w:cs="宋体"/>
          <w:sz w:val="24"/>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adjustRightInd w:val="0"/>
        <w:snapToGrid w:val="0"/>
        <w:spacing w:line="360" w:lineRule="auto"/>
        <w:ind w:firstLine="475" w:firstLineChars="198"/>
        <w:rPr>
          <w:rFonts w:hint="eastAsia" w:ascii="宋体" w:hAnsi="宋体" w:cs="宋体"/>
          <w:sz w:val="24"/>
          <w:u w:val="single"/>
        </w:rPr>
      </w:pP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rPr>
        <w:t xml:space="preserve">          电子邮箱：</w:t>
      </w:r>
      <w:r>
        <w:rPr>
          <w:rFonts w:hint="eastAsia" w:ascii="宋体" w:hAnsi="宋体" w:cs="宋体"/>
          <w:sz w:val="24"/>
          <w:u w:val="single"/>
        </w:rPr>
        <w:t xml:space="preserve">                  </w:t>
      </w:r>
    </w:p>
    <w:p>
      <w:pPr>
        <w:pStyle w:val="9"/>
      </w:pPr>
    </w:p>
    <w:p>
      <w:pPr>
        <w:spacing w:line="540" w:lineRule="exact"/>
        <w:jc w:val="center"/>
        <w:rPr>
          <w:rFonts w:hint="eastAsia" w:ascii="宋体" w:hAnsi="宋体"/>
          <w:sz w:val="36"/>
          <w:szCs w:val="36"/>
        </w:rPr>
      </w:pPr>
      <w:r>
        <w:br w:type="page"/>
      </w:r>
      <w:r>
        <w:rPr>
          <w:rFonts w:hint="eastAsia" w:ascii="宋体" w:hAnsi="宋体"/>
          <w:b/>
          <w:sz w:val="36"/>
          <w:szCs w:val="36"/>
        </w:rPr>
        <w:t xml:space="preserve">第五部分  </w:t>
      </w:r>
      <w:bookmarkStart w:id="35" w:name="_Toc13588"/>
      <w:r>
        <w:rPr>
          <w:rFonts w:hint="eastAsia" w:ascii="宋体" w:hAnsi="宋体"/>
          <w:b/>
          <w:sz w:val="36"/>
          <w:szCs w:val="36"/>
        </w:rPr>
        <w:t>谈</w:t>
      </w:r>
      <w:bookmarkEnd w:id="35"/>
      <w:bookmarkStart w:id="36" w:name="_Toc18526"/>
      <w:r>
        <w:rPr>
          <w:rFonts w:hint="eastAsia" w:ascii="宋体" w:hAnsi="宋体"/>
          <w:b/>
          <w:sz w:val="36"/>
          <w:szCs w:val="36"/>
        </w:rPr>
        <w:t>判</w:t>
      </w:r>
      <w:bookmarkEnd w:id="36"/>
      <w:bookmarkStart w:id="37" w:name="_Toc32414"/>
      <w:r>
        <w:rPr>
          <w:rFonts w:hint="eastAsia" w:ascii="宋体" w:hAnsi="宋体"/>
          <w:b/>
          <w:sz w:val="36"/>
          <w:szCs w:val="36"/>
        </w:rPr>
        <w:t>响</w:t>
      </w:r>
      <w:bookmarkEnd w:id="37"/>
      <w:bookmarkStart w:id="38" w:name="_Toc14263"/>
      <w:r>
        <w:rPr>
          <w:rFonts w:hint="eastAsia" w:ascii="宋体" w:hAnsi="宋体"/>
          <w:b/>
          <w:sz w:val="36"/>
          <w:szCs w:val="36"/>
        </w:rPr>
        <w:t>应</w:t>
      </w:r>
      <w:bookmarkEnd w:id="38"/>
      <w:bookmarkStart w:id="39" w:name="_Toc13394"/>
      <w:r>
        <w:rPr>
          <w:rFonts w:hint="eastAsia" w:ascii="宋体" w:hAnsi="宋体"/>
          <w:b/>
          <w:sz w:val="36"/>
          <w:szCs w:val="36"/>
        </w:rPr>
        <w:t>文</w:t>
      </w:r>
      <w:bookmarkEnd w:id="39"/>
      <w:bookmarkStart w:id="40" w:name="_Toc21627"/>
      <w:r>
        <w:rPr>
          <w:rFonts w:hint="eastAsia" w:ascii="宋体" w:hAnsi="宋体"/>
          <w:b/>
          <w:sz w:val="36"/>
          <w:szCs w:val="36"/>
        </w:rPr>
        <w:t>件</w:t>
      </w:r>
      <w:bookmarkEnd w:id="40"/>
      <w:bookmarkStart w:id="41" w:name="_Toc18694"/>
      <w:r>
        <w:rPr>
          <w:rFonts w:hint="eastAsia" w:ascii="宋体" w:hAnsi="宋体"/>
          <w:b/>
          <w:sz w:val="36"/>
          <w:szCs w:val="36"/>
        </w:rPr>
        <w:t>格</w:t>
      </w:r>
      <w:bookmarkEnd w:id="41"/>
      <w:bookmarkStart w:id="42" w:name="_Toc26500"/>
      <w:r>
        <w:rPr>
          <w:rFonts w:hint="eastAsia" w:ascii="宋体" w:hAnsi="宋体"/>
          <w:b/>
          <w:sz w:val="36"/>
          <w:szCs w:val="36"/>
        </w:rPr>
        <w:t>式</w:t>
      </w:r>
      <w:bookmarkEnd w:id="31"/>
      <w:bookmarkEnd w:id="32"/>
      <w:bookmarkEnd w:id="33"/>
      <w:bookmarkEnd w:id="34"/>
      <w:bookmarkEnd w:id="42"/>
    </w:p>
    <w:p>
      <w:pPr>
        <w:spacing w:line="360" w:lineRule="atLeast"/>
        <w:jc w:val="right"/>
        <w:rPr>
          <w:rFonts w:hint="eastAsia" w:ascii="宋体" w:hAnsi="宋体"/>
          <w:b/>
          <w:sz w:val="28"/>
          <w:szCs w:val="28"/>
        </w:rPr>
      </w:pPr>
    </w:p>
    <w:p>
      <w:pPr>
        <w:spacing w:line="360" w:lineRule="atLeast"/>
        <w:jc w:val="right"/>
        <w:rPr>
          <w:rFonts w:hint="eastAsia" w:ascii="宋体" w:hAnsi="宋体"/>
          <w:b/>
          <w:sz w:val="28"/>
          <w:szCs w:val="28"/>
        </w:rPr>
      </w:pPr>
      <w:r>
        <w:rPr>
          <w:rFonts w:hint="eastAsia" w:ascii="宋体" w:hAnsi="宋体"/>
          <w:b/>
          <w:sz w:val="28"/>
          <w:szCs w:val="28"/>
        </w:rPr>
        <w:t>（正本或副本）</w:t>
      </w:r>
    </w:p>
    <w:p>
      <w:pPr>
        <w:spacing w:line="360" w:lineRule="atLeast"/>
        <w:rPr>
          <w:rFonts w:hint="eastAsia" w:ascii="宋体" w:hAnsi="宋体"/>
          <w:b/>
          <w:sz w:val="28"/>
          <w:szCs w:val="28"/>
        </w:rPr>
      </w:pPr>
    </w:p>
    <w:p>
      <w:pPr>
        <w:spacing w:line="360" w:lineRule="atLeast"/>
        <w:rPr>
          <w:rFonts w:hint="eastAsia" w:ascii="宋体" w:hAnsi="宋体"/>
          <w:b/>
          <w:sz w:val="44"/>
          <w:szCs w:val="44"/>
        </w:rPr>
      </w:pPr>
      <w:r>
        <w:rPr>
          <w:rFonts w:hint="eastAsia" w:ascii="宋体" w:hAnsi="宋体"/>
          <w:b/>
          <w:sz w:val="28"/>
          <w:szCs w:val="28"/>
        </w:rPr>
        <w:t xml:space="preserve">项目编号：HCCG-2022-121  </w:t>
      </w:r>
    </w:p>
    <w:p>
      <w:pPr>
        <w:spacing w:line="360" w:lineRule="atLeast"/>
        <w:ind w:firstLine="5439" w:firstLineChars="2590"/>
        <w:rPr>
          <w:rFonts w:ascii="宋体" w:hAnsi="宋体"/>
          <w:szCs w:val="21"/>
        </w:rPr>
      </w:pPr>
    </w:p>
    <w:p>
      <w:pPr>
        <w:spacing w:line="360" w:lineRule="atLeast"/>
        <w:rPr>
          <w:rFonts w:hint="eastAsia" w:ascii="宋体" w:hAnsi="宋体"/>
          <w:szCs w:val="21"/>
        </w:rPr>
      </w:pPr>
    </w:p>
    <w:p>
      <w:pPr>
        <w:spacing w:line="360" w:lineRule="atLeast"/>
        <w:rPr>
          <w:rFonts w:hint="eastAsia" w:ascii="宋体" w:hAnsi="宋体"/>
          <w:szCs w:val="21"/>
        </w:rPr>
      </w:pPr>
    </w:p>
    <w:p>
      <w:pPr>
        <w:spacing w:line="360" w:lineRule="atLeast"/>
        <w:jc w:val="center"/>
        <w:rPr>
          <w:rFonts w:hint="eastAsia" w:ascii="宋体" w:hAnsi="宋体"/>
          <w:b/>
          <w:w w:val="90"/>
          <w:sz w:val="52"/>
          <w:szCs w:val="52"/>
        </w:rPr>
      </w:pPr>
    </w:p>
    <w:p>
      <w:pPr>
        <w:spacing w:line="480" w:lineRule="auto"/>
        <w:jc w:val="center"/>
        <w:rPr>
          <w:rFonts w:hint="eastAsia" w:ascii="宋体" w:hAnsi="宋体" w:eastAsia="宋体" w:cs="宋体"/>
          <w:b/>
          <w:w w:val="90"/>
          <w:sz w:val="36"/>
          <w:szCs w:val="36"/>
          <w:lang w:eastAsia="zh-CN"/>
        </w:rPr>
      </w:pPr>
      <w:r>
        <w:rPr>
          <w:rFonts w:hint="eastAsia" w:ascii="宋体" w:hAnsi="宋体" w:cs="宋体"/>
          <w:b/>
          <w:w w:val="90"/>
          <w:sz w:val="36"/>
          <w:szCs w:val="36"/>
          <w:lang w:eastAsia="zh-CN"/>
        </w:rPr>
        <w:t>西安市长安区公务用车信息化监管服务平台运维项目</w:t>
      </w:r>
    </w:p>
    <w:p>
      <w:pPr>
        <w:spacing w:line="480" w:lineRule="auto"/>
        <w:jc w:val="center"/>
        <w:rPr>
          <w:rFonts w:hint="eastAsia" w:ascii="宋体" w:hAnsi="宋体" w:cs="宋体"/>
          <w:b/>
          <w:w w:val="90"/>
          <w:sz w:val="52"/>
          <w:szCs w:val="52"/>
        </w:rPr>
      </w:pPr>
    </w:p>
    <w:p>
      <w:pPr>
        <w:spacing w:line="480" w:lineRule="auto"/>
        <w:jc w:val="center"/>
        <w:rPr>
          <w:rFonts w:hint="eastAsia" w:ascii="宋体" w:hAnsi="宋体" w:cs="宋体"/>
          <w:b/>
          <w:w w:val="90"/>
          <w:sz w:val="52"/>
          <w:szCs w:val="52"/>
        </w:rPr>
      </w:pPr>
      <w:r>
        <w:rPr>
          <w:rFonts w:hint="eastAsia" w:ascii="宋体" w:hAnsi="宋体" w:cs="宋体"/>
          <w:b/>
          <w:w w:val="90"/>
          <w:sz w:val="52"/>
          <w:szCs w:val="52"/>
        </w:rPr>
        <w:t>谈判响应文件</w:t>
      </w:r>
    </w:p>
    <w:p>
      <w:pPr>
        <w:spacing w:line="360" w:lineRule="atLeast"/>
        <w:rPr>
          <w:rFonts w:hint="eastAsia" w:ascii="宋体" w:hAnsi="宋体"/>
          <w:sz w:val="52"/>
          <w:szCs w:val="52"/>
        </w:rPr>
      </w:pPr>
    </w:p>
    <w:p>
      <w:pPr>
        <w:pStyle w:val="3"/>
        <w:rPr>
          <w:rFonts w:hint="eastAsia" w:ascii="宋体" w:hAnsi="宋体"/>
          <w:sz w:val="52"/>
          <w:szCs w:val="52"/>
        </w:rPr>
      </w:pPr>
    </w:p>
    <w:p>
      <w:pPr>
        <w:rPr>
          <w:rFonts w:hint="eastAsia"/>
        </w:rPr>
      </w:pPr>
    </w:p>
    <w:p>
      <w:pPr>
        <w:spacing w:line="360" w:lineRule="atLeast"/>
        <w:rPr>
          <w:rFonts w:hint="eastAsia" w:ascii="宋体" w:hAnsi="宋体"/>
          <w:sz w:val="52"/>
          <w:szCs w:val="52"/>
        </w:rPr>
      </w:pPr>
    </w:p>
    <w:p>
      <w:pPr>
        <w:spacing w:line="360" w:lineRule="atLeast"/>
        <w:rPr>
          <w:rFonts w:hint="eastAsia" w:ascii="宋体" w:hAnsi="宋体"/>
          <w:sz w:val="52"/>
          <w:szCs w:val="52"/>
        </w:rPr>
      </w:pPr>
    </w:p>
    <w:p>
      <w:pPr>
        <w:tabs>
          <w:tab w:val="center" w:pos="5346"/>
        </w:tabs>
        <w:spacing w:line="360" w:lineRule="atLeast"/>
        <w:jc w:val="left"/>
        <w:rPr>
          <w:rFonts w:hint="eastAsia" w:ascii="宋体" w:hAnsi="宋体"/>
          <w:b/>
          <w:sz w:val="32"/>
          <w:szCs w:val="32"/>
        </w:rPr>
      </w:pPr>
      <w:r>
        <w:rPr>
          <w:rFonts w:hint="eastAsia" w:ascii="宋体" w:hAnsi="宋体"/>
          <w:b/>
          <w:sz w:val="32"/>
          <w:szCs w:val="32"/>
        </w:rPr>
        <w:t xml:space="preserve">            供应商（盖公章）</w:t>
      </w:r>
      <w:r>
        <w:rPr>
          <w:rFonts w:hint="eastAsia" w:ascii="宋体" w:hAnsi="宋体"/>
          <w:b/>
          <w:sz w:val="36"/>
          <w:szCs w:val="36"/>
        </w:rPr>
        <w:t>：</w:t>
      </w:r>
      <w:r>
        <w:rPr>
          <w:rFonts w:hint="eastAsia" w:ascii="宋体" w:hAnsi="宋体"/>
          <w:b/>
          <w:sz w:val="32"/>
          <w:szCs w:val="32"/>
        </w:rPr>
        <w:t xml:space="preserve">  </w:t>
      </w:r>
    </w:p>
    <w:p>
      <w:pPr>
        <w:tabs>
          <w:tab w:val="center" w:pos="5346"/>
        </w:tabs>
        <w:spacing w:line="360" w:lineRule="atLeast"/>
        <w:jc w:val="left"/>
        <w:rPr>
          <w:rFonts w:hint="eastAsia" w:ascii="宋体" w:hAnsi="宋体"/>
          <w:b/>
          <w:sz w:val="32"/>
          <w:szCs w:val="32"/>
          <w:u w:val="single"/>
        </w:rPr>
      </w:pPr>
      <w:r>
        <w:rPr>
          <w:rFonts w:hint="eastAsia" w:ascii="宋体" w:hAnsi="宋体"/>
          <w:b/>
          <w:sz w:val="32"/>
          <w:szCs w:val="32"/>
        </w:rPr>
        <w:t xml:space="preserve">                  </w:t>
      </w:r>
    </w:p>
    <w:p>
      <w:pPr>
        <w:spacing w:line="360" w:lineRule="atLeast"/>
        <w:jc w:val="left"/>
        <w:rPr>
          <w:rFonts w:hint="eastAsia" w:ascii="宋体" w:hAnsi="宋体"/>
          <w:b/>
          <w:sz w:val="36"/>
          <w:szCs w:val="36"/>
          <w:u w:val="single"/>
        </w:rPr>
      </w:pPr>
      <w:r>
        <w:rPr>
          <w:rFonts w:hint="eastAsia" w:ascii="宋体" w:hAnsi="宋体"/>
          <w:b/>
          <w:sz w:val="32"/>
          <w:szCs w:val="32"/>
        </w:rPr>
        <w:t xml:space="preserve">            时           间</w:t>
      </w:r>
      <w:r>
        <w:rPr>
          <w:rFonts w:hint="eastAsia" w:ascii="宋体" w:hAnsi="宋体"/>
          <w:b/>
          <w:sz w:val="36"/>
          <w:szCs w:val="36"/>
        </w:rPr>
        <w:t xml:space="preserve">：                  </w:t>
      </w:r>
    </w:p>
    <w:p>
      <w:pPr>
        <w:spacing w:line="360" w:lineRule="atLeast"/>
        <w:ind w:firstLine="3683" w:firstLineChars="1151"/>
        <w:rPr>
          <w:rFonts w:hint="eastAsia" w:ascii="宋体" w:hAnsi="宋体"/>
          <w:b/>
          <w:sz w:val="32"/>
          <w:szCs w:val="32"/>
        </w:rPr>
      </w:pPr>
      <w:r>
        <w:rPr>
          <w:rFonts w:ascii="宋体" w:hAnsi="宋体"/>
          <w:b/>
          <w:sz w:val="32"/>
          <w:szCs w:val="32"/>
        </w:rPr>
        <w:br w:type="page"/>
      </w:r>
      <w:r>
        <w:rPr>
          <w:rFonts w:hint="eastAsia" w:ascii="宋体" w:hAnsi="宋体"/>
          <w:b/>
          <w:sz w:val="32"/>
          <w:szCs w:val="32"/>
        </w:rPr>
        <w:t xml:space="preserve">   目    录</w:t>
      </w:r>
    </w:p>
    <w:p>
      <w:pPr>
        <w:spacing w:line="360" w:lineRule="atLeast"/>
        <w:rPr>
          <w:rFonts w:hint="eastAsia" w:ascii="宋体" w:hAnsi="宋体"/>
        </w:rPr>
      </w:pPr>
    </w:p>
    <w:p>
      <w:pPr>
        <w:pStyle w:val="17"/>
        <w:spacing w:line="480" w:lineRule="auto"/>
        <w:ind w:firstLine="1788" w:firstLineChars="745"/>
        <w:rPr>
          <w:rFonts w:hint="eastAsia" w:hAnsi="宋体"/>
          <w:sz w:val="24"/>
          <w:szCs w:val="24"/>
        </w:rPr>
      </w:pPr>
      <w:r>
        <w:rPr>
          <w:rFonts w:hint="eastAsia" w:hAnsi="宋体"/>
          <w:sz w:val="24"/>
          <w:szCs w:val="24"/>
        </w:rPr>
        <w:t>第一部分   谈判响应函</w:t>
      </w:r>
    </w:p>
    <w:p>
      <w:pPr>
        <w:spacing w:line="480" w:lineRule="auto"/>
        <w:ind w:firstLine="1800" w:firstLineChars="750"/>
        <w:rPr>
          <w:rFonts w:hint="eastAsia" w:hAnsi="宋体"/>
          <w:sz w:val="24"/>
        </w:rPr>
      </w:pPr>
      <w:r>
        <w:rPr>
          <w:rFonts w:hint="eastAsia" w:ascii="宋体" w:hAnsi="宋体"/>
          <w:sz w:val="24"/>
        </w:rPr>
        <w:t>第二部分   报价一览表</w:t>
      </w:r>
    </w:p>
    <w:p>
      <w:pPr>
        <w:pStyle w:val="17"/>
        <w:spacing w:line="480" w:lineRule="auto"/>
        <w:ind w:firstLine="1788" w:firstLineChars="745"/>
        <w:rPr>
          <w:rFonts w:hint="eastAsia" w:hAnsi="宋体"/>
          <w:sz w:val="24"/>
          <w:szCs w:val="24"/>
        </w:rPr>
      </w:pPr>
      <w:r>
        <w:rPr>
          <w:rFonts w:hint="eastAsia" w:hAnsi="宋体"/>
          <w:sz w:val="24"/>
          <w:szCs w:val="24"/>
        </w:rPr>
        <w:t>第三部分   供应商资格证明文件</w:t>
      </w:r>
    </w:p>
    <w:p>
      <w:pPr>
        <w:pStyle w:val="17"/>
        <w:spacing w:line="480" w:lineRule="auto"/>
        <w:ind w:firstLine="1788" w:firstLineChars="745"/>
        <w:rPr>
          <w:rFonts w:hint="eastAsia" w:hAnsi="宋体"/>
          <w:sz w:val="24"/>
          <w:szCs w:val="24"/>
        </w:rPr>
      </w:pPr>
      <w:r>
        <w:rPr>
          <w:rFonts w:hint="eastAsia" w:hAnsi="宋体"/>
          <w:sz w:val="24"/>
          <w:szCs w:val="24"/>
        </w:rPr>
        <w:t>第四部分   技术响应</w:t>
      </w:r>
    </w:p>
    <w:p>
      <w:pPr>
        <w:pStyle w:val="17"/>
        <w:spacing w:line="480" w:lineRule="auto"/>
        <w:ind w:firstLine="1800" w:firstLineChars="750"/>
        <w:rPr>
          <w:rFonts w:hint="eastAsia" w:hAnsi="宋体"/>
          <w:sz w:val="24"/>
          <w:szCs w:val="24"/>
        </w:rPr>
      </w:pPr>
      <w:r>
        <w:rPr>
          <w:rFonts w:hint="eastAsia" w:hAnsi="宋体"/>
          <w:sz w:val="24"/>
          <w:szCs w:val="24"/>
        </w:rPr>
        <w:t>第五部分   合同条款响应偏离表</w:t>
      </w:r>
    </w:p>
    <w:p>
      <w:pPr>
        <w:pStyle w:val="17"/>
        <w:spacing w:line="480" w:lineRule="auto"/>
        <w:ind w:firstLine="1800" w:firstLineChars="750"/>
        <w:rPr>
          <w:rFonts w:hint="eastAsia" w:hAnsi="宋体"/>
          <w:sz w:val="24"/>
          <w:szCs w:val="24"/>
        </w:rPr>
      </w:pPr>
      <w:r>
        <w:rPr>
          <w:rFonts w:hint="eastAsia" w:hAnsi="宋体"/>
          <w:sz w:val="24"/>
          <w:szCs w:val="24"/>
        </w:rPr>
        <w:t>第六部分   诚信投标承诺书</w:t>
      </w:r>
    </w:p>
    <w:p>
      <w:pPr>
        <w:pStyle w:val="17"/>
        <w:spacing w:line="480" w:lineRule="auto"/>
        <w:ind w:firstLine="1800" w:firstLineChars="750"/>
        <w:rPr>
          <w:rFonts w:hint="eastAsia" w:hAnsi="宋体"/>
          <w:sz w:val="24"/>
          <w:szCs w:val="24"/>
        </w:rPr>
      </w:pPr>
      <w:r>
        <w:rPr>
          <w:rFonts w:hint="eastAsia" w:hAnsi="宋体"/>
          <w:sz w:val="24"/>
          <w:szCs w:val="24"/>
        </w:rPr>
        <w:t>第七部分   其他资料</w:t>
      </w:r>
    </w:p>
    <w:p>
      <w:pPr>
        <w:spacing w:line="480" w:lineRule="auto"/>
        <w:jc w:val="center"/>
        <w:rPr>
          <w:rFonts w:ascii="宋体" w:hAnsi="宋体"/>
          <w:b/>
          <w:sz w:val="24"/>
        </w:rPr>
      </w:pPr>
      <w:r>
        <w:rPr>
          <w:rFonts w:hint="eastAsia" w:ascii="宋体" w:hAnsi="宋体"/>
          <w:b/>
          <w:sz w:val="24"/>
        </w:rPr>
        <w:t xml:space="preserve">  </w:t>
      </w:r>
    </w:p>
    <w:p>
      <w:pPr>
        <w:spacing w:line="360" w:lineRule="atLeast"/>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第一部分   谈判响应函</w:t>
      </w:r>
    </w:p>
    <w:p>
      <w:pPr>
        <w:kinsoku w:val="0"/>
        <w:spacing w:line="560" w:lineRule="exact"/>
        <w:rPr>
          <w:rFonts w:hint="eastAsia" w:ascii="宋体" w:hAnsi="宋体"/>
          <w:sz w:val="24"/>
        </w:rPr>
      </w:pPr>
      <w:r>
        <w:rPr>
          <w:rFonts w:hint="eastAsia" w:ascii="宋体" w:hAnsi="宋体"/>
          <w:sz w:val="24"/>
          <w:u w:val="single"/>
          <w:lang w:eastAsia="zh-CN"/>
        </w:rPr>
        <w:t>华春建设工程项目管理有限责任公司</w:t>
      </w:r>
      <w:r>
        <w:rPr>
          <w:rFonts w:hint="eastAsia" w:ascii="宋体" w:hAnsi="宋体"/>
          <w:sz w:val="24"/>
        </w:rPr>
        <w:t>：</w:t>
      </w:r>
    </w:p>
    <w:p>
      <w:pPr>
        <w:pStyle w:val="3"/>
        <w:spacing w:line="560" w:lineRule="exact"/>
        <w:ind w:firstLine="480" w:firstLineChars="200"/>
        <w:rPr>
          <w:rFonts w:hint="eastAsia" w:ascii="宋体" w:hAnsi="宋体"/>
          <w:color w:val="auto"/>
        </w:rPr>
      </w:pPr>
      <w:r>
        <w:rPr>
          <w:rFonts w:hint="eastAsia" w:ascii="宋体" w:hAnsi="宋体"/>
          <w:color w:val="auto"/>
        </w:rPr>
        <w:t>我单位收到贵公司</w:t>
      </w:r>
      <w:r>
        <w:rPr>
          <w:rFonts w:hint="eastAsia" w:ascii="宋体" w:hAnsi="宋体"/>
          <w:color w:val="auto"/>
          <w:u w:val="single"/>
          <w:lang w:val="en-US" w:eastAsia="zh-CN"/>
        </w:rPr>
        <w:t xml:space="preserve">     （项目名称，项目编号）</w:t>
      </w:r>
      <w:r>
        <w:rPr>
          <w:rFonts w:hint="eastAsia" w:ascii="宋体" w:hAnsi="宋体"/>
          <w:color w:val="auto"/>
          <w:u w:val="single"/>
        </w:rPr>
        <w:t xml:space="preserve">     </w:t>
      </w:r>
      <w:r>
        <w:rPr>
          <w:rFonts w:hint="eastAsia" w:ascii="宋体" w:hAnsi="宋体"/>
          <w:color w:val="auto"/>
        </w:rPr>
        <w:t>单一来源谈判文件，经详细研究，决定参加本次谈判活动。为此，我方郑重声明以下几点，并愿负法律责任。</w:t>
      </w:r>
    </w:p>
    <w:p>
      <w:pPr>
        <w:kinsoku w:val="0"/>
        <w:spacing w:line="560" w:lineRule="exact"/>
        <w:ind w:firstLine="480" w:firstLineChars="200"/>
        <w:rPr>
          <w:rFonts w:hint="eastAsia" w:ascii="宋体" w:hAnsi="宋体"/>
          <w:sz w:val="24"/>
        </w:rPr>
      </w:pPr>
      <w:r>
        <w:rPr>
          <w:rFonts w:hint="eastAsia" w:ascii="宋体" w:hAnsi="宋体"/>
          <w:sz w:val="24"/>
        </w:rPr>
        <w:t>1、按照谈判文件中的一切要求，提供完全满足采购需求的服务保障。</w:t>
      </w:r>
    </w:p>
    <w:p>
      <w:pPr>
        <w:kinsoku w:val="0"/>
        <w:spacing w:line="560" w:lineRule="exact"/>
        <w:ind w:firstLine="480" w:firstLineChars="200"/>
        <w:rPr>
          <w:rFonts w:hint="eastAsia" w:ascii="宋体" w:hAnsi="宋体"/>
          <w:sz w:val="24"/>
        </w:rPr>
      </w:pPr>
      <w:r>
        <w:rPr>
          <w:rFonts w:hint="eastAsia" w:ascii="宋体" w:hAnsi="宋体"/>
          <w:sz w:val="24"/>
        </w:rPr>
        <w:t>2、如若成交，将根据谈判文件的要求、谈判响应文件及承诺条件，全面签约并履行合同规定的责任和义务。</w:t>
      </w:r>
    </w:p>
    <w:p>
      <w:pPr>
        <w:kinsoku w:val="0"/>
        <w:spacing w:line="560" w:lineRule="exact"/>
        <w:ind w:firstLine="480" w:firstLineChars="200"/>
        <w:rPr>
          <w:rFonts w:hint="eastAsia" w:ascii="宋体" w:hAnsi="宋体"/>
          <w:sz w:val="24"/>
        </w:rPr>
      </w:pPr>
      <w:r>
        <w:rPr>
          <w:rFonts w:hint="eastAsia" w:ascii="宋体" w:hAnsi="宋体"/>
          <w:sz w:val="24"/>
        </w:rPr>
        <w:t>3、我方提交的谈判响应文件共</w:t>
      </w:r>
      <w:r>
        <w:rPr>
          <w:rFonts w:hint="eastAsia" w:ascii="宋体" w:hAnsi="宋体"/>
          <w:sz w:val="24"/>
          <w:u w:val="single"/>
        </w:rPr>
        <w:t xml:space="preserve">   </w:t>
      </w:r>
      <w:r>
        <w:rPr>
          <w:rFonts w:hint="eastAsia" w:ascii="宋体" w:hAnsi="宋体"/>
          <w:sz w:val="24"/>
        </w:rPr>
        <w:t>份，其中正本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份，电子版</w:t>
      </w:r>
      <w:r>
        <w:rPr>
          <w:rFonts w:hint="eastAsia" w:ascii="宋体" w:hAnsi="宋体"/>
          <w:sz w:val="24"/>
          <w:u w:val="single"/>
        </w:rPr>
        <w:t xml:space="preserve">   </w:t>
      </w:r>
      <w:r>
        <w:rPr>
          <w:rFonts w:hint="eastAsia" w:ascii="宋体" w:hAnsi="宋体"/>
          <w:sz w:val="24"/>
        </w:rPr>
        <w:t>份。</w:t>
      </w:r>
    </w:p>
    <w:p>
      <w:pPr>
        <w:kinsoku w:val="0"/>
        <w:spacing w:line="56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、我方已详细阅读和核实谈判文件全部内容，完全理解并同意放弃提出含糊不清和误解问题的权力。</w:t>
      </w:r>
    </w:p>
    <w:p>
      <w:pPr>
        <w:kinsoku w:val="0"/>
        <w:spacing w:line="560" w:lineRule="exact"/>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、同意提供贵方要求的与本次谈判有关的任何证明资料。</w:t>
      </w:r>
    </w:p>
    <w:p>
      <w:pPr>
        <w:kinsoku w:val="0"/>
        <w:spacing w:line="56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、我方的谈判响应文件有效期自谈判之日起</w:t>
      </w:r>
      <w:r>
        <w:rPr>
          <w:rFonts w:hint="eastAsia" w:ascii="宋体" w:hAnsi="宋体"/>
          <w:sz w:val="24"/>
          <w:u w:val="single"/>
        </w:rPr>
        <w:t xml:space="preserve"> 90 </w:t>
      </w:r>
      <w:r>
        <w:rPr>
          <w:rFonts w:hint="eastAsia" w:ascii="宋体" w:hAnsi="宋体"/>
          <w:sz w:val="24"/>
        </w:rPr>
        <w:t>日历天。</w:t>
      </w:r>
    </w:p>
    <w:p>
      <w:pPr>
        <w:tabs>
          <w:tab w:val="left" w:pos="2160"/>
        </w:tabs>
        <w:spacing w:line="520" w:lineRule="exact"/>
        <w:jc w:val="left"/>
        <w:rPr>
          <w:rFonts w:hint="eastAsia" w:ascii="宋体" w:hAnsi="宋体"/>
          <w:sz w:val="24"/>
        </w:rPr>
      </w:pPr>
      <w:r>
        <w:rPr>
          <w:rFonts w:hint="eastAsia" w:ascii="宋体" w:hAnsi="宋体"/>
          <w:sz w:val="24"/>
        </w:rPr>
        <w:t xml:space="preserve">    </w:t>
      </w:r>
      <w:r>
        <w:rPr>
          <w:rFonts w:hint="eastAsia" w:ascii="宋体" w:hAnsi="宋体"/>
          <w:sz w:val="24"/>
          <w:lang w:val="en-US" w:eastAsia="zh-CN"/>
        </w:rPr>
        <w:t>7</w:t>
      </w:r>
      <w:r>
        <w:rPr>
          <w:rFonts w:hint="eastAsia" w:ascii="宋体" w:hAnsi="宋体"/>
          <w:sz w:val="24"/>
        </w:rPr>
        <w:t>、</w:t>
      </w:r>
      <w:r>
        <w:rPr>
          <w:rFonts w:hint="eastAsia" w:ascii="宋体" w:hAnsi="宋体"/>
          <w:spacing w:val="4"/>
          <w:sz w:val="24"/>
        </w:rPr>
        <w:t>我们同意，如果成交，向</w:t>
      </w:r>
      <w:r>
        <w:rPr>
          <w:rFonts w:hint="eastAsia" w:ascii="宋体" w:hAnsi="宋体"/>
          <w:spacing w:val="4"/>
          <w:sz w:val="24"/>
          <w:lang w:eastAsia="zh-CN"/>
        </w:rPr>
        <w:t>华春建设工程项目管理有限责任公司</w:t>
      </w:r>
      <w:r>
        <w:rPr>
          <w:rFonts w:hint="eastAsia" w:ascii="宋体" w:hAnsi="宋体"/>
          <w:spacing w:val="4"/>
          <w:sz w:val="24"/>
        </w:rPr>
        <w:t>交纳招标代理服务费。</w:t>
      </w:r>
    </w:p>
    <w:p>
      <w:pPr>
        <w:kinsoku w:val="0"/>
        <w:spacing w:line="56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、所有关于本次谈判的函电，请按下列地址、方式联系：</w:t>
      </w:r>
    </w:p>
    <w:p>
      <w:pPr>
        <w:kinsoku w:val="0"/>
        <w:spacing w:line="360" w:lineRule="auto"/>
        <w:ind w:firstLine="570"/>
        <w:rPr>
          <w:rFonts w:hint="eastAsia" w:ascii="宋体" w:hAnsi="宋体"/>
          <w:sz w:val="24"/>
        </w:rPr>
      </w:pPr>
    </w:p>
    <w:p>
      <w:pPr>
        <w:pStyle w:val="3"/>
        <w:rPr>
          <w:rFonts w:hint="eastAsia"/>
        </w:rPr>
      </w:pPr>
    </w:p>
    <w:p>
      <w:pPr>
        <w:kinsoku w:val="0"/>
        <w:spacing w:line="360" w:lineRule="auto"/>
        <w:ind w:firstLine="570"/>
        <w:rPr>
          <w:rFonts w:hint="eastAsia" w:ascii="宋体" w:hAnsi="宋体"/>
          <w:sz w:val="24"/>
        </w:rPr>
      </w:pPr>
      <w:r>
        <w:rPr>
          <w:rFonts w:hint="eastAsia" w:ascii="宋体" w:hAnsi="宋体"/>
          <w:sz w:val="24"/>
        </w:rPr>
        <w:t>供应商全称（公章）：</w:t>
      </w:r>
      <w:r>
        <w:rPr>
          <w:rFonts w:hint="eastAsia" w:ascii="宋体" w:hAnsi="宋体"/>
          <w:sz w:val="24"/>
          <w:u w:val="single"/>
        </w:rPr>
        <w:t xml:space="preserve">                                           </w:t>
      </w:r>
    </w:p>
    <w:p>
      <w:pPr>
        <w:kinsoku w:val="0"/>
        <w:spacing w:line="360" w:lineRule="auto"/>
        <w:ind w:firstLine="570"/>
        <w:rPr>
          <w:rFonts w:hint="eastAsia" w:ascii="宋体" w:hAnsi="宋体"/>
          <w:sz w:val="24"/>
          <w:u w:val="single"/>
        </w:rPr>
      </w:pPr>
      <w:r>
        <w:rPr>
          <w:rFonts w:hint="eastAsia" w:ascii="宋体" w:hAnsi="宋体"/>
          <w:sz w:val="24"/>
        </w:rPr>
        <w:t>法定代表人或负责人/被授权人（签字）：</w:t>
      </w:r>
      <w:r>
        <w:rPr>
          <w:rFonts w:hint="eastAsia" w:ascii="宋体" w:hAnsi="宋体"/>
          <w:sz w:val="24"/>
          <w:u w:val="single"/>
        </w:rPr>
        <w:t xml:space="preserve">                          </w:t>
      </w:r>
    </w:p>
    <w:p>
      <w:pPr>
        <w:kinsoku w:val="0"/>
        <w:spacing w:line="360" w:lineRule="auto"/>
        <w:ind w:firstLine="57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pPr>
        <w:kinsoku w:val="0"/>
        <w:spacing w:line="360" w:lineRule="auto"/>
        <w:ind w:firstLine="570"/>
        <w:rPr>
          <w:rFonts w:hint="eastAsia" w:ascii="宋体" w:hAnsi="宋体"/>
          <w:sz w:val="24"/>
          <w:u w:val="single"/>
        </w:rPr>
      </w:pPr>
      <w:r>
        <w:rPr>
          <w:rFonts w:hint="eastAsia" w:ascii="宋体" w:hAnsi="宋体"/>
          <w:sz w:val="24"/>
        </w:rPr>
        <w:t>电    话：</w:t>
      </w:r>
      <w:r>
        <w:rPr>
          <w:rFonts w:hint="eastAsia" w:ascii="宋体" w:hAnsi="宋体"/>
          <w:sz w:val="24"/>
          <w:u w:val="single"/>
        </w:rPr>
        <w:t xml:space="preserve">                                                     </w:t>
      </w:r>
    </w:p>
    <w:p>
      <w:pPr>
        <w:kinsoku w:val="0"/>
        <w:spacing w:line="360" w:lineRule="auto"/>
        <w:ind w:firstLine="570"/>
        <w:rPr>
          <w:rFonts w:hint="eastAsia" w:ascii="宋体" w:hAnsi="宋体"/>
          <w:sz w:val="24"/>
          <w:u w:val="single"/>
        </w:rPr>
      </w:pPr>
      <w:r>
        <w:rPr>
          <w:rFonts w:hint="eastAsia" w:ascii="宋体" w:hAnsi="宋体"/>
          <w:sz w:val="24"/>
        </w:rPr>
        <w:t>传    真：</w:t>
      </w:r>
      <w:r>
        <w:rPr>
          <w:rFonts w:hint="eastAsia" w:ascii="宋体" w:hAnsi="宋体"/>
          <w:sz w:val="24"/>
          <w:u w:val="single"/>
        </w:rPr>
        <w:t xml:space="preserve">                                                     </w:t>
      </w:r>
    </w:p>
    <w:p>
      <w:pPr>
        <w:kinsoku w:val="0"/>
        <w:spacing w:line="360" w:lineRule="auto"/>
        <w:ind w:firstLine="570"/>
        <w:rPr>
          <w:rFonts w:hint="eastAsia" w:ascii="宋体" w:hAnsi="宋体"/>
          <w:sz w:val="24"/>
          <w:u w:val="single"/>
        </w:rPr>
      </w:pPr>
      <w:r>
        <w:rPr>
          <w:rFonts w:hint="eastAsia" w:ascii="宋体" w:hAnsi="宋体"/>
          <w:sz w:val="24"/>
        </w:rPr>
        <w:t>邮    编：</w:t>
      </w:r>
      <w:r>
        <w:rPr>
          <w:rFonts w:hint="eastAsia" w:ascii="宋体" w:hAnsi="宋体"/>
          <w:sz w:val="24"/>
          <w:u w:val="single"/>
        </w:rPr>
        <w:t xml:space="preserve">                                                     </w:t>
      </w:r>
    </w:p>
    <w:p>
      <w:pPr>
        <w:kinsoku w:val="0"/>
        <w:spacing w:line="360" w:lineRule="auto"/>
        <w:ind w:firstLine="570"/>
        <w:rPr>
          <w:rFonts w:hint="eastAsia" w:ascii="宋体" w:hAnsi="宋体"/>
          <w:sz w:val="24"/>
        </w:rPr>
      </w:pPr>
      <w:r>
        <w:rPr>
          <w:rFonts w:hint="eastAsia" w:ascii="宋体" w:hAnsi="宋体"/>
          <w:sz w:val="24"/>
        </w:rPr>
        <w:t xml:space="preserve">                                                年   月   日</w:t>
      </w:r>
    </w:p>
    <w:p>
      <w:pPr>
        <w:spacing w:line="360" w:lineRule="auto"/>
        <w:jc w:val="center"/>
        <w:rPr>
          <w:rFonts w:hint="eastAsia" w:ascii="宋体" w:hAnsi="宋体"/>
          <w:b/>
          <w:sz w:val="32"/>
          <w:szCs w:val="32"/>
        </w:rPr>
      </w:pPr>
      <w:r>
        <w:rPr>
          <w:rFonts w:ascii="宋体" w:hAnsi="宋体"/>
          <w:sz w:val="24"/>
        </w:rPr>
        <w:br w:type="page"/>
      </w:r>
      <w:r>
        <w:rPr>
          <w:rFonts w:hint="eastAsia" w:ascii="宋体" w:hAnsi="宋体"/>
          <w:b/>
          <w:sz w:val="32"/>
          <w:szCs w:val="32"/>
        </w:rPr>
        <w:t>第二部分 报价一览表</w:t>
      </w:r>
    </w:p>
    <w:p>
      <w:pPr>
        <w:kinsoku w:val="0"/>
        <w:spacing w:line="500" w:lineRule="exact"/>
        <w:ind w:firstLine="120" w:firstLineChars="50"/>
        <w:rPr>
          <w:rFonts w:hint="eastAsia" w:ascii="宋体" w:hAnsi="宋体"/>
          <w:sz w:val="24"/>
        </w:rPr>
      </w:pPr>
    </w:p>
    <w:p>
      <w:pPr>
        <w:kinsoku w:val="0"/>
        <w:spacing w:line="500" w:lineRule="exact"/>
        <w:rPr>
          <w:rFonts w:hint="eastAsia" w:ascii="宋体" w:hAnsi="宋体"/>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904"/>
        <w:gridCol w:w="1678"/>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jc w:val="center"/>
        </w:trPr>
        <w:tc>
          <w:tcPr>
            <w:tcW w:w="1899" w:type="dxa"/>
            <w:noWrap w:val="0"/>
            <w:vAlign w:val="center"/>
          </w:tcPr>
          <w:p>
            <w:pPr>
              <w:spacing w:line="400" w:lineRule="atLeast"/>
              <w:jc w:val="center"/>
              <w:rPr>
                <w:rFonts w:hint="eastAsia" w:ascii="宋体" w:hAnsi="宋体"/>
                <w:sz w:val="24"/>
              </w:rPr>
            </w:pPr>
            <w:r>
              <w:rPr>
                <w:rFonts w:hint="eastAsia" w:ascii="宋体" w:hAnsi="宋体"/>
                <w:sz w:val="24"/>
              </w:rPr>
              <w:t>项目名称</w:t>
            </w:r>
          </w:p>
        </w:tc>
        <w:tc>
          <w:tcPr>
            <w:tcW w:w="2904" w:type="dxa"/>
            <w:noWrap w:val="0"/>
            <w:vAlign w:val="center"/>
          </w:tcPr>
          <w:p>
            <w:pPr>
              <w:spacing w:line="400" w:lineRule="atLeast"/>
              <w:jc w:val="center"/>
              <w:rPr>
                <w:rFonts w:hint="eastAsia" w:ascii="宋体" w:hAnsi="宋体"/>
                <w:sz w:val="24"/>
              </w:rPr>
            </w:pPr>
          </w:p>
        </w:tc>
        <w:tc>
          <w:tcPr>
            <w:tcW w:w="1678" w:type="dxa"/>
            <w:noWrap w:val="0"/>
            <w:vAlign w:val="center"/>
          </w:tcPr>
          <w:p>
            <w:pPr>
              <w:spacing w:line="400" w:lineRule="atLeast"/>
              <w:jc w:val="center"/>
              <w:rPr>
                <w:rFonts w:hint="eastAsia" w:ascii="宋体" w:hAnsi="宋体"/>
                <w:sz w:val="24"/>
              </w:rPr>
            </w:pPr>
            <w:r>
              <w:rPr>
                <w:rFonts w:hint="eastAsia" w:ascii="宋体" w:hAnsi="宋体"/>
                <w:sz w:val="24"/>
              </w:rPr>
              <w:t>项目编号</w:t>
            </w:r>
          </w:p>
        </w:tc>
        <w:tc>
          <w:tcPr>
            <w:tcW w:w="2284" w:type="dxa"/>
            <w:noWrap w:val="0"/>
            <w:vAlign w:val="center"/>
          </w:tcPr>
          <w:p>
            <w:pPr>
              <w:spacing w:line="40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99" w:type="dxa"/>
            <w:noWrap w:val="0"/>
            <w:vAlign w:val="center"/>
          </w:tcPr>
          <w:p>
            <w:pPr>
              <w:spacing w:line="400" w:lineRule="atLeast"/>
              <w:jc w:val="center"/>
              <w:rPr>
                <w:rFonts w:hint="eastAsia" w:ascii="宋体" w:hAnsi="宋体"/>
                <w:sz w:val="24"/>
              </w:rPr>
            </w:pPr>
            <w:r>
              <w:rPr>
                <w:rFonts w:hint="eastAsia" w:ascii="宋体" w:hAnsi="宋体"/>
                <w:sz w:val="24"/>
              </w:rPr>
              <w:t>总报价</w:t>
            </w:r>
          </w:p>
        </w:tc>
        <w:tc>
          <w:tcPr>
            <w:tcW w:w="6866" w:type="dxa"/>
            <w:gridSpan w:val="3"/>
            <w:noWrap w:val="0"/>
            <w:vAlign w:val="center"/>
          </w:tcPr>
          <w:p>
            <w:pPr>
              <w:spacing w:line="400" w:lineRule="atLeast"/>
              <w:jc w:val="center"/>
              <w:rPr>
                <w:rFonts w:hint="eastAsia" w:ascii="宋体" w:hAnsi="宋体"/>
                <w:sz w:val="24"/>
              </w:rPr>
            </w:pPr>
            <w:r>
              <w:rPr>
                <w:rFonts w:hint="eastAsia" w:ascii="宋体" w:hAnsi="宋体"/>
                <w:sz w:val="24"/>
                <w:u w:val="single"/>
              </w:rPr>
              <w:t xml:space="preserve">（大写）            </w:t>
            </w:r>
            <w:r>
              <w:rPr>
                <w:rFonts w:hint="eastAsia" w:ascii="宋体" w:hAnsi="宋体"/>
                <w:sz w:val="24"/>
              </w:rPr>
              <w:t>元人民币</w:t>
            </w:r>
          </w:p>
          <w:p>
            <w:pPr>
              <w:spacing w:line="400" w:lineRule="atLeast"/>
              <w:ind w:firstLine="1680" w:firstLineChars="700"/>
              <w:rPr>
                <w:rFonts w:hint="eastAsia" w:ascii="宋体" w:hAnsi="宋体"/>
                <w:sz w:val="24"/>
              </w:rPr>
            </w:pPr>
            <w:r>
              <w:rPr>
                <w:rFonts w:hint="eastAsia" w:ascii="宋体" w:hAnsi="宋体"/>
                <w:sz w:val="24"/>
                <w:u w:val="single"/>
              </w:rPr>
              <w:t xml:space="preserve">（小写）            </w:t>
            </w:r>
            <w:r>
              <w:rPr>
                <w:rFonts w:hint="eastAsia" w:ascii="宋体" w:hAnsi="宋体"/>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99" w:type="dxa"/>
            <w:noWrap w:val="0"/>
            <w:vAlign w:val="center"/>
          </w:tcPr>
          <w:p>
            <w:pPr>
              <w:spacing w:line="400" w:lineRule="atLeast"/>
              <w:jc w:val="center"/>
              <w:rPr>
                <w:rFonts w:hint="eastAsia" w:ascii="宋体" w:hAnsi="宋体"/>
                <w:sz w:val="24"/>
              </w:rPr>
            </w:pPr>
            <w:r>
              <w:rPr>
                <w:rFonts w:hint="eastAsia" w:ascii="宋体" w:hAnsi="宋体"/>
                <w:sz w:val="24"/>
              </w:rPr>
              <w:t>服务期</w:t>
            </w:r>
          </w:p>
        </w:tc>
        <w:tc>
          <w:tcPr>
            <w:tcW w:w="6866" w:type="dxa"/>
            <w:gridSpan w:val="3"/>
            <w:noWrap w:val="0"/>
            <w:vAlign w:val="center"/>
          </w:tcPr>
          <w:p>
            <w:pPr>
              <w:spacing w:line="400" w:lineRule="atLeast"/>
              <w:jc w:val="center"/>
              <w:rPr>
                <w:rFonts w:hint="eastAsia"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99" w:type="dxa"/>
            <w:noWrap w:val="0"/>
            <w:vAlign w:val="center"/>
          </w:tcPr>
          <w:p>
            <w:pPr>
              <w:spacing w:line="400" w:lineRule="atLeast"/>
              <w:jc w:val="center"/>
              <w:rPr>
                <w:rFonts w:hint="eastAsia" w:ascii="宋体" w:hAnsi="宋体"/>
                <w:sz w:val="24"/>
              </w:rPr>
            </w:pPr>
            <w:r>
              <w:rPr>
                <w:rFonts w:hint="eastAsia" w:ascii="宋体" w:hAnsi="宋体"/>
                <w:sz w:val="24"/>
              </w:rPr>
              <w:t>备注</w:t>
            </w:r>
          </w:p>
        </w:tc>
        <w:tc>
          <w:tcPr>
            <w:tcW w:w="6866" w:type="dxa"/>
            <w:gridSpan w:val="3"/>
            <w:noWrap w:val="0"/>
            <w:vAlign w:val="center"/>
          </w:tcPr>
          <w:p>
            <w:pPr>
              <w:spacing w:line="400" w:lineRule="atLeast"/>
              <w:jc w:val="center"/>
              <w:rPr>
                <w:rFonts w:hint="eastAsia" w:ascii="宋体" w:hAnsi="宋体"/>
                <w:sz w:val="24"/>
              </w:rPr>
            </w:pPr>
          </w:p>
        </w:tc>
      </w:tr>
    </w:tbl>
    <w:p>
      <w:pPr>
        <w:ind w:firstLine="120" w:firstLineChars="50"/>
        <w:rPr>
          <w:rFonts w:hint="eastAsia"/>
          <w:sz w:val="24"/>
        </w:rPr>
      </w:pPr>
    </w:p>
    <w:p>
      <w:pPr>
        <w:ind w:firstLine="120" w:firstLineChars="50"/>
        <w:rPr>
          <w:rFonts w:hint="eastAsia"/>
          <w:sz w:val="24"/>
        </w:rPr>
      </w:pPr>
      <w:r>
        <w:rPr>
          <w:rFonts w:hint="eastAsia"/>
          <w:sz w:val="24"/>
        </w:rPr>
        <w:t>备注：1、表内报价内容以元为单位，保留小数点后两位。</w:t>
      </w:r>
    </w:p>
    <w:p>
      <w:pPr>
        <w:pStyle w:val="3"/>
        <w:rPr>
          <w:rFonts w:hint="eastAsia"/>
        </w:rPr>
      </w:pPr>
    </w:p>
    <w:p>
      <w:pPr>
        <w:rPr>
          <w:rFonts w:hint="eastAsia"/>
        </w:rPr>
      </w:pPr>
    </w:p>
    <w:p>
      <w:pPr>
        <w:spacing w:line="600" w:lineRule="auto"/>
        <w:ind w:left="2100" w:leftChars="1000"/>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p>
    <w:p>
      <w:pPr>
        <w:spacing w:line="600" w:lineRule="auto"/>
        <w:ind w:left="2100" w:leftChars="1000"/>
        <w:rPr>
          <w:rFonts w:hint="eastAsia" w:ascii="宋体" w:hAnsi="宋体"/>
          <w:sz w:val="24"/>
          <w:u w:val="single"/>
        </w:rPr>
      </w:pPr>
      <w:r>
        <w:rPr>
          <w:rFonts w:hint="eastAsia" w:ascii="宋体" w:hAnsi="宋体"/>
          <w:sz w:val="24"/>
        </w:rPr>
        <w:t>法定代表人或负责人或授权代表（盖章或签字）：</w:t>
      </w:r>
      <w:r>
        <w:rPr>
          <w:rFonts w:hint="eastAsia" w:ascii="宋体" w:hAnsi="宋体"/>
          <w:sz w:val="24"/>
          <w:u w:val="single"/>
        </w:rPr>
        <w:t xml:space="preserve">              </w:t>
      </w:r>
    </w:p>
    <w:p>
      <w:pPr>
        <w:spacing w:line="560" w:lineRule="exact"/>
        <w:ind w:left="2100" w:leftChars="1000"/>
        <w:rPr>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hint="eastAsia" w:ascii="宋体" w:hAnsi="宋体"/>
          <w:sz w:val="24"/>
        </w:rPr>
      </w:pPr>
      <w:r>
        <w:rPr>
          <w:rFonts w:hint="eastAsia" w:ascii="宋体" w:hAnsi="宋体"/>
          <w:b/>
          <w:sz w:val="32"/>
          <w:szCs w:val="32"/>
        </w:rPr>
        <w:br w:type="page"/>
      </w:r>
      <w:r>
        <w:rPr>
          <w:rFonts w:hint="eastAsia" w:ascii="宋体" w:hAnsi="宋体"/>
          <w:b/>
          <w:sz w:val="32"/>
          <w:szCs w:val="32"/>
        </w:rPr>
        <w:t>分项报价表</w:t>
      </w:r>
    </w:p>
    <w:p>
      <w:pPr>
        <w:ind w:firstLine="120" w:firstLineChars="50"/>
        <w:jc w:val="left"/>
        <w:rPr>
          <w:rFonts w:hint="eastAsia" w:ascii="宋体" w:hAnsi="宋体"/>
          <w:sz w:val="24"/>
        </w:rPr>
      </w:pPr>
      <w:r>
        <w:rPr>
          <w:rFonts w:hint="eastAsia" w:ascii="宋体"/>
          <w:bCs/>
          <w:kern w:val="0"/>
          <w:sz w:val="24"/>
        </w:rPr>
        <w:t xml:space="preserve"> </w:t>
      </w:r>
      <w:r>
        <w:rPr>
          <w:rFonts w:hint="eastAsia" w:ascii="宋体" w:hAnsi="宋体"/>
          <w:szCs w:val="21"/>
        </w:rPr>
        <w:t xml:space="preserve">                                                           </w:t>
      </w:r>
      <w:r>
        <w:rPr>
          <w:rFonts w:hint="eastAsia" w:ascii="宋体" w:hAnsi="宋体"/>
          <w:sz w:val="24"/>
        </w:rPr>
        <w:t>单位：元·人民币</w:t>
      </w:r>
    </w:p>
    <w:tbl>
      <w:tblPr>
        <w:tblStyle w:val="29"/>
        <w:tblW w:w="0" w:type="auto"/>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071"/>
        <w:gridCol w:w="1208"/>
        <w:gridCol w:w="1209"/>
        <w:gridCol w:w="1224"/>
        <w:gridCol w:w="153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36" w:type="dxa"/>
            <w:vMerge w:val="restart"/>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2071" w:type="dxa"/>
            <w:vMerge w:val="restart"/>
            <w:noWrap w:val="0"/>
            <w:vAlign w:val="center"/>
          </w:tcPr>
          <w:p>
            <w:pPr>
              <w:jc w:val="center"/>
              <w:rPr>
                <w:rFonts w:hint="eastAsia" w:ascii="宋体" w:hAnsi="宋体" w:cs="宋体"/>
                <w:bCs/>
                <w:kern w:val="0"/>
                <w:sz w:val="24"/>
              </w:rPr>
            </w:pPr>
            <w:r>
              <w:rPr>
                <w:rFonts w:hint="eastAsia" w:ascii="宋体" w:hAnsi="宋体" w:cs="宋体"/>
                <w:bCs/>
                <w:kern w:val="0"/>
                <w:sz w:val="24"/>
              </w:rPr>
              <w:t>分项</w:t>
            </w:r>
          </w:p>
        </w:tc>
        <w:tc>
          <w:tcPr>
            <w:tcW w:w="1208" w:type="dxa"/>
            <w:vMerge w:val="restart"/>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1209" w:type="dxa"/>
            <w:vMerge w:val="restart"/>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1224" w:type="dxa"/>
            <w:vMerge w:val="restart"/>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1538" w:type="dxa"/>
            <w:vMerge w:val="restart"/>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1374" w:type="dxa"/>
            <w:vMerge w:val="restart"/>
            <w:noWrap w:val="0"/>
            <w:vAlign w:val="center"/>
          </w:tcPr>
          <w:p>
            <w:pPr>
              <w:widowControl/>
              <w:jc w:val="center"/>
              <w:rPr>
                <w:rFonts w:ascii="宋体" w:hAnsi="宋体" w:cs="宋体"/>
                <w:bCs/>
                <w:kern w:val="0"/>
                <w:sz w:val="24"/>
              </w:rPr>
            </w:pPr>
            <w:r>
              <w:rPr>
                <w:rFonts w:hint="eastAsia" w:ascii="宋体" w:hAnsi="宋体" w:cs="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vMerge w:val="continue"/>
            <w:noWrap w:val="0"/>
            <w:vAlign w:val="center"/>
          </w:tcPr>
          <w:p>
            <w:pPr>
              <w:widowControl/>
              <w:jc w:val="center"/>
              <w:rPr>
                <w:rFonts w:ascii="宋体" w:hAnsi="宋体" w:cs="宋体"/>
                <w:bCs/>
                <w:kern w:val="0"/>
                <w:sz w:val="24"/>
              </w:rPr>
            </w:pPr>
          </w:p>
        </w:tc>
        <w:tc>
          <w:tcPr>
            <w:tcW w:w="2071" w:type="dxa"/>
            <w:vMerge w:val="continue"/>
            <w:noWrap w:val="0"/>
            <w:vAlign w:val="center"/>
          </w:tcPr>
          <w:p>
            <w:pPr>
              <w:widowControl/>
              <w:jc w:val="center"/>
              <w:rPr>
                <w:rFonts w:ascii="宋体" w:hAnsi="宋体" w:cs="宋体"/>
                <w:bCs/>
                <w:kern w:val="0"/>
                <w:sz w:val="24"/>
              </w:rPr>
            </w:pPr>
          </w:p>
        </w:tc>
        <w:tc>
          <w:tcPr>
            <w:tcW w:w="1208" w:type="dxa"/>
            <w:vMerge w:val="continue"/>
            <w:noWrap w:val="0"/>
            <w:vAlign w:val="center"/>
          </w:tcPr>
          <w:p>
            <w:pPr>
              <w:widowControl/>
              <w:jc w:val="center"/>
              <w:rPr>
                <w:rFonts w:ascii="宋体" w:hAnsi="宋体" w:cs="宋体"/>
                <w:bCs/>
                <w:kern w:val="0"/>
                <w:sz w:val="24"/>
              </w:rPr>
            </w:pPr>
          </w:p>
        </w:tc>
        <w:tc>
          <w:tcPr>
            <w:tcW w:w="1209" w:type="dxa"/>
            <w:vMerge w:val="continue"/>
            <w:noWrap w:val="0"/>
            <w:vAlign w:val="center"/>
          </w:tcPr>
          <w:p>
            <w:pPr>
              <w:widowControl/>
              <w:jc w:val="center"/>
              <w:rPr>
                <w:rFonts w:ascii="宋体" w:hAnsi="宋体" w:cs="宋体"/>
                <w:bCs/>
                <w:kern w:val="0"/>
                <w:sz w:val="24"/>
              </w:rPr>
            </w:pPr>
          </w:p>
        </w:tc>
        <w:tc>
          <w:tcPr>
            <w:tcW w:w="1224" w:type="dxa"/>
            <w:vMerge w:val="continue"/>
            <w:noWrap w:val="0"/>
            <w:vAlign w:val="center"/>
          </w:tcPr>
          <w:p>
            <w:pPr>
              <w:widowControl/>
              <w:jc w:val="center"/>
              <w:rPr>
                <w:rFonts w:ascii="宋体" w:hAnsi="宋体" w:cs="宋体"/>
                <w:bCs/>
                <w:kern w:val="0"/>
                <w:sz w:val="24"/>
              </w:rPr>
            </w:pPr>
          </w:p>
        </w:tc>
        <w:tc>
          <w:tcPr>
            <w:tcW w:w="1538" w:type="dxa"/>
            <w:vMerge w:val="continue"/>
            <w:noWrap w:val="0"/>
            <w:vAlign w:val="center"/>
          </w:tcPr>
          <w:p>
            <w:pPr>
              <w:widowControl/>
              <w:jc w:val="center"/>
              <w:rPr>
                <w:rFonts w:ascii="宋体" w:hAnsi="宋体" w:cs="宋体"/>
                <w:bCs/>
                <w:kern w:val="0"/>
                <w:sz w:val="24"/>
              </w:rPr>
            </w:pPr>
          </w:p>
        </w:tc>
        <w:tc>
          <w:tcPr>
            <w:tcW w:w="1374" w:type="dxa"/>
            <w:vMerge w:val="continue"/>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jc w:val="center"/>
              <w:rPr>
                <w:rFonts w:hint="eastAsia" w:ascii="宋体" w:hAnsi="宋体" w:cs="宋体"/>
                <w:bCs/>
                <w:kern w:val="0"/>
                <w:sz w:val="24"/>
              </w:rPr>
            </w:pPr>
            <w:r>
              <w:rPr>
                <w:rFonts w:hint="eastAsia" w:ascii="宋体" w:hAnsi="宋体" w:cs="宋体"/>
                <w:bCs/>
                <w:kern w:val="0"/>
                <w:sz w:val="24"/>
              </w:rPr>
              <w:t>1</w:t>
            </w: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jc w:val="center"/>
              <w:rPr>
                <w:rFonts w:hint="eastAsia" w:ascii="宋体" w:hAnsi="宋体" w:cs="宋体"/>
                <w:bCs/>
                <w:kern w:val="0"/>
                <w:sz w:val="24"/>
              </w:rPr>
            </w:pPr>
            <w:r>
              <w:rPr>
                <w:rFonts w:hint="eastAsia" w:ascii="宋体" w:hAnsi="宋体" w:cs="宋体"/>
                <w:bCs/>
                <w:kern w:val="0"/>
                <w:sz w:val="24"/>
              </w:rPr>
              <w:t>2</w:t>
            </w: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6" w:type="dxa"/>
            <w:noWrap w:val="0"/>
            <w:vAlign w:val="center"/>
          </w:tcPr>
          <w:p>
            <w:pPr>
              <w:widowControl/>
              <w:ind w:firstLine="240" w:firstLineChars="100"/>
              <w:jc w:val="center"/>
              <w:rPr>
                <w:rFonts w:hint="eastAsia" w:ascii="宋体" w:hAnsi="宋体" w:cs="宋体"/>
                <w:bCs/>
                <w:kern w:val="0"/>
                <w:sz w:val="24"/>
              </w:rPr>
            </w:pPr>
          </w:p>
        </w:tc>
        <w:tc>
          <w:tcPr>
            <w:tcW w:w="2071" w:type="dxa"/>
            <w:noWrap w:val="0"/>
            <w:vAlign w:val="center"/>
          </w:tcPr>
          <w:p>
            <w:pPr>
              <w:widowControl/>
              <w:jc w:val="center"/>
              <w:rPr>
                <w:rFonts w:ascii="宋体" w:hAnsi="宋体" w:cs="宋体"/>
                <w:bCs/>
                <w:kern w:val="0"/>
                <w:sz w:val="24"/>
              </w:rPr>
            </w:pPr>
          </w:p>
        </w:tc>
        <w:tc>
          <w:tcPr>
            <w:tcW w:w="1208" w:type="dxa"/>
            <w:noWrap w:val="0"/>
            <w:vAlign w:val="center"/>
          </w:tcPr>
          <w:p>
            <w:pPr>
              <w:widowControl/>
              <w:jc w:val="center"/>
              <w:rPr>
                <w:rFonts w:ascii="宋体" w:hAnsi="宋体" w:cs="宋体"/>
                <w:bCs/>
                <w:kern w:val="0"/>
                <w:sz w:val="24"/>
              </w:rPr>
            </w:pPr>
          </w:p>
        </w:tc>
        <w:tc>
          <w:tcPr>
            <w:tcW w:w="1209" w:type="dxa"/>
            <w:noWrap w:val="0"/>
            <w:vAlign w:val="center"/>
          </w:tcPr>
          <w:p>
            <w:pPr>
              <w:widowControl/>
              <w:jc w:val="center"/>
              <w:rPr>
                <w:rFonts w:ascii="宋体" w:hAnsi="宋体" w:cs="宋体"/>
                <w:bCs/>
                <w:kern w:val="0"/>
                <w:sz w:val="24"/>
              </w:rPr>
            </w:pPr>
          </w:p>
        </w:tc>
        <w:tc>
          <w:tcPr>
            <w:tcW w:w="1224" w:type="dxa"/>
            <w:noWrap w:val="0"/>
            <w:vAlign w:val="center"/>
          </w:tcPr>
          <w:p>
            <w:pPr>
              <w:widowControl/>
              <w:jc w:val="center"/>
              <w:rPr>
                <w:rFonts w:ascii="宋体" w:hAnsi="宋体" w:cs="宋体"/>
                <w:bCs/>
                <w:kern w:val="0"/>
                <w:sz w:val="24"/>
              </w:rPr>
            </w:pP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48" w:type="dxa"/>
            <w:gridSpan w:val="5"/>
            <w:noWrap w:val="0"/>
            <w:vAlign w:val="center"/>
          </w:tcPr>
          <w:p>
            <w:pPr>
              <w:widowControl/>
              <w:jc w:val="center"/>
              <w:rPr>
                <w:rFonts w:ascii="宋体" w:hAnsi="宋体" w:cs="宋体"/>
                <w:bCs/>
                <w:kern w:val="0"/>
                <w:sz w:val="24"/>
              </w:rPr>
            </w:pPr>
            <w:r>
              <w:rPr>
                <w:rFonts w:hint="eastAsia" w:ascii="宋体" w:hAnsi="宋体" w:cs="宋体"/>
                <w:bCs/>
                <w:kern w:val="0"/>
                <w:sz w:val="24"/>
              </w:rPr>
              <w:t>合计</w:t>
            </w:r>
          </w:p>
        </w:tc>
        <w:tc>
          <w:tcPr>
            <w:tcW w:w="1538" w:type="dxa"/>
            <w:noWrap w:val="0"/>
            <w:vAlign w:val="center"/>
          </w:tcPr>
          <w:p>
            <w:pPr>
              <w:widowControl/>
              <w:jc w:val="center"/>
              <w:rPr>
                <w:rFonts w:ascii="宋体" w:hAnsi="宋体" w:cs="宋体"/>
                <w:bCs/>
                <w:kern w:val="0"/>
                <w:sz w:val="24"/>
              </w:rPr>
            </w:pPr>
          </w:p>
        </w:tc>
        <w:tc>
          <w:tcPr>
            <w:tcW w:w="1374" w:type="dxa"/>
            <w:noWrap w:val="0"/>
            <w:vAlign w:val="center"/>
          </w:tcPr>
          <w:p>
            <w:pPr>
              <w:widowControl/>
              <w:jc w:val="center"/>
              <w:rPr>
                <w:rFonts w:ascii="宋体" w:hAnsi="宋体" w:cs="宋体"/>
                <w:bCs/>
                <w:kern w:val="0"/>
                <w:sz w:val="24"/>
              </w:rPr>
            </w:pPr>
          </w:p>
        </w:tc>
      </w:tr>
    </w:tbl>
    <w:p>
      <w:pPr>
        <w:jc w:val="left"/>
        <w:rPr>
          <w:rFonts w:hint="eastAsia" w:ascii="宋体" w:hAnsi="宋体"/>
          <w:b/>
          <w:sz w:val="24"/>
        </w:rPr>
      </w:pPr>
    </w:p>
    <w:p>
      <w:pPr>
        <w:spacing w:line="360" w:lineRule="auto"/>
        <w:rPr>
          <w:rFonts w:hint="eastAsia" w:ascii="宋体" w:hAnsi="宋体"/>
          <w:sz w:val="24"/>
        </w:rPr>
      </w:pPr>
      <w:r>
        <w:rPr>
          <w:rFonts w:hint="eastAsia" w:ascii="宋体" w:hAnsi="宋体"/>
          <w:sz w:val="24"/>
        </w:rPr>
        <w:t>注：</w:t>
      </w:r>
    </w:p>
    <w:p>
      <w:pPr>
        <w:spacing w:line="360" w:lineRule="auto"/>
        <w:ind w:firstLine="600" w:firstLineChars="250"/>
        <w:rPr>
          <w:rFonts w:hint="eastAsia" w:ascii="宋体" w:hAnsi="宋体"/>
          <w:sz w:val="24"/>
        </w:rPr>
      </w:pPr>
      <w:r>
        <w:rPr>
          <w:rFonts w:hint="eastAsia" w:ascii="宋体" w:hAnsi="宋体"/>
          <w:sz w:val="24"/>
        </w:rPr>
        <w:t>1.所报货币为人民币。</w:t>
      </w:r>
    </w:p>
    <w:p>
      <w:pPr>
        <w:spacing w:line="360" w:lineRule="auto"/>
        <w:ind w:firstLine="600" w:firstLineChars="250"/>
        <w:rPr>
          <w:rFonts w:hint="eastAsia" w:ascii="宋体" w:hAnsi="宋体"/>
          <w:sz w:val="24"/>
        </w:rPr>
      </w:pPr>
      <w:r>
        <w:rPr>
          <w:rFonts w:hint="eastAsia" w:ascii="宋体" w:hAnsi="宋体"/>
          <w:sz w:val="24"/>
        </w:rPr>
        <w:t>2.表格不够，供应商可按此表复制、拓展。</w:t>
      </w:r>
    </w:p>
    <w:p>
      <w:pPr>
        <w:spacing w:line="360" w:lineRule="auto"/>
        <w:ind w:firstLine="600" w:firstLineChars="250"/>
        <w:rPr>
          <w:rFonts w:hint="eastAsia" w:ascii="宋体" w:hAnsi="宋体"/>
          <w:sz w:val="24"/>
        </w:rPr>
      </w:pPr>
      <w:r>
        <w:rPr>
          <w:rFonts w:hint="eastAsia" w:ascii="宋体" w:hAnsi="宋体"/>
          <w:sz w:val="24"/>
          <w:lang w:val="en-US" w:eastAsia="zh-CN"/>
        </w:rPr>
        <w:t>3</w:t>
      </w:r>
      <w:r>
        <w:rPr>
          <w:rFonts w:hint="eastAsia" w:ascii="宋体" w:hAnsi="宋体"/>
          <w:sz w:val="24"/>
        </w:rPr>
        <w:t>.本表中的“合计”与“谈判报价一览表”中的“总报价”一致。</w:t>
      </w:r>
    </w:p>
    <w:p>
      <w:pPr>
        <w:rPr>
          <w:rFonts w:hint="eastAsia" w:ascii="宋体" w:hAnsi="宋体"/>
          <w:sz w:val="18"/>
          <w:szCs w:val="18"/>
        </w:rPr>
      </w:pPr>
    </w:p>
    <w:p>
      <w:pPr>
        <w:spacing w:line="600" w:lineRule="auto"/>
        <w:ind w:left="2100" w:leftChars="1000"/>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p>
    <w:p>
      <w:pPr>
        <w:spacing w:line="600" w:lineRule="auto"/>
        <w:ind w:left="2100" w:leftChars="1000"/>
        <w:rPr>
          <w:rFonts w:hint="eastAsia" w:ascii="宋体" w:hAnsi="宋体"/>
          <w:sz w:val="24"/>
          <w:u w:val="single"/>
        </w:rPr>
      </w:pPr>
      <w:r>
        <w:rPr>
          <w:rFonts w:hint="eastAsia" w:ascii="宋体" w:hAnsi="宋体"/>
          <w:sz w:val="24"/>
        </w:rPr>
        <w:t>法定代表人或负责人或授权代表（盖章或签字）：</w:t>
      </w:r>
      <w:r>
        <w:rPr>
          <w:rFonts w:hint="eastAsia" w:ascii="宋体" w:hAnsi="宋体"/>
          <w:sz w:val="24"/>
          <w:u w:val="single"/>
        </w:rPr>
        <w:t xml:space="preserve">              </w:t>
      </w:r>
    </w:p>
    <w:p>
      <w:pPr>
        <w:spacing w:line="560" w:lineRule="exact"/>
        <w:ind w:left="2100" w:leftChars="1000"/>
        <w:rPr>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720" w:firstLineChars="300"/>
        <w:rPr>
          <w:rFonts w:hint="eastAsia" w:hAnsi="宋体"/>
          <w:sz w:val="24"/>
        </w:rPr>
      </w:pPr>
    </w:p>
    <w:p>
      <w:pPr>
        <w:pStyle w:val="3"/>
        <w:rPr>
          <w:rFonts w:hint="eastAsia"/>
        </w:rPr>
      </w:pPr>
    </w:p>
    <w:p>
      <w:pPr>
        <w:ind w:firstLine="720" w:firstLineChars="300"/>
        <w:rPr>
          <w:rFonts w:hint="eastAsia" w:hAnsi="宋体"/>
          <w:sz w:val="24"/>
        </w:rPr>
      </w:pPr>
    </w:p>
    <w:p>
      <w:pPr>
        <w:jc w:val="center"/>
        <w:rPr>
          <w:rFonts w:hint="eastAsia" w:hAnsi="宋体"/>
          <w:b/>
          <w:sz w:val="32"/>
          <w:szCs w:val="32"/>
        </w:rPr>
      </w:pPr>
      <w:r>
        <w:rPr>
          <w:rFonts w:hint="eastAsia" w:hAnsi="宋体"/>
          <w:b/>
          <w:sz w:val="32"/>
          <w:szCs w:val="32"/>
        </w:rPr>
        <w:t>第三部分 供应商资格证明文件</w:t>
      </w:r>
    </w:p>
    <w:p>
      <w:pPr>
        <w:tabs>
          <w:tab w:val="left" w:pos="210"/>
        </w:tabs>
        <w:spacing w:line="320" w:lineRule="exact"/>
        <w:rPr>
          <w:rFonts w:hint="eastAsia" w:ascii="宋体" w:hAnsi="宋体" w:cs="Arial"/>
          <w:b/>
          <w:kern w:val="0"/>
          <w:sz w:val="32"/>
          <w:szCs w:val="32"/>
        </w:rPr>
      </w:pPr>
    </w:p>
    <w:p>
      <w:pPr>
        <w:numPr>
          <w:ilvl w:val="0"/>
          <w:numId w:val="7"/>
        </w:numPr>
        <w:tabs>
          <w:tab w:val="left" w:pos="210"/>
        </w:tabs>
        <w:spacing w:line="560" w:lineRule="exact"/>
        <w:jc w:val="left"/>
        <w:rPr>
          <w:rFonts w:ascii="宋体" w:hAnsi="宋体" w:cs="宋体"/>
          <w:bCs/>
          <w:sz w:val="24"/>
        </w:rPr>
      </w:pPr>
      <w:r>
        <w:rPr>
          <w:rFonts w:hint="eastAsia" w:ascii="宋体" w:hAnsi="宋体"/>
          <w:sz w:val="24"/>
        </w:rPr>
        <w:t>供应商具有独立承担民事责任能力的法人、其他组织或自然人，并出具合法有效的营业执照或事业单位法人证书等国家规定的相关证明，自然人参与的提供其身份证明；</w:t>
      </w:r>
    </w:p>
    <w:p>
      <w:pPr>
        <w:numPr>
          <w:ilvl w:val="0"/>
          <w:numId w:val="7"/>
        </w:numPr>
        <w:tabs>
          <w:tab w:val="left" w:pos="210"/>
        </w:tabs>
        <w:spacing w:line="560" w:lineRule="exact"/>
        <w:jc w:val="left"/>
        <w:rPr>
          <w:rFonts w:ascii="宋体" w:hAnsi="宋体" w:cs="宋体"/>
          <w:bCs/>
          <w:sz w:val="24"/>
        </w:rPr>
      </w:pPr>
      <w:r>
        <w:rPr>
          <w:rFonts w:hint="eastAsia" w:ascii="宋体" w:hAnsi="宋体" w:cs="宋体"/>
          <w:sz w:val="24"/>
        </w:rPr>
        <w:t>财务状况报告：</w:t>
      </w:r>
      <w:r>
        <w:rPr>
          <w:rFonts w:hint="eastAsia" w:ascii="宋体" w:hAnsi="宋体"/>
          <w:sz w:val="24"/>
        </w:rPr>
        <w:t>提供上一年度完整的财务审计报告，或开标时间前六个月内其基本存款账户开户银行出具的资信证明（提供基本存款账户证明材料）；其他组织和自然人提供银行出具的资信证明</w:t>
      </w:r>
      <w:r>
        <w:rPr>
          <w:rFonts w:hint="eastAsia" w:ascii="宋体" w:hAnsi="宋体" w:cs="宋体"/>
          <w:sz w:val="24"/>
        </w:rPr>
        <w:t>；</w:t>
      </w:r>
    </w:p>
    <w:p>
      <w:pPr>
        <w:numPr>
          <w:ilvl w:val="0"/>
          <w:numId w:val="7"/>
        </w:numPr>
        <w:tabs>
          <w:tab w:val="left" w:pos="210"/>
        </w:tabs>
        <w:spacing w:line="560" w:lineRule="exact"/>
        <w:jc w:val="left"/>
        <w:rPr>
          <w:rFonts w:ascii="宋体" w:hAnsi="宋体" w:cs="宋体"/>
          <w:bCs/>
          <w:sz w:val="24"/>
        </w:rPr>
      </w:pPr>
      <w:r>
        <w:rPr>
          <w:rFonts w:hint="eastAsia" w:ascii="宋体" w:hAnsi="宋体"/>
          <w:sz w:val="24"/>
        </w:rPr>
        <w:t>税收缴纳证明：供应商提供开标前一年内任意一个月的纳税证明或完税证明，纳税证明或完税证明上应有代收机构或税务机关的公章，依法免税的供应商应提供相关文件证明；</w:t>
      </w:r>
    </w:p>
    <w:p>
      <w:pPr>
        <w:numPr>
          <w:ilvl w:val="0"/>
          <w:numId w:val="0"/>
        </w:numPr>
        <w:tabs>
          <w:tab w:val="left" w:pos="210"/>
        </w:tabs>
        <w:spacing w:line="560" w:lineRule="exact"/>
        <w:jc w:val="left"/>
        <w:rPr>
          <w:rFonts w:ascii="宋体" w:hAnsi="宋体" w:cs="宋体"/>
          <w:bCs/>
          <w:sz w:val="24"/>
        </w:rPr>
      </w:pPr>
      <w:r>
        <w:rPr>
          <w:rFonts w:hint="eastAsia" w:ascii="宋体" w:hAnsi="宋体" w:cs="宋体"/>
          <w:sz w:val="24"/>
        </w:rPr>
        <w:t>4、</w:t>
      </w:r>
      <w:r>
        <w:rPr>
          <w:rFonts w:hint="eastAsia" w:ascii="宋体" w:hAnsi="宋体"/>
          <w:sz w:val="24"/>
        </w:rPr>
        <w:t>社会保障资金缴纳证明：供应商应提供开标前一年内任意一个月的社会保障资金缴存单据或社保机构开具的社会保险参保缴费情况证明，依法不需要缴纳社会保障资金的供应商应提供相关文件证明</w:t>
      </w:r>
      <w:r>
        <w:rPr>
          <w:rFonts w:hint="eastAsia" w:ascii="宋体" w:hAnsi="宋体" w:cs="宋体"/>
          <w:sz w:val="24"/>
        </w:rPr>
        <w:t>；</w:t>
      </w:r>
    </w:p>
    <w:p>
      <w:pPr>
        <w:tabs>
          <w:tab w:val="left" w:pos="210"/>
        </w:tabs>
        <w:spacing w:line="560" w:lineRule="exact"/>
        <w:jc w:val="left"/>
        <w:rPr>
          <w:rFonts w:hint="eastAsia" w:ascii="宋体" w:hAnsi="宋体"/>
          <w:sz w:val="24"/>
        </w:rPr>
      </w:pPr>
      <w:r>
        <w:rPr>
          <w:rFonts w:hint="eastAsia" w:ascii="宋体" w:hAnsi="宋体" w:cs="宋体"/>
          <w:sz w:val="24"/>
        </w:rPr>
        <w:t>5、</w:t>
      </w:r>
      <w:r>
        <w:rPr>
          <w:rFonts w:hint="eastAsia" w:ascii="宋体" w:hAnsi="宋体"/>
          <w:sz w:val="24"/>
        </w:rPr>
        <w:t>书面声明：参加本次政府采购活动前三年内在经营活动中没有重大违纪，以及未被信用中国网（www.creditchina.gov.cn）列入失信被执行人、重大税收违法案件当事人名单，未被中国政府采购网（www.ccgp.gov.cn）列入政府采购严重违法失信行为记录名单的书面声明。</w:t>
      </w:r>
    </w:p>
    <w:p>
      <w:pPr>
        <w:tabs>
          <w:tab w:val="left" w:pos="210"/>
        </w:tabs>
        <w:spacing w:line="560" w:lineRule="exact"/>
        <w:jc w:val="left"/>
        <w:rPr>
          <w:rFonts w:hint="eastAsia" w:ascii="宋体" w:hAnsi="宋体" w:cs="宋体"/>
          <w:sz w:val="24"/>
        </w:rPr>
      </w:pPr>
      <w:r>
        <w:rPr>
          <w:rFonts w:hint="eastAsia" w:ascii="宋体" w:hAnsi="宋体" w:cs="宋体"/>
          <w:sz w:val="24"/>
        </w:rPr>
        <w:t>6、</w:t>
      </w:r>
      <w:r>
        <w:rPr>
          <w:rFonts w:hint="eastAsia" w:ascii="宋体" w:hAnsi="宋体"/>
          <w:sz w:val="24"/>
        </w:rPr>
        <w:t>提供具有履行合同所必需的设备和专业技术能力的承诺函。</w:t>
      </w:r>
    </w:p>
    <w:p>
      <w:pPr>
        <w:tabs>
          <w:tab w:val="left" w:pos="210"/>
        </w:tabs>
        <w:spacing w:line="560" w:lineRule="exact"/>
        <w:jc w:val="left"/>
        <w:rPr>
          <w:rFonts w:hint="eastAsia" w:ascii="宋体" w:hAnsi="宋体"/>
          <w:sz w:val="24"/>
        </w:rPr>
      </w:pPr>
      <w:r>
        <w:rPr>
          <w:rFonts w:hint="eastAsia" w:ascii="宋体" w:hAnsi="宋体" w:cs="宋体"/>
          <w:sz w:val="24"/>
        </w:rPr>
        <w:t>7、</w:t>
      </w:r>
      <w:r>
        <w:rPr>
          <w:rFonts w:hint="eastAsia" w:ascii="宋体" w:hAnsi="宋体"/>
          <w:sz w:val="24"/>
        </w:rPr>
        <w:t>供应商应授权合法的人员参加谈判全过程，其中法定代表人/负责人直接谈判，须提交法定代表人/负责人身份证明书和身份证。法定代表人/负责人授权代表参加谈判的，须出具法定代表人/负责人授权书及授权代表身份证。</w:t>
      </w:r>
    </w:p>
    <w:p>
      <w:pPr>
        <w:pStyle w:val="3"/>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8、本项目为专门面向中小企业采购，供应商应提供中小企业</w:t>
      </w:r>
      <w:r>
        <w:rPr>
          <w:rFonts w:hint="eastAsia" w:ascii="宋体" w:hAnsi="宋体" w:cs="Times New Roman"/>
          <w:color w:val="auto"/>
          <w:kern w:val="2"/>
          <w:sz w:val="24"/>
          <w:szCs w:val="24"/>
          <w:lang w:val="en-US" w:eastAsia="zh-CN" w:bidi="ar-SA"/>
        </w:rPr>
        <w:t>声明函</w:t>
      </w:r>
      <w:r>
        <w:rPr>
          <w:rFonts w:hint="eastAsia" w:ascii="宋体" w:hAnsi="宋体" w:eastAsia="宋体" w:cs="Times New Roman"/>
          <w:color w:val="auto"/>
          <w:kern w:val="2"/>
          <w:sz w:val="24"/>
          <w:szCs w:val="24"/>
          <w:lang w:val="en-US" w:eastAsia="zh-CN" w:bidi="ar-SA"/>
        </w:rPr>
        <w:t>。</w:t>
      </w:r>
    </w:p>
    <w:p>
      <w:pPr>
        <w:tabs>
          <w:tab w:val="left" w:pos="210"/>
        </w:tabs>
        <w:spacing w:line="560" w:lineRule="exact"/>
        <w:jc w:val="left"/>
        <w:rPr>
          <w:rFonts w:hint="eastAsia" w:ascii="宋体" w:hAnsi="宋体" w:cs="宋体"/>
          <w:b/>
          <w:sz w:val="24"/>
        </w:rPr>
      </w:pPr>
      <w:r>
        <w:rPr>
          <w:rFonts w:hint="eastAsia" w:ascii="宋体" w:hAnsi="宋体" w:cs="宋体"/>
          <w:b/>
          <w:sz w:val="24"/>
        </w:rPr>
        <w:t>供应商应按谈判文件要求提供相关证明文件，有关材料的复印件应加盖单位公章。</w:t>
      </w:r>
    </w:p>
    <w:p>
      <w:pPr>
        <w:pStyle w:val="9"/>
        <w:spacing w:line="360" w:lineRule="auto"/>
        <w:ind w:firstLine="0" w:firstLineChars="0"/>
        <w:jc w:val="center"/>
        <w:rPr>
          <w:rFonts w:hint="eastAsia"/>
          <w:b/>
          <w:bCs/>
          <w:sz w:val="30"/>
          <w:szCs w:val="30"/>
        </w:rPr>
      </w:pPr>
      <w:r>
        <w:rPr>
          <w:rFonts w:hint="eastAsia" w:ascii="宋体" w:hAnsi="宋体" w:cs="宋体"/>
          <w:bCs/>
          <w:sz w:val="24"/>
        </w:rPr>
        <w:br w:type="page"/>
      </w:r>
      <w:r>
        <w:rPr>
          <w:b/>
          <w:bCs/>
          <w:sz w:val="30"/>
          <w:szCs w:val="30"/>
        </w:rPr>
        <w:t>法定代表人</w:t>
      </w:r>
      <w:r>
        <w:rPr>
          <w:rFonts w:hint="eastAsia"/>
          <w:b/>
          <w:bCs/>
          <w:sz w:val="30"/>
          <w:szCs w:val="30"/>
        </w:rPr>
        <w:t>或负责人</w:t>
      </w:r>
      <w:r>
        <w:rPr>
          <w:b/>
          <w:bCs/>
          <w:sz w:val="30"/>
          <w:szCs w:val="30"/>
        </w:rPr>
        <w:t>资格证明书</w:t>
      </w:r>
    </w:p>
    <w:p>
      <w:pPr>
        <w:spacing w:line="360" w:lineRule="auto"/>
        <w:ind w:firstLine="420" w:firstLineChars="200"/>
        <w:rPr>
          <w:rFonts w:hint="eastAsia" w:ascii="宋体" w:hAnsi="宋体"/>
          <w:szCs w:val="21"/>
        </w:rPr>
      </w:pPr>
    </w:p>
    <w:p>
      <w:pPr>
        <w:spacing w:line="560" w:lineRule="exact"/>
        <w:ind w:firstLine="480" w:firstLineChars="200"/>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w:t>
      </w:r>
    </w:p>
    <w:p>
      <w:pPr>
        <w:spacing w:line="560" w:lineRule="exact"/>
        <w:ind w:firstLine="480" w:firstLineChars="200"/>
        <w:rPr>
          <w:rFonts w:hint="eastAsia"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56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spacing w:line="560" w:lineRule="exact"/>
        <w:ind w:firstLine="480" w:firstLineChars="20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60" w:lineRule="exact"/>
        <w:ind w:firstLine="480" w:firstLineChars="200"/>
        <w:rPr>
          <w:rFonts w:hint="eastAsia"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pPr>
        <w:spacing w:line="560" w:lineRule="exact"/>
        <w:ind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pPr>
        <w:spacing w:line="560" w:lineRule="exact"/>
        <w:ind w:firstLine="480" w:firstLineChars="200"/>
        <w:rPr>
          <w:rFonts w:hint="eastAsia"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（供应商名称）的法定代表人或负责人。</w:t>
      </w:r>
    </w:p>
    <w:p>
      <w:pPr>
        <w:spacing w:line="560" w:lineRule="exact"/>
        <w:ind w:firstLine="960" w:firstLineChars="400"/>
        <w:rPr>
          <w:rFonts w:ascii="宋体" w:hAnsi="宋体"/>
          <w:sz w:val="24"/>
        </w:rPr>
      </w:pPr>
      <w:r>
        <w:rPr>
          <w:rFonts w:hint="eastAsia" w:ascii="宋体" w:hAnsi="宋体"/>
          <w:sz w:val="24"/>
        </w:rPr>
        <w:t>特此证明。</w:t>
      </w:r>
    </w:p>
    <w:p>
      <w:pPr>
        <w:spacing w:line="560" w:lineRule="exact"/>
        <w:ind w:firstLine="480" w:firstLineChars="200"/>
        <w:rPr>
          <w:rFonts w:hint="eastAsia" w:ascii="宋体" w:hAnsi="宋体"/>
          <w:sz w:val="24"/>
        </w:rPr>
      </w:pPr>
    </w:p>
    <w:p>
      <w:pPr>
        <w:spacing w:line="560" w:lineRule="exact"/>
        <w:ind w:firstLine="480" w:firstLineChars="200"/>
        <w:rPr>
          <w:rFonts w:hint="eastAsia" w:ascii="宋体" w:hAnsi="宋体"/>
          <w:sz w:val="24"/>
        </w:rPr>
      </w:pPr>
    </w:p>
    <w:p>
      <w:pPr>
        <w:spacing w:line="560" w:lineRule="exact"/>
        <w:ind w:firstLine="480" w:firstLineChars="200"/>
        <w:rPr>
          <w:rFonts w:hint="eastAsia" w:ascii="宋体" w:hAnsi="宋体"/>
          <w:sz w:val="24"/>
        </w:rPr>
      </w:pPr>
    </w:p>
    <w:p>
      <w:pPr>
        <w:spacing w:line="560" w:lineRule="exact"/>
        <w:ind w:firstLine="3600" w:firstLineChars="1500"/>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（盖单位章）</w:t>
      </w:r>
    </w:p>
    <w:p>
      <w:pPr>
        <w:spacing w:line="560" w:lineRule="exact"/>
        <w:ind w:firstLine="5160" w:firstLineChars="2150"/>
        <w:rPr>
          <w:rFonts w:hint="eastAsia" w:ascii="宋体" w:hAnsi="宋体"/>
          <w:sz w:val="24"/>
          <w:u w:val="single"/>
        </w:rPr>
      </w:pPr>
    </w:p>
    <w:p>
      <w:pPr>
        <w:pStyle w:val="17"/>
        <w:spacing w:line="560" w:lineRule="exact"/>
        <w:jc w:val="center"/>
        <w:rPr>
          <w:rFonts w:hint="eastAsia" w:hAnsi="宋体"/>
          <w:b/>
          <w:sz w:val="32"/>
          <w:szCs w:val="32"/>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tabs>
          <w:tab w:val="left" w:pos="210"/>
        </w:tabs>
        <w:spacing w:line="560" w:lineRule="exact"/>
        <w:jc w:val="center"/>
        <w:rPr>
          <w:rFonts w:hint="eastAsia" w:ascii="宋体" w:hAnsi="宋体" w:cs="Arial"/>
          <w:b/>
          <w:kern w:val="0"/>
          <w:sz w:val="32"/>
          <w:szCs w:val="32"/>
        </w:rPr>
      </w:pPr>
      <w:r>
        <w:rPr>
          <w:rFonts w:hint="eastAsia" w:ascii="宋体" w:hAnsi="宋体" w:cs="宋体"/>
          <w:bCs/>
          <w:sz w:val="24"/>
        </w:rPr>
        <w:br w:type="page"/>
      </w:r>
      <w:r>
        <w:rPr>
          <w:rFonts w:hint="eastAsia" w:ascii="宋体" w:hAnsi="宋体" w:cs="Arial"/>
          <w:b/>
          <w:kern w:val="0"/>
          <w:sz w:val="32"/>
          <w:szCs w:val="32"/>
        </w:rPr>
        <w:t>法定代表人或负责人授权书</w:t>
      </w:r>
    </w:p>
    <w:p>
      <w:pPr>
        <w:pStyle w:val="17"/>
        <w:spacing w:line="560" w:lineRule="exact"/>
        <w:rPr>
          <w:rFonts w:hint="eastAsia" w:hAnsi="宋体"/>
          <w:b/>
          <w:bCs/>
          <w:sz w:val="24"/>
          <w:szCs w:val="24"/>
          <w:u w:val="single"/>
        </w:rPr>
      </w:pPr>
      <w:r>
        <w:rPr>
          <w:rFonts w:hint="eastAsia" w:hAnsi="宋体"/>
          <w:sz w:val="24"/>
          <w:szCs w:val="24"/>
          <w:u w:val="single"/>
          <w:lang w:eastAsia="zh-CN"/>
        </w:rPr>
        <w:t>华春建设工程项目管理有限责任公司</w:t>
      </w:r>
      <w:r>
        <w:rPr>
          <w:rFonts w:hint="eastAsia" w:hAnsi="宋体"/>
          <w:sz w:val="24"/>
          <w:szCs w:val="24"/>
        </w:rPr>
        <w:t>：</w:t>
      </w:r>
    </w:p>
    <w:p>
      <w:pPr>
        <w:pStyle w:val="17"/>
        <w:spacing w:line="560" w:lineRule="exact"/>
        <w:ind w:firstLine="420"/>
        <w:rPr>
          <w:rFonts w:hint="eastAsia" w:hAnsi="宋体"/>
          <w:sz w:val="24"/>
          <w:szCs w:val="24"/>
        </w:rPr>
      </w:pPr>
      <w:r>
        <w:rPr>
          <w:rFonts w:hint="eastAsia" w:hAnsi="宋体"/>
          <w:sz w:val="24"/>
          <w:szCs w:val="24"/>
        </w:rPr>
        <w:t>本授权书声明：注册于</w:t>
      </w:r>
      <w:r>
        <w:rPr>
          <w:rFonts w:hint="eastAsia" w:hAnsi="宋体"/>
          <w:sz w:val="24"/>
          <w:szCs w:val="24"/>
          <w:u w:val="single"/>
        </w:rPr>
        <w:t xml:space="preserve">（工商行政管理局名称）之（供应商全称） </w:t>
      </w:r>
      <w:r>
        <w:rPr>
          <w:rFonts w:hint="eastAsia" w:hAnsi="宋体"/>
          <w:sz w:val="24"/>
          <w:szCs w:val="24"/>
        </w:rPr>
        <w:t>的法定代表人或负责人</w:t>
      </w:r>
      <w:r>
        <w:rPr>
          <w:rFonts w:hint="eastAsia" w:hAnsi="宋体"/>
          <w:sz w:val="24"/>
          <w:szCs w:val="24"/>
          <w:u w:val="single"/>
        </w:rPr>
        <w:t>（姓名、性别、职务）</w:t>
      </w:r>
      <w:r>
        <w:rPr>
          <w:rFonts w:hint="eastAsia" w:hAnsi="宋体"/>
          <w:sz w:val="24"/>
          <w:szCs w:val="24"/>
        </w:rPr>
        <w:t>授权</w:t>
      </w:r>
      <w:r>
        <w:rPr>
          <w:rFonts w:hint="eastAsia" w:hAnsi="宋体"/>
          <w:sz w:val="24"/>
          <w:szCs w:val="24"/>
          <w:u w:val="single"/>
        </w:rPr>
        <w:t>（被授权人姓名、性别、职务）</w:t>
      </w:r>
      <w:r>
        <w:rPr>
          <w:rFonts w:hint="eastAsia" w:hAnsi="宋体"/>
          <w:sz w:val="24"/>
          <w:szCs w:val="24"/>
        </w:rPr>
        <w:t>为本公司合法代理人，就贵方组织的有关</w:t>
      </w:r>
      <w:r>
        <w:rPr>
          <w:rFonts w:hint="eastAsia" w:hAnsi="宋体"/>
          <w:sz w:val="24"/>
          <w:szCs w:val="24"/>
          <w:u w:val="single"/>
        </w:rPr>
        <w:t>（谈判项目名称）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）的谈判、洽谈、执行等具体事务，签署全部有关文件、文书、协议、合同，本公司对被授权人在本项目中的签名承担全部法律责任。</w:t>
      </w:r>
    </w:p>
    <w:p>
      <w:pPr>
        <w:pStyle w:val="17"/>
        <w:spacing w:line="560" w:lineRule="exact"/>
        <w:ind w:firstLine="420"/>
        <w:rPr>
          <w:rFonts w:hint="eastAsia" w:hAnsi="宋体"/>
          <w:sz w:val="24"/>
          <w:szCs w:val="24"/>
        </w:rPr>
      </w:pPr>
      <w:r>
        <w:rPr>
          <w:rFonts w:hint="eastAsia" w:hAnsi="宋体"/>
          <w:sz w:val="24"/>
          <w:szCs w:val="24"/>
        </w:rPr>
        <w:t>本授权书有效期自谈判响应文件递交截止之日起</w:t>
      </w:r>
      <w:r>
        <w:rPr>
          <w:rFonts w:hint="eastAsia" w:hAnsi="宋体"/>
          <w:sz w:val="24"/>
          <w:szCs w:val="24"/>
          <w:u w:val="single"/>
        </w:rPr>
        <w:t xml:space="preserve">  90  </w:t>
      </w:r>
      <w:r>
        <w:rPr>
          <w:rFonts w:hint="eastAsia" w:hAnsi="宋体"/>
          <w:sz w:val="24"/>
          <w:szCs w:val="24"/>
        </w:rPr>
        <w:t>日历天。</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代理人无转委托权。</w:t>
      </w:r>
    </w:p>
    <w:p>
      <w:pPr>
        <w:spacing w:line="360" w:lineRule="auto"/>
        <w:ind w:firstLine="480" w:firstLineChars="200"/>
        <w:rPr>
          <w:rFonts w:hint="eastAsia" w:ascii="宋体" w:hAnsi="宋体"/>
          <w:sz w:val="24"/>
        </w:rPr>
      </w:pPr>
    </w:p>
    <w:p>
      <w:pPr>
        <w:spacing w:line="360" w:lineRule="auto"/>
        <w:ind w:firstLine="480" w:firstLineChars="200"/>
        <w:rPr>
          <w:rFonts w:ascii="宋体" w:cs="宋体"/>
          <w:sz w:val="24"/>
          <w:lang w:val="zh-CN"/>
        </w:rPr>
      </w:pPr>
      <w:r>
        <w:rPr>
          <w:rFonts w:hint="eastAsia" w:ascii="宋体" w:hAnsi="宋体"/>
          <w:sz w:val="24"/>
        </w:rPr>
        <w:t>附：</w:t>
      </w:r>
      <w:r>
        <w:rPr>
          <w:rFonts w:hint="eastAsia" w:ascii="宋体" w:cs="宋体"/>
          <w:sz w:val="24"/>
          <w:lang w:val="zh-CN"/>
        </w:rPr>
        <w:t>法定代表人</w:t>
      </w:r>
      <w:r>
        <w:rPr>
          <w:rFonts w:hint="eastAsia" w:hAnsi="宋体"/>
          <w:sz w:val="24"/>
        </w:rPr>
        <w:t>或负责人</w:t>
      </w:r>
      <w:r>
        <w:rPr>
          <w:rFonts w:hint="eastAsia" w:ascii="宋体" w:cs="宋体"/>
          <w:sz w:val="24"/>
          <w:lang w:val="zh-CN"/>
        </w:rPr>
        <w:t>、委托代理人身份证复印件并加盖单位公章。</w:t>
      </w:r>
    </w:p>
    <w:p>
      <w:pPr>
        <w:spacing w:line="360" w:lineRule="auto"/>
        <w:ind w:firstLine="480" w:firstLineChars="200"/>
        <w:rPr>
          <w:rFonts w:hint="eastAsia" w:ascii="宋体" w:hAnsi="宋体"/>
          <w:sz w:val="24"/>
        </w:rPr>
      </w:pPr>
    </w:p>
    <w:p>
      <w:pPr>
        <w:spacing w:line="360" w:lineRule="auto"/>
        <w:rPr>
          <w:rFonts w:ascii="宋体" w:hAnsi="宋体"/>
          <w:sz w:val="24"/>
        </w:rPr>
      </w:pPr>
      <w:r>
        <w:rPr>
          <w:rFonts w:hint="eastAsia" w:ascii="宋体" w:hAnsi="宋体"/>
          <w:sz w:val="24"/>
        </w:rPr>
        <w:t xml:space="preserve">                       供应商：</w:t>
      </w:r>
      <w:r>
        <w:rPr>
          <w:rFonts w:hint="eastAsia" w:ascii="宋体" w:hAnsi="宋体"/>
          <w:sz w:val="24"/>
          <w:u w:val="single"/>
        </w:rPr>
        <w:t xml:space="preserve">                           </w:t>
      </w:r>
      <w:r>
        <w:rPr>
          <w:rFonts w:hint="eastAsia" w:ascii="宋体" w:hAnsi="宋体"/>
          <w:sz w:val="24"/>
        </w:rPr>
        <w:t>（</w:t>
      </w:r>
      <w:r>
        <w:rPr>
          <w:rFonts w:hint="eastAsia" w:ascii="宋体" w:hAnsi="宋体" w:cs="宋体"/>
          <w:sz w:val="24"/>
        </w:rPr>
        <w:t>全称并加盖公章</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2760" w:firstLineChars="1150"/>
        <w:rPr>
          <w:rFonts w:ascii="宋体" w:hAnsi="宋体"/>
          <w:sz w:val="24"/>
        </w:rPr>
      </w:pPr>
      <w:r>
        <w:rPr>
          <w:rFonts w:hint="eastAsia" w:ascii="宋体" w:hAnsi="宋体"/>
          <w:sz w:val="24"/>
        </w:rPr>
        <w:t>法定代表人</w:t>
      </w:r>
      <w:r>
        <w:rPr>
          <w:rFonts w:hint="eastAsia" w:hAnsi="宋体"/>
          <w:sz w:val="24"/>
        </w:rPr>
        <w:t>或负责人</w:t>
      </w:r>
      <w:r>
        <w:rPr>
          <w:rFonts w:hint="eastAsia" w:ascii="宋体" w:hAnsi="宋体"/>
          <w:sz w:val="24"/>
        </w:rPr>
        <w:t>：</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2760" w:firstLineChars="115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2760" w:firstLineChars="115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2760" w:firstLineChars="115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6120" w:firstLineChars="2550"/>
        <w:rPr>
          <w:rFonts w:hint="eastAsia" w:ascii="宋体" w:hAnsi="宋体"/>
          <w:sz w:val="24"/>
        </w:rPr>
      </w:pPr>
    </w:p>
    <w:p>
      <w:pPr>
        <w:pStyle w:val="17"/>
        <w:spacing w:line="500" w:lineRule="exact"/>
        <w:ind w:left="2100" w:leftChars="1000" w:firstLine="960" w:firstLineChars="400"/>
        <w:rPr>
          <w:rFonts w:hint="eastAsia" w:hAnsi="宋体"/>
          <w:sz w:val="24"/>
          <w:szCs w:val="24"/>
          <w:u w:val="single"/>
        </w:rPr>
      </w:pP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pStyle w:val="17"/>
        <w:spacing w:line="240" w:lineRule="auto"/>
        <w:ind w:firstLine="480" w:firstLineChars="200"/>
        <w:rPr>
          <w:rFonts w:hint="eastAsia" w:hAnsi="宋体"/>
          <w:sz w:val="24"/>
          <w:szCs w:val="24"/>
        </w:rPr>
      </w:pPr>
    </w:p>
    <w:p>
      <w:pPr>
        <w:spacing w:line="360" w:lineRule="atLeast"/>
        <w:jc w:val="center"/>
        <w:rPr>
          <w:rFonts w:hint="eastAsia" w:ascii="宋体" w:hAnsi="宋体"/>
          <w:b/>
          <w:sz w:val="32"/>
          <w:szCs w:val="32"/>
        </w:rPr>
        <w:sectPr>
          <w:pgSz w:w="11906" w:h="16838"/>
          <w:pgMar w:top="1418" w:right="1247" w:bottom="1418" w:left="1247" w:header="851" w:footer="992" w:gutter="0"/>
          <w:cols w:space="720" w:num="1"/>
          <w:docGrid w:type="linesAndChars" w:linePitch="312" w:charSpace="0"/>
        </w:sectPr>
      </w:pPr>
    </w:p>
    <w:p>
      <w:pPr>
        <w:widowControl/>
        <w:spacing w:line="408" w:lineRule="auto"/>
        <w:jc w:val="center"/>
        <w:rPr>
          <w:rFonts w:hint="eastAsia" w:ascii="宋体" w:hAnsi="宋体"/>
          <w:b/>
          <w:sz w:val="32"/>
          <w:szCs w:val="32"/>
        </w:rPr>
      </w:pPr>
      <w:r>
        <w:rPr>
          <w:rFonts w:hint="eastAsia" w:ascii="宋体" w:hAnsi="宋体"/>
          <w:b/>
          <w:sz w:val="32"/>
          <w:szCs w:val="32"/>
        </w:rPr>
        <w:t>第四部分  技术响应</w:t>
      </w:r>
    </w:p>
    <w:p>
      <w:pPr>
        <w:pStyle w:val="70"/>
        <w:ind w:firstLine="480"/>
        <w:rPr>
          <w:rFonts w:ascii="宋体"/>
          <w:sz w:val="24"/>
          <w:szCs w:val="24"/>
        </w:rPr>
      </w:pPr>
      <w:r>
        <w:rPr>
          <w:rFonts w:hint="eastAsia" w:ascii="宋体" w:hAnsi="宋体" w:cs="宋体"/>
          <w:sz w:val="24"/>
          <w:szCs w:val="24"/>
        </w:rPr>
        <w:t>编制和提交的内容应包括但不限于以下各项。对必须满足的内容，必须完全满足。对响应有差异的，则说明差异的内容。</w:t>
      </w:r>
    </w:p>
    <w:p>
      <w:pPr>
        <w:spacing w:line="360" w:lineRule="auto"/>
        <w:rPr>
          <w:rFonts w:hint="eastAsia" w:ascii="宋体" w:hAnsi="宋体"/>
          <w:b/>
          <w:sz w:val="24"/>
        </w:rPr>
      </w:pPr>
      <w:r>
        <w:rPr>
          <w:rFonts w:ascii="宋体" w:hAnsi="宋体"/>
          <w:b/>
          <w:sz w:val="24"/>
        </w:rPr>
        <w:t xml:space="preserve">1. </w:t>
      </w:r>
      <w:r>
        <w:rPr>
          <w:rFonts w:hint="eastAsia" w:ascii="宋体" w:hAnsi="宋体"/>
          <w:b/>
          <w:sz w:val="24"/>
        </w:rPr>
        <w:t>技术响应情况</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76"/>
        <w:gridCol w:w="2315"/>
        <w:gridCol w:w="1198"/>
        <w:gridCol w:w="1659"/>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24" w:type="dxa"/>
            <w:noWrap w:val="0"/>
            <w:vAlign w:val="center"/>
          </w:tcPr>
          <w:p>
            <w:pPr>
              <w:jc w:val="center"/>
              <w:rPr>
                <w:rFonts w:hint="eastAsia" w:ascii="宋体" w:hAnsi="宋体"/>
                <w:sz w:val="24"/>
              </w:rPr>
            </w:pPr>
            <w:r>
              <w:rPr>
                <w:rFonts w:hint="eastAsia" w:ascii="宋体" w:hAnsi="宋体"/>
                <w:sz w:val="24"/>
              </w:rPr>
              <w:t>序号</w:t>
            </w:r>
          </w:p>
        </w:tc>
        <w:tc>
          <w:tcPr>
            <w:tcW w:w="1876" w:type="dxa"/>
            <w:noWrap w:val="0"/>
            <w:vAlign w:val="center"/>
          </w:tcPr>
          <w:p>
            <w:pPr>
              <w:jc w:val="center"/>
              <w:rPr>
                <w:rFonts w:hint="eastAsia" w:ascii="宋体" w:hAnsi="宋体"/>
                <w:sz w:val="24"/>
              </w:rPr>
            </w:pPr>
            <w:r>
              <w:rPr>
                <w:rFonts w:hint="eastAsia" w:ascii="宋体" w:hAnsi="宋体"/>
                <w:sz w:val="24"/>
              </w:rPr>
              <w:t>采购文件需求</w:t>
            </w:r>
          </w:p>
        </w:tc>
        <w:tc>
          <w:tcPr>
            <w:tcW w:w="2315" w:type="dxa"/>
            <w:noWrap w:val="0"/>
            <w:vAlign w:val="center"/>
          </w:tcPr>
          <w:p>
            <w:pPr>
              <w:jc w:val="center"/>
              <w:rPr>
                <w:rFonts w:hint="eastAsia" w:ascii="宋体" w:hAnsi="宋体"/>
                <w:sz w:val="24"/>
              </w:rPr>
            </w:pPr>
            <w:r>
              <w:rPr>
                <w:rFonts w:hint="eastAsia" w:ascii="宋体" w:hAnsi="宋体"/>
                <w:sz w:val="24"/>
              </w:rPr>
              <w:t>响应文件规格</w:t>
            </w:r>
          </w:p>
        </w:tc>
        <w:tc>
          <w:tcPr>
            <w:tcW w:w="1198" w:type="dxa"/>
            <w:noWrap w:val="0"/>
            <w:vAlign w:val="center"/>
          </w:tcPr>
          <w:p>
            <w:pPr>
              <w:jc w:val="center"/>
              <w:rPr>
                <w:rFonts w:hint="eastAsia" w:ascii="宋体" w:hAnsi="宋体"/>
                <w:sz w:val="24"/>
              </w:rPr>
            </w:pPr>
            <w:r>
              <w:rPr>
                <w:rFonts w:hint="eastAsia" w:ascii="宋体" w:hAnsi="宋体"/>
                <w:sz w:val="24"/>
              </w:rPr>
              <w:t>偏离度</w:t>
            </w:r>
          </w:p>
        </w:tc>
        <w:tc>
          <w:tcPr>
            <w:tcW w:w="1659" w:type="dxa"/>
            <w:noWrap w:val="0"/>
            <w:vAlign w:val="center"/>
          </w:tcPr>
          <w:p>
            <w:pPr>
              <w:jc w:val="center"/>
              <w:rPr>
                <w:rFonts w:hint="eastAsia" w:ascii="宋体" w:hAnsi="宋体"/>
                <w:sz w:val="24"/>
              </w:rPr>
            </w:pPr>
            <w:r>
              <w:rPr>
                <w:rFonts w:ascii="宋体" w:hAnsi="宋体"/>
                <w:sz w:val="24"/>
              </w:rPr>
              <w:t>偏离说明</w:t>
            </w:r>
          </w:p>
        </w:tc>
        <w:tc>
          <w:tcPr>
            <w:tcW w:w="1428"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24" w:type="dxa"/>
            <w:noWrap w:val="0"/>
            <w:vAlign w:val="top"/>
          </w:tcPr>
          <w:p>
            <w:pPr>
              <w:spacing w:line="360" w:lineRule="auto"/>
              <w:ind w:firstLine="211"/>
              <w:rPr>
                <w:rFonts w:hint="eastAsia" w:ascii="宋体" w:hAnsi="宋体"/>
                <w:sz w:val="24"/>
              </w:rPr>
            </w:pPr>
          </w:p>
        </w:tc>
        <w:tc>
          <w:tcPr>
            <w:tcW w:w="1876" w:type="dxa"/>
            <w:noWrap w:val="0"/>
            <w:vAlign w:val="top"/>
          </w:tcPr>
          <w:p>
            <w:pPr>
              <w:spacing w:line="360" w:lineRule="auto"/>
              <w:ind w:firstLine="211"/>
              <w:rPr>
                <w:rFonts w:hint="eastAsia" w:ascii="宋体" w:hAnsi="宋体"/>
                <w:sz w:val="24"/>
              </w:rPr>
            </w:pPr>
          </w:p>
        </w:tc>
        <w:tc>
          <w:tcPr>
            <w:tcW w:w="2315" w:type="dxa"/>
            <w:noWrap w:val="0"/>
            <w:vAlign w:val="top"/>
          </w:tcPr>
          <w:p>
            <w:pPr>
              <w:spacing w:line="360" w:lineRule="auto"/>
              <w:ind w:firstLine="211"/>
              <w:rPr>
                <w:rFonts w:hint="eastAsia" w:ascii="宋体" w:hAnsi="宋体"/>
                <w:sz w:val="24"/>
              </w:rPr>
            </w:pPr>
          </w:p>
        </w:tc>
        <w:tc>
          <w:tcPr>
            <w:tcW w:w="1198" w:type="dxa"/>
            <w:noWrap w:val="0"/>
            <w:vAlign w:val="top"/>
          </w:tcPr>
          <w:p>
            <w:pPr>
              <w:spacing w:line="360" w:lineRule="auto"/>
              <w:ind w:firstLine="211"/>
              <w:rPr>
                <w:rFonts w:hint="eastAsia" w:ascii="宋体" w:hAnsi="宋体"/>
                <w:sz w:val="24"/>
              </w:rPr>
            </w:pPr>
          </w:p>
        </w:tc>
        <w:tc>
          <w:tcPr>
            <w:tcW w:w="1659" w:type="dxa"/>
            <w:noWrap w:val="0"/>
            <w:vAlign w:val="top"/>
          </w:tcPr>
          <w:p>
            <w:pPr>
              <w:spacing w:line="360" w:lineRule="auto"/>
              <w:ind w:firstLine="211"/>
              <w:rPr>
                <w:rFonts w:hint="eastAsia" w:ascii="宋体" w:hAnsi="宋体"/>
                <w:sz w:val="24"/>
              </w:rPr>
            </w:pPr>
          </w:p>
        </w:tc>
        <w:tc>
          <w:tcPr>
            <w:tcW w:w="1428" w:type="dxa"/>
            <w:noWrap w:val="0"/>
            <w:vAlign w:val="top"/>
          </w:tcPr>
          <w:p>
            <w:pPr>
              <w:spacing w:line="360" w:lineRule="auto"/>
              <w:ind w:firstLine="211"/>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4" w:type="dxa"/>
            <w:noWrap w:val="0"/>
            <w:vAlign w:val="top"/>
          </w:tcPr>
          <w:p>
            <w:pPr>
              <w:spacing w:line="360" w:lineRule="auto"/>
              <w:ind w:firstLine="211"/>
              <w:rPr>
                <w:rFonts w:hint="eastAsia" w:ascii="宋体" w:hAnsi="宋体"/>
                <w:sz w:val="24"/>
              </w:rPr>
            </w:pPr>
          </w:p>
        </w:tc>
        <w:tc>
          <w:tcPr>
            <w:tcW w:w="1876" w:type="dxa"/>
            <w:noWrap w:val="0"/>
            <w:vAlign w:val="top"/>
          </w:tcPr>
          <w:p>
            <w:pPr>
              <w:spacing w:line="360" w:lineRule="auto"/>
              <w:ind w:firstLine="211"/>
              <w:rPr>
                <w:rFonts w:hint="eastAsia" w:ascii="宋体" w:hAnsi="宋体"/>
                <w:sz w:val="24"/>
              </w:rPr>
            </w:pPr>
          </w:p>
        </w:tc>
        <w:tc>
          <w:tcPr>
            <w:tcW w:w="2315" w:type="dxa"/>
            <w:noWrap w:val="0"/>
            <w:vAlign w:val="top"/>
          </w:tcPr>
          <w:p>
            <w:pPr>
              <w:spacing w:line="360" w:lineRule="auto"/>
              <w:ind w:firstLine="211"/>
              <w:rPr>
                <w:rFonts w:hint="eastAsia" w:ascii="宋体" w:hAnsi="宋体"/>
                <w:sz w:val="24"/>
              </w:rPr>
            </w:pPr>
          </w:p>
        </w:tc>
        <w:tc>
          <w:tcPr>
            <w:tcW w:w="1198" w:type="dxa"/>
            <w:noWrap w:val="0"/>
            <w:vAlign w:val="top"/>
          </w:tcPr>
          <w:p>
            <w:pPr>
              <w:spacing w:line="360" w:lineRule="auto"/>
              <w:ind w:firstLine="211"/>
              <w:rPr>
                <w:rFonts w:hint="eastAsia" w:ascii="宋体" w:hAnsi="宋体"/>
                <w:sz w:val="24"/>
              </w:rPr>
            </w:pPr>
          </w:p>
        </w:tc>
        <w:tc>
          <w:tcPr>
            <w:tcW w:w="1659" w:type="dxa"/>
            <w:noWrap w:val="0"/>
            <w:vAlign w:val="top"/>
          </w:tcPr>
          <w:p>
            <w:pPr>
              <w:spacing w:line="360" w:lineRule="auto"/>
              <w:ind w:firstLine="211"/>
              <w:rPr>
                <w:rFonts w:hint="eastAsia" w:ascii="宋体" w:hAnsi="宋体"/>
                <w:sz w:val="24"/>
              </w:rPr>
            </w:pPr>
          </w:p>
        </w:tc>
        <w:tc>
          <w:tcPr>
            <w:tcW w:w="1428" w:type="dxa"/>
            <w:noWrap w:val="0"/>
            <w:vAlign w:val="top"/>
          </w:tcPr>
          <w:p>
            <w:pPr>
              <w:spacing w:line="360" w:lineRule="auto"/>
              <w:ind w:firstLine="211"/>
              <w:rPr>
                <w:rFonts w:hint="eastAsia" w:ascii="宋体" w:hAnsi="宋体"/>
                <w:sz w:val="24"/>
              </w:rPr>
            </w:pPr>
          </w:p>
        </w:tc>
      </w:tr>
    </w:tbl>
    <w:p>
      <w:pPr>
        <w:numPr>
          <w:ilvl w:val="0"/>
          <w:numId w:val="8"/>
        </w:numPr>
        <w:spacing w:line="360" w:lineRule="auto"/>
        <w:rPr>
          <w:rFonts w:hint="eastAsia" w:ascii="宋体" w:hAnsi="宋体"/>
          <w:b/>
          <w:sz w:val="24"/>
        </w:rPr>
      </w:pPr>
      <w:r>
        <w:rPr>
          <w:rFonts w:hint="eastAsia" w:ascii="宋体" w:hAnsi="宋体"/>
          <w:b/>
          <w:sz w:val="24"/>
        </w:rPr>
        <w:t>拟服务于本项目的团队人员证明资料</w:t>
      </w:r>
    </w:p>
    <w:p>
      <w:pPr>
        <w:numPr>
          <w:ilvl w:val="0"/>
          <w:numId w:val="8"/>
        </w:numPr>
        <w:spacing w:line="360" w:lineRule="auto"/>
        <w:rPr>
          <w:rFonts w:hint="eastAsia" w:ascii="宋体" w:hAnsi="宋体"/>
          <w:b/>
          <w:sz w:val="24"/>
        </w:rPr>
      </w:pPr>
      <w:r>
        <w:rPr>
          <w:rFonts w:hint="eastAsia" w:ascii="宋体" w:hAnsi="宋体"/>
          <w:b/>
          <w:sz w:val="24"/>
        </w:rPr>
        <w:t>拟服务于本项目的软件及硬件的技术说明及证明资料</w:t>
      </w:r>
    </w:p>
    <w:p>
      <w:pPr>
        <w:spacing w:line="360" w:lineRule="auto"/>
        <w:rPr>
          <w:rFonts w:hint="eastAsia" w:ascii="宋体" w:hAnsi="宋体"/>
          <w:b/>
          <w:sz w:val="24"/>
        </w:rPr>
      </w:pPr>
      <w:r>
        <w:rPr>
          <w:rFonts w:hint="eastAsia" w:ascii="宋体" w:hAnsi="宋体"/>
          <w:b/>
          <w:sz w:val="24"/>
        </w:rPr>
        <w:t>4. 服务方案</w:t>
      </w:r>
    </w:p>
    <w:p>
      <w:pPr>
        <w:spacing w:line="360" w:lineRule="auto"/>
        <w:rPr>
          <w:rFonts w:hint="eastAsia" w:ascii="宋体" w:hAnsi="宋体"/>
          <w:sz w:val="24"/>
        </w:rPr>
      </w:pPr>
      <w:r>
        <w:rPr>
          <w:rFonts w:hint="eastAsia" w:ascii="宋体" w:hAnsi="宋体"/>
          <w:sz w:val="24"/>
        </w:rPr>
        <w:t>（内容格式自拟）</w:t>
      </w:r>
    </w:p>
    <w:p>
      <w:pPr>
        <w:spacing w:line="360" w:lineRule="auto"/>
        <w:rPr>
          <w:rFonts w:hint="eastAsia" w:ascii="宋体" w:hAnsi="宋体"/>
          <w:b/>
          <w:sz w:val="24"/>
        </w:rPr>
      </w:pPr>
      <w:r>
        <w:rPr>
          <w:rFonts w:hint="eastAsia" w:ascii="宋体" w:hAnsi="宋体"/>
          <w:b/>
          <w:sz w:val="24"/>
        </w:rPr>
        <w:t>5. 质量保证措施</w:t>
      </w:r>
    </w:p>
    <w:p>
      <w:pPr>
        <w:spacing w:line="360" w:lineRule="auto"/>
        <w:rPr>
          <w:rFonts w:hint="eastAsia" w:ascii="宋体" w:hAnsi="宋体"/>
          <w:sz w:val="24"/>
        </w:rPr>
      </w:pPr>
      <w:r>
        <w:rPr>
          <w:rFonts w:hint="eastAsia" w:ascii="宋体" w:hAnsi="宋体"/>
          <w:sz w:val="24"/>
        </w:rPr>
        <w:t>（内容格式自拟）</w:t>
      </w:r>
    </w:p>
    <w:p>
      <w:pPr>
        <w:spacing w:line="360" w:lineRule="auto"/>
        <w:rPr>
          <w:rFonts w:hint="eastAsia" w:ascii="宋体" w:hAnsi="宋体"/>
          <w:b/>
          <w:sz w:val="24"/>
        </w:rPr>
      </w:pPr>
      <w:r>
        <w:rPr>
          <w:rFonts w:hint="eastAsia" w:ascii="宋体" w:hAnsi="宋体"/>
          <w:b/>
          <w:sz w:val="24"/>
        </w:rPr>
        <w:t>6. 承诺</w:t>
      </w:r>
    </w:p>
    <w:p>
      <w:pPr>
        <w:spacing w:line="360" w:lineRule="auto"/>
        <w:rPr>
          <w:rFonts w:hint="eastAsia" w:ascii="宋体"/>
          <w:sz w:val="24"/>
        </w:rPr>
      </w:pPr>
      <w:r>
        <w:rPr>
          <w:rFonts w:hint="eastAsia" w:ascii="宋体"/>
          <w:sz w:val="24"/>
        </w:rPr>
        <w:t>（关于服务质量、服务期等的承诺，内容格式自拟）</w:t>
      </w:r>
    </w:p>
    <w:p>
      <w:pPr>
        <w:spacing w:line="360" w:lineRule="auto"/>
        <w:rPr>
          <w:rFonts w:hint="eastAsia" w:ascii="宋体"/>
          <w:szCs w:val="21"/>
        </w:rPr>
      </w:pPr>
      <w:r>
        <w:rPr>
          <w:rFonts w:hint="eastAsia" w:ascii="宋体" w:hAnsi="宋体"/>
          <w:b/>
          <w:sz w:val="24"/>
        </w:rPr>
        <w:t>7. 供应商认为有必要说明的其他问题</w:t>
      </w:r>
      <w:r>
        <w:rPr>
          <w:rFonts w:hint="eastAsia" w:ascii="宋体"/>
          <w:szCs w:val="21"/>
        </w:rPr>
        <w:t>。</w:t>
      </w:r>
    </w:p>
    <w:p>
      <w:pPr>
        <w:spacing w:line="360" w:lineRule="auto"/>
        <w:rPr>
          <w:rFonts w:hint="eastAsia" w:ascii="宋体" w:hAnsi="宋体"/>
          <w:b/>
          <w:sz w:val="24"/>
        </w:rPr>
      </w:pPr>
    </w:p>
    <w:p>
      <w:pPr>
        <w:spacing w:line="600" w:lineRule="auto"/>
        <w:ind w:left="2100" w:leftChars="1000"/>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p>
    <w:p>
      <w:pPr>
        <w:spacing w:line="600" w:lineRule="auto"/>
        <w:ind w:left="2100" w:leftChars="1000"/>
        <w:rPr>
          <w:rFonts w:hint="eastAsia" w:ascii="宋体" w:hAnsi="宋体"/>
          <w:sz w:val="24"/>
          <w:u w:val="single"/>
        </w:rPr>
      </w:pPr>
      <w:r>
        <w:rPr>
          <w:rFonts w:hint="eastAsia" w:ascii="宋体" w:hAnsi="宋体"/>
          <w:sz w:val="24"/>
        </w:rPr>
        <w:t>法定代表人或负责人或授权代表（盖章或签字）：</w:t>
      </w:r>
      <w:r>
        <w:rPr>
          <w:rFonts w:hint="eastAsia" w:ascii="宋体" w:hAnsi="宋体"/>
          <w:sz w:val="24"/>
          <w:u w:val="single"/>
        </w:rPr>
        <w:t xml:space="preserve">              </w:t>
      </w:r>
    </w:p>
    <w:p>
      <w:pPr>
        <w:spacing w:line="560" w:lineRule="exact"/>
        <w:ind w:left="2100" w:leftChars="1000"/>
        <w:rPr>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insoku w:val="0"/>
        <w:spacing w:line="500" w:lineRule="exact"/>
        <w:ind w:firstLine="4080" w:firstLineChars="1700"/>
        <w:rPr>
          <w:rFonts w:hint="eastAsia" w:ascii="宋体" w:hAnsi="宋体"/>
          <w:sz w:val="24"/>
        </w:rPr>
      </w:pPr>
    </w:p>
    <w:p>
      <w:pPr>
        <w:kinsoku w:val="0"/>
        <w:spacing w:line="500" w:lineRule="exact"/>
        <w:jc w:val="center"/>
        <w:rPr>
          <w:rFonts w:ascii="宋体" w:hAnsi="宋体"/>
          <w:b/>
          <w:sz w:val="36"/>
          <w:szCs w:val="36"/>
        </w:rPr>
      </w:pPr>
      <w:r>
        <w:rPr>
          <w:rFonts w:hint="eastAsia" w:ascii="宋体" w:hAnsi="宋体"/>
          <w:sz w:val="24"/>
        </w:rPr>
        <w:br w:type="page"/>
      </w:r>
      <w:r>
        <w:rPr>
          <w:rFonts w:hint="eastAsia" w:ascii="宋体" w:hAnsi="宋体"/>
          <w:b/>
          <w:sz w:val="32"/>
          <w:szCs w:val="32"/>
        </w:rPr>
        <w:t>第五部分  合同条款响应偏离表</w:t>
      </w:r>
    </w:p>
    <w:p>
      <w:pPr>
        <w:spacing w:line="560" w:lineRule="exact"/>
        <w:ind w:firstLine="480" w:firstLineChars="200"/>
        <w:rPr>
          <w:rFonts w:hint="eastAsia" w:ascii="宋体" w:hAnsi="宋体"/>
          <w:sz w:val="24"/>
        </w:rPr>
      </w:pPr>
    </w:p>
    <w:p>
      <w:pPr>
        <w:spacing w:line="360" w:lineRule="auto"/>
        <w:ind w:firstLine="1080" w:firstLineChars="450"/>
        <w:rPr>
          <w:rFonts w:ascii="宋体" w:hAnsi="宋体"/>
          <w:sz w:val="24"/>
        </w:rPr>
      </w:pPr>
      <w:r>
        <w:rPr>
          <w:rFonts w:hint="eastAsia" w:ascii="宋体" w:cs="宋体"/>
          <w:kern w:val="0"/>
          <w:sz w:val="24"/>
        </w:rPr>
        <w:t>（格式内容自拟，若无偏离，则填写：“合同条款完全响应，无偏离”）</w:t>
      </w: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360" w:lineRule="auto"/>
        <w:ind w:firstLine="424" w:firstLineChars="177"/>
        <w:rPr>
          <w:rFonts w:hint="eastAsia" w:ascii="宋体" w:hAnsi="宋体"/>
          <w:sz w:val="24"/>
        </w:rPr>
      </w:pPr>
    </w:p>
    <w:p>
      <w:pPr>
        <w:spacing w:line="600" w:lineRule="auto"/>
        <w:ind w:left="2100" w:leftChars="1000"/>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p>
    <w:p>
      <w:pPr>
        <w:spacing w:line="600" w:lineRule="auto"/>
        <w:ind w:left="2100" w:leftChars="1000"/>
        <w:rPr>
          <w:rFonts w:hint="eastAsia" w:ascii="宋体" w:hAnsi="宋体"/>
          <w:sz w:val="24"/>
          <w:u w:val="single"/>
        </w:rPr>
      </w:pPr>
      <w:r>
        <w:rPr>
          <w:rFonts w:hint="eastAsia" w:ascii="宋体" w:hAnsi="宋体"/>
          <w:sz w:val="24"/>
        </w:rPr>
        <w:t>法定代表人或负责人或授权代表（盖章或签字）：</w:t>
      </w:r>
      <w:r>
        <w:rPr>
          <w:rFonts w:hint="eastAsia" w:ascii="宋体" w:hAnsi="宋体"/>
          <w:sz w:val="24"/>
          <w:u w:val="single"/>
        </w:rPr>
        <w:t xml:space="preserve">              </w:t>
      </w:r>
    </w:p>
    <w:p>
      <w:pPr>
        <w:spacing w:line="560" w:lineRule="exact"/>
        <w:ind w:left="2100" w:leftChars="1000"/>
        <w:rPr>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1080"/>
        </w:tabs>
        <w:spacing w:before="240" w:line="560" w:lineRule="exact"/>
        <w:jc w:val="center"/>
        <w:rPr>
          <w:rFonts w:hint="eastAsia" w:ascii="宋体" w:hAnsi="宋体" w:eastAsia="宋体"/>
          <w:b/>
          <w:bCs/>
          <w:sz w:val="28"/>
          <w:szCs w:val="28"/>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tabs>
          <w:tab w:val="left" w:pos="1080"/>
        </w:tabs>
        <w:spacing w:before="240" w:line="560" w:lineRule="exact"/>
        <w:jc w:val="center"/>
        <w:rPr>
          <w:rFonts w:hint="eastAsia" w:ascii="宋体" w:hAnsi="宋体" w:eastAsia="宋体"/>
          <w:b/>
          <w:bCs/>
          <w:sz w:val="28"/>
          <w:szCs w:val="28"/>
          <w:lang w:eastAsia="zh-CN"/>
        </w:rPr>
      </w:pPr>
    </w:p>
    <w:p>
      <w:pPr>
        <w:tabs>
          <w:tab w:val="left" w:pos="1080"/>
        </w:tabs>
        <w:spacing w:before="240" w:line="560" w:lineRule="exact"/>
        <w:jc w:val="center"/>
        <w:rPr>
          <w:rFonts w:hint="eastAsia" w:hAnsi="宋体"/>
          <w:b/>
          <w:sz w:val="32"/>
        </w:rPr>
      </w:pPr>
      <w:r>
        <w:rPr>
          <w:rFonts w:ascii="宋体" w:hAnsi="宋体"/>
          <w:b/>
          <w:bCs/>
          <w:sz w:val="28"/>
          <w:szCs w:val="28"/>
        </w:rPr>
        <w:br w:type="page"/>
      </w:r>
      <w:r>
        <w:rPr>
          <w:rFonts w:hint="eastAsia" w:ascii="宋体" w:hAnsi="宋体"/>
          <w:b/>
          <w:sz w:val="32"/>
          <w:szCs w:val="32"/>
        </w:rPr>
        <w:t>第六部分  诚信投标承诺书</w:t>
      </w:r>
    </w:p>
    <w:p>
      <w:pPr>
        <w:pStyle w:val="17"/>
        <w:jc w:val="center"/>
        <w:rPr>
          <w:rFonts w:hint="eastAsia" w:hAnsi="宋体"/>
          <w:b/>
          <w:sz w:val="32"/>
        </w:rPr>
      </w:pPr>
    </w:p>
    <w:p>
      <w:pPr>
        <w:autoSpaceDE w:val="0"/>
        <w:autoSpaceDN w:val="0"/>
        <w:adjustRightInd w:val="0"/>
        <w:spacing w:line="360" w:lineRule="auto"/>
        <w:rPr>
          <w:rFonts w:hint="eastAsia" w:hAnsi="宋体"/>
          <w:sz w:val="24"/>
        </w:rPr>
      </w:pPr>
      <w:r>
        <w:rPr>
          <w:rFonts w:hint="eastAsia" w:hAnsi="宋体"/>
          <w:sz w:val="24"/>
          <w:u w:val="single"/>
          <w:lang w:eastAsia="zh-CN"/>
        </w:rPr>
        <w:t>华春建设工程项目管理有限责任公司</w:t>
      </w:r>
      <w:r>
        <w:rPr>
          <w:rFonts w:hint="eastAsia" w:hAnsi="宋体"/>
          <w:sz w:val="24"/>
        </w:rPr>
        <w:t>：</w:t>
      </w:r>
    </w:p>
    <w:p>
      <w:pPr>
        <w:autoSpaceDE w:val="0"/>
        <w:autoSpaceDN w:val="0"/>
        <w:adjustRightInd w:val="0"/>
        <w:spacing w:line="360" w:lineRule="auto"/>
        <w:rPr>
          <w:rFonts w:ascii="宋体" w:hAnsi="宋体"/>
          <w:sz w:val="24"/>
        </w:rPr>
      </w:pPr>
      <w:r>
        <w:rPr>
          <w:rFonts w:hint="eastAsia" w:ascii="宋体" w:hAnsi="宋体"/>
          <w:sz w:val="24"/>
        </w:rPr>
        <w:t xml:space="preserve">    做为参加贵单位组织的</w:t>
      </w:r>
      <w:r>
        <w:rPr>
          <w:rFonts w:hint="eastAsia" w:ascii="宋体" w:hAnsi="宋体"/>
          <w:sz w:val="24"/>
          <w:u w:val="single"/>
          <w:lang w:val="zh-CN"/>
        </w:rPr>
        <w:t>（项目名称）</w:t>
      </w:r>
      <w:r>
        <w:rPr>
          <w:rFonts w:hint="eastAsia" w:ascii="宋体" w:hAnsi="宋体"/>
          <w:sz w:val="24"/>
        </w:rPr>
        <w:t>的谈判供应商，本公司郑重承诺：</w:t>
      </w:r>
    </w:p>
    <w:p>
      <w:pPr>
        <w:autoSpaceDE w:val="0"/>
        <w:autoSpaceDN w:val="0"/>
        <w:adjustRightInd w:val="0"/>
        <w:spacing w:line="360" w:lineRule="auto"/>
        <w:ind w:firstLine="480"/>
        <w:rPr>
          <w:rFonts w:hint="eastAsia" w:ascii="宋体" w:hAnsi="宋体"/>
          <w:sz w:val="24"/>
        </w:rPr>
      </w:pPr>
      <w:r>
        <w:rPr>
          <w:rFonts w:hint="eastAsia" w:ascii="宋体" w:hAnsi="宋体"/>
          <w:sz w:val="24"/>
        </w:rPr>
        <w:t>1、我方完全符合《中华人民共和国政府采购法》第二十二条的规定。</w:t>
      </w:r>
    </w:p>
    <w:p>
      <w:pPr>
        <w:autoSpaceDE w:val="0"/>
        <w:autoSpaceDN w:val="0"/>
        <w:adjustRightInd w:val="0"/>
        <w:spacing w:line="360" w:lineRule="auto"/>
        <w:ind w:firstLine="480"/>
        <w:rPr>
          <w:rFonts w:ascii="宋体" w:hAnsi="宋体"/>
          <w:sz w:val="24"/>
        </w:rPr>
      </w:pPr>
      <w:r>
        <w:rPr>
          <w:rFonts w:hint="eastAsia" w:ascii="宋体" w:hAnsi="宋体"/>
          <w:sz w:val="24"/>
        </w:rPr>
        <w:t>2、在参加本项目谈判之前不存在被依法禁止经营行为、财产被接管或冻结的情况，如有隐瞒实情，愿承担一切责任及后果。</w:t>
      </w:r>
    </w:p>
    <w:p>
      <w:pPr>
        <w:autoSpaceDE w:val="0"/>
        <w:autoSpaceDN w:val="0"/>
        <w:adjustRightInd w:val="0"/>
        <w:spacing w:line="360" w:lineRule="auto"/>
        <w:ind w:firstLine="480"/>
        <w:rPr>
          <w:rFonts w:hint="eastAsia" w:ascii="宋体" w:hAnsi="宋体"/>
          <w:sz w:val="24"/>
        </w:rPr>
      </w:pPr>
      <w:r>
        <w:rPr>
          <w:rFonts w:hint="eastAsia" w:ascii="宋体" w:hAnsi="宋体"/>
          <w:sz w:val="24"/>
        </w:rPr>
        <w:t>3、近三年受到有关行政主管部门的行政处理、不良行为记录为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p>
      <w:pPr>
        <w:autoSpaceDE w:val="0"/>
        <w:autoSpaceDN w:val="0"/>
        <w:adjustRightInd w:val="0"/>
        <w:spacing w:line="360" w:lineRule="auto"/>
        <w:ind w:firstLine="480"/>
        <w:rPr>
          <w:rFonts w:hint="eastAsia" w:ascii="宋体" w:hAnsi="宋体"/>
          <w:sz w:val="24"/>
        </w:rPr>
      </w:pPr>
      <w:r>
        <w:rPr>
          <w:rFonts w:hint="eastAsia" w:ascii="宋体" w:hAnsi="宋体"/>
          <w:sz w:val="24"/>
        </w:rPr>
        <w:t>4、我方______（填“未被列入”或“被列入”）失信被执行人名单。</w:t>
      </w:r>
    </w:p>
    <w:p>
      <w:pPr>
        <w:autoSpaceDE w:val="0"/>
        <w:autoSpaceDN w:val="0"/>
        <w:adjustRightInd w:val="0"/>
        <w:spacing w:line="360" w:lineRule="auto"/>
        <w:ind w:firstLine="480"/>
        <w:rPr>
          <w:rFonts w:hint="eastAsia" w:ascii="宋体" w:hAnsi="宋体"/>
          <w:sz w:val="24"/>
        </w:rPr>
      </w:pPr>
      <w:r>
        <w:rPr>
          <w:rFonts w:hint="eastAsia" w:ascii="宋体" w:hAnsi="宋体"/>
          <w:sz w:val="24"/>
        </w:rPr>
        <w:t>5、我方______（填“未被列入”或“被列入”）重大税收违法案件当事人名单。</w:t>
      </w:r>
    </w:p>
    <w:p>
      <w:pPr>
        <w:autoSpaceDE w:val="0"/>
        <w:autoSpaceDN w:val="0"/>
        <w:adjustRightInd w:val="0"/>
        <w:spacing w:line="360" w:lineRule="auto"/>
        <w:ind w:firstLine="480"/>
        <w:rPr>
          <w:rFonts w:hint="eastAsia" w:ascii="宋体" w:hAnsi="宋体"/>
          <w:sz w:val="24"/>
        </w:rPr>
      </w:pPr>
      <w:r>
        <w:rPr>
          <w:rFonts w:hint="eastAsia" w:ascii="宋体" w:hAnsi="宋体"/>
          <w:sz w:val="24"/>
        </w:rPr>
        <w:t>6、我方______（填“未被列入”或“被列入”）政府采购严重违法失信行为记录名单。</w:t>
      </w:r>
    </w:p>
    <w:p>
      <w:pPr>
        <w:autoSpaceDE w:val="0"/>
        <w:autoSpaceDN w:val="0"/>
        <w:adjustRightInd w:val="0"/>
        <w:spacing w:line="360" w:lineRule="auto"/>
        <w:ind w:firstLine="480"/>
        <w:rPr>
          <w:rFonts w:ascii="宋体" w:hAnsi="宋体"/>
          <w:sz w:val="24"/>
        </w:rPr>
      </w:pPr>
      <w:r>
        <w:rPr>
          <w:rFonts w:hint="eastAsia" w:ascii="宋体" w:hAnsi="宋体"/>
          <w:sz w:val="24"/>
        </w:rPr>
        <w:t>7、参加本次投标提交的所有证明文件及业绩证明文件是真实的、有效的。</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以上承诺如有不实，我方将无条件地退出本项目的采购活动，并遵照《政府采购法》有关“提供虚假材料的规定”接受处罚。</w:t>
      </w:r>
    </w:p>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pPr>
    </w:p>
    <w:p>
      <w:pPr>
        <w:autoSpaceDE w:val="0"/>
        <w:autoSpaceDN w:val="0"/>
        <w:adjustRightInd w:val="0"/>
        <w:spacing w:line="360" w:lineRule="auto"/>
        <w:jc w:val="center"/>
        <w:rPr>
          <w:rFonts w:ascii="宋体" w:hAnsi="宋体"/>
          <w:b/>
          <w:sz w:val="24"/>
        </w:rPr>
      </w:pPr>
    </w:p>
    <w:p>
      <w:pPr>
        <w:spacing w:line="600" w:lineRule="auto"/>
        <w:ind w:left="2100" w:leftChars="1000"/>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p>
    <w:p>
      <w:pPr>
        <w:spacing w:line="600" w:lineRule="auto"/>
        <w:ind w:left="2100" w:leftChars="1000"/>
        <w:rPr>
          <w:rFonts w:hint="eastAsia" w:ascii="宋体" w:hAnsi="宋体"/>
          <w:sz w:val="24"/>
          <w:u w:val="single"/>
        </w:rPr>
      </w:pPr>
      <w:r>
        <w:rPr>
          <w:rFonts w:hint="eastAsia" w:ascii="宋体" w:hAnsi="宋体"/>
          <w:sz w:val="24"/>
        </w:rPr>
        <w:t>法定代表人或负责人或授权代表（盖章或签字）：</w:t>
      </w:r>
      <w:r>
        <w:rPr>
          <w:rFonts w:hint="eastAsia" w:ascii="宋体" w:hAnsi="宋体"/>
          <w:sz w:val="24"/>
          <w:u w:val="single"/>
        </w:rPr>
        <w:t xml:space="preserve">              </w:t>
      </w:r>
    </w:p>
    <w:p>
      <w:pPr>
        <w:spacing w:line="560" w:lineRule="exact"/>
        <w:ind w:left="2100" w:leftChars="1000"/>
        <w:rPr>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numPr>
          <w:ilvl w:val="0"/>
          <w:numId w:val="9"/>
        </w:numPr>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 xml:space="preserve"> 其他资料</w:t>
      </w:r>
    </w:p>
    <w:p>
      <w:pPr>
        <w:spacing w:line="360" w:lineRule="auto"/>
        <w:jc w:val="center"/>
        <w:rPr>
          <w:rFonts w:hint="eastAsia" w:ascii="宋体" w:hAnsi="宋体"/>
          <w:bCs/>
          <w:sz w:val="24"/>
        </w:rPr>
      </w:pPr>
    </w:p>
    <w:p>
      <w:pPr>
        <w:spacing w:line="360" w:lineRule="auto"/>
        <w:jc w:val="center"/>
        <w:rPr>
          <w:rFonts w:hint="eastAsia" w:ascii="宋体" w:hAnsi="宋体"/>
          <w:bCs/>
          <w:sz w:val="24"/>
        </w:rPr>
        <w:sectPr>
          <w:pgSz w:w="11906" w:h="16838"/>
          <w:pgMar w:top="1418" w:right="1247" w:bottom="1418" w:left="1247" w:header="851" w:footer="992" w:gutter="0"/>
          <w:cols w:space="720" w:num="1"/>
          <w:docGrid w:type="lines" w:linePitch="312" w:charSpace="0"/>
        </w:sectPr>
      </w:pPr>
      <w:r>
        <w:rPr>
          <w:rFonts w:hint="eastAsia" w:ascii="宋体" w:hAnsi="宋体"/>
          <w:bCs/>
          <w:sz w:val="24"/>
        </w:rPr>
        <w:t>供应商认为应该提供的其他资料。</w:t>
      </w:r>
    </w:p>
    <w:p>
      <w:pPr>
        <w:jc w:val="left"/>
        <w:rPr>
          <w:rFonts w:ascii="宋体" w:hAnsi="宋体"/>
          <w:b/>
          <w:sz w:val="24"/>
        </w:rPr>
      </w:pPr>
      <w:r>
        <w:rPr>
          <w:rFonts w:hint="eastAsia" w:ascii="宋体" w:hAnsi="宋体"/>
          <w:spacing w:val="6"/>
          <w:sz w:val="24"/>
        </w:rPr>
        <w:t>附件1</w:t>
      </w:r>
    </w:p>
    <w:p>
      <w:pPr>
        <w:widowControl/>
        <w:spacing w:line="500" w:lineRule="exact"/>
        <w:jc w:val="center"/>
        <w:rPr>
          <w:rFonts w:hint="eastAsia" w:ascii="宋体" w:hAnsi="宋体" w:eastAsia="宋体" w:cs="宋体"/>
          <w:b/>
          <w:kern w:val="0"/>
          <w:sz w:val="24"/>
        </w:rPr>
      </w:pPr>
      <w:r>
        <w:rPr>
          <w:rFonts w:hint="eastAsia" w:ascii="宋体" w:hAnsi="宋体" w:eastAsia="宋体" w:cs="宋体"/>
          <w:b/>
          <w:kern w:val="0"/>
          <w:sz w:val="24"/>
          <w:lang w:bidi="ar"/>
        </w:rPr>
        <w:t>中小企业声明函（工程、服务）</w:t>
      </w:r>
    </w:p>
    <w:p>
      <w:pPr>
        <w:widowControl/>
        <w:spacing w:line="500" w:lineRule="exact"/>
        <w:jc w:val="center"/>
        <w:rPr>
          <w:rFonts w:hint="eastAsia" w:ascii="宋体" w:hAnsi="宋体" w:eastAsia="宋体" w:cs="宋体"/>
          <w:b/>
          <w:kern w:val="0"/>
          <w:sz w:val="24"/>
        </w:rPr>
      </w:pP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本公司（联合体）郑重声明，根据《政府采购促进中小企业发展管理办法》（财库﹝2020﹞46 号）的规定，本公司（联合体）参加</w:t>
      </w:r>
      <w:r>
        <w:rPr>
          <w:rFonts w:hint="eastAsia" w:ascii="宋体" w:hAnsi="宋体" w:eastAsia="宋体" w:cs="宋体"/>
          <w:i/>
          <w:color w:val="000000"/>
          <w:kern w:val="0"/>
          <w:sz w:val="24"/>
          <w:u w:val="single"/>
          <w:lang w:bidi="ar"/>
        </w:rPr>
        <w:t>（单位名称）</w:t>
      </w:r>
      <w:r>
        <w:rPr>
          <w:rFonts w:hint="eastAsia" w:ascii="宋体" w:hAnsi="宋体" w:eastAsia="宋体" w:cs="宋体"/>
          <w:color w:val="000000"/>
          <w:kern w:val="0"/>
          <w:sz w:val="24"/>
          <w:lang w:bidi="ar"/>
        </w:rPr>
        <w:t>的</w:t>
      </w:r>
      <w:r>
        <w:rPr>
          <w:rFonts w:hint="eastAsia" w:ascii="宋体" w:hAnsi="宋体" w:eastAsia="宋体" w:cs="宋体"/>
          <w:i/>
          <w:color w:val="000000"/>
          <w:kern w:val="0"/>
          <w:sz w:val="24"/>
          <w:u w:val="single"/>
          <w:lang w:bidi="ar"/>
        </w:rPr>
        <w:t>（项目名称）</w:t>
      </w:r>
      <w:r>
        <w:rPr>
          <w:rFonts w:hint="eastAsia" w:ascii="宋体" w:hAnsi="宋体" w:eastAsia="宋体" w:cs="宋体"/>
          <w:color w:val="000000"/>
          <w:kern w:val="0"/>
          <w:sz w:val="24"/>
          <w:lang w:bidi="ar"/>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1.</w:t>
      </w:r>
      <w:r>
        <w:rPr>
          <w:rFonts w:hint="eastAsia" w:ascii="宋体" w:hAnsi="宋体" w:eastAsia="宋体" w:cs="宋体"/>
          <w:color w:val="000000"/>
          <w:kern w:val="0"/>
          <w:sz w:val="24"/>
          <w:u w:val="single"/>
          <w:lang w:bidi="ar"/>
        </w:rPr>
        <w:t xml:space="preserve"> （标的名称） </w:t>
      </w:r>
      <w:r>
        <w:rPr>
          <w:rFonts w:hint="eastAsia" w:ascii="宋体" w:hAnsi="宋体" w:eastAsia="宋体" w:cs="宋体"/>
          <w:color w:val="000000"/>
          <w:kern w:val="0"/>
          <w:sz w:val="24"/>
          <w:lang w:bidi="ar"/>
        </w:rPr>
        <w:t>，属于</w:t>
      </w:r>
      <w:r>
        <w:rPr>
          <w:rFonts w:hint="eastAsia" w:ascii="宋体" w:hAnsi="宋体" w:eastAsia="宋体" w:cs="宋体"/>
          <w:color w:val="000000"/>
          <w:kern w:val="0"/>
          <w:sz w:val="24"/>
          <w:u w:val="single"/>
          <w:lang w:bidi="ar"/>
        </w:rPr>
        <w:t>（采购文件中明确的所属行业）</w:t>
      </w:r>
      <w:r>
        <w:rPr>
          <w:rFonts w:hint="eastAsia" w:ascii="宋体" w:hAnsi="宋体" w:eastAsia="宋体" w:cs="宋体"/>
          <w:color w:val="000000"/>
          <w:kern w:val="0"/>
          <w:sz w:val="24"/>
          <w:lang w:bidi="ar"/>
        </w:rPr>
        <w:t>；承建（承接）企业为</w:t>
      </w:r>
      <w:r>
        <w:rPr>
          <w:rFonts w:hint="eastAsia" w:ascii="宋体" w:hAnsi="宋体" w:eastAsia="宋体" w:cs="宋体"/>
          <w:color w:val="000000"/>
          <w:kern w:val="0"/>
          <w:sz w:val="24"/>
          <w:u w:val="single"/>
          <w:lang w:bidi="ar"/>
        </w:rPr>
        <w:t>（企业名称）</w:t>
      </w:r>
      <w:r>
        <w:rPr>
          <w:rFonts w:hint="eastAsia" w:ascii="宋体" w:hAnsi="宋体" w:eastAsia="宋体" w:cs="宋体"/>
          <w:color w:val="000000"/>
          <w:kern w:val="0"/>
          <w:sz w:val="24"/>
          <w:lang w:bidi="ar"/>
        </w:rPr>
        <w:t>，从业人员</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人，营业收入为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万元，资产总额为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万元，属于</w:t>
      </w:r>
      <w:r>
        <w:rPr>
          <w:rFonts w:hint="eastAsia" w:ascii="宋体" w:hAnsi="宋体" w:eastAsia="宋体" w:cs="宋体"/>
          <w:color w:val="000000"/>
          <w:kern w:val="0"/>
          <w:sz w:val="24"/>
          <w:u w:val="single"/>
          <w:lang w:bidi="ar"/>
        </w:rPr>
        <w:t>（中型企业、小型企业、微型企业）</w:t>
      </w:r>
      <w:r>
        <w:rPr>
          <w:rFonts w:hint="eastAsia" w:ascii="宋体" w:hAnsi="宋体" w:eastAsia="宋体" w:cs="宋体"/>
          <w:color w:val="000000"/>
          <w:kern w:val="0"/>
          <w:sz w:val="24"/>
          <w:lang w:bidi="ar"/>
        </w:rPr>
        <w:t xml:space="preserve">； </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2.</w:t>
      </w:r>
      <w:r>
        <w:rPr>
          <w:rFonts w:hint="eastAsia" w:ascii="宋体" w:hAnsi="宋体" w:eastAsia="宋体" w:cs="宋体"/>
          <w:color w:val="000000"/>
          <w:kern w:val="0"/>
          <w:sz w:val="24"/>
          <w:u w:val="single"/>
          <w:lang w:bidi="ar"/>
        </w:rPr>
        <w:t xml:space="preserve"> （标的名称） </w:t>
      </w:r>
      <w:r>
        <w:rPr>
          <w:rFonts w:hint="eastAsia" w:ascii="宋体" w:hAnsi="宋体" w:eastAsia="宋体" w:cs="宋体"/>
          <w:color w:val="000000"/>
          <w:kern w:val="0"/>
          <w:sz w:val="24"/>
          <w:lang w:bidi="ar"/>
        </w:rPr>
        <w:t>，属于</w:t>
      </w:r>
      <w:r>
        <w:rPr>
          <w:rFonts w:hint="eastAsia" w:ascii="宋体" w:hAnsi="宋体" w:eastAsia="宋体" w:cs="宋体"/>
          <w:color w:val="000000"/>
          <w:kern w:val="0"/>
          <w:sz w:val="24"/>
          <w:u w:val="single"/>
          <w:lang w:bidi="ar"/>
        </w:rPr>
        <w:t>（采购文件中明确的所属行业）</w:t>
      </w:r>
      <w:r>
        <w:rPr>
          <w:rFonts w:hint="eastAsia" w:ascii="宋体" w:hAnsi="宋体" w:eastAsia="宋体" w:cs="宋体"/>
          <w:color w:val="000000"/>
          <w:kern w:val="0"/>
          <w:sz w:val="24"/>
          <w:lang w:bidi="ar"/>
        </w:rPr>
        <w:t>；承建（承接）企业为</w:t>
      </w:r>
      <w:r>
        <w:rPr>
          <w:rFonts w:hint="eastAsia" w:ascii="宋体" w:hAnsi="宋体" w:eastAsia="宋体" w:cs="宋体"/>
          <w:color w:val="000000"/>
          <w:kern w:val="0"/>
          <w:sz w:val="24"/>
          <w:u w:val="single"/>
          <w:lang w:bidi="ar"/>
        </w:rPr>
        <w:t>（企业名称）</w:t>
      </w:r>
      <w:r>
        <w:rPr>
          <w:rFonts w:hint="eastAsia" w:ascii="宋体" w:hAnsi="宋体" w:eastAsia="宋体" w:cs="宋体"/>
          <w:color w:val="000000"/>
          <w:kern w:val="0"/>
          <w:sz w:val="24"/>
          <w:lang w:bidi="ar"/>
        </w:rPr>
        <w:t>，从业人员</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人，营业收入为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万元，资产总额为</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万元，属于</w:t>
      </w:r>
      <w:r>
        <w:rPr>
          <w:rFonts w:hint="eastAsia" w:ascii="宋体" w:hAnsi="宋体" w:eastAsia="宋体" w:cs="宋体"/>
          <w:color w:val="000000"/>
          <w:kern w:val="0"/>
          <w:sz w:val="24"/>
          <w:u w:val="single"/>
          <w:lang w:bidi="ar"/>
        </w:rPr>
        <w:t>（中型企业、小型企业、微型企业）</w:t>
      </w:r>
      <w:r>
        <w:rPr>
          <w:rFonts w:hint="eastAsia" w:ascii="宋体" w:hAnsi="宋体" w:eastAsia="宋体" w:cs="宋体"/>
          <w:color w:val="000000"/>
          <w:kern w:val="0"/>
          <w:sz w:val="24"/>
          <w:lang w:bidi="ar"/>
        </w:rPr>
        <w:t xml:space="preserve">； </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本企业对上述声明内容的真实性负责。如有虚假，将依法承担相应责任。 </w:t>
      </w:r>
    </w:p>
    <w:p>
      <w:pPr>
        <w:widowControl/>
        <w:spacing w:line="360" w:lineRule="auto"/>
        <w:jc w:val="left"/>
        <w:rPr>
          <w:rFonts w:hint="eastAsia" w:ascii="宋体" w:hAnsi="宋体" w:eastAsia="宋体" w:cs="宋体"/>
          <w:color w:val="000000"/>
          <w:kern w:val="0"/>
          <w:sz w:val="24"/>
          <w:lang w:bidi="ar"/>
        </w:rPr>
      </w:pPr>
    </w:p>
    <w:p>
      <w:pPr>
        <w:widowControl/>
        <w:spacing w:line="360" w:lineRule="auto"/>
        <w:jc w:val="center"/>
        <w:rPr>
          <w:rFonts w:hint="eastAsia" w:ascii="宋体" w:hAnsi="宋体" w:eastAsia="宋体" w:cs="宋体"/>
          <w:sz w:val="24"/>
        </w:rPr>
      </w:pPr>
      <w:r>
        <w:rPr>
          <w:rFonts w:hint="eastAsia" w:ascii="宋体" w:hAnsi="宋体" w:eastAsia="宋体" w:cs="宋体"/>
          <w:color w:val="000000"/>
          <w:kern w:val="0"/>
          <w:sz w:val="24"/>
          <w:lang w:bidi="ar"/>
        </w:rPr>
        <w:t xml:space="preserve">                                  企业名称（盖章）： </w:t>
      </w:r>
    </w:p>
    <w:p>
      <w:pPr>
        <w:widowControl/>
        <w:spacing w:line="360" w:lineRule="auto"/>
        <w:jc w:val="center"/>
        <w:rPr>
          <w:rFonts w:hint="eastAsia" w:ascii="宋体" w:hAnsi="宋体" w:eastAsia="宋体" w:cs="宋体"/>
          <w:sz w:val="24"/>
        </w:rPr>
      </w:pPr>
      <w:r>
        <w:rPr>
          <w:rFonts w:hint="eastAsia" w:ascii="宋体" w:hAnsi="宋体" w:eastAsia="宋体" w:cs="宋体"/>
          <w:color w:val="000000"/>
          <w:kern w:val="0"/>
          <w:sz w:val="24"/>
          <w:lang w:bidi="ar"/>
        </w:rPr>
        <w:t xml:space="preserve">                         日   期：</w:t>
      </w:r>
    </w:p>
    <w:p>
      <w:pPr>
        <w:widowControl/>
        <w:tabs>
          <w:tab w:val="left" w:pos="5674"/>
        </w:tabs>
        <w:spacing w:line="360" w:lineRule="auto"/>
        <w:ind w:firstLine="420" w:firstLineChars="200"/>
        <w:jc w:val="left"/>
        <w:rPr>
          <w:rFonts w:hint="eastAsia" w:ascii="宋体" w:hAnsi="宋体" w:eastAsia="宋体" w:cs="宋体"/>
          <w:kern w:val="0"/>
          <w:szCs w:val="21"/>
        </w:rPr>
      </w:pPr>
    </w:p>
    <w:p>
      <w:pPr>
        <w:spacing w:line="240" w:lineRule="auto"/>
        <w:rPr>
          <w:rFonts w:hint="eastAsia" w:ascii="宋体" w:hAnsi="宋体" w:eastAsia="宋体" w:cs="宋体"/>
        </w:rPr>
      </w:pP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备注：</w:t>
      </w:r>
    </w:p>
    <w:p>
      <w:pPr>
        <w:widowControl/>
        <w:numPr>
          <w:ilvl w:val="0"/>
          <w:numId w:val="10"/>
        </w:numPr>
        <w:spacing w:line="360" w:lineRule="auto"/>
        <w:ind w:left="-60" w:leftChars="0" w:firstLine="480" w:firstLineChars="0"/>
        <w:jc w:val="left"/>
        <w:rPr>
          <w:rFonts w:hint="eastAsia" w:ascii="宋体" w:hAnsi="宋体" w:eastAsia="宋体" w:cs="宋体"/>
          <w:color w:val="000000"/>
          <w:kern w:val="0"/>
          <w:sz w:val="24"/>
        </w:rPr>
      </w:pPr>
      <w:r>
        <w:rPr>
          <w:rFonts w:hint="eastAsia" w:ascii="宋体" w:hAnsi="宋体" w:eastAsia="宋体" w:cs="宋体"/>
          <w:color w:val="000000"/>
          <w:kern w:val="0"/>
          <w:sz w:val="24"/>
        </w:rPr>
        <w:t>从业人员、营业收入、资产总额填报上一年度数据，无上一年度数据的新成立企业可不填报。</w:t>
      </w:r>
    </w:p>
    <w:p>
      <w:pPr>
        <w:widowControl/>
        <w:numPr>
          <w:ilvl w:val="0"/>
          <w:numId w:val="10"/>
        </w:numPr>
        <w:spacing w:line="360" w:lineRule="auto"/>
        <w:ind w:left="-60" w:leftChars="0" w:firstLine="480" w:firstLineChars="0"/>
        <w:jc w:val="left"/>
        <w:rPr>
          <w:rFonts w:hint="eastAsia" w:ascii="宋体" w:hAnsi="宋体" w:eastAsia="宋体" w:cs="宋体"/>
          <w:color w:val="000000"/>
          <w:kern w:val="0"/>
          <w:sz w:val="24"/>
        </w:rPr>
      </w:pPr>
      <w:r>
        <w:rPr>
          <w:rFonts w:hint="eastAsia" w:ascii="宋体" w:hAnsi="宋体" w:eastAsia="宋体" w:cs="宋体"/>
          <w:color w:val="000000"/>
          <w:kern w:val="0"/>
          <w:sz w:val="24"/>
        </w:rPr>
        <w:t>本项目专门面向中小微企业采购,</w:t>
      </w:r>
      <w:r>
        <w:rPr>
          <w:rFonts w:hint="eastAsia" w:ascii="宋体" w:hAnsi="宋体" w:cs="宋体"/>
          <w:color w:val="000000"/>
          <w:kern w:val="0"/>
          <w:sz w:val="24"/>
          <w:lang w:eastAsia="zh-CN"/>
        </w:rPr>
        <w:t>供应商</w:t>
      </w:r>
      <w:r>
        <w:rPr>
          <w:rFonts w:hint="eastAsia" w:ascii="宋体" w:hAnsi="宋体" w:eastAsia="宋体" w:cs="宋体"/>
          <w:color w:val="000000"/>
          <w:kern w:val="0"/>
          <w:sz w:val="24"/>
        </w:rPr>
        <w:t>须为符合中型、小型、微型的企业,请提供本函。</w:t>
      </w:r>
    </w:p>
    <w:p>
      <w:pPr>
        <w:pStyle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注：本项目采购标的所属行业为软件和信息技术服务业。</w:t>
      </w:r>
    </w:p>
    <w:p>
      <w:pPr>
        <w:spacing w:line="588" w:lineRule="exact"/>
        <w:rPr>
          <w:rFonts w:ascii="宋体" w:hAnsi="宋体"/>
          <w:spacing w:val="6"/>
          <w:sz w:val="24"/>
        </w:rPr>
      </w:pPr>
      <w:r>
        <w:rPr>
          <w:rFonts w:hint="eastAsia" w:ascii="宋体" w:hAnsi="宋体"/>
          <w:spacing w:val="6"/>
          <w:sz w:val="24"/>
        </w:rPr>
        <w:br w:type="page"/>
      </w:r>
      <w:r>
        <w:rPr>
          <w:rFonts w:hint="eastAsia" w:ascii="宋体" w:hAnsi="宋体"/>
          <w:spacing w:val="6"/>
          <w:sz w:val="24"/>
        </w:rPr>
        <w:t>附件2</w:t>
      </w:r>
    </w:p>
    <w:p>
      <w:pPr>
        <w:spacing w:line="588" w:lineRule="exact"/>
        <w:jc w:val="center"/>
        <w:rPr>
          <w:rFonts w:ascii="宋体" w:hAnsi="宋体"/>
          <w:b/>
          <w:spacing w:val="6"/>
          <w:sz w:val="32"/>
          <w:szCs w:val="32"/>
        </w:rPr>
      </w:pPr>
      <w:bookmarkStart w:id="43" w:name="OLE_LINK14"/>
      <w:r>
        <w:rPr>
          <w:rFonts w:hint="eastAsia" w:ascii="宋体" w:hAnsi="宋体"/>
          <w:b/>
          <w:spacing w:val="6"/>
          <w:sz w:val="24"/>
        </w:rPr>
        <w:t>残疾人福利性单位声明函</w:t>
      </w:r>
    </w:p>
    <w:bookmarkEnd w:id="43"/>
    <w:p>
      <w:pPr>
        <w:spacing w:line="588" w:lineRule="exact"/>
        <w:rPr>
          <w:rFonts w:ascii="仿宋_GB2312" w:eastAsia="仿宋_GB2312"/>
          <w:b/>
          <w:spacing w:val="6"/>
          <w:sz w:val="30"/>
          <w:szCs w:val="30"/>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144</w:t>
      </w:r>
      <w:r>
        <w:rPr>
          <w:rFonts w:hint="eastAsia" w:ascii="宋体" w:hAnsi="宋体"/>
          <w:spacing w:val="6"/>
          <w:sz w:val="24"/>
        </w:rPr>
        <w:t>号）的规定，本单位为符合条件的残疾人福利性单位，且本单位参加</w:t>
      </w:r>
      <w:r>
        <w:rPr>
          <w:rFonts w:hint="eastAsia" w:ascii="宋体" w:hAnsi="宋体"/>
          <w:spacing w:val="6"/>
          <w:sz w:val="24"/>
          <w:u w:val="single"/>
          <w:lang w:val="en-US" w:eastAsia="zh-CN"/>
        </w:rPr>
        <w:t xml:space="preserve">        </w:t>
      </w:r>
      <w:r>
        <w:rPr>
          <w:rFonts w:hint="eastAsia" w:ascii="宋体" w:hAnsi="宋体"/>
          <w:spacing w:val="6"/>
          <w:sz w:val="24"/>
        </w:rPr>
        <w:t>单位的</w:t>
      </w:r>
      <w:r>
        <w:rPr>
          <w:rFonts w:hint="eastAsia" w:ascii="宋体" w:hAnsi="宋体"/>
          <w:spacing w:val="6"/>
          <w:sz w:val="24"/>
          <w:u w:val="single"/>
          <w:lang w:val="en-US" w:eastAsia="zh-CN"/>
        </w:rPr>
        <w:t xml:space="preserve">      </w:t>
      </w:r>
      <w:r>
        <w:rPr>
          <w:rFonts w:hint="eastAsia" w:ascii="宋体" w:hAnsi="宋体"/>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588" w:lineRule="exact"/>
        <w:ind w:firstLine="504" w:firstLineChars="200"/>
        <w:rPr>
          <w:rFonts w:ascii="宋体" w:hAnsi="宋体"/>
          <w:spacing w:val="6"/>
          <w:sz w:val="24"/>
        </w:rPr>
      </w:pPr>
      <w:r>
        <w:rPr>
          <w:rFonts w:hint="eastAsia" w:ascii="宋体" w:hAnsi="宋体"/>
          <w:spacing w:val="6"/>
          <w:sz w:val="24"/>
        </w:rPr>
        <w:t>注：如不满足此项可不提供此页。</w:t>
      </w:r>
    </w:p>
    <w:p>
      <w:pPr>
        <w:spacing w:line="588" w:lineRule="exact"/>
        <w:ind w:firstLine="504" w:firstLineChars="200"/>
        <w:rPr>
          <w:rFonts w:ascii="宋体" w:hAnsi="宋体"/>
          <w:spacing w:val="6"/>
          <w:sz w:val="24"/>
        </w:rPr>
      </w:pPr>
    </w:p>
    <w:p>
      <w:pPr>
        <w:widowControl/>
        <w:shd w:val="clear" w:color="auto" w:fill="FFFFFF"/>
        <w:spacing w:before="100" w:beforeAutospacing="1" w:after="100" w:afterAutospacing="1" w:line="480" w:lineRule="auto"/>
        <w:ind w:left="4410" w:leftChars="2100" w:firstLine="566" w:firstLineChars="236"/>
        <w:jc w:val="left"/>
        <w:rPr>
          <w:rFonts w:ascii="宋体" w:hAnsi="宋体" w:cs="宋体"/>
          <w:color w:val="000000"/>
          <w:kern w:val="0"/>
          <w:sz w:val="24"/>
        </w:rPr>
      </w:pPr>
      <w:r>
        <w:rPr>
          <w:rFonts w:hint="eastAsia" w:ascii="宋体" w:hAnsi="宋体" w:cs="宋体"/>
          <w:color w:val="000000"/>
          <w:kern w:val="0"/>
          <w:sz w:val="24"/>
        </w:rPr>
        <w:t>单位名称（盖章）：</w:t>
      </w:r>
    </w:p>
    <w:p>
      <w:pPr>
        <w:widowControl/>
        <w:shd w:val="clear" w:color="auto" w:fill="FFFFFF"/>
        <w:spacing w:before="100" w:beforeAutospacing="1" w:after="100" w:afterAutospacing="1" w:line="480" w:lineRule="auto"/>
        <w:ind w:left="4410" w:leftChars="2100" w:firstLine="566" w:firstLineChars="236"/>
        <w:jc w:val="left"/>
        <w:rPr>
          <w:rFonts w:ascii="宋体" w:hAnsi="宋体" w:cs="宋体"/>
          <w:color w:val="000000"/>
          <w:kern w:val="0"/>
          <w:sz w:val="24"/>
        </w:rPr>
      </w:pPr>
      <w:r>
        <w:rPr>
          <w:rFonts w:hint="eastAsia" w:ascii="宋体" w:hAnsi="宋体" w:cs="宋体"/>
          <w:color w:val="000000"/>
          <w:kern w:val="0"/>
          <w:sz w:val="24"/>
        </w:rPr>
        <w:t>日  期：</w:t>
      </w:r>
    </w:p>
    <w:p>
      <w:pPr>
        <w:jc w:val="center"/>
        <w:rPr>
          <w:rFonts w:hint="eastAsia" w:ascii="宋体" w:hAnsi="宋体"/>
          <w:b/>
          <w:sz w:val="30"/>
          <w:szCs w:val="30"/>
        </w:rPr>
      </w:pPr>
    </w:p>
    <w:p>
      <w:pPr>
        <w:jc w:val="center"/>
        <w:rPr>
          <w:rFonts w:hint="eastAsia" w:ascii="宋体" w:hAnsi="宋体"/>
          <w:b/>
          <w:sz w:val="30"/>
          <w:szCs w:val="30"/>
        </w:rPr>
      </w:pPr>
    </w:p>
    <w:p>
      <w:pPr>
        <w:rPr>
          <w:rFonts w:hint="eastAsia" w:ascii="宋体" w:hAnsi="宋体"/>
          <w:sz w:val="24"/>
        </w:rPr>
      </w:pPr>
      <w:bookmarkStart w:id="44" w:name="OLE_LINK13"/>
    </w:p>
    <w:p>
      <w:pPr>
        <w:jc w:val="left"/>
        <w:rPr>
          <w:rFonts w:ascii="宋体" w:hAnsi="宋体"/>
          <w:b/>
          <w:sz w:val="24"/>
        </w:rPr>
      </w:pPr>
      <w:r>
        <w:rPr>
          <w:rFonts w:hint="eastAsia" w:ascii="宋体" w:hAnsi="宋体"/>
          <w:spacing w:val="6"/>
          <w:sz w:val="24"/>
        </w:rPr>
        <w:br w:type="page"/>
      </w:r>
      <w:r>
        <w:rPr>
          <w:rFonts w:hint="eastAsia" w:ascii="宋体" w:hAnsi="宋体"/>
          <w:spacing w:val="6"/>
          <w:sz w:val="24"/>
        </w:rPr>
        <w:t>附件3</w:t>
      </w:r>
    </w:p>
    <w:p>
      <w:pPr>
        <w:spacing w:line="588" w:lineRule="exact"/>
        <w:jc w:val="center"/>
        <w:rPr>
          <w:rFonts w:ascii="宋体" w:hAnsi="宋体"/>
          <w:b/>
          <w:spacing w:val="6"/>
          <w:sz w:val="32"/>
          <w:szCs w:val="32"/>
        </w:rPr>
      </w:pPr>
      <w:r>
        <w:rPr>
          <w:rFonts w:hint="eastAsia" w:ascii="宋体" w:hAnsi="宋体"/>
          <w:b/>
          <w:spacing w:val="6"/>
          <w:sz w:val="24"/>
        </w:rPr>
        <w:t>监狱企业单位声明函</w:t>
      </w:r>
    </w:p>
    <w:bookmarkEnd w:id="44"/>
    <w:p>
      <w:pPr>
        <w:spacing w:line="588" w:lineRule="exact"/>
        <w:rPr>
          <w:rFonts w:ascii="仿宋_GB2312" w:eastAsia="仿宋_GB2312"/>
          <w:b/>
          <w:spacing w:val="6"/>
          <w:sz w:val="30"/>
          <w:szCs w:val="30"/>
        </w:rPr>
      </w:pPr>
    </w:p>
    <w:p>
      <w:pPr>
        <w:widowControl/>
        <w:shd w:val="clear" w:color="auto" w:fill="FFFFFF"/>
        <w:spacing w:before="100" w:beforeAutospacing="1" w:after="100" w:afterAutospacing="1" w:line="480" w:lineRule="auto"/>
        <w:ind w:firstLine="566" w:firstLineChars="236"/>
        <w:jc w:val="left"/>
        <w:rPr>
          <w:rFonts w:ascii="宋体" w:hAnsi="宋体" w:cs="宋体"/>
          <w:color w:val="000000"/>
          <w:kern w:val="0"/>
          <w:sz w:val="24"/>
        </w:rPr>
      </w:pPr>
      <w:r>
        <w:rPr>
          <w:rFonts w:hint="eastAsia" w:ascii="宋体" w:hAnsi="宋体" w:cs="宋体"/>
          <w:color w:val="000000"/>
          <w:kern w:val="0"/>
          <w:sz w:val="24"/>
        </w:rPr>
        <w:t>本单位郑重声明，根据《财政部司法部关于政府采购支持监狱企业发展有关问题的通知》（财库〔2014〕 68号）的规定，本单位为符合条件的监狱企业单位，且本单位参加______单位的______项目采购活动提供本单位制造的货物（由本单位承担工程/提供服务），或者提供其非他监狱企业单位制造的货物（不包括使用非监狱企业单位注册商标的货物）。</w:t>
      </w:r>
    </w:p>
    <w:p>
      <w:pPr>
        <w:widowControl/>
        <w:shd w:val="clear" w:color="auto" w:fill="FFFFFF"/>
        <w:spacing w:before="100" w:beforeAutospacing="1" w:after="100" w:afterAutospacing="1" w:line="480" w:lineRule="auto"/>
        <w:ind w:firstLine="566" w:firstLineChars="236"/>
        <w:jc w:val="left"/>
        <w:rPr>
          <w:rFonts w:ascii="宋体" w:hAnsi="宋体" w:cs="宋体"/>
          <w:color w:val="000000"/>
          <w:kern w:val="0"/>
          <w:sz w:val="24"/>
        </w:rPr>
      </w:pPr>
      <w:r>
        <w:rPr>
          <w:rFonts w:hint="eastAsia" w:ascii="宋体" w:hAnsi="宋体" w:cs="宋体"/>
          <w:color w:val="000000"/>
          <w:kern w:val="0"/>
          <w:sz w:val="24"/>
        </w:rPr>
        <w:t>本单位对上述声明的真实性负责。如有虚假，将依法承担相应责任。</w:t>
      </w:r>
    </w:p>
    <w:p>
      <w:pPr>
        <w:pStyle w:val="3"/>
        <w:rPr>
          <w:rFonts w:hint="eastAsia" w:eastAsia="宋体"/>
          <w:lang w:eastAsia="zh-CN"/>
        </w:rPr>
      </w:pPr>
      <w:r>
        <w:rPr>
          <w:rFonts w:hint="eastAsia" w:ascii="宋体" w:hAnsi="宋体" w:cs="宋体"/>
          <w:color w:val="000000"/>
          <w:kern w:val="0"/>
          <w:sz w:val="24"/>
          <w:lang w:eastAsia="zh-CN"/>
        </w:rPr>
        <w:t>注：如不满足此项可不提供此页。</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shd w:val="clear" w:color="auto" w:fill="FFFFFF"/>
        <w:spacing w:before="100" w:beforeAutospacing="1" w:after="100" w:afterAutospacing="1" w:line="480" w:lineRule="auto"/>
        <w:ind w:left="4410" w:leftChars="2100" w:firstLine="566" w:firstLineChars="236"/>
        <w:jc w:val="left"/>
        <w:rPr>
          <w:rFonts w:ascii="宋体" w:hAnsi="宋体" w:cs="宋体"/>
          <w:color w:val="000000"/>
          <w:kern w:val="0"/>
          <w:sz w:val="24"/>
        </w:rPr>
      </w:pPr>
      <w:r>
        <w:rPr>
          <w:rFonts w:hint="eastAsia" w:ascii="宋体" w:hAnsi="宋体" w:cs="宋体"/>
          <w:color w:val="000000"/>
          <w:kern w:val="0"/>
          <w:sz w:val="24"/>
        </w:rPr>
        <w:t>单位名称（盖章）：</w:t>
      </w:r>
    </w:p>
    <w:p>
      <w:pPr>
        <w:widowControl/>
        <w:shd w:val="clear" w:color="auto" w:fill="FFFFFF"/>
        <w:spacing w:before="100" w:beforeAutospacing="1" w:after="100" w:afterAutospacing="1" w:line="480" w:lineRule="auto"/>
        <w:ind w:left="4410" w:leftChars="2100" w:firstLine="566" w:firstLineChars="236"/>
        <w:jc w:val="left"/>
        <w:rPr>
          <w:rFonts w:hint="eastAsia" w:ascii="宋体" w:hAnsi="宋体" w:cs="宋体"/>
          <w:color w:val="000000"/>
          <w:kern w:val="0"/>
          <w:sz w:val="24"/>
        </w:rPr>
        <w:sectPr>
          <w:pgSz w:w="11906" w:h="16838"/>
          <w:pgMar w:top="1418" w:right="1247" w:bottom="1418" w:left="1247" w:header="851" w:footer="992" w:gutter="0"/>
          <w:cols w:space="720" w:num="1"/>
          <w:docGrid w:type="lines" w:linePitch="312" w:charSpace="0"/>
        </w:sectPr>
      </w:pPr>
      <w:r>
        <w:rPr>
          <w:rFonts w:hint="eastAsia" w:ascii="宋体" w:hAnsi="宋体" w:cs="宋体"/>
          <w:color w:val="000000"/>
          <w:kern w:val="0"/>
          <w:sz w:val="24"/>
        </w:rPr>
        <w:t>日  期：</w:t>
      </w:r>
    </w:p>
    <w:p>
      <w:pPr>
        <w:spacing w:line="588" w:lineRule="exact"/>
        <w:rPr>
          <w:rFonts w:hint="eastAsia" w:ascii="宋体" w:hAnsi="宋体" w:eastAsia="宋体" w:cs="Times New Roman"/>
          <w:spacing w:val="6"/>
          <w:sz w:val="24"/>
        </w:rPr>
      </w:pPr>
      <w:r>
        <w:rPr>
          <w:rFonts w:hint="eastAsia" w:ascii="宋体" w:hAnsi="宋体" w:eastAsia="宋体" w:cs="Times New Roman"/>
          <w:spacing w:val="6"/>
          <w:sz w:val="24"/>
        </w:rPr>
        <w:t>附件</w:t>
      </w:r>
      <w:r>
        <w:rPr>
          <w:rFonts w:hint="eastAsia" w:ascii="宋体" w:hAnsi="宋体" w:eastAsia="宋体" w:cs="Times New Roman"/>
          <w:spacing w:val="6"/>
          <w:sz w:val="24"/>
          <w:lang w:val="en-US" w:eastAsia="zh-CN"/>
        </w:rPr>
        <w:t>4</w:t>
      </w:r>
      <w:r>
        <w:rPr>
          <w:rFonts w:hint="eastAsia" w:ascii="宋体" w:hAnsi="宋体" w:eastAsia="宋体" w:cs="Times New Roman"/>
          <w:spacing w:val="6"/>
          <w:sz w:val="24"/>
        </w:rPr>
        <w:t>：</w:t>
      </w:r>
    </w:p>
    <w:p>
      <w:pPr>
        <w:spacing w:line="360" w:lineRule="auto"/>
        <w:jc w:val="center"/>
        <w:rPr>
          <w:rFonts w:hint="eastAsia" w:ascii="宋体" w:hAnsi="宋体"/>
          <w:color w:val="auto"/>
          <w:sz w:val="30"/>
          <w:szCs w:val="30"/>
          <w:highlight w:val="none"/>
        </w:rPr>
      </w:pPr>
      <w:r>
        <w:rPr>
          <w:rFonts w:ascii="宋体" w:hAnsi="宋体"/>
          <w:b/>
          <w:bCs/>
          <w:color w:val="auto"/>
          <w:sz w:val="30"/>
          <w:szCs w:val="30"/>
          <w:highlight w:val="none"/>
        </w:rPr>
        <w:tab/>
      </w:r>
      <w:r>
        <w:rPr>
          <w:rFonts w:hint="eastAsia" w:ascii="宋体" w:hAnsi="宋体" w:eastAsia="宋体" w:cs="Times New Roman"/>
          <w:b/>
          <w:spacing w:val="6"/>
          <w:sz w:val="24"/>
        </w:rPr>
        <w:t>节能环保、环境标志产品明细表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07"/>
        <w:gridCol w:w="1130"/>
        <w:gridCol w:w="1160"/>
        <w:gridCol w:w="996"/>
        <w:gridCol w:w="1220"/>
        <w:gridCol w:w="818"/>
        <w:gridCol w:w="864"/>
        <w:gridCol w:w="863"/>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19"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007"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产品</w:t>
            </w:r>
          </w:p>
          <w:p>
            <w:pPr>
              <w:jc w:val="center"/>
              <w:rPr>
                <w:rFonts w:hint="eastAsia" w:ascii="宋体" w:hAnsi="宋体"/>
                <w:color w:val="auto"/>
                <w:sz w:val="24"/>
                <w:szCs w:val="24"/>
                <w:highlight w:val="none"/>
              </w:rPr>
            </w:pPr>
            <w:r>
              <w:rPr>
                <w:rFonts w:hint="eastAsia" w:ascii="宋体" w:hAnsi="宋体"/>
                <w:color w:val="auto"/>
                <w:sz w:val="24"/>
                <w:szCs w:val="24"/>
                <w:highlight w:val="none"/>
              </w:rPr>
              <w:t>名称</w:t>
            </w:r>
          </w:p>
        </w:tc>
        <w:tc>
          <w:tcPr>
            <w:tcW w:w="1130"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制造厂家</w:t>
            </w:r>
          </w:p>
        </w:tc>
        <w:tc>
          <w:tcPr>
            <w:tcW w:w="1160"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规格</w:t>
            </w:r>
          </w:p>
          <w:p>
            <w:pPr>
              <w:jc w:val="center"/>
              <w:rPr>
                <w:rFonts w:hint="eastAsia" w:ascii="宋体" w:hAnsi="宋体"/>
                <w:color w:val="auto"/>
                <w:sz w:val="24"/>
                <w:szCs w:val="24"/>
                <w:highlight w:val="none"/>
              </w:rPr>
            </w:pPr>
            <w:r>
              <w:rPr>
                <w:rFonts w:hint="eastAsia" w:ascii="宋体" w:hAnsi="宋体"/>
                <w:color w:val="auto"/>
                <w:sz w:val="24"/>
                <w:szCs w:val="24"/>
                <w:highlight w:val="none"/>
              </w:rPr>
              <w:t>型号</w:t>
            </w:r>
          </w:p>
        </w:tc>
        <w:tc>
          <w:tcPr>
            <w:tcW w:w="996"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类别</w:t>
            </w:r>
          </w:p>
        </w:tc>
        <w:tc>
          <w:tcPr>
            <w:tcW w:w="1220"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认证证书编号</w:t>
            </w:r>
          </w:p>
        </w:tc>
        <w:tc>
          <w:tcPr>
            <w:tcW w:w="818"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数量</w:t>
            </w:r>
          </w:p>
        </w:tc>
        <w:tc>
          <w:tcPr>
            <w:tcW w:w="864"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单价</w:t>
            </w:r>
          </w:p>
        </w:tc>
        <w:tc>
          <w:tcPr>
            <w:tcW w:w="863"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总价</w:t>
            </w:r>
          </w:p>
        </w:tc>
        <w:tc>
          <w:tcPr>
            <w:tcW w:w="719"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19" w:type="dxa"/>
            <w:noWrap w:val="0"/>
            <w:vAlign w:val="top"/>
          </w:tcPr>
          <w:p>
            <w:pPr>
              <w:spacing w:line="360" w:lineRule="auto"/>
              <w:rPr>
                <w:rFonts w:hint="eastAsia" w:ascii="宋体" w:hAnsi="宋体"/>
                <w:color w:val="auto"/>
                <w:sz w:val="24"/>
                <w:szCs w:val="24"/>
                <w:highlight w:val="none"/>
              </w:rPr>
            </w:pPr>
          </w:p>
        </w:tc>
        <w:tc>
          <w:tcPr>
            <w:tcW w:w="1007" w:type="dxa"/>
            <w:noWrap w:val="0"/>
            <w:vAlign w:val="top"/>
          </w:tcPr>
          <w:p>
            <w:pPr>
              <w:spacing w:line="360" w:lineRule="auto"/>
              <w:rPr>
                <w:rFonts w:hint="eastAsia" w:ascii="宋体" w:hAnsi="宋体"/>
                <w:color w:val="auto"/>
                <w:sz w:val="24"/>
                <w:szCs w:val="24"/>
                <w:highlight w:val="none"/>
              </w:rPr>
            </w:pPr>
          </w:p>
        </w:tc>
        <w:tc>
          <w:tcPr>
            <w:tcW w:w="1130" w:type="dxa"/>
            <w:noWrap w:val="0"/>
            <w:vAlign w:val="top"/>
          </w:tcPr>
          <w:p>
            <w:pPr>
              <w:spacing w:line="360" w:lineRule="auto"/>
              <w:rPr>
                <w:rFonts w:hint="eastAsia" w:ascii="宋体" w:hAnsi="宋体"/>
                <w:color w:val="auto"/>
                <w:sz w:val="24"/>
                <w:szCs w:val="24"/>
                <w:highlight w:val="none"/>
              </w:rPr>
            </w:pPr>
          </w:p>
        </w:tc>
        <w:tc>
          <w:tcPr>
            <w:tcW w:w="1160" w:type="dxa"/>
            <w:noWrap w:val="0"/>
            <w:vAlign w:val="top"/>
          </w:tcPr>
          <w:p>
            <w:pPr>
              <w:spacing w:line="360" w:lineRule="auto"/>
              <w:rPr>
                <w:rFonts w:hint="eastAsia" w:ascii="宋体" w:hAnsi="宋体"/>
                <w:color w:val="auto"/>
                <w:sz w:val="24"/>
                <w:szCs w:val="24"/>
                <w:highlight w:val="none"/>
              </w:rPr>
            </w:pPr>
          </w:p>
        </w:tc>
        <w:tc>
          <w:tcPr>
            <w:tcW w:w="996" w:type="dxa"/>
            <w:noWrap w:val="0"/>
            <w:vAlign w:val="top"/>
          </w:tcPr>
          <w:p>
            <w:pPr>
              <w:spacing w:line="360" w:lineRule="auto"/>
              <w:rPr>
                <w:rFonts w:hint="eastAsia" w:ascii="宋体" w:hAnsi="宋体"/>
                <w:color w:val="auto"/>
                <w:sz w:val="24"/>
                <w:szCs w:val="24"/>
                <w:highlight w:val="none"/>
              </w:rPr>
            </w:pPr>
          </w:p>
        </w:tc>
        <w:tc>
          <w:tcPr>
            <w:tcW w:w="1220" w:type="dxa"/>
            <w:noWrap w:val="0"/>
            <w:vAlign w:val="top"/>
          </w:tcPr>
          <w:p>
            <w:pPr>
              <w:spacing w:line="360" w:lineRule="auto"/>
              <w:rPr>
                <w:rFonts w:hint="eastAsia" w:ascii="宋体" w:hAnsi="宋体"/>
                <w:color w:val="auto"/>
                <w:sz w:val="24"/>
                <w:szCs w:val="24"/>
                <w:highlight w:val="none"/>
              </w:rPr>
            </w:pPr>
          </w:p>
        </w:tc>
        <w:tc>
          <w:tcPr>
            <w:tcW w:w="818" w:type="dxa"/>
            <w:noWrap w:val="0"/>
            <w:vAlign w:val="top"/>
          </w:tcPr>
          <w:p>
            <w:pPr>
              <w:spacing w:line="360" w:lineRule="auto"/>
              <w:rPr>
                <w:rFonts w:hint="eastAsia" w:ascii="宋体" w:hAnsi="宋体"/>
                <w:color w:val="auto"/>
                <w:sz w:val="24"/>
                <w:szCs w:val="24"/>
                <w:highlight w:val="none"/>
              </w:rPr>
            </w:pPr>
          </w:p>
        </w:tc>
        <w:tc>
          <w:tcPr>
            <w:tcW w:w="864" w:type="dxa"/>
            <w:noWrap w:val="0"/>
            <w:vAlign w:val="top"/>
          </w:tcPr>
          <w:p>
            <w:pPr>
              <w:spacing w:line="360" w:lineRule="auto"/>
              <w:rPr>
                <w:rFonts w:hint="eastAsia" w:ascii="宋体" w:hAnsi="宋体"/>
                <w:color w:val="auto"/>
                <w:sz w:val="24"/>
                <w:szCs w:val="24"/>
                <w:highlight w:val="none"/>
              </w:rPr>
            </w:pPr>
          </w:p>
        </w:tc>
        <w:tc>
          <w:tcPr>
            <w:tcW w:w="863" w:type="dxa"/>
            <w:noWrap w:val="0"/>
            <w:vAlign w:val="top"/>
          </w:tcPr>
          <w:p>
            <w:pPr>
              <w:spacing w:line="360" w:lineRule="auto"/>
              <w:rPr>
                <w:rFonts w:hint="eastAsia" w:ascii="宋体" w:hAnsi="宋体"/>
                <w:color w:val="auto"/>
                <w:sz w:val="24"/>
                <w:szCs w:val="24"/>
                <w:highlight w:val="none"/>
              </w:rPr>
            </w:pPr>
          </w:p>
        </w:tc>
        <w:tc>
          <w:tcPr>
            <w:tcW w:w="719" w:type="dxa"/>
            <w:noWrap w:val="0"/>
            <w:vAlign w:val="top"/>
          </w:tcPr>
          <w:p>
            <w:pPr>
              <w:spacing w:line="360" w:lineRule="auto"/>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19" w:type="dxa"/>
            <w:noWrap w:val="0"/>
            <w:vAlign w:val="top"/>
          </w:tcPr>
          <w:p>
            <w:pPr>
              <w:spacing w:line="360" w:lineRule="auto"/>
              <w:rPr>
                <w:rFonts w:hint="eastAsia" w:ascii="宋体" w:hAnsi="宋体"/>
                <w:color w:val="auto"/>
                <w:sz w:val="24"/>
                <w:szCs w:val="24"/>
                <w:highlight w:val="none"/>
              </w:rPr>
            </w:pPr>
          </w:p>
        </w:tc>
        <w:tc>
          <w:tcPr>
            <w:tcW w:w="1007" w:type="dxa"/>
            <w:noWrap w:val="0"/>
            <w:vAlign w:val="top"/>
          </w:tcPr>
          <w:p>
            <w:pPr>
              <w:spacing w:line="360" w:lineRule="auto"/>
              <w:rPr>
                <w:rFonts w:hint="eastAsia" w:ascii="宋体" w:hAnsi="宋体"/>
                <w:color w:val="auto"/>
                <w:sz w:val="24"/>
                <w:szCs w:val="24"/>
                <w:highlight w:val="none"/>
              </w:rPr>
            </w:pPr>
          </w:p>
        </w:tc>
        <w:tc>
          <w:tcPr>
            <w:tcW w:w="1130" w:type="dxa"/>
            <w:noWrap w:val="0"/>
            <w:vAlign w:val="top"/>
          </w:tcPr>
          <w:p>
            <w:pPr>
              <w:spacing w:line="360" w:lineRule="auto"/>
              <w:rPr>
                <w:rFonts w:hint="eastAsia" w:ascii="宋体" w:hAnsi="宋体"/>
                <w:color w:val="auto"/>
                <w:sz w:val="24"/>
                <w:szCs w:val="24"/>
                <w:highlight w:val="none"/>
              </w:rPr>
            </w:pPr>
          </w:p>
        </w:tc>
        <w:tc>
          <w:tcPr>
            <w:tcW w:w="1160" w:type="dxa"/>
            <w:noWrap w:val="0"/>
            <w:vAlign w:val="top"/>
          </w:tcPr>
          <w:p>
            <w:pPr>
              <w:spacing w:line="360" w:lineRule="auto"/>
              <w:rPr>
                <w:rFonts w:hint="eastAsia" w:ascii="宋体" w:hAnsi="宋体"/>
                <w:color w:val="auto"/>
                <w:sz w:val="24"/>
                <w:szCs w:val="24"/>
                <w:highlight w:val="none"/>
              </w:rPr>
            </w:pPr>
          </w:p>
        </w:tc>
        <w:tc>
          <w:tcPr>
            <w:tcW w:w="996" w:type="dxa"/>
            <w:noWrap w:val="0"/>
            <w:vAlign w:val="top"/>
          </w:tcPr>
          <w:p>
            <w:pPr>
              <w:spacing w:line="360" w:lineRule="auto"/>
              <w:rPr>
                <w:rFonts w:hint="eastAsia" w:ascii="宋体" w:hAnsi="宋体"/>
                <w:color w:val="auto"/>
                <w:sz w:val="24"/>
                <w:szCs w:val="24"/>
                <w:highlight w:val="none"/>
              </w:rPr>
            </w:pPr>
          </w:p>
        </w:tc>
        <w:tc>
          <w:tcPr>
            <w:tcW w:w="1220" w:type="dxa"/>
            <w:noWrap w:val="0"/>
            <w:vAlign w:val="top"/>
          </w:tcPr>
          <w:p>
            <w:pPr>
              <w:spacing w:line="360" w:lineRule="auto"/>
              <w:rPr>
                <w:rFonts w:hint="eastAsia" w:ascii="宋体" w:hAnsi="宋体"/>
                <w:color w:val="auto"/>
                <w:sz w:val="24"/>
                <w:szCs w:val="24"/>
                <w:highlight w:val="none"/>
              </w:rPr>
            </w:pPr>
          </w:p>
        </w:tc>
        <w:tc>
          <w:tcPr>
            <w:tcW w:w="818" w:type="dxa"/>
            <w:noWrap w:val="0"/>
            <w:vAlign w:val="top"/>
          </w:tcPr>
          <w:p>
            <w:pPr>
              <w:spacing w:line="360" w:lineRule="auto"/>
              <w:rPr>
                <w:rFonts w:hint="eastAsia" w:ascii="宋体" w:hAnsi="宋体"/>
                <w:color w:val="auto"/>
                <w:sz w:val="24"/>
                <w:szCs w:val="24"/>
                <w:highlight w:val="none"/>
              </w:rPr>
            </w:pPr>
          </w:p>
        </w:tc>
        <w:tc>
          <w:tcPr>
            <w:tcW w:w="864" w:type="dxa"/>
            <w:noWrap w:val="0"/>
            <w:vAlign w:val="top"/>
          </w:tcPr>
          <w:p>
            <w:pPr>
              <w:spacing w:line="360" w:lineRule="auto"/>
              <w:rPr>
                <w:rFonts w:hint="eastAsia" w:ascii="宋体" w:hAnsi="宋体"/>
                <w:color w:val="auto"/>
                <w:sz w:val="24"/>
                <w:szCs w:val="24"/>
                <w:highlight w:val="none"/>
              </w:rPr>
            </w:pPr>
          </w:p>
        </w:tc>
        <w:tc>
          <w:tcPr>
            <w:tcW w:w="863" w:type="dxa"/>
            <w:noWrap w:val="0"/>
            <w:vAlign w:val="top"/>
          </w:tcPr>
          <w:p>
            <w:pPr>
              <w:spacing w:line="360" w:lineRule="auto"/>
              <w:rPr>
                <w:rFonts w:hint="eastAsia" w:ascii="宋体" w:hAnsi="宋体"/>
                <w:color w:val="auto"/>
                <w:sz w:val="24"/>
                <w:szCs w:val="24"/>
                <w:highlight w:val="none"/>
              </w:rPr>
            </w:pPr>
          </w:p>
        </w:tc>
        <w:tc>
          <w:tcPr>
            <w:tcW w:w="719" w:type="dxa"/>
            <w:noWrap w:val="0"/>
            <w:vAlign w:val="top"/>
          </w:tcPr>
          <w:p>
            <w:pPr>
              <w:spacing w:line="360" w:lineRule="auto"/>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19" w:type="dxa"/>
            <w:noWrap w:val="0"/>
            <w:vAlign w:val="top"/>
          </w:tcPr>
          <w:p>
            <w:pPr>
              <w:spacing w:line="360" w:lineRule="auto"/>
              <w:rPr>
                <w:rFonts w:hint="eastAsia" w:ascii="宋体" w:hAnsi="宋体"/>
                <w:color w:val="auto"/>
                <w:sz w:val="24"/>
                <w:szCs w:val="24"/>
                <w:highlight w:val="none"/>
              </w:rPr>
            </w:pPr>
          </w:p>
        </w:tc>
        <w:tc>
          <w:tcPr>
            <w:tcW w:w="1007" w:type="dxa"/>
            <w:noWrap w:val="0"/>
            <w:vAlign w:val="top"/>
          </w:tcPr>
          <w:p>
            <w:pPr>
              <w:spacing w:line="360" w:lineRule="auto"/>
              <w:rPr>
                <w:rFonts w:hint="eastAsia" w:ascii="宋体" w:hAnsi="宋体"/>
                <w:color w:val="auto"/>
                <w:sz w:val="24"/>
                <w:szCs w:val="24"/>
                <w:highlight w:val="none"/>
              </w:rPr>
            </w:pPr>
          </w:p>
        </w:tc>
        <w:tc>
          <w:tcPr>
            <w:tcW w:w="1130" w:type="dxa"/>
            <w:noWrap w:val="0"/>
            <w:vAlign w:val="top"/>
          </w:tcPr>
          <w:p>
            <w:pPr>
              <w:spacing w:line="360" w:lineRule="auto"/>
              <w:rPr>
                <w:rFonts w:hint="eastAsia" w:ascii="宋体" w:hAnsi="宋体"/>
                <w:color w:val="auto"/>
                <w:sz w:val="24"/>
                <w:szCs w:val="24"/>
                <w:highlight w:val="none"/>
              </w:rPr>
            </w:pPr>
          </w:p>
        </w:tc>
        <w:tc>
          <w:tcPr>
            <w:tcW w:w="1160" w:type="dxa"/>
            <w:noWrap w:val="0"/>
            <w:vAlign w:val="top"/>
          </w:tcPr>
          <w:p>
            <w:pPr>
              <w:spacing w:line="360" w:lineRule="auto"/>
              <w:rPr>
                <w:rFonts w:hint="eastAsia" w:ascii="宋体" w:hAnsi="宋体"/>
                <w:color w:val="auto"/>
                <w:sz w:val="24"/>
                <w:szCs w:val="24"/>
                <w:highlight w:val="none"/>
              </w:rPr>
            </w:pPr>
          </w:p>
        </w:tc>
        <w:tc>
          <w:tcPr>
            <w:tcW w:w="996" w:type="dxa"/>
            <w:noWrap w:val="0"/>
            <w:vAlign w:val="top"/>
          </w:tcPr>
          <w:p>
            <w:pPr>
              <w:spacing w:line="360" w:lineRule="auto"/>
              <w:rPr>
                <w:rFonts w:hint="eastAsia" w:ascii="宋体" w:hAnsi="宋体"/>
                <w:color w:val="auto"/>
                <w:sz w:val="24"/>
                <w:szCs w:val="24"/>
                <w:highlight w:val="none"/>
              </w:rPr>
            </w:pPr>
          </w:p>
        </w:tc>
        <w:tc>
          <w:tcPr>
            <w:tcW w:w="1220" w:type="dxa"/>
            <w:noWrap w:val="0"/>
            <w:vAlign w:val="top"/>
          </w:tcPr>
          <w:p>
            <w:pPr>
              <w:spacing w:line="360" w:lineRule="auto"/>
              <w:rPr>
                <w:rFonts w:hint="eastAsia" w:ascii="宋体" w:hAnsi="宋体"/>
                <w:color w:val="auto"/>
                <w:sz w:val="24"/>
                <w:szCs w:val="24"/>
                <w:highlight w:val="none"/>
              </w:rPr>
            </w:pPr>
          </w:p>
        </w:tc>
        <w:tc>
          <w:tcPr>
            <w:tcW w:w="818" w:type="dxa"/>
            <w:noWrap w:val="0"/>
            <w:vAlign w:val="top"/>
          </w:tcPr>
          <w:p>
            <w:pPr>
              <w:spacing w:line="360" w:lineRule="auto"/>
              <w:rPr>
                <w:rFonts w:hint="eastAsia" w:ascii="宋体" w:hAnsi="宋体"/>
                <w:color w:val="auto"/>
                <w:sz w:val="24"/>
                <w:szCs w:val="24"/>
                <w:highlight w:val="none"/>
              </w:rPr>
            </w:pPr>
          </w:p>
        </w:tc>
        <w:tc>
          <w:tcPr>
            <w:tcW w:w="864" w:type="dxa"/>
            <w:noWrap w:val="0"/>
            <w:vAlign w:val="top"/>
          </w:tcPr>
          <w:p>
            <w:pPr>
              <w:spacing w:line="360" w:lineRule="auto"/>
              <w:rPr>
                <w:rFonts w:hint="eastAsia" w:ascii="宋体" w:hAnsi="宋体"/>
                <w:color w:val="auto"/>
                <w:sz w:val="24"/>
                <w:szCs w:val="24"/>
                <w:highlight w:val="none"/>
              </w:rPr>
            </w:pPr>
          </w:p>
        </w:tc>
        <w:tc>
          <w:tcPr>
            <w:tcW w:w="863" w:type="dxa"/>
            <w:noWrap w:val="0"/>
            <w:vAlign w:val="top"/>
          </w:tcPr>
          <w:p>
            <w:pPr>
              <w:spacing w:line="360" w:lineRule="auto"/>
              <w:rPr>
                <w:rFonts w:hint="eastAsia" w:ascii="宋体" w:hAnsi="宋体"/>
                <w:color w:val="auto"/>
                <w:sz w:val="24"/>
                <w:szCs w:val="24"/>
                <w:highlight w:val="none"/>
              </w:rPr>
            </w:pPr>
          </w:p>
        </w:tc>
        <w:tc>
          <w:tcPr>
            <w:tcW w:w="719" w:type="dxa"/>
            <w:noWrap w:val="0"/>
            <w:vAlign w:val="top"/>
          </w:tcPr>
          <w:p>
            <w:pPr>
              <w:spacing w:line="360" w:lineRule="auto"/>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719" w:type="dxa"/>
            <w:noWrap w:val="0"/>
            <w:vAlign w:val="top"/>
          </w:tcPr>
          <w:p>
            <w:pPr>
              <w:spacing w:line="360" w:lineRule="auto"/>
              <w:rPr>
                <w:rFonts w:hint="eastAsia" w:ascii="宋体" w:hAnsi="宋体"/>
                <w:color w:val="auto"/>
                <w:sz w:val="24"/>
                <w:szCs w:val="24"/>
                <w:highlight w:val="none"/>
              </w:rPr>
            </w:pPr>
          </w:p>
        </w:tc>
        <w:tc>
          <w:tcPr>
            <w:tcW w:w="1007" w:type="dxa"/>
            <w:noWrap w:val="0"/>
            <w:vAlign w:val="top"/>
          </w:tcPr>
          <w:p>
            <w:pPr>
              <w:spacing w:line="360" w:lineRule="auto"/>
              <w:rPr>
                <w:rFonts w:hint="eastAsia" w:ascii="宋体" w:hAnsi="宋体"/>
                <w:color w:val="auto"/>
                <w:sz w:val="24"/>
                <w:szCs w:val="24"/>
                <w:highlight w:val="none"/>
              </w:rPr>
            </w:pPr>
          </w:p>
        </w:tc>
        <w:tc>
          <w:tcPr>
            <w:tcW w:w="1130" w:type="dxa"/>
            <w:noWrap w:val="0"/>
            <w:vAlign w:val="top"/>
          </w:tcPr>
          <w:p>
            <w:pPr>
              <w:spacing w:line="360" w:lineRule="auto"/>
              <w:rPr>
                <w:rFonts w:hint="eastAsia" w:ascii="宋体" w:hAnsi="宋体"/>
                <w:color w:val="auto"/>
                <w:sz w:val="24"/>
                <w:szCs w:val="24"/>
                <w:highlight w:val="none"/>
              </w:rPr>
            </w:pPr>
          </w:p>
        </w:tc>
        <w:tc>
          <w:tcPr>
            <w:tcW w:w="1160" w:type="dxa"/>
            <w:noWrap w:val="0"/>
            <w:vAlign w:val="top"/>
          </w:tcPr>
          <w:p>
            <w:pPr>
              <w:spacing w:line="360" w:lineRule="auto"/>
              <w:rPr>
                <w:rFonts w:hint="eastAsia" w:ascii="宋体" w:hAnsi="宋体"/>
                <w:color w:val="auto"/>
                <w:sz w:val="24"/>
                <w:szCs w:val="24"/>
                <w:highlight w:val="none"/>
              </w:rPr>
            </w:pPr>
          </w:p>
        </w:tc>
        <w:tc>
          <w:tcPr>
            <w:tcW w:w="996" w:type="dxa"/>
            <w:noWrap w:val="0"/>
            <w:vAlign w:val="top"/>
          </w:tcPr>
          <w:p>
            <w:pPr>
              <w:spacing w:line="360" w:lineRule="auto"/>
              <w:rPr>
                <w:rFonts w:hint="eastAsia" w:ascii="宋体" w:hAnsi="宋体"/>
                <w:color w:val="auto"/>
                <w:sz w:val="24"/>
                <w:szCs w:val="24"/>
                <w:highlight w:val="none"/>
              </w:rPr>
            </w:pPr>
          </w:p>
        </w:tc>
        <w:tc>
          <w:tcPr>
            <w:tcW w:w="1220" w:type="dxa"/>
            <w:noWrap w:val="0"/>
            <w:vAlign w:val="top"/>
          </w:tcPr>
          <w:p>
            <w:pPr>
              <w:spacing w:line="360" w:lineRule="auto"/>
              <w:rPr>
                <w:rFonts w:hint="eastAsia" w:ascii="宋体" w:hAnsi="宋体"/>
                <w:color w:val="auto"/>
                <w:sz w:val="24"/>
                <w:szCs w:val="24"/>
                <w:highlight w:val="none"/>
              </w:rPr>
            </w:pPr>
          </w:p>
        </w:tc>
        <w:tc>
          <w:tcPr>
            <w:tcW w:w="818" w:type="dxa"/>
            <w:noWrap w:val="0"/>
            <w:vAlign w:val="top"/>
          </w:tcPr>
          <w:p>
            <w:pPr>
              <w:spacing w:line="360" w:lineRule="auto"/>
              <w:rPr>
                <w:rFonts w:hint="eastAsia" w:ascii="宋体" w:hAnsi="宋体"/>
                <w:color w:val="auto"/>
                <w:sz w:val="24"/>
                <w:szCs w:val="24"/>
                <w:highlight w:val="none"/>
              </w:rPr>
            </w:pPr>
          </w:p>
        </w:tc>
        <w:tc>
          <w:tcPr>
            <w:tcW w:w="864" w:type="dxa"/>
            <w:noWrap w:val="0"/>
            <w:vAlign w:val="top"/>
          </w:tcPr>
          <w:p>
            <w:pPr>
              <w:spacing w:line="360" w:lineRule="auto"/>
              <w:rPr>
                <w:rFonts w:hint="eastAsia" w:ascii="宋体" w:hAnsi="宋体"/>
                <w:color w:val="auto"/>
                <w:sz w:val="24"/>
                <w:szCs w:val="24"/>
                <w:highlight w:val="none"/>
              </w:rPr>
            </w:pPr>
          </w:p>
        </w:tc>
        <w:tc>
          <w:tcPr>
            <w:tcW w:w="863" w:type="dxa"/>
            <w:noWrap w:val="0"/>
            <w:vAlign w:val="top"/>
          </w:tcPr>
          <w:p>
            <w:pPr>
              <w:spacing w:line="360" w:lineRule="auto"/>
              <w:rPr>
                <w:rFonts w:hint="eastAsia" w:ascii="宋体" w:hAnsi="宋体"/>
                <w:color w:val="auto"/>
                <w:sz w:val="24"/>
                <w:szCs w:val="24"/>
                <w:highlight w:val="none"/>
              </w:rPr>
            </w:pPr>
          </w:p>
        </w:tc>
        <w:tc>
          <w:tcPr>
            <w:tcW w:w="719" w:type="dxa"/>
            <w:noWrap w:val="0"/>
            <w:vAlign w:val="top"/>
          </w:tcPr>
          <w:p>
            <w:pPr>
              <w:spacing w:line="360" w:lineRule="auto"/>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719" w:type="dxa"/>
            <w:noWrap w:val="0"/>
            <w:vAlign w:val="top"/>
          </w:tcPr>
          <w:p>
            <w:pPr>
              <w:spacing w:line="360" w:lineRule="auto"/>
              <w:rPr>
                <w:rFonts w:hint="eastAsia" w:ascii="宋体" w:hAnsi="宋体"/>
                <w:color w:val="auto"/>
                <w:sz w:val="24"/>
                <w:szCs w:val="24"/>
                <w:highlight w:val="none"/>
              </w:rPr>
            </w:pPr>
          </w:p>
        </w:tc>
        <w:tc>
          <w:tcPr>
            <w:tcW w:w="1007" w:type="dxa"/>
            <w:noWrap w:val="0"/>
            <w:vAlign w:val="top"/>
          </w:tcPr>
          <w:p>
            <w:pPr>
              <w:spacing w:line="360" w:lineRule="auto"/>
              <w:rPr>
                <w:rFonts w:hint="eastAsia" w:ascii="宋体" w:hAnsi="宋体"/>
                <w:color w:val="auto"/>
                <w:sz w:val="24"/>
                <w:szCs w:val="24"/>
                <w:highlight w:val="none"/>
              </w:rPr>
            </w:pPr>
          </w:p>
        </w:tc>
        <w:tc>
          <w:tcPr>
            <w:tcW w:w="1130" w:type="dxa"/>
            <w:noWrap w:val="0"/>
            <w:vAlign w:val="top"/>
          </w:tcPr>
          <w:p>
            <w:pPr>
              <w:spacing w:line="360" w:lineRule="auto"/>
              <w:rPr>
                <w:rFonts w:hint="eastAsia" w:ascii="宋体" w:hAnsi="宋体"/>
                <w:color w:val="auto"/>
                <w:sz w:val="24"/>
                <w:szCs w:val="24"/>
                <w:highlight w:val="none"/>
              </w:rPr>
            </w:pPr>
          </w:p>
        </w:tc>
        <w:tc>
          <w:tcPr>
            <w:tcW w:w="1160" w:type="dxa"/>
            <w:noWrap w:val="0"/>
            <w:vAlign w:val="top"/>
          </w:tcPr>
          <w:p>
            <w:pPr>
              <w:spacing w:line="360" w:lineRule="auto"/>
              <w:rPr>
                <w:rFonts w:hint="eastAsia" w:ascii="宋体" w:hAnsi="宋体"/>
                <w:color w:val="auto"/>
                <w:sz w:val="24"/>
                <w:szCs w:val="24"/>
                <w:highlight w:val="none"/>
              </w:rPr>
            </w:pPr>
          </w:p>
        </w:tc>
        <w:tc>
          <w:tcPr>
            <w:tcW w:w="996" w:type="dxa"/>
            <w:noWrap w:val="0"/>
            <w:vAlign w:val="top"/>
          </w:tcPr>
          <w:p>
            <w:pPr>
              <w:spacing w:line="360" w:lineRule="auto"/>
              <w:rPr>
                <w:rFonts w:hint="eastAsia" w:ascii="宋体" w:hAnsi="宋体"/>
                <w:color w:val="auto"/>
                <w:sz w:val="24"/>
                <w:szCs w:val="24"/>
                <w:highlight w:val="none"/>
              </w:rPr>
            </w:pPr>
          </w:p>
        </w:tc>
        <w:tc>
          <w:tcPr>
            <w:tcW w:w="1220" w:type="dxa"/>
            <w:noWrap w:val="0"/>
            <w:vAlign w:val="top"/>
          </w:tcPr>
          <w:p>
            <w:pPr>
              <w:spacing w:line="360" w:lineRule="auto"/>
              <w:rPr>
                <w:rFonts w:hint="eastAsia" w:ascii="宋体" w:hAnsi="宋体"/>
                <w:color w:val="auto"/>
                <w:sz w:val="24"/>
                <w:szCs w:val="24"/>
                <w:highlight w:val="none"/>
              </w:rPr>
            </w:pPr>
          </w:p>
        </w:tc>
        <w:tc>
          <w:tcPr>
            <w:tcW w:w="818" w:type="dxa"/>
            <w:noWrap w:val="0"/>
            <w:vAlign w:val="top"/>
          </w:tcPr>
          <w:p>
            <w:pPr>
              <w:spacing w:line="360" w:lineRule="auto"/>
              <w:rPr>
                <w:rFonts w:hint="eastAsia" w:ascii="宋体" w:hAnsi="宋体"/>
                <w:color w:val="auto"/>
                <w:sz w:val="24"/>
                <w:szCs w:val="24"/>
                <w:highlight w:val="none"/>
              </w:rPr>
            </w:pPr>
          </w:p>
        </w:tc>
        <w:tc>
          <w:tcPr>
            <w:tcW w:w="864" w:type="dxa"/>
            <w:noWrap w:val="0"/>
            <w:vAlign w:val="top"/>
          </w:tcPr>
          <w:p>
            <w:pPr>
              <w:spacing w:line="360" w:lineRule="auto"/>
              <w:rPr>
                <w:rFonts w:hint="eastAsia" w:ascii="宋体" w:hAnsi="宋体"/>
                <w:color w:val="auto"/>
                <w:sz w:val="24"/>
                <w:szCs w:val="24"/>
                <w:highlight w:val="none"/>
              </w:rPr>
            </w:pPr>
          </w:p>
        </w:tc>
        <w:tc>
          <w:tcPr>
            <w:tcW w:w="863" w:type="dxa"/>
            <w:noWrap w:val="0"/>
            <w:vAlign w:val="top"/>
          </w:tcPr>
          <w:p>
            <w:pPr>
              <w:spacing w:line="360" w:lineRule="auto"/>
              <w:rPr>
                <w:rFonts w:hint="eastAsia" w:ascii="宋体" w:hAnsi="宋体"/>
                <w:color w:val="auto"/>
                <w:sz w:val="24"/>
                <w:szCs w:val="24"/>
                <w:highlight w:val="none"/>
              </w:rPr>
            </w:pPr>
          </w:p>
        </w:tc>
        <w:tc>
          <w:tcPr>
            <w:tcW w:w="719" w:type="dxa"/>
            <w:noWrap w:val="0"/>
            <w:vAlign w:val="top"/>
          </w:tcPr>
          <w:p>
            <w:pPr>
              <w:spacing w:line="360" w:lineRule="auto"/>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719" w:type="dxa"/>
            <w:noWrap w:val="0"/>
            <w:vAlign w:val="top"/>
          </w:tcPr>
          <w:p>
            <w:pPr>
              <w:spacing w:line="360" w:lineRule="auto"/>
              <w:rPr>
                <w:rFonts w:hint="eastAsia" w:ascii="宋体" w:hAnsi="宋体"/>
                <w:color w:val="auto"/>
                <w:sz w:val="24"/>
                <w:szCs w:val="24"/>
                <w:highlight w:val="none"/>
              </w:rPr>
            </w:pPr>
          </w:p>
        </w:tc>
        <w:tc>
          <w:tcPr>
            <w:tcW w:w="1007" w:type="dxa"/>
            <w:noWrap w:val="0"/>
            <w:vAlign w:val="top"/>
          </w:tcPr>
          <w:p>
            <w:pPr>
              <w:spacing w:line="360" w:lineRule="auto"/>
              <w:rPr>
                <w:rFonts w:hint="eastAsia" w:ascii="宋体" w:hAnsi="宋体"/>
                <w:color w:val="auto"/>
                <w:sz w:val="24"/>
                <w:szCs w:val="24"/>
                <w:highlight w:val="none"/>
              </w:rPr>
            </w:pPr>
          </w:p>
        </w:tc>
        <w:tc>
          <w:tcPr>
            <w:tcW w:w="1130" w:type="dxa"/>
            <w:noWrap w:val="0"/>
            <w:vAlign w:val="top"/>
          </w:tcPr>
          <w:p>
            <w:pPr>
              <w:spacing w:line="360" w:lineRule="auto"/>
              <w:rPr>
                <w:rFonts w:hint="eastAsia" w:ascii="宋体" w:hAnsi="宋体"/>
                <w:color w:val="auto"/>
                <w:sz w:val="24"/>
                <w:szCs w:val="24"/>
                <w:highlight w:val="none"/>
              </w:rPr>
            </w:pPr>
          </w:p>
        </w:tc>
        <w:tc>
          <w:tcPr>
            <w:tcW w:w="1160" w:type="dxa"/>
            <w:noWrap w:val="0"/>
            <w:vAlign w:val="top"/>
          </w:tcPr>
          <w:p>
            <w:pPr>
              <w:spacing w:line="360" w:lineRule="auto"/>
              <w:rPr>
                <w:rFonts w:hint="eastAsia" w:ascii="宋体" w:hAnsi="宋体"/>
                <w:color w:val="auto"/>
                <w:sz w:val="24"/>
                <w:szCs w:val="24"/>
                <w:highlight w:val="none"/>
              </w:rPr>
            </w:pPr>
          </w:p>
        </w:tc>
        <w:tc>
          <w:tcPr>
            <w:tcW w:w="996" w:type="dxa"/>
            <w:noWrap w:val="0"/>
            <w:vAlign w:val="top"/>
          </w:tcPr>
          <w:p>
            <w:pPr>
              <w:spacing w:line="360" w:lineRule="auto"/>
              <w:rPr>
                <w:rFonts w:hint="eastAsia" w:ascii="宋体" w:hAnsi="宋体"/>
                <w:color w:val="auto"/>
                <w:sz w:val="24"/>
                <w:szCs w:val="24"/>
                <w:highlight w:val="none"/>
              </w:rPr>
            </w:pPr>
          </w:p>
        </w:tc>
        <w:tc>
          <w:tcPr>
            <w:tcW w:w="1220" w:type="dxa"/>
            <w:noWrap w:val="0"/>
            <w:vAlign w:val="top"/>
          </w:tcPr>
          <w:p>
            <w:pPr>
              <w:spacing w:line="360" w:lineRule="auto"/>
              <w:rPr>
                <w:rFonts w:hint="eastAsia" w:ascii="宋体" w:hAnsi="宋体"/>
                <w:color w:val="auto"/>
                <w:sz w:val="24"/>
                <w:szCs w:val="24"/>
                <w:highlight w:val="none"/>
              </w:rPr>
            </w:pPr>
          </w:p>
        </w:tc>
        <w:tc>
          <w:tcPr>
            <w:tcW w:w="818" w:type="dxa"/>
            <w:noWrap w:val="0"/>
            <w:vAlign w:val="top"/>
          </w:tcPr>
          <w:p>
            <w:pPr>
              <w:spacing w:line="360" w:lineRule="auto"/>
              <w:rPr>
                <w:rFonts w:hint="eastAsia" w:ascii="宋体" w:hAnsi="宋体"/>
                <w:color w:val="auto"/>
                <w:sz w:val="24"/>
                <w:szCs w:val="24"/>
                <w:highlight w:val="none"/>
              </w:rPr>
            </w:pPr>
          </w:p>
        </w:tc>
        <w:tc>
          <w:tcPr>
            <w:tcW w:w="864" w:type="dxa"/>
            <w:noWrap w:val="0"/>
            <w:vAlign w:val="top"/>
          </w:tcPr>
          <w:p>
            <w:pPr>
              <w:spacing w:line="360" w:lineRule="auto"/>
              <w:rPr>
                <w:rFonts w:hint="eastAsia" w:ascii="宋体" w:hAnsi="宋体"/>
                <w:color w:val="auto"/>
                <w:sz w:val="24"/>
                <w:szCs w:val="24"/>
                <w:highlight w:val="none"/>
              </w:rPr>
            </w:pPr>
          </w:p>
        </w:tc>
        <w:tc>
          <w:tcPr>
            <w:tcW w:w="863" w:type="dxa"/>
            <w:noWrap w:val="0"/>
            <w:vAlign w:val="top"/>
          </w:tcPr>
          <w:p>
            <w:pPr>
              <w:spacing w:line="360" w:lineRule="auto"/>
              <w:rPr>
                <w:rFonts w:hint="eastAsia" w:ascii="宋体" w:hAnsi="宋体"/>
                <w:color w:val="auto"/>
                <w:sz w:val="24"/>
                <w:szCs w:val="24"/>
                <w:highlight w:val="none"/>
              </w:rPr>
            </w:pPr>
          </w:p>
        </w:tc>
        <w:tc>
          <w:tcPr>
            <w:tcW w:w="719" w:type="dxa"/>
            <w:noWrap w:val="0"/>
            <w:vAlign w:val="top"/>
          </w:tcPr>
          <w:p>
            <w:pPr>
              <w:spacing w:line="360" w:lineRule="auto"/>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5012" w:type="dxa"/>
            <w:gridSpan w:val="5"/>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合计（人民币）</w:t>
            </w:r>
          </w:p>
        </w:tc>
        <w:tc>
          <w:tcPr>
            <w:tcW w:w="4484" w:type="dxa"/>
            <w:gridSpan w:val="5"/>
            <w:noWrap w:val="0"/>
            <w:vAlign w:val="top"/>
          </w:tcPr>
          <w:p>
            <w:pPr>
              <w:spacing w:line="360" w:lineRule="auto"/>
              <w:rPr>
                <w:rFonts w:hint="eastAsia" w:ascii="宋体" w:hAnsi="宋体"/>
                <w:color w:val="auto"/>
                <w:sz w:val="24"/>
                <w:szCs w:val="24"/>
                <w:highlight w:val="none"/>
              </w:rPr>
            </w:pPr>
          </w:p>
        </w:tc>
      </w:tr>
    </w:tbl>
    <w:p>
      <w:pPr>
        <w:spacing w:line="360" w:lineRule="auto"/>
        <w:rPr>
          <w:rFonts w:hint="eastAsia" w:ascii="宋体" w:hAnsi="宋体"/>
          <w:color w:val="auto"/>
          <w:sz w:val="24"/>
          <w:szCs w:val="24"/>
          <w:highlight w:val="none"/>
        </w:rPr>
      </w:pPr>
    </w:p>
    <w:p>
      <w:pPr>
        <w:spacing w:line="360" w:lineRule="auto"/>
        <w:jc w:val="right"/>
        <w:rPr>
          <w:rFonts w:hint="eastAsia" w:ascii="宋体" w:hAnsi="宋体"/>
          <w:color w:val="auto"/>
          <w:sz w:val="24"/>
          <w:szCs w:val="24"/>
          <w:highlight w:val="none"/>
        </w:rPr>
      </w:pPr>
    </w:p>
    <w:p>
      <w:pPr>
        <w:widowControl/>
        <w:shd w:val="clear" w:color="auto" w:fill="FFFFFF"/>
        <w:spacing w:before="100" w:beforeAutospacing="1" w:after="100" w:afterAutospacing="1" w:line="480" w:lineRule="auto"/>
        <w:ind w:left="4410" w:leftChars="2100" w:firstLine="566" w:firstLineChars="236"/>
        <w:jc w:val="left"/>
        <w:rPr>
          <w:rFonts w:ascii="宋体" w:hAnsi="宋体" w:cs="宋体"/>
          <w:color w:val="000000"/>
          <w:kern w:val="0"/>
          <w:sz w:val="24"/>
        </w:rPr>
      </w:pPr>
      <w:r>
        <w:rPr>
          <w:rFonts w:hint="eastAsia" w:ascii="宋体" w:hAnsi="宋体" w:cs="宋体"/>
          <w:color w:val="000000"/>
          <w:kern w:val="0"/>
          <w:sz w:val="24"/>
        </w:rPr>
        <w:t>单位名称（盖章）：</w:t>
      </w:r>
    </w:p>
    <w:p>
      <w:pPr>
        <w:widowControl/>
        <w:shd w:val="clear" w:color="auto" w:fill="FFFFFF"/>
        <w:spacing w:before="100" w:beforeAutospacing="1" w:after="100" w:afterAutospacing="1" w:line="480" w:lineRule="auto"/>
        <w:ind w:left="4410" w:leftChars="2100" w:firstLine="566" w:firstLineChars="236"/>
        <w:jc w:val="left"/>
        <w:rPr>
          <w:rFonts w:ascii="宋体" w:hAnsi="宋体" w:cs="宋体"/>
          <w:color w:val="000000"/>
          <w:kern w:val="0"/>
          <w:sz w:val="24"/>
        </w:rPr>
      </w:pPr>
      <w:r>
        <w:rPr>
          <w:rFonts w:hint="eastAsia" w:ascii="宋体" w:hAnsi="宋体" w:cs="宋体"/>
          <w:color w:val="000000"/>
          <w:kern w:val="0"/>
          <w:sz w:val="24"/>
        </w:rPr>
        <w:t>日  期：</w:t>
      </w:r>
    </w:p>
    <w:p>
      <w:pPr>
        <w:spacing w:line="360" w:lineRule="auto"/>
        <w:rPr>
          <w:rFonts w:hint="eastAsia" w:ascii="宋体" w:hAnsi="宋体"/>
          <w:b/>
          <w:color w:val="auto"/>
          <w:sz w:val="24"/>
          <w:szCs w:val="24"/>
          <w:highlight w:val="none"/>
        </w:rPr>
      </w:pPr>
      <w:r>
        <w:rPr>
          <w:rFonts w:hint="eastAsia" w:ascii="宋体" w:hAnsi="宋体"/>
          <w:color w:val="auto"/>
          <w:sz w:val="24"/>
          <w:szCs w:val="24"/>
          <w:highlight w:val="none"/>
        </w:rPr>
        <w:t>注：如不满足可不提供此页。</w:t>
      </w:r>
    </w:p>
    <w:p>
      <w:pPr>
        <w:spacing w:line="360" w:lineRule="auto"/>
        <w:rPr>
          <w:rFonts w:hint="eastAsia" w:ascii="宋体" w:hAnsi="宋体"/>
          <w:b/>
          <w:color w:val="auto"/>
          <w:sz w:val="24"/>
          <w:szCs w:val="24"/>
          <w:highlight w:val="none"/>
        </w:rPr>
      </w:pPr>
      <w:r>
        <w:rPr>
          <w:rFonts w:hint="eastAsia" w:ascii="宋体" w:hAnsi="宋体"/>
          <w:b/>
          <w:color w:val="auto"/>
          <w:sz w:val="24"/>
          <w:szCs w:val="24"/>
          <w:highlight w:val="none"/>
        </w:rPr>
        <w:t>注：</w:t>
      </w:r>
    </w:p>
    <w:p>
      <w:pPr>
        <w:spacing w:line="360" w:lineRule="auto"/>
        <w:rPr>
          <w:rFonts w:hint="eastAsia" w:ascii="宋体" w:hAnsi="宋体"/>
          <w:b/>
          <w:color w:val="auto"/>
          <w:sz w:val="24"/>
          <w:szCs w:val="24"/>
          <w:highlight w:val="none"/>
        </w:rPr>
      </w:pPr>
      <w:r>
        <w:rPr>
          <w:rFonts w:hint="eastAsia" w:ascii="宋体" w:hAnsi="宋体"/>
          <w:b/>
          <w:color w:val="auto"/>
          <w:sz w:val="24"/>
          <w:szCs w:val="24"/>
          <w:highlight w:val="none"/>
        </w:rPr>
        <w:t xml:space="preserve">    1、如投标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spacing w:line="360" w:lineRule="auto"/>
        <w:ind w:firstLine="480"/>
        <w:rPr>
          <w:rFonts w:hint="eastAsia" w:ascii="宋体" w:hAnsi="宋体"/>
          <w:b/>
          <w:color w:val="auto"/>
          <w:sz w:val="24"/>
          <w:szCs w:val="24"/>
          <w:highlight w:val="none"/>
        </w:rPr>
      </w:pPr>
      <w:r>
        <w:rPr>
          <w:rFonts w:hint="eastAsia" w:ascii="宋体" w:hAnsi="宋体"/>
          <w:b/>
          <w:color w:val="auto"/>
          <w:sz w:val="24"/>
          <w:szCs w:val="24"/>
          <w:highlight w:val="none"/>
        </w:rPr>
        <w:t>2、类别填写：节能环保产品或环境标志产品。</w:t>
      </w:r>
    </w:p>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360" w:lineRule="auto"/>
        <w:ind w:firstLine="480"/>
        <w:rPr>
          <w:rFonts w:hint="eastAsia" w:ascii="宋体" w:hAnsi="宋体" w:eastAsia="宋体" w:cs="Times New Roman"/>
          <w:spacing w:val="6"/>
          <w:sz w:val="24"/>
        </w:rPr>
      </w:pPr>
      <w:r>
        <w:rPr>
          <w:rFonts w:hint="eastAsia" w:ascii="宋体" w:hAnsi="宋体" w:eastAsia="宋体" w:cs="Times New Roman"/>
          <w:spacing w:val="6"/>
          <w:sz w:val="24"/>
        </w:rPr>
        <w:t>附件</w:t>
      </w:r>
      <w:r>
        <w:rPr>
          <w:rFonts w:hint="eastAsia" w:ascii="宋体" w:hAnsi="宋体" w:eastAsia="宋体" w:cs="Times New Roman"/>
          <w:spacing w:val="6"/>
          <w:sz w:val="24"/>
          <w:lang w:val="en-US" w:eastAsia="zh-CN"/>
        </w:rPr>
        <w:t>5</w:t>
      </w:r>
      <w:r>
        <w:rPr>
          <w:rFonts w:hint="eastAsia" w:ascii="宋体" w:hAnsi="宋体" w:eastAsia="宋体" w:cs="Times New Roman"/>
          <w:spacing w:val="6"/>
          <w:sz w:val="24"/>
        </w:rPr>
        <w:t>：</w:t>
      </w:r>
    </w:p>
    <w:p>
      <w:pPr>
        <w:spacing w:line="360" w:lineRule="auto"/>
        <w:jc w:val="center"/>
        <w:rPr>
          <w:rFonts w:hint="eastAsia" w:ascii="宋体" w:hAnsi="宋体" w:eastAsia="宋体" w:cs="Times New Roman"/>
          <w:b/>
          <w:spacing w:val="6"/>
          <w:sz w:val="24"/>
        </w:rPr>
      </w:pPr>
      <w:r>
        <w:rPr>
          <w:rFonts w:hint="eastAsia" w:ascii="宋体" w:hAnsi="宋体" w:eastAsia="宋体" w:cs="Times New Roman"/>
          <w:b/>
          <w:spacing w:val="6"/>
          <w:sz w:val="24"/>
        </w:rPr>
        <w:t>《拒绝政府采购领域商业贿赂承诺书》</w:t>
      </w:r>
    </w:p>
    <w:p>
      <w:pPr>
        <w:pStyle w:val="20"/>
        <w:rPr>
          <w:rFonts w:hint="eastAsia"/>
        </w:rPr>
      </w:pP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为响应党中央、国务院关于治理采购领域商业贿赂行为的号召，我公司再次承诺：</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1、在参与采购活动中遵纪守法、诚信经营、公平竞标。</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2、不向采购人、采购代理机构和采购评审专家进行任何形式的商业贿赂以谋取成交交易机会。</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3、不向采购代理机构和采购人提供虚假资质文件或采用虚假应标方式参与采购市场竞争并谋取中标、成交。</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4、不采取“围标、陪标”等商业欺诈手段获取采购订单。</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5、不采取不正当手段诋毁、排挤其他</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响应</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响应供应商。</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6、不在提供商品和服务时“偷梁换柱、以次充好”损害采购人的合法权益。</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7、不与采购人、采购代理机构、采购评审专家或其他</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响应</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响应供应商恶意串通，进行质疑和投诉，维护采购市场秩序。</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8、尊重和接受采购监督管理部门的监督和采购代理机构招标采购要求，承担因违约行为给采购人造成的损失。</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9、不发生其他有悖于政府采购公开、公平、公正和诚信原则的行为。</w:t>
      </w:r>
    </w:p>
    <w:p>
      <w:pPr>
        <w:snapToGrid w:val="0"/>
        <w:spacing w:line="480" w:lineRule="auto"/>
        <w:ind w:left="482"/>
        <w:rPr>
          <w:rFonts w:hint="eastAsia" w:ascii="宋体" w:hAnsi="宋体"/>
          <w:bCs/>
          <w:color w:val="auto"/>
          <w:sz w:val="24"/>
          <w:szCs w:val="24"/>
          <w:highlight w:val="none"/>
        </w:rPr>
      </w:pPr>
    </w:p>
    <w:p>
      <w:pPr>
        <w:snapToGrid w:val="0"/>
        <w:spacing w:line="480" w:lineRule="auto"/>
        <w:ind w:left="482"/>
        <w:rPr>
          <w:rFonts w:hint="eastAsia" w:ascii="宋体" w:hAnsi="宋体"/>
          <w:bCs/>
          <w:color w:val="auto"/>
          <w:sz w:val="24"/>
          <w:szCs w:val="24"/>
          <w:highlight w:val="none"/>
        </w:rPr>
      </w:pPr>
      <w:r>
        <w:rPr>
          <w:rFonts w:hint="eastAsia" w:ascii="宋体" w:hAnsi="宋体"/>
          <w:bCs/>
          <w:color w:val="auto"/>
          <w:sz w:val="24"/>
          <w:szCs w:val="24"/>
          <w:highlight w:val="none"/>
        </w:rPr>
        <w:t>承诺单位：（盖章）                  全权代表：（签字）</w:t>
      </w:r>
    </w:p>
    <w:p>
      <w:pPr>
        <w:snapToGrid w:val="0"/>
        <w:spacing w:line="480" w:lineRule="auto"/>
        <w:ind w:left="482"/>
        <w:rPr>
          <w:rFonts w:hint="eastAsia" w:ascii="宋体" w:hAnsi="宋体"/>
          <w:bCs/>
          <w:color w:val="auto"/>
          <w:sz w:val="24"/>
          <w:szCs w:val="24"/>
          <w:highlight w:val="none"/>
        </w:rPr>
      </w:pPr>
      <w:r>
        <w:rPr>
          <w:rFonts w:hint="eastAsia" w:ascii="宋体" w:hAnsi="宋体"/>
          <w:bCs/>
          <w:color w:val="auto"/>
          <w:sz w:val="24"/>
          <w:szCs w:val="24"/>
          <w:highlight w:val="none"/>
        </w:rPr>
        <w:t>地址：                              邮编：</w:t>
      </w:r>
    </w:p>
    <w:p>
      <w:pPr>
        <w:snapToGrid w:val="0"/>
        <w:spacing w:line="480" w:lineRule="auto"/>
        <w:ind w:left="482"/>
        <w:rPr>
          <w:rFonts w:hint="eastAsia" w:ascii="宋体" w:hAnsi="宋体"/>
          <w:bCs/>
          <w:color w:val="auto"/>
          <w:sz w:val="24"/>
          <w:szCs w:val="24"/>
          <w:highlight w:val="none"/>
        </w:rPr>
      </w:pPr>
      <w:r>
        <w:rPr>
          <w:rFonts w:hint="eastAsia" w:ascii="宋体" w:hAnsi="宋体"/>
          <w:bCs/>
          <w:color w:val="auto"/>
          <w:sz w:val="24"/>
          <w:szCs w:val="24"/>
          <w:highlight w:val="none"/>
        </w:rPr>
        <w:t xml:space="preserve">电话：                              电话： </w:t>
      </w:r>
    </w:p>
    <w:p>
      <w:pPr>
        <w:snapToGrid w:val="0"/>
        <w:spacing w:line="480" w:lineRule="auto"/>
        <w:ind w:left="483" w:leftChars="230" w:firstLine="5160" w:firstLineChars="2150"/>
        <w:rPr>
          <w:rFonts w:hint="eastAsia" w:ascii="宋体" w:hAnsi="宋体"/>
          <w:bCs/>
          <w:color w:val="auto"/>
          <w:sz w:val="24"/>
          <w:szCs w:val="24"/>
          <w:highlight w:val="none"/>
        </w:rPr>
      </w:pPr>
    </w:p>
    <w:p>
      <w:pPr>
        <w:snapToGrid w:val="0"/>
        <w:spacing w:line="480" w:lineRule="auto"/>
        <w:ind w:left="483" w:leftChars="230" w:firstLine="5160" w:firstLineChars="2150"/>
        <w:rPr>
          <w:rFonts w:hint="eastAsia" w:ascii="宋体" w:hAnsi="宋体"/>
          <w:bCs/>
          <w:color w:val="auto"/>
          <w:sz w:val="24"/>
          <w:szCs w:val="24"/>
          <w:highlight w:val="none"/>
        </w:rPr>
      </w:pPr>
      <w:r>
        <w:rPr>
          <w:rFonts w:hint="eastAsia" w:ascii="宋体" w:hAnsi="宋体"/>
          <w:bCs/>
          <w:color w:val="auto"/>
          <w:sz w:val="24"/>
          <w:szCs w:val="24"/>
          <w:highlight w:val="none"/>
        </w:rPr>
        <w:t xml:space="preserve"> 年    月    日</w:t>
      </w:r>
    </w:p>
    <w:p>
      <w:pPr>
        <w:snapToGrid w:val="0"/>
        <w:spacing w:line="480" w:lineRule="auto"/>
        <w:ind w:left="483" w:leftChars="230" w:firstLine="5160" w:firstLineChars="2150"/>
        <w:rPr>
          <w:rFonts w:hint="eastAsia" w:ascii="宋体" w:hAnsi="宋体"/>
          <w:bCs/>
          <w:color w:val="auto"/>
          <w:sz w:val="24"/>
          <w:szCs w:val="24"/>
          <w:highlight w:val="none"/>
        </w:rPr>
      </w:pPr>
    </w:p>
    <w:p>
      <w:pPr>
        <w:jc w:val="left"/>
        <w:rPr>
          <w:rFonts w:hint="eastAsia" w:ascii="宋体" w:hAnsi="宋体"/>
          <w:b/>
          <w:bCs/>
          <w:color w:val="auto"/>
          <w:sz w:val="30"/>
          <w:szCs w:val="30"/>
          <w:highlight w:val="none"/>
        </w:rPr>
      </w:pPr>
      <w:r>
        <w:rPr>
          <w:rFonts w:hint="eastAsia" w:ascii="宋体" w:hAnsi="宋体"/>
          <w:b/>
          <w:bCs/>
          <w:color w:val="auto"/>
          <w:sz w:val="30"/>
          <w:szCs w:val="30"/>
          <w:highlight w:val="none"/>
        </w:rPr>
        <w:br w:type="page"/>
      </w:r>
      <w:r>
        <w:rPr>
          <w:rFonts w:hint="eastAsia" w:ascii="宋体" w:hAnsi="宋体" w:eastAsia="宋体" w:cs="Times New Roman"/>
          <w:spacing w:val="6"/>
          <w:sz w:val="24"/>
        </w:rPr>
        <w:t>附件</w:t>
      </w:r>
      <w:r>
        <w:rPr>
          <w:rFonts w:hint="eastAsia" w:ascii="宋体" w:hAnsi="宋体" w:eastAsia="宋体" w:cs="Times New Roman"/>
          <w:spacing w:val="6"/>
          <w:sz w:val="24"/>
          <w:lang w:val="en-US" w:eastAsia="zh-CN"/>
        </w:rPr>
        <w:t>6</w:t>
      </w:r>
      <w:r>
        <w:rPr>
          <w:rFonts w:hint="eastAsia" w:ascii="宋体" w:hAnsi="宋体" w:eastAsia="宋体" w:cs="Times New Roman"/>
          <w:spacing w:val="6"/>
          <w:sz w:val="24"/>
        </w:rPr>
        <w:t>：</w:t>
      </w:r>
    </w:p>
    <w:p>
      <w:pPr>
        <w:spacing w:line="360" w:lineRule="auto"/>
        <w:jc w:val="center"/>
        <w:rPr>
          <w:rFonts w:hint="eastAsia" w:ascii="宋体" w:hAnsi="宋体" w:eastAsia="宋体" w:cs="Times New Roman"/>
          <w:b/>
          <w:spacing w:val="6"/>
          <w:sz w:val="24"/>
        </w:rPr>
      </w:pPr>
      <w:r>
        <w:rPr>
          <w:rFonts w:hint="eastAsia" w:ascii="宋体" w:hAnsi="宋体" w:eastAsia="宋体" w:cs="Times New Roman"/>
          <w:b/>
          <w:spacing w:val="6"/>
          <w:sz w:val="24"/>
        </w:rPr>
        <w:t>书面声明</w:t>
      </w:r>
    </w:p>
    <w:p>
      <w:pPr>
        <w:spacing w:line="360" w:lineRule="auto"/>
        <w:rPr>
          <w:rFonts w:ascii="宋体" w:hAnsi="宋体"/>
          <w:b/>
          <w:color w:val="auto"/>
          <w:spacing w:val="4"/>
          <w:sz w:val="30"/>
          <w:szCs w:val="30"/>
          <w:highlight w:val="none"/>
          <w:u w:val="single"/>
        </w:rPr>
      </w:pPr>
    </w:p>
    <w:p>
      <w:pPr>
        <w:spacing w:line="360" w:lineRule="auto"/>
        <w:rPr>
          <w:rFonts w:ascii="宋体" w:hAnsi="宋体"/>
          <w:color w:val="auto"/>
          <w:spacing w:val="4"/>
          <w:sz w:val="24"/>
          <w:szCs w:val="24"/>
          <w:highlight w:val="none"/>
          <w:u w:val="single"/>
        </w:rPr>
      </w:pPr>
      <w:r>
        <w:rPr>
          <w:rFonts w:hint="eastAsia" w:ascii="宋体" w:hAnsi="宋体"/>
          <w:color w:val="auto"/>
          <w:spacing w:val="4"/>
          <w:sz w:val="24"/>
          <w:szCs w:val="24"/>
          <w:highlight w:val="none"/>
          <w:u w:val="single"/>
        </w:rPr>
        <w:t>致：</w:t>
      </w:r>
      <w:r>
        <w:rPr>
          <w:rFonts w:ascii="宋体" w:hAnsi="宋体"/>
          <w:color w:val="auto"/>
          <w:spacing w:val="4"/>
          <w:sz w:val="24"/>
          <w:szCs w:val="24"/>
          <w:highlight w:val="none"/>
          <w:u w:val="single"/>
        </w:rPr>
        <w:t xml:space="preserve">     </w:t>
      </w:r>
      <w:r>
        <w:rPr>
          <w:rFonts w:hint="eastAsia" w:ascii="宋体" w:hAnsi="宋体"/>
          <w:color w:val="auto"/>
          <w:spacing w:val="4"/>
          <w:sz w:val="24"/>
          <w:szCs w:val="24"/>
          <w:highlight w:val="none"/>
          <w:u w:val="single"/>
        </w:rPr>
        <w:t>（采购人名称）</w:t>
      </w:r>
      <w:r>
        <w:rPr>
          <w:rFonts w:ascii="宋体" w:hAnsi="宋体"/>
          <w:color w:val="auto"/>
          <w:spacing w:val="4"/>
          <w:sz w:val="24"/>
          <w:szCs w:val="24"/>
          <w:highlight w:val="none"/>
          <w:u w:val="single"/>
        </w:rPr>
        <w:t xml:space="preserve">    </w:t>
      </w:r>
      <w:r>
        <w:rPr>
          <w:rFonts w:hint="eastAsia" w:ascii="宋体" w:hAnsi="宋体"/>
          <w:color w:val="auto"/>
          <w:spacing w:val="4"/>
          <w:sz w:val="24"/>
          <w:szCs w:val="24"/>
          <w:highlight w:val="none"/>
          <w:u w:val="single"/>
        </w:rPr>
        <w:t>：</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我公司</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为在中华人民共和国境内合法注册并经营的机构。在此郑重声明：</w:t>
      </w:r>
    </w:p>
    <w:p>
      <w:pPr>
        <w:snapToGrid w:val="0"/>
        <w:spacing w:line="56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我公司在参与本次政府采购活动前</w:t>
      </w:r>
      <w:r>
        <w:rPr>
          <w:rFonts w:ascii="宋体" w:hAnsi="宋体"/>
          <w:bCs/>
          <w:color w:val="auto"/>
          <w:sz w:val="24"/>
          <w:szCs w:val="24"/>
          <w:highlight w:val="none"/>
        </w:rPr>
        <w:t>3</w:t>
      </w:r>
      <w:r>
        <w:rPr>
          <w:rFonts w:hint="eastAsia" w:ascii="宋体" w:hAnsi="宋体"/>
          <w:bCs/>
          <w:color w:val="auto"/>
          <w:sz w:val="24"/>
          <w:szCs w:val="24"/>
          <w:highlight w:val="none"/>
        </w:rPr>
        <w:t>年内在经营活动中没有重大违法记录。无法律法规禁止投标的情形。</w:t>
      </w:r>
    </w:p>
    <w:p>
      <w:pPr>
        <w:snapToGri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如有隐瞒或未能提供真实信息的，将承担一切不利后果。</w:t>
      </w:r>
    </w:p>
    <w:p>
      <w:pPr>
        <w:spacing w:before="312" w:beforeLines="100" w:after="156" w:afterLines="50" w:line="360" w:lineRule="auto"/>
        <w:ind w:firstLine="170"/>
        <w:rPr>
          <w:rFonts w:ascii="宋体" w:hAnsi="宋体"/>
          <w:color w:val="auto"/>
          <w:spacing w:val="4"/>
          <w:sz w:val="24"/>
          <w:szCs w:val="24"/>
          <w:highlight w:val="none"/>
        </w:rPr>
      </w:pPr>
    </w:p>
    <w:p>
      <w:pPr>
        <w:spacing w:before="312" w:beforeLines="100" w:after="156" w:afterLines="50" w:line="360" w:lineRule="auto"/>
        <w:ind w:firstLine="170"/>
        <w:rPr>
          <w:rFonts w:ascii="宋体" w:hAnsi="宋体"/>
          <w:b/>
          <w:color w:val="auto"/>
          <w:spacing w:val="4"/>
          <w:sz w:val="24"/>
          <w:szCs w:val="24"/>
          <w:highlight w:val="none"/>
        </w:rPr>
      </w:pPr>
    </w:p>
    <w:p>
      <w:pPr>
        <w:spacing w:before="312" w:beforeLines="100" w:after="156" w:afterLines="50" w:line="360" w:lineRule="auto"/>
        <w:ind w:firstLine="170"/>
        <w:rPr>
          <w:rFonts w:ascii="宋体" w:hAnsi="宋体"/>
          <w:b/>
          <w:color w:val="auto"/>
          <w:spacing w:val="4"/>
          <w:sz w:val="24"/>
          <w:szCs w:val="24"/>
          <w:highlight w:val="none"/>
        </w:rPr>
      </w:pPr>
    </w:p>
    <w:p>
      <w:pPr>
        <w:spacing w:before="312" w:beforeLines="100" w:after="156" w:afterLines="50" w:line="360" w:lineRule="auto"/>
        <w:ind w:firstLine="2562" w:firstLineChars="1029"/>
        <w:jc w:val="left"/>
        <w:rPr>
          <w:rFonts w:hint="eastAsia" w:ascii="宋体" w:hAnsi="宋体"/>
          <w:b/>
          <w:color w:val="auto"/>
          <w:spacing w:val="4"/>
          <w:sz w:val="24"/>
          <w:szCs w:val="24"/>
          <w:highlight w:val="none"/>
        </w:rPr>
      </w:pPr>
    </w:p>
    <w:p>
      <w:pPr>
        <w:spacing w:before="312" w:beforeLines="100" w:after="156" w:afterLines="50" w:line="360" w:lineRule="auto"/>
        <w:ind w:firstLine="2562" w:firstLineChars="1029"/>
        <w:jc w:val="left"/>
        <w:rPr>
          <w:rFonts w:hint="eastAsia" w:ascii="宋体" w:hAnsi="宋体"/>
          <w:b/>
          <w:color w:val="auto"/>
          <w:spacing w:val="4"/>
          <w:sz w:val="24"/>
          <w:szCs w:val="24"/>
          <w:highlight w:val="none"/>
        </w:rPr>
      </w:pPr>
    </w:p>
    <w:p>
      <w:pPr>
        <w:widowControl/>
        <w:shd w:val="clear" w:color="auto" w:fill="FFFFFF"/>
        <w:spacing w:before="100" w:beforeAutospacing="1" w:after="100" w:afterAutospacing="1" w:line="480" w:lineRule="auto"/>
        <w:ind w:left="4410" w:leftChars="2100" w:firstLine="566" w:firstLineChars="236"/>
        <w:jc w:val="left"/>
        <w:rPr>
          <w:rFonts w:ascii="宋体" w:hAnsi="宋体" w:cs="宋体"/>
          <w:color w:val="000000"/>
          <w:kern w:val="0"/>
          <w:sz w:val="24"/>
        </w:rPr>
      </w:pPr>
      <w:r>
        <w:rPr>
          <w:rFonts w:hint="eastAsia" w:ascii="宋体" w:hAnsi="宋体" w:cs="宋体"/>
          <w:color w:val="000000"/>
          <w:kern w:val="0"/>
          <w:sz w:val="24"/>
        </w:rPr>
        <w:t>单位名称（盖章）：</w:t>
      </w:r>
    </w:p>
    <w:p>
      <w:pPr>
        <w:widowControl/>
        <w:shd w:val="clear" w:color="auto" w:fill="FFFFFF"/>
        <w:spacing w:before="100" w:beforeAutospacing="1" w:after="100" w:afterAutospacing="1" w:line="480" w:lineRule="auto"/>
        <w:ind w:left="4410" w:leftChars="2100" w:firstLine="566" w:firstLineChars="236"/>
        <w:jc w:val="left"/>
        <w:rPr>
          <w:rFonts w:ascii="宋体" w:hAnsi="宋体" w:cs="宋体"/>
          <w:color w:val="000000"/>
          <w:kern w:val="0"/>
          <w:sz w:val="24"/>
        </w:rPr>
      </w:pPr>
      <w:r>
        <w:rPr>
          <w:rFonts w:hint="eastAsia" w:ascii="宋体" w:hAnsi="宋体" w:cs="宋体"/>
          <w:color w:val="000000"/>
          <w:kern w:val="0"/>
          <w:sz w:val="24"/>
        </w:rPr>
        <w:t>日  期：</w:t>
      </w:r>
    </w:p>
    <w:p>
      <w:pPr>
        <w:pStyle w:val="20"/>
        <w:rPr>
          <w:rFonts w:hint="eastAsia"/>
        </w:rPr>
      </w:pPr>
    </w:p>
    <w:sectPr>
      <w:pgSz w:w="11906" w:h="16838"/>
      <w:pgMar w:top="1418" w:right="1247" w:bottom="1418" w:left="124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Dutch801 Rm BT">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a9Et+0QEAAKQDAAAOAAAAAAAAAAEAIAAAACIB&#10;AABkcnMvZTJvRG9jLnhtbFBLBQYAAAAABgAGAFkBAABlBQAAAAA=&#10;">
              <v:fill on="f" focussize="0,0"/>
              <v:stroke on="f" weight="1.25pt"/>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4NkdTSAQAApA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HKZ9Ok91Jh27zExDh/dgFsz3wNeJtqDDCZ9kRDBOKp7uqgrhkh4elStqqrEEMfY7CB+8fjc&#10;B4h3whmSjIYGHF9WlR0/QxxT55RUzbpbpXUeobakR9Tr6v11fnEJIbq2WCSxGLtNVhx2w0Rt59oT&#10;MutxBxpqceUp0Z8sSpzWZTbCbOxm4+CD2nd5n1Ir4D8cIraTu0wVRtipMA4v85wWLW3HUz9nPf5c&#10;m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g2R1NIBAACkAwAADgAAAAAAAAABACAAAAAi&#10;AQAAZHJzL2Uyb0RvYy54bWxQSwUGAAAAAAYABgBZAQAAZgUAAAAA&#10;">
              <v:fill on="f" focussize="0,0"/>
              <v:stroke on="f" weight="1.25pt"/>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fHWTTAQAApA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ar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efHWTTAQAApA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outlineLvl w:val="0"/>
      <w:rPr>
        <w:rFonts w:hint="eastAsia"/>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427E8"/>
    <w:multiLevelType w:val="singleLevel"/>
    <w:tmpl w:val="8FE427E8"/>
    <w:lvl w:ilvl="0" w:tentative="0">
      <w:start w:val="4"/>
      <w:numFmt w:val="chineseCounting"/>
      <w:suff w:val="nothing"/>
      <w:lvlText w:val="%1、"/>
      <w:lvlJc w:val="left"/>
      <w:rPr>
        <w:rFonts w:hint="eastAsia"/>
      </w:rPr>
    </w:lvl>
  </w:abstractNum>
  <w:abstractNum w:abstractNumId="1">
    <w:nsid w:val="DF7A16E8"/>
    <w:multiLevelType w:val="singleLevel"/>
    <w:tmpl w:val="DF7A16E8"/>
    <w:lvl w:ilvl="0" w:tentative="0">
      <w:start w:val="1"/>
      <w:numFmt w:val="decimal"/>
      <w:suff w:val="nothing"/>
      <w:lvlText w:val="%1、"/>
      <w:lvlJc w:val="left"/>
    </w:lvl>
  </w:abstractNum>
  <w:abstractNum w:abstractNumId="2">
    <w:nsid w:val="F6AD5D9B"/>
    <w:multiLevelType w:val="singleLevel"/>
    <w:tmpl w:val="F6AD5D9B"/>
    <w:lvl w:ilvl="0" w:tentative="0">
      <w:start w:val="7"/>
      <w:numFmt w:val="decimal"/>
      <w:suff w:val="nothing"/>
      <w:lvlText w:val="%1、"/>
      <w:lvlJc w:val="left"/>
    </w:lvl>
  </w:abstractNum>
  <w:abstractNum w:abstractNumId="3">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1A6D7AA7"/>
    <w:multiLevelType w:val="singleLevel"/>
    <w:tmpl w:val="1A6D7AA7"/>
    <w:lvl w:ilvl="0" w:tentative="0">
      <w:start w:val="1"/>
      <w:numFmt w:val="decimal"/>
      <w:lvlText w:val="%1."/>
      <w:lvlJc w:val="left"/>
      <w:pPr>
        <w:tabs>
          <w:tab w:val="left" w:pos="312"/>
        </w:tabs>
      </w:pPr>
    </w:lvl>
  </w:abstractNum>
  <w:abstractNum w:abstractNumId="5">
    <w:nsid w:val="394C3CB9"/>
    <w:multiLevelType w:val="singleLevel"/>
    <w:tmpl w:val="394C3CB9"/>
    <w:lvl w:ilvl="0" w:tentative="0">
      <w:start w:val="7"/>
      <w:numFmt w:val="chineseCounting"/>
      <w:suff w:val="space"/>
      <w:lvlText w:val="第%1部分"/>
      <w:lvlJc w:val="left"/>
      <w:rPr>
        <w:rFonts w:hint="eastAsia"/>
      </w:rPr>
    </w:lvl>
  </w:abstractNum>
  <w:abstractNum w:abstractNumId="6">
    <w:nsid w:val="4432A424"/>
    <w:multiLevelType w:val="singleLevel"/>
    <w:tmpl w:val="4432A424"/>
    <w:lvl w:ilvl="0" w:tentative="0">
      <w:start w:val="1"/>
      <w:numFmt w:val="decimal"/>
      <w:suff w:val="nothing"/>
      <w:lvlText w:val="%1、"/>
      <w:lvlJc w:val="left"/>
      <w:pPr>
        <w:ind w:left="-60"/>
      </w:pPr>
    </w:lvl>
  </w:abstractNum>
  <w:abstractNum w:abstractNumId="7">
    <w:nsid w:val="47EC43F8"/>
    <w:multiLevelType w:val="singleLevel"/>
    <w:tmpl w:val="47EC43F8"/>
    <w:lvl w:ilvl="0" w:tentative="0">
      <w:start w:val="2"/>
      <w:numFmt w:val="decimal"/>
      <w:suff w:val="space"/>
      <w:lvlText w:val="%1."/>
      <w:lvlJc w:val="left"/>
    </w:lvl>
  </w:abstractNum>
  <w:abstractNum w:abstractNumId="8">
    <w:nsid w:val="5473DBB4"/>
    <w:multiLevelType w:val="singleLevel"/>
    <w:tmpl w:val="5473DBB4"/>
    <w:lvl w:ilvl="0" w:tentative="0">
      <w:start w:val="2"/>
      <w:numFmt w:val="chineseCounting"/>
      <w:suff w:val="nothing"/>
      <w:lvlText w:val="%1．"/>
      <w:lvlJc w:val="left"/>
    </w:lvl>
  </w:abstractNum>
  <w:abstractNum w:abstractNumId="9">
    <w:nsid w:val="64FF4C82"/>
    <w:multiLevelType w:val="multilevel"/>
    <w:tmpl w:val="64FF4C82"/>
    <w:lvl w:ilvl="0" w:tentative="0">
      <w:start w:val="1"/>
      <w:numFmt w:val="chineseCountingThousand"/>
      <w:suff w:val="nothing"/>
      <w:lvlText w:val="第%1章"/>
      <w:lvlJc w:val="left"/>
      <w:pPr>
        <w:ind w:left="0" w:firstLine="0"/>
      </w:pPr>
    </w:lvl>
    <w:lvl w:ilvl="1" w:tentative="0">
      <w:start w:val="1"/>
      <w:numFmt w:val="decimal"/>
      <w:lvlText w:val="2.%2."/>
      <w:lvlJc w:val="left"/>
      <w:pPr>
        <w:ind w:left="0" w:firstLine="0"/>
      </w:pPr>
      <w:rPr>
        <w:rFonts w:hint="eastAsia"/>
      </w:rPr>
    </w:lvl>
    <w:lvl w:ilvl="2" w:tentative="0">
      <w:start w:val="1"/>
      <w:numFmt w:val="decimal"/>
      <w:lvlText w:val="2.1.%3."/>
      <w:lvlJc w:val="left"/>
      <w:pPr>
        <w:ind w:left="0" w:firstLine="0"/>
      </w:pPr>
      <w:rPr>
        <w:rFonts w:hint="eastAsia"/>
      </w:rPr>
    </w:lvl>
    <w:lvl w:ilvl="3" w:tentative="0">
      <w:start w:val="1"/>
      <w:numFmt w:val="none"/>
      <w:pStyle w:val="7"/>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9"/>
  </w:num>
  <w:num w:numId="2">
    <w:abstractNumId w:val="8"/>
  </w:num>
  <w:num w:numId="3">
    <w:abstractNumId w:val="2"/>
  </w:num>
  <w:num w:numId="4">
    <w:abstractNumId w:val="3"/>
  </w:num>
  <w:num w:numId="5">
    <w:abstractNumId w:val="4"/>
  </w:num>
  <w:num w:numId="6">
    <w:abstractNumId w:val="0"/>
  </w:num>
  <w:num w:numId="7">
    <w:abstractNumId w:val="1"/>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MDE2Mjg2ZTc4ZjZmOTk5NGZlNjhjYWMwOWQ3ZmYifQ=="/>
  </w:docVars>
  <w:rsids>
    <w:rsidRoot w:val="00172A27"/>
    <w:rsid w:val="00027E58"/>
    <w:rsid w:val="000918F7"/>
    <w:rsid w:val="00191A91"/>
    <w:rsid w:val="001B0334"/>
    <w:rsid w:val="001B046D"/>
    <w:rsid w:val="001B0988"/>
    <w:rsid w:val="001F368F"/>
    <w:rsid w:val="002123D4"/>
    <w:rsid w:val="00245EF2"/>
    <w:rsid w:val="002774D4"/>
    <w:rsid w:val="0027794B"/>
    <w:rsid w:val="002A0C69"/>
    <w:rsid w:val="002B3814"/>
    <w:rsid w:val="002B4690"/>
    <w:rsid w:val="002B4AB7"/>
    <w:rsid w:val="00300B25"/>
    <w:rsid w:val="00332840"/>
    <w:rsid w:val="00343D17"/>
    <w:rsid w:val="003D13C7"/>
    <w:rsid w:val="003E7C77"/>
    <w:rsid w:val="00407277"/>
    <w:rsid w:val="00450239"/>
    <w:rsid w:val="0048151E"/>
    <w:rsid w:val="004E13BA"/>
    <w:rsid w:val="004F6C76"/>
    <w:rsid w:val="00586292"/>
    <w:rsid w:val="005B39D1"/>
    <w:rsid w:val="005B502F"/>
    <w:rsid w:val="0062235D"/>
    <w:rsid w:val="00694CA5"/>
    <w:rsid w:val="006D2065"/>
    <w:rsid w:val="00700540"/>
    <w:rsid w:val="00724E83"/>
    <w:rsid w:val="00736CE2"/>
    <w:rsid w:val="007654BF"/>
    <w:rsid w:val="0079360B"/>
    <w:rsid w:val="007A2B28"/>
    <w:rsid w:val="007C2DEF"/>
    <w:rsid w:val="007F5895"/>
    <w:rsid w:val="008009A9"/>
    <w:rsid w:val="00853BE5"/>
    <w:rsid w:val="00876921"/>
    <w:rsid w:val="00893E2E"/>
    <w:rsid w:val="008B3EC1"/>
    <w:rsid w:val="008E6F82"/>
    <w:rsid w:val="009026E1"/>
    <w:rsid w:val="00916A6D"/>
    <w:rsid w:val="009264AB"/>
    <w:rsid w:val="00957679"/>
    <w:rsid w:val="00970992"/>
    <w:rsid w:val="00974CD3"/>
    <w:rsid w:val="009D5015"/>
    <w:rsid w:val="00A42F67"/>
    <w:rsid w:val="00A625A5"/>
    <w:rsid w:val="00A72815"/>
    <w:rsid w:val="00A854F9"/>
    <w:rsid w:val="00AC37D3"/>
    <w:rsid w:val="00B00840"/>
    <w:rsid w:val="00B04CD4"/>
    <w:rsid w:val="00B62E29"/>
    <w:rsid w:val="00B927DC"/>
    <w:rsid w:val="00BD5B76"/>
    <w:rsid w:val="00BE2F1E"/>
    <w:rsid w:val="00C06913"/>
    <w:rsid w:val="00C102DC"/>
    <w:rsid w:val="00C20FFB"/>
    <w:rsid w:val="00C2618C"/>
    <w:rsid w:val="00C26C82"/>
    <w:rsid w:val="00C3127B"/>
    <w:rsid w:val="00C46DDA"/>
    <w:rsid w:val="00CA760C"/>
    <w:rsid w:val="00CD03AC"/>
    <w:rsid w:val="00CD34C1"/>
    <w:rsid w:val="00D214E7"/>
    <w:rsid w:val="00D64E1B"/>
    <w:rsid w:val="00DB6E22"/>
    <w:rsid w:val="00DE0C38"/>
    <w:rsid w:val="00E206CE"/>
    <w:rsid w:val="00E3540E"/>
    <w:rsid w:val="00EF0F0F"/>
    <w:rsid w:val="00F01487"/>
    <w:rsid w:val="00F20EA2"/>
    <w:rsid w:val="00F23A21"/>
    <w:rsid w:val="00F640EC"/>
    <w:rsid w:val="00F71CEB"/>
    <w:rsid w:val="00F769E8"/>
    <w:rsid w:val="00FA079E"/>
    <w:rsid w:val="00FE582A"/>
    <w:rsid w:val="01467C71"/>
    <w:rsid w:val="02766ECC"/>
    <w:rsid w:val="032F4F28"/>
    <w:rsid w:val="033A5257"/>
    <w:rsid w:val="03C41598"/>
    <w:rsid w:val="063D3653"/>
    <w:rsid w:val="06447556"/>
    <w:rsid w:val="06CB2ABA"/>
    <w:rsid w:val="06DC3500"/>
    <w:rsid w:val="06EF1A12"/>
    <w:rsid w:val="06FE0991"/>
    <w:rsid w:val="075D3B0E"/>
    <w:rsid w:val="078969CC"/>
    <w:rsid w:val="078D3CE2"/>
    <w:rsid w:val="07F57181"/>
    <w:rsid w:val="080D530C"/>
    <w:rsid w:val="085D5810"/>
    <w:rsid w:val="088C4A00"/>
    <w:rsid w:val="0A1C4DF7"/>
    <w:rsid w:val="0A675550"/>
    <w:rsid w:val="0A793DCD"/>
    <w:rsid w:val="0A8426A2"/>
    <w:rsid w:val="0AE640DF"/>
    <w:rsid w:val="0B320D37"/>
    <w:rsid w:val="0B534D41"/>
    <w:rsid w:val="0BAF0547"/>
    <w:rsid w:val="0CBE1F4D"/>
    <w:rsid w:val="0E1056F8"/>
    <w:rsid w:val="0E185140"/>
    <w:rsid w:val="0EC352D6"/>
    <w:rsid w:val="0ED94F1E"/>
    <w:rsid w:val="0F681EF8"/>
    <w:rsid w:val="103537F7"/>
    <w:rsid w:val="105C7749"/>
    <w:rsid w:val="11585F6D"/>
    <w:rsid w:val="116E5E0F"/>
    <w:rsid w:val="1189734F"/>
    <w:rsid w:val="11CF3840"/>
    <w:rsid w:val="11E96DA8"/>
    <w:rsid w:val="126524B8"/>
    <w:rsid w:val="12936851"/>
    <w:rsid w:val="12A60790"/>
    <w:rsid w:val="13614805"/>
    <w:rsid w:val="141B5780"/>
    <w:rsid w:val="14641274"/>
    <w:rsid w:val="14A60C30"/>
    <w:rsid w:val="14D43D52"/>
    <w:rsid w:val="150A6540"/>
    <w:rsid w:val="15DE621D"/>
    <w:rsid w:val="163E4B07"/>
    <w:rsid w:val="16F54582"/>
    <w:rsid w:val="17D2788F"/>
    <w:rsid w:val="17EB338A"/>
    <w:rsid w:val="17F73549"/>
    <w:rsid w:val="17FB1B3D"/>
    <w:rsid w:val="19C17D11"/>
    <w:rsid w:val="19D20DF4"/>
    <w:rsid w:val="19E828B5"/>
    <w:rsid w:val="1A68005E"/>
    <w:rsid w:val="1AD17210"/>
    <w:rsid w:val="1B9D0B46"/>
    <w:rsid w:val="1BD771F8"/>
    <w:rsid w:val="1BD87365"/>
    <w:rsid w:val="1C4548E0"/>
    <w:rsid w:val="1C6A2887"/>
    <w:rsid w:val="1C891DD0"/>
    <w:rsid w:val="1C951DE3"/>
    <w:rsid w:val="1CB0485A"/>
    <w:rsid w:val="1CB86B25"/>
    <w:rsid w:val="1CC16E1B"/>
    <w:rsid w:val="1D104B82"/>
    <w:rsid w:val="1D550D56"/>
    <w:rsid w:val="1D6A3828"/>
    <w:rsid w:val="1D794111"/>
    <w:rsid w:val="1D7C6294"/>
    <w:rsid w:val="1E007852"/>
    <w:rsid w:val="1E781084"/>
    <w:rsid w:val="1F2A4328"/>
    <w:rsid w:val="1FA519F4"/>
    <w:rsid w:val="1FA70E33"/>
    <w:rsid w:val="20251820"/>
    <w:rsid w:val="2105545D"/>
    <w:rsid w:val="216E5E2F"/>
    <w:rsid w:val="21DB35B3"/>
    <w:rsid w:val="221B3E53"/>
    <w:rsid w:val="22F01E7F"/>
    <w:rsid w:val="23180A9D"/>
    <w:rsid w:val="2349005E"/>
    <w:rsid w:val="2478055E"/>
    <w:rsid w:val="24BD2995"/>
    <w:rsid w:val="256528EE"/>
    <w:rsid w:val="25CD5BBA"/>
    <w:rsid w:val="26002891"/>
    <w:rsid w:val="2682796C"/>
    <w:rsid w:val="27615FBC"/>
    <w:rsid w:val="276C1B16"/>
    <w:rsid w:val="27A62670"/>
    <w:rsid w:val="288075F0"/>
    <w:rsid w:val="288A1EC5"/>
    <w:rsid w:val="289E2CE0"/>
    <w:rsid w:val="292C5B99"/>
    <w:rsid w:val="294973B0"/>
    <w:rsid w:val="299978C7"/>
    <w:rsid w:val="2A3428AF"/>
    <w:rsid w:val="2BA530B4"/>
    <w:rsid w:val="2C102394"/>
    <w:rsid w:val="2C462314"/>
    <w:rsid w:val="2CA87E1D"/>
    <w:rsid w:val="2D8B0C10"/>
    <w:rsid w:val="2E3D5419"/>
    <w:rsid w:val="2E4D1BD1"/>
    <w:rsid w:val="2ECC4B36"/>
    <w:rsid w:val="2EE2390A"/>
    <w:rsid w:val="2F5D02B4"/>
    <w:rsid w:val="2F775A7A"/>
    <w:rsid w:val="308B13F2"/>
    <w:rsid w:val="30AC1626"/>
    <w:rsid w:val="30CC588A"/>
    <w:rsid w:val="31C32839"/>
    <w:rsid w:val="31ED3907"/>
    <w:rsid w:val="327F297B"/>
    <w:rsid w:val="32933A78"/>
    <w:rsid w:val="332842C5"/>
    <w:rsid w:val="333324DC"/>
    <w:rsid w:val="33744A89"/>
    <w:rsid w:val="33D87344"/>
    <w:rsid w:val="34903EAA"/>
    <w:rsid w:val="3543509E"/>
    <w:rsid w:val="356A2069"/>
    <w:rsid w:val="35C708D7"/>
    <w:rsid w:val="366B6269"/>
    <w:rsid w:val="36777AEF"/>
    <w:rsid w:val="379031C5"/>
    <w:rsid w:val="379B5C62"/>
    <w:rsid w:val="38273B34"/>
    <w:rsid w:val="389E78AF"/>
    <w:rsid w:val="38F466D9"/>
    <w:rsid w:val="39060E58"/>
    <w:rsid w:val="3A846F45"/>
    <w:rsid w:val="3BFF2E2F"/>
    <w:rsid w:val="3C9C1922"/>
    <w:rsid w:val="3DEB26B6"/>
    <w:rsid w:val="3E2142EA"/>
    <w:rsid w:val="3EBB27CD"/>
    <w:rsid w:val="3EE32340"/>
    <w:rsid w:val="3EFF1B81"/>
    <w:rsid w:val="3F2656BB"/>
    <w:rsid w:val="3FE73C24"/>
    <w:rsid w:val="401763FE"/>
    <w:rsid w:val="40764E26"/>
    <w:rsid w:val="4105758D"/>
    <w:rsid w:val="41C8636D"/>
    <w:rsid w:val="42841120"/>
    <w:rsid w:val="42A549B7"/>
    <w:rsid w:val="42FA1F91"/>
    <w:rsid w:val="43AB1EB6"/>
    <w:rsid w:val="44165C97"/>
    <w:rsid w:val="44225399"/>
    <w:rsid w:val="444F50DA"/>
    <w:rsid w:val="45656FF5"/>
    <w:rsid w:val="45E70E34"/>
    <w:rsid w:val="46065B56"/>
    <w:rsid w:val="47356384"/>
    <w:rsid w:val="479B65C5"/>
    <w:rsid w:val="486760B2"/>
    <w:rsid w:val="48EF1C74"/>
    <w:rsid w:val="49B57D5A"/>
    <w:rsid w:val="4A880513"/>
    <w:rsid w:val="4B452618"/>
    <w:rsid w:val="4E5B7117"/>
    <w:rsid w:val="4E6A7FF3"/>
    <w:rsid w:val="4EB56841"/>
    <w:rsid w:val="4EBA71C3"/>
    <w:rsid w:val="4F1B2874"/>
    <w:rsid w:val="4F6B0AF6"/>
    <w:rsid w:val="4FDA51AD"/>
    <w:rsid w:val="4FE55245"/>
    <w:rsid w:val="4FE828B7"/>
    <w:rsid w:val="4FFD1FDB"/>
    <w:rsid w:val="500C6039"/>
    <w:rsid w:val="51161F20"/>
    <w:rsid w:val="51EF52A1"/>
    <w:rsid w:val="52CE6EB3"/>
    <w:rsid w:val="52E4402F"/>
    <w:rsid w:val="535462C1"/>
    <w:rsid w:val="54110FD6"/>
    <w:rsid w:val="548D5020"/>
    <w:rsid w:val="54937AF3"/>
    <w:rsid w:val="553E5B4A"/>
    <w:rsid w:val="566D2E7F"/>
    <w:rsid w:val="56E63A2B"/>
    <w:rsid w:val="5704754D"/>
    <w:rsid w:val="58420FDA"/>
    <w:rsid w:val="58EE64C8"/>
    <w:rsid w:val="591737AC"/>
    <w:rsid w:val="5A9F2CE0"/>
    <w:rsid w:val="5B0F00AC"/>
    <w:rsid w:val="5B6B3879"/>
    <w:rsid w:val="5CBB110E"/>
    <w:rsid w:val="5CD846AF"/>
    <w:rsid w:val="5D5857BC"/>
    <w:rsid w:val="5D907899"/>
    <w:rsid w:val="5D97400F"/>
    <w:rsid w:val="5E4549AB"/>
    <w:rsid w:val="5FB0486E"/>
    <w:rsid w:val="604C0895"/>
    <w:rsid w:val="60F8305D"/>
    <w:rsid w:val="6111022E"/>
    <w:rsid w:val="616B6D27"/>
    <w:rsid w:val="619255EA"/>
    <w:rsid w:val="619723F0"/>
    <w:rsid w:val="61BB2DD6"/>
    <w:rsid w:val="62AC6D51"/>
    <w:rsid w:val="63144304"/>
    <w:rsid w:val="63A531A5"/>
    <w:rsid w:val="64685CAF"/>
    <w:rsid w:val="64D100D7"/>
    <w:rsid w:val="650D60FC"/>
    <w:rsid w:val="65531D8E"/>
    <w:rsid w:val="65D62AD5"/>
    <w:rsid w:val="66B1501A"/>
    <w:rsid w:val="66B44CC8"/>
    <w:rsid w:val="66D51DA0"/>
    <w:rsid w:val="66EE5699"/>
    <w:rsid w:val="67221D4F"/>
    <w:rsid w:val="67A54B52"/>
    <w:rsid w:val="68A73D91"/>
    <w:rsid w:val="696C646B"/>
    <w:rsid w:val="69830409"/>
    <w:rsid w:val="699E1DC5"/>
    <w:rsid w:val="6A273143"/>
    <w:rsid w:val="6A457DC9"/>
    <w:rsid w:val="6BDC2580"/>
    <w:rsid w:val="6BFB3DF1"/>
    <w:rsid w:val="6BFF5AA7"/>
    <w:rsid w:val="6CC4317D"/>
    <w:rsid w:val="6D8E41F7"/>
    <w:rsid w:val="6E0540E7"/>
    <w:rsid w:val="6F271C05"/>
    <w:rsid w:val="6F36617D"/>
    <w:rsid w:val="6F525106"/>
    <w:rsid w:val="6F7B634B"/>
    <w:rsid w:val="6FCB35E0"/>
    <w:rsid w:val="700C2F68"/>
    <w:rsid w:val="708F53FB"/>
    <w:rsid w:val="71846ADE"/>
    <w:rsid w:val="71A03DE4"/>
    <w:rsid w:val="7214164C"/>
    <w:rsid w:val="72C31C49"/>
    <w:rsid w:val="730E1BF6"/>
    <w:rsid w:val="732C539F"/>
    <w:rsid w:val="742B29FA"/>
    <w:rsid w:val="746E763E"/>
    <w:rsid w:val="756625EB"/>
    <w:rsid w:val="75707A14"/>
    <w:rsid w:val="75962EE4"/>
    <w:rsid w:val="7611495C"/>
    <w:rsid w:val="76B3051B"/>
    <w:rsid w:val="77751600"/>
    <w:rsid w:val="7845128D"/>
    <w:rsid w:val="7898109B"/>
    <w:rsid w:val="798B4C96"/>
    <w:rsid w:val="79D01697"/>
    <w:rsid w:val="79D11E51"/>
    <w:rsid w:val="79D551ED"/>
    <w:rsid w:val="7B3A05CD"/>
    <w:rsid w:val="7B547513"/>
    <w:rsid w:val="7C3001CE"/>
    <w:rsid w:val="7CE870B8"/>
    <w:rsid w:val="7CEB6B42"/>
    <w:rsid w:val="7E1F0D9A"/>
    <w:rsid w:val="7ECA6C9F"/>
    <w:rsid w:val="7F86214C"/>
    <w:rsid w:val="7FA86C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Cambria" w:hAnsi="Cambria"/>
      <w:b/>
      <w:bCs/>
      <w:sz w:val="30"/>
      <w:szCs w:val="32"/>
    </w:rPr>
  </w:style>
  <w:style w:type="paragraph" w:styleId="6">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7">
    <w:name w:val="heading 4"/>
    <w:basedOn w:val="1"/>
    <w:next w:val="1"/>
    <w:qFormat/>
    <w:uiPriority w:val="9"/>
    <w:pPr>
      <w:keepNext/>
      <w:keepLines/>
      <w:numPr>
        <w:ilvl w:val="3"/>
        <w:numId w:val="1"/>
      </w:numPr>
      <w:spacing w:before="280" w:after="290" w:line="376" w:lineRule="auto"/>
      <w:outlineLvl w:val="3"/>
    </w:pPr>
    <w:rPr>
      <w:rFonts w:ascii="Cambria" w:hAnsi="Cambria" w:eastAsia="宋体" w:cs="Times New Roman"/>
      <w:b/>
      <w:bCs/>
      <w:sz w:val="28"/>
      <w:szCs w:val="28"/>
    </w:rPr>
  </w:style>
  <w:style w:type="character" w:default="1" w:styleId="31">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afterLines="0"/>
      <w:ind w:firstLine="420" w:firstLineChars="100"/>
    </w:pPr>
    <w:rPr>
      <w:color w:val="auto"/>
      <w:sz w:val="21"/>
    </w:rPr>
  </w:style>
  <w:style w:type="paragraph" w:styleId="3">
    <w:name w:val="Body Text"/>
    <w:basedOn w:val="1"/>
    <w:next w:val="1"/>
    <w:qFormat/>
    <w:uiPriority w:val="0"/>
    <w:rPr>
      <w:color w:val="993300"/>
      <w:sz w:val="24"/>
    </w:rPr>
  </w:style>
  <w:style w:type="paragraph" w:styleId="8">
    <w:name w:val="toc 7"/>
    <w:basedOn w:val="1"/>
    <w:next w:val="1"/>
    <w:qFormat/>
    <w:uiPriority w:val="0"/>
    <w:pPr>
      <w:ind w:left="2520" w:leftChars="1200"/>
    </w:pPr>
  </w:style>
  <w:style w:type="paragraph" w:styleId="9">
    <w:name w:val="Normal Indent"/>
    <w:basedOn w:val="1"/>
    <w:next w:val="10"/>
    <w:link w:val="46"/>
    <w:qFormat/>
    <w:uiPriority w:val="0"/>
    <w:pPr>
      <w:ind w:firstLine="420" w:firstLineChars="200"/>
    </w:pPr>
  </w:style>
  <w:style w:type="paragraph" w:styleId="10">
    <w:name w:val="toc 4"/>
    <w:basedOn w:val="1"/>
    <w:next w:val="1"/>
    <w:qFormat/>
    <w:uiPriority w:val="0"/>
    <w:pPr>
      <w:ind w:left="1260" w:leftChars="600"/>
    </w:pPr>
  </w:style>
  <w:style w:type="paragraph" w:styleId="11">
    <w:name w:val="caption"/>
    <w:basedOn w:val="1"/>
    <w:next w:val="3"/>
    <w:qFormat/>
    <w:uiPriority w:val="0"/>
    <w:pPr>
      <w:spacing w:line="240" w:lineRule="auto"/>
    </w:pPr>
    <w:rPr>
      <w:rFonts w:ascii="Cambria" w:hAnsi="Cambria" w:eastAsia="黑体"/>
      <w:sz w:val="20"/>
      <w:szCs w:val="20"/>
    </w:rPr>
  </w:style>
  <w:style w:type="paragraph" w:styleId="12">
    <w:name w:val="Document Map"/>
    <w:basedOn w:val="1"/>
    <w:link w:val="47"/>
    <w:qFormat/>
    <w:uiPriority w:val="0"/>
    <w:rPr>
      <w:rFonts w:ascii="宋体"/>
      <w:sz w:val="18"/>
      <w:szCs w:val="18"/>
    </w:rPr>
  </w:style>
  <w:style w:type="paragraph" w:styleId="13">
    <w:name w:val="annotation text"/>
    <w:basedOn w:val="1"/>
    <w:link w:val="48"/>
    <w:qFormat/>
    <w:uiPriority w:val="0"/>
    <w:pPr>
      <w:jc w:val="left"/>
    </w:pPr>
  </w:style>
  <w:style w:type="paragraph" w:styleId="14">
    <w:name w:val="Body Text Indent"/>
    <w:basedOn w:val="1"/>
    <w:qFormat/>
    <w:uiPriority w:val="0"/>
    <w:pPr>
      <w:ind w:firstLine="480"/>
    </w:pPr>
    <w:rPr>
      <w:rFonts w:ascii="宋体" w:hAnsi="宋体"/>
    </w:r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cs="Courier New"/>
      <w:szCs w:val="21"/>
    </w:rPr>
  </w:style>
  <w:style w:type="paragraph" w:styleId="18">
    <w:name w:val="toc 8"/>
    <w:basedOn w:val="1"/>
    <w:next w:val="1"/>
    <w:qFormat/>
    <w:uiPriority w:val="0"/>
    <w:pPr>
      <w:ind w:left="2940" w:leftChars="1400"/>
    </w:pPr>
  </w:style>
  <w:style w:type="paragraph" w:styleId="19">
    <w:name w:val="Balloon Text"/>
    <w:basedOn w:val="1"/>
    <w:link w:val="49"/>
    <w:qFormat/>
    <w:uiPriority w:val="0"/>
    <w:pPr>
      <w:spacing w:line="240" w:lineRule="auto"/>
    </w:pPr>
    <w:rPr>
      <w:sz w:val="18"/>
      <w:szCs w:val="18"/>
    </w:rPr>
  </w:style>
  <w:style w:type="paragraph" w:styleId="20">
    <w:name w:val="footer"/>
    <w:basedOn w:val="1"/>
    <w:next w:val="3"/>
    <w:qFormat/>
    <w:uiPriority w:val="0"/>
    <w:pPr>
      <w:tabs>
        <w:tab w:val="center" w:pos="4153"/>
        <w:tab w:val="right" w:pos="8306"/>
      </w:tabs>
      <w:snapToGrid w:val="0"/>
      <w:jc w:val="left"/>
    </w:pPr>
    <w:rPr>
      <w:sz w:val="18"/>
      <w:szCs w:val="18"/>
    </w:rPr>
  </w:style>
  <w:style w:type="paragraph" w:styleId="21">
    <w:name w:val="header"/>
    <w:basedOn w:val="1"/>
    <w:link w:val="5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0"/>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toc 9"/>
    <w:basedOn w:val="1"/>
    <w:next w:val="1"/>
    <w:qFormat/>
    <w:uiPriority w:val="0"/>
    <w:pPr>
      <w:ind w:left="3360" w:leftChars="1600"/>
    </w:pPr>
  </w:style>
  <w:style w:type="paragraph" w:styleId="26">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27">
    <w:name w:val="Normal (Web)"/>
    <w:basedOn w:val="1"/>
    <w:qFormat/>
    <w:uiPriority w:val="99"/>
    <w:pPr>
      <w:spacing w:before="0" w:beforeAutospacing="0" w:after="0" w:afterAutospacing="0"/>
      <w:ind w:left="0" w:right="0"/>
      <w:jc w:val="left"/>
    </w:pPr>
    <w:rPr>
      <w:kern w:val="0"/>
      <w:sz w:val="24"/>
      <w:lang w:val="en-US" w:eastAsia="zh-CN" w:bidi="ar"/>
    </w:rPr>
  </w:style>
  <w:style w:type="paragraph" w:styleId="28">
    <w:name w:val="annotation subject"/>
    <w:basedOn w:val="13"/>
    <w:next w:val="13"/>
    <w:link w:val="52"/>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sz w:val="20"/>
      <w:szCs w:val="20"/>
      <w:shd w:val="clear" w:color="auto" w:fill="F5F5F5"/>
    </w:rPr>
  </w:style>
  <w:style w:type="character" w:styleId="33">
    <w:name w:val="page number"/>
    <w:basedOn w:val="31"/>
    <w:qFormat/>
    <w:uiPriority w:val="0"/>
  </w:style>
  <w:style w:type="character" w:styleId="34">
    <w:name w:val="FollowedHyperlink"/>
    <w:qFormat/>
    <w:uiPriority w:val="0"/>
    <w:rPr>
      <w:color w:val="333333"/>
      <w:u w:val="none"/>
    </w:rPr>
  </w:style>
  <w:style w:type="character" w:styleId="35">
    <w:name w:val="Emphasis"/>
    <w:qFormat/>
    <w:uiPriority w:val="0"/>
  </w:style>
  <w:style w:type="character" w:styleId="36">
    <w:name w:val="HTML Definition"/>
    <w:qFormat/>
    <w:uiPriority w:val="0"/>
    <w:rPr>
      <w:i/>
      <w:sz w:val="27"/>
      <w:szCs w:val="27"/>
    </w:rPr>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0"/>
    <w:rPr>
      <w:color w:val="333333"/>
      <w:u w:val="none"/>
    </w:rPr>
  </w:style>
  <w:style w:type="character" w:styleId="41">
    <w:name w:val="HTML Code"/>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HTML Keyboard"/>
    <w:qFormat/>
    <w:uiPriority w:val="0"/>
    <w:rPr>
      <w:rFonts w:hint="default" w:ascii="Consolas" w:hAnsi="Consolas" w:eastAsia="Consolas" w:cs="Consolas"/>
      <w:color w:val="FFFFFF"/>
      <w:sz w:val="21"/>
      <w:szCs w:val="21"/>
      <w:shd w:val="clear" w:color="auto" w:fill="333333"/>
    </w:rPr>
  </w:style>
  <w:style w:type="character" w:styleId="45">
    <w:name w:val="HTML Sample"/>
    <w:qFormat/>
    <w:uiPriority w:val="0"/>
    <w:rPr>
      <w:rFonts w:ascii="Consolas" w:hAnsi="Consolas" w:eastAsia="Consolas" w:cs="Consolas"/>
      <w:sz w:val="21"/>
      <w:szCs w:val="21"/>
    </w:rPr>
  </w:style>
  <w:style w:type="character" w:customStyle="1" w:styleId="46">
    <w:name w:val="正文缩进 Char"/>
    <w:link w:val="9"/>
    <w:qFormat/>
    <w:uiPriority w:val="0"/>
    <w:rPr>
      <w:rFonts w:eastAsia="宋体"/>
      <w:kern w:val="2"/>
      <w:sz w:val="21"/>
      <w:szCs w:val="24"/>
      <w:lang w:val="en-US" w:eastAsia="zh-CN" w:bidi="ar-SA"/>
    </w:rPr>
  </w:style>
  <w:style w:type="character" w:customStyle="1" w:styleId="47">
    <w:name w:val="文档结构图 Char"/>
    <w:link w:val="12"/>
    <w:qFormat/>
    <w:uiPriority w:val="0"/>
    <w:rPr>
      <w:rFonts w:ascii="宋体"/>
      <w:kern w:val="2"/>
      <w:sz w:val="18"/>
      <w:szCs w:val="18"/>
    </w:rPr>
  </w:style>
  <w:style w:type="character" w:customStyle="1" w:styleId="48">
    <w:name w:val="批注文字 Char"/>
    <w:link w:val="13"/>
    <w:qFormat/>
    <w:uiPriority w:val="0"/>
    <w:rPr>
      <w:kern w:val="2"/>
      <w:sz w:val="21"/>
      <w:szCs w:val="24"/>
    </w:rPr>
  </w:style>
  <w:style w:type="character" w:customStyle="1" w:styleId="49">
    <w:name w:val="批注框文本 Char"/>
    <w:link w:val="19"/>
    <w:qFormat/>
    <w:uiPriority w:val="0"/>
    <w:rPr>
      <w:kern w:val="2"/>
      <w:sz w:val="18"/>
      <w:szCs w:val="18"/>
    </w:rPr>
  </w:style>
  <w:style w:type="character" w:customStyle="1" w:styleId="50">
    <w:name w:val="页眉 Char"/>
    <w:link w:val="21"/>
    <w:qFormat/>
    <w:uiPriority w:val="0"/>
    <w:rPr>
      <w:kern w:val="2"/>
      <w:sz w:val="18"/>
      <w:szCs w:val="18"/>
    </w:rPr>
  </w:style>
  <w:style w:type="character" w:customStyle="1" w:styleId="51">
    <w:name w:val="HTML 预设格式 Char"/>
    <w:link w:val="26"/>
    <w:qFormat/>
    <w:uiPriority w:val="99"/>
    <w:rPr>
      <w:rFonts w:ascii="宋体" w:hAnsi="宋体" w:cs="宋体"/>
      <w:sz w:val="24"/>
      <w:szCs w:val="24"/>
    </w:rPr>
  </w:style>
  <w:style w:type="character" w:customStyle="1" w:styleId="52">
    <w:name w:val="批注主题 Char"/>
    <w:basedOn w:val="48"/>
    <w:link w:val="28"/>
    <w:qFormat/>
    <w:uiPriority w:val="0"/>
  </w:style>
  <w:style w:type="character" w:customStyle="1" w:styleId="53">
    <w:name w:val="font31"/>
    <w:qFormat/>
    <w:uiPriority w:val="0"/>
    <w:rPr>
      <w:rFonts w:ascii="Dutch801 Rm BT" w:hAnsi="Dutch801 Rm BT" w:eastAsia="Dutch801 Rm BT" w:cs="Dutch801 Rm BT"/>
      <w:color w:val="000000"/>
      <w:sz w:val="18"/>
      <w:szCs w:val="18"/>
      <w:u w:val="none"/>
    </w:rPr>
  </w:style>
  <w:style w:type="character" w:customStyle="1" w:styleId="54">
    <w:name w:val="glyphicon4"/>
    <w:basedOn w:val="31"/>
    <w:qFormat/>
    <w:uiPriority w:val="0"/>
  </w:style>
  <w:style w:type="character" w:customStyle="1" w:styleId="55">
    <w:name w:val="NormalCharacter"/>
    <w:semiHidden/>
    <w:qFormat/>
    <w:uiPriority w:val="0"/>
  </w:style>
  <w:style w:type="character" w:customStyle="1" w:styleId="56">
    <w:name w:val="old"/>
    <w:qFormat/>
    <w:uiPriority w:val="0"/>
    <w:rPr>
      <w:color w:val="999999"/>
    </w:rPr>
  </w:style>
  <w:style w:type="character" w:customStyle="1" w:styleId="57">
    <w:name w:val="glyphicon"/>
    <w:basedOn w:val="31"/>
    <w:qFormat/>
    <w:uiPriority w:val="0"/>
  </w:style>
  <w:style w:type="character" w:customStyle="1" w:styleId="58">
    <w:name w:val="button"/>
    <w:basedOn w:val="31"/>
    <w:qFormat/>
    <w:uiPriority w:val="0"/>
  </w:style>
  <w:style w:type="character" w:customStyle="1" w:styleId="59">
    <w:name w:val="hover3"/>
    <w:qFormat/>
    <w:uiPriority w:val="0"/>
    <w:rPr>
      <w:shd w:val="clear" w:color="auto" w:fill="EEEEEE"/>
    </w:rPr>
  </w:style>
  <w:style w:type="character" w:customStyle="1" w:styleId="60">
    <w:name w:val="font01"/>
    <w:qFormat/>
    <w:uiPriority w:val="0"/>
    <w:rPr>
      <w:rFonts w:hint="eastAsia" w:ascii="宋体" w:hAnsi="宋体" w:eastAsia="宋体" w:cs="宋体"/>
      <w:color w:val="000000"/>
      <w:sz w:val="18"/>
      <w:szCs w:val="18"/>
      <w:u w:val="none"/>
    </w:rPr>
  </w:style>
  <w:style w:type="character" w:customStyle="1" w:styleId="61">
    <w:name w:val="tmpztreemove_arrow"/>
    <w:qFormat/>
    <w:uiPriority w:val="0"/>
    <w:rPr>
      <w:shd w:val="clear" w:color="auto" w:fill="FFFFFF"/>
    </w:rPr>
  </w:style>
  <w:style w:type="character" w:customStyle="1" w:styleId="62">
    <w:name w:val="hover"/>
    <w:qFormat/>
    <w:uiPriority w:val="0"/>
    <w:rPr>
      <w:shd w:val="clear" w:color="auto" w:fill="EEEEEE"/>
    </w:rPr>
  </w:style>
  <w:style w:type="character" w:customStyle="1" w:styleId="63">
    <w:name w:val="样式 正文缩进 + 首行缩进:  2 字符 Char Char"/>
    <w:link w:val="64"/>
    <w:qFormat/>
    <w:uiPriority w:val="0"/>
    <w:rPr>
      <w:rFonts w:cs="宋体"/>
      <w:kern w:val="2"/>
      <w:sz w:val="24"/>
    </w:rPr>
  </w:style>
  <w:style w:type="paragraph" w:customStyle="1" w:styleId="64">
    <w:name w:val="样式 正文缩进 + 首行缩进:  2 字符"/>
    <w:basedOn w:val="9"/>
    <w:link w:val="63"/>
    <w:qFormat/>
    <w:uiPriority w:val="0"/>
    <w:pPr>
      <w:spacing w:line="360" w:lineRule="auto"/>
      <w:ind w:firstLine="200"/>
    </w:pPr>
    <w:rPr>
      <w:sz w:val="24"/>
      <w:szCs w:val="20"/>
    </w:rPr>
  </w:style>
  <w:style w:type="character" w:customStyle="1" w:styleId="65">
    <w:name w:val="indent"/>
    <w:basedOn w:val="31"/>
    <w:qFormat/>
    <w:uiPriority w:val="0"/>
  </w:style>
  <w:style w:type="character" w:customStyle="1" w:styleId="66">
    <w:name w:val="hour_am"/>
    <w:basedOn w:val="31"/>
    <w:qFormat/>
    <w:uiPriority w:val="0"/>
  </w:style>
  <w:style w:type="character" w:customStyle="1" w:styleId="67">
    <w:name w:val="hour_pm"/>
    <w:basedOn w:val="31"/>
    <w:qFormat/>
    <w:uiPriority w:val="0"/>
  </w:style>
  <w:style w:type="paragraph" w:customStyle="1" w:styleId="68">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69">
    <w:name w:val="Plain Text"/>
    <w:basedOn w:val="1"/>
    <w:qFormat/>
    <w:uiPriority w:val="0"/>
    <w:rPr>
      <w:rFonts w:ascii="宋体" w:hAnsi="Courier New" w:eastAsia="宋体" w:cs="Courier New"/>
      <w:szCs w:val="21"/>
    </w:rPr>
  </w:style>
  <w:style w:type="paragraph" w:customStyle="1" w:styleId="70">
    <w:name w:val="中文正文、"/>
    <w:basedOn w:val="1"/>
    <w:qFormat/>
    <w:uiPriority w:val="0"/>
    <w:pPr>
      <w:spacing w:line="360" w:lineRule="auto"/>
      <w:ind w:firstLine="420" w:firstLineChars="200"/>
      <w:jc w:val="left"/>
    </w:pPr>
    <w:rPr>
      <w:szCs w:val="21"/>
    </w:rPr>
  </w:style>
  <w:style w:type="paragraph" w:customStyle="1" w:styleId="71">
    <w:name w:val="p0"/>
    <w:basedOn w:val="1"/>
    <w:qFormat/>
    <w:uiPriority w:val="0"/>
    <w:pPr>
      <w:widowControl/>
      <w:spacing w:line="360" w:lineRule="auto"/>
      <w:jc w:val="left"/>
    </w:pPr>
    <w:rPr>
      <w:rFonts w:ascii="Calibri" w:hAnsi="Calibri"/>
      <w:kern w:val="0"/>
      <w:szCs w:val="21"/>
      <w:lang w:eastAsia="en-US" w:bidi="en-US"/>
    </w:rPr>
  </w:style>
  <w:style w:type="paragraph" w:customStyle="1" w:styleId="72">
    <w:name w:val="正文格式"/>
    <w:basedOn w:val="1"/>
    <w:qFormat/>
    <w:uiPriority w:val="0"/>
    <w:pPr>
      <w:widowControl/>
      <w:adjustRightInd w:val="0"/>
      <w:snapToGrid w:val="0"/>
      <w:spacing w:line="400" w:lineRule="atLeast"/>
      <w:ind w:firstLine="482"/>
      <w:textAlignment w:val="baseline"/>
    </w:pPr>
    <w:rPr>
      <w:rFonts w:ascii="Calibri" w:hAnsi="Calibri" w:eastAsia="宋体" w:cs="Times New Roman"/>
      <w:kern w:val="0"/>
      <w:sz w:val="24"/>
      <w:szCs w:val="20"/>
    </w:rPr>
  </w:style>
  <w:style w:type="paragraph" w:customStyle="1" w:styleId="73">
    <w:name w:val="*正文"/>
    <w:basedOn w:val="1"/>
    <w:qFormat/>
    <w:uiPriority w:val="0"/>
    <w:pPr>
      <w:ind w:firstLine="480"/>
    </w:pPr>
    <w:rPr>
      <w:rFonts w:hint="eastAsia" w:ascii="Calibri" w:hAnsi="Calibri" w:eastAsia="宋体" w:cs="Times New Roman"/>
      <w:sz w:val="24"/>
      <w:szCs w:val="24"/>
    </w:rPr>
  </w:style>
  <w:style w:type="paragraph" w:customStyle="1" w:styleId="74">
    <w:name w:val="表格文字中"/>
    <w:basedOn w:val="1"/>
    <w:qFormat/>
    <w:uiPriority w:val="0"/>
    <w:pPr>
      <w:adjustRightInd w:val="0"/>
      <w:snapToGrid w:val="0"/>
      <w:ind w:left="22" w:leftChars="8"/>
      <w:jc w:val="center"/>
    </w:pPr>
    <w:rPr>
      <w:kern w:val="0"/>
      <w:szCs w:val="24"/>
    </w:rPr>
  </w:style>
  <w:style w:type="paragraph" w:customStyle="1" w:styleId="7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76">
    <w:name w:val="List Paragraph1"/>
    <w:basedOn w:val="1"/>
    <w:qFormat/>
    <w:uiPriority w:val="0"/>
    <w:pPr>
      <w:spacing w:line="240" w:lineRule="auto"/>
      <w:ind w:firstLine="420" w:firstLineChars="200"/>
    </w:pPr>
  </w:style>
  <w:style w:type="paragraph" w:styleId="77">
    <w:name w:val="List Paragraph"/>
    <w:basedOn w:val="1"/>
    <w:qFormat/>
    <w:uiPriority w:val="99"/>
    <w:pPr>
      <w:spacing w:line="240" w:lineRule="auto"/>
      <w:ind w:firstLine="420" w:firstLineChars="200"/>
    </w:pPr>
  </w:style>
  <w:style w:type="paragraph" w:styleId="7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列出段落1"/>
    <w:basedOn w:val="1"/>
    <w:qFormat/>
    <w:uiPriority w:val="0"/>
    <w:pPr>
      <w:widowControl/>
      <w:ind w:firstLine="420" w:firstLineChars="200"/>
      <w:jc w:val="left"/>
    </w:pPr>
    <w:rPr>
      <w:rFonts w:ascii="宋体" w:hAnsi="宋体" w:cs="宋体"/>
      <w:kern w:val="0"/>
      <w:szCs w:val="24"/>
    </w:rPr>
  </w:style>
  <w:style w:type="paragraph" w:customStyle="1" w:styleId="80">
    <w:name w:val="正文样式"/>
    <w:basedOn w:val="1"/>
    <w:qFormat/>
    <w:uiPriority w:val="0"/>
    <w:pPr>
      <w:spacing w:line="360" w:lineRule="auto"/>
      <w:ind w:firstLine="480" w:firstLineChars="200"/>
    </w:pPr>
    <w:rPr>
      <w:szCs w:val="24"/>
    </w:rPr>
  </w:style>
  <w:style w:type="paragraph" w:customStyle="1" w:styleId="81">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82">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83">
    <w:name w:val="方案正文"/>
    <w:basedOn w:val="1"/>
    <w:qFormat/>
    <w:uiPriority w:val="0"/>
    <w:pPr>
      <w:adjustRightInd w:val="0"/>
      <w:snapToGrid w:val="0"/>
      <w:spacing w:line="360" w:lineRule="auto"/>
      <w:ind w:firstLine="480" w:firstLineChars="200"/>
      <w:jc w:val="left"/>
    </w:pPr>
    <w:rPr>
      <w:rFonts w:ascii="宋体"/>
      <w:kern w:val="0"/>
      <w:sz w:val="24"/>
    </w:rPr>
  </w:style>
  <w:style w:type="paragraph" w:customStyle="1" w:styleId="84">
    <w:name w:val="a正文"/>
    <w:basedOn w:val="1"/>
    <w:qFormat/>
    <w:uiPriority w:val="0"/>
    <w:pPr>
      <w:snapToGrid w:val="0"/>
      <w:spacing w:line="360" w:lineRule="auto"/>
      <w:ind w:firstLine="601" w:firstLineChars="200"/>
    </w:pPr>
    <w:rPr>
      <w:rFonts w:ascii="仿宋" w:hAnsi="仿宋" w:eastAsia="仿宋" w:cs="华文中宋"/>
      <w:color w:val="000000"/>
      <w:spacing w:val="18"/>
      <w:w w:val="95"/>
      <w:kern w:val="0"/>
      <w:sz w:val="28"/>
      <w:szCs w:val="28"/>
    </w:rPr>
  </w:style>
  <w:style w:type="paragraph" w:customStyle="1" w:styleId="85">
    <w:name w:val="title1"/>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23360</Words>
  <Characters>24573</Characters>
  <Lines>195</Lines>
  <Paragraphs>54</Paragraphs>
  <TotalTime>90</TotalTime>
  <ScaleCrop>false</ScaleCrop>
  <LinksUpToDate>false</LinksUpToDate>
  <CharactersWithSpaces>27898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2019-12-02T03:24:00Z</dcterms:created>
  <dc:creator>sammy</dc:creator>
  <cp:lastModifiedBy>WPS_1604051838</cp:lastModifiedBy>
  <cp:lastPrinted>2022-07-13T00:40:00Z</cp:lastPrinted>
  <dcterms:modified xsi:type="dcterms:W3CDTF">2022-07-22T09:26:14Z</dcterms:modified>
  <dc:title>项目编号：SXHXZB2014-ZC-DY1003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8D968BDA97E84DD8AB86E3198F6EC5A4</vt:lpwstr>
  </property>
</Properties>
</file>