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ilvl w:val="0"/>
          <w:numId w:val="1"/>
        </w:numPr>
        <w:jc w:val="center"/>
        <w:rPr>
          <w:rFonts w:hint="eastAsia" w:ascii="仿宋" w:hAnsi="仿宋" w:eastAsia="仿宋" w:cs="仿宋"/>
          <w:bCs/>
          <w:sz w:val="36"/>
          <w:szCs w:val="36"/>
        </w:rPr>
      </w:pPr>
      <w:bookmarkStart w:id="0" w:name="_Toc12205"/>
      <w:bookmarkStart w:id="1" w:name="_Toc7682"/>
      <w:r>
        <w:rPr>
          <w:rFonts w:hint="eastAsia" w:ascii="仿宋" w:hAnsi="仿宋" w:eastAsia="仿宋" w:cs="仿宋"/>
          <w:bCs/>
          <w:sz w:val="36"/>
          <w:szCs w:val="36"/>
        </w:rPr>
        <w:t>竞争性磋商内容及服务要求</w:t>
      </w:r>
      <w:bookmarkEnd w:id="0"/>
      <w:bookmarkEnd w:id="1"/>
    </w:p>
    <w:p>
      <w:pPr>
        <w:spacing w:before="196" w:line="360" w:lineRule="auto"/>
        <w:ind w:right="1188" w:rightChars="495"/>
        <w:jc w:val="left"/>
        <w:outlineLvl w:val="1"/>
        <w:rPr>
          <w:rFonts w:hint="eastAsia" w:ascii="仿宋" w:hAnsi="仿宋" w:eastAsia="仿宋" w:cs="仿宋"/>
          <w:b/>
          <w:sz w:val="24"/>
          <w:szCs w:val="24"/>
        </w:rPr>
      </w:pPr>
      <w:bookmarkStart w:id="2" w:name="_Toc11905"/>
      <w:bookmarkStart w:id="3" w:name="_Toc1279"/>
      <w:r>
        <w:rPr>
          <w:rFonts w:hint="eastAsia" w:ascii="仿宋" w:hAnsi="仿宋" w:eastAsia="仿宋" w:cs="仿宋"/>
          <w:b/>
          <w:sz w:val="24"/>
          <w:szCs w:val="24"/>
        </w:rPr>
        <w:t>一、项目基本情况</w:t>
      </w:r>
      <w:bookmarkEnd w:id="2"/>
      <w:bookmarkEnd w:id="3"/>
    </w:p>
    <w:p>
      <w:pPr>
        <w:spacing w:line="360" w:lineRule="auto"/>
        <w:ind w:firstLine="480" w:firstLineChars="200"/>
        <w:jc w:val="left"/>
        <w:rPr>
          <w:rFonts w:hint="eastAsia" w:ascii="仿宋" w:hAnsi="仿宋" w:eastAsia="仿宋" w:cs="仿宋"/>
          <w:color w:val="000000"/>
          <w:sz w:val="24"/>
          <w:szCs w:val="24"/>
          <w:lang w:val="en-US" w:eastAsia="zh-CN"/>
        </w:rPr>
      </w:pPr>
      <w:r>
        <w:rPr>
          <w:rFonts w:hint="eastAsia" w:ascii="仿宋" w:hAnsi="仿宋" w:eastAsia="仿宋" w:cs="仿宋"/>
          <w:i w:val="0"/>
          <w:iCs w:val="0"/>
          <w:caps w:val="0"/>
          <w:color w:val="333333"/>
          <w:spacing w:val="0"/>
          <w:sz w:val="24"/>
          <w:szCs w:val="24"/>
          <w:shd w:val="clear" w:color="auto" w:fill="FFFFFF"/>
        </w:rPr>
        <w:t>西安市公安局长安分局新办公地址位于西安市长安区韦曲街道西长安街2366号（长安区政府对面，西北政法大学长安校区西侧）</w:t>
      </w:r>
      <w:r>
        <w:rPr>
          <w:rFonts w:hint="eastAsia" w:ascii="仿宋" w:hAnsi="仿宋" w:eastAsia="仿宋" w:cs="仿宋"/>
          <w:i w:val="0"/>
          <w:iCs w:val="0"/>
          <w:caps w:val="0"/>
          <w:color w:val="333333"/>
          <w:spacing w:val="0"/>
          <w:sz w:val="24"/>
          <w:szCs w:val="24"/>
          <w:shd w:val="clear" w:color="auto" w:fill="FFFFFF"/>
          <w:lang w:eastAsia="zh-CN"/>
        </w:rPr>
        <w:t>，</w:t>
      </w:r>
      <w:r>
        <w:rPr>
          <w:rFonts w:hint="eastAsia" w:ascii="仿宋" w:hAnsi="仿宋" w:eastAsia="仿宋" w:cs="仿宋"/>
          <w:i w:val="0"/>
          <w:iCs w:val="0"/>
          <w:caps w:val="0"/>
          <w:color w:val="333333"/>
          <w:spacing w:val="0"/>
          <w:sz w:val="24"/>
          <w:szCs w:val="24"/>
          <w:shd w:val="clear" w:color="auto" w:fill="FFFFFF"/>
          <w:lang w:val="en-US" w:eastAsia="zh-CN"/>
        </w:rPr>
        <w:t>机关占地面积14674平方米，办公大楼地面7层，地下一层，建筑面积约10000平方米</w:t>
      </w:r>
      <w:r>
        <w:rPr>
          <w:rFonts w:hint="eastAsia" w:ascii="仿宋" w:hAnsi="仿宋" w:eastAsia="仿宋" w:cs="仿宋"/>
          <w:color w:val="000000"/>
          <w:sz w:val="24"/>
          <w:szCs w:val="24"/>
          <w:lang w:val="en-US" w:eastAsia="zh-CN"/>
        </w:rPr>
        <w:t>（最终均以具体实测面积为准）</w:t>
      </w:r>
      <w:r>
        <w:rPr>
          <w:rFonts w:hint="eastAsia" w:ascii="仿宋" w:hAnsi="仿宋" w:eastAsia="仿宋" w:cs="仿宋"/>
          <w:i w:val="0"/>
          <w:iCs w:val="0"/>
          <w:caps w:val="0"/>
          <w:color w:val="333333"/>
          <w:spacing w:val="0"/>
          <w:sz w:val="24"/>
          <w:szCs w:val="24"/>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房屋性质:办公用房。</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物业服务范围包含楼宇内</w:t>
      </w:r>
      <w:r>
        <w:rPr>
          <w:rFonts w:hint="eastAsia" w:ascii="仿宋" w:hAnsi="仿宋" w:eastAsia="仿宋" w:cs="仿宋"/>
          <w:sz w:val="24"/>
          <w:szCs w:val="24"/>
          <w:lang w:val="en-US" w:eastAsia="zh-CN"/>
        </w:rPr>
        <w:t>及室外道路、绿地等</w:t>
      </w:r>
      <w:r>
        <w:rPr>
          <w:rFonts w:hint="eastAsia" w:ascii="仿宋" w:hAnsi="仿宋" w:eastAsia="仿宋" w:cs="仿宋"/>
          <w:sz w:val="24"/>
          <w:szCs w:val="24"/>
        </w:rPr>
        <w:t>区域的保洁、</w:t>
      </w:r>
      <w:r>
        <w:rPr>
          <w:rFonts w:hint="eastAsia" w:ascii="仿宋" w:hAnsi="仿宋" w:eastAsia="仿宋" w:cs="仿宋"/>
          <w:sz w:val="24"/>
          <w:szCs w:val="24"/>
          <w:lang w:val="en-US" w:eastAsia="zh-CN"/>
        </w:rPr>
        <w:t>室外绿化、</w:t>
      </w:r>
      <w:r>
        <w:rPr>
          <w:rFonts w:hint="eastAsia" w:ascii="仿宋" w:hAnsi="仿宋" w:eastAsia="仿宋" w:cs="仿宋"/>
          <w:sz w:val="24"/>
          <w:szCs w:val="24"/>
        </w:rPr>
        <w:t>秩序维护和安全保卫、楼宇建筑及配套用房的管理和维护</w:t>
      </w:r>
      <w:r>
        <w:rPr>
          <w:rFonts w:hint="eastAsia" w:ascii="仿宋" w:hAnsi="仿宋" w:eastAsia="仿宋" w:cs="仿宋"/>
          <w:sz w:val="24"/>
          <w:szCs w:val="24"/>
          <w:lang w:val="en-US" w:eastAsia="zh-CN"/>
        </w:rPr>
        <w:t>及</w:t>
      </w:r>
      <w:r>
        <w:rPr>
          <w:rFonts w:hint="eastAsia" w:ascii="仿宋" w:hAnsi="仿宋" w:eastAsia="仿宋" w:cs="仿宋"/>
          <w:sz w:val="24"/>
          <w:szCs w:val="24"/>
        </w:rPr>
        <w:t>共用设施设备管理维护等。</w:t>
      </w:r>
    </w:p>
    <w:p>
      <w:pPr>
        <w:pStyle w:val="3"/>
        <w:spacing w:line="360" w:lineRule="auto"/>
        <w:ind w:right="1188" w:rightChars="495"/>
        <w:jc w:val="left"/>
        <w:outlineLvl w:val="1"/>
        <w:rPr>
          <w:rFonts w:hint="eastAsia" w:ascii="仿宋" w:hAnsi="仿宋" w:eastAsia="仿宋" w:cs="仿宋"/>
          <w:b/>
          <w:sz w:val="24"/>
          <w:szCs w:val="24"/>
        </w:rPr>
      </w:pPr>
      <w:bookmarkStart w:id="4" w:name="_Toc32071"/>
      <w:bookmarkStart w:id="5" w:name="_Toc17589"/>
      <w:r>
        <w:rPr>
          <w:rFonts w:hint="eastAsia" w:ascii="仿宋" w:hAnsi="仿宋" w:eastAsia="仿宋" w:cs="仿宋"/>
          <w:b/>
          <w:sz w:val="24"/>
          <w:szCs w:val="24"/>
        </w:rPr>
        <w:t>二、物业服务范围</w:t>
      </w:r>
      <w:bookmarkEnd w:id="4"/>
      <w:bookmarkEnd w:id="5"/>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1.楼宇建筑及配套用房的管理和维护；</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2.区域内的保洁工作；</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3.区域内的</w:t>
      </w:r>
      <w:r>
        <w:rPr>
          <w:rFonts w:hint="eastAsia" w:ascii="仿宋" w:hAnsi="仿宋" w:eastAsia="仿宋" w:cs="仿宋"/>
          <w:sz w:val="24"/>
          <w:szCs w:val="24"/>
          <w:lang w:val="en-US" w:eastAsia="zh-CN"/>
        </w:rPr>
        <w:t>绿化</w:t>
      </w:r>
      <w:r>
        <w:rPr>
          <w:rFonts w:hint="eastAsia" w:ascii="仿宋" w:hAnsi="仿宋" w:eastAsia="仿宋" w:cs="仿宋"/>
          <w:sz w:val="24"/>
          <w:szCs w:val="24"/>
        </w:rPr>
        <w:t>工作；</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.秩序维护和安全保卫；</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共用设施设备管理、维护。</w:t>
      </w:r>
    </w:p>
    <w:p>
      <w:pPr>
        <w:pStyle w:val="3"/>
        <w:spacing w:line="360" w:lineRule="auto"/>
        <w:ind w:right="1188" w:rightChars="495"/>
        <w:jc w:val="left"/>
        <w:outlineLvl w:val="1"/>
        <w:rPr>
          <w:rFonts w:hint="eastAsia" w:ascii="仿宋" w:hAnsi="仿宋" w:eastAsia="仿宋" w:cs="仿宋"/>
          <w:b/>
          <w:sz w:val="24"/>
          <w:szCs w:val="24"/>
        </w:rPr>
      </w:pPr>
      <w:bookmarkStart w:id="6" w:name="_Toc25615"/>
      <w:bookmarkStart w:id="7" w:name="_Toc12071"/>
      <w:r>
        <w:rPr>
          <w:rFonts w:hint="eastAsia" w:ascii="仿宋" w:hAnsi="仿宋" w:eastAsia="仿宋" w:cs="仿宋"/>
          <w:b/>
          <w:sz w:val="24"/>
          <w:szCs w:val="24"/>
        </w:rPr>
        <mc:AlternateContent>
          <mc:Choice Requires="wps">
            <w:drawing>
              <wp:anchor distT="0" distB="0" distL="114300" distR="114300" simplePos="0" relativeHeight="251659264" behindDoc="0" locked="0" layoutInCell="1" allowOverlap="1">
                <wp:simplePos x="0" y="0"/>
                <wp:positionH relativeFrom="page">
                  <wp:posOffset>1063625</wp:posOffset>
                </wp:positionH>
                <wp:positionV relativeFrom="paragraph">
                  <wp:posOffset>654685</wp:posOffset>
                </wp:positionV>
                <wp:extent cx="18415" cy="20320"/>
                <wp:effectExtent l="0" t="0" r="12065" b="2540"/>
                <wp:wrapNone/>
                <wp:docPr id="2" name="任意多边形 2"/>
                <wp:cNvGraphicFramePr/>
                <a:graphic xmlns:a="http://schemas.openxmlformats.org/drawingml/2006/main">
                  <a:graphicData uri="http://schemas.microsoft.com/office/word/2010/wordprocessingShape">
                    <wps:wsp>
                      <wps:cNvSpPr/>
                      <wps:spPr bwMode="auto">
                        <a:xfrm>
                          <a:off x="0" y="0"/>
                          <a:ext cx="18415" cy="20320"/>
                        </a:xfrm>
                        <a:custGeom>
                          <a:avLst/>
                          <a:gdLst>
                            <a:gd name="T0" fmla="+- 0 1704 1675"/>
                            <a:gd name="T1" fmla="*/ T0 w 29"/>
                            <a:gd name="T2" fmla="+- 0 1032 1032"/>
                            <a:gd name="T3" fmla="*/ 1032 h 32"/>
                            <a:gd name="T4" fmla="+- 0 1685 1675"/>
                            <a:gd name="T5" fmla="*/ T4 w 29"/>
                            <a:gd name="T6" fmla="+- 0 1032 1032"/>
                            <a:gd name="T7" fmla="*/ 1032 h 32"/>
                            <a:gd name="T8" fmla="+- 0 1675 1675"/>
                            <a:gd name="T9" fmla="*/ T8 w 29"/>
                            <a:gd name="T10" fmla="+- 0 1032 1032"/>
                            <a:gd name="T11" fmla="*/ 1032 h 32"/>
                            <a:gd name="T12" fmla="+- 0 1675 1675"/>
                            <a:gd name="T13" fmla="*/ T12 w 29"/>
                            <a:gd name="T14" fmla="+- 0 1042 1032"/>
                            <a:gd name="T15" fmla="*/ 1042 h 32"/>
                            <a:gd name="T16" fmla="+- 0 1675 1675"/>
                            <a:gd name="T17" fmla="*/ T16 w 29"/>
                            <a:gd name="T18" fmla="+- 0 1063 1032"/>
                            <a:gd name="T19" fmla="*/ 1063 h 32"/>
                            <a:gd name="T20" fmla="+- 0 1685 1675"/>
                            <a:gd name="T21" fmla="*/ T20 w 29"/>
                            <a:gd name="T22" fmla="+- 0 1063 1032"/>
                            <a:gd name="T23" fmla="*/ 1063 h 32"/>
                            <a:gd name="T24" fmla="+- 0 1685 1675"/>
                            <a:gd name="T25" fmla="*/ T24 w 29"/>
                            <a:gd name="T26" fmla="+- 0 1042 1032"/>
                            <a:gd name="T27" fmla="*/ 1042 h 32"/>
                            <a:gd name="T28" fmla="+- 0 1704 1675"/>
                            <a:gd name="T29" fmla="*/ T28 w 29"/>
                            <a:gd name="T30" fmla="+- 0 1042 1032"/>
                            <a:gd name="T31" fmla="*/ 1042 h 32"/>
                            <a:gd name="T32" fmla="+- 0 1704 1675"/>
                            <a:gd name="T33" fmla="*/ T32 w 29"/>
                            <a:gd name="T34" fmla="+- 0 1032 1032"/>
                            <a:gd name="T35" fmla="*/ 10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3.75pt;margin-top:51.55pt;height:1.6pt;width:1.45pt;mso-position-horizontal-relative:page;z-index:251659264;mso-width-relative:page;mso-height-relative:page;" fillcolor="#000000" filled="t" stroked="f" coordsize="29,32" o:gfxdata="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jkI1rtgAAAALAQAADwAAAAAAAAABACAAAAAiAAAAZHJzL2Rvd25yZXYu&#10;eG1sUEsBAhQAFAAAAAgAh07iQFLkM1X8AwAA4gwAAA4AAAAAAAAAAQAgAAAAJwEAAGRycy9lMm9E&#10;b2MueG1sUEsFBgAAAAAGAAYAWQEAAJUHAAAAAA==&#10;" path="m29,0l10,0,0,0,0,10,0,31,10,31,10,10,29,10,29,0e">
                <v:path o:connectlocs="18415,655320;6350,655320;0,655320;0,661670;0,675005;6350,675005;6350,661670;18415,661670;18415,655320" o:connectangles="0,0,0,0,0,0,0,0,0"/>
                <v:fill on="t" focussize="0,0"/>
                <v:stroke on="f"/>
                <v:imagedata o:title=""/>
                <o:lock v:ext="edit" aspectratio="f"/>
              </v:shape>
            </w:pict>
          </mc:Fallback>
        </mc:AlternateContent>
      </w:r>
      <w:r>
        <w:rPr>
          <w:rFonts w:hint="eastAsia" w:ascii="仿宋" w:hAnsi="仿宋" w:eastAsia="仿宋" w:cs="仿宋"/>
          <w:b/>
          <w:sz w:val="24"/>
          <w:szCs w:val="24"/>
        </w:rPr>
        <w:t>三、物业服务内容和标准</w:t>
      </w:r>
      <w:bookmarkEnd w:id="6"/>
      <w:bookmarkEnd w:id="7"/>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8"/>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48" w:type="pct"/>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项目</w:t>
            </w:r>
          </w:p>
        </w:tc>
        <w:tc>
          <w:tcPr>
            <w:tcW w:w="3651" w:type="pct"/>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34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pacing w:val="-3"/>
                <w:sz w:val="24"/>
                <w:szCs w:val="24"/>
              </w:rPr>
              <w:t>房屋日常管理养护</w:t>
            </w:r>
          </w:p>
        </w:tc>
        <w:tc>
          <w:tcPr>
            <w:tcW w:w="3651" w:type="pct"/>
            <w:noWrap w:val="0"/>
            <w:vAlign w:val="center"/>
          </w:tcPr>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1.房屋外观整洁完好、房屋完好率100%；</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2.日常养护及时且合格率95% 以上</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pct"/>
            <w:noWrap w:val="0"/>
            <w:vAlign w:val="center"/>
          </w:tcPr>
          <w:p>
            <w:pPr>
              <w:spacing w:line="360"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共用设施设备管护</w:t>
            </w:r>
          </w:p>
        </w:tc>
        <w:tc>
          <w:tcPr>
            <w:tcW w:w="3651" w:type="pct"/>
            <w:noWrap w:val="0"/>
            <w:vAlign w:val="center"/>
          </w:tcPr>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严格遵守操作规程，定期巡查，保养及时，确保供水、供电、供暖、通信、照明等共用设施设备齐全完好、无事故隐患、安全正常运行； </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电梯定期维保，每月不得少于2次日常维保</w:t>
            </w:r>
            <w:r>
              <w:rPr>
                <w:rFonts w:hint="eastAsia" w:ascii="仿宋" w:hAnsi="仿宋" w:eastAsia="仿宋" w:cs="仿宋"/>
                <w:sz w:val="24"/>
                <w:szCs w:val="24"/>
              </w:rPr>
              <w:t>；</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.区域内地面、楼梯、台阶等自然破损之处能及时得到修复；</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.定期检查消防设施设备，消防设备保护完好，可随时启用；</w:t>
            </w:r>
          </w:p>
          <w:p>
            <w:pPr>
              <w:widowControl/>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.负责对区域内房屋共用部位、配套的共用设施设备和相关场地进行简单维修（如公共用水、照明设施的简单维修，照明灯管更换，门窗锁的简单维修，水龙头的更换及家具等的简单维修等）</w:t>
            </w:r>
            <w:r>
              <w:rPr>
                <w:rFonts w:hint="eastAsia" w:ascii="仿宋" w:hAnsi="仿宋" w:eastAsia="仿宋" w:cs="仿宋"/>
                <w:sz w:val="24"/>
                <w:szCs w:val="24"/>
                <w:lang w:eastAsia="zh-CN"/>
              </w:rPr>
              <w:t>；</w:t>
            </w:r>
          </w:p>
          <w:p>
            <w:pPr>
              <w:pStyle w:val="3"/>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6.每年定期对中央空调检查保养；</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7.每年不少于1次楼宇外立面清洗。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pct"/>
            <w:noWrap w:val="0"/>
            <w:vAlign w:val="center"/>
          </w:tcPr>
          <w:p>
            <w:pPr>
              <w:spacing w:line="360"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绿植养护</w:t>
            </w:r>
          </w:p>
        </w:tc>
        <w:tc>
          <w:tcPr>
            <w:tcW w:w="3651" w:type="pct"/>
            <w:noWrap w:val="0"/>
            <w:vAlign w:val="center"/>
          </w:tcPr>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负责</w:t>
            </w:r>
            <w:r>
              <w:rPr>
                <w:rFonts w:hint="eastAsia" w:ascii="仿宋" w:hAnsi="仿宋" w:eastAsia="仿宋" w:cs="仿宋"/>
                <w:sz w:val="24"/>
                <w:szCs w:val="24"/>
                <w:lang w:val="en-US" w:eastAsia="zh-CN"/>
              </w:rPr>
              <w:t>机关</w:t>
            </w:r>
            <w:r>
              <w:rPr>
                <w:rFonts w:hint="eastAsia" w:ascii="仿宋" w:hAnsi="仿宋" w:eastAsia="仿宋" w:cs="仿宋"/>
                <w:sz w:val="24"/>
                <w:szCs w:val="24"/>
              </w:rPr>
              <w:t>草坪、树木、花坛、道路两旁绿植等区域绿植养护服务；</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花灌木及时修剪，精心管护按时浇水、施肥、除草、喷药，做到整齐、平整、中间无缺苗、无杂草、无病虫害发生，确保植被保持健康、整洁、美观。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pct"/>
            <w:noWrap w:val="0"/>
            <w:vAlign w:val="center"/>
          </w:tcPr>
          <w:p>
            <w:pPr>
              <w:spacing w:line="360"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环境卫生管理</w:t>
            </w:r>
          </w:p>
        </w:tc>
        <w:tc>
          <w:tcPr>
            <w:tcW w:w="3651" w:type="pct"/>
            <w:noWrap w:val="0"/>
            <w:vAlign w:val="center"/>
          </w:tcPr>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建立环境卫生管理制度并认真落实，环卫设施齐备；</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楼宇清洁率100%，对公共区域实行8小时保洁制度；</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门、门厅、电梯、办公区域、</w:t>
            </w:r>
            <w:r>
              <w:rPr>
                <w:rFonts w:hint="eastAsia" w:ascii="仿宋" w:hAnsi="仿宋" w:eastAsia="仿宋" w:cs="仿宋"/>
                <w:sz w:val="24"/>
                <w:szCs w:val="24"/>
                <w:lang w:val="en-US" w:eastAsia="zh-CN"/>
              </w:rPr>
              <w:t>员工餐厅</w:t>
            </w:r>
            <w:r>
              <w:rPr>
                <w:rFonts w:hint="eastAsia" w:ascii="仿宋" w:hAnsi="仿宋" w:eastAsia="仿宋" w:cs="仿宋"/>
                <w:sz w:val="24"/>
                <w:szCs w:val="24"/>
              </w:rPr>
              <w:t>区域、楼梯、楼道、卫生间、监控探头、扶手、开关面板、消防栓、过道门、踢角线、地面、玻璃等每天最少清洁 2 次，全天保洁；公共厕所定期消毒，每天 2 次全面清洁，全天保洁，确保无异味、无堵塞、无跑冒滴漏现象， 保持隔板完好、整洁、无乱涂乱帖；</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做好石材和地砖保养 清洗、垃圾收集清运、消杀（灭虫和卫生消杀）工作；楼宇主出入口等有关场地有适当的摆放花木，保持环境整洁美观；</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做到楼内无痰迹、无烟头、果皮、纸屑等各类废弃物；</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各类标识保持干净、整齐和端正；环卫设施完备整洁，合理布设垃圾桶、果壳箱; 果皮箱、垃圾桶每天清除及清洗一次，维护果皮箱完好无损；</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垃圾日产日清，及时收集并按规定时间清运至垃圾压缩站，无垃圾桶、果壳箱满溢现象；</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无随意堆放杂物和占用，不见废弃物、污渍，卫生间洁净无异味；及时清扫积水，确保物业容貌整洁。定期杀灭四害及 防白蚁、防蛀专业消杀。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pct"/>
            <w:noWrap w:val="0"/>
            <w:vAlign w:val="center"/>
          </w:tcPr>
          <w:p>
            <w:pPr>
              <w:spacing w:line="360"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秩序维护和安全保卫</w:t>
            </w:r>
          </w:p>
        </w:tc>
        <w:tc>
          <w:tcPr>
            <w:tcW w:w="3651" w:type="pct"/>
            <w:noWrap w:val="0"/>
            <w:vAlign w:val="top"/>
          </w:tcPr>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服从</w:t>
            </w:r>
            <w:r>
              <w:rPr>
                <w:rFonts w:hint="eastAsia" w:ascii="仿宋" w:hAnsi="仿宋" w:eastAsia="仿宋" w:cs="仿宋"/>
                <w:sz w:val="24"/>
                <w:szCs w:val="24"/>
                <w:lang w:val="en-US" w:eastAsia="zh-CN"/>
              </w:rPr>
              <w:t>机关</w:t>
            </w:r>
            <w:r>
              <w:rPr>
                <w:rFonts w:hint="eastAsia" w:ascii="仿宋" w:hAnsi="仿宋" w:eastAsia="仿宋" w:cs="仿宋"/>
                <w:sz w:val="24"/>
                <w:szCs w:val="24"/>
              </w:rPr>
              <w:t>安全管理有关规定，自觉接受</w:t>
            </w:r>
            <w:r>
              <w:rPr>
                <w:rFonts w:hint="eastAsia" w:ascii="仿宋" w:hAnsi="仿宋" w:eastAsia="仿宋" w:cs="仿宋"/>
                <w:sz w:val="24"/>
                <w:szCs w:val="24"/>
                <w:lang w:val="en-US" w:eastAsia="zh-CN"/>
              </w:rPr>
              <w:t>机关</w:t>
            </w:r>
            <w:r>
              <w:rPr>
                <w:rFonts w:hint="eastAsia" w:ascii="仿宋" w:hAnsi="仿宋" w:eastAsia="仿宋" w:cs="仿宋"/>
                <w:sz w:val="24"/>
                <w:szCs w:val="24"/>
              </w:rPr>
              <w:t>党委保卫部的监督与指导，全面负责区域内门卫及安全值班、巡逻、事故防范与处理、消防等安保消防工作，确保安全和正常工作环境，及时发现迅速有效处置突发事件；</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大门口 24 小时值班，严格执行来访登记制度，重要区域定时巡查，严防偷盗和火灾；保安人员须经过突发事件应急处理培训，对盗窃、火灾、水浸、公共事物纠纷、滋事等突发事件有应急处理预案；</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各类设施设备、公共场所、场地、危及人身安全隐患处有明显警示标志和防范措施。对楼内工作人员及其他人员携带大宗物品出门，按要求登记放行；对求助、投诉，立即通知相关部门；</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对来访人员的咨询，态度和蔼，征得被访人同意后，登记后放行，并提供指引服务；注意门岗及周边情况，发现异常，应及时劝止，情况严重的，应及时向主管领导报告。</w:t>
            </w:r>
          </w:p>
          <w:p>
            <w:pPr>
              <w:widowControl/>
              <w:numPr>
                <w:ilvl w:val="0"/>
                <w:numId w:val="0"/>
              </w:num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安全巡查须按规定时间和规定线路在楼内巡逻，白天不少于</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次，夜间不少于</w:t>
            </w:r>
            <w:r>
              <w:rPr>
                <w:rFonts w:hint="eastAsia" w:ascii="仿宋" w:hAnsi="仿宋" w:eastAsia="仿宋" w:cs="仿宋"/>
                <w:sz w:val="24"/>
                <w:szCs w:val="24"/>
                <w:lang w:val="en-US" w:eastAsia="zh-CN"/>
              </w:rPr>
              <w:t>5</w:t>
            </w:r>
            <w:r>
              <w:rPr>
                <w:rFonts w:hint="eastAsia" w:ascii="仿宋" w:hAnsi="仿宋" w:eastAsia="仿宋" w:cs="仿宋"/>
                <w:sz w:val="24"/>
                <w:szCs w:val="24"/>
              </w:rPr>
              <w:t>次，巡逻时不偏点、跳点和漏点。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pct"/>
            <w:noWrap w:val="0"/>
            <w:vAlign w:val="center"/>
          </w:tcPr>
          <w:p>
            <w:pPr>
              <w:spacing w:line="360"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物业档案资料管理</w:t>
            </w:r>
          </w:p>
        </w:tc>
        <w:tc>
          <w:tcPr>
            <w:tcW w:w="3651" w:type="pct"/>
            <w:noWrap w:val="0"/>
            <w:vAlign w:val="top"/>
          </w:tcPr>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必须保证甲方交给物业档案资料（包括设备维修、改造的档案资料） 的完整性、完好性，建立乙方完整的物业服务方案资料。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pct"/>
            <w:noWrap w:val="0"/>
            <w:vAlign w:val="center"/>
          </w:tcPr>
          <w:p>
            <w:pPr>
              <w:spacing w:line="360" w:lineRule="auto"/>
              <w:jc w:val="center"/>
              <w:rPr>
                <w:rFonts w:hint="eastAsia" w:ascii="仿宋" w:hAnsi="仿宋" w:eastAsia="仿宋" w:cs="仿宋"/>
                <w:spacing w:val="-3"/>
                <w:sz w:val="24"/>
                <w:szCs w:val="24"/>
              </w:rPr>
            </w:pPr>
            <w:r>
              <w:rPr>
                <w:rFonts w:hint="eastAsia" w:ascii="仿宋" w:hAnsi="仿宋" w:eastAsia="仿宋" w:cs="仿宋"/>
                <w:spacing w:val="-3"/>
                <w:sz w:val="24"/>
                <w:szCs w:val="24"/>
              </w:rPr>
              <w:t>其他</w:t>
            </w:r>
          </w:p>
        </w:tc>
        <w:tc>
          <w:tcPr>
            <w:tcW w:w="3651" w:type="pct"/>
            <w:noWrap w:val="0"/>
            <w:vAlign w:val="top"/>
          </w:tcPr>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rPr>
              <w:t>物业员工制服应统一，并佩戴工牌。物业员工的福利待遇应明确。合同结束时，区域内的所有设施设备的规格、质量、数量应与合同开始时保持一致。</w:t>
            </w:r>
          </w:p>
        </w:tc>
      </w:tr>
    </w:tbl>
    <w:p>
      <w:pPr>
        <w:pStyle w:val="3"/>
        <w:spacing w:line="360" w:lineRule="auto"/>
        <w:ind w:right="1188" w:rightChars="495"/>
        <w:jc w:val="left"/>
        <w:outlineLvl w:val="1"/>
        <w:rPr>
          <w:rFonts w:hint="eastAsia" w:ascii="仿宋" w:hAnsi="仿宋" w:eastAsia="仿宋" w:cs="仿宋"/>
          <w:b/>
          <w:sz w:val="24"/>
          <w:szCs w:val="24"/>
        </w:rPr>
      </w:pPr>
      <w:r>
        <w:rPr>
          <w:rFonts w:hint="eastAsia" w:ascii="仿宋" w:hAnsi="仿宋" w:eastAsia="仿宋" w:cs="仿宋"/>
          <w:b/>
          <w:sz w:val="24"/>
          <w:szCs w:val="24"/>
        </w:rPr>
        <mc:AlternateContent>
          <mc:Choice Requires="wps">
            <w:drawing>
              <wp:anchor distT="0" distB="0" distL="114300" distR="114300" simplePos="0" relativeHeight="251660288" behindDoc="0" locked="0" layoutInCell="1" allowOverlap="1">
                <wp:simplePos x="0" y="0"/>
                <wp:positionH relativeFrom="page">
                  <wp:posOffset>1063625</wp:posOffset>
                </wp:positionH>
                <wp:positionV relativeFrom="paragraph">
                  <wp:posOffset>654685</wp:posOffset>
                </wp:positionV>
                <wp:extent cx="18415" cy="20320"/>
                <wp:effectExtent l="0" t="0" r="12065" b="2540"/>
                <wp:wrapNone/>
                <wp:docPr id="5" name="任意多边形 5"/>
                <wp:cNvGraphicFramePr/>
                <a:graphic xmlns:a="http://schemas.openxmlformats.org/drawingml/2006/main">
                  <a:graphicData uri="http://schemas.microsoft.com/office/word/2010/wordprocessingShape">
                    <wps:wsp>
                      <wps:cNvSpPr/>
                      <wps:spPr bwMode="auto">
                        <a:xfrm>
                          <a:off x="0" y="0"/>
                          <a:ext cx="18415" cy="20320"/>
                        </a:xfrm>
                        <a:custGeom>
                          <a:avLst/>
                          <a:gdLst>
                            <a:gd name="T0" fmla="+- 0 1704 1675"/>
                            <a:gd name="T1" fmla="*/ T0 w 29"/>
                            <a:gd name="T2" fmla="+- 0 1032 1032"/>
                            <a:gd name="T3" fmla="*/ 1032 h 32"/>
                            <a:gd name="T4" fmla="+- 0 1685 1675"/>
                            <a:gd name="T5" fmla="*/ T4 w 29"/>
                            <a:gd name="T6" fmla="+- 0 1032 1032"/>
                            <a:gd name="T7" fmla="*/ 1032 h 32"/>
                            <a:gd name="T8" fmla="+- 0 1675 1675"/>
                            <a:gd name="T9" fmla="*/ T8 w 29"/>
                            <a:gd name="T10" fmla="+- 0 1032 1032"/>
                            <a:gd name="T11" fmla="*/ 1032 h 32"/>
                            <a:gd name="T12" fmla="+- 0 1675 1675"/>
                            <a:gd name="T13" fmla="*/ T12 w 29"/>
                            <a:gd name="T14" fmla="+- 0 1042 1032"/>
                            <a:gd name="T15" fmla="*/ 1042 h 32"/>
                            <a:gd name="T16" fmla="+- 0 1675 1675"/>
                            <a:gd name="T17" fmla="*/ T16 w 29"/>
                            <a:gd name="T18" fmla="+- 0 1063 1032"/>
                            <a:gd name="T19" fmla="*/ 1063 h 32"/>
                            <a:gd name="T20" fmla="+- 0 1685 1675"/>
                            <a:gd name="T21" fmla="*/ T20 w 29"/>
                            <a:gd name="T22" fmla="+- 0 1063 1032"/>
                            <a:gd name="T23" fmla="*/ 1063 h 32"/>
                            <a:gd name="T24" fmla="+- 0 1685 1675"/>
                            <a:gd name="T25" fmla="*/ T24 w 29"/>
                            <a:gd name="T26" fmla="+- 0 1042 1032"/>
                            <a:gd name="T27" fmla="*/ 1042 h 32"/>
                            <a:gd name="T28" fmla="+- 0 1704 1675"/>
                            <a:gd name="T29" fmla="*/ T28 w 29"/>
                            <a:gd name="T30" fmla="+- 0 1042 1032"/>
                            <a:gd name="T31" fmla="*/ 1042 h 32"/>
                            <a:gd name="T32" fmla="+- 0 1704 1675"/>
                            <a:gd name="T33" fmla="*/ T32 w 29"/>
                            <a:gd name="T34" fmla="+- 0 1032 1032"/>
                            <a:gd name="T35" fmla="*/ 103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83.75pt;margin-top:51.55pt;height:1.6pt;width:1.45pt;mso-position-horizontal-relative:page;z-index:251660288;mso-width-relative:page;mso-height-relative:page;" fillcolor="#000000" filled="t" stroked="f" coordsize="29,32" o:gfxdata="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COQjWu2AAAAAsBAAAPAAAAAAAAAAEAIAAAACIAAABkcnMvZG93bnJl&#10;di54bWxQSwECFAAUAAAACACHTuJAbfKLPf4DAADiDAAADgAAAAAAAAABACAAAAAnAQAAZHJzL2Uy&#10;b0RvYy54bWxQSwUGAAAAAAYABgBZAQAAlwcAAAAA&#10;" path="m29,0l10,0,0,0,0,10,0,31,10,31,10,10,29,10,29,0e">
                <v:path o:connectlocs="18415,655320;6350,655320;0,655320;0,661670;0,675005;6350,675005;6350,661670;18415,661670;18415,655320" o:connectangles="0,0,0,0,0,0,0,0,0"/>
                <v:fill on="t" focussize="0,0"/>
                <v:stroke on="f"/>
                <v:imagedata o:title=""/>
                <o:lock v:ext="edit" aspectratio="f"/>
              </v:shape>
            </w:pict>
          </mc:Fallback>
        </mc:AlternateContent>
      </w:r>
      <w:r>
        <w:rPr>
          <w:rFonts w:hint="eastAsia" w:ascii="仿宋" w:hAnsi="仿宋" w:eastAsia="仿宋" w:cs="仿宋"/>
          <w:b/>
          <w:sz w:val="24"/>
          <w:szCs w:val="24"/>
        </w:rPr>
        <w:t>四、人员配备数量及要求</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基本配备要求：</w:t>
      </w:r>
    </w:p>
    <w:p>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保洁服务人员13人。年龄不超过45周岁。</w:t>
      </w:r>
    </w:p>
    <w:p>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保安服务人员11人。年龄不超过45周岁。</w:t>
      </w:r>
    </w:p>
    <w:p>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维修人员3名</w:t>
      </w:r>
    </w:p>
    <w:p>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绿化人员2名</w:t>
      </w:r>
    </w:p>
    <w:p>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管理人员1名</w:t>
      </w:r>
    </w:p>
    <w:p>
      <w:pPr>
        <w:spacing w:line="360" w:lineRule="auto"/>
        <w:jc w:val="left"/>
        <w:rPr>
          <w:rFonts w:hint="eastAsia" w:ascii="仿宋" w:hAnsi="仿宋" w:eastAsia="仿宋" w:cs="仿宋"/>
          <w:b/>
          <w:bCs/>
          <w:sz w:val="24"/>
          <w:szCs w:val="24"/>
        </w:rPr>
      </w:pPr>
      <w:r>
        <w:rPr>
          <w:rFonts w:hint="eastAsia" w:ascii="仿宋" w:hAnsi="仿宋" w:eastAsia="仿宋" w:cs="仿宋"/>
          <w:b/>
          <w:bCs/>
          <w:i w:val="0"/>
          <w:iCs w:val="0"/>
          <w:caps w:val="0"/>
          <w:color w:val="333333"/>
          <w:spacing w:val="0"/>
          <w:sz w:val="24"/>
          <w:szCs w:val="24"/>
          <w:shd w:val="clear" w:color="auto" w:fill="FFFFFF"/>
          <w:lang w:val="en-US" w:eastAsia="zh-CN"/>
        </w:rPr>
        <w:t>项目服务人员不得低于30人</w:t>
      </w:r>
      <w:r>
        <w:rPr>
          <w:rFonts w:hint="eastAsia" w:ascii="仿宋" w:hAnsi="仿宋" w:eastAsia="仿宋" w:cs="仿宋"/>
          <w:b/>
          <w:bCs/>
          <w:szCs w:val="24"/>
          <w:lang w:val="en-US" w:eastAsia="zh-CN"/>
        </w:rPr>
        <w:t>（低于30人按无效投标处理）</w:t>
      </w:r>
      <w:r>
        <w:rPr>
          <w:rFonts w:hint="eastAsia" w:ascii="仿宋" w:hAnsi="仿宋" w:eastAsia="仿宋" w:cs="仿宋"/>
          <w:b/>
          <w:bCs/>
          <w:i w:val="0"/>
          <w:iCs w:val="0"/>
          <w:caps w:val="0"/>
          <w:color w:val="333333"/>
          <w:spacing w:val="0"/>
          <w:sz w:val="24"/>
          <w:szCs w:val="24"/>
          <w:shd w:val="clear" w:color="auto" w:fill="FFFFFF"/>
          <w:lang w:val="en-US" w:eastAsia="zh-CN"/>
        </w:rPr>
        <w:t>。</w:t>
      </w:r>
    </w:p>
    <w:p>
      <w:pPr>
        <w:pStyle w:val="3"/>
        <w:spacing w:line="360" w:lineRule="auto"/>
        <w:ind w:right="1188" w:rightChars="495"/>
        <w:jc w:val="left"/>
        <w:outlineLvl w:val="1"/>
        <w:rPr>
          <w:rFonts w:hint="eastAsia" w:ascii="仿宋" w:hAnsi="仿宋" w:eastAsia="仿宋" w:cs="仿宋"/>
          <w:b/>
          <w:sz w:val="24"/>
          <w:szCs w:val="24"/>
        </w:rPr>
      </w:pPr>
      <w:r>
        <w:rPr>
          <w:rFonts w:hint="eastAsia" w:ascii="仿宋" w:hAnsi="仿宋" w:eastAsia="仿宋" w:cs="仿宋"/>
          <w:b/>
          <w:sz w:val="24"/>
          <w:szCs w:val="24"/>
        </w:rPr>
        <w:t>五、其他要求</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.供应商需提供针对本项目的物业服务人员配备情况；</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供应商需提供针对本项目的物业服务人员培训及考核制度；</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供应商需提供针对本项目的物业服务方案，包括但不限于：（1）绿化、保洁方案；（2）秩序、消防方案；（3）工程、节能、维修等方案；（</w:t>
      </w:r>
      <w:r>
        <w:rPr>
          <w:rFonts w:hint="eastAsia" w:ascii="仿宋" w:hAnsi="仿宋" w:eastAsia="仿宋" w:cs="仿宋"/>
          <w:sz w:val="24"/>
          <w:szCs w:val="24"/>
          <w:lang w:val="en-US" w:eastAsia="zh-CN"/>
        </w:rPr>
        <w:t>4</w:t>
      </w:r>
      <w:r>
        <w:rPr>
          <w:rFonts w:hint="eastAsia" w:ascii="仿宋" w:hAnsi="仿宋" w:eastAsia="仿宋" w:cs="仿宋"/>
          <w:sz w:val="24"/>
          <w:szCs w:val="24"/>
        </w:rPr>
        <w:t>）服务创新方案；（</w:t>
      </w:r>
      <w:r>
        <w:rPr>
          <w:rFonts w:hint="eastAsia" w:ascii="仿宋" w:hAnsi="仿宋" w:eastAsia="仿宋" w:cs="仿宋"/>
          <w:sz w:val="24"/>
          <w:szCs w:val="24"/>
          <w:lang w:val="en-US" w:eastAsia="zh-CN"/>
        </w:rPr>
        <w:t>5</w:t>
      </w:r>
      <w:r>
        <w:rPr>
          <w:rFonts w:hint="eastAsia" w:ascii="仿宋" w:hAnsi="仿宋" w:eastAsia="仿宋" w:cs="仿宋"/>
          <w:sz w:val="24"/>
          <w:szCs w:val="24"/>
        </w:rPr>
        <w:t>）应急保障措施。</w:t>
      </w:r>
    </w:p>
    <w:p>
      <w:pPr>
        <w:pStyle w:val="3"/>
        <w:spacing w:line="360" w:lineRule="auto"/>
        <w:ind w:right="1188" w:rightChars="495"/>
        <w:jc w:val="left"/>
        <w:outlineLvl w:val="1"/>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六、服务期</w:t>
      </w:r>
    </w:p>
    <w:p>
      <w:pPr>
        <w:widowControl/>
        <w:spacing w:line="360" w:lineRule="auto"/>
        <w:ind w:firstLine="480" w:firstLineChars="200"/>
        <w:jc w:val="left"/>
        <w:rPr>
          <w:rFonts w:hint="eastAsia" w:ascii="仿宋" w:hAnsi="仿宋" w:eastAsia="仿宋" w:cs="仿宋"/>
          <w:i w:val="0"/>
          <w:caps w:val="0"/>
          <w:color w:val="333333"/>
          <w:spacing w:val="0"/>
          <w:kern w:val="0"/>
          <w:sz w:val="24"/>
          <w:szCs w:val="24"/>
          <w:shd w:val="clear" w:color="auto" w:fill="FFFFFF"/>
          <w:lang w:val="en-US" w:eastAsia="zh-CN" w:bidi="ar-SA"/>
        </w:rPr>
      </w:pPr>
      <w:r>
        <w:rPr>
          <w:rFonts w:hint="eastAsia" w:ascii="仿宋" w:hAnsi="仿宋" w:eastAsia="仿宋" w:cs="仿宋"/>
          <w:kern w:val="0"/>
          <w:sz w:val="24"/>
          <w:szCs w:val="24"/>
          <w:lang w:val="en-US" w:eastAsia="zh-CN" w:bidi="ar-SA"/>
        </w:rPr>
        <w:t>1年（自2022年11月1日起至2023年10月31日止）</w:t>
      </w:r>
      <w:r>
        <w:rPr>
          <w:rFonts w:hint="eastAsia" w:ascii="仿宋" w:hAnsi="仿宋" w:eastAsia="仿宋" w:cs="仿宋"/>
          <w:i w:val="0"/>
          <w:caps w:val="0"/>
          <w:color w:val="333333"/>
          <w:spacing w:val="0"/>
          <w:kern w:val="0"/>
          <w:sz w:val="24"/>
          <w:szCs w:val="24"/>
          <w:shd w:val="clear" w:color="auto" w:fill="FFFFFF"/>
          <w:lang w:val="en-US" w:eastAsia="zh-CN" w:bidi="ar-SA"/>
        </w:rPr>
        <w:t>，具体时间根据合同签订时间相应顺延。</w:t>
      </w:r>
    </w:p>
    <w:p>
      <w:pPr>
        <w:pStyle w:val="3"/>
        <w:keepNext w:val="0"/>
        <w:keepLines w:val="0"/>
        <w:pageBreakBefore w:val="0"/>
        <w:widowControl w:val="0"/>
        <w:kinsoku/>
        <w:wordWrap/>
        <w:overflowPunct/>
        <w:topLinePunct w:val="0"/>
        <w:autoSpaceDE/>
        <w:autoSpaceDN/>
        <w:bidi w:val="0"/>
        <w:adjustRightInd/>
        <w:snapToGrid/>
        <w:spacing w:after="0"/>
        <w:ind w:firstLine="480" w:firstLineChars="200"/>
        <w:jc w:val="both"/>
        <w:textAlignment w:val="auto"/>
        <w:rPr>
          <w:rFonts w:hint="eastAsia" w:ascii="仿宋" w:hAnsi="仿宋" w:eastAsia="仿宋" w:cs="仿宋"/>
          <w:kern w:val="0"/>
          <w:sz w:val="24"/>
          <w:szCs w:val="24"/>
          <w:lang w:val="en-US" w:eastAsia="zh-CN" w:bidi="ar-SA"/>
        </w:rPr>
      </w:pPr>
    </w:p>
    <w:p>
      <w:pPr>
        <w:rPr>
          <w:rFonts w:hint="eastAsia" w:ascii="仿宋" w:hAnsi="仿宋" w:eastAsia="仿宋" w:cs="仿宋"/>
          <w:bCs/>
          <w:sz w:val="36"/>
          <w:szCs w:val="36"/>
        </w:rPr>
      </w:pPr>
    </w:p>
    <w:p>
      <w:pPr>
        <w:pStyle w:val="3"/>
        <w:rPr>
          <w:rFonts w:hint="eastAsia" w:ascii="仿宋" w:hAnsi="仿宋" w:eastAsia="仿宋" w:cs="仿宋"/>
          <w:bCs/>
          <w:sz w:val="36"/>
          <w:szCs w:val="36"/>
        </w:rPr>
      </w:pPr>
    </w:p>
    <w:p>
      <w:pPr>
        <w:rPr>
          <w:rFonts w:hint="eastAsia" w:ascii="仿宋" w:hAnsi="仿宋" w:eastAsia="仿宋" w:cs="仿宋"/>
          <w:bCs/>
          <w:sz w:val="36"/>
          <w:szCs w:val="36"/>
        </w:rPr>
      </w:pPr>
    </w:p>
    <w:p>
      <w:pPr>
        <w:pStyle w:val="3"/>
        <w:rPr>
          <w:rFonts w:hint="eastAsia" w:ascii="仿宋" w:hAnsi="仿宋" w:eastAsia="仿宋" w:cs="仿宋"/>
          <w:bCs/>
          <w:sz w:val="36"/>
          <w:szCs w:val="36"/>
        </w:rPr>
      </w:pPr>
    </w:p>
    <w:p>
      <w:pPr>
        <w:rPr>
          <w:rFonts w:hint="eastAsia" w:ascii="仿宋" w:hAnsi="仿宋" w:eastAsia="仿宋" w:cs="仿宋"/>
          <w:bCs/>
          <w:sz w:val="36"/>
          <w:szCs w:val="36"/>
        </w:rPr>
      </w:pPr>
    </w:p>
    <w:p>
      <w:pPr>
        <w:pStyle w:val="3"/>
        <w:rPr>
          <w:rFonts w:hint="eastAsia" w:ascii="仿宋" w:hAnsi="仿宋" w:eastAsia="仿宋" w:cs="仿宋"/>
          <w:bCs/>
          <w:sz w:val="36"/>
          <w:szCs w:val="36"/>
        </w:rPr>
      </w:pPr>
    </w:p>
    <w:p>
      <w:pPr>
        <w:rPr>
          <w:rFonts w:hint="eastAsia" w:ascii="仿宋" w:hAnsi="仿宋" w:eastAsia="仿宋" w:cs="仿宋"/>
          <w:bCs/>
          <w:sz w:val="36"/>
          <w:szCs w:val="36"/>
        </w:rPr>
      </w:pPr>
    </w:p>
    <w:p>
      <w:pPr>
        <w:pStyle w:val="3"/>
        <w:rPr>
          <w:rFonts w:hint="eastAsia" w:ascii="仿宋" w:hAnsi="仿宋" w:eastAsia="仿宋" w:cs="仿宋"/>
          <w:bCs/>
          <w:sz w:val="36"/>
          <w:szCs w:val="36"/>
        </w:rPr>
      </w:pPr>
    </w:p>
    <w:p>
      <w:pPr>
        <w:rPr>
          <w:rFonts w:hint="eastAsia" w:ascii="仿宋" w:hAnsi="仿宋" w:eastAsia="仿宋" w:cs="仿宋"/>
          <w:bCs/>
          <w:sz w:val="36"/>
          <w:szCs w:val="36"/>
        </w:rPr>
      </w:pPr>
    </w:p>
    <w:p>
      <w:pPr>
        <w:pStyle w:val="3"/>
        <w:rPr>
          <w:rFonts w:hint="eastAsia" w:ascii="仿宋" w:hAnsi="仿宋" w:eastAsia="仿宋" w:cs="仿宋"/>
          <w:bCs/>
          <w:sz w:val="36"/>
          <w:szCs w:val="36"/>
        </w:rPr>
      </w:pPr>
    </w:p>
    <w:p>
      <w:pPr>
        <w:rPr>
          <w:rFonts w:hint="eastAsia" w:ascii="仿宋" w:hAnsi="仿宋" w:eastAsia="仿宋" w:cs="仿宋"/>
          <w:bCs/>
          <w:sz w:val="36"/>
          <w:szCs w:val="36"/>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BB5CF"/>
    <w:multiLevelType w:val="singleLevel"/>
    <w:tmpl w:val="550BB5CF"/>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YmJhODUzYzQwNjBhMDU1MjQyMjQ5ZmE3MmY0NzEifQ=="/>
  </w:docVars>
  <w:rsids>
    <w:rsidRoot w:val="00000000"/>
    <w:rsid w:val="1B5B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2"/>
    <w:qFormat/>
    <w:uiPriority w:val="0"/>
    <w:pPr>
      <w:ind w:firstLine="420" w:firstLineChars="200"/>
    </w:pPr>
  </w:style>
  <w:style w:type="paragraph" w:styleId="5">
    <w:name w:val="Body Text Indent"/>
    <w:basedOn w:val="1"/>
    <w:qFormat/>
    <w:uiPriority w:val="0"/>
    <w:pPr>
      <w:widowControl/>
      <w:ind w:firstLine="652" w:firstLineChars="233"/>
    </w:pPr>
    <w:rPr>
      <w:rFonts w:ascii="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1948</Words>
  <Characters>2014</Characters>
  <Lines>0</Lines>
  <Paragraphs>0</Paragraphs>
  <TotalTime>0</TotalTime>
  <ScaleCrop>false</ScaleCrop>
  <LinksUpToDate>false</LinksUpToDate>
  <CharactersWithSpaces>2028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2022-10-18T02:10:28Z</dcterms:created>
  <dc:creator>Administrator</dc:creator>
  <cp:lastModifiedBy>Administrator</cp:lastModifiedBy>
  <dcterms:modified xsi:type="dcterms:W3CDTF">2022-10-18T02:10:37Z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EDCB4396D9984DE1A9BC9183CEB25E2F</vt:lpwstr>
  </property>
</Properties>
</file>