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1"/>
        <w:rPr>
          <w:rFonts w:hint="default"/>
          <w:highlight w:val="none"/>
        </w:rPr>
      </w:pPr>
      <w:r>
        <w:drawing>
          <wp:inline distT="0" distB="0" distL="114300" distR="114300">
            <wp:extent cx="6075045" cy="8018780"/>
            <wp:effectExtent l="0" t="0" r="571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075045" cy="8018780"/>
                    </a:xfrm>
                    <a:prstGeom prst="rect">
                      <a:avLst/>
                    </a:prstGeom>
                    <a:noFill/>
                    <a:ln>
                      <a:noFill/>
                    </a:ln>
                  </pic:spPr>
                </pic:pic>
              </a:graphicData>
            </a:graphic>
          </wp:inline>
        </w:drawing>
      </w:r>
    </w:p>
    <w:p>
      <w:pPr>
        <w:rPr>
          <w:rFonts w:hint="eastAsia" w:ascii="仿宋" w:hAnsi="仿宋" w:eastAsia="仿宋" w:cs="仿宋"/>
          <w:b/>
          <w:bCs/>
          <w:sz w:val="32"/>
          <w:szCs w:val="32"/>
          <w:highlight w:val="none"/>
        </w:rPr>
      </w:pPr>
    </w:p>
    <w:p>
      <w:pPr>
        <w:rPr>
          <w:rFonts w:hint="eastAsia" w:ascii="仿宋" w:hAnsi="仿宋" w:eastAsia="仿宋" w:cs="仿宋"/>
          <w:b/>
          <w:bCs/>
          <w:sz w:val="32"/>
          <w:szCs w:val="32"/>
          <w:highlight w:val="none"/>
        </w:rPr>
      </w:pPr>
    </w:p>
    <w:p>
      <w:pPr>
        <w:rPr>
          <w:rFonts w:ascii="仿宋" w:hAnsi="仿宋" w:eastAsia="仿宋" w:cs="仿宋"/>
          <w:b/>
          <w:bCs/>
          <w:sz w:val="36"/>
          <w:szCs w:val="36"/>
          <w:highlight w:val="none"/>
        </w:rPr>
      </w:pPr>
      <w:r>
        <w:rPr>
          <w:rFonts w:hint="eastAsia" w:ascii="仿宋" w:hAnsi="仿宋" w:eastAsia="仿宋" w:cs="仿宋"/>
          <w:b/>
          <w:bCs/>
          <w:sz w:val="32"/>
          <w:szCs w:val="32"/>
          <w:highlight w:val="none"/>
        </w:rPr>
        <w:t>项目编号：HXGJXM2022-ZC-CS1072</w:t>
      </w:r>
    </w:p>
    <w:p>
      <w:pPr>
        <w:rPr>
          <w:rFonts w:ascii="仿宋" w:hAnsi="仿宋" w:eastAsia="仿宋" w:cs="仿宋"/>
          <w:b/>
          <w:bCs/>
          <w:sz w:val="36"/>
          <w:szCs w:val="36"/>
          <w:highlight w:val="none"/>
        </w:rPr>
      </w:pPr>
    </w:p>
    <w:p>
      <w:pPr>
        <w:rPr>
          <w:rFonts w:ascii="仿宋" w:hAnsi="仿宋" w:eastAsia="仿宋" w:cs="仿宋"/>
          <w:b/>
          <w:bCs/>
          <w:sz w:val="70"/>
          <w:szCs w:val="70"/>
          <w:highlight w:val="none"/>
        </w:rPr>
      </w:pPr>
    </w:p>
    <w:p>
      <w:pPr>
        <w:spacing w:line="720" w:lineRule="auto"/>
        <w:jc w:val="center"/>
        <w:rPr>
          <w:rFonts w:ascii="仿宋" w:hAnsi="仿宋" w:eastAsia="仿宋" w:cs="仿宋"/>
          <w:b/>
          <w:bCs/>
          <w:sz w:val="44"/>
          <w:szCs w:val="44"/>
          <w:highlight w:val="none"/>
        </w:rPr>
      </w:pPr>
      <w:r>
        <w:rPr>
          <w:rFonts w:hint="eastAsia" w:ascii="仿宋" w:hAnsi="仿宋" w:eastAsia="仿宋" w:cs="仿宋"/>
          <w:b/>
          <w:bCs/>
          <w:sz w:val="44"/>
          <w:szCs w:val="44"/>
          <w:highlight w:val="none"/>
        </w:rPr>
        <w:t>郭杜派出所修缮改扩建项目</w:t>
      </w:r>
    </w:p>
    <w:p>
      <w:pPr>
        <w:jc w:val="center"/>
        <w:rPr>
          <w:rFonts w:ascii="仿宋" w:hAnsi="仿宋" w:eastAsia="仿宋" w:cs="仿宋"/>
          <w:b/>
          <w:bCs/>
          <w:sz w:val="36"/>
          <w:szCs w:val="36"/>
          <w:highlight w:val="none"/>
        </w:rPr>
      </w:pPr>
    </w:p>
    <w:p>
      <w:pPr>
        <w:jc w:val="center"/>
        <w:rPr>
          <w:rFonts w:ascii="仿宋" w:hAnsi="仿宋" w:eastAsia="仿宋" w:cs="仿宋"/>
          <w:b/>
          <w:bCs/>
          <w:sz w:val="36"/>
          <w:szCs w:val="36"/>
          <w:highlight w:val="none"/>
        </w:rPr>
      </w:pPr>
    </w:p>
    <w:p>
      <w:pPr>
        <w:jc w:val="center"/>
        <w:rPr>
          <w:rFonts w:ascii="仿宋" w:hAnsi="仿宋" w:eastAsia="仿宋" w:cs="仿宋"/>
          <w:b/>
          <w:bCs/>
          <w:sz w:val="36"/>
          <w:szCs w:val="36"/>
          <w:highlight w:val="none"/>
        </w:rPr>
      </w:pPr>
    </w:p>
    <w:p>
      <w:pPr>
        <w:spacing w:line="780" w:lineRule="auto"/>
        <w:jc w:val="center"/>
        <w:rPr>
          <w:rFonts w:ascii="仿宋" w:hAnsi="仿宋" w:eastAsia="仿宋" w:cs="仿宋"/>
          <w:b/>
          <w:sz w:val="72"/>
          <w:szCs w:val="72"/>
          <w:highlight w:val="none"/>
        </w:rPr>
      </w:pPr>
      <w:bookmarkStart w:id="0" w:name="_Toc363463325"/>
      <w:r>
        <w:rPr>
          <w:rFonts w:hint="eastAsia" w:ascii="仿宋" w:hAnsi="仿宋" w:eastAsia="仿宋" w:cs="仿宋"/>
          <w:b/>
          <w:sz w:val="72"/>
          <w:szCs w:val="72"/>
          <w:highlight w:val="none"/>
        </w:rPr>
        <w:t>竞争性磋商文件</w:t>
      </w:r>
    </w:p>
    <w:p>
      <w:pPr>
        <w:jc w:val="center"/>
        <w:rPr>
          <w:rFonts w:ascii="仿宋" w:hAnsi="仿宋" w:eastAsia="仿宋" w:cs="仿宋"/>
          <w:b/>
          <w:bCs/>
          <w:sz w:val="96"/>
          <w:szCs w:val="96"/>
          <w:highlight w:val="none"/>
        </w:rPr>
      </w:pPr>
    </w:p>
    <w:p>
      <w:pPr>
        <w:rPr>
          <w:rFonts w:ascii="仿宋" w:hAnsi="仿宋" w:eastAsia="仿宋" w:cs="仿宋"/>
          <w:highlight w:val="none"/>
        </w:rPr>
      </w:pPr>
    </w:p>
    <w:p>
      <w:pPr>
        <w:rPr>
          <w:rFonts w:ascii="仿宋" w:hAnsi="仿宋" w:eastAsia="仿宋" w:cs="仿宋"/>
          <w:highlight w:val="none"/>
        </w:rPr>
      </w:pPr>
    </w:p>
    <w:bookmarkEnd w:id="0"/>
    <w:p>
      <w:pPr>
        <w:jc w:val="center"/>
        <w:rPr>
          <w:rFonts w:ascii="仿宋" w:hAnsi="仿宋" w:eastAsia="仿宋" w:cs="仿宋"/>
          <w:sz w:val="36"/>
          <w:szCs w:val="36"/>
          <w:highlight w:val="none"/>
        </w:rPr>
      </w:pPr>
    </w:p>
    <w:p>
      <w:pPr>
        <w:jc w:val="center"/>
        <w:rPr>
          <w:rFonts w:ascii="仿宋" w:hAnsi="仿宋" w:eastAsia="仿宋" w:cs="仿宋"/>
          <w:sz w:val="36"/>
          <w:szCs w:val="36"/>
          <w:highlight w:val="none"/>
        </w:rPr>
      </w:pPr>
    </w:p>
    <w:p>
      <w:pPr>
        <w:rPr>
          <w:rFonts w:ascii="仿宋" w:hAnsi="仿宋" w:eastAsia="仿宋" w:cs="仿宋"/>
          <w:sz w:val="18"/>
          <w:szCs w:val="18"/>
          <w:highlight w:val="none"/>
        </w:rPr>
      </w:pPr>
    </w:p>
    <w:p>
      <w:pPr>
        <w:pStyle w:val="2"/>
        <w:rPr>
          <w:rFonts w:ascii="仿宋" w:hAnsi="仿宋" w:eastAsia="仿宋" w:cs="仿宋"/>
          <w:highlight w:val="none"/>
        </w:rPr>
      </w:pPr>
    </w:p>
    <w:p>
      <w:pPr>
        <w:rPr>
          <w:rFonts w:ascii="仿宋" w:hAnsi="仿宋" w:eastAsia="仿宋" w:cs="仿宋"/>
          <w:sz w:val="18"/>
          <w:szCs w:val="18"/>
          <w:highlight w:val="none"/>
        </w:rPr>
      </w:pPr>
    </w:p>
    <w:p>
      <w:pPr>
        <w:rPr>
          <w:rFonts w:ascii="仿宋" w:hAnsi="仿宋" w:eastAsia="仿宋" w:cs="仿宋"/>
          <w:sz w:val="18"/>
          <w:szCs w:val="18"/>
          <w:highlight w:val="none"/>
        </w:rPr>
      </w:pPr>
    </w:p>
    <w:p>
      <w:pPr>
        <w:rPr>
          <w:rFonts w:ascii="仿宋" w:hAnsi="仿宋" w:eastAsia="仿宋" w:cs="仿宋"/>
          <w:sz w:val="18"/>
          <w:szCs w:val="18"/>
          <w:highlight w:val="none"/>
        </w:rPr>
      </w:pPr>
    </w:p>
    <w:p>
      <w:pPr>
        <w:rPr>
          <w:rFonts w:ascii="仿宋" w:hAnsi="仿宋" w:eastAsia="仿宋" w:cs="仿宋"/>
          <w:sz w:val="18"/>
          <w:szCs w:val="18"/>
          <w:highlight w:val="none"/>
        </w:rPr>
      </w:pPr>
    </w:p>
    <w:p>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华夏国际项目管理有限公司</w:t>
      </w:r>
    </w:p>
    <w:p>
      <w:pPr>
        <w:tabs>
          <w:tab w:val="left" w:pos="525"/>
        </w:tabs>
        <w:ind w:left="-2" w:leftChars="-1" w:firstLine="1"/>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二〇二二年</w:t>
      </w:r>
      <w:r>
        <w:rPr>
          <w:rFonts w:hint="eastAsia" w:ascii="仿宋" w:hAnsi="仿宋" w:eastAsia="仿宋" w:cs="仿宋"/>
          <w:b/>
          <w:bCs/>
          <w:sz w:val="32"/>
          <w:szCs w:val="32"/>
          <w:highlight w:val="none"/>
          <w:lang w:val="en-US" w:eastAsia="zh-CN"/>
        </w:rPr>
        <w:t>十</w:t>
      </w:r>
      <w:r>
        <w:rPr>
          <w:rFonts w:hint="eastAsia" w:ascii="仿宋" w:hAnsi="仿宋" w:eastAsia="仿宋" w:cs="仿宋"/>
          <w:b/>
          <w:bCs/>
          <w:sz w:val="32"/>
          <w:szCs w:val="32"/>
          <w:highlight w:val="none"/>
        </w:rPr>
        <w:t>月</w:t>
      </w:r>
    </w:p>
    <w:p>
      <w:pPr>
        <w:spacing w:line="800" w:lineRule="exact"/>
        <w:jc w:val="center"/>
        <w:rPr>
          <w:rFonts w:ascii="仿宋" w:hAnsi="仿宋" w:eastAsia="仿宋" w:cs="仿宋"/>
          <w:b/>
          <w:bCs/>
          <w:sz w:val="32"/>
          <w:szCs w:val="32"/>
          <w:highlight w:val="none"/>
        </w:rPr>
      </w:pPr>
    </w:p>
    <w:p>
      <w:pPr>
        <w:pStyle w:val="2"/>
      </w:pPr>
    </w:p>
    <w:p>
      <w:pPr>
        <w:pStyle w:val="31"/>
        <w:rPr>
          <w:rFonts w:hint="default"/>
          <w:highlight w:val="none"/>
        </w:rPr>
      </w:pPr>
    </w:p>
    <w:p>
      <w:pPr>
        <w:spacing w:after="156" w:afterLines="50"/>
        <w:jc w:val="center"/>
        <w:rPr>
          <w:rFonts w:ascii="仿宋" w:hAnsi="仿宋" w:eastAsia="仿宋" w:cs="仿宋"/>
          <w:b/>
          <w:bCs/>
          <w:sz w:val="36"/>
          <w:szCs w:val="36"/>
          <w:highlight w:val="none"/>
        </w:rPr>
      </w:pPr>
      <w:bookmarkStart w:id="1" w:name="_Toc20858"/>
      <w:bookmarkStart w:id="2" w:name="_Toc21518"/>
      <w:bookmarkStart w:id="3" w:name="_Toc438073527"/>
      <w:bookmarkStart w:id="4" w:name="_Toc20652"/>
      <w:bookmarkStart w:id="5" w:name="_Toc16218"/>
      <w:bookmarkStart w:id="6" w:name="_Toc19886"/>
      <w:bookmarkStart w:id="7" w:name="_Toc5293"/>
      <w:bookmarkStart w:id="8" w:name="_Toc389582033"/>
      <w:r>
        <w:rPr>
          <w:rFonts w:hint="eastAsia" w:ascii="仿宋" w:hAnsi="仿宋" w:eastAsia="仿宋" w:cs="仿宋"/>
          <w:b/>
          <w:bCs/>
          <w:sz w:val="36"/>
          <w:szCs w:val="36"/>
          <w:highlight w:val="none"/>
        </w:rPr>
        <w:t>特别提示</w:t>
      </w:r>
    </w:p>
    <w:p>
      <w:pPr>
        <w:spacing w:line="560" w:lineRule="exact"/>
        <w:rPr>
          <w:rFonts w:ascii="仿宋" w:hAnsi="仿宋" w:eastAsia="仿宋" w:cs="仿宋"/>
          <w:sz w:val="24"/>
          <w:szCs w:val="24"/>
          <w:highlight w:val="none"/>
        </w:rPr>
      </w:pPr>
      <w:r>
        <w:rPr>
          <w:rFonts w:hint="eastAsia" w:ascii="仿宋" w:hAnsi="仿宋" w:eastAsia="仿宋" w:cs="仿宋"/>
          <w:sz w:val="24"/>
          <w:szCs w:val="24"/>
          <w:highlight w:val="none"/>
        </w:rPr>
        <w:t>各供应商，在此我们特别提醒您注意以下事项：</w:t>
      </w:r>
    </w:p>
    <w:p>
      <w:pPr>
        <w:spacing w:line="56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一、有关磋商响应文件：</w:t>
      </w:r>
    </w:p>
    <w:p>
      <w:pPr>
        <w:spacing w:line="5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1、请仔细阅读磋商文件并正确理解磋商文件中各项具体要求。如对磋商文件有疑问，请在磋商文件规定的时间内以书面形式提出，逾期将被拒绝受理。</w:t>
      </w:r>
    </w:p>
    <w:p>
      <w:pPr>
        <w:spacing w:line="5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2、请严格按照磋商文件载明的磋商响应文件的格式要求编制磋商响应文件，磋商响应文件须胶装成册。</w:t>
      </w:r>
    </w:p>
    <w:p>
      <w:pPr>
        <w:spacing w:line="5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3、请仔细核对磋商响应文件是否已按照磋商文件的要求签字、签章和加盖单位公章，实质性条款是否满足磋商文件要求，磋商响应文件中所附资格证明等资料是否齐全、有效且是否满足磋商文件要求。</w:t>
      </w:r>
    </w:p>
    <w:p>
      <w:pPr>
        <w:spacing w:line="5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4、请您按照磋商文件要求密封磋商响应文件，并正确标记。</w:t>
      </w:r>
    </w:p>
    <w:p>
      <w:pPr>
        <w:spacing w:line="5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提示：磋商响应文件若不满足以上条件将有被否决的风险。</w:t>
      </w:r>
    </w:p>
    <w:p>
      <w:pPr>
        <w:spacing w:line="56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二、有关磋商：</w:t>
      </w:r>
    </w:p>
    <w:p>
      <w:pPr>
        <w:spacing w:line="5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1、除磋商文件要求递交的文件和资料外，请随身携带磋商文件要求提供的其他备查文件原件。</w:t>
      </w:r>
    </w:p>
    <w:p>
      <w:pPr>
        <w:spacing w:line="5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2、请务必考虑天气情况、交通情况以及您对磋商地址的路线熟悉等情况于磋商公告规定的时间及地点递交磋商响应文件，磋商响应文件逾期到达，将被拒绝接收。</w:t>
      </w:r>
    </w:p>
    <w:p>
      <w:pPr>
        <w:spacing w:line="56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3、各供应商限派一名代表（法定代表人或授权代表）参加磋商活动，省内人员须持西安市一码通绿码，省外人员须符合西安市疫情防控的相关规定。</w:t>
      </w:r>
    </w:p>
    <w:p>
      <w:pPr>
        <w:spacing w:line="5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4、请到达文件递交地点后及时到磋商响应文件接收处签字登记。</w:t>
      </w:r>
    </w:p>
    <w:p>
      <w:pPr>
        <w:spacing w:line="56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三、关于弃标的说明</w:t>
      </w:r>
    </w:p>
    <w:p>
      <w:pPr>
        <w:spacing w:line="56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按照《西安市财政局关于促进政府采购公平竞争优化营商环境的通知》（市财函〔2021) 431号）规定：供应商登记免费领取磋商文件的，如不参与项目磋商，应在递交磋商响应文件截止时间前一日以书面形式告知釆购代理机构。否则，采购代理机构可以向财政部门反映情况并提供相应的佐证。供应商一年内累计出现三次该情形，将被监管部门记录为失信行为。</w:t>
      </w:r>
    </w:p>
    <w:p>
      <w:pPr>
        <w:spacing w:line="56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四、关于供应商注册登记提醒：</w:t>
      </w:r>
    </w:p>
    <w:p>
      <w:pPr>
        <w:spacing w:line="56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spacing w:line="56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请各供应商仔细阅读上述提示。如需帮助，请您与我们的工作人员联系，我们将非常高兴地为您服务。</w:t>
      </w:r>
    </w:p>
    <w:p>
      <w:pPr>
        <w:jc w:val="center"/>
        <w:rPr>
          <w:rFonts w:ascii="仿宋" w:hAnsi="仿宋" w:eastAsia="仿宋" w:cs="仿宋"/>
          <w:b/>
          <w:bCs/>
          <w:sz w:val="44"/>
          <w:szCs w:val="44"/>
          <w:highlight w:val="none"/>
        </w:rPr>
        <w:sectPr>
          <w:headerReference r:id="rId4" w:type="first"/>
          <w:headerReference r:id="rId3" w:type="default"/>
          <w:footerReference r:id="rId5" w:type="default"/>
          <w:pgSz w:w="11906" w:h="16838"/>
          <w:pgMar w:top="1417" w:right="1418" w:bottom="1417" w:left="1417" w:header="851" w:footer="850" w:gutter="0"/>
          <w:cols w:space="720" w:num="1"/>
          <w:titlePg/>
          <w:docGrid w:type="lines" w:linePitch="312" w:charSpace="0"/>
        </w:sectPr>
      </w:pPr>
    </w:p>
    <w:p>
      <w:pPr>
        <w:spacing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目  录</w:t>
      </w:r>
    </w:p>
    <w:p>
      <w:pPr>
        <w:pStyle w:val="25"/>
        <w:tabs>
          <w:tab w:val="right" w:leader="dot" w:pos="8788"/>
        </w:tabs>
        <w:rPr>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"1-3" \h \u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_Toc9572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第一章  竞争性磋商公告</w:t>
      </w:r>
      <w:bookmarkStart w:id="415" w:name="_GoBack"/>
      <w:bookmarkEnd w:id="415"/>
      <w:r>
        <w:rPr>
          <w:sz w:val="28"/>
          <w:szCs w:val="28"/>
          <w:highlight w:val="none"/>
        </w:rPr>
        <w:tab/>
      </w:r>
      <w:r>
        <w:rPr>
          <w:sz w:val="28"/>
          <w:szCs w:val="28"/>
          <w:highlight w:val="none"/>
        </w:rPr>
        <w:fldChar w:fldCharType="begin"/>
      </w:r>
      <w:r>
        <w:rPr>
          <w:sz w:val="28"/>
          <w:szCs w:val="28"/>
          <w:highlight w:val="none"/>
        </w:rPr>
        <w:instrText xml:space="preserve"> PAGEREF _Toc9572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ascii="仿宋" w:hAnsi="仿宋" w:eastAsia="仿宋" w:cs="仿宋"/>
          <w:sz w:val="28"/>
          <w:szCs w:val="28"/>
          <w:highlight w:val="none"/>
        </w:rPr>
        <w:fldChar w:fldCharType="end"/>
      </w:r>
    </w:p>
    <w:p>
      <w:pPr>
        <w:pStyle w:val="25"/>
        <w:tabs>
          <w:tab w:val="right" w:leader="dot" w:pos="8788"/>
        </w:tabs>
        <w:rPr>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_Toc28446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第二章  供应商须知</w:t>
      </w:r>
      <w:r>
        <w:rPr>
          <w:sz w:val="28"/>
          <w:szCs w:val="28"/>
          <w:highlight w:val="none"/>
        </w:rPr>
        <w:tab/>
      </w:r>
      <w:r>
        <w:rPr>
          <w:sz w:val="28"/>
          <w:szCs w:val="28"/>
          <w:highlight w:val="none"/>
        </w:rPr>
        <w:fldChar w:fldCharType="begin"/>
      </w:r>
      <w:r>
        <w:rPr>
          <w:sz w:val="28"/>
          <w:szCs w:val="28"/>
          <w:highlight w:val="none"/>
        </w:rPr>
        <w:instrText xml:space="preserve"> PAGEREF _Toc28446 \h </w:instrText>
      </w:r>
      <w:r>
        <w:rPr>
          <w:sz w:val="28"/>
          <w:szCs w:val="28"/>
          <w:highlight w:val="none"/>
        </w:rPr>
        <w:fldChar w:fldCharType="separate"/>
      </w:r>
      <w:r>
        <w:rPr>
          <w:sz w:val="28"/>
          <w:szCs w:val="28"/>
          <w:highlight w:val="none"/>
        </w:rPr>
        <w:t>4</w:t>
      </w:r>
      <w:r>
        <w:rPr>
          <w:sz w:val="28"/>
          <w:szCs w:val="28"/>
          <w:highlight w:val="none"/>
        </w:rPr>
        <w:fldChar w:fldCharType="end"/>
      </w:r>
      <w:r>
        <w:rPr>
          <w:rFonts w:hint="eastAsia" w:ascii="仿宋" w:hAnsi="仿宋" w:eastAsia="仿宋" w:cs="仿宋"/>
          <w:sz w:val="28"/>
          <w:szCs w:val="28"/>
          <w:highlight w:val="none"/>
        </w:rPr>
        <w:fldChar w:fldCharType="end"/>
      </w:r>
    </w:p>
    <w:p>
      <w:pPr>
        <w:pStyle w:val="25"/>
        <w:tabs>
          <w:tab w:val="right" w:leader="dot" w:pos="8788"/>
        </w:tabs>
        <w:rPr>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_Toc1316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第三章  评审方法</w:t>
      </w:r>
      <w:r>
        <w:rPr>
          <w:sz w:val="28"/>
          <w:szCs w:val="28"/>
          <w:highlight w:val="none"/>
        </w:rPr>
        <w:tab/>
      </w:r>
      <w:r>
        <w:rPr>
          <w:sz w:val="28"/>
          <w:szCs w:val="28"/>
          <w:highlight w:val="none"/>
        </w:rPr>
        <w:fldChar w:fldCharType="begin"/>
      </w:r>
      <w:r>
        <w:rPr>
          <w:sz w:val="28"/>
          <w:szCs w:val="28"/>
          <w:highlight w:val="none"/>
        </w:rPr>
        <w:instrText xml:space="preserve"> PAGEREF _Toc1316 \h </w:instrText>
      </w:r>
      <w:r>
        <w:rPr>
          <w:sz w:val="28"/>
          <w:szCs w:val="28"/>
          <w:highlight w:val="none"/>
        </w:rPr>
        <w:fldChar w:fldCharType="separate"/>
      </w:r>
      <w:r>
        <w:rPr>
          <w:sz w:val="28"/>
          <w:szCs w:val="28"/>
          <w:highlight w:val="none"/>
        </w:rPr>
        <w:t>22</w:t>
      </w:r>
      <w:r>
        <w:rPr>
          <w:sz w:val="28"/>
          <w:szCs w:val="28"/>
          <w:highlight w:val="none"/>
        </w:rPr>
        <w:fldChar w:fldCharType="end"/>
      </w:r>
      <w:r>
        <w:rPr>
          <w:rFonts w:hint="eastAsia" w:ascii="仿宋" w:hAnsi="仿宋" w:eastAsia="仿宋" w:cs="仿宋"/>
          <w:sz w:val="28"/>
          <w:szCs w:val="28"/>
          <w:highlight w:val="none"/>
        </w:rPr>
        <w:fldChar w:fldCharType="end"/>
      </w:r>
    </w:p>
    <w:p>
      <w:pPr>
        <w:pStyle w:val="25"/>
        <w:tabs>
          <w:tab w:val="right" w:leader="dot" w:pos="8788"/>
        </w:tabs>
        <w:rPr>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_Toc1226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第四章  合同条款及格式</w:t>
      </w:r>
      <w:r>
        <w:rPr>
          <w:sz w:val="28"/>
          <w:szCs w:val="28"/>
          <w:highlight w:val="none"/>
        </w:rPr>
        <w:tab/>
      </w:r>
      <w:r>
        <w:rPr>
          <w:sz w:val="28"/>
          <w:szCs w:val="28"/>
          <w:highlight w:val="none"/>
        </w:rPr>
        <w:fldChar w:fldCharType="begin"/>
      </w:r>
      <w:r>
        <w:rPr>
          <w:sz w:val="28"/>
          <w:szCs w:val="28"/>
          <w:highlight w:val="none"/>
        </w:rPr>
        <w:instrText xml:space="preserve"> PAGEREF _Toc1226 \h </w:instrText>
      </w:r>
      <w:r>
        <w:rPr>
          <w:sz w:val="28"/>
          <w:szCs w:val="28"/>
          <w:highlight w:val="none"/>
        </w:rPr>
        <w:fldChar w:fldCharType="separate"/>
      </w:r>
      <w:r>
        <w:rPr>
          <w:sz w:val="28"/>
          <w:szCs w:val="28"/>
          <w:highlight w:val="none"/>
        </w:rPr>
        <w:t>31</w:t>
      </w:r>
      <w:r>
        <w:rPr>
          <w:sz w:val="28"/>
          <w:szCs w:val="28"/>
          <w:highlight w:val="none"/>
        </w:rPr>
        <w:fldChar w:fldCharType="end"/>
      </w:r>
      <w:r>
        <w:rPr>
          <w:rFonts w:hint="eastAsia" w:ascii="仿宋" w:hAnsi="仿宋" w:eastAsia="仿宋" w:cs="仿宋"/>
          <w:sz w:val="28"/>
          <w:szCs w:val="28"/>
          <w:highlight w:val="none"/>
        </w:rPr>
        <w:fldChar w:fldCharType="end"/>
      </w:r>
    </w:p>
    <w:p>
      <w:pPr>
        <w:pStyle w:val="25"/>
        <w:tabs>
          <w:tab w:val="right" w:leader="dot" w:pos="8788"/>
        </w:tabs>
        <w:rPr>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_Toc2674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第五章 工程量清单</w:t>
      </w:r>
      <w:r>
        <w:rPr>
          <w:sz w:val="28"/>
          <w:szCs w:val="28"/>
          <w:highlight w:val="none"/>
        </w:rPr>
        <w:tab/>
      </w:r>
      <w:r>
        <w:rPr>
          <w:sz w:val="28"/>
          <w:szCs w:val="28"/>
          <w:highlight w:val="none"/>
        </w:rPr>
        <w:fldChar w:fldCharType="begin"/>
      </w:r>
      <w:r>
        <w:rPr>
          <w:sz w:val="28"/>
          <w:szCs w:val="28"/>
          <w:highlight w:val="none"/>
        </w:rPr>
        <w:instrText xml:space="preserve"> PAGEREF _Toc2674 \h </w:instrText>
      </w:r>
      <w:r>
        <w:rPr>
          <w:sz w:val="28"/>
          <w:szCs w:val="28"/>
          <w:highlight w:val="none"/>
        </w:rPr>
        <w:fldChar w:fldCharType="separate"/>
      </w:r>
      <w:r>
        <w:rPr>
          <w:sz w:val="28"/>
          <w:szCs w:val="28"/>
          <w:highlight w:val="none"/>
        </w:rPr>
        <w:t>39</w:t>
      </w:r>
      <w:r>
        <w:rPr>
          <w:sz w:val="28"/>
          <w:szCs w:val="28"/>
          <w:highlight w:val="none"/>
        </w:rPr>
        <w:fldChar w:fldCharType="end"/>
      </w:r>
      <w:r>
        <w:rPr>
          <w:rFonts w:hint="eastAsia" w:ascii="仿宋" w:hAnsi="仿宋" w:eastAsia="仿宋" w:cs="仿宋"/>
          <w:sz w:val="28"/>
          <w:szCs w:val="28"/>
          <w:highlight w:val="none"/>
        </w:rPr>
        <w:fldChar w:fldCharType="end"/>
      </w:r>
    </w:p>
    <w:p>
      <w:pPr>
        <w:pStyle w:val="25"/>
        <w:tabs>
          <w:tab w:val="right" w:leader="dot" w:pos="8788"/>
        </w:tabs>
        <w:rPr>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_Toc29948 </w:instrText>
      </w:r>
      <w:r>
        <w:rPr>
          <w:rFonts w:hint="eastAsia" w:ascii="仿宋" w:hAnsi="仿宋" w:eastAsia="仿宋" w:cs="仿宋"/>
          <w:sz w:val="28"/>
          <w:szCs w:val="28"/>
          <w:highlight w:val="none"/>
        </w:rPr>
        <w:fldChar w:fldCharType="separate"/>
      </w:r>
      <w:r>
        <w:rPr>
          <w:rFonts w:ascii="仿宋" w:hAnsi="仿宋" w:eastAsia="仿宋" w:cs="仿宋"/>
          <w:sz w:val="28"/>
          <w:szCs w:val="28"/>
          <w:highlight w:val="none"/>
        </w:rPr>
        <w:t xml:space="preserve">第六章 </w:t>
      </w:r>
      <w:r>
        <w:rPr>
          <w:rFonts w:hint="eastAsia" w:ascii="仿宋" w:hAnsi="仿宋" w:eastAsia="仿宋" w:cs="仿宋"/>
          <w:sz w:val="28"/>
          <w:szCs w:val="28"/>
          <w:highlight w:val="none"/>
        </w:rPr>
        <w:t>技术标准及要求</w:t>
      </w:r>
      <w:r>
        <w:rPr>
          <w:sz w:val="28"/>
          <w:szCs w:val="28"/>
          <w:highlight w:val="none"/>
        </w:rPr>
        <w:tab/>
      </w:r>
      <w:r>
        <w:rPr>
          <w:sz w:val="28"/>
          <w:szCs w:val="28"/>
          <w:highlight w:val="none"/>
        </w:rPr>
        <w:fldChar w:fldCharType="begin"/>
      </w:r>
      <w:r>
        <w:rPr>
          <w:sz w:val="28"/>
          <w:szCs w:val="28"/>
          <w:highlight w:val="none"/>
        </w:rPr>
        <w:instrText xml:space="preserve"> PAGEREF _Toc29948 \h </w:instrText>
      </w:r>
      <w:r>
        <w:rPr>
          <w:sz w:val="28"/>
          <w:szCs w:val="28"/>
          <w:highlight w:val="none"/>
        </w:rPr>
        <w:fldChar w:fldCharType="separate"/>
      </w:r>
      <w:r>
        <w:rPr>
          <w:sz w:val="28"/>
          <w:szCs w:val="28"/>
          <w:highlight w:val="none"/>
        </w:rPr>
        <w:t>42</w:t>
      </w:r>
      <w:r>
        <w:rPr>
          <w:sz w:val="28"/>
          <w:szCs w:val="28"/>
          <w:highlight w:val="none"/>
        </w:rPr>
        <w:fldChar w:fldCharType="end"/>
      </w:r>
      <w:r>
        <w:rPr>
          <w:rFonts w:hint="eastAsia" w:ascii="仿宋" w:hAnsi="仿宋" w:eastAsia="仿宋" w:cs="仿宋"/>
          <w:sz w:val="28"/>
          <w:szCs w:val="28"/>
          <w:highlight w:val="none"/>
        </w:rPr>
        <w:fldChar w:fldCharType="end"/>
      </w:r>
    </w:p>
    <w:p>
      <w:pPr>
        <w:pStyle w:val="25"/>
        <w:tabs>
          <w:tab w:val="right" w:leader="dot" w:pos="8788"/>
        </w:tabs>
        <w:rPr>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_Toc11789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第七章 竞争性磋商响应文件格式</w:t>
      </w:r>
      <w:r>
        <w:rPr>
          <w:sz w:val="28"/>
          <w:szCs w:val="28"/>
          <w:highlight w:val="none"/>
        </w:rPr>
        <w:tab/>
      </w:r>
      <w:r>
        <w:rPr>
          <w:sz w:val="28"/>
          <w:szCs w:val="28"/>
          <w:highlight w:val="none"/>
        </w:rPr>
        <w:fldChar w:fldCharType="begin"/>
      </w:r>
      <w:r>
        <w:rPr>
          <w:sz w:val="28"/>
          <w:szCs w:val="28"/>
          <w:highlight w:val="none"/>
        </w:rPr>
        <w:instrText xml:space="preserve"> PAGEREF _Toc11789 \h </w:instrText>
      </w:r>
      <w:r>
        <w:rPr>
          <w:sz w:val="28"/>
          <w:szCs w:val="28"/>
          <w:highlight w:val="none"/>
        </w:rPr>
        <w:fldChar w:fldCharType="separate"/>
      </w:r>
      <w:r>
        <w:rPr>
          <w:sz w:val="28"/>
          <w:szCs w:val="28"/>
          <w:highlight w:val="none"/>
        </w:rPr>
        <w:t>43</w:t>
      </w:r>
      <w:r>
        <w:rPr>
          <w:sz w:val="28"/>
          <w:szCs w:val="28"/>
          <w:highlight w:val="none"/>
        </w:rPr>
        <w:fldChar w:fldCharType="end"/>
      </w:r>
      <w:r>
        <w:rPr>
          <w:rFonts w:hint="eastAsia" w:ascii="仿宋" w:hAnsi="仿宋" w:eastAsia="仿宋" w:cs="仿宋"/>
          <w:sz w:val="28"/>
          <w:szCs w:val="28"/>
          <w:highlight w:val="none"/>
        </w:rPr>
        <w:fldChar w:fldCharType="end"/>
      </w:r>
    </w:p>
    <w:p>
      <w:pPr>
        <w:pStyle w:val="17"/>
        <w:tabs>
          <w:tab w:val="right" w:leader="dot" w:pos="8788"/>
        </w:tabs>
        <w:rPr>
          <w:sz w:val="28"/>
          <w:szCs w:val="28"/>
          <w:highlight w:val="none"/>
        </w:rPr>
      </w:pPr>
    </w:p>
    <w:p>
      <w:pPr>
        <w:pStyle w:val="25"/>
        <w:tabs>
          <w:tab w:val="right" w:leader="dot" w:pos="8787"/>
        </w:tabs>
        <w:spacing w:before="0" w:after="0" w:line="600" w:lineRule="auto"/>
        <w:rPr>
          <w:rFonts w:ascii="仿宋" w:hAnsi="仿宋" w:eastAsia="仿宋" w:cs="仿宋"/>
          <w:sz w:val="28"/>
          <w:szCs w:val="28"/>
          <w:highlight w:val="none"/>
        </w:rPr>
      </w:pPr>
      <w:r>
        <w:rPr>
          <w:rFonts w:hint="eastAsia" w:ascii="仿宋" w:hAnsi="仿宋" w:eastAsia="仿宋" w:cs="仿宋"/>
          <w:sz w:val="28"/>
          <w:szCs w:val="28"/>
          <w:highlight w:val="none"/>
        </w:rPr>
        <w:fldChar w:fldCharType="end"/>
      </w:r>
    </w:p>
    <w:p>
      <w:pPr>
        <w:rPr>
          <w:rFonts w:ascii="仿宋" w:hAnsi="仿宋" w:eastAsia="仿宋" w:cs="仿宋"/>
          <w:highlight w:val="none"/>
        </w:rPr>
      </w:pPr>
    </w:p>
    <w:p>
      <w:pPr>
        <w:rPr>
          <w:rFonts w:ascii="仿宋" w:hAnsi="仿宋" w:eastAsia="仿宋" w:cs="仿宋"/>
          <w:sz w:val="36"/>
          <w:szCs w:val="36"/>
          <w:highlight w:val="none"/>
        </w:rPr>
      </w:pPr>
    </w:p>
    <w:p>
      <w:pPr>
        <w:rPr>
          <w:rFonts w:ascii="仿宋" w:hAnsi="仿宋" w:eastAsia="仿宋" w:cs="仿宋"/>
          <w:sz w:val="36"/>
          <w:szCs w:val="36"/>
          <w:highlight w:val="none"/>
        </w:rPr>
      </w:pPr>
    </w:p>
    <w:p>
      <w:pPr>
        <w:rPr>
          <w:rFonts w:ascii="仿宋" w:hAnsi="仿宋" w:eastAsia="仿宋" w:cs="仿宋"/>
          <w:sz w:val="36"/>
          <w:szCs w:val="36"/>
          <w:highlight w:val="none"/>
        </w:rPr>
      </w:pPr>
    </w:p>
    <w:p>
      <w:pPr>
        <w:rPr>
          <w:rFonts w:ascii="仿宋" w:hAnsi="仿宋" w:eastAsia="仿宋" w:cs="仿宋"/>
          <w:sz w:val="36"/>
          <w:szCs w:val="36"/>
          <w:highlight w:val="none"/>
        </w:rPr>
      </w:pPr>
    </w:p>
    <w:p>
      <w:pPr>
        <w:rPr>
          <w:rFonts w:ascii="仿宋" w:hAnsi="仿宋" w:eastAsia="仿宋" w:cs="仿宋"/>
          <w:sz w:val="36"/>
          <w:szCs w:val="36"/>
          <w:highlight w:val="none"/>
        </w:rPr>
      </w:pPr>
    </w:p>
    <w:p>
      <w:pPr>
        <w:rPr>
          <w:rFonts w:ascii="仿宋" w:hAnsi="仿宋" w:eastAsia="仿宋" w:cs="仿宋"/>
          <w:sz w:val="36"/>
          <w:szCs w:val="36"/>
          <w:highlight w:val="none"/>
        </w:rPr>
      </w:pPr>
    </w:p>
    <w:bookmarkEnd w:id="1"/>
    <w:bookmarkEnd w:id="2"/>
    <w:bookmarkEnd w:id="3"/>
    <w:bookmarkEnd w:id="4"/>
    <w:bookmarkEnd w:id="5"/>
    <w:bookmarkEnd w:id="6"/>
    <w:bookmarkEnd w:id="7"/>
    <w:bookmarkEnd w:id="8"/>
    <w:p>
      <w:pPr>
        <w:pStyle w:val="4"/>
        <w:keepNext w:val="0"/>
        <w:pageBreakBefore/>
        <w:spacing w:before="156" w:beforeLines="50" w:after="156" w:afterLines="50"/>
        <w:jc w:val="center"/>
        <w:rPr>
          <w:rFonts w:ascii="仿宋" w:hAnsi="仿宋" w:eastAsia="仿宋" w:cs="仿宋"/>
          <w:highlight w:val="none"/>
        </w:rPr>
        <w:sectPr>
          <w:headerReference r:id="rId6" w:type="default"/>
          <w:footerReference r:id="rId7" w:type="default"/>
          <w:pgSz w:w="11906" w:h="16838"/>
          <w:pgMar w:top="1417" w:right="1417" w:bottom="1417" w:left="1701" w:header="851" w:footer="992" w:gutter="0"/>
          <w:pgNumType w:start="1"/>
          <w:cols w:space="0" w:num="1"/>
          <w:docGrid w:type="lines" w:linePitch="312" w:charSpace="0"/>
        </w:sectPr>
      </w:pPr>
      <w:bookmarkStart w:id="9" w:name="_Toc452384741"/>
      <w:bookmarkStart w:id="10" w:name="_Toc2360"/>
    </w:p>
    <w:p>
      <w:pPr>
        <w:pStyle w:val="4"/>
        <w:keepNext w:val="0"/>
        <w:pageBreakBefore/>
        <w:jc w:val="center"/>
        <w:rPr>
          <w:rFonts w:ascii="仿宋" w:hAnsi="仿宋" w:eastAsia="仿宋" w:cs="仿宋"/>
          <w:highlight w:val="none"/>
        </w:rPr>
      </w:pPr>
      <w:bookmarkStart w:id="11" w:name="_Toc9572"/>
      <w:r>
        <w:rPr>
          <w:rFonts w:hint="eastAsia" w:ascii="仿宋" w:hAnsi="仿宋" w:eastAsia="仿宋" w:cs="仿宋"/>
          <w:highlight w:val="none"/>
        </w:rPr>
        <w:t>第一章</w:t>
      </w:r>
      <w:bookmarkEnd w:id="9"/>
      <w:bookmarkEnd w:id="10"/>
      <w:r>
        <w:rPr>
          <w:rFonts w:hint="eastAsia" w:ascii="仿宋" w:hAnsi="仿宋" w:eastAsia="仿宋" w:cs="仿宋"/>
          <w:highlight w:val="none"/>
        </w:rPr>
        <w:t xml:space="preserve">  竞争性磋商公告</w:t>
      </w:r>
      <w:bookmarkEnd w:id="11"/>
    </w:p>
    <w:p>
      <w:pPr>
        <w:pStyle w:val="32"/>
        <w:tabs>
          <w:tab w:val="left" w:pos="480"/>
        </w:tabs>
        <w:spacing w:before="0" w:beforeAutospacing="0" w:after="0" w:afterAutospacing="0" w:line="360" w:lineRule="auto"/>
        <w:rPr>
          <w:rFonts w:ascii="仿宋" w:hAnsi="仿宋" w:eastAsia="仿宋" w:cs="仿宋"/>
          <w:b/>
          <w:color w:val="333333"/>
          <w:highlight w:val="none"/>
          <w:shd w:val="clear" w:color="auto" w:fill="FFFFFF"/>
        </w:rPr>
      </w:pPr>
      <w:r>
        <w:rPr>
          <w:rFonts w:hint="eastAsia" w:ascii="仿宋" w:hAnsi="仿宋" w:eastAsia="仿宋" w:cs="仿宋"/>
          <w:b/>
          <w:color w:val="333333"/>
          <w:highlight w:val="none"/>
          <w:shd w:val="clear" w:color="auto" w:fill="FFFFFF"/>
        </w:rPr>
        <w:t>项目概况</w:t>
      </w:r>
    </w:p>
    <w:p>
      <w:pPr>
        <w:pStyle w:val="32"/>
        <w:tabs>
          <w:tab w:val="left" w:pos="480"/>
        </w:tabs>
        <w:spacing w:before="0" w:beforeAutospacing="0" w:after="0" w:afterAutospacing="0" w:line="360" w:lineRule="auto"/>
        <w:ind w:firstLine="480" w:firstLineChars="200"/>
        <w:rPr>
          <w:rFonts w:ascii="仿宋" w:hAnsi="仿宋" w:eastAsia="仿宋" w:cs="仿宋"/>
          <w:b/>
          <w:color w:val="333333"/>
          <w:highlight w:val="none"/>
          <w:shd w:val="clear" w:color="auto" w:fill="FFFFFF"/>
        </w:rPr>
      </w:pPr>
      <w:r>
        <w:rPr>
          <w:rFonts w:hint="eastAsia" w:ascii="仿宋" w:hAnsi="仿宋" w:eastAsia="仿宋" w:cs="仿宋"/>
          <w:bCs/>
          <w:color w:val="333333"/>
          <w:highlight w:val="none"/>
          <w:shd w:val="clear" w:color="auto" w:fill="FFFFFF"/>
        </w:rPr>
        <w:t>郭杜派出所修缮改扩建项目采购项目的潜在供应商应在</w:t>
      </w:r>
      <w:r>
        <w:rPr>
          <w:rFonts w:hint="eastAsia" w:ascii="仿宋" w:hAnsi="仿宋" w:eastAsia="仿宋" w:cs="仿宋"/>
          <w:bCs/>
          <w:highlight w:val="none"/>
          <w:shd w:val="clear" w:color="auto" w:fill="FFFFFF"/>
        </w:rPr>
        <w:t>陕西省西安市高新区科技五路8号数字大厦11层</w:t>
      </w:r>
      <w:r>
        <w:rPr>
          <w:rFonts w:hint="eastAsia" w:ascii="仿宋" w:hAnsi="仿宋" w:eastAsia="仿宋" w:cs="仿宋"/>
          <w:bCs/>
          <w:color w:val="333333"/>
          <w:highlight w:val="none"/>
          <w:shd w:val="clear" w:color="auto" w:fill="FFFFFF"/>
        </w:rPr>
        <w:t>获取采购文件，并于2022年</w:t>
      </w:r>
      <w:r>
        <w:rPr>
          <w:rFonts w:hint="eastAsia" w:ascii="仿宋" w:hAnsi="仿宋" w:eastAsia="仿宋" w:cs="仿宋"/>
          <w:bCs/>
          <w:color w:val="333333"/>
          <w:highlight w:val="none"/>
          <w:shd w:val="clear" w:color="auto" w:fill="FFFFFF"/>
          <w:lang w:val="en-US" w:eastAsia="zh-CN"/>
        </w:rPr>
        <w:t>10</w:t>
      </w:r>
      <w:r>
        <w:rPr>
          <w:rFonts w:hint="eastAsia" w:ascii="仿宋" w:hAnsi="仿宋" w:eastAsia="仿宋" w:cs="仿宋"/>
          <w:bCs/>
          <w:color w:val="333333"/>
          <w:highlight w:val="none"/>
          <w:shd w:val="clear" w:color="auto" w:fill="FFFFFF"/>
        </w:rPr>
        <w:t>月</w:t>
      </w:r>
      <w:r>
        <w:rPr>
          <w:rFonts w:hint="eastAsia" w:ascii="仿宋" w:hAnsi="仿宋" w:eastAsia="仿宋" w:cs="仿宋"/>
          <w:bCs/>
          <w:color w:val="333333"/>
          <w:highlight w:val="none"/>
          <w:shd w:val="clear" w:color="auto" w:fill="FFFFFF"/>
          <w:lang w:val="en-US" w:eastAsia="zh-CN"/>
        </w:rPr>
        <w:t>20</w:t>
      </w:r>
      <w:r>
        <w:rPr>
          <w:rFonts w:hint="eastAsia" w:ascii="仿宋" w:hAnsi="仿宋" w:eastAsia="仿宋" w:cs="仿宋"/>
          <w:bCs/>
          <w:color w:val="333333"/>
          <w:highlight w:val="none"/>
          <w:shd w:val="clear" w:color="auto" w:fill="FFFFFF"/>
        </w:rPr>
        <w:t xml:space="preserve">日 </w:t>
      </w:r>
      <w:r>
        <w:rPr>
          <w:rFonts w:hint="eastAsia" w:ascii="仿宋" w:hAnsi="仿宋" w:eastAsia="仿宋" w:cs="仿宋"/>
          <w:bCs/>
          <w:color w:val="333333"/>
          <w:highlight w:val="none"/>
          <w:shd w:val="clear" w:color="auto" w:fill="FFFFFF"/>
          <w:lang w:val="en-US" w:eastAsia="zh-CN"/>
        </w:rPr>
        <w:t>14</w:t>
      </w:r>
      <w:r>
        <w:rPr>
          <w:rFonts w:hint="eastAsia" w:ascii="仿宋" w:hAnsi="仿宋" w:eastAsia="仿宋" w:cs="仿宋"/>
          <w:bCs/>
          <w:color w:val="333333"/>
          <w:highlight w:val="none"/>
          <w:shd w:val="clear" w:color="auto" w:fill="FFFFFF"/>
        </w:rPr>
        <w:t>时30分00秒 （北京时间）前提交响应文件。</w:t>
      </w:r>
    </w:p>
    <w:p>
      <w:pPr>
        <w:pStyle w:val="32"/>
        <w:numPr>
          <w:ilvl w:val="0"/>
          <w:numId w:val="1"/>
        </w:numPr>
        <w:spacing w:before="0" w:beforeAutospacing="0" w:after="0" w:afterAutospacing="0" w:line="360" w:lineRule="auto"/>
        <w:rPr>
          <w:rFonts w:ascii="仿宋" w:hAnsi="仿宋" w:eastAsia="仿宋" w:cs="仿宋"/>
          <w:b/>
          <w:color w:val="333333"/>
          <w:highlight w:val="none"/>
          <w:shd w:val="clear" w:color="auto" w:fill="FFFFFF"/>
        </w:rPr>
      </w:pPr>
      <w:r>
        <w:rPr>
          <w:rFonts w:hint="eastAsia" w:ascii="仿宋" w:hAnsi="仿宋" w:eastAsia="仿宋" w:cs="仿宋"/>
          <w:b/>
          <w:color w:val="333333"/>
          <w:highlight w:val="none"/>
          <w:shd w:val="clear" w:color="auto" w:fill="FFFFFF"/>
        </w:rPr>
        <w:t>项目基本情况</w:t>
      </w:r>
    </w:p>
    <w:p>
      <w:pPr>
        <w:pStyle w:val="32"/>
        <w:spacing w:before="0" w:beforeAutospacing="0" w:after="0" w:afterAutospacing="0" w:line="360" w:lineRule="auto"/>
        <w:rPr>
          <w:rFonts w:ascii="仿宋" w:hAnsi="仿宋" w:eastAsia="仿宋" w:cs="仿宋"/>
          <w:bCs/>
          <w:color w:val="FF0000"/>
          <w:highlight w:val="none"/>
          <w:shd w:val="clear" w:color="auto" w:fill="FFFFFF"/>
        </w:rPr>
      </w:pPr>
      <w:r>
        <w:rPr>
          <w:rFonts w:hint="eastAsia" w:ascii="仿宋" w:hAnsi="仿宋" w:eastAsia="仿宋" w:cs="仿宋"/>
          <w:bCs/>
          <w:color w:val="333333"/>
          <w:highlight w:val="none"/>
          <w:shd w:val="clear" w:color="auto" w:fill="FFFFFF"/>
        </w:rPr>
        <w:t>项目编号：HXGJXM2022-ZC-CS1072</w:t>
      </w:r>
    </w:p>
    <w:p>
      <w:pPr>
        <w:pStyle w:val="32"/>
        <w:spacing w:before="0" w:beforeAutospacing="0" w:after="0" w:afterAutospacing="0" w:line="360" w:lineRule="auto"/>
        <w:rPr>
          <w:rFonts w:ascii="仿宋" w:hAnsi="仿宋" w:eastAsia="仿宋" w:cs="仿宋"/>
          <w:bCs/>
          <w:color w:val="333333"/>
          <w:highlight w:val="none"/>
          <w:shd w:val="clear" w:color="auto" w:fill="FFFFFF"/>
        </w:rPr>
      </w:pPr>
      <w:r>
        <w:rPr>
          <w:rFonts w:hint="eastAsia" w:ascii="仿宋" w:hAnsi="仿宋" w:eastAsia="仿宋" w:cs="仿宋"/>
          <w:bCs/>
          <w:color w:val="333333"/>
          <w:highlight w:val="none"/>
          <w:shd w:val="clear" w:color="auto" w:fill="FFFFFF"/>
        </w:rPr>
        <w:t>项目名称：郭杜派出所修缮改扩建项目</w:t>
      </w:r>
    </w:p>
    <w:p>
      <w:pPr>
        <w:pStyle w:val="32"/>
        <w:spacing w:before="0" w:beforeAutospacing="0" w:after="0" w:afterAutospacing="0" w:line="360" w:lineRule="auto"/>
        <w:rPr>
          <w:rFonts w:ascii="仿宋" w:hAnsi="仿宋" w:eastAsia="仿宋" w:cs="仿宋"/>
          <w:bCs/>
          <w:color w:val="333333"/>
          <w:highlight w:val="none"/>
          <w:shd w:val="clear" w:color="auto" w:fill="FFFFFF"/>
        </w:rPr>
      </w:pPr>
      <w:r>
        <w:rPr>
          <w:rFonts w:hint="eastAsia" w:ascii="仿宋" w:hAnsi="仿宋" w:eastAsia="仿宋" w:cs="仿宋"/>
          <w:bCs/>
          <w:color w:val="333333"/>
          <w:highlight w:val="none"/>
          <w:shd w:val="clear" w:color="auto" w:fill="FFFFFF"/>
        </w:rPr>
        <w:t>采购方式：竞争性磋商</w:t>
      </w:r>
    </w:p>
    <w:p>
      <w:pPr>
        <w:pStyle w:val="32"/>
        <w:spacing w:before="0" w:beforeAutospacing="0" w:after="0" w:afterAutospacing="0" w:line="360" w:lineRule="auto"/>
        <w:rPr>
          <w:rFonts w:ascii="仿宋" w:hAnsi="仿宋" w:eastAsia="仿宋" w:cs="仿宋"/>
          <w:bCs/>
          <w:color w:val="333333"/>
          <w:highlight w:val="none"/>
          <w:shd w:val="clear" w:color="auto" w:fill="FFFFFF"/>
        </w:rPr>
      </w:pPr>
      <w:r>
        <w:rPr>
          <w:rFonts w:hint="eastAsia" w:ascii="仿宋" w:hAnsi="仿宋" w:eastAsia="仿宋" w:cs="仿宋"/>
          <w:bCs/>
          <w:color w:val="333333"/>
          <w:highlight w:val="none"/>
          <w:shd w:val="clear" w:color="auto" w:fill="FFFFFF"/>
        </w:rPr>
        <w:t>预算金额：1000000.00元</w:t>
      </w:r>
    </w:p>
    <w:p>
      <w:pPr>
        <w:pStyle w:val="32"/>
        <w:spacing w:before="0" w:beforeAutospacing="0" w:after="0" w:afterAutospacing="0" w:line="360" w:lineRule="auto"/>
        <w:rPr>
          <w:rFonts w:ascii="仿宋" w:hAnsi="仿宋" w:eastAsia="仿宋" w:cs="仿宋"/>
          <w:bCs/>
          <w:color w:val="333333"/>
          <w:highlight w:val="none"/>
          <w:shd w:val="clear" w:color="auto" w:fill="FFFFFF"/>
        </w:rPr>
      </w:pPr>
      <w:r>
        <w:rPr>
          <w:rFonts w:hint="eastAsia" w:ascii="仿宋" w:hAnsi="仿宋" w:eastAsia="仿宋" w:cs="仿宋"/>
          <w:bCs/>
          <w:color w:val="333333"/>
          <w:highlight w:val="none"/>
          <w:shd w:val="clear" w:color="auto" w:fill="FFFFFF"/>
        </w:rPr>
        <w:t>采购需求：</w:t>
      </w:r>
    </w:p>
    <w:p>
      <w:pPr>
        <w:pStyle w:val="32"/>
        <w:spacing w:before="0" w:beforeAutospacing="0" w:after="0" w:afterAutospacing="0" w:line="360" w:lineRule="auto"/>
        <w:rPr>
          <w:rFonts w:ascii="仿宋" w:hAnsi="仿宋" w:eastAsia="仿宋" w:cs="仿宋"/>
          <w:bCs/>
          <w:color w:val="333333"/>
          <w:highlight w:val="none"/>
          <w:shd w:val="clear" w:color="auto" w:fill="FFFFFF"/>
        </w:rPr>
      </w:pPr>
      <w:r>
        <w:rPr>
          <w:rFonts w:hint="eastAsia" w:ascii="仿宋" w:hAnsi="仿宋" w:eastAsia="仿宋" w:cs="仿宋"/>
          <w:bCs/>
          <w:color w:val="333333"/>
          <w:highlight w:val="none"/>
          <w:shd w:val="clear" w:color="auto" w:fill="FFFFFF"/>
        </w:rPr>
        <w:t>合同包1(郭杜派出所修缮改扩建项目):</w:t>
      </w:r>
    </w:p>
    <w:p>
      <w:pPr>
        <w:pStyle w:val="32"/>
        <w:spacing w:before="0" w:beforeAutospacing="0" w:after="0" w:afterAutospacing="0" w:line="360" w:lineRule="auto"/>
        <w:rPr>
          <w:rFonts w:ascii="仿宋" w:hAnsi="仿宋" w:eastAsia="仿宋" w:cs="仿宋"/>
          <w:bCs/>
          <w:color w:val="333333"/>
          <w:highlight w:val="none"/>
          <w:shd w:val="clear" w:color="auto" w:fill="FFFFFF"/>
        </w:rPr>
      </w:pPr>
      <w:r>
        <w:rPr>
          <w:rFonts w:hint="eastAsia" w:ascii="仿宋" w:hAnsi="仿宋" w:eastAsia="仿宋" w:cs="仿宋"/>
          <w:bCs/>
          <w:color w:val="333333"/>
          <w:highlight w:val="none"/>
          <w:shd w:val="clear" w:color="auto" w:fill="FFFFFF"/>
        </w:rPr>
        <w:t>合同包预算金额：1000000.00元</w:t>
      </w:r>
    </w:p>
    <w:p>
      <w:pPr>
        <w:pStyle w:val="32"/>
        <w:spacing w:before="0" w:beforeAutospacing="0" w:after="0" w:afterAutospacing="0" w:line="360" w:lineRule="auto"/>
        <w:rPr>
          <w:rFonts w:ascii="仿宋" w:hAnsi="仿宋" w:eastAsia="仿宋" w:cs="仿宋"/>
          <w:bCs/>
          <w:color w:val="333333"/>
          <w:highlight w:val="none"/>
          <w:shd w:val="clear" w:color="auto" w:fill="FFFFFF"/>
        </w:rPr>
      </w:pPr>
      <w:r>
        <w:rPr>
          <w:rFonts w:hint="eastAsia" w:ascii="仿宋" w:hAnsi="仿宋" w:eastAsia="仿宋" w:cs="仿宋"/>
          <w:bCs/>
          <w:color w:val="333333"/>
          <w:highlight w:val="none"/>
          <w:shd w:val="clear" w:color="auto" w:fill="FFFFFF"/>
        </w:rPr>
        <w:t>合同包最高限价：1000000.00元</w:t>
      </w:r>
    </w:p>
    <w:tbl>
      <w:tblPr>
        <w:tblStyle w:val="35"/>
        <w:tblW w:w="9239" w:type="dxa"/>
        <w:tblInd w:w="-363" w:type="dxa"/>
        <w:shd w:val="clear" w:color="auto" w:fill="FFFFFF"/>
        <w:tblLayout w:type="autofit"/>
        <w:tblCellMar>
          <w:top w:w="0" w:type="dxa"/>
          <w:left w:w="0" w:type="dxa"/>
          <w:bottom w:w="0" w:type="dxa"/>
          <w:right w:w="0" w:type="dxa"/>
        </w:tblCellMar>
      </w:tblPr>
      <w:tblGrid>
        <w:gridCol w:w="886"/>
        <w:gridCol w:w="1295"/>
        <w:gridCol w:w="1337"/>
        <w:gridCol w:w="1118"/>
        <w:gridCol w:w="1488"/>
        <w:gridCol w:w="1537"/>
        <w:gridCol w:w="1578"/>
      </w:tblGrid>
      <w:tr>
        <w:tblPrEx>
          <w:shd w:val="clear" w:color="auto" w:fill="FFFFFF"/>
          <w:tblCellMar>
            <w:top w:w="0" w:type="dxa"/>
            <w:left w:w="0" w:type="dxa"/>
            <w:bottom w:w="0" w:type="dxa"/>
            <w:right w:w="0" w:type="dxa"/>
          </w:tblCellMar>
        </w:tblPrEx>
        <w:trPr>
          <w:trHeight w:val="1121" w:hRule="atLeast"/>
          <w:tblHeader/>
        </w:trPr>
        <w:tc>
          <w:tcPr>
            <w:tcW w:w="8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eastAsia="仿宋" w:cs="仿宋"/>
                <w:b/>
                <w:bCs/>
                <w:color w:val="333333"/>
                <w:highlight w:val="none"/>
              </w:rPr>
            </w:pPr>
            <w:r>
              <w:rPr>
                <w:rFonts w:hint="eastAsia" w:ascii="仿宋" w:hAnsi="仿宋" w:eastAsia="仿宋" w:cs="仿宋"/>
                <w:b/>
                <w:bCs/>
                <w:color w:val="333333"/>
                <w:kern w:val="0"/>
                <w:highlight w:val="none"/>
                <w:lang w:bidi="ar"/>
              </w:rPr>
              <w:t>品目号</w:t>
            </w:r>
          </w:p>
        </w:tc>
        <w:tc>
          <w:tcPr>
            <w:tcW w:w="129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eastAsia="仿宋" w:cs="仿宋"/>
                <w:b/>
                <w:bCs/>
                <w:color w:val="333333"/>
                <w:highlight w:val="none"/>
              </w:rPr>
            </w:pPr>
            <w:r>
              <w:rPr>
                <w:rFonts w:hint="eastAsia" w:ascii="仿宋" w:hAnsi="仿宋" w:eastAsia="仿宋" w:cs="仿宋"/>
                <w:b/>
                <w:bCs/>
                <w:color w:val="333333"/>
                <w:kern w:val="0"/>
                <w:highlight w:val="none"/>
                <w:lang w:bidi="ar"/>
              </w:rPr>
              <w:t>品目名称</w:t>
            </w:r>
          </w:p>
        </w:tc>
        <w:tc>
          <w:tcPr>
            <w:tcW w:w="133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eastAsia="仿宋" w:cs="仿宋"/>
                <w:b/>
                <w:bCs/>
                <w:color w:val="333333"/>
                <w:highlight w:val="none"/>
              </w:rPr>
            </w:pPr>
            <w:r>
              <w:rPr>
                <w:rFonts w:hint="eastAsia" w:ascii="仿宋" w:hAnsi="仿宋" w:eastAsia="仿宋" w:cs="仿宋"/>
                <w:b/>
                <w:bCs/>
                <w:color w:val="333333"/>
                <w:kern w:val="0"/>
                <w:highlight w:val="none"/>
                <w:lang w:bidi="ar"/>
              </w:rPr>
              <w:t>采购标的</w:t>
            </w:r>
          </w:p>
        </w:tc>
        <w:tc>
          <w:tcPr>
            <w:tcW w:w="111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eastAsia="仿宋" w:cs="仿宋"/>
                <w:b/>
                <w:bCs/>
                <w:color w:val="333333"/>
                <w:kern w:val="0"/>
                <w:highlight w:val="none"/>
                <w:lang w:bidi="ar"/>
              </w:rPr>
            </w:pPr>
            <w:r>
              <w:rPr>
                <w:rFonts w:hint="eastAsia" w:ascii="仿宋" w:hAnsi="仿宋" w:eastAsia="仿宋" w:cs="仿宋"/>
                <w:b/>
                <w:bCs/>
                <w:color w:val="333333"/>
                <w:kern w:val="0"/>
                <w:highlight w:val="none"/>
                <w:lang w:bidi="ar"/>
              </w:rPr>
              <w:t>数量</w:t>
            </w:r>
          </w:p>
          <w:p>
            <w:pPr>
              <w:widowControl/>
              <w:wordWrap w:val="0"/>
              <w:spacing w:line="360" w:lineRule="atLeast"/>
              <w:jc w:val="center"/>
              <w:textAlignment w:val="center"/>
              <w:rPr>
                <w:rFonts w:ascii="仿宋" w:hAnsi="仿宋" w:eastAsia="仿宋" w:cs="仿宋"/>
                <w:b/>
                <w:bCs/>
                <w:color w:val="333333"/>
                <w:highlight w:val="none"/>
              </w:rPr>
            </w:pPr>
            <w:r>
              <w:rPr>
                <w:rFonts w:hint="eastAsia" w:ascii="仿宋" w:hAnsi="仿宋" w:eastAsia="仿宋" w:cs="仿宋"/>
                <w:b/>
                <w:bCs/>
                <w:color w:val="333333"/>
                <w:kern w:val="0"/>
                <w:highlight w:val="none"/>
                <w:lang w:bidi="ar"/>
              </w:rPr>
              <w:t>（单位）</w:t>
            </w:r>
          </w:p>
        </w:tc>
        <w:tc>
          <w:tcPr>
            <w:tcW w:w="14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eastAsia="仿宋" w:cs="仿宋"/>
                <w:b/>
                <w:bCs/>
                <w:color w:val="333333"/>
                <w:highlight w:val="none"/>
              </w:rPr>
            </w:pPr>
            <w:r>
              <w:rPr>
                <w:rFonts w:hint="eastAsia" w:ascii="仿宋" w:hAnsi="仿宋" w:eastAsia="仿宋" w:cs="仿宋"/>
                <w:b/>
                <w:bCs/>
                <w:color w:val="333333"/>
                <w:kern w:val="0"/>
                <w:highlight w:val="none"/>
                <w:lang w:bidi="ar"/>
              </w:rPr>
              <w:t>技术规格、参数及要求</w:t>
            </w:r>
          </w:p>
        </w:tc>
        <w:tc>
          <w:tcPr>
            <w:tcW w:w="153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eastAsia="仿宋" w:cs="仿宋"/>
                <w:b/>
                <w:bCs/>
                <w:color w:val="333333"/>
                <w:highlight w:val="none"/>
              </w:rPr>
            </w:pPr>
            <w:r>
              <w:rPr>
                <w:rFonts w:hint="eastAsia" w:ascii="仿宋" w:hAnsi="仿宋" w:eastAsia="仿宋" w:cs="仿宋"/>
                <w:b/>
                <w:bCs/>
                <w:color w:val="333333"/>
                <w:kern w:val="0"/>
                <w:highlight w:val="none"/>
                <w:lang w:bidi="ar"/>
              </w:rPr>
              <w:t>品目预算(元)</w:t>
            </w:r>
          </w:p>
        </w:tc>
        <w:tc>
          <w:tcPr>
            <w:tcW w:w="15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center"/>
              <w:textAlignment w:val="center"/>
              <w:rPr>
                <w:rFonts w:ascii="仿宋" w:hAnsi="仿宋" w:eastAsia="仿宋" w:cs="仿宋"/>
                <w:b/>
                <w:bCs/>
                <w:color w:val="333333"/>
                <w:highlight w:val="none"/>
              </w:rPr>
            </w:pPr>
            <w:r>
              <w:rPr>
                <w:rFonts w:hint="eastAsia" w:ascii="仿宋" w:hAnsi="仿宋" w:eastAsia="仿宋" w:cs="仿宋"/>
                <w:b/>
                <w:bCs/>
                <w:color w:val="333333"/>
                <w:kern w:val="0"/>
                <w:highlight w:val="none"/>
                <w:lang w:bidi="ar"/>
              </w:rPr>
              <w:t>最高限价(元)</w:t>
            </w:r>
          </w:p>
        </w:tc>
      </w:tr>
      <w:tr>
        <w:tblPrEx>
          <w:shd w:val="clear" w:color="auto" w:fill="FFFFFF"/>
          <w:tblCellMar>
            <w:top w:w="0" w:type="dxa"/>
            <w:left w:w="0" w:type="dxa"/>
            <w:bottom w:w="0" w:type="dxa"/>
            <w:right w:w="0" w:type="dxa"/>
          </w:tblCellMar>
        </w:tblPrEx>
        <w:trPr>
          <w:trHeight w:val="825" w:hRule="atLeast"/>
        </w:trPr>
        <w:tc>
          <w:tcPr>
            <w:tcW w:w="88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88" w:lineRule="atLeas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kern w:val="0"/>
                <w:sz w:val="24"/>
                <w:szCs w:val="24"/>
                <w:highlight w:val="none"/>
                <w:lang w:val="en-US" w:eastAsia="zh-CN" w:bidi="ar"/>
              </w:rPr>
              <w:t>1-1</w:t>
            </w:r>
          </w:p>
        </w:tc>
        <w:tc>
          <w:tcPr>
            <w:tcW w:w="129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88" w:lineRule="atLeas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kern w:val="0"/>
                <w:sz w:val="24"/>
                <w:szCs w:val="24"/>
                <w:highlight w:val="none"/>
                <w:lang w:val="en-US" w:eastAsia="zh-CN" w:bidi="ar"/>
              </w:rPr>
              <w:t>其他建筑物、构筑物修缮</w:t>
            </w:r>
          </w:p>
        </w:tc>
        <w:tc>
          <w:tcPr>
            <w:tcW w:w="133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88" w:lineRule="atLeas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kern w:val="0"/>
                <w:sz w:val="24"/>
                <w:szCs w:val="24"/>
                <w:highlight w:val="none"/>
                <w:lang w:val="en-US" w:eastAsia="zh-CN" w:bidi="ar"/>
              </w:rPr>
              <w:t>修缮改扩建</w:t>
            </w:r>
          </w:p>
        </w:tc>
        <w:tc>
          <w:tcPr>
            <w:tcW w:w="111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88" w:lineRule="atLeas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kern w:val="0"/>
                <w:sz w:val="24"/>
                <w:szCs w:val="24"/>
                <w:highlight w:val="none"/>
                <w:lang w:val="en-US" w:eastAsia="zh-CN" w:bidi="ar"/>
              </w:rPr>
              <w:t>1(项)</w:t>
            </w:r>
          </w:p>
        </w:tc>
        <w:tc>
          <w:tcPr>
            <w:tcW w:w="14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88" w:lineRule="atLeast"/>
              <w:ind w:left="0" w:leftChars="0" w:right="0" w:rightChars="0"/>
              <w:jc w:val="center"/>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详见采购</w:t>
            </w:r>
          </w:p>
          <w:p>
            <w:pPr>
              <w:keepNext w:val="0"/>
              <w:keepLines w:val="0"/>
              <w:widowControl/>
              <w:suppressLineNumbers w:val="0"/>
              <w:wordWrap w:val="0"/>
              <w:spacing w:before="0" w:beforeAutospacing="0" w:after="0" w:afterAutospacing="0" w:line="288" w:lineRule="atLeast"/>
              <w:ind w:left="0" w:leftChars="0" w:right="0" w:rightChars="0"/>
              <w:jc w:val="center"/>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文件</w:t>
            </w:r>
          </w:p>
        </w:tc>
        <w:tc>
          <w:tcPr>
            <w:tcW w:w="153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88" w:lineRule="atLeast"/>
              <w:ind w:left="0" w:leftChars="0" w:right="0" w:rightChars="0"/>
              <w:jc w:val="center"/>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1000000.00元</w:t>
            </w:r>
          </w:p>
        </w:tc>
        <w:tc>
          <w:tcPr>
            <w:tcW w:w="157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88" w:lineRule="atLeast"/>
              <w:ind w:left="0" w:leftChars="0" w:right="0" w:rightChars="0"/>
              <w:jc w:val="center"/>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w:t>
            </w:r>
          </w:p>
        </w:tc>
      </w:tr>
    </w:tbl>
    <w:p>
      <w:pPr>
        <w:pStyle w:val="32"/>
        <w:spacing w:before="0" w:beforeAutospacing="0" w:after="0" w:afterAutospacing="0" w:line="360" w:lineRule="auto"/>
        <w:rPr>
          <w:rFonts w:ascii="仿宋" w:hAnsi="仿宋" w:eastAsia="仿宋" w:cs="仿宋"/>
          <w:bCs/>
          <w:color w:val="333333"/>
          <w:highlight w:val="none"/>
          <w:shd w:val="clear" w:color="auto" w:fill="FFFFFF"/>
        </w:rPr>
      </w:pPr>
      <w:r>
        <w:rPr>
          <w:rFonts w:hint="eastAsia" w:ascii="仿宋" w:hAnsi="仿宋" w:eastAsia="仿宋" w:cs="仿宋"/>
          <w:bCs/>
          <w:color w:val="333333"/>
          <w:highlight w:val="none"/>
          <w:shd w:val="clear" w:color="auto" w:fill="FFFFFF"/>
        </w:rPr>
        <w:t>本合同包不接受联合体投标</w:t>
      </w:r>
    </w:p>
    <w:p>
      <w:pPr>
        <w:pStyle w:val="32"/>
        <w:spacing w:before="0" w:beforeAutospacing="0" w:after="0" w:afterAutospacing="0" w:line="360" w:lineRule="auto"/>
        <w:rPr>
          <w:rFonts w:ascii="仿宋" w:hAnsi="仿宋" w:eastAsia="仿宋" w:cs="仿宋"/>
          <w:bCs/>
          <w:color w:val="333333"/>
          <w:highlight w:val="none"/>
          <w:shd w:val="clear" w:color="auto" w:fill="FFFFFF"/>
        </w:rPr>
      </w:pPr>
      <w:r>
        <w:rPr>
          <w:rFonts w:hint="eastAsia" w:ascii="仿宋" w:hAnsi="仿宋" w:eastAsia="仿宋" w:cs="仿宋"/>
          <w:bCs/>
          <w:color w:val="333333"/>
          <w:highlight w:val="none"/>
          <w:shd w:val="clear" w:color="auto" w:fill="FFFFFF"/>
        </w:rPr>
        <w:t>合同履行</w:t>
      </w:r>
      <w:r>
        <w:rPr>
          <w:rFonts w:hint="eastAsia" w:ascii="仿宋" w:hAnsi="仿宋" w:eastAsia="仿宋" w:cs="仿宋"/>
          <w:bCs/>
          <w:highlight w:val="none"/>
          <w:shd w:val="clear" w:color="auto" w:fill="FFFFFF"/>
        </w:rPr>
        <w:t>期限：</w:t>
      </w:r>
      <w:r>
        <w:rPr>
          <w:rFonts w:hint="eastAsia" w:ascii="仿宋" w:hAnsi="仿宋" w:eastAsia="仿宋" w:cs="仿宋"/>
          <w:bCs/>
          <w:highlight w:val="none"/>
          <w:shd w:val="clear" w:color="auto" w:fill="FFFFFF"/>
          <w:lang w:val="en-US" w:eastAsia="zh-CN"/>
        </w:rPr>
        <w:t>20</w:t>
      </w:r>
      <w:r>
        <w:rPr>
          <w:rFonts w:hint="eastAsia" w:ascii="仿宋" w:hAnsi="仿宋" w:eastAsia="仿宋" w:cs="仿宋"/>
          <w:bCs/>
          <w:highlight w:val="none"/>
          <w:shd w:val="clear" w:color="auto" w:fill="FFFFFF"/>
        </w:rPr>
        <w:t>日历天</w:t>
      </w:r>
    </w:p>
    <w:p>
      <w:pPr>
        <w:pStyle w:val="32"/>
        <w:spacing w:before="0" w:beforeAutospacing="0" w:after="0" w:afterAutospacing="0" w:line="360" w:lineRule="auto"/>
        <w:rPr>
          <w:rFonts w:ascii="仿宋" w:hAnsi="仿宋" w:eastAsia="仿宋" w:cs="仿宋"/>
          <w:b/>
          <w:highlight w:val="none"/>
        </w:rPr>
      </w:pPr>
      <w:r>
        <w:rPr>
          <w:rFonts w:hint="eastAsia" w:ascii="仿宋" w:hAnsi="仿宋" w:eastAsia="仿宋" w:cs="仿宋"/>
          <w:b/>
          <w:color w:val="333333"/>
          <w:highlight w:val="none"/>
          <w:shd w:val="clear" w:color="auto" w:fill="FFFFFF"/>
        </w:rPr>
        <w:t>二、申请人的资格要求</w:t>
      </w:r>
    </w:p>
    <w:p>
      <w:pPr>
        <w:pStyle w:val="32"/>
        <w:spacing w:before="0" w:beforeAutospacing="0" w:after="0" w:afterAutospacing="0" w:line="360" w:lineRule="auto"/>
        <w:ind w:firstLine="420"/>
        <w:rPr>
          <w:rFonts w:ascii="仿宋" w:hAnsi="仿宋" w:eastAsia="仿宋" w:cs="仿宋"/>
          <w:highlight w:val="none"/>
        </w:rPr>
      </w:pPr>
      <w:r>
        <w:rPr>
          <w:rFonts w:hint="eastAsia" w:ascii="仿宋" w:hAnsi="仿宋" w:eastAsia="仿宋" w:cs="仿宋"/>
          <w:color w:val="333333"/>
          <w:highlight w:val="none"/>
          <w:shd w:val="clear" w:color="auto" w:fill="FFFFFF"/>
        </w:rPr>
        <w:t>1.满足《中华人民共和国政府采购法》第二十二条规定</w:t>
      </w:r>
    </w:p>
    <w:p>
      <w:pPr>
        <w:pStyle w:val="32"/>
        <w:spacing w:before="0" w:beforeAutospacing="0" w:after="0" w:afterAutospacing="0" w:line="360" w:lineRule="auto"/>
        <w:ind w:firstLine="420"/>
        <w:rPr>
          <w:rFonts w:ascii="仿宋" w:hAnsi="仿宋" w:eastAsia="仿宋" w:cs="仿宋"/>
          <w:color w:val="333333"/>
          <w:highlight w:val="none"/>
          <w:shd w:val="clear" w:color="auto" w:fill="FFFFFF"/>
        </w:rPr>
      </w:pPr>
      <w:r>
        <w:rPr>
          <w:rFonts w:hint="eastAsia" w:ascii="仿宋" w:hAnsi="仿宋" w:eastAsia="仿宋" w:cs="仿宋"/>
          <w:color w:val="333333"/>
          <w:highlight w:val="none"/>
          <w:shd w:val="clear" w:color="auto" w:fill="FFFFFF"/>
        </w:rPr>
        <w:t>2.落实政府采购政策需满足的资格要求：</w:t>
      </w:r>
    </w:p>
    <w:p>
      <w:pPr>
        <w:pStyle w:val="32"/>
        <w:spacing w:before="0" w:beforeAutospacing="0" w:after="0" w:afterAutospacing="0" w:line="360" w:lineRule="auto"/>
        <w:ind w:firstLine="420"/>
        <w:rPr>
          <w:rFonts w:ascii="仿宋" w:hAnsi="仿宋" w:eastAsia="仿宋" w:cs="仿宋"/>
          <w:color w:val="333333"/>
          <w:highlight w:val="none"/>
          <w:shd w:val="clear" w:color="auto" w:fill="FFFFFF"/>
        </w:rPr>
      </w:pPr>
      <w:r>
        <w:rPr>
          <w:rFonts w:hint="eastAsia" w:ascii="仿宋" w:hAnsi="仿宋" w:eastAsia="仿宋" w:cs="仿宋"/>
          <w:color w:val="333333"/>
          <w:highlight w:val="none"/>
          <w:shd w:val="clear" w:color="auto" w:fill="FFFFFF"/>
        </w:rPr>
        <w:t>合同包1(</w:t>
      </w:r>
      <w:r>
        <w:rPr>
          <w:rFonts w:hint="eastAsia" w:ascii="仿宋" w:hAnsi="仿宋" w:eastAsia="仿宋" w:cs="仿宋"/>
          <w:bCs/>
          <w:color w:val="333333"/>
          <w:highlight w:val="none"/>
          <w:shd w:val="clear" w:color="auto" w:fill="FFFFFF"/>
        </w:rPr>
        <w:t>郭杜派出所修缮改扩建项目</w:t>
      </w:r>
      <w:r>
        <w:rPr>
          <w:rFonts w:hint="eastAsia" w:ascii="仿宋" w:hAnsi="仿宋" w:eastAsia="仿宋" w:cs="仿宋"/>
          <w:color w:val="333333"/>
          <w:highlight w:val="none"/>
          <w:shd w:val="clear" w:color="auto" w:fill="FFFFFF"/>
        </w:rPr>
        <w:t>)落实政府采购政策需满足的资格要求如下:</w:t>
      </w:r>
    </w:p>
    <w:p>
      <w:pPr>
        <w:pStyle w:val="32"/>
        <w:spacing w:before="0" w:beforeAutospacing="0" w:after="0" w:afterAutospacing="0" w:line="360" w:lineRule="auto"/>
        <w:ind w:firstLine="420"/>
        <w:rPr>
          <w:rFonts w:ascii="仿宋" w:hAnsi="仿宋" w:eastAsia="仿宋" w:cs="仿宋"/>
          <w:color w:val="333333"/>
          <w:highlight w:val="none"/>
          <w:shd w:val="clear" w:color="auto" w:fill="FFFFFF"/>
        </w:rPr>
      </w:pPr>
      <w:r>
        <w:rPr>
          <w:rFonts w:hint="eastAsia" w:ascii="仿宋" w:hAnsi="仿宋" w:eastAsia="仿宋" w:cs="仿宋"/>
          <w:color w:val="333333"/>
          <w:highlight w:val="none"/>
          <w:shd w:val="clear" w:color="auto" w:fill="FFFFFF"/>
        </w:rPr>
        <w:t>本项目专门面向中小企业采购，供应商应为中小微企业或监狱企业或残疾人福利性单位。</w:t>
      </w:r>
    </w:p>
    <w:p>
      <w:pPr>
        <w:pStyle w:val="32"/>
        <w:spacing w:before="0" w:beforeAutospacing="0" w:after="0" w:afterAutospacing="0" w:line="360" w:lineRule="auto"/>
        <w:ind w:left="420"/>
        <w:rPr>
          <w:rFonts w:ascii="仿宋" w:hAnsi="仿宋" w:eastAsia="仿宋" w:cs="仿宋"/>
          <w:color w:val="333333"/>
          <w:highlight w:val="none"/>
          <w:shd w:val="clear" w:color="auto" w:fill="FFFFFF"/>
        </w:rPr>
      </w:pPr>
      <w:r>
        <w:rPr>
          <w:rFonts w:hint="eastAsia" w:ascii="仿宋" w:hAnsi="仿宋" w:eastAsia="仿宋" w:cs="仿宋"/>
          <w:color w:val="333333"/>
          <w:highlight w:val="none"/>
          <w:shd w:val="clear" w:color="auto" w:fill="FFFFFF"/>
        </w:rPr>
        <w:t>3.本项目的特定资格要求：</w:t>
      </w:r>
    </w:p>
    <w:p>
      <w:pPr>
        <w:pStyle w:val="32"/>
        <w:spacing w:before="0" w:beforeAutospacing="0" w:after="0" w:afterAutospacing="0" w:line="360" w:lineRule="auto"/>
        <w:ind w:firstLine="480" w:firstLineChars="200"/>
        <w:rPr>
          <w:rFonts w:ascii="仿宋" w:hAnsi="仿宋" w:eastAsia="仿宋" w:cs="仿宋"/>
          <w:color w:val="333333"/>
          <w:highlight w:val="none"/>
          <w:shd w:val="clear" w:color="auto" w:fill="FFFFFF"/>
        </w:rPr>
      </w:pPr>
      <w:r>
        <w:rPr>
          <w:rFonts w:hint="eastAsia" w:ascii="仿宋" w:hAnsi="仿宋" w:eastAsia="仿宋" w:cs="仿宋"/>
          <w:color w:val="333333"/>
          <w:highlight w:val="none"/>
          <w:shd w:val="clear" w:color="auto" w:fill="FFFFFF"/>
        </w:rPr>
        <w:t>合同包1(</w:t>
      </w:r>
      <w:r>
        <w:rPr>
          <w:rFonts w:hint="eastAsia" w:ascii="仿宋" w:hAnsi="仿宋" w:eastAsia="仿宋" w:cs="仿宋"/>
          <w:bCs/>
          <w:color w:val="333333"/>
          <w:highlight w:val="none"/>
          <w:shd w:val="clear" w:color="auto" w:fill="FFFFFF"/>
        </w:rPr>
        <w:t>郭杜派出所修缮改扩建项目</w:t>
      </w:r>
      <w:r>
        <w:rPr>
          <w:rFonts w:hint="eastAsia" w:ascii="仿宋" w:hAnsi="仿宋" w:eastAsia="仿宋" w:cs="仿宋"/>
          <w:color w:val="333333"/>
          <w:highlight w:val="none"/>
          <w:shd w:val="clear" w:color="auto" w:fill="FFFFFF"/>
        </w:rPr>
        <w:t>)特定资格要求如下:</w:t>
      </w:r>
    </w:p>
    <w:p>
      <w:pPr>
        <w:pStyle w:val="32"/>
        <w:numPr>
          <w:ilvl w:val="0"/>
          <w:numId w:val="2"/>
        </w:numPr>
        <w:spacing w:before="0" w:beforeAutospacing="0" w:after="0" w:afterAutospacing="0" w:line="360" w:lineRule="auto"/>
        <w:ind w:firstLine="420"/>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法定代表人授权书（附法定代表人、被授权人身份证复印件）及被授权人身份证（法定代表人直接参加磋商，须提供法定代表人身份证明及身份证原件）；</w:t>
      </w:r>
    </w:p>
    <w:p>
      <w:pPr>
        <w:pStyle w:val="32"/>
        <w:numPr>
          <w:ilvl w:val="0"/>
          <w:numId w:val="2"/>
        </w:numPr>
        <w:spacing w:before="0" w:beforeAutospacing="0" w:after="0" w:afterAutospacing="0" w:line="360" w:lineRule="auto"/>
        <w:ind w:firstLine="420"/>
        <w:rPr>
          <w:rFonts w:ascii="仿宋" w:hAnsi="仿宋" w:eastAsia="仿宋" w:cs="仿宋"/>
          <w:highlight w:val="none"/>
        </w:rPr>
      </w:pPr>
      <w:r>
        <w:rPr>
          <w:rFonts w:hint="eastAsia" w:ascii="仿宋" w:hAnsi="仿宋" w:eastAsia="仿宋" w:cs="仿宋"/>
          <w:highlight w:val="none"/>
          <w:shd w:val="clear" w:color="auto" w:fill="FFFFFF"/>
          <w:lang w:eastAsia="zh-CN"/>
        </w:rPr>
        <w:t>具备钢结构工程专业承包三级及以上资质证书，同时具有合格有效的安全生产许可证；</w:t>
      </w:r>
    </w:p>
    <w:p>
      <w:pPr>
        <w:pStyle w:val="32"/>
        <w:numPr>
          <w:ilvl w:val="0"/>
          <w:numId w:val="2"/>
        </w:numPr>
        <w:spacing w:before="0" w:beforeAutospacing="0" w:after="0" w:afterAutospacing="0" w:line="360" w:lineRule="auto"/>
        <w:ind w:firstLine="420"/>
        <w:rPr>
          <w:rFonts w:ascii="仿宋" w:hAnsi="仿宋" w:eastAsia="仿宋" w:cs="仿宋"/>
          <w:highlight w:val="none"/>
        </w:rPr>
      </w:pPr>
      <w:r>
        <w:rPr>
          <w:rFonts w:hint="eastAsia" w:ascii="仿宋" w:hAnsi="仿宋" w:eastAsia="仿宋" w:cs="仿宋"/>
          <w:highlight w:val="none"/>
          <w:shd w:val="clear" w:color="auto" w:fill="FFFFFF"/>
        </w:rPr>
        <w:t>拟派项目经理须具有建筑工程专业二级及以上注册建造师证书和有效的安全生产考核证书（B证），在本单位注册且无在建工程、无不良记录（提供无在建工程、无不良记录承诺书）；</w:t>
      </w:r>
    </w:p>
    <w:p>
      <w:pPr>
        <w:pStyle w:val="32"/>
        <w:numPr>
          <w:ilvl w:val="0"/>
          <w:numId w:val="2"/>
        </w:numPr>
        <w:spacing w:before="0" w:beforeAutospacing="0" w:after="0" w:afterAutospacing="0" w:line="360" w:lineRule="auto"/>
        <w:ind w:firstLine="420"/>
        <w:rPr>
          <w:rFonts w:ascii="仿宋" w:hAnsi="仿宋" w:eastAsia="仿宋" w:cs="仿宋"/>
          <w:highlight w:val="none"/>
        </w:rPr>
      </w:pPr>
      <w:r>
        <w:rPr>
          <w:rFonts w:hint="eastAsia" w:ascii="仿宋" w:hAnsi="仿宋" w:eastAsia="仿宋" w:cs="仿宋"/>
          <w:highlight w:val="none"/>
          <w:shd w:val="clear" w:color="auto" w:fill="FFFFFF"/>
        </w:rPr>
        <w:t>供应商未被“信用中国”网站（www.creditchina.gov.cn）列入失信被执行人和重大税收违法失信主体，未被中国政府采购网（www.ccgp.gov.cn）列入政府采购严重违法失信行为记录名单。</w:t>
      </w:r>
    </w:p>
    <w:p>
      <w:pPr>
        <w:pStyle w:val="32"/>
        <w:spacing w:before="0" w:beforeAutospacing="0" w:after="0" w:afterAutospacing="0" w:line="360" w:lineRule="auto"/>
        <w:rPr>
          <w:rFonts w:ascii="仿宋" w:hAnsi="仿宋" w:eastAsia="仿宋" w:cs="仿宋"/>
          <w:b/>
          <w:highlight w:val="none"/>
        </w:rPr>
      </w:pPr>
      <w:r>
        <w:rPr>
          <w:rFonts w:hint="eastAsia" w:ascii="仿宋" w:hAnsi="仿宋" w:eastAsia="仿宋" w:cs="仿宋"/>
          <w:b/>
          <w:color w:val="333333"/>
          <w:highlight w:val="none"/>
          <w:shd w:val="clear" w:color="auto" w:fill="FFFFFF"/>
        </w:rPr>
        <w:t>三、获取采购文件</w:t>
      </w:r>
    </w:p>
    <w:p>
      <w:pPr>
        <w:pStyle w:val="32"/>
        <w:spacing w:before="0" w:beforeAutospacing="0" w:after="0" w:afterAutospacing="0" w:line="360" w:lineRule="auto"/>
        <w:ind w:firstLine="420"/>
        <w:rPr>
          <w:rFonts w:ascii="仿宋" w:hAnsi="仿宋" w:eastAsia="仿宋" w:cs="仿宋"/>
          <w:color w:val="333333"/>
          <w:highlight w:val="none"/>
          <w:shd w:val="clear" w:color="auto" w:fill="FFFFFF"/>
        </w:rPr>
      </w:pPr>
      <w:r>
        <w:rPr>
          <w:rFonts w:hint="eastAsia" w:ascii="仿宋" w:hAnsi="仿宋" w:eastAsia="仿宋" w:cs="仿宋"/>
          <w:color w:val="333333"/>
          <w:highlight w:val="none"/>
          <w:shd w:val="clear" w:color="auto" w:fill="FFFFFF"/>
        </w:rPr>
        <w:t>时间： 2022年</w:t>
      </w:r>
      <w:r>
        <w:rPr>
          <w:rFonts w:hint="eastAsia" w:ascii="仿宋" w:hAnsi="仿宋" w:eastAsia="仿宋" w:cs="仿宋"/>
          <w:color w:val="333333"/>
          <w:highlight w:val="none"/>
          <w:shd w:val="clear" w:color="auto" w:fill="FFFFFF"/>
          <w:lang w:val="en-US" w:eastAsia="zh-CN"/>
        </w:rPr>
        <w:t>10</w:t>
      </w:r>
      <w:r>
        <w:rPr>
          <w:rFonts w:hint="eastAsia" w:ascii="仿宋" w:hAnsi="仿宋" w:eastAsia="仿宋" w:cs="仿宋"/>
          <w:color w:val="333333"/>
          <w:highlight w:val="none"/>
          <w:shd w:val="clear" w:color="auto" w:fill="FFFFFF"/>
        </w:rPr>
        <w:t>月</w:t>
      </w:r>
      <w:r>
        <w:rPr>
          <w:rFonts w:hint="eastAsia" w:ascii="仿宋" w:hAnsi="仿宋" w:eastAsia="仿宋" w:cs="仿宋"/>
          <w:color w:val="333333"/>
          <w:highlight w:val="none"/>
          <w:shd w:val="clear" w:color="auto" w:fill="FFFFFF"/>
          <w:lang w:val="en-US" w:eastAsia="zh-CN"/>
        </w:rPr>
        <w:t>10</w:t>
      </w:r>
      <w:r>
        <w:rPr>
          <w:rFonts w:hint="eastAsia" w:ascii="仿宋" w:hAnsi="仿宋" w:eastAsia="仿宋" w:cs="仿宋"/>
          <w:color w:val="333333"/>
          <w:highlight w:val="none"/>
          <w:shd w:val="clear" w:color="auto" w:fill="FFFFFF"/>
        </w:rPr>
        <w:t>日 至 2022年</w:t>
      </w:r>
      <w:r>
        <w:rPr>
          <w:rFonts w:hint="eastAsia" w:ascii="仿宋" w:hAnsi="仿宋" w:eastAsia="仿宋" w:cs="仿宋"/>
          <w:color w:val="333333"/>
          <w:highlight w:val="none"/>
          <w:shd w:val="clear" w:color="auto" w:fill="FFFFFF"/>
          <w:lang w:val="en-US" w:eastAsia="zh-CN"/>
        </w:rPr>
        <w:t>10</w:t>
      </w:r>
      <w:r>
        <w:rPr>
          <w:rFonts w:hint="eastAsia" w:ascii="仿宋" w:hAnsi="仿宋" w:eastAsia="仿宋" w:cs="仿宋"/>
          <w:color w:val="333333"/>
          <w:highlight w:val="none"/>
          <w:shd w:val="clear" w:color="auto" w:fill="FFFFFF"/>
        </w:rPr>
        <w:t>月</w:t>
      </w:r>
      <w:r>
        <w:rPr>
          <w:rFonts w:hint="eastAsia" w:ascii="仿宋" w:hAnsi="仿宋" w:eastAsia="仿宋" w:cs="仿宋"/>
          <w:color w:val="333333"/>
          <w:highlight w:val="none"/>
          <w:shd w:val="clear" w:color="auto" w:fill="FFFFFF"/>
          <w:lang w:val="en-US" w:eastAsia="zh-CN"/>
        </w:rPr>
        <w:t>14</w:t>
      </w:r>
      <w:r>
        <w:rPr>
          <w:rFonts w:hint="eastAsia" w:ascii="仿宋" w:hAnsi="仿宋" w:eastAsia="仿宋" w:cs="仿宋"/>
          <w:color w:val="333333"/>
          <w:highlight w:val="none"/>
          <w:shd w:val="clear" w:color="auto" w:fill="FFFFFF"/>
        </w:rPr>
        <w:t>日 ，每天上午 09:00:00 至 12:00:00 ，下午 13:00:00 至 17:00:00 （北京时间,法定节假日除外）</w:t>
      </w:r>
    </w:p>
    <w:p>
      <w:pPr>
        <w:pStyle w:val="32"/>
        <w:spacing w:before="0" w:beforeAutospacing="0" w:after="0" w:afterAutospacing="0" w:line="360" w:lineRule="auto"/>
        <w:ind w:firstLine="420"/>
        <w:rPr>
          <w:rFonts w:ascii="仿宋" w:hAnsi="仿宋" w:eastAsia="仿宋" w:cs="仿宋"/>
          <w:highlight w:val="none"/>
        </w:rPr>
      </w:pPr>
      <w:r>
        <w:rPr>
          <w:rFonts w:hint="eastAsia" w:ascii="仿宋" w:hAnsi="仿宋" w:eastAsia="仿宋" w:cs="仿宋"/>
          <w:color w:val="333333"/>
          <w:highlight w:val="none"/>
          <w:shd w:val="clear" w:color="auto" w:fill="FFFFFF"/>
        </w:rPr>
        <w:t>地点：陕西省西安市高新区科技五路8号数字大厦11层</w:t>
      </w:r>
    </w:p>
    <w:p>
      <w:pPr>
        <w:pStyle w:val="32"/>
        <w:spacing w:before="0" w:beforeAutospacing="0" w:after="0" w:afterAutospacing="0" w:line="360" w:lineRule="auto"/>
        <w:ind w:firstLine="420"/>
        <w:rPr>
          <w:rFonts w:ascii="仿宋" w:hAnsi="仿宋" w:eastAsia="仿宋" w:cs="仿宋"/>
          <w:highlight w:val="none"/>
        </w:rPr>
      </w:pPr>
      <w:r>
        <w:rPr>
          <w:rFonts w:hint="eastAsia" w:ascii="仿宋" w:hAnsi="仿宋" w:eastAsia="仿宋" w:cs="仿宋"/>
          <w:color w:val="333333"/>
          <w:highlight w:val="none"/>
          <w:shd w:val="clear" w:color="auto" w:fill="FFFFFF"/>
        </w:rPr>
        <w:t>方式：现场获取</w:t>
      </w:r>
    </w:p>
    <w:p>
      <w:pPr>
        <w:pStyle w:val="32"/>
        <w:spacing w:before="0" w:beforeAutospacing="0" w:after="0" w:afterAutospacing="0" w:line="360" w:lineRule="auto"/>
        <w:ind w:firstLine="420"/>
        <w:rPr>
          <w:rFonts w:hint="eastAsia" w:ascii="仿宋" w:hAnsi="仿宋" w:eastAsia="仿宋" w:cs="仿宋"/>
          <w:highlight w:val="none"/>
          <w:lang w:eastAsia="zh-CN"/>
        </w:rPr>
      </w:pPr>
      <w:r>
        <w:rPr>
          <w:rFonts w:hint="eastAsia" w:ascii="仿宋" w:hAnsi="仿宋" w:eastAsia="仿宋" w:cs="仿宋"/>
          <w:highlight w:val="none"/>
          <w:shd w:val="clear" w:color="auto" w:fill="FFFFFF"/>
        </w:rPr>
        <w:t>售价：</w:t>
      </w:r>
      <w:r>
        <w:rPr>
          <w:rFonts w:hint="eastAsia" w:ascii="仿宋" w:hAnsi="仿宋" w:eastAsia="仿宋" w:cs="仿宋"/>
          <w:highlight w:val="none"/>
          <w:shd w:val="clear" w:color="auto" w:fill="FFFFFF"/>
          <w:lang w:val="en-US" w:eastAsia="zh-CN"/>
        </w:rPr>
        <w:t>0</w:t>
      </w:r>
    </w:p>
    <w:p>
      <w:pPr>
        <w:pStyle w:val="32"/>
        <w:spacing w:before="0" w:beforeAutospacing="0" w:after="0" w:afterAutospacing="0" w:line="360" w:lineRule="auto"/>
        <w:rPr>
          <w:rFonts w:ascii="仿宋" w:hAnsi="仿宋" w:eastAsia="仿宋" w:cs="仿宋"/>
          <w:b/>
          <w:highlight w:val="none"/>
        </w:rPr>
      </w:pPr>
      <w:r>
        <w:rPr>
          <w:rFonts w:hint="eastAsia" w:ascii="仿宋" w:hAnsi="仿宋" w:eastAsia="仿宋" w:cs="仿宋"/>
          <w:b/>
          <w:color w:val="333333"/>
          <w:highlight w:val="none"/>
          <w:shd w:val="clear" w:color="auto" w:fill="FFFFFF"/>
        </w:rPr>
        <w:t>四、响应文件递交</w:t>
      </w:r>
    </w:p>
    <w:p>
      <w:pPr>
        <w:pStyle w:val="32"/>
        <w:spacing w:before="0" w:beforeAutospacing="0" w:after="0" w:afterAutospacing="0" w:line="360" w:lineRule="auto"/>
        <w:ind w:firstLine="420"/>
        <w:rPr>
          <w:rFonts w:ascii="仿宋" w:hAnsi="仿宋" w:eastAsia="仿宋" w:cs="仿宋"/>
          <w:color w:val="FF0000"/>
          <w:highlight w:val="none"/>
        </w:rPr>
      </w:pPr>
      <w:r>
        <w:rPr>
          <w:rFonts w:hint="eastAsia" w:ascii="仿宋" w:hAnsi="仿宋" w:eastAsia="仿宋" w:cs="仿宋"/>
          <w:color w:val="333333"/>
          <w:highlight w:val="none"/>
          <w:shd w:val="clear" w:color="auto" w:fill="FFFFFF"/>
        </w:rPr>
        <w:t>截止时间：</w:t>
      </w:r>
      <w:r>
        <w:rPr>
          <w:rFonts w:hint="eastAsia" w:ascii="仿宋" w:hAnsi="仿宋" w:eastAsia="仿宋" w:cs="仿宋"/>
          <w:bCs/>
          <w:color w:val="333333"/>
          <w:highlight w:val="none"/>
          <w:shd w:val="clear" w:color="auto" w:fill="FFFFFF"/>
        </w:rPr>
        <w:t>2022年</w:t>
      </w:r>
      <w:r>
        <w:rPr>
          <w:rFonts w:hint="eastAsia" w:ascii="仿宋" w:hAnsi="仿宋" w:eastAsia="仿宋" w:cs="仿宋"/>
          <w:bCs/>
          <w:color w:val="333333"/>
          <w:highlight w:val="none"/>
          <w:shd w:val="clear" w:color="auto" w:fill="FFFFFF"/>
          <w:lang w:val="en-US" w:eastAsia="zh-CN"/>
        </w:rPr>
        <w:t>10</w:t>
      </w:r>
      <w:r>
        <w:rPr>
          <w:rFonts w:hint="eastAsia" w:ascii="仿宋" w:hAnsi="仿宋" w:eastAsia="仿宋" w:cs="仿宋"/>
          <w:bCs/>
          <w:color w:val="333333"/>
          <w:highlight w:val="none"/>
          <w:shd w:val="clear" w:color="auto" w:fill="FFFFFF"/>
        </w:rPr>
        <w:t>月</w:t>
      </w:r>
      <w:r>
        <w:rPr>
          <w:rFonts w:hint="eastAsia" w:ascii="仿宋" w:hAnsi="仿宋" w:eastAsia="仿宋" w:cs="仿宋"/>
          <w:bCs/>
          <w:color w:val="333333"/>
          <w:highlight w:val="none"/>
          <w:shd w:val="clear" w:color="auto" w:fill="FFFFFF"/>
          <w:lang w:val="en-US" w:eastAsia="zh-CN"/>
        </w:rPr>
        <w:t>20</w:t>
      </w:r>
      <w:r>
        <w:rPr>
          <w:rFonts w:hint="eastAsia" w:ascii="仿宋" w:hAnsi="仿宋" w:eastAsia="仿宋" w:cs="仿宋"/>
          <w:bCs/>
          <w:color w:val="333333"/>
          <w:highlight w:val="none"/>
          <w:shd w:val="clear" w:color="auto" w:fill="FFFFFF"/>
        </w:rPr>
        <w:t xml:space="preserve">日 </w:t>
      </w:r>
      <w:r>
        <w:rPr>
          <w:rFonts w:hint="eastAsia" w:ascii="仿宋" w:hAnsi="仿宋" w:eastAsia="仿宋" w:cs="仿宋"/>
          <w:bCs/>
          <w:color w:val="333333"/>
          <w:highlight w:val="none"/>
          <w:shd w:val="clear" w:color="auto" w:fill="FFFFFF"/>
          <w:lang w:val="en-US" w:eastAsia="zh-CN"/>
        </w:rPr>
        <w:t>14</w:t>
      </w:r>
      <w:r>
        <w:rPr>
          <w:rFonts w:hint="eastAsia" w:ascii="仿宋" w:hAnsi="仿宋" w:eastAsia="仿宋" w:cs="仿宋"/>
          <w:bCs/>
          <w:color w:val="333333"/>
          <w:highlight w:val="none"/>
          <w:shd w:val="clear" w:color="auto" w:fill="FFFFFF"/>
        </w:rPr>
        <w:t>时30分00秒 （北京时间）</w:t>
      </w:r>
    </w:p>
    <w:p>
      <w:pPr>
        <w:pStyle w:val="32"/>
        <w:spacing w:before="0" w:beforeAutospacing="0" w:after="0" w:afterAutospacing="0" w:line="360" w:lineRule="auto"/>
        <w:ind w:firstLine="420"/>
        <w:rPr>
          <w:rFonts w:ascii="仿宋" w:hAnsi="仿宋" w:eastAsia="仿宋" w:cs="仿宋"/>
          <w:highlight w:val="none"/>
        </w:rPr>
      </w:pPr>
      <w:r>
        <w:rPr>
          <w:rFonts w:hint="eastAsia" w:ascii="仿宋" w:hAnsi="仿宋" w:eastAsia="仿宋" w:cs="仿宋"/>
          <w:color w:val="333333"/>
          <w:highlight w:val="none"/>
          <w:shd w:val="clear" w:color="auto" w:fill="FFFFFF"/>
        </w:rPr>
        <w:t>地点</w:t>
      </w:r>
      <w:r>
        <w:rPr>
          <w:rFonts w:hint="eastAsia" w:ascii="仿宋" w:hAnsi="仿宋" w:eastAsia="仿宋" w:cs="仿宋"/>
          <w:highlight w:val="none"/>
          <w:shd w:val="clear" w:color="auto" w:fill="FFFFFF"/>
        </w:rPr>
        <w:t>：陕西省西安市高新区科技五路8号数字大厦11层</w:t>
      </w:r>
      <w:r>
        <w:rPr>
          <w:rFonts w:hint="eastAsia" w:ascii="仿宋" w:hAnsi="仿宋" w:eastAsia="仿宋" w:cs="仿宋"/>
          <w:color w:val="FF0000"/>
          <w:highlight w:val="none"/>
          <w:shd w:val="clear" w:color="auto" w:fill="FFFFFF"/>
        </w:rPr>
        <w:t>开标二室</w:t>
      </w:r>
    </w:p>
    <w:p>
      <w:pPr>
        <w:pStyle w:val="32"/>
        <w:spacing w:before="0" w:beforeAutospacing="0" w:after="0" w:afterAutospacing="0" w:line="360" w:lineRule="auto"/>
        <w:rPr>
          <w:rFonts w:ascii="仿宋" w:hAnsi="仿宋" w:eastAsia="仿宋" w:cs="仿宋"/>
          <w:b/>
          <w:color w:val="333333"/>
          <w:highlight w:val="none"/>
          <w:shd w:val="clear" w:color="auto" w:fill="FFFFFF"/>
        </w:rPr>
      </w:pPr>
      <w:r>
        <w:rPr>
          <w:rFonts w:hint="eastAsia" w:ascii="仿宋" w:hAnsi="仿宋" w:eastAsia="仿宋" w:cs="仿宋"/>
          <w:b/>
          <w:color w:val="333333"/>
          <w:highlight w:val="none"/>
          <w:shd w:val="clear" w:color="auto" w:fill="FFFFFF"/>
        </w:rPr>
        <w:t>五、开启</w:t>
      </w:r>
    </w:p>
    <w:p>
      <w:pPr>
        <w:pStyle w:val="32"/>
        <w:spacing w:before="0" w:beforeAutospacing="0" w:after="0" w:afterAutospacing="0" w:line="360" w:lineRule="auto"/>
        <w:ind w:firstLine="480" w:firstLineChars="200"/>
        <w:rPr>
          <w:rFonts w:ascii="仿宋" w:hAnsi="仿宋" w:eastAsia="仿宋" w:cs="仿宋"/>
          <w:bCs/>
          <w:color w:val="333333"/>
          <w:highlight w:val="none"/>
          <w:shd w:val="clear" w:color="auto" w:fill="FFFFFF"/>
        </w:rPr>
      </w:pPr>
      <w:r>
        <w:rPr>
          <w:rFonts w:hint="eastAsia" w:ascii="仿宋" w:hAnsi="仿宋" w:eastAsia="仿宋" w:cs="仿宋"/>
          <w:bCs/>
          <w:color w:val="333333"/>
          <w:highlight w:val="none"/>
          <w:shd w:val="clear" w:color="auto" w:fill="FFFFFF"/>
        </w:rPr>
        <w:t>时间：2022年</w:t>
      </w:r>
      <w:r>
        <w:rPr>
          <w:rFonts w:hint="eastAsia" w:ascii="仿宋" w:hAnsi="仿宋" w:eastAsia="仿宋" w:cs="仿宋"/>
          <w:bCs/>
          <w:color w:val="333333"/>
          <w:highlight w:val="none"/>
          <w:shd w:val="clear" w:color="auto" w:fill="FFFFFF"/>
          <w:lang w:val="en-US" w:eastAsia="zh-CN"/>
        </w:rPr>
        <w:t>10</w:t>
      </w:r>
      <w:r>
        <w:rPr>
          <w:rFonts w:hint="eastAsia" w:ascii="仿宋" w:hAnsi="仿宋" w:eastAsia="仿宋" w:cs="仿宋"/>
          <w:bCs/>
          <w:color w:val="333333"/>
          <w:highlight w:val="none"/>
          <w:shd w:val="clear" w:color="auto" w:fill="FFFFFF"/>
        </w:rPr>
        <w:t>月</w:t>
      </w:r>
      <w:r>
        <w:rPr>
          <w:rFonts w:hint="eastAsia" w:ascii="仿宋" w:hAnsi="仿宋" w:eastAsia="仿宋" w:cs="仿宋"/>
          <w:bCs/>
          <w:color w:val="333333"/>
          <w:highlight w:val="none"/>
          <w:shd w:val="clear" w:color="auto" w:fill="FFFFFF"/>
          <w:lang w:val="en-US" w:eastAsia="zh-CN"/>
        </w:rPr>
        <w:t>20</w:t>
      </w:r>
      <w:r>
        <w:rPr>
          <w:rFonts w:hint="eastAsia" w:ascii="仿宋" w:hAnsi="仿宋" w:eastAsia="仿宋" w:cs="仿宋"/>
          <w:bCs/>
          <w:color w:val="333333"/>
          <w:highlight w:val="none"/>
          <w:shd w:val="clear" w:color="auto" w:fill="FFFFFF"/>
        </w:rPr>
        <w:t xml:space="preserve">日 </w:t>
      </w:r>
      <w:r>
        <w:rPr>
          <w:rFonts w:hint="eastAsia" w:ascii="仿宋" w:hAnsi="仿宋" w:eastAsia="仿宋" w:cs="仿宋"/>
          <w:bCs/>
          <w:color w:val="333333"/>
          <w:highlight w:val="none"/>
          <w:shd w:val="clear" w:color="auto" w:fill="FFFFFF"/>
          <w:lang w:val="en-US" w:eastAsia="zh-CN"/>
        </w:rPr>
        <w:t>14</w:t>
      </w:r>
      <w:r>
        <w:rPr>
          <w:rFonts w:hint="eastAsia" w:ascii="仿宋" w:hAnsi="仿宋" w:eastAsia="仿宋" w:cs="仿宋"/>
          <w:bCs/>
          <w:color w:val="333333"/>
          <w:highlight w:val="none"/>
          <w:shd w:val="clear" w:color="auto" w:fill="FFFFFF"/>
        </w:rPr>
        <w:t>时30分00秒 （北京时间）</w:t>
      </w:r>
    </w:p>
    <w:p>
      <w:pPr>
        <w:pStyle w:val="32"/>
        <w:spacing w:before="0" w:beforeAutospacing="0" w:after="0" w:afterAutospacing="0" w:line="360" w:lineRule="auto"/>
        <w:ind w:firstLine="480" w:firstLineChars="200"/>
        <w:rPr>
          <w:rFonts w:ascii="仿宋" w:hAnsi="仿宋" w:eastAsia="仿宋" w:cs="仿宋"/>
          <w:b/>
          <w:color w:val="333333"/>
          <w:highlight w:val="none"/>
          <w:shd w:val="clear" w:color="auto" w:fill="FFFFFF"/>
        </w:rPr>
      </w:pPr>
      <w:r>
        <w:rPr>
          <w:rFonts w:hint="eastAsia" w:ascii="仿宋" w:hAnsi="仿宋" w:eastAsia="仿宋" w:cs="仿宋"/>
          <w:bCs/>
          <w:color w:val="333333"/>
          <w:highlight w:val="none"/>
          <w:shd w:val="clear" w:color="auto" w:fill="FFFFFF"/>
        </w:rPr>
        <w:t>地点：陕西省西安市高新区科技五路8号数字大厦11层</w:t>
      </w:r>
      <w:r>
        <w:rPr>
          <w:rFonts w:hint="eastAsia" w:ascii="仿宋" w:hAnsi="仿宋" w:eastAsia="仿宋" w:cs="仿宋"/>
          <w:bCs/>
          <w:color w:val="FF0000"/>
          <w:highlight w:val="none"/>
          <w:shd w:val="clear" w:color="auto" w:fill="FFFFFF"/>
        </w:rPr>
        <w:t>开标二室</w:t>
      </w:r>
    </w:p>
    <w:p>
      <w:pPr>
        <w:pStyle w:val="32"/>
        <w:spacing w:before="0" w:beforeAutospacing="0" w:after="0" w:afterAutospacing="0" w:line="360" w:lineRule="auto"/>
        <w:rPr>
          <w:rFonts w:ascii="仿宋" w:hAnsi="仿宋" w:eastAsia="仿宋" w:cs="仿宋"/>
          <w:b/>
          <w:highlight w:val="none"/>
        </w:rPr>
      </w:pPr>
      <w:r>
        <w:rPr>
          <w:rFonts w:hint="eastAsia" w:ascii="仿宋" w:hAnsi="仿宋" w:eastAsia="仿宋" w:cs="仿宋"/>
          <w:b/>
          <w:color w:val="333333"/>
          <w:highlight w:val="none"/>
          <w:shd w:val="clear" w:color="auto" w:fill="FFFFFF"/>
        </w:rPr>
        <w:t>六、公告期限</w:t>
      </w:r>
    </w:p>
    <w:p>
      <w:pPr>
        <w:pStyle w:val="32"/>
        <w:spacing w:before="0" w:beforeAutospacing="0" w:after="0" w:afterAutospacing="0" w:line="360" w:lineRule="auto"/>
        <w:ind w:firstLine="420"/>
        <w:rPr>
          <w:rFonts w:ascii="仿宋" w:hAnsi="仿宋" w:eastAsia="仿宋" w:cs="仿宋"/>
          <w:highlight w:val="none"/>
        </w:rPr>
      </w:pPr>
      <w:r>
        <w:rPr>
          <w:rFonts w:hint="eastAsia" w:ascii="仿宋" w:hAnsi="仿宋" w:eastAsia="仿宋" w:cs="仿宋"/>
          <w:color w:val="333333"/>
          <w:highlight w:val="none"/>
          <w:shd w:val="clear" w:color="auto" w:fill="FFFFFF"/>
        </w:rPr>
        <w:t>自本公告发布之日起3个工作日。</w:t>
      </w:r>
    </w:p>
    <w:p>
      <w:pPr>
        <w:pStyle w:val="32"/>
        <w:spacing w:before="0" w:beforeAutospacing="0" w:after="0" w:afterAutospacing="0" w:line="360" w:lineRule="auto"/>
        <w:rPr>
          <w:rStyle w:val="38"/>
          <w:rFonts w:ascii="仿宋" w:hAnsi="仿宋" w:eastAsia="仿宋" w:cs="仿宋"/>
          <w:b w:val="0"/>
          <w:bCs w:val="0"/>
          <w:color w:val="333333"/>
          <w:highlight w:val="none"/>
          <w:shd w:val="clear" w:color="auto" w:fill="FFFFFF"/>
        </w:rPr>
      </w:pPr>
      <w:r>
        <w:rPr>
          <w:rFonts w:hint="eastAsia" w:ascii="仿宋" w:hAnsi="仿宋" w:eastAsia="仿宋" w:cs="仿宋"/>
          <w:b/>
          <w:color w:val="333333"/>
          <w:highlight w:val="none"/>
          <w:shd w:val="clear" w:color="auto" w:fill="FFFFFF"/>
        </w:rPr>
        <w:t>七、其他补充事宜</w:t>
      </w:r>
    </w:p>
    <w:p>
      <w:pPr>
        <w:pStyle w:val="32"/>
        <w:spacing w:before="0" w:beforeAutospacing="0" w:after="0" w:afterAutospacing="0" w:line="360" w:lineRule="auto"/>
        <w:ind w:firstLine="480" w:firstLineChars="200"/>
        <w:rPr>
          <w:rFonts w:ascii="仿宋" w:hAnsi="仿宋" w:eastAsia="仿宋" w:cs="仿宋"/>
          <w:bCs/>
          <w:highlight w:val="none"/>
          <w:shd w:val="clear" w:color="auto" w:fill="FFFFFF"/>
        </w:rPr>
      </w:pPr>
      <w:r>
        <w:rPr>
          <w:rFonts w:hint="eastAsia" w:ascii="仿宋" w:hAnsi="仿宋" w:eastAsia="仿宋" w:cs="仿宋"/>
          <w:bCs/>
          <w:highlight w:val="none"/>
          <w:shd w:val="clear" w:color="auto" w:fill="FFFFFF"/>
        </w:rPr>
        <w:t>1.获取竞争性磋商文件请携带单位介绍信原件,经办人身份证原件及加盖供应商公章的复印件。</w:t>
      </w:r>
    </w:p>
    <w:p>
      <w:pPr>
        <w:pStyle w:val="32"/>
        <w:spacing w:before="0" w:beforeAutospacing="0" w:after="0" w:afterAutospacing="0" w:line="360" w:lineRule="auto"/>
        <w:ind w:firstLine="480" w:firstLineChars="200"/>
        <w:rPr>
          <w:rFonts w:ascii="仿宋" w:hAnsi="仿宋" w:eastAsia="仿宋" w:cs="仿宋"/>
          <w:b/>
          <w:highlight w:val="none"/>
          <w:shd w:val="clear" w:color="auto" w:fill="FFFFFF"/>
        </w:rPr>
      </w:pPr>
      <w:r>
        <w:rPr>
          <w:rFonts w:hint="eastAsia" w:ascii="仿宋" w:hAnsi="仿宋" w:eastAsia="仿宋" w:cs="仿宋"/>
          <w:bCs/>
          <w:highlight w:val="none"/>
          <w:shd w:val="clear" w:color="auto" w:fill="FFFFFF"/>
        </w:rPr>
        <w:t>2.落实的政府采购政策：（1）《政府采购促进中小企业发展管理办法》（财库〔2020〕46号）；（2）《财政部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号）；（11）其他需要落实的政府采购政策，详见磋商文件。</w:t>
      </w:r>
    </w:p>
    <w:p>
      <w:pPr>
        <w:pStyle w:val="32"/>
        <w:spacing w:before="0" w:beforeAutospacing="0" w:after="0" w:afterAutospacing="0" w:line="360" w:lineRule="auto"/>
        <w:rPr>
          <w:rFonts w:ascii="仿宋" w:hAnsi="仿宋" w:eastAsia="仿宋" w:cs="仿宋"/>
          <w:b/>
          <w:color w:val="333333"/>
          <w:highlight w:val="none"/>
          <w:shd w:val="clear" w:color="auto" w:fill="FFFFFF"/>
        </w:rPr>
      </w:pPr>
      <w:r>
        <w:rPr>
          <w:rFonts w:hint="eastAsia" w:ascii="仿宋" w:hAnsi="仿宋" w:eastAsia="仿宋" w:cs="仿宋"/>
          <w:b/>
          <w:color w:val="333333"/>
          <w:highlight w:val="none"/>
          <w:shd w:val="clear" w:color="auto" w:fill="FFFFFF"/>
          <w:lang w:val="en-US" w:eastAsia="zh-CN"/>
        </w:rPr>
        <w:t>八</w:t>
      </w:r>
      <w:r>
        <w:rPr>
          <w:rFonts w:hint="eastAsia" w:ascii="仿宋" w:hAnsi="仿宋" w:eastAsia="仿宋" w:cs="仿宋"/>
          <w:b/>
          <w:color w:val="333333"/>
          <w:highlight w:val="none"/>
          <w:shd w:val="clear" w:color="auto" w:fill="FFFFFF"/>
        </w:rPr>
        <w:t>、对本次采购提出询问，请按以下方式联系</w:t>
      </w:r>
    </w:p>
    <w:p>
      <w:pPr>
        <w:pStyle w:val="32"/>
        <w:spacing w:before="0" w:beforeAutospacing="0" w:after="0" w:afterAutospacing="0" w:line="360" w:lineRule="auto"/>
        <w:ind w:firstLine="420"/>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1.采购人信息</w:t>
      </w:r>
    </w:p>
    <w:p>
      <w:pPr>
        <w:pStyle w:val="32"/>
        <w:spacing w:before="0" w:beforeAutospacing="0" w:after="0" w:afterAutospacing="0" w:line="360" w:lineRule="auto"/>
        <w:ind w:firstLine="420"/>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名称：西安市公安局长安分局</w:t>
      </w:r>
    </w:p>
    <w:p>
      <w:pPr>
        <w:widowControl/>
        <w:spacing w:line="360" w:lineRule="auto"/>
        <w:ind w:firstLine="480" w:firstLineChars="200"/>
        <w:jc w:val="left"/>
        <w:rPr>
          <w:rFonts w:ascii="仿宋" w:hAnsi="仿宋" w:eastAsia="仿宋" w:cs="仿宋"/>
          <w:sz w:val="24"/>
          <w:szCs w:val="22"/>
          <w:highlight w:val="none"/>
        </w:rPr>
      </w:pPr>
      <w:r>
        <w:rPr>
          <w:rFonts w:hint="eastAsia" w:ascii="仿宋" w:hAnsi="仿宋" w:eastAsia="仿宋" w:cs="仿宋"/>
          <w:sz w:val="24"/>
          <w:szCs w:val="22"/>
          <w:highlight w:val="none"/>
        </w:rPr>
        <w:t>地址： 西安市长安区北长安街24号</w:t>
      </w:r>
    </w:p>
    <w:p>
      <w:pPr>
        <w:widowControl/>
        <w:spacing w:line="360" w:lineRule="auto"/>
        <w:ind w:firstLine="480" w:firstLineChars="200"/>
        <w:jc w:val="left"/>
        <w:rPr>
          <w:rFonts w:ascii="仿宋" w:hAnsi="仿宋" w:eastAsia="仿宋" w:cs="仿宋"/>
          <w:sz w:val="24"/>
          <w:szCs w:val="22"/>
          <w:highlight w:val="none"/>
        </w:rPr>
      </w:pPr>
      <w:r>
        <w:rPr>
          <w:rFonts w:hint="eastAsia" w:ascii="仿宋" w:hAnsi="仿宋" w:eastAsia="仿宋" w:cs="仿宋"/>
          <w:sz w:val="24"/>
          <w:szCs w:val="22"/>
          <w:highlight w:val="none"/>
        </w:rPr>
        <w:t>电话： 18591879657</w:t>
      </w:r>
    </w:p>
    <w:p>
      <w:pPr>
        <w:pStyle w:val="32"/>
        <w:spacing w:before="0" w:beforeAutospacing="0" w:after="0" w:afterAutospacing="0" w:line="360" w:lineRule="auto"/>
        <w:ind w:firstLine="420"/>
        <w:rPr>
          <w:rFonts w:ascii="仿宋" w:hAnsi="仿宋" w:eastAsia="仿宋" w:cs="仿宋"/>
          <w:highlight w:val="none"/>
        </w:rPr>
      </w:pPr>
      <w:r>
        <w:rPr>
          <w:rFonts w:hint="eastAsia" w:ascii="仿宋" w:hAnsi="仿宋" w:eastAsia="仿宋" w:cs="仿宋"/>
          <w:color w:val="333333"/>
          <w:highlight w:val="none"/>
          <w:shd w:val="clear" w:color="auto" w:fill="FFFFFF"/>
        </w:rPr>
        <w:t>2.采购代理机构信息</w:t>
      </w:r>
    </w:p>
    <w:p>
      <w:pPr>
        <w:pStyle w:val="32"/>
        <w:spacing w:before="0" w:beforeAutospacing="0" w:after="0" w:afterAutospacing="0" w:line="360" w:lineRule="auto"/>
        <w:ind w:firstLine="420"/>
        <w:rPr>
          <w:rFonts w:ascii="仿宋" w:hAnsi="仿宋" w:eastAsia="仿宋" w:cs="仿宋"/>
          <w:highlight w:val="none"/>
        </w:rPr>
      </w:pPr>
      <w:r>
        <w:rPr>
          <w:rFonts w:hint="eastAsia" w:ascii="仿宋" w:hAnsi="仿宋" w:eastAsia="仿宋" w:cs="仿宋"/>
          <w:color w:val="333333"/>
          <w:highlight w:val="none"/>
          <w:shd w:val="clear" w:color="auto" w:fill="FFFFFF"/>
        </w:rPr>
        <w:t>名称：华夏国际项目管理有限公司</w:t>
      </w:r>
    </w:p>
    <w:p>
      <w:pPr>
        <w:pStyle w:val="32"/>
        <w:spacing w:before="0" w:beforeAutospacing="0" w:after="0" w:afterAutospacing="0" w:line="360" w:lineRule="auto"/>
        <w:ind w:firstLine="420"/>
        <w:rPr>
          <w:rFonts w:ascii="仿宋" w:hAnsi="仿宋" w:eastAsia="仿宋" w:cs="仿宋"/>
          <w:highlight w:val="none"/>
        </w:rPr>
      </w:pPr>
      <w:r>
        <w:rPr>
          <w:rFonts w:hint="eastAsia" w:ascii="仿宋" w:hAnsi="仿宋" w:eastAsia="仿宋" w:cs="仿宋"/>
          <w:color w:val="333333"/>
          <w:highlight w:val="none"/>
          <w:shd w:val="clear" w:color="auto" w:fill="FFFFFF"/>
        </w:rPr>
        <w:t>地址：西安市高新区科技五路8号数字大厦11楼</w:t>
      </w:r>
    </w:p>
    <w:p>
      <w:pPr>
        <w:pStyle w:val="32"/>
        <w:spacing w:before="0" w:beforeAutospacing="0" w:after="0" w:afterAutospacing="0" w:line="360" w:lineRule="auto"/>
        <w:ind w:firstLine="420"/>
        <w:rPr>
          <w:rFonts w:ascii="仿宋" w:hAnsi="仿宋" w:eastAsia="仿宋" w:cs="仿宋"/>
          <w:color w:val="333333"/>
          <w:highlight w:val="none"/>
          <w:shd w:val="clear" w:color="auto" w:fill="FFFFFF"/>
        </w:rPr>
      </w:pPr>
      <w:r>
        <w:rPr>
          <w:rFonts w:hint="eastAsia" w:ascii="仿宋" w:hAnsi="仿宋" w:eastAsia="仿宋" w:cs="仿宋"/>
          <w:color w:val="333333"/>
          <w:highlight w:val="none"/>
          <w:shd w:val="clear" w:color="auto" w:fill="FFFFFF"/>
        </w:rPr>
        <w:t>联系方式：</w:t>
      </w:r>
      <w:r>
        <w:rPr>
          <w:rFonts w:hint="eastAsia" w:ascii="仿宋" w:hAnsi="仿宋" w:eastAsia="仿宋" w:cs="仿宋"/>
          <w:highlight w:val="none"/>
          <w:shd w:val="clear" w:color="auto" w:fill="FFFFFF"/>
        </w:rPr>
        <w:t>029-88899970/72/73/75-816</w:t>
      </w:r>
    </w:p>
    <w:p>
      <w:pPr>
        <w:pStyle w:val="32"/>
        <w:spacing w:before="0" w:beforeAutospacing="0" w:after="0" w:afterAutospacing="0" w:line="360" w:lineRule="auto"/>
        <w:ind w:firstLine="420"/>
        <w:rPr>
          <w:rFonts w:ascii="仿宋" w:hAnsi="仿宋" w:eastAsia="仿宋" w:cs="仿宋"/>
          <w:highlight w:val="none"/>
        </w:rPr>
      </w:pPr>
      <w:r>
        <w:rPr>
          <w:rFonts w:hint="eastAsia" w:ascii="仿宋" w:hAnsi="仿宋" w:eastAsia="仿宋" w:cs="仿宋"/>
          <w:color w:val="333333"/>
          <w:highlight w:val="none"/>
          <w:shd w:val="clear" w:color="auto" w:fill="FFFFFF"/>
        </w:rPr>
        <w:t>3.项目联系方式</w:t>
      </w:r>
    </w:p>
    <w:p>
      <w:pPr>
        <w:pStyle w:val="32"/>
        <w:spacing w:before="0" w:beforeAutospacing="0" w:after="0" w:afterAutospacing="0" w:line="360" w:lineRule="auto"/>
        <w:ind w:firstLine="420"/>
        <w:rPr>
          <w:rFonts w:ascii="仿宋" w:hAnsi="仿宋" w:eastAsia="仿宋" w:cs="仿宋"/>
          <w:highlight w:val="none"/>
        </w:rPr>
      </w:pPr>
      <w:r>
        <w:rPr>
          <w:rFonts w:hint="eastAsia" w:ascii="仿宋" w:hAnsi="仿宋" w:eastAsia="仿宋" w:cs="仿宋"/>
          <w:color w:val="333333"/>
          <w:highlight w:val="none"/>
          <w:shd w:val="clear" w:color="auto" w:fill="FFFFFF"/>
        </w:rPr>
        <w:t>项目联系人</w:t>
      </w:r>
      <w:r>
        <w:rPr>
          <w:rFonts w:hint="eastAsia" w:ascii="仿宋" w:hAnsi="仿宋" w:eastAsia="仿宋" w:cs="仿宋"/>
          <w:highlight w:val="none"/>
          <w:shd w:val="clear" w:color="auto" w:fill="FFFFFF"/>
        </w:rPr>
        <w:t>：段晓琳、张艳萍、李莹</w:t>
      </w:r>
    </w:p>
    <w:p>
      <w:pPr>
        <w:pStyle w:val="32"/>
        <w:spacing w:before="0" w:beforeAutospacing="0" w:after="0" w:afterAutospacing="0" w:line="360" w:lineRule="auto"/>
        <w:ind w:firstLine="420"/>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联系方式：029-88899970/72/73/75-816</w:t>
      </w:r>
    </w:p>
    <w:p>
      <w:pPr>
        <w:pStyle w:val="32"/>
        <w:spacing w:before="0" w:beforeAutospacing="0" w:after="0" w:afterAutospacing="0" w:line="360" w:lineRule="auto"/>
        <w:ind w:firstLine="420"/>
        <w:jc w:val="center"/>
        <w:rPr>
          <w:rFonts w:ascii="仿宋" w:hAnsi="仿宋" w:eastAsia="仿宋" w:cs="仿宋"/>
          <w:color w:val="333333"/>
          <w:highlight w:val="none"/>
          <w:shd w:val="clear" w:color="auto" w:fill="FFFFFF"/>
        </w:rPr>
      </w:pPr>
    </w:p>
    <w:p>
      <w:pPr>
        <w:pStyle w:val="32"/>
        <w:spacing w:before="0" w:beforeAutospacing="0" w:after="0" w:afterAutospacing="0" w:line="360" w:lineRule="auto"/>
        <w:ind w:firstLine="420"/>
        <w:jc w:val="right"/>
        <w:rPr>
          <w:rFonts w:ascii="仿宋" w:hAnsi="仿宋" w:eastAsia="仿宋" w:cs="仿宋"/>
          <w:highlight w:val="none"/>
        </w:rPr>
      </w:pPr>
      <w:r>
        <w:rPr>
          <w:rFonts w:hint="eastAsia" w:ascii="仿宋" w:hAnsi="仿宋" w:eastAsia="仿宋" w:cs="仿宋"/>
          <w:color w:val="333333"/>
          <w:highlight w:val="none"/>
          <w:shd w:val="clear" w:color="auto" w:fill="FFFFFF"/>
        </w:rPr>
        <w:t xml:space="preserve">                   华夏国际项目管理有限公司</w:t>
      </w:r>
    </w:p>
    <w:p>
      <w:pPr>
        <w:pStyle w:val="32"/>
        <w:spacing w:before="0" w:beforeAutospacing="0" w:after="0" w:afterAutospacing="0" w:line="360" w:lineRule="auto"/>
        <w:ind w:firstLine="420"/>
        <w:jc w:val="right"/>
        <w:rPr>
          <w:rFonts w:ascii="仿宋" w:hAnsi="仿宋" w:eastAsia="仿宋" w:cs="仿宋"/>
          <w:color w:val="FF0000"/>
          <w:highlight w:val="none"/>
        </w:rPr>
      </w:pPr>
      <w:r>
        <w:rPr>
          <w:rFonts w:hint="eastAsia" w:ascii="仿宋" w:hAnsi="仿宋" w:eastAsia="仿宋" w:cs="仿宋"/>
          <w:color w:val="333333"/>
          <w:highlight w:val="none"/>
          <w:shd w:val="clear" w:color="auto" w:fill="FFFFFF"/>
        </w:rPr>
        <w:t xml:space="preserve">               </w:t>
      </w:r>
      <w:r>
        <w:rPr>
          <w:rFonts w:hint="eastAsia" w:ascii="仿宋" w:hAnsi="仿宋" w:eastAsia="仿宋" w:cs="仿宋"/>
          <w:highlight w:val="none"/>
          <w:shd w:val="clear" w:color="auto" w:fill="FFFFFF"/>
        </w:rPr>
        <w:t xml:space="preserve">   2022年</w:t>
      </w:r>
      <w:r>
        <w:rPr>
          <w:rFonts w:hint="eastAsia" w:ascii="仿宋" w:hAnsi="仿宋" w:eastAsia="仿宋" w:cs="仿宋"/>
          <w:highlight w:val="none"/>
          <w:shd w:val="clear" w:color="auto" w:fill="FFFFFF"/>
          <w:lang w:val="en-US" w:eastAsia="zh-CN"/>
        </w:rPr>
        <w:t>10</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09</w:t>
      </w:r>
      <w:r>
        <w:rPr>
          <w:rFonts w:hint="eastAsia" w:ascii="仿宋" w:hAnsi="仿宋" w:eastAsia="仿宋" w:cs="仿宋"/>
          <w:highlight w:val="none"/>
          <w:shd w:val="clear" w:color="auto" w:fill="FFFFFF"/>
        </w:rPr>
        <w:t>日</w:t>
      </w:r>
    </w:p>
    <w:p>
      <w:pPr>
        <w:rPr>
          <w:rFonts w:ascii="仿宋" w:hAnsi="仿宋" w:eastAsia="仿宋" w:cs="仿宋"/>
          <w:highlight w:val="none"/>
        </w:rPr>
      </w:pPr>
    </w:p>
    <w:p>
      <w:pPr>
        <w:pStyle w:val="4"/>
        <w:keepNext w:val="0"/>
        <w:pageBreakBefore/>
        <w:spacing w:line="350" w:lineRule="auto"/>
        <w:jc w:val="center"/>
        <w:rPr>
          <w:rFonts w:ascii="仿宋" w:hAnsi="仿宋" w:eastAsia="仿宋" w:cs="仿宋"/>
          <w:highlight w:val="none"/>
        </w:rPr>
      </w:pPr>
      <w:bookmarkStart w:id="12" w:name="_Toc18593"/>
      <w:bookmarkStart w:id="13" w:name="_Toc421778363"/>
      <w:bookmarkStart w:id="14" w:name="_Toc28446"/>
      <w:r>
        <w:rPr>
          <w:rFonts w:hint="eastAsia" w:ascii="仿宋" w:hAnsi="仿宋" w:eastAsia="仿宋" w:cs="仿宋"/>
          <w:highlight w:val="none"/>
        </w:rPr>
        <w:t>第二章</w:t>
      </w:r>
      <w:bookmarkEnd w:id="12"/>
      <w:bookmarkEnd w:id="13"/>
      <w:r>
        <w:rPr>
          <w:rFonts w:hint="eastAsia" w:ascii="仿宋" w:hAnsi="仿宋" w:eastAsia="仿宋" w:cs="仿宋"/>
          <w:highlight w:val="none"/>
        </w:rPr>
        <w:t xml:space="preserve">  供应商须知</w:t>
      </w:r>
      <w:bookmarkEnd w:id="14"/>
    </w:p>
    <w:p>
      <w:pPr>
        <w:spacing w:line="360" w:lineRule="auto"/>
        <w:jc w:val="center"/>
        <w:outlineLvl w:val="1"/>
        <w:rPr>
          <w:rFonts w:ascii="仿宋" w:hAnsi="仿宋" w:eastAsia="仿宋" w:cs="仿宋"/>
          <w:b/>
          <w:bCs/>
          <w:sz w:val="28"/>
          <w:szCs w:val="28"/>
          <w:highlight w:val="none"/>
        </w:rPr>
      </w:pPr>
      <w:bookmarkStart w:id="15" w:name="_Toc420591642"/>
      <w:bookmarkStart w:id="16" w:name="_Toc421778364"/>
      <w:bookmarkStart w:id="17" w:name="_Toc9103"/>
      <w:bookmarkStart w:id="18" w:name="_Toc3988"/>
      <w:bookmarkStart w:id="19" w:name="_Toc19675"/>
      <w:bookmarkStart w:id="20" w:name="_Toc31264"/>
      <w:bookmarkStart w:id="21" w:name="_Toc25729"/>
      <w:r>
        <w:rPr>
          <w:rFonts w:hint="eastAsia" w:ascii="仿宋" w:hAnsi="仿宋" w:eastAsia="仿宋" w:cs="仿宋"/>
          <w:b/>
          <w:bCs/>
          <w:sz w:val="28"/>
          <w:szCs w:val="28"/>
          <w:highlight w:val="none"/>
        </w:rPr>
        <w:t>供应商须知前附表</w:t>
      </w:r>
      <w:bookmarkEnd w:id="15"/>
      <w:bookmarkEnd w:id="16"/>
      <w:bookmarkEnd w:id="17"/>
      <w:bookmarkEnd w:id="18"/>
      <w:bookmarkEnd w:id="19"/>
      <w:bookmarkEnd w:id="20"/>
      <w:bookmarkEnd w:id="21"/>
    </w:p>
    <w:tbl>
      <w:tblPr>
        <w:tblStyle w:val="35"/>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493"/>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spacing w:line="360"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条款号</w:t>
            </w:r>
          </w:p>
        </w:tc>
        <w:tc>
          <w:tcPr>
            <w:tcW w:w="2493" w:type="dxa"/>
            <w:vAlign w:val="center"/>
          </w:tcPr>
          <w:p>
            <w:pPr>
              <w:spacing w:line="360"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条款名称</w:t>
            </w:r>
          </w:p>
        </w:tc>
        <w:tc>
          <w:tcPr>
            <w:tcW w:w="6240" w:type="dxa"/>
            <w:vAlign w:val="center"/>
          </w:tcPr>
          <w:p>
            <w:pPr>
              <w:spacing w:line="360"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6"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1.1.2</w:t>
            </w:r>
          </w:p>
        </w:tc>
        <w:tc>
          <w:tcPr>
            <w:tcW w:w="249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采购人</w:t>
            </w:r>
          </w:p>
        </w:tc>
        <w:tc>
          <w:tcPr>
            <w:tcW w:w="6240" w:type="dxa"/>
            <w:vAlign w:val="center"/>
          </w:tcPr>
          <w:p>
            <w:pPr>
              <w:pStyle w:val="32"/>
              <w:spacing w:before="0" w:beforeAutospacing="0" w:after="0" w:afterAutospacing="0" w:line="360" w:lineRule="auto"/>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名称：西安市公安局长安分局</w:t>
            </w:r>
          </w:p>
          <w:p>
            <w:pPr>
              <w:widowControl/>
              <w:spacing w:line="360" w:lineRule="auto"/>
              <w:jc w:val="left"/>
              <w:rPr>
                <w:rFonts w:ascii="仿宋" w:hAnsi="仿宋" w:eastAsia="仿宋" w:cs="仿宋"/>
                <w:sz w:val="24"/>
                <w:highlight w:val="none"/>
              </w:rPr>
            </w:pPr>
            <w:r>
              <w:rPr>
                <w:rFonts w:hint="eastAsia" w:ascii="仿宋" w:hAnsi="仿宋" w:eastAsia="仿宋" w:cs="仿宋"/>
                <w:sz w:val="24"/>
                <w:szCs w:val="22"/>
                <w:highlight w:val="none"/>
              </w:rPr>
              <w:t>地址： 西安市长安区北长安街24号</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联系人：蔺老师</w:t>
            </w:r>
          </w:p>
          <w:p>
            <w:pPr>
              <w:widowControl/>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联系</w:t>
            </w:r>
            <w:r>
              <w:rPr>
                <w:rFonts w:hint="eastAsia" w:ascii="仿宋" w:hAnsi="仿宋" w:eastAsia="仿宋" w:cs="仿宋"/>
                <w:sz w:val="24"/>
                <w:szCs w:val="22"/>
                <w:highlight w:val="none"/>
              </w:rPr>
              <w:t>方式：13468673358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1.1.3</w:t>
            </w:r>
          </w:p>
        </w:tc>
        <w:tc>
          <w:tcPr>
            <w:tcW w:w="249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采购代理机构</w:t>
            </w:r>
          </w:p>
        </w:tc>
        <w:tc>
          <w:tcPr>
            <w:tcW w:w="6240" w:type="dxa"/>
            <w:vAlign w:val="center"/>
          </w:tcPr>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名称：华夏国际项目管理有限公司</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地址：西安市高新区科技五路8号数字大厦11楼</w:t>
            </w:r>
          </w:p>
          <w:p>
            <w:pPr>
              <w:pStyle w:val="32"/>
              <w:spacing w:before="0" w:beforeAutospacing="0" w:after="0" w:afterAutospacing="0" w:line="360" w:lineRule="auto"/>
              <w:rPr>
                <w:rFonts w:ascii="仿宋" w:hAnsi="仿宋" w:eastAsia="仿宋" w:cs="仿宋"/>
                <w:highlight w:val="none"/>
              </w:rPr>
            </w:pPr>
            <w:r>
              <w:rPr>
                <w:rFonts w:hint="eastAsia" w:ascii="仿宋" w:hAnsi="仿宋" w:eastAsia="仿宋" w:cs="仿宋"/>
                <w:color w:val="333333"/>
                <w:highlight w:val="none"/>
                <w:shd w:val="clear" w:color="auto" w:fill="FFFFFF"/>
              </w:rPr>
              <w:t>项目联系人</w:t>
            </w:r>
            <w:r>
              <w:rPr>
                <w:rFonts w:hint="eastAsia" w:ascii="仿宋" w:hAnsi="仿宋" w:eastAsia="仿宋" w:cs="仿宋"/>
                <w:highlight w:val="none"/>
                <w:shd w:val="clear" w:color="auto" w:fill="FFFFFF"/>
              </w:rPr>
              <w:t>：段晓琳、张艳萍、李莹</w:t>
            </w:r>
          </w:p>
          <w:p>
            <w:pPr>
              <w:pStyle w:val="32"/>
              <w:spacing w:before="0" w:beforeAutospacing="0" w:after="0" w:afterAutospacing="0" w:line="360" w:lineRule="auto"/>
              <w:rPr>
                <w:rFonts w:ascii="仿宋" w:hAnsi="仿宋" w:eastAsia="仿宋" w:cs="仿宋"/>
                <w:highlight w:val="none"/>
              </w:rPr>
            </w:pPr>
            <w:r>
              <w:rPr>
                <w:rFonts w:hint="eastAsia" w:ascii="仿宋" w:hAnsi="仿宋" w:eastAsia="仿宋" w:cs="仿宋"/>
                <w:highlight w:val="none"/>
                <w:shd w:val="clear" w:color="auto" w:fill="FFFFFF"/>
              </w:rPr>
              <w:t>联系方式：029-88899970/72/73/75-816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1.1.5</w:t>
            </w:r>
          </w:p>
        </w:tc>
        <w:tc>
          <w:tcPr>
            <w:tcW w:w="249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建设地点</w:t>
            </w:r>
          </w:p>
        </w:tc>
        <w:tc>
          <w:tcPr>
            <w:tcW w:w="6240" w:type="dxa"/>
            <w:vAlign w:val="center"/>
          </w:tcPr>
          <w:p>
            <w:pPr>
              <w:spacing w:line="360" w:lineRule="auto"/>
              <w:rPr>
                <w:rFonts w:ascii="仿宋" w:hAnsi="仿宋" w:eastAsia="仿宋" w:cs="仿宋"/>
                <w:sz w:val="24"/>
                <w:szCs w:val="24"/>
                <w:highlight w:val="none"/>
              </w:rPr>
            </w:pPr>
            <w:r>
              <w:rPr>
                <w:rFonts w:hint="eastAsia" w:ascii="仿宋" w:hAnsi="仿宋" w:eastAsia="仿宋" w:cs="仿宋"/>
                <w:color w:val="FF0000"/>
                <w:sz w:val="24"/>
                <w:szCs w:val="24"/>
                <w:highlight w:val="none"/>
              </w:rPr>
              <w:t xml:space="preserve"> </w:t>
            </w:r>
            <w:r>
              <w:rPr>
                <w:rFonts w:hint="eastAsia" w:ascii="仿宋" w:hAnsi="仿宋" w:eastAsia="仿宋" w:cs="仿宋"/>
                <w:sz w:val="24"/>
                <w:szCs w:val="24"/>
                <w:highlight w:val="none"/>
                <w:shd w:val="clear" w:color="auto" w:fill="FFFFFF"/>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1.2.1</w:t>
            </w:r>
          </w:p>
        </w:tc>
        <w:tc>
          <w:tcPr>
            <w:tcW w:w="249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资金来源</w:t>
            </w:r>
          </w:p>
        </w:tc>
        <w:tc>
          <w:tcPr>
            <w:tcW w:w="6240" w:type="dxa"/>
            <w:vAlign w:val="center"/>
          </w:tcPr>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1.2.2</w:t>
            </w:r>
          </w:p>
        </w:tc>
        <w:tc>
          <w:tcPr>
            <w:tcW w:w="249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资金落实情况</w:t>
            </w:r>
          </w:p>
        </w:tc>
        <w:tc>
          <w:tcPr>
            <w:tcW w:w="6240" w:type="dxa"/>
            <w:vAlign w:val="center"/>
          </w:tcPr>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资金已落实到位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1.3.1</w:t>
            </w:r>
          </w:p>
        </w:tc>
        <w:tc>
          <w:tcPr>
            <w:tcW w:w="249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采购范围</w:t>
            </w:r>
          </w:p>
        </w:tc>
        <w:tc>
          <w:tcPr>
            <w:tcW w:w="6240" w:type="dxa"/>
            <w:vAlign w:val="center"/>
          </w:tcPr>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磋商文件及工程量清单范围内包含的内容。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1.3.2</w:t>
            </w:r>
          </w:p>
        </w:tc>
        <w:tc>
          <w:tcPr>
            <w:tcW w:w="2493" w:type="dxa"/>
            <w:vAlign w:val="center"/>
          </w:tcPr>
          <w:p>
            <w:pPr>
              <w:spacing w:line="360" w:lineRule="auto"/>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计划工期</w:t>
            </w:r>
          </w:p>
        </w:tc>
        <w:tc>
          <w:tcPr>
            <w:tcW w:w="6240" w:type="dxa"/>
            <w:vAlign w:val="center"/>
          </w:tcPr>
          <w:p>
            <w:pPr>
              <w:pStyle w:val="13"/>
              <w:rPr>
                <w:rFonts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1.3.3</w:t>
            </w:r>
          </w:p>
        </w:tc>
        <w:tc>
          <w:tcPr>
            <w:tcW w:w="249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质量标准</w:t>
            </w:r>
          </w:p>
        </w:tc>
        <w:tc>
          <w:tcPr>
            <w:tcW w:w="6240" w:type="dxa"/>
            <w:vAlign w:val="center"/>
          </w:tcPr>
          <w:p>
            <w:pPr>
              <w:spacing w:line="360" w:lineRule="auto"/>
              <w:rPr>
                <w:rFonts w:ascii="仿宋" w:hAnsi="仿宋" w:eastAsia="仿宋" w:cs="仿宋"/>
                <w:sz w:val="24"/>
                <w:szCs w:val="24"/>
                <w:highlight w:val="none"/>
              </w:rPr>
            </w:pPr>
            <w:bookmarkStart w:id="22" w:name="OLE_LINK18"/>
            <w:bookmarkStart w:id="23" w:name="OLE_LINK34"/>
            <w:r>
              <w:rPr>
                <w:rFonts w:hint="eastAsia" w:ascii="仿宋" w:hAnsi="仿宋" w:eastAsia="仿宋" w:cs="仿宋"/>
                <w:kern w:val="0"/>
                <w:sz w:val="24"/>
                <w:szCs w:val="24"/>
                <w:highlight w:val="none"/>
              </w:rPr>
              <w:t>符合国家现行有关施工质量验收规范“合格”要求。</w:t>
            </w:r>
            <w:bookmarkEnd w:id="22"/>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1.4.1</w:t>
            </w:r>
          </w:p>
        </w:tc>
        <w:tc>
          <w:tcPr>
            <w:tcW w:w="249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资质证明文件</w:t>
            </w:r>
          </w:p>
        </w:tc>
        <w:tc>
          <w:tcPr>
            <w:tcW w:w="6240" w:type="dxa"/>
            <w:vAlign w:val="center"/>
          </w:tcPr>
          <w:p>
            <w:pPr>
              <w:spacing w:line="500" w:lineRule="exact"/>
              <w:rPr>
                <w:rFonts w:ascii="仿宋" w:hAnsi="仿宋" w:eastAsia="仿宋" w:cs="仿宋"/>
                <w:sz w:val="24"/>
                <w:szCs w:val="24"/>
                <w:highlight w:val="none"/>
              </w:rPr>
            </w:pPr>
            <w:r>
              <w:rPr>
                <w:rFonts w:hint="eastAsia" w:ascii="仿宋" w:hAnsi="仿宋" w:eastAsia="仿宋" w:cs="仿宋"/>
                <w:b/>
                <w:bCs/>
                <w:sz w:val="24"/>
                <w:szCs w:val="24"/>
                <w:highlight w:val="none"/>
              </w:rPr>
              <w:t>1、基本资格条件：符合《中华人民共和国政府采购法》第二十二条的规定，并提供以下资料；</w:t>
            </w:r>
          </w:p>
          <w:p>
            <w:pPr>
              <w:numPr>
                <w:ilvl w:val="0"/>
                <w:numId w:val="3"/>
              </w:num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提供合格有效的法人或者其他组织的营业执照等证明文件，自然人的身份证明；</w:t>
            </w:r>
          </w:p>
          <w:p>
            <w:pPr>
              <w:spacing w:line="440" w:lineRule="exact"/>
              <w:ind w:left="42" w:leftChars="20"/>
              <w:rPr>
                <w:rFonts w:ascii="仿宋" w:hAnsi="仿宋" w:eastAsia="仿宋" w:cs="仿宋"/>
                <w:sz w:val="24"/>
                <w:szCs w:val="24"/>
                <w:highlight w:val="none"/>
              </w:rPr>
            </w:pPr>
            <w:r>
              <w:rPr>
                <w:rFonts w:hint="eastAsia" w:ascii="仿宋" w:hAnsi="仿宋" w:eastAsia="仿宋" w:cs="仿宋"/>
                <w:sz w:val="24"/>
                <w:szCs w:val="24"/>
                <w:highlight w:val="none"/>
              </w:rPr>
              <w:t>供应商是法人或其他组织的应提供营业执照等证明文件，供应商是自然人的应提供有效的自然人身份证明。</w:t>
            </w:r>
          </w:p>
          <w:p>
            <w:pPr>
              <w:numPr>
                <w:ilvl w:val="0"/>
                <w:numId w:val="3"/>
              </w:num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lang w:eastAsia="zh-CN"/>
              </w:rPr>
              <w:t>提供2021年度经审计的财务报告</w:t>
            </w:r>
            <w:r>
              <w:rPr>
                <w:rFonts w:hint="eastAsia" w:ascii="仿宋" w:hAnsi="仿宋" w:eastAsia="仿宋" w:cs="仿宋"/>
                <w:sz w:val="24"/>
                <w:szCs w:val="24"/>
                <w:highlight w:val="none"/>
              </w:rPr>
              <w:t>（成立时间至提交磋商响应文件截止时间不足一年的可提供成立后任意时段的资产负债表）或基本存款账户开户银行出具的资信证明及基本存款账户开户许可证（基本账户信息）或财政部门认可的政府采购专业担保机构出具的担保函；</w:t>
            </w:r>
          </w:p>
          <w:p>
            <w:pPr>
              <w:numPr>
                <w:ilvl w:val="0"/>
                <w:numId w:val="3"/>
              </w:num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提供具有履行合同所必需的设备和专业技术能力的承诺；（格式自拟）</w:t>
            </w:r>
          </w:p>
          <w:p>
            <w:pPr>
              <w:numPr>
                <w:ilvl w:val="0"/>
                <w:numId w:val="3"/>
              </w:num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提供磋商截止日前一年内已缴纳的至少一个月的纳税证明或完税证明，依法免税的单位应提供相关证明材料；</w:t>
            </w:r>
          </w:p>
          <w:p>
            <w:pPr>
              <w:numPr>
                <w:ilvl w:val="0"/>
                <w:numId w:val="3"/>
              </w:num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提供磋商截止日前一年内已缴存的至少一个月的社会保障资金缴存单据或社保机构开具的社会保险参保缴费情况证明，依法不需要缴纳社会保障资金的单位应提供相关证明材料；</w:t>
            </w:r>
          </w:p>
          <w:p>
            <w:pPr>
              <w:numPr>
                <w:ilvl w:val="0"/>
                <w:numId w:val="3"/>
              </w:num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参加政府采购活动前3年内，在经营活动中没有重大违法记录的书面声明。（格式自拟）</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2、落实政府采购政策需满足的资格要求：</w:t>
            </w:r>
            <w:r>
              <w:rPr>
                <w:rFonts w:hint="eastAsia" w:ascii="仿宋" w:hAnsi="仿宋" w:eastAsia="仿宋" w:cs="仿宋"/>
                <w:sz w:val="24"/>
                <w:szCs w:val="24"/>
                <w:highlight w:val="none"/>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3、特定资格条件：</w:t>
            </w:r>
          </w:p>
          <w:p>
            <w:pPr>
              <w:numPr>
                <w:ilvl w:val="0"/>
                <w:numId w:val="4"/>
              </w:numPr>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rPr>
              <w:t>法定代表人授权书（附法定代表人、被授权人身份证复印件）及被授权人身份证（法定代表人直接参加招标，须提供法定代表人身份证明及身份证原件）；</w:t>
            </w:r>
          </w:p>
          <w:p>
            <w:pPr>
              <w:numPr>
                <w:ilvl w:val="0"/>
                <w:numId w:val="4"/>
              </w:numPr>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lang w:eastAsia="zh-CN"/>
              </w:rPr>
              <w:t>具备钢结构工程专业承包三级及以上资质证书，同时具有合格有效的安全生产许可证；</w:t>
            </w:r>
          </w:p>
          <w:p>
            <w:pPr>
              <w:numPr>
                <w:ilvl w:val="0"/>
                <w:numId w:val="4"/>
              </w:numPr>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rPr>
              <w:t>拟派项目经理须具有建筑工程专业二级及以上注册建造师证书和有效的安全生产考核证书（B证），在本单位注册且无在建工程、无不良记录（提供无在建工程、无不良记录承诺书）；</w:t>
            </w:r>
          </w:p>
          <w:p>
            <w:pPr>
              <w:numPr>
                <w:ilvl w:val="0"/>
                <w:numId w:val="4"/>
              </w:numPr>
              <w:spacing w:line="5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供应商未被“信用中国”网站（www.creditchina.gov.cn）列入失信被执行人和重大税收违法失信主体，未被中国政府采购网（www.ccgp.gov.cn）列入政府采购严重违法失信行为记录名单；</w:t>
            </w:r>
          </w:p>
          <w:p>
            <w:pPr>
              <w:numPr>
                <w:ilvl w:val="0"/>
                <w:numId w:val="4"/>
              </w:numPr>
              <w:spacing w:line="5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本项目不接受联合体磋商。</w:t>
            </w:r>
          </w:p>
          <w:p>
            <w:pPr>
              <w:spacing w:line="360" w:lineRule="auto"/>
              <w:ind w:firstLine="482" w:firstLineChars="200"/>
              <w:rPr>
                <w:rFonts w:ascii="仿宋" w:hAnsi="仿宋" w:eastAsia="仿宋" w:cs="仿宋"/>
                <w:b/>
                <w:sz w:val="28"/>
                <w:szCs w:val="28"/>
                <w:highlight w:val="none"/>
              </w:rPr>
            </w:pPr>
            <w:r>
              <w:rPr>
                <w:rFonts w:hint="eastAsia" w:ascii="仿宋" w:hAnsi="仿宋" w:eastAsia="仿宋" w:cs="仿宋"/>
                <w:b/>
                <w:sz w:val="24"/>
                <w:szCs w:val="24"/>
                <w:highlight w:val="none"/>
              </w:rPr>
              <w:t xml:space="preserve">以上为必备资格要求，缺一项或某项达不到要求，按无效磋商处理。除法定代表人授权书需将原件装订在响应文件正本中外，其他所有资质证件的复印件必须加盖单位公章附在响应文件中，资质证件原件随身携带以备审查。  </w:t>
            </w:r>
          </w:p>
          <w:p>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未注明要求原件的资格证明文件，在磋商后的任何时间，磋商小组都有权随时要求审查原件，如果不能按规定时间提供，</w:t>
            </w:r>
            <w:r>
              <w:rPr>
                <w:rFonts w:hint="eastAsia" w:ascii="仿宋" w:hAnsi="仿宋" w:eastAsia="仿宋" w:cs="仿宋"/>
                <w:bCs/>
                <w:sz w:val="24"/>
                <w:szCs w:val="24"/>
                <w:highlight w:val="none"/>
              </w:rPr>
              <w:t>对供应商造成的不利后果</w:t>
            </w:r>
            <w:r>
              <w:rPr>
                <w:rFonts w:hint="eastAsia" w:ascii="仿宋" w:hAnsi="仿宋" w:eastAsia="仿宋" w:cs="仿宋"/>
                <w:sz w:val="24"/>
                <w:szCs w:val="24"/>
                <w:highlight w:val="none"/>
              </w:rPr>
              <w:t>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1.9</w:t>
            </w:r>
          </w:p>
        </w:tc>
        <w:tc>
          <w:tcPr>
            <w:tcW w:w="249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踏勘现场</w:t>
            </w:r>
          </w:p>
        </w:tc>
        <w:tc>
          <w:tcPr>
            <w:tcW w:w="6240" w:type="dxa"/>
            <w:vAlign w:val="center"/>
          </w:tcPr>
          <w:p>
            <w:pPr>
              <w:pStyle w:val="2"/>
              <w:spacing w:line="440" w:lineRule="exact"/>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sym w:font="Wingdings" w:char="00FE"/>
            </w:r>
            <w:r>
              <w:rPr>
                <w:rFonts w:hint="eastAsia" w:ascii="仿宋" w:hAnsi="仿宋" w:eastAsia="仿宋" w:cs="仿宋"/>
                <w:kern w:val="0"/>
                <w:sz w:val="24"/>
                <w:szCs w:val="24"/>
                <w:highlight w:val="none"/>
              </w:rPr>
              <w:t>自行踏勘</w:t>
            </w:r>
          </w:p>
          <w:p>
            <w:pPr>
              <w:spacing w:line="440" w:lineRule="exact"/>
              <w:rPr>
                <w:rFonts w:ascii="仿宋" w:hAnsi="仿宋" w:eastAsia="仿宋" w:cs="仿宋"/>
                <w:sz w:val="24"/>
                <w:szCs w:val="24"/>
                <w:highlight w:val="none"/>
              </w:rPr>
            </w:pPr>
            <w:r>
              <w:rPr>
                <w:rFonts w:hint="eastAsia" w:ascii="仿宋" w:hAnsi="仿宋" w:eastAsia="仿宋" w:cs="仿宋"/>
                <w:kern w:val="0"/>
                <w:sz w:val="24"/>
                <w:szCs w:val="24"/>
                <w:highlight w:val="none"/>
              </w:rPr>
              <w:sym w:font="Wingdings" w:char="00A8"/>
            </w:r>
            <w:r>
              <w:rPr>
                <w:rFonts w:hint="eastAsia" w:ascii="仿宋" w:hAnsi="仿宋" w:eastAsia="仿宋" w:cs="仿宋"/>
                <w:kern w:val="0"/>
                <w:sz w:val="24"/>
                <w:szCs w:val="24"/>
                <w:highlight w:val="none"/>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1.10</w:t>
            </w:r>
          </w:p>
        </w:tc>
        <w:tc>
          <w:tcPr>
            <w:tcW w:w="249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磋商答疑会</w:t>
            </w:r>
          </w:p>
        </w:tc>
        <w:tc>
          <w:tcPr>
            <w:tcW w:w="6240" w:type="dxa"/>
            <w:vAlign w:val="center"/>
          </w:tcPr>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不召开；若有疑问，均应在磋商响应文件递交截止时间3日前以书面形式向采购代理机构提出。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1.11</w:t>
            </w:r>
          </w:p>
        </w:tc>
        <w:tc>
          <w:tcPr>
            <w:tcW w:w="249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分包</w:t>
            </w:r>
          </w:p>
        </w:tc>
        <w:tc>
          <w:tcPr>
            <w:tcW w:w="6240" w:type="dxa"/>
            <w:vAlign w:val="center"/>
          </w:tcPr>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2.1</w:t>
            </w:r>
          </w:p>
        </w:tc>
        <w:tc>
          <w:tcPr>
            <w:tcW w:w="249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构成竞争性磋商文件的其他材料</w:t>
            </w:r>
          </w:p>
        </w:tc>
        <w:tc>
          <w:tcPr>
            <w:tcW w:w="6240" w:type="dxa"/>
            <w:vAlign w:val="center"/>
          </w:tcPr>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澄清、修改、答疑文件、施工图纸、工程量清单等相关材料。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2.2.1</w:t>
            </w:r>
          </w:p>
        </w:tc>
        <w:tc>
          <w:tcPr>
            <w:tcW w:w="249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供应商对竞争性磋商文件的疑问</w:t>
            </w:r>
          </w:p>
        </w:tc>
        <w:tc>
          <w:tcPr>
            <w:tcW w:w="6240" w:type="dxa"/>
            <w:vAlign w:val="center"/>
          </w:tcPr>
          <w:p>
            <w:pPr>
              <w:pStyle w:val="13"/>
              <w:rPr>
                <w:rFonts w:ascii="仿宋" w:hAnsi="仿宋" w:eastAsia="仿宋" w:cs="仿宋"/>
                <w:sz w:val="24"/>
                <w:szCs w:val="24"/>
                <w:highlight w:val="none"/>
              </w:rPr>
            </w:pPr>
            <w:r>
              <w:rPr>
                <w:rFonts w:hint="eastAsia" w:ascii="仿宋" w:hAnsi="仿宋" w:eastAsia="仿宋" w:cs="仿宋"/>
                <w:sz w:val="24"/>
                <w:szCs w:val="24"/>
                <w:highlight w:val="none"/>
              </w:rPr>
              <w:t>磋商响应文件递交截止时间3日前。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2.2.2</w:t>
            </w:r>
          </w:p>
        </w:tc>
        <w:tc>
          <w:tcPr>
            <w:tcW w:w="249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采购人澄清</w:t>
            </w:r>
          </w:p>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竞争性磋商文件的截止时间</w:t>
            </w:r>
          </w:p>
        </w:tc>
        <w:tc>
          <w:tcPr>
            <w:tcW w:w="6240" w:type="dxa"/>
            <w:vAlign w:val="center"/>
          </w:tcPr>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磋商响应文件递交截止时间5日前。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3.1.1</w:t>
            </w:r>
          </w:p>
        </w:tc>
        <w:tc>
          <w:tcPr>
            <w:tcW w:w="249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构成竞争性磋商响应文件的其他材料</w:t>
            </w:r>
          </w:p>
        </w:tc>
        <w:tc>
          <w:tcPr>
            <w:tcW w:w="6240" w:type="dxa"/>
            <w:vAlign w:val="center"/>
          </w:tcPr>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供应商按照竞争性磋商文件的要求认为有利于磋商的材料。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3.2.1</w:t>
            </w:r>
          </w:p>
        </w:tc>
        <w:tc>
          <w:tcPr>
            <w:tcW w:w="2493" w:type="dxa"/>
            <w:vAlign w:val="center"/>
          </w:tcPr>
          <w:p>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工程</w:t>
            </w:r>
            <w:r>
              <w:rPr>
                <w:rFonts w:hint="eastAsia" w:ascii="仿宋" w:hAnsi="仿宋" w:eastAsia="仿宋" w:cs="仿宋"/>
                <w:sz w:val="24"/>
                <w:szCs w:val="24"/>
                <w:highlight w:val="none"/>
                <w:lang w:val="en-US" w:eastAsia="zh-CN"/>
              </w:rPr>
              <w:t>报价方式</w:t>
            </w:r>
          </w:p>
        </w:tc>
        <w:tc>
          <w:tcPr>
            <w:tcW w:w="6240" w:type="dxa"/>
            <w:vAlign w:val="center"/>
          </w:tcPr>
          <w:p>
            <w:pPr>
              <w:pStyle w:val="15"/>
              <w:widowControl/>
              <w:spacing w:line="460" w:lineRule="exact"/>
              <w:ind w:left="0" w:leftChars="0" w:firstLine="480" w:firstLineChars="200"/>
              <w:jc w:val="left"/>
              <w:rPr>
                <w:rFonts w:ascii="仿宋" w:hAnsi="仿宋" w:eastAsia="仿宋" w:cs="仿宋"/>
                <w:highlight w:val="none"/>
              </w:rPr>
            </w:pPr>
            <w:r>
              <w:rPr>
                <w:rFonts w:hint="eastAsia" w:ascii="仿宋" w:hAnsi="仿宋" w:eastAsia="仿宋" w:cs="仿宋"/>
                <w:highlight w:val="none"/>
              </w:rPr>
              <w:t>1、本工程发包方式为包工包料。</w:t>
            </w:r>
          </w:p>
          <w:p>
            <w:pPr>
              <w:pStyle w:val="15"/>
              <w:widowControl/>
              <w:spacing w:line="460" w:lineRule="exact"/>
              <w:ind w:left="0" w:leftChars="0" w:firstLine="480" w:firstLineChars="200"/>
              <w:jc w:val="left"/>
              <w:rPr>
                <w:rFonts w:ascii="仿宋" w:hAnsi="仿宋" w:eastAsia="仿宋" w:cs="仿宋"/>
                <w:highlight w:val="none"/>
              </w:rPr>
            </w:pPr>
            <w:r>
              <w:rPr>
                <w:rFonts w:hint="eastAsia" w:ascii="仿宋" w:hAnsi="仿宋" w:eastAsia="仿宋" w:cs="仿宋"/>
                <w:highlight w:val="none"/>
              </w:rPr>
              <w:t>2、供应商应充分考虑竞争性磋商文件的各项要求和本工程的实际情况，根据自身实力，充分考虑材料价格、人工费、物价上涨等市场变化的风险，自主报价，风险自担。</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highlight w:val="none"/>
              </w:rPr>
              <w:t>3、本工程材料采购必须先经采购人进行认质。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3.3.1</w:t>
            </w:r>
          </w:p>
        </w:tc>
        <w:tc>
          <w:tcPr>
            <w:tcW w:w="249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磋商有效期</w:t>
            </w:r>
          </w:p>
        </w:tc>
        <w:tc>
          <w:tcPr>
            <w:tcW w:w="6240"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90日历天（从磋商响应文件递交截止之日算起）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3.4</w:t>
            </w:r>
          </w:p>
        </w:tc>
        <w:tc>
          <w:tcPr>
            <w:tcW w:w="249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磋商保证金</w:t>
            </w:r>
          </w:p>
        </w:tc>
        <w:tc>
          <w:tcPr>
            <w:tcW w:w="6240" w:type="dxa"/>
            <w:vAlign w:val="center"/>
          </w:tcPr>
          <w:p>
            <w:pPr>
              <w:pStyle w:val="18"/>
              <w:spacing w:line="360" w:lineRule="auto"/>
              <w:jc w:val="left"/>
              <w:rPr>
                <w:rFonts w:ascii="仿宋" w:hAnsi="仿宋" w:eastAsia="仿宋" w:cs="仿宋"/>
                <w:kern w:val="0"/>
                <w:sz w:val="24"/>
                <w:szCs w:val="24"/>
                <w:highlight w:val="none"/>
              </w:rPr>
            </w:pPr>
            <w:r>
              <w:rPr>
                <w:rFonts w:hint="eastAsia" w:ascii="仿宋" w:hAnsi="仿宋" w:eastAsia="仿宋" w:cs="仿宋"/>
                <w:kern w:val="0"/>
                <w:sz w:val="24"/>
                <w:szCs w:val="22"/>
                <w:highlight w:val="none"/>
              </w:rPr>
              <w:t xml:space="preserve">☑ </w:t>
            </w:r>
            <w:r>
              <w:rPr>
                <w:rFonts w:hint="eastAsia" w:ascii="仿宋" w:hAnsi="仿宋" w:eastAsia="仿宋" w:cs="仿宋"/>
                <w:kern w:val="0"/>
                <w:sz w:val="24"/>
                <w:szCs w:val="24"/>
                <w:highlight w:val="none"/>
              </w:rPr>
              <w:t>不要求提供；</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b/>
                <w:sz w:val="24"/>
                <w:szCs w:val="24"/>
                <w:highlight w:val="none"/>
              </w:rPr>
              <w:t xml:space="preserve"> </w:t>
            </w:r>
            <w:r>
              <w:rPr>
                <w:rFonts w:hint="eastAsia" w:ascii="仿宋" w:hAnsi="仿宋" w:eastAsia="仿宋" w:cs="仿宋"/>
                <w:sz w:val="24"/>
                <w:szCs w:val="24"/>
                <w:highlight w:val="none"/>
              </w:rPr>
              <w:t>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3.5</w:t>
            </w:r>
          </w:p>
        </w:tc>
        <w:tc>
          <w:tcPr>
            <w:tcW w:w="249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是否允许递交</w:t>
            </w:r>
          </w:p>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备选磋商方案</w:t>
            </w:r>
          </w:p>
        </w:tc>
        <w:tc>
          <w:tcPr>
            <w:tcW w:w="6240" w:type="dxa"/>
            <w:vAlign w:val="center"/>
          </w:tcPr>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允许</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sym w:font="Wingdings" w:char="00FE"/>
            </w:r>
            <w:r>
              <w:rPr>
                <w:rFonts w:hint="eastAsia" w:ascii="仿宋" w:hAnsi="仿宋" w:eastAsia="仿宋" w:cs="仿宋"/>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3.6.3</w:t>
            </w:r>
          </w:p>
        </w:tc>
        <w:tc>
          <w:tcPr>
            <w:tcW w:w="249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签字或盖章要求</w:t>
            </w:r>
          </w:p>
        </w:tc>
        <w:tc>
          <w:tcPr>
            <w:tcW w:w="6240" w:type="dxa"/>
            <w:vAlign w:val="center"/>
          </w:tcPr>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竞争性磋商响应文件封面、磋商响应函及其它有要求处必须加盖供应商公章并经法定代表人或其委托代理人签字或盖章。</w:t>
            </w:r>
            <w:bookmarkStart w:id="24" w:name="_Toc343511347"/>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竞争性磋商响应文件应无涂改或行间插字和增删。如确需修改，修改处必须由供应商加盖供应商公章并经法定代表人或其委托代理人签字或盖章。</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3.6.4</w:t>
            </w:r>
          </w:p>
        </w:tc>
        <w:tc>
          <w:tcPr>
            <w:tcW w:w="249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竞争性磋商响应文件份数</w:t>
            </w:r>
          </w:p>
        </w:tc>
        <w:tc>
          <w:tcPr>
            <w:tcW w:w="6240" w:type="dxa"/>
            <w:vAlign w:val="center"/>
          </w:tcPr>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正本的份数：壹份；</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副本的份数：贰份；</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报价一览表：壹份；</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电子版（U盘）：壹份（需在盘面上标注供应商全称、项目名称、编号）。</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电子版包括：</w:t>
            </w:r>
          </w:p>
          <w:p>
            <w:pPr>
              <w:numPr>
                <w:ilvl w:val="0"/>
                <w:numId w:val="5"/>
              </w:num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word版磋商响应文件；</w:t>
            </w:r>
          </w:p>
          <w:p>
            <w:pPr>
              <w:numPr>
                <w:ilvl w:val="0"/>
                <w:numId w:val="5"/>
              </w:numPr>
              <w:spacing w:line="360" w:lineRule="auto"/>
              <w:rPr>
                <w:rFonts w:ascii="仿宋" w:hAnsi="仿宋" w:eastAsia="仿宋" w:cs="仿宋"/>
                <w:sz w:val="24"/>
                <w:szCs w:val="24"/>
                <w:highlight w:val="none"/>
              </w:rPr>
            </w:pPr>
            <w:r>
              <w:rPr>
                <w:rFonts w:hint="eastAsia" w:ascii="仿宋" w:hAnsi="仿宋" w:eastAsia="仿宋" w:cs="仿宋"/>
                <w:b/>
                <w:bCs/>
                <w:sz w:val="24"/>
                <w:szCs w:val="24"/>
                <w:highlight w:val="none"/>
              </w:rPr>
              <w:t>磋商响应文件正本签字盖章后的PDF格式扫描件（与正本具有同等法律效力）。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4.1.2</w:t>
            </w:r>
          </w:p>
        </w:tc>
        <w:tc>
          <w:tcPr>
            <w:tcW w:w="249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密封要求</w:t>
            </w:r>
          </w:p>
        </w:tc>
        <w:tc>
          <w:tcPr>
            <w:tcW w:w="6240" w:type="dxa"/>
            <w:vAlign w:val="center"/>
          </w:tcPr>
          <w:p>
            <w:pPr>
              <w:spacing w:line="360" w:lineRule="auto"/>
              <w:rPr>
                <w:rFonts w:ascii="仿宋" w:hAnsi="仿宋" w:eastAsia="仿宋" w:cs="仿宋"/>
                <w:b/>
                <w:bCs/>
                <w:sz w:val="24"/>
                <w:szCs w:val="24"/>
                <w:highlight w:val="none"/>
              </w:rPr>
            </w:pPr>
            <w:r>
              <w:rPr>
                <w:rFonts w:hint="eastAsia" w:ascii="仿宋" w:hAnsi="仿宋" w:eastAsia="仿宋" w:cs="仿宋"/>
                <w:sz w:val="24"/>
                <w:szCs w:val="24"/>
                <w:highlight w:val="none"/>
              </w:rPr>
              <w:t>供应商应将磋商文件正本、所有的副本、电子版本、报价一览表分别单独密封在封袋中（封袋不得有破损）。封袋应加贴封条，并在封线处加盖供应商公章。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4.1.3</w:t>
            </w:r>
          </w:p>
        </w:tc>
        <w:tc>
          <w:tcPr>
            <w:tcW w:w="249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封套上写明</w:t>
            </w:r>
          </w:p>
        </w:tc>
        <w:tc>
          <w:tcPr>
            <w:tcW w:w="6240" w:type="dxa"/>
            <w:vAlign w:val="center"/>
          </w:tcPr>
          <w:p>
            <w:pPr>
              <w:spacing w:line="360" w:lineRule="auto"/>
              <w:rPr>
                <w:rFonts w:ascii="仿宋" w:hAnsi="仿宋" w:eastAsia="仿宋" w:cs="仿宋"/>
                <w:color w:val="FF0000"/>
                <w:sz w:val="24"/>
                <w:szCs w:val="24"/>
                <w:highlight w:val="none"/>
              </w:rPr>
            </w:pPr>
            <w:r>
              <w:rPr>
                <w:rFonts w:hint="eastAsia" w:ascii="仿宋" w:hAnsi="仿宋" w:eastAsia="仿宋" w:cs="仿宋"/>
                <w:sz w:val="24"/>
                <w:szCs w:val="24"/>
                <w:highlight w:val="none"/>
              </w:rPr>
              <w:t>1、采购人名称：西安市公安局长安分局</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2、供应商名称以及标注“正本”、“副本”、“报价一览表”、“电子版”字样，密封处应加盖供应商公章。</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竞争性磋商响应文件在</w:t>
            </w:r>
            <w:r>
              <w:rPr>
                <w:rFonts w:hint="eastAsia" w:ascii="仿宋" w:hAnsi="仿宋" w:eastAsia="仿宋" w:cs="仿宋"/>
                <w:sz w:val="24"/>
                <w:szCs w:val="24"/>
                <w:highlight w:val="none"/>
                <w:u w:val="single"/>
              </w:rPr>
              <w:t>2022</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lang w:val="en-US" w:eastAsia="zh-CN"/>
              </w:rPr>
              <w:t>10</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lang w:val="en-US" w:eastAsia="zh-CN"/>
              </w:rPr>
              <w:t>20</w:t>
            </w:r>
            <w:r>
              <w:rPr>
                <w:rFonts w:hint="eastAsia" w:ascii="仿宋" w:hAnsi="仿宋" w:eastAsia="仿宋" w:cs="仿宋"/>
                <w:sz w:val="24"/>
                <w:szCs w:val="24"/>
                <w:highlight w:val="none"/>
              </w:rPr>
              <w:t>日</w:t>
            </w:r>
            <w:r>
              <w:rPr>
                <w:rFonts w:hint="eastAsia" w:ascii="仿宋" w:hAnsi="仿宋" w:eastAsia="仿宋" w:cs="仿宋"/>
                <w:sz w:val="24"/>
                <w:szCs w:val="24"/>
                <w:highlight w:val="none"/>
                <w:u w:val="single"/>
                <w:lang w:val="en-US" w:eastAsia="zh-CN"/>
              </w:rPr>
              <w:t>14</w:t>
            </w:r>
            <w:r>
              <w:rPr>
                <w:rFonts w:hint="eastAsia" w:ascii="仿宋" w:hAnsi="仿宋" w:eastAsia="仿宋" w:cs="仿宋"/>
                <w:sz w:val="24"/>
                <w:szCs w:val="24"/>
                <w:highlight w:val="none"/>
              </w:rPr>
              <w:t>时</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rPr>
              <w:t>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3" w:type="dxa"/>
            <w:vAlign w:val="center"/>
          </w:tcPr>
          <w:p>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4.2.2</w:t>
            </w:r>
          </w:p>
        </w:tc>
        <w:tc>
          <w:tcPr>
            <w:tcW w:w="2493" w:type="dxa"/>
            <w:vAlign w:val="center"/>
          </w:tcPr>
          <w:p>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递交竞争性磋商响应文件截止时间、地点</w:t>
            </w:r>
          </w:p>
        </w:tc>
        <w:tc>
          <w:tcPr>
            <w:tcW w:w="6240" w:type="dxa"/>
            <w:vAlign w:val="center"/>
          </w:tcPr>
          <w:p>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时间：见磋商公告</w:t>
            </w:r>
          </w:p>
          <w:p>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地点：见磋商公告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73" w:type="dxa"/>
            <w:vAlign w:val="center"/>
          </w:tcPr>
          <w:p>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4.2.3</w:t>
            </w:r>
          </w:p>
        </w:tc>
        <w:tc>
          <w:tcPr>
            <w:tcW w:w="2493" w:type="dxa"/>
            <w:vAlign w:val="center"/>
          </w:tcPr>
          <w:p>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是否退还竞争性磋商响应文件</w:t>
            </w:r>
          </w:p>
        </w:tc>
        <w:tc>
          <w:tcPr>
            <w:tcW w:w="6240" w:type="dxa"/>
            <w:vAlign w:val="center"/>
          </w:tcPr>
          <w:p>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73" w:type="dxa"/>
            <w:vAlign w:val="center"/>
          </w:tcPr>
          <w:p>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5.1</w:t>
            </w:r>
          </w:p>
        </w:tc>
        <w:tc>
          <w:tcPr>
            <w:tcW w:w="2493" w:type="dxa"/>
            <w:vAlign w:val="center"/>
          </w:tcPr>
          <w:p>
            <w:pPr>
              <w:spacing w:line="4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w:t>
            </w:r>
          </w:p>
        </w:tc>
        <w:tc>
          <w:tcPr>
            <w:tcW w:w="6240" w:type="dxa"/>
            <w:vAlign w:val="center"/>
          </w:tcPr>
          <w:p>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磋商时间：同响应文件递交截止时间</w:t>
            </w:r>
          </w:p>
          <w:p>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磋商地点：同响应文件递交地点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7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6.1.1</w:t>
            </w:r>
          </w:p>
        </w:tc>
        <w:tc>
          <w:tcPr>
            <w:tcW w:w="249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磋商小组</w:t>
            </w:r>
          </w:p>
        </w:tc>
        <w:tc>
          <w:tcPr>
            <w:tcW w:w="6240" w:type="dxa"/>
            <w:vAlign w:val="center"/>
          </w:tcPr>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由采购人代表和具备相关专业的专家等3人以上单数组成磋商小组，其中采购人代表须持有授权书。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3" w:type="dxa"/>
            <w:vAlign w:val="center"/>
          </w:tcPr>
          <w:p>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7.1</w:t>
            </w:r>
          </w:p>
        </w:tc>
        <w:tc>
          <w:tcPr>
            <w:tcW w:w="2493" w:type="dxa"/>
            <w:vAlign w:val="center"/>
          </w:tcPr>
          <w:p>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是否授权磋商小组</w:t>
            </w:r>
          </w:p>
          <w:p>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确定成交人</w:t>
            </w:r>
          </w:p>
        </w:tc>
        <w:tc>
          <w:tcPr>
            <w:tcW w:w="6240" w:type="dxa"/>
            <w:vAlign w:val="center"/>
          </w:tcPr>
          <w:p>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否,</w:t>
            </w:r>
            <w:bookmarkStart w:id="25" w:name="OLE_LINK6"/>
            <w:r>
              <w:rPr>
                <w:rFonts w:hint="eastAsia" w:ascii="仿宋" w:hAnsi="仿宋" w:eastAsia="仿宋" w:cs="仿宋"/>
                <w:sz w:val="24"/>
                <w:szCs w:val="24"/>
                <w:highlight w:val="none"/>
              </w:rPr>
              <w:t>推荐3名成交候选人</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7.3.1</w:t>
            </w:r>
          </w:p>
        </w:tc>
        <w:tc>
          <w:tcPr>
            <w:tcW w:w="2493" w:type="dxa"/>
            <w:vAlign w:val="center"/>
          </w:tcPr>
          <w:p>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履约保证金</w:t>
            </w:r>
          </w:p>
        </w:tc>
        <w:tc>
          <w:tcPr>
            <w:tcW w:w="6240" w:type="dxa"/>
            <w:vAlign w:val="center"/>
          </w:tcPr>
          <w:p>
            <w:pPr>
              <w:pStyle w:val="18"/>
              <w:spacing w:line="360" w:lineRule="auto"/>
              <w:jc w:val="left"/>
              <w:rPr>
                <w:rFonts w:ascii="仿宋" w:hAnsi="仿宋" w:eastAsia="仿宋" w:cs="仿宋"/>
                <w:kern w:val="0"/>
                <w:sz w:val="24"/>
                <w:szCs w:val="24"/>
                <w:highlight w:val="none"/>
              </w:rPr>
            </w:pPr>
            <w:bookmarkStart w:id="26" w:name="OLE_LINK97"/>
            <w:r>
              <w:rPr>
                <w:rFonts w:hint="eastAsia" w:ascii="仿宋" w:hAnsi="仿宋" w:eastAsia="仿宋" w:cs="仿宋"/>
                <w:kern w:val="0"/>
                <w:sz w:val="24"/>
                <w:szCs w:val="24"/>
                <w:highlight w:val="none"/>
              </w:rPr>
              <w:t>☑ 不要求提供</w:t>
            </w:r>
          </w:p>
          <w:p>
            <w:pPr>
              <w:spacing w:line="400" w:lineRule="exact"/>
              <w:rPr>
                <w:rFonts w:ascii="仿宋" w:hAnsi="仿宋" w:eastAsia="仿宋" w:cs="仿宋"/>
                <w:kern w:val="0"/>
                <w:sz w:val="24"/>
                <w:szCs w:val="24"/>
                <w:highlight w:val="none"/>
              </w:rPr>
            </w:pPr>
            <w:r>
              <w:rPr>
                <w:rFonts w:hint="eastAsia" w:ascii="仿宋" w:hAnsi="仿宋" w:eastAsia="仿宋" w:cs="仿宋"/>
                <w:kern w:val="0"/>
                <w:sz w:val="24"/>
                <w:szCs w:val="24"/>
                <w:highlight w:val="none"/>
              </w:rPr>
              <w:t>□ 要求提供</w:t>
            </w:r>
          </w:p>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履约保证金的形式：电汇、转账、支票</w:t>
            </w:r>
          </w:p>
          <w:bookmarkEnd w:id="26"/>
          <w:p>
            <w:pPr>
              <w:spacing w:line="400" w:lineRule="exact"/>
              <w:rPr>
                <w:rFonts w:ascii="仿宋" w:hAnsi="仿宋" w:eastAsia="仿宋" w:cs="仿宋"/>
                <w:sz w:val="24"/>
                <w:szCs w:val="24"/>
                <w:highlight w:val="none"/>
              </w:rPr>
            </w:pPr>
            <w:bookmarkStart w:id="27" w:name="OLE_LINK2"/>
            <w:r>
              <w:rPr>
                <w:rFonts w:hint="eastAsia" w:ascii="仿宋" w:hAnsi="仿宋" w:eastAsia="仿宋" w:cs="仿宋"/>
                <w:sz w:val="24"/>
                <w:szCs w:val="24"/>
                <w:highlight w:val="none"/>
              </w:rPr>
              <w:t>履约保证金</w:t>
            </w:r>
            <w:bookmarkEnd w:id="27"/>
            <w:r>
              <w:rPr>
                <w:rFonts w:hint="eastAsia" w:ascii="仿宋" w:hAnsi="仿宋" w:eastAsia="仿宋" w:cs="仿宋"/>
                <w:sz w:val="24"/>
                <w:szCs w:val="24"/>
                <w:highlight w:val="none"/>
              </w:rPr>
              <w:t>的金额：成交总额*5%</w:t>
            </w:r>
          </w:p>
          <w:p>
            <w:pPr>
              <w:spacing w:line="400" w:lineRule="exact"/>
              <w:rPr>
                <w:rFonts w:ascii="仿宋" w:hAnsi="仿宋" w:eastAsia="仿宋" w:cs="仿宋"/>
                <w:sz w:val="24"/>
                <w:szCs w:val="24"/>
                <w:highlight w:val="none"/>
              </w:rPr>
            </w:pPr>
            <w:bookmarkStart w:id="28" w:name="OLE_LINK98"/>
            <w:r>
              <w:rPr>
                <w:rFonts w:hint="eastAsia" w:ascii="仿宋" w:hAnsi="仿宋" w:eastAsia="仿宋" w:cs="仿宋"/>
                <w:sz w:val="24"/>
                <w:szCs w:val="24"/>
                <w:highlight w:val="none"/>
              </w:rPr>
              <w:t>履约保证金的退还：项目完工验收合格（以验收单为准）后</w:t>
            </w:r>
            <w:bookmarkEnd w:id="28"/>
            <w:r>
              <w:rPr>
                <w:rFonts w:hint="eastAsia" w:ascii="仿宋" w:hAnsi="仿宋" w:eastAsia="仿宋" w:cs="仿宋"/>
                <w:sz w:val="24"/>
                <w:szCs w:val="24"/>
                <w:highlight w:val="none"/>
              </w:rPr>
              <w:t>，无息退还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exact"/>
          <w:jc w:val="center"/>
        </w:trPr>
        <w:tc>
          <w:tcPr>
            <w:tcW w:w="973" w:type="dxa"/>
            <w:vAlign w:val="center"/>
          </w:tcPr>
          <w:p>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2493" w:type="dxa"/>
            <w:vAlign w:val="center"/>
          </w:tcPr>
          <w:p>
            <w:pPr>
              <w:spacing w:line="400" w:lineRule="exact"/>
              <w:jc w:val="center"/>
              <w:rPr>
                <w:rFonts w:ascii="仿宋" w:hAnsi="仿宋" w:eastAsia="仿宋" w:cs="仿宋"/>
                <w:color w:val="FF0000"/>
                <w:sz w:val="24"/>
                <w:szCs w:val="24"/>
                <w:highlight w:val="none"/>
              </w:rPr>
            </w:pPr>
            <w:r>
              <w:rPr>
                <w:rFonts w:hint="eastAsia" w:ascii="仿宋" w:hAnsi="仿宋" w:eastAsia="仿宋" w:cs="仿宋"/>
                <w:b/>
                <w:bCs/>
                <w:sz w:val="24"/>
                <w:szCs w:val="24"/>
                <w:highlight w:val="none"/>
              </w:rPr>
              <w:t>招标代理服务费</w:t>
            </w:r>
          </w:p>
        </w:tc>
        <w:tc>
          <w:tcPr>
            <w:tcW w:w="6240" w:type="dxa"/>
            <w:vAlign w:val="center"/>
          </w:tcPr>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1.参照国家计委颁发的《招标代理服务收费管理暂行办法》（计价格[2002]1980号）和国家发展改革委员会办公厅颁发的《关于招标代理服务收费有关问题的通知》（发改办价格[2003]857号）的有关规定执行。</w:t>
            </w:r>
          </w:p>
          <w:p>
            <w:pPr>
              <w:autoSpaceDE w:val="0"/>
              <w:autoSpaceDN w:val="0"/>
              <w:adjustRightInd w:val="0"/>
              <w:spacing w:line="460" w:lineRule="exact"/>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2.请成交人按照要求服务费汇入以上指定账户，如因自身原因发生错误产生的不利后果由成交人自行承担。</w:t>
            </w:r>
          </w:p>
          <w:p>
            <w:pPr>
              <w:spacing w:line="400" w:lineRule="exact"/>
              <w:rPr>
                <w:rFonts w:ascii="仿宋" w:hAnsi="仿宋" w:eastAsia="仿宋" w:cs="仿宋"/>
                <w:color w:val="FF0000"/>
                <w:sz w:val="24"/>
                <w:szCs w:val="24"/>
                <w:highlight w:val="none"/>
              </w:rPr>
            </w:pPr>
            <w:r>
              <w:rPr>
                <w:rFonts w:hint="eastAsia" w:ascii="仿宋" w:hAnsi="仿宋" w:eastAsia="仿宋" w:cs="仿宋"/>
                <w:color w:val="000000"/>
                <w:kern w:val="0"/>
                <w:sz w:val="24"/>
                <w:highlight w:val="none"/>
              </w:rPr>
              <w:t>产生的不利后果由成交人自行承担。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6" w:type="dxa"/>
            <w:gridSpan w:val="3"/>
            <w:vAlign w:val="center"/>
          </w:tcPr>
          <w:p>
            <w:pPr>
              <w:spacing w:line="440" w:lineRule="exact"/>
              <w:rPr>
                <w:rFonts w:ascii="仿宋" w:hAnsi="仿宋" w:eastAsia="仿宋" w:cs="仿宋"/>
                <w:sz w:val="24"/>
                <w:szCs w:val="24"/>
                <w:highlight w:val="none"/>
              </w:rPr>
            </w:pPr>
            <w:r>
              <w:rPr>
                <w:rFonts w:hint="eastAsia" w:ascii="仿宋" w:hAnsi="仿宋" w:eastAsia="仿宋" w:cs="仿宋"/>
                <w:b/>
                <w:bCs/>
                <w:sz w:val="24"/>
                <w:szCs w:val="24"/>
                <w:highlight w:val="none"/>
              </w:rPr>
              <w:t>12、需要补充的其他内容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exact"/>
          <w:jc w:val="center"/>
        </w:trPr>
        <w:tc>
          <w:tcPr>
            <w:tcW w:w="9706" w:type="dxa"/>
            <w:gridSpan w:val="3"/>
            <w:vAlign w:val="center"/>
          </w:tcPr>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（1）本项目</w:t>
            </w:r>
            <w:r>
              <w:rPr>
                <w:rFonts w:hint="eastAsia" w:ascii="仿宋" w:hAnsi="仿宋" w:eastAsia="仿宋" w:cs="仿宋"/>
                <w:sz w:val="24"/>
                <w:szCs w:val="24"/>
                <w:highlight w:val="none"/>
                <w:u w:val="single"/>
              </w:rPr>
              <w:t>专门面向中小企业采购</w:t>
            </w:r>
            <w:r>
              <w:rPr>
                <w:rFonts w:hint="eastAsia" w:ascii="仿宋" w:hAnsi="仿宋" w:eastAsia="仿宋" w:cs="仿宋"/>
                <w:sz w:val="24"/>
                <w:szCs w:val="24"/>
                <w:highlight w:val="none"/>
              </w:rPr>
              <w:t>。</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（2）本项目属性为</w:t>
            </w:r>
            <w:r>
              <w:rPr>
                <w:rFonts w:hint="eastAsia" w:ascii="仿宋" w:hAnsi="仿宋" w:eastAsia="仿宋" w:cs="仿宋"/>
                <w:sz w:val="24"/>
                <w:szCs w:val="24"/>
                <w:highlight w:val="none"/>
                <w:u w:val="single"/>
              </w:rPr>
              <w:t>工程</w:t>
            </w:r>
            <w:r>
              <w:rPr>
                <w:rFonts w:hint="eastAsia" w:ascii="仿宋" w:hAnsi="仿宋" w:eastAsia="仿宋" w:cs="仿宋"/>
                <w:sz w:val="24"/>
                <w:szCs w:val="24"/>
                <w:highlight w:val="none"/>
              </w:rPr>
              <w:t>。</w:t>
            </w:r>
          </w:p>
          <w:p>
            <w:pPr>
              <w:spacing w:line="440" w:lineRule="exact"/>
              <w:rPr>
                <w:rFonts w:ascii="仿宋" w:hAnsi="仿宋" w:eastAsia="仿宋" w:cs="仿宋"/>
                <w:b/>
                <w:bCs/>
                <w:sz w:val="24"/>
                <w:szCs w:val="24"/>
                <w:highlight w:val="none"/>
              </w:rPr>
            </w:pPr>
            <w:r>
              <w:rPr>
                <w:rFonts w:hint="eastAsia" w:ascii="仿宋" w:hAnsi="仿宋" w:eastAsia="仿宋" w:cs="仿宋"/>
                <w:sz w:val="24"/>
                <w:szCs w:val="24"/>
                <w:highlight w:val="none"/>
              </w:rPr>
              <w:t>（3）本项目采购标的所属行业为：</w:t>
            </w:r>
            <w:r>
              <w:rPr>
                <w:rFonts w:hint="eastAsia" w:ascii="仿宋" w:hAnsi="仿宋" w:eastAsia="仿宋" w:cs="仿宋"/>
                <w:sz w:val="24"/>
                <w:szCs w:val="24"/>
                <w:highlight w:val="none"/>
                <w:u w:val="single"/>
              </w:rPr>
              <w:t xml:space="preserve">   建筑业   </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6" w:type="dxa"/>
            <w:gridSpan w:val="3"/>
            <w:vAlign w:val="center"/>
          </w:tcPr>
          <w:p>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9706" w:type="dxa"/>
            <w:gridSpan w:val="3"/>
            <w:vAlign w:val="center"/>
          </w:tcPr>
          <w:p>
            <w:pPr>
              <w:spacing w:line="440" w:lineRule="exact"/>
              <w:ind w:left="110" w:leftChars="52" w:hanging="1"/>
              <w:rPr>
                <w:rFonts w:ascii="仿宋" w:hAnsi="仿宋" w:eastAsia="仿宋" w:cs="仿宋"/>
                <w:sz w:val="24"/>
                <w:szCs w:val="24"/>
                <w:highlight w:val="none"/>
              </w:rPr>
            </w:pPr>
            <w:r>
              <w:rPr>
                <w:rFonts w:hint="eastAsia" w:ascii="仿宋" w:hAnsi="仿宋" w:eastAsia="仿宋" w:cs="仿宋"/>
                <w:sz w:val="24"/>
                <w:szCs w:val="24"/>
                <w:highlight w:val="none"/>
              </w:rPr>
              <w:t>构成本竞争性磋商文件各个组成部分的文件，未经采购人书面同意，供应商不得擅自复印和用于非本招标项目所需的其他目的。采购人全部或者部分使用未成交人竞争性磋商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06" w:type="dxa"/>
            <w:gridSpan w:val="3"/>
            <w:vAlign w:val="center"/>
          </w:tcPr>
          <w:p>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9706" w:type="dxa"/>
            <w:gridSpan w:val="3"/>
            <w:vAlign w:val="center"/>
          </w:tcPr>
          <w:p>
            <w:pPr>
              <w:spacing w:line="440" w:lineRule="exact"/>
              <w:ind w:left="110" w:leftChars="52" w:hanging="1"/>
              <w:rPr>
                <w:rFonts w:ascii="仿宋" w:hAnsi="仿宋" w:eastAsia="仿宋" w:cs="仿宋"/>
                <w:sz w:val="24"/>
                <w:szCs w:val="24"/>
                <w:highlight w:val="none"/>
              </w:rPr>
            </w:pPr>
            <w:r>
              <w:rPr>
                <w:rFonts w:hint="eastAsia" w:ascii="仿宋" w:hAnsi="仿宋" w:eastAsia="仿宋" w:cs="仿宋"/>
                <w:sz w:val="24"/>
                <w:szCs w:val="24"/>
                <w:highlight w:val="none"/>
              </w:rPr>
              <w:t>构成竞争性磋商文件组成部分的“通用合同条款”、“专用合同条款”、“技术标准和要求”和“工程量清单”等章节中出现的措辞“发包人”和“承包人”，在磋商阶段应当分别按“采购人”和“供应商”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9706" w:type="dxa"/>
            <w:gridSpan w:val="3"/>
            <w:vAlign w:val="center"/>
          </w:tcPr>
          <w:p>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9706" w:type="dxa"/>
            <w:gridSpan w:val="3"/>
            <w:vAlign w:val="center"/>
          </w:tcPr>
          <w:p>
            <w:pPr>
              <w:spacing w:line="440" w:lineRule="exact"/>
              <w:ind w:left="68" w:leftChars="-2" w:hanging="72" w:hangingChars="30"/>
              <w:rPr>
                <w:rFonts w:ascii="仿宋" w:hAnsi="仿宋" w:eastAsia="仿宋" w:cs="仿宋"/>
                <w:sz w:val="24"/>
                <w:szCs w:val="24"/>
                <w:highlight w:val="none"/>
              </w:rPr>
            </w:pPr>
            <w:r>
              <w:rPr>
                <w:rFonts w:hint="eastAsia" w:ascii="仿宋" w:hAnsi="仿宋" w:eastAsia="仿宋" w:cs="仿宋"/>
                <w:sz w:val="24"/>
                <w:szCs w:val="24"/>
                <w:highlight w:val="none"/>
              </w:rPr>
              <w:t>本竞争性磋商文件由采购人和采购代理机构负责解释。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exact"/>
          <w:jc w:val="center"/>
        </w:trPr>
        <w:tc>
          <w:tcPr>
            <w:tcW w:w="9706" w:type="dxa"/>
            <w:gridSpan w:val="3"/>
            <w:vAlign w:val="center"/>
          </w:tcPr>
          <w:p>
            <w:pPr>
              <w:spacing w:line="40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招标代理服务费账户：</w:t>
            </w:r>
          </w:p>
          <w:p>
            <w:pPr>
              <w:spacing w:line="400" w:lineRule="exact"/>
              <w:ind w:firstLine="240" w:firstLineChars="100"/>
              <w:rPr>
                <w:rFonts w:ascii="仿宋" w:hAnsi="仿宋" w:eastAsia="仿宋" w:cs="仿宋"/>
                <w:sz w:val="24"/>
                <w:szCs w:val="24"/>
                <w:highlight w:val="none"/>
              </w:rPr>
            </w:pPr>
            <w:r>
              <w:rPr>
                <w:rFonts w:hint="eastAsia" w:ascii="仿宋" w:hAnsi="仿宋" w:eastAsia="仿宋" w:cs="仿宋"/>
                <w:sz w:val="24"/>
                <w:szCs w:val="24"/>
                <w:highlight w:val="none"/>
              </w:rPr>
              <w:t>户名：华夏国际项目管理有限公司</w:t>
            </w:r>
          </w:p>
          <w:p>
            <w:pPr>
              <w:spacing w:line="400" w:lineRule="exact"/>
              <w:ind w:firstLine="240" w:firstLineChars="100"/>
              <w:rPr>
                <w:rFonts w:ascii="仿宋" w:hAnsi="仿宋" w:eastAsia="仿宋" w:cs="仿宋"/>
                <w:sz w:val="24"/>
                <w:szCs w:val="24"/>
                <w:highlight w:val="none"/>
              </w:rPr>
            </w:pPr>
            <w:r>
              <w:rPr>
                <w:rFonts w:hint="eastAsia" w:ascii="仿宋" w:hAnsi="仿宋" w:eastAsia="仿宋" w:cs="仿宋"/>
                <w:sz w:val="24"/>
                <w:szCs w:val="24"/>
                <w:highlight w:val="none"/>
              </w:rPr>
              <w:t>开户行：中国光大银行西安南二环支行</w:t>
            </w:r>
          </w:p>
          <w:p>
            <w:pPr>
              <w:spacing w:line="400" w:lineRule="exact"/>
              <w:ind w:firstLine="240" w:firstLineChars="100"/>
              <w:rPr>
                <w:rFonts w:ascii="仿宋" w:hAnsi="仿宋" w:eastAsia="仿宋" w:cs="仿宋"/>
                <w:sz w:val="24"/>
                <w:szCs w:val="24"/>
                <w:highlight w:val="none"/>
              </w:rPr>
            </w:pPr>
            <w:r>
              <w:rPr>
                <w:rFonts w:hint="eastAsia" w:ascii="仿宋" w:hAnsi="仿宋" w:eastAsia="仿宋" w:cs="仿宋"/>
                <w:sz w:val="24"/>
                <w:szCs w:val="24"/>
                <w:highlight w:val="none"/>
              </w:rPr>
              <w:t>账号：78620188000097418</w:t>
            </w:r>
          </w:p>
          <w:p>
            <w:pPr>
              <w:spacing w:line="400" w:lineRule="exact"/>
              <w:ind w:left="68" w:leftChars="-2" w:hanging="72" w:hangingChars="30"/>
              <w:rPr>
                <w:rFonts w:ascii="仿宋" w:hAnsi="仿宋" w:eastAsia="仿宋" w:cs="仿宋"/>
                <w:sz w:val="24"/>
                <w:szCs w:val="24"/>
                <w:highlight w:val="none"/>
              </w:rPr>
            </w:pPr>
            <w:r>
              <w:rPr>
                <w:rFonts w:hint="eastAsia" w:ascii="仿宋" w:hAnsi="仿宋" w:eastAsia="仿宋" w:cs="仿宋"/>
                <w:b/>
                <w:bCs/>
                <w:sz w:val="24"/>
                <w:szCs w:val="24"/>
                <w:highlight w:val="none"/>
              </w:rPr>
              <w:t>请成交供应商按照要求将招标代理服务费汇入以上指定账户，如因自身原因发生错误，产生的不利后果均由成交供应商自行承担。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exact"/>
          <w:jc w:val="center"/>
        </w:trPr>
        <w:tc>
          <w:tcPr>
            <w:tcW w:w="9706" w:type="dxa"/>
            <w:gridSpan w:val="3"/>
            <w:vAlign w:val="center"/>
          </w:tcPr>
          <w:p>
            <w:pPr>
              <w:spacing w:line="500" w:lineRule="exact"/>
              <w:rPr>
                <w:rFonts w:ascii="仿宋" w:hAnsi="仿宋" w:eastAsia="仿宋" w:cs="仿宋"/>
                <w:b/>
                <w:bCs/>
                <w:sz w:val="24"/>
                <w:szCs w:val="24"/>
                <w:highlight w:val="none"/>
              </w:rPr>
            </w:pPr>
            <w:bookmarkStart w:id="29" w:name="_Toc1185"/>
            <w:r>
              <w:rPr>
                <w:rFonts w:hint="eastAsia" w:ascii="仿宋" w:hAnsi="仿宋" w:eastAsia="仿宋" w:cs="仿宋"/>
                <w:b/>
                <w:bCs/>
                <w:sz w:val="24"/>
                <w:szCs w:val="24"/>
                <w:highlight w:val="none"/>
              </w:rPr>
              <w:t>信用担保</w:t>
            </w:r>
            <w:bookmarkEnd w:id="29"/>
            <w:r>
              <w:rPr>
                <w:rFonts w:hint="eastAsia" w:ascii="仿宋" w:hAnsi="仿宋" w:eastAsia="仿宋" w:cs="仿宋"/>
                <w:b/>
                <w:bCs/>
                <w:sz w:val="24"/>
                <w:szCs w:val="24"/>
                <w:highlight w:val="none"/>
              </w:rPr>
              <w:t>及信用融资：</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根据《陕西省财政厅关于印发&lt;陕西省中小企业政府采购信用融资办法&gt;的通知》（陕财办采〔2018〕23号）相关政策，有融资需求的供应商可根据自身情况，在陕西省政府采购信用融资平台（网址：http://www.ccgp-shaanxi.gov.cn/zcdservice/zcd/shanxi/）按照相关业务流程自主选择金融机构及其融资产品，凭政府采购中标（成交）通知书或政府采购合同向金融机构提出融资申请。</w:t>
            </w:r>
          </w:p>
          <w:p>
            <w:pPr>
              <w:spacing w:line="400" w:lineRule="exact"/>
              <w:ind w:left="68" w:leftChars="-2" w:hanging="72" w:hangingChars="30"/>
              <w:rPr>
                <w:rFonts w:ascii="仿宋" w:hAnsi="仿宋" w:eastAsia="仿宋" w:cs="仿宋"/>
                <w:b/>
                <w:bCs/>
                <w:sz w:val="24"/>
                <w:szCs w:val="24"/>
                <w:highlight w:val="none"/>
              </w:rPr>
            </w:pPr>
          </w:p>
        </w:tc>
      </w:tr>
    </w:tbl>
    <w:p>
      <w:pPr>
        <w:spacing w:line="360" w:lineRule="auto"/>
        <w:jc w:val="left"/>
        <w:rPr>
          <w:rFonts w:ascii="仿宋" w:hAnsi="仿宋" w:eastAsia="仿宋" w:cs="仿宋"/>
          <w:highlight w:val="none"/>
        </w:rPr>
        <w:sectPr>
          <w:footerReference r:id="rId8" w:type="default"/>
          <w:pgSz w:w="11906" w:h="16838"/>
          <w:pgMar w:top="1417" w:right="1417" w:bottom="1417" w:left="1701" w:header="851" w:footer="992" w:gutter="0"/>
          <w:pgNumType w:fmt="decimal" w:start="1"/>
          <w:cols w:space="0" w:num="1"/>
          <w:docGrid w:type="lines" w:linePitch="312" w:charSpace="0"/>
        </w:sectPr>
      </w:pPr>
    </w:p>
    <w:p>
      <w:pPr>
        <w:pStyle w:val="5"/>
        <w:jc w:val="center"/>
        <w:rPr>
          <w:rFonts w:ascii="仿宋" w:hAnsi="仿宋" w:eastAsia="仿宋" w:cs="仿宋"/>
          <w:highlight w:val="none"/>
        </w:rPr>
      </w:pPr>
      <w:bookmarkStart w:id="30" w:name="_Toc462213641"/>
      <w:bookmarkStart w:id="31" w:name="_Toc10069"/>
      <w:bookmarkStart w:id="32" w:name="_Toc465432091"/>
      <w:bookmarkStart w:id="33" w:name="_Toc10260"/>
      <w:bookmarkStart w:id="34" w:name="_Toc18046"/>
      <w:bookmarkStart w:id="35" w:name="_Toc12402"/>
      <w:bookmarkStart w:id="36" w:name="_Toc6301"/>
      <w:bookmarkStart w:id="37" w:name="_Toc462213769"/>
      <w:bookmarkStart w:id="38" w:name="_Toc14938"/>
      <w:bookmarkStart w:id="39" w:name="_Toc421778365"/>
      <w:bookmarkStart w:id="40" w:name="_Toc420591643"/>
      <w:bookmarkStart w:id="41" w:name="_Toc425240464"/>
      <w:r>
        <w:rPr>
          <w:rFonts w:hint="eastAsia" w:ascii="仿宋" w:hAnsi="仿宋" w:eastAsia="仿宋" w:cs="仿宋"/>
          <w:highlight w:val="none"/>
        </w:rPr>
        <w:t>供应商须知正文部分</w:t>
      </w:r>
      <w:bookmarkEnd w:id="30"/>
      <w:bookmarkEnd w:id="31"/>
      <w:bookmarkEnd w:id="32"/>
      <w:bookmarkEnd w:id="33"/>
      <w:bookmarkEnd w:id="34"/>
      <w:bookmarkEnd w:id="35"/>
      <w:bookmarkEnd w:id="36"/>
      <w:bookmarkEnd w:id="37"/>
      <w:bookmarkEnd w:id="38"/>
    </w:p>
    <w:p>
      <w:pPr>
        <w:spacing w:before="156" w:after="156" w:line="360" w:lineRule="auto"/>
        <w:jc w:val="left"/>
        <w:rPr>
          <w:rFonts w:ascii="仿宋" w:hAnsi="仿宋" w:eastAsia="仿宋" w:cs="仿宋"/>
          <w:b/>
          <w:kern w:val="0"/>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kern w:val="0"/>
          <w:sz w:val="24"/>
          <w:szCs w:val="24"/>
          <w:highlight w:val="none"/>
        </w:rPr>
        <w:t>总则</w:t>
      </w:r>
      <w:bookmarkEnd w:id="39"/>
      <w:bookmarkEnd w:id="40"/>
      <w:bookmarkEnd w:id="41"/>
    </w:p>
    <w:p>
      <w:pPr>
        <w:pStyle w:val="6"/>
        <w:ind w:firstLine="482" w:firstLineChars="200"/>
        <w:rPr>
          <w:rFonts w:ascii="仿宋" w:hAnsi="仿宋" w:eastAsia="仿宋" w:cs="仿宋"/>
          <w:highlight w:val="none"/>
        </w:rPr>
      </w:pPr>
      <w:bookmarkStart w:id="42" w:name="_Toc5511"/>
      <w:bookmarkStart w:id="43" w:name="_Toc22837"/>
      <w:bookmarkStart w:id="44" w:name="_Toc18953"/>
      <w:r>
        <w:rPr>
          <w:rFonts w:hint="eastAsia" w:ascii="仿宋" w:hAnsi="仿宋" w:eastAsia="仿宋" w:cs="仿宋"/>
          <w:highlight w:val="none"/>
        </w:rPr>
        <w:t>1.1 项目概况</w:t>
      </w:r>
      <w:bookmarkEnd w:id="42"/>
      <w:bookmarkEnd w:id="43"/>
      <w:bookmarkEnd w:id="44"/>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1.1.1 根据《中华人民共和国政府采购法》及实施条例和关于印发《政府采购竞争性磋商采购方式管理暂行办法》的通知（财库</w:t>
      </w:r>
      <w:r>
        <w:rPr>
          <w:rFonts w:hint="eastAsia" w:ascii="仿宋" w:hAnsi="仿宋" w:eastAsia="仿宋" w:cs="仿宋"/>
          <w:color w:val="333333"/>
          <w:sz w:val="24"/>
          <w:szCs w:val="24"/>
          <w:highlight w:val="none"/>
          <w:shd w:val="clear" w:color="auto" w:fill="FFFFFF"/>
        </w:rPr>
        <w:t>〔2014〕</w:t>
      </w:r>
      <w:r>
        <w:rPr>
          <w:rFonts w:hint="eastAsia" w:ascii="仿宋" w:hAnsi="仿宋" w:eastAsia="仿宋" w:cs="仿宋"/>
          <w:sz w:val="24"/>
          <w:szCs w:val="24"/>
          <w:highlight w:val="none"/>
        </w:rPr>
        <w:t>214号）的规定，本项目已具备磋商条件，现对本项目施工进行竞争性磋商。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1.1.2 本项目采购人：见供应商须知前附表。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1.1.3 本项目采购代理机构：见供应商须知前附表。</w:t>
      </w:r>
    </w:p>
    <w:p>
      <w:pPr>
        <w:tabs>
          <w:tab w:val="left" w:pos="7665"/>
        </w:tabs>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1.1.4本项目监督机构：同级人民政府财政部门及有关部门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1.1.5本项目建设地点：见供应商须知前附表。</w:t>
      </w:r>
    </w:p>
    <w:p>
      <w:pPr>
        <w:pStyle w:val="6"/>
        <w:ind w:firstLine="482" w:firstLineChars="200"/>
        <w:rPr>
          <w:rFonts w:ascii="仿宋" w:hAnsi="仿宋" w:eastAsia="仿宋" w:cs="仿宋"/>
          <w:highlight w:val="none"/>
        </w:rPr>
      </w:pPr>
      <w:bookmarkStart w:id="45" w:name="_Toc25582"/>
      <w:bookmarkStart w:id="46" w:name="_Toc4619"/>
      <w:bookmarkStart w:id="47" w:name="_Toc12216"/>
      <w:r>
        <w:rPr>
          <w:rFonts w:hint="eastAsia" w:ascii="仿宋" w:hAnsi="仿宋" w:eastAsia="仿宋" w:cs="仿宋"/>
          <w:highlight w:val="none"/>
        </w:rPr>
        <w:t>1.2 资金来源和落实情况</w:t>
      </w:r>
      <w:bookmarkEnd w:id="45"/>
      <w:bookmarkEnd w:id="46"/>
      <w:bookmarkEnd w:id="47"/>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1.2.1 本项目的资金来源：见供应商须知前附表。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1.2.2 本项目的资金落实情况：见供应商须知前附表。</w:t>
      </w:r>
    </w:p>
    <w:p>
      <w:pPr>
        <w:pStyle w:val="6"/>
        <w:ind w:firstLine="482" w:firstLineChars="200"/>
        <w:rPr>
          <w:rFonts w:ascii="仿宋" w:hAnsi="仿宋" w:eastAsia="仿宋" w:cs="仿宋"/>
          <w:highlight w:val="none"/>
        </w:rPr>
      </w:pPr>
      <w:bookmarkStart w:id="48" w:name="_Toc23656"/>
      <w:bookmarkStart w:id="49" w:name="_Toc5676"/>
      <w:bookmarkStart w:id="50" w:name="_Toc16817"/>
      <w:r>
        <w:rPr>
          <w:rFonts w:hint="eastAsia" w:ascii="仿宋" w:hAnsi="仿宋" w:eastAsia="仿宋" w:cs="仿宋"/>
          <w:highlight w:val="none"/>
        </w:rPr>
        <w:t>1.3 招标范围、计划工期和质量要求</w:t>
      </w:r>
      <w:bookmarkEnd w:id="48"/>
      <w:bookmarkEnd w:id="49"/>
      <w:bookmarkEnd w:id="50"/>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1.3.1 本次磋商范围：见供应商须知前附表。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1.3.2 本项目的计划工期：</w:t>
      </w:r>
      <w:bookmarkStart w:id="51" w:name="OLE_LINK8"/>
      <w:r>
        <w:rPr>
          <w:rFonts w:hint="eastAsia" w:ascii="仿宋" w:hAnsi="仿宋" w:eastAsia="仿宋" w:cs="仿宋"/>
          <w:sz w:val="24"/>
          <w:szCs w:val="24"/>
          <w:highlight w:val="none"/>
        </w:rPr>
        <w:t>见供应商须知前附表。</w:t>
      </w:r>
      <w:bookmarkEnd w:id="51"/>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1.3.3 本项目的质量要求：见供应商须知前附表。</w:t>
      </w:r>
    </w:p>
    <w:p>
      <w:pPr>
        <w:pStyle w:val="6"/>
        <w:ind w:firstLine="482" w:firstLineChars="200"/>
        <w:rPr>
          <w:rFonts w:ascii="仿宋" w:hAnsi="仿宋" w:eastAsia="仿宋" w:cs="仿宋"/>
          <w:highlight w:val="none"/>
        </w:rPr>
      </w:pPr>
      <w:bookmarkStart w:id="52" w:name="_Toc12437"/>
      <w:bookmarkStart w:id="53" w:name="_Toc18351"/>
      <w:bookmarkStart w:id="54" w:name="_Toc28103"/>
      <w:r>
        <w:rPr>
          <w:rFonts w:hint="eastAsia" w:ascii="仿宋" w:hAnsi="仿宋" w:eastAsia="仿宋" w:cs="仿宋"/>
          <w:highlight w:val="none"/>
        </w:rPr>
        <w:t>1.4 供应商资格要求及竞争性磋商文件发售时间</w:t>
      </w:r>
      <w:bookmarkEnd w:id="52"/>
      <w:bookmarkEnd w:id="53"/>
      <w:bookmarkEnd w:id="54"/>
    </w:p>
    <w:p>
      <w:pPr>
        <w:pStyle w:val="13"/>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1.4.1资格审查条件：见供应商须知前附表。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1.4.2竞争性磋商文件发售时间：见供应商须知前附表。</w:t>
      </w:r>
    </w:p>
    <w:p>
      <w:pPr>
        <w:pStyle w:val="6"/>
        <w:ind w:firstLine="482" w:firstLineChars="200"/>
        <w:rPr>
          <w:rFonts w:ascii="仿宋" w:hAnsi="仿宋" w:eastAsia="仿宋" w:cs="仿宋"/>
          <w:highlight w:val="none"/>
        </w:rPr>
      </w:pPr>
      <w:bookmarkStart w:id="55" w:name="_Toc11073"/>
      <w:bookmarkStart w:id="56" w:name="_Toc10580"/>
      <w:bookmarkStart w:id="57" w:name="_Toc2802"/>
      <w:r>
        <w:rPr>
          <w:rFonts w:hint="eastAsia" w:ascii="仿宋" w:hAnsi="仿宋" w:eastAsia="仿宋" w:cs="仿宋"/>
          <w:highlight w:val="none"/>
        </w:rPr>
        <w:t>1.5 费用承担</w:t>
      </w:r>
      <w:bookmarkEnd w:id="55"/>
      <w:bookmarkEnd w:id="56"/>
      <w:bookmarkEnd w:id="57"/>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供应商准备和参加磋商活动所发生的一切费用自理。</w:t>
      </w:r>
    </w:p>
    <w:p>
      <w:pPr>
        <w:pStyle w:val="6"/>
        <w:ind w:firstLine="482" w:firstLineChars="200"/>
        <w:rPr>
          <w:rFonts w:ascii="仿宋" w:hAnsi="仿宋" w:eastAsia="仿宋" w:cs="仿宋"/>
          <w:highlight w:val="none"/>
        </w:rPr>
      </w:pPr>
      <w:bookmarkStart w:id="58" w:name="_Toc25890"/>
      <w:bookmarkStart w:id="59" w:name="_Toc30008"/>
      <w:bookmarkStart w:id="60" w:name="_Toc13926"/>
      <w:r>
        <w:rPr>
          <w:rFonts w:hint="eastAsia" w:ascii="仿宋" w:hAnsi="仿宋" w:eastAsia="仿宋" w:cs="仿宋"/>
          <w:highlight w:val="none"/>
        </w:rPr>
        <w:t>1.6 保密</w:t>
      </w:r>
      <w:bookmarkEnd w:id="58"/>
      <w:bookmarkEnd w:id="59"/>
      <w:bookmarkEnd w:id="60"/>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参与磋商活动的各方应对竞争性磋商文件和竞争性磋商响应文件中的商业和技术等秘密保密，违者应对由此造成的后果承担法律责任。</w:t>
      </w:r>
    </w:p>
    <w:p>
      <w:pPr>
        <w:pStyle w:val="6"/>
        <w:ind w:firstLine="482" w:firstLineChars="200"/>
        <w:rPr>
          <w:rFonts w:ascii="仿宋" w:hAnsi="仿宋" w:eastAsia="仿宋" w:cs="仿宋"/>
          <w:highlight w:val="none"/>
        </w:rPr>
      </w:pPr>
      <w:bookmarkStart w:id="61" w:name="_Toc7172"/>
      <w:bookmarkStart w:id="62" w:name="_Toc4330"/>
      <w:bookmarkStart w:id="63" w:name="_Toc22762"/>
      <w:r>
        <w:rPr>
          <w:rFonts w:hint="eastAsia" w:ascii="仿宋" w:hAnsi="仿宋" w:eastAsia="仿宋" w:cs="仿宋"/>
          <w:highlight w:val="none"/>
        </w:rPr>
        <w:t>1.7 语言文字</w:t>
      </w:r>
      <w:bookmarkEnd w:id="61"/>
      <w:bookmarkEnd w:id="62"/>
      <w:bookmarkEnd w:id="63"/>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除专用术语外，与磋商有关的语言均使用中文。必要时专用术语应附有中文注释。</w:t>
      </w:r>
    </w:p>
    <w:p>
      <w:pPr>
        <w:pStyle w:val="6"/>
        <w:ind w:firstLine="482" w:firstLineChars="200"/>
        <w:rPr>
          <w:rFonts w:ascii="仿宋" w:hAnsi="仿宋" w:eastAsia="仿宋" w:cs="仿宋"/>
          <w:highlight w:val="none"/>
        </w:rPr>
      </w:pPr>
      <w:bookmarkStart w:id="64" w:name="_Toc12647"/>
      <w:bookmarkStart w:id="65" w:name="_Toc14707"/>
      <w:bookmarkStart w:id="66" w:name="_Toc15352"/>
      <w:r>
        <w:rPr>
          <w:rFonts w:hint="eastAsia" w:ascii="仿宋" w:hAnsi="仿宋" w:eastAsia="仿宋" w:cs="仿宋"/>
          <w:highlight w:val="none"/>
        </w:rPr>
        <w:t>1.8 计量单位</w:t>
      </w:r>
      <w:bookmarkEnd w:id="64"/>
      <w:bookmarkEnd w:id="65"/>
      <w:bookmarkEnd w:id="66"/>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所有计量均采用中华人民共和国法定计量单位。</w:t>
      </w:r>
    </w:p>
    <w:p>
      <w:pPr>
        <w:pStyle w:val="6"/>
        <w:ind w:firstLine="482" w:firstLineChars="200"/>
        <w:rPr>
          <w:rFonts w:ascii="仿宋" w:hAnsi="仿宋" w:eastAsia="仿宋" w:cs="仿宋"/>
          <w:highlight w:val="none"/>
        </w:rPr>
      </w:pPr>
      <w:bookmarkStart w:id="67" w:name="_Toc22348"/>
      <w:bookmarkStart w:id="68" w:name="_Toc17358"/>
      <w:bookmarkStart w:id="69" w:name="_Toc6234"/>
      <w:r>
        <w:rPr>
          <w:rFonts w:hint="eastAsia" w:ascii="仿宋" w:hAnsi="仿宋" w:eastAsia="仿宋" w:cs="仿宋"/>
          <w:highlight w:val="none"/>
        </w:rPr>
        <w:t>1.9 踏勘现场</w:t>
      </w:r>
      <w:bookmarkEnd w:id="67"/>
      <w:bookmarkEnd w:id="68"/>
      <w:bookmarkEnd w:id="69"/>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1.9.1采购代理机构不组织统一踏勘现场，由供应商自行安排。</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1.9.2 供应商踏勘现场发生的一切费用自理，并自行负责在踏勘现场中所发生的人员伤亡和财产损失。</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1.9.3 供应商应对工程现场及周围环境进行踏勘，充分了解现场环境、总体布置情况、工程地形地貌、工程现场道路、工程总体进度情况、储存空间、场内运输、装卸等限制条件及其它任何足以影响磋商报价的情况，以便各供应商获取须自主考虑的有关竞争性磋商响应文件编制和合同签署所需的相关资料和数据，任何因忽视或误解工地情况而导致的索赔或工期延长申请将不获批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1.9.4 采购人在踏勘现场中介绍的工程场地和相关的周边环境情况，供供应商在编制竞争性磋商响应文件时参考，采购人不对供应商据此作出的判断和决策负责。</w:t>
      </w:r>
    </w:p>
    <w:p>
      <w:pPr>
        <w:pStyle w:val="6"/>
        <w:ind w:firstLine="482" w:firstLineChars="200"/>
        <w:rPr>
          <w:rFonts w:ascii="仿宋" w:hAnsi="仿宋" w:eastAsia="仿宋" w:cs="仿宋"/>
          <w:highlight w:val="none"/>
        </w:rPr>
      </w:pPr>
      <w:bookmarkStart w:id="70" w:name="_Toc21578"/>
      <w:bookmarkStart w:id="71" w:name="_Toc24795"/>
      <w:bookmarkStart w:id="72" w:name="_Toc30918"/>
      <w:r>
        <w:rPr>
          <w:rFonts w:hint="eastAsia" w:ascii="仿宋" w:hAnsi="仿宋" w:eastAsia="仿宋" w:cs="仿宋"/>
          <w:highlight w:val="none"/>
        </w:rPr>
        <w:t>1.10 竞争性磋商答疑会</w:t>
      </w:r>
      <w:bookmarkEnd w:id="70"/>
      <w:bookmarkEnd w:id="71"/>
      <w:bookmarkEnd w:id="72"/>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项目不召开答疑会，供应商对竞争性磋商文件、工程量清单、施工图以及施工现场条件等的疑问和要求澄清的内容，均应在磋商响应文件递交截止时间3日前以书面形式向采购代理机构提出，采购人和采购代理机构做出统一解答和必要澄清后在磋商前2天以书面的《答疑纪要》发送所有供应商。答疑纪要为竞争性磋商文件的组成部分，与竞争性磋商文件具有同等法律效力。</w:t>
      </w:r>
    </w:p>
    <w:p>
      <w:pPr>
        <w:pStyle w:val="6"/>
        <w:ind w:firstLine="482" w:firstLineChars="200"/>
        <w:rPr>
          <w:rFonts w:ascii="仿宋" w:hAnsi="仿宋" w:eastAsia="仿宋" w:cs="仿宋"/>
          <w:highlight w:val="none"/>
        </w:rPr>
      </w:pPr>
      <w:bookmarkStart w:id="73" w:name="_Toc30524"/>
      <w:bookmarkStart w:id="74" w:name="_Toc14814"/>
      <w:bookmarkStart w:id="75" w:name="_Toc7970"/>
      <w:r>
        <w:rPr>
          <w:rFonts w:hint="eastAsia" w:ascii="仿宋" w:hAnsi="仿宋" w:eastAsia="仿宋" w:cs="仿宋"/>
          <w:highlight w:val="none"/>
        </w:rPr>
        <w:t>1.11 分包</w:t>
      </w:r>
      <w:bookmarkEnd w:id="73"/>
      <w:bookmarkEnd w:id="74"/>
      <w:bookmarkEnd w:id="75"/>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不允许。</w:t>
      </w:r>
    </w:p>
    <w:p>
      <w:pPr>
        <w:pStyle w:val="6"/>
        <w:ind w:firstLine="482" w:firstLineChars="200"/>
        <w:rPr>
          <w:rFonts w:ascii="仿宋" w:hAnsi="仿宋" w:eastAsia="仿宋" w:cs="仿宋"/>
          <w:highlight w:val="none"/>
        </w:rPr>
      </w:pPr>
      <w:bookmarkStart w:id="76" w:name="_Toc4861"/>
      <w:bookmarkStart w:id="77" w:name="_Toc7204"/>
      <w:bookmarkStart w:id="78" w:name="_Toc27805"/>
      <w:r>
        <w:rPr>
          <w:rFonts w:hint="eastAsia" w:ascii="仿宋" w:hAnsi="仿宋" w:eastAsia="仿宋" w:cs="仿宋"/>
          <w:highlight w:val="none"/>
        </w:rPr>
        <w:t>1.12 偏离</w:t>
      </w:r>
      <w:bookmarkEnd w:id="76"/>
      <w:bookmarkEnd w:id="77"/>
      <w:bookmarkEnd w:id="78"/>
    </w:p>
    <w:p>
      <w:pPr>
        <w:spacing w:line="360" w:lineRule="auto"/>
        <w:ind w:firstLine="480" w:firstLineChars="200"/>
        <w:rPr>
          <w:rFonts w:ascii="仿宋" w:hAnsi="仿宋" w:eastAsia="仿宋" w:cs="仿宋"/>
          <w:sz w:val="24"/>
          <w:szCs w:val="24"/>
          <w:highlight w:val="none"/>
        </w:rPr>
      </w:pPr>
      <w:bookmarkStart w:id="79" w:name="_Toc425240465"/>
      <w:bookmarkStart w:id="80" w:name="_Toc420591644"/>
      <w:bookmarkStart w:id="81" w:name="_Toc421778366"/>
      <w:r>
        <w:rPr>
          <w:rFonts w:hint="eastAsia" w:ascii="仿宋" w:hAnsi="仿宋" w:eastAsia="仿宋" w:cs="仿宋"/>
          <w:sz w:val="24"/>
          <w:szCs w:val="24"/>
          <w:highlight w:val="none"/>
        </w:rPr>
        <w:t>不满足评审方法中初步评审标准的，视为发生重大偏离，其磋商被否决。其余偏离视为细微偏离，磋商小组将通过澄清方式对细微偏离进行澄清或修改。</w:t>
      </w:r>
    </w:p>
    <w:p>
      <w:pPr>
        <w:pStyle w:val="5"/>
        <w:spacing w:before="0" w:after="0" w:line="360" w:lineRule="auto"/>
        <w:rPr>
          <w:rFonts w:ascii="仿宋" w:hAnsi="仿宋" w:eastAsia="仿宋" w:cs="仿宋"/>
          <w:sz w:val="24"/>
          <w:szCs w:val="24"/>
          <w:highlight w:val="none"/>
        </w:rPr>
      </w:pPr>
      <w:bookmarkStart w:id="82" w:name="_Toc25489"/>
      <w:bookmarkStart w:id="83" w:name="_Toc2656"/>
      <w:bookmarkStart w:id="84" w:name="_Toc15677"/>
      <w:r>
        <w:rPr>
          <w:rFonts w:hint="eastAsia" w:ascii="仿宋" w:hAnsi="仿宋" w:eastAsia="仿宋" w:cs="仿宋"/>
          <w:sz w:val="24"/>
          <w:szCs w:val="24"/>
          <w:highlight w:val="none"/>
        </w:rPr>
        <w:t>2</w:t>
      </w:r>
      <w:bookmarkEnd w:id="79"/>
      <w:bookmarkEnd w:id="80"/>
      <w:bookmarkEnd w:id="81"/>
      <w:r>
        <w:rPr>
          <w:rFonts w:hint="eastAsia" w:ascii="仿宋" w:hAnsi="仿宋" w:eastAsia="仿宋" w:cs="仿宋"/>
          <w:sz w:val="24"/>
          <w:szCs w:val="24"/>
          <w:highlight w:val="none"/>
        </w:rPr>
        <w:t>、竞争性磋商文件</w:t>
      </w:r>
      <w:bookmarkEnd w:id="82"/>
      <w:bookmarkEnd w:id="83"/>
      <w:bookmarkEnd w:id="84"/>
    </w:p>
    <w:p>
      <w:pPr>
        <w:pStyle w:val="6"/>
        <w:ind w:firstLine="482" w:firstLineChars="200"/>
        <w:rPr>
          <w:rFonts w:ascii="仿宋" w:hAnsi="仿宋" w:eastAsia="仿宋" w:cs="仿宋"/>
          <w:highlight w:val="none"/>
        </w:rPr>
      </w:pPr>
      <w:bookmarkStart w:id="85" w:name="_Toc25618"/>
      <w:bookmarkStart w:id="86" w:name="_Toc26076"/>
      <w:bookmarkStart w:id="87" w:name="_Toc274"/>
      <w:r>
        <w:rPr>
          <w:rFonts w:hint="eastAsia" w:ascii="仿宋" w:hAnsi="仿宋" w:eastAsia="仿宋" w:cs="仿宋"/>
          <w:highlight w:val="none"/>
        </w:rPr>
        <w:t>2.1 竞争性磋商文件的组成</w:t>
      </w:r>
      <w:bookmarkEnd w:id="85"/>
      <w:bookmarkEnd w:id="86"/>
      <w:bookmarkEnd w:id="87"/>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本竞争性磋商文件包括：</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(1）竞争性磋商公告；</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(2）供应商须知；</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(3）评审方法；</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合同条款及格式</w:t>
      </w:r>
      <w:r>
        <w:rPr>
          <w:rFonts w:hint="eastAsia" w:ascii="仿宋" w:hAnsi="仿宋" w:eastAsia="仿宋" w:cs="仿宋"/>
          <w:sz w:val="24"/>
          <w:szCs w:val="24"/>
          <w:highlight w:val="none"/>
        </w:rPr>
        <w:t>；</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(5）工程量清单；</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(6）技术标准及要求；</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(7）竞争性磋商响应文件格式。</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根据本章第1.10 款和第2.2 款对竞争性磋商文件所作的澄清、修改，构成竞争性磋商文件的组成部分。</w:t>
      </w:r>
    </w:p>
    <w:p>
      <w:pPr>
        <w:pStyle w:val="6"/>
        <w:ind w:firstLine="482" w:firstLineChars="200"/>
        <w:rPr>
          <w:rFonts w:ascii="仿宋" w:hAnsi="仿宋" w:eastAsia="仿宋" w:cs="仿宋"/>
          <w:highlight w:val="none"/>
        </w:rPr>
      </w:pPr>
      <w:bookmarkStart w:id="88" w:name="_Toc4089"/>
      <w:bookmarkStart w:id="89" w:name="_Toc22898"/>
      <w:bookmarkStart w:id="90" w:name="_Toc27529"/>
      <w:r>
        <w:rPr>
          <w:rFonts w:hint="eastAsia" w:ascii="仿宋" w:hAnsi="仿宋" w:eastAsia="仿宋" w:cs="仿宋"/>
          <w:highlight w:val="none"/>
        </w:rPr>
        <w:t>2.2 竞争性磋商文件的澄清及修改</w:t>
      </w:r>
      <w:bookmarkEnd w:id="88"/>
      <w:bookmarkEnd w:id="89"/>
      <w:bookmarkEnd w:id="90"/>
    </w:p>
    <w:p>
      <w:pPr>
        <w:spacing w:line="360" w:lineRule="auto"/>
        <w:ind w:firstLine="480" w:firstLineChars="200"/>
        <w:rPr>
          <w:rFonts w:ascii="仿宋" w:hAnsi="仿宋" w:eastAsia="仿宋" w:cs="仿宋"/>
          <w:sz w:val="24"/>
          <w:szCs w:val="24"/>
          <w:highlight w:val="none"/>
        </w:rPr>
      </w:pPr>
      <w:bookmarkStart w:id="91" w:name="_Toc420591645"/>
      <w:bookmarkStart w:id="92" w:name="_Toc421778367"/>
      <w:bookmarkStart w:id="93" w:name="_Toc425240466"/>
      <w:r>
        <w:rPr>
          <w:rFonts w:hint="eastAsia" w:ascii="仿宋" w:hAnsi="仿宋" w:eastAsia="仿宋" w:cs="仿宋"/>
          <w:sz w:val="24"/>
          <w:szCs w:val="24"/>
          <w:highlight w:val="none"/>
        </w:rPr>
        <w:t>2.2.1在磋商响应文件截止时间前，采购代理机构可以视采购具体情况，延长竞争性磋商响应文件递交截止时间和磋商时间并在财政部门指定的媒体上发布变更公告，同时将变更时间书面通知所有获取竞争性磋商文件的供应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2.2.2采购代理机构如果对已发出的竞争性磋商文件进行必要的澄清或者修改，澄清或者修改的内容可能影响响应文件编制的，采购人、采购代理机构应当竞争性磋商文件要求提交竞争性磋商响应文件截止时间5日前，以书面形式通知所有获取竞争性磋商文件的供应商。不足5日的，应当顺延提交响应文件截止时间。该澄清或者修改的内容为竞争性磋商文件的组成部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2.2.3已经获取竞争性磋商文件的供应商对竞争性磋商文件有疑问的，均应在磋商截止日期3日前以书面形式向采购代理机构提出。采购代理机构视情况必要时将书面答复传送给所有获取竞争性磋商文件的供应商。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2.2.4供应商在收到上述通知后，应立即向采购代理机构回函确认。</w:t>
      </w:r>
    </w:p>
    <w:p>
      <w:pPr>
        <w:pStyle w:val="5"/>
        <w:spacing w:before="20" w:after="20" w:line="360" w:lineRule="auto"/>
        <w:jc w:val="both"/>
        <w:rPr>
          <w:rFonts w:ascii="仿宋" w:hAnsi="仿宋" w:eastAsia="仿宋" w:cs="仿宋"/>
          <w:sz w:val="24"/>
          <w:szCs w:val="24"/>
          <w:highlight w:val="none"/>
        </w:rPr>
      </w:pPr>
      <w:bookmarkStart w:id="94" w:name="_Toc25028"/>
      <w:bookmarkStart w:id="95" w:name="_Toc11433"/>
      <w:bookmarkStart w:id="96" w:name="_Toc23345"/>
      <w:bookmarkStart w:id="97" w:name="_Toc17085"/>
      <w:r>
        <w:rPr>
          <w:rFonts w:hint="eastAsia" w:ascii="仿宋" w:hAnsi="仿宋" w:eastAsia="仿宋" w:cs="仿宋"/>
          <w:sz w:val="24"/>
          <w:szCs w:val="24"/>
          <w:highlight w:val="none"/>
        </w:rPr>
        <w:t>3</w:t>
      </w:r>
      <w:bookmarkEnd w:id="91"/>
      <w:bookmarkEnd w:id="92"/>
      <w:bookmarkEnd w:id="93"/>
      <w:r>
        <w:rPr>
          <w:rFonts w:hint="eastAsia" w:ascii="仿宋" w:hAnsi="仿宋" w:eastAsia="仿宋" w:cs="仿宋"/>
          <w:sz w:val="24"/>
          <w:szCs w:val="24"/>
          <w:highlight w:val="none"/>
        </w:rPr>
        <w:t>、竞争性磋商响应文件</w:t>
      </w:r>
      <w:bookmarkEnd w:id="94"/>
      <w:bookmarkEnd w:id="95"/>
      <w:bookmarkEnd w:id="96"/>
      <w:bookmarkEnd w:id="97"/>
    </w:p>
    <w:p>
      <w:pPr>
        <w:pStyle w:val="6"/>
        <w:ind w:firstLine="482" w:firstLineChars="200"/>
        <w:rPr>
          <w:rFonts w:ascii="仿宋" w:hAnsi="仿宋" w:eastAsia="仿宋" w:cs="仿宋"/>
          <w:highlight w:val="none"/>
        </w:rPr>
      </w:pPr>
      <w:bookmarkStart w:id="98" w:name="_Toc19518"/>
      <w:bookmarkStart w:id="99" w:name="_Toc24677"/>
      <w:bookmarkStart w:id="100" w:name="_Toc7333"/>
      <w:r>
        <w:rPr>
          <w:rFonts w:hint="eastAsia" w:ascii="仿宋" w:hAnsi="仿宋" w:eastAsia="仿宋" w:cs="仿宋"/>
          <w:highlight w:val="none"/>
        </w:rPr>
        <w:t>3.1 竞争性磋商响应文件及竞争性磋商响应文件电子版的要求</w:t>
      </w:r>
      <w:bookmarkEnd w:id="98"/>
      <w:bookmarkEnd w:id="99"/>
      <w:bookmarkEnd w:id="100"/>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3.1.1 竞争性磋商响应文件应包括下列内容：</w:t>
      </w:r>
    </w:p>
    <w:p>
      <w:pPr>
        <w:spacing w:line="360" w:lineRule="auto"/>
        <w:ind w:firstLine="482" w:firstLineChars="200"/>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第一部分    商务标</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一、磋商响应函</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二、报价一览表</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三、法定代表人身份证明</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四、法人授权委托书</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五、商务响应与说明</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、承诺书</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、竞争性磋商文件要求的其他文件或承诺</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 xml:space="preserve">、其他可以证明供应商实力的文件   </w:t>
      </w:r>
    </w:p>
    <w:p>
      <w:pPr>
        <w:spacing w:line="360" w:lineRule="auto"/>
        <w:ind w:firstLine="482" w:firstLineChars="200"/>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第二部分    技术标</w:t>
      </w:r>
    </w:p>
    <w:p>
      <w:pPr>
        <w:spacing w:line="360" w:lineRule="auto"/>
        <w:ind w:firstLine="482" w:firstLineChars="200"/>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第三部分    资格标</w:t>
      </w:r>
    </w:p>
    <w:p>
      <w:pPr>
        <w:spacing w:line="360" w:lineRule="auto"/>
        <w:ind w:firstLine="480" w:firstLineChars="200"/>
        <w:jc w:val="left"/>
        <w:rPr>
          <w:rFonts w:ascii="仿宋" w:hAnsi="仿宋" w:eastAsia="仿宋" w:cs="仿宋"/>
          <w:b/>
          <w:bCs/>
          <w:sz w:val="24"/>
          <w:szCs w:val="24"/>
          <w:highlight w:val="none"/>
        </w:rPr>
      </w:pPr>
      <w:r>
        <w:rPr>
          <w:rFonts w:hint="eastAsia" w:ascii="仿宋" w:hAnsi="仿宋" w:eastAsia="仿宋" w:cs="仿宋"/>
          <w:sz w:val="24"/>
          <w:szCs w:val="24"/>
          <w:highlight w:val="none"/>
        </w:rPr>
        <w:t>一、供应商的基本情况介绍和资格声明</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二、供应商资格证明文件</w:t>
      </w:r>
    </w:p>
    <w:p>
      <w:pPr>
        <w:pStyle w:val="6"/>
        <w:ind w:firstLine="482" w:firstLineChars="200"/>
        <w:rPr>
          <w:rFonts w:ascii="仿宋" w:hAnsi="仿宋" w:eastAsia="仿宋" w:cs="仿宋"/>
          <w:highlight w:val="none"/>
        </w:rPr>
      </w:pPr>
      <w:bookmarkStart w:id="101" w:name="_Toc26161"/>
      <w:bookmarkStart w:id="102" w:name="_Toc636"/>
      <w:bookmarkStart w:id="103" w:name="_Toc18888"/>
      <w:r>
        <w:rPr>
          <w:rFonts w:hint="eastAsia" w:ascii="仿宋" w:hAnsi="仿宋" w:eastAsia="仿宋" w:cs="仿宋"/>
          <w:highlight w:val="none"/>
        </w:rPr>
        <w:t>3.2 磋商报价</w:t>
      </w:r>
      <w:bookmarkEnd w:id="101"/>
      <w:bookmarkEnd w:id="102"/>
      <w:bookmarkEnd w:id="103"/>
    </w:p>
    <w:p>
      <w:pPr>
        <w:spacing w:line="360" w:lineRule="auto"/>
        <w:ind w:firstLine="496" w:firstLineChars="207"/>
        <w:rPr>
          <w:rFonts w:ascii="仿宋" w:hAnsi="仿宋" w:eastAsia="仿宋" w:cs="仿宋"/>
          <w:sz w:val="24"/>
          <w:szCs w:val="24"/>
          <w:highlight w:val="none"/>
        </w:rPr>
      </w:pPr>
      <w:r>
        <w:rPr>
          <w:rFonts w:hint="eastAsia" w:ascii="仿宋" w:hAnsi="仿宋" w:eastAsia="仿宋" w:cs="仿宋"/>
          <w:sz w:val="24"/>
          <w:szCs w:val="24"/>
          <w:highlight w:val="none"/>
        </w:rPr>
        <w:t>3.2.1工程</w:t>
      </w:r>
      <w:r>
        <w:rPr>
          <w:rFonts w:hint="eastAsia" w:ascii="仿宋" w:hAnsi="仿宋" w:eastAsia="仿宋" w:cs="仿宋"/>
          <w:sz w:val="24"/>
          <w:szCs w:val="24"/>
          <w:highlight w:val="none"/>
          <w:lang w:val="en-US" w:eastAsia="zh-CN"/>
        </w:rPr>
        <w:t>报价方式</w:t>
      </w:r>
      <w:r>
        <w:rPr>
          <w:rFonts w:hint="eastAsia" w:ascii="仿宋" w:hAnsi="仿宋" w:eastAsia="仿宋" w:cs="仿宋"/>
          <w:sz w:val="24"/>
          <w:szCs w:val="24"/>
          <w:highlight w:val="none"/>
        </w:rPr>
        <w:t>：见供应商须知前附表。</w:t>
      </w:r>
    </w:p>
    <w:p>
      <w:pPr>
        <w:spacing w:line="360" w:lineRule="auto"/>
        <w:ind w:firstLine="496" w:firstLineChars="207"/>
        <w:rPr>
          <w:rFonts w:ascii="仿宋" w:hAnsi="仿宋" w:eastAsia="仿宋" w:cs="仿宋"/>
          <w:sz w:val="24"/>
          <w:szCs w:val="24"/>
          <w:highlight w:val="none"/>
        </w:rPr>
      </w:pPr>
      <w:r>
        <w:rPr>
          <w:rFonts w:hint="eastAsia" w:ascii="仿宋" w:hAnsi="仿宋" w:eastAsia="仿宋" w:cs="仿宋"/>
          <w:sz w:val="24"/>
          <w:szCs w:val="24"/>
          <w:highlight w:val="none"/>
        </w:rPr>
        <w:t>3.2.2 供应商应按第五章“工程量清单”的要求填写。</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3.2.3磋商报价应按照施工图纸、工程量清单、补充通知、答疑纪要、合同条款、施工现场实际情况、拟定的施工方案或施工组织设计的相关内容及要求，并在满足竞争性磋商文件要求的前提下，结合企业自身技术力量、设备装备水平、企业管理水平、市场价格行情自主报价。组价时应充分考虑相关费用在施工期间的政策调整、市场变动幅度、自然灾害、停电、停水、停工、窝工、施工现场条件及施工过程中发生的不可预见的风险因素，成交后综合单价不可作调整。</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3.2.4</w:t>
      </w:r>
      <w:bookmarkStart w:id="104" w:name="OLE_LINK44"/>
      <w:r>
        <w:rPr>
          <w:rFonts w:hint="eastAsia" w:ascii="仿宋" w:hAnsi="仿宋" w:eastAsia="仿宋" w:cs="仿宋"/>
          <w:sz w:val="24"/>
          <w:szCs w:val="24"/>
          <w:highlight w:val="none"/>
        </w:rPr>
        <w:t>本工程开工日期约为2022年10月，磋商组价时应妥善考虑，正式施工时固定综合单价不因国家法律、行政法规和国家政策变化及原材料市场价发生变化等进行调整。</w:t>
      </w:r>
    </w:p>
    <w:bookmarkEnd w:id="104"/>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3.2.</w:t>
      </w:r>
      <w:bookmarkStart w:id="105" w:name="OLE_LINK24"/>
      <w:r>
        <w:rPr>
          <w:rFonts w:hint="eastAsia" w:ascii="仿宋" w:hAnsi="仿宋" w:eastAsia="仿宋" w:cs="仿宋"/>
          <w:sz w:val="24"/>
          <w:szCs w:val="24"/>
          <w:highlight w:val="none"/>
        </w:rPr>
        <w:t>5供应商应按竞争性磋商文件中提供的工程量清单数量进行计价，不得修改清单工程量。</w:t>
      </w:r>
    </w:p>
    <w:bookmarkEnd w:id="105"/>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3.2.6除非采购人或采购代理机构对竞争性磋商文件予以修改，供应商应按本竞争性磋商文件要求填报单价和合价。每一分项工程只允许有一个报价，任何有选择的报价将不予接受。供应商未填单价或合价的分项工程（零报价），视为该项费用已包括在其他价款的单价或合价内，并在工程实施后，采购人将不予支付，承包人必须按发包人代表指令完成工程量清单中未填入单价或合价的工程分项；若供应商未填单价或合价的工程分项在实施中发生变更，无论变更增加或减少均按合同约定执行而且必须无条件执行发包人发出的变更通知。</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3.2.7供应商应先到工地踏勘以充分了解项目位置、现状、道路、储存空间、装卸限制及任何其他足以影响磋商价的情况，任何因供应商忽视或误解工地情况而导致的其提出的任何索赔或工期延长申请将不被批准。凡因供应商对竞争性磋商文件阅读疏忽或误解，或因对施工现场、施工环境、市场行情等了解不清而造成的后果和风险，均由供应商负责。</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3.2.8编制磋商报价的其他约定</w:t>
      </w:r>
    </w:p>
    <w:p>
      <w:pPr>
        <w:spacing w:line="360" w:lineRule="auto"/>
        <w:ind w:firstLine="480" w:firstLineChars="200"/>
        <w:rPr>
          <w:rFonts w:ascii="仿宋" w:hAnsi="仿宋" w:eastAsia="仿宋" w:cs="仿宋"/>
          <w:sz w:val="24"/>
          <w:szCs w:val="24"/>
          <w:highlight w:val="none"/>
        </w:rPr>
      </w:pPr>
      <w:bookmarkStart w:id="106" w:name="OLE_LINK21"/>
      <w:r>
        <w:rPr>
          <w:rFonts w:hint="eastAsia" w:ascii="仿宋" w:hAnsi="仿宋" w:eastAsia="仿宋" w:cs="仿宋"/>
          <w:sz w:val="24"/>
          <w:szCs w:val="24"/>
          <w:highlight w:val="none"/>
        </w:rPr>
        <w:t>3.2.8.</w:t>
      </w:r>
      <w:bookmarkEnd w:id="106"/>
      <w:r>
        <w:rPr>
          <w:rFonts w:hint="eastAsia" w:ascii="仿宋" w:hAnsi="仿宋" w:eastAsia="仿宋" w:cs="仿宋"/>
          <w:sz w:val="24"/>
          <w:szCs w:val="24"/>
          <w:highlight w:val="none"/>
        </w:rPr>
        <w:t>1供应商根据自行确定的施工组织设计或施工方案进行自主报价。</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3.2.8.2供应商应针对拟建工程编制保证安全施工、文明施工和环境保护的技术措施方案，并按竞争性磋商文件的措施项目清单提供的数量报价。</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3.2.8.3规费、税金为不可竞争费，供应商不可随意改动，按规定标准计取。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3.2.8.4供应商因承包本合同工程需缴纳的一切税费均由供应商自行承担，并包含在所报的单价或总价内。</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3.2.8.5供应商应为建设工程和施工场地内自有人员及第三方人员生命财产及运至施工场地内用于工程的材料和待安装设备办理保险，供应商的磋商价中应含的保险费，承包人装备险和承包人职工的（人身）事故险由供应商在其他项目清单保险费栏内自主列报，成交后包干使用。施工期间在施工区域内因非采购人原因发生的设备、材料、人员等的损害、伤害，采购人不再承担任何责任和费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3.2.8.6磋商报价中的总价要与综合单价相对应。所有工程量清单每个项目报价中的单价乘以工程量必须等于该项合价，合价累计必须等于合计。</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3.2.8.7磋商响应函中的磋商报价应与“磋商总价”表中的磋商总价数字相符，不允许在竞争性磋商响应文件中出现两个报价。任何有选择的报价将不予接受,否则按无效磋商处理。</w:t>
      </w:r>
      <w:bookmarkStart w:id="107" w:name="OLE_LINK114"/>
      <w:bookmarkStart w:id="108" w:name="OLE_LINK64"/>
      <w:bookmarkStart w:id="109" w:name="OLE_LINK113"/>
      <w:bookmarkStart w:id="110" w:name="OLE_LINK63"/>
      <w:bookmarkStart w:id="111" w:name="OLE_LINK20"/>
      <w:bookmarkStart w:id="112" w:name="OLE_LINK74"/>
    </w:p>
    <w:bookmarkEnd w:id="107"/>
    <w:bookmarkEnd w:id="108"/>
    <w:bookmarkEnd w:id="109"/>
    <w:bookmarkEnd w:id="110"/>
    <w:bookmarkEnd w:id="111"/>
    <w:bookmarkEnd w:id="112"/>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3.2.9供应商报价应包含招标代理服务费，招标代理服务费按国家计委颁发的《招标代理服务收费管理暂行办法》（计价格[2002]1980号）和国家发展改革委员会办公厅颁发的《关于招标代理服务收费有关问题的通知》（发改办价格[2003]857号）的有关标准执行。</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3.2.10本项目采购预算及最高限价：详见磋商公告。凡磋商总报价高于采购预算的将被视为无效磋商处理，不再参与后续评审。</w:t>
      </w:r>
    </w:p>
    <w:p>
      <w:pPr>
        <w:pStyle w:val="6"/>
        <w:ind w:firstLine="482" w:firstLineChars="200"/>
        <w:rPr>
          <w:rFonts w:ascii="仿宋" w:hAnsi="仿宋" w:eastAsia="仿宋" w:cs="仿宋"/>
          <w:highlight w:val="none"/>
        </w:rPr>
      </w:pPr>
      <w:bookmarkStart w:id="113" w:name="_Toc10049"/>
      <w:bookmarkStart w:id="114" w:name="_Toc6589"/>
      <w:bookmarkStart w:id="115" w:name="_Toc4926"/>
      <w:r>
        <w:rPr>
          <w:rFonts w:hint="eastAsia" w:ascii="仿宋" w:hAnsi="仿宋" w:eastAsia="仿宋" w:cs="仿宋"/>
          <w:highlight w:val="none"/>
        </w:rPr>
        <w:t>3.3 磋商有效期</w:t>
      </w:r>
      <w:bookmarkEnd w:id="113"/>
      <w:bookmarkEnd w:id="114"/>
      <w:bookmarkEnd w:id="115"/>
    </w:p>
    <w:p>
      <w:pPr>
        <w:spacing w:line="360" w:lineRule="auto"/>
        <w:ind w:firstLine="480" w:firstLineChars="200"/>
        <w:rPr>
          <w:rFonts w:ascii="仿宋" w:hAnsi="仿宋" w:eastAsia="仿宋" w:cs="仿宋"/>
          <w:sz w:val="24"/>
          <w:szCs w:val="24"/>
          <w:highlight w:val="none"/>
        </w:rPr>
      </w:pPr>
      <w:bookmarkStart w:id="116" w:name="OLE_LINK4"/>
      <w:r>
        <w:rPr>
          <w:rFonts w:hint="eastAsia" w:ascii="仿宋" w:hAnsi="仿宋" w:eastAsia="仿宋" w:cs="仿宋"/>
          <w:sz w:val="24"/>
          <w:szCs w:val="24"/>
          <w:highlight w:val="none"/>
        </w:rPr>
        <w:t>3.3.1磋商响应文件应在“供应商须知前附表”中规定的期限内保持有效。磋商有效期不满足规定有效期的磋商响应文件将被视为非响应性磋商而予以拒绝。</w:t>
      </w:r>
      <w:bookmarkEnd w:id="116"/>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3.3.2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3.4条有关磋商保证金的退还和没收的规定将在延长了的有效期内继续有效。</w:t>
      </w:r>
    </w:p>
    <w:p>
      <w:pPr>
        <w:pStyle w:val="6"/>
        <w:ind w:firstLine="482" w:firstLineChars="200"/>
        <w:rPr>
          <w:rFonts w:ascii="仿宋" w:hAnsi="仿宋" w:eastAsia="仿宋" w:cs="仿宋"/>
          <w:highlight w:val="none"/>
        </w:rPr>
      </w:pPr>
      <w:bookmarkStart w:id="117" w:name="_Toc11383"/>
      <w:bookmarkStart w:id="118" w:name="_Toc19442"/>
      <w:bookmarkStart w:id="119" w:name="_Toc30561"/>
      <w:r>
        <w:rPr>
          <w:rFonts w:hint="eastAsia" w:ascii="仿宋" w:hAnsi="仿宋" w:eastAsia="仿宋" w:cs="仿宋"/>
          <w:highlight w:val="none"/>
        </w:rPr>
        <w:t>3.4 磋商保证金</w:t>
      </w:r>
      <w:bookmarkEnd w:id="117"/>
      <w:bookmarkEnd w:id="118"/>
      <w:bookmarkEnd w:id="119"/>
    </w:p>
    <w:p>
      <w:pPr>
        <w:pStyle w:val="6"/>
        <w:ind w:firstLine="480" w:firstLineChars="200"/>
        <w:rPr>
          <w:rFonts w:ascii="仿宋" w:hAnsi="仿宋" w:eastAsia="仿宋" w:cs="仿宋"/>
          <w:b w:val="0"/>
          <w:bCs w:val="0"/>
          <w:highlight w:val="none"/>
        </w:rPr>
      </w:pPr>
      <w:bookmarkStart w:id="120" w:name="_Toc1889"/>
      <w:bookmarkStart w:id="121" w:name="_Toc19685"/>
      <w:bookmarkStart w:id="122" w:name="_Toc15304"/>
      <w:r>
        <w:rPr>
          <w:rFonts w:hint="eastAsia" w:ascii="仿宋" w:hAnsi="仿宋" w:eastAsia="仿宋" w:cs="仿宋"/>
          <w:b w:val="0"/>
          <w:bCs w:val="0"/>
          <w:highlight w:val="none"/>
        </w:rPr>
        <w:t>3.4.1本项目不要求提交磋商保证金。</w:t>
      </w:r>
      <w:bookmarkEnd w:id="120"/>
      <w:bookmarkEnd w:id="121"/>
      <w:bookmarkEnd w:id="122"/>
    </w:p>
    <w:p>
      <w:pPr>
        <w:pStyle w:val="6"/>
        <w:ind w:firstLine="482" w:firstLineChars="200"/>
        <w:rPr>
          <w:rFonts w:ascii="仿宋" w:hAnsi="仿宋" w:eastAsia="仿宋" w:cs="仿宋"/>
          <w:highlight w:val="none"/>
        </w:rPr>
      </w:pPr>
      <w:bookmarkStart w:id="123" w:name="_Toc14108"/>
      <w:bookmarkStart w:id="124" w:name="_Toc21205"/>
      <w:bookmarkStart w:id="125" w:name="_Toc11220"/>
      <w:r>
        <w:rPr>
          <w:rFonts w:hint="eastAsia" w:ascii="仿宋" w:hAnsi="仿宋" w:eastAsia="仿宋" w:cs="仿宋"/>
          <w:highlight w:val="none"/>
        </w:rPr>
        <w:t>3.5备选磋商方案</w:t>
      </w:r>
      <w:bookmarkEnd w:id="123"/>
      <w:bookmarkEnd w:id="124"/>
      <w:bookmarkEnd w:id="125"/>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除供应商须知前附表另有规定外，供应商不得递交备选磋商方案。</w:t>
      </w:r>
    </w:p>
    <w:p>
      <w:pPr>
        <w:pStyle w:val="6"/>
        <w:ind w:firstLine="482" w:firstLineChars="200"/>
        <w:rPr>
          <w:rFonts w:ascii="仿宋" w:hAnsi="仿宋" w:eastAsia="仿宋" w:cs="仿宋"/>
          <w:highlight w:val="none"/>
        </w:rPr>
      </w:pPr>
      <w:bookmarkStart w:id="126" w:name="_Toc11313"/>
      <w:bookmarkStart w:id="127" w:name="_Toc25628"/>
      <w:bookmarkStart w:id="128" w:name="_Toc17119"/>
      <w:r>
        <w:rPr>
          <w:rFonts w:hint="eastAsia" w:ascii="仿宋" w:hAnsi="仿宋" w:eastAsia="仿宋" w:cs="仿宋"/>
          <w:highlight w:val="none"/>
        </w:rPr>
        <w:t>3.6竞争性磋商响应文件的编制</w:t>
      </w:r>
      <w:bookmarkEnd w:id="126"/>
      <w:bookmarkEnd w:id="127"/>
      <w:bookmarkEnd w:id="128"/>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3.6.1 竞争性磋商响应文件应按“竞争性磋商响应文件格式”进行编写，如有必要，可以增加附页，作为竞争性磋商响应文件的组成部分。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3.6.2 竞争性磋商响应文件应当对竞争性磋商文件有关工期、磋商有效期、质量要求、技术标准和要求、招标范围等实质性内容作出响应。</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3.6.3 竞争性磋商响应文件应用不褪色的材料书写或打印，并由供应商的法定代表人或其委托代理人签字或盖章。委托代理人签字的，竞争性磋商响应文件应附法定代表人签署的授权委托书。竞争性磋商响应文件应尽量避免涂改、行间插字或删除。如果出现上述情况，改动之处应加盖供应商公章或由供应商的法定代表人或其授权的代理人签字确认。所有要求签字（名）处，均须由签字（名）者本人用不褪色的蓝(黑)色墨水(汁)书写，不得用任何形式的图章代替。</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3.6.4 竞争性磋商响应文件正本、副本、电子版、报价一览表份数及要求见“供应商须知前附表”。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3.6.5 所有竞争性磋商响应文件正本和副本须按</w:t>
      </w:r>
      <w:r>
        <w:rPr>
          <w:rFonts w:hint="eastAsia" w:ascii="仿宋" w:hAnsi="仿宋" w:eastAsia="仿宋" w:cs="仿宋"/>
          <w:color w:val="FF0000"/>
          <w:sz w:val="24"/>
          <w:szCs w:val="24"/>
          <w:highlight w:val="none"/>
        </w:rPr>
        <w:t>第七章</w:t>
      </w:r>
      <w:r>
        <w:rPr>
          <w:rFonts w:hint="eastAsia" w:ascii="仿宋" w:hAnsi="仿宋" w:eastAsia="仿宋" w:cs="仿宋"/>
          <w:sz w:val="24"/>
          <w:szCs w:val="24"/>
          <w:highlight w:val="none"/>
        </w:rPr>
        <w:t>规定的顺序编排、编制目录逐页标注连续页码，并分别胶装成册。</w:t>
      </w:r>
    </w:p>
    <w:p>
      <w:pPr>
        <w:pStyle w:val="5"/>
        <w:spacing w:before="0" w:after="0" w:line="360" w:lineRule="auto"/>
        <w:rPr>
          <w:rFonts w:ascii="仿宋" w:hAnsi="仿宋" w:eastAsia="仿宋" w:cs="仿宋"/>
          <w:sz w:val="24"/>
          <w:szCs w:val="24"/>
          <w:highlight w:val="none"/>
        </w:rPr>
      </w:pPr>
      <w:bookmarkStart w:id="129" w:name="_Toc425240467"/>
      <w:bookmarkStart w:id="130" w:name="_Toc421778368"/>
      <w:bookmarkStart w:id="131" w:name="_Toc420591646"/>
      <w:bookmarkStart w:id="132" w:name="_Toc3586"/>
      <w:bookmarkStart w:id="133" w:name="_Toc24655"/>
      <w:bookmarkStart w:id="134" w:name="_Toc15054"/>
      <w:r>
        <w:rPr>
          <w:rFonts w:hint="eastAsia" w:ascii="仿宋" w:hAnsi="仿宋" w:eastAsia="仿宋" w:cs="仿宋"/>
          <w:sz w:val="24"/>
          <w:szCs w:val="24"/>
          <w:highlight w:val="none"/>
        </w:rPr>
        <w:t>4</w:t>
      </w:r>
      <w:bookmarkEnd w:id="129"/>
      <w:bookmarkEnd w:id="130"/>
      <w:bookmarkEnd w:id="131"/>
      <w:r>
        <w:rPr>
          <w:rFonts w:hint="eastAsia" w:ascii="仿宋" w:hAnsi="仿宋" w:eastAsia="仿宋" w:cs="仿宋"/>
          <w:sz w:val="24"/>
          <w:szCs w:val="24"/>
          <w:highlight w:val="none"/>
        </w:rPr>
        <w:t>、磋商</w:t>
      </w:r>
      <w:bookmarkEnd w:id="132"/>
      <w:bookmarkEnd w:id="133"/>
      <w:bookmarkEnd w:id="134"/>
    </w:p>
    <w:p>
      <w:pPr>
        <w:pStyle w:val="6"/>
        <w:ind w:firstLine="482" w:firstLineChars="200"/>
        <w:rPr>
          <w:rFonts w:ascii="仿宋" w:hAnsi="仿宋" w:eastAsia="仿宋" w:cs="仿宋"/>
          <w:highlight w:val="none"/>
        </w:rPr>
      </w:pPr>
      <w:bookmarkStart w:id="135" w:name="_Toc9925"/>
      <w:bookmarkStart w:id="136" w:name="_Toc655"/>
      <w:bookmarkStart w:id="137" w:name="_Toc9729"/>
      <w:r>
        <w:rPr>
          <w:rFonts w:hint="eastAsia" w:ascii="仿宋" w:hAnsi="仿宋" w:eastAsia="仿宋" w:cs="仿宋"/>
          <w:highlight w:val="none"/>
        </w:rPr>
        <w:t>4.1 竞争性磋商响应文件的密封和标记</w:t>
      </w:r>
      <w:bookmarkEnd w:id="135"/>
      <w:bookmarkEnd w:id="136"/>
      <w:bookmarkEnd w:id="137"/>
    </w:p>
    <w:p>
      <w:pPr>
        <w:spacing w:line="360" w:lineRule="auto"/>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 xml:space="preserve"> 4.1.1竞争性磋商响应文件的密封：竞争性磋商响应文件须胶装成套且须用密封袋密封，包括竞争性磋商响应文件正本、副本、电子版，报价一览表（供应商需另外单独准备一份与正本内容一致的报价一览表）须单独分别密封，若不一致，则按单独密封的报价一览表为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4.1.2竞争性磋商响应文件密封要求见投标人须知前附表。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4.1.3封套要求见供应商须知前附表。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4.1.4如果供应商未对竞争性磋商响应文件按上述要求进行完好密封，由此产生的不利后果由供应商自行承担。</w:t>
      </w:r>
    </w:p>
    <w:p>
      <w:pPr>
        <w:pStyle w:val="6"/>
        <w:ind w:firstLine="482" w:firstLineChars="200"/>
        <w:rPr>
          <w:rFonts w:ascii="仿宋" w:hAnsi="仿宋" w:eastAsia="仿宋" w:cs="仿宋"/>
          <w:highlight w:val="none"/>
        </w:rPr>
      </w:pPr>
      <w:bookmarkStart w:id="138" w:name="_Toc27607"/>
      <w:bookmarkStart w:id="139" w:name="_Toc6746"/>
      <w:bookmarkStart w:id="140" w:name="_Toc1707"/>
      <w:r>
        <w:rPr>
          <w:rFonts w:hint="eastAsia" w:ascii="仿宋" w:hAnsi="仿宋" w:eastAsia="仿宋" w:cs="仿宋"/>
          <w:highlight w:val="none"/>
        </w:rPr>
        <w:t>4.2 竞争性磋商响应文件的递交</w:t>
      </w:r>
      <w:bookmarkEnd w:id="138"/>
      <w:bookmarkEnd w:id="139"/>
      <w:bookmarkEnd w:id="140"/>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4.2.1 供应商应在供应商须知前附表第4.2.2 项规定的磋商截止时间前递交竞争性磋商响应文件。</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4.2.2 供应商递交竞争性磋商响应文件的地点：见供应商须知前附表。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4.2.3 供应商所递交的竞争性磋商响应文件不予退还。</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4.2.4逾期送达的或者未送达指定地点的竞争性磋商响应文件，采购代理机构不予受理。</w:t>
      </w:r>
    </w:p>
    <w:p>
      <w:pPr>
        <w:pStyle w:val="6"/>
        <w:ind w:firstLine="482" w:firstLineChars="200"/>
        <w:rPr>
          <w:rFonts w:ascii="仿宋" w:hAnsi="仿宋" w:eastAsia="仿宋" w:cs="仿宋"/>
          <w:highlight w:val="none"/>
        </w:rPr>
      </w:pPr>
      <w:bookmarkStart w:id="141" w:name="_Toc24519"/>
      <w:bookmarkStart w:id="142" w:name="_Toc20153"/>
      <w:bookmarkStart w:id="143" w:name="_Toc23652"/>
      <w:r>
        <w:rPr>
          <w:rFonts w:hint="eastAsia" w:ascii="仿宋" w:hAnsi="仿宋" w:eastAsia="仿宋" w:cs="仿宋"/>
          <w:highlight w:val="none"/>
        </w:rPr>
        <w:t>4.3 竞争性磋商响应文件的修改与撤回</w:t>
      </w:r>
      <w:bookmarkEnd w:id="141"/>
      <w:bookmarkEnd w:id="142"/>
      <w:bookmarkEnd w:id="143"/>
    </w:p>
    <w:p>
      <w:pPr>
        <w:spacing w:line="360" w:lineRule="auto"/>
        <w:ind w:firstLine="480" w:firstLineChars="200"/>
        <w:rPr>
          <w:rFonts w:ascii="仿宋" w:hAnsi="仿宋" w:eastAsia="仿宋" w:cs="仿宋"/>
          <w:sz w:val="24"/>
          <w:szCs w:val="24"/>
          <w:highlight w:val="none"/>
        </w:rPr>
      </w:pPr>
      <w:bookmarkStart w:id="144" w:name="_Toc425240468"/>
      <w:bookmarkStart w:id="145" w:name="_Toc420591647"/>
      <w:bookmarkStart w:id="146" w:name="_Toc421778369"/>
      <w:r>
        <w:rPr>
          <w:rFonts w:hint="eastAsia" w:ascii="仿宋" w:hAnsi="仿宋" w:eastAsia="仿宋" w:cs="仿宋"/>
          <w:sz w:val="24"/>
          <w:szCs w:val="24"/>
          <w:highlight w:val="none"/>
        </w:rPr>
        <w:t>4.3.1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4.3.2 供应商的修改或撤回或变动价格的通知应按本须知的规定编制、密封、标记和递交。</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4.3.3 在磋商截止时间之后，供应商不得对其竞争性磋商响应文件做任何修改或撤回。</w:t>
      </w:r>
    </w:p>
    <w:p>
      <w:pPr>
        <w:pStyle w:val="5"/>
        <w:spacing w:before="0" w:after="0" w:line="360" w:lineRule="auto"/>
        <w:rPr>
          <w:rFonts w:ascii="仿宋" w:hAnsi="仿宋" w:eastAsia="仿宋" w:cs="仿宋"/>
          <w:sz w:val="24"/>
          <w:szCs w:val="24"/>
          <w:highlight w:val="none"/>
        </w:rPr>
      </w:pPr>
      <w:bookmarkStart w:id="147" w:name="_Toc6222"/>
      <w:bookmarkStart w:id="148" w:name="_Toc32122"/>
      <w:bookmarkStart w:id="149" w:name="_Toc16895"/>
      <w:r>
        <w:rPr>
          <w:rFonts w:hint="eastAsia" w:ascii="仿宋" w:hAnsi="仿宋" w:eastAsia="仿宋" w:cs="仿宋"/>
          <w:sz w:val="24"/>
          <w:szCs w:val="24"/>
          <w:highlight w:val="none"/>
        </w:rPr>
        <w:t>5</w:t>
      </w:r>
      <w:bookmarkEnd w:id="144"/>
      <w:bookmarkEnd w:id="145"/>
      <w:bookmarkEnd w:id="146"/>
      <w:r>
        <w:rPr>
          <w:rFonts w:hint="eastAsia" w:ascii="仿宋" w:hAnsi="仿宋" w:eastAsia="仿宋" w:cs="仿宋"/>
          <w:sz w:val="24"/>
          <w:szCs w:val="24"/>
          <w:highlight w:val="none"/>
        </w:rPr>
        <w:t>、磋商</w:t>
      </w:r>
      <w:bookmarkEnd w:id="147"/>
      <w:bookmarkEnd w:id="148"/>
      <w:bookmarkEnd w:id="149"/>
    </w:p>
    <w:p>
      <w:pPr>
        <w:pStyle w:val="6"/>
        <w:ind w:firstLine="482" w:firstLineChars="200"/>
        <w:rPr>
          <w:rFonts w:ascii="仿宋" w:hAnsi="仿宋" w:eastAsia="仿宋" w:cs="仿宋"/>
          <w:highlight w:val="none"/>
        </w:rPr>
      </w:pPr>
      <w:bookmarkStart w:id="150" w:name="_Toc30229"/>
      <w:bookmarkStart w:id="151" w:name="_Toc30377"/>
      <w:bookmarkStart w:id="152" w:name="_Toc12030"/>
      <w:r>
        <w:rPr>
          <w:rFonts w:hint="eastAsia" w:ascii="仿宋" w:hAnsi="仿宋" w:eastAsia="仿宋" w:cs="仿宋"/>
          <w:highlight w:val="none"/>
        </w:rPr>
        <w:t>5.1 磋商时间和地点：见供应商须知前附表。</w:t>
      </w:r>
      <w:bookmarkEnd w:id="150"/>
      <w:bookmarkEnd w:id="151"/>
      <w:bookmarkEnd w:id="152"/>
    </w:p>
    <w:p>
      <w:pPr>
        <w:pStyle w:val="6"/>
        <w:ind w:firstLine="482" w:firstLineChars="200"/>
        <w:rPr>
          <w:rFonts w:ascii="仿宋" w:hAnsi="仿宋" w:eastAsia="仿宋" w:cs="仿宋"/>
          <w:highlight w:val="none"/>
        </w:rPr>
      </w:pPr>
      <w:bookmarkStart w:id="153" w:name="_Toc7354"/>
      <w:bookmarkStart w:id="154" w:name="_Toc10630"/>
      <w:bookmarkStart w:id="155" w:name="_Toc19215"/>
      <w:r>
        <w:rPr>
          <w:rFonts w:hint="eastAsia" w:ascii="仿宋" w:hAnsi="仿宋" w:eastAsia="仿宋" w:cs="仿宋"/>
          <w:highlight w:val="none"/>
        </w:rPr>
        <w:t>5.2磋商程序</w:t>
      </w:r>
      <w:bookmarkEnd w:id="153"/>
      <w:bookmarkEnd w:id="154"/>
      <w:bookmarkEnd w:id="155"/>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5.2.1主持人按下列程序进行磋商：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（1）宣布磋商项目名称及竞争性磋商响应文件接收截止时间，终止一切竞争性磋商响应文件的接收工作，并宣布磋商会议开始；</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（2）介绍采购人、采购代理机构、采购监督管理部门和采购工作人员；</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（3）宣布本项目供应商签到名单；</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（4）宣布磋商会议纪律；</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（5）按照供应商须知前附表规定检查竞争性磋商响应文件的密封情况；</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（6）在采购人（监标人）的监督下，将竞争性磋商响应文件送交磋商小组评审；</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（7）磋商会议结束。</w:t>
      </w:r>
    </w:p>
    <w:p>
      <w:pPr>
        <w:pStyle w:val="5"/>
        <w:spacing w:before="0" w:after="0" w:line="360" w:lineRule="auto"/>
        <w:rPr>
          <w:rFonts w:ascii="仿宋" w:hAnsi="仿宋" w:eastAsia="仿宋" w:cs="仿宋"/>
          <w:sz w:val="24"/>
          <w:szCs w:val="24"/>
          <w:highlight w:val="none"/>
        </w:rPr>
      </w:pPr>
      <w:bookmarkStart w:id="156" w:name="_Toc420591648"/>
      <w:bookmarkStart w:id="157" w:name="_Toc421778370"/>
      <w:bookmarkStart w:id="158" w:name="_Toc425240469"/>
      <w:bookmarkStart w:id="159" w:name="_Toc20432"/>
      <w:bookmarkStart w:id="160" w:name="_Toc16357"/>
      <w:bookmarkStart w:id="161" w:name="_Toc22691"/>
      <w:r>
        <w:rPr>
          <w:rFonts w:hint="eastAsia" w:ascii="仿宋" w:hAnsi="仿宋" w:eastAsia="仿宋" w:cs="仿宋"/>
          <w:sz w:val="24"/>
          <w:szCs w:val="24"/>
          <w:highlight w:val="none"/>
        </w:rPr>
        <w:t>6</w:t>
      </w:r>
      <w:bookmarkEnd w:id="156"/>
      <w:bookmarkEnd w:id="157"/>
      <w:bookmarkEnd w:id="158"/>
      <w:r>
        <w:rPr>
          <w:rFonts w:hint="eastAsia" w:ascii="仿宋" w:hAnsi="仿宋" w:eastAsia="仿宋" w:cs="仿宋"/>
          <w:sz w:val="24"/>
          <w:szCs w:val="24"/>
          <w:highlight w:val="none"/>
        </w:rPr>
        <w:t>、评审</w:t>
      </w:r>
      <w:bookmarkEnd w:id="159"/>
      <w:bookmarkEnd w:id="160"/>
      <w:bookmarkEnd w:id="161"/>
    </w:p>
    <w:p>
      <w:pPr>
        <w:pStyle w:val="6"/>
        <w:ind w:firstLine="482" w:firstLineChars="200"/>
        <w:rPr>
          <w:rFonts w:ascii="仿宋" w:hAnsi="仿宋" w:eastAsia="仿宋" w:cs="仿宋"/>
          <w:highlight w:val="none"/>
        </w:rPr>
      </w:pPr>
      <w:bookmarkStart w:id="162" w:name="_Toc4436"/>
      <w:bookmarkStart w:id="163" w:name="_Toc10707"/>
      <w:bookmarkStart w:id="164" w:name="_Toc19619"/>
      <w:r>
        <w:rPr>
          <w:rFonts w:hint="eastAsia" w:ascii="仿宋" w:hAnsi="仿宋" w:eastAsia="仿宋" w:cs="仿宋"/>
          <w:highlight w:val="none"/>
        </w:rPr>
        <w:t>6.1 磋商小组</w:t>
      </w:r>
      <w:bookmarkEnd w:id="162"/>
      <w:bookmarkEnd w:id="163"/>
      <w:bookmarkEnd w:id="164"/>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6.1.1评审由采购人依法组建的磋商小组负责。磋商小组组成：见供应商须知前附表。磋商小组按照竞争性磋商文件规定的评审方法独立进行评审工作。</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6.1.2磋商小组成员有下列情形之一的，应当回避：</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（1）参加采购活动前3年内与供应商存在劳动关系；</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（2）参加采购活动前3年内担任供应商的董事、监事；</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（3）参加采购活动前3年内是供应商的控股股东或者实际控制人；</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（4）与供应商的法定代表人或者负责人有夫妻、直系血亲、三代以内旁系血亲或者近姻亲关系；</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（5）与供应商有其他可能影响政府采购活动公平、公正进行的关系。</w:t>
      </w:r>
    </w:p>
    <w:p>
      <w:pPr>
        <w:pStyle w:val="6"/>
        <w:ind w:firstLine="482" w:firstLineChars="200"/>
        <w:rPr>
          <w:rFonts w:ascii="仿宋" w:hAnsi="仿宋" w:eastAsia="仿宋" w:cs="仿宋"/>
          <w:highlight w:val="none"/>
        </w:rPr>
      </w:pPr>
      <w:bookmarkStart w:id="165" w:name="_Toc11286"/>
      <w:bookmarkStart w:id="166" w:name="_Toc10798"/>
      <w:bookmarkStart w:id="167" w:name="_Toc16919"/>
      <w:r>
        <w:rPr>
          <w:rFonts w:hint="eastAsia" w:ascii="仿宋" w:hAnsi="仿宋" w:eastAsia="仿宋" w:cs="仿宋"/>
          <w:highlight w:val="none"/>
        </w:rPr>
        <w:t>6.2 评审原则</w:t>
      </w:r>
      <w:bookmarkEnd w:id="165"/>
      <w:bookmarkEnd w:id="166"/>
      <w:bookmarkEnd w:id="167"/>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评审活动遵循公平、公正、科学和择优的原则。</w:t>
      </w:r>
    </w:p>
    <w:p>
      <w:pPr>
        <w:pStyle w:val="6"/>
        <w:ind w:firstLine="482" w:firstLineChars="200"/>
        <w:rPr>
          <w:rFonts w:ascii="仿宋" w:hAnsi="仿宋" w:eastAsia="仿宋" w:cs="仿宋"/>
          <w:highlight w:val="none"/>
        </w:rPr>
      </w:pPr>
      <w:bookmarkStart w:id="168" w:name="_Toc21344"/>
      <w:bookmarkStart w:id="169" w:name="_Toc26702"/>
      <w:bookmarkStart w:id="170" w:name="_Toc2198"/>
      <w:r>
        <w:rPr>
          <w:rFonts w:hint="eastAsia" w:ascii="仿宋" w:hAnsi="仿宋" w:eastAsia="仿宋" w:cs="仿宋"/>
          <w:highlight w:val="none"/>
        </w:rPr>
        <w:t>6.3 评审</w:t>
      </w:r>
      <w:bookmarkEnd w:id="168"/>
      <w:bookmarkEnd w:id="169"/>
      <w:bookmarkEnd w:id="170"/>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6.3.1磋商小组按照第三章“评审方法”规定的方法、评审因素、标准和程序对磋商响应文件进行评审。第三章“评审方法”没有规定的方法、评审因素和标准，不作为评审依据。</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6.3.2评审过程的保密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（1）磋商小组成员和与评审活动有关的工作人员不得泄露有关竞争性磋商响应文件的评审和比较、成交候选人的推荐以及与评审有关的其他情况。</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（2）在磋商响应文件的评审、成交候选人推荐以及授予合同的过程中，供应商向采购人和磋商小组施加影响的任何行为，都将会导致其响应文件被拒绝直至取消其成交资格。</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（3）成交人确定后，采购人不对未成交供应商就评审过程以及未能成交的原因作出任何解释。未成交供应商不得向磋商小组组成人员或其他有关人员索问评审过程的情况和材料。</w:t>
      </w:r>
    </w:p>
    <w:p>
      <w:pPr>
        <w:pStyle w:val="5"/>
        <w:spacing w:before="20" w:after="20" w:line="360" w:lineRule="auto"/>
        <w:jc w:val="both"/>
        <w:rPr>
          <w:rFonts w:ascii="仿宋" w:hAnsi="仿宋" w:eastAsia="仿宋" w:cs="仿宋"/>
          <w:sz w:val="24"/>
          <w:szCs w:val="24"/>
          <w:highlight w:val="none"/>
        </w:rPr>
      </w:pPr>
      <w:bookmarkStart w:id="171" w:name="_Toc421778371"/>
      <w:bookmarkStart w:id="172" w:name="_Toc24455"/>
      <w:bookmarkStart w:id="173" w:name="_Toc425240470"/>
      <w:bookmarkStart w:id="174" w:name="_Toc3800"/>
      <w:bookmarkStart w:id="175" w:name="_Toc7920"/>
      <w:bookmarkStart w:id="176" w:name="_Toc420591649"/>
      <w:bookmarkStart w:id="177" w:name="_Toc27210"/>
      <w:r>
        <w:rPr>
          <w:rFonts w:hint="eastAsia" w:ascii="仿宋" w:hAnsi="仿宋" w:eastAsia="仿宋" w:cs="仿宋"/>
          <w:sz w:val="24"/>
          <w:szCs w:val="24"/>
          <w:highlight w:val="none"/>
        </w:rPr>
        <w:t>7、合同授予</w:t>
      </w:r>
      <w:bookmarkEnd w:id="171"/>
      <w:bookmarkEnd w:id="172"/>
      <w:bookmarkEnd w:id="173"/>
      <w:bookmarkEnd w:id="174"/>
      <w:bookmarkEnd w:id="175"/>
      <w:bookmarkEnd w:id="176"/>
      <w:bookmarkEnd w:id="177"/>
    </w:p>
    <w:p>
      <w:pPr>
        <w:pStyle w:val="6"/>
        <w:ind w:firstLine="482" w:firstLineChars="200"/>
        <w:rPr>
          <w:rFonts w:ascii="仿宋" w:hAnsi="仿宋" w:eastAsia="仿宋" w:cs="仿宋"/>
          <w:highlight w:val="none"/>
        </w:rPr>
      </w:pPr>
      <w:bookmarkStart w:id="178" w:name="_Toc22400"/>
      <w:bookmarkStart w:id="179" w:name="_Toc448"/>
      <w:bookmarkStart w:id="180" w:name="_Toc9777"/>
      <w:r>
        <w:rPr>
          <w:rFonts w:hint="eastAsia" w:ascii="仿宋" w:hAnsi="仿宋" w:eastAsia="仿宋" w:cs="仿宋"/>
          <w:highlight w:val="none"/>
        </w:rPr>
        <w:t>7.1 定标方式</w:t>
      </w:r>
      <w:bookmarkEnd w:id="178"/>
      <w:bookmarkEnd w:id="179"/>
      <w:bookmarkEnd w:id="180"/>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7.1.1磋商小组根据评审方法的规定对供应商进行评审排序，推荐3名成交候选人，作为评审结果。评审结果由全体磋商小组成员签字确认。</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7.1.2采购人根据评审报告中推荐的成交候选人排列顺序，确定排名第一的为成交供应商。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7.1.3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7.1.4采购人也可以授权磋商小组评审后直接确定成交供应商。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7.1.5成交供应商确定之后，成交结果将在财政部门指定的政府采购信息发布媒体上公告。</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7.1.6供应商或者其他利害关系人对评审结果有异议的，应当在法律规定的时间内提出。</w:t>
      </w:r>
    </w:p>
    <w:p>
      <w:pPr>
        <w:pStyle w:val="6"/>
        <w:ind w:firstLine="482" w:firstLineChars="200"/>
        <w:rPr>
          <w:rFonts w:ascii="仿宋" w:hAnsi="仿宋" w:eastAsia="仿宋" w:cs="仿宋"/>
          <w:highlight w:val="none"/>
        </w:rPr>
      </w:pPr>
      <w:bookmarkStart w:id="181" w:name="_Toc11112"/>
      <w:bookmarkStart w:id="182" w:name="_Toc3514"/>
      <w:bookmarkStart w:id="183" w:name="_Toc16220"/>
      <w:r>
        <w:rPr>
          <w:rFonts w:hint="eastAsia" w:ascii="仿宋" w:hAnsi="仿宋" w:eastAsia="仿宋" w:cs="仿宋"/>
          <w:highlight w:val="none"/>
        </w:rPr>
        <w:t>7.2 成交通知</w:t>
      </w:r>
      <w:bookmarkEnd w:id="181"/>
      <w:bookmarkEnd w:id="182"/>
      <w:bookmarkEnd w:id="183"/>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7.2.1采购代理机构向成交供应商发出《成交通知书》。 </w:t>
      </w:r>
      <w:r>
        <w:rPr>
          <w:rFonts w:hint="eastAsia" w:ascii="仿宋" w:hAnsi="仿宋" w:eastAsia="仿宋" w:cs="仿宋"/>
          <w:b/>
          <w:bCs/>
          <w:sz w:val="24"/>
          <w:szCs w:val="24"/>
          <w:highlight w:val="none"/>
        </w:rPr>
        <w:t>成交供应商在领取成交通知书时须携带法定代表人授权书及加盖单位公章的被授权人身份证复印件。</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7.2.2成交通知书对采购人和成交供应商具有同等法律效力。成交通知书发出之后，采购人改变成交结果，或者成交供应商放弃成交，应当承担相应的法律责任。</w:t>
      </w:r>
    </w:p>
    <w:p>
      <w:pPr>
        <w:spacing w:line="360" w:lineRule="auto"/>
        <w:ind w:firstLine="482" w:firstLineChars="200"/>
        <w:outlineLvl w:val="2"/>
        <w:rPr>
          <w:rFonts w:ascii="仿宋" w:hAnsi="仿宋" w:eastAsia="仿宋" w:cs="仿宋"/>
          <w:b/>
          <w:bCs/>
          <w:sz w:val="24"/>
          <w:szCs w:val="24"/>
          <w:highlight w:val="none"/>
        </w:rPr>
      </w:pPr>
      <w:bookmarkStart w:id="184" w:name="_Toc19753"/>
      <w:bookmarkStart w:id="185" w:name="_Toc393"/>
      <w:bookmarkStart w:id="186" w:name="_Toc28115"/>
      <w:bookmarkStart w:id="187" w:name="_Toc11544"/>
      <w:bookmarkStart w:id="188" w:name="_Toc7773"/>
      <w:r>
        <w:rPr>
          <w:rFonts w:hint="eastAsia" w:ascii="仿宋" w:hAnsi="仿宋" w:eastAsia="仿宋" w:cs="仿宋"/>
          <w:b/>
          <w:bCs/>
          <w:sz w:val="24"/>
          <w:szCs w:val="24"/>
          <w:highlight w:val="none"/>
        </w:rPr>
        <w:t>7.3 履约</w:t>
      </w:r>
      <w:bookmarkEnd w:id="184"/>
      <w:bookmarkEnd w:id="185"/>
      <w:r>
        <w:rPr>
          <w:rFonts w:hint="eastAsia" w:ascii="仿宋" w:hAnsi="仿宋" w:eastAsia="仿宋" w:cs="仿宋"/>
          <w:b/>
          <w:bCs/>
          <w:sz w:val="24"/>
          <w:szCs w:val="24"/>
          <w:highlight w:val="none"/>
        </w:rPr>
        <w:t>保证金</w:t>
      </w:r>
      <w:bookmarkEnd w:id="186"/>
      <w:bookmarkEnd w:id="187"/>
      <w:bookmarkEnd w:id="188"/>
    </w:p>
    <w:p>
      <w:pPr>
        <w:spacing w:line="360" w:lineRule="auto"/>
        <w:ind w:firstLine="420"/>
        <w:rPr>
          <w:rFonts w:ascii="仿宋" w:hAnsi="仿宋" w:eastAsia="仿宋" w:cs="仿宋"/>
          <w:sz w:val="24"/>
          <w:szCs w:val="24"/>
          <w:highlight w:val="none"/>
        </w:rPr>
      </w:pPr>
      <w:r>
        <w:rPr>
          <w:rFonts w:hint="eastAsia" w:ascii="仿宋" w:hAnsi="仿宋" w:eastAsia="仿宋" w:cs="仿宋"/>
          <w:sz w:val="24"/>
          <w:highlight w:val="none"/>
        </w:rPr>
        <w:t>7.3.1履约保证金的形式和金额：见投标人须知前附表。</w:t>
      </w:r>
    </w:p>
    <w:p>
      <w:pPr>
        <w:pStyle w:val="6"/>
        <w:ind w:firstLine="482" w:firstLineChars="200"/>
        <w:rPr>
          <w:rFonts w:ascii="仿宋" w:hAnsi="仿宋" w:eastAsia="仿宋" w:cs="仿宋"/>
          <w:highlight w:val="none"/>
        </w:rPr>
      </w:pPr>
      <w:bookmarkStart w:id="189" w:name="_Toc27592"/>
      <w:bookmarkStart w:id="190" w:name="_Toc3396"/>
      <w:bookmarkStart w:id="191" w:name="_Toc4130"/>
      <w:r>
        <w:rPr>
          <w:rFonts w:hint="eastAsia" w:ascii="仿宋" w:hAnsi="仿宋" w:eastAsia="仿宋" w:cs="仿宋"/>
          <w:highlight w:val="none"/>
        </w:rPr>
        <w:t>7.4 签订合同</w:t>
      </w:r>
      <w:bookmarkEnd w:id="189"/>
      <w:bookmarkEnd w:id="190"/>
      <w:bookmarkEnd w:id="191"/>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7.4.1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7.4.2采购人自政府采购合同签订之日起2个工作日内，将政府采购合同在省级以上人民政府财政部门指定的媒体上公告，但政府采购合同中涉及国家秘密、商业秘密的内容除外。</w:t>
      </w:r>
    </w:p>
    <w:p>
      <w:pPr>
        <w:pStyle w:val="5"/>
        <w:spacing w:before="0" w:after="0" w:line="360" w:lineRule="auto"/>
        <w:rPr>
          <w:rFonts w:ascii="仿宋" w:hAnsi="仿宋" w:eastAsia="仿宋" w:cs="仿宋"/>
          <w:sz w:val="24"/>
          <w:szCs w:val="24"/>
          <w:highlight w:val="none"/>
        </w:rPr>
      </w:pPr>
      <w:bookmarkStart w:id="192" w:name="_Toc421778375"/>
      <w:bookmarkStart w:id="193" w:name="_Toc425240474"/>
      <w:bookmarkStart w:id="194" w:name="_Toc420591653"/>
      <w:bookmarkStart w:id="195" w:name="_Toc3414"/>
      <w:bookmarkStart w:id="196" w:name="_Toc31148"/>
      <w:bookmarkStart w:id="197" w:name="_Toc22906"/>
      <w:r>
        <w:rPr>
          <w:rFonts w:hint="eastAsia" w:ascii="仿宋" w:hAnsi="仿宋" w:eastAsia="仿宋" w:cs="仿宋"/>
          <w:sz w:val="24"/>
          <w:szCs w:val="24"/>
          <w:highlight w:val="none"/>
        </w:rPr>
        <w:t>8、招标代理服务费</w:t>
      </w:r>
      <w:bookmarkEnd w:id="192"/>
      <w:bookmarkEnd w:id="193"/>
      <w:bookmarkEnd w:id="194"/>
      <w:r>
        <w:rPr>
          <w:rFonts w:hint="eastAsia" w:ascii="仿宋" w:hAnsi="仿宋" w:eastAsia="仿宋" w:cs="仿宋"/>
          <w:sz w:val="24"/>
          <w:szCs w:val="24"/>
          <w:highlight w:val="none"/>
        </w:rPr>
        <w:t>：详见“供应商须知前附表”。</w:t>
      </w:r>
      <w:bookmarkEnd w:id="195"/>
      <w:bookmarkEnd w:id="196"/>
      <w:bookmarkEnd w:id="197"/>
    </w:p>
    <w:p>
      <w:pPr>
        <w:pStyle w:val="5"/>
        <w:spacing w:before="0" w:after="0" w:line="360" w:lineRule="auto"/>
        <w:rPr>
          <w:rFonts w:ascii="仿宋" w:hAnsi="仿宋" w:eastAsia="仿宋" w:cs="仿宋"/>
          <w:sz w:val="24"/>
          <w:szCs w:val="24"/>
          <w:highlight w:val="none"/>
        </w:rPr>
      </w:pPr>
      <w:bookmarkStart w:id="198" w:name="_Toc6487"/>
      <w:bookmarkStart w:id="199" w:name="_Toc9606"/>
      <w:bookmarkStart w:id="200" w:name="_Toc3398"/>
      <w:r>
        <w:rPr>
          <w:rFonts w:hint="eastAsia" w:ascii="仿宋" w:hAnsi="仿宋" w:eastAsia="仿宋" w:cs="仿宋"/>
          <w:sz w:val="24"/>
          <w:szCs w:val="24"/>
          <w:highlight w:val="none"/>
        </w:rPr>
        <w:t>9、合同鉴证费</w:t>
      </w:r>
      <w:bookmarkEnd w:id="198"/>
      <w:bookmarkEnd w:id="199"/>
      <w:bookmarkEnd w:id="200"/>
    </w:p>
    <w:p>
      <w:pPr>
        <w:pStyle w:val="5"/>
        <w:spacing w:before="0" w:after="0" w:line="360" w:lineRule="auto"/>
        <w:ind w:firstLine="480" w:firstLineChars="200"/>
        <w:rPr>
          <w:rFonts w:ascii="仿宋" w:hAnsi="仿宋" w:eastAsia="仿宋" w:cs="仿宋"/>
          <w:b w:val="0"/>
          <w:bCs w:val="0"/>
          <w:sz w:val="24"/>
          <w:szCs w:val="24"/>
          <w:highlight w:val="none"/>
        </w:rPr>
      </w:pPr>
      <w:bookmarkStart w:id="201" w:name="_Toc31645"/>
      <w:bookmarkStart w:id="202" w:name="_Toc27699"/>
      <w:bookmarkStart w:id="203" w:name="_Toc14593"/>
      <w:r>
        <w:rPr>
          <w:rFonts w:hint="eastAsia" w:ascii="仿宋" w:hAnsi="仿宋" w:eastAsia="仿宋" w:cs="仿宋"/>
          <w:b w:val="0"/>
          <w:bCs w:val="0"/>
          <w:sz w:val="24"/>
          <w:szCs w:val="24"/>
          <w:highlight w:val="none"/>
        </w:rPr>
        <w:t>本项目不收取合同鉴证费。</w:t>
      </w:r>
      <w:bookmarkEnd w:id="201"/>
      <w:bookmarkEnd w:id="202"/>
      <w:bookmarkEnd w:id="203"/>
    </w:p>
    <w:p>
      <w:pPr>
        <w:pStyle w:val="5"/>
        <w:spacing w:before="0" w:after="0" w:line="360" w:lineRule="auto"/>
        <w:rPr>
          <w:rFonts w:ascii="仿宋" w:hAnsi="仿宋" w:eastAsia="仿宋" w:cs="仿宋"/>
          <w:sz w:val="24"/>
          <w:szCs w:val="24"/>
          <w:highlight w:val="none"/>
        </w:rPr>
      </w:pPr>
      <w:bookmarkStart w:id="204" w:name="_Toc31862"/>
      <w:bookmarkStart w:id="205" w:name="_Toc21078"/>
      <w:bookmarkStart w:id="206" w:name="_Toc2078"/>
      <w:r>
        <w:rPr>
          <w:rFonts w:hint="eastAsia" w:ascii="仿宋" w:hAnsi="仿宋" w:eastAsia="仿宋" w:cs="仿宋"/>
          <w:sz w:val="24"/>
          <w:szCs w:val="24"/>
          <w:highlight w:val="none"/>
        </w:rPr>
        <w:t>10、质疑</w:t>
      </w:r>
      <w:bookmarkEnd w:id="204"/>
      <w:bookmarkEnd w:id="205"/>
      <w:bookmarkEnd w:id="206"/>
    </w:p>
    <w:p>
      <w:pPr>
        <w:spacing w:line="360" w:lineRule="auto"/>
        <w:ind w:right="12" w:firstLine="480"/>
        <w:rPr>
          <w:rFonts w:ascii="仿宋" w:hAnsi="仿宋" w:eastAsia="仿宋" w:cs="仿宋"/>
          <w:sz w:val="24"/>
          <w:szCs w:val="24"/>
          <w:highlight w:val="none"/>
        </w:rPr>
      </w:pPr>
      <w:bookmarkStart w:id="207" w:name="_Toc421778376"/>
      <w:bookmarkStart w:id="208" w:name="_Toc20671"/>
      <w:r>
        <w:rPr>
          <w:rFonts w:hint="eastAsia" w:ascii="仿宋" w:hAnsi="仿宋" w:eastAsia="仿宋" w:cs="仿宋"/>
          <w:sz w:val="24"/>
          <w:szCs w:val="24"/>
          <w:highlight w:val="none"/>
        </w:rPr>
        <w:t>10.1供应商认为磋商文件、采购过程、成交结果使自己的权益受到损害的，可以在知道或者应知其权益受到损害之日起7个工作日内，以书面形式向采购人、采购代理机构提出质疑。</w:t>
      </w:r>
    </w:p>
    <w:p>
      <w:pPr>
        <w:spacing w:line="360" w:lineRule="auto"/>
        <w:ind w:right="12" w:firstLine="480"/>
        <w:rPr>
          <w:rStyle w:val="38"/>
          <w:rFonts w:ascii="仿宋" w:hAnsi="仿宋" w:eastAsia="仿宋" w:cs="仿宋"/>
          <w:bCs w:val="0"/>
          <w:color w:val="0000FF"/>
          <w:sz w:val="24"/>
          <w:szCs w:val="24"/>
          <w:highlight w:val="none"/>
          <w:shd w:val="clear" w:color="auto" w:fill="FFFFFF"/>
        </w:rPr>
      </w:pPr>
      <w:r>
        <w:rPr>
          <w:rFonts w:hint="eastAsia" w:ascii="仿宋" w:hAnsi="仿宋" w:eastAsia="仿宋" w:cs="仿宋"/>
          <w:sz w:val="24"/>
          <w:szCs w:val="24"/>
          <w:highlight w:val="none"/>
        </w:rPr>
        <w:t>10.2供应商必须在法定质疑期内一次性提出针对同一采购程序环节的质疑。</w:t>
      </w:r>
    </w:p>
    <w:p>
      <w:pPr>
        <w:spacing w:line="360" w:lineRule="auto"/>
        <w:ind w:left="3" w:firstLine="518" w:firstLineChars="216"/>
        <w:rPr>
          <w:rStyle w:val="38"/>
          <w:rFonts w:ascii="仿宋" w:hAnsi="仿宋" w:eastAsia="仿宋" w:cs="仿宋"/>
          <w:b w:val="0"/>
          <w:color w:val="000000"/>
          <w:sz w:val="24"/>
          <w:szCs w:val="24"/>
          <w:highlight w:val="none"/>
          <w:shd w:val="clear" w:color="auto" w:fill="FFFFFF"/>
        </w:rPr>
      </w:pPr>
      <w:r>
        <w:rPr>
          <w:rFonts w:hint="eastAsia" w:ascii="仿宋" w:hAnsi="仿宋" w:eastAsia="仿宋" w:cs="仿宋"/>
          <w:sz w:val="24"/>
          <w:szCs w:val="24"/>
          <w:highlight w:val="none"/>
        </w:rPr>
        <w:t>10</w:t>
      </w:r>
      <w:r>
        <w:rPr>
          <w:rStyle w:val="38"/>
          <w:rFonts w:hint="eastAsia" w:ascii="仿宋" w:hAnsi="仿宋" w:eastAsia="仿宋" w:cs="仿宋"/>
          <w:b w:val="0"/>
          <w:color w:val="000000"/>
          <w:sz w:val="24"/>
          <w:szCs w:val="24"/>
          <w:highlight w:val="none"/>
          <w:shd w:val="clear" w:color="auto" w:fill="FFFFFF"/>
        </w:rPr>
        <w:t>.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ind w:left="3" w:firstLine="518" w:firstLineChars="216"/>
        <w:rPr>
          <w:rStyle w:val="38"/>
          <w:rFonts w:ascii="仿宋" w:hAnsi="仿宋" w:eastAsia="仿宋" w:cs="仿宋"/>
          <w:b w:val="0"/>
          <w:color w:val="000000"/>
          <w:sz w:val="24"/>
          <w:szCs w:val="24"/>
          <w:highlight w:val="none"/>
          <w:shd w:val="clear" w:color="auto" w:fill="FFFFFF"/>
        </w:rPr>
      </w:pPr>
      <w:r>
        <w:rPr>
          <w:rFonts w:hint="eastAsia" w:ascii="仿宋" w:hAnsi="仿宋" w:eastAsia="仿宋" w:cs="仿宋"/>
          <w:sz w:val="24"/>
          <w:szCs w:val="24"/>
          <w:highlight w:val="none"/>
        </w:rPr>
        <w:t>10</w:t>
      </w:r>
      <w:r>
        <w:rPr>
          <w:rStyle w:val="38"/>
          <w:rFonts w:hint="eastAsia" w:ascii="仿宋" w:hAnsi="仿宋" w:eastAsia="仿宋" w:cs="仿宋"/>
          <w:b w:val="0"/>
          <w:color w:val="000000"/>
          <w:sz w:val="24"/>
          <w:szCs w:val="24"/>
          <w:highlight w:val="none"/>
          <w:shd w:val="clear" w:color="auto" w:fill="FFFFFF"/>
        </w:rPr>
        <w:t>.4以联合体形式参加政府采购活动的，其质疑应当由组成联合体的所有供应商共同提出。</w:t>
      </w:r>
    </w:p>
    <w:p>
      <w:pPr>
        <w:spacing w:line="360" w:lineRule="auto"/>
        <w:ind w:right="12"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10.5供应商提出质疑应当提交质疑函和必要的证明材料。质疑函应当包括下列内容：</w:t>
      </w:r>
    </w:p>
    <w:p>
      <w:pPr>
        <w:spacing w:line="360" w:lineRule="auto"/>
        <w:ind w:right="12"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10.5.1供应商的姓名或者名称、地址、邮编、联系人及联系电话；</w:t>
      </w:r>
    </w:p>
    <w:p>
      <w:pPr>
        <w:spacing w:line="360" w:lineRule="auto"/>
        <w:ind w:right="12"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10.5.2质疑项目的名称、编号；</w:t>
      </w:r>
    </w:p>
    <w:p>
      <w:pPr>
        <w:spacing w:line="360" w:lineRule="auto"/>
        <w:ind w:right="12"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10.5.3具体、明确的质疑事项和与质疑事项相关的请求；</w:t>
      </w:r>
    </w:p>
    <w:p>
      <w:pPr>
        <w:spacing w:line="360" w:lineRule="auto"/>
        <w:ind w:right="12"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10.5.4事实依据；</w:t>
      </w:r>
    </w:p>
    <w:p>
      <w:pPr>
        <w:spacing w:line="360" w:lineRule="auto"/>
        <w:ind w:right="12"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10.5.5必要的法律依据；</w:t>
      </w:r>
    </w:p>
    <w:p>
      <w:pPr>
        <w:spacing w:line="360" w:lineRule="auto"/>
        <w:ind w:right="12" w:firstLine="480" w:firstLineChars="200"/>
        <w:rPr>
          <w:rStyle w:val="38"/>
          <w:rFonts w:ascii="仿宋" w:hAnsi="仿宋" w:eastAsia="仿宋" w:cs="仿宋"/>
          <w:b w:val="0"/>
          <w:color w:val="000000"/>
          <w:sz w:val="24"/>
          <w:szCs w:val="24"/>
          <w:highlight w:val="none"/>
          <w:shd w:val="clear" w:color="auto" w:fill="FFFFFF"/>
        </w:rPr>
      </w:pPr>
      <w:r>
        <w:rPr>
          <w:rFonts w:hint="eastAsia" w:ascii="仿宋" w:hAnsi="仿宋" w:eastAsia="仿宋" w:cs="仿宋"/>
          <w:sz w:val="24"/>
          <w:szCs w:val="24"/>
          <w:highlight w:val="none"/>
        </w:rPr>
        <w:t>10.5.6提出质疑的日期。</w:t>
      </w:r>
    </w:p>
    <w:p>
      <w:pPr>
        <w:widowControl/>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10.6有下列情形之一的，属于无效质疑，采购代理机构和采购人不予受理：</w:t>
      </w:r>
    </w:p>
    <w:p>
      <w:pPr>
        <w:widowControl/>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10.6.1质疑供应商不是参与本次政府采购项目的供应商；</w:t>
      </w:r>
    </w:p>
    <w:p>
      <w:pPr>
        <w:widowControl/>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10.6.2质疑供应商与质疑事项不存在利害关系的；</w:t>
      </w:r>
    </w:p>
    <w:p>
      <w:pPr>
        <w:widowControl/>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10.6.3未在法定期限内提出质疑的；</w:t>
      </w:r>
    </w:p>
    <w:p>
      <w:pPr>
        <w:widowControl/>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10.6.4质疑未以书面形式提出，或质疑函主要内容构成不完整的；</w:t>
      </w:r>
    </w:p>
    <w:p>
      <w:pPr>
        <w:widowControl/>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10.6.5应当提交授权书而未提交的；</w:t>
      </w:r>
    </w:p>
    <w:p>
      <w:pPr>
        <w:widowControl/>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10.6.6以非法手段取得证据、材料的；</w:t>
      </w:r>
    </w:p>
    <w:p>
      <w:pPr>
        <w:widowControl/>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10.6.7质疑答复后，同一质疑人就同一事项或同一采购程序环节再次提出质疑的；</w:t>
      </w:r>
    </w:p>
    <w:p>
      <w:pPr>
        <w:widowControl/>
        <w:spacing w:line="360" w:lineRule="auto"/>
        <w:ind w:firstLine="480" w:firstLineChars="200"/>
        <w:rPr>
          <w:rStyle w:val="38"/>
          <w:rFonts w:ascii="仿宋" w:hAnsi="仿宋" w:eastAsia="仿宋" w:cs="仿宋"/>
          <w:b w:val="0"/>
          <w:sz w:val="24"/>
          <w:szCs w:val="24"/>
          <w:highlight w:val="none"/>
          <w:shd w:val="clear" w:color="auto" w:fill="FFFFFF"/>
        </w:rPr>
      </w:pPr>
      <w:r>
        <w:rPr>
          <w:rFonts w:hint="eastAsia" w:ascii="仿宋" w:hAnsi="仿宋" w:eastAsia="仿宋" w:cs="仿宋"/>
          <w:sz w:val="24"/>
          <w:szCs w:val="24"/>
          <w:highlight w:val="none"/>
        </w:rPr>
        <w:t>10.6.8不符合法律、法规、规章和政府采购监管机构规定的其他条件的。</w:t>
      </w:r>
    </w:p>
    <w:p>
      <w:pPr>
        <w:spacing w:line="360" w:lineRule="auto"/>
        <w:ind w:right="12"/>
        <w:rPr>
          <w:rFonts w:ascii="仿宋" w:hAnsi="仿宋" w:eastAsia="仿宋" w:cs="仿宋"/>
          <w:sz w:val="24"/>
          <w:szCs w:val="24"/>
          <w:highlight w:val="none"/>
        </w:rPr>
      </w:pPr>
      <w:r>
        <w:rPr>
          <w:rFonts w:hint="eastAsia" w:ascii="仿宋" w:hAnsi="仿宋" w:eastAsia="仿宋" w:cs="仿宋"/>
          <w:sz w:val="24"/>
          <w:szCs w:val="24"/>
          <w:highlight w:val="none"/>
        </w:rPr>
        <w:t xml:space="preserve">    10.7质疑答复</w:t>
      </w:r>
    </w:p>
    <w:p>
      <w:pPr>
        <w:pStyle w:val="112"/>
        <w:spacing w:line="360" w:lineRule="auto"/>
        <w:ind w:firstLine="480"/>
        <w:jc w:val="left"/>
        <w:rPr>
          <w:rFonts w:ascii="仿宋" w:hAnsi="仿宋" w:eastAsia="仿宋" w:cs="仿宋"/>
          <w:sz w:val="24"/>
          <w:szCs w:val="24"/>
          <w:highlight w:val="none"/>
        </w:rPr>
      </w:pPr>
      <w:r>
        <w:rPr>
          <w:rFonts w:hint="eastAsia" w:ascii="仿宋" w:hAnsi="仿宋" w:eastAsia="仿宋" w:cs="仿宋"/>
          <w:sz w:val="24"/>
          <w:szCs w:val="24"/>
          <w:highlight w:val="none"/>
        </w:rPr>
        <w:t>10.7.1采购人或采购代理机构在收到质疑函后7个工作日内作出答复，并以书面形式通知质疑供应商和其他有关供应商。</w:t>
      </w:r>
    </w:p>
    <w:p>
      <w:pPr>
        <w:pStyle w:val="112"/>
        <w:spacing w:line="360" w:lineRule="auto"/>
        <w:ind w:firstLine="480" w:firstLineChars="0"/>
        <w:jc w:val="left"/>
        <w:rPr>
          <w:rFonts w:ascii="仿宋" w:hAnsi="仿宋" w:eastAsia="仿宋" w:cs="仿宋"/>
          <w:sz w:val="24"/>
          <w:szCs w:val="24"/>
          <w:highlight w:val="none"/>
        </w:rPr>
      </w:pPr>
      <w:r>
        <w:rPr>
          <w:rFonts w:hint="eastAsia" w:ascii="仿宋" w:hAnsi="仿宋" w:eastAsia="仿宋" w:cs="仿宋"/>
          <w:sz w:val="24"/>
          <w:szCs w:val="24"/>
          <w:highlight w:val="none"/>
        </w:rPr>
        <w:t>10.7.2质疑供应商对采购人、采购代理机构的答复不满意，或者采购人、采购代理机构未在规定时间内作出答复的，可以在答复期满后15个工作日内向同级人民政府财政部门提起投诉。</w:t>
      </w:r>
    </w:p>
    <w:p>
      <w:pPr>
        <w:pStyle w:val="112"/>
        <w:spacing w:line="360" w:lineRule="auto"/>
        <w:ind w:firstLine="480" w:firstLineChars="0"/>
        <w:jc w:val="left"/>
        <w:rPr>
          <w:rFonts w:ascii="仿宋" w:hAnsi="仿宋" w:eastAsia="仿宋" w:cs="仿宋"/>
          <w:sz w:val="24"/>
          <w:szCs w:val="24"/>
          <w:highlight w:val="none"/>
        </w:rPr>
      </w:pPr>
      <w:r>
        <w:rPr>
          <w:rFonts w:hint="eastAsia" w:ascii="仿宋" w:hAnsi="仿宋" w:eastAsia="仿宋" w:cs="仿宋"/>
          <w:sz w:val="24"/>
          <w:szCs w:val="24"/>
          <w:highlight w:val="none"/>
        </w:rPr>
        <w:t>10.8其他需要说明的事项</w:t>
      </w:r>
    </w:p>
    <w:p>
      <w:pPr>
        <w:pStyle w:val="112"/>
        <w:spacing w:line="360" w:lineRule="auto"/>
        <w:ind w:firstLine="480" w:firstLineChars="0"/>
        <w:jc w:val="left"/>
        <w:rPr>
          <w:rFonts w:ascii="仿宋" w:hAnsi="仿宋" w:eastAsia="仿宋" w:cs="仿宋"/>
          <w:sz w:val="24"/>
          <w:szCs w:val="24"/>
          <w:highlight w:val="none"/>
        </w:rPr>
      </w:pPr>
      <w:r>
        <w:rPr>
          <w:rFonts w:hint="eastAsia" w:ascii="仿宋" w:hAnsi="仿宋" w:eastAsia="仿宋" w:cs="仿宋"/>
          <w:sz w:val="24"/>
          <w:szCs w:val="24"/>
          <w:highlight w:val="none"/>
        </w:rPr>
        <w:t>10.8.1质疑函须按财政部《质疑函范本》给定的格式进行填写，范本下载详见【财政部国库司（gks.mof.gov.cn）】网站〖首页·政府采购管理〗栏目中的《政府采购供应商质疑函范本》。《政府采购供应商质疑函范本》链接地址：</w:t>
      </w:r>
    </w:p>
    <w:p>
      <w:pPr>
        <w:pStyle w:val="112"/>
        <w:spacing w:line="360" w:lineRule="auto"/>
        <w:ind w:firstLine="480" w:firstLineChars="0"/>
        <w:jc w:val="left"/>
        <w:rPr>
          <w:rFonts w:ascii="仿宋" w:hAnsi="仿宋" w:eastAsia="仿宋" w:cs="仿宋"/>
          <w:sz w:val="24"/>
          <w:szCs w:val="24"/>
          <w:highlight w:val="none"/>
        </w:rPr>
      </w:pPr>
      <w:r>
        <w:rPr>
          <w:rFonts w:hint="eastAsia" w:ascii="仿宋" w:hAnsi="仿宋" w:eastAsia="仿宋" w:cs="仿宋"/>
          <w:sz w:val="24"/>
          <w:szCs w:val="24"/>
          <w:highlight w:val="none"/>
        </w:rPr>
        <w:t>http://gks.mof.gov.cn/ztztz/zhengfucaigouguanli/201802/t20180201_2804589.htm</w:t>
      </w:r>
    </w:p>
    <w:p>
      <w:pPr>
        <w:pStyle w:val="112"/>
        <w:spacing w:line="360" w:lineRule="auto"/>
        <w:ind w:firstLine="480" w:firstLineChars="0"/>
        <w:jc w:val="left"/>
        <w:rPr>
          <w:rFonts w:ascii="仿宋" w:hAnsi="仿宋" w:eastAsia="仿宋" w:cs="仿宋"/>
          <w:sz w:val="24"/>
          <w:szCs w:val="24"/>
          <w:highlight w:val="none"/>
        </w:rPr>
      </w:pPr>
      <w:r>
        <w:rPr>
          <w:rFonts w:hint="eastAsia" w:ascii="仿宋" w:hAnsi="仿宋" w:eastAsia="仿宋" w:cs="仿宋"/>
          <w:sz w:val="24"/>
          <w:szCs w:val="24"/>
          <w:highlight w:val="none"/>
        </w:rPr>
        <w:t>10.8.2接收质疑函的方式：书面形式</w:t>
      </w:r>
    </w:p>
    <w:p>
      <w:pPr>
        <w:pStyle w:val="112"/>
        <w:spacing w:line="360" w:lineRule="auto"/>
        <w:ind w:firstLine="480" w:firstLineChars="0"/>
        <w:jc w:val="left"/>
        <w:rPr>
          <w:rFonts w:ascii="仿宋" w:hAnsi="仿宋" w:eastAsia="仿宋" w:cs="仿宋"/>
          <w:sz w:val="24"/>
          <w:szCs w:val="24"/>
          <w:highlight w:val="none"/>
        </w:rPr>
      </w:pPr>
      <w:r>
        <w:rPr>
          <w:rFonts w:hint="eastAsia" w:ascii="仿宋" w:hAnsi="仿宋" w:eastAsia="仿宋" w:cs="仿宋"/>
          <w:sz w:val="24"/>
          <w:szCs w:val="24"/>
          <w:highlight w:val="none"/>
        </w:rPr>
        <w:t>10.8.3联系部门：华夏国际项目管理有限公司招标部</w:t>
      </w:r>
    </w:p>
    <w:p>
      <w:pPr>
        <w:pStyle w:val="112"/>
        <w:spacing w:line="360" w:lineRule="auto"/>
        <w:ind w:firstLine="480" w:firstLineChars="0"/>
        <w:jc w:val="left"/>
        <w:rPr>
          <w:rFonts w:ascii="仿宋" w:hAnsi="仿宋" w:eastAsia="仿宋" w:cs="仿宋"/>
          <w:sz w:val="24"/>
          <w:szCs w:val="24"/>
          <w:highlight w:val="none"/>
        </w:rPr>
      </w:pPr>
      <w:r>
        <w:rPr>
          <w:rFonts w:hint="eastAsia" w:ascii="仿宋" w:hAnsi="仿宋" w:eastAsia="仿宋" w:cs="仿宋"/>
          <w:sz w:val="24"/>
          <w:szCs w:val="24"/>
          <w:highlight w:val="none"/>
        </w:rPr>
        <w:t>10.8.4联系电话：见供应商须知前附表</w:t>
      </w:r>
    </w:p>
    <w:p>
      <w:pPr>
        <w:pStyle w:val="112"/>
        <w:spacing w:line="360" w:lineRule="auto"/>
        <w:ind w:firstLine="480" w:firstLineChars="0"/>
        <w:jc w:val="left"/>
        <w:rPr>
          <w:rFonts w:ascii="仿宋" w:hAnsi="仿宋" w:eastAsia="仿宋" w:cs="仿宋"/>
          <w:sz w:val="24"/>
          <w:szCs w:val="24"/>
          <w:highlight w:val="none"/>
        </w:rPr>
      </w:pPr>
      <w:r>
        <w:rPr>
          <w:rFonts w:hint="eastAsia" w:ascii="仿宋" w:hAnsi="仿宋" w:eastAsia="仿宋" w:cs="仿宋"/>
          <w:sz w:val="24"/>
          <w:szCs w:val="24"/>
          <w:highlight w:val="none"/>
        </w:rPr>
        <w:t>10.8.5通讯地址：西安市高新区科技五路8号数字大厦11楼</w:t>
      </w:r>
    </w:p>
    <w:p>
      <w:pPr>
        <w:pStyle w:val="5"/>
        <w:spacing w:before="0" w:after="0" w:line="360" w:lineRule="auto"/>
        <w:rPr>
          <w:rFonts w:ascii="仿宋" w:hAnsi="仿宋" w:eastAsia="仿宋" w:cs="仿宋"/>
          <w:sz w:val="24"/>
          <w:szCs w:val="24"/>
          <w:highlight w:val="none"/>
        </w:rPr>
      </w:pPr>
      <w:bookmarkStart w:id="209" w:name="_Toc25872"/>
      <w:bookmarkStart w:id="210" w:name="_Toc12435"/>
      <w:bookmarkStart w:id="211" w:name="_Toc20828"/>
      <w:r>
        <w:rPr>
          <w:rFonts w:hint="eastAsia" w:ascii="仿宋" w:hAnsi="仿宋" w:eastAsia="仿宋" w:cs="仿宋"/>
          <w:sz w:val="24"/>
          <w:szCs w:val="24"/>
          <w:highlight w:val="none"/>
        </w:rPr>
        <w:t>11、其他</w:t>
      </w:r>
      <w:bookmarkEnd w:id="209"/>
      <w:bookmarkEnd w:id="210"/>
      <w:bookmarkEnd w:id="211"/>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11.1磋商步骤为：第一次报价---初步评审---分别磋商---第二次报价---综合评审推荐成交候选人。（以供应商递交的磋商响应文件中的总报价为第一次报价。分别磋商后，供应商现场填报的磋商响应总报价为第二次报价）</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11.2采用竞争性磋商采购方式采购的政府购买服务项目（含政府和社会资本合作项目），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11.3成交供应商确定后，成交供应商无正当理由拖延或拒签合同的，或未能按照规定的时间提供履约保证金，采购人有权取消其成交资格，并按评审顺序重新确定成交供应商；供应商应按照政府采购相关法律法规承担相应的责任。</w:t>
      </w:r>
    </w:p>
    <w:p>
      <w:pPr>
        <w:pStyle w:val="5"/>
        <w:spacing w:before="0" w:after="0" w:line="360" w:lineRule="auto"/>
        <w:rPr>
          <w:rFonts w:ascii="仿宋" w:hAnsi="仿宋" w:eastAsia="仿宋" w:cs="仿宋"/>
          <w:sz w:val="24"/>
          <w:szCs w:val="24"/>
          <w:highlight w:val="none"/>
        </w:rPr>
      </w:pPr>
      <w:bookmarkStart w:id="212" w:name="_Toc421778374"/>
      <w:bookmarkStart w:id="213" w:name="_Toc420591652"/>
      <w:bookmarkStart w:id="214" w:name="_Toc20837"/>
      <w:bookmarkStart w:id="215" w:name="_Toc10047"/>
      <w:bookmarkStart w:id="216" w:name="_Toc31375"/>
      <w:bookmarkStart w:id="217" w:name="_Toc425240473"/>
      <w:r>
        <w:rPr>
          <w:rFonts w:hint="eastAsia" w:ascii="仿宋" w:hAnsi="仿宋" w:eastAsia="仿宋" w:cs="仿宋"/>
          <w:sz w:val="24"/>
          <w:szCs w:val="24"/>
          <w:highlight w:val="none"/>
        </w:rPr>
        <w:t>12、需要补充的其他内容：</w:t>
      </w:r>
      <w:bookmarkStart w:id="218" w:name="_Toc356305901"/>
      <w:r>
        <w:rPr>
          <w:rFonts w:hint="eastAsia" w:ascii="仿宋" w:hAnsi="仿宋" w:eastAsia="仿宋" w:cs="仿宋"/>
          <w:sz w:val="24"/>
          <w:szCs w:val="24"/>
          <w:highlight w:val="none"/>
        </w:rPr>
        <w:t>详见供应商须知前附表</w:t>
      </w:r>
      <w:bookmarkEnd w:id="218"/>
      <w:r>
        <w:rPr>
          <w:rFonts w:hint="eastAsia" w:ascii="仿宋" w:hAnsi="仿宋" w:eastAsia="仿宋" w:cs="仿宋"/>
          <w:sz w:val="24"/>
          <w:szCs w:val="24"/>
          <w:highlight w:val="none"/>
        </w:rPr>
        <w:t>。</w:t>
      </w:r>
      <w:bookmarkEnd w:id="212"/>
      <w:bookmarkEnd w:id="213"/>
      <w:bookmarkEnd w:id="214"/>
      <w:bookmarkEnd w:id="215"/>
      <w:bookmarkEnd w:id="216"/>
      <w:bookmarkEnd w:id="217"/>
    </w:p>
    <w:p>
      <w:pPr>
        <w:pStyle w:val="2"/>
        <w:jc w:val="both"/>
        <w:rPr>
          <w:rFonts w:ascii="仿宋" w:hAnsi="仿宋" w:eastAsia="仿宋" w:cs="仿宋"/>
          <w:highlight w:val="none"/>
        </w:rPr>
      </w:pPr>
    </w:p>
    <w:p>
      <w:pPr>
        <w:rPr>
          <w:rFonts w:ascii="仿宋" w:hAnsi="仿宋" w:eastAsia="仿宋" w:cs="仿宋"/>
          <w:highlight w:val="none"/>
        </w:rPr>
      </w:pPr>
    </w:p>
    <w:p>
      <w:pPr>
        <w:pStyle w:val="2"/>
        <w:rPr>
          <w:rFonts w:ascii="仿宋" w:hAnsi="仿宋" w:eastAsia="仿宋" w:cs="仿宋"/>
          <w:highlight w:val="none"/>
        </w:rPr>
      </w:pPr>
    </w:p>
    <w:p>
      <w:pPr>
        <w:rPr>
          <w:rFonts w:ascii="仿宋" w:hAnsi="仿宋" w:eastAsia="仿宋" w:cs="仿宋"/>
          <w:highlight w:val="none"/>
        </w:rPr>
      </w:pPr>
    </w:p>
    <w:p>
      <w:pPr>
        <w:pStyle w:val="2"/>
        <w:rPr>
          <w:rFonts w:ascii="仿宋" w:hAnsi="仿宋" w:eastAsia="仿宋" w:cs="仿宋"/>
          <w:highlight w:val="none"/>
        </w:rPr>
      </w:pPr>
    </w:p>
    <w:p>
      <w:pPr>
        <w:rPr>
          <w:rFonts w:ascii="仿宋" w:hAnsi="仿宋" w:eastAsia="仿宋" w:cs="仿宋"/>
          <w:highlight w:val="none"/>
        </w:rPr>
      </w:pPr>
    </w:p>
    <w:p>
      <w:pPr>
        <w:pStyle w:val="2"/>
        <w:rPr>
          <w:rFonts w:ascii="仿宋" w:hAnsi="仿宋" w:eastAsia="仿宋" w:cs="仿宋"/>
          <w:highlight w:val="none"/>
        </w:rPr>
      </w:pPr>
    </w:p>
    <w:p>
      <w:pPr>
        <w:rPr>
          <w:rFonts w:ascii="仿宋" w:hAnsi="仿宋" w:eastAsia="仿宋" w:cs="仿宋"/>
          <w:highlight w:val="none"/>
        </w:rPr>
      </w:pPr>
    </w:p>
    <w:p>
      <w:pPr>
        <w:pStyle w:val="2"/>
        <w:rPr>
          <w:rFonts w:ascii="仿宋" w:hAnsi="仿宋" w:eastAsia="仿宋" w:cs="仿宋"/>
          <w:highlight w:val="none"/>
        </w:rPr>
      </w:pPr>
    </w:p>
    <w:p>
      <w:pPr>
        <w:rPr>
          <w:rFonts w:ascii="仿宋" w:hAnsi="仿宋" w:eastAsia="仿宋" w:cs="仿宋"/>
          <w:highlight w:val="none"/>
        </w:rPr>
      </w:pPr>
    </w:p>
    <w:p>
      <w:pPr>
        <w:pStyle w:val="2"/>
        <w:rPr>
          <w:rFonts w:ascii="仿宋" w:hAnsi="仿宋" w:eastAsia="仿宋" w:cs="仿宋"/>
          <w:highlight w:val="none"/>
        </w:rPr>
      </w:pPr>
    </w:p>
    <w:p>
      <w:pPr>
        <w:rPr>
          <w:rFonts w:ascii="仿宋" w:hAnsi="仿宋" w:eastAsia="仿宋" w:cs="仿宋"/>
          <w:highlight w:val="none"/>
        </w:rPr>
      </w:pPr>
    </w:p>
    <w:p>
      <w:pPr>
        <w:pStyle w:val="2"/>
        <w:rPr>
          <w:rFonts w:ascii="仿宋" w:hAnsi="仿宋" w:eastAsia="仿宋" w:cs="仿宋"/>
          <w:highlight w:val="none"/>
        </w:rPr>
      </w:pPr>
    </w:p>
    <w:p>
      <w:pPr>
        <w:rPr>
          <w:rFonts w:ascii="仿宋" w:hAnsi="仿宋" w:eastAsia="仿宋" w:cs="仿宋"/>
          <w:highlight w:val="none"/>
        </w:rPr>
      </w:pPr>
    </w:p>
    <w:p>
      <w:pPr>
        <w:pStyle w:val="2"/>
        <w:rPr>
          <w:rFonts w:ascii="仿宋" w:hAnsi="仿宋" w:eastAsia="仿宋" w:cs="仿宋"/>
          <w:highlight w:val="none"/>
        </w:rPr>
      </w:pPr>
    </w:p>
    <w:p>
      <w:pPr>
        <w:rPr>
          <w:rFonts w:ascii="仿宋" w:hAnsi="仿宋" w:eastAsia="仿宋" w:cs="仿宋"/>
          <w:highlight w:val="none"/>
        </w:rPr>
      </w:pPr>
      <w:r>
        <w:rPr>
          <w:rFonts w:hint="eastAsia" w:ascii="仿宋" w:hAnsi="仿宋" w:eastAsia="仿宋" w:cs="仿宋"/>
          <w:highlight w:val="none"/>
        </w:rPr>
        <w:br w:type="page"/>
      </w:r>
    </w:p>
    <w:p>
      <w:pPr>
        <w:pStyle w:val="4"/>
        <w:spacing w:after="156" w:afterLines="50"/>
        <w:jc w:val="center"/>
        <w:rPr>
          <w:rFonts w:ascii="仿宋" w:hAnsi="仿宋" w:eastAsia="仿宋" w:cs="仿宋"/>
          <w:highlight w:val="none"/>
        </w:rPr>
      </w:pPr>
      <w:bookmarkStart w:id="219" w:name="_Toc1316"/>
      <w:r>
        <w:rPr>
          <w:rFonts w:hint="eastAsia" w:ascii="仿宋" w:hAnsi="仿宋" w:eastAsia="仿宋" w:cs="仿宋"/>
          <w:highlight w:val="none"/>
        </w:rPr>
        <w:t>第三章</w:t>
      </w:r>
      <w:bookmarkEnd w:id="207"/>
      <w:bookmarkEnd w:id="208"/>
      <w:r>
        <w:rPr>
          <w:rFonts w:hint="eastAsia" w:ascii="仿宋" w:hAnsi="仿宋" w:eastAsia="仿宋" w:cs="仿宋"/>
          <w:highlight w:val="none"/>
        </w:rPr>
        <w:t xml:space="preserve">  评审方法</w:t>
      </w:r>
      <w:bookmarkEnd w:id="219"/>
    </w:p>
    <w:p>
      <w:pPr>
        <w:spacing w:line="360" w:lineRule="auto"/>
        <w:jc w:val="left"/>
        <w:outlineLvl w:val="1"/>
        <w:rPr>
          <w:rFonts w:ascii="仿宋" w:hAnsi="仿宋" w:eastAsia="仿宋" w:cs="仿宋"/>
          <w:b/>
          <w:sz w:val="24"/>
          <w:szCs w:val="24"/>
          <w:highlight w:val="none"/>
        </w:rPr>
      </w:pPr>
      <w:bookmarkStart w:id="220" w:name="_Toc24833"/>
      <w:bookmarkStart w:id="221" w:name="_Toc1702"/>
      <w:bookmarkStart w:id="222" w:name="_Toc29928"/>
      <w:r>
        <w:rPr>
          <w:rFonts w:hint="eastAsia" w:ascii="仿宋" w:hAnsi="仿宋" w:eastAsia="仿宋" w:cs="仿宋"/>
          <w:b/>
          <w:sz w:val="24"/>
          <w:szCs w:val="24"/>
          <w:highlight w:val="none"/>
        </w:rPr>
        <w:t>一、评审方法</w:t>
      </w:r>
      <w:bookmarkEnd w:id="220"/>
      <w:bookmarkEnd w:id="221"/>
      <w:bookmarkEnd w:id="222"/>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szCs w:val="24"/>
          <w:highlight w:val="none"/>
        </w:rPr>
        <w:t>按照《中华人民共和国政府采购法》及实施条例和关于印发《政府采购竞争性磋商采购方式管理暂行办法》的通知（财库〔2014〕214号）</w:t>
      </w:r>
      <w:r>
        <w:rPr>
          <w:rFonts w:hint="eastAsia" w:ascii="仿宋" w:hAnsi="仿宋" w:eastAsia="仿宋" w:cs="仿宋"/>
          <w:spacing w:val="4"/>
          <w:sz w:val="24"/>
          <w:szCs w:val="24"/>
          <w:highlight w:val="none"/>
        </w:rPr>
        <w:t>的规定，本次评审采用综合评分法，</w:t>
      </w:r>
      <w:r>
        <w:rPr>
          <w:rFonts w:hint="eastAsia" w:ascii="仿宋" w:hAnsi="仿宋" w:eastAsia="仿宋" w:cs="仿宋"/>
          <w:sz w:val="24"/>
          <w:szCs w:val="24"/>
          <w:highlight w:val="none"/>
        </w:rPr>
        <w:t>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pPr>
        <w:spacing w:line="360" w:lineRule="auto"/>
        <w:jc w:val="left"/>
        <w:outlineLvl w:val="1"/>
        <w:rPr>
          <w:rFonts w:ascii="仿宋" w:hAnsi="仿宋" w:eastAsia="仿宋" w:cs="仿宋"/>
          <w:b/>
          <w:sz w:val="24"/>
          <w:szCs w:val="24"/>
          <w:highlight w:val="none"/>
        </w:rPr>
      </w:pPr>
      <w:bookmarkStart w:id="223" w:name="_Toc23478"/>
      <w:bookmarkStart w:id="224" w:name="_Toc356"/>
      <w:bookmarkStart w:id="225" w:name="_Toc13568"/>
      <w:bookmarkStart w:id="226" w:name="_Toc465432103"/>
      <w:r>
        <w:rPr>
          <w:rFonts w:hint="eastAsia" w:ascii="仿宋" w:hAnsi="仿宋" w:eastAsia="仿宋" w:cs="仿宋"/>
          <w:b/>
          <w:sz w:val="24"/>
          <w:szCs w:val="24"/>
          <w:highlight w:val="none"/>
        </w:rPr>
        <w:t>二、评审原则</w:t>
      </w:r>
      <w:bookmarkEnd w:id="223"/>
      <w:bookmarkEnd w:id="224"/>
      <w:bookmarkEnd w:id="225"/>
      <w:bookmarkEnd w:id="226"/>
    </w:p>
    <w:p>
      <w:pPr>
        <w:widowControl/>
        <w:snapToGrid w:val="0"/>
        <w:spacing w:line="360" w:lineRule="auto"/>
        <w:ind w:firstLine="315"/>
        <w:rPr>
          <w:rFonts w:ascii="仿宋" w:hAnsi="仿宋" w:eastAsia="仿宋" w:cs="仿宋"/>
          <w:kern w:val="0"/>
          <w:sz w:val="24"/>
          <w:highlight w:val="none"/>
        </w:rPr>
      </w:pPr>
      <w:r>
        <w:rPr>
          <w:rFonts w:hint="eastAsia" w:ascii="仿宋" w:hAnsi="仿宋" w:eastAsia="仿宋" w:cs="仿宋"/>
          <w:kern w:val="0"/>
          <w:sz w:val="24"/>
          <w:highlight w:val="none"/>
        </w:rPr>
        <w:t>1、公平、公正、科学、择优。</w:t>
      </w:r>
    </w:p>
    <w:p>
      <w:pPr>
        <w:widowControl/>
        <w:snapToGrid w:val="0"/>
        <w:spacing w:line="360" w:lineRule="auto"/>
        <w:ind w:firstLine="315"/>
        <w:rPr>
          <w:rFonts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z w:val="24"/>
          <w:highlight w:val="none"/>
        </w:rPr>
        <w:t>工程质量符合国家各项施工及验收规范标准、工期满足竞争性磋商文件要求、施工方案合理可行、磋商报价合理低价</w:t>
      </w:r>
      <w:r>
        <w:rPr>
          <w:rFonts w:hint="eastAsia" w:ascii="仿宋" w:hAnsi="仿宋" w:eastAsia="仿宋" w:cs="仿宋"/>
          <w:kern w:val="0"/>
          <w:sz w:val="24"/>
          <w:highlight w:val="none"/>
        </w:rPr>
        <w:t>。</w:t>
      </w:r>
    </w:p>
    <w:p>
      <w:pPr>
        <w:widowControl/>
        <w:snapToGrid w:val="0"/>
        <w:spacing w:line="360" w:lineRule="auto"/>
        <w:ind w:firstLine="315"/>
        <w:rPr>
          <w:rFonts w:ascii="仿宋" w:hAnsi="仿宋" w:eastAsia="仿宋" w:cs="仿宋"/>
          <w:kern w:val="0"/>
          <w:sz w:val="24"/>
          <w:highlight w:val="none"/>
        </w:rPr>
      </w:pPr>
      <w:r>
        <w:rPr>
          <w:rFonts w:hint="eastAsia" w:ascii="仿宋" w:hAnsi="仿宋" w:eastAsia="仿宋" w:cs="仿宋"/>
          <w:kern w:val="0"/>
          <w:sz w:val="24"/>
          <w:highlight w:val="none"/>
        </w:rPr>
        <w:t>3、禁止不正当竞争。</w:t>
      </w:r>
      <w:bookmarkStart w:id="227" w:name="_Toc363463333"/>
    </w:p>
    <w:p>
      <w:pPr>
        <w:spacing w:line="360" w:lineRule="auto"/>
        <w:jc w:val="left"/>
        <w:outlineLvl w:val="1"/>
        <w:rPr>
          <w:rFonts w:ascii="仿宋" w:hAnsi="仿宋" w:eastAsia="仿宋" w:cs="仿宋"/>
          <w:b/>
          <w:sz w:val="24"/>
          <w:szCs w:val="24"/>
          <w:highlight w:val="none"/>
        </w:rPr>
      </w:pPr>
      <w:bookmarkStart w:id="228" w:name="_Toc19884"/>
      <w:bookmarkStart w:id="229" w:name="_Toc20438"/>
      <w:bookmarkStart w:id="230" w:name="_Toc13825"/>
      <w:r>
        <w:rPr>
          <w:rFonts w:hint="eastAsia" w:ascii="仿宋" w:hAnsi="仿宋" w:eastAsia="仿宋" w:cs="仿宋"/>
          <w:b/>
          <w:sz w:val="24"/>
          <w:szCs w:val="24"/>
          <w:highlight w:val="none"/>
        </w:rPr>
        <w:t>三、评审程序</w:t>
      </w:r>
      <w:bookmarkEnd w:id="227"/>
      <w:bookmarkEnd w:id="228"/>
      <w:bookmarkEnd w:id="229"/>
      <w:bookmarkEnd w:id="230"/>
    </w:p>
    <w:p>
      <w:pPr>
        <w:pStyle w:val="28"/>
        <w:spacing w:line="500" w:lineRule="exact"/>
        <w:ind w:left="0" w:firstLine="496" w:firstLineChars="200"/>
        <w:rPr>
          <w:rFonts w:ascii="仿宋" w:hAnsi="仿宋" w:eastAsia="仿宋" w:cs="仿宋"/>
          <w:bCs/>
          <w:spacing w:val="4"/>
          <w:highlight w:val="none"/>
        </w:rPr>
      </w:pPr>
      <w:r>
        <w:rPr>
          <w:rFonts w:hint="eastAsia" w:ascii="仿宋" w:hAnsi="仿宋" w:eastAsia="仿宋" w:cs="仿宋"/>
          <w:bCs/>
          <w:spacing w:val="4"/>
          <w:highlight w:val="none"/>
        </w:rPr>
        <w:t>按照竞争性磋商响应文件初审、澄清有关问题、分别磋商、二次报价、比较与评审、推荐成交候选人名单。在上一步评审中被认定为无效磋商者，不进入下一步的评审。</w:t>
      </w:r>
    </w:p>
    <w:p>
      <w:pPr>
        <w:tabs>
          <w:tab w:val="left" w:pos="0"/>
        </w:tabs>
        <w:adjustRightInd w:val="0"/>
        <w:snapToGrid w:val="0"/>
        <w:spacing w:line="500" w:lineRule="exact"/>
        <w:ind w:firstLine="472" w:firstLineChars="196"/>
        <w:rPr>
          <w:rFonts w:ascii="仿宋" w:hAnsi="仿宋" w:eastAsia="仿宋" w:cs="仿宋"/>
          <w:b/>
          <w:bCs/>
          <w:color w:val="000000"/>
          <w:sz w:val="24"/>
          <w:highlight w:val="none"/>
        </w:rPr>
      </w:pPr>
      <w:r>
        <w:rPr>
          <w:rFonts w:hint="eastAsia" w:ascii="仿宋" w:hAnsi="仿宋" w:eastAsia="仿宋" w:cs="仿宋"/>
          <w:b/>
          <w:bCs/>
          <w:color w:val="000000"/>
          <w:sz w:val="24"/>
          <w:highlight w:val="none"/>
        </w:rPr>
        <w:t>1、对磋商响应文件的初审：</w:t>
      </w:r>
    </w:p>
    <w:p>
      <w:pPr>
        <w:tabs>
          <w:tab w:val="left" w:pos="0"/>
        </w:tabs>
        <w:adjustRightInd w:val="0"/>
        <w:snapToGrid w:val="0"/>
        <w:spacing w:line="480" w:lineRule="exact"/>
        <w:ind w:firstLine="470" w:firstLineChars="196"/>
        <w:rPr>
          <w:rFonts w:ascii="仿宋" w:hAnsi="仿宋" w:eastAsia="仿宋" w:cs="仿宋"/>
          <w:color w:val="FF0000"/>
          <w:spacing w:val="4"/>
          <w:sz w:val="24"/>
          <w:szCs w:val="24"/>
          <w:highlight w:val="none"/>
        </w:rPr>
      </w:pPr>
      <w:r>
        <w:rPr>
          <w:rFonts w:hint="eastAsia" w:ascii="仿宋" w:hAnsi="仿宋" w:eastAsia="仿宋" w:cs="仿宋"/>
          <w:color w:val="000000"/>
          <w:sz w:val="24"/>
          <w:highlight w:val="none"/>
        </w:rPr>
        <w:t>1.1资格性审查：</w:t>
      </w:r>
      <w:r>
        <w:rPr>
          <w:rFonts w:hint="eastAsia" w:ascii="仿宋" w:hAnsi="仿宋" w:eastAsia="仿宋" w:cs="仿宋"/>
          <w:color w:val="FF0000"/>
          <w:spacing w:val="4"/>
          <w:sz w:val="24"/>
          <w:szCs w:val="24"/>
          <w:highlight w:val="none"/>
        </w:rPr>
        <w:t>采购人</w:t>
      </w:r>
      <w:r>
        <w:rPr>
          <w:rFonts w:hint="eastAsia" w:ascii="仿宋" w:hAnsi="仿宋" w:eastAsia="仿宋" w:cs="仿宋"/>
          <w:spacing w:val="4"/>
          <w:sz w:val="24"/>
          <w:szCs w:val="24"/>
          <w:highlight w:val="none"/>
        </w:rPr>
        <w:t>将依据本章</w:t>
      </w:r>
      <w:r>
        <w:rPr>
          <w:rFonts w:hint="eastAsia" w:ascii="仿宋" w:hAnsi="仿宋" w:eastAsia="仿宋" w:cs="仿宋"/>
          <w:color w:val="FF0000"/>
          <w:spacing w:val="4"/>
          <w:sz w:val="24"/>
          <w:szCs w:val="24"/>
          <w:highlight w:val="none"/>
        </w:rPr>
        <w:t>“四、评审标准 1、初步评审标准”</w:t>
      </w:r>
    </w:p>
    <w:p>
      <w:pPr>
        <w:tabs>
          <w:tab w:val="left" w:pos="0"/>
        </w:tabs>
        <w:adjustRightInd w:val="0"/>
        <w:snapToGrid w:val="0"/>
        <w:spacing w:line="480" w:lineRule="exact"/>
        <w:rPr>
          <w:rFonts w:ascii="仿宋" w:hAnsi="仿宋" w:eastAsia="仿宋" w:cs="仿宋"/>
          <w:color w:val="000000"/>
          <w:kern w:val="0"/>
          <w:sz w:val="24"/>
          <w:highlight w:val="none"/>
        </w:rPr>
      </w:pPr>
      <w:r>
        <w:rPr>
          <w:rFonts w:hint="eastAsia" w:ascii="仿宋" w:hAnsi="仿宋" w:eastAsia="仿宋" w:cs="仿宋"/>
          <w:color w:val="FF0000"/>
          <w:spacing w:val="4"/>
          <w:sz w:val="24"/>
          <w:szCs w:val="24"/>
          <w:highlight w:val="none"/>
        </w:rPr>
        <w:t>第1.1</w:t>
      </w:r>
      <w:r>
        <w:rPr>
          <w:rFonts w:hint="eastAsia" w:ascii="仿宋" w:hAnsi="仿宋" w:eastAsia="仿宋" w:cs="仿宋"/>
          <w:sz w:val="24"/>
          <w:highlight w:val="none"/>
        </w:rPr>
        <w:t>项规</w:t>
      </w:r>
      <w:r>
        <w:rPr>
          <w:rFonts w:hint="eastAsia" w:ascii="仿宋" w:hAnsi="仿宋" w:eastAsia="仿宋" w:cs="仿宋"/>
          <w:color w:val="000000"/>
          <w:sz w:val="24"/>
          <w:highlight w:val="none"/>
        </w:rPr>
        <w:t>定的评审标准对供应商进行资格性审查。有一项不符合评审标准的，</w:t>
      </w:r>
      <w:r>
        <w:rPr>
          <w:rFonts w:hint="eastAsia" w:ascii="仿宋" w:hAnsi="仿宋" w:eastAsia="仿宋" w:cs="仿宋"/>
          <w:color w:val="000000"/>
          <w:kern w:val="0"/>
          <w:sz w:val="24"/>
          <w:highlight w:val="none"/>
        </w:rPr>
        <w:t>将被视为未实质性响应磋商文件，其磋商响应文件将按无效文件处理。</w:t>
      </w:r>
    </w:p>
    <w:p>
      <w:pPr>
        <w:tabs>
          <w:tab w:val="left" w:pos="0"/>
        </w:tabs>
        <w:adjustRightInd w:val="0"/>
        <w:snapToGrid w:val="0"/>
        <w:spacing w:line="480" w:lineRule="exact"/>
        <w:ind w:firstLine="486" w:firstLineChars="196"/>
        <w:rPr>
          <w:rFonts w:ascii="仿宋" w:hAnsi="仿宋" w:eastAsia="仿宋" w:cs="仿宋"/>
          <w:color w:val="FF0000"/>
          <w:spacing w:val="4"/>
          <w:sz w:val="24"/>
          <w:szCs w:val="24"/>
          <w:highlight w:val="none"/>
        </w:rPr>
      </w:pPr>
      <w:r>
        <w:rPr>
          <w:rFonts w:hint="eastAsia" w:ascii="仿宋" w:hAnsi="仿宋" w:eastAsia="仿宋" w:cs="仿宋"/>
          <w:spacing w:val="4"/>
          <w:sz w:val="24"/>
          <w:szCs w:val="24"/>
          <w:highlight w:val="none"/>
        </w:rPr>
        <w:t>1.2符合性审查：磋商小组根据本章“</w:t>
      </w:r>
      <w:r>
        <w:rPr>
          <w:rFonts w:hint="eastAsia" w:ascii="仿宋" w:hAnsi="仿宋" w:eastAsia="仿宋" w:cs="仿宋"/>
          <w:color w:val="FF0000"/>
          <w:spacing w:val="4"/>
          <w:sz w:val="24"/>
          <w:szCs w:val="24"/>
          <w:highlight w:val="none"/>
        </w:rPr>
        <w:t>四、评审标准 1、初步评审标准”</w:t>
      </w:r>
    </w:p>
    <w:p>
      <w:pPr>
        <w:tabs>
          <w:tab w:val="left" w:pos="0"/>
        </w:tabs>
        <w:adjustRightInd w:val="0"/>
        <w:snapToGrid w:val="0"/>
        <w:spacing w:line="480" w:lineRule="exact"/>
        <w:rPr>
          <w:rFonts w:ascii="仿宋" w:hAnsi="仿宋" w:eastAsia="仿宋" w:cs="仿宋"/>
          <w:spacing w:val="4"/>
          <w:sz w:val="24"/>
          <w:szCs w:val="24"/>
          <w:highlight w:val="none"/>
        </w:rPr>
      </w:pPr>
      <w:r>
        <w:rPr>
          <w:rFonts w:hint="eastAsia" w:ascii="仿宋" w:hAnsi="仿宋" w:eastAsia="仿宋" w:cs="仿宋"/>
          <w:color w:val="FF0000"/>
          <w:spacing w:val="4"/>
          <w:sz w:val="24"/>
          <w:szCs w:val="24"/>
          <w:highlight w:val="none"/>
        </w:rPr>
        <w:t>第1.2项</w:t>
      </w:r>
      <w:r>
        <w:rPr>
          <w:rFonts w:hint="eastAsia" w:ascii="仿宋" w:hAnsi="仿宋" w:eastAsia="仿宋" w:cs="仿宋"/>
          <w:spacing w:val="4"/>
          <w:sz w:val="24"/>
          <w:szCs w:val="24"/>
          <w:highlight w:val="none"/>
        </w:rPr>
        <w:t>规定的评审标准对磋商响应文件进行符合性审查。有一项不符合评审标准的，将被视为未实质性响应磋商文件，其磋商响应文件将按无效文件处理。</w:t>
      </w:r>
    </w:p>
    <w:p>
      <w:pPr>
        <w:tabs>
          <w:tab w:val="left" w:pos="0"/>
        </w:tabs>
        <w:adjustRightInd w:val="0"/>
        <w:snapToGrid w:val="0"/>
        <w:spacing w:line="480" w:lineRule="exact"/>
        <w:ind w:firstLine="486" w:firstLineChars="196"/>
        <w:rPr>
          <w:rFonts w:ascii="仿宋" w:hAnsi="仿宋" w:eastAsia="仿宋" w:cs="仿宋"/>
          <w:highlight w:val="none"/>
        </w:rPr>
      </w:pPr>
      <w:r>
        <w:rPr>
          <w:rFonts w:hint="eastAsia" w:ascii="仿宋" w:hAnsi="仿宋" w:eastAsia="仿宋" w:cs="仿宋"/>
          <w:spacing w:val="4"/>
          <w:sz w:val="24"/>
          <w:szCs w:val="24"/>
          <w:highlight w:val="none"/>
        </w:rPr>
        <w:t>1.3在资格性审查阶段，不符合磋商文件要求的，不得进入符合性审查，在符合性审查时未通过的，不得进入后续评审环节。</w:t>
      </w:r>
    </w:p>
    <w:p>
      <w:pPr>
        <w:spacing w:before="156" w:beforeLines="50" w:after="156" w:afterLines="50" w:line="500" w:lineRule="exact"/>
        <w:ind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rPr>
        <w:t>2、磋商响应文件的澄清</w:t>
      </w:r>
    </w:p>
    <w:p>
      <w:pPr>
        <w:tabs>
          <w:tab w:val="left" w:pos="0"/>
        </w:tabs>
        <w:adjustRightInd w:val="0"/>
        <w:snapToGrid w:val="0"/>
        <w:spacing w:line="500" w:lineRule="exact"/>
        <w:ind w:firstLine="486" w:firstLineChars="196"/>
        <w:rPr>
          <w:rFonts w:ascii="仿宋" w:hAnsi="仿宋" w:eastAsia="仿宋" w:cs="仿宋"/>
          <w:bCs/>
          <w:spacing w:val="4"/>
          <w:sz w:val="24"/>
          <w:szCs w:val="24"/>
          <w:highlight w:val="none"/>
        </w:rPr>
      </w:pPr>
      <w:r>
        <w:rPr>
          <w:rFonts w:hint="eastAsia" w:ascii="仿宋" w:hAnsi="仿宋" w:eastAsia="仿宋" w:cs="仿宋"/>
          <w:bCs/>
          <w:spacing w:val="4"/>
          <w:sz w:val="24"/>
          <w:szCs w:val="24"/>
          <w:highlight w:val="none"/>
        </w:rPr>
        <w:t>2.1磋商小组发现供应商的报价明显低于其他磋商报价、或明显低于市场价格，使得其磋商报价可能低于其成本的，有可能影响产品质量或者不能诚信履约的，应当要求其在合理的时间内做出书面说明，必要时提交相关证明材料。供应商不能证明其报价合理性的，由磋商小组将其作为无效响应处理。</w:t>
      </w:r>
    </w:p>
    <w:p>
      <w:pPr>
        <w:tabs>
          <w:tab w:val="left" w:pos="0"/>
        </w:tabs>
        <w:adjustRightInd w:val="0"/>
        <w:snapToGrid w:val="0"/>
        <w:spacing w:line="500" w:lineRule="exact"/>
        <w:ind w:firstLine="486" w:firstLineChars="196"/>
        <w:rPr>
          <w:rFonts w:ascii="仿宋" w:hAnsi="仿宋" w:eastAsia="仿宋" w:cs="仿宋"/>
          <w:bCs/>
          <w:spacing w:val="4"/>
          <w:sz w:val="24"/>
          <w:szCs w:val="24"/>
          <w:highlight w:val="none"/>
        </w:rPr>
      </w:pPr>
      <w:r>
        <w:rPr>
          <w:rFonts w:hint="eastAsia" w:ascii="仿宋" w:hAnsi="仿宋" w:eastAsia="仿宋" w:cs="仿宋"/>
          <w:bCs/>
          <w:spacing w:val="4"/>
          <w:sz w:val="24"/>
          <w:szCs w:val="24"/>
          <w:highlight w:val="none"/>
        </w:rPr>
        <w:t>2.2有效的书面澄清材料，是磋商响应文件的补充材料，成为磋商响应文件的组成部分。</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2.3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pPr>
        <w:spacing w:line="360" w:lineRule="auto"/>
        <w:ind w:firstLine="480" w:firstLineChars="200"/>
        <w:jc w:val="left"/>
        <w:rPr>
          <w:rFonts w:ascii="仿宋" w:hAnsi="仿宋" w:eastAsia="仿宋" w:cs="仿宋"/>
          <w:highlight w:val="none"/>
        </w:rPr>
      </w:pPr>
      <w:r>
        <w:rPr>
          <w:rFonts w:hint="eastAsia" w:ascii="仿宋" w:hAnsi="仿宋" w:eastAsia="仿宋" w:cs="仿宋"/>
          <w:sz w:val="24"/>
          <w:szCs w:val="24"/>
          <w:highlight w:val="none"/>
        </w:rPr>
        <w:t>2.4、如果供应商在澄清规定期限内，未能答复或拒绝答复磋商小组提出的澄清要求，将由磋商小组根据其竞争性磋商响应文件按最大风险进行评审。</w:t>
      </w:r>
    </w:p>
    <w:p>
      <w:pPr>
        <w:spacing w:line="500" w:lineRule="exact"/>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3、磋商：</w:t>
      </w:r>
      <w:r>
        <w:rPr>
          <w:rFonts w:hint="eastAsia" w:ascii="仿宋" w:hAnsi="仿宋" w:eastAsia="仿宋" w:cs="仿宋"/>
          <w:sz w:val="24"/>
          <w:szCs w:val="24"/>
          <w:highlight w:val="none"/>
        </w:rPr>
        <w:t>磋商小组所有成员集中与单一供应商分别进行磋商，并要求供应商在规定的时间内提交最后报价。</w:t>
      </w:r>
    </w:p>
    <w:p>
      <w:pPr>
        <w:spacing w:line="500" w:lineRule="exact"/>
        <w:ind w:firstLine="602" w:firstLineChars="250"/>
        <w:rPr>
          <w:rFonts w:ascii="仿宋" w:hAnsi="仿宋" w:eastAsia="仿宋" w:cs="仿宋"/>
          <w:b/>
          <w:bCs/>
          <w:sz w:val="24"/>
          <w:szCs w:val="24"/>
          <w:highlight w:val="none"/>
        </w:rPr>
      </w:pPr>
      <w:r>
        <w:rPr>
          <w:rFonts w:hint="eastAsia" w:ascii="仿宋" w:hAnsi="仿宋" w:eastAsia="仿宋" w:cs="仿宋"/>
          <w:b/>
          <w:bCs/>
          <w:sz w:val="24"/>
          <w:szCs w:val="24"/>
          <w:highlight w:val="none"/>
        </w:rPr>
        <w:t>4、磋商过程中的实质性变动</w:t>
      </w:r>
    </w:p>
    <w:p>
      <w:pPr>
        <w:spacing w:line="500" w:lineRule="exact"/>
        <w:ind w:firstLine="600" w:firstLineChars="250"/>
        <w:rPr>
          <w:rFonts w:ascii="仿宋" w:hAnsi="仿宋" w:eastAsia="仿宋" w:cs="仿宋"/>
          <w:sz w:val="24"/>
          <w:szCs w:val="24"/>
          <w:highlight w:val="none"/>
        </w:rPr>
      </w:pPr>
      <w:r>
        <w:rPr>
          <w:rFonts w:hint="eastAsia" w:ascii="仿宋" w:hAnsi="仿宋" w:eastAsia="仿宋" w:cs="仿宋"/>
          <w:sz w:val="24"/>
          <w:szCs w:val="24"/>
          <w:highlight w:val="none"/>
        </w:rPr>
        <w:t>4.1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pPr>
        <w:spacing w:line="500" w:lineRule="exact"/>
        <w:ind w:firstLine="600" w:firstLineChars="250"/>
        <w:rPr>
          <w:rFonts w:ascii="仿宋" w:hAnsi="仿宋" w:eastAsia="仿宋" w:cs="仿宋"/>
          <w:sz w:val="24"/>
          <w:szCs w:val="24"/>
          <w:highlight w:val="none"/>
        </w:rPr>
      </w:pPr>
      <w:r>
        <w:rPr>
          <w:rFonts w:hint="eastAsia" w:ascii="仿宋" w:hAnsi="仿宋" w:eastAsia="仿宋" w:cs="仿宋"/>
          <w:sz w:val="24"/>
          <w:szCs w:val="24"/>
          <w:highlight w:val="none"/>
        </w:rPr>
        <w:t>4.2对竞争性磋商文件做出的实质性变动是磋商文件的有效组成部分，磋商小组应当及时以书面形式通知所有参加磋商的供应商。</w:t>
      </w:r>
    </w:p>
    <w:p>
      <w:pPr>
        <w:numPr>
          <w:ilvl w:val="0"/>
          <w:numId w:val="6"/>
        </w:numPr>
        <w:spacing w:line="500" w:lineRule="exact"/>
        <w:ind w:firstLine="602" w:firstLineChars="250"/>
        <w:rPr>
          <w:rFonts w:ascii="仿宋" w:hAnsi="仿宋" w:eastAsia="仿宋" w:cs="仿宋"/>
          <w:sz w:val="24"/>
          <w:szCs w:val="24"/>
          <w:highlight w:val="none"/>
        </w:rPr>
      </w:pPr>
      <w:r>
        <w:rPr>
          <w:rFonts w:hint="eastAsia" w:ascii="仿宋" w:hAnsi="仿宋" w:eastAsia="仿宋" w:cs="仿宋"/>
          <w:b/>
          <w:bCs/>
          <w:sz w:val="24"/>
          <w:szCs w:val="24"/>
          <w:highlight w:val="none"/>
        </w:rPr>
        <w:t>综合评审：</w:t>
      </w:r>
      <w:r>
        <w:rPr>
          <w:rFonts w:hint="eastAsia" w:ascii="仿宋" w:hAnsi="仿宋" w:eastAsia="仿宋" w:cs="仿宋"/>
          <w:sz w:val="24"/>
          <w:szCs w:val="24"/>
          <w:highlight w:val="none"/>
        </w:rPr>
        <w:t>对于经初审合格的所有供应商，由磋商小组各成员依据磋商响应文件和最终报价，按照下列评审方法规定的内容独立进行综合评价、比较打分，然后汇总每个供应商的得分，从高到低依次排序，推荐成交候选人。</w:t>
      </w:r>
    </w:p>
    <w:p>
      <w:pPr>
        <w:numPr>
          <w:ilvl w:val="0"/>
          <w:numId w:val="6"/>
        </w:numPr>
        <w:spacing w:line="500" w:lineRule="exact"/>
        <w:ind w:firstLine="602" w:firstLineChars="250"/>
        <w:rPr>
          <w:rFonts w:ascii="仿宋" w:hAnsi="仿宋" w:eastAsia="仿宋" w:cs="仿宋"/>
          <w:b/>
          <w:bCs/>
          <w:sz w:val="24"/>
          <w:szCs w:val="24"/>
          <w:highlight w:val="none"/>
        </w:rPr>
      </w:pPr>
      <w:r>
        <w:rPr>
          <w:rFonts w:hint="eastAsia" w:ascii="仿宋" w:hAnsi="仿宋" w:eastAsia="仿宋" w:cs="仿宋"/>
          <w:b/>
          <w:bCs/>
          <w:sz w:val="24"/>
          <w:szCs w:val="24"/>
          <w:highlight w:val="none"/>
        </w:rPr>
        <w:t>推荐成交候选人</w:t>
      </w:r>
    </w:p>
    <w:p>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磋商小组完成评审后，向采购人提出书面评审，并推荐3名成交候选人，标明排列顺序。</w:t>
      </w:r>
    </w:p>
    <w:p>
      <w:pPr>
        <w:spacing w:line="360" w:lineRule="auto"/>
        <w:jc w:val="left"/>
        <w:outlineLvl w:val="1"/>
        <w:rPr>
          <w:rFonts w:ascii="仿宋" w:hAnsi="仿宋" w:eastAsia="仿宋" w:cs="仿宋"/>
          <w:b/>
          <w:sz w:val="24"/>
          <w:szCs w:val="24"/>
          <w:highlight w:val="none"/>
        </w:rPr>
      </w:pPr>
      <w:bookmarkStart w:id="231" w:name="_Toc30150"/>
      <w:bookmarkStart w:id="232" w:name="_Toc30499"/>
      <w:bookmarkStart w:id="233" w:name="_Toc27288"/>
      <w:r>
        <w:rPr>
          <w:rFonts w:hint="eastAsia" w:ascii="仿宋" w:hAnsi="仿宋" w:eastAsia="仿宋" w:cs="仿宋"/>
          <w:b/>
          <w:sz w:val="24"/>
          <w:szCs w:val="24"/>
          <w:highlight w:val="none"/>
        </w:rPr>
        <w:t>四、评审标准</w:t>
      </w:r>
      <w:bookmarkEnd w:id="231"/>
      <w:bookmarkEnd w:id="232"/>
      <w:bookmarkEnd w:id="233"/>
    </w:p>
    <w:p>
      <w:pPr>
        <w:tabs>
          <w:tab w:val="left" w:pos="0"/>
        </w:tabs>
        <w:adjustRightInd w:val="0"/>
        <w:snapToGrid w:val="0"/>
        <w:spacing w:line="48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1、初步评审标准</w:t>
      </w:r>
    </w:p>
    <w:p>
      <w:pPr>
        <w:tabs>
          <w:tab w:val="left" w:pos="0"/>
        </w:tabs>
        <w:adjustRightInd w:val="0"/>
        <w:snapToGrid w:val="0"/>
        <w:spacing w:line="480" w:lineRule="exact"/>
        <w:ind w:firstLine="470" w:firstLineChars="196"/>
        <w:rPr>
          <w:rFonts w:ascii="仿宋" w:hAnsi="仿宋" w:eastAsia="仿宋" w:cs="仿宋"/>
          <w:color w:val="000000"/>
          <w:kern w:val="0"/>
          <w:sz w:val="24"/>
          <w:highlight w:val="none"/>
        </w:rPr>
      </w:pPr>
      <w:r>
        <w:rPr>
          <w:rFonts w:hint="eastAsia" w:ascii="仿宋" w:hAnsi="仿宋" w:eastAsia="仿宋" w:cs="仿宋"/>
          <w:color w:val="000000"/>
          <w:sz w:val="24"/>
          <w:highlight w:val="none"/>
        </w:rPr>
        <w:t>1.1资格性审查标准：见附件1初步审查要素表</w:t>
      </w:r>
    </w:p>
    <w:p>
      <w:pPr>
        <w:tabs>
          <w:tab w:val="left" w:pos="0"/>
        </w:tabs>
        <w:adjustRightInd w:val="0"/>
        <w:snapToGrid w:val="0"/>
        <w:spacing w:line="480" w:lineRule="exact"/>
        <w:ind w:firstLine="470" w:firstLineChars="196"/>
        <w:rPr>
          <w:rFonts w:ascii="仿宋" w:hAnsi="仿宋" w:eastAsia="仿宋" w:cs="仿宋"/>
          <w:color w:val="000000"/>
          <w:sz w:val="24"/>
          <w:highlight w:val="none"/>
        </w:rPr>
      </w:pPr>
      <w:r>
        <w:rPr>
          <w:rFonts w:hint="eastAsia" w:ascii="仿宋" w:hAnsi="仿宋" w:eastAsia="仿宋" w:cs="仿宋"/>
          <w:color w:val="000000"/>
          <w:sz w:val="24"/>
          <w:highlight w:val="none"/>
        </w:rPr>
        <w:t>1.2符合性审查标准：见附件1初步审查要素表</w:t>
      </w:r>
    </w:p>
    <w:p>
      <w:pPr>
        <w:tabs>
          <w:tab w:val="left" w:pos="0"/>
        </w:tabs>
        <w:adjustRightInd w:val="0"/>
        <w:snapToGrid w:val="0"/>
        <w:spacing w:line="480" w:lineRule="exact"/>
        <w:ind w:firstLine="472" w:firstLineChars="196"/>
        <w:rPr>
          <w:rFonts w:ascii="仿宋" w:hAnsi="仿宋" w:eastAsia="仿宋" w:cs="仿宋"/>
          <w:b/>
          <w:color w:val="000000"/>
          <w:sz w:val="24"/>
          <w:szCs w:val="22"/>
          <w:highlight w:val="none"/>
        </w:rPr>
      </w:pPr>
      <w:r>
        <w:rPr>
          <w:rFonts w:hint="eastAsia" w:ascii="仿宋" w:hAnsi="仿宋" w:eastAsia="仿宋" w:cs="仿宋"/>
          <w:b/>
          <w:color w:val="000000"/>
          <w:sz w:val="24"/>
          <w:szCs w:val="22"/>
          <w:highlight w:val="none"/>
        </w:rPr>
        <w:t>2、分值构成与评分标准</w:t>
      </w:r>
    </w:p>
    <w:p>
      <w:pPr>
        <w:tabs>
          <w:tab w:val="left" w:pos="0"/>
        </w:tabs>
        <w:adjustRightInd w:val="0"/>
        <w:snapToGrid w:val="0"/>
        <w:spacing w:line="480" w:lineRule="exact"/>
        <w:ind w:firstLine="470" w:firstLineChars="196"/>
        <w:rPr>
          <w:rFonts w:ascii="仿宋" w:hAnsi="仿宋" w:eastAsia="仿宋" w:cs="仿宋"/>
          <w:b/>
          <w:bCs/>
          <w:spacing w:val="4"/>
          <w:sz w:val="24"/>
          <w:szCs w:val="24"/>
          <w:highlight w:val="none"/>
        </w:rPr>
      </w:pPr>
      <w:r>
        <w:rPr>
          <w:rFonts w:hint="eastAsia" w:ascii="仿宋" w:hAnsi="仿宋" w:eastAsia="仿宋" w:cs="仿宋"/>
          <w:bCs/>
          <w:color w:val="000000"/>
          <w:sz w:val="24"/>
          <w:szCs w:val="22"/>
          <w:highlight w:val="none"/>
        </w:rPr>
        <w:t>2.1分值构成：见附件2评标因素及权重分值表</w:t>
      </w:r>
    </w:p>
    <w:p>
      <w:pPr>
        <w:spacing w:line="360" w:lineRule="auto"/>
        <w:jc w:val="left"/>
        <w:outlineLvl w:val="1"/>
        <w:rPr>
          <w:rFonts w:ascii="仿宋" w:hAnsi="仿宋" w:eastAsia="仿宋" w:cs="仿宋"/>
          <w:b/>
          <w:sz w:val="24"/>
          <w:szCs w:val="24"/>
          <w:highlight w:val="none"/>
        </w:rPr>
      </w:pPr>
      <w:bookmarkStart w:id="234" w:name="_Toc18842"/>
      <w:bookmarkStart w:id="235" w:name="_Toc9474"/>
      <w:bookmarkStart w:id="236" w:name="_Toc31050"/>
      <w:r>
        <w:rPr>
          <w:rFonts w:hint="eastAsia" w:ascii="仿宋" w:hAnsi="仿宋" w:eastAsia="仿宋" w:cs="仿宋"/>
          <w:b/>
          <w:sz w:val="24"/>
          <w:szCs w:val="24"/>
          <w:highlight w:val="none"/>
        </w:rPr>
        <w:t>五、磋商小组当履行下列义务</w:t>
      </w:r>
      <w:bookmarkEnd w:id="234"/>
      <w:bookmarkEnd w:id="235"/>
      <w:bookmarkEnd w:id="236"/>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1、遵纪守法，客观、公正、廉洁地履行职责；</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2、根据采购文件的规定独立进行评审，对个人的评审意见承担法律责任；</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3、参与评审报告的起草；</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4、配合采购人、采购代理机构答复供应商提出的质疑；</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5、配合财政部门的投诉处理和监督检查工作。</w:t>
      </w:r>
    </w:p>
    <w:p>
      <w:pPr>
        <w:pStyle w:val="15"/>
        <w:ind w:left="0" w:leftChars="0" w:firstLine="0"/>
        <w:jc w:val="left"/>
        <w:outlineLvl w:val="1"/>
        <w:rPr>
          <w:rFonts w:ascii="仿宋" w:hAnsi="仿宋" w:eastAsia="仿宋" w:cs="仿宋"/>
          <w:b/>
          <w:bCs/>
          <w:spacing w:val="4"/>
          <w:highlight w:val="none"/>
        </w:rPr>
      </w:pPr>
      <w:bookmarkStart w:id="237" w:name="_Toc23808"/>
      <w:bookmarkStart w:id="238" w:name="_Toc17584"/>
      <w:bookmarkStart w:id="239" w:name="_Toc8368"/>
      <w:r>
        <w:rPr>
          <w:rFonts w:hint="eastAsia" w:ascii="仿宋" w:hAnsi="仿宋" w:eastAsia="仿宋" w:cs="仿宋"/>
          <w:b/>
          <w:highlight w:val="none"/>
        </w:rPr>
        <w:t>六、</w:t>
      </w:r>
      <w:r>
        <w:rPr>
          <w:rFonts w:hint="eastAsia" w:ascii="仿宋" w:hAnsi="仿宋" w:eastAsia="仿宋" w:cs="仿宋"/>
          <w:b/>
          <w:bCs/>
          <w:spacing w:val="4"/>
          <w:highlight w:val="none"/>
        </w:rPr>
        <w:t>无效响应文件</w:t>
      </w:r>
      <w:bookmarkEnd w:id="237"/>
      <w:bookmarkEnd w:id="238"/>
      <w:bookmarkEnd w:id="239"/>
    </w:p>
    <w:p>
      <w:pPr>
        <w:spacing w:line="360" w:lineRule="auto"/>
        <w:ind w:firstLine="482" w:firstLineChars="200"/>
        <w:jc w:val="left"/>
        <w:rPr>
          <w:rFonts w:ascii="仿宋" w:hAnsi="仿宋" w:eastAsia="仿宋" w:cs="仿宋"/>
          <w:b/>
          <w:sz w:val="24"/>
          <w:szCs w:val="24"/>
          <w:highlight w:val="none"/>
        </w:rPr>
      </w:pPr>
      <w:r>
        <w:rPr>
          <w:rFonts w:hint="eastAsia" w:ascii="仿宋" w:hAnsi="仿宋" w:eastAsia="仿宋" w:cs="仿宋"/>
          <w:b/>
          <w:sz w:val="24"/>
          <w:szCs w:val="24"/>
          <w:highlight w:val="none"/>
        </w:rPr>
        <w:t>出现下列情形之一的，磋商响应文件无效：</w:t>
      </w:r>
    </w:p>
    <w:p>
      <w:pPr>
        <w:tabs>
          <w:tab w:val="left" w:pos="1260"/>
        </w:tabs>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1、没有按照竞争性磋商文件要求提供的竞争性磋商响应文件、竞争性磋商响应文件构成有重大缺项、磋商响应文件格式不符合竞争性磋商文件要求；</w:t>
      </w:r>
    </w:p>
    <w:p>
      <w:pPr>
        <w:kinsoku w:val="0"/>
        <w:spacing w:line="360" w:lineRule="auto"/>
        <w:ind w:firstLine="480" w:firstLineChars="200"/>
        <w:jc w:val="left"/>
        <w:rPr>
          <w:rFonts w:ascii="仿宋" w:hAnsi="仿宋" w:eastAsia="仿宋" w:cs="仿宋"/>
          <w:spacing w:val="-6"/>
          <w:sz w:val="24"/>
          <w:highlight w:val="none"/>
        </w:rPr>
      </w:pPr>
      <w:r>
        <w:rPr>
          <w:rFonts w:hint="eastAsia" w:ascii="仿宋" w:hAnsi="仿宋" w:eastAsia="仿宋" w:cs="仿宋"/>
          <w:sz w:val="24"/>
          <w:highlight w:val="none"/>
        </w:rPr>
        <w:t>2、竞争性磋商响应文件未按竞争性磋商文件要求密封、签署、盖章的；</w:t>
      </w:r>
    </w:p>
    <w:p>
      <w:pPr>
        <w:tabs>
          <w:tab w:val="left" w:pos="1260"/>
        </w:tabs>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3、供应商未按竞争性磋商文件要求提交磋商保证金或保函的；</w:t>
      </w:r>
    </w:p>
    <w:p>
      <w:pPr>
        <w:tabs>
          <w:tab w:val="left" w:pos="1260"/>
        </w:tabs>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4、资格证明文件不全的或无效的，或不符合国家规定的；</w:t>
      </w:r>
    </w:p>
    <w:p>
      <w:pPr>
        <w:tabs>
          <w:tab w:val="left" w:pos="1260"/>
        </w:tabs>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pacing w:val="-6"/>
          <w:sz w:val="24"/>
          <w:highlight w:val="none"/>
        </w:rPr>
        <w:t>无磋商有效期或有效期达不到竞争性磋商文件要求的</w:t>
      </w:r>
      <w:r>
        <w:rPr>
          <w:rFonts w:hint="eastAsia" w:ascii="仿宋" w:hAnsi="仿宋" w:eastAsia="仿宋" w:cs="仿宋"/>
          <w:sz w:val="24"/>
          <w:szCs w:val="24"/>
          <w:highlight w:val="none"/>
        </w:rPr>
        <w:t>；</w:t>
      </w:r>
    </w:p>
    <w:p>
      <w:pPr>
        <w:tabs>
          <w:tab w:val="left" w:pos="1260"/>
        </w:tabs>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6、供应商有串通磋商、以他人名义磋商、行贿、</w:t>
      </w:r>
      <w:r>
        <w:rPr>
          <w:rFonts w:hint="eastAsia" w:ascii="仿宋" w:hAnsi="仿宋" w:eastAsia="仿宋" w:cs="仿宋"/>
          <w:sz w:val="24"/>
          <w:highlight w:val="none"/>
        </w:rPr>
        <w:t>提供虚假证明（包括第三方提供的虚假证明），开具虚假资质，出现虚假应答的，除按无效文件处理外，还将按照政府采购的有关规定进行处罚；</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7、磋商总报价超过竞争性磋商文件公布的采购预算的。</w:t>
      </w:r>
    </w:p>
    <w:p>
      <w:pPr>
        <w:spacing w:line="360" w:lineRule="auto"/>
        <w:ind w:firstLine="480" w:firstLineChars="200"/>
        <w:jc w:val="left"/>
        <w:rPr>
          <w:rFonts w:ascii="仿宋" w:hAnsi="仿宋" w:eastAsia="仿宋" w:cs="仿宋"/>
          <w:highlight w:val="none"/>
        </w:rPr>
      </w:pPr>
      <w:r>
        <w:rPr>
          <w:rFonts w:hint="eastAsia" w:ascii="仿宋" w:hAnsi="仿宋" w:eastAsia="仿宋" w:cs="仿宋"/>
          <w:sz w:val="24"/>
          <w:szCs w:val="24"/>
          <w:highlight w:val="none"/>
        </w:rPr>
        <w:t>8、磋商响应文件含有采购人不能接受的附加条件的；</w:t>
      </w:r>
    </w:p>
    <w:p>
      <w:pPr>
        <w:spacing w:line="360" w:lineRule="auto"/>
        <w:ind w:firstLine="480" w:firstLineChars="200"/>
        <w:jc w:val="left"/>
        <w:rPr>
          <w:rFonts w:ascii="仿宋" w:hAnsi="仿宋" w:eastAsia="仿宋" w:cs="仿宋"/>
          <w:b/>
          <w:szCs w:val="24"/>
          <w:highlight w:val="none"/>
        </w:rPr>
      </w:pPr>
      <w:r>
        <w:rPr>
          <w:rFonts w:hint="eastAsia" w:ascii="仿宋" w:hAnsi="仿宋" w:eastAsia="仿宋" w:cs="仿宋"/>
          <w:sz w:val="24"/>
          <w:szCs w:val="24"/>
          <w:highlight w:val="none"/>
        </w:rPr>
        <w:t>9、法律、法规规定的其他无效情形。</w:t>
      </w:r>
    </w:p>
    <w:p>
      <w:pPr>
        <w:pStyle w:val="15"/>
        <w:ind w:left="0" w:leftChars="0" w:firstLine="0"/>
        <w:jc w:val="left"/>
        <w:outlineLvl w:val="1"/>
        <w:rPr>
          <w:rFonts w:ascii="仿宋" w:hAnsi="仿宋" w:eastAsia="仿宋" w:cs="仿宋"/>
          <w:b/>
          <w:highlight w:val="none"/>
        </w:rPr>
      </w:pPr>
      <w:bookmarkStart w:id="240" w:name="_Toc10594"/>
      <w:bookmarkStart w:id="241" w:name="_Toc17756"/>
      <w:bookmarkStart w:id="242" w:name="_Toc16074"/>
      <w:r>
        <w:rPr>
          <w:rFonts w:hint="eastAsia" w:ascii="仿宋" w:hAnsi="仿宋" w:eastAsia="仿宋" w:cs="仿宋"/>
          <w:b/>
          <w:highlight w:val="none"/>
        </w:rPr>
        <w:t>七、政策性扣减</w:t>
      </w:r>
      <w:bookmarkEnd w:id="240"/>
      <w:bookmarkEnd w:id="241"/>
      <w:bookmarkEnd w:id="242"/>
    </w:p>
    <w:p>
      <w:pPr>
        <w:spacing w:line="360" w:lineRule="auto"/>
        <w:ind w:firstLine="482" w:firstLineChars="200"/>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1、政策性扣减范围</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1.1供应商符合小型、微型企业或监狱企业、残疾人福利性单位条件的，其投标报价价格评审时将按相应比例进行扣减。</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1.2依据关于印发《政府采购促进中小企业发展管理办法》的通知（财库〔2020〕46号）的规定，在政府采购活动中，供应商提供的货物、工程或者服务符合下列情形的，享受中小企业扶持政策：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（2）在货物采购项目中，供应商提供的货物既有中小企业制造货物，也有大型企业制造货物的，不享受本办法规定的中小企业扶持政策。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(4)中小企业参加政府采购活动，应当出具符合财库〔2020〕46号规定的《中小企业声明函》,否则不得享受相关中小企业扶持政策。</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1.3采购人拟采购产品属于优先采购节能、环境标志产品范围的，应当优先采购节能、环境标志产品；拟采购产品符合政府采购强制采购政策的，实行强制采购。</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1.3.1采购人依据节能产品、环境标志产品品目清单和节能、环境标志产品认证证书实施政府优先采购和强制采购。</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1.3.2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spacing w:line="360" w:lineRule="auto"/>
        <w:ind w:firstLine="480" w:firstLineChars="200"/>
        <w:jc w:val="left"/>
        <w:rPr>
          <w:rFonts w:ascii="仿宋" w:hAnsi="仿宋" w:eastAsia="仿宋" w:cs="仿宋"/>
          <w:color w:val="000000"/>
          <w:sz w:val="24"/>
          <w:szCs w:val="24"/>
          <w:highlight w:val="none"/>
        </w:rPr>
      </w:pPr>
      <w:r>
        <w:rPr>
          <w:rFonts w:hint="eastAsia" w:ascii="仿宋" w:hAnsi="仿宋" w:eastAsia="仿宋" w:cs="仿宋"/>
          <w:sz w:val="24"/>
          <w:szCs w:val="24"/>
          <w:highlight w:val="none"/>
        </w:rPr>
        <w:t>1.4监狱企业参加政府采购活动时，应当提供由省级以上监狱管理局、戒毒管理局(含新疆生产建设兵团)出具的属于监狱企业的证明文件。</w:t>
      </w:r>
      <w:r>
        <w:rPr>
          <w:rFonts w:hint="eastAsia" w:ascii="仿宋" w:hAnsi="仿宋" w:eastAsia="仿宋" w:cs="仿宋"/>
          <w:color w:val="000000"/>
          <w:sz w:val="24"/>
          <w:szCs w:val="24"/>
          <w:highlight w:val="none"/>
        </w:rPr>
        <w:t>监狱企业参加政府采购活动时，视同小型、微型企业。</w:t>
      </w:r>
    </w:p>
    <w:p>
      <w:pPr>
        <w:spacing w:line="360" w:lineRule="auto"/>
        <w:ind w:firstLine="480" w:firstLineChars="200"/>
        <w:jc w:val="left"/>
        <w:rPr>
          <w:rFonts w:ascii="仿宋" w:hAnsi="仿宋" w:eastAsia="仿宋" w:cs="仿宋"/>
          <w:color w:val="000000"/>
          <w:sz w:val="24"/>
          <w:szCs w:val="24"/>
          <w:highlight w:val="none"/>
        </w:rPr>
      </w:pPr>
      <w:r>
        <w:rPr>
          <w:rFonts w:hint="eastAsia" w:ascii="仿宋" w:hAnsi="仿宋" w:eastAsia="仿宋" w:cs="仿宋"/>
          <w:sz w:val="24"/>
          <w:szCs w:val="24"/>
          <w:highlight w:val="none"/>
        </w:rPr>
        <w:t>1.5符合条件的残疾人福利性单位在参加政府采购活动时，应当提供《残疾人福利性单位声明函》，并对声明的真实性负责。残疾人福利性单位</w:t>
      </w:r>
      <w:r>
        <w:rPr>
          <w:rFonts w:hint="eastAsia" w:ascii="仿宋" w:hAnsi="仿宋" w:eastAsia="仿宋" w:cs="仿宋"/>
          <w:color w:val="000000"/>
          <w:sz w:val="24"/>
          <w:szCs w:val="24"/>
          <w:highlight w:val="none"/>
        </w:rPr>
        <w:t>参加政府采购活动时，视同小型、微型企业；</w:t>
      </w:r>
      <w:r>
        <w:rPr>
          <w:rFonts w:hint="eastAsia" w:ascii="仿宋" w:hAnsi="仿宋" w:eastAsia="仿宋" w:cs="仿宋"/>
          <w:sz w:val="24"/>
          <w:szCs w:val="24"/>
          <w:highlight w:val="none"/>
        </w:rPr>
        <w:t>残疾人福利性单位属于小型、微型企业的，不重复享受政策。</w:t>
      </w:r>
    </w:p>
    <w:p>
      <w:pPr>
        <w:spacing w:line="360" w:lineRule="auto"/>
        <w:ind w:firstLine="482" w:firstLineChars="200"/>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2、政策性扣减方式</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2.1对于</w:t>
      </w:r>
      <w:r>
        <w:rPr>
          <w:rFonts w:hint="eastAsia" w:ascii="仿宋" w:hAnsi="仿宋" w:eastAsia="仿宋" w:cs="仿宋"/>
          <w:spacing w:val="8"/>
          <w:sz w:val="24"/>
          <w:szCs w:val="24"/>
          <w:highlight w:val="none"/>
        </w:rPr>
        <w:t>未预留份额专门</w:t>
      </w:r>
      <w:r>
        <w:rPr>
          <w:rFonts w:hint="eastAsia" w:ascii="仿宋" w:hAnsi="仿宋" w:eastAsia="仿宋" w:cs="仿宋"/>
          <w:sz w:val="24"/>
          <w:szCs w:val="24"/>
          <w:highlight w:val="none"/>
        </w:rPr>
        <w:t>面向中小企业采购的采购项目，以及预留份额项目的非预</w:t>
      </w:r>
      <w:r>
        <w:rPr>
          <w:rFonts w:hint="eastAsia" w:ascii="仿宋" w:hAnsi="仿宋" w:eastAsia="仿宋" w:cs="仿宋"/>
          <w:spacing w:val="-2"/>
          <w:sz w:val="24"/>
          <w:szCs w:val="24"/>
          <w:highlight w:val="none"/>
        </w:rPr>
        <w:t>留部分采购包中</w:t>
      </w:r>
      <w:r>
        <w:rPr>
          <w:rFonts w:hint="eastAsia" w:ascii="仿宋" w:hAnsi="仿宋" w:eastAsia="仿宋" w:cs="仿宋"/>
          <w:sz w:val="24"/>
          <w:szCs w:val="24"/>
          <w:highlight w:val="none"/>
        </w:rPr>
        <w:t>符合条件的小微企业报价给予3%的扣除。</w:t>
      </w:r>
    </w:p>
    <w:p>
      <w:pPr>
        <w:spacing w:line="360" w:lineRule="auto"/>
        <w:ind w:firstLine="480" w:firstLineChars="200"/>
        <w:rPr>
          <w:rFonts w:ascii="仿宋" w:hAnsi="仿宋" w:eastAsia="仿宋" w:cs="仿宋"/>
          <w:b/>
          <w:bCs/>
          <w:sz w:val="24"/>
          <w:szCs w:val="24"/>
          <w:highlight w:val="none"/>
        </w:rPr>
      </w:pPr>
      <w:r>
        <w:rPr>
          <w:rFonts w:hint="eastAsia" w:ascii="仿宋" w:hAnsi="仿宋" w:eastAsia="仿宋" w:cs="仿宋"/>
          <w:sz w:val="24"/>
          <w:szCs w:val="24"/>
          <w:highlight w:val="none"/>
        </w:rPr>
        <w:t>2.2接受大中型企业与小微企业组成联合体或者允许大中型企业向一家或者多家小微企业分包的采购项目，对于联合协议或者分包意向协议约定小微企业的合同份额占到合同总金额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30%以上的，对联合体或者大中型企业的报价给予1%的扣除；组成联合体或者接受分包的小微企业与联合体内其他企业、分包企业之间存在直接控股、管理关系的，不享受价格扣除优惠政策。</w:t>
      </w:r>
      <w:r>
        <w:rPr>
          <w:rFonts w:hint="eastAsia" w:ascii="仿宋" w:hAnsi="仿宋" w:eastAsia="仿宋" w:cs="仿宋"/>
          <w:b/>
          <w:bCs/>
          <w:sz w:val="24"/>
          <w:szCs w:val="24"/>
          <w:highlight w:val="none"/>
        </w:rPr>
        <w:t>享受扶持政策获得政府采购合同的，小微企业不得将合同分包给大中型企业，中型企业不得将合同分包给大型企业。</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2.3监狱企业、残疾人福利性单位视同小微企业，享受预留份额、评审中价格扣除等促进中小企业发展的政府采购政策。监狱企业、残疾人福利性单位属于小微企业的，不重复享受政策。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2.4供应商享受支持中小型企业发展政策优惠的，可以同时享受节能、环境标志产品优先采购政策。</w:t>
      </w:r>
    </w:p>
    <w:p>
      <w:pPr>
        <w:spacing w:line="460" w:lineRule="exact"/>
        <w:ind w:left="420" w:leftChars="200"/>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3、成交价格=成交供应商的最终磋商报价。</w:t>
      </w:r>
    </w:p>
    <w:p>
      <w:pPr>
        <w:spacing w:after="156" w:afterLines="50" w:line="500" w:lineRule="exact"/>
        <w:outlineLvl w:val="1"/>
        <w:rPr>
          <w:rFonts w:ascii="仿宋" w:hAnsi="仿宋" w:eastAsia="仿宋" w:cs="仿宋"/>
          <w:b/>
          <w:sz w:val="24"/>
          <w:szCs w:val="24"/>
          <w:highlight w:val="none"/>
        </w:rPr>
      </w:pPr>
      <w:bookmarkStart w:id="243" w:name="_Toc11444"/>
      <w:bookmarkStart w:id="244" w:name="_Toc31643"/>
      <w:bookmarkStart w:id="245" w:name="_Toc15193"/>
      <w:r>
        <w:rPr>
          <w:rFonts w:hint="eastAsia" w:ascii="仿宋" w:hAnsi="仿宋" w:eastAsia="仿宋" w:cs="仿宋"/>
          <w:b/>
          <w:sz w:val="24"/>
          <w:szCs w:val="24"/>
          <w:highlight w:val="none"/>
        </w:rPr>
        <w:t>八、</w:t>
      </w:r>
      <w:r>
        <w:rPr>
          <w:rFonts w:hint="eastAsia" w:ascii="仿宋" w:hAnsi="仿宋" w:eastAsia="仿宋" w:cs="仿宋"/>
          <w:b/>
          <w:kern w:val="0"/>
          <w:sz w:val="24"/>
          <w:szCs w:val="24"/>
          <w:highlight w:val="none"/>
        </w:rPr>
        <w:t>推荐并确定成交候选人</w:t>
      </w:r>
      <w:bookmarkEnd w:id="243"/>
      <w:bookmarkEnd w:id="244"/>
      <w:bookmarkEnd w:id="245"/>
    </w:p>
    <w:p>
      <w:pPr>
        <w:spacing w:line="460" w:lineRule="exact"/>
        <w:ind w:firstLine="496" w:firstLineChars="200"/>
        <w:jc w:val="left"/>
        <w:rPr>
          <w:rFonts w:ascii="仿宋" w:hAnsi="仿宋" w:eastAsia="仿宋" w:cs="仿宋"/>
          <w:spacing w:val="4"/>
          <w:sz w:val="24"/>
          <w:szCs w:val="24"/>
          <w:highlight w:val="none"/>
        </w:rPr>
      </w:pPr>
      <w:r>
        <w:rPr>
          <w:rFonts w:hint="eastAsia" w:ascii="仿宋" w:hAnsi="仿宋" w:eastAsia="仿宋" w:cs="仿宋"/>
          <w:spacing w:val="4"/>
          <w:sz w:val="24"/>
          <w:szCs w:val="24"/>
          <w:highlight w:val="none"/>
        </w:rPr>
        <w:t>1、磋商结果报告由磋商小组全体成员签字确认。</w:t>
      </w:r>
    </w:p>
    <w:p>
      <w:pPr>
        <w:spacing w:line="460" w:lineRule="exact"/>
        <w:ind w:firstLine="496" w:firstLineChars="200"/>
        <w:jc w:val="left"/>
        <w:rPr>
          <w:rFonts w:ascii="仿宋" w:hAnsi="仿宋" w:eastAsia="仿宋" w:cs="仿宋"/>
          <w:spacing w:val="4"/>
          <w:sz w:val="24"/>
          <w:szCs w:val="24"/>
          <w:highlight w:val="none"/>
        </w:rPr>
      </w:pPr>
      <w:r>
        <w:rPr>
          <w:rFonts w:hint="eastAsia" w:ascii="仿宋" w:hAnsi="仿宋" w:eastAsia="仿宋" w:cs="仿宋"/>
          <w:spacing w:val="4"/>
          <w:sz w:val="24"/>
          <w:szCs w:val="24"/>
          <w:highlight w:val="none"/>
        </w:rPr>
        <w:t>2、采购人根据磋商结果报告中推荐的成交候选人确定成交供应商，以复函通知采购代理机构。</w:t>
      </w:r>
    </w:p>
    <w:p>
      <w:pPr>
        <w:pStyle w:val="15"/>
        <w:ind w:left="0" w:leftChars="0" w:firstLine="0"/>
        <w:jc w:val="left"/>
        <w:outlineLvl w:val="1"/>
        <w:rPr>
          <w:rFonts w:ascii="仿宋" w:hAnsi="仿宋" w:eastAsia="仿宋" w:cs="仿宋"/>
          <w:b/>
          <w:highlight w:val="none"/>
        </w:rPr>
      </w:pPr>
      <w:bookmarkStart w:id="246" w:name="_Toc24958"/>
      <w:bookmarkStart w:id="247" w:name="_Toc15939"/>
      <w:bookmarkStart w:id="248" w:name="_Toc17605"/>
      <w:r>
        <w:rPr>
          <w:rFonts w:hint="eastAsia" w:ascii="仿宋" w:hAnsi="仿宋" w:eastAsia="仿宋" w:cs="仿宋"/>
          <w:b/>
          <w:highlight w:val="none"/>
        </w:rPr>
        <w:t>九、特殊情况的处理</w:t>
      </w:r>
      <w:bookmarkEnd w:id="246"/>
      <w:bookmarkEnd w:id="247"/>
      <w:bookmarkEnd w:id="248"/>
    </w:p>
    <w:p>
      <w:pPr>
        <w:spacing w:line="500" w:lineRule="exact"/>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1、计算错误将按以下方法更正：</w:t>
      </w:r>
    </w:p>
    <w:p>
      <w:pPr>
        <w:spacing w:line="500" w:lineRule="exact"/>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1.1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pPr>
        <w:spacing w:line="500" w:lineRule="exact"/>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1.2磋商响应文件的大写金额和小写金额不一致的，以大写金额为准；</w:t>
      </w:r>
    </w:p>
    <w:p>
      <w:pPr>
        <w:spacing w:line="500" w:lineRule="exact"/>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1.3单价金额小数点或者百分比有明显错位的，以单独密封的报价一览表的总价为准，并修改单价；</w:t>
      </w:r>
    </w:p>
    <w:p>
      <w:pPr>
        <w:spacing w:line="500" w:lineRule="exact"/>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1.4总价金额与按单价汇总金额不一致的，以单价金额计算结果为准。</w:t>
      </w:r>
    </w:p>
    <w:p>
      <w:pPr>
        <w:spacing w:line="500" w:lineRule="exact"/>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按上述修正的顺序和方法调整的报价应对供应商具有约束力。如果供应商不接受修正后的价格，其响应文件将按无效响应处理。</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2、对于竞争性磋商响应文件中明显的标点符号错误或不构成实质性偏差的不正规、不一致或不规则，采购人可以接受。</w:t>
      </w:r>
    </w:p>
    <w:p>
      <w:pPr>
        <w:pStyle w:val="2"/>
        <w:spacing w:line="360" w:lineRule="auto"/>
        <w:ind w:firstLine="496" w:firstLineChars="200"/>
        <w:jc w:val="left"/>
        <w:rPr>
          <w:rFonts w:ascii="仿宋" w:hAnsi="仿宋" w:eastAsia="仿宋" w:cs="仿宋"/>
          <w:spacing w:val="4"/>
          <w:sz w:val="24"/>
          <w:szCs w:val="24"/>
          <w:highlight w:val="none"/>
        </w:rPr>
      </w:pPr>
      <w:r>
        <w:rPr>
          <w:rFonts w:hint="eastAsia" w:ascii="仿宋" w:hAnsi="仿宋" w:eastAsia="仿宋" w:cs="仿宋"/>
          <w:spacing w:val="4"/>
          <w:sz w:val="24"/>
          <w:szCs w:val="24"/>
          <w:highlight w:val="none"/>
        </w:rPr>
        <w:t>3、磋商过程中，若出现本评审方法以外的特殊情况时，将暂停评审，待磋商小组商榷后，再进行评定。</w:t>
      </w:r>
      <w:r>
        <w:rPr>
          <w:rFonts w:hint="eastAsia" w:ascii="仿宋" w:hAnsi="仿宋" w:eastAsia="仿宋" w:cs="仿宋"/>
          <w:spacing w:val="4"/>
          <w:sz w:val="24"/>
          <w:szCs w:val="24"/>
          <w:highlight w:val="none"/>
        </w:rPr>
        <w:br w:type="page"/>
      </w:r>
    </w:p>
    <w:p>
      <w:pPr>
        <w:pStyle w:val="5"/>
        <w:spacing w:before="0" w:after="0" w:line="360" w:lineRule="auto"/>
        <w:rPr>
          <w:rFonts w:ascii="仿宋" w:hAnsi="仿宋" w:eastAsia="仿宋" w:cs="仿宋"/>
          <w:sz w:val="28"/>
          <w:szCs w:val="28"/>
          <w:highlight w:val="none"/>
        </w:rPr>
      </w:pPr>
      <w:bookmarkStart w:id="249" w:name="_Toc13237"/>
      <w:bookmarkStart w:id="250" w:name="_Toc21023"/>
      <w:bookmarkStart w:id="251" w:name="_Toc5167"/>
      <w:r>
        <w:rPr>
          <w:rFonts w:hint="eastAsia" w:ascii="仿宋" w:hAnsi="仿宋" w:eastAsia="仿宋" w:cs="仿宋"/>
          <w:sz w:val="28"/>
          <w:szCs w:val="28"/>
          <w:highlight w:val="none"/>
        </w:rPr>
        <w:t>附件1</w:t>
      </w:r>
      <w:bookmarkEnd w:id="249"/>
      <w:bookmarkEnd w:id="250"/>
      <w:bookmarkEnd w:id="251"/>
    </w:p>
    <w:p>
      <w:pPr>
        <w:pStyle w:val="5"/>
        <w:spacing w:before="0" w:after="0" w:line="360" w:lineRule="auto"/>
        <w:jc w:val="center"/>
        <w:rPr>
          <w:rFonts w:ascii="仿宋" w:hAnsi="仿宋" w:eastAsia="仿宋" w:cs="仿宋"/>
          <w:sz w:val="28"/>
          <w:szCs w:val="28"/>
          <w:highlight w:val="none"/>
        </w:rPr>
      </w:pPr>
      <w:bookmarkStart w:id="252" w:name="_Toc12691"/>
      <w:bookmarkStart w:id="253" w:name="_Toc23837"/>
      <w:bookmarkStart w:id="254" w:name="_Toc7469"/>
      <w:r>
        <w:rPr>
          <w:rFonts w:hint="eastAsia" w:ascii="仿宋" w:hAnsi="仿宋" w:eastAsia="仿宋" w:cs="仿宋"/>
          <w:sz w:val="28"/>
          <w:szCs w:val="28"/>
          <w:highlight w:val="none"/>
        </w:rPr>
        <w:t>初步审查要素表</w:t>
      </w:r>
      <w:bookmarkEnd w:id="252"/>
      <w:bookmarkEnd w:id="253"/>
      <w:bookmarkEnd w:id="254"/>
    </w:p>
    <w:p>
      <w:pPr>
        <w:rPr>
          <w:rFonts w:ascii="仿宋" w:hAnsi="仿宋" w:eastAsia="仿宋" w:cs="仿宋"/>
          <w:b/>
          <w:bCs/>
          <w:sz w:val="24"/>
          <w:szCs w:val="24"/>
          <w:highlight w:val="none"/>
        </w:rPr>
      </w:pPr>
    </w:p>
    <w:tbl>
      <w:tblPr>
        <w:tblStyle w:val="35"/>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0"/>
        <w:gridCol w:w="567"/>
        <w:gridCol w:w="2269"/>
        <w:gridCol w:w="5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64" w:type="dxa"/>
            <w:gridSpan w:val="2"/>
            <w:vAlign w:val="center"/>
          </w:tcPr>
          <w:p>
            <w:pPr>
              <w:tabs>
                <w:tab w:val="left" w:pos="0"/>
              </w:tabs>
              <w:adjustRightInd w:val="0"/>
              <w:snapToGrid w:val="0"/>
              <w:jc w:val="center"/>
              <w:rPr>
                <w:rFonts w:ascii="仿宋" w:hAnsi="仿宋" w:eastAsia="仿宋" w:cs="仿宋"/>
                <w:bCs/>
                <w:highlight w:val="none"/>
              </w:rPr>
            </w:pPr>
            <w:r>
              <w:rPr>
                <w:rFonts w:hint="eastAsia" w:ascii="仿宋" w:hAnsi="仿宋" w:eastAsia="仿宋" w:cs="仿宋"/>
                <w:bCs/>
                <w:highlight w:val="none"/>
              </w:rPr>
              <w:t>条款号</w:t>
            </w:r>
          </w:p>
        </w:tc>
        <w:tc>
          <w:tcPr>
            <w:tcW w:w="2836" w:type="dxa"/>
            <w:gridSpan w:val="2"/>
            <w:vAlign w:val="center"/>
          </w:tcPr>
          <w:p>
            <w:pPr>
              <w:tabs>
                <w:tab w:val="left" w:pos="0"/>
              </w:tabs>
              <w:adjustRightInd w:val="0"/>
              <w:snapToGrid w:val="0"/>
              <w:jc w:val="center"/>
              <w:rPr>
                <w:rFonts w:ascii="仿宋" w:hAnsi="仿宋" w:eastAsia="仿宋" w:cs="仿宋"/>
                <w:bCs/>
                <w:highlight w:val="none"/>
              </w:rPr>
            </w:pPr>
            <w:r>
              <w:rPr>
                <w:rFonts w:hint="eastAsia" w:ascii="仿宋" w:hAnsi="仿宋" w:eastAsia="仿宋" w:cs="仿宋"/>
                <w:bCs/>
                <w:highlight w:val="none"/>
              </w:rPr>
              <w:t>评审因素</w:t>
            </w:r>
          </w:p>
        </w:tc>
        <w:tc>
          <w:tcPr>
            <w:tcW w:w="5319" w:type="dxa"/>
            <w:vAlign w:val="center"/>
          </w:tcPr>
          <w:p>
            <w:pPr>
              <w:tabs>
                <w:tab w:val="left" w:pos="0"/>
              </w:tabs>
              <w:adjustRightInd w:val="0"/>
              <w:snapToGrid w:val="0"/>
              <w:jc w:val="center"/>
              <w:rPr>
                <w:rFonts w:ascii="仿宋" w:hAnsi="仿宋" w:eastAsia="仿宋" w:cs="仿宋"/>
                <w:bCs/>
                <w:highlight w:val="none"/>
              </w:rPr>
            </w:pPr>
            <w:r>
              <w:rPr>
                <w:rFonts w:hint="eastAsia" w:ascii="仿宋" w:hAnsi="仿宋" w:eastAsia="仿宋" w:cs="仿宋"/>
                <w:bCs/>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pPr>
              <w:tabs>
                <w:tab w:val="left" w:pos="0"/>
              </w:tabs>
              <w:adjustRightInd w:val="0"/>
              <w:snapToGrid w:val="0"/>
              <w:jc w:val="center"/>
              <w:rPr>
                <w:rFonts w:ascii="仿宋" w:hAnsi="仿宋" w:eastAsia="仿宋" w:cs="仿宋"/>
                <w:bCs/>
                <w:highlight w:val="none"/>
              </w:rPr>
            </w:pPr>
            <w:r>
              <w:rPr>
                <w:rFonts w:hint="eastAsia" w:ascii="仿宋" w:hAnsi="仿宋" w:eastAsia="仿宋" w:cs="仿宋"/>
                <w:bCs/>
                <w:highlight w:val="none"/>
              </w:rPr>
              <w:t>1.1</w:t>
            </w:r>
          </w:p>
        </w:tc>
        <w:tc>
          <w:tcPr>
            <w:tcW w:w="600" w:type="dxa"/>
            <w:vMerge w:val="restart"/>
            <w:vAlign w:val="center"/>
          </w:tcPr>
          <w:p>
            <w:pPr>
              <w:tabs>
                <w:tab w:val="left" w:pos="0"/>
              </w:tabs>
              <w:adjustRightInd w:val="0"/>
              <w:snapToGrid w:val="0"/>
              <w:jc w:val="center"/>
              <w:rPr>
                <w:rFonts w:ascii="仿宋" w:hAnsi="仿宋" w:eastAsia="仿宋" w:cs="仿宋"/>
                <w:bCs/>
                <w:highlight w:val="none"/>
              </w:rPr>
            </w:pPr>
            <w:r>
              <w:rPr>
                <w:rFonts w:hint="eastAsia" w:ascii="仿宋" w:hAnsi="仿宋" w:eastAsia="仿宋" w:cs="仿宋"/>
                <w:bCs/>
                <w:highlight w:val="none"/>
              </w:rPr>
              <w:t>资格评审</w:t>
            </w:r>
          </w:p>
          <w:p>
            <w:pPr>
              <w:tabs>
                <w:tab w:val="left" w:pos="0"/>
              </w:tabs>
              <w:adjustRightInd w:val="0"/>
              <w:snapToGrid w:val="0"/>
              <w:jc w:val="center"/>
              <w:rPr>
                <w:rFonts w:ascii="仿宋" w:hAnsi="仿宋" w:eastAsia="仿宋" w:cs="仿宋"/>
                <w:bCs/>
                <w:highlight w:val="none"/>
              </w:rPr>
            </w:pPr>
            <w:r>
              <w:rPr>
                <w:rFonts w:hint="eastAsia" w:ascii="仿宋" w:hAnsi="仿宋" w:eastAsia="仿宋" w:cs="仿宋"/>
                <w:bCs/>
                <w:highlight w:val="none"/>
              </w:rPr>
              <w:t>标准</w:t>
            </w:r>
          </w:p>
        </w:tc>
        <w:tc>
          <w:tcPr>
            <w:tcW w:w="2836" w:type="dxa"/>
            <w:gridSpan w:val="2"/>
            <w:vMerge w:val="restart"/>
            <w:vAlign w:val="center"/>
          </w:tcPr>
          <w:p>
            <w:pPr>
              <w:tabs>
                <w:tab w:val="left" w:pos="0"/>
              </w:tabs>
              <w:adjustRightInd w:val="0"/>
              <w:snapToGrid w:val="0"/>
              <w:jc w:val="center"/>
              <w:rPr>
                <w:rFonts w:ascii="仿宋" w:hAnsi="仿宋" w:eastAsia="仿宋" w:cs="仿宋"/>
                <w:bCs/>
                <w:highlight w:val="none"/>
              </w:rPr>
            </w:pPr>
            <w:r>
              <w:rPr>
                <w:rFonts w:hint="eastAsia" w:ascii="仿宋" w:hAnsi="仿宋" w:eastAsia="仿宋" w:cs="仿宋"/>
                <w:bCs/>
                <w:highlight w:val="none"/>
              </w:rPr>
              <w:t>基本资格条件</w:t>
            </w:r>
          </w:p>
        </w:tc>
        <w:tc>
          <w:tcPr>
            <w:tcW w:w="5319" w:type="dxa"/>
            <w:vAlign w:val="center"/>
          </w:tcPr>
          <w:p>
            <w:pPr>
              <w:numPr>
                <w:ilvl w:val="0"/>
                <w:numId w:val="7"/>
              </w:numPr>
              <w:rPr>
                <w:rFonts w:ascii="仿宋" w:hAnsi="仿宋" w:eastAsia="仿宋" w:cs="仿宋"/>
                <w:highlight w:val="none"/>
              </w:rPr>
            </w:pPr>
            <w:r>
              <w:rPr>
                <w:rFonts w:hint="eastAsia" w:ascii="仿宋" w:hAnsi="仿宋" w:eastAsia="仿宋" w:cs="仿宋"/>
                <w:highlight w:val="none"/>
              </w:rPr>
              <w:t>供应商合法注册的法人或其他组织的营业执照等证明文件，自然人的身份证明；</w:t>
            </w:r>
          </w:p>
          <w:p>
            <w:pPr>
              <w:pStyle w:val="2"/>
              <w:jc w:val="both"/>
              <w:rPr>
                <w:rFonts w:ascii="仿宋" w:hAnsi="仿宋" w:eastAsia="仿宋" w:cs="仿宋"/>
                <w:highlight w:val="none"/>
              </w:rPr>
            </w:pPr>
            <w:r>
              <w:rPr>
                <w:rFonts w:hint="eastAsia" w:ascii="仿宋" w:hAnsi="仿宋" w:eastAsia="仿宋" w:cs="仿宋"/>
                <w:bCs/>
                <w:highlight w:val="none"/>
              </w:rPr>
              <w:t>供应商是法人或其他组织的应提供营业执照等证明文件，供应商是自然人的应提供有效的自然人身份证明。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64" w:type="dxa"/>
            <w:vMerge w:val="continue"/>
            <w:vAlign w:val="center"/>
          </w:tcPr>
          <w:p>
            <w:pPr>
              <w:tabs>
                <w:tab w:val="left" w:pos="0"/>
              </w:tabs>
              <w:adjustRightInd w:val="0"/>
              <w:snapToGrid w:val="0"/>
              <w:jc w:val="center"/>
              <w:rPr>
                <w:rFonts w:ascii="仿宋" w:hAnsi="仿宋" w:eastAsia="仿宋" w:cs="仿宋"/>
                <w:bCs/>
                <w:highlight w:val="none"/>
              </w:rPr>
            </w:pPr>
          </w:p>
        </w:tc>
        <w:tc>
          <w:tcPr>
            <w:tcW w:w="600" w:type="dxa"/>
            <w:vMerge w:val="continue"/>
            <w:vAlign w:val="center"/>
          </w:tcPr>
          <w:p>
            <w:pPr>
              <w:tabs>
                <w:tab w:val="left" w:pos="0"/>
              </w:tabs>
              <w:adjustRightInd w:val="0"/>
              <w:snapToGrid w:val="0"/>
              <w:jc w:val="center"/>
              <w:rPr>
                <w:rFonts w:ascii="仿宋" w:hAnsi="仿宋" w:eastAsia="仿宋" w:cs="仿宋"/>
                <w:bCs/>
                <w:highlight w:val="none"/>
              </w:rPr>
            </w:pPr>
          </w:p>
        </w:tc>
        <w:tc>
          <w:tcPr>
            <w:tcW w:w="2836" w:type="dxa"/>
            <w:gridSpan w:val="2"/>
            <w:vMerge w:val="continue"/>
            <w:vAlign w:val="center"/>
          </w:tcPr>
          <w:p>
            <w:pPr>
              <w:tabs>
                <w:tab w:val="left" w:pos="0"/>
              </w:tabs>
              <w:adjustRightInd w:val="0"/>
              <w:snapToGrid w:val="0"/>
              <w:jc w:val="center"/>
              <w:rPr>
                <w:rFonts w:ascii="仿宋" w:hAnsi="仿宋" w:eastAsia="仿宋" w:cs="仿宋"/>
                <w:bCs/>
                <w:highlight w:val="none"/>
              </w:rPr>
            </w:pPr>
          </w:p>
        </w:tc>
        <w:tc>
          <w:tcPr>
            <w:tcW w:w="5319" w:type="dxa"/>
            <w:vAlign w:val="center"/>
          </w:tcPr>
          <w:p>
            <w:pPr>
              <w:rPr>
                <w:rFonts w:ascii="仿宋" w:hAnsi="仿宋" w:eastAsia="仿宋" w:cs="仿宋"/>
                <w:bCs/>
                <w:highlight w:val="none"/>
              </w:rPr>
            </w:pPr>
            <w:r>
              <w:rPr>
                <w:rFonts w:hint="eastAsia" w:ascii="仿宋" w:hAnsi="仿宋" w:eastAsia="仿宋" w:cs="仿宋"/>
                <w:highlight w:val="none"/>
              </w:rPr>
              <w:t>2、</w:t>
            </w:r>
            <w:r>
              <w:rPr>
                <w:rFonts w:hint="eastAsia" w:ascii="仿宋" w:hAnsi="仿宋" w:eastAsia="仿宋" w:cs="仿宋"/>
                <w:highlight w:val="none"/>
                <w:lang w:eastAsia="zh-CN"/>
              </w:rPr>
              <w:t>提供2021年度经审计的财务报告</w:t>
            </w:r>
            <w:r>
              <w:rPr>
                <w:rFonts w:hint="eastAsia" w:ascii="仿宋" w:hAnsi="仿宋" w:eastAsia="仿宋" w:cs="仿宋"/>
                <w:highlight w:val="none"/>
              </w:rPr>
              <w:t>（成立时间至提交磋商响应文件截止时间不足一年的可提供成立后任意时段的资产负债表）或基本存款账户开户银行出具的资信证明及基本存款账户开户许可证（基本账户信息）或财政部门认可的政府采购专业担保机构出具的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64" w:type="dxa"/>
            <w:vMerge w:val="continue"/>
            <w:vAlign w:val="center"/>
          </w:tcPr>
          <w:p>
            <w:pPr>
              <w:tabs>
                <w:tab w:val="left" w:pos="0"/>
              </w:tabs>
              <w:adjustRightInd w:val="0"/>
              <w:snapToGrid w:val="0"/>
              <w:jc w:val="center"/>
              <w:rPr>
                <w:rFonts w:ascii="仿宋" w:hAnsi="仿宋" w:eastAsia="仿宋" w:cs="仿宋"/>
                <w:bCs/>
                <w:highlight w:val="none"/>
              </w:rPr>
            </w:pPr>
          </w:p>
        </w:tc>
        <w:tc>
          <w:tcPr>
            <w:tcW w:w="600" w:type="dxa"/>
            <w:vMerge w:val="continue"/>
            <w:vAlign w:val="center"/>
          </w:tcPr>
          <w:p>
            <w:pPr>
              <w:tabs>
                <w:tab w:val="left" w:pos="0"/>
              </w:tabs>
              <w:adjustRightInd w:val="0"/>
              <w:snapToGrid w:val="0"/>
              <w:jc w:val="center"/>
              <w:rPr>
                <w:rFonts w:ascii="仿宋" w:hAnsi="仿宋" w:eastAsia="仿宋" w:cs="仿宋"/>
                <w:bCs/>
                <w:highlight w:val="none"/>
              </w:rPr>
            </w:pPr>
          </w:p>
        </w:tc>
        <w:tc>
          <w:tcPr>
            <w:tcW w:w="2836" w:type="dxa"/>
            <w:gridSpan w:val="2"/>
            <w:vMerge w:val="continue"/>
            <w:vAlign w:val="center"/>
          </w:tcPr>
          <w:p>
            <w:pPr>
              <w:tabs>
                <w:tab w:val="left" w:pos="0"/>
              </w:tabs>
              <w:adjustRightInd w:val="0"/>
              <w:snapToGrid w:val="0"/>
              <w:jc w:val="center"/>
              <w:rPr>
                <w:rFonts w:ascii="仿宋" w:hAnsi="仿宋" w:eastAsia="仿宋" w:cs="仿宋"/>
                <w:bCs/>
                <w:highlight w:val="none"/>
              </w:rPr>
            </w:pPr>
          </w:p>
        </w:tc>
        <w:tc>
          <w:tcPr>
            <w:tcW w:w="5319" w:type="dxa"/>
            <w:vAlign w:val="center"/>
          </w:tcPr>
          <w:p>
            <w:pPr>
              <w:rPr>
                <w:rFonts w:ascii="仿宋" w:hAnsi="仿宋" w:eastAsia="仿宋" w:cs="仿宋"/>
                <w:highlight w:val="none"/>
              </w:rPr>
            </w:pPr>
            <w:r>
              <w:rPr>
                <w:rFonts w:hint="eastAsia" w:ascii="仿宋" w:hAnsi="仿宋" w:eastAsia="仿宋" w:cs="仿宋"/>
                <w:highlight w:val="none"/>
              </w:rPr>
              <w:t>3、提供磋商截止日前一年内已缴纳的至少一个月的纳税证明或完税证明，依法免税的单位应提供相关证明材料；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ascii="仿宋" w:hAnsi="仿宋" w:eastAsia="仿宋" w:cs="仿宋"/>
                <w:bCs/>
                <w:highlight w:val="none"/>
              </w:rPr>
            </w:pPr>
          </w:p>
        </w:tc>
        <w:tc>
          <w:tcPr>
            <w:tcW w:w="600" w:type="dxa"/>
            <w:vMerge w:val="continue"/>
            <w:vAlign w:val="center"/>
          </w:tcPr>
          <w:p>
            <w:pPr>
              <w:tabs>
                <w:tab w:val="left" w:pos="0"/>
              </w:tabs>
              <w:adjustRightInd w:val="0"/>
              <w:snapToGrid w:val="0"/>
              <w:jc w:val="center"/>
              <w:rPr>
                <w:rFonts w:ascii="仿宋" w:hAnsi="仿宋" w:eastAsia="仿宋" w:cs="仿宋"/>
                <w:bCs/>
                <w:highlight w:val="none"/>
              </w:rPr>
            </w:pPr>
          </w:p>
        </w:tc>
        <w:tc>
          <w:tcPr>
            <w:tcW w:w="2836" w:type="dxa"/>
            <w:gridSpan w:val="2"/>
            <w:vMerge w:val="continue"/>
            <w:vAlign w:val="center"/>
          </w:tcPr>
          <w:p>
            <w:pPr>
              <w:tabs>
                <w:tab w:val="left" w:pos="0"/>
              </w:tabs>
              <w:adjustRightInd w:val="0"/>
              <w:snapToGrid w:val="0"/>
              <w:jc w:val="center"/>
              <w:rPr>
                <w:rFonts w:ascii="仿宋" w:hAnsi="仿宋" w:eastAsia="仿宋" w:cs="仿宋"/>
                <w:bCs/>
                <w:highlight w:val="none"/>
              </w:rPr>
            </w:pPr>
          </w:p>
        </w:tc>
        <w:tc>
          <w:tcPr>
            <w:tcW w:w="5319" w:type="dxa"/>
            <w:vAlign w:val="center"/>
          </w:tcPr>
          <w:p>
            <w:pPr>
              <w:rPr>
                <w:rFonts w:ascii="仿宋" w:hAnsi="仿宋" w:eastAsia="仿宋" w:cs="仿宋"/>
                <w:highlight w:val="none"/>
              </w:rPr>
            </w:pPr>
            <w:r>
              <w:rPr>
                <w:rFonts w:hint="eastAsia" w:ascii="仿宋" w:hAnsi="仿宋" w:eastAsia="仿宋" w:cs="仿宋"/>
                <w:highlight w:val="none"/>
              </w:rPr>
              <w:t>4、提供磋商截止日前一年内已缴存的至少一个月的社会保障资金缴存单据或社保机构开具的社会保险参保缴费情况证明，依法不需要缴纳社会保障资金的单位应提供相关证明材料；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64" w:type="dxa"/>
            <w:vMerge w:val="continue"/>
            <w:vAlign w:val="center"/>
          </w:tcPr>
          <w:p>
            <w:pPr>
              <w:tabs>
                <w:tab w:val="left" w:pos="0"/>
              </w:tabs>
              <w:adjustRightInd w:val="0"/>
              <w:snapToGrid w:val="0"/>
              <w:jc w:val="center"/>
              <w:rPr>
                <w:rFonts w:ascii="仿宋" w:hAnsi="仿宋" w:eastAsia="仿宋" w:cs="仿宋"/>
                <w:bCs/>
                <w:highlight w:val="none"/>
              </w:rPr>
            </w:pPr>
          </w:p>
        </w:tc>
        <w:tc>
          <w:tcPr>
            <w:tcW w:w="600" w:type="dxa"/>
            <w:vMerge w:val="continue"/>
            <w:vAlign w:val="center"/>
          </w:tcPr>
          <w:p>
            <w:pPr>
              <w:tabs>
                <w:tab w:val="left" w:pos="0"/>
              </w:tabs>
              <w:adjustRightInd w:val="0"/>
              <w:snapToGrid w:val="0"/>
              <w:jc w:val="center"/>
              <w:rPr>
                <w:rFonts w:ascii="仿宋" w:hAnsi="仿宋" w:eastAsia="仿宋" w:cs="仿宋"/>
                <w:bCs/>
                <w:highlight w:val="none"/>
              </w:rPr>
            </w:pPr>
          </w:p>
        </w:tc>
        <w:tc>
          <w:tcPr>
            <w:tcW w:w="2836" w:type="dxa"/>
            <w:gridSpan w:val="2"/>
            <w:vMerge w:val="continue"/>
            <w:vAlign w:val="center"/>
          </w:tcPr>
          <w:p>
            <w:pPr>
              <w:tabs>
                <w:tab w:val="left" w:pos="0"/>
              </w:tabs>
              <w:adjustRightInd w:val="0"/>
              <w:snapToGrid w:val="0"/>
              <w:jc w:val="center"/>
              <w:rPr>
                <w:rFonts w:ascii="仿宋" w:hAnsi="仿宋" w:eastAsia="仿宋" w:cs="仿宋"/>
                <w:bCs/>
                <w:highlight w:val="none"/>
              </w:rPr>
            </w:pPr>
          </w:p>
        </w:tc>
        <w:tc>
          <w:tcPr>
            <w:tcW w:w="5319" w:type="dxa"/>
            <w:vAlign w:val="center"/>
          </w:tcPr>
          <w:p>
            <w:pPr>
              <w:rPr>
                <w:rFonts w:ascii="仿宋" w:hAnsi="仿宋" w:eastAsia="仿宋" w:cs="仿宋"/>
                <w:highlight w:val="none"/>
              </w:rPr>
            </w:pPr>
            <w:r>
              <w:rPr>
                <w:rFonts w:hint="eastAsia" w:ascii="仿宋" w:hAnsi="仿宋" w:eastAsia="仿宋" w:cs="仿宋"/>
                <w:highlight w:val="none"/>
              </w:rPr>
              <w:t>5、提供具有履行合同所必需的设备和专业技术能力的承诺；（格式自拟）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ascii="仿宋" w:hAnsi="仿宋" w:eastAsia="仿宋" w:cs="仿宋"/>
                <w:bCs/>
                <w:highlight w:val="none"/>
              </w:rPr>
            </w:pPr>
          </w:p>
        </w:tc>
        <w:tc>
          <w:tcPr>
            <w:tcW w:w="600" w:type="dxa"/>
            <w:vMerge w:val="continue"/>
            <w:vAlign w:val="center"/>
          </w:tcPr>
          <w:p>
            <w:pPr>
              <w:tabs>
                <w:tab w:val="left" w:pos="0"/>
              </w:tabs>
              <w:adjustRightInd w:val="0"/>
              <w:snapToGrid w:val="0"/>
              <w:jc w:val="center"/>
              <w:rPr>
                <w:rFonts w:ascii="仿宋" w:hAnsi="仿宋" w:eastAsia="仿宋" w:cs="仿宋"/>
                <w:bCs/>
                <w:highlight w:val="none"/>
              </w:rPr>
            </w:pPr>
          </w:p>
        </w:tc>
        <w:tc>
          <w:tcPr>
            <w:tcW w:w="2836" w:type="dxa"/>
            <w:gridSpan w:val="2"/>
            <w:vMerge w:val="continue"/>
            <w:vAlign w:val="center"/>
          </w:tcPr>
          <w:p>
            <w:pPr>
              <w:tabs>
                <w:tab w:val="left" w:pos="0"/>
              </w:tabs>
              <w:adjustRightInd w:val="0"/>
              <w:snapToGrid w:val="0"/>
              <w:jc w:val="center"/>
              <w:rPr>
                <w:rFonts w:ascii="仿宋" w:hAnsi="仿宋" w:eastAsia="仿宋" w:cs="仿宋"/>
                <w:bCs/>
                <w:highlight w:val="none"/>
              </w:rPr>
            </w:pPr>
          </w:p>
        </w:tc>
        <w:tc>
          <w:tcPr>
            <w:tcW w:w="5319" w:type="dxa"/>
            <w:vAlign w:val="center"/>
          </w:tcPr>
          <w:p>
            <w:pPr>
              <w:rPr>
                <w:rFonts w:ascii="仿宋" w:hAnsi="仿宋" w:eastAsia="仿宋" w:cs="仿宋"/>
                <w:highlight w:val="none"/>
              </w:rPr>
            </w:pPr>
            <w:r>
              <w:rPr>
                <w:rFonts w:hint="eastAsia" w:ascii="仿宋" w:hAnsi="仿宋" w:eastAsia="仿宋" w:cs="仿宋"/>
                <w:highlight w:val="none"/>
              </w:rPr>
              <w:t>6、参加政府采购活动前3年内，在经营活动中没有重大违法记录的书面声明；（格式自拟）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ascii="仿宋" w:hAnsi="仿宋" w:eastAsia="仿宋" w:cs="仿宋"/>
                <w:bCs/>
                <w:highlight w:val="none"/>
              </w:rPr>
            </w:pPr>
          </w:p>
        </w:tc>
        <w:tc>
          <w:tcPr>
            <w:tcW w:w="600" w:type="dxa"/>
            <w:vMerge w:val="continue"/>
            <w:vAlign w:val="center"/>
          </w:tcPr>
          <w:p>
            <w:pPr>
              <w:tabs>
                <w:tab w:val="left" w:pos="0"/>
              </w:tabs>
              <w:adjustRightInd w:val="0"/>
              <w:snapToGrid w:val="0"/>
              <w:jc w:val="center"/>
              <w:rPr>
                <w:rFonts w:ascii="仿宋" w:hAnsi="仿宋" w:eastAsia="仿宋" w:cs="仿宋"/>
                <w:bCs/>
                <w:highlight w:val="none"/>
              </w:rPr>
            </w:pPr>
          </w:p>
        </w:tc>
        <w:tc>
          <w:tcPr>
            <w:tcW w:w="2836" w:type="dxa"/>
            <w:gridSpan w:val="2"/>
            <w:vAlign w:val="center"/>
          </w:tcPr>
          <w:p>
            <w:pPr>
              <w:tabs>
                <w:tab w:val="left" w:pos="0"/>
              </w:tabs>
              <w:adjustRightInd w:val="0"/>
              <w:snapToGrid w:val="0"/>
              <w:jc w:val="center"/>
              <w:rPr>
                <w:rFonts w:ascii="仿宋" w:hAnsi="仿宋" w:eastAsia="仿宋" w:cs="仿宋"/>
                <w:bCs/>
                <w:highlight w:val="none"/>
              </w:rPr>
            </w:pPr>
            <w:r>
              <w:rPr>
                <w:rFonts w:hint="eastAsia" w:ascii="仿宋" w:hAnsi="仿宋" w:eastAsia="仿宋" w:cs="仿宋"/>
                <w:highlight w:val="none"/>
              </w:rPr>
              <w:t>落实政府采购政策需满足的资格要求</w:t>
            </w:r>
          </w:p>
        </w:tc>
        <w:tc>
          <w:tcPr>
            <w:tcW w:w="5319" w:type="dxa"/>
            <w:vAlign w:val="center"/>
          </w:tcPr>
          <w:p>
            <w:pPr>
              <w:rPr>
                <w:rFonts w:ascii="仿宋" w:hAnsi="仿宋" w:eastAsia="仿宋" w:cs="仿宋"/>
                <w:highlight w:val="none"/>
              </w:rPr>
            </w:pPr>
            <w:r>
              <w:rPr>
                <w:rFonts w:hint="eastAsia" w:ascii="仿宋" w:hAnsi="仿宋" w:eastAsia="仿宋" w:cs="仿宋"/>
                <w:highlight w:val="none"/>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64" w:type="dxa"/>
            <w:vMerge w:val="continue"/>
            <w:vAlign w:val="center"/>
          </w:tcPr>
          <w:p>
            <w:pPr>
              <w:tabs>
                <w:tab w:val="left" w:pos="0"/>
              </w:tabs>
              <w:adjustRightInd w:val="0"/>
              <w:snapToGrid w:val="0"/>
              <w:jc w:val="center"/>
              <w:rPr>
                <w:rFonts w:ascii="仿宋" w:hAnsi="仿宋" w:eastAsia="仿宋" w:cs="仿宋"/>
                <w:bCs/>
                <w:highlight w:val="none"/>
              </w:rPr>
            </w:pPr>
          </w:p>
        </w:tc>
        <w:tc>
          <w:tcPr>
            <w:tcW w:w="600" w:type="dxa"/>
            <w:vMerge w:val="continue"/>
            <w:vAlign w:val="center"/>
          </w:tcPr>
          <w:p>
            <w:pPr>
              <w:tabs>
                <w:tab w:val="left" w:pos="0"/>
              </w:tabs>
              <w:adjustRightInd w:val="0"/>
              <w:snapToGrid w:val="0"/>
              <w:jc w:val="center"/>
              <w:rPr>
                <w:rFonts w:ascii="仿宋" w:hAnsi="仿宋" w:eastAsia="仿宋" w:cs="仿宋"/>
                <w:bCs/>
                <w:highlight w:val="none"/>
              </w:rPr>
            </w:pPr>
          </w:p>
        </w:tc>
        <w:tc>
          <w:tcPr>
            <w:tcW w:w="2836" w:type="dxa"/>
            <w:gridSpan w:val="2"/>
            <w:vMerge w:val="restart"/>
            <w:vAlign w:val="center"/>
          </w:tcPr>
          <w:p>
            <w:pPr>
              <w:tabs>
                <w:tab w:val="left" w:pos="0"/>
              </w:tabs>
              <w:adjustRightInd w:val="0"/>
              <w:snapToGrid w:val="0"/>
              <w:jc w:val="center"/>
              <w:rPr>
                <w:rFonts w:ascii="仿宋" w:hAnsi="仿宋" w:eastAsia="仿宋" w:cs="仿宋"/>
                <w:bCs/>
                <w:highlight w:val="none"/>
              </w:rPr>
            </w:pPr>
            <w:r>
              <w:rPr>
                <w:rFonts w:hint="eastAsia" w:ascii="仿宋" w:hAnsi="仿宋" w:eastAsia="仿宋" w:cs="仿宋"/>
                <w:bCs/>
                <w:highlight w:val="none"/>
              </w:rPr>
              <w:t>特定资格条件</w:t>
            </w:r>
          </w:p>
        </w:tc>
        <w:tc>
          <w:tcPr>
            <w:tcW w:w="5319" w:type="dxa"/>
            <w:vAlign w:val="center"/>
          </w:tcPr>
          <w:p>
            <w:pPr>
              <w:rPr>
                <w:rFonts w:ascii="仿宋" w:hAnsi="仿宋" w:eastAsia="仿宋" w:cs="仿宋"/>
                <w:bCs/>
                <w:highlight w:val="none"/>
              </w:rPr>
            </w:pPr>
            <w:r>
              <w:rPr>
                <w:rFonts w:hint="eastAsia" w:ascii="仿宋" w:hAnsi="仿宋" w:eastAsia="仿宋" w:cs="仿宋"/>
                <w:highlight w:val="none"/>
              </w:rPr>
              <w:t>1、法定代表人/负责人授权书（附法定代表人/负责人、被授权人身份证复印件）及被授权人身份证（法定代表人/负责人直接参加磋商，须提供法定代表人/负责人身份证明及身份证原件）；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64" w:type="dxa"/>
            <w:vMerge w:val="continue"/>
            <w:vAlign w:val="center"/>
          </w:tcPr>
          <w:p>
            <w:pPr>
              <w:tabs>
                <w:tab w:val="left" w:pos="0"/>
              </w:tabs>
              <w:adjustRightInd w:val="0"/>
              <w:snapToGrid w:val="0"/>
              <w:jc w:val="center"/>
              <w:rPr>
                <w:rFonts w:ascii="仿宋" w:hAnsi="仿宋" w:eastAsia="仿宋" w:cs="仿宋"/>
                <w:bCs/>
                <w:highlight w:val="none"/>
              </w:rPr>
            </w:pPr>
          </w:p>
        </w:tc>
        <w:tc>
          <w:tcPr>
            <w:tcW w:w="600" w:type="dxa"/>
            <w:vMerge w:val="continue"/>
            <w:vAlign w:val="center"/>
          </w:tcPr>
          <w:p>
            <w:pPr>
              <w:tabs>
                <w:tab w:val="left" w:pos="0"/>
              </w:tabs>
              <w:adjustRightInd w:val="0"/>
              <w:snapToGrid w:val="0"/>
              <w:jc w:val="center"/>
              <w:rPr>
                <w:rFonts w:ascii="仿宋" w:hAnsi="仿宋" w:eastAsia="仿宋" w:cs="仿宋"/>
                <w:bCs/>
                <w:highlight w:val="none"/>
              </w:rPr>
            </w:pPr>
          </w:p>
        </w:tc>
        <w:tc>
          <w:tcPr>
            <w:tcW w:w="2836" w:type="dxa"/>
            <w:gridSpan w:val="2"/>
            <w:vMerge w:val="continue"/>
            <w:vAlign w:val="center"/>
          </w:tcPr>
          <w:p>
            <w:pPr>
              <w:tabs>
                <w:tab w:val="left" w:pos="0"/>
              </w:tabs>
              <w:adjustRightInd w:val="0"/>
              <w:snapToGrid w:val="0"/>
              <w:jc w:val="center"/>
              <w:rPr>
                <w:rFonts w:ascii="仿宋" w:hAnsi="仿宋" w:eastAsia="仿宋" w:cs="仿宋"/>
                <w:bCs/>
                <w:highlight w:val="none"/>
              </w:rPr>
            </w:pPr>
          </w:p>
        </w:tc>
        <w:tc>
          <w:tcPr>
            <w:tcW w:w="5319" w:type="dxa"/>
            <w:vAlign w:val="center"/>
          </w:tcPr>
          <w:p>
            <w:pPr>
              <w:rPr>
                <w:rFonts w:hint="eastAsia" w:ascii="仿宋" w:hAnsi="仿宋" w:eastAsia="仿宋" w:cs="仿宋"/>
                <w:highlight w:val="none"/>
                <w:lang w:eastAsia="zh-CN"/>
              </w:rPr>
            </w:pPr>
            <w:r>
              <w:rPr>
                <w:rFonts w:hint="eastAsia" w:ascii="仿宋" w:hAnsi="仿宋" w:eastAsia="仿宋" w:cs="仿宋"/>
                <w:highlight w:val="none"/>
              </w:rPr>
              <w:t>2、</w:t>
            </w:r>
            <w:r>
              <w:rPr>
                <w:rFonts w:hint="eastAsia" w:ascii="仿宋" w:hAnsi="仿宋" w:eastAsia="仿宋" w:cs="仿宋"/>
                <w:highlight w:val="none"/>
                <w:lang w:eastAsia="zh-CN"/>
              </w:rPr>
              <w:t>具备钢结构工程专业承包三级及以上资质证书，同时具有合格有效的安全生产许可证；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ascii="仿宋" w:hAnsi="仿宋" w:eastAsia="仿宋" w:cs="仿宋"/>
                <w:bCs/>
                <w:highlight w:val="none"/>
              </w:rPr>
            </w:pPr>
          </w:p>
        </w:tc>
        <w:tc>
          <w:tcPr>
            <w:tcW w:w="600" w:type="dxa"/>
            <w:vMerge w:val="continue"/>
            <w:vAlign w:val="center"/>
          </w:tcPr>
          <w:p>
            <w:pPr>
              <w:tabs>
                <w:tab w:val="left" w:pos="0"/>
              </w:tabs>
              <w:adjustRightInd w:val="0"/>
              <w:snapToGrid w:val="0"/>
              <w:jc w:val="center"/>
              <w:rPr>
                <w:rFonts w:ascii="仿宋" w:hAnsi="仿宋" w:eastAsia="仿宋" w:cs="仿宋"/>
                <w:bCs/>
                <w:highlight w:val="none"/>
              </w:rPr>
            </w:pPr>
          </w:p>
        </w:tc>
        <w:tc>
          <w:tcPr>
            <w:tcW w:w="2836" w:type="dxa"/>
            <w:gridSpan w:val="2"/>
            <w:vMerge w:val="continue"/>
            <w:vAlign w:val="center"/>
          </w:tcPr>
          <w:p>
            <w:pPr>
              <w:tabs>
                <w:tab w:val="left" w:pos="0"/>
              </w:tabs>
              <w:adjustRightInd w:val="0"/>
              <w:snapToGrid w:val="0"/>
              <w:jc w:val="center"/>
              <w:rPr>
                <w:rFonts w:ascii="仿宋" w:hAnsi="仿宋" w:eastAsia="仿宋" w:cs="仿宋"/>
                <w:bCs/>
                <w:highlight w:val="none"/>
              </w:rPr>
            </w:pPr>
          </w:p>
        </w:tc>
        <w:tc>
          <w:tcPr>
            <w:tcW w:w="5319" w:type="dxa"/>
            <w:vAlign w:val="center"/>
          </w:tcPr>
          <w:p>
            <w:pPr>
              <w:rPr>
                <w:rFonts w:ascii="仿宋" w:hAnsi="仿宋" w:eastAsia="仿宋" w:cs="仿宋"/>
                <w:highlight w:val="none"/>
              </w:rPr>
            </w:pPr>
            <w:r>
              <w:rPr>
                <w:rFonts w:hint="eastAsia" w:ascii="仿宋" w:hAnsi="仿宋" w:eastAsia="仿宋" w:cs="仿宋"/>
                <w:highlight w:val="none"/>
              </w:rPr>
              <w:t>3、拟派项目经理须具有建筑工程专业二级及以上注册建造师证书和有效的安全生产考核证书（B证），在本单位注册且无在建工程、无不良记录（提供无在建工程、无不良记录承诺书）；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ascii="仿宋" w:hAnsi="仿宋" w:eastAsia="仿宋" w:cs="仿宋"/>
                <w:bCs/>
                <w:highlight w:val="none"/>
              </w:rPr>
            </w:pPr>
          </w:p>
        </w:tc>
        <w:tc>
          <w:tcPr>
            <w:tcW w:w="600" w:type="dxa"/>
            <w:vMerge w:val="continue"/>
            <w:vAlign w:val="center"/>
          </w:tcPr>
          <w:p>
            <w:pPr>
              <w:tabs>
                <w:tab w:val="left" w:pos="0"/>
              </w:tabs>
              <w:adjustRightInd w:val="0"/>
              <w:snapToGrid w:val="0"/>
              <w:jc w:val="center"/>
              <w:rPr>
                <w:rFonts w:ascii="仿宋" w:hAnsi="仿宋" w:eastAsia="仿宋" w:cs="仿宋"/>
                <w:bCs/>
                <w:highlight w:val="none"/>
              </w:rPr>
            </w:pPr>
          </w:p>
        </w:tc>
        <w:tc>
          <w:tcPr>
            <w:tcW w:w="2836" w:type="dxa"/>
            <w:gridSpan w:val="2"/>
            <w:vMerge w:val="continue"/>
            <w:vAlign w:val="center"/>
          </w:tcPr>
          <w:p>
            <w:pPr>
              <w:tabs>
                <w:tab w:val="left" w:pos="0"/>
              </w:tabs>
              <w:adjustRightInd w:val="0"/>
              <w:snapToGrid w:val="0"/>
              <w:jc w:val="center"/>
              <w:rPr>
                <w:rFonts w:ascii="仿宋" w:hAnsi="仿宋" w:eastAsia="仿宋" w:cs="仿宋"/>
                <w:bCs/>
                <w:highlight w:val="none"/>
              </w:rPr>
            </w:pPr>
          </w:p>
        </w:tc>
        <w:tc>
          <w:tcPr>
            <w:tcW w:w="5319" w:type="dxa"/>
            <w:vAlign w:val="center"/>
          </w:tcPr>
          <w:p>
            <w:pPr>
              <w:rPr>
                <w:rFonts w:ascii="仿宋" w:hAnsi="仿宋" w:eastAsia="仿宋" w:cs="仿宋"/>
                <w:highlight w:val="none"/>
              </w:rPr>
            </w:pPr>
            <w:r>
              <w:rPr>
                <w:rFonts w:hint="eastAsia" w:ascii="仿宋" w:hAnsi="仿宋" w:eastAsia="仿宋" w:cs="仿宋"/>
                <w:highlight w:val="none"/>
              </w:rPr>
              <w:t>4、供应商未被“信用中国”网站（www.creditchina.gov.cn）列入失信被执行人和重大税收违法失信主体，未被中国政府采购网（www.ccgp.gov.cn）列入政府采购严重违法失信行为记录名单；（采购代理机构于本项目磋商公告发布后至磋商响应文件递交截止日查询相关信用记录，对列入失信被执行人、重大税收违法失信主体、政府采购严重违法失信行为记录名单及其他不符合《中华人民共和国政府采购法》第二十二条规定的供应商，采购代理机构将拒绝其参与政府采购活动，查询结果以电子或纸质方式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64" w:type="dxa"/>
            <w:vMerge w:val="continue"/>
            <w:vAlign w:val="center"/>
          </w:tcPr>
          <w:p>
            <w:pPr>
              <w:tabs>
                <w:tab w:val="left" w:pos="0"/>
              </w:tabs>
              <w:adjustRightInd w:val="0"/>
              <w:snapToGrid w:val="0"/>
              <w:jc w:val="center"/>
              <w:rPr>
                <w:rFonts w:ascii="仿宋" w:hAnsi="仿宋" w:eastAsia="仿宋" w:cs="仿宋"/>
                <w:bCs/>
                <w:highlight w:val="none"/>
              </w:rPr>
            </w:pPr>
          </w:p>
        </w:tc>
        <w:tc>
          <w:tcPr>
            <w:tcW w:w="600" w:type="dxa"/>
            <w:vMerge w:val="continue"/>
            <w:vAlign w:val="center"/>
          </w:tcPr>
          <w:p>
            <w:pPr>
              <w:tabs>
                <w:tab w:val="left" w:pos="0"/>
              </w:tabs>
              <w:adjustRightInd w:val="0"/>
              <w:snapToGrid w:val="0"/>
              <w:jc w:val="center"/>
              <w:rPr>
                <w:rFonts w:ascii="仿宋" w:hAnsi="仿宋" w:eastAsia="仿宋" w:cs="仿宋"/>
                <w:bCs/>
                <w:highlight w:val="none"/>
              </w:rPr>
            </w:pPr>
          </w:p>
        </w:tc>
        <w:tc>
          <w:tcPr>
            <w:tcW w:w="2836" w:type="dxa"/>
            <w:gridSpan w:val="2"/>
            <w:vMerge w:val="continue"/>
            <w:vAlign w:val="center"/>
          </w:tcPr>
          <w:p>
            <w:pPr>
              <w:tabs>
                <w:tab w:val="left" w:pos="0"/>
              </w:tabs>
              <w:adjustRightInd w:val="0"/>
              <w:snapToGrid w:val="0"/>
              <w:jc w:val="center"/>
              <w:rPr>
                <w:rFonts w:ascii="仿宋" w:hAnsi="仿宋" w:eastAsia="仿宋" w:cs="仿宋"/>
                <w:bCs/>
                <w:highlight w:val="none"/>
              </w:rPr>
            </w:pPr>
          </w:p>
        </w:tc>
        <w:tc>
          <w:tcPr>
            <w:tcW w:w="5319" w:type="dxa"/>
            <w:vAlign w:val="center"/>
          </w:tcPr>
          <w:p>
            <w:pPr>
              <w:tabs>
                <w:tab w:val="left" w:pos="0"/>
              </w:tabs>
              <w:adjustRightInd w:val="0"/>
              <w:snapToGrid w:val="0"/>
              <w:jc w:val="left"/>
              <w:rPr>
                <w:rFonts w:ascii="仿宋" w:hAnsi="仿宋" w:eastAsia="仿宋" w:cs="仿宋"/>
                <w:bCs/>
                <w:highlight w:val="none"/>
              </w:rPr>
            </w:pPr>
            <w:r>
              <w:rPr>
                <w:rFonts w:hint="eastAsia" w:ascii="仿宋" w:hAnsi="仿宋" w:eastAsia="仿宋" w:cs="仿宋"/>
                <w:bCs/>
                <w:highlight w:val="none"/>
              </w:rPr>
              <w:t>5、本项目不接受联合体磋商。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5"/>
            <w:vAlign w:val="center"/>
          </w:tcPr>
          <w:p>
            <w:pPr>
              <w:pStyle w:val="2"/>
              <w:jc w:val="left"/>
              <w:rPr>
                <w:rFonts w:ascii="仿宋" w:hAnsi="仿宋" w:eastAsia="仿宋" w:cs="仿宋"/>
                <w:bCs/>
                <w:highlight w:val="none"/>
              </w:rPr>
            </w:pPr>
            <w:r>
              <w:rPr>
                <w:rFonts w:hint="eastAsia" w:ascii="仿宋" w:hAnsi="仿宋" w:eastAsia="仿宋" w:cs="仿宋"/>
                <w:bCs/>
                <w:highlight w:val="none"/>
              </w:rPr>
              <w:t>注：以上为必备资格条件，缺一项或某项达不到要求，按无效文件处理。资格审查时以磋商响应文件中所附证明材料</w:t>
            </w:r>
            <w:r>
              <w:rPr>
                <w:rFonts w:hint="eastAsia" w:ascii="仿宋" w:hAnsi="仿宋" w:eastAsia="仿宋" w:cs="仿宋"/>
                <w:highlight w:val="none"/>
              </w:rPr>
              <w:t>（信用中国和中国政府采购网信用记录可不提供，由代理机构查询并留存）</w:t>
            </w:r>
            <w:r>
              <w:rPr>
                <w:rFonts w:hint="eastAsia" w:ascii="仿宋" w:hAnsi="仿宋" w:eastAsia="仿宋" w:cs="仿宋"/>
                <w:bCs/>
                <w:highlight w:val="none"/>
              </w:rPr>
              <w:t>为准，原件备查。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64" w:type="dxa"/>
            <w:vMerge w:val="restart"/>
            <w:vAlign w:val="center"/>
          </w:tcPr>
          <w:p>
            <w:pPr>
              <w:tabs>
                <w:tab w:val="left" w:pos="0"/>
              </w:tabs>
              <w:adjustRightInd w:val="0"/>
              <w:snapToGrid w:val="0"/>
              <w:spacing w:line="360" w:lineRule="auto"/>
              <w:jc w:val="center"/>
              <w:rPr>
                <w:rFonts w:ascii="仿宋" w:hAnsi="仿宋" w:eastAsia="仿宋" w:cs="仿宋"/>
                <w:bCs/>
                <w:highlight w:val="none"/>
              </w:rPr>
            </w:pPr>
            <w:r>
              <w:rPr>
                <w:rFonts w:hint="eastAsia" w:ascii="仿宋" w:hAnsi="仿宋" w:eastAsia="仿宋" w:cs="仿宋"/>
                <w:bCs/>
                <w:highlight w:val="none"/>
              </w:rPr>
              <w:t>1.2</w:t>
            </w:r>
          </w:p>
        </w:tc>
        <w:tc>
          <w:tcPr>
            <w:tcW w:w="600" w:type="dxa"/>
            <w:vMerge w:val="restart"/>
            <w:vAlign w:val="center"/>
          </w:tcPr>
          <w:p>
            <w:pPr>
              <w:tabs>
                <w:tab w:val="left" w:pos="0"/>
              </w:tabs>
              <w:adjustRightInd w:val="0"/>
              <w:snapToGrid w:val="0"/>
              <w:jc w:val="center"/>
              <w:rPr>
                <w:rFonts w:ascii="仿宋" w:hAnsi="仿宋" w:eastAsia="仿宋" w:cs="仿宋"/>
                <w:bCs/>
                <w:highlight w:val="none"/>
              </w:rPr>
            </w:pPr>
            <w:r>
              <w:rPr>
                <w:rFonts w:hint="eastAsia" w:ascii="仿宋" w:hAnsi="仿宋" w:eastAsia="仿宋" w:cs="仿宋"/>
                <w:bCs/>
                <w:highlight w:val="none"/>
              </w:rPr>
              <w:t>符合性评审标准</w:t>
            </w:r>
          </w:p>
        </w:tc>
        <w:tc>
          <w:tcPr>
            <w:tcW w:w="567" w:type="dxa"/>
            <w:vMerge w:val="restart"/>
            <w:vAlign w:val="center"/>
          </w:tcPr>
          <w:p>
            <w:pPr>
              <w:tabs>
                <w:tab w:val="left" w:pos="0"/>
              </w:tabs>
              <w:adjustRightInd w:val="0"/>
              <w:snapToGrid w:val="0"/>
              <w:jc w:val="center"/>
              <w:rPr>
                <w:rFonts w:ascii="仿宋" w:hAnsi="仿宋" w:eastAsia="仿宋" w:cs="仿宋"/>
                <w:bCs/>
                <w:highlight w:val="none"/>
              </w:rPr>
            </w:pPr>
            <w:r>
              <w:rPr>
                <w:rFonts w:hint="eastAsia" w:ascii="仿宋" w:hAnsi="仿宋" w:eastAsia="仿宋" w:cs="仿宋"/>
                <w:bCs/>
                <w:highlight w:val="none"/>
              </w:rPr>
              <w:t>有效性审查</w:t>
            </w:r>
          </w:p>
        </w:tc>
        <w:tc>
          <w:tcPr>
            <w:tcW w:w="2269" w:type="dxa"/>
            <w:vAlign w:val="center"/>
          </w:tcPr>
          <w:p>
            <w:pPr>
              <w:tabs>
                <w:tab w:val="left" w:pos="0"/>
              </w:tabs>
              <w:adjustRightInd w:val="0"/>
              <w:snapToGrid w:val="0"/>
              <w:rPr>
                <w:rFonts w:ascii="仿宋" w:hAnsi="仿宋" w:eastAsia="仿宋" w:cs="仿宋"/>
                <w:bCs/>
                <w:highlight w:val="none"/>
              </w:rPr>
            </w:pPr>
            <w:r>
              <w:rPr>
                <w:rFonts w:hint="eastAsia" w:ascii="仿宋" w:hAnsi="仿宋" w:eastAsia="仿宋" w:cs="仿宋"/>
                <w:bCs/>
                <w:highlight w:val="none"/>
              </w:rPr>
              <w:t>磋商响应文件的签署盖章</w:t>
            </w:r>
          </w:p>
        </w:tc>
        <w:tc>
          <w:tcPr>
            <w:tcW w:w="5319" w:type="dxa"/>
            <w:vAlign w:val="center"/>
          </w:tcPr>
          <w:p>
            <w:pPr>
              <w:tabs>
                <w:tab w:val="left" w:pos="0"/>
              </w:tabs>
              <w:adjustRightInd w:val="0"/>
              <w:snapToGrid w:val="0"/>
              <w:rPr>
                <w:rFonts w:ascii="仿宋" w:hAnsi="仿宋" w:eastAsia="仿宋" w:cs="仿宋"/>
                <w:bCs/>
                <w:highlight w:val="none"/>
              </w:rPr>
            </w:pPr>
            <w:r>
              <w:rPr>
                <w:rFonts w:hint="eastAsia" w:ascii="仿宋" w:hAnsi="仿宋" w:eastAsia="仿宋" w:cs="仿宋"/>
                <w:bCs/>
                <w:highlight w:val="none"/>
              </w:rPr>
              <w:t>磋商响应文件上法定代表人/负责人或其授权代表人的签字齐全并加盖公章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ascii="仿宋" w:hAnsi="仿宋" w:eastAsia="仿宋" w:cs="仿宋"/>
                <w:bCs/>
                <w:highlight w:val="none"/>
              </w:rPr>
            </w:pPr>
          </w:p>
        </w:tc>
        <w:tc>
          <w:tcPr>
            <w:tcW w:w="600" w:type="dxa"/>
            <w:vMerge w:val="continue"/>
          </w:tcPr>
          <w:p>
            <w:pPr>
              <w:tabs>
                <w:tab w:val="left" w:pos="0"/>
              </w:tabs>
              <w:adjustRightInd w:val="0"/>
              <w:snapToGrid w:val="0"/>
              <w:spacing w:line="360" w:lineRule="auto"/>
              <w:rPr>
                <w:rFonts w:ascii="仿宋" w:hAnsi="仿宋" w:eastAsia="仿宋" w:cs="仿宋"/>
                <w:bCs/>
                <w:highlight w:val="none"/>
              </w:rPr>
            </w:pPr>
          </w:p>
        </w:tc>
        <w:tc>
          <w:tcPr>
            <w:tcW w:w="567" w:type="dxa"/>
            <w:vMerge w:val="continue"/>
          </w:tcPr>
          <w:p>
            <w:pPr>
              <w:tabs>
                <w:tab w:val="left" w:pos="0"/>
              </w:tabs>
              <w:adjustRightInd w:val="0"/>
              <w:snapToGrid w:val="0"/>
              <w:spacing w:line="360" w:lineRule="auto"/>
              <w:rPr>
                <w:rFonts w:ascii="仿宋" w:hAnsi="仿宋" w:eastAsia="仿宋" w:cs="仿宋"/>
                <w:bCs/>
                <w:highlight w:val="none"/>
              </w:rPr>
            </w:pPr>
          </w:p>
        </w:tc>
        <w:tc>
          <w:tcPr>
            <w:tcW w:w="2269" w:type="dxa"/>
            <w:vAlign w:val="center"/>
          </w:tcPr>
          <w:p>
            <w:pPr>
              <w:tabs>
                <w:tab w:val="left" w:pos="0"/>
              </w:tabs>
              <w:adjustRightInd w:val="0"/>
              <w:snapToGrid w:val="0"/>
              <w:rPr>
                <w:rFonts w:ascii="仿宋" w:hAnsi="仿宋" w:eastAsia="仿宋" w:cs="仿宋"/>
                <w:bCs/>
                <w:highlight w:val="none"/>
              </w:rPr>
            </w:pPr>
            <w:r>
              <w:rPr>
                <w:rFonts w:hint="eastAsia" w:ascii="仿宋" w:hAnsi="仿宋" w:eastAsia="仿宋" w:cs="仿宋"/>
                <w:bCs/>
                <w:highlight w:val="none"/>
              </w:rPr>
              <w:t>磋商响应文件格式</w:t>
            </w:r>
          </w:p>
        </w:tc>
        <w:tc>
          <w:tcPr>
            <w:tcW w:w="5319" w:type="dxa"/>
            <w:vAlign w:val="center"/>
          </w:tcPr>
          <w:p>
            <w:pPr>
              <w:tabs>
                <w:tab w:val="left" w:pos="0"/>
              </w:tabs>
              <w:adjustRightInd w:val="0"/>
              <w:snapToGrid w:val="0"/>
              <w:rPr>
                <w:rFonts w:ascii="仿宋" w:hAnsi="仿宋" w:eastAsia="仿宋" w:cs="仿宋"/>
                <w:bCs/>
                <w:highlight w:val="none"/>
              </w:rPr>
            </w:pPr>
            <w:r>
              <w:rPr>
                <w:rFonts w:hint="eastAsia" w:ascii="仿宋" w:hAnsi="仿宋" w:eastAsia="仿宋" w:cs="仿宋"/>
                <w:bCs/>
                <w:highlight w:val="none"/>
              </w:rPr>
              <w:t>应符合“磋商响应文件格式”要求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64" w:type="dxa"/>
            <w:vMerge w:val="continue"/>
          </w:tcPr>
          <w:p>
            <w:pPr>
              <w:tabs>
                <w:tab w:val="left" w:pos="0"/>
              </w:tabs>
              <w:adjustRightInd w:val="0"/>
              <w:snapToGrid w:val="0"/>
              <w:spacing w:line="360" w:lineRule="auto"/>
              <w:rPr>
                <w:rFonts w:ascii="仿宋" w:hAnsi="仿宋" w:eastAsia="仿宋" w:cs="仿宋"/>
                <w:bCs/>
                <w:highlight w:val="none"/>
              </w:rPr>
            </w:pPr>
          </w:p>
        </w:tc>
        <w:tc>
          <w:tcPr>
            <w:tcW w:w="600" w:type="dxa"/>
            <w:vMerge w:val="continue"/>
          </w:tcPr>
          <w:p>
            <w:pPr>
              <w:tabs>
                <w:tab w:val="left" w:pos="0"/>
              </w:tabs>
              <w:adjustRightInd w:val="0"/>
              <w:snapToGrid w:val="0"/>
              <w:spacing w:line="360" w:lineRule="auto"/>
              <w:rPr>
                <w:rFonts w:ascii="仿宋" w:hAnsi="仿宋" w:eastAsia="仿宋" w:cs="仿宋"/>
                <w:bCs/>
                <w:highlight w:val="none"/>
              </w:rPr>
            </w:pPr>
          </w:p>
        </w:tc>
        <w:tc>
          <w:tcPr>
            <w:tcW w:w="567" w:type="dxa"/>
            <w:vMerge w:val="continue"/>
          </w:tcPr>
          <w:p>
            <w:pPr>
              <w:tabs>
                <w:tab w:val="left" w:pos="0"/>
              </w:tabs>
              <w:adjustRightInd w:val="0"/>
              <w:snapToGrid w:val="0"/>
              <w:spacing w:line="360" w:lineRule="auto"/>
              <w:rPr>
                <w:rFonts w:ascii="仿宋" w:hAnsi="仿宋" w:eastAsia="仿宋" w:cs="仿宋"/>
                <w:bCs/>
                <w:highlight w:val="none"/>
              </w:rPr>
            </w:pPr>
          </w:p>
        </w:tc>
        <w:tc>
          <w:tcPr>
            <w:tcW w:w="2269" w:type="dxa"/>
            <w:vAlign w:val="center"/>
          </w:tcPr>
          <w:p>
            <w:pPr>
              <w:tabs>
                <w:tab w:val="left" w:pos="0"/>
              </w:tabs>
              <w:adjustRightInd w:val="0"/>
              <w:snapToGrid w:val="0"/>
              <w:rPr>
                <w:rFonts w:ascii="仿宋" w:hAnsi="仿宋" w:eastAsia="仿宋" w:cs="仿宋"/>
                <w:bCs/>
                <w:highlight w:val="none"/>
              </w:rPr>
            </w:pPr>
            <w:r>
              <w:rPr>
                <w:rFonts w:hint="eastAsia" w:ascii="仿宋" w:hAnsi="仿宋" w:eastAsia="仿宋" w:cs="仿宋"/>
                <w:bCs/>
                <w:highlight w:val="none"/>
              </w:rPr>
              <w:t>报价</w:t>
            </w:r>
          </w:p>
        </w:tc>
        <w:tc>
          <w:tcPr>
            <w:tcW w:w="5319" w:type="dxa"/>
            <w:vAlign w:val="center"/>
          </w:tcPr>
          <w:p>
            <w:pPr>
              <w:tabs>
                <w:tab w:val="left" w:pos="0"/>
              </w:tabs>
              <w:adjustRightInd w:val="0"/>
              <w:snapToGrid w:val="0"/>
              <w:rPr>
                <w:rFonts w:ascii="仿宋" w:hAnsi="仿宋" w:eastAsia="仿宋" w:cs="仿宋"/>
                <w:bCs/>
                <w:highlight w:val="none"/>
              </w:rPr>
            </w:pPr>
            <w:r>
              <w:rPr>
                <w:rFonts w:hint="eastAsia" w:ascii="仿宋" w:hAnsi="仿宋" w:eastAsia="仿宋" w:cs="仿宋"/>
                <w:bCs/>
                <w:highlight w:val="none"/>
              </w:rPr>
              <w:t>按磋商文件要求报价，不得提交选择性报价，且每轮报价不超过采购预算金额或最高限价。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spacing w:line="360" w:lineRule="auto"/>
              <w:jc w:val="center"/>
              <w:rPr>
                <w:rFonts w:ascii="仿宋" w:hAnsi="仿宋" w:eastAsia="仿宋" w:cs="仿宋"/>
                <w:bCs/>
                <w:highlight w:val="none"/>
              </w:rPr>
            </w:pPr>
          </w:p>
        </w:tc>
        <w:tc>
          <w:tcPr>
            <w:tcW w:w="600" w:type="dxa"/>
            <w:vMerge w:val="continue"/>
            <w:vAlign w:val="center"/>
          </w:tcPr>
          <w:p>
            <w:pPr>
              <w:tabs>
                <w:tab w:val="left" w:pos="0"/>
              </w:tabs>
              <w:adjustRightInd w:val="0"/>
              <w:snapToGrid w:val="0"/>
              <w:jc w:val="center"/>
              <w:rPr>
                <w:rFonts w:ascii="仿宋" w:hAnsi="仿宋" w:eastAsia="仿宋" w:cs="仿宋"/>
                <w:bCs/>
                <w:highlight w:val="none"/>
              </w:rPr>
            </w:pPr>
          </w:p>
        </w:tc>
        <w:tc>
          <w:tcPr>
            <w:tcW w:w="567" w:type="dxa"/>
            <w:vMerge w:val="restart"/>
            <w:vAlign w:val="center"/>
          </w:tcPr>
          <w:p>
            <w:pPr>
              <w:tabs>
                <w:tab w:val="left" w:pos="0"/>
              </w:tabs>
              <w:adjustRightInd w:val="0"/>
              <w:snapToGrid w:val="0"/>
              <w:jc w:val="center"/>
              <w:rPr>
                <w:rFonts w:ascii="仿宋" w:hAnsi="仿宋" w:eastAsia="仿宋" w:cs="仿宋"/>
                <w:bCs/>
                <w:highlight w:val="none"/>
              </w:rPr>
            </w:pPr>
            <w:r>
              <w:rPr>
                <w:rFonts w:hint="eastAsia" w:ascii="仿宋" w:hAnsi="仿宋" w:eastAsia="仿宋" w:cs="仿宋"/>
                <w:bCs/>
                <w:highlight w:val="none"/>
              </w:rPr>
              <w:t>完整性审查</w:t>
            </w:r>
          </w:p>
        </w:tc>
        <w:tc>
          <w:tcPr>
            <w:tcW w:w="2269" w:type="dxa"/>
            <w:vAlign w:val="center"/>
          </w:tcPr>
          <w:p>
            <w:pPr>
              <w:tabs>
                <w:tab w:val="left" w:pos="0"/>
              </w:tabs>
              <w:adjustRightInd w:val="0"/>
              <w:snapToGrid w:val="0"/>
              <w:rPr>
                <w:rFonts w:ascii="仿宋" w:hAnsi="仿宋" w:eastAsia="仿宋" w:cs="仿宋"/>
                <w:bCs/>
                <w:highlight w:val="none"/>
              </w:rPr>
            </w:pPr>
            <w:r>
              <w:rPr>
                <w:rFonts w:hint="eastAsia" w:ascii="仿宋" w:hAnsi="仿宋" w:eastAsia="仿宋" w:cs="仿宋"/>
                <w:bCs/>
                <w:highlight w:val="none"/>
              </w:rPr>
              <w:t>磋商响应文件份数</w:t>
            </w:r>
          </w:p>
        </w:tc>
        <w:tc>
          <w:tcPr>
            <w:tcW w:w="5319" w:type="dxa"/>
            <w:vAlign w:val="center"/>
          </w:tcPr>
          <w:p>
            <w:pPr>
              <w:tabs>
                <w:tab w:val="left" w:pos="0"/>
              </w:tabs>
              <w:adjustRightInd w:val="0"/>
              <w:snapToGrid w:val="0"/>
              <w:rPr>
                <w:rFonts w:ascii="仿宋" w:hAnsi="仿宋" w:eastAsia="仿宋" w:cs="仿宋"/>
                <w:bCs/>
                <w:highlight w:val="none"/>
              </w:rPr>
            </w:pPr>
            <w:r>
              <w:rPr>
                <w:rFonts w:hint="eastAsia" w:ascii="仿宋" w:hAnsi="仿宋" w:eastAsia="仿宋" w:cs="仿宋"/>
                <w:bCs/>
                <w:highlight w:val="none"/>
              </w:rPr>
              <w:t>应符合“供应商须知前附表”规定的正本、副本、电子文件、报价一览表数量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ascii="仿宋" w:hAnsi="仿宋" w:eastAsia="仿宋" w:cs="仿宋"/>
                <w:bCs/>
                <w:highlight w:val="none"/>
              </w:rPr>
            </w:pPr>
          </w:p>
        </w:tc>
        <w:tc>
          <w:tcPr>
            <w:tcW w:w="600" w:type="dxa"/>
            <w:vMerge w:val="continue"/>
          </w:tcPr>
          <w:p>
            <w:pPr>
              <w:tabs>
                <w:tab w:val="left" w:pos="0"/>
              </w:tabs>
              <w:adjustRightInd w:val="0"/>
              <w:snapToGrid w:val="0"/>
              <w:spacing w:line="360" w:lineRule="auto"/>
              <w:rPr>
                <w:rFonts w:ascii="仿宋" w:hAnsi="仿宋" w:eastAsia="仿宋" w:cs="仿宋"/>
                <w:bCs/>
                <w:highlight w:val="none"/>
              </w:rPr>
            </w:pPr>
          </w:p>
        </w:tc>
        <w:tc>
          <w:tcPr>
            <w:tcW w:w="567" w:type="dxa"/>
            <w:vMerge w:val="continue"/>
          </w:tcPr>
          <w:p>
            <w:pPr>
              <w:tabs>
                <w:tab w:val="left" w:pos="0"/>
              </w:tabs>
              <w:adjustRightInd w:val="0"/>
              <w:snapToGrid w:val="0"/>
              <w:spacing w:line="360" w:lineRule="auto"/>
              <w:rPr>
                <w:rFonts w:ascii="仿宋" w:hAnsi="仿宋" w:eastAsia="仿宋" w:cs="仿宋"/>
                <w:bCs/>
                <w:highlight w:val="none"/>
              </w:rPr>
            </w:pPr>
          </w:p>
        </w:tc>
        <w:tc>
          <w:tcPr>
            <w:tcW w:w="2269" w:type="dxa"/>
            <w:vAlign w:val="center"/>
          </w:tcPr>
          <w:p>
            <w:pPr>
              <w:tabs>
                <w:tab w:val="left" w:pos="0"/>
              </w:tabs>
              <w:adjustRightInd w:val="0"/>
              <w:snapToGrid w:val="0"/>
              <w:rPr>
                <w:rFonts w:ascii="仿宋" w:hAnsi="仿宋" w:eastAsia="仿宋" w:cs="仿宋"/>
                <w:bCs/>
                <w:highlight w:val="none"/>
              </w:rPr>
            </w:pPr>
            <w:r>
              <w:rPr>
                <w:rFonts w:hint="eastAsia" w:ascii="仿宋" w:hAnsi="仿宋" w:eastAsia="仿宋" w:cs="仿宋"/>
                <w:bCs/>
                <w:highlight w:val="none"/>
              </w:rPr>
              <w:t>磋商响应文件内容</w:t>
            </w:r>
          </w:p>
        </w:tc>
        <w:tc>
          <w:tcPr>
            <w:tcW w:w="5319" w:type="dxa"/>
            <w:vAlign w:val="center"/>
          </w:tcPr>
          <w:p>
            <w:pPr>
              <w:tabs>
                <w:tab w:val="left" w:pos="0"/>
              </w:tabs>
              <w:adjustRightInd w:val="0"/>
              <w:snapToGrid w:val="0"/>
              <w:rPr>
                <w:rFonts w:ascii="仿宋" w:hAnsi="仿宋" w:eastAsia="仿宋" w:cs="仿宋"/>
                <w:bCs/>
                <w:highlight w:val="none"/>
              </w:rPr>
            </w:pPr>
            <w:r>
              <w:rPr>
                <w:rFonts w:hint="eastAsia" w:ascii="仿宋" w:hAnsi="仿宋" w:eastAsia="仿宋" w:cs="仿宋"/>
                <w:bCs/>
                <w:highlight w:val="none"/>
              </w:rPr>
              <w:t>磋商响应文件内容符合磋商文件要求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spacing w:line="360" w:lineRule="auto"/>
              <w:jc w:val="center"/>
              <w:rPr>
                <w:rFonts w:ascii="仿宋" w:hAnsi="仿宋" w:eastAsia="仿宋" w:cs="仿宋"/>
                <w:bCs/>
                <w:highlight w:val="none"/>
              </w:rPr>
            </w:pPr>
          </w:p>
        </w:tc>
        <w:tc>
          <w:tcPr>
            <w:tcW w:w="600" w:type="dxa"/>
            <w:vMerge w:val="continue"/>
            <w:vAlign w:val="center"/>
          </w:tcPr>
          <w:p>
            <w:pPr>
              <w:tabs>
                <w:tab w:val="left" w:pos="0"/>
              </w:tabs>
              <w:adjustRightInd w:val="0"/>
              <w:snapToGrid w:val="0"/>
              <w:jc w:val="center"/>
              <w:rPr>
                <w:rFonts w:ascii="仿宋" w:hAnsi="仿宋" w:eastAsia="仿宋" w:cs="仿宋"/>
                <w:bCs/>
                <w:highlight w:val="none"/>
              </w:rPr>
            </w:pPr>
          </w:p>
        </w:tc>
        <w:tc>
          <w:tcPr>
            <w:tcW w:w="567" w:type="dxa"/>
            <w:vMerge w:val="restart"/>
            <w:vAlign w:val="center"/>
          </w:tcPr>
          <w:p>
            <w:pPr>
              <w:tabs>
                <w:tab w:val="left" w:pos="0"/>
              </w:tabs>
              <w:adjustRightInd w:val="0"/>
              <w:snapToGrid w:val="0"/>
              <w:jc w:val="center"/>
              <w:rPr>
                <w:rFonts w:ascii="仿宋" w:hAnsi="仿宋" w:eastAsia="仿宋" w:cs="仿宋"/>
                <w:bCs/>
                <w:highlight w:val="none"/>
              </w:rPr>
            </w:pPr>
            <w:r>
              <w:rPr>
                <w:rFonts w:hint="eastAsia" w:ascii="仿宋" w:hAnsi="仿宋" w:eastAsia="仿宋" w:cs="仿宋"/>
                <w:bCs/>
                <w:highlight w:val="none"/>
              </w:rPr>
              <w:t>响应性审查</w:t>
            </w:r>
          </w:p>
        </w:tc>
        <w:tc>
          <w:tcPr>
            <w:tcW w:w="2269" w:type="dxa"/>
            <w:vAlign w:val="center"/>
          </w:tcPr>
          <w:p>
            <w:pPr>
              <w:tabs>
                <w:tab w:val="left" w:pos="0"/>
              </w:tabs>
              <w:adjustRightInd w:val="0"/>
              <w:snapToGrid w:val="0"/>
              <w:rPr>
                <w:rFonts w:ascii="仿宋" w:hAnsi="仿宋" w:eastAsia="仿宋" w:cs="仿宋"/>
                <w:bCs/>
                <w:highlight w:val="none"/>
              </w:rPr>
            </w:pPr>
            <w:r>
              <w:rPr>
                <w:rFonts w:hint="eastAsia" w:ascii="仿宋" w:hAnsi="仿宋" w:eastAsia="仿宋" w:cs="仿宋"/>
                <w:bCs/>
                <w:highlight w:val="none"/>
              </w:rPr>
              <w:t>对磋商文件响应程度</w:t>
            </w:r>
          </w:p>
        </w:tc>
        <w:tc>
          <w:tcPr>
            <w:tcW w:w="5319" w:type="dxa"/>
            <w:vAlign w:val="center"/>
          </w:tcPr>
          <w:p>
            <w:pPr>
              <w:tabs>
                <w:tab w:val="left" w:pos="0"/>
              </w:tabs>
              <w:adjustRightInd w:val="0"/>
              <w:snapToGrid w:val="0"/>
              <w:rPr>
                <w:rFonts w:ascii="仿宋" w:hAnsi="仿宋" w:eastAsia="仿宋" w:cs="仿宋"/>
                <w:bCs/>
                <w:highlight w:val="none"/>
              </w:rPr>
            </w:pPr>
            <w:r>
              <w:rPr>
                <w:rFonts w:hint="eastAsia" w:ascii="仿宋" w:hAnsi="仿宋" w:eastAsia="仿宋" w:cs="仿宋"/>
                <w:bCs/>
                <w:highlight w:val="none"/>
              </w:rPr>
              <w:t>要求实质性条款全部响应，不能有采购人不能接受的附加条件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ascii="仿宋" w:hAnsi="仿宋" w:eastAsia="仿宋" w:cs="仿宋"/>
                <w:bCs/>
                <w:highlight w:val="none"/>
              </w:rPr>
            </w:pPr>
          </w:p>
        </w:tc>
        <w:tc>
          <w:tcPr>
            <w:tcW w:w="600" w:type="dxa"/>
            <w:vMerge w:val="continue"/>
          </w:tcPr>
          <w:p>
            <w:pPr>
              <w:tabs>
                <w:tab w:val="left" w:pos="0"/>
              </w:tabs>
              <w:adjustRightInd w:val="0"/>
              <w:snapToGrid w:val="0"/>
              <w:spacing w:line="360" w:lineRule="auto"/>
              <w:rPr>
                <w:rFonts w:ascii="仿宋" w:hAnsi="仿宋" w:eastAsia="仿宋" w:cs="仿宋"/>
                <w:bCs/>
                <w:highlight w:val="none"/>
              </w:rPr>
            </w:pPr>
          </w:p>
        </w:tc>
        <w:tc>
          <w:tcPr>
            <w:tcW w:w="567" w:type="dxa"/>
            <w:vMerge w:val="continue"/>
          </w:tcPr>
          <w:p>
            <w:pPr>
              <w:tabs>
                <w:tab w:val="left" w:pos="0"/>
              </w:tabs>
              <w:adjustRightInd w:val="0"/>
              <w:snapToGrid w:val="0"/>
              <w:spacing w:line="360" w:lineRule="auto"/>
              <w:rPr>
                <w:rFonts w:ascii="仿宋" w:hAnsi="仿宋" w:eastAsia="仿宋" w:cs="仿宋"/>
                <w:bCs/>
                <w:highlight w:val="none"/>
              </w:rPr>
            </w:pPr>
          </w:p>
        </w:tc>
        <w:tc>
          <w:tcPr>
            <w:tcW w:w="2269" w:type="dxa"/>
            <w:vAlign w:val="center"/>
          </w:tcPr>
          <w:p>
            <w:pPr>
              <w:tabs>
                <w:tab w:val="left" w:pos="0"/>
              </w:tabs>
              <w:adjustRightInd w:val="0"/>
              <w:snapToGrid w:val="0"/>
              <w:rPr>
                <w:rFonts w:ascii="仿宋" w:hAnsi="仿宋" w:eastAsia="仿宋" w:cs="仿宋"/>
                <w:bCs/>
                <w:highlight w:val="none"/>
              </w:rPr>
            </w:pPr>
            <w:r>
              <w:rPr>
                <w:rFonts w:hint="eastAsia" w:ascii="仿宋" w:hAnsi="仿宋" w:eastAsia="仿宋" w:cs="仿宋"/>
                <w:bCs/>
                <w:highlight w:val="none"/>
              </w:rPr>
              <w:t>工期</w:t>
            </w:r>
          </w:p>
        </w:tc>
        <w:tc>
          <w:tcPr>
            <w:tcW w:w="5319" w:type="dxa"/>
            <w:vAlign w:val="center"/>
          </w:tcPr>
          <w:p>
            <w:pPr>
              <w:tabs>
                <w:tab w:val="left" w:pos="0"/>
              </w:tabs>
              <w:adjustRightInd w:val="0"/>
              <w:snapToGrid w:val="0"/>
              <w:rPr>
                <w:rFonts w:ascii="仿宋" w:hAnsi="仿宋" w:eastAsia="仿宋" w:cs="仿宋"/>
                <w:bCs/>
                <w:highlight w:val="none"/>
              </w:rPr>
            </w:pPr>
            <w:r>
              <w:rPr>
                <w:rFonts w:hint="eastAsia" w:ascii="仿宋" w:hAnsi="仿宋" w:eastAsia="仿宋" w:cs="仿宋"/>
                <w:bCs/>
                <w:highlight w:val="none"/>
              </w:rPr>
              <w:t>应满足磋商文件中要求的工期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ascii="仿宋" w:hAnsi="仿宋" w:eastAsia="仿宋" w:cs="仿宋"/>
                <w:bCs/>
                <w:highlight w:val="none"/>
              </w:rPr>
            </w:pPr>
          </w:p>
        </w:tc>
        <w:tc>
          <w:tcPr>
            <w:tcW w:w="600" w:type="dxa"/>
            <w:vMerge w:val="continue"/>
          </w:tcPr>
          <w:p>
            <w:pPr>
              <w:tabs>
                <w:tab w:val="left" w:pos="0"/>
              </w:tabs>
              <w:adjustRightInd w:val="0"/>
              <w:snapToGrid w:val="0"/>
              <w:spacing w:line="360" w:lineRule="auto"/>
              <w:rPr>
                <w:rFonts w:ascii="仿宋" w:hAnsi="仿宋" w:eastAsia="仿宋" w:cs="仿宋"/>
                <w:bCs/>
                <w:highlight w:val="none"/>
              </w:rPr>
            </w:pPr>
          </w:p>
        </w:tc>
        <w:tc>
          <w:tcPr>
            <w:tcW w:w="567" w:type="dxa"/>
            <w:vMerge w:val="continue"/>
          </w:tcPr>
          <w:p>
            <w:pPr>
              <w:tabs>
                <w:tab w:val="left" w:pos="0"/>
              </w:tabs>
              <w:adjustRightInd w:val="0"/>
              <w:snapToGrid w:val="0"/>
              <w:spacing w:line="360" w:lineRule="auto"/>
              <w:rPr>
                <w:rFonts w:ascii="仿宋" w:hAnsi="仿宋" w:eastAsia="仿宋" w:cs="仿宋"/>
                <w:bCs/>
                <w:highlight w:val="none"/>
              </w:rPr>
            </w:pPr>
          </w:p>
        </w:tc>
        <w:tc>
          <w:tcPr>
            <w:tcW w:w="2269" w:type="dxa"/>
            <w:vAlign w:val="center"/>
          </w:tcPr>
          <w:p>
            <w:pPr>
              <w:tabs>
                <w:tab w:val="left" w:pos="0"/>
              </w:tabs>
              <w:adjustRightInd w:val="0"/>
              <w:snapToGrid w:val="0"/>
              <w:rPr>
                <w:rFonts w:ascii="仿宋" w:hAnsi="仿宋" w:eastAsia="仿宋" w:cs="仿宋"/>
                <w:bCs/>
                <w:highlight w:val="none"/>
              </w:rPr>
            </w:pPr>
            <w:r>
              <w:rPr>
                <w:rFonts w:hint="eastAsia" w:ascii="仿宋" w:hAnsi="仿宋" w:eastAsia="仿宋" w:cs="仿宋"/>
                <w:bCs/>
                <w:highlight w:val="none"/>
              </w:rPr>
              <w:t>施工地点</w:t>
            </w:r>
          </w:p>
        </w:tc>
        <w:tc>
          <w:tcPr>
            <w:tcW w:w="5319" w:type="dxa"/>
            <w:vAlign w:val="center"/>
          </w:tcPr>
          <w:p>
            <w:pPr>
              <w:tabs>
                <w:tab w:val="left" w:pos="0"/>
              </w:tabs>
              <w:adjustRightInd w:val="0"/>
              <w:snapToGrid w:val="0"/>
              <w:rPr>
                <w:rFonts w:ascii="仿宋" w:hAnsi="仿宋" w:eastAsia="仿宋" w:cs="仿宋"/>
                <w:bCs/>
                <w:highlight w:val="none"/>
              </w:rPr>
            </w:pPr>
            <w:r>
              <w:rPr>
                <w:rFonts w:hint="eastAsia" w:ascii="仿宋" w:hAnsi="仿宋" w:eastAsia="仿宋" w:cs="仿宋"/>
                <w:bCs/>
                <w:highlight w:val="none"/>
              </w:rPr>
              <w:t>应满足磋商文件中要求的施工地点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ascii="仿宋" w:hAnsi="仿宋" w:eastAsia="仿宋" w:cs="仿宋"/>
                <w:bCs/>
                <w:highlight w:val="none"/>
              </w:rPr>
            </w:pPr>
          </w:p>
        </w:tc>
        <w:tc>
          <w:tcPr>
            <w:tcW w:w="600" w:type="dxa"/>
            <w:vMerge w:val="continue"/>
          </w:tcPr>
          <w:p>
            <w:pPr>
              <w:tabs>
                <w:tab w:val="left" w:pos="0"/>
              </w:tabs>
              <w:adjustRightInd w:val="0"/>
              <w:snapToGrid w:val="0"/>
              <w:spacing w:line="360" w:lineRule="auto"/>
              <w:rPr>
                <w:rFonts w:ascii="仿宋" w:hAnsi="仿宋" w:eastAsia="仿宋" w:cs="仿宋"/>
                <w:bCs/>
                <w:highlight w:val="none"/>
              </w:rPr>
            </w:pPr>
          </w:p>
        </w:tc>
        <w:tc>
          <w:tcPr>
            <w:tcW w:w="567" w:type="dxa"/>
            <w:vMerge w:val="continue"/>
          </w:tcPr>
          <w:p>
            <w:pPr>
              <w:tabs>
                <w:tab w:val="left" w:pos="0"/>
              </w:tabs>
              <w:adjustRightInd w:val="0"/>
              <w:snapToGrid w:val="0"/>
              <w:spacing w:line="360" w:lineRule="auto"/>
              <w:rPr>
                <w:rFonts w:ascii="仿宋" w:hAnsi="仿宋" w:eastAsia="仿宋" w:cs="仿宋"/>
                <w:bCs/>
                <w:highlight w:val="none"/>
              </w:rPr>
            </w:pPr>
          </w:p>
        </w:tc>
        <w:tc>
          <w:tcPr>
            <w:tcW w:w="2269" w:type="dxa"/>
            <w:vAlign w:val="center"/>
          </w:tcPr>
          <w:p>
            <w:pPr>
              <w:tabs>
                <w:tab w:val="left" w:pos="0"/>
              </w:tabs>
              <w:adjustRightInd w:val="0"/>
              <w:snapToGrid w:val="0"/>
              <w:rPr>
                <w:rFonts w:ascii="仿宋" w:hAnsi="仿宋" w:eastAsia="仿宋" w:cs="仿宋"/>
                <w:bCs/>
                <w:highlight w:val="none"/>
              </w:rPr>
            </w:pPr>
            <w:r>
              <w:rPr>
                <w:rFonts w:hint="eastAsia" w:ascii="仿宋" w:hAnsi="仿宋" w:eastAsia="仿宋" w:cs="仿宋"/>
                <w:bCs/>
                <w:highlight w:val="none"/>
              </w:rPr>
              <w:t>磋商有效期</w:t>
            </w:r>
          </w:p>
        </w:tc>
        <w:tc>
          <w:tcPr>
            <w:tcW w:w="5319" w:type="dxa"/>
            <w:vAlign w:val="center"/>
          </w:tcPr>
          <w:p>
            <w:pPr>
              <w:tabs>
                <w:tab w:val="left" w:pos="0"/>
              </w:tabs>
              <w:adjustRightInd w:val="0"/>
              <w:snapToGrid w:val="0"/>
              <w:rPr>
                <w:rFonts w:ascii="仿宋" w:hAnsi="仿宋" w:eastAsia="仿宋" w:cs="仿宋"/>
                <w:bCs/>
                <w:highlight w:val="none"/>
              </w:rPr>
            </w:pPr>
            <w:r>
              <w:rPr>
                <w:rFonts w:hint="eastAsia" w:ascii="仿宋" w:hAnsi="仿宋" w:eastAsia="仿宋" w:cs="仿宋"/>
                <w:bCs/>
                <w:highlight w:val="none"/>
              </w:rPr>
              <w:t>应满足磋商文件中的规定</w:t>
            </w:r>
          </w:p>
        </w:tc>
      </w:tr>
    </w:tbl>
    <w:p>
      <w:pPr>
        <w:pStyle w:val="2"/>
        <w:rPr>
          <w:rFonts w:ascii="仿宋" w:hAnsi="仿宋" w:eastAsia="仿宋" w:cs="仿宋"/>
          <w:b/>
          <w:bCs/>
          <w:sz w:val="24"/>
          <w:szCs w:val="24"/>
          <w:highlight w:val="none"/>
        </w:rPr>
      </w:pPr>
    </w:p>
    <w:p>
      <w:pPr>
        <w:rPr>
          <w:rFonts w:ascii="仿宋" w:hAnsi="仿宋" w:eastAsia="仿宋" w:cs="仿宋"/>
          <w:b/>
          <w:bCs/>
          <w:sz w:val="24"/>
          <w:szCs w:val="24"/>
          <w:highlight w:val="none"/>
        </w:rPr>
      </w:pPr>
    </w:p>
    <w:p>
      <w:pPr>
        <w:pStyle w:val="2"/>
        <w:rPr>
          <w:rFonts w:ascii="仿宋" w:hAnsi="仿宋" w:eastAsia="仿宋" w:cs="仿宋"/>
          <w:highlight w:val="none"/>
        </w:rPr>
      </w:pPr>
    </w:p>
    <w:p>
      <w:pPr>
        <w:pStyle w:val="2"/>
        <w:rPr>
          <w:rFonts w:ascii="仿宋" w:hAnsi="仿宋" w:eastAsia="仿宋" w:cs="仿宋"/>
          <w:highlight w:val="none"/>
        </w:rPr>
      </w:pPr>
    </w:p>
    <w:p>
      <w:pPr>
        <w:rPr>
          <w:rFonts w:ascii="仿宋" w:hAnsi="仿宋" w:eastAsia="仿宋" w:cs="仿宋"/>
          <w:highlight w:val="none"/>
        </w:rPr>
      </w:pPr>
    </w:p>
    <w:p>
      <w:pPr>
        <w:pStyle w:val="2"/>
        <w:rPr>
          <w:rFonts w:ascii="仿宋" w:hAnsi="仿宋" w:eastAsia="仿宋" w:cs="仿宋"/>
          <w:highlight w:val="none"/>
        </w:rPr>
      </w:pPr>
    </w:p>
    <w:p>
      <w:pPr>
        <w:rPr>
          <w:rFonts w:ascii="仿宋" w:hAnsi="仿宋" w:eastAsia="仿宋" w:cs="仿宋"/>
          <w:highlight w:val="none"/>
        </w:rPr>
      </w:pPr>
    </w:p>
    <w:p>
      <w:pPr>
        <w:pStyle w:val="2"/>
        <w:rPr>
          <w:rFonts w:ascii="仿宋" w:hAnsi="仿宋" w:eastAsia="仿宋" w:cs="仿宋"/>
          <w:highlight w:val="none"/>
        </w:rPr>
      </w:pPr>
    </w:p>
    <w:p>
      <w:pPr>
        <w:rPr>
          <w:rFonts w:ascii="仿宋" w:hAnsi="仿宋" w:eastAsia="仿宋" w:cs="仿宋"/>
          <w:highlight w:val="none"/>
        </w:rPr>
      </w:pPr>
    </w:p>
    <w:p>
      <w:pPr>
        <w:pStyle w:val="5"/>
        <w:spacing w:before="0" w:after="0" w:line="360" w:lineRule="auto"/>
        <w:rPr>
          <w:rFonts w:ascii="仿宋" w:hAnsi="仿宋" w:eastAsia="仿宋" w:cs="仿宋"/>
          <w:sz w:val="28"/>
          <w:szCs w:val="28"/>
          <w:highlight w:val="none"/>
        </w:rPr>
      </w:pPr>
      <w:bookmarkStart w:id="255" w:name="_Toc27361"/>
      <w:bookmarkStart w:id="256" w:name="_Toc11821"/>
      <w:bookmarkStart w:id="257" w:name="_Toc30368"/>
      <w:r>
        <w:rPr>
          <w:rFonts w:hint="eastAsia" w:ascii="仿宋" w:hAnsi="仿宋" w:eastAsia="仿宋" w:cs="仿宋"/>
          <w:sz w:val="28"/>
          <w:szCs w:val="28"/>
          <w:highlight w:val="none"/>
        </w:rPr>
        <w:t>附件2</w:t>
      </w:r>
      <w:bookmarkEnd w:id="255"/>
      <w:bookmarkEnd w:id="256"/>
      <w:bookmarkEnd w:id="257"/>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仿宋" w:hAnsi="仿宋" w:eastAsia="仿宋" w:cs="仿宋"/>
          <w:sz w:val="28"/>
          <w:szCs w:val="28"/>
          <w:highlight w:val="none"/>
          <w:lang w:eastAsia="zh-CN"/>
        </w:rPr>
      </w:pPr>
      <w:bookmarkStart w:id="258" w:name="_Hlt128276530"/>
      <w:bookmarkEnd w:id="258"/>
      <w:bookmarkStart w:id="259" w:name="_Hlt128276537"/>
      <w:bookmarkEnd w:id="259"/>
      <w:bookmarkStart w:id="260" w:name="_Hlt128276660"/>
      <w:bookmarkEnd w:id="260"/>
      <w:bookmarkStart w:id="261" w:name="_Toc20698"/>
      <w:bookmarkStart w:id="262" w:name="_Toc221523521"/>
      <w:bookmarkStart w:id="263" w:name="_Toc351989128"/>
      <w:bookmarkStart w:id="264" w:name="_Toc19346"/>
      <w:bookmarkStart w:id="265" w:name="_Toc421778377"/>
      <w:r>
        <w:rPr>
          <w:rFonts w:hint="eastAsia" w:ascii="仿宋" w:hAnsi="仿宋" w:eastAsia="仿宋" w:cs="仿宋"/>
          <w:sz w:val="28"/>
          <w:szCs w:val="28"/>
          <w:highlight w:val="none"/>
          <w:lang w:eastAsia="zh-CN"/>
        </w:rPr>
        <w:t>评标因素及权重分值表</w:t>
      </w:r>
      <w:bookmarkEnd w:id="261"/>
    </w:p>
    <w:tbl>
      <w:tblPr>
        <w:tblStyle w:val="35"/>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15"/>
        <w:gridCol w:w="486"/>
        <w:gridCol w:w="6518"/>
        <w:gridCol w:w="667"/>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811" w:type="dxa"/>
            <w:vAlign w:val="center"/>
          </w:tcPr>
          <w:p>
            <w:pPr>
              <w:pStyle w:val="20"/>
              <w:jc w:val="center"/>
              <w:rPr>
                <w:rFonts w:hint="eastAsia" w:ascii="仿宋" w:hAnsi="仿宋" w:eastAsia="仿宋" w:cs="仿宋"/>
                <w:b/>
                <w:bCs/>
                <w:kern w:val="0"/>
                <w:sz w:val="21"/>
                <w:szCs w:val="21"/>
                <w:highlight w:val="none"/>
                <w:lang w:val="en-US" w:eastAsia="zh-CN"/>
              </w:rPr>
            </w:pPr>
            <w:r>
              <w:rPr>
                <w:rFonts w:hint="eastAsia" w:ascii="仿宋" w:hAnsi="仿宋" w:eastAsia="仿宋" w:cs="仿宋"/>
                <w:b/>
                <w:bCs/>
                <w:kern w:val="0"/>
                <w:sz w:val="21"/>
                <w:szCs w:val="21"/>
                <w:highlight w:val="none"/>
                <w:lang w:val="en-US" w:eastAsia="zh-CN"/>
              </w:rPr>
              <w:t>类别</w:t>
            </w:r>
          </w:p>
        </w:tc>
        <w:tc>
          <w:tcPr>
            <w:tcW w:w="715" w:type="dxa"/>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总分</w:t>
            </w:r>
          </w:p>
        </w:tc>
        <w:tc>
          <w:tcPr>
            <w:tcW w:w="7004" w:type="dxa"/>
            <w:gridSpan w:val="2"/>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评标因素</w:t>
            </w:r>
          </w:p>
        </w:tc>
        <w:tc>
          <w:tcPr>
            <w:tcW w:w="667" w:type="dxa"/>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最高</w:t>
            </w:r>
          </w:p>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得分</w:t>
            </w:r>
          </w:p>
        </w:tc>
        <w:tc>
          <w:tcPr>
            <w:tcW w:w="614" w:type="dxa"/>
            <w:vAlign w:val="center"/>
          </w:tcPr>
          <w:p>
            <w:pPr>
              <w:widowControl/>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1" w:type="dxa"/>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投标价格</w:t>
            </w:r>
          </w:p>
        </w:tc>
        <w:tc>
          <w:tcPr>
            <w:tcW w:w="715" w:type="dxa"/>
            <w:vAlign w:val="center"/>
          </w:tcPr>
          <w:p>
            <w:pPr>
              <w:spacing w:line="56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30</w:t>
            </w:r>
            <w:r>
              <w:rPr>
                <w:rFonts w:hint="eastAsia" w:ascii="仿宋" w:hAnsi="仿宋" w:eastAsia="仿宋" w:cs="仿宋"/>
                <w:b/>
                <w:color w:val="auto"/>
                <w:sz w:val="21"/>
                <w:szCs w:val="21"/>
                <w:highlight w:val="none"/>
              </w:rPr>
              <w:t>分</w:t>
            </w:r>
          </w:p>
        </w:tc>
        <w:tc>
          <w:tcPr>
            <w:tcW w:w="7004" w:type="dxa"/>
            <w:gridSpan w:val="2"/>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经初审合格的</w:t>
            </w:r>
            <w:r>
              <w:rPr>
                <w:rFonts w:hint="eastAsia" w:ascii="仿宋" w:hAnsi="仿宋" w:eastAsia="仿宋" w:cs="仿宋"/>
                <w:color w:val="auto"/>
                <w:sz w:val="21"/>
                <w:szCs w:val="21"/>
                <w:highlight w:val="none"/>
                <w:lang w:eastAsia="zh-CN"/>
              </w:rPr>
              <w:t>磋商</w:t>
            </w:r>
            <w:r>
              <w:rPr>
                <w:rFonts w:hint="eastAsia" w:ascii="仿宋" w:hAnsi="仿宋" w:eastAsia="仿宋" w:cs="仿宋"/>
                <w:color w:val="auto"/>
                <w:sz w:val="21"/>
                <w:szCs w:val="21"/>
                <w:highlight w:val="none"/>
              </w:rPr>
              <w:t>文件，其</w:t>
            </w:r>
            <w:r>
              <w:rPr>
                <w:rFonts w:hint="eastAsia" w:ascii="仿宋" w:hAnsi="仿宋" w:eastAsia="仿宋" w:cs="仿宋"/>
                <w:color w:val="auto"/>
                <w:sz w:val="21"/>
                <w:szCs w:val="21"/>
                <w:highlight w:val="none"/>
                <w:lang w:eastAsia="zh-CN"/>
              </w:rPr>
              <w:t>最终</w:t>
            </w:r>
            <w:r>
              <w:rPr>
                <w:rFonts w:hint="eastAsia" w:ascii="仿宋" w:hAnsi="仿宋" w:eastAsia="仿宋" w:cs="仿宋"/>
                <w:color w:val="auto"/>
                <w:sz w:val="21"/>
                <w:szCs w:val="21"/>
                <w:highlight w:val="none"/>
              </w:rPr>
              <w:t>报价为有效</w:t>
            </w:r>
            <w:r>
              <w:rPr>
                <w:rFonts w:hint="eastAsia" w:ascii="仿宋" w:hAnsi="仿宋" w:eastAsia="仿宋" w:cs="仿宋"/>
                <w:color w:val="auto"/>
                <w:sz w:val="21"/>
                <w:szCs w:val="21"/>
                <w:highlight w:val="none"/>
                <w:lang w:eastAsia="zh-CN"/>
              </w:rPr>
              <w:t>报</w:t>
            </w:r>
            <w:r>
              <w:rPr>
                <w:rFonts w:hint="eastAsia" w:ascii="仿宋" w:hAnsi="仿宋" w:eastAsia="仿宋" w:cs="仿宋"/>
                <w:color w:val="auto"/>
                <w:sz w:val="21"/>
                <w:szCs w:val="21"/>
                <w:highlight w:val="none"/>
              </w:rPr>
              <w:t>价。</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有效最低报价为基准价得</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按（</w:t>
            </w:r>
            <w:r>
              <w:rPr>
                <w:rFonts w:hint="eastAsia" w:ascii="仿宋" w:hAnsi="仿宋" w:eastAsia="仿宋" w:cs="仿宋"/>
                <w:color w:val="auto"/>
                <w:sz w:val="21"/>
                <w:szCs w:val="21"/>
                <w:highlight w:val="none"/>
                <w:lang w:eastAsia="zh-CN"/>
              </w:rPr>
              <w:t>磋商基准价</w:t>
            </w:r>
            <w:r>
              <w:rPr>
                <w:rFonts w:hint="eastAsia" w:ascii="仿宋" w:hAnsi="仿宋" w:eastAsia="仿宋" w:cs="仿宋"/>
                <w:color w:val="auto"/>
                <w:sz w:val="21"/>
                <w:szCs w:val="21"/>
                <w:highlight w:val="none"/>
              </w:rPr>
              <w:t>/有效</w:t>
            </w:r>
            <w:r>
              <w:rPr>
                <w:rFonts w:hint="eastAsia" w:ascii="仿宋" w:hAnsi="仿宋" w:eastAsia="仿宋" w:cs="仿宋"/>
                <w:color w:val="auto"/>
                <w:sz w:val="21"/>
                <w:szCs w:val="21"/>
                <w:highlight w:val="none"/>
                <w:lang w:eastAsia="zh-CN"/>
              </w:rPr>
              <w:t>最终磋商</w:t>
            </w:r>
            <w:r>
              <w:rPr>
                <w:rFonts w:hint="eastAsia" w:ascii="仿宋" w:hAnsi="仿宋" w:eastAsia="仿宋" w:cs="仿宋"/>
                <w:color w:val="auto"/>
                <w:sz w:val="21"/>
                <w:szCs w:val="21"/>
                <w:highlight w:val="none"/>
              </w:rPr>
              <w:t>报价）×</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的公式计算</w:t>
            </w:r>
            <w:r>
              <w:rPr>
                <w:rFonts w:hint="eastAsia" w:ascii="仿宋" w:hAnsi="仿宋" w:eastAsia="仿宋" w:cs="仿宋"/>
                <w:color w:val="auto"/>
                <w:sz w:val="21"/>
                <w:szCs w:val="21"/>
                <w:highlight w:val="none"/>
                <w:lang w:eastAsia="zh-CN"/>
              </w:rPr>
              <w:t>报价</w:t>
            </w:r>
            <w:r>
              <w:rPr>
                <w:rFonts w:hint="eastAsia" w:ascii="仿宋" w:hAnsi="仿宋" w:eastAsia="仿宋" w:cs="仿宋"/>
                <w:color w:val="auto"/>
                <w:sz w:val="21"/>
                <w:szCs w:val="21"/>
                <w:highlight w:val="none"/>
              </w:rPr>
              <w:t>得分。</w:t>
            </w:r>
          </w:p>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报价不完整的，不进入</w:t>
            </w:r>
            <w:r>
              <w:rPr>
                <w:rFonts w:hint="eastAsia" w:ascii="仿宋" w:hAnsi="仿宋" w:eastAsia="仿宋" w:cs="仿宋"/>
                <w:color w:val="auto"/>
                <w:sz w:val="21"/>
                <w:szCs w:val="21"/>
                <w:highlight w:val="none"/>
                <w:lang w:eastAsia="zh-CN"/>
              </w:rPr>
              <w:t>磋商基</w:t>
            </w:r>
            <w:r>
              <w:rPr>
                <w:rFonts w:hint="eastAsia" w:ascii="仿宋" w:hAnsi="仿宋" w:eastAsia="仿宋" w:cs="仿宋"/>
                <w:color w:val="auto"/>
                <w:sz w:val="21"/>
                <w:szCs w:val="21"/>
                <w:highlight w:val="none"/>
              </w:rPr>
              <w:t>准价的计算，本项得0分。</w:t>
            </w:r>
          </w:p>
        </w:tc>
        <w:tc>
          <w:tcPr>
            <w:tcW w:w="667" w:type="dxa"/>
            <w:vAlign w:val="center"/>
          </w:tcPr>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分</w:t>
            </w:r>
          </w:p>
        </w:tc>
        <w:tc>
          <w:tcPr>
            <w:tcW w:w="614" w:type="dxa"/>
            <w:vMerge w:val="restart"/>
            <w:vAlign w:val="center"/>
          </w:tcPr>
          <w:p>
            <w:pPr>
              <w:spacing w:line="36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根</w:t>
            </w:r>
          </w:p>
          <w:p>
            <w:pPr>
              <w:spacing w:line="36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据</w:t>
            </w:r>
          </w:p>
          <w:p>
            <w:pPr>
              <w:spacing w:line="36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投</w:t>
            </w:r>
          </w:p>
          <w:p>
            <w:pPr>
              <w:spacing w:line="36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标</w:t>
            </w:r>
          </w:p>
          <w:p>
            <w:pPr>
              <w:spacing w:line="36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文</w:t>
            </w:r>
          </w:p>
          <w:p>
            <w:pPr>
              <w:spacing w:line="36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件</w:t>
            </w:r>
          </w:p>
          <w:p>
            <w:pPr>
              <w:spacing w:line="36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的</w:t>
            </w:r>
          </w:p>
          <w:p>
            <w:pPr>
              <w:spacing w:line="36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响</w:t>
            </w:r>
          </w:p>
          <w:p>
            <w:pPr>
              <w:spacing w:line="36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应</w:t>
            </w:r>
          </w:p>
          <w:p>
            <w:pPr>
              <w:spacing w:line="36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程  度</w:t>
            </w:r>
          </w:p>
          <w:p>
            <w:pPr>
              <w:spacing w:line="36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按</w:t>
            </w:r>
          </w:p>
          <w:p>
            <w:pPr>
              <w:spacing w:line="36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差</w:t>
            </w:r>
          </w:p>
          <w:p>
            <w:pPr>
              <w:spacing w:line="36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别</w:t>
            </w:r>
          </w:p>
          <w:p>
            <w:pPr>
              <w:spacing w:line="360" w:lineRule="auto"/>
              <w:jc w:val="center"/>
              <w:rPr>
                <w:rFonts w:hint="eastAsia" w:ascii="仿宋" w:hAnsi="仿宋" w:eastAsia="仿宋" w:cs="仿宋"/>
                <w:sz w:val="21"/>
                <w:szCs w:val="21"/>
                <w:highlight w:val="none"/>
              </w:rPr>
            </w:pPr>
            <w:r>
              <w:rPr>
                <w:rFonts w:hint="eastAsia" w:ascii="仿宋" w:hAnsi="仿宋" w:eastAsia="仿宋" w:cs="仿宋"/>
                <w:b/>
                <w:sz w:val="21"/>
                <w:szCs w:val="21"/>
                <w:highlight w:val="none"/>
              </w:rPr>
              <w:t>计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11" w:type="dxa"/>
            <w:vMerge w:val="restart"/>
            <w:vAlign w:val="center"/>
          </w:tcPr>
          <w:p>
            <w:pP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技术评审</w:t>
            </w:r>
          </w:p>
        </w:tc>
        <w:tc>
          <w:tcPr>
            <w:tcW w:w="715" w:type="dxa"/>
            <w:vMerge w:val="restart"/>
            <w:vAlign w:val="center"/>
          </w:tcPr>
          <w:p>
            <w:pPr>
              <w:spacing w:line="560" w:lineRule="exac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55</w:t>
            </w:r>
            <w:r>
              <w:rPr>
                <w:rFonts w:hint="eastAsia" w:ascii="仿宋" w:hAnsi="仿宋" w:eastAsia="仿宋" w:cs="仿宋"/>
                <w:b/>
                <w:bCs/>
                <w:color w:val="auto"/>
                <w:sz w:val="21"/>
                <w:szCs w:val="21"/>
                <w:highlight w:val="none"/>
              </w:rPr>
              <w:t>分</w:t>
            </w:r>
          </w:p>
        </w:tc>
        <w:tc>
          <w:tcPr>
            <w:tcW w:w="486" w:type="dxa"/>
            <w:vAlign w:val="center"/>
          </w:tcPr>
          <w:p>
            <w:pPr>
              <w:numPr>
                <w:ilvl w:val="0"/>
                <w:numId w:val="9"/>
              </w:numPr>
              <w:spacing w:line="288" w:lineRule="auto"/>
              <w:ind w:left="360" w:leftChars="0" w:hanging="360" w:firstLineChars="0"/>
              <w:jc w:val="center"/>
              <w:rPr>
                <w:rFonts w:hint="eastAsia" w:ascii="仿宋" w:hAnsi="仿宋" w:eastAsia="仿宋" w:cs="仿宋"/>
                <w:color w:val="auto"/>
                <w:sz w:val="21"/>
                <w:szCs w:val="21"/>
                <w:highlight w:val="none"/>
              </w:rPr>
            </w:pPr>
          </w:p>
        </w:tc>
        <w:tc>
          <w:tcPr>
            <w:tcW w:w="651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施工组织设计应满足技术标准和要求的内容，且对其内容完整性及整体编制水平进行评价。</w:t>
            </w:r>
          </w:p>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highlight w:val="none"/>
                <w:lang w:eastAsia="zh-CN"/>
              </w:rPr>
              <w:t>计</w:t>
            </w:r>
            <w:r>
              <w:rPr>
                <w:rFonts w:hint="eastAsia" w:ascii="仿宋" w:hAnsi="仿宋" w:eastAsia="仿宋" w:cs="仿宋"/>
                <w:color w:val="auto"/>
                <w:sz w:val="21"/>
                <w:szCs w:val="21"/>
                <w:highlight w:val="none"/>
                <w:lang w:val="en-US" w:eastAsia="zh-CN"/>
              </w:rPr>
              <w:t>0-6分。</w:t>
            </w:r>
          </w:p>
        </w:tc>
        <w:tc>
          <w:tcPr>
            <w:tcW w:w="667" w:type="dxa"/>
            <w:vAlign w:val="center"/>
          </w:tcPr>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c>
          <w:tcPr>
            <w:tcW w:w="614" w:type="dxa"/>
            <w:vMerge w:val="continue"/>
            <w:vAlign w:val="center"/>
          </w:tcPr>
          <w:p>
            <w:pPr>
              <w:spacing w:line="560" w:lineRule="exact"/>
              <w:jc w:val="center"/>
              <w:rPr>
                <w:rFonts w:hint="eastAsia" w:ascii="仿宋" w:hAnsi="仿宋" w:eastAsia="仿宋" w:cs="仿宋"/>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1" w:type="dxa"/>
            <w:vMerge w:val="continue"/>
            <w:vAlign w:val="center"/>
          </w:tcPr>
          <w:p>
            <w:pPr>
              <w:rPr>
                <w:rFonts w:hint="eastAsia" w:ascii="仿宋" w:hAnsi="仿宋" w:eastAsia="仿宋" w:cs="仿宋"/>
                <w:b/>
                <w:color w:val="auto"/>
                <w:sz w:val="21"/>
                <w:szCs w:val="21"/>
                <w:highlight w:val="none"/>
              </w:rPr>
            </w:pPr>
          </w:p>
        </w:tc>
        <w:tc>
          <w:tcPr>
            <w:tcW w:w="715" w:type="dxa"/>
            <w:vMerge w:val="continue"/>
            <w:vAlign w:val="center"/>
          </w:tcPr>
          <w:p>
            <w:pPr>
              <w:spacing w:line="560" w:lineRule="exact"/>
              <w:rPr>
                <w:rFonts w:hint="eastAsia" w:ascii="仿宋" w:hAnsi="仿宋" w:eastAsia="仿宋" w:cs="仿宋"/>
                <w:b/>
                <w:bCs/>
                <w:color w:val="auto"/>
                <w:sz w:val="21"/>
                <w:szCs w:val="21"/>
                <w:highlight w:val="none"/>
              </w:rPr>
            </w:pPr>
          </w:p>
        </w:tc>
        <w:tc>
          <w:tcPr>
            <w:tcW w:w="486" w:type="dxa"/>
            <w:vAlign w:val="center"/>
          </w:tcPr>
          <w:p>
            <w:pPr>
              <w:numPr>
                <w:ilvl w:val="0"/>
                <w:numId w:val="9"/>
              </w:numPr>
              <w:spacing w:line="288" w:lineRule="auto"/>
              <w:ind w:left="360" w:leftChars="0" w:hanging="360" w:firstLineChars="0"/>
              <w:jc w:val="center"/>
              <w:rPr>
                <w:rFonts w:hint="eastAsia" w:ascii="仿宋" w:hAnsi="仿宋" w:eastAsia="仿宋" w:cs="仿宋"/>
                <w:color w:val="auto"/>
                <w:sz w:val="21"/>
                <w:szCs w:val="21"/>
                <w:highlight w:val="none"/>
              </w:rPr>
            </w:pPr>
          </w:p>
        </w:tc>
        <w:tc>
          <w:tcPr>
            <w:tcW w:w="651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结合本项目技术标准和要求，制定详细的施工方案、方法与技术措施，施工工艺合理，符合行业规范及行业标准。</w:t>
            </w:r>
          </w:p>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计0-7分。</w:t>
            </w:r>
          </w:p>
        </w:tc>
        <w:tc>
          <w:tcPr>
            <w:tcW w:w="667" w:type="dxa"/>
            <w:vAlign w:val="center"/>
          </w:tcPr>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分</w:t>
            </w:r>
          </w:p>
        </w:tc>
        <w:tc>
          <w:tcPr>
            <w:tcW w:w="614" w:type="dxa"/>
            <w:vMerge w:val="continue"/>
            <w:vAlign w:val="center"/>
          </w:tcPr>
          <w:p>
            <w:pPr>
              <w:spacing w:line="560" w:lineRule="exact"/>
              <w:jc w:val="center"/>
              <w:rPr>
                <w:rFonts w:hint="eastAsia" w:ascii="仿宋" w:hAnsi="仿宋" w:eastAsia="仿宋" w:cs="仿宋"/>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11" w:type="dxa"/>
            <w:vMerge w:val="continue"/>
            <w:vAlign w:val="center"/>
          </w:tcPr>
          <w:p>
            <w:pPr>
              <w:spacing w:line="560" w:lineRule="exact"/>
              <w:rPr>
                <w:rFonts w:hint="eastAsia" w:ascii="仿宋" w:hAnsi="仿宋" w:eastAsia="仿宋" w:cs="仿宋"/>
                <w:b/>
                <w:color w:val="auto"/>
                <w:sz w:val="21"/>
                <w:szCs w:val="21"/>
                <w:highlight w:val="none"/>
              </w:rPr>
            </w:pPr>
          </w:p>
        </w:tc>
        <w:tc>
          <w:tcPr>
            <w:tcW w:w="715" w:type="dxa"/>
            <w:vMerge w:val="continue"/>
            <w:vAlign w:val="center"/>
          </w:tcPr>
          <w:p>
            <w:pPr>
              <w:spacing w:line="560" w:lineRule="exact"/>
              <w:rPr>
                <w:rFonts w:hint="eastAsia" w:ascii="仿宋" w:hAnsi="仿宋" w:eastAsia="仿宋" w:cs="仿宋"/>
                <w:b/>
                <w:bCs/>
                <w:color w:val="auto"/>
                <w:sz w:val="21"/>
                <w:szCs w:val="21"/>
                <w:highlight w:val="none"/>
              </w:rPr>
            </w:pPr>
          </w:p>
        </w:tc>
        <w:tc>
          <w:tcPr>
            <w:tcW w:w="486" w:type="dxa"/>
            <w:vAlign w:val="center"/>
          </w:tcPr>
          <w:p>
            <w:pPr>
              <w:numPr>
                <w:ilvl w:val="0"/>
                <w:numId w:val="9"/>
              </w:numPr>
              <w:spacing w:line="288" w:lineRule="auto"/>
              <w:ind w:left="360" w:leftChars="0" w:hanging="360" w:firstLineChars="0"/>
              <w:jc w:val="center"/>
              <w:rPr>
                <w:rFonts w:hint="eastAsia" w:ascii="仿宋" w:hAnsi="仿宋" w:eastAsia="仿宋" w:cs="仿宋"/>
                <w:color w:val="auto"/>
                <w:sz w:val="21"/>
                <w:szCs w:val="21"/>
                <w:highlight w:val="none"/>
              </w:rPr>
            </w:pPr>
          </w:p>
        </w:tc>
        <w:tc>
          <w:tcPr>
            <w:tcW w:w="651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质量目标明确，管理体系健全，管理体系功能完善、管理幅度适宜。    计0-6分。</w:t>
            </w:r>
          </w:p>
        </w:tc>
        <w:tc>
          <w:tcPr>
            <w:tcW w:w="667" w:type="dxa"/>
            <w:vAlign w:val="center"/>
          </w:tcPr>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c>
          <w:tcPr>
            <w:tcW w:w="614" w:type="dxa"/>
            <w:vMerge w:val="continue"/>
            <w:vAlign w:val="center"/>
          </w:tcPr>
          <w:p>
            <w:pPr>
              <w:spacing w:line="560" w:lineRule="exact"/>
              <w:jc w:val="center"/>
              <w:rPr>
                <w:rFonts w:hint="eastAsia" w:ascii="仿宋" w:hAnsi="仿宋" w:eastAsia="仿宋" w:cs="仿宋"/>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11" w:type="dxa"/>
            <w:vMerge w:val="continue"/>
            <w:vAlign w:val="center"/>
          </w:tcPr>
          <w:p>
            <w:pPr>
              <w:spacing w:line="560" w:lineRule="exact"/>
              <w:rPr>
                <w:rFonts w:hint="eastAsia" w:ascii="仿宋" w:hAnsi="仿宋" w:eastAsia="仿宋" w:cs="仿宋"/>
                <w:b/>
                <w:color w:val="auto"/>
                <w:sz w:val="21"/>
                <w:szCs w:val="21"/>
                <w:highlight w:val="none"/>
              </w:rPr>
            </w:pPr>
          </w:p>
        </w:tc>
        <w:tc>
          <w:tcPr>
            <w:tcW w:w="715" w:type="dxa"/>
            <w:vMerge w:val="continue"/>
            <w:vAlign w:val="center"/>
          </w:tcPr>
          <w:p>
            <w:pPr>
              <w:spacing w:line="560" w:lineRule="exact"/>
              <w:rPr>
                <w:rFonts w:hint="eastAsia" w:ascii="仿宋" w:hAnsi="仿宋" w:eastAsia="仿宋" w:cs="仿宋"/>
                <w:b/>
                <w:bCs/>
                <w:color w:val="auto"/>
                <w:sz w:val="21"/>
                <w:szCs w:val="21"/>
                <w:highlight w:val="none"/>
              </w:rPr>
            </w:pPr>
          </w:p>
        </w:tc>
        <w:tc>
          <w:tcPr>
            <w:tcW w:w="486" w:type="dxa"/>
            <w:vAlign w:val="center"/>
          </w:tcPr>
          <w:p>
            <w:pPr>
              <w:numPr>
                <w:ilvl w:val="0"/>
                <w:numId w:val="9"/>
              </w:numPr>
              <w:spacing w:line="288" w:lineRule="auto"/>
              <w:ind w:left="360" w:leftChars="0" w:hanging="360" w:firstLineChars="0"/>
              <w:jc w:val="center"/>
              <w:rPr>
                <w:rFonts w:hint="eastAsia" w:ascii="仿宋" w:hAnsi="仿宋" w:eastAsia="仿宋" w:cs="仿宋"/>
                <w:color w:val="auto"/>
                <w:sz w:val="21"/>
                <w:szCs w:val="21"/>
                <w:highlight w:val="none"/>
              </w:rPr>
            </w:pPr>
          </w:p>
        </w:tc>
        <w:tc>
          <w:tcPr>
            <w:tcW w:w="651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安全生产目标明确，预防和动态控制制度完整、到位，管理体系和组织功能完善。</w:t>
            </w:r>
          </w:p>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计0-6分。</w:t>
            </w:r>
          </w:p>
        </w:tc>
        <w:tc>
          <w:tcPr>
            <w:tcW w:w="667" w:type="dxa"/>
            <w:vAlign w:val="center"/>
          </w:tcPr>
          <w:p>
            <w:pPr>
              <w:spacing w:line="5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6分</w:t>
            </w:r>
          </w:p>
        </w:tc>
        <w:tc>
          <w:tcPr>
            <w:tcW w:w="614" w:type="dxa"/>
            <w:vMerge w:val="continue"/>
            <w:vAlign w:val="center"/>
          </w:tcPr>
          <w:p>
            <w:pPr>
              <w:spacing w:line="560" w:lineRule="exact"/>
              <w:jc w:val="center"/>
              <w:rPr>
                <w:rFonts w:hint="eastAsia" w:ascii="仿宋" w:hAnsi="仿宋" w:eastAsia="仿宋" w:cs="仿宋"/>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11" w:type="dxa"/>
            <w:vMerge w:val="continue"/>
            <w:vAlign w:val="center"/>
          </w:tcPr>
          <w:p>
            <w:pPr>
              <w:spacing w:line="560" w:lineRule="exact"/>
              <w:rPr>
                <w:rFonts w:hint="eastAsia" w:ascii="仿宋" w:hAnsi="仿宋" w:eastAsia="仿宋" w:cs="仿宋"/>
                <w:b/>
                <w:color w:val="auto"/>
                <w:sz w:val="21"/>
                <w:szCs w:val="21"/>
                <w:highlight w:val="none"/>
              </w:rPr>
            </w:pPr>
          </w:p>
        </w:tc>
        <w:tc>
          <w:tcPr>
            <w:tcW w:w="715" w:type="dxa"/>
            <w:vMerge w:val="continue"/>
            <w:vAlign w:val="center"/>
          </w:tcPr>
          <w:p>
            <w:pPr>
              <w:spacing w:line="560" w:lineRule="exact"/>
              <w:rPr>
                <w:rFonts w:hint="eastAsia" w:ascii="仿宋" w:hAnsi="仿宋" w:eastAsia="仿宋" w:cs="仿宋"/>
                <w:b/>
                <w:bCs/>
                <w:color w:val="auto"/>
                <w:sz w:val="21"/>
                <w:szCs w:val="21"/>
                <w:highlight w:val="none"/>
              </w:rPr>
            </w:pPr>
          </w:p>
        </w:tc>
        <w:tc>
          <w:tcPr>
            <w:tcW w:w="486" w:type="dxa"/>
            <w:vAlign w:val="center"/>
          </w:tcPr>
          <w:p>
            <w:pPr>
              <w:numPr>
                <w:ilvl w:val="0"/>
                <w:numId w:val="9"/>
              </w:numPr>
              <w:spacing w:line="288" w:lineRule="auto"/>
              <w:ind w:left="360" w:leftChars="0" w:hanging="360" w:firstLineChars="0"/>
              <w:jc w:val="center"/>
              <w:rPr>
                <w:rFonts w:hint="eastAsia" w:ascii="仿宋" w:hAnsi="仿宋" w:eastAsia="仿宋" w:cs="仿宋"/>
                <w:color w:val="auto"/>
                <w:sz w:val="21"/>
                <w:szCs w:val="21"/>
                <w:highlight w:val="none"/>
              </w:rPr>
            </w:pPr>
          </w:p>
        </w:tc>
        <w:tc>
          <w:tcPr>
            <w:tcW w:w="651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文明施工体系健全，预防和动态控制制度完整、到位，管理体系和组织功能完善</w:t>
            </w:r>
          </w:p>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计0-6分。</w:t>
            </w:r>
          </w:p>
        </w:tc>
        <w:tc>
          <w:tcPr>
            <w:tcW w:w="667" w:type="dxa"/>
            <w:vAlign w:val="center"/>
          </w:tcPr>
          <w:p>
            <w:pPr>
              <w:spacing w:line="5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6分</w:t>
            </w:r>
          </w:p>
        </w:tc>
        <w:tc>
          <w:tcPr>
            <w:tcW w:w="614" w:type="dxa"/>
            <w:vMerge w:val="continue"/>
            <w:vAlign w:val="center"/>
          </w:tcPr>
          <w:p>
            <w:pPr>
              <w:spacing w:line="560" w:lineRule="exact"/>
              <w:jc w:val="center"/>
              <w:rPr>
                <w:rFonts w:hint="eastAsia" w:ascii="仿宋" w:hAnsi="仿宋" w:eastAsia="仿宋" w:cs="仿宋"/>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11" w:type="dxa"/>
            <w:vMerge w:val="continue"/>
            <w:vAlign w:val="center"/>
          </w:tcPr>
          <w:p>
            <w:pPr>
              <w:spacing w:line="560" w:lineRule="exact"/>
              <w:rPr>
                <w:rFonts w:hint="eastAsia" w:ascii="仿宋" w:hAnsi="仿宋" w:eastAsia="仿宋" w:cs="仿宋"/>
                <w:b/>
                <w:color w:val="auto"/>
                <w:sz w:val="21"/>
                <w:szCs w:val="21"/>
                <w:highlight w:val="none"/>
              </w:rPr>
            </w:pPr>
          </w:p>
        </w:tc>
        <w:tc>
          <w:tcPr>
            <w:tcW w:w="715" w:type="dxa"/>
            <w:vMerge w:val="continue"/>
            <w:vAlign w:val="center"/>
          </w:tcPr>
          <w:p>
            <w:pPr>
              <w:spacing w:line="560" w:lineRule="exact"/>
              <w:rPr>
                <w:rFonts w:hint="eastAsia" w:ascii="仿宋" w:hAnsi="仿宋" w:eastAsia="仿宋" w:cs="仿宋"/>
                <w:b/>
                <w:bCs/>
                <w:color w:val="auto"/>
                <w:sz w:val="21"/>
                <w:szCs w:val="21"/>
                <w:highlight w:val="none"/>
              </w:rPr>
            </w:pPr>
          </w:p>
        </w:tc>
        <w:tc>
          <w:tcPr>
            <w:tcW w:w="486" w:type="dxa"/>
            <w:vAlign w:val="center"/>
          </w:tcPr>
          <w:p>
            <w:pPr>
              <w:numPr>
                <w:ilvl w:val="0"/>
                <w:numId w:val="9"/>
              </w:numPr>
              <w:spacing w:line="288" w:lineRule="auto"/>
              <w:ind w:left="360" w:leftChars="0" w:hanging="360" w:firstLineChars="0"/>
              <w:jc w:val="center"/>
              <w:rPr>
                <w:rFonts w:hint="eastAsia" w:ascii="仿宋" w:hAnsi="仿宋" w:eastAsia="仿宋" w:cs="仿宋"/>
                <w:color w:val="auto"/>
                <w:sz w:val="21"/>
                <w:szCs w:val="21"/>
                <w:highlight w:val="none"/>
              </w:rPr>
            </w:pPr>
          </w:p>
        </w:tc>
        <w:tc>
          <w:tcPr>
            <w:tcW w:w="651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环境保护目标明确，预防和动态控制措施及制度完整、到位，管理体系和组织措施功能完善。</w:t>
            </w:r>
          </w:p>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计0-6分。</w:t>
            </w:r>
          </w:p>
        </w:tc>
        <w:tc>
          <w:tcPr>
            <w:tcW w:w="667" w:type="dxa"/>
            <w:vAlign w:val="center"/>
          </w:tcPr>
          <w:p>
            <w:pPr>
              <w:spacing w:line="5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6分</w:t>
            </w:r>
          </w:p>
        </w:tc>
        <w:tc>
          <w:tcPr>
            <w:tcW w:w="614" w:type="dxa"/>
            <w:vMerge w:val="continue"/>
            <w:vAlign w:val="center"/>
          </w:tcPr>
          <w:p>
            <w:pPr>
              <w:spacing w:line="560" w:lineRule="exact"/>
              <w:jc w:val="center"/>
              <w:rPr>
                <w:rFonts w:hint="eastAsia" w:ascii="仿宋" w:hAnsi="仿宋" w:eastAsia="仿宋" w:cs="仿宋"/>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11" w:type="dxa"/>
            <w:vMerge w:val="continue"/>
            <w:vAlign w:val="center"/>
          </w:tcPr>
          <w:p>
            <w:pPr>
              <w:spacing w:line="560" w:lineRule="exact"/>
              <w:rPr>
                <w:rFonts w:hint="eastAsia" w:ascii="仿宋" w:hAnsi="仿宋" w:eastAsia="仿宋" w:cs="仿宋"/>
                <w:b/>
                <w:color w:val="auto"/>
                <w:sz w:val="21"/>
                <w:szCs w:val="21"/>
                <w:highlight w:val="none"/>
              </w:rPr>
            </w:pPr>
          </w:p>
        </w:tc>
        <w:tc>
          <w:tcPr>
            <w:tcW w:w="715" w:type="dxa"/>
            <w:vMerge w:val="continue"/>
            <w:vAlign w:val="center"/>
          </w:tcPr>
          <w:p>
            <w:pPr>
              <w:spacing w:line="560" w:lineRule="exact"/>
              <w:rPr>
                <w:rFonts w:hint="eastAsia" w:ascii="仿宋" w:hAnsi="仿宋" w:eastAsia="仿宋" w:cs="仿宋"/>
                <w:b/>
                <w:bCs/>
                <w:color w:val="auto"/>
                <w:sz w:val="21"/>
                <w:szCs w:val="21"/>
                <w:highlight w:val="none"/>
              </w:rPr>
            </w:pPr>
          </w:p>
        </w:tc>
        <w:tc>
          <w:tcPr>
            <w:tcW w:w="486" w:type="dxa"/>
            <w:vAlign w:val="center"/>
          </w:tcPr>
          <w:p>
            <w:pPr>
              <w:numPr>
                <w:ilvl w:val="0"/>
                <w:numId w:val="9"/>
              </w:numPr>
              <w:spacing w:line="288" w:lineRule="auto"/>
              <w:ind w:left="360" w:leftChars="0" w:hanging="360" w:firstLineChars="0"/>
              <w:jc w:val="center"/>
              <w:rPr>
                <w:rFonts w:hint="eastAsia" w:ascii="仿宋" w:hAnsi="仿宋" w:eastAsia="仿宋" w:cs="仿宋"/>
                <w:color w:val="auto"/>
                <w:sz w:val="21"/>
                <w:szCs w:val="21"/>
                <w:highlight w:val="none"/>
              </w:rPr>
            </w:pPr>
          </w:p>
        </w:tc>
        <w:tc>
          <w:tcPr>
            <w:tcW w:w="6518" w:type="dxa"/>
            <w:vAlign w:val="center"/>
          </w:tcPr>
          <w:p>
            <w:pPr>
              <w:pStyle w:val="2"/>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总工期满足磋商文件要求、进度计划有横道图或网络图且工期控制合理。</w:t>
            </w:r>
          </w:p>
          <w:p>
            <w:pPr>
              <w:pStyle w:val="2"/>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计0-6分。</w:t>
            </w:r>
          </w:p>
        </w:tc>
        <w:tc>
          <w:tcPr>
            <w:tcW w:w="667" w:type="dxa"/>
            <w:vAlign w:val="center"/>
          </w:tcPr>
          <w:p>
            <w:pPr>
              <w:spacing w:line="5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6分</w:t>
            </w:r>
          </w:p>
        </w:tc>
        <w:tc>
          <w:tcPr>
            <w:tcW w:w="614" w:type="dxa"/>
            <w:vMerge w:val="continue"/>
            <w:vAlign w:val="center"/>
          </w:tcPr>
          <w:p>
            <w:pPr>
              <w:spacing w:line="560" w:lineRule="exact"/>
              <w:jc w:val="center"/>
              <w:rPr>
                <w:rFonts w:hint="eastAsia" w:ascii="仿宋" w:hAnsi="仿宋" w:eastAsia="仿宋" w:cs="仿宋"/>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11" w:type="dxa"/>
            <w:vMerge w:val="continue"/>
            <w:vAlign w:val="center"/>
          </w:tcPr>
          <w:p>
            <w:pPr>
              <w:spacing w:line="560" w:lineRule="exact"/>
              <w:rPr>
                <w:rFonts w:hint="eastAsia" w:ascii="仿宋" w:hAnsi="仿宋" w:eastAsia="仿宋" w:cs="仿宋"/>
                <w:b/>
                <w:color w:val="auto"/>
                <w:sz w:val="21"/>
                <w:szCs w:val="21"/>
                <w:highlight w:val="none"/>
              </w:rPr>
            </w:pPr>
          </w:p>
        </w:tc>
        <w:tc>
          <w:tcPr>
            <w:tcW w:w="715" w:type="dxa"/>
            <w:vMerge w:val="continue"/>
            <w:vAlign w:val="center"/>
          </w:tcPr>
          <w:p>
            <w:pPr>
              <w:spacing w:line="560" w:lineRule="exact"/>
              <w:rPr>
                <w:rFonts w:hint="eastAsia" w:ascii="仿宋" w:hAnsi="仿宋" w:eastAsia="仿宋" w:cs="仿宋"/>
                <w:b/>
                <w:bCs/>
                <w:color w:val="auto"/>
                <w:sz w:val="21"/>
                <w:szCs w:val="21"/>
                <w:highlight w:val="none"/>
              </w:rPr>
            </w:pPr>
          </w:p>
        </w:tc>
        <w:tc>
          <w:tcPr>
            <w:tcW w:w="486" w:type="dxa"/>
            <w:vAlign w:val="center"/>
          </w:tcPr>
          <w:p>
            <w:pPr>
              <w:numPr>
                <w:ilvl w:val="0"/>
                <w:numId w:val="9"/>
              </w:numPr>
              <w:spacing w:line="288" w:lineRule="auto"/>
              <w:ind w:left="360" w:leftChars="0" w:hanging="360" w:firstLineChars="0"/>
              <w:jc w:val="center"/>
              <w:rPr>
                <w:rFonts w:hint="eastAsia" w:ascii="仿宋" w:hAnsi="仿宋" w:eastAsia="仿宋" w:cs="仿宋"/>
                <w:color w:val="auto"/>
                <w:sz w:val="21"/>
                <w:szCs w:val="21"/>
                <w:highlight w:val="none"/>
              </w:rPr>
            </w:pPr>
          </w:p>
        </w:tc>
        <w:tc>
          <w:tcPr>
            <w:tcW w:w="6518" w:type="dxa"/>
            <w:vAlign w:val="center"/>
          </w:tcPr>
          <w:p>
            <w:pPr>
              <w:pStyle w:val="2"/>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结合本项目实际配备合理的项目管理机构人员组成，专业齐全，有能力确保。</w:t>
            </w:r>
          </w:p>
          <w:p>
            <w:pPr>
              <w:pStyle w:val="2"/>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计0-6分。</w:t>
            </w:r>
          </w:p>
        </w:tc>
        <w:tc>
          <w:tcPr>
            <w:tcW w:w="667" w:type="dxa"/>
            <w:vAlign w:val="center"/>
          </w:tcPr>
          <w:p>
            <w:pPr>
              <w:spacing w:line="5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6分</w:t>
            </w:r>
          </w:p>
        </w:tc>
        <w:tc>
          <w:tcPr>
            <w:tcW w:w="614" w:type="dxa"/>
            <w:vMerge w:val="continue"/>
            <w:vAlign w:val="center"/>
          </w:tcPr>
          <w:p>
            <w:pPr>
              <w:spacing w:line="560" w:lineRule="exact"/>
              <w:jc w:val="center"/>
              <w:rPr>
                <w:rFonts w:hint="eastAsia" w:ascii="仿宋" w:hAnsi="仿宋" w:eastAsia="仿宋" w:cs="仿宋"/>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11" w:type="dxa"/>
            <w:vMerge w:val="continue"/>
            <w:vAlign w:val="center"/>
          </w:tcPr>
          <w:p>
            <w:pPr>
              <w:spacing w:line="560" w:lineRule="exact"/>
              <w:rPr>
                <w:rFonts w:hint="eastAsia" w:ascii="仿宋" w:hAnsi="仿宋" w:eastAsia="仿宋" w:cs="仿宋"/>
                <w:b/>
                <w:color w:val="auto"/>
                <w:sz w:val="21"/>
                <w:szCs w:val="21"/>
                <w:highlight w:val="none"/>
              </w:rPr>
            </w:pPr>
          </w:p>
        </w:tc>
        <w:tc>
          <w:tcPr>
            <w:tcW w:w="715" w:type="dxa"/>
            <w:vMerge w:val="continue"/>
            <w:vAlign w:val="center"/>
          </w:tcPr>
          <w:p>
            <w:pPr>
              <w:spacing w:line="560" w:lineRule="exact"/>
              <w:rPr>
                <w:rFonts w:hint="eastAsia" w:ascii="仿宋" w:hAnsi="仿宋" w:eastAsia="仿宋" w:cs="仿宋"/>
                <w:b/>
                <w:bCs/>
                <w:color w:val="auto"/>
                <w:sz w:val="21"/>
                <w:szCs w:val="21"/>
                <w:highlight w:val="none"/>
              </w:rPr>
            </w:pPr>
          </w:p>
        </w:tc>
        <w:tc>
          <w:tcPr>
            <w:tcW w:w="486" w:type="dxa"/>
            <w:vAlign w:val="center"/>
          </w:tcPr>
          <w:p>
            <w:pPr>
              <w:numPr>
                <w:ilvl w:val="0"/>
                <w:numId w:val="9"/>
              </w:numPr>
              <w:spacing w:line="288" w:lineRule="auto"/>
              <w:ind w:left="360" w:leftChars="0" w:hanging="360" w:firstLineChars="0"/>
              <w:jc w:val="center"/>
              <w:rPr>
                <w:rFonts w:hint="eastAsia" w:ascii="仿宋" w:hAnsi="仿宋" w:eastAsia="仿宋" w:cs="仿宋"/>
                <w:color w:val="auto"/>
                <w:sz w:val="21"/>
                <w:szCs w:val="21"/>
                <w:highlight w:val="none"/>
              </w:rPr>
            </w:pPr>
          </w:p>
        </w:tc>
        <w:tc>
          <w:tcPr>
            <w:tcW w:w="6518" w:type="dxa"/>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对材料、设备的分配及使用计划的合理程度切实可行，操作性强。</w:t>
            </w:r>
          </w:p>
          <w:p>
            <w:pPr>
              <w:pStyle w:val="2"/>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计0-6分。</w:t>
            </w:r>
          </w:p>
        </w:tc>
        <w:tc>
          <w:tcPr>
            <w:tcW w:w="667" w:type="dxa"/>
            <w:vAlign w:val="center"/>
          </w:tcPr>
          <w:p>
            <w:pPr>
              <w:spacing w:line="5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6分</w:t>
            </w:r>
          </w:p>
        </w:tc>
        <w:tc>
          <w:tcPr>
            <w:tcW w:w="614" w:type="dxa"/>
            <w:vMerge w:val="continue"/>
            <w:vAlign w:val="center"/>
          </w:tcPr>
          <w:p>
            <w:pPr>
              <w:spacing w:line="560" w:lineRule="exact"/>
              <w:jc w:val="center"/>
              <w:rPr>
                <w:rFonts w:hint="eastAsia" w:ascii="仿宋" w:hAnsi="仿宋" w:eastAsia="仿宋" w:cs="仿宋"/>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1" w:type="dxa"/>
            <w:vMerge w:val="restart"/>
            <w:vAlign w:val="center"/>
          </w:tcPr>
          <w:p>
            <w:pPr>
              <w:spacing w:line="56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履约能力</w:t>
            </w:r>
            <w:r>
              <w:rPr>
                <w:rFonts w:hint="eastAsia" w:ascii="仿宋" w:hAnsi="仿宋" w:eastAsia="仿宋" w:cs="仿宋"/>
                <w:b/>
                <w:color w:val="auto"/>
                <w:sz w:val="21"/>
                <w:szCs w:val="21"/>
                <w:highlight w:val="none"/>
                <w:lang w:val="en-US" w:eastAsia="zh-CN"/>
              </w:rPr>
              <w:t>及服务承诺</w:t>
            </w:r>
            <w:r>
              <w:rPr>
                <w:rFonts w:hint="eastAsia" w:ascii="仿宋" w:hAnsi="仿宋" w:eastAsia="仿宋" w:cs="仿宋"/>
                <w:b/>
                <w:color w:val="auto"/>
                <w:sz w:val="21"/>
                <w:szCs w:val="21"/>
                <w:highlight w:val="none"/>
              </w:rPr>
              <w:t>评审</w:t>
            </w:r>
          </w:p>
        </w:tc>
        <w:tc>
          <w:tcPr>
            <w:tcW w:w="715" w:type="dxa"/>
            <w:vMerge w:val="restart"/>
            <w:vAlign w:val="center"/>
          </w:tcPr>
          <w:p>
            <w:pPr>
              <w:spacing w:line="560" w:lineRule="exact"/>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rPr>
              <w:t>15</w:t>
            </w:r>
            <w:r>
              <w:rPr>
                <w:rFonts w:hint="eastAsia" w:ascii="仿宋" w:hAnsi="仿宋" w:eastAsia="仿宋" w:cs="仿宋"/>
                <w:b/>
                <w:bCs/>
                <w:color w:val="auto"/>
                <w:sz w:val="21"/>
                <w:szCs w:val="21"/>
                <w:highlight w:val="none"/>
              </w:rPr>
              <w:t>分</w:t>
            </w:r>
          </w:p>
        </w:tc>
        <w:tc>
          <w:tcPr>
            <w:tcW w:w="486" w:type="dxa"/>
            <w:vAlign w:val="center"/>
          </w:tcPr>
          <w:p>
            <w:pPr>
              <w:numPr>
                <w:ilvl w:val="0"/>
                <w:numId w:val="10"/>
              </w:numPr>
              <w:spacing w:line="288" w:lineRule="auto"/>
              <w:jc w:val="center"/>
              <w:rPr>
                <w:rFonts w:hint="eastAsia" w:ascii="仿宋" w:hAnsi="仿宋" w:eastAsia="仿宋" w:cs="仿宋"/>
                <w:color w:val="auto"/>
                <w:sz w:val="21"/>
                <w:szCs w:val="21"/>
                <w:highlight w:val="none"/>
              </w:rPr>
            </w:pPr>
          </w:p>
        </w:tc>
        <w:tc>
          <w:tcPr>
            <w:tcW w:w="6518" w:type="dxa"/>
            <w:vAlign w:val="center"/>
          </w:tcPr>
          <w:p>
            <w:pPr>
              <w:spacing w:line="288"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SA"/>
              </w:rPr>
              <w:t>业绩：供应商近三年（2019年9月至今）同类施工项目业绩；每提供1份计2分，最高得10分。业绩证明（以合同或中标/成交通知书为准，须在磋商响应文件中附以上证明材料的扫描件加盖单位公章，原件备查）弄虚作假者，取消其成交资格。</w:t>
            </w:r>
          </w:p>
        </w:tc>
        <w:tc>
          <w:tcPr>
            <w:tcW w:w="667" w:type="dxa"/>
            <w:vAlign w:val="center"/>
          </w:tcPr>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10分</w:t>
            </w:r>
          </w:p>
        </w:tc>
        <w:tc>
          <w:tcPr>
            <w:tcW w:w="614" w:type="dxa"/>
            <w:vMerge w:val="continue"/>
            <w:vAlign w:val="center"/>
          </w:tcPr>
          <w:p>
            <w:pPr>
              <w:spacing w:line="560" w:lineRule="exact"/>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11" w:type="dxa"/>
            <w:vMerge w:val="continue"/>
            <w:vAlign w:val="center"/>
          </w:tcPr>
          <w:p>
            <w:pPr>
              <w:spacing w:line="560" w:lineRule="exact"/>
              <w:jc w:val="center"/>
              <w:rPr>
                <w:rFonts w:hint="eastAsia" w:ascii="仿宋" w:hAnsi="仿宋" w:eastAsia="仿宋" w:cs="仿宋"/>
                <w:b/>
                <w:color w:val="auto"/>
                <w:sz w:val="21"/>
                <w:szCs w:val="21"/>
                <w:highlight w:val="none"/>
              </w:rPr>
            </w:pPr>
          </w:p>
        </w:tc>
        <w:tc>
          <w:tcPr>
            <w:tcW w:w="715" w:type="dxa"/>
            <w:vMerge w:val="continue"/>
            <w:vAlign w:val="center"/>
          </w:tcPr>
          <w:p>
            <w:pPr>
              <w:spacing w:line="560" w:lineRule="exact"/>
              <w:rPr>
                <w:rFonts w:hint="eastAsia" w:ascii="仿宋" w:hAnsi="仿宋" w:eastAsia="仿宋" w:cs="仿宋"/>
                <w:b/>
                <w:bCs/>
                <w:color w:val="auto"/>
                <w:sz w:val="21"/>
                <w:szCs w:val="21"/>
                <w:highlight w:val="none"/>
              </w:rPr>
            </w:pPr>
          </w:p>
        </w:tc>
        <w:tc>
          <w:tcPr>
            <w:tcW w:w="486" w:type="dxa"/>
            <w:vAlign w:val="center"/>
          </w:tcPr>
          <w:p>
            <w:pPr>
              <w:numPr>
                <w:ilvl w:val="0"/>
                <w:numId w:val="10"/>
              </w:numPr>
              <w:spacing w:line="288" w:lineRule="auto"/>
              <w:jc w:val="center"/>
              <w:rPr>
                <w:rFonts w:hint="eastAsia" w:ascii="仿宋" w:hAnsi="仿宋" w:eastAsia="仿宋" w:cs="仿宋"/>
                <w:color w:val="auto"/>
                <w:sz w:val="21"/>
                <w:szCs w:val="21"/>
                <w:highlight w:val="none"/>
              </w:rPr>
            </w:pPr>
          </w:p>
        </w:tc>
        <w:tc>
          <w:tcPr>
            <w:tcW w:w="6518" w:type="dxa"/>
            <w:vAlign w:val="center"/>
          </w:tcPr>
          <w:p>
            <w:pPr>
              <w:spacing w:line="288"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质量保修承诺：质量保修承诺完整、合理，计0-3分；</w:t>
            </w:r>
          </w:p>
          <w:p>
            <w:pPr>
              <w:spacing w:line="288"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后续服务：具有详细的后续服务措施承诺且具体、可行，计0-2分。</w:t>
            </w:r>
          </w:p>
        </w:tc>
        <w:tc>
          <w:tcPr>
            <w:tcW w:w="667" w:type="dxa"/>
            <w:vAlign w:val="center"/>
          </w:tcPr>
          <w:p>
            <w:pPr>
              <w:spacing w:line="5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5分</w:t>
            </w:r>
          </w:p>
        </w:tc>
        <w:tc>
          <w:tcPr>
            <w:tcW w:w="614" w:type="dxa"/>
            <w:vAlign w:val="center"/>
          </w:tcPr>
          <w:p>
            <w:pPr>
              <w:spacing w:line="560" w:lineRule="exact"/>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811" w:type="dxa"/>
            <w:vAlign w:val="center"/>
          </w:tcPr>
          <w:p>
            <w:pPr>
              <w:spacing w:line="288" w:lineRule="auto"/>
              <w:rPr>
                <w:rFonts w:hint="eastAsia" w:ascii="仿宋" w:hAnsi="仿宋" w:eastAsia="仿宋" w:cs="仿宋"/>
                <w:kern w:val="0"/>
                <w:sz w:val="21"/>
                <w:szCs w:val="21"/>
                <w:highlight w:val="none"/>
                <w:lang w:val="en-US" w:eastAsia="zh-CN" w:bidi="ar-SA"/>
              </w:rPr>
            </w:pPr>
            <w:r>
              <w:rPr>
                <w:rFonts w:hint="eastAsia" w:ascii="仿宋" w:hAnsi="仿宋" w:eastAsia="仿宋" w:cs="仿宋"/>
                <w:b/>
                <w:bCs/>
                <w:kern w:val="0"/>
                <w:sz w:val="21"/>
                <w:szCs w:val="21"/>
                <w:highlight w:val="none"/>
                <w:lang w:val="en-US" w:eastAsia="zh-CN" w:bidi="ar-SA"/>
              </w:rPr>
              <w:t>备注</w:t>
            </w:r>
          </w:p>
        </w:tc>
        <w:tc>
          <w:tcPr>
            <w:tcW w:w="9000" w:type="dxa"/>
            <w:gridSpan w:val="5"/>
            <w:tcBorders>
              <w:top w:val="single" w:color="auto" w:sz="4" w:space="0"/>
              <w:bottom w:val="single" w:color="auto" w:sz="4" w:space="0"/>
            </w:tcBorders>
            <w:vAlign w:val="top"/>
          </w:tcPr>
          <w:p>
            <w:pPr>
              <w:spacing w:line="288" w:lineRule="auto"/>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1、各评委应按照本评标办法独立打分。</w:t>
            </w:r>
          </w:p>
          <w:p>
            <w:pPr>
              <w:spacing w:line="288" w:lineRule="auto"/>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2、分项评分超出评分标准范围或磋商小组成员对客观评审因素评分不一致时，采购代理机构可以要求磋商小组复核或者书面说明理由，评标委员会拒绝的，应予记录并向本级财政部门报告。</w:t>
            </w:r>
          </w:p>
          <w:p>
            <w:pPr>
              <w:spacing w:line="288" w:lineRule="auto"/>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3、若出现综合得分并列时，比较价格得分，此分项得分高者排序在前；若价格得分仍相同，比较技术得分，此分项得分高者排序在前；若技术得分仍相同，则由全体磋商小组成员无记名投票，得票高者排序在前。</w:t>
            </w:r>
          </w:p>
          <w:p>
            <w:pPr>
              <w:spacing w:line="288" w:lineRule="auto"/>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4、计算结果保留两位小数，第三位“四舍五入”。</w:t>
            </w:r>
          </w:p>
          <w:p>
            <w:pPr>
              <w:spacing w:line="288" w:lineRule="auto"/>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 xml:space="preserve">5、评标过程中，若出现特殊情况时，由磋商小组决定暂停评标，并提出具体处理意见。 </w:t>
            </w:r>
          </w:p>
        </w:tc>
      </w:tr>
    </w:tbl>
    <w:p>
      <w:pPr>
        <w:rPr>
          <w:rFonts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31"/>
        <w:rPr>
          <w:rFonts w:hint="default" w:ascii="仿宋" w:hAnsi="仿宋" w:eastAsia="仿宋" w:cs="仿宋"/>
          <w:highlight w:val="none"/>
        </w:rPr>
      </w:pPr>
    </w:p>
    <w:p>
      <w:pPr>
        <w:pStyle w:val="4"/>
        <w:spacing w:line="350" w:lineRule="auto"/>
        <w:jc w:val="center"/>
        <w:rPr>
          <w:rFonts w:ascii="仿宋" w:hAnsi="仿宋" w:eastAsia="仿宋" w:cs="仿宋"/>
          <w:highlight w:val="none"/>
        </w:rPr>
      </w:pPr>
      <w:bookmarkStart w:id="266" w:name="_Toc1226"/>
      <w:r>
        <w:rPr>
          <w:rFonts w:hint="eastAsia" w:ascii="仿宋" w:hAnsi="仿宋" w:eastAsia="仿宋" w:cs="仿宋"/>
          <w:highlight w:val="none"/>
        </w:rPr>
        <w:t xml:space="preserve">第四章  </w:t>
      </w:r>
      <w:bookmarkEnd w:id="262"/>
      <w:bookmarkEnd w:id="263"/>
      <w:bookmarkEnd w:id="264"/>
      <w:bookmarkEnd w:id="265"/>
      <w:r>
        <w:rPr>
          <w:rFonts w:hint="eastAsia" w:ascii="仿宋" w:hAnsi="仿宋" w:eastAsia="仿宋" w:cs="仿宋"/>
          <w:highlight w:val="none"/>
        </w:rPr>
        <w:t>合同条款及格式</w:t>
      </w:r>
      <w:bookmarkEnd w:id="266"/>
    </w:p>
    <w:p>
      <w:pPr>
        <w:spacing w:line="360" w:lineRule="auto"/>
        <w:rPr>
          <w:rFonts w:ascii="仿宋" w:hAnsi="仿宋" w:eastAsia="仿宋" w:cs="仿宋"/>
          <w:highlight w:val="none"/>
        </w:rPr>
      </w:pPr>
    </w:p>
    <w:p>
      <w:pPr>
        <w:adjustRightInd w:val="0"/>
        <w:snapToGrid w:val="0"/>
        <w:spacing w:before="60" w:after="60" w:line="360" w:lineRule="auto"/>
        <w:jc w:val="center"/>
        <w:rPr>
          <w:rFonts w:ascii="仿宋" w:hAnsi="仿宋" w:eastAsia="仿宋" w:cs="仿宋"/>
          <w:b/>
          <w:bCs/>
          <w:sz w:val="48"/>
          <w:szCs w:val="48"/>
          <w:highlight w:val="none"/>
        </w:rPr>
      </w:pPr>
      <w:bookmarkStart w:id="267" w:name="_Toc107194479"/>
      <w:bookmarkEnd w:id="267"/>
      <w:bookmarkStart w:id="268" w:name="_Toc205891759"/>
      <w:bookmarkEnd w:id="268"/>
      <w:bookmarkStart w:id="269" w:name="_Toc209339595"/>
      <w:bookmarkEnd w:id="269"/>
    </w:p>
    <w:p>
      <w:pPr>
        <w:adjustRightInd w:val="0"/>
        <w:snapToGrid w:val="0"/>
        <w:spacing w:before="60" w:after="60" w:line="360" w:lineRule="auto"/>
        <w:jc w:val="center"/>
        <w:rPr>
          <w:rFonts w:ascii="仿宋" w:hAnsi="仿宋" w:eastAsia="仿宋" w:cs="仿宋"/>
          <w:sz w:val="24"/>
          <w:szCs w:val="24"/>
          <w:highlight w:val="none"/>
        </w:rPr>
      </w:pPr>
      <w:r>
        <w:rPr>
          <w:rFonts w:hint="eastAsia" w:ascii="仿宋" w:hAnsi="仿宋" w:eastAsia="仿宋" w:cs="仿宋"/>
          <w:b/>
          <w:bCs/>
          <w:sz w:val="44"/>
          <w:szCs w:val="44"/>
          <w:highlight w:val="none"/>
        </w:rPr>
        <w:t>郭杜派出所修缮改扩建项目</w:t>
      </w:r>
      <w:r>
        <w:rPr>
          <w:rFonts w:hint="eastAsia" w:ascii="仿宋" w:hAnsi="仿宋" w:eastAsia="仿宋" w:cs="仿宋"/>
          <w:b/>
          <w:bCs/>
          <w:sz w:val="44"/>
          <w:szCs w:val="44"/>
          <w:highlight w:val="none"/>
        </w:rPr>
        <w:tab/>
      </w:r>
      <w:r>
        <w:rPr>
          <w:rFonts w:hint="eastAsia" w:ascii="仿宋" w:hAnsi="仿宋" w:eastAsia="仿宋" w:cs="仿宋"/>
          <w:b/>
          <w:bCs/>
          <w:sz w:val="44"/>
          <w:szCs w:val="44"/>
          <w:highlight w:val="none"/>
        </w:rPr>
        <w:t xml:space="preserve"> </w:t>
      </w:r>
    </w:p>
    <w:p>
      <w:pPr>
        <w:adjustRightInd w:val="0"/>
        <w:snapToGrid w:val="0"/>
        <w:spacing w:before="60" w:after="60" w:line="360" w:lineRule="auto"/>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施工合同</w:t>
      </w:r>
    </w:p>
    <w:p>
      <w:pPr>
        <w:adjustRightInd w:val="0"/>
        <w:snapToGrid w:val="0"/>
        <w:spacing w:before="60" w:after="60" w:line="360" w:lineRule="auto"/>
        <w:rPr>
          <w:rFonts w:ascii="仿宋" w:hAnsi="仿宋" w:eastAsia="仿宋" w:cs="仿宋"/>
          <w:sz w:val="24"/>
          <w:szCs w:val="24"/>
          <w:highlight w:val="none"/>
        </w:rPr>
      </w:pPr>
    </w:p>
    <w:p>
      <w:pPr>
        <w:adjustRightInd w:val="0"/>
        <w:snapToGrid w:val="0"/>
        <w:spacing w:before="60" w:after="60" w:line="360" w:lineRule="auto"/>
        <w:rPr>
          <w:rFonts w:ascii="仿宋" w:hAnsi="仿宋" w:eastAsia="仿宋" w:cs="仿宋"/>
          <w:sz w:val="24"/>
          <w:szCs w:val="24"/>
          <w:highlight w:val="none"/>
        </w:rPr>
      </w:pPr>
    </w:p>
    <w:p>
      <w:pPr>
        <w:adjustRightInd w:val="0"/>
        <w:snapToGrid w:val="0"/>
        <w:spacing w:before="60" w:after="60" w:line="360" w:lineRule="auto"/>
        <w:rPr>
          <w:rFonts w:ascii="仿宋" w:hAnsi="仿宋" w:eastAsia="仿宋" w:cs="仿宋"/>
          <w:sz w:val="24"/>
          <w:szCs w:val="24"/>
          <w:highlight w:val="none"/>
        </w:rPr>
      </w:pPr>
    </w:p>
    <w:p>
      <w:pPr>
        <w:adjustRightInd w:val="0"/>
        <w:snapToGrid w:val="0"/>
        <w:spacing w:before="60" w:after="60" w:line="360" w:lineRule="auto"/>
        <w:rPr>
          <w:rFonts w:ascii="仿宋" w:hAnsi="仿宋" w:eastAsia="仿宋" w:cs="仿宋"/>
          <w:sz w:val="24"/>
          <w:szCs w:val="24"/>
          <w:highlight w:val="none"/>
        </w:rPr>
      </w:pPr>
    </w:p>
    <w:p>
      <w:pPr>
        <w:pStyle w:val="2"/>
        <w:rPr>
          <w:rFonts w:ascii="仿宋" w:hAnsi="仿宋" w:eastAsia="仿宋" w:cs="仿宋"/>
          <w:highlight w:val="none"/>
        </w:rPr>
      </w:pPr>
    </w:p>
    <w:p>
      <w:pPr>
        <w:pStyle w:val="2"/>
        <w:rPr>
          <w:rFonts w:ascii="仿宋" w:hAnsi="仿宋" w:eastAsia="仿宋" w:cs="仿宋"/>
          <w:highlight w:val="none"/>
        </w:rPr>
      </w:pPr>
    </w:p>
    <w:p>
      <w:pPr>
        <w:jc w:val="left"/>
        <w:rPr>
          <w:rFonts w:ascii="仿宋" w:hAnsi="仿宋" w:eastAsia="仿宋" w:cs="仿宋"/>
          <w:b/>
          <w:bCs/>
          <w:sz w:val="32"/>
          <w:szCs w:val="32"/>
          <w:highlight w:val="none"/>
        </w:rPr>
      </w:pPr>
      <w:bookmarkStart w:id="270" w:name="_Toc136243342"/>
    </w:p>
    <w:p>
      <w:pPr>
        <w:pStyle w:val="2"/>
        <w:rPr>
          <w:rFonts w:ascii="仿宋" w:hAnsi="仿宋" w:eastAsia="仿宋" w:cs="仿宋"/>
          <w:b/>
          <w:bCs/>
          <w:sz w:val="32"/>
          <w:szCs w:val="32"/>
          <w:highlight w:val="none"/>
        </w:rPr>
      </w:pPr>
    </w:p>
    <w:p>
      <w:pPr>
        <w:pStyle w:val="2"/>
        <w:rPr>
          <w:rFonts w:ascii="仿宋" w:hAnsi="仿宋" w:eastAsia="仿宋" w:cs="仿宋"/>
          <w:b/>
          <w:bCs/>
          <w:sz w:val="32"/>
          <w:szCs w:val="32"/>
          <w:highlight w:val="none"/>
        </w:rPr>
      </w:pPr>
    </w:p>
    <w:p>
      <w:pPr>
        <w:jc w:val="center"/>
        <w:rPr>
          <w:rFonts w:ascii="仿宋" w:hAnsi="仿宋" w:eastAsia="仿宋" w:cs="仿宋"/>
          <w:b/>
          <w:bCs/>
          <w:sz w:val="32"/>
          <w:szCs w:val="32"/>
          <w:highlight w:val="none"/>
        </w:rPr>
      </w:pPr>
      <w:r>
        <w:rPr>
          <w:rFonts w:hint="eastAsia" w:ascii="仿宋" w:hAnsi="仿宋" w:eastAsia="仿宋" w:cs="仿宋"/>
          <w:b/>
          <w:bCs/>
          <w:sz w:val="24"/>
          <w:szCs w:val="24"/>
          <w:highlight w:val="none"/>
        </w:rPr>
        <w:t>注：本合同条款仅供参考，甲乙双方可根据实际情况进行补充。</w:t>
      </w:r>
    </w:p>
    <w:p>
      <w:pPr>
        <w:pStyle w:val="2"/>
        <w:rPr>
          <w:rFonts w:ascii="仿宋" w:hAnsi="仿宋" w:eastAsia="仿宋" w:cs="仿宋"/>
          <w:highlight w:val="none"/>
        </w:rPr>
      </w:pPr>
    </w:p>
    <w:p>
      <w:pPr>
        <w:jc w:val="center"/>
        <w:rPr>
          <w:rFonts w:ascii="仿宋" w:hAnsi="仿宋" w:eastAsia="仿宋" w:cs="仿宋"/>
          <w:b/>
          <w:bCs/>
          <w:sz w:val="32"/>
          <w:szCs w:val="32"/>
          <w:highlight w:val="none"/>
        </w:rPr>
      </w:pPr>
    </w:p>
    <w:p>
      <w:pPr>
        <w:jc w:val="center"/>
        <w:rPr>
          <w:rFonts w:ascii="仿宋" w:hAnsi="仿宋" w:eastAsia="仿宋" w:cs="仿宋"/>
          <w:b/>
          <w:bCs/>
          <w:sz w:val="32"/>
          <w:szCs w:val="32"/>
          <w:highlight w:val="none"/>
        </w:rPr>
      </w:pPr>
    </w:p>
    <w:p>
      <w:pPr>
        <w:pStyle w:val="2"/>
        <w:rPr>
          <w:highlight w:val="none"/>
        </w:rPr>
      </w:pPr>
    </w:p>
    <w:p>
      <w:pPr>
        <w:jc w:val="center"/>
        <w:rPr>
          <w:rFonts w:ascii="仿宋" w:hAnsi="仿宋" w:eastAsia="仿宋" w:cs="仿宋"/>
          <w:b/>
          <w:bCs/>
          <w:sz w:val="32"/>
          <w:szCs w:val="32"/>
          <w:highlight w:val="none"/>
        </w:rPr>
      </w:pPr>
    </w:p>
    <w:p>
      <w:pPr>
        <w:jc w:val="center"/>
        <w:rPr>
          <w:rFonts w:ascii="仿宋" w:hAnsi="仿宋" w:eastAsia="仿宋" w:cs="仿宋"/>
          <w:b/>
          <w:bCs/>
          <w:sz w:val="32"/>
          <w:szCs w:val="32"/>
          <w:highlight w:val="none"/>
        </w:rPr>
      </w:pPr>
    </w:p>
    <w:p>
      <w:pPr>
        <w:pStyle w:val="31"/>
        <w:rPr>
          <w:rFonts w:hint="default"/>
          <w:highlight w:val="none"/>
        </w:rPr>
      </w:pPr>
    </w:p>
    <w:p>
      <w:pPr>
        <w:pStyle w:val="31"/>
        <w:rPr>
          <w:rFonts w:hint="default"/>
          <w:highlight w:val="none"/>
        </w:rPr>
      </w:pPr>
    </w:p>
    <w:p>
      <w:pPr>
        <w:pStyle w:val="31"/>
        <w:rPr>
          <w:rFonts w:hint="default"/>
          <w:highlight w:val="none"/>
        </w:rPr>
      </w:pPr>
    </w:p>
    <w:p>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合同文件格式</w:t>
      </w:r>
      <w:bookmarkEnd w:id="270"/>
    </w:p>
    <w:p>
      <w:pPr>
        <w:autoSpaceDE w:val="0"/>
        <w:autoSpaceDN w:val="0"/>
        <w:adjustRightInd w:val="0"/>
        <w:spacing w:line="480" w:lineRule="auto"/>
        <w:ind w:firstLine="480" w:firstLineChars="200"/>
        <w:rPr>
          <w:rFonts w:ascii="仿宋" w:hAnsi="仿宋" w:eastAsia="仿宋" w:cs="仿宋"/>
          <w:bCs/>
          <w:sz w:val="24"/>
          <w:szCs w:val="24"/>
          <w:highlight w:val="none"/>
        </w:rPr>
      </w:pPr>
    </w:p>
    <w:p>
      <w:pPr>
        <w:autoSpaceDE w:val="0"/>
        <w:autoSpaceDN w:val="0"/>
        <w:adjustRightInd w:val="0"/>
        <w:spacing w:line="48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甲方（招标人）：</w:t>
      </w:r>
    </w:p>
    <w:p>
      <w:pPr>
        <w:autoSpaceDE w:val="0"/>
        <w:autoSpaceDN w:val="0"/>
        <w:adjustRightInd w:val="0"/>
        <w:spacing w:line="48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乙方（</w:t>
      </w:r>
      <w:r>
        <w:rPr>
          <w:rFonts w:hint="eastAsia" w:ascii="仿宋" w:hAnsi="仿宋" w:eastAsia="仿宋" w:cs="仿宋"/>
          <w:bCs/>
          <w:sz w:val="24"/>
          <w:szCs w:val="24"/>
          <w:highlight w:val="none"/>
          <w:lang w:val="en-US" w:eastAsia="zh-CN"/>
        </w:rPr>
        <w:t>成交</w:t>
      </w:r>
      <w:r>
        <w:rPr>
          <w:rFonts w:hint="eastAsia" w:ascii="仿宋" w:hAnsi="仿宋" w:eastAsia="仿宋" w:cs="仿宋"/>
          <w:bCs/>
          <w:sz w:val="24"/>
          <w:szCs w:val="24"/>
          <w:highlight w:val="none"/>
        </w:rPr>
        <w:t xml:space="preserve">人）： </w:t>
      </w:r>
    </w:p>
    <w:p>
      <w:pPr>
        <w:snapToGrid w:val="0"/>
        <w:spacing w:line="48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u w:val="single"/>
        </w:rPr>
        <w:t>郭杜派出所修缮改扩建项目  (项目编号：HXGJXM2022-ZC-CS1072 )</w:t>
      </w:r>
      <w:r>
        <w:rPr>
          <w:rFonts w:hint="eastAsia" w:ascii="仿宋" w:hAnsi="仿宋" w:eastAsia="仿宋" w:cs="仿宋"/>
          <w:bCs/>
          <w:sz w:val="24"/>
          <w:szCs w:val="24"/>
          <w:highlight w:val="none"/>
        </w:rPr>
        <w:t>在华夏国际项目管理有限公司组织竞争性磋商，(以下简称“甲方”)确定（以下简称“乙方”）为的</w:t>
      </w:r>
      <w:r>
        <w:rPr>
          <w:rFonts w:hint="eastAsia" w:ascii="仿宋" w:hAnsi="仿宋" w:eastAsia="仿宋" w:cs="仿宋"/>
          <w:bCs/>
          <w:sz w:val="24"/>
          <w:szCs w:val="24"/>
          <w:highlight w:val="none"/>
          <w:lang w:val="en-US" w:eastAsia="zh-CN"/>
        </w:rPr>
        <w:t>成交</w:t>
      </w:r>
      <w:r>
        <w:rPr>
          <w:rFonts w:hint="eastAsia" w:ascii="仿宋" w:hAnsi="仿宋" w:eastAsia="仿宋" w:cs="仿宋"/>
          <w:bCs/>
          <w:sz w:val="24"/>
          <w:szCs w:val="24"/>
          <w:highlight w:val="none"/>
        </w:rPr>
        <w:t>人。</w:t>
      </w:r>
    </w:p>
    <w:p>
      <w:pPr>
        <w:autoSpaceDE w:val="0"/>
        <w:autoSpaceDN w:val="0"/>
        <w:adjustRightInd w:val="0"/>
        <w:spacing w:line="48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依据《中华人民共和国民法典》和相关法律法规，经双方协商按下述条款和条件签署本合同。</w:t>
      </w:r>
    </w:p>
    <w:p>
      <w:pPr>
        <w:autoSpaceDE w:val="0"/>
        <w:autoSpaceDN w:val="0"/>
        <w:adjustRightInd w:val="0"/>
        <w:spacing w:line="480" w:lineRule="auto"/>
        <w:ind w:firstLine="482" w:firstLineChars="200"/>
        <w:rPr>
          <w:rFonts w:ascii="仿宋" w:hAnsi="仿宋" w:eastAsia="仿宋" w:cs="仿宋"/>
          <w:bCs/>
          <w:sz w:val="24"/>
          <w:szCs w:val="24"/>
          <w:highlight w:val="none"/>
        </w:rPr>
      </w:pPr>
      <w:r>
        <w:rPr>
          <w:rFonts w:hint="eastAsia" w:ascii="仿宋" w:hAnsi="仿宋" w:eastAsia="仿宋" w:cs="仿宋"/>
          <w:b/>
          <w:sz w:val="24"/>
          <w:szCs w:val="24"/>
          <w:highlight w:val="none"/>
        </w:rPr>
        <w:t>一、合同价款</w:t>
      </w:r>
    </w:p>
    <w:p>
      <w:pPr>
        <w:autoSpaceDE w:val="0"/>
        <w:autoSpaceDN w:val="0"/>
        <w:adjustRightInd w:val="0"/>
        <w:spacing w:line="48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（一）合同总价款：大写：</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元（￥：）。</w:t>
      </w:r>
    </w:p>
    <w:p>
      <w:pPr>
        <w:autoSpaceDE w:val="0"/>
        <w:autoSpaceDN w:val="0"/>
        <w:adjustRightInd w:val="0"/>
        <w:spacing w:line="48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（二）合同总价包括：工程量清单包含的所有内容。合同总价即</w:t>
      </w:r>
      <w:r>
        <w:rPr>
          <w:rFonts w:hint="eastAsia" w:ascii="仿宋" w:hAnsi="仿宋" w:eastAsia="仿宋" w:cs="仿宋"/>
          <w:bCs/>
          <w:sz w:val="24"/>
          <w:szCs w:val="24"/>
          <w:highlight w:val="none"/>
          <w:lang w:val="en-US" w:eastAsia="zh-CN"/>
        </w:rPr>
        <w:t>成交</w:t>
      </w:r>
      <w:r>
        <w:rPr>
          <w:rFonts w:hint="eastAsia" w:ascii="仿宋" w:hAnsi="仿宋" w:eastAsia="仿宋" w:cs="仿宋"/>
          <w:bCs/>
          <w:sz w:val="24"/>
          <w:szCs w:val="24"/>
          <w:highlight w:val="none"/>
        </w:rPr>
        <w:t>价，为一次性报价，不受市场价变化的影响。合同价格为含税价。</w:t>
      </w:r>
    </w:p>
    <w:p>
      <w:pPr>
        <w:autoSpaceDE w:val="0"/>
        <w:autoSpaceDN w:val="0"/>
        <w:adjustRightInd w:val="0"/>
        <w:spacing w:line="48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二、结算方式</w:t>
      </w:r>
    </w:p>
    <w:p>
      <w:pPr>
        <w:autoSpaceDE w:val="0"/>
        <w:autoSpaceDN w:val="0"/>
        <w:adjustRightInd w:val="0"/>
        <w:spacing w:line="480" w:lineRule="auto"/>
        <w:ind w:firstLine="480" w:firstLineChars="200"/>
        <w:rPr>
          <w:rFonts w:ascii="仿宋" w:hAnsi="仿宋" w:eastAsia="仿宋" w:cs="仿宋"/>
          <w:color w:val="FF0000"/>
          <w:kern w:val="0"/>
          <w:sz w:val="24"/>
          <w:szCs w:val="22"/>
          <w:highlight w:val="none"/>
        </w:rPr>
      </w:pPr>
      <w:r>
        <w:rPr>
          <w:rFonts w:hint="eastAsia" w:ascii="仿宋" w:hAnsi="仿宋" w:eastAsia="仿宋" w:cs="仿宋"/>
          <w:color w:val="FF0000"/>
          <w:kern w:val="0"/>
          <w:sz w:val="24"/>
          <w:szCs w:val="22"/>
          <w:highlight w:val="none"/>
        </w:rPr>
        <w:t>工程完工且竣工验收合格后一次性支付全部工程款。</w:t>
      </w:r>
    </w:p>
    <w:p>
      <w:pPr>
        <w:autoSpaceDE w:val="0"/>
        <w:autoSpaceDN w:val="0"/>
        <w:adjustRightInd w:val="0"/>
        <w:spacing w:line="480" w:lineRule="auto"/>
        <w:ind w:firstLine="482" w:firstLineChars="200"/>
        <w:rPr>
          <w:rFonts w:ascii="仿宋" w:hAnsi="仿宋" w:eastAsia="仿宋" w:cs="仿宋"/>
          <w:bCs/>
          <w:sz w:val="24"/>
          <w:szCs w:val="24"/>
          <w:highlight w:val="none"/>
        </w:rPr>
      </w:pPr>
      <w:r>
        <w:rPr>
          <w:rFonts w:hint="eastAsia" w:ascii="仿宋" w:hAnsi="仿宋" w:eastAsia="仿宋" w:cs="仿宋"/>
          <w:b/>
          <w:sz w:val="24"/>
          <w:szCs w:val="24"/>
          <w:highlight w:val="none"/>
        </w:rPr>
        <w:t>三、实施地点及工期：</w:t>
      </w:r>
    </w:p>
    <w:p>
      <w:pPr>
        <w:autoSpaceDE w:val="0"/>
        <w:autoSpaceDN w:val="0"/>
        <w:adjustRightInd w:val="0"/>
        <w:spacing w:line="48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（一）实施地点：甲方指定地点。</w:t>
      </w:r>
    </w:p>
    <w:p>
      <w:pPr>
        <w:autoSpaceDE w:val="0"/>
        <w:autoSpaceDN w:val="0"/>
        <w:adjustRightInd w:val="0"/>
        <w:spacing w:line="480" w:lineRule="auto"/>
        <w:ind w:firstLine="480" w:firstLineChars="200"/>
        <w:rPr>
          <w:rFonts w:ascii="仿宋" w:hAnsi="仿宋" w:eastAsia="仿宋" w:cs="仿宋"/>
          <w:bCs/>
          <w:color w:val="FF0000"/>
          <w:sz w:val="24"/>
          <w:szCs w:val="24"/>
          <w:highlight w:val="none"/>
        </w:rPr>
      </w:pPr>
      <w:r>
        <w:rPr>
          <w:rFonts w:hint="eastAsia" w:ascii="仿宋" w:hAnsi="仿宋" w:eastAsia="仿宋" w:cs="仿宋"/>
          <w:bCs/>
          <w:color w:val="FF0000"/>
          <w:sz w:val="24"/>
          <w:szCs w:val="24"/>
          <w:highlight w:val="none"/>
        </w:rPr>
        <w:t>（二）工期：</w:t>
      </w:r>
      <w:r>
        <w:rPr>
          <w:rFonts w:hint="eastAsia" w:ascii="仿宋" w:hAnsi="仿宋" w:eastAsia="仿宋" w:cs="仿宋"/>
          <w:color w:val="FF0000"/>
          <w:sz w:val="24"/>
          <w:szCs w:val="24"/>
          <w:highlight w:val="none"/>
          <w:lang w:val="en-US" w:eastAsia="zh-CN"/>
        </w:rPr>
        <w:t>20</w:t>
      </w:r>
      <w:r>
        <w:rPr>
          <w:rFonts w:hint="eastAsia" w:ascii="仿宋" w:hAnsi="仿宋" w:eastAsia="仿宋" w:cs="仿宋"/>
          <w:color w:val="FF0000"/>
          <w:sz w:val="24"/>
          <w:szCs w:val="24"/>
          <w:highlight w:val="none"/>
        </w:rPr>
        <w:t>日历天。</w:t>
      </w:r>
    </w:p>
    <w:p>
      <w:pPr>
        <w:autoSpaceDE w:val="0"/>
        <w:autoSpaceDN w:val="0"/>
        <w:adjustRightInd w:val="0"/>
        <w:spacing w:line="480" w:lineRule="auto"/>
        <w:ind w:firstLine="472" w:firstLineChars="196"/>
        <w:rPr>
          <w:rFonts w:ascii="仿宋" w:hAnsi="仿宋" w:eastAsia="仿宋" w:cs="仿宋"/>
          <w:b/>
          <w:sz w:val="24"/>
          <w:szCs w:val="24"/>
          <w:highlight w:val="none"/>
          <w:lang w:val="zh-CN"/>
        </w:rPr>
      </w:pPr>
      <w:r>
        <w:rPr>
          <w:rFonts w:hint="eastAsia" w:ascii="仿宋" w:hAnsi="仿宋" w:eastAsia="仿宋" w:cs="仿宋"/>
          <w:b/>
          <w:sz w:val="24"/>
          <w:szCs w:val="24"/>
          <w:highlight w:val="none"/>
          <w:lang w:val="zh-CN"/>
        </w:rPr>
        <w:t>四、质量保证</w:t>
      </w:r>
    </w:p>
    <w:p>
      <w:pPr>
        <w:autoSpaceDE w:val="0"/>
        <w:autoSpaceDN w:val="0"/>
        <w:adjustRightInd w:val="0"/>
        <w:spacing w:line="480" w:lineRule="auto"/>
        <w:ind w:firstLine="470" w:firstLineChars="196"/>
        <w:rPr>
          <w:rFonts w:ascii="仿宋" w:hAnsi="仿宋" w:eastAsia="仿宋" w:cs="仿宋"/>
          <w:sz w:val="24"/>
          <w:szCs w:val="24"/>
          <w:highlight w:val="none"/>
          <w:lang w:val="zh-CN"/>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val="zh-CN"/>
        </w:rPr>
        <w:t>所选材料必须保证质量可靠、进货渠道正常，符合国家环保等相关标准，所选材料必须与采购人原设备材料完全兼容，须征得采购人同意、认质且满足施工要求。</w:t>
      </w:r>
    </w:p>
    <w:p>
      <w:pPr>
        <w:autoSpaceDE w:val="0"/>
        <w:autoSpaceDN w:val="0"/>
        <w:adjustRightInd w:val="0"/>
        <w:spacing w:line="480" w:lineRule="auto"/>
        <w:ind w:firstLine="470" w:firstLineChars="196"/>
        <w:rPr>
          <w:rFonts w:ascii="仿宋" w:hAnsi="仿宋" w:eastAsia="仿宋" w:cs="仿宋"/>
          <w:sz w:val="24"/>
          <w:szCs w:val="24"/>
          <w:highlight w:val="none"/>
          <w:lang w:val="zh-CN"/>
        </w:rPr>
      </w:pPr>
      <w:r>
        <w:rPr>
          <w:rFonts w:hint="eastAsia" w:ascii="仿宋" w:hAnsi="仿宋" w:eastAsia="仿宋" w:cs="仿宋"/>
          <w:sz w:val="24"/>
          <w:szCs w:val="24"/>
          <w:highlight w:val="none"/>
        </w:rPr>
        <w:t>（二）</w:t>
      </w:r>
      <w:r>
        <w:rPr>
          <w:rFonts w:hint="eastAsia" w:ascii="仿宋" w:hAnsi="仿宋" w:eastAsia="仿宋" w:cs="仿宋"/>
          <w:sz w:val="24"/>
          <w:szCs w:val="24"/>
          <w:highlight w:val="none"/>
          <w:lang w:val="zh-CN"/>
        </w:rPr>
        <w:t>工程质量符合国家有关规范，确保达到合格。</w:t>
      </w:r>
    </w:p>
    <w:p>
      <w:pPr>
        <w:autoSpaceDE w:val="0"/>
        <w:autoSpaceDN w:val="0"/>
        <w:adjustRightInd w:val="0"/>
        <w:spacing w:line="480" w:lineRule="auto"/>
        <w:ind w:firstLine="470" w:firstLineChars="196"/>
        <w:rPr>
          <w:rFonts w:ascii="仿宋" w:hAnsi="仿宋" w:eastAsia="仿宋" w:cs="仿宋"/>
          <w:sz w:val="24"/>
          <w:szCs w:val="24"/>
          <w:highlight w:val="none"/>
          <w:lang w:val="zh-CN"/>
        </w:rPr>
      </w:pPr>
      <w:r>
        <w:rPr>
          <w:rFonts w:hint="eastAsia" w:ascii="仿宋" w:hAnsi="仿宋" w:eastAsia="仿宋" w:cs="仿宋"/>
          <w:sz w:val="24"/>
          <w:szCs w:val="24"/>
          <w:highlight w:val="none"/>
        </w:rPr>
        <w:t>（三）</w:t>
      </w:r>
      <w:r>
        <w:rPr>
          <w:rFonts w:hint="eastAsia" w:ascii="仿宋" w:hAnsi="仿宋" w:eastAsia="仿宋" w:cs="仿宋"/>
          <w:sz w:val="24"/>
          <w:szCs w:val="24"/>
          <w:highlight w:val="none"/>
          <w:lang w:val="zh-CN"/>
        </w:rPr>
        <w:t>该工程项目质量保修期按有关文件规定执行。</w:t>
      </w:r>
    </w:p>
    <w:p>
      <w:pPr>
        <w:spacing w:line="480" w:lineRule="auto"/>
        <w:ind w:firstLine="600" w:firstLineChars="249"/>
        <w:rPr>
          <w:rFonts w:ascii="仿宋" w:hAnsi="仿宋" w:eastAsia="仿宋" w:cs="仿宋"/>
          <w:b/>
          <w:sz w:val="24"/>
          <w:szCs w:val="24"/>
          <w:highlight w:val="none"/>
        </w:rPr>
      </w:pPr>
      <w:r>
        <w:rPr>
          <w:rFonts w:hint="eastAsia" w:ascii="仿宋" w:hAnsi="仿宋" w:eastAsia="仿宋" w:cs="仿宋"/>
          <w:b/>
          <w:sz w:val="24"/>
          <w:szCs w:val="24"/>
          <w:highlight w:val="none"/>
        </w:rPr>
        <w:t>五、双方责任</w:t>
      </w:r>
    </w:p>
    <w:p>
      <w:pPr>
        <w:spacing w:line="480" w:lineRule="auto"/>
        <w:ind w:firstLine="480" w:firstLineChars="200"/>
        <w:rPr>
          <w:rFonts w:ascii="仿宋" w:hAnsi="仿宋" w:eastAsia="仿宋" w:cs="仿宋"/>
          <w:b/>
          <w:sz w:val="24"/>
          <w:szCs w:val="24"/>
          <w:highlight w:val="none"/>
        </w:rPr>
      </w:pPr>
      <w:r>
        <w:rPr>
          <w:rFonts w:hint="eastAsia" w:ascii="仿宋" w:hAnsi="仿宋" w:eastAsia="仿宋" w:cs="仿宋"/>
          <w:sz w:val="24"/>
          <w:szCs w:val="24"/>
          <w:highlight w:val="none"/>
        </w:rPr>
        <w:t>（一）甲方责任：</w:t>
      </w:r>
    </w:p>
    <w:p>
      <w:pPr>
        <w:spacing w:line="480" w:lineRule="auto"/>
        <w:ind w:firstLine="480" w:firstLineChars="200"/>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1、甲方负责施工场地的提供，排除施工障碍的协调。</w:t>
      </w:r>
    </w:p>
    <w:p>
      <w:pPr>
        <w:spacing w:line="480" w:lineRule="auto"/>
        <w:ind w:firstLine="480" w:firstLineChars="200"/>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2、组织设计、设计变更及现场签证，工程结算的审定等工作。</w:t>
      </w:r>
    </w:p>
    <w:p>
      <w:pPr>
        <w:spacing w:line="48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3、对工程进度、质量进行监督检查。</w:t>
      </w:r>
    </w:p>
    <w:p>
      <w:pPr>
        <w:spacing w:line="48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4、组织有关单位对工程进行竣工验收。</w:t>
      </w:r>
    </w:p>
    <w:p>
      <w:pPr>
        <w:spacing w:line="480" w:lineRule="auto"/>
        <w:ind w:firstLine="480" w:firstLineChars="200"/>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5、按时支付工程款。</w:t>
      </w:r>
    </w:p>
    <w:p>
      <w:pPr>
        <w:spacing w:line="480" w:lineRule="auto"/>
        <w:ind w:firstLine="480" w:firstLineChars="200"/>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（二）乙方责任：</w:t>
      </w: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1、负责办理完成项目使用审批手续，负责工程安全文明施工、承担一切风险，满足甲方工程的需要。保证甲方正式投入使用，再无其他费用发生。</w:t>
      </w: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乙方进入甲方要求场地施工，应服从当地对治安、卫生、环保、社会保险等工程建设的统一管理，并按有关规定交纳费用以及因违反相关规定而造成的罚款。乙方按照国家和当地政府有关规定应采取的任何必要安全防护措施已包含在乙方的合同价款当中，甲方不另行支付。竣工后交甲方竣工图二份及甲方委托乙方办理项目手续的相关资料等，以备留档。</w:t>
      </w: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按照设计说明进行施工，确保工程按合同规定的时间如期完工和交付；并应接受甲方代表或委派人员的检查、检验，乙方应为甲方人员检查提供便利条件，对不合格的部分按甲方代表及委派人员的要求返工修改，承担由自身原因导致的返工修改费用，工期不予顺延。</w:t>
      </w: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乙方提供的主要材料、设备必须有质量合格证等相关证件方可用于工程，对材料改变或代用必须经原设计单位同意，并发书面通知和甲方代表签证后，方可用于工程，任何一方认为对方提供的材料需要复检的，应允许复检。经复检符合质量要求的，方可用于工程，其复检费由要求一方承担，不符合质量要求的，应按有关规定处理，其复检费由提供材料、设备一方承担。</w:t>
      </w: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5、隐蔽工程在覆盖前必须经甲方代表或现场监理代表验收签章后，方可进行下一道工序。 </w:t>
      </w:r>
    </w:p>
    <w:p>
      <w:pPr>
        <w:spacing w:line="480" w:lineRule="auto"/>
        <w:ind w:firstLine="480" w:firstLineChars="200"/>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6、遵守甲方施工场地的规章制度和管理，做到安全文明施工，做 好成品保护，对甲方提出的问题应在 24 小时内予以解决或处理；遵守有关施工规范和安全操作规程，如发生安全事故，乙方应及时通知甲方，积极采取有效的补救措施，如因此造成甲方、乙方或第三方人身或财产损失，全部责任由乙方自行承担。</w:t>
      </w:r>
    </w:p>
    <w:p>
      <w:pPr>
        <w:spacing w:line="480" w:lineRule="auto"/>
        <w:ind w:firstLine="480" w:firstLineChars="200"/>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7、采取有效的安全保障措施，确保施工安全，包括悬挂警示标牌、装设围栏、配备安全人员等，并承担事故的全部费用和责任。</w:t>
      </w:r>
    </w:p>
    <w:p>
      <w:pPr>
        <w:spacing w:line="480" w:lineRule="auto"/>
        <w:ind w:firstLine="480" w:firstLineChars="200"/>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8、工程竣工后提供竣工验收技术资料及竣工图</w:t>
      </w:r>
      <w:r>
        <w:rPr>
          <w:rFonts w:hint="eastAsia" w:ascii="仿宋" w:hAnsi="仿宋" w:eastAsia="仿宋" w:cs="仿宋"/>
          <w:sz w:val="24"/>
          <w:szCs w:val="24"/>
          <w:highlight w:val="none"/>
          <w:u w:val="single"/>
        </w:rPr>
        <w:t>肆</w:t>
      </w:r>
      <w:r>
        <w:rPr>
          <w:rFonts w:hint="eastAsia" w:ascii="仿宋" w:hAnsi="仿宋" w:eastAsia="仿宋" w:cs="仿宋"/>
          <w:sz w:val="24"/>
          <w:szCs w:val="24"/>
          <w:highlight w:val="none"/>
        </w:rPr>
        <w:t>套，办理工程竣工结算手续，参加工程竣工验收。</w:t>
      </w:r>
    </w:p>
    <w:p>
      <w:pPr>
        <w:spacing w:line="480" w:lineRule="auto"/>
        <w:ind w:firstLine="480" w:firstLineChars="200"/>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9、已完工的项目，在交工前乙方应负责保管，清理现场达到建筑物无污染，现场无建筑垃圾。</w:t>
      </w:r>
    </w:p>
    <w:p>
      <w:pPr>
        <w:spacing w:line="480" w:lineRule="auto"/>
        <w:ind w:firstLine="480" w:firstLineChars="200"/>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10、本工程不得转包。</w:t>
      </w: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11、乙方应在设备运行过程中，对安全隐患进行全面的不定期检查与维护，并对不按安全规程操作的施工单位及时制止，并报甲方进行处理。</w:t>
      </w:r>
    </w:p>
    <w:p>
      <w:pPr>
        <w:spacing w:line="480" w:lineRule="auto"/>
        <w:ind w:firstLine="480" w:firstLineChars="200"/>
        <w:rPr>
          <w:rFonts w:ascii="仿宋" w:hAnsi="仿宋" w:eastAsia="仿宋" w:cs="仿宋"/>
          <w:b/>
          <w:sz w:val="24"/>
          <w:szCs w:val="24"/>
          <w:highlight w:val="none"/>
          <w:lang w:val="zh-CN"/>
        </w:rPr>
      </w:pPr>
      <w:r>
        <w:rPr>
          <w:rFonts w:hint="eastAsia" w:ascii="仿宋" w:hAnsi="仿宋" w:eastAsia="仿宋" w:cs="仿宋"/>
          <w:sz w:val="24"/>
          <w:szCs w:val="24"/>
          <w:highlight w:val="none"/>
        </w:rPr>
        <w:t>12、乙方不能按合同规定的工期竣工的，应向甲方支付违约金，每逾期一日，支付合同总价款万分之二的违约金，造成甲方损失的，还应赔偿甲方损失。</w:t>
      </w:r>
    </w:p>
    <w:p>
      <w:pPr>
        <w:spacing w:line="360" w:lineRule="auto"/>
        <w:ind w:firstLine="634" w:firstLineChars="263"/>
        <w:jc w:val="left"/>
        <w:textAlignment w:val="baseline"/>
        <w:rPr>
          <w:rFonts w:ascii="仿宋" w:hAnsi="仿宋" w:eastAsia="仿宋" w:cs="仿宋"/>
          <w:b/>
          <w:sz w:val="24"/>
          <w:szCs w:val="24"/>
          <w:highlight w:val="none"/>
        </w:rPr>
      </w:pPr>
      <w:r>
        <w:rPr>
          <w:rFonts w:hint="eastAsia" w:ascii="仿宋" w:hAnsi="仿宋" w:eastAsia="仿宋" w:cs="仿宋"/>
          <w:b/>
          <w:sz w:val="24"/>
          <w:szCs w:val="24"/>
          <w:highlight w:val="none"/>
        </w:rPr>
        <w:t>六、组成合同的文件</w:t>
      </w: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1．组成本合同的文件包括：</w:t>
      </w: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(1)、本合同书</w:t>
      </w: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(2)、成交通知书</w:t>
      </w: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(3)、竞争性磋商文件及其附件</w:t>
      </w: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(4)、施工组织</w:t>
      </w: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(5)、磋商响应文件</w:t>
      </w: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2．双方有关工程的洽商、变更等书面协议或文件、补充协议书均视为本合同的组成部分。</w:t>
      </w:r>
    </w:p>
    <w:p>
      <w:pPr>
        <w:autoSpaceDE w:val="0"/>
        <w:autoSpaceDN w:val="0"/>
        <w:adjustRightInd w:val="0"/>
        <w:spacing w:line="480" w:lineRule="auto"/>
        <w:ind w:firstLine="472" w:firstLineChars="196"/>
        <w:rPr>
          <w:rFonts w:ascii="仿宋" w:hAnsi="仿宋" w:eastAsia="仿宋" w:cs="仿宋"/>
          <w:b/>
          <w:sz w:val="24"/>
          <w:szCs w:val="24"/>
          <w:highlight w:val="none"/>
          <w:lang w:val="zh-CN"/>
        </w:rPr>
      </w:pPr>
      <w:r>
        <w:rPr>
          <w:rFonts w:hint="eastAsia" w:ascii="仿宋" w:hAnsi="仿宋" w:eastAsia="仿宋" w:cs="仿宋"/>
          <w:b/>
          <w:sz w:val="24"/>
          <w:szCs w:val="24"/>
          <w:highlight w:val="none"/>
          <w:lang w:val="zh-CN"/>
        </w:rPr>
        <w:t>七、验收</w:t>
      </w:r>
    </w:p>
    <w:p>
      <w:pPr>
        <w:autoSpaceDE w:val="0"/>
        <w:autoSpaceDN w:val="0"/>
        <w:adjustRightInd w:val="0"/>
        <w:spacing w:line="480" w:lineRule="auto"/>
        <w:ind w:firstLine="470" w:firstLineChars="196"/>
        <w:rPr>
          <w:rFonts w:ascii="仿宋" w:hAnsi="仿宋" w:eastAsia="仿宋" w:cs="仿宋"/>
          <w:sz w:val="24"/>
          <w:szCs w:val="24"/>
          <w:highlight w:val="none"/>
          <w:lang w:val="zh-CN"/>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val="zh-CN"/>
        </w:rPr>
        <w:t>主材到现场后，由甲方对其进行验收，确认材料的产地、规格、数量。</w:t>
      </w:r>
    </w:p>
    <w:p>
      <w:pPr>
        <w:autoSpaceDE w:val="0"/>
        <w:autoSpaceDN w:val="0"/>
        <w:adjustRightInd w:val="0"/>
        <w:spacing w:line="480" w:lineRule="auto"/>
        <w:ind w:firstLine="470" w:firstLineChars="196"/>
        <w:rPr>
          <w:rFonts w:ascii="仿宋" w:hAnsi="仿宋" w:eastAsia="仿宋" w:cs="仿宋"/>
          <w:sz w:val="24"/>
          <w:szCs w:val="24"/>
          <w:highlight w:val="none"/>
          <w:lang w:val="zh-CN"/>
        </w:rPr>
      </w:pPr>
      <w:r>
        <w:rPr>
          <w:rFonts w:hint="eastAsia" w:ascii="仿宋" w:hAnsi="仿宋" w:eastAsia="仿宋" w:cs="仿宋"/>
          <w:sz w:val="24"/>
          <w:szCs w:val="24"/>
          <w:highlight w:val="none"/>
        </w:rPr>
        <w:t>（二）</w:t>
      </w:r>
      <w:r>
        <w:rPr>
          <w:rFonts w:hint="eastAsia" w:ascii="仿宋" w:hAnsi="仿宋" w:eastAsia="仿宋" w:cs="仿宋"/>
          <w:sz w:val="24"/>
          <w:szCs w:val="24"/>
          <w:highlight w:val="none"/>
          <w:lang w:val="zh-CN"/>
        </w:rPr>
        <w:t>乙方工程完工后，进行自检，合格后准备验收文件，并书面通知甲方。</w:t>
      </w:r>
    </w:p>
    <w:p>
      <w:pPr>
        <w:autoSpaceDE w:val="0"/>
        <w:autoSpaceDN w:val="0"/>
        <w:adjustRightInd w:val="0"/>
        <w:spacing w:line="480" w:lineRule="auto"/>
        <w:ind w:firstLine="470" w:firstLineChars="196"/>
        <w:rPr>
          <w:rFonts w:ascii="仿宋" w:hAnsi="仿宋" w:eastAsia="仿宋" w:cs="仿宋"/>
          <w:sz w:val="24"/>
          <w:szCs w:val="24"/>
          <w:highlight w:val="none"/>
          <w:lang w:val="zh-CN"/>
        </w:rPr>
      </w:pPr>
      <w:r>
        <w:rPr>
          <w:rFonts w:hint="eastAsia" w:ascii="仿宋" w:hAnsi="仿宋" w:eastAsia="仿宋" w:cs="仿宋"/>
          <w:sz w:val="24"/>
          <w:szCs w:val="24"/>
          <w:highlight w:val="none"/>
        </w:rPr>
        <w:t>（三）</w:t>
      </w:r>
      <w:r>
        <w:rPr>
          <w:rFonts w:hint="eastAsia" w:ascii="仿宋" w:hAnsi="仿宋" w:eastAsia="仿宋" w:cs="仿宋"/>
          <w:sz w:val="24"/>
          <w:szCs w:val="24"/>
          <w:highlight w:val="none"/>
          <w:lang w:val="zh-CN"/>
        </w:rPr>
        <w:t>甲方确认乙方的自检内容，验收合格作为工程的最终认可。</w:t>
      </w:r>
    </w:p>
    <w:p>
      <w:pPr>
        <w:autoSpaceDE w:val="0"/>
        <w:autoSpaceDN w:val="0"/>
        <w:adjustRightInd w:val="0"/>
        <w:spacing w:line="480" w:lineRule="auto"/>
        <w:ind w:firstLine="470" w:firstLineChars="196"/>
        <w:rPr>
          <w:rFonts w:ascii="仿宋" w:hAnsi="仿宋" w:eastAsia="仿宋" w:cs="仿宋"/>
          <w:sz w:val="24"/>
          <w:szCs w:val="24"/>
          <w:highlight w:val="none"/>
          <w:lang w:val="zh-CN"/>
        </w:rPr>
      </w:pPr>
      <w:r>
        <w:rPr>
          <w:rFonts w:hint="eastAsia" w:ascii="仿宋" w:hAnsi="仿宋" w:eastAsia="仿宋" w:cs="仿宋"/>
          <w:sz w:val="24"/>
          <w:szCs w:val="24"/>
          <w:highlight w:val="none"/>
        </w:rPr>
        <w:t>（四）</w:t>
      </w:r>
      <w:r>
        <w:rPr>
          <w:rFonts w:hint="eastAsia" w:ascii="仿宋" w:hAnsi="仿宋" w:eastAsia="仿宋" w:cs="仿宋"/>
          <w:sz w:val="24"/>
          <w:szCs w:val="24"/>
          <w:highlight w:val="none"/>
          <w:lang w:val="zh-CN"/>
        </w:rPr>
        <w:t>验收依据：</w:t>
      </w:r>
    </w:p>
    <w:p>
      <w:pPr>
        <w:autoSpaceDE w:val="0"/>
        <w:autoSpaceDN w:val="0"/>
        <w:adjustRightInd w:val="0"/>
        <w:spacing w:line="480" w:lineRule="auto"/>
        <w:ind w:firstLine="470" w:firstLineChars="196"/>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4-1、合同、磋商文件、磋商响应文件及承诺。</w:t>
      </w:r>
    </w:p>
    <w:p>
      <w:pPr>
        <w:autoSpaceDE w:val="0"/>
        <w:autoSpaceDN w:val="0"/>
        <w:adjustRightInd w:val="0"/>
        <w:spacing w:line="480" w:lineRule="auto"/>
        <w:ind w:firstLine="470" w:firstLineChars="196"/>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4-2、国家相关</w:t>
      </w:r>
      <w:r>
        <w:rPr>
          <w:rFonts w:hint="eastAsia" w:ascii="仿宋" w:hAnsi="仿宋" w:eastAsia="仿宋" w:cs="仿宋"/>
          <w:bCs/>
          <w:sz w:val="24"/>
          <w:szCs w:val="24"/>
          <w:highlight w:val="none"/>
        </w:rPr>
        <w:t>标准、规范及有关技术文件</w:t>
      </w:r>
      <w:r>
        <w:rPr>
          <w:rFonts w:hint="eastAsia" w:ascii="仿宋" w:hAnsi="仿宋" w:eastAsia="仿宋" w:cs="仿宋"/>
          <w:sz w:val="24"/>
          <w:szCs w:val="24"/>
          <w:highlight w:val="none"/>
          <w:lang w:val="zh-CN"/>
        </w:rPr>
        <w:t>。</w:t>
      </w:r>
    </w:p>
    <w:p>
      <w:pPr>
        <w:spacing w:line="48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八、争议的解决方式</w:t>
      </w: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合同执行过程中如发生争议，双方应及时协商解决，协商不成，双方均可向项目所在地人民法院起诉。</w:t>
      </w:r>
    </w:p>
    <w:p>
      <w:pPr>
        <w:spacing w:line="48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九、其他</w:t>
      </w:r>
    </w:p>
    <w:p>
      <w:pPr>
        <w:spacing w:line="48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本合同未定事宜，双方可根据具体情况结合有关规定另行签订补充协议，补充协议与本合同具有同等法律效力。</w:t>
      </w:r>
    </w:p>
    <w:p>
      <w:pPr>
        <w:spacing w:line="48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十、附则</w:t>
      </w:r>
    </w:p>
    <w:p>
      <w:pPr>
        <w:tabs>
          <w:tab w:val="left" w:pos="0"/>
        </w:tabs>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本合同一式陆份，其中，合同正本一式贰份，副本一式肆份，具有同等法律效力，正副本不一致，以正本为准。甲乙双方各执正本壹份副本贰份。各方签字盖章后生效，合同执行完毕自动失效。（合同的服务承诺则长期有效）。</w:t>
      </w:r>
    </w:p>
    <w:p>
      <w:pPr>
        <w:spacing w:line="480" w:lineRule="auto"/>
        <w:ind w:firstLine="480" w:firstLineChars="200"/>
        <w:rPr>
          <w:rFonts w:ascii="仿宋" w:hAnsi="仿宋" w:eastAsia="仿宋" w:cs="仿宋"/>
          <w:spacing w:val="-20"/>
          <w:kern w:val="0"/>
          <w:sz w:val="24"/>
          <w:szCs w:val="24"/>
          <w:highlight w:val="none"/>
        </w:rPr>
      </w:pPr>
      <w:r>
        <w:rPr>
          <w:rFonts w:hint="eastAsia" w:ascii="仿宋" w:hAnsi="仿宋" w:eastAsia="仿宋" w:cs="仿宋"/>
          <w:sz w:val="24"/>
          <w:szCs w:val="24"/>
          <w:highlight w:val="none"/>
        </w:rPr>
        <w:t>（二）合同经双方盖章后生效，各条款执行完毕后终止。</w:t>
      </w:r>
    </w:p>
    <w:tbl>
      <w:tblPr>
        <w:tblStyle w:val="35"/>
        <w:tblW w:w="0" w:type="auto"/>
        <w:jc w:val="center"/>
        <w:tblLayout w:type="fixed"/>
        <w:tblCellMar>
          <w:top w:w="0" w:type="dxa"/>
          <w:left w:w="108" w:type="dxa"/>
          <w:bottom w:w="0" w:type="dxa"/>
          <w:right w:w="108" w:type="dxa"/>
        </w:tblCellMar>
      </w:tblPr>
      <w:tblGrid>
        <w:gridCol w:w="4201"/>
        <w:gridCol w:w="4202"/>
      </w:tblGrid>
      <w:tr>
        <w:tblPrEx>
          <w:tblCellMar>
            <w:top w:w="0" w:type="dxa"/>
            <w:left w:w="108" w:type="dxa"/>
            <w:bottom w:w="0" w:type="dxa"/>
            <w:right w:w="108" w:type="dxa"/>
          </w:tblCellMar>
        </w:tblPrEx>
        <w:trPr>
          <w:trHeight w:val="567" w:hRule="exact"/>
          <w:jc w:val="center"/>
        </w:trPr>
        <w:tc>
          <w:tcPr>
            <w:tcW w:w="4201" w:type="dxa"/>
            <w:noWrap/>
            <w:vAlign w:val="center"/>
          </w:tcPr>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甲  方</w:t>
            </w:r>
          </w:p>
        </w:tc>
        <w:tc>
          <w:tcPr>
            <w:tcW w:w="4202" w:type="dxa"/>
            <w:noWrap/>
            <w:vAlign w:val="center"/>
          </w:tcPr>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乙  方</w:t>
            </w:r>
          </w:p>
        </w:tc>
      </w:tr>
      <w:tr>
        <w:tblPrEx>
          <w:tblCellMar>
            <w:top w:w="0" w:type="dxa"/>
            <w:left w:w="108" w:type="dxa"/>
            <w:bottom w:w="0" w:type="dxa"/>
            <w:right w:w="108" w:type="dxa"/>
          </w:tblCellMar>
        </w:tblPrEx>
        <w:trPr>
          <w:trHeight w:val="567" w:hRule="exact"/>
          <w:jc w:val="center"/>
        </w:trPr>
        <w:tc>
          <w:tcPr>
            <w:tcW w:w="4201" w:type="dxa"/>
            <w:noWrap/>
            <w:vAlign w:val="center"/>
          </w:tcPr>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（盖章）</w:t>
            </w:r>
          </w:p>
        </w:tc>
        <w:tc>
          <w:tcPr>
            <w:tcW w:w="4202" w:type="dxa"/>
            <w:noWrap/>
            <w:vAlign w:val="center"/>
          </w:tcPr>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（盖章）</w:t>
            </w:r>
          </w:p>
        </w:tc>
      </w:tr>
      <w:tr>
        <w:tblPrEx>
          <w:tblCellMar>
            <w:top w:w="0" w:type="dxa"/>
            <w:left w:w="108" w:type="dxa"/>
            <w:bottom w:w="0" w:type="dxa"/>
            <w:right w:w="108" w:type="dxa"/>
          </w:tblCellMar>
        </w:tblPrEx>
        <w:trPr>
          <w:trHeight w:val="567" w:hRule="exact"/>
          <w:jc w:val="center"/>
        </w:trPr>
        <w:tc>
          <w:tcPr>
            <w:tcW w:w="4201" w:type="dxa"/>
            <w:noWrap/>
            <w:vAlign w:val="center"/>
          </w:tcPr>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地址： </w:t>
            </w:r>
          </w:p>
        </w:tc>
        <w:tc>
          <w:tcPr>
            <w:tcW w:w="4202" w:type="dxa"/>
            <w:noWrap/>
            <w:vAlign w:val="center"/>
          </w:tcPr>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地址：</w:t>
            </w:r>
          </w:p>
        </w:tc>
      </w:tr>
      <w:tr>
        <w:tblPrEx>
          <w:tblCellMar>
            <w:top w:w="0" w:type="dxa"/>
            <w:left w:w="108" w:type="dxa"/>
            <w:bottom w:w="0" w:type="dxa"/>
            <w:right w:w="108" w:type="dxa"/>
          </w:tblCellMar>
        </w:tblPrEx>
        <w:trPr>
          <w:trHeight w:val="567" w:hRule="exact"/>
          <w:jc w:val="center"/>
        </w:trPr>
        <w:tc>
          <w:tcPr>
            <w:tcW w:w="4201" w:type="dxa"/>
            <w:noWrap/>
            <w:vAlign w:val="center"/>
          </w:tcPr>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邮编：</w:t>
            </w:r>
          </w:p>
        </w:tc>
        <w:tc>
          <w:tcPr>
            <w:tcW w:w="4202" w:type="dxa"/>
            <w:noWrap/>
            <w:vAlign w:val="center"/>
          </w:tcPr>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邮编：</w:t>
            </w:r>
          </w:p>
        </w:tc>
      </w:tr>
      <w:tr>
        <w:tblPrEx>
          <w:tblCellMar>
            <w:top w:w="0" w:type="dxa"/>
            <w:left w:w="108" w:type="dxa"/>
            <w:bottom w:w="0" w:type="dxa"/>
            <w:right w:w="108" w:type="dxa"/>
          </w:tblCellMar>
        </w:tblPrEx>
        <w:trPr>
          <w:trHeight w:val="567" w:hRule="exact"/>
          <w:jc w:val="center"/>
        </w:trPr>
        <w:tc>
          <w:tcPr>
            <w:tcW w:w="4201" w:type="dxa"/>
            <w:noWrap/>
            <w:vAlign w:val="center"/>
          </w:tcPr>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法定代表人： </w:t>
            </w:r>
          </w:p>
        </w:tc>
        <w:tc>
          <w:tcPr>
            <w:tcW w:w="4202" w:type="dxa"/>
            <w:noWrap/>
            <w:vAlign w:val="center"/>
          </w:tcPr>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法定代表人：</w:t>
            </w:r>
          </w:p>
        </w:tc>
      </w:tr>
      <w:tr>
        <w:tblPrEx>
          <w:tblCellMar>
            <w:top w:w="0" w:type="dxa"/>
            <w:left w:w="108" w:type="dxa"/>
            <w:bottom w:w="0" w:type="dxa"/>
            <w:right w:w="108" w:type="dxa"/>
          </w:tblCellMar>
        </w:tblPrEx>
        <w:trPr>
          <w:trHeight w:val="567" w:hRule="exact"/>
          <w:jc w:val="center"/>
        </w:trPr>
        <w:tc>
          <w:tcPr>
            <w:tcW w:w="4201" w:type="dxa"/>
            <w:noWrap/>
            <w:vAlign w:val="center"/>
          </w:tcPr>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被授权代表：</w:t>
            </w:r>
          </w:p>
        </w:tc>
        <w:tc>
          <w:tcPr>
            <w:tcW w:w="4202" w:type="dxa"/>
            <w:noWrap/>
            <w:vAlign w:val="center"/>
          </w:tcPr>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被授权代表：</w:t>
            </w:r>
          </w:p>
        </w:tc>
      </w:tr>
      <w:tr>
        <w:tblPrEx>
          <w:tblCellMar>
            <w:top w:w="0" w:type="dxa"/>
            <w:left w:w="108" w:type="dxa"/>
            <w:bottom w:w="0" w:type="dxa"/>
            <w:right w:w="108" w:type="dxa"/>
          </w:tblCellMar>
        </w:tblPrEx>
        <w:trPr>
          <w:trHeight w:val="567" w:hRule="exact"/>
          <w:jc w:val="center"/>
        </w:trPr>
        <w:tc>
          <w:tcPr>
            <w:tcW w:w="4201" w:type="dxa"/>
            <w:noWrap/>
            <w:vAlign w:val="center"/>
          </w:tcPr>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电话：</w:t>
            </w:r>
          </w:p>
        </w:tc>
        <w:tc>
          <w:tcPr>
            <w:tcW w:w="4202" w:type="dxa"/>
            <w:noWrap/>
            <w:vAlign w:val="center"/>
          </w:tcPr>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电话：</w:t>
            </w:r>
          </w:p>
        </w:tc>
      </w:tr>
      <w:tr>
        <w:tblPrEx>
          <w:tblCellMar>
            <w:top w:w="0" w:type="dxa"/>
            <w:left w:w="108" w:type="dxa"/>
            <w:bottom w:w="0" w:type="dxa"/>
            <w:right w:w="108" w:type="dxa"/>
          </w:tblCellMar>
        </w:tblPrEx>
        <w:trPr>
          <w:trHeight w:val="567" w:hRule="exact"/>
          <w:jc w:val="center"/>
        </w:trPr>
        <w:tc>
          <w:tcPr>
            <w:tcW w:w="4201" w:type="dxa"/>
            <w:noWrap/>
            <w:vAlign w:val="center"/>
          </w:tcPr>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传真：</w:t>
            </w:r>
          </w:p>
        </w:tc>
        <w:tc>
          <w:tcPr>
            <w:tcW w:w="4202" w:type="dxa"/>
            <w:noWrap/>
            <w:vAlign w:val="center"/>
          </w:tcPr>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传真：</w:t>
            </w:r>
          </w:p>
        </w:tc>
      </w:tr>
      <w:tr>
        <w:tblPrEx>
          <w:tblCellMar>
            <w:top w:w="0" w:type="dxa"/>
            <w:left w:w="108" w:type="dxa"/>
            <w:bottom w:w="0" w:type="dxa"/>
            <w:right w:w="108" w:type="dxa"/>
          </w:tblCellMar>
        </w:tblPrEx>
        <w:trPr>
          <w:trHeight w:val="567" w:hRule="exact"/>
          <w:jc w:val="center"/>
        </w:trPr>
        <w:tc>
          <w:tcPr>
            <w:tcW w:w="4201" w:type="dxa"/>
            <w:noWrap/>
            <w:vAlign w:val="center"/>
          </w:tcPr>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4202" w:type="dxa"/>
            <w:noWrap/>
            <w:vAlign w:val="center"/>
          </w:tcPr>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开户银行：</w:t>
            </w:r>
          </w:p>
        </w:tc>
      </w:tr>
      <w:tr>
        <w:tblPrEx>
          <w:tblCellMar>
            <w:top w:w="0" w:type="dxa"/>
            <w:left w:w="108" w:type="dxa"/>
            <w:bottom w:w="0" w:type="dxa"/>
            <w:right w:w="108" w:type="dxa"/>
          </w:tblCellMar>
        </w:tblPrEx>
        <w:trPr>
          <w:trHeight w:val="567" w:hRule="exact"/>
          <w:jc w:val="center"/>
        </w:trPr>
        <w:tc>
          <w:tcPr>
            <w:tcW w:w="4201" w:type="dxa"/>
            <w:noWrap/>
            <w:vAlign w:val="center"/>
          </w:tcPr>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日期：</w:t>
            </w:r>
          </w:p>
        </w:tc>
        <w:tc>
          <w:tcPr>
            <w:tcW w:w="4202" w:type="dxa"/>
            <w:noWrap/>
            <w:vAlign w:val="center"/>
          </w:tcPr>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日期：</w:t>
            </w:r>
          </w:p>
        </w:tc>
      </w:tr>
    </w:tbl>
    <w:p>
      <w:pPr>
        <w:spacing w:line="360" w:lineRule="auto"/>
        <w:jc w:val="left"/>
        <w:rPr>
          <w:rFonts w:ascii="仿宋" w:hAnsi="仿宋" w:eastAsia="仿宋" w:cs="仿宋"/>
          <w:kern w:val="0"/>
          <w:sz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highlight w:val="none"/>
        </w:rPr>
        <w:t xml:space="preserve"> </w:t>
      </w:r>
      <w:r>
        <w:rPr>
          <w:rFonts w:hint="eastAsia" w:ascii="仿宋" w:hAnsi="仿宋" w:eastAsia="仿宋" w:cs="仿宋"/>
          <w:kern w:val="0"/>
          <w:sz w:val="24"/>
          <w:highlight w:val="none"/>
        </w:rPr>
        <w:t xml:space="preserve">   附件1：工程质量保修书</w:t>
      </w:r>
    </w:p>
    <w:p>
      <w:pPr>
        <w:widowControl/>
        <w:spacing w:line="520" w:lineRule="exact"/>
        <w:jc w:val="both"/>
        <w:rPr>
          <w:rFonts w:ascii="仿宋" w:hAnsi="仿宋" w:eastAsia="仿宋" w:cs="仿宋"/>
          <w:b/>
          <w:sz w:val="32"/>
          <w:szCs w:val="32"/>
          <w:highlight w:val="none"/>
        </w:rPr>
      </w:pPr>
    </w:p>
    <w:p>
      <w:pPr>
        <w:widowControl/>
        <w:spacing w:line="52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工程质量保修书</w:t>
      </w:r>
    </w:p>
    <w:p>
      <w:pPr>
        <w:widowControl/>
        <w:spacing w:line="520" w:lineRule="exact"/>
        <w:jc w:val="center"/>
        <w:rPr>
          <w:rFonts w:ascii="仿宋" w:hAnsi="仿宋" w:eastAsia="仿宋" w:cs="仿宋"/>
          <w:sz w:val="24"/>
          <w:highlight w:val="none"/>
        </w:rPr>
      </w:pPr>
    </w:p>
    <w:p>
      <w:pPr>
        <w:widowControl/>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发包人(全称)： _________________________________</w:t>
      </w:r>
    </w:p>
    <w:p>
      <w:pPr>
        <w:widowControl/>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承包人(全称)： ____________________________</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____</w:t>
      </w:r>
    </w:p>
    <w:p>
      <w:pPr>
        <w:widowControl/>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为保证__________________________________________________（工程名称）在合理使用期限内正常使用，发包人、承包人协商一致签订工程质量保修书。承包人在质量保修期内按照有关管理规定及双方约定承担工程质量保修责任。</w:t>
      </w:r>
    </w:p>
    <w:p>
      <w:pPr>
        <w:widowControl/>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 xml:space="preserve">一、工程质量保修范围和内容 </w:t>
      </w:r>
    </w:p>
    <w:p>
      <w:pPr>
        <w:widowControl/>
        <w:spacing w:line="560" w:lineRule="exact"/>
        <w:ind w:firstLine="480" w:firstLineChars="200"/>
        <w:jc w:val="left"/>
        <w:rPr>
          <w:rFonts w:ascii="仿宋" w:hAnsi="仿宋" w:eastAsia="仿宋" w:cs="仿宋"/>
          <w:color w:val="FF0000"/>
          <w:kern w:val="0"/>
          <w:sz w:val="24"/>
          <w:highlight w:val="none"/>
        </w:rPr>
      </w:pPr>
      <w:r>
        <w:rPr>
          <w:rFonts w:hint="eastAsia" w:ascii="仿宋" w:hAnsi="仿宋" w:eastAsia="仿宋" w:cs="仿宋"/>
          <w:color w:val="FF0000"/>
          <w:kern w:val="0"/>
          <w:sz w:val="24"/>
          <w:highlight w:val="none"/>
        </w:rPr>
        <w:t>郭杜派出所修缮改扩建项目磋商文件、</w:t>
      </w:r>
      <w:r>
        <w:rPr>
          <w:rFonts w:hint="eastAsia" w:ascii="仿宋" w:hAnsi="仿宋" w:eastAsia="仿宋" w:cs="仿宋"/>
          <w:color w:val="FF0000"/>
          <w:kern w:val="0"/>
          <w:sz w:val="24"/>
          <w:highlight w:val="none"/>
          <w:lang w:val="en-US" w:eastAsia="zh-CN"/>
        </w:rPr>
        <w:t>图纸、</w:t>
      </w:r>
      <w:r>
        <w:rPr>
          <w:rFonts w:hint="eastAsia" w:ascii="仿宋" w:hAnsi="仿宋" w:eastAsia="仿宋" w:cs="仿宋"/>
          <w:color w:val="FF0000"/>
          <w:kern w:val="0"/>
          <w:sz w:val="24"/>
          <w:highlight w:val="none"/>
        </w:rPr>
        <w:t>施工合同范围内全部工作内容。</w:t>
      </w:r>
    </w:p>
    <w:p>
      <w:pPr>
        <w:widowControl/>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 xml:space="preserve">二、质量保修期 </w:t>
      </w:r>
    </w:p>
    <w:p>
      <w:pPr>
        <w:widowControl/>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 xml:space="preserve">质量保修期自工程竣工验收合格之日起计算。分单项竣工验收的工程，按单项工程分别计算质量保修期。 </w:t>
      </w:r>
    </w:p>
    <w:p>
      <w:pPr>
        <w:widowControl/>
        <w:spacing w:line="560" w:lineRule="exact"/>
        <w:ind w:firstLine="480" w:firstLineChars="200"/>
        <w:rPr>
          <w:rFonts w:ascii="仿宋" w:hAnsi="仿宋" w:eastAsia="仿宋" w:cs="仿宋"/>
          <w:kern w:val="0"/>
          <w:sz w:val="24"/>
          <w:szCs w:val="22"/>
          <w:highlight w:val="none"/>
        </w:rPr>
      </w:pPr>
      <w:r>
        <w:rPr>
          <w:rFonts w:hint="eastAsia" w:ascii="仿宋" w:hAnsi="仿宋" w:eastAsia="仿宋" w:cs="仿宋"/>
          <w:kern w:val="0"/>
          <w:sz w:val="24"/>
          <w:highlight w:val="none"/>
        </w:rPr>
        <w:t xml:space="preserve">双方根据《建设工程质量管理条例》及国家有关规定，结合具体工程约定质量保修期如下： </w:t>
      </w:r>
      <w:r>
        <w:rPr>
          <w:rFonts w:hint="eastAsia" w:ascii="仿宋" w:hAnsi="仿宋" w:eastAsia="仿宋" w:cs="仿宋"/>
          <w:kern w:val="0"/>
          <w:sz w:val="24"/>
          <w:szCs w:val="22"/>
          <w:highlight w:val="none"/>
        </w:rPr>
        <w:t>本项目质保期</w:t>
      </w:r>
      <w:r>
        <w:rPr>
          <w:rFonts w:hint="eastAsia" w:ascii="仿宋" w:hAnsi="仿宋" w:eastAsia="仿宋" w:cs="仿宋"/>
          <w:color w:val="FF0000"/>
          <w:kern w:val="0"/>
          <w:sz w:val="24"/>
          <w:szCs w:val="22"/>
          <w:highlight w:val="none"/>
        </w:rPr>
        <w:t>为</w:t>
      </w:r>
      <w:r>
        <w:rPr>
          <w:rFonts w:hint="eastAsia" w:ascii="仿宋" w:hAnsi="仿宋" w:eastAsia="仿宋" w:cs="仿宋"/>
          <w:color w:val="FF0000"/>
          <w:kern w:val="0"/>
          <w:sz w:val="24"/>
          <w:szCs w:val="22"/>
          <w:highlight w:val="none"/>
          <w:u w:val="single"/>
        </w:rPr>
        <w:t xml:space="preserve">  </w:t>
      </w:r>
      <w:r>
        <w:rPr>
          <w:rFonts w:hint="eastAsia" w:ascii="仿宋" w:hAnsi="仿宋" w:eastAsia="仿宋" w:cs="仿宋"/>
          <w:color w:val="FF0000"/>
          <w:kern w:val="0"/>
          <w:sz w:val="24"/>
          <w:szCs w:val="22"/>
          <w:highlight w:val="none"/>
          <w:u w:val="single"/>
          <w:lang w:val="en-US" w:eastAsia="zh-CN"/>
        </w:rPr>
        <w:t>1</w:t>
      </w:r>
      <w:r>
        <w:rPr>
          <w:rFonts w:hint="eastAsia" w:ascii="仿宋" w:hAnsi="仿宋" w:eastAsia="仿宋" w:cs="仿宋"/>
          <w:color w:val="FF0000"/>
          <w:kern w:val="0"/>
          <w:sz w:val="24"/>
          <w:szCs w:val="22"/>
          <w:highlight w:val="none"/>
          <w:u w:val="single"/>
        </w:rPr>
        <w:t xml:space="preserve"> </w:t>
      </w:r>
      <w:r>
        <w:rPr>
          <w:rFonts w:hint="eastAsia" w:ascii="仿宋" w:hAnsi="仿宋" w:eastAsia="仿宋" w:cs="仿宋"/>
          <w:color w:val="FF0000"/>
          <w:kern w:val="0"/>
          <w:sz w:val="24"/>
          <w:szCs w:val="22"/>
          <w:highlight w:val="none"/>
        </w:rPr>
        <w:t>年</w:t>
      </w:r>
    </w:p>
    <w:p>
      <w:pPr>
        <w:widowControl/>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三、质量保修责任</w:t>
      </w:r>
    </w:p>
    <w:p>
      <w:pPr>
        <w:widowControl/>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1、属于保修范围和内容的项目，承包人应在接到修理通知之日后7天内派人修理。承包人不在约定期限内派人修理，发包人可委托其他人员修理，保修费用从质量保修金内扣除。</w:t>
      </w:r>
    </w:p>
    <w:p>
      <w:pPr>
        <w:widowControl/>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2、发生须紧急抢修事故，承包人接到事故通知后，应立即到达事故现场抢修。非承包人施工质量引起的事故，抢修费用由发包人承担。</w:t>
      </w:r>
    </w:p>
    <w:p>
      <w:pPr>
        <w:widowControl/>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 xml:space="preserve">3、因承包人原因致使工程在合理使用期限内造成人身和财产损害的，承包人应承担损害赔偿责任。 </w:t>
      </w:r>
    </w:p>
    <w:p>
      <w:pPr>
        <w:widowControl/>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 xml:space="preserve">四、其他 </w:t>
      </w:r>
    </w:p>
    <w:p>
      <w:pPr>
        <w:widowControl/>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双方约定的其他工程质量保修事项：</w:t>
      </w:r>
    </w:p>
    <w:p>
      <w:pPr>
        <w:widowControl/>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________________________________________</w:t>
      </w:r>
    </w:p>
    <w:p>
      <w:pPr>
        <w:widowControl/>
        <w:spacing w:line="560" w:lineRule="exact"/>
        <w:ind w:firstLine="480" w:firstLineChars="200"/>
        <w:rPr>
          <w:rFonts w:ascii="仿宋" w:hAnsi="仿宋" w:eastAsia="仿宋" w:cs="仿宋"/>
          <w:sz w:val="24"/>
          <w:highlight w:val="none"/>
        </w:rPr>
      </w:pPr>
      <w:r>
        <w:rPr>
          <w:rFonts w:hint="eastAsia" w:ascii="仿宋" w:hAnsi="仿宋" w:eastAsia="仿宋" w:cs="仿宋"/>
          <w:kern w:val="0"/>
          <w:sz w:val="24"/>
          <w:highlight w:val="none"/>
        </w:rPr>
        <w:t>本工程质量保修作书为施工合同的附件，由施工合同发包人、承包人双方共同签订。</w:t>
      </w:r>
    </w:p>
    <w:p>
      <w:pPr>
        <w:widowControl/>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发 包 人（公章）：__________________   承 包 人（公章）：__________________</w:t>
      </w:r>
    </w:p>
    <w:p>
      <w:pPr>
        <w:widowControl/>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 xml:space="preserve">法定代表人（签字）：________________   法定代表人（签字）：________________ </w:t>
      </w:r>
    </w:p>
    <w:p>
      <w:pPr>
        <w:rPr>
          <w:rFonts w:ascii="仿宋" w:hAnsi="仿宋" w:eastAsia="仿宋" w:cs="仿宋"/>
          <w:kern w:val="0"/>
          <w:sz w:val="24"/>
          <w:highlight w:val="none"/>
        </w:rPr>
      </w:pPr>
    </w:p>
    <w:p>
      <w:pPr>
        <w:ind w:firstLine="480" w:firstLineChars="200"/>
        <w:rPr>
          <w:rFonts w:ascii="仿宋" w:hAnsi="仿宋" w:eastAsia="仿宋" w:cs="仿宋"/>
          <w:sz w:val="24"/>
          <w:szCs w:val="24"/>
          <w:highlight w:val="none"/>
        </w:rPr>
      </w:pPr>
      <w:r>
        <w:rPr>
          <w:rFonts w:hint="eastAsia" w:ascii="仿宋" w:hAnsi="仿宋" w:eastAsia="仿宋" w:cs="仿宋"/>
          <w:kern w:val="0"/>
          <w:sz w:val="24"/>
          <w:highlight w:val="none"/>
        </w:rPr>
        <w:t>_____年_____月_____日                 _____年_____月_____日</w:t>
      </w:r>
    </w:p>
    <w:p>
      <w:pPr>
        <w:ind w:firstLine="480" w:firstLineChars="200"/>
        <w:rPr>
          <w:rFonts w:ascii="仿宋" w:hAnsi="仿宋" w:eastAsia="仿宋" w:cs="仿宋"/>
          <w:sz w:val="24"/>
          <w:szCs w:val="24"/>
          <w:highlight w:val="none"/>
        </w:rPr>
      </w:pPr>
    </w:p>
    <w:p>
      <w:pPr>
        <w:ind w:right="2719" w:rightChars="1295" w:firstLine="2750" w:firstLineChars="856"/>
        <w:jc w:val="distribute"/>
        <w:rPr>
          <w:rFonts w:ascii="仿宋" w:hAnsi="仿宋" w:eastAsia="仿宋" w:cs="仿宋"/>
          <w:b/>
          <w:color w:val="000000"/>
          <w:sz w:val="32"/>
          <w:szCs w:val="28"/>
          <w:highlight w:val="none"/>
        </w:rPr>
      </w:pPr>
    </w:p>
    <w:p>
      <w:pPr>
        <w:adjustRightInd w:val="0"/>
        <w:snapToGrid w:val="0"/>
        <w:spacing w:before="60" w:after="60" w:line="360" w:lineRule="auto"/>
        <w:jc w:val="center"/>
        <w:rPr>
          <w:rFonts w:ascii="仿宋" w:hAnsi="仿宋" w:eastAsia="仿宋" w:cs="仿宋"/>
          <w:sz w:val="24"/>
          <w:szCs w:val="24"/>
          <w:highlight w:val="none"/>
        </w:rPr>
      </w:pPr>
    </w:p>
    <w:p>
      <w:pPr>
        <w:adjustRightInd w:val="0"/>
        <w:snapToGrid w:val="0"/>
        <w:spacing w:before="60" w:after="60" w:line="360" w:lineRule="auto"/>
        <w:jc w:val="center"/>
        <w:rPr>
          <w:rFonts w:ascii="仿宋" w:hAnsi="仿宋" w:eastAsia="仿宋" w:cs="仿宋"/>
          <w:sz w:val="24"/>
          <w:szCs w:val="24"/>
          <w:highlight w:val="none"/>
        </w:rPr>
      </w:pP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p>
      <w:pPr>
        <w:spacing w:line="360" w:lineRule="auto"/>
        <w:rPr>
          <w:rFonts w:ascii="仿宋" w:hAnsi="仿宋" w:eastAsia="仿宋" w:cs="仿宋"/>
          <w:sz w:val="24"/>
          <w:szCs w:val="24"/>
          <w:highlight w:val="none"/>
        </w:rPr>
      </w:pPr>
      <w:bookmarkStart w:id="271" w:name="_Toc421778378"/>
      <w:r>
        <w:rPr>
          <w:rFonts w:hint="eastAsia" w:ascii="仿宋" w:hAnsi="仿宋" w:eastAsia="仿宋" w:cs="仿宋"/>
          <w:sz w:val="24"/>
          <w:szCs w:val="24"/>
          <w:highlight w:val="none"/>
        </w:rPr>
        <w:br w:type="page"/>
      </w:r>
    </w:p>
    <w:p>
      <w:pPr>
        <w:pStyle w:val="4"/>
        <w:keepNext w:val="0"/>
        <w:pageBreakBefore/>
        <w:spacing w:line="350" w:lineRule="auto"/>
        <w:jc w:val="center"/>
        <w:rPr>
          <w:rFonts w:ascii="仿宋" w:hAnsi="仿宋" w:eastAsia="仿宋" w:cs="仿宋"/>
          <w:b w:val="0"/>
          <w:bCs w:val="0"/>
          <w:highlight w:val="none"/>
        </w:rPr>
      </w:pPr>
      <w:bookmarkStart w:id="272" w:name="_Toc2674"/>
      <w:bookmarkStart w:id="273" w:name="_Toc24331"/>
      <w:r>
        <w:rPr>
          <w:rFonts w:hint="eastAsia" w:ascii="仿宋" w:hAnsi="仿宋" w:eastAsia="仿宋" w:cs="仿宋"/>
          <w:highlight w:val="none"/>
        </w:rPr>
        <w:t>第五章 工程量清单</w:t>
      </w:r>
      <w:bookmarkEnd w:id="271"/>
      <w:bookmarkEnd w:id="272"/>
      <w:bookmarkEnd w:id="273"/>
    </w:p>
    <w:tbl>
      <w:tblPr>
        <w:tblStyle w:val="35"/>
        <w:tblW w:w="5177" w:type="pct"/>
        <w:tblInd w:w="-2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5"/>
        <w:gridCol w:w="1972"/>
        <w:gridCol w:w="4254"/>
        <w:gridCol w:w="832"/>
        <w:gridCol w:w="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bookmarkStart w:id="274" w:name="_Toc221523531"/>
            <w:r>
              <w:rPr>
                <w:rFonts w:hint="eastAsia" w:ascii="仿宋" w:hAnsi="仿宋" w:eastAsia="仿宋" w:cs="仿宋"/>
                <w:i w:val="0"/>
                <w:iCs w:val="0"/>
                <w:color w:val="000000"/>
                <w:kern w:val="0"/>
                <w:sz w:val="24"/>
                <w:szCs w:val="24"/>
                <w:highlight w:val="none"/>
                <w:u w:val="none"/>
                <w:lang w:val="en-US" w:eastAsia="zh-CN" w:bidi="ar"/>
              </w:rPr>
              <w:t>序号</w:t>
            </w:r>
          </w:p>
        </w:tc>
        <w:tc>
          <w:tcPr>
            <w:tcW w:w="1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名称</w:t>
            </w:r>
          </w:p>
        </w:tc>
        <w:tc>
          <w:tcPr>
            <w:tcW w:w="2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工程量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地上三层</w:t>
            </w:r>
          </w:p>
        </w:tc>
        <w:tc>
          <w:tcPr>
            <w:tcW w:w="2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钢结构部分</w:t>
            </w:r>
          </w:p>
        </w:tc>
        <w:tc>
          <w:tcPr>
            <w:tcW w:w="2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3"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箱体钢柱</w:t>
            </w:r>
          </w:p>
        </w:tc>
        <w:tc>
          <w:tcPr>
            <w:tcW w:w="2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焊接箱体钢柱                                1.钢材品种、规格:Q345B钢 H型钢尺寸及节点板等见施工图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2.单根质量:3t以内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3.安装高度:见施工图                           4.螺栓种类：详见设计                        5.刷漆及防火要求：详见设计                                6.质量检测及无声探伤要求;满足设计及施工规范要求                                          7.构件吊装考虑在综合单价中</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T</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11.08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楼面钢梁</w:t>
            </w:r>
          </w:p>
        </w:tc>
        <w:tc>
          <w:tcPr>
            <w:tcW w:w="2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1.钢材品种、规格:Q345B钢 H型钢尺寸及节点板等见施工图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2.单根质量:3t以内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3.安装高度:见施工图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4.螺栓种类：详见设计                        5.刷漆及防火要求：详见设计                                6.质量检测及无声探伤要求;满足设计及施工规范要求                                          7.构件吊装考虑在综合单价中</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T</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27.50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钢承板</w:t>
            </w:r>
          </w:p>
        </w:tc>
        <w:tc>
          <w:tcPr>
            <w:tcW w:w="2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钢承板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1.部位：现浇混凝土板底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2.规格：YX75*230*690*1.0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3.做法详见图纸</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456.00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钢板包边</w:t>
            </w:r>
          </w:p>
        </w:tc>
        <w:tc>
          <w:tcPr>
            <w:tcW w:w="2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钢板包边                                    1.部位：板一周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2.做法详见图纸</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186.40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钢楼梯</w:t>
            </w:r>
          </w:p>
        </w:tc>
        <w:tc>
          <w:tcPr>
            <w:tcW w:w="2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1.钢材品种、规格:Q345B钢 H型钢尺寸及节点板等见施工图</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T</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高强螺栓</w:t>
            </w:r>
          </w:p>
        </w:tc>
        <w:tc>
          <w:tcPr>
            <w:tcW w:w="2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高强螺栓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1.规格：M20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2.质量等级：国标10.9S级摩擦姓高强螺栓</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化学锚栓</w:t>
            </w:r>
          </w:p>
        </w:tc>
        <w:tc>
          <w:tcPr>
            <w:tcW w:w="2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化学锚栓                                    1.规格：M24                                             2.长450mm</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8"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混凝土楼面</w:t>
            </w:r>
          </w:p>
        </w:tc>
        <w:tc>
          <w:tcPr>
            <w:tcW w:w="22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[项目特征]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1.混凝土强度等级:C30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2.混凝土拌和料要求:商砼</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1.混凝土制作、运输、浇筑、振捣、养护</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m3</w:t>
            </w:r>
          </w:p>
        </w:tc>
        <w:tc>
          <w:tcPr>
            <w:tcW w:w="7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57.23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8"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预制过梁</w:t>
            </w:r>
          </w:p>
        </w:tc>
        <w:tc>
          <w:tcPr>
            <w:tcW w:w="2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预制过梁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1砼强度等级:C25</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2.砼拌合料要求:商砼</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3.砼运输、制作、安装.</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34.00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6"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块料楼地面</w:t>
            </w:r>
          </w:p>
        </w:tc>
        <w:tc>
          <w:tcPr>
            <w:tcW w:w="2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1.成品保护                                                           2.10厚聚合物水泥砂浆结合层粘贴800*800地砖CT-01                               3.30厚1:3干硬性水泥砂浆结合层                                                                                                   4.刷基层处理剂一道                                                            5.20厚1:3水泥砂浆抹平                                                          6.基层清理找平，素水泥砂浆一道</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421.20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5"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钢筋</w:t>
            </w:r>
          </w:p>
        </w:tc>
        <w:tc>
          <w:tcPr>
            <w:tcW w:w="2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现浇混凝土钢筋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[项目特征]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1.钢筋种类、规格:三级螺纹钢10以内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1.钢筋（网、笼）制作、运输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2.钢筋（网、笼）安装</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T</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3.18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5"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钢筋</w:t>
            </w:r>
          </w:p>
        </w:tc>
        <w:tc>
          <w:tcPr>
            <w:tcW w:w="2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现浇混凝土钢筋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[项目特征]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1.钢筋种类、规格:三级螺纹钢10以上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1.钢筋（网、笼）制作、运输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2.钢筋（网、笼）安装</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T</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二</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钢结构屋檐部分</w:t>
            </w:r>
          </w:p>
        </w:tc>
        <w:tc>
          <w:tcPr>
            <w:tcW w:w="2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i w:val="0"/>
                <w:iCs w:val="0"/>
                <w:color w:val="000000"/>
                <w:sz w:val="24"/>
                <w:szCs w:val="24"/>
                <w:highlight w:val="none"/>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highlight w:val="none"/>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4"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楼梯间+洗衣房屋檐</w:t>
            </w:r>
          </w:p>
        </w:tc>
        <w:tc>
          <w:tcPr>
            <w:tcW w:w="22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屋檐外包铝塑板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1.尺寸及节点板等见施工图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2.颜色公安蓝</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3.做法见陕09J01 </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8"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东西侧屋檐</w:t>
            </w:r>
          </w:p>
        </w:tc>
        <w:tc>
          <w:tcPr>
            <w:tcW w:w="22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屋檐外包铝塑板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1.尺寸及节点板等见施工图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2.颜色公安蓝</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3.做法见陕09J01 </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05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楼顶原有帽檐需要重新做帽檐</w:t>
            </w:r>
          </w:p>
        </w:tc>
        <w:tc>
          <w:tcPr>
            <w:tcW w:w="228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屋檐外包铝塑板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1.尺寸及节点板等见施工图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2.颜色公安蓝</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3.做法见陕09J01 </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highlight w:val="none"/>
                <w:u w:val="none"/>
              </w:rPr>
            </w:pPr>
          </w:p>
        </w:tc>
        <w:tc>
          <w:tcPr>
            <w:tcW w:w="10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highlight w:val="none"/>
                <w:u w:val="none"/>
              </w:rPr>
            </w:pPr>
          </w:p>
        </w:tc>
        <w:tc>
          <w:tcPr>
            <w:tcW w:w="228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4"/>
                <w:szCs w:val="24"/>
                <w:highlight w:val="none"/>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门窗部分</w:t>
            </w:r>
          </w:p>
        </w:tc>
        <w:tc>
          <w:tcPr>
            <w:tcW w:w="2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4"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木门（MM2）</w:t>
            </w:r>
          </w:p>
        </w:tc>
        <w:tc>
          <w:tcPr>
            <w:tcW w:w="2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门洞尺寸1000*2100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1、木门门框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2、含把手、锁、铰链、门吸等五金件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3、详见图纸</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樘</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木门（M1521）</w:t>
            </w:r>
          </w:p>
        </w:tc>
        <w:tc>
          <w:tcPr>
            <w:tcW w:w="2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门洞尺寸1500*2100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1、木门门框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2、含把手、锁、铰链、门吸等五金件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3、详见图纸</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樘</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4"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塑钢窗（SGC2)</w:t>
            </w:r>
          </w:p>
        </w:tc>
        <w:tc>
          <w:tcPr>
            <w:tcW w:w="2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塑钢推拉窗                                                                      窗洞尺寸1800*1500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1、塑钢窗框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2、详见图纸</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樘</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17.00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塑钢窗（SGC3)</w:t>
            </w:r>
          </w:p>
        </w:tc>
        <w:tc>
          <w:tcPr>
            <w:tcW w:w="2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塑钢推拉窗                                                                      窗洞尺寸900*1500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1、塑钢窗框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2、详见图纸</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樘</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屋面排水管</w:t>
            </w:r>
          </w:p>
        </w:tc>
        <w:tc>
          <w:tcPr>
            <w:tcW w:w="2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屋面排水管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1.排水管品种、规格:Φ110PVC</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2.水落口:直式10个</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3.落水斗:10个</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4.做法见施工图</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72.00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四</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水电部分</w:t>
            </w:r>
          </w:p>
        </w:tc>
        <w:tc>
          <w:tcPr>
            <w:tcW w:w="2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i w:val="0"/>
                <w:iCs w:val="0"/>
                <w:color w:val="000000"/>
                <w:sz w:val="24"/>
                <w:szCs w:val="24"/>
                <w:highlight w:val="none"/>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i w:val="0"/>
                <w:iCs w:val="0"/>
                <w:color w:val="000000"/>
                <w:sz w:val="24"/>
                <w:szCs w:val="24"/>
                <w:highlight w:val="none"/>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室内LED灯</w:t>
            </w:r>
          </w:p>
        </w:tc>
        <w:tc>
          <w:tcPr>
            <w:tcW w:w="22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1.尺寸1000mm*800mm、功率80W </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走廊LED灯</w:t>
            </w:r>
          </w:p>
        </w:tc>
        <w:tc>
          <w:tcPr>
            <w:tcW w:w="22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1.尺寸400mm、功率80W </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五孔插座</w:t>
            </w:r>
          </w:p>
        </w:tc>
        <w:tc>
          <w:tcPr>
            <w:tcW w:w="22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10A</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空调专用插座</w:t>
            </w:r>
          </w:p>
        </w:tc>
        <w:tc>
          <w:tcPr>
            <w:tcW w:w="22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16A</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4平方电线</w:t>
            </w:r>
          </w:p>
        </w:tc>
        <w:tc>
          <w:tcPr>
            <w:tcW w:w="22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4"/>
                <w:szCs w:val="24"/>
                <w:highlight w:val="none"/>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7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2.5平方电线</w:t>
            </w:r>
          </w:p>
        </w:tc>
        <w:tc>
          <w:tcPr>
            <w:tcW w:w="22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4"/>
                <w:szCs w:val="24"/>
                <w:highlight w:val="none"/>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7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25平方电缆</w:t>
            </w:r>
          </w:p>
        </w:tc>
        <w:tc>
          <w:tcPr>
            <w:tcW w:w="22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4"/>
                <w:szCs w:val="24"/>
                <w:highlight w:val="none"/>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7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0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20PVC线管</w:t>
            </w:r>
          </w:p>
        </w:tc>
        <w:tc>
          <w:tcPr>
            <w:tcW w:w="22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4"/>
                <w:szCs w:val="24"/>
                <w:highlight w:val="none"/>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7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1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开关控制箱</w:t>
            </w:r>
          </w:p>
        </w:tc>
        <w:tc>
          <w:tcPr>
            <w:tcW w:w="2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1000*600</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五</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楼面保护层拆除</w:t>
            </w:r>
          </w:p>
        </w:tc>
        <w:tc>
          <w:tcPr>
            <w:tcW w:w="2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highlight w:val="none"/>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367.32</w:t>
            </w:r>
          </w:p>
        </w:tc>
      </w:tr>
    </w:tbl>
    <w:p>
      <w:pPr>
        <w:numPr>
          <w:ilvl w:val="0"/>
          <w:numId w:val="11"/>
        </w:numPr>
        <w:jc w:val="center"/>
        <w:rPr>
          <w:rFonts w:ascii="仿宋" w:hAnsi="仿宋" w:eastAsia="仿宋" w:cs="仿宋"/>
          <w:highlight w:val="none"/>
        </w:rPr>
      </w:pPr>
      <w:r>
        <w:rPr>
          <w:rFonts w:hint="eastAsia" w:ascii="仿宋" w:hAnsi="仿宋" w:eastAsia="仿宋" w:cs="仿宋"/>
          <w:b/>
          <w:bCs/>
          <w:sz w:val="24"/>
          <w:szCs w:val="24"/>
          <w:highlight w:val="none"/>
        </w:rPr>
        <w:br w:type="page"/>
      </w:r>
      <w:bookmarkEnd w:id="274"/>
      <w:bookmarkStart w:id="275" w:name="_Toc410"/>
      <w:bookmarkStart w:id="276" w:name="_Toc421778381"/>
    </w:p>
    <w:p>
      <w:pPr>
        <w:rPr>
          <w:rFonts w:ascii="仿宋" w:hAnsi="仿宋" w:eastAsia="仿宋" w:cs="仿宋"/>
          <w:highlight w:val="none"/>
        </w:rPr>
      </w:pPr>
    </w:p>
    <w:p>
      <w:pPr>
        <w:pStyle w:val="4"/>
        <w:numPr>
          <w:ilvl w:val="0"/>
          <w:numId w:val="12"/>
        </w:numPr>
        <w:jc w:val="center"/>
        <w:rPr>
          <w:rFonts w:ascii="仿宋" w:hAnsi="仿宋" w:eastAsia="仿宋" w:cs="仿宋"/>
          <w:highlight w:val="none"/>
        </w:rPr>
      </w:pPr>
      <w:r>
        <w:rPr>
          <w:rFonts w:hint="eastAsia" w:ascii="仿宋" w:hAnsi="仿宋" w:eastAsia="仿宋" w:cs="仿宋"/>
          <w:highlight w:val="none"/>
        </w:rPr>
        <w:t xml:space="preserve"> </w:t>
      </w:r>
      <w:bookmarkStart w:id="277" w:name="_Toc29948"/>
      <w:r>
        <w:rPr>
          <w:rFonts w:hint="eastAsia" w:ascii="仿宋" w:hAnsi="仿宋" w:eastAsia="仿宋" w:cs="仿宋"/>
          <w:highlight w:val="none"/>
        </w:rPr>
        <w:t>技术标准及要求</w:t>
      </w:r>
      <w:bookmarkEnd w:id="275"/>
      <w:bookmarkEnd w:id="276"/>
      <w:bookmarkEnd w:id="277"/>
    </w:p>
    <w:p>
      <w:pPr>
        <w:spacing w:line="360" w:lineRule="auto"/>
        <w:ind w:firstLine="482" w:firstLineChars="200"/>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一、工程概况</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1、工程名称:郭杜派出所修缮改扩建项目</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、质量标准:符合国家现行有关施工质量验收规范“合格”要求。</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、工期: </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日历天。</w:t>
      </w:r>
    </w:p>
    <w:p>
      <w:pPr>
        <w:spacing w:line="360" w:lineRule="auto"/>
        <w:ind w:firstLine="482" w:firstLineChars="200"/>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二、现场条件</w:t>
      </w:r>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1、施工用水、用电按甲方要求自行接至施工现场。</w:t>
      </w: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2、现场已具备施工条件。</w:t>
      </w:r>
    </w:p>
    <w:p>
      <w:pPr>
        <w:spacing w:line="360" w:lineRule="auto"/>
        <w:ind w:firstLine="482" w:firstLineChars="200"/>
        <w:jc w:val="left"/>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三、图纸另册</w:t>
      </w: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p>
      <w:pPr>
        <w:pStyle w:val="4"/>
        <w:keepNext w:val="0"/>
        <w:pageBreakBefore/>
        <w:spacing w:line="350" w:lineRule="auto"/>
        <w:jc w:val="center"/>
        <w:rPr>
          <w:rFonts w:ascii="仿宋" w:hAnsi="仿宋" w:eastAsia="仿宋" w:cs="仿宋"/>
          <w:highlight w:val="none"/>
        </w:rPr>
      </w:pPr>
      <w:bookmarkStart w:id="278" w:name="_Toc421778384"/>
      <w:bookmarkStart w:id="279" w:name="_Toc12295"/>
      <w:bookmarkStart w:id="280" w:name="_Toc11789"/>
      <w:r>
        <w:rPr>
          <w:rFonts w:hint="eastAsia" w:ascii="仿宋" w:hAnsi="仿宋" w:eastAsia="仿宋" w:cs="仿宋"/>
          <w:highlight w:val="none"/>
        </w:rPr>
        <w:t>第七章</w:t>
      </w:r>
      <w:bookmarkEnd w:id="278"/>
      <w:bookmarkEnd w:id="279"/>
      <w:r>
        <w:rPr>
          <w:rFonts w:hint="eastAsia" w:ascii="仿宋" w:hAnsi="仿宋" w:eastAsia="仿宋" w:cs="仿宋"/>
          <w:highlight w:val="none"/>
        </w:rPr>
        <w:t xml:space="preserve"> 竞争性磋商响应文件格式</w:t>
      </w:r>
      <w:bookmarkEnd w:id="280"/>
    </w:p>
    <w:p>
      <w:pPr>
        <w:spacing w:line="540" w:lineRule="exact"/>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sz w:val="24"/>
          <w:szCs w:val="24"/>
          <w:highlight w:val="none"/>
        </w:rPr>
        <w:t>项目编号</w:t>
      </w:r>
      <w:r>
        <w:rPr>
          <w:rFonts w:hint="eastAsia" w:ascii="仿宋" w:hAnsi="仿宋" w:eastAsia="仿宋" w:cs="仿宋"/>
          <w:b/>
          <w:bCs/>
          <w:color w:val="000000" w:themeColor="text1"/>
          <w:sz w:val="24"/>
          <w:szCs w:val="24"/>
          <w:highlight w:val="none"/>
          <w14:textFill>
            <w14:solidFill>
              <w14:schemeClr w14:val="tx1"/>
            </w14:solidFill>
          </w14:textFill>
        </w:rPr>
        <w:t>：HXGJXM2022-ZC-CS1072（正本或副本）</w:t>
      </w:r>
    </w:p>
    <w:p>
      <w:pPr>
        <w:spacing w:line="360" w:lineRule="auto"/>
        <w:ind w:firstLine="420" w:firstLineChars="200"/>
        <w:rPr>
          <w:rFonts w:ascii="仿宋" w:hAnsi="仿宋" w:eastAsia="仿宋" w:cs="仿宋"/>
          <w:color w:val="000000" w:themeColor="text1"/>
          <w:highlight w:val="none"/>
          <w14:textFill>
            <w14:solidFill>
              <w14:schemeClr w14:val="tx1"/>
            </w14:solidFill>
          </w14:textFill>
        </w:rPr>
      </w:pPr>
    </w:p>
    <w:p>
      <w:pPr>
        <w:spacing w:line="360" w:lineRule="auto"/>
        <w:ind w:firstLine="420" w:firstLineChars="200"/>
        <w:rPr>
          <w:rFonts w:ascii="仿宋" w:hAnsi="仿宋" w:eastAsia="仿宋" w:cs="仿宋"/>
          <w:color w:val="000000" w:themeColor="text1"/>
          <w:highlight w:val="none"/>
          <w14:textFill>
            <w14:solidFill>
              <w14:schemeClr w14:val="tx1"/>
            </w14:solidFill>
          </w14:textFill>
        </w:rPr>
      </w:pPr>
    </w:p>
    <w:p>
      <w:pPr>
        <w:pStyle w:val="31"/>
        <w:rPr>
          <w:rFonts w:hint="default"/>
          <w:highlight w:val="none"/>
        </w:rPr>
      </w:pPr>
    </w:p>
    <w:p>
      <w:pPr>
        <w:spacing w:line="360" w:lineRule="auto"/>
        <w:jc w:val="center"/>
        <w:rPr>
          <w:rFonts w:ascii="仿宋" w:hAnsi="仿宋" w:eastAsia="仿宋" w:cs="仿宋"/>
          <w:b/>
          <w:bCs/>
          <w:color w:val="000000" w:themeColor="text1"/>
          <w:sz w:val="52"/>
          <w:szCs w:val="52"/>
          <w:highlight w:val="none"/>
          <w14:textFill>
            <w14:solidFill>
              <w14:schemeClr w14:val="tx1"/>
            </w14:solidFill>
          </w14:textFill>
        </w:rPr>
      </w:pPr>
      <w:r>
        <w:rPr>
          <w:rFonts w:hint="eastAsia" w:ascii="仿宋" w:hAnsi="仿宋" w:eastAsia="仿宋" w:cs="仿宋"/>
          <w:b/>
          <w:bCs/>
          <w:color w:val="000000" w:themeColor="text1"/>
          <w:sz w:val="52"/>
          <w:szCs w:val="52"/>
          <w:highlight w:val="none"/>
          <w14:textFill>
            <w14:solidFill>
              <w14:schemeClr w14:val="tx1"/>
            </w14:solidFill>
          </w14:textFill>
        </w:rPr>
        <w:t>郭杜派出所修缮改扩建项目</w:t>
      </w:r>
    </w:p>
    <w:p>
      <w:pPr>
        <w:pStyle w:val="31"/>
        <w:rPr>
          <w:rFonts w:hint="default"/>
          <w:highlight w:val="none"/>
        </w:rPr>
      </w:pPr>
    </w:p>
    <w:p>
      <w:pPr>
        <w:spacing w:line="360" w:lineRule="auto"/>
        <w:rPr>
          <w:rFonts w:ascii="仿宋" w:hAnsi="仿宋" w:eastAsia="仿宋" w:cs="仿宋"/>
          <w:sz w:val="72"/>
          <w:szCs w:val="72"/>
          <w:highlight w:val="none"/>
        </w:rPr>
      </w:pPr>
    </w:p>
    <w:p>
      <w:pPr>
        <w:spacing w:line="360" w:lineRule="auto"/>
        <w:jc w:val="center"/>
        <w:rPr>
          <w:rFonts w:ascii="仿宋" w:hAnsi="仿宋" w:eastAsia="仿宋" w:cs="仿宋"/>
          <w:b/>
          <w:bCs/>
          <w:sz w:val="52"/>
          <w:szCs w:val="52"/>
          <w:highlight w:val="none"/>
        </w:rPr>
      </w:pPr>
      <w:r>
        <w:rPr>
          <w:rFonts w:hint="eastAsia" w:ascii="仿宋" w:hAnsi="仿宋" w:eastAsia="仿宋" w:cs="仿宋"/>
          <w:b/>
          <w:bCs/>
          <w:sz w:val="52"/>
          <w:szCs w:val="52"/>
          <w:highlight w:val="none"/>
        </w:rPr>
        <w:t>竞争性磋商响应文件</w:t>
      </w:r>
    </w:p>
    <w:p>
      <w:pPr>
        <w:spacing w:line="360" w:lineRule="auto"/>
        <w:ind w:firstLine="420" w:firstLineChars="200"/>
        <w:rPr>
          <w:rFonts w:ascii="仿宋" w:hAnsi="仿宋" w:eastAsia="仿宋" w:cs="仿宋"/>
          <w:highlight w:val="none"/>
        </w:rPr>
      </w:pPr>
    </w:p>
    <w:p>
      <w:pPr>
        <w:spacing w:line="360" w:lineRule="auto"/>
        <w:ind w:firstLine="420" w:firstLineChars="200"/>
        <w:rPr>
          <w:rFonts w:ascii="仿宋" w:hAnsi="仿宋" w:eastAsia="仿宋" w:cs="仿宋"/>
          <w:highlight w:val="none"/>
        </w:rPr>
      </w:pPr>
    </w:p>
    <w:p>
      <w:pPr>
        <w:spacing w:line="360" w:lineRule="auto"/>
        <w:rPr>
          <w:rFonts w:ascii="仿宋" w:hAnsi="仿宋" w:eastAsia="仿宋" w:cs="仿宋"/>
          <w:highlight w:val="none"/>
        </w:rPr>
      </w:pPr>
    </w:p>
    <w:p>
      <w:pPr>
        <w:spacing w:line="360" w:lineRule="auto"/>
        <w:rPr>
          <w:rFonts w:ascii="仿宋" w:hAnsi="仿宋" w:eastAsia="仿宋" w:cs="仿宋"/>
          <w:highlight w:val="none"/>
        </w:rPr>
      </w:pPr>
    </w:p>
    <w:p>
      <w:pPr>
        <w:spacing w:line="360" w:lineRule="auto"/>
        <w:rPr>
          <w:rFonts w:ascii="仿宋" w:hAnsi="仿宋" w:eastAsia="仿宋" w:cs="仿宋"/>
          <w:highlight w:val="none"/>
        </w:rPr>
      </w:pPr>
    </w:p>
    <w:p>
      <w:pPr>
        <w:spacing w:line="360" w:lineRule="auto"/>
        <w:rPr>
          <w:rFonts w:ascii="仿宋" w:hAnsi="仿宋" w:eastAsia="仿宋" w:cs="仿宋"/>
          <w:highlight w:val="none"/>
        </w:rPr>
      </w:pPr>
    </w:p>
    <w:p>
      <w:pPr>
        <w:spacing w:line="360" w:lineRule="auto"/>
        <w:rPr>
          <w:rFonts w:ascii="仿宋" w:hAnsi="仿宋" w:eastAsia="仿宋" w:cs="仿宋"/>
          <w:highlight w:val="none"/>
        </w:rPr>
      </w:pPr>
    </w:p>
    <w:p>
      <w:pPr>
        <w:spacing w:line="360" w:lineRule="auto"/>
        <w:ind w:firstLine="420" w:firstLineChars="200"/>
        <w:rPr>
          <w:rFonts w:ascii="仿宋" w:hAnsi="仿宋" w:eastAsia="仿宋" w:cs="仿宋"/>
          <w:highlight w:val="none"/>
        </w:rPr>
      </w:pPr>
    </w:p>
    <w:p>
      <w:pPr>
        <w:spacing w:line="360" w:lineRule="auto"/>
        <w:ind w:firstLine="1124" w:firstLineChars="400"/>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供应商：（盖章）</w:t>
      </w:r>
    </w:p>
    <w:p>
      <w:pPr>
        <w:spacing w:line="360" w:lineRule="auto"/>
        <w:ind w:firstLine="1124" w:firstLineChars="400"/>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法定代表人或其委托代理人：（签字或盖章）</w:t>
      </w:r>
    </w:p>
    <w:p>
      <w:pPr>
        <w:spacing w:line="360" w:lineRule="auto"/>
        <w:ind w:firstLine="1124" w:firstLineChars="400"/>
        <w:rPr>
          <w:rFonts w:ascii="仿宋" w:hAnsi="仿宋" w:eastAsia="仿宋" w:cs="仿宋"/>
          <w:b/>
          <w:bCs/>
          <w:sz w:val="28"/>
          <w:szCs w:val="28"/>
          <w:highlight w:val="none"/>
        </w:rPr>
      </w:pPr>
      <w:r>
        <w:rPr>
          <w:rFonts w:hint="eastAsia" w:ascii="仿宋" w:hAnsi="仿宋" w:eastAsia="仿宋" w:cs="仿宋"/>
          <w:b/>
          <w:bCs/>
          <w:sz w:val="28"/>
          <w:szCs w:val="28"/>
          <w:highlight w:val="none"/>
        </w:rPr>
        <w:t>年   月    日</w:t>
      </w:r>
    </w:p>
    <w:p>
      <w:pPr>
        <w:spacing w:line="360" w:lineRule="auto"/>
        <w:jc w:val="center"/>
        <w:rPr>
          <w:rFonts w:ascii="仿宋" w:hAnsi="仿宋" w:eastAsia="仿宋" w:cs="仿宋"/>
          <w:highlight w:val="none"/>
        </w:rPr>
        <w:sectPr>
          <w:pgSz w:w="11906" w:h="16838"/>
          <w:pgMar w:top="1417" w:right="1417" w:bottom="1417" w:left="1701" w:header="851" w:footer="992" w:gutter="0"/>
          <w:pgNumType w:fmt="decimal"/>
          <w:cols w:space="0" w:num="1"/>
          <w:docGrid w:type="lines" w:linePitch="312" w:charSpace="0"/>
        </w:sectPr>
      </w:pPr>
    </w:p>
    <w:p>
      <w:pPr>
        <w:jc w:val="center"/>
        <w:rPr>
          <w:rFonts w:ascii="仿宋" w:hAnsi="仿宋" w:eastAsia="仿宋" w:cs="仿宋"/>
          <w:b/>
          <w:bCs/>
          <w:sz w:val="32"/>
          <w:szCs w:val="32"/>
          <w:highlight w:val="none"/>
        </w:rPr>
      </w:pPr>
      <w:bookmarkStart w:id="281" w:name="_Toc372885969"/>
      <w:bookmarkStart w:id="282" w:name="_Toc421778385"/>
      <w:bookmarkStart w:id="283" w:name="_Toc420591666"/>
      <w:bookmarkStart w:id="284" w:name="_Toc420591500"/>
      <w:r>
        <w:rPr>
          <w:rFonts w:hint="eastAsia" w:ascii="仿宋" w:hAnsi="仿宋" w:eastAsia="仿宋" w:cs="仿宋"/>
          <w:b/>
          <w:bCs/>
          <w:sz w:val="32"/>
          <w:szCs w:val="32"/>
          <w:highlight w:val="none"/>
        </w:rPr>
        <w:t>目  录</w:t>
      </w:r>
      <w:bookmarkEnd w:id="281"/>
      <w:bookmarkEnd w:id="282"/>
      <w:bookmarkEnd w:id="283"/>
      <w:bookmarkEnd w:id="284"/>
    </w:p>
    <w:p>
      <w:pPr>
        <w:pStyle w:val="2"/>
        <w:rPr>
          <w:rFonts w:ascii="仿宋" w:hAnsi="仿宋" w:eastAsia="仿宋" w:cs="仿宋"/>
          <w:highlight w:val="none"/>
        </w:rPr>
      </w:pPr>
    </w:p>
    <w:p>
      <w:pPr>
        <w:spacing w:line="480" w:lineRule="auto"/>
        <w:ind w:left="2310" w:leftChars="1100"/>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第一部分    商务标</w:t>
      </w:r>
    </w:p>
    <w:p>
      <w:pPr>
        <w:spacing w:line="480" w:lineRule="auto"/>
        <w:ind w:left="2310" w:leftChars="1100"/>
        <w:jc w:val="left"/>
        <w:rPr>
          <w:rFonts w:ascii="仿宋" w:hAnsi="仿宋" w:eastAsia="仿宋" w:cs="仿宋"/>
          <w:sz w:val="24"/>
          <w:szCs w:val="24"/>
          <w:highlight w:val="none"/>
        </w:rPr>
      </w:pPr>
      <w:r>
        <w:rPr>
          <w:rFonts w:hint="eastAsia" w:ascii="仿宋" w:hAnsi="仿宋" w:eastAsia="仿宋" w:cs="仿宋"/>
          <w:sz w:val="24"/>
          <w:szCs w:val="24"/>
          <w:highlight w:val="none"/>
        </w:rPr>
        <w:t>一、磋商响应函</w:t>
      </w:r>
    </w:p>
    <w:p>
      <w:pPr>
        <w:spacing w:line="480" w:lineRule="auto"/>
        <w:ind w:left="2310" w:leftChars="1100"/>
        <w:jc w:val="left"/>
        <w:rPr>
          <w:rFonts w:ascii="仿宋" w:hAnsi="仿宋" w:eastAsia="仿宋" w:cs="仿宋"/>
          <w:sz w:val="24"/>
          <w:szCs w:val="24"/>
          <w:highlight w:val="none"/>
        </w:rPr>
      </w:pPr>
      <w:r>
        <w:rPr>
          <w:rFonts w:hint="eastAsia" w:ascii="仿宋" w:hAnsi="仿宋" w:eastAsia="仿宋" w:cs="仿宋"/>
          <w:sz w:val="24"/>
          <w:szCs w:val="24"/>
          <w:highlight w:val="none"/>
        </w:rPr>
        <w:t>二、报价一览表</w:t>
      </w:r>
    </w:p>
    <w:p>
      <w:pPr>
        <w:spacing w:line="480" w:lineRule="auto"/>
        <w:ind w:left="2310" w:leftChars="1100"/>
        <w:jc w:val="left"/>
        <w:rPr>
          <w:rFonts w:ascii="仿宋" w:hAnsi="仿宋" w:eastAsia="仿宋" w:cs="仿宋"/>
          <w:sz w:val="24"/>
          <w:szCs w:val="24"/>
          <w:highlight w:val="none"/>
        </w:rPr>
      </w:pPr>
      <w:r>
        <w:rPr>
          <w:rFonts w:hint="eastAsia" w:ascii="仿宋" w:hAnsi="仿宋" w:eastAsia="仿宋" w:cs="仿宋"/>
          <w:sz w:val="24"/>
          <w:szCs w:val="24"/>
          <w:highlight w:val="none"/>
        </w:rPr>
        <w:t>三、法定代表人身份证明</w:t>
      </w:r>
    </w:p>
    <w:p>
      <w:pPr>
        <w:spacing w:line="480" w:lineRule="auto"/>
        <w:ind w:left="2310" w:leftChars="1100"/>
        <w:jc w:val="left"/>
        <w:rPr>
          <w:rFonts w:ascii="仿宋" w:hAnsi="仿宋" w:eastAsia="仿宋" w:cs="仿宋"/>
          <w:sz w:val="24"/>
          <w:szCs w:val="24"/>
          <w:highlight w:val="none"/>
        </w:rPr>
      </w:pPr>
      <w:r>
        <w:rPr>
          <w:rFonts w:hint="eastAsia" w:ascii="仿宋" w:hAnsi="仿宋" w:eastAsia="仿宋" w:cs="仿宋"/>
          <w:sz w:val="24"/>
          <w:szCs w:val="24"/>
          <w:highlight w:val="none"/>
        </w:rPr>
        <w:t>四、法人授权委托书</w:t>
      </w:r>
    </w:p>
    <w:p>
      <w:pPr>
        <w:spacing w:line="480" w:lineRule="auto"/>
        <w:ind w:left="2310" w:leftChars="1100"/>
        <w:jc w:val="left"/>
        <w:rPr>
          <w:rFonts w:ascii="仿宋" w:hAnsi="仿宋" w:eastAsia="仿宋" w:cs="仿宋"/>
          <w:sz w:val="24"/>
          <w:szCs w:val="24"/>
          <w:highlight w:val="none"/>
        </w:rPr>
      </w:pPr>
      <w:r>
        <w:rPr>
          <w:rFonts w:hint="eastAsia" w:ascii="仿宋" w:hAnsi="仿宋" w:eastAsia="仿宋" w:cs="仿宋"/>
          <w:sz w:val="24"/>
          <w:szCs w:val="24"/>
          <w:highlight w:val="none"/>
        </w:rPr>
        <w:t>五、商务响应与说明</w:t>
      </w:r>
    </w:p>
    <w:p>
      <w:pPr>
        <w:spacing w:line="48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                   六、承诺书</w:t>
      </w:r>
    </w:p>
    <w:p>
      <w:pPr>
        <w:spacing w:line="48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                   七、竞争性磋商文件要求的其他文件或承诺</w:t>
      </w:r>
    </w:p>
    <w:p>
      <w:pPr>
        <w:spacing w:line="480" w:lineRule="auto"/>
        <w:ind w:left="2310" w:leftChars="1100"/>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八、其他可以证明供应商实力的文件   </w:t>
      </w:r>
    </w:p>
    <w:p>
      <w:pPr>
        <w:spacing w:line="480" w:lineRule="auto"/>
        <w:ind w:left="2310" w:leftChars="1100"/>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第二部分    技术标</w:t>
      </w:r>
    </w:p>
    <w:p>
      <w:pPr>
        <w:spacing w:line="480" w:lineRule="auto"/>
        <w:ind w:left="2310" w:leftChars="1100"/>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第三部分    资格标</w:t>
      </w:r>
    </w:p>
    <w:p>
      <w:pPr>
        <w:spacing w:line="480" w:lineRule="auto"/>
        <w:ind w:firstLine="2400" w:firstLineChars="1000"/>
        <w:jc w:val="left"/>
        <w:rPr>
          <w:rFonts w:ascii="仿宋" w:hAnsi="仿宋" w:eastAsia="仿宋" w:cs="仿宋"/>
          <w:b/>
          <w:bCs/>
          <w:sz w:val="32"/>
          <w:szCs w:val="32"/>
          <w:highlight w:val="none"/>
        </w:rPr>
      </w:pPr>
      <w:r>
        <w:rPr>
          <w:rFonts w:hint="eastAsia" w:ascii="仿宋" w:hAnsi="仿宋" w:eastAsia="仿宋" w:cs="仿宋"/>
          <w:sz w:val="24"/>
          <w:szCs w:val="24"/>
          <w:highlight w:val="none"/>
        </w:rPr>
        <w:t>一、供应商的基本情况介绍和资格声明</w:t>
      </w:r>
    </w:p>
    <w:p>
      <w:pPr>
        <w:spacing w:line="480" w:lineRule="auto"/>
        <w:ind w:firstLine="2400" w:firstLineChars="1000"/>
        <w:jc w:val="left"/>
        <w:rPr>
          <w:rFonts w:ascii="仿宋" w:hAnsi="仿宋" w:eastAsia="仿宋" w:cs="仿宋"/>
          <w:sz w:val="24"/>
          <w:szCs w:val="24"/>
          <w:highlight w:val="none"/>
        </w:rPr>
      </w:pPr>
      <w:r>
        <w:rPr>
          <w:rFonts w:hint="eastAsia" w:ascii="仿宋" w:hAnsi="仿宋" w:eastAsia="仿宋" w:cs="仿宋"/>
          <w:sz w:val="24"/>
          <w:szCs w:val="24"/>
          <w:highlight w:val="none"/>
        </w:rPr>
        <w:t>二、供应商资格证明文件</w:t>
      </w:r>
    </w:p>
    <w:p>
      <w:pPr>
        <w:spacing w:line="480" w:lineRule="auto"/>
        <w:jc w:val="left"/>
        <w:rPr>
          <w:rFonts w:ascii="仿宋" w:hAnsi="仿宋" w:eastAsia="仿宋" w:cs="仿宋"/>
          <w:sz w:val="24"/>
          <w:szCs w:val="24"/>
          <w:highlight w:val="none"/>
        </w:rPr>
      </w:pPr>
    </w:p>
    <w:p>
      <w:pPr>
        <w:spacing w:line="480" w:lineRule="auto"/>
        <w:ind w:firstLine="2448" w:firstLineChars="1020"/>
        <w:rPr>
          <w:rFonts w:ascii="仿宋" w:hAnsi="仿宋" w:eastAsia="仿宋" w:cs="仿宋"/>
          <w:sz w:val="24"/>
          <w:szCs w:val="24"/>
          <w:highlight w:val="none"/>
        </w:rPr>
      </w:pPr>
    </w:p>
    <w:p>
      <w:pPr>
        <w:spacing w:line="480" w:lineRule="auto"/>
        <w:rPr>
          <w:rFonts w:ascii="仿宋" w:hAnsi="仿宋" w:eastAsia="仿宋" w:cs="仿宋"/>
          <w:sz w:val="24"/>
          <w:szCs w:val="24"/>
          <w:highlight w:val="none"/>
        </w:rPr>
      </w:pPr>
    </w:p>
    <w:p>
      <w:pPr>
        <w:spacing w:line="480" w:lineRule="auto"/>
        <w:ind w:left="2310" w:leftChars="1100"/>
        <w:jc w:val="left"/>
        <w:rPr>
          <w:rFonts w:ascii="仿宋" w:hAnsi="仿宋" w:eastAsia="仿宋" w:cs="仿宋"/>
          <w:b/>
          <w:bCs/>
          <w:sz w:val="24"/>
          <w:szCs w:val="24"/>
          <w:highlight w:val="none"/>
        </w:rPr>
      </w:pPr>
      <w:bookmarkStart w:id="285" w:name="_Toc420591667"/>
      <w:bookmarkStart w:id="286" w:name="_Toc32749"/>
      <w:bookmarkStart w:id="287" w:name="_Toc425240481"/>
      <w:bookmarkStart w:id="288" w:name="_Toc23278"/>
      <w:bookmarkStart w:id="289" w:name="_Toc421778386"/>
      <w:bookmarkStart w:id="290" w:name="_Toc387"/>
    </w:p>
    <w:p>
      <w:pPr>
        <w:keepLines/>
        <w:pageBreakBefore/>
        <w:jc w:val="center"/>
        <w:outlineLvl w:val="1"/>
        <w:rPr>
          <w:rFonts w:ascii="仿宋" w:hAnsi="仿宋" w:eastAsia="仿宋" w:cs="仿宋"/>
          <w:b/>
          <w:bCs/>
          <w:sz w:val="32"/>
          <w:szCs w:val="32"/>
          <w:highlight w:val="none"/>
        </w:rPr>
      </w:pPr>
      <w:bookmarkStart w:id="291" w:name="_Toc25163"/>
      <w:bookmarkStart w:id="292" w:name="_Toc5954"/>
      <w:bookmarkStart w:id="293" w:name="_Toc2725"/>
      <w:bookmarkStart w:id="294" w:name="_Toc13007"/>
      <w:r>
        <w:rPr>
          <w:rFonts w:hint="eastAsia" w:ascii="仿宋" w:hAnsi="仿宋" w:eastAsia="仿宋" w:cs="仿宋"/>
          <w:b/>
          <w:bCs/>
          <w:sz w:val="32"/>
          <w:szCs w:val="32"/>
          <w:highlight w:val="none"/>
        </w:rPr>
        <w:t>第一部分 商务标</w:t>
      </w:r>
      <w:bookmarkEnd w:id="291"/>
      <w:bookmarkEnd w:id="292"/>
      <w:bookmarkEnd w:id="293"/>
      <w:bookmarkEnd w:id="294"/>
    </w:p>
    <w:p>
      <w:pPr>
        <w:jc w:val="center"/>
        <w:outlineLvl w:val="1"/>
        <w:rPr>
          <w:rFonts w:ascii="仿宋" w:hAnsi="仿宋" w:eastAsia="仿宋" w:cs="仿宋"/>
          <w:b/>
          <w:bCs/>
          <w:sz w:val="32"/>
          <w:szCs w:val="32"/>
          <w:highlight w:val="none"/>
        </w:rPr>
      </w:pPr>
      <w:bookmarkStart w:id="295" w:name="_Toc21691"/>
      <w:bookmarkStart w:id="296" w:name="_Toc25366"/>
      <w:bookmarkStart w:id="297" w:name="_Toc24435"/>
      <w:bookmarkStart w:id="298" w:name="_Toc18887"/>
      <w:r>
        <w:rPr>
          <w:rFonts w:hint="eastAsia" w:ascii="仿宋" w:hAnsi="仿宋" w:eastAsia="仿宋" w:cs="仿宋"/>
          <w:b/>
          <w:bCs/>
          <w:sz w:val="32"/>
          <w:szCs w:val="32"/>
          <w:highlight w:val="none"/>
        </w:rPr>
        <w:t>一、</w:t>
      </w:r>
      <w:bookmarkEnd w:id="285"/>
      <w:bookmarkEnd w:id="286"/>
      <w:bookmarkEnd w:id="287"/>
      <w:bookmarkEnd w:id="288"/>
      <w:bookmarkEnd w:id="289"/>
      <w:bookmarkEnd w:id="290"/>
      <w:r>
        <w:rPr>
          <w:rFonts w:hint="eastAsia" w:ascii="仿宋" w:hAnsi="仿宋" w:eastAsia="仿宋" w:cs="仿宋"/>
          <w:b/>
          <w:bCs/>
          <w:sz w:val="32"/>
          <w:szCs w:val="32"/>
          <w:highlight w:val="none"/>
        </w:rPr>
        <w:t>磋商响应函</w:t>
      </w:r>
      <w:bookmarkEnd w:id="295"/>
      <w:bookmarkEnd w:id="296"/>
      <w:bookmarkEnd w:id="297"/>
      <w:bookmarkEnd w:id="298"/>
    </w:p>
    <w:p>
      <w:pPr>
        <w:pStyle w:val="32"/>
        <w:spacing w:before="0" w:beforeAutospacing="0" w:after="0" w:afterAutospacing="0" w:line="360" w:lineRule="auto"/>
        <w:rPr>
          <w:rFonts w:ascii="仿宋" w:hAnsi="仿宋" w:eastAsia="仿宋" w:cs="仿宋"/>
          <w:highlight w:val="none"/>
        </w:rPr>
      </w:pPr>
      <w:r>
        <w:rPr>
          <w:rFonts w:hint="eastAsia" w:ascii="仿宋" w:hAnsi="仿宋" w:eastAsia="仿宋" w:cs="仿宋"/>
          <w:highlight w:val="none"/>
        </w:rPr>
        <w:t>致：</w:t>
      </w:r>
      <w:r>
        <w:rPr>
          <w:rFonts w:hint="eastAsia" w:ascii="仿宋" w:hAnsi="仿宋" w:eastAsia="仿宋" w:cs="仿宋"/>
          <w:highlight w:val="none"/>
          <w:u w:val="single"/>
        </w:rPr>
        <w:t>（采购人）</w:t>
      </w:r>
    </w:p>
    <w:p>
      <w:pPr>
        <w:pStyle w:val="32"/>
        <w:spacing w:before="0" w:beforeAutospacing="0" w:after="0" w:afterAutospacing="0" w:line="360" w:lineRule="auto"/>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highlight w:val="none"/>
        </w:rPr>
        <w:t>1、根据已收到</w:t>
      </w:r>
      <w:r>
        <w:rPr>
          <w:rFonts w:hint="eastAsia" w:ascii="仿宋" w:hAnsi="仿宋" w:eastAsia="仿宋" w:cs="仿宋"/>
          <w:highlight w:val="none"/>
          <w:u w:val="single"/>
        </w:rPr>
        <w:t>（项目名称）（项目编号）</w:t>
      </w:r>
      <w:r>
        <w:rPr>
          <w:rFonts w:hint="eastAsia" w:ascii="仿宋" w:hAnsi="仿宋" w:eastAsia="仿宋" w:cs="仿宋"/>
          <w:highlight w:val="none"/>
        </w:rPr>
        <w:t>的竞争性磋商文件，遵照《中华人民共和国政府采购法》及实施条例和关于印发《政府采购竞争性磋商采购方式管理暂行办法》的通知（财库〔2014〕214号）等有关规定，经踏勘本项目现场、参加答疑会议和仔细</w:t>
      </w:r>
      <w:r>
        <w:rPr>
          <w:rFonts w:hint="eastAsia" w:ascii="仿宋" w:hAnsi="仿宋" w:eastAsia="仿宋" w:cs="仿宋"/>
          <w:color w:val="000000" w:themeColor="text1"/>
          <w:highlight w:val="none"/>
          <w14:textFill>
            <w14:solidFill>
              <w14:schemeClr w14:val="tx1"/>
            </w14:solidFill>
          </w14:textFill>
        </w:rPr>
        <w:t>研究本工程竞争性磋商文件、答疑纪要、合同条款、图纸、工程量清单及其他有关文件后，我方愿以人民币</w:t>
      </w:r>
      <w:r>
        <w:rPr>
          <w:rFonts w:hint="eastAsia" w:ascii="仿宋" w:hAnsi="仿宋" w:eastAsia="仿宋" w:cs="仿宋"/>
          <w:color w:val="000000" w:themeColor="text1"/>
          <w:highlight w:val="none"/>
          <w:u w:val="single"/>
          <w14:textFill>
            <w14:solidFill>
              <w14:schemeClr w14:val="tx1"/>
            </w14:solidFill>
          </w14:textFill>
        </w:rPr>
        <w:t xml:space="preserve">（大写）   </w:t>
      </w:r>
      <w:r>
        <w:rPr>
          <w:rFonts w:hint="eastAsia" w:ascii="仿宋" w:hAnsi="仿宋" w:eastAsia="仿宋" w:cs="仿宋"/>
          <w:color w:val="000000" w:themeColor="text1"/>
          <w:highlight w:val="none"/>
          <w14:textFill>
            <w14:solidFill>
              <w14:schemeClr w14:val="tx1"/>
            </w14:solidFill>
          </w14:textFill>
        </w:rPr>
        <w:t>元（</w:t>
      </w:r>
      <w:r>
        <w:rPr>
          <w:rFonts w:hint="eastAsia" w:ascii="仿宋" w:hAnsi="仿宋" w:eastAsia="仿宋" w:cs="仿宋"/>
          <w:color w:val="000000" w:themeColor="text1"/>
          <w:highlight w:val="none"/>
          <w:u w:val="single"/>
          <w14:textFill>
            <w14:solidFill>
              <w14:schemeClr w14:val="tx1"/>
            </w14:solidFill>
          </w14:textFill>
        </w:rPr>
        <w:t xml:space="preserve">￥     元 </w:t>
      </w:r>
      <w:r>
        <w:rPr>
          <w:rFonts w:hint="eastAsia" w:ascii="仿宋" w:hAnsi="仿宋" w:eastAsia="仿宋" w:cs="仿宋"/>
          <w:color w:val="000000" w:themeColor="text1"/>
          <w:highlight w:val="none"/>
          <w14:textFill>
            <w14:solidFill>
              <w14:schemeClr w14:val="tx1"/>
            </w14:solidFill>
          </w14:textFill>
        </w:rPr>
        <w:t>）的磋商总报价，按</w:t>
      </w:r>
      <w:r>
        <w:rPr>
          <w:rFonts w:hint="eastAsia" w:ascii="仿宋" w:hAnsi="仿宋" w:eastAsia="仿宋" w:cs="仿宋"/>
          <w:color w:val="000000" w:themeColor="text1"/>
          <w:highlight w:val="none"/>
          <w:u w:val="single"/>
          <w14:textFill>
            <w14:solidFill>
              <w14:schemeClr w14:val="tx1"/>
            </w14:solidFill>
          </w14:textFill>
        </w:rPr>
        <w:t>（项目名称）（项目编号）</w:t>
      </w:r>
      <w:r>
        <w:rPr>
          <w:rFonts w:hint="eastAsia" w:ascii="仿宋" w:hAnsi="仿宋" w:eastAsia="仿宋" w:cs="仿宋"/>
          <w:color w:val="000000" w:themeColor="text1"/>
          <w:highlight w:val="none"/>
          <w14:textFill>
            <w14:solidFill>
              <w14:schemeClr w14:val="tx1"/>
            </w14:solidFill>
          </w14:textFill>
        </w:rPr>
        <w:t>竞争性磋商文件、答疑纪要、合同条款、工程量清单及其他有关文件等承包本工程的施工、竣工和保修，并承担任何质量缺陷保修责任。</w:t>
      </w:r>
    </w:p>
    <w:p>
      <w:pPr>
        <w:pStyle w:val="32"/>
        <w:spacing w:before="0" w:beforeAutospacing="0" w:after="0" w:afterAutospacing="0" w:line="360" w:lineRule="auto"/>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2、我方已详细审核全部竞争性磋商文件及有关附件、工程现场条件、答疑纪要、补遗书等文件。</w:t>
      </w:r>
    </w:p>
    <w:p>
      <w:pPr>
        <w:pStyle w:val="32"/>
        <w:spacing w:before="0" w:beforeAutospacing="0" w:after="0" w:afterAutospacing="0" w:line="360" w:lineRule="auto"/>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3、该报价是完成本竞争性磋商文件规定的、所需的一切费用，且不低于我单位工程施工的成本价。</w:t>
      </w:r>
    </w:p>
    <w:p>
      <w:pPr>
        <w:pStyle w:val="32"/>
        <w:spacing w:before="0" w:beforeAutospacing="0" w:after="0" w:afterAutospacing="0" w:line="360" w:lineRule="auto"/>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4、如果我方成交，我方保证在</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日历天内完工，并确保工程质量达到标准。拟派项目经理</w:t>
      </w:r>
      <w:r>
        <w:rPr>
          <w:rFonts w:hint="eastAsia" w:ascii="仿宋" w:hAnsi="仿宋" w:eastAsia="仿宋" w:cs="仿宋"/>
          <w:color w:val="000000" w:themeColor="text1"/>
          <w:highlight w:val="none"/>
          <w:u w:val="single"/>
          <w14:textFill>
            <w14:solidFill>
              <w14:schemeClr w14:val="tx1"/>
            </w14:solidFill>
          </w14:textFill>
        </w:rPr>
        <w:t>    </w:t>
      </w:r>
      <w:r>
        <w:rPr>
          <w:rFonts w:hint="eastAsia" w:ascii="仿宋" w:hAnsi="仿宋" w:eastAsia="仿宋" w:cs="仿宋"/>
          <w:color w:val="000000" w:themeColor="text1"/>
          <w:highlight w:val="none"/>
          <w14:textFill>
            <w14:solidFill>
              <w14:schemeClr w14:val="tx1"/>
            </w14:solidFill>
          </w14:textFill>
        </w:rPr>
        <w:t>，证书编号</w:t>
      </w:r>
      <w:r>
        <w:rPr>
          <w:rFonts w:hint="eastAsia" w:ascii="仿宋" w:hAnsi="仿宋" w:eastAsia="仿宋" w:cs="仿宋"/>
          <w:color w:val="000000" w:themeColor="text1"/>
          <w:highlight w:val="none"/>
          <w:u w:val="single"/>
          <w14:textFill>
            <w14:solidFill>
              <w14:schemeClr w14:val="tx1"/>
            </w14:solidFill>
          </w14:textFill>
        </w:rPr>
        <w:t>    </w:t>
      </w:r>
      <w:r>
        <w:rPr>
          <w:rFonts w:hint="eastAsia" w:ascii="仿宋" w:hAnsi="仿宋" w:eastAsia="仿宋" w:cs="仿宋"/>
          <w:color w:val="000000" w:themeColor="text1"/>
          <w:highlight w:val="none"/>
          <w14:textFill>
            <w14:solidFill>
              <w14:schemeClr w14:val="tx1"/>
            </w14:solidFill>
          </w14:textFill>
        </w:rPr>
        <w:t>。我方同意本磋商响应函在竞争性磋商文件规定的提交竞争性磋商响应文件截止时间后，在竞争性磋商文件规定的磋商有效期期满前对我方具有约束力，且随时准备接受你方发出的成交通知书。</w:t>
      </w:r>
    </w:p>
    <w:p>
      <w:pPr>
        <w:pStyle w:val="32"/>
        <w:spacing w:before="0" w:beforeAutospacing="0" w:after="0" w:afterAutospacing="0" w:line="360" w:lineRule="auto"/>
        <w:ind w:firstLine="480" w:firstLineChars="200"/>
        <w:rPr>
          <w:rFonts w:ascii="仿宋" w:hAnsi="仿宋" w:eastAsia="仿宋" w:cs="仿宋"/>
          <w:highlight w:val="none"/>
        </w:rPr>
      </w:pPr>
      <w:r>
        <w:rPr>
          <w:rFonts w:hint="eastAsia" w:ascii="仿宋" w:hAnsi="仿宋" w:eastAsia="仿宋" w:cs="仿宋"/>
          <w:highlight w:val="none"/>
        </w:rPr>
        <w:t>5、如果我方成交，我方将按照采购人规定时间足额提交合同履约保证金。</w:t>
      </w:r>
    </w:p>
    <w:p>
      <w:pPr>
        <w:pStyle w:val="32"/>
        <w:spacing w:before="0" w:beforeAutospacing="0" w:after="0" w:afterAutospacing="0" w:line="360" w:lineRule="auto"/>
        <w:ind w:firstLine="480" w:firstLineChars="200"/>
        <w:rPr>
          <w:rFonts w:ascii="仿宋" w:hAnsi="仿宋" w:eastAsia="仿宋" w:cs="仿宋"/>
          <w:highlight w:val="none"/>
        </w:rPr>
      </w:pPr>
      <w:r>
        <w:rPr>
          <w:rFonts w:hint="eastAsia" w:ascii="仿宋" w:hAnsi="仿宋" w:eastAsia="仿宋" w:cs="仿宋"/>
          <w:highlight w:val="none"/>
        </w:rPr>
        <w:t>6、我方保证递交的本工程相关资料和磋商响应函中各种附件是真实可靠的，如有不实，我方将无条件接受采购人的处理决定，甚至自动退出磋商，由此产生的一切后果均由我方负责。</w:t>
      </w:r>
    </w:p>
    <w:p>
      <w:pPr>
        <w:pStyle w:val="32"/>
        <w:spacing w:before="0" w:beforeAutospacing="0" w:after="0" w:afterAutospacing="0" w:line="360" w:lineRule="auto"/>
        <w:ind w:firstLine="480" w:firstLineChars="200"/>
        <w:rPr>
          <w:rFonts w:ascii="仿宋" w:hAnsi="仿宋" w:eastAsia="仿宋" w:cs="仿宋"/>
          <w:highlight w:val="none"/>
        </w:rPr>
      </w:pPr>
      <w:r>
        <w:rPr>
          <w:rFonts w:hint="eastAsia" w:ascii="仿宋" w:hAnsi="仿宋" w:eastAsia="仿宋" w:cs="仿宋"/>
          <w:highlight w:val="none"/>
        </w:rPr>
        <w:t>7、除非另外达成协议并生效，你方的成交通知书和本竞争性磋商响应文件将构成约束我们双方的合同。</w:t>
      </w:r>
    </w:p>
    <w:p>
      <w:pPr>
        <w:pStyle w:val="32"/>
        <w:spacing w:before="0" w:beforeAutospacing="0" w:after="0" w:afterAutospacing="0" w:line="360" w:lineRule="auto"/>
        <w:ind w:firstLine="480" w:firstLineChars="200"/>
        <w:rPr>
          <w:rStyle w:val="38"/>
          <w:rFonts w:ascii="仿宋" w:hAnsi="仿宋" w:eastAsia="仿宋" w:cs="仿宋"/>
          <w:b w:val="0"/>
          <w:bCs w:val="0"/>
          <w:highlight w:val="none"/>
        </w:rPr>
      </w:pPr>
      <w:r>
        <w:rPr>
          <w:rFonts w:hint="eastAsia" w:ascii="仿宋" w:hAnsi="仿宋" w:eastAsia="仿宋" w:cs="仿宋"/>
          <w:highlight w:val="none"/>
        </w:rPr>
        <w:t>8、我方的竞争性磋商响应文件在磋商后</w:t>
      </w:r>
      <w:r>
        <w:rPr>
          <w:rFonts w:hint="eastAsia" w:ascii="仿宋" w:hAnsi="仿宋" w:eastAsia="仿宋" w:cs="仿宋"/>
          <w:highlight w:val="none"/>
          <w:u w:val="single"/>
        </w:rPr>
        <w:t xml:space="preserve">     天</w:t>
      </w:r>
      <w:r>
        <w:rPr>
          <w:rFonts w:hint="eastAsia" w:ascii="仿宋" w:hAnsi="仿宋" w:eastAsia="仿宋" w:cs="仿宋"/>
          <w:highlight w:val="none"/>
        </w:rPr>
        <w:t>有效，在磋商有效期内不修改或撤回竞争性磋商响应文件。</w:t>
      </w:r>
    </w:p>
    <w:p>
      <w:pPr>
        <w:pStyle w:val="32"/>
        <w:spacing w:before="0" w:beforeAutospacing="0" w:after="0" w:afterAutospacing="0" w:line="360" w:lineRule="auto"/>
        <w:ind w:firstLine="480" w:firstLineChars="200"/>
        <w:rPr>
          <w:rFonts w:ascii="仿宋" w:hAnsi="仿宋" w:eastAsia="仿宋" w:cs="仿宋"/>
          <w:highlight w:val="none"/>
        </w:rPr>
      </w:pPr>
      <w:r>
        <w:rPr>
          <w:rFonts w:hint="eastAsia" w:ascii="仿宋" w:hAnsi="仿宋" w:eastAsia="仿宋" w:cs="仿宋"/>
          <w:highlight w:val="none"/>
        </w:rPr>
        <w:t>9、我方理解你方及采购代理机构不另负担我们的任何磋商费用，无论我方总报价中是否包括磋商费用，也无论是否能够成交，均不要求你方及采购代理机构对磋商费用做任何补偿。</w:t>
      </w:r>
    </w:p>
    <w:p>
      <w:pPr>
        <w:pStyle w:val="32"/>
        <w:spacing w:before="0" w:beforeAutospacing="0" w:after="0" w:afterAutospacing="0" w:line="360" w:lineRule="auto"/>
        <w:ind w:firstLine="480" w:firstLineChars="200"/>
        <w:rPr>
          <w:rFonts w:ascii="仿宋" w:hAnsi="仿宋" w:eastAsia="仿宋" w:cs="仿宋"/>
          <w:highlight w:val="none"/>
        </w:rPr>
      </w:pPr>
      <w:r>
        <w:rPr>
          <w:rFonts w:hint="eastAsia" w:ascii="仿宋" w:hAnsi="仿宋" w:eastAsia="仿宋" w:cs="仿宋"/>
          <w:highlight w:val="none"/>
        </w:rPr>
        <w:t>10、我方理解你方及采购代理机构，我方不要求你方及采购代理机构对未成交原因做任何解释，也不退回竞争性磋商响应文件。</w:t>
      </w:r>
    </w:p>
    <w:p>
      <w:pPr>
        <w:pStyle w:val="32"/>
        <w:spacing w:before="0" w:beforeAutospacing="0" w:after="0" w:afterAutospacing="0" w:line="360" w:lineRule="auto"/>
        <w:ind w:firstLine="480" w:firstLineChars="200"/>
        <w:rPr>
          <w:rFonts w:ascii="仿宋" w:hAnsi="仿宋" w:eastAsia="仿宋" w:cs="仿宋"/>
          <w:highlight w:val="none"/>
        </w:rPr>
      </w:pPr>
      <w:r>
        <w:rPr>
          <w:rFonts w:hint="eastAsia" w:ascii="仿宋" w:hAnsi="仿宋" w:eastAsia="仿宋" w:cs="仿宋"/>
          <w:highlight w:val="none"/>
        </w:rPr>
        <w:t>11、如果因我方原因放弃成交，我方承诺，将按照政府采购相关规定承担相应的责任。</w:t>
      </w:r>
    </w:p>
    <w:p>
      <w:pPr>
        <w:pStyle w:val="32"/>
        <w:spacing w:before="0" w:beforeAutospacing="0" w:after="0" w:afterAutospacing="0" w:line="360" w:lineRule="auto"/>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12、若我方成交，将按时按规定缴纳招标代理服务费。</w:t>
      </w:r>
    </w:p>
    <w:p>
      <w:pPr>
        <w:pStyle w:val="32"/>
        <w:spacing w:before="0" w:beforeAutospacing="0" w:after="0" w:afterAutospacing="0" w:line="360" w:lineRule="auto"/>
        <w:ind w:firstLine="480" w:firstLineChars="200"/>
        <w:rPr>
          <w:rFonts w:ascii="仿宋" w:hAnsi="仿宋" w:eastAsia="仿宋" w:cs="仿宋"/>
          <w:highlight w:val="none"/>
        </w:rPr>
      </w:pPr>
    </w:p>
    <w:p>
      <w:pPr>
        <w:pStyle w:val="32"/>
        <w:spacing w:before="0" w:beforeAutospacing="0" w:after="0" w:afterAutospacing="0" w:line="360" w:lineRule="auto"/>
        <w:ind w:firstLine="480" w:firstLineChars="200"/>
        <w:rPr>
          <w:rFonts w:ascii="仿宋" w:hAnsi="仿宋" w:eastAsia="仿宋" w:cs="仿宋"/>
          <w:highlight w:val="none"/>
        </w:rPr>
      </w:pPr>
    </w:p>
    <w:p>
      <w:pPr>
        <w:pStyle w:val="32"/>
        <w:spacing w:before="0" w:beforeAutospacing="0" w:after="0" w:afterAutospacing="0" w:line="480" w:lineRule="auto"/>
        <w:ind w:firstLine="480" w:firstLineChars="200"/>
        <w:rPr>
          <w:rFonts w:ascii="仿宋" w:hAnsi="仿宋" w:eastAsia="仿宋" w:cs="仿宋"/>
          <w:highlight w:val="none"/>
        </w:rPr>
      </w:pPr>
      <w:r>
        <w:rPr>
          <w:rFonts w:hint="eastAsia" w:ascii="仿宋" w:hAnsi="仿宋" w:eastAsia="仿宋" w:cs="仿宋"/>
          <w:highlight w:val="none"/>
        </w:rPr>
        <w:t>供应商：（盖章）</w:t>
      </w:r>
    </w:p>
    <w:p>
      <w:pPr>
        <w:pStyle w:val="32"/>
        <w:spacing w:before="0" w:beforeAutospacing="0" w:after="0" w:afterAutospacing="0" w:line="480" w:lineRule="auto"/>
        <w:ind w:firstLine="480" w:firstLineChars="200"/>
        <w:rPr>
          <w:rFonts w:ascii="仿宋" w:hAnsi="仿宋" w:eastAsia="仿宋" w:cs="仿宋"/>
          <w:highlight w:val="none"/>
        </w:rPr>
      </w:pPr>
      <w:r>
        <w:rPr>
          <w:rFonts w:hint="eastAsia" w:ascii="仿宋" w:hAnsi="仿宋" w:eastAsia="仿宋" w:cs="仿宋"/>
          <w:highlight w:val="none"/>
        </w:rPr>
        <w:t>供应商电话：</w:t>
      </w:r>
    </w:p>
    <w:p>
      <w:pPr>
        <w:pStyle w:val="32"/>
        <w:spacing w:before="0" w:beforeAutospacing="0" w:after="0" w:afterAutospacing="0" w:line="480" w:lineRule="auto"/>
        <w:ind w:firstLine="480" w:firstLineChars="200"/>
        <w:rPr>
          <w:rFonts w:ascii="仿宋" w:hAnsi="仿宋" w:eastAsia="仿宋" w:cs="仿宋"/>
          <w:highlight w:val="none"/>
        </w:rPr>
      </w:pPr>
      <w:r>
        <w:rPr>
          <w:rFonts w:hint="eastAsia" w:ascii="仿宋" w:hAnsi="仿宋" w:eastAsia="仿宋" w:cs="仿宋"/>
          <w:highlight w:val="none"/>
        </w:rPr>
        <w:t>法人代表或委托代理人：       （签字或盖章）</w:t>
      </w:r>
    </w:p>
    <w:p>
      <w:pPr>
        <w:pStyle w:val="32"/>
        <w:spacing w:before="0" w:beforeAutospacing="0" w:after="0" w:afterAutospacing="0" w:line="480" w:lineRule="auto"/>
        <w:ind w:firstLine="480" w:firstLineChars="200"/>
        <w:rPr>
          <w:rFonts w:ascii="仿宋" w:hAnsi="仿宋" w:eastAsia="仿宋" w:cs="仿宋"/>
          <w:highlight w:val="none"/>
        </w:rPr>
      </w:pPr>
      <w:r>
        <w:rPr>
          <w:rFonts w:hint="eastAsia" w:ascii="仿宋" w:hAnsi="仿宋" w:eastAsia="仿宋" w:cs="仿宋"/>
          <w:highlight w:val="none"/>
        </w:rPr>
        <w:t>供应商地址:</w:t>
      </w:r>
    </w:p>
    <w:p>
      <w:pPr>
        <w:pStyle w:val="32"/>
        <w:spacing w:before="0" w:beforeAutospacing="0" w:after="0" w:afterAutospacing="0" w:line="480" w:lineRule="auto"/>
        <w:ind w:firstLine="480" w:firstLineChars="200"/>
        <w:rPr>
          <w:rFonts w:ascii="仿宋" w:hAnsi="仿宋" w:eastAsia="仿宋" w:cs="仿宋"/>
          <w:highlight w:val="none"/>
        </w:rPr>
      </w:pPr>
      <w:r>
        <w:rPr>
          <w:rFonts w:hint="eastAsia" w:ascii="仿宋" w:hAnsi="仿宋" w:eastAsia="仿宋" w:cs="仿宋"/>
          <w:highlight w:val="none"/>
        </w:rPr>
        <w:t>日期：年　月　日</w:t>
      </w:r>
    </w:p>
    <w:p>
      <w:pPr>
        <w:pStyle w:val="32"/>
        <w:spacing w:before="0" w:beforeAutospacing="0" w:after="0" w:afterAutospacing="0" w:line="360" w:lineRule="auto"/>
        <w:ind w:firstLine="480" w:firstLineChars="200"/>
        <w:rPr>
          <w:rFonts w:ascii="仿宋" w:hAnsi="仿宋" w:eastAsia="仿宋" w:cs="仿宋"/>
          <w:highlight w:val="none"/>
        </w:rPr>
      </w:pPr>
    </w:p>
    <w:p>
      <w:pPr>
        <w:pStyle w:val="32"/>
        <w:spacing w:before="0" w:beforeAutospacing="0" w:after="0" w:afterAutospacing="0" w:line="360" w:lineRule="auto"/>
        <w:ind w:firstLine="480" w:firstLineChars="200"/>
        <w:rPr>
          <w:rFonts w:ascii="仿宋" w:hAnsi="仿宋" w:eastAsia="仿宋" w:cs="仿宋"/>
          <w:highlight w:val="none"/>
        </w:rPr>
      </w:pPr>
    </w:p>
    <w:p>
      <w:pPr>
        <w:keepLines/>
        <w:pageBreakBefore/>
        <w:jc w:val="center"/>
        <w:outlineLvl w:val="1"/>
        <w:rPr>
          <w:rFonts w:ascii="仿宋" w:hAnsi="仿宋" w:eastAsia="仿宋" w:cs="仿宋"/>
          <w:b/>
          <w:bCs/>
          <w:sz w:val="32"/>
          <w:szCs w:val="32"/>
          <w:highlight w:val="none"/>
        </w:rPr>
      </w:pPr>
      <w:bookmarkStart w:id="299" w:name="_Toc421778387"/>
      <w:bookmarkStart w:id="300" w:name="_Toc425240482"/>
      <w:bookmarkStart w:id="301" w:name="_Toc32443"/>
      <w:bookmarkStart w:id="302" w:name="_Toc11697"/>
      <w:bookmarkStart w:id="303" w:name="_Toc3816"/>
      <w:bookmarkStart w:id="304" w:name="_Toc420591668"/>
      <w:bookmarkStart w:id="305" w:name="_Toc3994"/>
      <w:bookmarkStart w:id="306" w:name="_Toc23344"/>
      <w:bookmarkStart w:id="307" w:name="_Toc13209"/>
      <w:bookmarkStart w:id="308" w:name="_Toc1897"/>
      <w:r>
        <w:rPr>
          <w:rFonts w:hint="eastAsia" w:ascii="仿宋" w:hAnsi="仿宋" w:eastAsia="仿宋" w:cs="仿宋"/>
          <w:b/>
          <w:bCs/>
          <w:sz w:val="32"/>
          <w:szCs w:val="32"/>
          <w:highlight w:val="none"/>
        </w:rPr>
        <w:t>二、</w:t>
      </w:r>
      <w:bookmarkEnd w:id="299"/>
      <w:bookmarkEnd w:id="300"/>
      <w:bookmarkEnd w:id="301"/>
      <w:bookmarkEnd w:id="302"/>
      <w:bookmarkEnd w:id="303"/>
      <w:bookmarkEnd w:id="304"/>
      <w:bookmarkEnd w:id="305"/>
      <w:r>
        <w:rPr>
          <w:rFonts w:hint="eastAsia" w:ascii="仿宋" w:hAnsi="仿宋" w:eastAsia="仿宋" w:cs="仿宋"/>
          <w:b/>
          <w:bCs/>
          <w:sz w:val="32"/>
          <w:szCs w:val="32"/>
          <w:highlight w:val="none"/>
        </w:rPr>
        <w:t>报价一览表</w:t>
      </w:r>
      <w:bookmarkEnd w:id="306"/>
      <w:bookmarkEnd w:id="307"/>
      <w:bookmarkEnd w:id="308"/>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项目名称：</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项目编号：</w:t>
      </w:r>
    </w:p>
    <w:tbl>
      <w:tblPr>
        <w:tblStyle w:val="3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2018" w:type="dxa"/>
            <w:vMerge w:val="restart"/>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磋商总报价（元）</w:t>
            </w:r>
          </w:p>
        </w:tc>
        <w:tc>
          <w:tcPr>
            <w:tcW w:w="6501"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2018" w:type="dxa"/>
            <w:vMerge w:val="continue"/>
            <w:vAlign w:val="center"/>
          </w:tcPr>
          <w:p>
            <w:pPr>
              <w:jc w:val="center"/>
              <w:rPr>
                <w:rFonts w:ascii="仿宋" w:hAnsi="仿宋" w:eastAsia="仿宋" w:cs="仿宋"/>
                <w:color w:val="000000" w:themeColor="text1"/>
                <w:sz w:val="24"/>
                <w:szCs w:val="24"/>
                <w:highlight w:val="none"/>
                <w14:textFill>
                  <w14:solidFill>
                    <w14:schemeClr w14:val="tx1"/>
                  </w14:solidFill>
                </w14:textFill>
              </w:rPr>
            </w:pPr>
          </w:p>
        </w:tc>
        <w:tc>
          <w:tcPr>
            <w:tcW w:w="6501"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8" w:hRule="atLeast"/>
          <w:jc w:val="center"/>
        </w:trPr>
        <w:tc>
          <w:tcPr>
            <w:tcW w:w="2018" w:type="dxa"/>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质量标准</w:t>
            </w:r>
          </w:p>
        </w:tc>
        <w:tc>
          <w:tcPr>
            <w:tcW w:w="6501" w:type="dxa"/>
            <w:vAlign w:val="center"/>
          </w:tcPr>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2018" w:type="dxa"/>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工期</w:t>
            </w:r>
          </w:p>
        </w:tc>
        <w:tc>
          <w:tcPr>
            <w:tcW w:w="6501" w:type="dxa"/>
            <w:vAlign w:val="center"/>
          </w:tcPr>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2018" w:type="dxa"/>
            <w:vAlign w:val="center"/>
          </w:tcPr>
          <w:p>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项目经理</w:t>
            </w:r>
          </w:p>
        </w:tc>
        <w:tc>
          <w:tcPr>
            <w:tcW w:w="6501" w:type="dxa"/>
            <w:vAlign w:val="center"/>
          </w:tcPr>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2018"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备注</w:t>
            </w:r>
          </w:p>
        </w:tc>
        <w:tc>
          <w:tcPr>
            <w:tcW w:w="6501" w:type="dxa"/>
            <w:vAlign w:val="center"/>
          </w:tcPr>
          <w:p>
            <w:pPr>
              <w:rPr>
                <w:rFonts w:ascii="仿宋" w:hAnsi="仿宋" w:eastAsia="仿宋" w:cs="仿宋"/>
                <w:sz w:val="24"/>
                <w:szCs w:val="24"/>
                <w:highlight w:val="none"/>
              </w:rPr>
            </w:pPr>
          </w:p>
        </w:tc>
      </w:tr>
    </w:tbl>
    <w:p>
      <w:pPr>
        <w:spacing w:line="120" w:lineRule="exact"/>
        <w:rPr>
          <w:rFonts w:ascii="仿宋" w:hAnsi="仿宋" w:eastAsia="仿宋" w:cs="仿宋"/>
          <w:sz w:val="24"/>
          <w:szCs w:val="24"/>
          <w:highlight w:val="none"/>
        </w:rPr>
      </w:pPr>
    </w:p>
    <w:p>
      <w:pPr>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注：1、以上表内报价内容以元为单位，保留小数点后两位。</w:t>
      </w:r>
    </w:p>
    <w:p>
      <w:pPr>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 xml:space="preserve">    2、本表应按“供应商须知”的规定密封单独提交。</w:t>
      </w:r>
    </w:p>
    <w:p>
      <w:pPr>
        <w:spacing w:line="280" w:lineRule="exact"/>
        <w:ind w:right="540" w:rightChars="257" w:firstLine="4440" w:firstLineChars="1850"/>
        <w:jc w:val="left"/>
        <w:rPr>
          <w:rFonts w:ascii="仿宋" w:hAnsi="仿宋" w:eastAsia="仿宋" w:cs="仿宋"/>
          <w:sz w:val="24"/>
          <w:szCs w:val="24"/>
          <w:highlight w:val="none"/>
        </w:rPr>
      </w:pPr>
    </w:p>
    <w:p>
      <w:pPr>
        <w:spacing w:line="280" w:lineRule="exact"/>
        <w:ind w:right="540" w:rightChars="257" w:firstLine="4440" w:firstLineChars="1850"/>
        <w:jc w:val="left"/>
        <w:rPr>
          <w:rFonts w:ascii="仿宋" w:hAnsi="仿宋" w:eastAsia="仿宋" w:cs="仿宋"/>
          <w:sz w:val="24"/>
          <w:szCs w:val="24"/>
          <w:highlight w:val="none"/>
        </w:rPr>
      </w:pPr>
    </w:p>
    <w:p>
      <w:pPr>
        <w:spacing w:line="280" w:lineRule="exact"/>
        <w:ind w:right="540" w:rightChars="257" w:firstLine="4440" w:firstLineChars="1850"/>
        <w:jc w:val="left"/>
        <w:rPr>
          <w:rFonts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（加盖单位公章）</w:t>
      </w:r>
    </w:p>
    <w:p>
      <w:pPr>
        <w:spacing w:line="280" w:lineRule="exact"/>
        <w:ind w:right="540" w:rightChars="257" w:firstLine="360" w:firstLineChars="150"/>
        <w:jc w:val="left"/>
        <w:rPr>
          <w:rFonts w:ascii="仿宋" w:hAnsi="仿宋" w:eastAsia="仿宋" w:cs="仿宋"/>
          <w:sz w:val="24"/>
          <w:szCs w:val="24"/>
          <w:highlight w:val="none"/>
        </w:rPr>
      </w:pPr>
    </w:p>
    <w:p>
      <w:pPr>
        <w:spacing w:line="280" w:lineRule="exact"/>
        <w:ind w:right="540" w:rightChars="257" w:firstLine="4440" w:firstLineChars="1850"/>
        <w:jc w:val="left"/>
        <w:rPr>
          <w:rFonts w:ascii="仿宋" w:hAnsi="仿宋" w:eastAsia="仿宋" w:cs="仿宋"/>
          <w:sz w:val="24"/>
          <w:szCs w:val="24"/>
          <w:highlight w:val="none"/>
        </w:rPr>
      </w:pPr>
    </w:p>
    <w:p>
      <w:pPr>
        <w:spacing w:line="280" w:lineRule="exact"/>
        <w:ind w:right="540" w:rightChars="257" w:firstLine="4440" w:firstLineChars="1850"/>
        <w:jc w:val="left"/>
        <w:rPr>
          <w:rFonts w:ascii="仿宋" w:hAnsi="仿宋" w:eastAsia="仿宋" w:cs="仿宋"/>
          <w:sz w:val="24"/>
          <w:szCs w:val="24"/>
          <w:highlight w:val="none"/>
        </w:rPr>
      </w:pPr>
      <w:r>
        <w:rPr>
          <w:rFonts w:hint="eastAsia" w:ascii="仿宋" w:hAnsi="仿宋" w:eastAsia="仿宋" w:cs="仿宋"/>
          <w:sz w:val="24"/>
          <w:szCs w:val="24"/>
          <w:highlight w:val="none"/>
        </w:rPr>
        <w:t>法定代表人/被授权人签字或盖章：</w:t>
      </w:r>
    </w:p>
    <w:p>
      <w:pPr>
        <w:spacing w:line="280" w:lineRule="exact"/>
        <w:ind w:right="540" w:rightChars="257" w:firstLine="4440" w:firstLineChars="1850"/>
        <w:jc w:val="left"/>
        <w:rPr>
          <w:rFonts w:ascii="仿宋" w:hAnsi="仿宋" w:eastAsia="仿宋" w:cs="仿宋"/>
          <w:sz w:val="24"/>
          <w:szCs w:val="24"/>
          <w:highlight w:val="none"/>
        </w:rPr>
      </w:pPr>
    </w:p>
    <w:p>
      <w:pPr>
        <w:spacing w:line="280" w:lineRule="exact"/>
        <w:ind w:right="540" w:rightChars="257"/>
        <w:jc w:val="left"/>
        <w:rPr>
          <w:rFonts w:ascii="仿宋" w:hAnsi="仿宋" w:eastAsia="仿宋" w:cs="仿宋"/>
          <w:sz w:val="24"/>
          <w:szCs w:val="24"/>
          <w:highlight w:val="none"/>
        </w:rPr>
      </w:pPr>
    </w:p>
    <w:p>
      <w:pPr>
        <w:spacing w:line="280" w:lineRule="exact"/>
        <w:ind w:right="540" w:rightChars="257" w:firstLine="4440" w:firstLineChars="1850"/>
        <w:rPr>
          <w:rFonts w:ascii="仿宋" w:hAnsi="仿宋" w:eastAsia="仿宋" w:cs="仿宋"/>
          <w:sz w:val="24"/>
          <w:szCs w:val="24"/>
          <w:highlight w:val="none"/>
        </w:rPr>
      </w:pPr>
      <w:r>
        <w:rPr>
          <w:rFonts w:hint="eastAsia" w:ascii="仿宋" w:hAnsi="仿宋" w:eastAsia="仿宋" w:cs="仿宋"/>
          <w:sz w:val="24"/>
          <w:szCs w:val="24"/>
          <w:highlight w:val="none"/>
        </w:rPr>
        <w:t>日期：    年   月   日</w:t>
      </w:r>
    </w:p>
    <w:p>
      <w:pPr>
        <w:pStyle w:val="31"/>
        <w:rPr>
          <w:rFonts w:hint="default" w:ascii="仿宋" w:hAnsi="仿宋" w:eastAsia="仿宋" w:cs="仿宋"/>
          <w:sz w:val="24"/>
          <w:szCs w:val="24"/>
          <w:highlight w:val="none"/>
        </w:rPr>
      </w:pPr>
    </w:p>
    <w:p>
      <w:pPr>
        <w:pStyle w:val="31"/>
        <w:rPr>
          <w:rFonts w:hint="default" w:ascii="仿宋" w:hAnsi="仿宋" w:eastAsia="仿宋" w:cs="仿宋"/>
          <w:sz w:val="24"/>
          <w:szCs w:val="24"/>
          <w:highlight w:val="none"/>
        </w:rPr>
      </w:pPr>
    </w:p>
    <w:p>
      <w:pPr>
        <w:pStyle w:val="31"/>
        <w:rPr>
          <w:rFonts w:hint="default" w:ascii="仿宋" w:hAnsi="仿宋" w:eastAsia="仿宋" w:cs="仿宋"/>
          <w:sz w:val="24"/>
          <w:szCs w:val="24"/>
          <w:highlight w:val="none"/>
        </w:rPr>
      </w:pPr>
    </w:p>
    <w:p>
      <w:pPr>
        <w:pStyle w:val="31"/>
        <w:rPr>
          <w:rFonts w:hint="default" w:ascii="仿宋" w:hAnsi="仿宋" w:eastAsia="仿宋" w:cs="仿宋"/>
          <w:sz w:val="24"/>
          <w:szCs w:val="24"/>
          <w:highlight w:val="none"/>
        </w:rPr>
      </w:pPr>
    </w:p>
    <w:p>
      <w:pPr>
        <w:pStyle w:val="31"/>
        <w:rPr>
          <w:rFonts w:hint="default" w:ascii="仿宋" w:hAnsi="仿宋" w:eastAsia="仿宋" w:cs="仿宋"/>
          <w:sz w:val="24"/>
          <w:szCs w:val="24"/>
          <w:highlight w:val="none"/>
        </w:rPr>
      </w:pPr>
    </w:p>
    <w:p>
      <w:pPr>
        <w:pStyle w:val="31"/>
        <w:rPr>
          <w:rFonts w:hint="default" w:ascii="仿宋" w:hAnsi="仿宋" w:eastAsia="仿宋" w:cs="仿宋"/>
          <w:sz w:val="24"/>
          <w:szCs w:val="24"/>
          <w:highlight w:val="none"/>
        </w:rPr>
      </w:pPr>
    </w:p>
    <w:p>
      <w:pPr>
        <w:pStyle w:val="31"/>
        <w:rPr>
          <w:rFonts w:hint="default" w:ascii="仿宋" w:hAnsi="仿宋" w:eastAsia="仿宋" w:cs="仿宋"/>
          <w:sz w:val="24"/>
          <w:szCs w:val="24"/>
          <w:highlight w:val="none"/>
        </w:rPr>
      </w:pPr>
    </w:p>
    <w:p>
      <w:pPr>
        <w:pStyle w:val="31"/>
        <w:jc w:val="center"/>
        <w:rPr>
          <w:rFonts w:hint="default" w:ascii="仿宋" w:hAnsi="仿宋" w:eastAsia="仿宋" w:cs="仿宋"/>
          <w:b/>
          <w:bCs/>
          <w:sz w:val="24"/>
          <w:szCs w:val="24"/>
          <w:highlight w:val="none"/>
        </w:rPr>
      </w:pPr>
      <w:r>
        <w:rPr>
          <w:rFonts w:ascii="仿宋" w:hAnsi="仿宋" w:eastAsia="仿宋" w:cs="仿宋"/>
          <w:b/>
          <w:bCs/>
          <w:sz w:val="24"/>
          <w:szCs w:val="24"/>
          <w:highlight w:val="none"/>
        </w:rPr>
        <w:t>分项报价表</w:t>
      </w:r>
    </w:p>
    <w:tbl>
      <w:tblPr>
        <w:tblStyle w:val="3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4"/>
        <w:gridCol w:w="1546"/>
        <w:gridCol w:w="3479"/>
        <w:gridCol w:w="514"/>
        <w:gridCol w:w="960"/>
        <w:gridCol w:w="1046"/>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名称</w:t>
            </w:r>
          </w:p>
        </w:tc>
        <w:tc>
          <w:tcPr>
            <w:tcW w:w="19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工程量</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综合单价（元）</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地上三层</w:t>
            </w:r>
          </w:p>
        </w:tc>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钢结构部分</w:t>
            </w:r>
          </w:p>
        </w:tc>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3"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箱体钢柱</w:t>
            </w:r>
          </w:p>
        </w:tc>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焊接箱体钢柱                                1.钢材品种、规格:Q345B钢 H型钢尺寸及节点板等见施工图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2.单根质量:3t以内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3.安装高度:见施工图                           4.螺栓种类：详见设计                        5.刷漆及防火要求：详见设计                                6.质量检测及无声探伤要求;满足设计及施工规范要求                                          7.构件吊装考虑在综合单价中</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T</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11.08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楼面钢梁</w:t>
            </w:r>
          </w:p>
        </w:tc>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1.钢材品种、规格:Q345B钢 H型钢尺寸及节点板等见施工图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2.单根质量:3t以内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3.安装高度:见施工图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4.螺栓种类：详见设计                        5.刷漆及防火要求：详见设计                                6.质量检测及无声探伤要求;满足设计及施工规范要求                                          7.构件吊装考虑在综合单价中</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T</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27.50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钢承板</w:t>
            </w:r>
          </w:p>
        </w:tc>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钢承板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1.部位：现浇混凝土板底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2.规格：YX75*230*690*1.0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3.做法详见图纸</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456.00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钢板包边</w:t>
            </w:r>
          </w:p>
        </w:tc>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钢板包边                                    1.部位：板一周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2.做法详见图纸</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186.40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钢楼梯</w:t>
            </w:r>
          </w:p>
        </w:tc>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1.钢材品种、规格:Q345B钢 H型钢尺寸及节点板等见施工图</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T</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1.68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高强螺栓</w:t>
            </w:r>
          </w:p>
        </w:tc>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高强螺栓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1.规格：M20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2.质量等级：国标10.9S级摩擦姓高强螺栓</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1400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化学锚栓</w:t>
            </w:r>
          </w:p>
        </w:tc>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化学锚栓                                    1.规格：M24                                             2.长450mm</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112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8"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混凝土楼面</w:t>
            </w:r>
          </w:p>
        </w:tc>
        <w:tc>
          <w:tcPr>
            <w:tcW w:w="19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[项目特征]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1.混凝土强度等级:C30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2.混凝土拌和料要求:商砼</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1.混凝土制作、运输、浇筑、振捣、养护</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57.23 </w:t>
            </w:r>
          </w:p>
        </w:tc>
        <w:tc>
          <w:tcPr>
            <w:tcW w:w="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8"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预制过梁</w:t>
            </w:r>
          </w:p>
        </w:tc>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预制过梁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1砼强度等级:C25</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2.砼拌合料要求:商砼</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3.砼运输、制作、安装.</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34.00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6"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块料楼地面</w:t>
            </w:r>
          </w:p>
        </w:tc>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1.成品保护                                                           2.10厚聚合物水泥砂浆结合层粘贴800*800地砖CT-01                               3.30厚1:3干硬性水泥砂浆结合层                                                                                                   4.刷基层处理剂一道                                                            5.20厚1:3水泥砂浆抹平                                                          6.基层清理找平，素水泥砂浆一道</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421.20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5"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钢筋</w:t>
            </w:r>
          </w:p>
        </w:tc>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现浇混凝土钢筋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[项目特征]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1.钢筋种类、规格:三级螺纹钢10以内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1.钢筋（网、笼）制作、运输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2.钢筋（网、笼）安装</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T</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3.18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5"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钢筋</w:t>
            </w:r>
          </w:p>
        </w:tc>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现浇混凝土钢筋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[项目特征]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1.钢筋种类、规格:三级螺纹钢10以上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1.钢筋（网、笼）制作、运输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2.钢筋（网、笼）安装</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T</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1.25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二</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钢结构屋檐部分</w:t>
            </w:r>
          </w:p>
        </w:tc>
        <w:tc>
          <w:tcPr>
            <w:tcW w:w="19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i w:val="0"/>
                <w:iCs w:val="0"/>
                <w:color w:val="000000"/>
                <w:sz w:val="24"/>
                <w:szCs w:val="24"/>
                <w:highlight w:val="none"/>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highlight w:val="none"/>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highlight w:val="none"/>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highlight w:val="none"/>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4"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楼梯间+洗衣房屋檐</w:t>
            </w:r>
          </w:p>
        </w:tc>
        <w:tc>
          <w:tcPr>
            <w:tcW w:w="19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屋檐外包铝塑板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1.尺寸及节点板等见施工图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2.颜色公安蓝</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3.做法见陕09J01 </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80.4</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8"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东西侧屋檐</w:t>
            </w:r>
          </w:p>
        </w:tc>
        <w:tc>
          <w:tcPr>
            <w:tcW w:w="19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屋檐外包铝塑板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1.尺寸及节点板等见施工图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2.颜色公安蓝</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3.做法见陕09J01 </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263.12</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33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8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楼顶原有帽檐需要重新做帽檐</w:t>
            </w:r>
          </w:p>
        </w:tc>
        <w:tc>
          <w:tcPr>
            <w:tcW w:w="19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屋檐外包铝塑板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1.尺寸及节点板等见施工图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2.颜色公安蓝</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3.做法见陕09J01 </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57.12</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1"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highlight w:val="none"/>
                <w:u w:val="none"/>
              </w:rPr>
            </w:pPr>
          </w:p>
        </w:tc>
        <w:tc>
          <w:tcPr>
            <w:tcW w:w="8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highlight w:val="none"/>
                <w:u w:val="none"/>
              </w:rPr>
            </w:pPr>
          </w:p>
        </w:tc>
        <w:tc>
          <w:tcPr>
            <w:tcW w:w="19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4"/>
                <w:szCs w:val="24"/>
                <w:highlight w:val="none"/>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261.04</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门窗部分</w:t>
            </w:r>
          </w:p>
        </w:tc>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4"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木门（MM2）</w:t>
            </w:r>
          </w:p>
        </w:tc>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门洞尺寸1000*2100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1、木门门框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2、含把手、锁、铰链、门吸等五金件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3、详见图纸</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樘</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6.00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木门（M1521）</w:t>
            </w:r>
          </w:p>
        </w:tc>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门洞尺寸1500*2100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1、木门门框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2、含把手、锁、铰链、门吸等五金件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3、详见图纸</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樘</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5.00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14"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塑钢窗（SGC2)</w:t>
            </w:r>
          </w:p>
        </w:tc>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塑钢推拉窗                                                                      窗洞尺寸1800*1500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1、塑钢窗框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2、详见图纸</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樘</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17.00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塑钢窗（SGC3)</w:t>
            </w:r>
          </w:p>
        </w:tc>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塑钢推拉窗                                                                      窗洞尺寸900*1500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1、塑钢窗框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2、详见图纸</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樘</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5.00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屋面排水管</w:t>
            </w:r>
          </w:p>
        </w:tc>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屋面排水管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1.排水管品种、规格:Φ110PVC</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2.水落口:直式10个</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3.落水斗:10个</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4.做法见施工图</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72.00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四</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水电部分</w:t>
            </w:r>
          </w:p>
        </w:tc>
        <w:tc>
          <w:tcPr>
            <w:tcW w:w="19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i w:val="0"/>
                <w:iCs w:val="0"/>
                <w:color w:val="000000"/>
                <w:sz w:val="24"/>
                <w:szCs w:val="24"/>
                <w:highlight w:val="none"/>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 w:hAnsi="仿宋" w:eastAsia="仿宋" w:cs="仿宋"/>
                <w:i w:val="0"/>
                <w:iCs w:val="0"/>
                <w:color w:val="000000"/>
                <w:sz w:val="24"/>
                <w:szCs w:val="24"/>
                <w:highlight w:val="none"/>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highlight w:val="none"/>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highlight w:val="none"/>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室内LED灯</w:t>
            </w:r>
          </w:p>
        </w:tc>
        <w:tc>
          <w:tcPr>
            <w:tcW w:w="19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1.尺寸1000mm*800mm、功率80W </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走廊LED灯</w:t>
            </w:r>
          </w:p>
        </w:tc>
        <w:tc>
          <w:tcPr>
            <w:tcW w:w="19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1.尺寸400mm、功率80W </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五孔插座</w:t>
            </w:r>
          </w:p>
        </w:tc>
        <w:tc>
          <w:tcPr>
            <w:tcW w:w="19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10A</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空调专用插座</w:t>
            </w:r>
          </w:p>
        </w:tc>
        <w:tc>
          <w:tcPr>
            <w:tcW w:w="19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16A</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4平方电线</w:t>
            </w:r>
          </w:p>
        </w:tc>
        <w:tc>
          <w:tcPr>
            <w:tcW w:w="19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4"/>
                <w:szCs w:val="24"/>
                <w:highlight w:val="none"/>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750</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2.5平方电线</w:t>
            </w:r>
          </w:p>
        </w:tc>
        <w:tc>
          <w:tcPr>
            <w:tcW w:w="19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4"/>
                <w:szCs w:val="24"/>
                <w:highlight w:val="none"/>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420</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25平方电缆</w:t>
            </w:r>
          </w:p>
        </w:tc>
        <w:tc>
          <w:tcPr>
            <w:tcW w:w="19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4"/>
                <w:szCs w:val="24"/>
                <w:highlight w:val="none"/>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8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20PVC线管</w:t>
            </w:r>
          </w:p>
        </w:tc>
        <w:tc>
          <w:tcPr>
            <w:tcW w:w="19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4"/>
                <w:szCs w:val="24"/>
                <w:highlight w:val="none"/>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900</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8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开关控制箱</w:t>
            </w:r>
          </w:p>
        </w:tc>
        <w:tc>
          <w:tcPr>
            <w:tcW w:w="19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1000*600</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五</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楼面保护层拆除</w:t>
            </w:r>
          </w:p>
        </w:tc>
        <w:tc>
          <w:tcPr>
            <w:tcW w:w="1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highlight w:val="none"/>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367.32</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4" w:hRule="atLeast"/>
        </w:trPr>
        <w:tc>
          <w:tcPr>
            <w:tcW w:w="119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总价（元）</w:t>
            </w:r>
          </w:p>
        </w:tc>
        <w:tc>
          <w:tcPr>
            <w:tcW w:w="380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大写：             小写：</w:t>
            </w:r>
          </w:p>
        </w:tc>
      </w:tr>
    </w:tbl>
    <w:p>
      <w:pPr>
        <w:pStyle w:val="31"/>
        <w:rPr>
          <w:rFonts w:hint="eastAsia" w:ascii="仿宋" w:hAnsi="仿宋" w:eastAsia="仿宋" w:cs="仿宋"/>
          <w:b/>
          <w:bCs/>
          <w:sz w:val="28"/>
          <w:szCs w:val="28"/>
          <w:highlight w:val="none"/>
          <w:lang w:eastAsia="zh-CN"/>
        </w:rPr>
      </w:pPr>
      <w:r>
        <w:rPr>
          <w:rFonts w:hint="eastAsia" w:ascii="仿宋" w:hAnsi="仿宋" w:eastAsia="仿宋" w:cs="仿宋"/>
          <w:b/>
          <w:bCs/>
          <w:i w:val="0"/>
          <w:iCs w:val="0"/>
          <w:caps w:val="0"/>
          <w:spacing w:val="0"/>
          <w:sz w:val="28"/>
          <w:szCs w:val="28"/>
          <w:highlight w:val="none"/>
          <w:shd w:val="clear" w:fill="F2F2F7"/>
        </w:rPr>
        <w:t>以上填报综合单价为全费用综合单价，包含了人工费、材料费、机械费、管理费、利润及一定的风险费用、规费、税金等所有的费用</w:t>
      </w:r>
      <w:r>
        <w:rPr>
          <w:rFonts w:hint="eastAsia" w:ascii="仿宋" w:hAnsi="仿宋" w:eastAsia="仿宋" w:cs="仿宋"/>
          <w:b/>
          <w:bCs/>
          <w:i w:val="0"/>
          <w:iCs w:val="0"/>
          <w:caps w:val="0"/>
          <w:spacing w:val="0"/>
          <w:sz w:val="28"/>
          <w:szCs w:val="28"/>
          <w:highlight w:val="none"/>
          <w:shd w:val="clear" w:fill="F2F2F7"/>
          <w:lang w:eastAsia="zh-CN"/>
        </w:rPr>
        <w:t>。</w:t>
      </w:r>
    </w:p>
    <w:p>
      <w:pPr>
        <w:keepLines/>
        <w:pageBreakBefore/>
        <w:jc w:val="center"/>
        <w:outlineLvl w:val="1"/>
        <w:rPr>
          <w:rFonts w:ascii="仿宋" w:hAnsi="仿宋" w:eastAsia="仿宋" w:cs="仿宋"/>
          <w:b/>
          <w:bCs/>
          <w:sz w:val="32"/>
          <w:szCs w:val="32"/>
          <w:highlight w:val="none"/>
        </w:rPr>
      </w:pPr>
      <w:bookmarkStart w:id="309" w:name="_Toc19026"/>
      <w:bookmarkStart w:id="310" w:name="_Toc420591669"/>
      <w:bookmarkStart w:id="311" w:name="_Toc8191"/>
      <w:bookmarkStart w:id="312" w:name="_Toc16342"/>
      <w:bookmarkStart w:id="313" w:name="_Toc1741"/>
      <w:bookmarkStart w:id="314" w:name="_Toc14400"/>
      <w:bookmarkStart w:id="315" w:name="_Toc23559"/>
      <w:bookmarkStart w:id="316" w:name="_Toc421778388"/>
      <w:bookmarkStart w:id="317" w:name="_Toc17870"/>
      <w:bookmarkStart w:id="318" w:name="_Toc425240483"/>
      <w:r>
        <w:rPr>
          <w:rFonts w:hint="eastAsia" w:ascii="仿宋" w:hAnsi="仿宋" w:eastAsia="仿宋" w:cs="仿宋"/>
          <w:b/>
          <w:bCs/>
          <w:sz w:val="32"/>
          <w:szCs w:val="32"/>
          <w:highlight w:val="none"/>
        </w:rPr>
        <w:t>三、法定代表人身份证明</w:t>
      </w:r>
      <w:bookmarkEnd w:id="309"/>
      <w:bookmarkEnd w:id="310"/>
      <w:bookmarkEnd w:id="311"/>
      <w:bookmarkEnd w:id="312"/>
      <w:bookmarkEnd w:id="313"/>
      <w:bookmarkEnd w:id="314"/>
      <w:bookmarkEnd w:id="315"/>
      <w:bookmarkEnd w:id="316"/>
      <w:bookmarkEnd w:id="317"/>
      <w:bookmarkEnd w:id="318"/>
    </w:p>
    <w:p>
      <w:pPr>
        <w:spacing w:line="360" w:lineRule="auto"/>
        <w:ind w:firstLine="420" w:firstLineChars="200"/>
        <w:rPr>
          <w:rFonts w:ascii="仿宋" w:hAnsi="仿宋" w:eastAsia="仿宋" w:cs="仿宋"/>
          <w:highlight w:val="none"/>
        </w:rPr>
      </w:pP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供应商名称：</w:t>
      </w: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单位性质：</w:t>
      </w: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地址：</w:t>
      </w: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成立时间：   年   月   日</w:t>
      </w:r>
    </w:p>
    <w:p>
      <w:pPr>
        <w:spacing w:line="480" w:lineRule="auto"/>
        <w:ind w:firstLine="480" w:firstLineChars="200"/>
        <w:rPr>
          <w:rFonts w:ascii="仿宋" w:hAnsi="仿宋" w:eastAsia="仿宋" w:cs="仿宋"/>
          <w:sz w:val="24"/>
          <w:szCs w:val="24"/>
          <w:highlight w:val="none"/>
          <w:u w:val="single"/>
        </w:rPr>
      </w:pPr>
      <w:r>
        <w:rPr>
          <w:rFonts w:hint="eastAsia" w:ascii="仿宋" w:hAnsi="仿宋" w:eastAsia="仿宋" w:cs="仿宋"/>
          <w:sz w:val="24"/>
          <w:szCs w:val="24"/>
          <w:highlight w:val="none"/>
        </w:rPr>
        <w:t>经营期限：</w:t>
      </w:r>
    </w:p>
    <w:p>
      <w:pPr>
        <w:spacing w:line="480" w:lineRule="auto"/>
        <w:ind w:firstLine="480" w:firstLineChars="200"/>
        <w:rPr>
          <w:rFonts w:ascii="仿宋" w:hAnsi="仿宋" w:eastAsia="仿宋" w:cs="仿宋"/>
          <w:sz w:val="24"/>
          <w:szCs w:val="24"/>
          <w:highlight w:val="none"/>
          <w:u w:val="single"/>
        </w:rPr>
      </w:pPr>
      <w:r>
        <w:rPr>
          <w:rFonts w:hint="eastAsia" w:ascii="仿宋" w:hAnsi="仿宋" w:eastAsia="仿宋" w:cs="仿宋"/>
          <w:sz w:val="24"/>
          <w:szCs w:val="24"/>
          <w:highlight w:val="none"/>
        </w:rPr>
        <w:t>姓名：   性别：   年龄：   职务：</w:t>
      </w: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系（供应商名称）的法定代表人</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附：法定代表人身份证复印件。（正反面）</w:t>
      </w:r>
    </w:p>
    <w:p>
      <w:pPr>
        <w:pStyle w:val="2"/>
        <w:jc w:val="both"/>
        <w:rPr>
          <w:rFonts w:ascii="仿宋" w:hAnsi="仿宋" w:eastAsia="仿宋" w:cs="仿宋"/>
          <w:highlight w:val="none"/>
        </w:rPr>
      </w:pPr>
    </w:p>
    <w:p>
      <w:pPr>
        <w:spacing w:line="48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特此证明</w:t>
      </w:r>
    </w:p>
    <w:p>
      <w:pPr>
        <w:spacing w:line="360" w:lineRule="auto"/>
        <w:ind w:firstLine="480" w:firstLineChars="200"/>
        <w:rPr>
          <w:rFonts w:ascii="仿宋" w:hAnsi="仿宋" w:eastAsia="仿宋" w:cs="仿宋"/>
          <w:sz w:val="24"/>
          <w:szCs w:val="24"/>
          <w:highlight w:val="none"/>
        </w:rPr>
      </w:pPr>
    </w:p>
    <w:p>
      <w:pPr>
        <w:spacing w:line="360" w:lineRule="auto"/>
        <w:ind w:firstLine="480" w:firstLineChars="200"/>
        <w:rPr>
          <w:rFonts w:ascii="仿宋" w:hAnsi="仿宋" w:eastAsia="仿宋" w:cs="仿宋"/>
          <w:sz w:val="24"/>
          <w:szCs w:val="24"/>
          <w:highlight w:val="none"/>
        </w:rPr>
      </w:pPr>
    </w:p>
    <w:p>
      <w:pPr>
        <w:spacing w:line="360" w:lineRule="auto"/>
        <w:ind w:firstLine="480" w:firstLineChars="200"/>
        <w:rPr>
          <w:rFonts w:ascii="仿宋" w:hAnsi="仿宋" w:eastAsia="仿宋" w:cs="仿宋"/>
          <w:sz w:val="24"/>
          <w:szCs w:val="24"/>
          <w:highlight w:val="none"/>
        </w:rPr>
      </w:pPr>
    </w:p>
    <w:p>
      <w:pPr>
        <w:spacing w:line="360" w:lineRule="auto"/>
        <w:ind w:firstLine="4800" w:firstLineChars="2000"/>
        <w:rPr>
          <w:rFonts w:ascii="仿宋" w:hAnsi="仿宋" w:eastAsia="仿宋" w:cs="仿宋"/>
          <w:sz w:val="24"/>
          <w:szCs w:val="24"/>
          <w:highlight w:val="none"/>
        </w:rPr>
      </w:pPr>
      <w:r>
        <w:rPr>
          <w:rFonts w:hint="eastAsia" w:ascii="仿宋" w:hAnsi="仿宋" w:eastAsia="仿宋" w:cs="仿宋"/>
          <w:sz w:val="24"/>
          <w:szCs w:val="24"/>
          <w:highlight w:val="none"/>
        </w:rPr>
        <w:t>供应商：       （盖章）</w:t>
      </w:r>
    </w:p>
    <w:p>
      <w:pPr>
        <w:spacing w:line="360" w:lineRule="auto"/>
        <w:ind w:firstLine="5160" w:firstLineChars="2150"/>
        <w:rPr>
          <w:rFonts w:ascii="仿宋" w:hAnsi="仿宋" w:eastAsia="仿宋" w:cs="仿宋"/>
          <w:sz w:val="24"/>
          <w:szCs w:val="24"/>
          <w:highlight w:val="none"/>
          <w:u w:val="single"/>
        </w:rPr>
      </w:pPr>
    </w:p>
    <w:p>
      <w:pPr>
        <w:spacing w:line="360" w:lineRule="auto"/>
        <w:ind w:firstLine="5040" w:firstLineChars="2100"/>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pStyle w:val="2"/>
        <w:rPr>
          <w:rFonts w:ascii="仿宋" w:hAnsi="仿宋" w:eastAsia="仿宋" w:cs="仿宋"/>
          <w:sz w:val="24"/>
          <w:szCs w:val="24"/>
          <w:highlight w:val="none"/>
        </w:rPr>
      </w:pPr>
    </w:p>
    <w:p>
      <w:pPr>
        <w:pStyle w:val="2"/>
        <w:jc w:val="left"/>
        <w:rPr>
          <w:rFonts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说明：仅限法定代表人参加时提供。</w:t>
      </w:r>
    </w:p>
    <w:p>
      <w:pPr>
        <w:rPr>
          <w:rFonts w:ascii="仿宋" w:hAnsi="仿宋" w:eastAsia="仿宋" w:cs="仿宋"/>
          <w:highlight w:val="none"/>
        </w:rPr>
        <w:sectPr>
          <w:pgSz w:w="11906" w:h="16838"/>
          <w:pgMar w:top="1417" w:right="1417" w:bottom="1417" w:left="1701" w:header="851" w:footer="992" w:gutter="0"/>
          <w:pgNumType w:fmt="decimal"/>
          <w:cols w:space="0" w:num="1"/>
          <w:docGrid w:type="lines" w:linePitch="312" w:charSpace="0"/>
        </w:sectPr>
      </w:pPr>
    </w:p>
    <w:p>
      <w:pPr>
        <w:keepLines/>
        <w:pageBreakBefore/>
        <w:spacing w:line="360" w:lineRule="auto"/>
        <w:jc w:val="center"/>
        <w:outlineLvl w:val="1"/>
        <w:rPr>
          <w:rFonts w:ascii="仿宋" w:hAnsi="仿宋" w:eastAsia="仿宋" w:cs="仿宋"/>
          <w:b/>
          <w:bCs/>
          <w:sz w:val="32"/>
          <w:szCs w:val="32"/>
          <w:highlight w:val="none"/>
        </w:rPr>
      </w:pPr>
      <w:bookmarkStart w:id="319" w:name="_Toc425240484"/>
      <w:bookmarkStart w:id="320" w:name="_Toc30728"/>
      <w:bookmarkStart w:id="321" w:name="_Toc1856"/>
      <w:bookmarkStart w:id="322" w:name="_Toc13749"/>
      <w:bookmarkStart w:id="323" w:name="_Toc421778389"/>
      <w:bookmarkStart w:id="324" w:name="_Toc13782"/>
      <w:bookmarkStart w:id="325" w:name="_Toc420591670"/>
      <w:bookmarkStart w:id="326" w:name="_Toc9626"/>
      <w:bookmarkStart w:id="327" w:name="_Toc6085"/>
      <w:bookmarkStart w:id="328" w:name="_Toc2098"/>
      <w:r>
        <w:rPr>
          <w:rFonts w:hint="eastAsia" w:ascii="仿宋" w:hAnsi="仿宋" w:eastAsia="仿宋" w:cs="仿宋"/>
          <w:b/>
          <w:bCs/>
          <w:sz w:val="32"/>
          <w:szCs w:val="32"/>
          <w:highlight w:val="none"/>
        </w:rPr>
        <w:t>四、法人授权委托书</w:t>
      </w:r>
      <w:bookmarkEnd w:id="319"/>
      <w:bookmarkEnd w:id="320"/>
      <w:bookmarkEnd w:id="321"/>
      <w:bookmarkEnd w:id="322"/>
      <w:bookmarkEnd w:id="323"/>
      <w:bookmarkEnd w:id="324"/>
      <w:bookmarkEnd w:id="325"/>
      <w:bookmarkEnd w:id="326"/>
      <w:bookmarkEnd w:id="327"/>
      <w:bookmarkEnd w:id="328"/>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（姓名） 系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（供应商名称）的法定代表人，现委托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（姓名）为我方代理人。代理人根据授权，以我方名义签署、澄清、说明、补正、递交、撤回、修改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（项目名称）竞争性磋商响应文件、签订合同和处理有关事宜，其法律后果由我方承担。</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代理人无转委托权。</w:t>
      </w:r>
    </w:p>
    <w:p>
      <w:pPr>
        <w:spacing w:line="360" w:lineRule="auto"/>
        <w:ind w:firstLine="480" w:firstLineChars="200"/>
        <w:rPr>
          <w:rFonts w:ascii="仿宋" w:hAnsi="仿宋" w:eastAsia="仿宋" w:cs="仿宋"/>
          <w:sz w:val="24"/>
          <w:szCs w:val="24"/>
          <w:highlight w:val="none"/>
        </w:rPr>
      </w:pPr>
      <w:bookmarkStart w:id="329" w:name="_Toc214090947"/>
      <w:bookmarkStart w:id="330" w:name="_Toc201637979"/>
      <w:r>
        <w:rPr>
          <w:rFonts w:hint="eastAsia" w:ascii="仿宋" w:hAnsi="仿宋" w:eastAsia="仿宋" w:cs="仿宋"/>
          <w:sz w:val="24"/>
          <w:szCs w:val="24"/>
          <w:highlight w:val="none"/>
        </w:rPr>
        <w:t>本授权书于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日签字生效，特此证明！</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委托期限：自</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日至</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法定代表人签字或盖章：            被授权人签字：</w:t>
      </w:r>
      <w:bookmarkEnd w:id="329"/>
      <w:bookmarkEnd w:id="330"/>
    </w:p>
    <w:p>
      <w:pPr>
        <w:spacing w:line="360" w:lineRule="auto"/>
        <w:ind w:firstLine="480" w:firstLineChars="200"/>
        <w:rPr>
          <w:rFonts w:ascii="仿宋" w:hAnsi="仿宋" w:eastAsia="仿宋" w:cs="仿宋"/>
          <w:sz w:val="24"/>
          <w:szCs w:val="24"/>
          <w:highlight w:val="none"/>
        </w:rPr>
      </w:pPr>
      <w:bookmarkStart w:id="331" w:name="_Toc201637980"/>
      <w:bookmarkStart w:id="332" w:name="_Toc214090948"/>
      <w:r>
        <w:rPr>
          <w:rFonts w:hint="eastAsia" w:ascii="仿宋" w:hAnsi="仿宋" w:eastAsia="仿宋" w:cs="仿宋"/>
          <w:sz w:val="24"/>
          <w:szCs w:val="24"/>
          <w:highlight w:val="none"/>
        </w:rPr>
        <w:t>职务：</w:t>
      </w:r>
      <w:bookmarkEnd w:id="331"/>
      <w:bookmarkEnd w:id="332"/>
      <w:r>
        <w:rPr>
          <w:rFonts w:hint="eastAsia" w:ascii="仿宋" w:hAnsi="仿宋" w:eastAsia="仿宋" w:cs="仿宋"/>
          <w:sz w:val="24"/>
          <w:szCs w:val="24"/>
          <w:highlight w:val="none"/>
        </w:rPr>
        <w:t xml:space="preserve">                            职务：</w:t>
      </w:r>
    </w:p>
    <w:p>
      <w:pPr>
        <w:spacing w:line="360" w:lineRule="auto"/>
        <w:ind w:firstLine="480" w:firstLineChars="200"/>
        <w:rPr>
          <w:rFonts w:ascii="仿宋" w:hAnsi="仿宋" w:eastAsia="仿宋" w:cs="仿宋"/>
          <w:sz w:val="24"/>
          <w:szCs w:val="24"/>
          <w:highlight w:val="none"/>
        </w:rPr>
      </w:pPr>
      <w:bookmarkStart w:id="333" w:name="_Toc214090949"/>
      <w:bookmarkStart w:id="334" w:name="_Toc201637981"/>
      <w:r>
        <w:rPr>
          <w:rFonts w:hint="eastAsia" w:ascii="仿宋" w:hAnsi="仿宋" w:eastAsia="仿宋" w:cs="仿宋"/>
          <w:sz w:val="24"/>
          <w:szCs w:val="24"/>
          <w:highlight w:val="none"/>
        </w:rPr>
        <w:t>身份证号：                        身份证号：</w:t>
      </w:r>
      <w:bookmarkEnd w:id="333"/>
      <w:bookmarkEnd w:id="334"/>
    </w:p>
    <w:p>
      <w:pPr>
        <w:spacing w:line="360" w:lineRule="auto"/>
        <w:rPr>
          <w:rFonts w:ascii="仿宋" w:hAnsi="仿宋" w:eastAsia="仿宋" w:cs="仿宋"/>
          <w:sz w:val="24"/>
          <w:szCs w:val="24"/>
          <w:highlight w:val="none"/>
        </w:rPr>
      </w:pPr>
      <w:bookmarkStart w:id="335" w:name="_Toc201637982"/>
      <w:bookmarkStart w:id="336" w:name="_Toc214090950"/>
      <w:r>
        <w:rPr>
          <w:rFonts w:hint="eastAsia" w:ascii="仿宋" w:hAnsi="仿宋" w:eastAsia="仿宋" w:cs="仿宋"/>
          <w:sz w:val="24"/>
          <w:szCs w:val="24"/>
          <w:highlight w:val="none"/>
        </w:rPr>
        <w:t>附：法定代表人、被授权人身份证复印件。（二代身份证正、反两面都需复印）</w:t>
      </w:r>
      <w:bookmarkEnd w:id="335"/>
      <w:bookmarkEnd w:id="336"/>
    </w:p>
    <w:tbl>
      <w:tblPr>
        <w:tblStyle w:val="35"/>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2"/>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4652" w:type="dxa"/>
            <w:vAlign w:val="center"/>
          </w:tcPr>
          <w:p>
            <w:pPr>
              <w:spacing w:line="360" w:lineRule="auto"/>
              <w:jc w:val="center"/>
              <w:rPr>
                <w:rFonts w:ascii="仿宋" w:hAnsi="仿宋" w:eastAsia="仿宋" w:cs="仿宋"/>
                <w:sz w:val="24"/>
                <w:szCs w:val="24"/>
                <w:highlight w:val="none"/>
              </w:rPr>
            </w:pPr>
            <w:bookmarkStart w:id="337" w:name="_Toc201637983"/>
            <w:bookmarkStart w:id="338" w:name="_Toc214090951"/>
            <w:r>
              <w:rPr>
                <w:rFonts w:hint="eastAsia" w:ascii="仿宋" w:hAnsi="仿宋" w:eastAsia="仿宋" w:cs="仿宋"/>
                <w:sz w:val="24"/>
                <w:szCs w:val="24"/>
                <w:highlight w:val="none"/>
              </w:rPr>
              <w:t>法定代表人身份证复印件</w:t>
            </w:r>
            <w:bookmarkEnd w:id="337"/>
            <w:bookmarkEnd w:id="338"/>
          </w:p>
          <w:p>
            <w:pPr>
              <w:spacing w:line="360" w:lineRule="auto"/>
              <w:jc w:val="center"/>
              <w:rPr>
                <w:rFonts w:ascii="仿宋" w:hAnsi="仿宋" w:eastAsia="仿宋" w:cs="仿宋"/>
                <w:sz w:val="24"/>
                <w:szCs w:val="24"/>
                <w:highlight w:val="none"/>
              </w:rPr>
            </w:pPr>
            <w:bookmarkStart w:id="339" w:name="_Toc214090952"/>
            <w:bookmarkStart w:id="340" w:name="_Toc201637984"/>
            <w:r>
              <w:rPr>
                <w:rFonts w:hint="eastAsia" w:ascii="仿宋" w:hAnsi="仿宋" w:eastAsia="仿宋" w:cs="仿宋"/>
                <w:sz w:val="24"/>
                <w:szCs w:val="24"/>
                <w:highlight w:val="none"/>
              </w:rPr>
              <w:t>（正面）</w:t>
            </w:r>
            <w:bookmarkEnd w:id="339"/>
            <w:bookmarkEnd w:id="340"/>
          </w:p>
        </w:tc>
        <w:tc>
          <w:tcPr>
            <w:tcW w:w="4649" w:type="dxa"/>
            <w:vAlign w:val="center"/>
          </w:tcPr>
          <w:p>
            <w:pPr>
              <w:spacing w:line="360" w:lineRule="auto"/>
              <w:jc w:val="center"/>
              <w:rPr>
                <w:rFonts w:ascii="仿宋" w:hAnsi="仿宋" w:eastAsia="仿宋" w:cs="仿宋"/>
                <w:sz w:val="24"/>
                <w:szCs w:val="24"/>
                <w:highlight w:val="none"/>
              </w:rPr>
            </w:pPr>
            <w:bookmarkStart w:id="341" w:name="_Toc214090953"/>
            <w:bookmarkStart w:id="342" w:name="_Toc201637985"/>
            <w:r>
              <w:rPr>
                <w:rFonts w:hint="eastAsia" w:ascii="仿宋" w:hAnsi="仿宋" w:eastAsia="仿宋" w:cs="仿宋"/>
                <w:sz w:val="24"/>
                <w:szCs w:val="24"/>
                <w:highlight w:val="none"/>
              </w:rPr>
              <w:t>被授权人身份证复印件</w:t>
            </w:r>
            <w:bookmarkEnd w:id="341"/>
            <w:bookmarkEnd w:id="342"/>
          </w:p>
          <w:p>
            <w:pPr>
              <w:spacing w:line="360" w:lineRule="auto"/>
              <w:jc w:val="center"/>
              <w:rPr>
                <w:rFonts w:ascii="仿宋" w:hAnsi="仿宋" w:eastAsia="仿宋" w:cs="仿宋"/>
                <w:sz w:val="24"/>
                <w:szCs w:val="24"/>
                <w:highlight w:val="none"/>
              </w:rPr>
            </w:pPr>
            <w:bookmarkStart w:id="343" w:name="_Toc201637986"/>
            <w:bookmarkStart w:id="344" w:name="_Toc214090954"/>
            <w:r>
              <w:rPr>
                <w:rFonts w:hint="eastAsia" w:ascii="仿宋" w:hAnsi="仿宋" w:eastAsia="仿宋" w:cs="仿宋"/>
                <w:sz w:val="24"/>
                <w:szCs w:val="24"/>
                <w:highlight w:val="none"/>
              </w:rPr>
              <w:t>（正面）</w:t>
            </w:r>
            <w:bookmarkEnd w:id="343"/>
            <w:bookmarkEnd w:id="3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4652" w:type="dxa"/>
            <w:vAlign w:val="center"/>
          </w:tcPr>
          <w:p>
            <w:pPr>
              <w:spacing w:line="360" w:lineRule="auto"/>
              <w:jc w:val="center"/>
              <w:rPr>
                <w:rFonts w:ascii="仿宋" w:hAnsi="仿宋" w:eastAsia="仿宋" w:cs="仿宋"/>
                <w:sz w:val="24"/>
                <w:szCs w:val="24"/>
                <w:highlight w:val="none"/>
              </w:rPr>
            </w:pPr>
            <w:bookmarkStart w:id="345" w:name="_Toc201637987"/>
            <w:bookmarkStart w:id="346" w:name="_Toc214090955"/>
            <w:r>
              <w:rPr>
                <w:rFonts w:hint="eastAsia" w:ascii="仿宋" w:hAnsi="仿宋" w:eastAsia="仿宋" w:cs="仿宋"/>
                <w:sz w:val="24"/>
                <w:szCs w:val="24"/>
                <w:highlight w:val="none"/>
              </w:rPr>
              <w:t>法定代表人身份证复印件</w:t>
            </w:r>
            <w:bookmarkEnd w:id="345"/>
            <w:bookmarkEnd w:id="346"/>
          </w:p>
          <w:p>
            <w:pPr>
              <w:spacing w:line="360" w:lineRule="auto"/>
              <w:jc w:val="center"/>
              <w:rPr>
                <w:rFonts w:ascii="仿宋" w:hAnsi="仿宋" w:eastAsia="仿宋" w:cs="仿宋"/>
                <w:sz w:val="24"/>
                <w:szCs w:val="24"/>
                <w:highlight w:val="none"/>
              </w:rPr>
            </w:pPr>
            <w:bookmarkStart w:id="347" w:name="_Toc201637988"/>
            <w:bookmarkStart w:id="348" w:name="_Toc214090956"/>
            <w:r>
              <w:rPr>
                <w:rFonts w:hint="eastAsia" w:ascii="仿宋" w:hAnsi="仿宋" w:eastAsia="仿宋" w:cs="仿宋"/>
                <w:sz w:val="24"/>
                <w:szCs w:val="24"/>
                <w:highlight w:val="none"/>
              </w:rPr>
              <w:t>（反面）</w:t>
            </w:r>
            <w:bookmarkEnd w:id="347"/>
            <w:bookmarkEnd w:id="348"/>
          </w:p>
        </w:tc>
        <w:tc>
          <w:tcPr>
            <w:tcW w:w="4649" w:type="dxa"/>
            <w:vAlign w:val="center"/>
          </w:tcPr>
          <w:p>
            <w:pPr>
              <w:spacing w:line="360" w:lineRule="auto"/>
              <w:jc w:val="center"/>
              <w:rPr>
                <w:rFonts w:ascii="仿宋" w:hAnsi="仿宋" w:eastAsia="仿宋" w:cs="仿宋"/>
                <w:sz w:val="24"/>
                <w:szCs w:val="24"/>
                <w:highlight w:val="none"/>
              </w:rPr>
            </w:pPr>
            <w:bookmarkStart w:id="349" w:name="_Toc201637989"/>
            <w:bookmarkStart w:id="350" w:name="_Toc214090957"/>
            <w:r>
              <w:rPr>
                <w:rFonts w:hint="eastAsia" w:ascii="仿宋" w:hAnsi="仿宋" w:eastAsia="仿宋" w:cs="仿宋"/>
                <w:sz w:val="24"/>
                <w:szCs w:val="24"/>
                <w:highlight w:val="none"/>
              </w:rPr>
              <w:t>被授权人身份证复印件</w:t>
            </w:r>
            <w:bookmarkEnd w:id="349"/>
            <w:bookmarkEnd w:id="350"/>
          </w:p>
          <w:p>
            <w:pPr>
              <w:spacing w:line="360" w:lineRule="auto"/>
              <w:jc w:val="center"/>
              <w:rPr>
                <w:rFonts w:ascii="仿宋" w:hAnsi="仿宋" w:eastAsia="仿宋" w:cs="仿宋"/>
                <w:sz w:val="24"/>
                <w:szCs w:val="24"/>
                <w:highlight w:val="none"/>
              </w:rPr>
            </w:pPr>
            <w:bookmarkStart w:id="351" w:name="_Toc201637990"/>
            <w:bookmarkStart w:id="352" w:name="_Toc214090958"/>
            <w:r>
              <w:rPr>
                <w:rFonts w:hint="eastAsia" w:ascii="仿宋" w:hAnsi="仿宋" w:eastAsia="仿宋" w:cs="仿宋"/>
                <w:sz w:val="24"/>
                <w:szCs w:val="24"/>
                <w:highlight w:val="none"/>
              </w:rPr>
              <w:t>（反面）</w:t>
            </w:r>
            <w:bookmarkEnd w:id="351"/>
            <w:bookmarkEnd w:id="352"/>
          </w:p>
        </w:tc>
      </w:tr>
    </w:tbl>
    <w:p>
      <w:pPr>
        <w:spacing w:line="360" w:lineRule="auto"/>
        <w:rPr>
          <w:rFonts w:ascii="仿宋" w:hAnsi="仿宋" w:eastAsia="仿宋" w:cs="仿宋"/>
          <w:sz w:val="24"/>
          <w:szCs w:val="24"/>
          <w:highlight w:val="none"/>
        </w:rPr>
      </w:pPr>
    </w:p>
    <w:p>
      <w:pPr>
        <w:spacing w:line="480" w:lineRule="auto"/>
        <w:ind w:left="424" w:leftChars="202" w:right="540" w:rightChars="257"/>
        <w:jc w:val="left"/>
        <w:rPr>
          <w:rFonts w:ascii="仿宋" w:hAnsi="仿宋" w:eastAsia="仿宋" w:cs="仿宋"/>
          <w:sz w:val="24"/>
          <w:szCs w:val="24"/>
          <w:highlight w:val="none"/>
        </w:rPr>
      </w:pPr>
      <w:bookmarkStart w:id="353" w:name="_Toc421778390"/>
      <w:bookmarkStart w:id="354" w:name="_Toc425240485"/>
      <w:r>
        <w:rPr>
          <w:rFonts w:hint="eastAsia" w:ascii="仿宋" w:hAnsi="仿宋" w:eastAsia="仿宋" w:cs="仿宋"/>
          <w:sz w:val="24"/>
          <w:szCs w:val="24"/>
          <w:highlight w:val="none"/>
        </w:rPr>
        <w:t xml:space="preserve">供应商名称：         （加盖单位公章）      </w:t>
      </w:r>
    </w:p>
    <w:p>
      <w:pPr>
        <w:spacing w:line="480" w:lineRule="auto"/>
        <w:ind w:right="540" w:rightChars="257" w:firstLine="480" w:firstLineChars="200"/>
        <w:jc w:val="left"/>
        <w:rPr>
          <w:rFonts w:ascii="仿宋" w:hAnsi="仿宋" w:eastAsia="仿宋" w:cs="仿宋"/>
          <w:b/>
          <w:sz w:val="24"/>
          <w:szCs w:val="24"/>
          <w:highlight w:val="none"/>
          <w:u w:val="single"/>
        </w:rPr>
      </w:pPr>
      <w:r>
        <w:rPr>
          <w:rFonts w:hint="eastAsia" w:ascii="仿宋" w:hAnsi="仿宋" w:eastAsia="仿宋" w:cs="仿宋"/>
          <w:sz w:val="24"/>
          <w:szCs w:val="24"/>
          <w:highlight w:val="none"/>
        </w:rPr>
        <w:t xml:space="preserve">      年     月     日</w:t>
      </w:r>
    </w:p>
    <w:p>
      <w:pPr>
        <w:widowControl/>
        <w:rPr>
          <w:rFonts w:ascii="仿宋" w:hAnsi="仿宋" w:eastAsia="仿宋" w:cs="仿宋"/>
          <w:sz w:val="24"/>
          <w:szCs w:val="24"/>
          <w:highlight w:val="none"/>
        </w:rPr>
      </w:pPr>
      <w:r>
        <w:rPr>
          <w:rFonts w:hint="eastAsia" w:ascii="仿宋" w:hAnsi="仿宋" w:eastAsia="仿宋" w:cs="仿宋"/>
          <w:b/>
          <w:bCs/>
          <w:sz w:val="24"/>
          <w:szCs w:val="24"/>
          <w:highlight w:val="none"/>
        </w:rPr>
        <w:t>注：法定代表人参加时无需提供。</w:t>
      </w:r>
      <w:r>
        <w:rPr>
          <w:rFonts w:hint="eastAsia" w:ascii="仿宋" w:hAnsi="仿宋" w:eastAsia="仿宋" w:cs="仿宋"/>
          <w:sz w:val="24"/>
          <w:szCs w:val="24"/>
          <w:highlight w:val="none"/>
        </w:rPr>
        <w:br w:type="page"/>
      </w:r>
      <w:bookmarkStart w:id="355" w:name="_Toc5947"/>
      <w:bookmarkStart w:id="356" w:name="_Toc3574"/>
    </w:p>
    <w:p>
      <w:pPr>
        <w:keepLines/>
        <w:pageBreakBefore/>
        <w:jc w:val="center"/>
        <w:outlineLvl w:val="1"/>
        <w:rPr>
          <w:rFonts w:ascii="仿宋" w:hAnsi="仿宋" w:eastAsia="仿宋" w:cs="仿宋"/>
          <w:b/>
          <w:bCs/>
          <w:sz w:val="32"/>
          <w:szCs w:val="32"/>
          <w:highlight w:val="none"/>
        </w:rPr>
      </w:pPr>
      <w:bookmarkStart w:id="357" w:name="_Toc6747"/>
      <w:bookmarkStart w:id="358" w:name="_Toc21095"/>
      <w:bookmarkStart w:id="359" w:name="_Toc18"/>
      <w:bookmarkStart w:id="360" w:name="_Toc6797"/>
      <w:bookmarkStart w:id="361" w:name="_Toc30209"/>
      <w:bookmarkStart w:id="362" w:name="_Toc15602"/>
      <w:bookmarkStart w:id="363" w:name="_Toc14661"/>
      <w:r>
        <w:rPr>
          <w:rFonts w:hint="eastAsia" w:ascii="仿宋" w:hAnsi="仿宋" w:eastAsia="仿宋" w:cs="仿宋"/>
          <w:b/>
          <w:bCs/>
          <w:sz w:val="32"/>
          <w:szCs w:val="32"/>
          <w:highlight w:val="none"/>
        </w:rPr>
        <w:t>五、商务响应与说明</w:t>
      </w:r>
      <w:bookmarkEnd w:id="357"/>
      <w:bookmarkEnd w:id="358"/>
      <w:bookmarkEnd w:id="359"/>
      <w:bookmarkEnd w:id="360"/>
      <w:bookmarkEnd w:id="361"/>
      <w:bookmarkEnd w:id="362"/>
      <w:bookmarkEnd w:id="363"/>
    </w:p>
    <w:p>
      <w:pPr>
        <w:spacing w:after="120" w:line="440" w:lineRule="exact"/>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项目名称</w:t>
      </w:r>
    </w:p>
    <w:p>
      <w:pPr>
        <w:spacing w:after="120" w:line="440" w:lineRule="exact"/>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项目编号：</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按照竞争性磋商文件的商务要求编制商务响应与说明，格式不限。但</w:t>
      </w:r>
      <w:r>
        <w:rPr>
          <w:rFonts w:hint="eastAsia" w:ascii="仿宋" w:hAnsi="仿宋" w:eastAsia="仿宋" w:cs="仿宋"/>
          <w:b/>
          <w:bCs/>
          <w:sz w:val="24"/>
          <w:szCs w:val="24"/>
          <w:highlight w:val="none"/>
        </w:rPr>
        <w:t>内容至少应包括如下：</w:t>
      </w:r>
    </w:p>
    <w:p>
      <w:pPr>
        <w:spacing w:line="408" w:lineRule="auto"/>
        <w:ind w:left="525" w:leftChars="250"/>
        <w:rPr>
          <w:rFonts w:ascii="仿宋" w:hAnsi="仿宋" w:eastAsia="仿宋" w:cs="仿宋"/>
          <w:sz w:val="24"/>
          <w:szCs w:val="24"/>
          <w:highlight w:val="none"/>
        </w:rPr>
      </w:pPr>
      <w:r>
        <w:rPr>
          <w:rFonts w:hint="eastAsia" w:ascii="仿宋" w:hAnsi="仿宋" w:eastAsia="仿宋" w:cs="仿宋"/>
          <w:sz w:val="24"/>
          <w:szCs w:val="24"/>
          <w:highlight w:val="none"/>
        </w:rPr>
        <w:t>1、磋商报价所包含的全部内容；</w:t>
      </w:r>
    </w:p>
    <w:p>
      <w:pPr>
        <w:spacing w:line="408" w:lineRule="auto"/>
        <w:ind w:left="525" w:leftChars="250"/>
        <w:rPr>
          <w:rFonts w:ascii="仿宋" w:hAnsi="仿宋" w:eastAsia="仿宋" w:cs="仿宋"/>
          <w:sz w:val="24"/>
          <w:szCs w:val="24"/>
          <w:highlight w:val="none"/>
        </w:rPr>
      </w:pPr>
      <w:r>
        <w:rPr>
          <w:rFonts w:hint="eastAsia" w:ascii="仿宋" w:hAnsi="仿宋" w:eastAsia="仿宋" w:cs="仿宋"/>
          <w:sz w:val="24"/>
          <w:szCs w:val="24"/>
          <w:highlight w:val="none"/>
        </w:rPr>
        <w:t>2、对工期、地点、验收、服务承诺、结算方式、合同条款等磋商响应；</w:t>
      </w:r>
    </w:p>
    <w:p>
      <w:pPr>
        <w:spacing w:line="408" w:lineRule="auto"/>
        <w:ind w:left="525" w:leftChars="250"/>
        <w:rPr>
          <w:rFonts w:ascii="仿宋" w:hAnsi="仿宋" w:eastAsia="仿宋" w:cs="仿宋"/>
          <w:sz w:val="24"/>
          <w:szCs w:val="24"/>
          <w:highlight w:val="none"/>
        </w:rPr>
      </w:pPr>
      <w:r>
        <w:rPr>
          <w:rFonts w:hint="eastAsia" w:ascii="仿宋" w:hAnsi="仿宋" w:eastAsia="仿宋" w:cs="仿宋"/>
          <w:sz w:val="24"/>
          <w:szCs w:val="24"/>
          <w:highlight w:val="none"/>
        </w:rPr>
        <w:t>3、竞争性磋商文件中要求的其它内容。</w:t>
      </w:r>
    </w:p>
    <w:p>
      <w:pPr>
        <w:spacing w:line="408" w:lineRule="auto"/>
        <w:ind w:left="525" w:leftChars="250"/>
        <w:rPr>
          <w:rFonts w:ascii="仿宋" w:hAnsi="仿宋" w:eastAsia="仿宋" w:cs="仿宋"/>
          <w:sz w:val="24"/>
          <w:szCs w:val="24"/>
          <w:highlight w:val="none"/>
        </w:rPr>
      </w:pPr>
    </w:p>
    <w:p>
      <w:pPr>
        <w:spacing w:line="408" w:lineRule="auto"/>
        <w:ind w:left="525" w:leftChars="250"/>
        <w:rPr>
          <w:rFonts w:ascii="仿宋" w:hAnsi="仿宋" w:eastAsia="仿宋" w:cs="仿宋"/>
          <w:sz w:val="24"/>
          <w:szCs w:val="24"/>
          <w:highlight w:val="none"/>
        </w:rPr>
      </w:pPr>
    </w:p>
    <w:p>
      <w:pPr>
        <w:spacing w:line="408" w:lineRule="auto"/>
        <w:ind w:left="525" w:leftChars="250"/>
        <w:rPr>
          <w:rFonts w:ascii="仿宋" w:hAnsi="仿宋" w:eastAsia="仿宋" w:cs="仿宋"/>
          <w:sz w:val="24"/>
          <w:szCs w:val="24"/>
          <w:highlight w:val="none"/>
        </w:rPr>
      </w:pPr>
    </w:p>
    <w:p>
      <w:pPr>
        <w:spacing w:line="408" w:lineRule="auto"/>
        <w:ind w:left="525" w:leftChars="250"/>
        <w:rPr>
          <w:rFonts w:ascii="仿宋" w:hAnsi="仿宋" w:eastAsia="仿宋" w:cs="仿宋"/>
          <w:sz w:val="24"/>
          <w:szCs w:val="24"/>
          <w:highlight w:val="none"/>
        </w:rPr>
      </w:pPr>
    </w:p>
    <w:p>
      <w:pPr>
        <w:spacing w:line="408" w:lineRule="auto"/>
        <w:ind w:left="525" w:leftChars="250"/>
        <w:rPr>
          <w:rFonts w:ascii="仿宋" w:hAnsi="仿宋" w:eastAsia="仿宋" w:cs="仿宋"/>
          <w:sz w:val="24"/>
          <w:szCs w:val="24"/>
          <w:highlight w:val="none"/>
        </w:rPr>
      </w:pPr>
    </w:p>
    <w:p>
      <w:pPr>
        <w:spacing w:line="408" w:lineRule="auto"/>
        <w:ind w:left="525" w:leftChars="250"/>
        <w:rPr>
          <w:rFonts w:ascii="仿宋" w:hAnsi="仿宋" w:eastAsia="仿宋" w:cs="仿宋"/>
          <w:sz w:val="24"/>
          <w:szCs w:val="24"/>
          <w:highlight w:val="none"/>
        </w:rPr>
      </w:pPr>
    </w:p>
    <w:p>
      <w:pPr>
        <w:spacing w:line="408" w:lineRule="auto"/>
        <w:ind w:left="525" w:leftChars="250"/>
        <w:rPr>
          <w:rFonts w:ascii="仿宋" w:hAnsi="仿宋" w:eastAsia="仿宋" w:cs="仿宋"/>
          <w:sz w:val="24"/>
          <w:szCs w:val="24"/>
          <w:highlight w:val="none"/>
        </w:rPr>
      </w:pPr>
    </w:p>
    <w:p>
      <w:pPr>
        <w:spacing w:line="408" w:lineRule="auto"/>
        <w:ind w:left="525" w:leftChars="250"/>
        <w:rPr>
          <w:rFonts w:ascii="仿宋" w:hAnsi="仿宋" w:eastAsia="仿宋" w:cs="仿宋"/>
          <w:sz w:val="24"/>
          <w:szCs w:val="24"/>
          <w:highlight w:val="none"/>
        </w:rPr>
      </w:pPr>
    </w:p>
    <w:p>
      <w:pPr>
        <w:spacing w:line="408" w:lineRule="auto"/>
        <w:ind w:left="525" w:leftChars="250"/>
        <w:rPr>
          <w:rFonts w:ascii="仿宋" w:hAnsi="仿宋" w:eastAsia="仿宋" w:cs="仿宋"/>
          <w:sz w:val="24"/>
          <w:szCs w:val="24"/>
          <w:highlight w:val="none"/>
        </w:rPr>
      </w:pPr>
    </w:p>
    <w:p>
      <w:pPr>
        <w:spacing w:line="408" w:lineRule="auto"/>
        <w:ind w:left="525" w:leftChars="250"/>
        <w:rPr>
          <w:rFonts w:ascii="仿宋" w:hAnsi="仿宋" w:eastAsia="仿宋" w:cs="仿宋"/>
          <w:sz w:val="24"/>
          <w:szCs w:val="24"/>
          <w:highlight w:val="none"/>
        </w:rPr>
      </w:pPr>
    </w:p>
    <w:p>
      <w:pPr>
        <w:spacing w:line="408" w:lineRule="auto"/>
        <w:ind w:left="525" w:leftChars="250"/>
        <w:rPr>
          <w:rFonts w:ascii="仿宋" w:hAnsi="仿宋" w:eastAsia="仿宋" w:cs="仿宋"/>
          <w:sz w:val="24"/>
          <w:szCs w:val="24"/>
          <w:highlight w:val="none"/>
        </w:rPr>
      </w:pPr>
    </w:p>
    <w:p>
      <w:pPr>
        <w:spacing w:line="408" w:lineRule="auto"/>
        <w:ind w:left="525" w:leftChars="250"/>
        <w:rPr>
          <w:rFonts w:ascii="仿宋" w:hAnsi="仿宋" w:eastAsia="仿宋" w:cs="仿宋"/>
          <w:sz w:val="24"/>
          <w:szCs w:val="24"/>
          <w:highlight w:val="none"/>
        </w:rPr>
      </w:pPr>
    </w:p>
    <w:p>
      <w:pPr>
        <w:spacing w:line="408" w:lineRule="auto"/>
        <w:ind w:left="525" w:leftChars="250"/>
        <w:rPr>
          <w:rFonts w:ascii="仿宋" w:hAnsi="仿宋" w:eastAsia="仿宋" w:cs="仿宋"/>
          <w:sz w:val="24"/>
          <w:szCs w:val="24"/>
          <w:highlight w:val="none"/>
        </w:rPr>
      </w:pPr>
    </w:p>
    <w:p>
      <w:pPr>
        <w:spacing w:line="408" w:lineRule="auto"/>
        <w:ind w:left="525" w:leftChars="250"/>
        <w:rPr>
          <w:rFonts w:ascii="仿宋" w:hAnsi="仿宋" w:eastAsia="仿宋" w:cs="仿宋"/>
          <w:sz w:val="24"/>
          <w:szCs w:val="24"/>
          <w:highlight w:val="none"/>
        </w:rPr>
      </w:pPr>
    </w:p>
    <w:p>
      <w:pPr>
        <w:spacing w:line="408" w:lineRule="auto"/>
        <w:ind w:left="525" w:leftChars="250"/>
        <w:rPr>
          <w:rFonts w:ascii="仿宋" w:hAnsi="仿宋" w:eastAsia="仿宋" w:cs="仿宋"/>
          <w:sz w:val="24"/>
          <w:szCs w:val="24"/>
          <w:highlight w:val="none"/>
        </w:rPr>
      </w:pPr>
    </w:p>
    <w:p>
      <w:pPr>
        <w:keepLines/>
        <w:pageBreakBefore/>
        <w:jc w:val="center"/>
        <w:outlineLvl w:val="1"/>
        <w:rPr>
          <w:rFonts w:ascii="仿宋" w:hAnsi="仿宋" w:eastAsia="仿宋" w:cs="仿宋"/>
          <w:b/>
          <w:bCs/>
          <w:sz w:val="32"/>
          <w:szCs w:val="32"/>
          <w:highlight w:val="none"/>
        </w:rPr>
      </w:pPr>
      <w:bookmarkStart w:id="364" w:name="_Toc25987"/>
      <w:bookmarkStart w:id="365" w:name="_Toc9057"/>
      <w:bookmarkStart w:id="366" w:name="_Toc21628"/>
      <w:bookmarkStart w:id="367" w:name="_Toc31221"/>
      <w:r>
        <w:rPr>
          <w:rFonts w:hint="eastAsia" w:ascii="仿宋" w:hAnsi="仿宋" w:eastAsia="仿宋" w:cs="仿宋"/>
          <w:b/>
          <w:bCs/>
          <w:sz w:val="32"/>
          <w:szCs w:val="32"/>
          <w:highlight w:val="none"/>
        </w:rPr>
        <w:t>六、承诺书</w:t>
      </w:r>
      <w:bookmarkEnd w:id="364"/>
      <w:bookmarkEnd w:id="365"/>
      <w:bookmarkEnd w:id="366"/>
      <w:bookmarkEnd w:id="367"/>
    </w:p>
    <w:p>
      <w:pPr>
        <w:spacing w:before="156" w:beforeLines="50" w:line="360" w:lineRule="auto"/>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6.1陕西省政府采购供应商拒绝政府采购领域商业贿赂承诺书</w:t>
      </w:r>
    </w:p>
    <w:p>
      <w:pPr>
        <w:widowControl/>
        <w:spacing w:line="408" w:lineRule="auto"/>
        <w:ind w:firstLine="420" w:firstLineChars="200"/>
        <w:jc w:val="left"/>
        <w:rPr>
          <w:rFonts w:ascii="仿宋" w:hAnsi="仿宋" w:eastAsia="仿宋" w:cs="仿宋"/>
          <w:highlight w:val="none"/>
        </w:rPr>
      </w:pPr>
      <w:r>
        <w:rPr>
          <w:rFonts w:hint="eastAsia" w:ascii="仿宋" w:hAnsi="仿宋" w:eastAsia="仿宋" w:cs="仿宋"/>
          <w:highlight w:val="none"/>
        </w:rPr>
        <w:t>为响应党中央、国务院关于治理政府采购领域商业贿赂行为的号召，我公司在此庄严承诺：</w:t>
      </w:r>
    </w:p>
    <w:p>
      <w:pPr>
        <w:widowControl/>
        <w:numPr>
          <w:ilvl w:val="0"/>
          <w:numId w:val="13"/>
        </w:numPr>
        <w:spacing w:line="408" w:lineRule="auto"/>
        <w:ind w:firstLine="420" w:firstLineChars="200"/>
        <w:jc w:val="left"/>
        <w:rPr>
          <w:rFonts w:ascii="仿宋" w:hAnsi="仿宋" w:eastAsia="仿宋" w:cs="仿宋"/>
          <w:highlight w:val="none"/>
        </w:rPr>
      </w:pPr>
      <w:r>
        <w:rPr>
          <w:rFonts w:hint="eastAsia" w:ascii="仿宋" w:hAnsi="仿宋" w:eastAsia="仿宋" w:cs="仿宋"/>
          <w:highlight w:val="none"/>
        </w:rPr>
        <w:t>在参与政府采购活动中遵纪守法、诚信经营、公平竞标。</w:t>
      </w:r>
    </w:p>
    <w:p>
      <w:pPr>
        <w:widowControl/>
        <w:numPr>
          <w:ilvl w:val="0"/>
          <w:numId w:val="13"/>
        </w:numPr>
        <w:spacing w:line="408" w:lineRule="auto"/>
        <w:ind w:firstLine="420" w:firstLineChars="200"/>
        <w:jc w:val="left"/>
        <w:rPr>
          <w:rFonts w:ascii="仿宋" w:hAnsi="仿宋" w:eastAsia="仿宋" w:cs="仿宋"/>
          <w:highlight w:val="none"/>
        </w:rPr>
      </w:pPr>
      <w:r>
        <w:rPr>
          <w:rFonts w:hint="eastAsia" w:ascii="仿宋" w:hAnsi="仿宋" w:eastAsia="仿宋" w:cs="仿宋"/>
          <w:highlight w:val="none"/>
        </w:rPr>
        <w:t>不向政府采购人、采购代理机构和政府采购评审专家进行任何形式的商业贿赂以谋取交易机会。</w:t>
      </w:r>
    </w:p>
    <w:p>
      <w:pPr>
        <w:widowControl/>
        <w:numPr>
          <w:ilvl w:val="0"/>
          <w:numId w:val="13"/>
        </w:numPr>
        <w:spacing w:line="408" w:lineRule="auto"/>
        <w:ind w:firstLine="420" w:firstLineChars="200"/>
        <w:jc w:val="left"/>
        <w:rPr>
          <w:rFonts w:ascii="仿宋" w:hAnsi="仿宋" w:eastAsia="仿宋" w:cs="仿宋"/>
          <w:highlight w:val="none"/>
        </w:rPr>
      </w:pPr>
      <w:r>
        <w:rPr>
          <w:rFonts w:hint="eastAsia" w:ascii="仿宋" w:hAnsi="仿宋" w:eastAsia="仿宋" w:cs="仿宋"/>
          <w:highlight w:val="none"/>
        </w:rPr>
        <w:t>不向政府采购代理机构和采购人提供虚假资质文件或采用虚假应标方式参与政府采购市场竞争并谋取中标、成交。</w:t>
      </w:r>
    </w:p>
    <w:p>
      <w:pPr>
        <w:widowControl/>
        <w:numPr>
          <w:ilvl w:val="0"/>
          <w:numId w:val="13"/>
        </w:numPr>
        <w:spacing w:line="408" w:lineRule="auto"/>
        <w:ind w:firstLine="420" w:firstLineChars="200"/>
        <w:jc w:val="left"/>
        <w:rPr>
          <w:rFonts w:ascii="仿宋" w:hAnsi="仿宋" w:eastAsia="仿宋" w:cs="仿宋"/>
          <w:highlight w:val="none"/>
        </w:rPr>
      </w:pPr>
      <w:r>
        <w:rPr>
          <w:rFonts w:hint="eastAsia" w:ascii="仿宋" w:hAnsi="仿宋" w:eastAsia="仿宋" w:cs="仿宋"/>
          <w:highlight w:val="none"/>
        </w:rPr>
        <w:t>不采取“围标、陪标”等商业欺诈手段获得政府采购定单。</w:t>
      </w:r>
    </w:p>
    <w:p>
      <w:pPr>
        <w:widowControl/>
        <w:numPr>
          <w:ilvl w:val="0"/>
          <w:numId w:val="13"/>
        </w:numPr>
        <w:spacing w:line="408" w:lineRule="auto"/>
        <w:ind w:firstLine="420" w:firstLineChars="200"/>
        <w:jc w:val="left"/>
        <w:rPr>
          <w:rFonts w:ascii="仿宋" w:hAnsi="仿宋" w:eastAsia="仿宋" w:cs="仿宋"/>
          <w:highlight w:val="none"/>
        </w:rPr>
      </w:pPr>
      <w:r>
        <w:rPr>
          <w:rFonts w:hint="eastAsia" w:ascii="仿宋" w:hAnsi="仿宋" w:eastAsia="仿宋" w:cs="仿宋"/>
          <w:highlight w:val="none"/>
        </w:rPr>
        <w:t>不采取不正当手段诋毁、排挤其他供应商。</w:t>
      </w:r>
    </w:p>
    <w:p>
      <w:pPr>
        <w:widowControl/>
        <w:numPr>
          <w:ilvl w:val="0"/>
          <w:numId w:val="13"/>
        </w:numPr>
        <w:spacing w:line="408" w:lineRule="auto"/>
        <w:ind w:firstLine="420" w:firstLineChars="200"/>
        <w:jc w:val="left"/>
        <w:rPr>
          <w:rFonts w:ascii="仿宋" w:hAnsi="仿宋" w:eastAsia="仿宋" w:cs="仿宋"/>
          <w:highlight w:val="none"/>
        </w:rPr>
      </w:pPr>
      <w:r>
        <w:rPr>
          <w:rFonts w:hint="eastAsia" w:ascii="仿宋" w:hAnsi="仿宋" w:eastAsia="仿宋" w:cs="仿宋"/>
          <w:highlight w:val="none"/>
        </w:rPr>
        <w:t>不在提供商品和服务时“偷梁换柱、以次充好”损害采购人的合法权益。</w:t>
      </w:r>
    </w:p>
    <w:p>
      <w:pPr>
        <w:widowControl/>
        <w:numPr>
          <w:ilvl w:val="0"/>
          <w:numId w:val="13"/>
        </w:numPr>
        <w:spacing w:line="408" w:lineRule="auto"/>
        <w:ind w:firstLine="420" w:firstLineChars="200"/>
        <w:jc w:val="left"/>
        <w:rPr>
          <w:rFonts w:ascii="仿宋" w:hAnsi="仿宋" w:eastAsia="仿宋" w:cs="仿宋"/>
          <w:highlight w:val="none"/>
        </w:rPr>
      </w:pPr>
      <w:r>
        <w:rPr>
          <w:rFonts w:hint="eastAsia" w:ascii="仿宋" w:hAnsi="仿宋" w:eastAsia="仿宋" w:cs="仿宋"/>
          <w:highlight w:val="none"/>
        </w:rPr>
        <w:t>不与采购人、采购代理机构政府采购评审专家或其它供应商恶意串通，进行质疑和投诉，维护政府采购市场秩序。</w:t>
      </w:r>
    </w:p>
    <w:p>
      <w:pPr>
        <w:widowControl/>
        <w:numPr>
          <w:ilvl w:val="0"/>
          <w:numId w:val="13"/>
        </w:numPr>
        <w:spacing w:line="408" w:lineRule="auto"/>
        <w:ind w:firstLine="420" w:firstLineChars="200"/>
        <w:jc w:val="left"/>
        <w:rPr>
          <w:rFonts w:ascii="仿宋" w:hAnsi="仿宋" w:eastAsia="仿宋" w:cs="仿宋"/>
          <w:highlight w:val="none"/>
        </w:rPr>
      </w:pPr>
      <w:r>
        <w:rPr>
          <w:rFonts w:hint="eastAsia" w:ascii="仿宋" w:hAnsi="仿宋" w:eastAsia="仿宋" w:cs="仿宋"/>
          <w:highlight w:val="none"/>
        </w:rPr>
        <w:t>尊重和接受政府采购监督管理部门的监督和政府采购代理机构招标采购要求，承担因违约行为给采购人造成的损失。</w:t>
      </w:r>
    </w:p>
    <w:p>
      <w:pPr>
        <w:widowControl/>
        <w:numPr>
          <w:ilvl w:val="0"/>
          <w:numId w:val="13"/>
        </w:numPr>
        <w:spacing w:line="408" w:lineRule="auto"/>
        <w:ind w:firstLine="420" w:firstLineChars="200"/>
        <w:jc w:val="left"/>
        <w:rPr>
          <w:rFonts w:ascii="仿宋" w:hAnsi="仿宋" w:eastAsia="仿宋" w:cs="仿宋"/>
          <w:highlight w:val="none"/>
        </w:rPr>
      </w:pPr>
      <w:r>
        <w:rPr>
          <w:rFonts w:hint="eastAsia" w:ascii="仿宋" w:hAnsi="仿宋" w:eastAsia="仿宋" w:cs="仿宋"/>
          <w:highlight w:val="none"/>
        </w:rPr>
        <w:t>不发生其他有悖于政府采购公开、公平、公正和诚信原则的行为。</w:t>
      </w:r>
    </w:p>
    <w:p>
      <w:pPr>
        <w:pStyle w:val="31"/>
        <w:rPr>
          <w:rFonts w:hint="default"/>
          <w:highlight w:val="none"/>
        </w:rPr>
      </w:pPr>
    </w:p>
    <w:p>
      <w:pPr>
        <w:widowControl/>
        <w:spacing w:line="408" w:lineRule="auto"/>
        <w:ind w:left="239" w:leftChars="114"/>
        <w:jc w:val="left"/>
        <w:rPr>
          <w:rFonts w:ascii="仿宋" w:hAnsi="仿宋" w:eastAsia="仿宋" w:cs="仿宋"/>
          <w:highlight w:val="none"/>
        </w:rPr>
      </w:pPr>
      <w:r>
        <w:rPr>
          <w:rFonts w:hint="eastAsia" w:ascii="仿宋" w:hAnsi="仿宋" w:eastAsia="仿宋" w:cs="仿宋"/>
          <w:highlight w:val="none"/>
        </w:rPr>
        <w:t>承诺单位：</w:t>
      </w:r>
      <w:r>
        <w:rPr>
          <w:rFonts w:hint="eastAsia" w:ascii="仿宋" w:hAnsi="仿宋" w:eastAsia="仿宋" w:cs="仿宋"/>
          <w:highlight w:val="none"/>
          <w:u w:val="single"/>
        </w:rPr>
        <w:t xml:space="preserve">                       </w:t>
      </w:r>
      <w:r>
        <w:rPr>
          <w:rFonts w:hint="eastAsia" w:ascii="仿宋" w:hAnsi="仿宋" w:eastAsia="仿宋" w:cs="仿宋"/>
          <w:highlight w:val="none"/>
        </w:rPr>
        <w:t>（盖章）</w:t>
      </w:r>
    </w:p>
    <w:p>
      <w:pPr>
        <w:widowControl/>
        <w:spacing w:line="408" w:lineRule="auto"/>
        <w:ind w:left="239" w:leftChars="114"/>
        <w:jc w:val="left"/>
        <w:rPr>
          <w:rFonts w:ascii="仿宋" w:hAnsi="仿宋" w:eastAsia="仿宋" w:cs="仿宋"/>
          <w:highlight w:val="none"/>
        </w:rPr>
      </w:pPr>
      <w:r>
        <w:rPr>
          <w:rFonts w:hint="eastAsia" w:ascii="仿宋" w:hAnsi="仿宋" w:eastAsia="仿宋" w:cs="仿宋"/>
          <w:highlight w:val="none"/>
        </w:rPr>
        <w:t>被授权人：</w:t>
      </w:r>
      <w:r>
        <w:rPr>
          <w:rFonts w:hint="eastAsia" w:ascii="仿宋" w:hAnsi="仿宋" w:eastAsia="仿宋" w:cs="仿宋"/>
          <w:highlight w:val="none"/>
          <w:u w:val="single"/>
        </w:rPr>
        <w:t xml:space="preserve">                       </w:t>
      </w:r>
      <w:r>
        <w:rPr>
          <w:rFonts w:hint="eastAsia" w:ascii="仿宋" w:hAnsi="仿宋" w:eastAsia="仿宋" w:cs="仿宋"/>
          <w:highlight w:val="none"/>
        </w:rPr>
        <w:t>（</w:t>
      </w:r>
      <w:r>
        <w:rPr>
          <w:rFonts w:hint="eastAsia" w:ascii="仿宋" w:hAnsi="仿宋" w:eastAsia="仿宋" w:cs="仿宋"/>
          <w:szCs w:val="24"/>
          <w:highlight w:val="none"/>
        </w:rPr>
        <w:t>签字</w:t>
      </w:r>
      <w:r>
        <w:rPr>
          <w:rFonts w:hint="eastAsia" w:ascii="仿宋" w:hAnsi="仿宋" w:eastAsia="仿宋" w:cs="仿宋"/>
          <w:highlight w:val="none"/>
        </w:rPr>
        <w:t>）</w:t>
      </w:r>
    </w:p>
    <w:p>
      <w:pPr>
        <w:widowControl/>
        <w:spacing w:line="408" w:lineRule="auto"/>
        <w:ind w:left="239" w:leftChars="114"/>
        <w:jc w:val="left"/>
        <w:rPr>
          <w:rFonts w:ascii="仿宋" w:hAnsi="仿宋" w:eastAsia="仿宋" w:cs="仿宋"/>
          <w:highlight w:val="none"/>
        </w:rPr>
      </w:pPr>
      <w:r>
        <w:rPr>
          <w:rFonts w:hint="eastAsia" w:ascii="仿宋" w:hAnsi="仿宋" w:eastAsia="仿宋" w:cs="仿宋"/>
          <w:highlight w:val="none"/>
        </w:rPr>
        <w:t>地  址：</w:t>
      </w:r>
      <w:r>
        <w:rPr>
          <w:rFonts w:hint="eastAsia" w:ascii="仿宋" w:hAnsi="仿宋" w:eastAsia="仿宋" w:cs="仿宋"/>
          <w:highlight w:val="none"/>
          <w:u w:val="single"/>
        </w:rPr>
        <w:t>             </w:t>
      </w:r>
      <w:r>
        <w:rPr>
          <w:rFonts w:hint="eastAsia" w:ascii="仿宋" w:hAnsi="仿宋" w:eastAsia="仿宋" w:cs="仿宋"/>
          <w:highlight w:val="none"/>
        </w:rPr>
        <w:t>  </w:t>
      </w:r>
    </w:p>
    <w:p>
      <w:pPr>
        <w:widowControl/>
        <w:spacing w:line="408" w:lineRule="auto"/>
        <w:ind w:left="239" w:leftChars="114"/>
        <w:jc w:val="left"/>
        <w:rPr>
          <w:rFonts w:ascii="仿宋" w:hAnsi="仿宋" w:eastAsia="仿宋" w:cs="仿宋"/>
          <w:highlight w:val="none"/>
          <w:u w:val="single"/>
        </w:rPr>
      </w:pPr>
      <w:r>
        <w:rPr>
          <w:rFonts w:hint="eastAsia" w:ascii="仿宋" w:hAnsi="仿宋" w:eastAsia="仿宋" w:cs="仿宋"/>
          <w:highlight w:val="none"/>
        </w:rPr>
        <w:t>邮  编：</w:t>
      </w:r>
      <w:r>
        <w:rPr>
          <w:rFonts w:hint="eastAsia" w:ascii="仿宋" w:hAnsi="仿宋" w:eastAsia="仿宋" w:cs="仿宋"/>
          <w:highlight w:val="none"/>
          <w:u w:val="single"/>
        </w:rPr>
        <w:t xml:space="preserve">                         </w:t>
      </w:r>
    </w:p>
    <w:p>
      <w:pPr>
        <w:widowControl/>
        <w:spacing w:line="408" w:lineRule="auto"/>
        <w:ind w:left="239" w:leftChars="114"/>
        <w:jc w:val="left"/>
        <w:rPr>
          <w:rFonts w:ascii="仿宋" w:hAnsi="仿宋" w:eastAsia="仿宋" w:cs="仿宋"/>
          <w:highlight w:val="none"/>
        </w:rPr>
      </w:pPr>
      <w:r>
        <w:rPr>
          <w:rFonts w:hint="eastAsia" w:ascii="仿宋" w:hAnsi="仿宋" w:eastAsia="仿宋" w:cs="仿宋"/>
          <w:highlight w:val="none"/>
        </w:rPr>
        <w:t>电  话：</w:t>
      </w:r>
      <w:r>
        <w:rPr>
          <w:rFonts w:hint="eastAsia" w:ascii="仿宋" w:hAnsi="仿宋" w:eastAsia="仿宋" w:cs="仿宋"/>
          <w:highlight w:val="none"/>
          <w:u w:val="single"/>
        </w:rPr>
        <w:t>             </w:t>
      </w:r>
      <w:r>
        <w:rPr>
          <w:rFonts w:hint="eastAsia" w:ascii="仿宋" w:hAnsi="仿宋" w:eastAsia="仿宋" w:cs="仿宋"/>
          <w:highlight w:val="none"/>
        </w:rPr>
        <w:t>                                                       年  月  日</w:t>
      </w:r>
    </w:p>
    <w:p>
      <w:pPr>
        <w:spacing w:before="156" w:beforeLines="50" w:line="360" w:lineRule="auto"/>
        <w:jc w:val="center"/>
        <w:rPr>
          <w:rFonts w:ascii="仿宋" w:hAnsi="仿宋" w:eastAsia="仿宋" w:cs="仿宋"/>
          <w:b/>
          <w:bCs/>
          <w:sz w:val="30"/>
          <w:szCs w:val="30"/>
          <w:highlight w:val="none"/>
        </w:rPr>
      </w:pPr>
    </w:p>
    <w:p>
      <w:pPr>
        <w:spacing w:before="156" w:beforeLines="50" w:line="360" w:lineRule="auto"/>
        <w:jc w:val="center"/>
        <w:rPr>
          <w:rFonts w:ascii="仿宋" w:hAnsi="仿宋" w:eastAsia="仿宋" w:cs="仿宋"/>
          <w:b/>
          <w:bCs/>
          <w:sz w:val="30"/>
          <w:szCs w:val="30"/>
          <w:highlight w:val="none"/>
        </w:rPr>
      </w:pPr>
    </w:p>
    <w:p>
      <w:pPr>
        <w:spacing w:before="156" w:beforeLines="50" w:line="360" w:lineRule="auto"/>
        <w:jc w:val="center"/>
        <w:rPr>
          <w:rFonts w:ascii="仿宋" w:hAnsi="仿宋" w:eastAsia="仿宋" w:cs="仿宋"/>
          <w:b/>
          <w:bCs/>
          <w:sz w:val="30"/>
          <w:szCs w:val="30"/>
          <w:highlight w:val="none"/>
          <w:lang w:val="zh-CN"/>
        </w:rPr>
      </w:pPr>
      <w:r>
        <w:rPr>
          <w:rFonts w:hint="eastAsia" w:ascii="仿宋" w:hAnsi="仿宋" w:eastAsia="仿宋" w:cs="仿宋"/>
          <w:b/>
          <w:bCs/>
          <w:sz w:val="30"/>
          <w:szCs w:val="30"/>
          <w:highlight w:val="none"/>
        </w:rPr>
        <w:t>6.2</w:t>
      </w:r>
      <w:r>
        <w:rPr>
          <w:rFonts w:hint="eastAsia" w:ascii="仿宋" w:hAnsi="仿宋" w:eastAsia="仿宋" w:cs="仿宋"/>
          <w:b/>
          <w:bCs/>
          <w:sz w:val="30"/>
          <w:szCs w:val="30"/>
          <w:highlight w:val="none"/>
          <w:lang w:val="zh-CN"/>
        </w:rPr>
        <w:t>供应商企业关系关联承诺书</w:t>
      </w:r>
    </w:p>
    <w:p>
      <w:pPr>
        <w:pStyle w:val="2"/>
        <w:rPr>
          <w:rFonts w:ascii="仿宋" w:hAnsi="仿宋" w:eastAsia="仿宋" w:cs="仿宋"/>
          <w:highlight w:val="none"/>
          <w:lang w:val="zh-CN"/>
        </w:rPr>
      </w:pPr>
    </w:p>
    <w:p>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1、供应商在本项目磋商中，不存在与其它供应商负责人为同一人，有控股、管理等关联关系承诺：</w:t>
      </w:r>
    </w:p>
    <w:p>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1.1管理关系说明：</w:t>
      </w:r>
    </w:p>
    <w:p>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我单位管理的具有独立法人的下属单位有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我单位的上级管理单位有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1.2股权关系说明：</w:t>
      </w:r>
    </w:p>
    <w:p>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我单位控股的单位有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我单位被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单位控股。</w:t>
      </w:r>
    </w:p>
    <w:p>
      <w:pPr>
        <w:spacing w:line="500" w:lineRule="exact"/>
        <w:ind w:firstLine="480" w:firstLineChars="200"/>
        <w:rPr>
          <w:rFonts w:ascii="仿宋" w:hAnsi="仿宋" w:eastAsia="仿宋" w:cs="仿宋"/>
          <w:sz w:val="24"/>
          <w:szCs w:val="24"/>
          <w:highlight w:val="none"/>
          <w:u w:val="single"/>
        </w:rPr>
      </w:pPr>
      <w:r>
        <w:rPr>
          <w:rFonts w:hint="eastAsia" w:ascii="仿宋" w:hAnsi="仿宋" w:eastAsia="仿宋" w:cs="仿宋"/>
          <w:sz w:val="24"/>
          <w:szCs w:val="24"/>
          <w:highlight w:val="none"/>
        </w:rPr>
        <w:t>1.3单位负责人：</w:t>
      </w:r>
      <w:r>
        <w:rPr>
          <w:rFonts w:hint="eastAsia" w:ascii="仿宋" w:hAnsi="仿宋" w:eastAsia="仿宋" w:cs="仿宋"/>
          <w:sz w:val="24"/>
          <w:szCs w:val="24"/>
          <w:highlight w:val="none"/>
          <w:u w:val="single"/>
        </w:rPr>
        <w:t xml:space="preserve">                </w:t>
      </w:r>
    </w:p>
    <w:p>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（是或否，没有填否） 为采购项目提供整体设计、规范编制或者项目管理、监理、检测等服务的供应商。</w:t>
      </w:r>
    </w:p>
    <w:p>
      <w:pPr>
        <w:spacing w:line="500" w:lineRule="exact"/>
        <w:ind w:firstLine="480" w:firstLineChars="200"/>
        <w:rPr>
          <w:rFonts w:ascii="仿宋" w:hAnsi="仿宋" w:eastAsia="仿宋" w:cs="仿宋"/>
          <w:sz w:val="24"/>
          <w:szCs w:val="24"/>
          <w:highlight w:val="none"/>
          <w:u w:val="single"/>
        </w:rPr>
      </w:pPr>
      <w:r>
        <w:rPr>
          <w:rFonts w:hint="eastAsia" w:ascii="仿宋" w:hAnsi="仿宋" w:eastAsia="仿宋" w:cs="仿宋"/>
          <w:sz w:val="24"/>
          <w:szCs w:val="24"/>
          <w:highlight w:val="none"/>
        </w:rPr>
        <w:t>3、其他与本项目有关的利害关系说明：</w:t>
      </w:r>
      <w:r>
        <w:rPr>
          <w:rFonts w:hint="eastAsia" w:ascii="仿宋" w:hAnsi="仿宋" w:eastAsia="仿宋" w:cs="仿宋"/>
          <w:sz w:val="24"/>
          <w:szCs w:val="24"/>
          <w:highlight w:val="none"/>
          <w:u w:val="single"/>
        </w:rPr>
        <w:t xml:space="preserve">                               </w:t>
      </w:r>
    </w:p>
    <w:p>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我单位承诺以上说明真实有效，无虚假内容或隐瞒。</w:t>
      </w:r>
    </w:p>
    <w:p>
      <w:pPr>
        <w:spacing w:line="500" w:lineRule="exact"/>
        <w:ind w:firstLine="240" w:firstLineChars="100"/>
        <w:rPr>
          <w:rFonts w:ascii="仿宋" w:hAnsi="仿宋" w:eastAsia="仿宋" w:cs="仿宋"/>
          <w:sz w:val="24"/>
          <w:szCs w:val="24"/>
          <w:highlight w:val="none"/>
        </w:rPr>
      </w:pPr>
    </w:p>
    <w:p>
      <w:pPr>
        <w:pStyle w:val="2"/>
        <w:rPr>
          <w:rFonts w:ascii="仿宋" w:hAnsi="仿宋" w:eastAsia="仿宋" w:cs="仿宋"/>
          <w:highlight w:val="none"/>
        </w:rPr>
      </w:pPr>
    </w:p>
    <w:p>
      <w:pPr>
        <w:spacing w:line="500" w:lineRule="exact"/>
        <w:ind w:firstLine="2400" w:firstLineChars="1000"/>
        <w:rPr>
          <w:rFonts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（盖单位公章）</w:t>
      </w:r>
    </w:p>
    <w:p>
      <w:pPr>
        <w:spacing w:line="500" w:lineRule="exact"/>
        <w:ind w:firstLine="240" w:firstLineChars="100"/>
        <w:rPr>
          <w:rFonts w:ascii="仿宋" w:hAnsi="仿宋" w:eastAsia="仿宋" w:cs="仿宋"/>
          <w:sz w:val="24"/>
          <w:szCs w:val="24"/>
          <w:highlight w:val="none"/>
        </w:rPr>
      </w:pPr>
    </w:p>
    <w:p>
      <w:pPr>
        <w:spacing w:line="500" w:lineRule="exact"/>
        <w:ind w:firstLine="2400" w:firstLineChars="1000"/>
        <w:rPr>
          <w:rFonts w:ascii="仿宋" w:hAnsi="仿宋" w:eastAsia="仿宋" w:cs="仿宋"/>
          <w:sz w:val="24"/>
          <w:szCs w:val="24"/>
          <w:highlight w:val="none"/>
        </w:rPr>
      </w:pPr>
      <w:r>
        <w:rPr>
          <w:rFonts w:hint="eastAsia" w:ascii="仿宋" w:hAnsi="仿宋" w:eastAsia="仿宋" w:cs="仿宋"/>
          <w:sz w:val="24"/>
          <w:szCs w:val="24"/>
          <w:highlight w:val="none"/>
        </w:rPr>
        <w:t>法定代表人或被授权人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pPr>
        <w:spacing w:line="500" w:lineRule="exact"/>
        <w:ind w:firstLine="240" w:firstLineChars="100"/>
        <w:rPr>
          <w:rFonts w:ascii="仿宋" w:hAnsi="仿宋" w:eastAsia="仿宋" w:cs="仿宋"/>
          <w:kern w:val="0"/>
          <w:sz w:val="24"/>
          <w:highlight w:val="none"/>
        </w:rPr>
      </w:pPr>
      <w:r>
        <w:rPr>
          <w:rFonts w:hint="eastAsia" w:ascii="仿宋" w:hAnsi="仿宋" w:eastAsia="仿宋" w:cs="仿宋"/>
          <w:sz w:val="24"/>
          <w:szCs w:val="24"/>
          <w:highlight w:val="none"/>
        </w:rPr>
        <w:t xml:space="preserve">      </w:t>
      </w:r>
    </w:p>
    <w:p>
      <w:pPr>
        <w:widowControl/>
        <w:spacing w:line="408" w:lineRule="auto"/>
        <w:ind w:left="239" w:leftChars="114"/>
        <w:jc w:val="right"/>
        <w:rPr>
          <w:rFonts w:ascii="仿宋" w:hAnsi="仿宋" w:eastAsia="仿宋" w:cs="仿宋"/>
          <w:kern w:val="0"/>
          <w:sz w:val="24"/>
          <w:highlight w:val="none"/>
        </w:rPr>
      </w:pPr>
    </w:p>
    <w:p>
      <w:pPr>
        <w:widowControl/>
        <w:spacing w:line="408" w:lineRule="auto"/>
        <w:ind w:left="239" w:leftChars="114"/>
        <w:jc w:val="right"/>
        <w:rPr>
          <w:rFonts w:ascii="仿宋" w:hAnsi="仿宋" w:eastAsia="仿宋" w:cs="仿宋"/>
          <w:kern w:val="0"/>
          <w:sz w:val="24"/>
          <w:highlight w:val="none"/>
        </w:rPr>
      </w:pPr>
      <w:r>
        <w:rPr>
          <w:rFonts w:hint="eastAsia" w:ascii="仿宋" w:hAnsi="仿宋" w:eastAsia="仿宋" w:cs="仿宋"/>
          <w:kern w:val="0"/>
          <w:sz w:val="24"/>
          <w:highlight w:val="none"/>
        </w:rPr>
        <w:t>                     年  月  日</w:t>
      </w:r>
    </w:p>
    <w:p>
      <w:pPr>
        <w:spacing w:line="408" w:lineRule="auto"/>
        <w:ind w:left="525" w:leftChars="250"/>
        <w:rPr>
          <w:rFonts w:ascii="仿宋" w:hAnsi="仿宋" w:eastAsia="仿宋" w:cs="仿宋"/>
          <w:sz w:val="24"/>
          <w:szCs w:val="24"/>
          <w:highlight w:val="none"/>
        </w:rPr>
      </w:pPr>
    </w:p>
    <w:p>
      <w:pPr>
        <w:pStyle w:val="2"/>
        <w:rPr>
          <w:rFonts w:ascii="仿宋" w:hAnsi="仿宋" w:eastAsia="仿宋" w:cs="仿宋"/>
          <w:sz w:val="24"/>
          <w:szCs w:val="24"/>
          <w:highlight w:val="none"/>
        </w:rPr>
      </w:pPr>
    </w:p>
    <w:p>
      <w:pPr>
        <w:rPr>
          <w:rFonts w:ascii="仿宋" w:hAnsi="仿宋" w:eastAsia="仿宋" w:cs="仿宋"/>
          <w:sz w:val="24"/>
          <w:szCs w:val="24"/>
          <w:highlight w:val="none"/>
        </w:rPr>
      </w:pPr>
    </w:p>
    <w:p>
      <w:pPr>
        <w:pStyle w:val="2"/>
        <w:rPr>
          <w:rFonts w:ascii="仿宋" w:hAnsi="仿宋" w:eastAsia="仿宋" w:cs="仿宋"/>
          <w:highlight w:val="none"/>
        </w:rPr>
      </w:pPr>
    </w:p>
    <w:p>
      <w:pPr>
        <w:spacing w:line="408" w:lineRule="auto"/>
        <w:ind w:left="525" w:leftChars="250"/>
        <w:rPr>
          <w:rFonts w:ascii="仿宋" w:hAnsi="仿宋" w:eastAsia="仿宋" w:cs="仿宋"/>
          <w:sz w:val="24"/>
          <w:szCs w:val="24"/>
          <w:highlight w:val="none"/>
        </w:rPr>
      </w:pPr>
    </w:p>
    <w:p>
      <w:pPr>
        <w:spacing w:line="408" w:lineRule="auto"/>
        <w:ind w:left="525" w:leftChars="250"/>
        <w:rPr>
          <w:rFonts w:ascii="仿宋" w:hAnsi="仿宋" w:eastAsia="仿宋" w:cs="仿宋"/>
          <w:sz w:val="24"/>
          <w:szCs w:val="24"/>
          <w:highlight w:val="none"/>
        </w:rPr>
      </w:pPr>
    </w:p>
    <w:p>
      <w:pPr>
        <w:widowControl/>
        <w:jc w:val="center"/>
        <w:outlineLvl w:val="1"/>
        <w:rPr>
          <w:rFonts w:ascii="仿宋" w:hAnsi="仿宋" w:eastAsia="仿宋" w:cs="仿宋"/>
          <w:b/>
          <w:bCs/>
          <w:sz w:val="32"/>
          <w:szCs w:val="32"/>
          <w:highlight w:val="none"/>
        </w:rPr>
      </w:pPr>
      <w:bookmarkStart w:id="368" w:name="_Toc30751"/>
      <w:bookmarkStart w:id="369" w:name="_Toc29887"/>
      <w:bookmarkStart w:id="370" w:name="_Toc18845"/>
      <w:bookmarkStart w:id="371" w:name="_Toc22069"/>
      <w:r>
        <w:rPr>
          <w:rFonts w:hint="eastAsia" w:ascii="仿宋" w:hAnsi="仿宋" w:eastAsia="仿宋" w:cs="仿宋"/>
          <w:b/>
          <w:bCs/>
          <w:sz w:val="32"/>
          <w:szCs w:val="32"/>
          <w:highlight w:val="none"/>
        </w:rPr>
        <w:t>七、竞争性磋商文件要求的其他文件或承诺</w:t>
      </w:r>
      <w:bookmarkEnd w:id="368"/>
      <w:bookmarkEnd w:id="369"/>
      <w:bookmarkEnd w:id="370"/>
      <w:bookmarkEnd w:id="371"/>
    </w:p>
    <w:p>
      <w:pPr>
        <w:pStyle w:val="2"/>
        <w:rPr>
          <w:rFonts w:ascii="仿宋" w:hAnsi="仿宋" w:eastAsia="仿宋" w:cs="仿宋"/>
          <w:highlight w:val="none"/>
        </w:rPr>
      </w:pPr>
    </w:p>
    <w:p>
      <w:pPr>
        <w:pStyle w:val="2"/>
        <w:numPr>
          <w:ilvl w:val="0"/>
          <w:numId w:val="14"/>
        </w:numPr>
        <w:jc w:val="both"/>
        <w:rPr>
          <w:rFonts w:ascii="仿宋" w:hAnsi="仿宋" w:eastAsia="仿宋" w:cs="仿宋"/>
          <w:bCs/>
          <w:sz w:val="28"/>
          <w:szCs w:val="28"/>
          <w:highlight w:val="none"/>
        </w:rPr>
      </w:pPr>
      <w:r>
        <w:rPr>
          <w:rFonts w:hint="eastAsia" w:ascii="仿宋" w:hAnsi="仿宋" w:eastAsia="仿宋" w:cs="仿宋"/>
          <w:bCs/>
          <w:sz w:val="28"/>
          <w:szCs w:val="28"/>
          <w:highlight w:val="none"/>
        </w:rPr>
        <w:t>基本存款账户开户许可证（基本账户信息）</w:t>
      </w:r>
    </w:p>
    <w:p>
      <w:pPr>
        <w:pStyle w:val="2"/>
        <w:numPr>
          <w:ilvl w:val="0"/>
          <w:numId w:val="14"/>
        </w:numPr>
        <w:jc w:val="both"/>
        <w:rPr>
          <w:rFonts w:ascii="仿宋" w:hAnsi="仿宋" w:eastAsia="仿宋" w:cs="仿宋"/>
          <w:bCs/>
          <w:sz w:val="28"/>
          <w:szCs w:val="28"/>
          <w:highlight w:val="none"/>
        </w:rPr>
      </w:pPr>
      <w:r>
        <w:rPr>
          <w:rFonts w:hint="eastAsia" w:ascii="仿宋" w:hAnsi="仿宋" w:eastAsia="仿宋" w:cs="仿宋"/>
          <w:bCs/>
          <w:sz w:val="28"/>
          <w:szCs w:val="28"/>
          <w:highlight w:val="none"/>
        </w:rPr>
        <w:t>其他文件。</w:t>
      </w:r>
    </w:p>
    <w:p>
      <w:pPr>
        <w:keepLines/>
        <w:pageBreakBefore/>
        <w:jc w:val="center"/>
        <w:outlineLvl w:val="1"/>
        <w:rPr>
          <w:rFonts w:ascii="仿宋" w:hAnsi="仿宋" w:eastAsia="仿宋" w:cs="仿宋"/>
          <w:b/>
          <w:bCs/>
          <w:sz w:val="32"/>
          <w:szCs w:val="32"/>
          <w:highlight w:val="none"/>
        </w:rPr>
      </w:pPr>
      <w:bookmarkStart w:id="372" w:name="_Toc26841"/>
      <w:bookmarkStart w:id="373" w:name="_Toc17919"/>
      <w:bookmarkStart w:id="374" w:name="_Toc16961"/>
      <w:bookmarkStart w:id="375" w:name="_Toc13500"/>
      <w:r>
        <w:rPr>
          <w:rFonts w:hint="eastAsia" w:ascii="仿宋" w:hAnsi="仿宋" w:eastAsia="仿宋" w:cs="仿宋"/>
          <w:b/>
          <w:bCs/>
          <w:sz w:val="32"/>
          <w:szCs w:val="32"/>
          <w:highlight w:val="none"/>
        </w:rPr>
        <w:t>八、其他可以证明供应商实力的文件</w:t>
      </w:r>
      <w:bookmarkEnd w:id="372"/>
      <w:bookmarkEnd w:id="373"/>
      <w:bookmarkEnd w:id="374"/>
      <w:bookmarkEnd w:id="375"/>
      <w:r>
        <w:rPr>
          <w:rFonts w:hint="eastAsia" w:ascii="仿宋" w:hAnsi="仿宋" w:eastAsia="仿宋" w:cs="仿宋"/>
          <w:b/>
          <w:bCs/>
          <w:sz w:val="32"/>
          <w:szCs w:val="32"/>
          <w:highlight w:val="none"/>
        </w:rPr>
        <w:t xml:space="preserve"> </w:t>
      </w:r>
    </w:p>
    <w:p>
      <w:pPr>
        <w:spacing w:line="408" w:lineRule="auto"/>
        <w:ind w:left="525" w:leftChars="250"/>
        <w:rPr>
          <w:rFonts w:ascii="仿宋" w:hAnsi="仿宋" w:eastAsia="仿宋" w:cs="仿宋"/>
          <w:sz w:val="32"/>
          <w:szCs w:val="32"/>
          <w:highlight w:val="none"/>
        </w:rPr>
      </w:pPr>
    </w:p>
    <w:p>
      <w:pPr>
        <w:spacing w:line="408" w:lineRule="auto"/>
        <w:ind w:left="525" w:leftChars="250"/>
        <w:rPr>
          <w:rFonts w:ascii="仿宋" w:hAnsi="仿宋" w:eastAsia="仿宋" w:cs="仿宋"/>
          <w:sz w:val="24"/>
          <w:szCs w:val="24"/>
          <w:highlight w:val="none"/>
        </w:rPr>
      </w:pPr>
      <w:r>
        <w:rPr>
          <w:rFonts w:hint="eastAsia" w:ascii="仿宋" w:hAnsi="仿宋" w:eastAsia="仿宋" w:cs="仿宋"/>
          <w:sz w:val="24"/>
          <w:szCs w:val="24"/>
          <w:highlight w:val="none"/>
        </w:rPr>
        <w:br w:type="page"/>
      </w:r>
    </w:p>
    <w:p>
      <w:pPr>
        <w:keepLines/>
        <w:pageBreakBefore/>
        <w:jc w:val="center"/>
        <w:outlineLvl w:val="1"/>
        <w:rPr>
          <w:rFonts w:ascii="仿宋" w:hAnsi="仿宋" w:eastAsia="仿宋" w:cs="仿宋"/>
          <w:b/>
          <w:bCs/>
          <w:sz w:val="32"/>
          <w:szCs w:val="32"/>
          <w:highlight w:val="none"/>
        </w:rPr>
      </w:pPr>
      <w:bookmarkStart w:id="376" w:name="_Toc15930"/>
      <w:bookmarkStart w:id="377" w:name="_Toc15789"/>
      <w:bookmarkStart w:id="378" w:name="_Toc25829"/>
      <w:bookmarkStart w:id="379" w:name="_Toc22342"/>
      <w:r>
        <w:rPr>
          <w:rFonts w:hint="eastAsia" w:ascii="仿宋" w:hAnsi="仿宋" w:eastAsia="仿宋" w:cs="仿宋"/>
          <w:b/>
          <w:bCs/>
          <w:sz w:val="32"/>
          <w:szCs w:val="32"/>
          <w:highlight w:val="none"/>
        </w:rPr>
        <w:t>第二部分  技术</w:t>
      </w:r>
      <w:bookmarkEnd w:id="355"/>
      <w:bookmarkEnd w:id="356"/>
      <w:r>
        <w:rPr>
          <w:rFonts w:hint="eastAsia" w:ascii="仿宋" w:hAnsi="仿宋" w:eastAsia="仿宋" w:cs="仿宋"/>
          <w:b/>
          <w:bCs/>
          <w:sz w:val="32"/>
          <w:szCs w:val="32"/>
          <w:highlight w:val="none"/>
        </w:rPr>
        <w:t>标</w:t>
      </w:r>
      <w:bookmarkEnd w:id="376"/>
      <w:bookmarkEnd w:id="377"/>
      <w:bookmarkEnd w:id="378"/>
      <w:bookmarkEnd w:id="379"/>
    </w:p>
    <w:p>
      <w:pPr>
        <w:spacing w:after="120" w:line="440" w:lineRule="exact"/>
        <w:rPr>
          <w:rFonts w:ascii="仿宋" w:hAnsi="仿宋" w:eastAsia="仿宋" w:cs="仿宋"/>
          <w:sz w:val="24"/>
          <w:szCs w:val="24"/>
          <w:highlight w:val="none"/>
        </w:rPr>
      </w:pPr>
      <w:r>
        <w:rPr>
          <w:rFonts w:hint="eastAsia" w:ascii="仿宋" w:hAnsi="仿宋" w:eastAsia="仿宋" w:cs="仿宋"/>
          <w:sz w:val="24"/>
          <w:szCs w:val="24"/>
          <w:highlight w:val="none"/>
        </w:rPr>
        <w:t>项目名称：</w:t>
      </w:r>
    </w:p>
    <w:p>
      <w:pPr>
        <w:spacing w:after="120" w:line="440" w:lineRule="exact"/>
        <w:rPr>
          <w:rFonts w:ascii="仿宋" w:hAnsi="仿宋" w:eastAsia="仿宋" w:cs="仿宋"/>
          <w:highlight w:val="none"/>
        </w:rPr>
      </w:pPr>
      <w:r>
        <w:rPr>
          <w:rFonts w:hint="eastAsia" w:ascii="仿宋" w:hAnsi="仿宋" w:eastAsia="仿宋" w:cs="仿宋"/>
          <w:sz w:val="24"/>
          <w:szCs w:val="24"/>
          <w:highlight w:val="none"/>
        </w:rPr>
        <w:t>项目编号：</w:t>
      </w:r>
    </w:p>
    <w:p>
      <w:pPr>
        <w:spacing w:line="58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1、供应商编制的施工组织设计包含以下内容：</w:t>
      </w:r>
    </w:p>
    <w:p>
      <w:pPr>
        <w:spacing w:line="58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评审方法</w:t>
      </w:r>
      <w:r>
        <w:rPr>
          <w:rFonts w:hint="eastAsia" w:ascii="仿宋" w:hAnsi="仿宋" w:eastAsia="仿宋" w:cs="仿宋"/>
          <w:sz w:val="24"/>
          <w:szCs w:val="24"/>
          <w:highlight w:val="none"/>
        </w:rPr>
        <w:t>技术标要求的内容</w:t>
      </w:r>
    </w:p>
    <w:p>
      <w:pPr>
        <w:spacing w:line="58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（2）供应商认为有必要说明的问题</w:t>
      </w:r>
    </w:p>
    <w:p>
      <w:pPr>
        <w:spacing w:line="58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2、施工组织设计除采用文字表述外可附下列图表，图表及格式要求附后。</w:t>
      </w:r>
    </w:p>
    <w:p>
      <w:pPr>
        <w:spacing w:line="58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附表一 拟投入本工程的主要施工设备表</w:t>
      </w:r>
    </w:p>
    <w:p>
      <w:pPr>
        <w:spacing w:line="58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附表二 拟配备本工程的试验和检测仪器设备表</w:t>
      </w:r>
    </w:p>
    <w:p>
      <w:pPr>
        <w:spacing w:line="58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附表三 劳动力计划表</w:t>
      </w:r>
    </w:p>
    <w:p>
      <w:pPr>
        <w:spacing w:line="58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附表四 计划开、竣工日期和施工进度网络图</w:t>
      </w:r>
    </w:p>
    <w:p>
      <w:pPr>
        <w:spacing w:line="58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附表五 临时用地表</w:t>
      </w:r>
    </w:p>
    <w:p>
      <w:pPr>
        <w:spacing w:line="580" w:lineRule="exact"/>
        <w:ind w:firstLine="480" w:firstLineChars="200"/>
        <w:rPr>
          <w:rFonts w:ascii="仿宋" w:hAnsi="仿宋" w:eastAsia="仿宋" w:cs="仿宋"/>
          <w:sz w:val="24"/>
          <w:szCs w:val="24"/>
          <w:highlight w:val="none"/>
        </w:rPr>
      </w:pPr>
    </w:p>
    <w:p>
      <w:pPr>
        <w:pStyle w:val="2"/>
        <w:rPr>
          <w:rFonts w:ascii="仿宋" w:hAnsi="仿宋" w:eastAsia="仿宋" w:cs="仿宋"/>
          <w:sz w:val="24"/>
          <w:szCs w:val="24"/>
          <w:highlight w:val="none"/>
        </w:rPr>
      </w:pPr>
    </w:p>
    <w:p>
      <w:pPr>
        <w:rPr>
          <w:rFonts w:ascii="仿宋" w:hAnsi="仿宋" w:eastAsia="仿宋" w:cs="仿宋"/>
          <w:sz w:val="24"/>
          <w:szCs w:val="24"/>
          <w:highlight w:val="none"/>
        </w:rPr>
      </w:pPr>
    </w:p>
    <w:p>
      <w:pPr>
        <w:pStyle w:val="2"/>
        <w:rPr>
          <w:rFonts w:ascii="仿宋" w:hAnsi="仿宋" w:eastAsia="仿宋" w:cs="仿宋"/>
          <w:sz w:val="24"/>
          <w:szCs w:val="24"/>
          <w:highlight w:val="none"/>
        </w:rPr>
      </w:pPr>
    </w:p>
    <w:p>
      <w:pPr>
        <w:rPr>
          <w:rFonts w:ascii="仿宋" w:hAnsi="仿宋" w:eastAsia="仿宋" w:cs="仿宋"/>
          <w:sz w:val="24"/>
          <w:szCs w:val="24"/>
          <w:highlight w:val="none"/>
        </w:rPr>
      </w:pPr>
    </w:p>
    <w:p>
      <w:pPr>
        <w:pStyle w:val="2"/>
        <w:rPr>
          <w:rFonts w:ascii="仿宋" w:hAnsi="仿宋" w:eastAsia="仿宋" w:cs="仿宋"/>
          <w:sz w:val="24"/>
          <w:szCs w:val="24"/>
          <w:highlight w:val="none"/>
        </w:rPr>
      </w:pPr>
    </w:p>
    <w:p>
      <w:pPr>
        <w:rPr>
          <w:rFonts w:ascii="仿宋" w:hAnsi="仿宋" w:eastAsia="仿宋" w:cs="仿宋"/>
          <w:sz w:val="24"/>
          <w:szCs w:val="24"/>
          <w:highlight w:val="none"/>
        </w:rPr>
      </w:pPr>
    </w:p>
    <w:p>
      <w:pPr>
        <w:pStyle w:val="2"/>
        <w:rPr>
          <w:rFonts w:ascii="仿宋" w:hAnsi="仿宋" w:eastAsia="仿宋" w:cs="仿宋"/>
          <w:sz w:val="24"/>
          <w:szCs w:val="24"/>
          <w:highlight w:val="none"/>
        </w:rPr>
      </w:pPr>
    </w:p>
    <w:p>
      <w:pPr>
        <w:rPr>
          <w:rFonts w:ascii="仿宋" w:hAnsi="仿宋" w:eastAsia="仿宋" w:cs="仿宋"/>
          <w:sz w:val="24"/>
          <w:szCs w:val="24"/>
          <w:highlight w:val="none"/>
        </w:rPr>
      </w:pPr>
    </w:p>
    <w:p>
      <w:pPr>
        <w:pStyle w:val="2"/>
        <w:rPr>
          <w:rFonts w:ascii="仿宋" w:hAnsi="仿宋" w:eastAsia="仿宋" w:cs="仿宋"/>
          <w:sz w:val="24"/>
          <w:szCs w:val="24"/>
          <w:highlight w:val="none"/>
        </w:rPr>
      </w:pPr>
    </w:p>
    <w:p>
      <w:pPr>
        <w:rPr>
          <w:rFonts w:ascii="仿宋" w:hAnsi="仿宋" w:eastAsia="仿宋" w:cs="仿宋"/>
          <w:sz w:val="24"/>
          <w:szCs w:val="24"/>
          <w:highlight w:val="none"/>
        </w:rPr>
      </w:pPr>
    </w:p>
    <w:p>
      <w:pPr>
        <w:pStyle w:val="2"/>
        <w:rPr>
          <w:rFonts w:ascii="仿宋" w:hAnsi="仿宋" w:eastAsia="仿宋" w:cs="仿宋"/>
          <w:sz w:val="24"/>
          <w:szCs w:val="24"/>
          <w:highlight w:val="none"/>
        </w:rPr>
      </w:pPr>
    </w:p>
    <w:p>
      <w:pPr>
        <w:rPr>
          <w:rFonts w:ascii="仿宋" w:hAnsi="仿宋" w:eastAsia="仿宋" w:cs="仿宋"/>
          <w:sz w:val="24"/>
          <w:szCs w:val="24"/>
          <w:highlight w:val="none"/>
        </w:rPr>
      </w:pPr>
    </w:p>
    <w:p>
      <w:pPr>
        <w:pStyle w:val="2"/>
        <w:rPr>
          <w:rFonts w:ascii="仿宋" w:hAnsi="仿宋" w:eastAsia="仿宋" w:cs="仿宋"/>
          <w:highlight w:val="none"/>
        </w:rPr>
      </w:pPr>
    </w:p>
    <w:p>
      <w:pPr>
        <w:pStyle w:val="2"/>
        <w:rPr>
          <w:rFonts w:ascii="仿宋" w:hAnsi="仿宋" w:eastAsia="仿宋" w:cs="仿宋"/>
          <w:sz w:val="24"/>
          <w:szCs w:val="24"/>
          <w:highlight w:val="none"/>
        </w:rPr>
      </w:pPr>
    </w:p>
    <w:p>
      <w:pPr>
        <w:rPr>
          <w:rFonts w:ascii="仿宋" w:hAnsi="仿宋" w:eastAsia="仿宋" w:cs="仿宋"/>
          <w:sz w:val="24"/>
          <w:szCs w:val="24"/>
          <w:highlight w:val="none"/>
        </w:rPr>
      </w:pPr>
    </w:p>
    <w:p>
      <w:pPr>
        <w:pStyle w:val="31"/>
        <w:rPr>
          <w:rFonts w:hint="default"/>
          <w:highlight w:val="none"/>
        </w:rPr>
      </w:pPr>
    </w:p>
    <w:p>
      <w:pPr>
        <w:rPr>
          <w:rFonts w:ascii="仿宋" w:hAnsi="仿宋" w:eastAsia="仿宋" w:cs="仿宋"/>
          <w:sz w:val="24"/>
          <w:szCs w:val="24"/>
          <w:highlight w:val="none"/>
        </w:rPr>
      </w:pPr>
    </w:p>
    <w:p>
      <w:pPr>
        <w:pStyle w:val="2"/>
        <w:rPr>
          <w:rFonts w:ascii="仿宋" w:hAnsi="仿宋" w:eastAsia="仿宋" w:cs="仿宋"/>
          <w:sz w:val="24"/>
          <w:szCs w:val="24"/>
          <w:highlight w:val="none"/>
        </w:rPr>
      </w:pPr>
    </w:p>
    <w:p>
      <w:pPr>
        <w:rPr>
          <w:rFonts w:ascii="仿宋" w:hAnsi="仿宋" w:eastAsia="仿宋" w:cs="仿宋"/>
          <w:highlight w:val="none"/>
        </w:rPr>
      </w:pPr>
    </w:p>
    <w:p>
      <w:pPr>
        <w:spacing w:before="156" w:beforeLines="50" w:after="312" w:afterLines="100" w:line="42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附表一：拟投入本工程的主要施工设备表</w:t>
      </w:r>
    </w:p>
    <w:tbl>
      <w:tblPr>
        <w:tblStyle w:val="35"/>
        <w:tblW w:w="949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117"/>
        <w:gridCol w:w="992"/>
        <w:gridCol w:w="709"/>
        <w:gridCol w:w="1134"/>
        <w:gridCol w:w="1134"/>
        <w:gridCol w:w="1843"/>
        <w:gridCol w:w="1701"/>
      </w:tblGrid>
      <w:tr>
        <w:tblPrEx>
          <w:tblCellMar>
            <w:top w:w="0" w:type="dxa"/>
            <w:left w:w="108" w:type="dxa"/>
            <w:bottom w:w="0" w:type="dxa"/>
            <w:right w:w="108" w:type="dxa"/>
          </w:tblCellMar>
        </w:tblPrEx>
        <w:trPr>
          <w:trHeight w:val="622" w:hRule="atLeast"/>
        </w:trPr>
        <w:tc>
          <w:tcPr>
            <w:tcW w:w="868" w:type="dxa"/>
            <w:vAlign w:val="center"/>
          </w:tcPr>
          <w:p>
            <w:pPr>
              <w:jc w:val="center"/>
              <w:rPr>
                <w:rFonts w:ascii="仿宋" w:hAnsi="仿宋" w:eastAsia="仿宋" w:cs="仿宋"/>
                <w:highlight w:val="none"/>
              </w:rPr>
            </w:pPr>
            <w:r>
              <w:rPr>
                <w:rFonts w:hint="eastAsia" w:ascii="仿宋" w:hAnsi="仿宋" w:eastAsia="仿宋" w:cs="仿宋"/>
                <w:highlight w:val="none"/>
              </w:rPr>
              <w:t>序号</w:t>
            </w:r>
          </w:p>
        </w:tc>
        <w:tc>
          <w:tcPr>
            <w:tcW w:w="1117" w:type="dxa"/>
            <w:vAlign w:val="center"/>
          </w:tcPr>
          <w:p>
            <w:pPr>
              <w:jc w:val="center"/>
              <w:rPr>
                <w:rFonts w:ascii="仿宋" w:hAnsi="仿宋" w:eastAsia="仿宋" w:cs="仿宋"/>
                <w:highlight w:val="none"/>
              </w:rPr>
            </w:pPr>
            <w:r>
              <w:rPr>
                <w:rFonts w:hint="eastAsia" w:ascii="仿宋" w:hAnsi="仿宋" w:eastAsia="仿宋" w:cs="仿宋"/>
                <w:highlight w:val="none"/>
              </w:rPr>
              <w:t>设备</w:t>
            </w:r>
          </w:p>
          <w:p>
            <w:pPr>
              <w:jc w:val="center"/>
              <w:rPr>
                <w:rFonts w:ascii="仿宋" w:hAnsi="仿宋" w:eastAsia="仿宋" w:cs="仿宋"/>
                <w:highlight w:val="none"/>
              </w:rPr>
            </w:pPr>
            <w:r>
              <w:rPr>
                <w:rFonts w:hint="eastAsia" w:ascii="仿宋" w:hAnsi="仿宋" w:eastAsia="仿宋" w:cs="仿宋"/>
                <w:highlight w:val="none"/>
              </w:rPr>
              <w:t>名称</w:t>
            </w:r>
          </w:p>
        </w:tc>
        <w:tc>
          <w:tcPr>
            <w:tcW w:w="992" w:type="dxa"/>
            <w:vAlign w:val="center"/>
          </w:tcPr>
          <w:p>
            <w:pPr>
              <w:jc w:val="center"/>
              <w:rPr>
                <w:rFonts w:ascii="仿宋" w:hAnsi="仿宋" w:eastAsia="仿宋" w:cs="仿宋"/>
                <w:highlight w:val="none"/>
              </w:rPr>
            </w:pPr>
            <w:r>
              <w:rPr>
                <w:rFonts w:hint="eastAsia" w:ascii="仿宋" w:hAnsi="仿宋" w:eastAsia="仿宋" w:cs="仿宋"/>
                <w:highlight w:val="none"/>
              </w:rPr>
              <w:t>型号</w:t>
            </w:r>
          </w:p>
          <w:p>
            <w:pPr>
              <w:jc w:val="center"/>
              <w:rPr>
                <w:rFonts w:ascii="仿宋" w:hAnsi="仿宋" w:eastAsia="仿宋" w:cs="仿宋"/>
                <w:highlight w:val="none"/>
              </w:rPr>
            </w:pPr>
            <w:r>
              <w:rPr>
                <w:rFonts w:hint="eastAsia" w:ascii="仿宋" w:hAnsi="仿宋" w:eastAsia="仿宋" w:cs="仿宋"/>
                <w:highlight w:val="none"/>
              </w:rPr>
              <w:t>规格</w:t>
            </w:r>
          </w:p>
        </w:tc>
        <w:tc>
          <w:tcPr>
            <w:tcW w:w="709" w:type="dxa"/>
            <w:vAlign w:val="center"/>
          </w:tcPr>
          <w:p>
            <w:pPr>
              <w:jc w:val="center"/>
              <w:rPr>
                <w:rFonts w:ascii="仿宋" w:hAnsi="仿宋" w:eastAsia="仿宋" w:cs="仿宋"/>
                <w:highlight w:val="none"/>
              </w:rPr>
            </w:pPr>
            <w:r>
              <w:rPr>
                <w:rFonts w:hint="eastAsia" w:ascii="仿宋" w:hAnsi="仿宋" w:eastAsia="仿宋" w:cs="仿宋"/>
                <w:highlight w:val="none"/>
              </w:rPr>
              <w:t>数量</w:t>
            </w:r>
          </w:p>
        </w:tc>
        <w:tc>
          <w:tcPr>
            <w:tcW w:w="1134" w:type="dxa"/>
            <w:vAlign w:val="center"/>
          </w:tcPr>
          <w:p>
            <w:pPr>
              <w:jc w:val="center"/>
              <w:rPr>
                <w:rFonts w:ascii="仿宋" w:hAnsi="仿宋" w:eastAsia="仿宋" w:cs="仿宋"/>
                <w:highlight w:val="none"/>
              </w:rPr>
            </w:pPr>
            <w:r>
              <w:rPr>
                <w:rFonts w:hint="eastAsia" w:ascii="仿宋" w:hAnsi="仿宋" w:eastAsia="仿宋" w:cs="仿宋"/>
                <w:highlight w:val="none"/>
              </w:rPr>
              <w:t>国别</w:t>
            </w:r>
          </w:p>
          <w:p>
            <w:pPr>
              <w:jc w:val="center"/>
              <w:rPr>
                <w:rFonts w:ascii="仿宋" w:hAnsi="仿宋" w:eastAsia="仿宋" w:cs="仿宋"/>
                <w:highlight w:val="none"/>
              </w:rPr>
            </w:pPr>
            <w:r>
              <w:rPr>
                <w:rFonts w:hint="eastAsia" w:ascii="仿宋" w:hAnsi="仿宋" w:eastAsia="仿宋" w:cs="仿宋"/>
                <w:highlight w:val="none"/>
              </w:rPr>
              <w:t>产地</w:t>
            </w:r>
          </w:p>
        </w:tc>
        <w:tc>
          <w:tcPr>
            <w:tcW w:w="1134" w:type="dxa"/>
            <w:vAlign w:val="center"/>
          </w:tcPr>
          <w:p>
            <w:pPr>
              <w:jc w:val="center"/>
              <w:rPr>
                <w:rFonts w:ascii="仿宋" w:hAnsi="仿宋" w:eastAsia="仿宋" w:cs="仿宋"/>
                <w:highlight w:val="none"/>
              </w:rPr>
            </w:pPr>
            <w:r>
              <w:rPr>
                <w:rFonts w:hint="eastAsia" w:ascii="仿宋" w:hAnsi="仿宋" w:eastAsia="仿宋" w:cs="仿宋"/>
                <w:highlight w:val="none"/>
              </w:rPr>
              <w:t>额定功率</w:t>
            </w:r>
          </w:p>
          <w:p>
            <w:pPr>
              <w:jc w:val="center"/>
              <w:rPr>
                <w:rFonts w:ascii="仿宋" w:hAnsi="仿宋" w:eastAsia="仿宋" w:cs="仿宋"/>
                <w:highlight w:val="none"/>
              </w:rPr>
            </w:pPr>
            <w:r>
              <w:rPr>
                <w:rFonts w:hint="eastAsia" w:ascii="仿宋" w:hAnsi="仿宋" w:eastAsia="仿宋" w:cs="仿宋"/>
                <w:highlight w:val="none"/>
              </w:rPr>
              <w:t>（KW）</w:t>
            </w:r>
          </w:p>
        </w:tc>
        <w:tc>
          <w:tcPr>
            <w:tcW w:w="1843" w:type="dxa"/>
            <w:vAlign w:val="center"/>
          </w:tcPr>
          <w:p>
            <w:pPr>
              <w:jc w:val="center"/>
              <w:rPr>
                <w:rFonts w:ascii="仿宋" w:hAnsi="仿宋" w:eastAsia="仿宋" w:cs="仿宋"/>
                <w:highlight w:val="none"/>
              </w:rPr>
            </w:pPr>
            <w:r>
              <w:rPr>
                <w:rFonts w:hint="eastAsia" w:ascii="仿宋" w:hAnsi="仿宋" w:eastAsia="仿宋" w:cs="仿宋"/>
                <w:highlight w:val="none"/>
              </w:rPr>
              <w:t>用于施工部位</w:t>
            </w:r>
          </w:p>
        </w:tc>
        <w:tc>
          <w:tcPr>
            <w:tcW w:w="1701" w:type="dxa"/>
            <w:vAlign w:val="center"/>
          </w:tcPr>
          <w:p>
            <w:pPr>
              <w:jc w:val="center"/>
              <w:rPr>
                <w:rFonts w:ascii="仿宋" w:hAnsi="仿宋" w:eastAsia="仿宋" w:cs="仿宋"/>
                <w:highlight w:val="none"/>
              </w:rPr>
            </w:pPr>
            <w:r>
              <w:rPr>
                <w:rFonts w:hint="eastAsia" w:ascii="仿宋" w:hAnsi="仿宋" w:eastAsia="仿宋" w:cs="仿宋"/>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highlight w:val="none"/>
              </w:rPr>
            </w:pPr>
          </w:p>
        </w:tc>
        <w:tc>
          <w:tcPr>
            <w:tcW w:w="1117" w:type="dxa"/>
            <w:vAlign w:val="center"/>
          </w:tcPr>
          <w:p>
            <w:pPr>
              <w:jc w:val="center"/>
              <w:rPr>
                <w:rFonts w:ascii="仿宋" w:hAnsi="仿宋" w:eastAsia="仿宋" w:cs="仿宋"/>
                <w:highlight w:val="none"/>
              </w:rPr>
            </w:pPr>
          </w:p>
        </w:tc>
        <w:tc>
          <w:tcPr>
            <w:tcW w:w="992" w:type="dxa"/>
            <w:vAlign w:val="center"/>
          </w:tcPr>
          <w:p>
            <w:pPr>
              <w:jc w:val="center"/>
              <w:rPr>
                <w:rFonts w:ascii="仿宋" w:hAnsi="仿宋" w:eastAsia="仿宋" w:cs="仿宋"/>
                <w:highlight w:val="none"/>
              </w:rPr>
            </w:pPr>
          </w:p>
        </w:tc>
        <w:tc>
          <w:tcPr>
            <w:tcW w:w="709"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843" w:type="dxa"/>
            <w:vAlign w:val="center"/>
          </w:tcPr>
          <w:p>
            <w:pPr>
              <w:jc w:val="center"/>
              <w:rPr>
                <w:rFonts w:ascii="仿宋" w:hAnsi="仿宋" w:eastAsia="仿宋" w:cs="仿宋"/>
                <w:highlight w:val="none"/>
              </w:rPr>
            </w:pPr>
          </w:p>
        </w:tc>
        <w:tc>
          <w:tcPr>
            <w:tcW w:w="1701"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highlight w:val="none"/>
              </w:rPr>
            </w:pPr>
          </w:p>
        </w:tc>
        <w:tc>
          <w:tcPr>
            <w:tcW w:w="1117" w:type="dxa"/>
            <w:vAlign w:val="center"/>
          </w:tcPr>
          <w:p>
            <w:pPr>
              <w:jc w:val="center"/>
              <w:rPr>
                <w:rFonts w:ascii="仿宋" w:hAnsi="仿宋" w:eastAsia="仿宋" w:cs="仿宋"/>
                <w:highlight w:val="none"/>
              </w:rPr>
            </w:pPr>
          </w:p>
        </w:tc>
        <w:tc>
          <w:tcPr>
            <w:tcW w:w="992" w:type="dxa"/>
            <w:vAlign w:val="center"/>
          </w:tcPr>
          <w:p>
            <w:pPr>
              <w:jc w:val="center"/>
              <w:rPr>
                <w:rFonts w:ascii="仿宋" w:hAnsi="仿宋" w:eastAsia="仿宋" w:cs="仿宋"/>
                <w:highlight w:val="none"/>
              </w:rPr>
            </w:pPr>
          </w:p>
        </w:tc>
        <w:tc>
          <w:tcPr>
            <w:tcW w:w="709"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843" w:type="dxa"/>
            <w:vAlign w:val="center"/>
          </w:tcPr>
          <w:p>
            <w:pPr>
              <w:jc w:val="center"/>
              <w:rPr>
                <w:rFonts w:ascii="仿宋" w:hAnsi="仿宋" w:eastAsia="仿宋" w:cs="仿宋"/>
                <w:highlight w:val="none"/>
              </w:rPr>
            </w:pPr>
          </w:p>
        </w:tc>
        <w:tc>
          <w:tcPr>
            <w:tcW w:w="1701"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highlight w:val="none"/>
              </w:rPr>
            </w:pPr>
          </w:p>
        </w:tc>
        <w:tc>
          <w:tcPr>
            <w:tcW w:w="1117" w:type="dxa"/>
            <w:vAlign w:val="center"/>
          </w:tcPr>
          <w:p>
            <w:pPr>
              <w:jc w:val="center"/>
              <w:rPr>
                <w:rFonts w:ascii="仿宋" w:hAnsi="仿宋" w:eastAsia="仿宋" w:cs="仿宋"/>
                <w:highlight w:val="none"/>
              </w:rPr>
            </w:pPr>
          </w:p>
        </w:tc>
        <w:tc>
          <w:tcPr>
            <w:tcW w:w="992" w:type="dxa"/>
            <w:vAlign w:val="center"/>
          </w:tcPr>
          <w:p>
            <w:pPr>
              <w:jc w:val="center"/>
              <w:rPr>
                <w:rFonts w:ascii="仿宋" w:hAnsi="仿宋" w:eastAsia="仿宋" w:cs="仿宋"/>
                <w:highlight w:val="none"/>
              </w:rPr>
            </w:pPr>
          </w:p>
        </w:tc>
        <w:tc>
          <w:tcPr>
            <w:tcW w:w="709"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843" w:type="dxa"/>
            <w:vAlign w:val="center"/>
          </w:tcPr>
          <w:p>
            <w:pPr>
              <w:jc w:val="center"/>
              <w:rPr>
                <w:rFonts w:ascii="仿宋" w:hAnsi="仿宋" w:eastAsia="仿宋" w:cs="仿宋"/>
                <w:highlight w:val="none"/>
              </w:rPr>
            </w:pPr>
          </w:p>
        </w:tc>
        <w:tc>
          <w:tcPr>
            <w:tcW w:w="1701"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highlight w:val="none"/>
              </w:rPr>
            </w:pPr>
          </w:p>
        </w:tc>
        <w:tc>
          <w:tcPr>
            <w:tcW w:w="1117" w:type="dxa"/>
            <w:vAlign w:val="center"/>
          </w:tcPr>
          <w:p>
            <w:pPr>
              <w:jc w:val="center"/>
              <w:rPr>
                <w:rFonts w:ascii="仿宋" w:hAnsi="仿宋" w:eastAsia="仿宋" w:cs="仿宋"/>
                <w:highlight w:val="none"/>
              </w:rPr>
            </w:pPr>
          </w:p>
        </w:tc>
        <w:tc>
          <w:tcPr>
            <w:tcW w:w="992" w:type="dxa"/>
            <w:vAlign w:val="center"/>
          </w:tcPr>
          <w:p>
            <w:pPr>
              <w:jc w:val="center"/>
              <w:rPr>
                <w:rFonts w:ascii="仿宋" w:hAnsi="仿宋" w:eastAsia="仿宋" w:cs="仿宋"/>
                <w:highlight w:val="none"/>
              </w:rPr>
            </w:pPr>
          </w:p>
        </w:tc>
        <w:tc>
          <w:tcPr>
            <w:tcW w:w="709"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843" w:type="dxa"/>
            <w:vAlign w:val="center"/>
          </w:tcPr>
          <w:p>
            <w:pPr>
              <w:jc w:val="center"/>
              <w:rPr>
                <w:rFonts w:ascii="仿宋" w:hAnsi="仿宋" w:eastAsia="仿宋" w:cs="仿宋"/>
                <w:highlight w:val="none"/>
              </w:rPr>
            </w:pPr>
          </w:p>
        </w:tc>
        <w:tc>
          <w:tcPr>
            <w:tcW w:w="1701"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highlight w:val="none"/>
              </w:rPr>
            </w:pPr>
          </w:p>
        </w:tc>
        <w:tc>
          <w:tcPr>
            <w:tcW w:w="1117" w:type="dxa"/>
            <w:vAlign w:val="center"/>
          </w:tcPr>
          <w:p>
            <w:pPr>
              <w:jc w:val="center"/>
              <w:rPr>
                <w:rFonts w:ascii="仿宋" w:hAnsi="仿宋" w:eastAsia="仿宋" w:cs="仿宋"/>
                <w:highlight w:val="none"/>
              </w:rPr>
            </w:pPr>
          </w:p>
        </w:tc>
        <w:tc>
          <w:tcPr>
            <w:tcW w:w="992" w:type="dxa"/>
            <w:vAlign w:val="center"/>
          </w:tcPr>
          <w:p>
            <w:pPr>
              <w:jc w:val="center"/>
              <w:rPr>
                <w:rFonts w:ascii="仿宋" w:hAnsi="仿宋" w:eastAsia="仿宋" w:cs="仿宋"/>
                <w:highlight w:val="none"/>
              </w:rPr>
            </w:pPr>
          </w:p>
        </w:tc>
        <w:tc>
          <w:tcPr>
            <w:tcW w:w="709"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843" w:type="dxa"/>
            <w:vAlign w:val="center"/>
          </w:tcPr>
          <w:p>
            <w:pPr>
              <w:jc w:val="center"/>
              <w:rPr>
                <w:rFonts w:ascii="仿宋" w:hAnsi="仿宋" w:eastAsia="仿宋" w:cs="仿宋"/>
                <w:highlight w:val="none"/>
              </w:rPr>
            </w:pPr>
          </w:p>
        </w:tc>
        <w:tc>
          <w:tcPr>
            <w:tcW w:w="1701"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highlight w:val="none"/>
              </w:rPr>
            </w:pPr>
          </w:p>
        </w:tc>
        <w:tc>
          <w:tcPr>
            <w:tcW w:w="1117" w:type="dxa"/>
            <w:vAlign w:val="center"/>
          </w:tcPr>
          <w:p>
            <w:pPr>
              <w:jc w:val="center"/>
              <w:rPr>
                <w:rFonts w:ascii="仿宋" w:hAnsi="仿宋" w:eastAsia="仿宋" w:cs="仿宋"/>
                <w:highlight w:val="none"/>
              </w:rPr>
            </w:pPr>
          </w:p>
        </w:tc>
        <w:tc>
          <w:tcPr>
            <w:tcW w:w="992" w:type="dxa"/>
            <w:vAlign w:val="center"/>
          </w:tcPr>
          <w:p>
            <w:pPr>
              <w:jc w:val="center"/>
              <w:rPr>
                <w:rFonts w:ascii="仿宋" w:hAnsi="仿宋" w:eastAsia="仿宋" w:cs="仿宋"/>
                <w:highlight w:val="none"/>
              </w:rPr>
            </w:pPr>
          </w:p>
        </w:tc>
        <w:tc>
          <w:tcPr>
            <w:tcW w:w="709"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843" w:type="dxa"/>
            <w:vAlign w:val="center"/>
          </w:tcPr>
          <w:p>
            <w:pPr>
              <w:jc w:val="center"/>
              <w:rPr>
                <w:rFonts w:ascii="仿宋" w:hAnsi="仿宋" w:eastAsia="仿宋" w:cs="仿宋"/>
                <w:highlight w:val="none"/>
              </w:rPr>
            </w:pPr>
          </w:p>
        </w:tc>
        <w:tc>
          <w:tcPr>
            <w:tcW w:w="1701"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highlight w:val="none"/>
              </w:rPr>
            </w:pPr>
          </w:p>
        </w:tc>
        <w:tc>
          <w:tcPr>
            <w:tcW w:w="1117" w:type="dxa"/>
            <w:vAlign w:val="center"/>
          </w:tcPr>
          <w:p>
            <w:pPr>
              <w:jc w:val="center"/>
              <w:rPr>
                <w:rFonts w:ascii="仿宋" w:hAnsi="仿宋" w:eastAsia="仿宋" w:cs="仿宋"/>
                <w:highlight w:val="none"/>
              </w:rPr>
            </w:pPr>
          </w:p>
        </w:tc>
        <w:tc>
          <w:tcPr>
            <w:tcW w:w="992" w:type="dxa"/>
            <w:vAlign w:val="center"/>
          </w:tcPr>
          <w:p>
            <w:pPr>
              <w:jc w:val="center"/>
              <w:rPr>
                <w:rFonts w:ascii="仿宋" w:hAnsi="仿宋" w:eastAsia="仿宋" w:cs="仿宋"/>
                <w:highlight w:val="none"/>
              </w:rPr>
            </w:pPr>
          </w:p>
        </w:tc>
        <w:tc>
          <w:tcPr>
            <w:tcW w:w="709"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843" w:type="dxa"/>
            <w:vAlign w:val="center"/>
          </w:tcPr>
          <w:p>
            <w:pPr>
              <w:jc w:val="center"/>
              <w:rPr>
                <w:rFonts w:ascii="仿宋" w:hAnsi="仿宋" w:eastAsia="仿宋" w:cs="仿宋"/>
                <w:highlight w:val="none"/>
              </w:rPr>
            </w:pPr>
          </w:p>
        </w:tc>
        <w:tc>
          <w:tcPr>
            <w:tcW w:w="1701"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highlight w:val="none"/>
              </w:rPr>
            </w:pPr>
          </w:p>
        </w:tc>
        <w:tc>
          <w:tcPr>
            <w:tcW w:w="1117" w:type="dxa"/>
            <w:vAlign w:val="center"/>
          </w:tcPr>
          <w:p>
            <w:pPr>
              <w:jc w:val="center"/>
              <w:rPr>
                <w:rFonts w:ascii="仿宋" w:hAnsi="仿宋" w:eastAsia="仿宋" w:cs="仿宋"/>
                <w:highlight w:val="none"/>
              </w:rPr>
            </w:pPr>
          </w:p>
        </w:tc>
        <w:tc>
          <w:tcPr>
            <w:tcW w:w="992" w:type="dxa"/>
            <w:vAlign w:val="center"/>
          </w:tcPr>
          <w:p>
            <w:pPr>
              <w:jc w:val="center"/>
              <w:rPr>
                <w:rFonts w:ascii="仿宋" w:hAnsi="仿宋" w:eastAsia="仿宋" w:cs="仿宋"/>
                <w:highlight w:val="none"/>
              </w:rPr>
            </w:pPr>
          </w:p>
        </w:tc>
        <w:tc>
          <w:tcPr>
            <w:tcW w:w="709"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843" w:type="dxa"/>
            <w:vAlign w:val="center"/>
          </w:tcPr>
          <w:p>
            <w:pPr>
              <w:jc w:val="center"/>
              <w:rPr>
                <w:rFonts w:ascii="仿宋" w:hAnsi="仿宋" w:eastAsia="仿宋" w:cs="仿宋"/>
                <w:highlight w:val="none"/>
              </w:rPr>
            </w:pPr>
          </w:p>
        </w:tc>
        <w:tc>
          <w:tcPr>
            <w:tcW w:w="1701"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highlight w:val="none"/>
              </w:rPr>
            </w:pPr>
          </w:p>
        </w:tc>
        <w:tc>
          <w:tcPr>
            <w:tcW w:w="1117" w:type="dxa"/>
            <w:vAlign w:val="center"/>
          </w:tcPr>
          <w:p>
            <w:pPr>
              <w:jc w:val="center"/>
              <w:rPr>
                <w:rFonts w:ascii="仿宋" w:hAnsi="仿宋" w:eastAsia="仿宋" w:cs="仿宋"/>
                <w:highlight w:val="none"/>
              </w:rPr>
            </w:pPr>
          </w:p>
        </w:tc>
        <w:tc>
          <w:tcPr>
            <w:tcW w:w="992" w:type="dxa"/>
            <w:vAlign w:val="center"/>
          </w:tcPr>
          <w:p>
            <w:pPr>
              <w:jc w:val="center"/>
              <w:rPr>
                <w:rFonts w:ascii="仿宋" w:hAnsi="仿宋" w:eastAsia="仿宋" w:cs="仿宋"/>
                <w:highlight w:val="none"/>
              </w:rPr>
            </w:pPr>
          </w:p>
        </w:tc>
        <w:tc>
          <w:tcPr>
            <w:tcW w:w="709"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843" w:type="dxa"/>
            <w:vAlign w:val="center"/>
          </w:tcPr>
          <w:p>
            <w:pPr>
              <w:jc w:val="center"/>
              <w:rPr>
                <w:rFonts w:ascii="仿宋" w:hAnsi="仿宋" w:eastAsia="仿宋" w:cs="仿宋"/>
                <w:highlight w:val="none"/>
              </w:rPr>
            </w:pPr>
          </w:p>
        </w:tc>
        <w:tc>
          <w:tcPr>
            <w:tcW w:w="1701"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highlight w:val="none"/>
              </w:rPr>
            </w:pPr>
          </w:p>
        </w:tc>
        <w:tc>
          <w:tcPr>
            <w:tcW w:w="1117" w:type="dxa"/>
            <w:vAlign w:val="center"/>
          </w:tcPr>
          <w:p>
            <w:pPr>
              <w:jc w:val="center"/>
              <w:rPr>
                <w:rFonts w:ascii="仿宋" w:hAnsi="仿宋" w:eastAsia="仿宋" w:cs="仿宋"/>
                <w:highlight w:val="none"/>
              </w:rPr>
            </w:pPr>
          </w:p>
        </w:tc>
        <w:tc>
          <w:tcPr>
            <w:tcW w:w="992" w:type="dxa"/>
            <w:vAlign w:val="center"/>
          </w:tcPr>
          <w:p>
            <w:pPr>
              <w:jc w:val="center"/>
              <w:rPr>
                <w:rFonts w:ascii="仿宋" w:hAnsi="仿宋" w:eastAsia="仿宋" w:cs="仿宋"/>
                <w:highlight w:val="none"/>
              </w:rPr>
            </w:pPr>
          </w:p>
        </w:tc>
        <w:tc>
          <w:tcPr>
            <w:tcW w:w="709"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843" w:type="dxa"/>
            <w:vAlign w:val="center"/>
          </w:tcPr>
          <w:p>
            <w:pPr>
              <w:jc w:val="center"/>
              <w:rPr>
                <w:rFonts w:ascii="仿宋" w:hAnsi="仿宋" w:eastAsia="仿宋" w:cs="仿宋"/>
                <w:highlight w:val="none"/>
              </w:rPr>
            </w:pPr>
          </w:p>
        </w:tc>
        <w:tc>
          <w:tcPr>
            <w:tcW w:w="1701"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highlight w:val="none"/>
              </w:rPr>
            </w:pPr>
          </w:p>
        </w:tc>
        <w:tc>
          <w:tcPr>
            <w:tcW w:w="1117" w:type="dxa"/>
            <w:vAlign w:val="center"/>
          </w:tcPr>
          <w:p>
            <w:pPr>
              <w:jc w:val="center"/>
              <w:rPr>
                <w:rFonts w:ascii="仿宋" w:hAnsi="仿宋" w:eastAsia="仿宋" w:cs="仿宋"/>
                <w:highlight w:val="none"/>
              </w:rPr>
            </w:pPr>
          </w:p>
        </w:tc>
        <w:tc>
          <w:tcPr>
            <w:tcW w:w="992" w:type="dxa"/>
            <w:vAlign w:val="center"/>
          </w:tcPr>
          <w:p>
            <w:pPr>
              <w:jc w:val="center"/>
              <w:rPr>
                <w:rFonts w:ascii="仿宋" w:hAnsi="仿宋" w:eastAsia="仿宋" w:cs="仿宋"/>
                <w:highlight w:val="none"/>
              </w:rPr>
            </w:pPr>
          </w:p>
        </w:tc>
        <w:tc>
          <w:tcPr>
            <w:tcW w:w="709"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843" w:type="dxa"/>
            <w:vAlign w:val="center"/>
          </w:tcPr>
          <w:p>
            <w:pPr>
              <w:jc w:val="center"/>
              <w:rPr>
                <w:rFonts w:ascii="仿宋" w:hAnsi="仿宋" w:eastAsia="仿宋" w:cs="仿宋"/>
                <w:highlight w:val="none"/>
              </w:rPr>
            </w:pPr>
          </w:p>
        </w:tc>
        <w:tc>
          <w:tcPr>
            <w:tcW w:w="1701"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highlight w:val="none"/>
              </w:rPr>
            </w:pPr>
          </w:p>
        </w:tc>
        <w:tc>
          <w:tcPr>
            <w:tcW w:w="1117" w:type="dxa"/>
            <w:vAlign w:val="center"/>
          </w:tcPr>
          <w:p>
            <w:pPr>
              <w:jc w:val="center"/>
              <w:rPr>
                <w:rFonts w:ascii="仿宋" w:hAnsi="仿宋" w:eastAsia="仿宋" w:cs="仿宋"/>
                <w:highlight w:val="none"/>
              </w:rPr>
            </w:pPr>
          </w:p>
        </w:tc>
        <w:tc>
          <w:tcPr>
            <w:tcW w:w="992" w:type="dxa"/>
            <w:vAlign w:val="center"/>
          </w:tcPr>
          <w:p>
            <w:pPr>
              <w:jc w:val="center"/>
              <w:rPr>
                <w:rFonts w:ascii="仿宋" w:hAnsi="仿宋" w:eastAsia="仿宋" w:cs="仿宋"/>
                <w:highlight w:val="none"/>
              </w:rPr>
            </w:pPr>
          </w:p>
        </w:tc>
        <w:tc>
          <w:tcPr>
            <w:tcW w:w="709"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843" w:type="dxa"/>
            <w:vAlign w:val="center"/>
          </w:tcPr>
          <w:p>
            <w:pPr>
              <w:jc w:val="center"/>
              <w:rPr>
                <w:rFonts w:ascii="仿宋" w:hAnsi="仿宋" w:eastAsia="仿宋" w:cs="仿宋"/>
                <w:highlight w:val="none"/>
              </w:rPr>
            </w:pPr>
          </w:p>
        </w:tc>
        <w:tc>
          <w:tcPr>
            <w:tcW w:w="1701"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highlight w:val="none"/>
              </w:rPr>
            </w:pPr>
          </w:p>
        </w:tc>
        <w:tc>
          <w:tcPr>
            <w:tcW w:w="1117" w:type="dxa"/>
            <w:vAlign w:val="center"/>
          </w:tcPr>
          <w:p>
            <w:pPr>
              <w:jc w:val="center"/>
              <w:rPr>
                <w:rFonts w:ascii="仿宋" w:hAnsi="仿宋" w:eastAsia="仿宋" w:cs="仿宋"/>
                <w:highlight w:val="none"/>
              </w:rPr>
            </w:pPr>
          </w:p>
        </w:tc>
        <w:tc>
          <w:tcPr>
            <w:tcW w:w="992" w:type="dxa"/>
            <w:vAlign w:val="center"/>
          </w:tcPr>
          <w:p>
            <w:pPr>
              <w:jc w:val="center"/>
              <w:rPr>
                <w:rFonts w:ascii="仿宋" w:hAnsi="仿宋" w:eastAsia="仿宋" w:cs="仿宋"/>
                <w:highlight w:val="none"/>
              </w:rPr>
            </w:pPr>
          </w:p>
        </w:tc>
        <w:tc>
          <w:tcPr>
            <w:tcW w:w="709"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843" w:type="dxa"/>
            <w:vAlign w:val="center"/>
          </w:tcPr>
          <w:p>
            <w:pPr>
              <w:jc w:val="center"/>
              <w:rPr>
                <w:rFonts w:ascii="仿宋" w:hAnsi="仿宋" w:eastAsia="仿宋" w:cs="仿宋"/>
                <w:highlight w:val="none"/>
              </w:rPr>
            </w:pPr>
          </w:p>
        </w:tc>
        <w:tc>
          <w:tcPr>
            <w:tcW w:w="1701"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highlight w:val="none"/>
              </w:rPr>
            </w:pPr>
          </w:p>
        </w:tc>
        <w:tc>
          <w:tcPr>
            <w:tcW w:w="1117" w:type="dxa"/>
            <w:vAlign w:val="center"/>
          </w:tcPr>
          <w:p>
            <w:pPr>
              <w:jc w:val="center"/>
              <w:rPr>
                <w:rFonts w:ascii="仿宋" w:hAnsi="仿宋" w:eastAsia="仿宋" w:cs="仿宋"/>
                <w:highlight w:val="none"/>
              </w:rPr>
            </w:pPr>
          </w:p>
        </w:tc>
        <w:tc>
          <w:tcPr>
            <w:tcW w:w="992" w:type="dxa"/>
            <w:vAlign w:val="center"/>
          </w:tcPr>
          <w:p>
            <w:pPr>
              <w:jc w:val="center"/>
              <w:rPr>
                <w:rFonts w:ascii="仿宋" w:hAnsi="仿宋" w:eastAsia="仿宋" w:cs="仿宋"/>
                <w:highlight w:val="none"/>
              </w:rPr>
            </w:pPr>
          </w:p>
        </w:tc>
        <w:tc>
          <w:tcPr>
            <w:tcW w:w="709"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843" w:type="dxa"/>
            <w:vAlign w:val="center"/>
          </w:tcPr>
          <w:p>
            <w:pPr>
              <w:jc w:val="center"/>
              <w:rPr>
                <w:rFonts w:ascii="仿宋" w:hAnsi="仿宋" w:eastAsia="仿宋" w:cs="仿宋"/>
                <w:highlight w:val="none"/>
              </w:rPr>
            </w:pPr>
          </w:p>
        </w:tc>
        <w:tc>
          <w:tcPr>
            <w:tcW w:w="1701"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highlight w:val="none"/>
              </w:rPr>
            </w:pPr>
          </w:p>
        </w:tc>
        <w:tc>
          <w:tcPr>
            <w:tcW w:w="1117" w:type="dxa"/>
            <w:vAlign w:val="center"/>
          </w:tcPr>
          <w:p>
            <w:pPr>
              <w:jc w:val="center"/>
              <w:rPr>
                <w:rFonts w:ascii="仿宋" w:hAnsi="仿宋" w:eastAsia="仿宋" w:cs="仿宋"/>
                <w:highlight w:val="none"/>
              </w:rPr>
            </w:pPr>
          </w:p>
        </w:tc>
        <w:tc>
          <w:tcPr>
            <w:tcW w:w="992" w:type="dxa"/>
            <w:vAlign w:val="center"/>
          </w:tcPr>
          <w:p>
            <w:pPr>
              <w:jc w:val="center"/>
              <w:rPr>
                <w:rFonts w:ascii="仿宋" w:hAnsi="仿宋" w:eastAsia="仿宋" w:cs="仿宋"/>
                <w:highlight w:val="none"/>
              </w:rPr>
            </w:pPr>
          </w:p>
        </w:tc>
        <w:tc>
          <w:tcPr>
            <w:tcW w:w="709"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843" w:type="dxa"/>
            <w:vAlign w:val="center"/>
          </w:tcPr>
          <w:p>
            <w:pPr>
              <w:jc w:val="center"/>
              <w:rPr>
                <w:rFonts w:ascii="仿宋" w:hAnsi="仿宋" w:eastAsia="仿宋" w:cs="仿宋"/>
                <w:highlight w:val="none"/>
              </w:rPr>
            </w:pPr>
          </w:p>
        </w:tc>
        <w:tc>
          <w:tcPr>
            <w:tcW w:w="1701"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highlight w:val="none"/>
              </w:rPr>
            </w:pPr>
          </w:p>
        </w:tc>
        <w:tc>
          <w:tcPr>
            <w:tcW w:w="1117" w:type="dxa"/>
            <w:vAlign w:val="center"/>
          </w:tcPr>
          <w:p>
            <w:pPr>
              <w:jc w:val="center"/>
              <w:rPr>
                <w:rFonts w:ascii="仿宋" w:hAnsi="仿宋" w:eastAsia="仿宋" w:cs="仿宋"/>
                <w:highlight w:val="none"/>
              </w:rPr>
            </w:pPr>
          </w:p>
        </w:tc>
        <w:tc>
          <w:tcPr>
            <w:tcW w:w="992" w:type="dxa"/>
            <w:vAlign w:val="center"/>
          </w:tcPr>
          <w:p>
            <w:pPr>
              <w:jc w:val="center"/>
              <w:rPr>
                <w:rFonts w:ascii="仿宋" w:hAnsi="仿宋" w:eastAsia="仿宋" w:cs="仿宋"/>
                <w:highlight w:val="none"/>
              </w:rPr>
            </w:pPr>
          </w:p>
        </w:tc>
        <w:tc>
          <w:tcPr>
            <w:tcW w:w="709"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843" w:type="dxa"/>
            <w:vAlign w:val="center"/>
          </w:tcPr>
          <w:p>
            <w:pPr>
              <w:jc w:val="center"/>
              <w:rPr>
                <w:rFonts w:ascii="仿宋" w:hAnsi="仿宋" w:eastAsia="仿宋" w:cs="仿宋"/>
                <w:highlight w:val="none"/>
              </w:rPr>
            </w:pPr>
          </w:p>
        </w:tc>
        <w:tc>
          <w:tcPr>
            <w:tcW w:w="1701"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highlight w:val="none"/>
              </w:rPr>
            </w:pPr>
          </w:p>
        </w:tc>
        <w:tc>
          <w:tcPr>
            <w:tcW w:w="1117" w:type="dxa"/>
            <w:vAlign w:val="center"/>
          </w:tcPr>
          <w:p>
            <w:pPr>
              <w:jc w:val="center"/>
              <w:rPr>
                <w:rFonts w:ascii="仿宋" w:hAnsi="仿宋" w:eastAsia="仿宋" w:cs="仿宋"/>
                <w:highlight w:val="none"/>
              </w:rPr>
            </w:pPr>
          </w:p>
        </w:tc>
        <w:tc>
          <w:tcPr>
            <w:tcW w:w="992" w:type="dxa"/>
            <w:vAlign w:val="center"/>
          </w:tcPr>
          <w:p>
            <w:pPr>
              <w:jc w:val="center"/>
              <w:rPr>
                <w:rFonts w:ascii="仿宋" w:hAnsi="仿宋" w:eastAsia="仿宋" w:cs="仿宋"/>
                <w:highlight w:val="none"/>
              </w:rPr>
            </w:pPr>
          </w:p>
        </w:tc>
        <w:tc>
          <w:tcPr>
            <w:tcW w:w="709"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843" w:type="dxa"/>
            <w:vAlign w:val="center"/>
          </w:tcPr>
          <w:p>
            <w:pPr>
              <w:jc w:val="center"/>
              <w:rPr>
                <w:rFonts w:ascii="仿宋" w:hAnsi="仿宋" w:eastAsia="仿宋" w:cs="仿宋"/>
                <w:highlight w:val="none"/>
              </w:rPr>
            </w:pPr>
          </w:p>
        </w:tc>
        <w:tc>
          <w:tcPr>
            <w:tcW w:w="1701"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highlight w:val="none"/>
              </w:rPr>
            </w:pPr>
          </w:p>
        </w:tc>
        <w:tc>
          <w:tcPr>
            <w:tcW w:w="1117" w:type="dxa"/>
            <w:vAlign w:val="center"/>
          </w:tcPr>
          <w:p>
            <w:pPr>
              <w:jc w:val="center"/>
              <w:rPr>
                <w:rFonts w:ascii="仿宋" w:hAnsi="仿宋" w:eastAsia="仿宋" w:cs="仿宋"/>
                <w:highlight w:val="none"/>
              </w:rPr>
            </w:pPr>
          </w:p>
        </w:tc>
        <w:tc>
          <w:tcPr>
            <w:tcW w:w="992" w:type="dxa"/>
            <w:vAlign w:val="center"/>
          </w:tcPr>
          <w:p>
            <w:pPr>
              <w:jc w:val="center"/>
              <w:rPr>
                <w:rFonts w:ascii="仿宋" w:hAnsi="仿宋" w:eastAsia="仿宋" w:cs="仿宋"/>
                <w:highlight w:val="none"/>
              </w:rPr>
            </w:pPr>
          </w:p>
        </w:tc>
        <w:tc>
          <w:tcPr>
            <w:tcW w:w="709"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843" w:type="dxa"/>
            <w:vAlign w:val="center"/>
          </w:tcPr>
          <w:p>
            <w:pPr>
              <w:jc w:val="center"/>
              <w:rPr>
                <w:rFonts w:ascii="仿宋" w:hAnsi="仿宋" w:eastAsia="仿宋" w:cs="仿宋"/>
                <w:highlight w:val="none"/>
              </w:rPr>
            </w:pPr>
          </w:p>
        </w:tc>
        <w:tc>
          <w:tcPr>
            <w:tcW w:w="1701"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highlight w:val="none"/>
              </w:rPr>
            </w:pPr>
          </w:p>
        </w:tc>
        <w:tc>
          <w:tcPr>
            <w:tcW w:w="1117" w:type="dxa"/>
            <w:vAlign w:val="center"/>
          </w:tcPr>
          <w:p>
            <w:pPr>
              <w:jc w:val="center"/>
              <w:rPr>
                <w:rFonts w:ascii="仿宋" w:hAnsi="仿宋" w:eastAsia="仿宋" w:cs="仿宋"/>
                <w:highlight w:val="none"/>
              </w:rPr>
            </w:pPr>
          </w:p>
        </w:tc>
        <w:tc>
          <w:tcPr>
            <w:tcW w:w="992" w:type="dxa"/>
            <w:vAlign w:val="center"/>
          </w:tcPr>
          <w:p>
            <w:pPr>
              <w:jc w:val="center"/>
              <w:rPr>
                <w:rFonts w:ascii="仿宋" w:hAnsi="仿宋" w:eastAsia="仿宋" w:cs="仿宋"/>
                <w:highlight w:val="none"/>
              </w:rPr>
            </w:pPr>
          </w:p>
        </w:tc>
        <w:tc>
          <w:tcPr>
            <w:tcW w:w="709"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843" w:type="dxa"/>
            <w:vAlign w:val="center"/>
          </w:tcPr>
          <w:p>
            <w:pPr>
              <w:jc w:val="center"/>
              <w:rPr>
                <w:rFonts w:ascii="仿宋" w:hAnsi="仿宋" w:eastAsia="仿宋" w:cs="仿宋"/>
                <w:highlight w:val="none"/>
              </w:rPr>
            </w:pPr>
          </w:p>
        </w:tc>
        <w:tc>
          <w:tcPr>
            <w:tcW w:w="1701"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highlight w:val="none"/>
              </w:rPr>
            </w:pPr>
          </w:p>
        </w:tc>
        <w:tc>
          <w:tcPr>
            <w:tcW w:w="1117" w:type="dxa"/>
            <w:vAlign w:val="center"/>
          </w:tcPr>
          <w:p>
            <w:pPr>
              <w:jc w:val="center"/>
              <w:rPr>
                <w:rFonts w:ascii="仿宋" w:hAnsi="仿宋" w:eastAsia="仿宋" w:cs="仿宋"/>
                <w:highlight w:val="none"/>
              </w:rPr>
            </w:pPr>
          </w:p>
        </w:tc>
        <w:tc>
          <w:tcPr>
            <w:tcW w:w="992" w:type="dxa"/>
            <w:vAlign w:val="center"/>
          </w:tcPr>
          <w:p>
            <w:pPr>
              <w:jc w:val="center"/>
              <w:rPr>
                <w:rFonts w:ascii="仿宋" w:hAnsi="仿宋" w:eastAsia="仿宋" w:cs="仿宋"/>
                <w:highlight w:val="none"/>
              </w:rPr>
            </w:pPr>
          </w:p>
        </w:tc>
        <w:tc>
          <w:tcPr>
            <w:tcW w:w="709"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843" w:type="dxa"/>
            <w:vAlign w:val="center"/>
          </w:tcPr>
          <w:p>
            <w:pPr>
              <w:jc w:val="center"/>
              <w:rPr>
                <w:rFonts w:ascii="仿宋" w:hAnsi="仿宋" w:eastAsia="仿宋" w:cs="仿宋"/>
                <w:highlight w:val="none"/>
              </w:rPr>
            </w:pPr>
          </w:p>
        </w:tc>
        <w:tc>
          <w:tcPr>
            <w:tcW w:w="1701"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highlight w:val="none"/>
              </w:rPr>
            </w:pPr>
          </w:p>
        </w:tc>
        <w:tc>
          <w:tcPr>
            <w:tcW w:w="1117" w:type="dxa"/>
            <w:vAlign w:val="center"/>
          </w:tcPr>
          <w:p>
            <w:pPr>
              <w:jc w:val="center"/>
              <w:rPr>
                <w:rFonts w:ascii="仿宋" w:hAnsi="仿宋" w:eastAsia="仿宋" w:cs="仿宋"/>
                <w:highlight w:val="none"/>
              </w:rPr>
            </w:pPr>
          </w:p>
        </w:tc>
        <w:tc>
          <w:tcPr>
            <w:tcW w:w="992" w:type="dxa"/>
            <w:vAlign w:val="center"/>
          </w:tcPr>
          <w:p>
            <w:pPr>
              <w:jc w:val="center"/>
              <w:rPr>
                <w:rFonts w:ascii="仿宋" w:hAnsi="仿宋" w:eastAsia="仿宋" w:cs="仿宋"/>
                <w:highlight w:val="none"/>
              </w:rPr>
            </w:pPr>
          </w:p>
        </w:tc>
        <w:tc>
          <w:tcPr>
            <w:tcW w:w="709"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843" w:type="dxa"/>
            <w:vAlign w:val="center"/>
          </w:tcPr>
          <w:p>
            <w:pPr>
              <w:jc w:val="center"/>
              <w:rPr>
                <w:rFonts w:ascii="仿宋" w:hAnsi="仿宋" w:eastAsia="仿宋" w:cs="仿宋"/>
                <w:highlight w:val="none"/>
              </w:rPr>
            </w:pPr>
          </w:p>
        </w:tc>
        <w:tc>
          <w:tcPr>
            <w:tcW w:w="1701"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highlight w:val="none"/>
              </w:rPr>
            </w:pPr>
          </w:p>
        </w:tc>
        <w:tc>
          <w:tcPr>
            <w:tcW w:w="1117" w:type="dxa"/>
            <w:vAlign w:val="center"/>
          </w:tcPr>
          <w:p>
            <w:pPr>
              <w:jc w:val="center"/>
              <w:rPr>
                <w:rFonts w:ascii="仿宋" w:hAnsi="仿宋" w:eastAsia="仿宋" w:cs="仿宋"/>
                <w:highlight w:val="none"/>
              </w:rPr>
            </w:pPr>
          </w:p>
        </w:tc>
        <w:tc>
          <w:tcPr>
            <w:tcW w:w="992" w:type="dxa"/>
            <w:vAlign w:val="center"/>
          </w:tcPr>
          <w:p>
            <w:pPr>
              <w:jc w:val="center"/>
              <w:rPr>
                <w:rFonts w:ascii="仿宋" w:hAnsi="仿宋" w:eastAsia="仿宋" w:cs="仿宋"/>
                <w:highlight w:val="none"/>
              </w:rPr>
            </w:pPr>
          </w:p>
        </w:tc>
        <w:tc>
          <w:tcPr>
            <w:tcW w:w="709"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843" w:type="dxa"/>
            <w:vAlign w:val="center"/>
          </w:tcPr>
          <w:p>
            <w:pPr>
              <w:jc w:val="center"/>
              <w:rPr>
                <w:rFonts w:ascii="仿宋" w:hAnsi="仿宋" w:eastAsia="仿宋" w:cs="仿宋"/>
                <w:highlight w:val="none"/>
              </w:rPr>
            </w:pPr>
          </w:p>
        </w:tc>
        <w:tc>
          <w:tcPr>
            <w:tcW w:w="1701"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ascii="仿宋" w:hAnsi="仿宋" w:eastAsia="仿宋" w:cs="仿宋"/>
                <w:highlight w:val="none"/>
              </w:rPr>
            </w:pPr>
          </w:p>
        </w:tc>
        <w:tc>
          <w:tcPr>
            <w:tcW w:w="1117" w:type="dxa"/>
            <w:vAlign w:val="center"/>
          </w:tcPr>
          <w:p>
            <w:pPr>
              <w:jc w:val="center"/>
              <w:rPr>
                <w:rFonts w:ascii="仿宋" w:hAnsi="仿宋" w:eastAsia="仿宋" w:cs="仿宋"/>
                <w:highlight w:val="none"/>
              </w:rPr>
            </w:pPr>
          </w:p>
        </w:tc>
        <w:tc>
          <w:tcPr>
            <w:tcW w:w="992" w:type="dxa"/>
            <w:vAlign w:val="center"/>
          </w:tcPr>
          <w:p>
            <w:pPr>
              <w:jc w:val="center"/>
              <w:rPr>
                <w:rFonts w:ascii="仿宋" w:hAnsi="仿宋" w:eastAsia="仿宋" w:cs="仿宋"/>
                <w:highlight w:val="none"/>
              </w:rPr>
            </w:pPr>
          </w:p>
        </w:tc>
        <w:tc>
          <w:tcPr>
            <w:tcW w:w="709"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134" w:type="dxa"/>
            <w:vAlign w:val="center"/>
          </w:tcPr>
          <w:p>
            <w:pPr>
              <w:jc w:val="center"/>
              <w:rPr>
                <w:rFonts w:ascii="仿宋" w:hAnsi="仿宋" w:eastAsia="仿宋" w:cs="仿宋"/>
                <w:highlight w:val="none"/>
              </w:rPr>
            </w:pPr>
          </w:p>
        </w:tc>
        <w:tc>
          <w:tcPr>
            <w:tcW w:w="1843" w:type="dxa"/>
            <w:vAlign w:val="center"/>
          </w:tcPr>
          <w:p>
            <w:pPr>
              <w:jc w:val="center"/>
              <w:rPr>
                <w:rFonts w:ascii="仿宋" w:hAnsi="仿宋" w:eastAsia="仿宋" w:cs="仿宋"/>
                <w:highlight w:val="none"/>
              </w:rPr>
            </w:pPr>
          </w:p>
        </w:tc>
        <w:tc>
          <w:tcPr>
            <w:tcW w:w="1701" w:type="dxa"/>
            <w:vAlign w:val="center"/>
          </w:tcPr>
          <w:p>
            <w:pPr>
              <w:jc w:val="center"/>
              <w:rPr>
                <w:rFonts w:ascii="仿宋" w:hAnsi="仿宋" w:eastAsia="仿宋" w:cs="仿宋"/>
                <w:highlight w:val="none"/>
              </w:rPr>
            </w:pPr>
          </w:p>
        </w:tc>
      </w:tr>
    </w:tbl>
    <w:p>
      <w:pPr>
        <w:spacing w:line="420" w:lineRule="exact"/>
        <w:rPr>
          <w:rFonts w:ascii="仿宋" w:hAnsi="仿宋" w:eastAsia="仿宋" w:cs="仿宋"/>
          <w:sz w:val="24"/>
          <w:szCs w:val="24"/>
          <w:highlight w:val="none"/>
        </w:rPr>
      </w:pPr>
    </w:p>
    <w:p>
      <w:pPr>
        <w:spacing w:before="156" w:beforeLines="50" w:after="312" w:afterLines="100" w:line="420" w:lineRule="exact"/>
        <w:rPr>
          <w:rFonts w:ascii="仿宋" w:hAnsi="仿宋" w:eastAsia="仿宋" w:cs="仿宋"/>
          <w:b/>
          <w:bCs/>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b/>
          <w:bCs/>
          <w:sz w:val="24"/>
          <w:szCs w:val="24"/>
          <w:highlight w:val="none"/>
        </w:rPr>
        <w:t>附表二：拟配备本工程的试验和检测仪器设备表</w:t>
      </w:r>
    </w:p>
    <w:tbl>
      <w:tblPr>
        <w:tblStyle w:val="3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624"/>
        <w:gridCol w:w="1362"/>
        <w:gridCol w:w="1001"/>
        <w:gridCol w:w="1180"/>
        <w:gridCol w:w="1402"/>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98" w:type="dxa"/>
            <w:vAlign w:val="center"/>
          </w:tcPr>
          <w:p>
            <w:pPr>
              <w:jc w:val="center"/>
              <w:rPr>
                <w:rFonts w:ascii="仿宋" w:hAnsi="仿宋" w:eastAsia="仿宋" w:cs="仿宋"/>
                <w:highlight w:val="none"/>
              </w:rPr>
            </w:pPr>
            <w:r>
              <w:rPr>
                <w:rFonts w:hint="eastAsia" w:ascii="仿宋" w:hAnsi="仿宋" w:eastAsia="仿宋" w:cs="仿宋"/>
                <w:highlight w:val="none"/>
              </w:rPr>
              <w:t>序号</w:t>
            </w:r>
          </w:p>
        </w:tc>
        <w:tc>
          <w:tcPr>
            <w:tcW w:w="1624" w:type="dxa"/>
            <w:vAlign w:val="center"/>
          </w:tcPr>
          <w:p>
            <w:pPr>
              <w:jc w:val="center"/>
              <w:rPr>
                <w:rFonts w:ascii="仿宋" w:hAnsi="仿宋" w:eastAsia="仿宋" w:cs="仿宋"/>
                <w:highlight w:val="none"/>
              </w:rPr>
            </w:pPr>
            <w:r>
              <w:rPr>
                <w:rFonts w:hint="eastAsia" w:ascii="仿宋" w:hAnsi="仿宋" w:eastAsia="仿宋" w:cs="仿宋"/>
                <w:highlight w:val="none"/>
              </w:rPr>
              <w:t>仪器设备名称</w:t>
            </w:r>
          </w:p>
        </w:tc>
        <w:tc>
          <w:tcPr>
            <w:tcW w:w="1362" w:type="dxa"/>
            <w:vAlign w:val="center"/>
          </w:tcPr>
          <w:p>
            <w:pPr>
              <w:jc w:val="center"/>
              <w:rPr>
                <w:rFonts w:ascii="仿宋" w:hAnsi="仿宋" w:eastAsia="仿宋" w:cs="仿宋"/>
                <w:highlight w:val="none"/>
              </w:rPr>
            </w:pPr>
            <w:r>
              <w:rPr>
                <w:rFonts w:hint="eastAsia" w:ascii="仿宋" w:hAnsi="仿宋" w:eastAsia="仿宋" w:cs="仿宋"/>
                <w:highlight w:val="none"/>
              </w:rPr>
              <w:t>型号</w:t>
            </w:r>
          </w:p>
          <w:p>
            <w:pPr>
              <w:jc w:val="center"/>
              <w:rPr>
                <w:rFonts w:ascii="仿宋" w:hAnsi="仿宋" w:eastAsia="仿宋" w:cs="仿宋"/>
                <w:highlight w:val="none"/>
              </w:rPr>
            </w:pPr>
            <w:r>
              <w:rPr>
                <w:rFonts w:hint="eastAsia" w:ascii="仿宋" w:hAnsi="仿宋" w:eastAsia="仿宋" w:cs="仿宋"/>
                <w:highlight w:val="none"/>
              </w:rPr>
              <w:t>规格</w:t>
            </w:r>
          </w:p>
        </w:tc>
        <w:tc>
          <w:tcPr>
            <w:tcW w:w="1001" w:type="dxa"/>
            <w:vAlign w:val="center"/>
          </w:tcPr>
          <w:p>
            <w:pPr>
              <w:jc w:val="center"/>
              <w:rPr>
                <w:rFonts w:ascii="仿宋" w:hAnsi="仿宋" w:eastAsia="仿宋" w:cs="仿宋"/>
                <w:highlight w:val="none"/>
              </w:rPr>
            </w:pPr>
            <w:r>
              <w:rPr>
                <w:rFonts w:hint="eastAsia" w:ascii="仿宋" w:hAnsi="仿宋" w:eastAsia="仿宋" w:cs="仿宋"/>
                <w:highlight w:val="none"/>
              </w:rPr>
              <w:t>数量</w:t>
            </w:r>
          </w:p>
        </w:tc>
        <w:tc>
          <w:tcPr>
            <w:tcW w:w="1180" w:type="dxa"/>
            <w:vAlign w:val="center"/>
          </w:tcPr>
          <w:p>
            <w:pPr>
              <w:jc w:val="center"/>
              <w:rPr>
                <w:rFonts w:ascii="仿宋" w:hAnsi="仿宋" w:eastAsia="仿宋" w:cs="仿宋"/>
                <w:highlight w:val="none"/>
              </w:rPr>
            </w:pPr>
            <w:r>
              <w:rPr>
                <w:rFonts w:hint="eastAsia" w:ascii="仿宋" w:hAnsi="仿宋" w:eastAsia="仿宋" w:cs="仿宋"/>
                <w:highlight w:val="none"/>
              </w:rPr>
              <w:t>国别</w:t>
            </w:r>
          </w:p>
          <w:p>
            <w:pPr>
              <w:jc w:val="center"/>
              <w:rPr>
                <w:rFonts w:ascii="仿宋" w:hAnsi="仿宋" w:eastAsia="仿宋" w:cs="仿宋"/>
                <w:highlight w:val="none"/>
              </w:rPr>
            </w:pPr>
            <w:r>
              <w:rPr>
                <w:rFonts w:hint="eastAsia" w:ascii="仿宋" w:hAnsi="仿宋" w:eastAsia="仿宋" w:cs="仿宋"/>
                <w:highlight w:val="none"/>
              </w:rPr>
              <w:t>产地</w:t>
            </w:r>
          </w:p>
        </w:tc>
        <w:tc>
          <w:tcPr>
            <w:tcW w:w="1402" w:type="dxa"/>
            <w:vAlign w:val="center"/>
          </w:tcPr>
          <w:p>
            <w:pPr>
              <w:jc w:val="center"/>
              <w:rPr>
                <w:rFonts w:ascii="仿宋" w:hAnsi="仿宋" w:eastAsia="仿宋" w:cs="仿宋"/>
                <w:highlight w:val="none"/>
              </w:rPr>
            </w:pPr>
            <w:r>
              <w:rPr>
                <w:rFonts w:hint="eastAsia" w:ascii="仿宋" w:hAnsi="仿宋" w:eastAsia="仿宋" w:cs="仿宋"/>
                <w:highlight w:val="none"/>
              </w:rPr>
              <w:t>用途</w:t>
            </w:r>
          </w:p>
        </w:tc>
        <w:tc>
          <w:tcPr>
            <w:tcW w:w="1279" w:type="dxa"/>
            <w:vAlign w:val="center"/>
          </w:tcPr>
          <w:p>
            <w:pPr>
              <w:jc w:val="center"/>
              <w:rPr>
                <w:rFonts w:ascii="仿宋" w:hAnsi="仿宋" w:eastAsia="仿宋" w:cs="仿宋"/>
                <w:highlight w:val="none"/>
              </w:rPr>
            </w:pPr>
            <w:r>
              <w:rPr>
                <w:rFonts w:hint="eastAsia" w:ascii="仿宋" w:hAnsi="仿宋" w:eastAsia="仿宋" w:cs="仿宋"/>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highlight w:val="none"/>
              </w:rPr>
            </w:pPr>
          </w:p>
        </w:tc>
        <w:tc>
          <w:tcPr>
            <w:tcW w:w="1624" w:type="dxa"/>
            <w:vAlign w:val="center"/>
          </w:tcPr>
          <w:p>
            <w:pPr>
              <w:jc w:val="center"/>
              <w:rPr>
                <w:rFonts w:ascii="仿宋" w:hAnsi="仿宋" w:eastAsia="仿宋" w:cs="仿宋"/>
                <w:highlight w:val="none"/>
              </w:rPr>
            </w:pPr>
          </w:p>
        </w:tc>
        <w:tc>
          <w:tcPr>
            <w:tcW w:w="1362" w:type="dxa"/>
            <w:vAlign w:val="center"/>
          </w:tcPr>
          <w:p>
            <w:pPr>
              <w:jc w:val="center"/>
              <w:rPr>
                <w:rFonts w:ascii="仿宋" w:hAnsi="仿宋" w:eastAsia="仿宋" w:cs="仿宋"/>
                <w:highlight w:val="none"/>
              </w:rPr>
            </w:pPr>
          </w:p>
        </w:tc>
        <w:tc>
          <w:tcPr>
            <w:tcW w:w="1001" w:type="dxa"/>
            <w:vAlign w:val="center"/>
          </w:tcPr>
          <w:p>
            <w:pPr>
              <w:jc w:val="center"/>
              <w:rPr>
                <w:rFonts w:ascii="仿宋" w:hAnsi="仿宋" w:eastAsia="仿宋" w:cs="仿宋"/>
                <w:highlight w:val="none"/>
              </w:rPr>
            </w:pPr>
          </w:p>
        </w:tc>
        <w:tc>
          <w:tcPr>
            <w:tcW w:w="1180" w:type="dxa"/>
            <w:vAlign w:val="center"/>
          </w:tcPr>
          <w:p>
            <w:pPr>
              <w:jc w:val="center"/>
              <w:rPr>
                <w:rFonts w:ascii="仿宋" w:hAnsi="仿宋" w:eastAsia="仿宋" w:cs="仿宋"/>
                <w:highlight w:val="none"/>
              </w:rPr>
            </w:pPr>
          </w:p>
        </w:tc>
        <w:tc>
          <w:tcPr>
            <w:tcW w:w="1402" w:type="dxa"/>
            <w:vAlign w:val="center"/>
          </w:tcPr>
          <w:p>
            <w:pPr>
              <w:jc w:val="center"/>
              <w:rPr>
                <w:rFonts w:ascii="仿宋" w:hAnsi="仿宋" w:eastAsia="仿宋" w:cs="仿宋"/>
                <w:highlight w:val="none"/>
              </w:rPr>
            </w:pPr>
          </w:p>
        </w:tc>
        <w:tc>
          <w:tcPr>
            <w:tcW w:w="1279"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highlight w:val="none"/>
              </w:rPr>
            </w:pPr>
          </w:p>
        </w:tc>
        <w:tc>
          <w:tcPr>
            <w:tcW w:w="1624" w:type="dxa"/>
            <w:vAlign w:val="center"/>
          </w:tcPr>
          <w:p>
            <w:pPr>
              <w:jc w:val="center"/>
              <w:rPr>
                <w:rFonts w:ascii="仿宋" w:hAnsi="仿宋" w:eastAsia="仿宋" w:cs="仿宋"/>
                <w:highlight w:val="none"/>
              </w:rPr>
            </w:pPr>
          </w:p>
        </w:tc>
        <w:tc>
          <w:tcPr>
            <w:tcW w:w="1362" w:type="dxa"/>
            <w:vAlign w:val="center"/>
          </w:tcPr>
          <w:p>
            <w:pPr>
              <w:jc w:val="center"/>
              <w:rPr>
                <w:rFonts w:ascii="仿宋" w:hAnsi="仿宋" w:eastAsia="仿宋" w:cs="仿宋"/>
                <w:highlight w:val="none"/>
              </w:rPr>
            </w:pPr>
          </w:p>
        </w:tc>
        <w:tc>
          <w:tcPr>
            <w:tcW w:w="1001" w:type="dxa"/>
            <w:vAlign w:val="center"/>
          </w:tcPr>
          <w:p>
            <w:pPr>
              <w:jc w:val="center"/>
              <w:rPr>
                <w:rFonts w:ascii="仿宋" w:hAnsi="仿宋" w:eastAsia="仿宋" w:cs="仿宋"/>
                <w:highlight w:val="none"/>
              </w:rPr>
            </w:pPr>
          </w:p>
        </w:tc>
        <w:tc>
          <w:tcPr>
            <w:tcW w:w="1180" w:type="dxa"/>
            <w:vAlign w:val="center"/>
          </w:tcPr>
          <w:p>
            <w:pPr>
              <w:jc w:val="center"/>
              <w:rPr>
                <w:rFonts w:ascii="仿宋" w:hAnsi="仿宋" w:eastAsia="仿宋" w:cs="仿宋"/>
                <w:highlight w:val="none"/>
              </w:rPr>
            </w:pPr>
          </w:p>
        </w:tc>
        <w:tc>
          <w:tcPr>
            <w:tcW w:w="1402" w:type="dxa"/>
            <w:vAlign w:val="center"/>
          </w:tcPr>
          <w:p>
            <w:pPr>
              <w:jc w:val="center"/>
              <w:rPr>
                <w:rFonts w:ascii="仿宋" w:hAnsi="仿宋" w:eastAsia="仿宋" w:cs="仿宋"/>
                <w:highlight w:val="none"/>
              </w:rPr>
            </w:pPr>
          </w:p>
        </w:tc>
        <w:tc>
          <w:tcPr>
            <w:tcW w:w="1279"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highlight w:val="none"/>
              </w:rPr>
            </w:pPr>
          </w:p>
        </w:tc>
        <w:tc>
          <w:tcPr>
            <w:tcW w:w="1624" w:type="dxa"/>
            <w:vAlign w:val="center"/>
          </w:tcPr>
          <w:p>
            <w:pPr>
              <w:jc w:val="center"/>
              <w:rPr>
                <w:rFonts w:ascii="仿宋" w:hAnsi="仿宋" w:eastAsia="仿宋" w:cs="仿宋"/>
                <w:highlight w:val="none"/>
              </w:rPr>
            </w:pPr>
          </w:p>
        </w:tc>
        <w:tc>
          <w:tcPr>
            <w:tcW w:w="1362" w:type="dxa"/>
            <w:vAlign w:val="center"/>
          </w:tcPr>
          <w:p>
            <w:pPr>
              <w:jc w:val="center"/>
              <w:rPr>
                <w:rFonts w:ascii="仿宋" w:hAnsi="仿宋" w:eastAsia="仿宋" w:cs="仿宋"/>
                <w:highlight w:val="none"/>
              </w:rPr>
            </w:pPr>
          </w:p>
        </w:tc>
        <w:tc>
          <w:tcPr>
            <w:tcW w:w="1001" w:type="dxa"/>
            <w:vAlign w:val="center"/>
          </w:tcPr>
          <w:p>
            <w:pPr>
              <w:jc w:val="center"/>
              <w:rPr>
                <w:rFonts w:ascii="仿宋" w:hAnsi="仿宋" w:eastAsia="仿宋" w:cs="仿宋"/>
                <w:highlight w:val="none"/>
              </w:rPr>
            </w:pPr>
          </w:p>
        </w:tc>
        <w:tc>
          <w:tcPr>
            <w:tcW w:w="1180" w:type="dxa"/>
            <w:vAlign w:val="center"/>
          </w:tcPr>
          <w:p>
            <w:pPr>
              <w:jc w:val="center"/>
              <w:rPr>
                <w:rFonts w:ascii="仿宋" w:hAnsi="仿宋" w:eastAsia="仿宋" w:cs="仿宋"/>
                <w:highlight w:val="none"/>
              </w:rPr>
            </w:pPr>
          </w:p>
        </w:tc>
        <w:tc>
          <w:tcPr>
            <w:tcW w:w="1402" w:type="dxa"/>
            <w:vAlign w:val="center"/>
          </w:tcPr>
          <w:p>
            <w:pPr>
              <w:jc w:val="center"/>
              <w:rPr>
                <w:rFonts w:ascii="仿宋" w:hAnsi="仿宋" w:eastAsia="仿宋" w:cs="仿宋"/>
                <w:highlight w:val="none"/>
              </w:rPr>
            </w:pPr>
          </w:p>
        </w:tc>
        <w:tc>
          <w:tcPr>
            <w:tcW w:w="1279"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highlight w:val="none"/>
              </w:rPr>
            </w:pPr>
          </w:p>
        </w:tc>
        <w:tc>
          <w:tcPr>
            <w:tcW w:w="1624" w:type="dxa"/>
            <w:vAlign w:val="center"/>
          </w:tcPr>
          <w:p>
            <w:pPr>
              <w:jc w:val="center"/>
              <w:rPr>
                <w:rFonts w:ascii="仿宋" w:hAnsi="仿宋" w:eastAsia="仿宋" w:cs="仿宋"/>
                <w:highlight w:val="none"/>
              </w:rPr>
            </w:pPr>
          </w:p>
        </w:tc>
        <w:tc>
          <w:tcPr>
            <w:tcW w:w="1362" w:type="dxa"/>
            <w:vAlign w:val="center"/>
          </w:tcPr>
          <w:p>
            <w:pPr>
              <w:jc w:val="center"/>
              <w:rPr>
                <w:rFonts w:ascii="仿宋" w:hAnsi="仿宋" w:eastAsia="仿宋" w:cs="仿宋"/>
                <w:highlight w:val="none"/>
              </w:rPr>
            </w:pPr>
          </w:p>
        </w:tc>
        <w:tc>
          <w:tcPr>
            <w:tcW w:w="1001" w:type="dxa"/>
            <w:vAlign w:val="center"/>
          </w:tcPr>
          <w:p>
            <w:pPr>
              <w:jc w:val="center"/>
              <w:rPr>
                <w:rFonts w:ascii="仿宋" w:hAnsi="仿宋" w:eastAsia="仿宋" w:cs="仿宋"/>
                <w:highlight w:val="none"/>
              </w:rPr>
            </w:pPr>
          </w:p>
        </w:tc>
        <w:tc>
          <w:tcPr>
            <w:tcW w:w="1180" w:type="dxa"/>
            <w:vAlign w:val="center"/>
          </w:tcPr>
          <w:p>
            <w:pPr>
              <w:jc w:val="center"/>
              <w:rPr>
                <w:rFonts w:ascii="仿宋" w:hAnsi="仿宋" w:eastAsia="仿宋" w:cs="仿宋"/>
                <w:highlight w:val="none"/>
              </w:rPr>
            </w:pPr>
          </w:p>
        </w:tc>
        <w:tc>
          <w:tcPr>
            <w:tcW w:w="1402" w:type="dxa"/>
            <w:vAlign w:val="center"/>
          </w:tcPr>
          <w:p>
            <w:pPr>
              <w:jc w:val="center"/>
              <w:rPr>
                <w:rFonts w:ascii="仿宋" w:hAnsi="仿宋" w:eastAsia="仿宋" w:cs="仿宋"/>
                <w:highlight w:val="none"/>
              </w:rPr>
            </w:pPr>
          </w:p>
        </w:tc>
        <w:tc>
          <w:tcPr>
            <w:tcW w:w="1279"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highlight w:val="none"/>
              </w:rPr>
            </w:pPr>
          </w:p>
        </w:tc>
        <w:tc>
          <w:tcPr>
            <w:tcW w:w="1624" w:type="dxa"/>
            <w:vAlign w:val="center"/>
          </w:tcPr>
          <w:p>
            <w:pPr>
              <w:jc w:val="center"/>
              <w:rPr>
                <w:rFonts w:ascii="仿宋" w:hAnsi="仿宋" w:eastAsia="仿宋" w:cs="仿宋"/>
                <w:highlight w:val="none"/>
              </w:rPr>
            </w:pPr>
          </w:p>
        </w:tc>
        <w:tc>
          <w:tcPr>
            <w:tcW w:w="1362" w:type="dxa"/>
            <w:vAlign w:val="center"/>
          </w:tcPr>
          <w:p>
            <w:pPr>
              <w:jc w:val="center"/>
              <w:rPr>
                <w:rFonts w:ascii="仿宋" w:hAnsi="仿宋" w:eastAsia="仿宋" w:cs="仿宋"/>
                <w:highlight w:val="none"/>
              </w:rPr>
            </w:pPr>
          </w:p>
        </w:tc>
        <w:tc>
          <w:tcPr>
            <w:tcW w:w="1001" w:type="dxa"/>
            <w:vAlign w:val="center"/>
          </w:tcPr>
          <w:p>
            <w:pPr>
              <w:jc w:val="center"/>
              <w:rPr>
                <w:rFonts w:ascii="仿宋" w:hAnsi="仿宋" w:eastAsia="仿宋" w:cs="仿宋"/>
                <w:highlight w:val="none"/>
              </w:rPr>
            </w:pPr>
          </w:p>
        </w:tc>
        <w:tc>
          <w:tcPr>
            <w:tcW w:w="1180" w:type="dxa"/>
            <w:vAlign w:val="center"/>
          </w:tcPr>
          <w:p>
            <w:pPr>
              <w:jc w:val="center"/>
              <w:rPr>
                <w:rFonts w:ascii="仿宋" w:hAnsi="仿宋" w:eastAsia="仿宋" w:cs="仿宋"/>
                <w:highlight w:val="none"/>
              </w:rPr>
            </w:pPr>
          </w:p>
        </w:tc>
        <w:tc>
          <w:tcPr>
            <w:tcW w:w="1402" w:type="dxa"/>
            <w:vAlign w:val="center"/>
          </w:tcPr>
          <w:p>
            <w:pPr>
              <w:jc w:val="center"/>
              <w:rPr>
                <w:rFonts w:ascii="仿宋" w:hAnsi="仿宋" w:eastAsia="仿宋" w:cs="仿宋"/>
                <w:highlight w:val="none"/>
              </w:rPr>
            </w:pPr>
          </w:p>
        </w:tc>
        <w:tc>
          <w:tcPr>
            <w:tcW w:w="1279"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highlight w:val="none"/>
              </w:rPr>
            </w:pPr>
          </w:p>
        </w:tc>
        <w:tc>
          <w:tcPr>
            <w:tcW w:w="1624" w:type="dxa"/>
            <w:vAlign w:val="center"/>
          </w:tcPr>
          <w:p>
            <w:pPr>
              <w:jc w:val="center"/>
              <w:rPr>
                <w:rFonts w:ascii="仿宋" w:hAnsi="仿宋" w:eastAsia="仿宋" w:cs="仿宋"/>
                <w:highlight w:val="none"/>
              </w:rPr>
            </w:pPr>
          </w:p>
        </w:tc>
        <w:tc>
          <w:tcPr>
            <w:tcW w:w="1362" w:type="dxa"/>
            <w:vAlign w:val="center"/>
          </w:tcPr>
          <w:p>
            <w:pPr>
              <w:jc w:val="center"/>
              <w:rPr>
                <w:rFonts w:ascii="仿宋" w:hAnsi="仿宋" w:eastAsia="仿宋" w:cs="仿宋"/>
                <w:highlight w:val="none"/>
              </w:rPr>
            </w:pPr>
          </w:p>
        </w:tc>
        <w:tc>
          <w:tcPr>
            <w:tcW w:w="1001" w:type="dxa"/>
            <w:vAlign w:val="center"/>
          </w:tcPr>
          <w:p>
            <w:pPr>
              <w:jc w:val="center"/>
              <w:rPr>
                <w:rFonts w:ascii="仿宋" w:hAnsi="仿宋" w:eastAsia="仿宋" w:cs="仿宋"/>
                <w:highlight w:val="none"/>
              </w:rPr>
            </w:pPr>
          </w:p>
        </w:tc>
        <w:tc>
          <w:tcPr>
            <w:tcW w:w="1180" w:type="dxa"/>
            <w:vAlign w:val="center"/>
          </w:tcPr>
          <w:p>
            <w:pPr>
              <w:jc w:val="center"/>
              <w:rPr>
                <w:rFonts w:ascii="仿宋" w:hAnsi="仿宋" w:eastAsia="仿宋" w:cs="仿宋"/>
                <w:highlight w:val="none"/>
              </w:rPr>
            </w:pPr>
          </w:p>
        </w:tc>
        <w:tc>
          <w:tcPr>
            <w:tcW w:w="1402" w:type="dxa"/>
            <w:vAlign w:val="center"/>
          </w:tcPr>
          <w:p>
            <w:pPr>
              <w:jc w:val="center"/>
              <w:rPr>
                <w:rFonts w:ascii="仿宋" w:hAnsi="仿宋" w:eastAsia="仿宋" w:cs="仿宋"/>
                <w:highlight w:val="none"/>
              </w:rPr>
            </w:pPr>
          </w:p>
        </w:tc>
        <w:tc>
          <w:tcPr>
            <w:tcW w:w="1279"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highlight w:val="none"/>
              </w:rPr>
            </w:pPr>
          </w:p>
        </w:tc>
        <w:tc>
          <w:tcPr>
            <w:tcW w:w="1624" w:type="dxa"/>
            <w:vAlign w:val="center"/>
          </w:tcPr>
          <w:p>
            <w:pPr>
              <w:jc w:val="center"/>
              <w:rPr>
                <w:rFonts w:ascii="仿宋" w:hAnsi="仿宋" w:eastAsia="仿宋" w:cs="仿宋"/>
                <w:highlight w:val="none"/>
              </w:rPr>
            </w:pPr>
          </w:p>
        </w:tc>
        <w:tc>
          <w:tcPr>
            <w:tcW w:w="1362" w:type="dxa"/>
            <w:vAlign w:val="center"/>
          </w:tcPr>
          <w:p>
            <w:pPr>
              <w:jc w:val="center"/>
              <w:rPr>
                <w:rFonts w:ascii="仿宋" w:hAnsi="仿宋" w:eastAsia="仿宋" w:cs="仿宋"/>
                <w:highlight w:val="none"/>
              </w:rPr>
            </w:pPr>
          </w:p>
        </w:tc>
        <w:tc>
          <w:tcPr>
            <w:tcW w:w="1001" w:type="dxa"/>
            <w:vAlign w:val="center"/>
          </w:tcPr>
          <w:p>
            <w:pPr>
              <w:jc w:val="center"/>
              <w:rPr>
                <w:rFonts w:ascii="仿宋" w:hAnsi="仿宋" w:eastAsia="仿宋" w:cs="仿宋"/>
                <w:highlight w:val="none"/>
              </w:rPr>
            </w:pPr>
          </w:p>
        </w:tc>
        <w:tc>
          <w:tcPr>
            <w:tcW w:w="1180" w:type="dxa"/>
            <w:vAlign w:val="center"/>
          </w:tcPr>
          <w:p>
            <w:pPr>
              <w:jc w:val="center"/>
              <w:rPr>
                <w:rFonts w:ascii="仿宋" w:hAnsi="仿宋" w:eastAsia="仿宋" w:cs="仿宋"/>
                <w:highlight w:val="none"/>
              </w:rPr>
            </w:pPr>
          </w:p>
        </w:tc>
        <w:tc>
          <w:tcPr>
            <w:tcW w:w="1402" w:type="dxa"/>
            <w:vAlign w:val="center"/>
          </w:tcPr>
          <w:p>
            <w:pPr>
              <w:jc w:val="center"/>
              <w:rPr>
                <w:rFonts w:ascii="仿宋" w:hAnsi="仿宋" w:eastAsia="仿宋" w:cs="仿宋"/>
                <w:highlight w:val="none"/>
              </w:rPr>
            </w:pPr>
          </w:p>
        </w:tc>
        <w:tc>
          <w:tcPr>
            <w:tcW w:w="1279"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highlight w:val="none"/>
              </w:rPr>
            </w:pPr>
          </w:p>
        </w:tc>
        <w:tc>
          <w:tcPr>
            <w:tcW w:w="1624" w:type="dxa"/>
            <w:vAlign w:val="center"/>
          </w:tcPr>
          <w:p>
            <w:pPr>
              <w:jc w:val="center"/>
              <w:rPr>
                <w:rFonts w:ascii="仿宋" w:hAnsi="仿宋" w:eastAsia="仿宋" w:cs="仿宋"/>
                <w:highlight w:val="none"/>
              </w:rPr>
            </w:pPr>
          </w:p>
        </w:tc>
        <w:tc>
          <w:tcPr>
            <w:tcW w:w="1362" w:type="dxa"/>
            <w:vAlign w:val="center"/>
          </w:tcPr>
          <w:p>
            <w:pPr>
              <w:jc w:val="center"/>
              <w:rPr>
                <w:rFonts w:ascii="仿宋" w:hAnsi="仿宋" w:eastAsia="仿宋" w:cs="仿宋"/>
                <w:highlight w:val="none"/>
              </w:rPr>
            </w:pPr>
          </w:p>
        </w:tc>
        <w:tc>
          <w:tcPr>
            <w:tcW w:w="1001" w:type="dxa"/>
            <w:vAlign w:val="center"/>
          </w:tcPr>
          <w:p>
            <w:pPr>
              <w:jc w:val="center"/>
              <w:rPr>
                <w:rFonts w:ascii="仿宋" w:hAnsi="仿宋" w:eastAsia="仿宋" w:cs="仿宋"/>
                <w:highlight w:val="none"/>
              </w:rPr>
            </w:pPr>
          </w:p>
        </w:tc>
        <w:tc>
          <w:tcPr>
            <w:tcW w:w="1180" w:type="dxa"/>
            <w:vAlign w:val="center"/>
          </w:tcPr>
          <w:p>
            <w:pPr>
              <w:jc w:val="center"/>
              <w:rPr>
                <w:rFonts w:ascii="仿宋" w:hAnsi="仿宋" w:eastAsia="仿宋" w:cs="仿宋"/>
                <w:highlight w:val="none"/>
              </w:rPr>
            </w:pPr>
          </w:p>
        </w:tc>
        <w:tc>
          <w:tcPr>
            <w:tcW w:w="1402" w:type="dxa"/>
            <w:vAlign w:val="center"/>
          </w:tcPr>
          <w:p>
            <w:pPr>
              <w:jc w:val="center"/>
              <w:rPr>
                <w:rFonts w:ascii="仿宋" w:hAnsi="仿宋" w:eastAsia="仿宋" w:cs="仿宋"/>
                <w:highlight w:val="none"/>
              </w:rPr>
            </w:pPr>
          </w:p>
        </w:tc>
        <w:tc>
          <w:tcPr>
            <w:tcW w:w="1279"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highlight w:val="none"/>
              </w:rPr>
            </w:pPr>
          </w:p>
        </w:tc>
        <w:tc>
          <w:tcPr>
            <w:tcW w:w="1624" w:type="dxa"/>
            <w:vAlign w:val="center"/>
          </w:tcPr>
          <w:p>
            <w:pPr>
              <w:jc w:val="center"/>
              <w:rPr>
                <w:rFonts w:ascii="仿宋" w:hAnsi="仿宋" w:eastAsia="仿宋" w:cs="仿宋"/>
                <w:highlight w:val="none"/>
              </w:rPr>
            </w:pPr>
          </w:p>
        </w:tc>
        <w:tc>
          <w:tcPr>
            <w:tcW w:w="1362" w:type="dxa"/>
            <w:vAlign w:val="center"/>
          </w:tcPr>
          <w:p>
            <w:pPr>
              <w:jc w:val="center"/>
              <w:rPr>
                <w:rFonts w:ascii="仿宋" w:hAnsi="仿宋" w:eastAsia="仿宋" w:cs="仿宋"/>
                <w:highlight w:val="none"/>
              </w:rPr>
            </w:pPr>
          </w:p>
        </w:tc>
        <w:tc>
          <w:tcPr>
            <w:tcW w:w="1001" w:type="dxa"/>
            <w:vAlign w:val="center"/>
          </w:tcPr>
          <w:p>
            <w:pPr>
              <w:jc w:val="center"/>
              <w:rPr>
                <w:rFonts w:ascii="仿宋" w:hAnsi="仿宋" w:eastAsia="仿宋" w:cs="仿宋"/>
                <w:highlight w:val="none"/>
              </w:rPr>
            </w:pPr>
          </w:p>
        </w:tc>
        <w:tc>
          <w:tcPr>
            <w:tcW w:w="1180" w:type="dxa"/>
            <w:vAlign w:val="center"/>
          </w:tcPr>
          <w:p>
            <w:pPr>
              <w:jc w:val="center"/>
              <w:rPr>
                <w:rFonts w:ascii="仿宋" w:hAnsi="仿宋" w:eastAsia="仿宋" w:cs="仿宋"/>
                <w:highlight w:val="none"/>
              </w:rPr>
            </w:pPr>
          </w:p>
        </w:tc>
        <w:tc>
          <w:tcPr>
            <w:tcW w:w="1402" w:type="dxa"/>
            <w:vAlign w:val="center"/>
          </w:tcPr>
          <w:p>
            <w:pPr>
              <w:jc w:val="center"/>
              <w:rPr>
                <w:rFonts w:ascii="仿宋" w:hAnsi="仿宋" w:eastAsia="仿宋" w:cs="仿宋"/>
                <w:highlight w:val="none"/>
              </w:rPr>
            </w:pPr>
          </w:p>
        </w:tc>
        <w:tc>
          <w:tcPr>
            <w:tcW w:w="1279"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highlight w:val="none"/>
              </w:rPr>
            </w:pPr>
          </w:p>
        </w:tc>
        <w:tc>
          <w:tcPr>
            <w:tcW w:w="1624" w:type="dxa"/>
            <w:vAlign w:val="center"/>
          </w:tcPr>
          <w:p>
            <w:pPr>
              <w:jc w:val="center"/>
              <w:rPr>
                <w:rFonts w:ascii="仿宋" w:hAnsi="仿宋" w:eastAsia="仿宋" w:cs="仿宋"/>
                <w:highlight w:val="none"/>
              </w:rPr>
            </w:pPr>
          </w:p>
        </w:tc>
        <w:tc>
          <w:tcPr>
            <w:tcW w:w="1362" w:type="dxa"/>
            <w:vAlign w:val="center"/>
          </w:tcPr>
          <w:p>
            <w:pPr>
              <w:jc w:val="center"/>
              <w:rPr>
                <w:rFonts w:ascii="仿宋" w:hAnsi="仿宋" w:eastAsia="仿宋" w:cs="仿宋"/>
                <w:highlight w:val="none"/>
              </w:rPr>
            </w:pPr>
          </w:p>
        </w:tc>
        <w:tc>
          <w:tcPr>
            <w:tcW w:w="1001" w:type="dxa"/>
            <w:vAlign w:val="center"/>
          </w:tcPr>
          <w:p>
            <w:pPr>
              <w:jc w:val="center"/>
              <w:rPr>
                <w:rFonts w:ascii="仿宋" w:hAnsi="仿宋" w:eastAsia="仿宋" w:cs="仿宋"/>
                <w:highlight w:val="none"/>
              </w:rPr>
            </w:pPr>
          </w:p>
        </w:tc>
        <w:tc>
          <w:tcPr>
            <w:tcW w:w="1180" w:type="dxa"/>
            <w:vAlign w:val="center"/>
          </w:tcPr>
          <w:p>
            <w:pPr>
              <w:jc w:val="center"/>
              <w:rPr>
                <w:rFonts w:ascii="仿宋" w:hAnsi="仿宋" w:eastAsia="仿宋" w:cs="仿宋"/>
                <w:highlight w:val="none"/>
              </w:rPr>
            </w:pPr>
          </w:p>
        </w:tc>
        <w:tc>
          <w:tcPr>
            <w:tcW w:w="1402" w:type="dxa"/>
            <w:vAlign w:val="center"/>
          </w:tcPr>
          <w:p>
            <w:pPr>
              <w:jc w:val="center"/>
              <w:rPr>
                <w:rFonts w:ascii="仿宋" w:hAnsi="仿宋" w:eastAsia="仿宋" w:cs="仿宋"/>
                <w:highlight w:val="none"/>
              </w:rPr>
            </w:pPr>
          </w:p>
        </w:tc>
        <w:tc>
          <w:tcPr>
            <w:tcW w:w="1279"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highlight w:val="none"/>
              </w:rPr>
            </w:pPr>
          </w:p>
        </w:tc>
        <w:tc>
          <w:tcPr>
            <w:tcW w:w="1624" w:type="dxa"/>
            <w:vAlign w:val="center"/>
          </w:tcPr>
          <w:p>
            <w:pPr>
              <w:jc w:val="center"/>
              <w:rPr>
                <w:rFonts w:ascii="仿宋" w:hAnsi="仿宋" w:eastAsia="仿宋" w:cs="仿宋"/>
                <w:highlight w:val="none"/>
              </w:rPr>
            </w:pPr>
          </w:p>
        </w:tc>
        <w:tc>
          <w:tcPr>
            <w:tcW w:w="1362" w:type="dxa"/>
            <w:vAlign w:val="center"/>
          </w:tcPr>
          <w:p>
            <w:pPr>
              <w:jc w:val="center"/>
              <w:rPr>
                <w:rFonts w:ascii="仿宋" w:hAnsi="仿宋" w:eastAsia="仿宋" w:cs="仿宋"/>
                <w:highlight w:val="none"/>
              </w:rPr>
            </w:pPr>
          </w:p>
        </w:tc>
        <w:tc>
          <w:tcPr>
            <w:tcW w:w="1001" w:type="dxa"/>
            <w:vAlign w:val="center"/>
          </w:tcPr>
          <w:p>
            <w:pPr>
              <w:jc w:val="center"/>
              <w:rPr>
                <w:rFonts w:ascii="仿宋" w:hAnsi="仿宋" w:eastAsia="仿宋" w:cs="仿宋"/>
                <w:highlight w:val="none"/>
              </w:rPr>
            </w:pPr>
          </w:p>
        </w:tc>
        <w:tc>
          <w:tcPr>
            <w:tcW w:w="1180" w:type="dxa"/>
            <w:vAlign w:val="center"/>
          </w:tcPr>
          <w:p>
            <w:pPr>
              <w:jc w:val="center"/>
              <w:rPr>
                <w:rFonts w:ascii="仿宋" w:hAnsi="仿宋" w:eastAsia="仿宋" w:cs="仿宋"/>
                <w:highlight w:val="none"/>
              </w:rPr>
            </w:pPr>
          </w:p>
        </w:tc>
        <w:tc>
          <w:tcPr>
            <w:tcW w:w="1402" w:type="dxa"/>
            <w:vAlign w:val="center"/>
          </w:tcPr>
          <w:p>
            <w:pPr>
              <w:jc w:val="center"/>
              <w:rPr>
                <w:rFonts w:ascii="仿宋" w:hAnsi="仿宋" w:eastAsia="仿宋" w:cs="仿宋"/>
                <w:highlight w:val="none"/>
              </w:rPr>
            </w:pPr>
          </w:p>
        </w:tc>
        <w:tc>
          <w:tcPr>
            <w:tcW w:w="1279"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highlight w:val="none"/>
              </w:rPr>
            </w:pPr>
          </w:p>
        </w:tc>
        <w:tc>
          <w:tcPr>
            <w:tcW w:w="1624" w:type="dxa"/>
            <w:vAlign w:val="center"/>
          </w:tcPr>
          <w:p>
            <w:pPr>
              <w:jc w:val="center"/>
              <w:rPr>
                <w:rFonts w:ascii="仿宋" w:hAnsi="仿宋" w:eastAsia="仿宋" w:cs="仿宋"/>
                <w:highlight w:val="none"/>
              </w:rPr>
            </w:pPr>
          </w:p>
        </w:tc>
        <w:tc>
          <w:tcPr>
            <w:tcW w:w="1362" w:type="dxa"/>
            <w:vAlign w:val="center"/>
          </w:tcPr>
          <w:p>
            <w:pPr>
              <w:jc w:val="center"/>
              <w:rPr>
                <w:rFonts w:ascii="仿宋" w:hAnsi="仿宋" w:eastAsia="仿宋" w:cs="仿宋"/>
                <w:highlight w:val="none"/>
              </w:rPr>
            </w:pPr>
          </w:p>
        </w:tc>
        <w:tc>
          <w:tcPr>
            <w:tcW w:w="1001" w:type="dxa"/>
            <w:vAlign w:val="center"/>
          </w:tcPr>
          <w:p>
            <w:pPr>
              <w:jc w:val="center"/>
              <w:rPr>
                <w:rFonts w:ascii="仿宋" w:hAnsi="仿宋" w:eastAsia="仿宋" w:cs="仿宋"/>
                <w:highlight w:val="none"/>
              </w:rPr>
            </w:pPr>
          </w:p>
        </w:tc>
        <w:tc>
          <w:tcPr>
            <w:tcW w:w="1180" w:type="dxa"/>
            <w:vAlign w:val="center"/>
          </w:tcPr>
          <w:p>
            <w:pPr>
              <w:jc w:val="center"/>
              <w:rPr>
                <w:rFonts w:ascii="仿宋" w:hAnsi="仿宋" w:eastAsia="仿宋" w:cs="仿宋"/>
                <w:highlight w:val="none"/>
              </w:rPr>
            </w:pPr>
          </w:p>
        </w:tc>
        <w:tc>
          <w:tcPr>
            <w:tcW w:w="1402" w:type="dxa"/>
            <w:vAlign w:val="center"/>
          </w:tcPr>
          <w:p>
            <w:pPr>
              <w:jc w:val="center"/>
              <w:rPr>
                <w:rFonts w:ascii="仿宋" w:hAnsi="仿宋" w:eastAsia="仿宋" w:cs="仿宋"/>
                <w:highlight w:val="none"/>
              </w:rPr>
            </w:pPr>
          </w:p>
        </w:tc>
        <w:tc>
          <w:tcPr>
            <w:tcW w:w="1279"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highlight w:val="none"/>
              </w:rPr>
            </w:pPr>
          </w:p>
        </w:tc>
        <w:tc>
          <w:tcPr>
            <w:tcW w:w="1624" w:type="dxa"/>
            <w:vAlign w:val="center"/>
          </w:tcPr>
          <w:p>
            <w:pPr>
              <w:jc w:val="center"/>
              <w:rPr>
                <w:rFonts w:ascii="仿宋" w:hAnsi="仿宋" w:eastAsia="仿宋" w:cs="仿宋"/>
                <w:highlight w:val="none"/>
              </w:rPr>
            </w:pPr>
          </w:p>
        </w:tc>
        <w:tc>
          <w:tcPr>
            <w:tcW w:w="1362" w:type="dxa"/>
            <w:vAlign w:val="center"/>
          </w:tcPr>
          <w:p>
            <w:pPr>
              <w:jc w:val="center"/>
              <w:rPr>
                <w:rFonts w:ascii="仿宋" w:hAnsi="仿宋" w:eastAsia="仿宋" w:cs="仿宋"/>
                <w:highlight w:val="none"/>
              </w:rPr>
            </w:pPr>
          </w:p>
        </w:tc>
        <w:tc>
          <w:tcPr>
            <w:tcW w:w="1001" w:type="dxa"/>
            <w:vAlign w:val="center"/>
          </w:tcPr>
          <w:p>
            <w:pPr>
              <w:jc w:val="center"/>
              <w:rPr>
                <w:rFonts w:ascii="仿宋" w:hAnsi="仿宋" w:eastAsia="仿宋" w:cs="仿宋"/>
                <w:highlight w:val="none"/>
              </w:rPr>
            </w:pPr>
          </w:p>
        </w:tc>
        <w:tc>
          <w:tcPr>
            <w:tcW w:w="1180" w:type="dxa"/>
            <w:vAlign w:val="center"/>
          </w:tcPr>
          <w:p>
            <w:pPr>
              <w:jc w:val="center"/>
              <w:rPr>
                <w:rFonts w:ascii="仿宋" w:hAnsi="仿宋" w:eastAsia="仿宋" w:cs="仿宋"/>
                <w:highlight w:val="none"/>
              </w:rPr>
            </w:pPr>
          </w:p>
        </w:tc>
        <w:tc>
          <w:tcPr>
            <w:tcW w:w="1402" w:type="dxa"/>
            <w:vAlign w:val="center"/>
          </w:tcPr>
          <w:p>
            <w:pPr>
              <w:jc w:val="center"/>
              <w:rPr>
                <w:rFonts w:ascii="仿宋" w:hAnsi="仿宋" w:eastAsia="仿宋" w:cs="仿宋"/>
                <w:highlight w:val="none"/>
              </w:rPr>
            </w:pPr>
          </w:p>
        </w:tc>
        <w:tc>
          <w:tcPr>
            <w:tcW w:w="1279"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highlight w:val="none"/>
              </w:rPr>
            </w:pPr>
          </w:p>
        </w:tc>
        <w:tc>
          <w:tcPr>
            <w:tcW w:w="1624" w:type="dxa"/>
            <w:vAlign w:val="center"/>
          </w:tcPr>
          <w:p>
            <w:pPr>
              <w:jc w:val="center"/>
              <w:rPr>
                <w:rFonts w:ascii="仿宋" w:hAnsi="仿宋" w:eastAsia="仿宋" w:cs="仿宋"/>
                <w:highlight w:val="none"/>
              </w:rPr>
            </w:pPr>
          </w:p>
        </w:tc>
        <w:tc>
          <w:tcPr>
            <w:tcW w:w="1362" w:type="dxa"/>
            <w:vAlign w:val="center"/>
          </w:tcPr>
          <w:p>
            <w:pPr>
              <w:jc w:val="center"/>
              <w:rPr>
                <w:rFonts w:ascii="仿宋" w:hAnsi="仿宋" w:eastAsia="仿宋" w:cs="仿宋"/>
                <w:highlight w:val="none"/>
              </w:rPr>
            </w:pPr>
          </w:p>
        </w:tc>
        <w:tc>
          <w:tcPr>
            <w:tcW w:w="1001" w:type="dxa"/>
            <w:vAlign w:val="center"/>
          </w:tcPr>
          <w:p>
            <w:pPr>
              <w:jc w:val="center"/>
              <w:rPr>
                <w:rFonts w:ascii="仿宋" w:hAnsi="仿宋" w:eastAsia="仿宋" w:cs="仿宋"/>
                <w:highlight w:val="none"/>
              </w:rPr>
            </w:pPr>
          </w:p>
        </w:tc>
        <w:tc>
          <w:tcPr>
            <w:tcW w:w="1180" w:type="dxa"/>
            <w:vAlign w:val="center"/>
          </w:tcPr>
          <w:p>
            <w:pPr>
              <w:jc w:val="center"/>
              <w:rPr>
                <w:rFonts w:ascii="仿宋" w:hAnsi="仿宋" w:eastAsia="仿宋" w:cs="仿宋"/>
                <w:highlight w:val="none"/>
              </w:rPr>
            </w:pPr>
          </w:p>
        </w:tc>
        <w:tc>
          <w:tcPr>
            <w:tcW w:w="1402" w:type="dxa"/>
            <w:vAlign w:val="center"/>
          </w:tcPr>
          <w:p>
            <w:pPr>
              <w:jc w:val="center"/>
              <w:rPr>
                <w:rFonts w:ascii="仿宋" w:hAnsi="仿宋" w:eastAsia="仿宋" w:cs="仿宋"/>
                <w:highlight w:val="none"/>
              </w:rPr>
            </w:pPr>
          </w:p>
        </w:tc>
        <w:tc>
          <w:tcPr>
            <w:tcW w:w="1279"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highlight w:val="none"/>
              </w:rPr>
            </w:pPr>
          </w:p>
        </w:tc>
        <w:tc>
          <w:tcPr>
            <w:tcW w:w="1624" w:type="dxa"/>
            <w:vAlign w:val="center"/>
          </w:tcPr>
          <w:p>
            <w:pPr>
              <w:jc w:val="center"/>
              <w:rPr>
                <w:rFonts w:ascii="仿宋" w:hAnsi="仿宋" w:eastAsia="仿宋" w:cs="仿宋"/>
                <w:highlight w:val="none"/>
              </w:rPr>
            </w:pPr>
          </w:p>
        </w:tc>
        <w:tc>
          <w:tcPr>
            <w:tcW w:w="1362" w:type="dxa"/>
            <w:vAlign w:val="center"/>
          </w:tcPr>
          <w:p>
            <w:pPr>
              <w:jc w:val="center"/>
              <w:rPr>
                <w:rFonts w:ascii="仿宋" w:hAnsi="仿宋" w:eastAsia="仿宋" w:cs="仿宋"/>
                <w:highlight w:val="none"/>
              </w:rPr>
            </w:pPr>
          </w:p>
        </w:tc>
        <w:tc>
          <w:tcPr>
            <w:tcW w:w="1001" w:type="dxa"/>
            <w:vAlign w:val="center"/>
          </w:tcPr>
          <w:p>
            <w:pPr>
              <w:jc w:val="center"/>
              <w:rPr>
                <w:rFonts w:ascii="仿宋" w:hAnsi="仿宋" w:eastAsia="仿宋" w:cs="仿宋"/>
                <w:highlight w:val="none"/>
              </w:rPr>
            </w:pPr>
          </w:p>
        </w:tc>
        <w:tc>
          <w:tcPr>
            <w:tcW w:w="1180" w:type="dxa"/>
            <w:vAlign w:val="center"/>
          </w:tcPr>
          <w:p>
            <w:pPr>
              <w:jc w:val="center"/>
              <w:rPr>
                <w:rFonts w:ascii="仿宋" w:hAnsi="仿宋" w:eastAsia="仿宋" w:cs="仿宋"/>
                <w:highlight w:val="none"/>
              </w:rPr>
            </w:pPr>
          </w:p>
        </w:tc>
        <w:tc>
          <w:tcPr>
            <w:tcW w:w="1402" w:type="dxa"/>
            <w:vAlign w:val="center"/>
          </w:tcPr>
          <w:p>
            <w:pPr>
              <w:jc w:val="center"/>
              <w:rPr>
                <w:rFonts w:ascii="仿宋" w:hAnsi="仿宋" w:eastAsia="仿宋" w:cs="仿宋"/>
                <w:highlight w:val="none"/>
              </w:rPr>
            </w:pPr>
          </w:p>
        </w:tc>
        <w:tc>
          <w:tcPr>
            <w:tcW w:w="1279"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highlight w:val="none"/>
              </w:rPr>
            </w:pPr>
          </w:p>
        </w:tc>
        <w:tc>
          <w:tcPr>
            <w:tcW w:w="1624" w:type="dxa"/>
            <w:vAlign w:val="center"/>
          </w:tcPr>
          <w:p>
            <w:pPr>
              <w:jc w:val="center"/>
              <w:rPr>
                <w:rFonts w:ascii="仿宋" w:hAnsi="仿宋" w:eastAsia="仿宋" w:cs="仿宋"/>
                <w:highlight w:val="none"/>
              </w:rPr>
            </w:pPr>
          </w:p>
        </w:tc>
        <w:tc>
          <w:tcPr>
            <w:tcW w:w="1362" w:type="dxa"/>
            <w:vAlign w:val="center"/>
          </w:tcPr>
          <w:p>
            <w:pPr>
              <w:jc w:val="center"/>
              <w:rPr>
                <w:rFonts w:ascii="仿宋" w:hAnsi="仿宋" w:eastAsia="仿宋" w:cs="仿宋"/>
                <w:highlight w:val="none"/>
              </w:rPr>
            </w:pPr>
          </w:p>
        </w:tc>
        <w:tc>
          <w:tcPr>
            <w:tcW w:w="1001" w:type="dxa"/>
            <w:vAlign w:val="center"/>
          </w:tcPr>
          <w:p>
            <w:pPr>
              <w:jc w:val="center"/>
              <w:rPr>
                <w:rFonts w:ascii="仿宋" w:hAnsi="仿宋" w:eastAsia="仿宋" w:cs="仿宋"/>
                <w:highlight w:val="none"/>
              </w:rPr>
            </w:pPr>
          </w:p>
        </w:tc>
        <w:tc>
          <w:tcPr>
            <w:tcW w:w="1180" w:type="dxa"/>
            <w:vAlign w:val="center"/>
          </w:tcPr>
          <w:p>
            <w:pPr>
              <w:jc w:val="center"/>
              <w:rPr>
                <w:rFonts w:ascii="仿宋" w:hAnsi="仿宋" w:eastAsia="仿宋" w:cs="仿宋"/>
                <w:highlight w:val="none"/>
              </w:rPr>
            </w:pPr>
          </w:p>
        </w:tc>
        <w:tc>
          <w:tcPr>
            <w:tcW w:w="1402" w:type="dxa"/>
            <w:vAlign w:val="center"/>
          </w:tcPr>
          <w:p>
            <w:pPr>
              <w:jc w:val="center"/>
              <w:rPr>
                <w:rFonts w:ascii="仿宋" w:hAnsi="仿宋" w:eastAsia="仿宋" w:cs="仿宋"/>
                <w:highlight w:val="none"/>
              </w:rPr>
            </w:pPr>
          </w:p>
        </w:tc>
        <w:tc>
          <w:tcPr>
            <w:tcW w:w="1279"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highlight w:val="none"/>
              </w:rPr>
            </w:pPr>
          </w:p>
        </w:tc>
        <w:tc>
          <w:tcPr>
            <w:tcW w:w="1624" w:type="dxa"/>
            <w:vAlign w:val="center"/>
          </w:tcPr>
          <w:p>
            <w:pPr>
              <w:jc w:val="center"/>
              <w:rPr>
                <w:rFonts w:ascii="仿宋" w:hAnsi="仿宋" w:eastAsia="仿宋" w:cs="仿宋"/>
                <w:highlight w:val="none"/>
              </w:rPr>
            </w:pPr>
          </w:p>
        </w:tc>
        <w:tc>
          <w:tcPr>
            <w:tcW w:w="1362" w:type="dxa"/>
            <w:vAlign w:val="center"/>
          </w:tcPr>
          <w:p>
            <w:pPr>
              <w:jc w:val="center"/>
              <w:rPr>
                <w:rFonts w:ascii="仿宋" w:hAnsi="仿宋" w:eastAsia="仿宋" w:cs="仿宋"/>
                <w:highlight w:val="none"/>
              </w:rPr>
            </w:pPr>
          </w:p>
        </w:tc>
        <w:tc>
          <w:tcPr>
            <w:tcW w:w="1001" w:type="dxa"/>
            <w:vAlign w:val="center"/>
          </w:tcPr>
          <w:p>
            <w:pPr>
              <w:jc w:val="center"/>
              <w:rPr>
                <w:rFonts w:ascii="仿宋" w:hAnsi="仿宋" w:eastAsia="仿宋" w:cs="仿宋"/>
                <w:highlight w:val="none"/>
              </w:rPr>
            </w:pPr>
          </w:p>
        </w:tc>
        <w:tc>
          <w:tcPr>
            <w:tcW w:w="1180" w:type="dxa"/>
            <w:vAlign w:val="center"/>
          </w:tcPr>
          <w:p>
            <w:pPr>
              <w:jc w:val="center"/>
              <w:rPr>
                <w:rFonts w:ascii="仿宋" w:hAnsi="仿宋" w:eastAsia="仿宋" w:cs="仿宋"/>
                <w:highlight w:val="none"/>
              </w:rPr>
            </w:pPr>
          </w:p>
        </w:tc>
        <w:tc>
          <w:tcPr>
            <w:tcW w:w="1402" w:type="dxa"/>
            <w:vAlign w:val="center"/>
          </w:tcPr>
          <w:p>
            <w:pPr>
              <w:jc w:val="center"/>
              <w:rPr>
                <w:rFonts w:ascii="仿宋" w:hAnsi="仿宋" w:eastAsia="仿宋" w:cs="仿宋"/>
                <w:highlight w:val="none"/>
              </w:rPr>
            </w:pPr>
          </w:p>
        </w:tc>
        <w:tc>
          <w:tcPr>
            <w:tcW w:w="1279"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ascii="仿宋" w:hAnsi="仿宋" w:eastAsia="仿宋" w:cs="仿宋"/>
                <w:highlight w:val="none"/>
              </w:rPr>
            </w:pPr>
          </w:p>
        </w:tc>
        <w:tc>
          <w:tcPr>
            <w:tcW w:w="1624" w:type="dxa"/>
            <w:vAlign w:val="center"/>
          </w:tcPr>
          <w:p>
            <w:pPr>
              <w:jc w:val="center"/>
              <w:rPr>
                <w:rFonts w:ascii="仿宋" w:hAnsi="仿宋" w:eastAsia="仿宋" w:cs="仿宋"/>
                <w:highlight w:val="none"/>
              </w:rPr>
            </w:pPr>
          </w:p>
        </w:tc>
        <w:tc>
          <w:tcPr>
            <w:tcW w:w="1362" w:type="dxa"/>
            <w:vAlign w:val="center"/>
          </w:tcPr>
          <w:p>
            <w:pPr>
              <w:jc w:val="center"/>
              <w:rPr>
                <w:rFonts w:ascii="仿宋" w:hAnsi="仿宋" w:eastAsia="仿宋" w:cs="仿宋"/>
                <w:highlight w:val="none"/>
              </w:rPr>
            </w:pPr>
          </w:p>
        </w:tc>
        <w:tc>
          <w:tcPr>
            <w:tcW w:w="1001" w:type="dxa"/>
            <w:vAlign w:val="center"/>
          </w:tcPr>
          <w:p>
            <w:pPr>
              <w:jc w:val="center"/>
              <w:rPr>
                <w:rFonts w:ascii="仿宋" w:hAnsi="仿宋" w:eastAsia="仿宋" w:cs="仿宋"/>
                <w:highlight w:val="none"/>
              </w:rPr>
            </w:pPr>
          </w:p>
        </w:tc>
        <w:tc>
          <w:tcPr>
            <w:tcW w:w="1180" w:type="dxa"/>
            <w:vAlign w:val="center"/>
          </w:tcPr>
          <w:p>
            <w:pPr>
              <w:jc w:val="center"/>
              <w:rPr>
                <w:rFonts w:ascii="仿宋" w:hAnsi="仿宋" w:eastAsia="仿宋" w:cs="仿宋"/>
                <w:highlight w:val="none"/>
              </w:rPr>
            </w:pPr>
          </w:p>
        </w:tc>
        <w:tc>
          <w:tcPr>
            <w:tcW w:w="1402" w:type="dxa"/>
            <w:vAlign w:val="center"/>
          </w:tcPr>
          <w:p>
            <w:pPr>
              <w:jc w:val="center"/>
              <w:rPr>
                <w:rFonts w:ascii="仿宋" w:hAnsi="仿宋" w:eastAsia="仿宋" w:cs="仿宋"/>
                <w:highlight w:val="none"/>
              </w:rPr>
            </w:pPr>
          </w:p>
        </w:tc>
        <w:tc>
          <w:tcPr>
            <w:tcW w:w="1279" w:type="dxa"/>
            <w:vAlign w:val="center"/>
          </w:tcPr>
          <w:p>
            <w:pPr>
              <w:jc w:val="center"/>
              <w:rPr>
                <w:rFonts w:ascii="仿宋" w:hAnsi="仿宋" w:eastAsia="仿宋" w:cs="仿宋"/>
                <w:highlight w:val="none"/>
              </w:rPr>
            </w:pPr>
          </w:p>
        </w:tc>
      </w:tr>
    </w:tbl>
    <w:p>
      <w:pPr>
        <w:spacing w:before="156" w:beforeLines="50" w:after="156" w:afterLines="50" w:line="48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br w:type="page"/>
      </w:r>
      <w:r>
        <w:rPr>
          <w:rFonts w:hint="eastAsia" w:ascii="仿宋" w:hAnsi="仿宋" w:eastAsia="仿宋" w:cs="仿宋"/>
          <w:b/>
          <w:bCs/>
          <w:sz w:val="24"/>
          <w:szCs w:val="24"/>
          <w:highlight w:val="none"/>
        </w:rPr>
        <w:t>附表三：劳动力计划表</w:t>
      </w:r>
    </w:p>
    <w:p>
      <w:pPr>
        <w:spacing w:before="156" w:beforeLines="50" w:after="156" w:afterLines="50" w:line="480" w:lineRule="auto"/>
        <w:rPr>
          <w:rFonts w:ascii="仿宋" w:hAnsi="仿宋" w:eastAsia="仿宋" w:cs="仿宋"/>
          <w:b/>
          <w:bCs/>
          <w:sz w:val="24"/>
          <w:szCs w:val="24"/>
          <w:highlight w:val="none"/>
        </w:rPr>
      </w:pPr>
      <w:r>
        <w:rPr>
          <w:rFonts w:hint="eastAsia" w:ascii="仿宋" w:hAnsi="仿宋" w:eastAsia="仿宋" w:cs="仿宋"/>
          <w:sz w:val="24"/>
          <w:szCs w:val="24"/>
          <w:highlight w:val="none"/>
        </w:rPr>
        <w:t>单位：人</w:t>
      </w:r>
    </w:p>
    <w:tbl>
      <w:tblPr>
        <w:tblStyle w:val="35"/>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047"/>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29" w:type="dxa"/>
            <w:vAlign w:val="center"/>
          </w:tcPr>
          <w:p>
            <w:pPr>
              <w:jc w:val="center"/>
              <w:rPr>
                <w:rFonts w:ascii="仿宋" w:hAnsi="仿宋" w:eastAsia="仿宋" w:cs="仿宋"/>
                <w:highlight w:val="none"/>
              </w:rPr>
            </w:pPr>
            <w:r>
              <w:rPr>
                <w:rFonts w:hint="eastAsia" w:ascii="仿宋" w:hAnsi="仿宋" w:eastAsia="仿宋" w:cs="仿宋"/>
                <w:highlight w:val="none"/>
              </w:rPr>
              <w:t>工种</w:t>
            </w:r>
          </w:p>
        </w:tc>
        <w:tc>
          <w:tcPr>
            <w:tcW w:w="7425" w:type="dxa"/>
            <w:gridSpan w:val="7"/>
            <w:vAlign w:val="center"/>
          </w:tcPr>
          <w:p>
            <w:pPr>
              <w:jc w:val="center"/>
              <w:rPr>
                <w:rFonts w:ascii="仿宋" w:hAnsi="仿宋" w:eastAsia="仿宋" w:cs="仿宋"/>
                <w:highlight w:val="none"/>
              </w:rPr>
            </w:pPr>
            <w:r>
              <w:rPr>
                <w:rFonts w:hint="eastAsia" w:ascii="仿宋" w:hAnsi="仿宋" w:eastAsia="仿宋" w:cs="仿宋"/>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highlight w:val="none"/>
              </w:rPr>
            </w:pPr>
          </w:p>
        </w:tc>
        <w:tc>
          <w:tcPr>
            <w:tcW w:w="1047"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highlight w:val="none"/>
              </w:rPr>
            </w:pPr>
          </w:p>
        </w:tc>
        <w:tc>
          <w:tcPr>
            <w:tcW w:w="1047"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highlight w:val="none"/>
              </w:rPr>
            </w:pPr>
          </w:p>
        </w:tc>
        <w:tc>
          <w:tcPr>
            <w:tcW w:w="1047"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highlight w:val="none"/>
              </w:rPr>
            </w:pPr>
          </w:p>
        </w:tc>
        <w:tc>
          <w:tcPr>
            <w:tcW w:w="1047"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highlight w:val="none"/>
              </w:rPr>
            </w:pPr>
          </w:p>
        </w:tc>
        <w:tc>
          <w:tcPr>
            <w:tcW w:w="1047"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highlight w:val="none"/>
              </w:rPr>
            </w:pPr>
          </w:p>
        </w:tc>
        <w:tc>
          <w:tcPr>
            <w:tcW w:w="1047"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highlight w:val="none"/>
              </w:rPr>
            </w:pPr>
          </w:p>
        </w:tc>
        <w:tc>
          <w:tcPr>
            <w:tcW w:w="1047"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highlight w:val="none"/>
              </w:rPr>
            </w:pPr>
          </w:p>
        </w:tc>
        <w:tc>
          <w:tcPr>
            <w:tcW w:w="1047"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highlight w:val="none"/>
              </w:rPr>
            </w:pPr>
          </w:p>
        </w:tc>
        <w:tc>
          <w:tcPr>
            <w:tcW w:w="1047"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highlight w:val="none"/>
              </w:rPr>
            </w:pPr>
          </w:p>
        </w:tc>
        <w:tc>
          <w:tcPr>
            <w:tcW w:w="1047"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highlight w:val="none"/>
              </w:rPr>
            </w:pPr>
          </w:p>
        </w:tc>
        <w:tc>
          <w:tcPr>
            <w:tcW w:w="1047"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highlight w:val="none"/>
              </w:rPr>
            </w:pPr>
          </w:p>
        </w:tc>
        <w:tc>
          <w:tcPr>
            <w:tcW w:w="1047"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highlight w:val="none"/>
              </w:rPr>
            </w:pPr>
          </w:p>
        </w:tc>
        <w:tc>
          <w:tcPr>
            <w:tcW w:w="1047"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highlight w:val="none"/>
              </w:rPr>
            </w:pPr>
          </w:p>
        </w:tc>
        <w:tc>
          <w:tcPr>
            <w:tcW w:w="1047"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highlight w:val="none"/>
              </w:rPr>
            </w:pPr>
          </w:p>
        </w:tc>
        <w:tc>
          <w:tcPr>
            <w:tcW w:w="1047"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highlight w:val="none"/>
              </w:rPr>
            </w:pPr>
          </w:p>
        </w:tc>
        <w:tc>
          <w:tcPr>
            <w:tcW w:w="1047"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highlight w:val="none"/>
              </w:rPr>
            </w:pPr>
          </w:p>
        </w:tc>
        <w:tc>
          <w:tcPr>
            <w:tcW w:w="1047"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highlight w:val="none"/>
              </w:rPr>
            </w:pPr>
          </w:p>
        </w:tc>
        <w:tc>
          <w:tcPr>
            <w:tcW w:w="1047"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ascii="仿宋" w:hAnsi="仿宋" w:eastAsia="仿宋" w:cs="仿宋"/>
                <w:highlight w:val="none"/>
              </w:rPr>
            </w:pPr>
          </w:p>
        </w:tc>
        <w:tc>
          <w:tcPr>
            <w:tcW w:w="1047"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c>
          <w:tcPr>
            <w:tcW w:w="1063" w:type="dxa"/>
            <w:vAlign w:val="center"/>
          </w:tcPr>
          <w:p>
            <w:pPr>
              <w:spacing w:line="360" w:lineRule="auto"/>
              <w:jc w:val="center"/>
              <w:rPr>
                <w:rFonts w:ascii="仿宋" w:hAnsi="仿宋" w:eastAsia="仿宋" w:cs="仿宋"/>
                <w:highlight w:val="none"/>
              </w:rPr>
            </w:pPr>
          </w:p>
        </w:tc>
      </w:tr>
    </w:tbl>
    <w:p>
      <w:pPr>
        <w:spacing w:line="580" w:lineRule="exact"/>
        <w:rPr>
          <w:rFonts w:ascii="仿宋" w:hAnsi="仿宋" w:eastAsia="仿宋" w:cs="仿宋"/>
          <w:b/>
          <w:bCs/>
          <w:spacing w:val="4"/>
          <w:sz w:val="24"/>
          <w:szCs w:val="24"/>
          <w:highlight w:val="none"/>
        </w:rPr>
      </w:pPr>
    </w:p>
    <w:p>
      <w:pPr>
        <w:spacing w:before="156" w:beforeLines="50" w:after="312" w:afterLines="100"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br w:type="page"/>
      </w:r>
      <w:r>
        <w:rPr>
          <w:rFonts w:hint="eastAsia" w:ascii="仿宋" w:hAnsi="仿宋" w:eastAsia="仿宋" w:cs="仿宋"/>
          <w:b/>
          <w:bCs/>
          <w:sz w:val="24"/>
          <w:szCs w:val="24"/>
          <w:highlight w:val="none"/>
        </w:rPr>
        <w:t>附表四：计划开、竣工日期和施工进度网络图</w:t>
      </w: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1、供应商应递交施工进度网络图或施工进度表，说明按竞争性磋商文件要求的计划工期进行施工的各个关键日期。</w:t>
      </w: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2、施工进度表可采用网络图或横道图表示。</w:t>
      </w:r>
    </w:p>
    <w:p>
      <w:pPr>
        <w:spacing w:before="156" w:beforeLines="50" w:after="312" w:afterLines="100" w:line="480" w:lineRule="auto"/>
        <w:rPr>
          <w:rFonts w:ascii="仿宋" w:hAnsi="仿宋" w:eastAsia="仿宋" w:cs="仿宋"/>
          <w:sz w:val="24"/>
          <w:szCs w:val="24"/>
          <w:highlight w:val="none"/>
        </w:rPr>
      </w:pPr>
    </w:p>
    <w:p>
      <w:pPr>
        <w:spacing w:before="156" w:beforeLines="50" w:after="312" w:afterLines="100" w:line="420" w:lineRule="exact"/>
        <w:rPr>
          <w:rFonts w:ascii="仿宋" w:hAnsi="仿宋" w:eastAsia="仿宋" w:cs="仿宋"/>
          <w:b/>
          <w:bCs/>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b/>
          <w:bCs/>
          <w:sz w:val="24"/>
          <w:szCs w:val="24"/>
          <w:highlight w:val="none"/>
        </w:rPr>
        <w:t>附表五：临时用地表</w:t>
      </w:r>
    </w:p>
    <w:tbl>
      <w:tblPr>
        <w:tblStyle w:val="35"/>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082"/>
        <w:gridCol w:w="2082"/>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vAlign w:val="center"/>
          </w:tcPr>
          <w:p>
            <w:pPr>
              <w:jc w:val="center"/>
              <w:rPr>
                <w:rFonts w:ascii="仿宋" w:hAnsi="仿宋" w:eastAsia="仿宋" w:cs="仿宋"/>
                <w:highlight w:val="none"/>
              </w:rPr>
            </w:pPr>
            <w:r>
              <w:rPr>
                <w:rFonts w:hint="eastAsia" w:ascii="仿宋" w:hAnsi="仿宋" w:eastAsia="仿宋" w:cs="仿宋"/>
                <w:highlight w:val="none"/>
              </w:rPr>
              <w:t>用途</w:t>
            </w:r>
          </w:p>
        </w:tc>
        <w:tc>
          <w:tcPr>
            <w:tcW w:w="2082" w:type="dxa"/>
            <w:vAlign w:val="center"/>
          </w:tcPr>
          <w:p>
            <w:pPr>
              <w:jc w:val="center"/>
              <w:rPr>
                <w:rFonts w:ascii="仿宋" w:hAnsi="仿宋" w:eastAsia="仿宋" w:cs="仿宋"/>
                <w:highlight w:val="none"/>
              </w:rPr>
            </w:pPr>
            <w:r>
              <w:rPr>
                <w:rFonts w:hint="eastAsia" w:ascii="仿宋" w:hAnsi="仿宋" w:eastAsia="仿宋" w:cs="仿宋"/>
                <w:highlight w:val="none"/>
              </w:rPr>
              <w:t>面积（平方米）</w:t>
            </w:r>
          </w:p>
        </w:tc>
        <w:tc>
          <w:tcPr>
            <w:tcW w:w="2082" w:type="dxa"/>
            <w:vAlign w:val="center"/>
          </w:tcPr>
          <w:p>
            <w:pPr>
              <w:jc w:val="center"/>
              <w:rPr>
                <w:rFonts w:ascii="仿宋" w:hAnsi="仿宋" w:eastAsia="仿宋" w:cs="仿宋"/>
                <w:highlight w:val="none"/>
              </w:rPr>
            </w:pPr>
            <w:r>
              <w:rPr>
                <w:rFonts w:hint="eastAsia" w:ascii="仿宋" w:hAnsi="仿宋" w:eastAsia="仿宋" w:cs="仿宋"/>
                <w:highlight w:val="none"/>
              </w:rPr>
              <w:t>位置</w:t>
            </w:r>
          </w:p>
        </w:tc>
        <w:tc>
          <w:tcPr>
            <w:tcW w:w="2082" w:type="dxa"/>
            <w:vAlign w:val="center"/>
          </w:tcPr>
          <w:p>
            <w:pPr>
              <w:jc w:val="center"/>
              <w:rPr>
                <w:rFonts w:ascii="仿宋" w:hAnsi="仿宋" w:eastAsia="仿宋" w:cs="仿宋"/>
                <w:highlight w:val="none"/>
              </w:rPr>
            </w:pPr>
            <w:r>
              <w:rPr>
                <w:rFonts w:hint="eastAsia" w:ascii="仿宋" w:hAnsi="仿宋" w:eastAsia="仿宋" w:cs="仿宋"/>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c>
          <w:tcPr>
            <w:tcW w:w="2082" w:type="dxa"/>
          </w:tcPr>
          <w:p>
            <w:pPr>
              <w:rPr>
                <w:rFonts w:ascii="仿宋" w:hAnsi="仿宋" w:eastAsia="仿宋" w:cs="仿宋"/>
                <w:highlight w:val="none"/>
              </w:rPr>
            </w:pPr>
          </w:p>
        </w:tc>
      </w:tr>
    </w:tbl>
    <w:p>
      <w:pPr>
        <w:keepLines/>
        <w:pageBreakBefore/>
        <w:jc w:val="center"/>
        <w:outlineLvl w:val="1"/>
        <w:rPr>
          <w:rFonts w:ascii="仿宋" w:hAnsi="仿宋" w:eastAsia="仿宋" w:cs="仿宋"/>
          <w:b/>
          <w:bCs/>
          <w:sz w:val="32"/>
          <w:szCs w:val="32"/>
          <w:highlight w:val="none"/>
        </w:rPr>
      </w:pPr>
      <w:bookmarkStart w:id="380" w:name="_Toc26674"/>
      <w:bookmarkStart w:id="381" w:name="_Toc11640"/>
      <w:bookmarkStart w:id="382" w:name="_Toc4894"/>
      <w:bookmarkStart w:id="383" w:name="_Toc9166"/>
      <w:bookmarkStart w:id="384" w:name="_Toc20335"/>
      <w:bookmarkStart w:id="385" w:name="_Toc18300"/>
      <w:bookmarkStart w:id="386" w:name="_Toc16618"/>
      <w:r>
        <w:rPr>
          <w:rFonts w:hint="eastAsia" w:ascii="仿宋" w:hAnsi="仿宋" w:eastAsia="仿宋" w:cs="仿宋"/>
          <w:b/>
          <w:bCs/>
          <w:sz w:val="32"/>
          <w:szCs w:val="32"/>
          <w:highlight w:val="none"/>
        </w:rPr>
        <w:t>第三部分  资格标</w:t>
      </w:r>
      <w:bookmarkEnd w:id="380"/>
      <w:bookmarkEnd w:id="381"/>
      <w:bookmarkEnd w:id="382"/>
      <w:bookmarkEnd w:id="383"/>
    </w:p>
    <w:p>
      <w:pPr>
        <w:keepLines/>
        <w:pageBreakBefore/>
        <w:jc w:val="center"/>
        <w:outlineLvl w:val="1"/>
        <w:rPr>
          <w:rFonts w:ascii="仿宋" w:hAnsi="仿宋" w:eastAsia="仿宋" w:cs="仿宋"/>
          <w:b/>
          <w:sz w:val="32"/>
          <w:szCs w:val="32"/>
          <w:highlight w:val="none"/>
        </w:rPr>
      </w:pPr>
      <w:bookmarkStart w:id="387" w:name="_Toc13947"/>
      <w:bookmarkStart w:id="388" w:name="_Toc31773"/>
      <w:bookmarkStart w:id="389" w:name="_Toc1309"/>
      <w:bookmarkStart w:id="390" w:name="_Toc18660"/>
      <w:r>
        <w:rPr>
          <w:rFonts w:hint="eastAsia" w:ascii="仿宋" w:hAnsi="仿宋" w:eastAsia="仿宋" w:cs="仿宋"/>
          <w:b/>
          <w:bCs/>
          <w:sz w:val="32"/>
          <w:szCs w:val="32"/>
          <w:highlight w:val="none"/>
        </w:rPr>
        <w:t>一、供应商的基本情况介绍和资格声明</w:t>
      </w:r>
      <w:bookmarkEnd w:id="387"/>
      <w:bookmarkEnd w:id="388"/>
      <w:bookmarkEnd w:id="389"/>
      <w:bookmarkEnd w:id="390"/>
    </w:p>
    <w:p>
      <w:pPr>
        <w:numPr>
          <w:ilvl w:val="0"/>
          <w:numId w:val="15"/>
        </w:num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供应商的基本情况介绍</w:t>
      </w:r>
    </w:p>
    <w:p>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（格式自拟）</w:t>
      </w:r>
    </w:p>
    <w:p>
      <w:pPr>
        <w:jc w:val="center"/>
        <w:rPr>
          <w:rFonts w:ascii="仿宋" w:hAnsi="仿宋" w:eastAsia="仿宋" w:cs="仿宋"/>
          <w:sz w:val="32"/>
          <w:szCs w:val="32"/>
          <w:highlight w:val="none"/>
        </w:rPr>
      </w:pPr>
      <w:r>
        <w:rPr>
          <w:rFonts w:hint="eastAsia" w:ascii="仿宋" w:hAnsi="仿宋" w:eastAsia="仿宋" w:cs="仿宋"/>
          <w:b/>
          <w:bCs/>
          <w:sz w:val="32"/>
          <w:szCs w:val="32"/>
          <w:highlight w:val="none"/>
        </w:rPr>
        <w:t>（二）供应商资格声明</w:t>
      </w:r>
    </w:p>
    <w:p>
      <w:pPr>
        <w:numPr>
          <w:ilvl w:val="0"/>
          <w:numId w:val="16"/>
        </w:numPr>
        <w:spacing w:line="52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名称及其它情况</w:t>
      </w:r>
    </w:p>
    <w:p>
      <w:pPr>
        <w:numPr>
          <w:ilvl w:val="0"/>
          <w:numId w:val="17"/>
        </w:numPr>
        <w:spacing w:line="520" w:lineRule="exact"/>
        <w:ind w:left="210" w:leftChars="100"/>
        <w:jc w:val="left"/>
        <w:rPr>
          <w:rFonts w:ascii="仿宋" w:hAnsi="仿宋" w:eastAsia="仿宋" w:cs="仿宋"/>
          <w:sz w:val="24"/>
          <w:szCs w:val="24"/>
          <w:highlight w:val="none"/>
        </w:rPr>
      </w:pPr>
      <w:r>
        <w:rPr>
          <w:rFonts w:hint="eastAsia" w:ascii="仿宋" w:hAnsi="仿宋" w:eastAsia="仿宋" w:cs="仿宋"/>
          <w:sz w:val="24"/>
          <w:szCs w:val="24"/>
          <w:highlight w:val="none"/>
        </w:rPr>
        <w:t>供应商名称：____________________________________</w:t>
      </w:r>
    </w:p>
    <w:p>
      <w:pPr>
        <w:numPr>
          <w:ilvl w:val="0"/>
          <w:numId w:val="17"/>
        </w:numPr>
        <w:spacing w:line="520" w:lineRule="exact"/>
        <w:ind w:left="210" w:leftChars="100"/>
        <w:jc w:val="left"/>
        <w:rPr>
          <w:rFonts w:ascii="仿宋" w:hAnsi="仿宋" w:eastAsia="仿宋" w:cs="仿宋"/>
          <w:sz w:val="24"/>
          <w:szCs w:val="24"/>
          <w:highlight w:val="none"/>
        </w:rPr>
      </w:pPr>
      <w:r>
        <w:rPr>
          <w:rFonts w:hint="eastAsia" w:ascii="仿宋" w:hAnsi="仿宋" w:eastAsia="仿宋" w:cs="仿宋"/>
          <w:sz w:val="24"/>
          <w:szCs w:val="24"/>
          <w:highlight w:val="none"/>
        </w:rPr>
        <w:t>地   址：电  话：</w:t>
      </w:r>
    </w:p>
    <w:p>
      <w:pPr>
        <w:numPr>
          <w:ilvl w:val="0"/>
          <w:numId w:val="17"/>
        </w:numPr>
        <w:spacing w:line="520" w:lineRule="exact"/>
        <w:ind w:left="210" w:leftChars="100"/>
        <w:jc w:val="left"/>
        <w:rPr>
          <w:rFonts w:ascii="仿宋" w:hAnsi="仿宋" w:eastAsia="仿宋" w:cs="仿宋"/>
          <w:sz w:val="24"/>
          <w:szCs w:val="24"/>
          <w:highlight w:val="none"/>
        </w:rPr>
      </w:pPr>
      <w:r>
        <w:rPr>
          <w:rFonts w:hint="eastAsia" w:ascii="仿宋" w:hAnsi="仿宋" w:eastAsia="仿宋" w:cs="仿宋"/>
          <w:sz w:val="24"/>
          <w:szCs w:val="24"/>
          <w:highlight w:val="none"/>
        </w:rPr>
        <w:t>成立和注册日期：</w:t>
      </w:r>
    </w:p>
    <w:p>
      <w:pPr>
        <w:numPr>
          <w:ilvl w:val="0"/>
          <w:numId w:val="17"/>
        </w:numPr>
        <w:spacing w:line="520" w:lineRule="exact"/>
        <w:ind w:left="210" w:leftChars="100"/>
        <w:jc w:val="left"/>
        <w:rPr>
          <w:rFonts w:ascii="仿宋" w:hAnsi="仿宋" w:eastAsia="仿宋" w:cs="仿宋"/>
          <w:sz w:val="24"/>
          <w:szCs w:val="24"/>
          <w:highlight w:val="none"/>
        </w:rPr>
      </w:pPr>
      <w:r>
        <w:rPr>
          <w:rFonts w:hint="eastAsia" w:ascii="仿宋" w:hAnsi="仿宋" w:eastAsia="仿宋" w:cs="仿宋"/>
          <w:sz w:val="24"/>
          <w:szCs w:val="24"/>
          <w:highlight w:val="none"/>
        </w:rPr>
        <w:t>主管部门：</w:t>
      </w:r>
    </w:p>
    <w:p>
      <w:pPr>
        <w:numPr>
          <w:ilvl w:val="0"/>
          <w:numId w:val="17"/>
        </w:numPr>
        <w:spacing w:line="520" w:lineRule="exact"/>
        <w:ind w:left="210" w:leftChars="100"/>
        <w:jc w:val="left"/>
        <w:rPr>
          <w:rFonts w:ascii="仿宋" w:hAnsi="仿宋" w:eastAsia="仿宋" w:cs="仿宋"/>
          <w:sz w:val="24"/>
          <w:szCs w:val="24"/>
          <w:highlight w:val="none"/>
        </w:rPr>
      </w:pPr>
      <w:r>
        <w:rPr>
          <w:rFonts w:hint="eastAsia" w:ascii="仿宋" w:hAnsi="仿宋" w:eastAsia="仿宋" w:cs="仿宋"/>
          <w:sz w:val="24"/>
          <w:szCs w:val="24"/>
          <w:highlight w:val="none"/>
        </w:rPr>
        <w:t>公司性质：</w:t>
      </w:r>
    </w:p>
    <w:p>
      <w:pPr>
        <w:numPr>
          <w:ilvl w:val="0"/>
          <w:numId w:val="17"/>
        </w:numPr>
        <w:spacing w:line="520" w:lineRule="exact"/>
        <w:ind w:left="210" w:leftChars="100"/>
        <w:jc w:val="left"/>
        <w:rPr>
          <w:rFonts w:ascii="仿宋" w:hAnsi="仿宋" w:eastAsia="仿宋" w:cs="仿宋"/>
          <w:sz w:val="24"/>
          <w:szCs w:val="24"/>
          <w:highlight w:val="none"/>
        </w:rPr>
      </w:pPr>
      <w:r>
        <w:rPr>
          <w:rFonts w:hint="eastAsia" w:ascii="仿宋" w:hAnsi="仿宋" w:eastAsia="仿宋" w:cs="仿宋"/>
          <w:sz w:val="24"/>
          <w:szCs w:val="24"/>
          <w:highlight w:val="none"/>
        </w:rPr>
        <w:t>职工总人数：</w:t>
      </w:r>
    </w:p>
    <w:p>
      <w:pPr>
        <w:numPr>
          <w:ilvl w:val="0"/>
          <w:numId w:val="17"/>
        </w:numPr>
        <w:spacing w:line="520" w:lineRule="exact"/>
        <w:ind w:left="210" w:leftChars="100"/>
        <w:jc w:val="left"/>
        <w:rPr>
          <w:rFonts w:ascii="仿宋" w:hAnsi="仿宋" w:eastAsia="仿宋" w:cs="仿宋"/>
          <w:sz w:val="24"/>
          <w:szCs w:val="24"/>
          <w:highlight w:val="none"/>
        </w:rPr>
      </w:pPr>
      <w:r>
        <w:rPr>
          <w:rFonts w:hint="eastAsia" w:ascii="仿宋" w:hAnsi="仿宋" w:eastAsia="仿宋" w:cs="仿宋"/>
          <w:sz w:val="24"/>
          <w:szCs w:val="24"/>
          <w:highlight w:val="none"/>
        </w:rPr>
        <w:t>工程技术及管理人员数分别为：</w:t>
      </w:r>
    </w:p>
    <w:p>
      <w:pPr>
        <w:numPr>
          <w:ilvl w:val="0"/>
          <w:numId w:val="17"/>
        </w:numPr>
        <w:spacing w:line="520" w:lineRule="exact"/>
        <w:ind w:left="210" w:leftChars="100"/>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本年度供应商的主要财务情况（到  </w:t>
      </w:r>
      <w:r>
        <w:rPr>
          <w:rFonts w:hint="eastAsia" w:ascii="仿宋" w:hAnsi="仿宋" w:eastAsia="仿宋" w:cs="仿宋"/>
          <w:sz w:val="24"/>
          <w:szCs w:val="24"/>
          <w:highlight w:val="none"/>
          <w:u w:val="single"/>
        </w:rPr>
        <w:t xml:space="preserve">年  月  日 </w:t>
      </w:r>
      <w:r>
        <w:rPr>
          <w:rFonts w:hint="eastAsia" w:ascii="仿宋" w:hAnsi="仿宋" w:eastAsia="仿宋" w:cs="仿宋"/>
          <w:sz w:val="24"/>
          <w:szCs w:val="24"/>
          <w:highlight w:val="none"/>
        </w:rPr>
        <w:t>止）</w:t>
      </w:r>
    </w:p>
    <w:p>
      <w:pPr>
        <w:numPr>
          <w:ilvl w:val="0"/>
          <w:numId w:val="18"/>
        </w:numPr>
        <w:spacing w:line="520" w:lineRule="exact"/>
        <w:ind w:left="691" w:leftChars="329"/>
        <w:jc w:val="left"/>
        <w:rPr>
          <w:rFonts w:ascii="仿宋" w:hAnsi="仿宋" w:eastAsia="仿宋" w:cs="仿宋"/>
          <w:sz w:val="24"/>
          <w:szCs w:val="24"/>
          <w:highlight w:val="none"/>
        </w:rPr>
      </w:pPr>
      <w:r>
        <w:rPr>
          <w:rFonts w:hint="eastAsia" w:ascii="仿宋" w:hAnsi="仿宋" w:eastAsia="仿宋" w:cs="仿宋"/>
          <w:sz w:val="24"/>
          <w:szCs w:val="24"/>
          <w:highlight w:val="none"/>
        </w:rPr>
        <w:t>注册资金：</w:t>
      </w:r>
    </w:p>
    <w:p>
      <w:pPr>
        <w:numPr>
          <w:ilvl w:val="0"/>
          <w:numId w:val="18"/>
        </w:numPr>
        <w:spacing w:line="520" w:lineRule="exact"/>
        <w:ind w:left="691" w:leftChars="329"/>
        <w:jc w:val="left"/>
        <w:rPr>
          <w:rFonts w:ascii="仿宋" w:hAnsi="仿宋" w:eastAsia="仿宋" w:cs="仿宋"/>
          <w:sz w:val="24"/>
          <w:szCs w:val="24"/>
          <w:highlight w:val="none"/>
        </w:rPr>
      </w:pPr>
      <w:r>
        <w:rPr>
          <w:rFonts w:hint="eastAsia" w:ascii="仿宋" w:hAnsi="仿宋" w:eastAsia="仿宋" w:cs="仿宋"/>
          <w:sz w:val="24"/>
          <w:szCs w:val="24"/>
          <w:highlight w:val="none"/>
        </w:rPr>
        <w:t>固定资产：</w:t>
      </w:r>
    </w:p>
    <w:p>
      <w:pPr>
        <w:spacing w:line="520" w:lineRule="exact"/>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      原    值：</w:t>
      </w:r>
    </w:p>
    <w:p>
      <w:pPr>
        <w:spacing w:line="52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      净    值：</w:t>
      </w:r>
    </w:p>
    <w:p>
      <w:pPr>
        <w:numPr>
          <w:ilvl w:val="0"/>
          <w:numId w:val="18"/>
        </w:numPr>
        <w:spacing w:line="520" w:lineRule="exact"/>
        <w:ind w:left="691" w:leftChars="329"/>
        <w:jc w:val="left"/>
        <w:rPr>
          <w:rFonts w:ascii="仿宋" w:hAnsi="仿宋" w:eastAsia="仿宋" w:cs="仿宋"/>
          <w:sz w:val="24"/>
          <w:szCs w:val="24"/>
          <w:highlight w:val="none"/>
        </w:rPr>
      </w:pPr>
      <w:r>
        <w:rPr>
          <w:rFonts w:hint="eastAsia" w:ascii="仿宋" w:hAnsi="仿宋" w:eastAsia="仿宋" w:cs="仿宋"/>
          <w:sz w:val="24"/>
          <w:szCs w:val="24"/>
          <w:highlight w:val="none"/>
        </w:rPr>
        <w:t>流动资产：</w:t>
      </w:r>
    </w:p>
    <w:p>
      <w:pPr>
        <w:numPr>
          <w:ilvl w:val="0"/>
          <w:numId w:val="18"/>
        </w:numPr>
        <w:spacing w:line="520" w:lineRule="exact"/>
        <w:ind w:left="691" w:leftChars="329"/>
        <w:jc w:val="left"/>
        <w:rPr>
          <w:rFonts w:ascii="仿宋" w:hAnsi="仿宋" w:eastAsia="仿宋" w:cs="仿宋"/>
          <w:sz w:val="24"/>
          <w:szCs w:val="24"/>
          <w:highlight w:val="none"/>
        </w:rPr>
      </w:pPr>
      <w:r>
        <w:rPr>
          <w:rFonts w:hint="eastAsia" w:ascii="仿宋" w:hAnsi="仿宋" w:eastAsia="仿宋" w:cs="仿宋"/>
          <w:sz w:val="24"/>
          <w:szCs w:val="24"/>
          <w:highlight w:val="none"/>
        </w:rPr>
        <w:t>长期负债：</w:t>
      </w:r>
    </w:p>
    <w:p>
      <w:pPr>
        <w:numPr>
          <w:ilvl w:val="0"/>
          <w:numId w:val="18"/>
        </w:numPr>
        <w:spacing w:line="520" w:lineRule="exact"/>
        <w:ind w:left="691" w:leftChars="329"/>
        <w:jc w:val="left"/>
        <w:rPr>
          <w:rFonts w:ascii="仿宋" w:hAnsi="仿宋" w:eastAsia="仿宋" w:cs="仿宋"/>
          <w:sz w:val="24"/>
          <w:szCs w:val="24"/>
          <w:highlight w:val="none"/>
        </w:rPr>
      </w:pPr>
      <w:r>
        <w:rPr>
          <w:rFonts w:hint="eastAsia" w:ascii="仿宋" w:hAnsi="仿宋" w:eastAsia="仿宋" w:cs="仿宋"/>
          <w:sz w:val="24"/>
          <w:szCs w:val="24"/>
          <w:highlight w:val="none"/>
        </w:rPr>
        <w:t>短期负债：</w:t>
      </w:r>
    </w:p>
    <w:p>
      <w:pPr>
        <w:numPr>
          <w:ilvl w:val="0"/>
          <w:numId w:val="18"/>
        </w:numPr>
        <w:spacing w:line="520" w:lineRule="exact"/>
        <w:ind w:left="691" w:leftChars="329"/>
        <w:jc w:val="left"/>
        <w:rPr>
          <w:rFonts w:ascii="仿宋" w:hAnsi="仿宋" w:eastAsia="仿宋" w:cs="仿宋"/>
          <w:sz w:val="24"/>
          <w:szCs w:val="24"/>
          <w:highlight w:val="none"/>
        </w:rPr>
      </w:pPr>
      <w:r>
        <w:rPr>
          <w:rFonts w:hint="eastAsia" w:ascii="仿宋" w:hAnsi="仿宋" w:eastAsia="仿宋" w:cs="仿宋"/>
          <w:sz w:val="24"/>
          <w:szCs w:val="24"/>
          <w:highlight w:val="none"/>
        </w:rPr>
        <w:t>销售收入/主营业务收入：</w:t>
      </w:r>
    </w:p>
    <w:p>
      <w:pPr>
        <w:numPr>
          <w:ilvl w:val="0"/>
          <w:numId w:val="16"/>
        </w:numPr>
        <w:spacing w:line="52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最近三年的年度总营业额：</w:t>
      </w:r>
    </w:p>
    <w:p>
      <w:pPr>
        <w:numPr>
          <w:ilvl w:val="0"/>
          <w:numId w:val="16"/>
        </w:numPr>
        <w:spacing w:line="52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供应商最近三年法律纠纷情况</w:t>
      </w:r>
    </w:p>
    <w:tbl>
      <w:tblPr>
        <w:tblStyle w:val="35"/>
        <w:tblW w:w="900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2280"/>
        <w:gridCol w:w="1826"/>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spacing w:line="52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时间</w:t>
            </w:r>
          </w:p>
        </w:tc>
        <w:tc>
          <w:tcPr>
            <w:tcW w:w="2280" w:type="dxa"/>
            <w:vAlign w:val="center"/>
          </w:tcPr>
          <w:p>
            <w:pPr>
              <w:spacing w:line="52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案由</w:t>
            </w:r>
          </w:p>
        </w:tc>
        <w:tc>
          <w:tcPr>
            <w:tcW w:w="1826" w:type="dxa"/>
            <w:vAlign w:val="center"/>
          </w:tcPr>
          <w:p>
            <w:pPr>
              <w:spacing w:line="52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涉及金额</w:t>
            </w:r>
          </w:p>
        </w:tc>
        <w:tc>
          <w:tcPr>
            <w:tcW w:w="2919" w:type="dxa"/>
            <w:vAlign w:val="center"/>
          </w:tcPr>
          <w:p>
            <w:pPr>
              <w:spacing w:line="52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目前办理情况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ascii="仿宋" w:hAnsi="仿宋" w:eastAsia="仿宋" w:cs="仿宋"/>
                <w:sz w:val="24"/>
                <w:szCs w:val="24"/>
                <w:highlight w:val="none"/>
              </w:rPr>
            </w:pPr>
          </w:p>
        </w:tc>
        <w:tc>
          <w:tcPr>
            <w:tcW w:w="2280" w:type="dxa"/>
          </w:tcPr>
          <w:p>
            <w:pPr>
              <w:spacing w:line="520" w:lineRule="exact"/>
              <w:jc w:val="left"/>
              <w:rPr>
                <w:rFonts w:ascii="仿宋" w:hAnsi="仿宋" w:eastAsia="仿宋" w:cs="仿宋"/>
                <w:sz w:val="24"/>
                <w:szCs w:val="24"/>
                <w:highlight w:val="none"/>
              </w:rPr>
            </w:pPr>
          </w:p>
        </w:tc>
        <w:tc>
          <w:tcPr>
            <w:tcW w:w="1826" w:type="dxa"/>
          </w:tcPr>
          <w:p>
            <w:pPr>
              <w:spacing w:line="520" w:lineRule="exact"/>
              <w:jc w:val="left"/>
              <w:rPr>
                <w:rFonts w:ascii="仿宋" w:hAnsi="仿宋" w:eastAsia="仿宋" w:cs="仿宋"/>
                <w:sz w:val="24"/>
                <w:szCs w:val="24"/>
                <w:highlight w:val="none"/>
              </w:rPr>
            </w:pPr>
          </w:p>
        </w:tc>
        <w:tc>
          <w:tcPr>
            <w:tcW w:w="2919" w:type="dxa"/>
          </w:tcPr>
          <w:p>
            <w:pPr>
              <w:spacing w:line="520" w:lineRule="exact"/>
              <w:jc w:val="lef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ascii="仿宋" w:hAnsi="仿宋" w:eastAsia="仿宋" w:cs="仿宋"/>
                <w:sz w:val="24"/>
                <w:szCs w:val="24"/>
                <w:highlight w:val="none"/>
              </w:rPr>
            </w:pPr>
          </w:p>
        </w:tc>
        <w:tc>
          <w:tcPr>
            <w:tcW w:w="2280" w:type="dxa"/>
          </w:tcPr>
          <w:p>
            <w:pPr>
              <w:spacing w:line="520" w:lineRule="exact"/>
              <w:jc w:val="left"/>
              <w:rPr>
                <w:rFonts w:ascii="仿宋" w:hAnsi="仿宋" w:eastAsia="仿宋" w:cs="仿宋"/>
                <w:sz w:val="24"/>
                <w:szCs w:val="24"/>
                <w:highlight w:val="none"/>
              </w:rPr>
            </w:pPr>
          </w:p>
        </w:tc>
        <w:tc>
          <w:tcPr>
            <w:tcW w:w="1826" w:type="dxa"/>
          </w:tcPr>
          <w:p>
            <w:pPr>
              <w:spacing w:line="520" w:lineRule="exact"/>
              <w:jc w:val="left"/>
              <w:rPr>
                <w:rFonts w:ascii="仿宋" w:hAnsi="仿宋" w:eastAsia="仿宋" w:cs="仿宋"/>
                <w:sz w:val="24"/>
                <w:szCs w:val="24"/>
                <w:highlight w:val="none"/>
              </w:rPr>
            </w:pPr>
          </w:p>
        </w:tc>
        <w:tc>
          <w:tcPr>
            <w:tcW w:w="2919" w:type="dxa"/>
          </w:tcPr>
          <w:p>
            <w:pPr>
              <w:spacing w:line="520" w:lineRule="exact"/>
              <w:jc w:val="lef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ascii="仿宋" w:hAnsi="仿宋" w:eastAsia="仿宋" w:cs="仿宋"/>
                <w:sz w:val="24"/>
                <w:szCs w:val="24"/>
                <w:highlight w:val="none"/>
              </w:rPr>
            </w:pPr>
          </w:p>
        </w:tc>
        <w:tc>
          <w:tcPr>
            <w:tcW w:w="2280" w:type="dxa"/>
          </w:tcPr>
          <w:p>
            <w:pPr>
              <w:spacing w:line="520" w:lineRule="exact"/>
              <w:jc w:val="left"/>
              <w:rPr>
                <w:rFonts w:ascii="仿宋" w:hAnsi="仿宋" w:eastAsia="仿宋" w:cs="仿宋"/>
                <w:sz w:val="24"/>
                <w:szCs w:val="24"/>
                <w:highlight w:val="none"/>
              </w:rPr>
            </w:pPr>
          </w:p>
        </w:tc>
        <w:tc>
          <w:tcPr>
            <w:tcW w:w="1826" w:type="dxa"/>
          </w:tcPr>
          <w:p>
            <w:pPr>
              <w:spacing w:line="520" w:lineRule="exact"/>
              <w:jc w:val="left"/>
              <w:rPr>
                <w:rFonts w:ascii="仿宋" w:hAnsi="仿宋" w:eastAsia="仿宋" w:cs="仿宋"/>
                <w:sz w:val="24"/>
                <w:szCs w:val="24"/>
                <w:highlight w:val="none"/>
              </w:rPr>
            </w:pPr>
          </w:p>
        </w:tc>
        <w:tc>
          <w:tcPr>
            <w:tcW w:w="2919" w:type="dxa"/>
          </w:tcPr>
          <w:p>
            <w:pPr>
              <w:spacing w:line="520" w:lineRule="exact"/>
              <w:jc w:val="left"/>
              <w:rPr>
                <w:rFonts w:ascii="仿宋" w:hAnsi="仿宋" w:eastAsia="仿宋" w:cs="仿宋"/>
                <w:sz w:val="24"/>
                <w:szCs w:val="24"/>
                <w:highlight w:val="none"/>
              </w:rPr>
            </w:pPr>
          </w:p>
        </w:tc>
      </w:tr>
    </w:tbl>
    <w:p>
      <w:pPr>
        <w:spacing w:line="52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4、有关银行的名称和地址：</w:t>
      </w:r>
    </w:p>
    <w:p>
      <w:pPr>
        <w:spacing w:line="52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5、其他情况：</w:t>
      </w:r>
    </w:p>
    <w:p>
      <w:pPr>
        <w:spacing w:line="520" w:lineRule="exact"/>
        <w:ind w:firstLine="360" w:firstLineChars="150"/>
        <w:jc w:val="left"/>
        <w:rPr>
          <w:rFonts w:ascii="仿宋" w:hAnsi="仿宋" w:eastAsia="仿宋" w:cs="仿宋"/>
          <w:sz w:val="24"/>
          <w:szCs w:val="24"/>
          <w:highlight w:val="none"/>
        </w:rPr>
      </w:pPr>
      <w:r>
        <w:rPr>
          <w:rFonts w:hint="eastAsia" w:ascii="仿宋" w:hAnsi="仿宋" w:eastAsia="仿宋" w:cs="仿宋"/>
          <w:sz w:val="24"/>
          <w:szCs w:val="24"/>
          <w:highlight w:val="none"/>
        </w:rPr>
        <w:t>我们保证上述声明是真实的、正确的，并提供了全部能提供的资料和数据；如贵方要求我们同意出示进一步证明文件。</w:t>
      </w:r>
    </w:p>
    <w:p>
      <w:pPr>
        <w:spacing w:line="52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授权代表签字：</w:t>
      </w:r>
    </w:p>
    <w:p>
      <w:pPr>
        <w:spacing w:line="52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授权代表的职务：</w:t>
      </w:r>
    </w:p>
    <w:p>
      <w:pPr>
        <w:spacing w:line="52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电话号和传真号：</w:t>
      </w:r>
    </w:p>
    <w:p>
      <w:pPr>
        <w:spacing w:line="520" w:lineRule="exact"/>
        <w:ind w:right="960"/>
        <w:rPr>
          <w:rFonts w:ascii="仿宋" w:hAnsi="仿宋" w:eastAsia="仿宋" w:cs="仿宋"/>
          <w:sz w:val="24"/>
          <w:szCs w:val="24"/>
          <w:highlight w:val="none"/>
        </w:rPr>
      </w:pPr>
    </w:p>
    <w:p>
      <w:pPr>
        <w:spacing w:line="520" w:lineRule="exact"/>
        <w:ind w:right="960" w:firstLine="5040" w:firstLineChars="2100"/>
        <w:rPr>
          <w:rFonts w:ascii="仿宋" w:hAnsi="仿宋" w:eastAsia="仿宋" w:cs="仿宋"/>
          <w:sz w:val="24"/>
          <w:szCs w:val="24"/>
          <w:highlight w:val="none"/>
        </w:rPr>
      </w:pPr>
      <w:r>
        <w:rPr>
          <w:rFonts w:hint="eastAsia" w:ascii="仿宋" w:hAnsi="仿宋" w:eastAsia="仿宋" w:cs="仿宋"/>
          <w:sz w:val="24"/>
          <w:szCs w:val="24"/>
          <w:highlight w:val="none"/>
        </w:rPr>
        <w:t>公   章:</w:t>
      </w:r>
    </w:p>
    <w:p>
      <w:pPr>
        <w:wordWrap w:val="0"/>
        <w:spacing w:line="520" w:lineRule="exact"/>
        <w:ind w:right="480"/>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日   期：   年   月   日</w:t>
      </w:r>
    </w:p>
    <w:p>
      <w:pPr>
        <w:tabs>
          <w:tab w:val="left" w:pos="1799"/>
        </w:tabs>
        <w:jc w:val="left"/>
        <w:rPr>
          <w:rFonts w:ascii="仿宋" w:hAnsi="仿宋" w:eastAsia="仿宋" w:cs="仿宋"/>
          <w:b/>
          <w:bCs/>
          <w:sz w:val="24"/>
          <w:szCs w:val="24"/>
          <w:highlight w:val="none"/>
        </w:rPr>
      </w:pPr>
    </w:p>
    <w:p>
      <w:pPr>
        <w:keepLines/>
        <w:pageBreakBefore/>
        <w:jc w:val="center"/>
        <w:outlineLvl w:val="1"/>
        <w:rPr>
          <w:rFonts w:ascii="仿宋" w:hAnsi="仿宋" w:eastAsia="仿宋" w:cs="仿宋"/>
          <w:b/>
          <w:bCs/>
          <w:sz w:val="32"/>
          <w:szCs w:val="32"/>
          <w:highlight w:val="none"/>
        </w:rPr>
      </w:pPr>
      <w:bookmarkStart w:id="391" w:name="_Toc6786"/>
      <w:bookmarkStart w:id="392" w:name="_Toc8575"/>
      <w:bookmarkStart w:id="393" w:name="_Toc22089"/>
      <w:bookmarkStart w:id="394" w:name="_Toc992"/>
      <w:r>
        <w:rPr>
          <w:rFonts w:hint="eastAsia" w:ascii="仿宋" w:hAnsi="仿宋" w:eastAsia="仿宋" w:cs="仿宋"/>
          <w:b/>
          <w:bCs/>
          <w:sz w:val="32"/>
          <w:szCs w:val="32"/>
          <w:highlight w:val="none"/>
        </w:rPr>
        <w:t>二、供应商资格证明文件</w:t>
      </w:r>
      <w:bookmarkEnd w:id="391"/>
      <w:bookmarkEnd w:id="392"/>
      <w:bookmarkEnd w:id="393"/>
      <w:bookmarkEnd w:id="394"/>
    </w:p>
    <w:p>
      <w:pPr>
        <w:pStyle w:val="2"/>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（见初步审查要素表）</w:t>
      </w:r>
    </w:p>
    <w:bookmarkEnd w:id="353"/>
    <w:bookmarkEnd w:id="354"/>
    <w:bookmarkEnd w:id="384"/>
    <w:bookmarkEnd w:id="385"/>
    <w:bookmarkEnd w:id="386"/>
    <w:p>
      <w:pPr>
        <w:keepLines/>
        <w:pageBreakBefore/>
        <w:spacing w:before="100" w:after="156" w:afterLines="50" w:line="360" w:lineRule="auto"/>
        <w:outlineLvl w:val="2"/>
        <w:rPr>
          <w:rFonts w:ascii="仿宋" w:hAnsi="仿宋" w:eastAsia="仿宋" w:cs="仿宋"/>
          <w:b/>
          <w:sz w:val="28"/>
          <w:szCs w:val="28"/>
          <w:highlight w:val="none"/>
        </w:rPr>
      </w:pPr>
      <w:bookmarkStart w:id="395" w:name="_Toc15221"/>
      <w:bookmarkStart w:id="396" w:name="_Toc27379"/>
      <w:bookmarkStart w:id="397" w:name="_Toc26693"/>
      <w:r>
        <w:rPr>
          <w:rFonts w:hint="eastAsia" w:ascii="仿宋" w:hAnsi="仿宋" w:eastAsia="仿宋" w:cs="仿宋"/>
          <w:b/>
          <w:sz w:val="28"/>
          <w:szCs w:val="28"/>
          <w:highlight w:val="none"/>
        </w:rPr>
        <w:t>附件1：</w:t>
      </w:r>
      <w:bookmarkEnd w:id="395"/>
      <w:bookmarkEnd w:id="396"/>
      <w:bookmarkEnd w:id="397"/>
    </w:p>
    <w:p>
      <w:pPr>
        <w:pStyle w:val="6"/>
        <w:keepLines w:val="0"/>
        <w:jc w:val="center"/>
        <w:rPr>
          <w:rFonts w:ascii="仿宋" w:hAnsi="仿宋" w:eastAsia="仿宋" w:cs="仿宋"/>
          <w:sz w:val="32"/>
          <w:szCs w:val="32"/>
          <w:highlight w:val="none"/>
        </w:rPr>
      </w:pPr>
      <w:bookmarkStart w:id="398" w:name="_Toc8343"/>
      <w:bookmarkStart w:id="399" w:name="_Toc15418"/>
      <w:bookmarkStart w:id="400" w:name="_Toc1142"/>
      <w:r>
        <w:rPr>
          <w:rFonts w:hint="eastAsia" w:ascii="仿宋" w:hAnsi="仿宋" w:eastAsia="仿宋" w:cs="仿宋"/>
          <w:sz w:val="32"/>
          <w:szCs w:val="32"/>
          <w:highlight w:val="none"/>
        </w:rPr>
        <w:t>中小企业声明函（工程、服务）</w:t>
      </w:r>
      <w:bookmarkEnd w:id="398"/>
      <w:bookmarkEnd w:id="399"/>
      <w:bookmarkEnd w:id="400"/>
    </w:p>
    <w:p>
      <w:pPr>
        <w:pStyle w:val="2"/>
        <w:spacing w:before="55" w:line="360" w:lineRule="auto"/>
        <w:ind w:right="415" w:firstLine="640"/>
        <w:rPr>
          <w:rFonts w:ascii="仿宋" w:hAnsi="仿宋" w:eastAsia="仿宋" w:cs="仿宋"/>
          <w:spacing w:val="-2"/>
          <w:sz w:val="24"/>
          <w:szCs w:val="24"/>
          <w:highlight w:val="none"/>
        </w:rPr>
      </w:pPr>
    </w:p>
    <w:p>
      <w:pPr>
        <w:pStyle w:val="2"/>
        <w:spacing w:before="55" w:line="360" w:lineRule="auto"/>
        <w:ind w:firstLine="640"/>
        <w:jc w:val="left"/>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本公司（联合体）郑重声明，根据《政府采购促进中小企业发展管理办法》（财库﹝2020﹞46 号）的规定，本公司（联合体）参加</w:t>
      </w:r>
      <w:r>
        <w:rPr>
          <w:rFonts w:hint="eastAsia" w:ascii="仿宋" w:hAnsi="仿宋" w:eastAsia="仿宋" w:cs="仿宋"/>
          <w:spacing w:val="-2"/>
          <w:sz w:val="24"/>
          <w:szCs w:val="24"/>
          <w:highlight w:val="none"/>
          <w:u w:val="single"/>
        </w:rPr>
        <w:t>（单位名称）</w:t>
      </w:r>
      <w:r>
        <w:rPr>
          <w:rFonts w:hint="eastAsia" w:ascii="仿宋" w:hAnsi="仿宋" w:eastAsia="仿宋" w:cs="仿宋"/>
          <w:spacing w:val="-2"/>
          <w:sz w:val="24"/>
          <w:szCs w:val="24"/>
          <w:highlight w:val="none"/>
        </w:rPr>
        <w:t>的</w:t>
      </w:r>
      <w:r>
        <w:rPr>
          <w:rFonts w:hint="eastAsia" w:ascii="仿宋" w:hAnsi="仿宋" w:eastAsia="仿宋" w:cs="仿宋"/>
          <w:spacing w:val="-2"/>
          <w:sz w:val="24"/>
          <w:szCs w:val="24"/>
          <w:highlight w:val="none"/>
          <w:u w:val="single"/>
        </w:rPr>
        <w:t>（项目名称）</w:t>
      </w:r>
      <w:r>
        <w:rPr>
          <w:rFonts w:hint="eastAsia" w:ascii="仿宋" w:hAnsi="仿宋" w:eastAsia="仿宋" w:cs="仿宋"/>
          <w:spacing w:val="-2"/>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13"/>
        <w:numPr>
          <w:ilvl w:val="0"/>
          <w:numId w:val="19"/>
        </w:numPr>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u w:val="single"/>
          <w:lang w:val="zh-CN"/>
        </w:rPr>
        <w:t>（标的名称）</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lang w:val="zh-CN"/>
        </w:rPr>
        <w:t>（采购文件中明确的所属行业）</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承建（承接）企业为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w:t>
      </w:r>
    </w:p>
    <w:p>
      <w:pPr>
        <w:pStyle w:val="113"/>
        <w:numPr>
          <w:ilvl w:val="0"/>
          <w:numId w:val="19"/>
        </w:numPr>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u w:val="single"/>
          <w:lang w:val="zh-CN"/>
        </w:rPr>
        <w:t>（标的名称）</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lang w:val="zh-CN"/>
        </w:rPr>
        <w:t>（采购文件中明确的所属行业）</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承建（承接）企业为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w:t>
      </w:r>
    </w:p>
    <w:p>
      <w:pPr>
        <w:pStyle w:val="113"/>
        <w:spacing w:line="360" w:lineRule="auto"/>
        <w:ind w:firstLine="48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pStyle w:val="113"/>
        <w:spacing w:line="360" w:lineRule="auto"/>
        <w:ind w:firstLine="48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以上企业，不属于大企业的分支机构，不存在控股股东为大企业的情形，也不存在与大企业的负责人为同一人的情形。</w:t>
      </w:r>
    </w:p>
    <w:p>
      <w:pPr>
        <w:pStyle w:val="113"/>
        <w:spacing w:line="360" w:lineRule="auto"/>
        <w:ind w:firstLine="48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本企业对上述声明内容的真实性负责。如有虚假，将依法承担相应责任。</w:t>
      </w:r>
    </w:p>
    <w:p>
      <w:pPr>
        <w:pStyle w:val="113"/>
        <w:spacing w:line="360" w:lineRule="auto"/>
        <w:ind w:firstLine="480"/>
        <w:rPr>
          <w:rFonts w:ascii="仿宋" w:hAnsi="仿宋" w:eastAsia="仿宋" w:cs="仿宋"/>
          <w:sz w:val="24"/>
          <w:szCs w:val="24"/>
          <w:highlight w:val="none"/>
        </w:rPr>
      </w:pPr>
    </w:p>
    <w:p>
      <w:pPr>
        <w:pStyle w:val="113"/>
        <w:spacing w:line="360" w:lineRule="auto"/>
        <w:ind w:firstLine="4560" w:firstLineChars="1900"/>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企业名称（盖章）：</w:t>
      </w:r>
    </w:p>
    <w:p>
      <w:pPr>
        <w:pStyle w:val="113"/>
        <w:spacing w:line="360" w:lineRule="auto"/>
        <w:ind w:firstLine="4560" w:firstLineChars="1900"/>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日期：</w:t>
      </w:r>
    </w:p>
    <w:p>
      <w:pPr>
        <w:pStyle w:val="113"/>
        <w:spacing w:line="360" w:lineRule="auto"/>
        <w:ind w:firstLine="480"/>
        <w:rPr>
          <w:rFonts w:ascii="仿宋" w:hAnsi="仿宋" w:eastAsia="仿宋" w:cs="仿宋"/>
          <w:sz w:val="24"/>
          <w:szCs w:val="24"/>
          <w:highlight w:val="none"/>
        </w:rPr>
      </w:pPr>
    </w:p>
    <w:p>
      <w:pPr>
        <w:pStyle w:val="113"/>
        <w:spacing w:line="360" w:lineRule="auto"/>
        <w:ind w:left="630" w:hanging="630" w:hangingChars="300"/>
        <w:rPr>
          <w:rFonts w:ascii="仿宋" w:hAnsi="仿宋" w:eastAsia="仿宋" w:cs="仿宋"/>
          <w:spacing w:val="-8"/>
          <w:highlight w:val="none"/>
        </w:rPr>
      </w:pPr>
      <w:r>
        <w:rPr>
          <w:rFonts w:hint="eastAsia" w:ascii="仿宋" w:hAnsi="仿宋" w:eastAsia="仿宋" w:cs="仿宋"/>
          <w:highlight w:val="none"/>
        </w:rPr>
        <w:t>备注：1、</w:t>
      </w:r>
      <w:r>
        <w:rPr>
          <w:rFonts w:hint="eastAsia" w:ascii="仿宋" w:hAnsi="仿宋" w:eastAsia="仿宋" w:cs="仿宋"/>
          <w:spacing w:val="-8"/>
          <w:highlight w:val="none"/>
        </w:rPr>
        <w:t>中小企业参加政府采购活动，应当按照《政府采购促进中小企业发展管理办法》（财库〔2020〕46号）规定和《中小企业划型标准规定》（工信部联企业〔2011〕300号），如实填写并提交本《中小企业声明函》。</w:t>
      </w:r>
    </w:p>
    <w:p>
      <w:pPr>
        <w:pStyle w:val="113"/>
        <w:spacing w:line="360" w:lineRule="auto"/>
        <w:ind w:left="615" w:leftChars="293" w:firstLine="19" w:firstLineChars="10"/>
        <w:rPr>
          <w:rFonts w:ascii="仿宋" w:hAnsi="仿宋" w:eastAsia="仿宋" w:cs="仿宋"/>
          <w:highlight w:val="none"/>
        </w:rPr>
      </w:pPr>
      <w:r>
        <w:rPr>
          <w:rFonts w:hint="eastAsia" w:ascii="仿宋" w:hAnsi="仿宋" w:eastAsia="仿宋" w:cs="仿宋"/>
          <w:spacing w:val="-8"/>
          <w:highlight w:val="none"/>
        </w:rPr>
        <w:t>2、从业人员、营业收入、资产总额填报上一年度数据，无上一年度数据的新成立企业可不填报。</w:t>
      </w:r>
    </w:p>
    <w:p>
      <w:pPr>
        <w:spacing w:line="360" w:lineRule="auto"/>
        <w:jc w:val="left"/>
        <w:rPr>
          <w:rFonts w:ascii="仿宋" w:hAnsi="仿宋" w:eastAsia="仿宋" w:cs="仿宋"/>
          <w:b/>
          <w:sz w:val="28"/>
          <w:szCs w:val="28"/>
          <w:highlight w:val="none"/>
        </w:rPr>
      </w:pPr>
    </w:p>
    <w:p>
      <w:pPr>
        <w:spacing w:line="360" w:lineRule="auto"/>
        <w:ind w:right="640"/>
        <w:rPr>
          <w:rFonts w:ascii="仿宋" w:hAnsi="仿宋" w:eastAsia="仿宋" w:cs="仿宋"/>
          <w:sz w:val="24"/>
          <w:szCs w:val="24"/>
          <w:highlight w:val="none"/>
        </w:rPr>
      </w:pPr>
    </w:p>
    <w:p>
      <w:pPr>
        <w:spacing w:before="100" w:after="156" w:afterLines="50" w:line="360" w:lineRule="auto"/>
        <w:outlineLvl w:val="2"/>
        <w:rPr>
          <w:rFonts w:ascii="仿宋" w:hAnsi="仿宋" w:eastAsia="仿宋" w:cs="仿宋"/>
          <w:b/>
          <w:bCs/>
          <w:spacing w:val="6"/>
          <w:sz w:val="30"/>
          <w:szCs w:val="30"/>
          <w:highlight w:val="none"/>
        </w:rPr>
      </w:pPr>
      <w:bookmarkStart w:id="401" w:name="_Toc11545"/>
      <w:bookmarkStart w:id="402" w:name="_Toc17404"/>
      <w:bookmarkStart w:id="403" w:name="_Toc8292"/>
      <w:r>
        <w:rPr>
          <w:rFonts w:hint="eastAsia" w:ascii="仿宋" w:hAnsi="仿宋" w:eastAsia="仿宋" w:cs="仿宋"/>
          <w:b/>
          <w:bCs/>
          <w:spacing w:val="6"/>
          <w:sz w:val="30"/>
          <w:szCs w:val="30"/>
          <w:highlight w:val="none"/>
        </w:rPr>
        <w:t>附件</w:t>
      </w:r>
      <w:r>
        <w:rPr>
          <w:rFonts w:hint="eastAsia" w:ascii="仿宋" w:hAnsi="仿宋" w:eastAsia="仿宋" w:cs="仿宋"/>
          <w:b/>
          <w:bCs/>
          <w:spacing w:val="6"/>
          <w:sz w:val="30"/>
          <w:szCs w:val="30"/>
          <w:highlight w:val="none"/>
          <w:lang w:val="en-US" w:eastAsia="zh-CN"/>
        </w:rPr>
        <w:t>2</w:t>
      </w:r>
      <w:r>
        <w:rPr>
          <w:rFonts w:hint="eastAsia" w:ascii="仿宋" w:hAnsi="仿宋" w:eastAsia="仿宋" w:cs="仿宋"/>
          <w:b/>
          <w:bCs/>
          <w:spacing w:val="6"/>
          <w:sz w:val="30"/>
          <w:szCs w:val="30"/>
          <w:highlight w:val="none"/>
        </w:rPr>
        <w:t>：</w:t>
      </w:r>
      <w:bookmarkEnd w:id="401"/>
      <w:bookmarkEnd w:id="402"/>
      <w:bookmarkEnd w:id="403"/>
    </w:p>
    <w:p>
      <w:pPr>
        <w:spacing w:line="588" w:lineRule="exact"/>
        <w:jc w:val="center"/>
        <w:outlineLvl w:val="2"/>
        <w:rPr>
          <w:rFonts w:ascii="仿宋" w:hAnsi="仿宋" w:eastAsia="仿宋" w:cs="仿宋"/>
          <w:b/>
          <w:spacing w:val="6"/>
          <w:sz w:val="32"/>
          <w:szCs w:val="32"/>
          <w:highlight w:val="none"/>
        </w:rPr>
      </w:pPr>
      <w:bookmarkStart w:id="404" w:name="_Toc21161"/>
      <w:bookmarkStart w:id="405" w:name="_Toc27001"/>
      <w:bookmarkStart w:id="406" w:name="_Toc23814"/>
      <w:bookmarkStart w:id="407" w:name="OLE_LINK13"/>
      <w:bookmarkStart w:id="408" w:name="OLE_LINK14"/>
      <w:r>
        <w:rPr>
          <w:rFonts w:hint="eastAsia" w:ascii="仿宋" w:hAnsi="仿宋" w:eastAsia="仿宋" w:cs="仿宋"/>
          <w:b/>
          <w:spacing w:val="6"/>
          <w:sz w:val="32"/>
          <w:szCs w:val="32"/>
          <w:highlight w:val="none"/>
        </w:rPr>
        <w:t>残疾人福利性单位声明函</w:t>
      </w:r>
      <w:bookmarkEnd w:id="404"/>
      <w:bookmarkEnd w:id="405"/>
      <w:bookmarkEnd w:id="406"/>
    </w:p>
    <w:bookmarkEnd w:id="407"/>
    <w:bookmarkEnd w:id="408"/>
    <w:p>
      <w:pPr>
        <w:spacing w:line="588" w:lineRule="exact"/>
        <w:rPr>
          <w:rFonts w:ascii="仿宋" w:hAnsi="仿宋" w:eastAsia="仿宋" w:cs="仿宋"/>
          <w:b/>
          <w:spacing w:val="6"/>
          <w:sz w:val="30"/>
          <w:szCs w:val="30"/>
          <w:highlight w:val="none"/>
        </w:rPr>
      </w:pPr>
    </w:p>
    <w:p>
      <w:pPr>
        <w:spacing w:line="588" w:lineRule="exact"/>
        <w:ind w:firstLine="504" w:firstLineChars="200"/>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sz w:val="24"/>
          <w:szCs w:val="24"/>
          <w:highlight w:val="none"/>
        </w:rPr>
        <w:t>〔2017〕 141</w:t>
      </w:r>
      <w:r>
        <w:rPr>
          <w:rFonts w:hint="eastAsia" w:ascii="仿宋" w:hAnsi="仿宋" w:eastAsia="仿宋" w:cs="仿宋"/>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本单位对上述声明的真实性负责。如有虚假，将依法承担相应责任。</w:t>
      </w:r>
    </w:p>
    <w:p>
      <w:pPr>
        <w:spacing w:line="588" w:lineRule="exact"/>
        <w:ind w:firstLine="444" w:firstLineChars="200"/>
        <w:rPr>
          <w:rFonts w:ascii="仿宋" w:hAnsi="仿宋" w:eastAsia="仿宋" w:cs="仿宋"/>
          <w:spacing w:val="6"/>
          <w:szCs w:val="24"/>
          <w:highlight w:val="none"/>
        </w:rPr>
      </w:pPr>
    </w:p>
    <w:p>
      <w:pPr>
        <w:spacing w:line="588" w:lineRule="exact"/>
        <w:ind w:firstLine="444" w:firstLineChars="200"/>
        <w:rPr>
          <w:rFonts w:ascii="仿宋" w:hAnsi="仿宋" w:eastAsia="仿宋" w:cs="仿宋"/>
          <w:spacing w:val="6"/>
          <w:szCs w:val="24"/>
          <w:highlight w:val="none"/>
        </w:rPr>
      </w:pPr>
    </w:p>
    <w:p>
      <w:pPr>
        <w:spacing w:line="588" w:lineRule="exact"/>
        <w:ind w:firstLine="504" w:firstLineChars="200"/>
        <w:rPr>
          <w:rFonts w:ascii="仿宋" w:hAnsi="仿宋" w:eastAsia="仿宋" w:cs="仿宋"/>
          <w:spacing w:val="6"/>
          <w:sz w:val="24"/>
          <w:szCs w:val="24"/>
          <w:highlight w:val="none"/>
        </w:rPr>
      </w:pPr>
    </w:p>
    <w:p>
      <w:pPr>
        <w:spacing w:line="588" w:lineRule="exact"/>
        <w:ind w:firstLine="504" w:firstLineChars="200"/>
        <w:rPr>
          <w:rFonts w:ascii="仿宋" w:hAnsi="仿宋" w:eastAsia="仿宋" w:cs="仿宋"/>
          <w:spacing w:val="6"/>
          <w:sz w:val="24"/>
          <w:szCs w:val="24"/>
          <w:highlight w:val="none"/>
        </w:rPr>
      </w:pPr>
    </w:p>
    <w:p>
      <w:pPr>
        <w:tabs>
          <w:tab w:val="left" w:pos="4860"/>
        </w:tabs>
        <w:spacing w:line="588" w:lineRule="exact"/>
        <w:ind w:right="1560" w:firstLine="504" w:firstLineChars="200"/>
        <w:jc w:val="center"/>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 xml:space="preserve">               单位名称（盖章）：</w:t>
      </w:r>
    </w:p>
    <w:p>
      <w:pPr>
        <w:tabs>
          <w:tab w:val="left" w:pos="4860"/>
        </w:tabs>
        <w:spacing w:line="588" w:lineRule="exact"/>
        <w:ind w:right="1560" w:firstLine="504" w:firstLineChars="200"/>
        <w:jc w:val="center"/>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 xml:space="preserve">       日    期：</w:t>
      </w:r>
    </w:p>
    <w:p>
      <w:pPr>
        <w:pStyle w:val="2"/>
        <w:jc w:val="left"/>
        <w:rPr>
          <w:rFonts w:ascii="仿宋" w:hAnsi="仿宋" w:eastAsia="仿宋" w:cs="仿宋"/>
          <w:b/>
          <w:bCs/>
          <w:spacing w:val="6"/>
          <w:kern w:val="0"/>
          <w:sz w:val="30"/>
          <w:szCs w:val="30"/>
          <w:highlight w:val="none"/>
        </w:rPr>
      </w:pPr>
    </w:p>
    <w:p>
      <w:pPr>
        <w:pStyle w:val="2"/>
        <w:jc w:val="left"/>
        <w:rPr>
          <w:rFonts w:ascii="仿宋" w:hAnsi="仿宋" w:eastAsia="仿宋" w:cs="仿宋"/>
          <w:b/>
          <w:bCs/>
          <w:spacing w:val="6"/>
          <w:kern w:val="0"/>
          <w:sz w:val="30"/>
          <w:szCs w:val="30"/>
          <w:highlight w:val="none"/>
        </w:rPr>
      </w:pPr>
    </w:p>
    <w:p>
      <w:pPr>
        <w:pStyle w:val="2"/>
        <w:jc w:val="left"/>
        <w:rPr>
          <w:rFonts w:ascii="仿宋" w:hAnsi="仿宋" w:eastAsia="仿宋" w:cs="仿宋"/>
          <w:b/>
          <w:bCs/>
          <w:spacing w:val="6"/>
          <w:kern w:val="0"/>
          <w:sz w:val="30"/>
          <w:szCs w:val="30"/>
          <w:highlight w:val="none"/>
        </w:rPr>
      </w:pP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备注：符合条件的残疾人福利性单位在参加政府采购活动时，应当提供《残疾人福利性单位声明函》，并对声明的真实性负责；非残疾人福利性单位无需提供。</w:t>
      </w:r>
    </w:p>
    <w:p>
      <w:pPr>
        <w:pStyle w:val="2"/>
        <w:jc w:val="left"/>
        <w:rPr>
          <w:rFonts w:ascii="仿宋" w:hAnsi="仿宋" w:eastAsia="仿宋" w:cs="仿宋"/>
          <w:b/>
          <w:bCs/>
          <w:spacing w:val="6"/>
          <w:kern w:val="0"/>
          <w:sz w:val="30"/>
          <w:szCs w:val="30"/>
          <w:highlight w:val="none"/>
        </w:rPr>
      </w:pPr>
    </w:p>
    <w:p>
      <w:pPr>
        <w:pStyle w:val="2"/>
        <w:jc w:val="left"/>
        <w:rPr>
          <w:rFonts w:ascii="仿宋" w:hAnsi="仿宋" w:eastAsia="仿宋" w:cs="仿宋"/>
          <w:b/>
          <w:bCs/>
          <w:spacing w:val="6"/>
          <w:kern w:val="0"/>
          <w:sz w:val="30"/>
          <w:szCs w:val="30"/>
          <w:highlight w:val="none"/>
        </w:rPr>
      </w:pPr>
    </w:p>
    <w:p>
      <w:pPr>
        <w:pStyle w:val="2"/>
        <w:jc w:val="left"/>
        <w:rPr>
          <w:rFonts w:ascii="仿宋" w:hAnsi="仿宋" w:eastAsia="仿宋" w:cs="仿宋"/>
          <w:b/>
          <w:bCs/>
          <w:spacing w:val="6"/>
          <w:kern w:val="0"/>
          <w:sz w:val="30"/>
          <w:szCs w:val="30"/>
          <w:highlight w:val="none"/>
        </w:rPr>
      </w:pPr>
    </w:p>
    <w:p>
      <w:pPr>
        <w:pStyle w:val="2"/>
        <w:jc w:val="left"/>
        <w:outlineLvl w:val="2"/>
        <w:rPr>
          <w:rFonts w:hint="eastAsia" w:ascii="仿宋" w:hAnsi="仿宋" w:eastAsia="仿宋" w:cs="仿宋"/>
          <w:b/>
          <w:bCs/>
          <w:spacing w:val="6"/>
          <w:kern w:val="0"/>
          <w:sz w:val="30"/>
          <w:szCs w:val="30"/>
          <w:highlight w:val="none"/>
          <w:lang w:eastAsia="zh-CN"/>
        </w:rPr>
      </w:pPr>
      <w:bookmarkStart w:id="409" w:name="_Toc11376"/>
      <w:bookmarkStart w:id="410" w:name="_Toc17472"/>
      <w:bookmarkStart w:id="411" w:name="_Toc10471"/>
      <w:r>
        <w:rPr>
          <w:rFonts w:hint="eastAsia" w:ascii="仿宋" w:hAnsi="仿宋" w:eastAsia="仿宋" w:cs="仿宋"/>
          <w:b/>
          <w:bCs/>
          <w:spacing w:val="6"/>
          <w:kern w:val="0"/>
          <w:sz w:val="30"/>
          <w:szCs w:val="30"/>
          <w:highlight w:val="none"/>
        </w:rPr>
        <w:t>附件</w:t>
      </w:r>
      <w:bookmarkEnd w:id="409"/>
      <w:bookmarkEnd w:id="410"/>
      <w:bookmarkEnd w:id="411"/>
      <w:r>
        <w:rPr>
          <w:rFonts w:hint="eastAsia" w:ascii="仿宋" w:hAnsi="仿宋" w:eastAsia="仿宋" w:cs="仿宋"/>
          <w:b/>
          <w:bCs/>
          <w:spacing w:val="6"/>
          <w:kern w:val="0"/>
          <w:sz w:val="30"/>
          <w:szCs w:val="30"/>
          <w:highlight w:val="none"/>
          <w:lang w:val="en-US" w:eastAsia="zh-CN"/>
        </w:rPr>
        <w:t>3</w:t>
      </w:r>
    </w:p>
    <w:p>
      <w:pPr>
        <w:spacing w:line="500" w:lineRule="exact"/>
        <w:ind w:firstLine="643" w:firstLineChars="200"/>
        <w:jc w:val="center"/>
        <w:outlineLvl w:val="2"/>
        <w:rPr>
          <w:rFonts w:ascii="仿宋" w:hAnsi="仿宋" w:eastAsia="仿宋" w:cs="仿宋"/>
          <w:b/>
          <w:bCs/>
          <w:sz w:val="32"/>
          <w:szCs w:val="32"/>
          <w:highlight w:val="none"/>
        </w:rPr>
      </w:pPr>
      <w:bookmarkStart w:id="412" w:name="_Toc18072"/>
      <w:bookmarkStart w:id="413" w:name="_Toc19477"/>
      <w:bookmarkStart w:id="414" w:name="_Toc31479"/>
      <w:r>
        <w:rPr>
          <w:rFonts w:hint="eastAsia" w:ascii="仿宋" w:hAnsi="仿宋" w:eastAsia="仿宋" w:cs="仿宋"/>
          <w:b/>
          <w:bCs/>
          <w:sz w:val="32"/>
          <w:szCs w:val="32"/>
          <w:highlight w:val="none"/>
        </w:rPr>
        <w:t>监狱企业证明文件</w:t>
      </w:r>
      <w:bookmarkEnd w:id="412"/>
      <w:bookmarkEnd w:id="413"/>
      <w:bookmarkEnd w:id="414"/>
    </w:p>
    <w:p>
      <w:pPr>
        <w:pStyle w:val="2"/>
        <w:rPr>
          <w:rFonts w:ascii="仿宋" w:hAnsi="仿宋" w:eastAsia="仿宋" w:cs="仿宋"/>
          <w:highlight w:val="none"/>
        </w:rPr>
      </w:pPr>
    </w:p>
    <w:p>
      <w:pPr>
        <w:spacing w:line="500" w:lineRule="exact"/>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482" w:firstLineChars="200"/>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监狱企业参加政府采购活动时，应当提供由省级以上监狱管理局、戒毒管理局（含新疆生产建设兵团）出具的属于监狱企业的证明文件，</w:t>
      </w:r>
      <w:r>
        <w:rPr>
          <w:rFonts w:hint="eastAsia" w:ascii="仿宋" w:hAnsi="仿宋" w:eastAsia="仿宋" w:cs="仿宋"/>
          <w:b/>
          <w:bCs/>
          <w:color w:val="000000"/>
          <w:sz w:val="24"/>
          <w:szCs w:val="24"/>
          <w:highlight w:val="none"/>
        </w:rPr>
        <w:t>非监狱企业无需提供</w:t>
      </w:r>
      <w:r>
        <w:rPr>
          <w:rFonts w:hint="eastAsia" w:ascii="仿宋" w:hAnsi="仿宋" w:eastAsia="仿宋" w:cs="仿宋"/>
          <w:b/>
          <w:bCs/>
          <w:sz w:val="24"/>
          <w:szCs w:val="24"/>
          <w:highlight w:val="none"/>
        </w:rPr>
        <w:t>。</w:t>
      </w:r>
    </w:p>
    <w:p>
      <w:pPr>
        <w:tabs>
          <w:tab w:val="left" w:pos="1620"/>
          <w:tab w:val="left" w:pos="1800"/>
        </w:tabs>
        <w:spacing w:line="440" w:lineRule="exact"/>
        <w:ind w:right="540" w:rightChars="257"/>
        <w:rPr>
          <w:rFonts w:ascii="仿宋" w:hAnsi="仿宋" w:eastAsia="仿宋" w:cs="仿宋"/>
          <w:sz w:val="24"/>
          <w:szCs w:val="24"/>
          <w:highlight w:val="none"/>
        </w:rPr>
      </w:pPr>
    </w:p>
    <w:p>
      <w:pPr>
        <w:spacing w:line="360" w:lineRule="auto"/>
        <w:ind w:right="640"/>
        <w:rPr>
          <w:rFonts w:ascii="仿宋" w:hAnsi="仿宋" w:eastAsia="仿宋" w:cs="仿宋"/>
          <w:sz w:val="24"/>
          <w:szCs w:val="24"/>
          <w:highlight w:val="none"/>
        </w:rPr>
      </w:pPr>
    </w:p>
    <w:p>
      <w:pPr>
        <w:spacing w:line="360" w:lineRule="auto"/>
        <w:ind w:right="640"/>
        <w:rPr>
          <w:rFonts w:ascii="仿宋" w:hAnsi="仿宋" w:eastAsia="仿宋" w:cs="仿宋"/>
          <w:sz w:val="24"/>
          <w:szCs w:val="24"/>
          <w:highlight w:val="none"/>
        </w:rPr>
      </w:pPr>
    </w:p>
    <w:p>
      <w:pPr>
        <w:spacing w:line="550" w:lineRule="exact"/>
        <w:ind w:right="640"/>
        <w:rPr>
          <w:rFonts w:ascii="仿宋" w:hAnsi="仿宋" w:eastAsia="仿宋" w:cs="仿宋"/>
          <w:sz w:val="24"/>
          <w:szCs w:val="24"/>
          <w:highlight w:val="none"/>
        </w:rPr>
      </w:pPr>
    </w:p>
    <w:sectPr>
      <w:pgSz w:w="11906" w:h="16838"/>
      <w:pgMar w:top="1417" w:right="1417" w:bottom="1417" w:left="170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ont-weight : 400">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ascii="仿宋" w:hAnsi="仿宋" w:eastAsia="仿宋" w:cs="仿宋"/>
      </w:rPr>
    </w:pPr>
    <w:r>
      <w:rPr>
        <w:rFonts w:hint="eastAsia" w:ascii="仿宋" w:hAnsi="仿宋" w:eastAsia="仿宋" w:cs="仿宋"/>
      </w:rPr>
      <w:t xml:space="preserve">华夏国际项目管理有限公司                                  </w:t>
    </w:r>
    <w:r>
      <w:rPr>
        <w:rFonts w:hint="eastAsia" w:ascii="仿宋" w:hAnsi="仿宋" w:eastAsia="仿宋" w:cs="仿宋"/>
      </w:rPr>
      <w:tab/>
    </w:r>
    <w:r>
      <w:rPr>
        <w:rFonts w:hint="eastAsia" w:ascii="仿宋" w:hAnsi="仿宋" w:eastAsia="仿宋" w:cs="仿宋"/>
      </w:rPr>
      <w:t>地址：西安市高新区科技五路8号数字大厦11楼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pPr>
      <w:pStyle w:val="23"/>
      <w:rPr>
        <w:rFonts w:ascii="仿宋" w:hAnsi="仿宋" w:eastAsia="仿宋" w:cs="仿宋"/>
      </w:rPr>
    </w:pPr>
    <w:r>
      <w:rPr>
        <w:rFonts w:hint="eastAsia" w:ascii="仿宋" w:hAnsi="仿宋" w:eastAsia="仿宋" w:cs="仿宋"/>
      </w:rPr>
      <w:t>华夏国际项目管理有限公司                               地址：西安市高新区科技五路8号数字大厦11楼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pPr>
      <w:pStyle w:val="23"/>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-1905</wp:posOffset>
              </wp:positionV>
              <wp:extent cx="114935" cy="131445"/>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15pt;height:10.35pt;width:9.05pt;mso-position-horizontal:center;mso-position-horizontal-relative:margin;mso-wrap-style:none;z-index:251659264;mso-width-relative:page;mso-height-relative:page;" filled="f" stroked="f" coordsize="21600,21600" o:gfxdata="UEsDBAoAAAAAAIdO4kAAAAAAAAAAAAAAAAAEAAAAZHJzL1BLAwQUAAAACACHTuJAjtVnH9IAAAAE&#10;AQAADwAAAGRycy9kb3ducmV2LnhtbE2PwU7DMBBE70j8g7VI3Fo7bYWqNJtKVIQjEg0Hjm68TQLx&#10;OrLdNPw97gmOoxnNvCn2sx3ERD70jhGypQJB3DjTc4vwUVeLLYgQNRs9OCaEHwqwL+/vCp0bd+V3&#10;mo6xFamEQ64RuhjHXMrQdGR1WLqROHln562OSfpWGq+vqdwOcqXUk7S657TQ6ZEOHTXfx4tFOFR1&#10;7ScKfvik12r99fa8oZcZ8fEhUzsQkeb4F4YbfkKHMjGd3IVNEANCOhIRFmsQN3ObgTghrNQGZFnI&#10;//DlL1BLAwQUAAAACACHTuJAABrF8jICAABjBAAADgAAAGRycy9lMm9Eb2MueG1srVTNjtMwEL4j&#10;8Q6W7zRtV6yqqumqbFWEVLErLYiz6zhNJP/JdpuUB4A34MSFO8/V59jPTtJFC4c9cEnHnvE3830z&#10;08VNqyQ5Cudro3M6GY0pEZqbotb7nH7+tHkzo8QHpgsmjRY5PQlPb5avXy0aOxdTUxlZCEcAov28&#10;sTmtQrDzLPO8Eor5kbFCw1kap1jA0e2zwrEG6Epm0/H4OmuMK6wzXHiP23XnpD2iewmgKcuai7Xh&#10;ByV06FCdkCyAkq9q6+kyVVuWgoe7svQiEJlTMA3piySwd/GbLRdsvnfMVjXvS2AvKeEZJ8VqjaQX&#10;qDULjBxc/ReUqrkz3pRhxI3KOiJJEbCYjJ9p81AxKxIXSO3tRXT//2D5x+O9I3WR0ytKNFNo+PnH&#10;9/PP3+df38g0ytNYP0fUg0VcaN+ZFkMz3HtcRtZt6VT8BR8CP8Q9XcQVbSA8PppNZ7MxXBy+4QD8&#10;7Om5dT68F0aRaOTUoXtJVHbc+tCFDiExmzabWsrUQalJk9Prq7fj9ODiAbjUMVakWehhIqWu9GiF&#10;dtf2PHemOIGmM92ceMs3NUrZMh/umcNgoHysTrjDp5QGKU1vUVIZ9/Vf9zEe/YKXkgaDllONvaJE&#10;ftDoIwDDYLjB2A2GPqhbg8mdYCUtTyYeuCAHs3RGfcE+rWIOuJjmyJTTMJi3oRt27CMXq1UKwuRZ&#10;Frb6wfIIHeXxdnUIkDOpHEXplEB34gGzl/rU70kc7j/PKerpv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7VZx/SAAAABAEAAA8AAAAAAAAAAQAgAAAAIgAAAGRycy9kb3ducmV2LnhtbFBLAQIU&#10;ABQAAAAIAIdO4kAAGsXyMgIAAGMEAAAOAAAAAAAAAAEAIAAAACEBAABkcnMvZTJvRG9jLnhtbFBL&#10;BQYAAAAABgAGAFkBAADF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71</w:t>
                    </w:r>
                    <w:r>
                      <w:rPr>
                        <w:rFonts w:hint="eastAsia"/>
                        <w:sz w:val="18"/>
                      </w:rPr>
                      <w:fldChar w:fldCharType="end"/>
                    </w:r>
                  </w:p>
                </w:txbxContent>
              </v:textbox>
            </v:shape>
          </w:pict>
        </mc:Fallback>
      </mc:AlternateContent>
    </w:r>
    <w:r>
      <w:rPr>
        <w:rFonts w:hint="eastAsia" w:ascii="仿宋" w:hAnsi="仿宋" w:eastAsia="仿宋" w:cs="仿宋"/>
      </w:rPr>
      <w:t>华夏国际项目管理有限公司                               地址：西安市高新区科技五路8号数字大厦11楼</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left="1530" w:hanging="1530" w:hangingChars="850"/>
      <w:jc w:val="left"/>
      <w:rPr>
        <w:rFonts w:hAnsi="宋体" w:cs="宋体"/>
        <w:szCs w:val="24"/>
      </w:rPr>
    </w:pPr>
    <w:r>
      <w:rPr>
        <w:rFonts w:hint="eastAsia" w:ascii="仿宋" w:hAnsi="仿宋" w:eastAsia="仿宋" w:cs="仿宋"/>
        <w:bCs/>
        <w:sz w:val="18"/>
        <w:szCs w:val="18"/>
        <w:u w:val="single"/>
      </w:rPr>
      <w:t xml:space="preserve">郭杜派出所修缮改扩建项目                                                              竞争性磋商文件 </w:t>
    </w:r>
    <w:r>
      <w:rPr>
        <w:rFonts w:hint="eastAsia" w:hAnsi="宋体"/>
        <w:bCs/>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rPr>
        <w:rFonts w:ascii="仿宋" w:hAnsi="仿宋" w:eastAsia="仿宋" w:cs="仿宋"/>
      </w:rPr>
    </w:pPr>
    <w:r>
      <w:rPr>
        <w:rFonts w:hint="eastAsia" w:ascii="仿宋" w:hAnsi="仿宋" w:eastAsia="仿宋" w:cs="仿宋"/>
        <w:bCs/>
      </w:rPr>
      <w:t>郭杜派出所修缮改扩建项目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5251"/>
        <w:tab w:val="clear" w:pos="4153"/>
      </w:tabs>
      <w:jc w:val="both"/>
      <w:rPr>
        <w:rFonts w:ascii="仿宋" w:hAnsi="仿宋" w:eastAsia="仿宋" w:cs="仿宋"/>
      </w:rPr>
    </w:pPr>
    <w:r>
      <w:rPr>
        <w:rFonts w:hint="eastAsia" w:ascii="仿宋" w:hAnsi="仿宋" w:eastAsia="仿宋" w:cs="仿宋"/>
      </w:rPr>
      <w:t>郭杜派出所修缮改扩建项目</w:t>
    </w:r>
    <w:r>
      <w:rPr>
        <w:rFonts w:hint="eastAsia" w:ascii="仿宋" w:hAnsi="仿宋" w:eastAsia="仿宋" w:cs="仿宋"/>
      </w:rPr>
      <w:tab/>
    </w:r>
    <w:r>
      <w:rPr>
        <w:rFonts w:hint="eastAsia" w:ascii="仿宋" w:hAnsi="仿宋" w:eastAsia="仿宋" w:cs="仿宋"/>
      </w:rPr>
      <w:t xml:space="preserve">                         </w:t>
    </w:r>
    <w:r>
      <w:rPr>
        <w:rFonts w:hint="eastAsia" w:ascii="仿宋" w:hAnsi="仿宋" w:eastAsia="仿宋" w:cs="仿宋"/>
        <w:bCs/>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5E003"/>
    <w:multiLevelType w:val="singleLevel"/>
    <w:tmpl w:val="80E5E003"/>
    <w:lvl w:ilvl="0" w:tentative="0">
      <w:start w:val="1"/>
      <w:numFmt w:val="decimal"/>
      <w:suff w:val="nothing"/>
      <w:lvlText w:val="（%1）"/>
      <w:lvlJc w:val="left"/>
    </w:lvl>
  </w:abstractNum>
  <w:abstractNum w:abstractNumId="1">
    <w:nsid w:val="8666E805"/>
    <w:multiLevelType w:val="singleLevel"/>
    <w:tmpl w:val="8666E805"/>
    <w:lvl w:ilvl="0" w:tentative="0">
      <w:start w:val="1"/>
      <w:numFmt w:val="decimal"/>
      <w:suff w:val="nothing"/>
      <w:lvlText w:val="%1、"/>
      <w:lvlJc w:val="left"/>
    </w:lvl>
  </w:abstractNum>
  <w:abstractNum w:abstractNumId="2">
    <w:nsid w:val="88F483E0"/>
    <w:multiLevelType w:val="singleLevel"/>
    <w:tmpl w:val="88F483E0"/>
    <w:lvl w:ilvl="0" w:tentative="0">
      <w:start w:val="1"/>
      <w:numFmt w:val="decimal"/>
      <w:suff w:val="nothing"/>
      <w:lvlText w:val="%1、"/>
      <w:lvlJc w:val="left"/>
    </w:lvl>
  </w:abstractNum>
  <w:abstractNum w:abstractNumId="3">
    <w:nsid w:val="9682BD26"/>
    <w:multiLevelType w:val="singleLevel"/>
    <w:tmpl w:val="9682BD26"/>
    <w:lvl w:ilvl="0" w:tentative="0">
      <w:start w:val="1"/>
      <w:numFmt w:val="decimal"/>
      <w:suff w:val="nothing"/>
      <w:lvlText w:val="%1、"/>
      <w:lvlJc w:val="left"/>
    </w:lvl>
  </w:abstractNum>
  <w:abstractNum w:abstractNumId="4">
    <w:nsid w:val="CEEF902F"/>
    <w:multiLevelType w:val="singleLevel"/>
    <w:tmpl w:val="CEEF902F"/>
    <w:lvl w:ilvl="0" w:tentative="0">
      <w:start w:val="2"/>
      <w:numFmt w:val="decimal"/>
      <w:suff w:val="nothing"/>
      <w:lvlText w:val="%1．"/>
      <w:lvlJc w:val="left"/>
    </w:lvl>
  </w:abstractNum>
  <w:abstractNum w:abstractNumId="5">
    <w:nsid w:val="E0DC7E9A"/>
    <w:multiLevelType w:val="singleLevel"/>
    <w:tmpl w:val="E0DC7E9A"/>
    <w:lvl w:ilvl="0" w:tentative="0">
      <w:start w:val="1"/>
      <w:numFmt w:val="decimal"/>
      <w:suff w:val="nothing"/>
      <w:lvlText w:val="（%1）"/>
      <w:lvlJc w:val="left"/>
    </w:lvl>
  </w:abstractNum>
  <w:abstractNum w:abstractNumId="6">
    <w:nsid w:val="ED157E40"/>
    <w:multiLevelType w:val="singleLevel"/>
    <w:tmpl w:val="ED157E40"/>
    <w:lvl w:ilvl="0" w:tentative="0">
      <w:start w:val="5"/>
      <w:numFmt w:val="decimal"/>
      <w:suff w:val="nothing"/>
      <w:lvlText w:val="%1、"/>
      <w:lvlJc w:val="left"/>
    </w:lvl>
  </w:abstractNum>
  <w:abstractNum w:abstractNumId="7">
    <w:nsid w:val="05B652DA"/>
    <w:multiLevelType w:val="singleLevel"/>
    <w:tmpl w:val="05B652DA"/>
    <w:lvl w:ilvl="0" w:tentative="0">
      <w:start w:val="1"/>
      <w:numFmt w:val="decimalEnclosedCircle"/>
      <w:lvlText w:val="%1"/>
      <w:lvlJc w:val="left"/>
      <w:pPr>
        <w:tabs>
          <w:tab w:val="left" w:pos="810"/>
        </w:tabs>
        <w:ind w:left="810" w:hanging="330"/>
      </w:pPr>
      <w:rPr>
        <w:rFonts w:hint="eastAsia"/>
      </w:rPr>
    </w:lvl>
  </w:abstractNum>
  <w:abstractNum w:abstractNumId="8">
    <w:nsid w:val="2372421E"/>
    <w:multiLevelType w:val="singleLevel"/>
    <w:tmpl w:val="2372421E"/>
    <w:lvl w:ilvl="0" w:tentative="0">
      <w:start w:val="1"/>
      <w:numFmt w:val="decimal"/>
      <w:lvlText w:val="(%1)"/>
      <w:lvlJc w:val="left"/>
      <w:pPr>
        <w:tabs>
          <w:tab w:val="left" w:pos="420"/>
        </w:tabs>
        <w:ind w:left="0" w:firstLine="0"/>
      </w:pPr>
      <w:rPr>
        <w:rFonts w:hint="default"/>
      </w:rPr>
    </w:lvl>
  </w:abstractNum>
  <w:abstractNum w:abstractNumId="9">
    <w:nsid w:val="23B22A7C"/>
    <w:multiLevelType w:val="multilevel"/>
    <w:tmpl w:val="23B22A7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40D3E5A"/>
    <w:multiLevelType w:val="singleLevel"/>
    <w:tmpl w:val="240D3E5A"/>
    <w:lvl w:ilvl="0" w:tentative="0">
      <w:start w:val="1"/>
      <w:numFmt w:val="decimal"/>
      <w:lvlText w:val="%1、"/>
      <w:lvlJc w:val="left"/>
      <w:pPr>
        <w:tabs>
          <w:tab w:val="left" w:pos="480"/>
        </w:tabs>
        <w:ind w:left="480" w:hanging="480"/>
      </w:pPr>
      <w:rPr>
        <w:rFonts w:hint="eastAsia"/>
      </w:rPr>
    </w:lvl>
  </w:abstractNum>
  <w:abstractNum w:abstractNumId="11">
    <w:nsid w:val="287AEC02"/>
    <w:multiLevelType w:val="singleLevel"/>
    <w:tmpl w:val="287AEC02"/>
    <w:lvl w:ilvl="0" w:tentative="0">
      <w:start w:val="1"/>
      <w:numFmt w:val="decimal"/>
      <w:lvlText w:val="(%1)"/>
      <w:lvlJc w:val="left"/>
      <w:pPr>
        <w:tabs>
          <w:tab w:val="left" w:pos="420"/>
        </w:tabs>
        <w:ind w:left="0" w:firstLine="0"/>
      </w:pPr>
      <w:rPr>
        <w:rFonts w:hint="default"/>
      </w:rPr>
    </w:lvl>
  </w:abstractNum>
  <w:abstractNum w:abstractNumId="12">
    <w:nsid w:val="2E2861B5"/>
    <w:multiLevelType w:val="multilevel"/>
    <w:tmpl w:val="2E2861B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E2B4636"/>
    <w:multiLevelType w:val="singleLevel"/>
    <w:tmpl w:val="2E2B4636"/>
    <w:lvl w:ilvl="0" w:tentative="0">
      <w:start w:val="1"/>
      <w:numFmt w:val="decimal"/>
      <w:suff w:val="nothing"/>
      <w:lvlText w:val="%1、"/>
      <w:lvlJc w:val="left"/>
    </w:lvl>
  </w:abstractNum>
  <w:abstractNum w:abstractNumId="14">
    <w:nsid w:val="3E44EB76"/>
    <w:multiLevelType w:val="singleLevel"/>
    <w:tmpl w:val="3E44EB76"/>
    <w:lvl w:ilvl="0" w:tentative="0">
      <w:start w:val="1"/>
      <w:numFmt w:val="chineseCounting"/>
      <w:suff w:val="nothing"/>
      <w:lvlText w:val="%1、"/>
      <w:lvlJc w:val="left"/>
      <w:rPr>
        <w:rFonts w:hint="eastAsia"/>
      </w:rPr>
    </w:lvl>
  </w:abstractNum>
  <w:abstractNum w:abstractNumId="15">
    <w:nsid w:val="4C0C1BFB"/>
    <w:multiLevelType w:val="singleLevel"/>
    <w:tmpl w:val="4C0C1BFB"/>
    <w:lvl w:ilvl="0" w:tentative="0">
      <w:start w:val="1"/>
      <w:numFmt w:val="decimal"/>
      <w:lvlText w:val="（%1）"/>
      <w:lvlJc w:val="left"/>
      <w:pPr>
        <w:tabs>
          <w:tab w:val="left" w:pos="810"/>
        </w:tabs>
        <w:ind w:left="810" w:hanging="810"/>
      </w:pPr>
      <w:rPr>
        <w:rFonts w:hint="eastAsia"/>
      </w:rPr>
    </w:lvl>
  </w:abstractNum>
  <w:abstractNum w:abstractNumId="16">
    <w:nsid w:val="57675E35"/>
    <w:multiLevelType w:val="singleLevel"/>
    <w:tmpl w:val="57675E35"/>
    <w:lvl w:ilvl="0" w:tentative="0">
      <w:start w:val="6"/>
      <w:numFmt w:val="chineseCounting"/>
      <w:suff w:val="space"/>
      <w:lvlText w:val="第%1章"/>
      <w:lvlJc w:val="left"/>
    </w:lvl>
  </w:abstractNum>
  <w:abstractNum w:abstractNumId="17">
    <w:nsid w:val="5913EF5B"/>
    <w:multiLevelType w:val="singleLevel"/>
    <w:tmpl w:val="5913EF5B"/>
    <w:lvl w:ilvl="0" w:tentative="0">
      <w:start w:val="1"/>
      <w:numFmt w:val="chineseCounting"/>
      <w:suff w:val="nothing"/>
      <w:lvlText w:val="（%1）"/>
      <w:lvlJc w:val="left"/>
    </w:lvl>
  </w:abstractNum>
  <w:abstractNum w:abstractNumId="18">
    <w:nsid w:val="7ED0A0DE"/>
    <w:multiLevelType w:val="singleLevel"/>
    <w:tmpl w:val="7ED0A0DE"/>
    <w:lvl w:ilvl="0" w:tentative="0">
      <w:start w:val="1"/>
      <w:numFmt w:val="decimal"/>
      <w:suff w:val="nothing"/>
      <w:lvlText w:val="%1、"/>
      <w:lvlJc w:val="left"/>
    </w:lvl>
  </w:abstractNum>
  <w:num w:numId="1">
    <w:abstractNumId w:val="14"/>
  </w:num>
  <w:num w:numId="2">
    <w:abstractNumId w:val="0"/>
  </w:num>
  <w:num w:numId="3">
    <w:abstractNumId w:val="8"/>
  </w:num>
  <w:num w:numId="4">
    <w:abstractNumId w:val="11"/>
  </w:num>
  <w:num w:numId="5">
    <w:abstractNumId w:val="5"/>
  </w:num>
  <w:num w:numId="6">
    <w:abstractNumId w:val="6"/>
  </w:num>
  <w:num w:numId="7">
    <w:abstractNumId w:val="3"/>
  </w:num>
  <w:num w:numId="8">
    <w:abstractNumId w:val="13"/>
  </w:num>
  <w:num w:numId="9">
    <w:abstractNumId w:val="9"/>
  </w:num>
  <w:num w:numId="10">
    <w:abstractNumId w:val="12"/>
  </w:num>
  <w:num w:numId="11">
    <w:abstractNumId w:val="4"/>
  </w:num>
  <w:num w:numId="12">
    <w:abstractNumId w:val="16"/>
  </w:num>
  <w:num w:numId="13">
    <w:abstractNumId w:val="2"/>
  </w:num>
  <w:num w:numId="14">
    <w:abstractNumId w:val="1"/>
  </w:num>
  <w:num w:numId="15">
    <w:abstractNumId w:val="17"/>
  </w:num>
  <w:num w:numId="16">
    <w:abstractNumId w:val="10"/>
  </w:num>
  <w:num w:numId="17">
    <w:abstractNumId w:val="15"/>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YmJhODUzYzQwNjBhMDU1MjQyMjQ5ZmE3MmY0NzEifQ=="/>
  </w:docVars>
  <w:rsids>
    <w:rsidRoot w:val="00172A27"/>
    <w:rsid w:val="00000B79"/>
    <w:rsid w:val="0000215D"/>
    <w:rsid w:val="00003F19"/>
    <w:rsid w:val="0000558E"/>
    <w:rsid w:val="000067FE"/>
    <w:rsid w:val="00006F45"/>
    <w:rsid w:val="00007B0C"/>
    <w:rsid w:val="00010632"/>
    <w:rsid w:val="00010FA5"/>
    <w:rsid w:val="00012150"/>
    <w:rsid w:val="000122FE"/>
    <w:rsid w:val="00013C0B"/>
    <w:rsid w:val="00014D51"/>
    <w:rsid w:val="000150E1"/>
    <w:rsid w:val="0001566F"/>
    <w:rsid w:val="00015A14"/>
    <w:rsid w:val="00016449"/>
    <w:rsid w:val="000207FF"/>
    <w:rsid w:val="00021267"/>
    <w:rsid w:val="00023783"/>
    <w:rsid w:val="000239F4"/>
    <w:rsid w:val="000250BB"/>
    <w:rsid w:val="000253E5"/>
    <w:rsid w:val="000255CB"/>
    <w:rsid w:val="000261B6"/>
    <w:rsid w:val="000268D2"/>
    <w:rsid w:val="00027D20"/>
    <w:rsid w:val="00031201"/>
    <w:rsid w:val="00034583"/>
    <w:rsid w:val="00034BC2"/>
    <w:rsid w:val="00034C7E"/>
    <w:rsid w:val="00036283"/>
    <w:rsid w:val="00037304"/>
    <w:rsid w:val="000404EA"/>
    <w:rsid w:val="00041B9E"/>
    <w:rsid w:val="00041EDA"/>
    <w:rsid w:val="0004251E"/>
    <w:rsid w:val="00042A62"/>
    <w:rsid w:val="00043948"/>
    <w:rsid w:val="00044508"/>
    <w:rsid w:val="00044AF2"/>
    <w:rsid w:val="00044E7D"/>
    <w:rsid w:val="00045300"/>
    <w:rsid w:val="00045850"/>
    <w:rsid w:val="0005063C"/>
    <w:rsid w:val="00051E3B"/>
    <w:rsid w:val="00051EFE"/>
    <w:rsid w:val="00052AB3"/>
    <w:rsid w:val="00054965"/>
    <w:rsid w:val="00054F2A"/>
    <w:rsid w:val="000566F1"/>
    <w:rsid w:val="00057F94"/>
    <w:rsid w:val="00060ABB"/>
    <w:rsid w:val="00061B72"/>
    <w:rsid w:val="0006202B"/>
    <w:rsid w:val="00062425"/>
    <w:rsid w:val="0006264A"/>
    <w:rsid w:val="00063042"/>
    <w:rsid w:val="00064C8A"/>
    <w:rsid w:val="00067CEF"/>
    <w:rsid w:val="0007163C"/>
    <w:rsid w:val="00072AAF"/>
    <w:rsid w:val="00073176"/>
    <w:rsid w:val="00073C4A"/>
    <w:rsid w:val="000743DF"/>
    <w:rsid w:val="0007508E"/>
    <w:rsid w:val="000757D9"/>
    <w:rsid w:val="00075BFF"/>
    <w:rsid w:val="000766BC"/>
    <w:rsid w:val="00076752"/>
    <w:rsid w:val="00076FBC"/>
    <w:rsid w:val="000775BE"/>
    <w:rsid w:val="000779E0"/>
    <w:rsid w:val="00081F9C"/>
    <w:rsid w:val="000827B7"/>
    <w:rsid w:val="00083F35"/>
    <w:rsid w:val="0008479A"/>
    <w:rsid w:val="0008507C"/>
    <w:rsid w:val="000853F7"/>
    <w:rsid w:val="000858A6"/>
    <w:rsid w:val="000858D9"/>
    <w:rsid w:val="00085F58"/>
    <w:rsid w:val="00086702"/>
    <w:rsid w:val="00086D83"/>
    <w:rsid w:val="00086E59"/>
    <w:rsid w:val="00087B37"/>
    <w:rsid w:val="0009055A"/>
    <w:rsid w:val="00090774"/>
    <w:rsid w:val="00091267"/>
    <w:rsid w:val="00091347"/>
    <w:rsid w:val="00092735"/>
    <w:rsid w:val="00092B1B"/>
    <w:rsid w:val="000951CD"/>
    <w:rsid w:val="000957CC"/>
    <w:rsid w:val="00097DA7"/>
    <w:rsid w:val="000A0454"/>
    <w:rsid w:val="000A1062"/>
    <w:rsid w:val="000A2244"/>
    <w:rsid w:val="000A23E9"/>
    <w:rsid w:val="000A36D5"/>
    <w:rsid w:val="000A4140"/>
    <w:rsid w:val="000A419A"/>
    <w:rsid w:val="000A6318"/>
    <w:rsid w:val="000A6CAF"/>
    <w:rsid w:val="000B0256"/>
    <w:rsid w:val="000B0687"/>
    <w:rsid w:val="000B0EFE"/>
    <w:rsid w:val="000B36B7"/>
    <w:rsid w:val="000B37C2"/>
    <w:rsid w:val="000B3D2B"/>
    <w:rsid w:val="000B5FF5"/>
    <w:rsid w:val="000B76DF"/>
    <w:rsid w:val="000B79AF"/>
    <w:rsid w:val="000C07B5"/>
    <w:rsid w:val="000C2924"/>
    <w:rsid w:val="000C3701"/>
    <w:rsid w:val="000C49DB"/>
    <w:rsid w:val="000C5BE0"/>
    <w:rsid w:val="000C5EC2"/>
    <w:rsid w:val="000C7211"/>
    <w:rsid w:val="000C7440"/>
    <w:rsid w:val="000D0609"/>
    <w:rsid w:val="000D0BDF"/>
    <w:rsid w:val="000D1205"/>
    <w:rsid w:val="000D14CD"/>
    <w:rsid w:val="000D1ED0"/>
    <w:rsid w:val="000D1EF1"/>
    <w:rsid w:val="000D228C"/>
    <w:rsid w:val="000D3416"/>
    <w:rsid w:val="000D3F99"/>
    <w:rsid w:val="000D4D1B"/>
    <w:rsid w:val="000D5AE6"/>
    <w:rsid w:val="000D6425"/>
    <w:rsid w:val="000D693A"/>
    <w:rsid w:val="000D6E95"/>
    <w:rsid w:val="000E007C"/>
    <w:rsid w:val="000E0DB5"/>
    <w:rsid w:val="000E1449"/>
    <w:rsid w:val="000E2E1A"/>
    <w:rsid w:val="000E2E98"/>
    <w:rsid w:val="000E37C1"/>
    <w:rsid w:val="000E49DB"/>
    <w:rsid w:val="000E61E4"/>
    <w:rsid w:val="000E7294"/>
    <w:rsid w:val="000F0F67"/>
    <w:rsid w:val="000F18B6"/>
    <w:rsid w:val="000F1FAC"/>
    <w:rsid w:val="000F2187"/>
    <w:rsid w:val="000F2CF5"/>
    <w:rsid w:val="000F38E6"/>
    <w:rsid w:val="000F4453"/>
    <w:rsid w:val="000F4691"/>
    <w:rsid w:val="000F4C8E"/>
    <w:rsid w:val="000F50FE"/>
    <w:rsid w:val="000F536C"/>
    <w:rsid w:val="000F61F4"/>
    <w:rsid w:val="000F6F95"/>
    <w:rsid w:val="000F7CD7"/>
    <w:rsid w:val="00100E29"/>
    <w:rsid w:val="00105369"/>
    <w:rsid w:val="00105862"/>
    <w:rsid w:val="0010628B"/>
    <w:rsid w:val="001066D1"/>
    <w:rsid w:val="0010704D"/>
    <w:rsid w:val="0010706C"/>
    <w:rsid w:val="001074EA"/>
    <w:rsid w:val="00107737"/>
    <w:rsid w:val="00107DDE"/>
    <w:rsid w:val="001106A2"/>
    <w:rsid w:val="001107E0"/>
    <w:rsid w:val="00110965"/>
    <w:rsid w:val="00111DC3"/>
    <w:rsid w:val="0011393E"/>
    <w:rsid w:val="00113CE9"/>
    <w:rsid w:val="001140D6"/>
    <w:rsid w:val="001149FD"/>
    <w:rsid w:val="00115496"/>
    <w:rsid w:val="001156F4"/>
    <w:rsid w:val="00115775"/>
    <w:rsid w:val="001171E8"/>
    <w:rsid w:val="00117318"/>
    <w:rsid w:val="001177F0"/>
    <w:rsid w:val="00117AF5"/>
    <w:rsid w:val="00117CF8"/>
    <w:rsid w:val="00117F8A"/>
    <w:rsid w:val="00120166"/>
    <w:rsid w:val="001206F3"/>
    <w:rsid w:val="001228AB"/>
    <w:rsid w:val="00122E2F"/>
    <w:rsid w:val="0012400F"/>
    <w:rsid w:val="00124F99"/>
    <w:rsid w:val="00125D85"/>
    <w:rsid w:val="00126EC1"/>
    <w:rsid w:val="001275FA"/>
    <w:rsid w:val="00127AA9"/>
    <w:rsid w:val="00130A9B"/>
    <w:rsid w:val="00131740"/>
    <w:rsid w:val="0013354C"/>
    <w:rsid w:val="00133AED"/>
    <w:rsid w:val="00133E39"/>
    <w:rsid w:val="0013465C"/>
    <w:rsid w:val="00135740"/>
    <w:rsid w:val="0013722A"/>
    <w:rsid w:val="00137566"/>
    <w:rsid w:val="00140847"/>
    <w:rsid w:val="00140DD7"/>
    <w:rsid w:val="00141A92"/>
    <w:rsid w:val="0014274E"/>
    <w:rsid w:val="00143711"/>
    <w:rsid w:val="00143D6F"/>
    <w:rsid w:val="00144199"/>
    <w:rsid w:val="00144BF8"/>
    <w:rsid w:val="001453FC"/>
    <w:rsid w:val="0014592E"/>
    <w:rsid w:val="00146C59"/>
    <w:rsid w:val="00146EF9"/>
    <w:rsid w:val="0014723D"/>
    <w:rsid w:val="001512AC"/>
    <w:rsid w:val="0015152E"/>
    <w:rsid w:val="00152D0A"/>
    <w:rsid w:val="00153D19"/>
    <w:rsid w:val="0015492B"/>
    <w:rsid w:val="001556A0"/>
    <w:rsid w:val="001560AE"/>
    <w:rsid w:val="001573B2"/>
    <w:rsid w:val="001600AE"/>
    <w:rsid w:val="001605A3"/>
    <w:rsid w:val="001605C5"/>
    <w:rsid w:val="00160BDD"/>
    <w:rsid w:val="001610BE"/>
    <w:rsid w:val="00161674"/>
    <w:rsid w:val="00161C80"/>
    <w:rsid w:val="00161E4E"/>
    <w:rsid w:val="00162887"/>
    <w:rsid w:val="00162A0A"/>
    <w:rsid w:val="00163B78"/>
    <w:rsid w:val="00166761"/>
    <w:rsid w:val="001667E9"/>
    <w:rsid w:val="0016771A"/>
    <w:rsid w:val="001700B4"/>
    <w:rsid w:val="001719EB"/>
    <w:rsid w:val="00172A27"/>
    <w:rsid w:val="001731C2"/>
    <w:rsid w:val="00173969"/>
    <w:rsid w:val="001740D0"/>
    <w:rsid w:val="00176B19"/>
    <w:rsid w:val="00176B72"/>
    <w:rsid w:val="00177602"/>
    <w:rsid w:val="001804C7"/>
    <w:rsid w:val="00181C7E"/>
    <w:rsid w:val="00182FAB"/>
    <w:rsid w:val="00183994"/>
    <w:rsid w:val="001851EE"/>
    <w:rsid w:val="001876E9"/>
    <w:rsid w:val="00190942"/>
    <w:rsid w:val="00191A80"/>
    <w:rsid w:val="00192AF9"/>
    <w:rsid w:val="001930CE"/>
    <w:rsid w:val="001935D1"/>
    <w:rsid w:val="00193A79"/>
    <w:rsid w:val="0019465E"/>
    <w:rsid w:val="00195687"/>
    <w:rsid w:val="00196728"/>
    <w:rsid w:val="00196929"/>
    <w:rsid w:val="00197C31"/>
    <w:rsid w:val="001A060F"/>
    <w:rsid w:val="001A1834"/>
    <w:rsid w:val="001A23B9"/>
    <w:rsid w:val="001A3911"/>
    <w:rsid w:val="001A3A75"/>
    <w:rsid w:val="001A3FFF"/>
    <w:rsid w:val="001A4AC9"/>
    <w:rsid w:val="001A4D86"/>
    <w:rsid w:val="001A4DFD"/>
    <w:rsid w:val="001A4FC1"/>
    <w:rsid w:val="001A5705"/>
    <w:rsid w:val="001A5ABF"/>
    <w:rsid w:val="001A66EF"/>
    <w:rsid w:val="001A70A5"/>
    <w:rsid w:val="001A74DC"/>
    <w:rsid w:val="001B0C6C"/>
    <w:rsid w:val="001B1D2F"/>
    <w:rsid w:val="001B32E1"/>
    <w:rsid w:val="001B33C6"/>
    <w:rsid w:val="001B47A4"/>
    <w:rsid w:val="001B4CDE"/>
    <w:rsid w:val="001B4FDA"/>
    <w:rsid w:val="001B55E2"/>
    <w:rsid w:val="001B69BD"/>
    <w:rsid w:val="001C0D55"/>
    <w:rsid w:val="001C284B"/>
    <w:rsid w:val="001C3DAA"/>
    <w:rsid w:val="001C43B7"/>
    <w:rsid w:val="001C4E56"/>
    <w:rsid w:val="001C628C"/>
    <w:rsid w:val="001C6407"/>
    <w:rsid w:val="001D0C72"/>
    <w:rsid w:val="001D203D"/>
    <w:rsid w:val="001D2B52"/>
    <w:rsid w:val="001D3AC7"/>
    <w:rsid w:val="001D5204"/>
    <w:rsid w:val="001D73F4"/>
    <w:rsid w:val="001E02F9"/>
    <w:rsid w:val="001E25AF"/>
    <w:rsid w:val="001E279A"/>
    <w:rsid w:val="001E413F"/>
    <w:rsid w:val="001E4B9A"/>
    <w:rsid w:val="001E5281"/>
    <w:rsid w:val="001E58D2"/>
    <w:rsid w:val="001E634C"/>
    <w:rsid w:val="001E7667"/>
    <w:rsid w:val="001E79C4"/>
    <w:rsid w:val="001F0441"/>
    <w:rsid w:val="001F0F75"/>
    <w:rsid w:val="001F23D3"/>
    <w:rsid w:val="001F248A"/>
    <w:rsid w:val="001F4067"/>
    <w:rsid w:val="001F5288"/>
    <w:rsid w:val="001F57EB"/>
    <w:rsid w:val="001F626C"/>
    <w:rsid w:val="001F6290"/>
    <w:rsid w:val="001F7C94"/>
    <w:rsid w:val="0020010D"/>
    <w:rsid w:val="00200837"/>
    <w:rsid w:val="0020121B"/>
    <w:rsid w:val="00201A4C"/>
    <w:rsid w:val="00201EB4"/>
    <w:rsid w:val="002039A8"/>
    <w:rsid w:val="00203EBE"/>
    <w:rsid w:val="00203F16"/>
    <w:rsid w:val="00205499"/>
    <w:rsid w:val="002055E6"/>
    <w:rsid w:val="002058B4"/>
    <w:rsid w:val="002064AA"/>
    <w:rsid w:val="002068C4"/>
    <w:rsid w:val="002079D7"/>
    <w:rsid w:val="0021054F"/>
    <w:rsid w:val="00213086"/>
    <w:rsid w:val="002133C4"/>
    <w:rsid w:val="00213C10"/>
    <w:rsid w:val="002140D4"/>
    <w:rsid w:val="00215EE4"/>
    <w:rsid w:val="00216B93"/>
    <w:rsid w:val="00223FDF"/>
    <w:rsid w:val="00225792"/>
    <w:rsid w:val="00226047"/>
    <w:rsid w:val="00226893"/>
    <w:rsid w:val="00226ECF"/>
    <w:rsid w:val="002308EB"/>
    <w:rsid w:val="002317A8"/>
    <w:rsid w:val="00233377"/>
    <w:rsid w:val="002337D5"/>
    <w:rsid w:val="0023488A"/>
    <w:rsid w:val="002348C5"/>
    <w:rsid w:val="00234E13"/>
    <w:rsid w:val="00236865"/>
    <w:rsid w:val="002369EB"/>
    <w:rsid w:val="002372E1"/>
    <w:rsid w:val="00240261"/>
    <w:rsid w:val="00240310"/>
    <w:rsid w:val="00241476"/>
    <w:rsid w:val="00242784"/>
    <w:rsid w:val="0024369B"/>
    <w:rsid w:val="00244963"/>
    <w:rsid w:val="00244B56"/>
    <w:rsid w:val="00245B38"/>
    <w:rsid w:val="00246D4A"/>
    <w:rsid w:val="00247780"/>
    <w:rsid w:val="00247965"/>
    <w:rsid w:val="00250CDF"/>
    <w:rsid w:val="002516F8"/>
    <w:rsid w:val="0025250C"/>
    <w:rsid w:val="00252E6B"/>
    <w:rsid w:val="00253665"/>
    <w:rsid w:val="002536FB"/>
    <w:rsid w:val="002543BE"/>
    <w:rsid w:val="002548AF"/>
    <w:rsid w:val="00255263"/>
    <w:rsid w:val="00257784"/>
    <w:rsid w:val="0025783C"/>
    <w:rsid w:val="00260832"/>
    <w:rsid w:val="002611DA"/>
    <w:rsid w:val="002616DA"/>
    <w:rsid w:val="00261CB6"/>
    <w:rsid w:val="00262354"/>
    <w:rsid w:val="002625AC"/>
    <w:rsid w:val="0026424F"/>
    <w:rsid w:val="00264325"/>
    <w:rsid w:val="002648C1"/>
    <w:rsid w:val="00264D24"/>
    <w:rsid w:val="00265BDA"/>
    <w:rsid w:val="0026675B"/>
    <w:rsid w:val="0026771E"/>
    <w:rsid w:val="00270797"/>
    <w:rsid w:val="002707F7"/>
    <w:rsid w:val="00271396"/>
    <w:rsid w:val="00271A13"/>
    <w:rsid w:val="00271AEE"/>
    <w:rsid w:val="00272085"/>
    <w:rsid w:val="00273A0D"/>
    <w:rsid w:val="002741B4"/>
    <w:rsid w:val="002744D2"/>
    <w:rsid w:val="00274E73"/>
    <w:rsid w:val="00275AD7"/>
    <w:rsid w:val="00276E55"/>
    <w:rsid w:val="00276ED2"/>
    <w:rsid w:val="002777C0"/>
    <w:rsid w:val="00277A72"/>
    <w:rsid w:val="0028145F"/>
    <w:rsid w:val="00281ACC"/>
    <w:rsid w:val="00281F6A"/>
    <w:rsid w:val="002823A6"/>
    <w:rsid w:val="002829A6"/>
    <w:rsid w:val="002836EA"/>
    <w:rsid w:val="00283E70"/>
    <w:rsid w:val="002848E4"/>
    <w:rsid w:val="00285445"/>
    <w:rsid w:val="002856F8"/>
    <w:rsid w:val="002873BC"/>
    <w:rsid w:val="00287927"/>
    <w:rsid w:val="00290D84"/>
    <w:rsid w:val="0029328E"/>
    <w:rsid w:val="00293942"/>
    <w:rsid w:val="00293E7E"/>
    <w:rsid w:val="00294075"/>
    <w:rsid w:val="00294297"/>
    <w:rsid w:val="00294CA0"/>
    <w:rsid w:val="00295AB4"/>
    <w:rsid w:val="00295DEF"/>
    <w:rsid w:val="002963A4"/>
    <w:rsid w:val="002A085F"/>
    <w:rsid w:val="002A11CB"/>
    <w:rsid w:val="002A15ED"/>
    <w:rsid w:val="002A3044"/>
    <w:rsid w:val="002A3444"/>
    <w:rsid w:val="002A34D1"/>
    <w:rsid w:val="002A460D"/>
    <w:rsid w:val="002A56C7"/>
    <w:rsid w:val="002A5964"/>
    <w:rsid w:val="002A5DBA"/>
    <w:rsid w:val="002A5E24"/>
    <w:rsid w:val="002A7061"/>
    <w:rsid w:val="002A7299"/>
    <w:rsid w:val="002A745E"/>
    <w:rsid w:val="002B0500"/>
    <w:rsid w:val="002B0A45"/>
    <w:rsid w:val="002B1E2E"/>
    <w:rsid w:val="002B28D2"/>
    <w:rsid w:val="002B450F"/>
    <w:rsid w:val="002B4694"/>
    <w:rsid w:val="002B747E"/>
    <w:rsid w:val="002C071F"/>
    <w:rsid w:val="002C0D55"/>
    <w:rsid w:val="002C1340"/>
    <w:rsid w:val="002C158B"/>
    <w:rsid w:val="002C3DCF"/>
    <w:rsid w:val="002C3E1B"/>
    <w:rsid w:val="002C4D14"/>
    <w:rsid w:val="002C4E4A"/>
    <w:rsid w:val="002C589E"/>
    <w:rsid w:val="002C74A1"/>
    <w:rsid w:val="002D08E0"/>
    <w:rsid w:val="002D2CC6"/>
    <w:rsid w:val="002D3494"/>
    <w:rsid w:val="002D4239"/>
    <w:rsid w:val="002D4B56"/>
    <w:rsid w:val="002D5573"/>
    <w:rsid w:val="002D616A"/>
    <w:rsid w:val="002D652C"/>
    <w:rsid w:val="002D6C1C"/>
    <w:rsid w:val="002D7BA7"/>
    <w:rsid w:val="002D7C37"/>
    <w:rsid w:val="002E1205"/>
    <w:rsid w:val="002E4A0F"/>
    <w:rsid w:val="002E4A7A"/>
    <w:rsid w:val="002E61D6"/>
    <w:rsid w:val="002E719D"/>
    <w:rsid w:val="002E783B"/>
    <w:rsid w:val="002F0E0D"/>
    <w:rsid w:val="002F0F35"/>
    <w:rsid w:val="002F1355"/>
    <w:rsid w:val="002F149D"/>
    <w:rsid w:val="002F1905"/>
    <w:rsid w:val="002F5377"/>
    <w:rsid w:val="002F694A"/>
    <w:rsid w:val="002F6BC6"/>
    <w:rsid w:val="002F7AE9"/>
    <w:rsid w:val="002F7BD0"/>
    <w:rsid w:val="00300043"/>
    <w:rsid w:val="00300997"/>
    <w:rsid w:val="0030100D"/>
    <w:rsid w:val="003045A3"/>
    <w:rsid w:val="00304B5E"/>
    <w:rsid w:val="00304F2A"/>
    <w:rsid w:val="003053A1"/>
    <w:rsid w:val="003055DB"/>
    <w:rsid w:val="00305E04"/>
    <w:rsid w:val="0030648E"/>
    <w:rsid w:val="0030689B"/>
    <w:rsid w:val="00306A95"/>
    <w:rsid w:val="00307FE7"/>
    <w:rsid w:val="003112C0"/>
    <w:rsid w:val="00312B54"/>
    <w:rsid w:val="00313A8C"/>
    <w:rsid w:val="0031416E"/>
    <w:rsid w:val="003145A1"/>
    <w:rsid w:val="00314B49"/>
    <w:rsid w:val="00314BA6"/>
    <w:rsid w:val="00314DED"/>
    <w:rsid w:val="0031504C"/>
    <w:rsid w:val="003152EB"/>
    <w:rsid w:val="00315DB4"/>
    <w:rsid w:val="003165E9"/>
    <w:rsid w:val="003166BE"/>
    <w:rsid w:val="003168A2"/>
    <w:rsid w:val="00316904"/>
    <w:rsid w:val="0032098B"/>
    <w:rsid w:val="0032098F"/>
    <w:rsid w:val="00320C33"/>
    <w:rsid w:val="00321127"/>
    <w:rsid w:val="003215E9"/>
    <w:rsid w:val="003219D6"/>
    <w:rsid w:val="00322D65"/>
    <w:rsid w:val="00324293"/>
    <w:rsid w:val="00324477"/>
    <w:rsid w:val="00324FFF"/>
    <w:rsid w:val="003258FF"/>
    <w:rsid w:val="003259B2"/>
    <w:rsid w:val="00325EF0"/>
    <w:rsid w:val="003269A8"/>
    <w:rsid w:val="00326A3F"/>
    <w:rsid w:val="00326C2C"/>
    <w:rsid w:val="00326F9F"/>
    <w:rsid w:val="0032713D"/>
    <w:rsid w:val="003273BA"/>
    <w:rsid w:val="00330B51"/>
    <w:rsid w:val="003314B6"/>
    <w:rsid w:val="00332B47"/>
    <w:rsid w:val="00332F7B"/>
    <w:rsid w:val="0033316A"/>
    <w:rsid w:val="00334454"/>
    <w:rsid w:val="00334C72"/>
    <w:rsid w:val="00335C95"/>
    <w:rsid w:val="00336655"/>
    <w:rsid w:val="0033751D"/>
    <w:rsid w:val="00337DAF"/>
    <w:rsid w:val="0034158C"/>
    <w:rsid w:val="0034160A"/>
    <w:rsid w:val="003419D1"/>
    <w:rsid w:val="00341C64"/>
    <w:rsid w:val="00342B1D"/>
    <w:rsid w:val="00343297"/>
    <w:rsid w:val="00343341"/>
    <w:rsid w:val="00343455"/>
    <w:rsid w:val="003435C6"/>
    <w:rsid w:val="00343E83"/>
    <w:rsid w:val="003442F3"/>
    <w:rsid w:val="00344AB1"/>
    <w:rsid w:val="00344BB4"/>
    <w:rsid w:val="00345252"/>
    <w:rsid w:val="00345898"/>
    <w:rsid w:val="00345CF8"/>
    <w:rsid w:val="003465A5"/>
    <w:rsid w:val="00350931"/>
    <w:rsid w:val="0035140B"/>
    <w:rsid w:val="00351421"/>
    <w:rsid w:val="00351ABB"/>
    <w:rsid w:val="00351E22"/>
    <w:rsid w:val="00353E0B"/>
    <w:rsid w:val="00355059"/>
    <w:rsid w:val="00355ABB"/>
    <w:rsid w:val="003567E1"/>
    <w:rsid w:val="0035748E"/>
    <w:rsid w:val="00357DCF"/>
    <w:rsid w:val="00360820"/>
    <w:rsid w:val="00360C7A"/>
    <w:rsid w:val="00360D21"/>
    <w:rsid w:val="0036213C"/>
    <w:rsid w:val="003628DA"/>
    <w:rsid w:val="003635DF"/>
    <w:rsid w:val="0036504C"/>
    <w:rsid w:val="0036539D"/>
    <w:rsid w:val="00366D46"/>
    <w:rsid w:val="003676C3"/>
    <w:rsid w:val="003709FF"/>
    <w:rsid w:val="00370C7C"/>
    <w:rsid w:val="00372978"/>
    <w:rsid w:val="00372FE9"/>
    <w:rsid w:val="00376AA0"/>
    <w:rsid w:val="00377517"/>
    <w:rsid w:val="003778E6"/>
    <w:rsid w:val="0038006A"/>
    <w:rsid w:val="00381D92"/>
    <w:rsid w:val="00381E45"/>
    <w:rsid w:val="00382532"/>
    <w:rsid w:val="003826D1"/>
    <w:rsid w:val="003839DF"/>
    <w:rsid w:val="00384677"/>
    <w:rsid w:val="00384B2A"/>
    <w:rsid w:val="00384BA6"/>
    <w:rsid w:val="003869B0"/>
    <w:rsid w:val="00387339"/>
    <w:rsid w:val="00387AC6"/>
    <w:rsid w:val="00387F4C"/>
    <w:rsid w:val="00391036"/>
    <w:rsid w:val="0039378A"/>
    <w:rsid w:val="003943FC"/>
    <w:rsid w:val="003944CC"/>
    <w:rsid w:val="00395253"/>
    <w:rsid w:val="003955B0"/>
    <w:rsid w:val="0039571F"/>
    <w:rsid w:val="00395CFD"/>
    <w:rsid w:val="003965EF"/>
    <w:rsid w:val="00396815"/>
    <w:rsid w:val="00396DE2"/>
    <w:rsid w:val="0039742B"/>
    <w:rsid w:val="00397BC0"/>
    <w:rsid w:val="003A0846"/>
    <w:rsid w:val="003A08B8"/>
    <w:rsid w:val="003A15EC"/>
    <w:rsid w:val="003A2331"/>
    <w:rsid w:val="003A3B47"/>
    <w:rsid w:val="003A403D"/>
    <w:rsid w:val="003A5163"/>
    <w:rsid w:val="003A6636"/>
    <w:rsid w:val="003A6FD1"/>
    <w:rsid w:val="003B020A"/>
    <w:rsid w:val="003B1786"/>
    <w:rsid w:val="003B21BF"/>
    <w:rsid w:val="003B435C"/>
    <w:rsid w:val="003B465A"/>
    <w:rsid w:val="003B4721"/>
    <w:rsid w:val="003B5ACB"/>
    <w:rsid w:val="003B65AD"/>
    <w:rsid w:val="003B705B"/>
    <w:rsid w:val="003B7837"/>
    <w:rsid w:val="003C13C5"/>
    <w:rsid w:val="003C199E"/>
    <w:rsid w:val="003C263C"/>
    <w:rsid w:val="003C3899"/>
    <w:rsid w:val="003C4EDE"/>
    <w:rsid w:val="003C56DD"/>
    <w:rsid w:val="003C5C6E"/>
    <w:rsid w:val="003C607E"/>
    <w:rsid w:val="003C705B"/>
    <w:rsid w:val="003C7EEE"/>
    <w:rsid w:val="003D1D9D"/>
    <w:rsid w:val="003D2330"/>
    <w:rsid w:val="003D2963"/>
    <w:rsid w:val="003D413E"/>
    <w:rsid w:val="003D432D"/>
    <w:rsid w:val="003D4474"/>
    <w:rsid w:val="003D44EE"/>
    <w:rsid w:val="003D6C75"/>
    <w:rsid w:val="003D78AE"/>
    <w:rsid w:val="003E24C8"/>
    <w:rsid w:val="003E4F4E"/>
    <w:rsid w:val="003E66EE"/>
    <w:rsid w:val="003E6DE2"/>
    <w:rsid w:val="003E70C5"/>
    <w:rsid w:val="003F2889"/>
    <w:rsid w:val="003F29E2"/>
    <w:rsid w:val="003F3D0C"/>
    <w:rsid w:val="003F5EA8"/>
    <w:rsid w:val="003F7747"/>
    <w:rsid w:val="003F7C5E"/>
    <w:rsid w:val="00400424"/>
    <w:rsid w:val="004007DF"/>
    <w:rsid w:val="00400B94"/>
    <w:rsid w:val="00401072"/>
    <w:rsid w:val="00402B06"/>
    <w:rsid w:val="004059B8"/>
    <w:rsid w:val="00406279"/>
    <w:rsid w:val="00406336"/>
    <w:rsid w:val="00407BD5"/>
    <w:rsid w:val="0041008F"/>
    <w:rsid w:val="00410B10"/>
    <w:rsid w:val="0041149B"/>
    <w:rsid w:val="00412E98"/>
    <w:rsid w:val="004148C2"/>
    <w:rsid w:val="00414940"/>
    <w:rsid w:val="00415502"/>
    <w:rsid w:val="00415682"/>
    <w:rsid w:val="00415B59"/>
    <w:rsid w:val="004164DC"/>
    <w:rsid w:val="00416C79"/>
    <w:rsid w:val="00417BC1"/>
    <w:rsid w:val="00417E61"/>
    <w:rsid w:val="00417FD0"/>
    <w:rsid w:val="0042034E"/>
    <w:rsid w:val="00421BEF"/>
    <w:rsid w:val="00422A70"/>
    <w:rsid w:val="004234ED"/>
    <w:rsid w:val="0042412F"/>
    <w:rsid w:val="0042482C"/>
    <w:rsid w:val="00424BE0"/>
    <w:rsid w:val="00424D92"/>
    <w:rsid w:val="00426321"/>
    <w:rsid w:val="00426675"/>
    <w:rsid w:val="00426E0C"/>
    <w:rsid w:val="0042751E"/>
    <w:rsid w:val="004275F7"/>
    <w:rsid w:val="00430106"/>
    <w:rsid w:val="0043142C"/>
    <w:rsid w:val="004336CE"/>
    <w:rsid w:val="004339A8"/>
    <w:rsid w:val="00436B63"/>
    <w:rsid w:val="00436E21"/>
    <w:rsid w:val="004373B3"/>
    <w:rsid w:val="00437D15"/>
    <w:rsid w:val="004413DF"/>
    <w:rsid w:val="00443339"/>
    <w:rsid w:val="00443ADB"/>
    <w:rsid w:val="00444ABC"/>
    <w:rsid w:val="00445040"/>
    <w:rsid w:val="0044547A"/>
    <w:rsid w:val="004463AA"/>
    <w:rsid w:val="004468E4"/>
    <w:rsid w:val="004478EA"/>
    <w:rsid w:val="0045090B"/>
    <w:rsid w:val="00450A87"/>
    <w:rsid w:val="00450B27"/>
    <w:rsid w:val="00451EB7"/>
    <w:rsid w:val="00452807"/>
    <w:rsid w:val="004529FC"/>
    <w:rsid w:val="00452DE9"/>
    <w:rsid w:val="00452E0E"/>
    <w:rsid w:val="00453E2B"/>
    <w:rsid w:val="00454002"/>
    <w:rsid w:val="00454FEF"/>
    <w:rsid w:val="00455009"/>
    <w:rsid w:val="00456486"/>
    <w:rsid w:val="00456C1F"/>
    <w:rsid w:val="004573E5"/>
    <w:rsid w:val="0045761A"/>
    <w:rsid w:val="0046147B"/>
    <w:rsid w:val="00463AF9"/>
    <w:rsid w:val="00464883"/>
    <w:rsid w:val="00464A18"/>
    <w:rsid w:val="00464C9F"/>
    <w:rsid w:val="00464FE3"/>
    <w:rsid w:val="0046566C"/>
    <w:rsid w:val="00467AA9"/>
    <w:rsid w:val="00471204"/>
    <w:rsid w:val="0047152D"/>
    <w:rsid w:val="00471C02"/>
    <w:rsid w:val="00472526"/>
    <w:rsid w:val="00472BBF"/>
    <w:rsid w:val="0047365F"/>
    <w:rsid w:val="0047608A"/>
    <w:rsid w:val="00476B1B"/>
    <w:rsid w:val="004775F1"/>
    <w:rsid w:val="004804AF"/>
    <w:rsid w:val="004825BE"/>
    <w:rsid w:val="00483287"/>
    <w:rsid w:val="00483886"/>
    <w:rsid w:val="00483EEF"/>
    <w:rsid w:val="00483F65"/>
    <w:rsid w:val="0048418B"/>
    <w:rsid w:val="00485C12"/>
    <w:rsid w:val="004864CA"/>
    <w:rsid w:val="00486D20"/>
    <w:rsid w:val="004879D4"/>
    <w:rsid w:val="004917C2"/>
    <w:rsid w:val="00492C15"/>
    <w:rsid w:val="0049354B"/>
    <w:rsid w:val="004938FE"/>
    <w:rsid w:val="00493ED2"/>
    <w:rsid w:val="004941FA"/>
    <w:rsid w:val="004949CB"/>
    <w:rsid w:val="004952CC"/>
    <w:rsid w:val="00495569"/>
    <w:rsid w:val="004957D0"/>
    <w:rsid w:val="00495A8F"/>
    <w:rsid w:val="00496898"/>
    <w:rsid w:val="00496C07"/>
    <w:rsid w:val="00497D28"/>
    <w:rsid w:val="004A0786"/>
    <w:rsid w:val="004A0C10"/>
    <w:rsid w:val="004A1262"/>
    <w:rsid w:val="004A16C9"/>
    <w:rsid w:val="004A1DE8"/>
    <w:rsid w:val="004A2401"/>
    <w:rsid w:val="004A242E"/>
    <w:rsid w:val="004A2525"/>
    <w:rsid w:val="004A259A"/>
    <w:rsid w:val="004A3228"/>
    <w:rsid w:val="004A3BFE"/>
    <w:rsid w:val="004A3EDB"/>
    <w:rsid w:val="004A3F12"/>
    <w:rsid w:val="004A3F98"/>
    <w:rsid w:val="004A4B21"/>
    <w:rsid w:val="004A4DE6"/>
    <w:rsid w:val="004A5D9F"/>
    <w:rsid w:val="004A5DBB"/>
    <w:rsid w:val="004A6319"/>
    <w:rsid w:val="004A64C7"/>
    <w:rsid w:val="004B0429"/>
    <w:rsid w:val="004B05C4"/>
    <w:rsid w:val="004B1211"/>
    <w:rsid w:val="004B23C1"/>
    <w:rsid w:val="004B273F"/>
    <w:rsid w:val="004B28DF"/>
    <w:rsid w:val="004B415D"/>
    <w:rsid w:val="004B452A"/>
    <w:rsid w:val="004B46C8"/>
    <w:rsid w:val="004B4CDA"/>
    <w:rsid w:val="004B583E"/>
    <w:rsid w:val="004B5A39"/>
    <w:rsid w:val="004B5D87"/>
    <w:rsid w:val="004B5FDF"/>
    <w:rsid w:val="004B6C28"/>
    <w:rsid w:val="004B78E1"/>
    <w:rsid w:val="004C00D8"/>
    <w:rsid w:val="004C0F45"/>
    <w:rsid w:val="004C1A8D"/>
    <w:rsid w:val="004C1B0F"/>
    <w:rsid w:val="004C24CD"/>
    <w:rsid w:val="004C28F1"/>
    <w:rsid w:val="004C299D"/>
    <w:rsid w:val="004C35B5"/>
    <w:rsid w:val="004C42E9"/>
    <w:rsid w:val="004C508E"/>
    <w:rsid w:val="004C67CB"/>
    <w:rsid w:val="004C6B00"/>
    <w:rsid w:val="004C71F6"/>
    <w:rsid w:val="004D2348"/>
    <w:rsid w:val="004D24FF"/>
    <w:rsid w:val="004D2903"/>
    <w:rsid w:val="004D5029"/>
    <w:rsid w:val="004D5382"/>
    <w:rsid w:val="004D5933"/>
    <w:rsid w:val="004D6F1D"/>
    <w:rsid w:val="004D70FF"/>
    <w:rsid w:val="004E0834"/>
    <w:rsid w:val="004E0A9C"/>
    <w:rsid w:val="004E1CAA"/>
    <w:rsid w:val="004E296D"/>
    <w:rsid w:val="004E2A7D"/>
    <w:rsid w:val="004E6395"/>
    <w:rsid w:val="004F25CB"/>
    <w:rsid w:val="004F25EE"/>
    <w:rsid w:val="004F2B59"/>
    <w:rsid w:val="004F39F0"/>
    <w:rsid w:val="004F41C3"/>
    <w:rsid w:val="004F5DCD"/>
    <w:rsid w:val="004F6D27"/>
    <w:rsid w:val="004F763B"/>
    <w:rsid w:val="00502CD3"/>
    <w:rsid w:val="00502F4C"/>
    <w:rsid w:val="00503576"/>
    <w:rsid w:val="00503902"/>
    <w:rsid w:val="00504ADC"/>
    <w:rsid w:val="00504BC3"/>
    <w:rsid w:val="00505650"/>
    <w:rsid w:val="005067FE"/>
    <w:rsid w:val="005075A6"/>
    <w:rsid w:val="00507FE4"/>
    <w:rsid w:val="00511488"/>
    <w:rsid w:val="00511A65"/>
    <w:rsid w:val="005136C2"/>
    <w:rsid w:val="00514121"/>
    <w:rsid w:val="00514D22"/>
    <w:rsid w:val="00514F52"/>
    <w:rsid w:val="005159F7"/>
    <w:rsid w:val="00515ED1"/>
    <w:rsid w:val="00516308"/>
    <w:rsid w:val="0051642B"/>
    <w:rsid w:val="005164E8"/>
    <w:rsid w:val="00517B7C"/>
    <w:rsid w:val="005214F2"/>
    <w:rsid w:val="005243FD"/>
    <w:rsid w:val="0052465A"/>
    <w:rsid w:val="005252CA"/>
    <w:rsid w:val="00530B56"/>
    <w:rsid w:val="00531062"/>
    <w:rsid w:val="005320FC"/>
    <w:rsid w:val="00532115"/>
    <w:rsid w:val="00532427"/>
    <w:rsid w:val="005324EA"/>
    <w:rsid w:val="00532A6F"/>
    <w:rsid w:val="005330FD"/>
    <w:rsid w:val="00533263"/>
    <w:rsid w:val="00534EA3"/>
    <w:rsid w:val="005358CF"/>
    <w:rsid w:val="00535A3E"/>
    <w:rsid w:val="005360E7"/>
    <w:rsid w:val="005408D8"/>
    <w:rsid w:val="00541199"/>
    <w:rsid w:val="00542C92"/>
    <w:rsid w:val="00542CE1"/>
    <w:rsid w:val="00542F1A"/>
    <w:rsid w:val="005440E4"/>
    <w:rsid w:val="00544D7C"/>
    <w:rsid w:val="005458E1"/>
    <w:rsid w:val="00546455"/>
    <w:rsid w:val="00546AFC"/>
    <w:rsid w:val="00546ED8"/>
    <w:rsid w:val="00547454"/>
    <w:rsid w:val="005475FC"/>
    <w:rsid w:val="00547FE8"/>
    <w:rsid w:val="00550174"/>
    <w:rsid w:val="0055075A"/>
    <w:rsid w:val="00550ACA"/>
    <w:rsid w:val="00552AD4"/>
    <w:rsid w:val="00553FA5"/>
    <w:rsid w:val="0055415C"/>
    <w:rsid w:val="0055424B"/>
    <w:rsid w:val="00556EF9"/>
    <w:rsid w:val="0055706C"/>
    <w:rsid w:val="00557310"/>
    <w:rsid w:val="005577B7"/>
    <w:rsid w:val="0056018A"/>
    <w:rsid w:val="00560BE2"/>
    <w:rsid w:val="005611C3"/>
    <w:rsid w:val="00561891"/>
    <w:rsid w:val="00562289"/>
    <w:rsid w:val="005623D7"/>
    <w:rsid w:val="00563157"/>
    <w:rsid w:val="00564824"/>
    <w:rsid w:val="00565294"/>
    <w:rsid w:val="0056614E"/>
    <w:rsid w:val="00566DF0"/>
    <w:rsid w:val="00566FAF"/>
    <w:rsid w:val="005670FF"/>
    <w:rsid w:val="00567614"/>
    <w:rsid w:val="005706A1"/>
    <w:rsid w:val="00571181"/>
    <w:rsid w:val="00575E36"/>
    <w:rsid w:val="00576610"/>
    <w:rsid w:val="00577116"/>
    <w:rsid w:val="005776AE"/>
    <w:rsid w:val="0058068B"/>
    <w:rsid w:val="00581BBD"/>
    <w:rsid w:val="0058448D"/>
    <w:rsid w:val="00584A45"/>
    <w:rsid w:val="00584B97"/>
    <w:rsid w:val="0058555B"/>
    <w:rsid w:val="00586AFC"/>
    <w:rsid w:val="00586D61"/>
    <w:rsid w:val="0058757C"/>
    <w:rsid w:val="00587EF3"/>
    <w:rsid w:val="005916AE"/>
    <w:rsid w:val="00591C56"/>
    <w:rsid w:val="005939DD"/>
    <w:rsid w:val="00593C1E"/>
    <w:rsid w:val="00593CF6"/>
    <w:rsid w:val="00593D05"/>
    <w:rsid w:val="0059488D"/>
    <w:rsid w:val="00594C47"/>
    <w:rsid w:val="00596310"/>
    <w:rsid w:val="00596823"/>
    <w:rsid w:val="00596F90"/>
    <w:rsid w:val="005A0DC1"/>
    <w:rsid w:val="005A16F1"/>
    <w:rsid w:val="005A1715"/>
    <w:rsid w:val="005A2CE8"/>
    <w:rsid w:val="005A33CB"/>
    <w:rsid w:val="005A3777"/>
    <w:rsid w:val="005A3D5C"/>
    <w:rsid w:val="005A4281"/>
    <w:rsid w:val="005A514E"/>
    <w:rsid w:val="005A6C23"/>
    <w:rsid w:val="005A74A9"/>
    <w:rsid w:val="005A7ECC"/>
    <w:rsid w:val="005B0CB5"/>
    <w:rsid w:val="005B158E"/>
    <w:rsid w:val="005B24C4"/>
    <w:rsid w:val="005B2A68"/>
    <w:rsid w:val="005B5E46"/>
    <w:rsid w:val="005B6EC3"/>
    <w:rsid w:val="005B74AB"/>
    <w:rsid w:val="005B7E51"/>
    <w:rsid w:val="005B7E79"/>
    <w:rsid w:val="005C0946"/>
    <w:rsid w:val="005C0A0C"/>
    <w:rsid w:val="005C274F"/>
    <w:rsid w:val="005C2ED4"/>
    <w:rsid w:val="005C42E6"/>
    <w:rsid w:val="005C64C4"/>
    <w:rsid w:val="005C7BF1"/>
    <w:rsid w:val="005C7FD1"/>
    <w:rsid w:val="005D1DB8"/>
    <w:rsid w:val="005D2427"/>
    <w:rsid w:val="005D2FB2"/>
    <w:rsid w:val="005D50D6"/>
    <w:rsid w:val="005D55D6"/>
    <w:rsid w:val="005D55F2"/>
    <w:rsid w:val="005D5D1B"/>
    <w:rsid w:val="005D5DFC"/>
    <w:rsid w:val="005D6EB3"/>
    <w:rsid w:val="005D731F"/>
    <w:rsid w:val="005E02B6"/>
    <w:rsid w:val="005E0D30"/>
    <w:rsid w:val="005E19D5"/>
    <w:rsid w:val="005E207B"/>
    <w:rsid w:val="005E26B3"/>
    <w:rsid w:val="005E2A2F"/>
    <w:rsid w:val="005E39B3"/>
    <w:rsid w:val="005E4047"/>
    <w:rsid w:val="005E428E"/>
    <w:rsid w:val="005E47A5"/>
    <w:rsid w:val="005E4DC1"/>
    <w:rsid w:val="005E5C4C"/>
    <w:rsid w:val="005E6BDA"/>
    <w:rsid w:val="005E7499"/>
    <w:rsid w:val="005E74BC"/>
    <w:rsid w:val="005F1DA8"/>
    <w:rsid w:val="005F34E0"/>
    <w:rsid w:val="005F49D7"/>
    <w:rsid w:val="005F4E8C"/>
    <w:rsid w:val="005F501B"/>
    <w:rsid w:val="005F6034"/>
    <w:rsid w:val="005F62B6"/>
    <w:rsid w:val="005F6A5A"/>
    <w:rsid w:val="005F790C"/>
    <w:rsid w:val="005F7CFD"/>
    <w:rsid w:val="006005D1"/>
    <w:rsid w:val="00601EE4"/>
    <w:rsid w:val="0060395C"/>
    <w:rsid w:val="00604328"/>
    <w:rsid w:val="006043DC"/>
    <w:rsid w:val="006053B5"/>
    <w:rsid w:val="00605807"/>
    <w:rsid w:val="0060766B"/>
    <w:rsid w:val="00607912"/>
    <w:rsid w:val="00610DE2"/>
    <w:rsid w:val="00612465"/>
    <w:rsid w:val="006128B4"/>
    <w:rsid w:val="00613E45"/>
    <w:rsid w:val="00614546"/>
    <w:rsid w:val="00614600"/>
    <w:rsid w:val="006158B7"/>
    <w:rsid w:val="00615CA0"/>
    <w:rsid w:val="006164E5"/>
    <w:rsid w:val="00617C80"/>
    <w:rsid w:val="00626914"/>
    <w:rsid w:val="00626D9A"/>
    <w:rsid w:val="006272FE"/>
    <w:rsid w:val="006300BF"/>
    <w:rsid w:val="006306F3"/>
    <w:rsid w:val="0063302D"/>
    <w:rsid w:val="00633B51"/>
    <w:rsid w:val="00633C79"/>
    <w:rsid w:val="00633F2E"/>
    <w:rsid w:val="00634ED8"/>
    <w:rsid w:val="00635FDB"/>
    <w:rsid w:val="00636654"/>
    <w:rsid w:val="0063750B"/>
    <w:rsid w:val="00640763"/>
    <w:rsid w:val="0064098E"/>
    <w:rsid w:val="00640F8F"/>
    <w:rsid w:val="00642103"/>
    <w:rsid w:val="0064239C"/>
    <w:rsid w:val="00642604"/>
    <w:rsid w:val="006435EF"/>
    <w:rsid w:val="00643A52"/>
    <w:rsid w:val="00643A64"/>
    <w:rsid w:val="006443DA"/>
    <w:rsid w:val="0064459F"/>
    <w:rsid w:val="00644E57"/>
    <w:rsid w:val="00645B0C"/>
    <w:rsid w:val="00646D9A"/>
    <w:rsid w:val="006474B9"/>
    <w:rsid w:val="006476DD"/>
    <w:rsid w:val="006477CA"/>
    <w:rsid w:val="00647C89"/>
    <w:rsid w:val="00651B96"/>
    <w:rsid w:val="00651E72"/>
    <w:rsid w:val="00651FDB"/>
    <w:rsid w:val="0065269B"/>
    <w:rsid w:val="00653020"/>
    <w:rsid w:val="006541A4"/>
    <w:rsid w:val="00655B1B"/>
    <w:rsid w:val="006560A3"/>
    <w:rsid w:val="006562D1"/>
    <w:rsid w:val="00656831"/>
    <w:rsid w:val="006574B2"/>
    <w:rsid w:val="00657E88"/>
    <w:rsid w:val="00660096"/>
    <w:rsid w:val="00660AE7"/>
    <w:rsid w:val="006614CE"/>
    <w:rsid w:val="00662E41"/>
    <w:rsid w:val="00662EE3"/>
    <w:rsid w:val="00664655"/>
    <w:rsid w:val="00664EE4"/>
    <w:rsid w:val="0066572F"/>
    <w:rsid w:val="00665EE0"/>
    <w:rsid w:val="006676B6"/>
    <w:rsid w:val="006701AA"/>
    <w:rsid w:val="006706B8"/>
    <w:rsid w:val="00670740"/>
    <w:rsid w:val="00672DB5"/>
    <w:rsid w:val="006743BE"/>
    <w:rsid w:val="006752D4"/>
    <w:rsid w:val="00677E41"/>
    <w:rsid w:val="00681E86"/>
    <w:rsid w:val="0068204C"/>
    <w:rsid w:val="006833B4"/>
    <w:rsid w:val="00683C24"/>
    <w:rsid w:val="00685DB5"/>
    <w:rsid w:val="006861D7"/>
    <w:rsid w:val="006869D1"/>
    <w:rsid w:val="00687A9C"/>
    <w:rsid w:val="00690869"/>
    <w:rsid w:val="00690D3B"/>
    <w:rsid w:val="0069226B"/>
    <w:rsid w:val="00692507"/>
    <w:rsid w:val="0069255B"/>
    <w:rsid w:val="0069258B"/>
    <w:rsid w:val="00692C52"/>
    <w:rsid w:val="00694C16"/>
    <w:rsid w:val="006957A4"/>
    <w:rsid w:val="00695C58"/>
    <w:rsid w:val="006964CC"/>
    <w:rsid w:val="00696527"/>
    <w:rsid w:val="00696B3E"/>
    <w:rsid w:val="00696DB6"/>
    <w:rsid w:val="006978E7"/>
    <w:rsid w:val="006A03D8"/>
    <w:rsid w:val="006A1870"/>
    <w:rsid w:val="006A1CF8"/>
    <w:rsid w:val="006A3C30"/>
    <w:rsid w:val="006A3CF4"/>
    <w:rsid w:val="006A4BD7"/>
    <w:rsid w:val="006A54DC"/>
    <w:rsid w:val="006A5E34"/>
    <w:rsid w:val="006A71B8"/>
    <w:rsid w:val="006A7538"/>
    <w:rsid w:val="006A7722"/>
    <w:rsid w:val="006A785C"/>
    <w:rsid w:val="006B1C0E"/>
    <w:rsid w:val="006B33A7"/>
    <w:rsid w:val="006B50E2"/>
    <w:rsid w:val="006B76EF"/>
    <w:rsid w:val="006C07C5"/>
    <w:rsid w:val="006C0FAE"/>
    <w:rsid w:val="006C1D4D"/>
    <w:rsid w:val="006C26D1"/>
    <w:rsid w:val="006C3378"/>
    <w:rsid w:val="006C3E9F"/>
    <w:rsid w:val="006C4286"/>
    <w:rsid w:val="006C43A1"/>
    <w:rsid w:val="006C4BCF"/>
    <w:rsid w:val="006C56E5"/>
    <w:rsid w:val="006C6B24"/>
    <w:rsid w:val="006C79BA"/>
    <w:rsid w:val="006C7E1C"/>
    <w:rsid w:val="006D0516"/>
    <w:rsid w:val="006D0F9C"/>
    <w:rsid w:val="006D15D6"/>
    <w:rsid w:val="006D2CD4"/>
    <w:rsid w:val="006D3FE8"/>
    <w:rsid w:val="006D4E7D"/>
    <w:rsid w:val="006D7742"/>
    <w:rsid w:val="006E0AAF"/>
    <w:rsid w:val="006E3E48"/>
    <w:rsid w:val="006E4252"/>
    <w:rsid w:val="006E4488"/>
    <w:rsid w:val="006E5974"/>
    <w:rsid w:val="006E622A"/>
    <w:rsid w:val="006E6C07"/>
    <w:rsid w:val="006E70B2"/>
    <w:rsid w:val="006F03A6"/>
    <w:rsid w:val="006F1A86"/>
    <w:rsid w:val="006F2065"/>
    <w:rsid w:val="006F5870"/>
    <w:rsid w:val="007004A0"/>
    <w:rsid w:val="007009A0"/>
    <w:rsid w:val="00700E93"/>
    <w:rsid w:val="00700F3C"/>
    <w:rsid w:val="00701464"/>
    <w:rsid w:val="0070301A"/>
    <w:rsid w:val="007043D5"/>
    <w:rsid w:val="00704AFF"/>
    <w:rsid w:val="00705367"/>
    <w:rsid w:val="00705631"/>
    <w:rsid w:val="007058D8"/>
    <w:rsid w:val="00705990"/>
    <w:rsid w:val="007114B4"/>
    <w:rsid w:val="00713395"/>
    <w:rsid w:val="00713CAC"/>
    <w:rsid w:val="00715D2A"/>
    <w:rsid w:val="007164A3"/>
    <w:rsid w:val="0072059E"/>
    <w:rsid w:val="00720899"/>
    <w:rsid w:val="007208E1"/>
    <w:rsid w:val="007219DC"/>
    <w:rsid w:val="00721E57"/>
    <w:rsid w:val="00722CB9"/>
    <w:rsid w:val="00723F95"/>
    <w:rsid w:val="00723FC8"/>
    <w:rsid w:val="007250D5"/>
    <w:rsid w:val="0072674D"/>
    <w:rsid w:val="00726BE3"/>
    <w:rsid w:val="00730050"/>
    <w:rsid w:val="007302FE"/>
    <w:rsid w:val="007304E4"/>
    <w:rsid w:val="00730BD6"/>
    <w:rsid w:val="00730F53"/>
    <w:rsid w:val="00732527"/>
    <w:rsid w:val="00732EB3"/>
    <w:rsid w:val="00734095"/>
    <w:rsid w:val="007340FE"/>
    <w:rsid w:val="00734C2B"/>
    <w:rsid w:val="00736150"/>
    <w:rsid w:val="007371EF"/>
    <w:rsid w:val="00737469"/>
    <w:rsid w:val="0073749D"/>
    <w:rsid w:val="00740A92"/>
    <w:rsid w:val="007440D7"/>
    <w:rsid w:val="00744AAE"/>
    <w:rsid w:val="00745043"/>
    <w:rsid w:val="0074547D"/>
    <w:rsid w:val="007471FC"/>
    <w:rsid w:val="0074758A"/>
    <w:rsid w:val="00747CD4"/>
    <w:rsid w:val="00753A11"/>
    <w:rsid w:val="00753BFC"/>
    <w:rsid w:val="00754EDE"/>
    <w:rsid w:val="00755C48"/>
    <w:rsid w:val="007562ED"/>
    <w:rsid w:val="0075687B"/>
    <w:rsid w:val="00757242"/>
    <w:rsid w:val="00757A2B"/>
    <w:rsid w:val="00757B02"/>
    <w:rsid w:val="00760272"/>
    <w:rsid w:val="00760AE4"/>
    <w:rsid w:val="00761B42"/>
    <w:rsid w:val="00761BBC"/>
    <w:rsid w:val="00761D26"/>
    <w:rsid w:val="007625E7"/>
    <w:rsid w:val="007652EE"/>
    <w:rsid w:val="00765B7A"/>
    <w:rsid w:val="0076632B"/>
    <w:rsid w:val="0076768B"/>
    <w:rsid w:val="0076772D"/>
    <w:rsid w:val="00770E38"/>
    <w:rsid w:val="00770F71"/>
    <w:rsid w:val="0077116A"/>
    <w:rsid w:val="0077172B"/>
    <w:rsid w:val="00773475"/>
    <w:rsid w:val="00774490"/>
    <w:rsid w:val="00776725"/>
    <w:rsid w:val="00776FF2"/>
    <w:rsid w:val="007770B2"/>
    <w:rsid w:val="007778E6"/>
    <w:rsid w:val="00780ADB"/>
    <w:rsid w:val="007828F4"/>
    <w:rsid w:val="00782FAB"/>
    <w:rsid w:val="0078329E"/>
    <w:rsid w:val="007845CB"/>
    <w:rsid w:val="00785AD9"/>
    <w:rsid w:val="00786629"/>
    <w:rsid w:val="00786DDF"/>
    <w:rsid w:val="007874A6"/>
    <w:rsid w:val="00787927"/>
    <w:rsid w:val="00787DFF"/>
    <w:rsid w:val="00790259"/>
    <w:rsid w:val="007907BA"/>
    <w:rsid w:val="00790A70"/>
    <w:rsid w:val="00791709"/>
    <w:rsid w:val="00792B25"/>
    <w:rsid w:val="00793829"/>
    <w:rsid w:val="0079405C"/>
    <w:rsid w:val="00796496"/>
    <w:rsid w:val="00796B92"/>
    <w:rsid w:val="007A0361"/>
    <w:rsid w:val="007A0EF1"/>
    <w:rsid w:val="007A32D3"/>
    <w:rsid w:val="007A55D5"/>
    <w:rsid w:val="007A61F5"/>
    <w:rsid w:val="007A6263"/>
    <w:rsid w:val="007A6A3F"/>
    <w:rsid w:val="007A6E23"/>
    <w:rsid w:val="007A6E70"/>
    <w:rsid w:val="007A7D4C"/>
    <w:rsid w:val="007B112D"/>
    <w:rsid w:val="007B26A4"/>
    <w:rsid w:val="007B39F0"/>
    <w:rsid w:val="007B3DEF"/>
    <w:rsid w:val="007B4CB7"/>
    <w:rsid w:val="007B7E53"/>
    <w:rsid w:val="007B7F53"/>
    <w:rsid w:val="007C0103"/>
    <w:rsid w:val="007C040F"/>
    <w:rsid w:val="007C0561"/>
    <w:rsid w:val="007C0B6D"/>
    <w:rsid w:val="007C0F27"/>
    <w:rsid w:val="007C1458"/>
    <w:rsid w:val="007C1E05"/>
    <w:rsid w:val="007C28CC"/>
    <w:rsid w:val="007C2DF7"/>
    <w:rsid w:val="007C3E26"/>
    <w:rsid w:val="007C40CA"/>
    <w:rsid w:val="007C4132"/>
    <w:rsid w:val="007C5664"/>
    <w:rsid w:val="007C56E3"/>
    <w:rsid w:val="007C6FFA"/>
    <w:rsid w:val="007D0012"/>
    <w:rsid w:val="007D0844"/>
    <w:rsid w:val="007D196F"/>
    <w:rsid w:val="007D2422"/>
    <w:rsid w:val="007D35BD"/>
    <w:rsid w:val="007D3C5E"/>
    <w:rsid w:val="007D46B4"/>
    <w:rsid w:val="007D4BC5"/>
    <w:rsid w:val="007D4E85"/>
    <w:rsid w:val="007D673A"/>
    <w:rsid w:val="007D75D2"/>
    <w:rsid w:val="007D7BF4"/>
    <w:rsid w:val="007E1A07"/>
    <w:rsid w:val="007E1C3B"/>
    <w:rsid w:val="007E32DE"/>
    <w:rsid w:val="007E3AD5"/>
    <w:rsid w:val="007E4A67"/>
    <w:rsid w:val="007E543B"/>
    <w:rsid w:val="007E60DE"/>
    <w:rsid w:val="007E6C3F"/>
    <w:rsid w:val="007F2E3C"/>
    <w:rsid w:val="007F3EEE"/>
    <w:rsid w:val="007F3F52"/>
    <w:rsid w:val="007F524C"/>
    <w:rsid w:val="007F57CC"/>
    <w:rsid w:val="007F6B6F"/>
    <w:rsid w:val="007F6C36"/>
    <w:rsid w:val="007F798B"/>
    <w:rsid w:val="007F7BFA"/>
    <w:rsid w:val="00802206"/>
    <w:rsid w:val="00802AEF"/>
    <w:rsid w:val="00802F34"/>
    <w:rsid w:val="00803514"/>
    <w:rsid w:val="00803770"/>
    <w:rsid w:val="0080544A"/>
    <w:rsid w:val="008071F5"/>
    <w:rsid w:val="00810261"/>
    <w:rsid w:val="0081154C"/>
    <w:rsid w:val="00812569"/>
    <w:rsid w:val="00812E84"/>
    <w:rsid w:val="00812F83"/>
    <w:rsid w:val="00813B2F"/>
    <w:rsid w:val="00813B51"/>
    <w:rsid w:val="00815020"/>
    <w:rsid w:val="0081511E"/>
    <w:rsid w:val="00815CD6"/>
    <w:rsid w:val="008163F9"/>
    <w:rsid w:val="008164CE"/>
    <w:rsid w:val="0081685F"/>
    <w:rsid w:val="00816B2A"/>
    <w:rsid w:val="00816CBF"/>
    <w:rsid w:val="008171DA"/>
    <w:rsid w:val="008210BB"/>
    <w:rsid w:val="00822139"/>
    <w:rsid w:val="008223E3"/>
    <w:rsid w:val="0082399C"/>
    <w:rsid w:val="0082479D"/>
    <w:rsid w:val="008252CB"/>
    <w:rsid w:val="008258E5"/>
    <w:rsid w:val="0083027D"/>
    <w:rsid w:val="008309FA"/>
    <w:rsid w:val="00831AE2"/>
    <w:rsid w:val="008328DC"/>
    <w:rsid w:val="00832CA2"/>
    <w:rsid w:val="008333CF"/>
    <w:rsid w:val="0083351B"/>
    <w:rsid w:val="00834AF1"/>
    <w:rsid w:val="00835455"/>
    <w:rsid w:val="0083686F"/>
    <w:rsid w:val="008375E0"/>
    <w:rsid w:val="00840A3F"/>
    <w:rsid w:val="00840D35"/>
    <w:rsid w:val="00840D7D"/>
    <w:rsid w:val="00840F5A"/>
    <w:rsid w:val="00841A0D"/>
    <w:rsid w:val="00841BB0"/>
    <w:rsid w:val="0084405E"/>
    <w:rsid w:val="0084520D"/>
    <w:rsid w:val="008459DB"/>
    <w:rsid w:val="0084704A"/>
    <w:rsid w:val="0084715E"/>
    <w:rsid w:val="0084746F"/>
    <w:rsid w:val="00847976"/>
    <w:rsid w:val="00850485"/>
    <w:rsid w:val="00851433"/>
    <w:rsid w:val="00851625"/>
    <w:rsid w:val="0085208F"/>
    <w:rsid w:val="008526CA"/>
    <w:rsid w:val="008535FC"/>
    <w:rsid w:val="0085438A"/>
    <w:rsid w:val="00856863"/>
    <w:rsid w:val="00857683"/>
    <w:rsid w:val="00857C2A"/>
    <w:rsid w:val="00860CC0"/>
    <w:rsid w:val="00860DEA"/>
    <w:rsid w:val="00862977"/>
    <w:rsid w:val="00863FF0"/>
    <w:rsid w:val="00864505"/>
    <w:rsid w:val="00866569"/>
    <w:rsid w:val="00866628"/>
    <w:rsid w:val="008677FA"/>
    <w:rsid w:val="00867FD1"/>
    <w:rsid w:val="00870767"/>
    <w:rsid w:val="00870C48"/>
    <w:rsid w:val="00870DE1"/>
    <w:rsid w:val="00870F8B"/>
    <w:rsid w:val="00873713"/>
    <w:rsid w:val="0087372C"/>
    <w:rsid w:val="00875054"/>
    <w:rsid w:val="00875775"/>
    <w:rsid w:val="00875A6B"/>
    <w:rsid w:val="0087634B"/>
    <w:rsid w:val="00877C7C"/>
    <w:rsid w:val="00880AF1"/>
    <w:rsid w:val="00880B6D"/>
    <w:rsid w:val="00881AF8"/>
    <w:rsid w:val="008822AC"/>
    <w:rsid w:val="00882836"/>
    <w:rsid w:val="00884127"/>
    <w:rsid w:val="00884B9A"/>
    <w:rsid w:val="008853E0"/>
    <w:rsid w:val="008855AA"/>
    <w:rsid w:val="00885B72"/>
    <w:rsid w:val="0088703B"/>
    <w:rsid w:val="0088745D"/>
    <w:rsid w:val="008900B2"/>
    <w:rsid w:val="0089036D"/>
    <w:rsid w:val="008906F0"/>
    <w:rsid w:val="00892D20"/>
    <w:rsid w:val="008934F3"/>
    <w:rsid w:val="00893568"/>
    <w:rsid w:val="00894544"/>
    <w:rsid w:val="008952C3"/>
    <w:rsid w:val="00895D6A"/>
    <w:rsid w:val="008A0212"/>
    <w:rsid w:val="008A0A76"/>
    <w:rsid w:val="008A1374"/>
    <w:rsid w:val="008A1631"/>
    <w:rsid w:val="008A1BD6"/>
    <w:rsid w:val="008A1DC9"/>
    <w:rsid w:val="008A3175"/>
    <w:rsid w:val="008A4CFE"/>
    <w:rsid w:val="008A5972"/>
    <w:rsid w:val="008A5FCF"/>
    <w:rsid w:val="008A7DCC"/>
    <w:rsid w:val="008B09B6"/>
    <w:rsid w:val="008B1741"/>
    <w:rsid w:val="008B1D1E"/>
    <w:rsid w:val="008B2F8C"/>
    <w:rsid w:val="008B51F3"/>
    <w:rsid w:val="008B5D20"/>
    <w:rsid w:val="008B6D7E"/>
    <w:rsid w:val="008C1413"/>
    <w:rsid w:val="008C239C"/>
    <w:rsid w:val="008C4691"/>
    <w:rsid w:val="008C4708"/>
    <w:rsid w:val="008C4CE6"/>
    <w:rsid w:val="008C4D25"/>
    <w:rsid w:val="008C63B9"/>
    <w:rsid w:val="008C6D28"/>
    <w:rsid w:val="008C6D66"/>
    <w:rsid w:val="008C778E"/>
    <w:rsid w:val="008C7C01"/>
    <w:rsid w:val="008D1304"/>
    <w:rsid w:val="008D3368"/>
    <w:rsid w:val="008D34BB"/>
    <w:rsid w:val="008D369B"/>
    <w:rsid w:val="008D445D"/>
    <w:rsid w:val="008D57BF"/>
    <w:rsid w:val="008D67CF"/>
    <w:rsid w:val="008E052B"/>
    <w:rsid w:val="008E1515"/>
    <w:rsid w:val="008E43C7"/>
    <w:rsid w:val="008E63E8"/>
    <w:rsid w:val="008F0418"/>
    <w:rsid w:val="008F08DC"/>
    <w:rsid w:val="008F1381"/>
    <w:rsid w:val="008F1AEF"/>
    <w:rsid w:val="008F1F5D"/>
    <w:rsid w:val="008F1FEF"/>
    <w:rsid w:val="008F2A9E"/>
    <w:rsid w:val="008F3376"/>
    <w:rsid w:val="008F38EE"/>
    <w:rsid w:val="008F6135"/>
    <w:rsid w:val="008F6305"/>
    <w:rsid w:val="008F71AF"/>
    <w:rsid w:val="009008A0"/>
    <w:rsid w:val="00900A44"/>
    <w:rsid w:val="00902F35"/>
    <w:rsid w:val="009032D5"/>
    <w:rsid w:val="0090418B"/>
    <w:rsid w:val="00905055"/>
    <w:rsid w:val="00905D2A"/>
    <w:rsid w:val="00906A2A"/>
    <w:rsid w:val="00907097"/>
    <w:rsid w:val="0091056D"/>
    <w:rsid w:val="00910A7E"/>
    <w:rsid w:val="0091134E"/>
    <w:rsid w:val="00912F26"/>
    <w:rsid w:val="00913BFD"/>
    <w:rsid w:val="00913C71"/>
    <w:rsid w:val="009153F3"/>
    <w:rsid w:val="00921464"/>
    <w:rsid w:val="0092189F"/>
    <w:rsid w:val="0092192D"/>
    <w:rsid w:val="009222DB"/>
    <w:rsid w:val="00924A26"/>
    <w:rsid w:val="009270FA"/>
    <w:rsid w:val="0092722E"/>
    <w:rsid w:val="009275FC"/>
    <w:rsid w:val="0092774D"/>
    <w:rsid w:val="00930159"/>
    <w:rsid w:val="0093060C"/>
    <w:rsid w:val="00930D99"/>
    <w:rsid w:val="00931116"/>
    <w:rsid w:val="00932C9E"/>
    <w:rsid w:val="00932EDE"/>
    <w:rsid w:val="00933C86"/>
    <w:rsid w:val="00933D37"/>
    <w:rsid w:val="00933F77"/>
    <w:rsid w:val="0093469D"/>
    <w:rsid w:val="00935035"/>
    <w:rsid w:val="00936700"/>
    <w:rsid w:val="0093675E"/>
    <w:rsid w:val="00937530"/>
    <w:rsid w:val="009375D9"/>
    <w:rsid w:val="009401A8"/>
    <w:rsid w:val="00940BB3"/>
    <w:rsid w:val="009422E0"/>
    <w:rsid w:val="00943D1E"/>
    <w:rsid w:val="00943E1C"/>
    <w:rsid w:val="00944E26"/>
    <w:rsid w:val="0094581A"/>
    <w:rsid w:val="009478F7"/>
    <w:rsid w:val="00950301"/>
    <w:rsid w:val="00950CD0"/>
    <w:rsid w:val="00953C46"/>
    <w:rsid w:val="00955285"/>
    <w:rsid w:val="00956536"/>
    <w:rsid w:val="00956BD1"/>
    <w:rsid w:val="00956E9E"/>
    <w:rsid w:val="009570EA"/>
    <w:rsid w:val="00957A54"/>
    <w:rsid w:val="0096194D"/>
    <w:rsid w:val="00961986"/>
    <w:rsid w:val="0096221F"/>
    <w:rsid w:val="009637FE"/>
    <w:rsid w:val="00964264"/>
    <w:rsid w:val="00964438"/>
    <w:rsid w:val="00965B78"/>
    <w:rsid w:val="009662CE"/>
    <w:rsid w:val="00966DAA"/>
    <w:rsid w:val="00966E31"/>
    <w:rsid w:val="00966FF8"/>
    <w:rsid w:val="00970CB2"/>
    <w:rsid w:val="00971A0F"/>
    <w:rsid w:val="00971A9E"/>
    <w:rsid w:val="009723FF"/>
    <w:rsid w:val="009735B5"/>
    <w:rsid w:val="009736B0"/>
    <w:rsid w:val="00974A57"/>
    <w:rsid w:val="009774F4"/>
    <w:rsid w:val="00980F75"/>
    <w:rsid w:val="009820C6"/>
    <w:rsid w:val="009831D2"/>
    <w:rsid w:val="00983FA9"/>
    <w:rsid w:val="00984257"/>
    <w:rsid w:val="0098456F"/>
    <w:rsid w:val="00984818"/>
    <w:rsid w:val="009848B7"/>
    <w:rsid w:val="00986852"/>
    <w:rsid w:val="00986891"/>
    <w:rsid w:val="00986CD7"/>
    <w:rsid w:val="00991DBA"/>
    <w:rsid w:val="009923C1"/>
    <w:rsid w:val="009930C0"/>
    <w:rsid w:val="00993A2A"/>
    <w:rsid w:val="00994C29"/>
    <w:rsid w:val="00995510"/>
    <w:rsid w:val="00995C6F"/>
    <w:rsid w:val="00995E71"/>
    <w:rsid w:val="009964A4"/>
    <w:rsid w:val="0099695F"/>
    <w:rsid w:val="009969FF"/>
    <w:rsid w:val="0099726F"/>
    <w:rsid w:val="009A0ABB"/>
    <w:rsid w:val="009A1031"/>
    <w:rsid w:val="009A12EA"/>
    <w:rsid w:val="009A1867"/>
    <w:rsid w:val="009A1EC7"/>
    <w:rsid w:val="009A31C3"/>
    <w:rsid w:val="009A4536"/>
    <w:rsid w:val="009A75C4"/>
    <w:rsid w:val="009A7D6A"/>
    <w:rsid w:val="009B0153"/>
    <w:rsid w:val="009B02EB"/>
    <w:rsid w:val="009B04EF"/>
    <w:rsid w:val="009B0DF4"/>
    <w:rsid w:val="009B1281"/>
    <w:rsid w:val="009B2622"/>
    <w:rsid w:val="009B426B"/>
    <w:rsid w:val="009B4D11"/>
    <w:rsid w:val="009B50D9"/>
    <w:rsid w:val="009B62F1"/>
    <w:rsid w:val="009C0C51"/>
    <w:rsid w:val="009C1706"/>
    <w:rsid w:val="009C1FD3"/>
    <w:rsid w:val="009C2BC1"/>
    <w:rsid w:val="009C3441"/>
    <w:rsid w:val="009C4B3A"/>
    <w:rsid w:val="009C4EA2"/>
    <w:rsid w:val="009C53DF"/>
    <w:rsid w:val="009C5CEA"/>
    <w:rsid w:val="009C5FEC"/>
    <w:rsid w:val="009C73E2"/>
    <w:rsid w:val="009D0907"/>
    <w:rsid w:val="009D1524"/>
    <w:rsid w:val="009D1E2E"/>
    <w:rsid w:val="009D2859"/>
    <w:rsid w:val="009D292F"/>
    <w:rsid w:val="009D2B34"/>
    <w:rsid w:val="009D35BA"/>
    <w:rsid w:val="009D3AF0"/>
    <w:rsid w:val="009D3B13"/>
    <w:rsid w:val="009D3B31"/>
    <w:rsid w:val="009D43B2"/>
    <w:rsid w:val="009D493C"/>
    <w:rsid w:val="009D5217"/>
    <w:rsid w:val="009D5D97"/>
    <w:rsid w:val="009D5F81"/>
    <w:rsid w:val="009D62AD"/>
    <w:rsid w:val="009D6324"/>
    <w:rsid w:val="009D7EAE"/>
    <w:rsid w:val="009E05DC"/>
    <w:rsid w:val="009E0872"/>
    <w:rsid w:val="009E15B7"/>
    <w:rsid w:val="009E291F"/>
    <w:rsid w:val="009E3443"/>
    <w:rsid w:val="009E3CE2"/>
    <w:rsid w:val="009E3D76"/>
    <w:rsid w:val="009E3DFC"/>
    <w:rsid w:val="009F005D"/>
    <w:rsid w:val="009F11D8"/>
    <w:rsid w:val="009F1CD2"/>
    <w:rsid w:val="009F2973"/>
    <w:rsid w:val="009F35F2"/>
    <w:rsid w:val="009F36D4"/>
    <w:rsid w:val="009F4248"/>
    <w:rsid w:val="009F4901"/>
    <w:rsid w:val="009F50F8"/>
    <w:rsid w:val="009F529A"/>
    <w:rsid w:val="009F62E2"/>
    <w:rsid w:val="009F72A9"/>
    <w:rsid w:val="009F767D"/>
    <w:rsid w:val="009F7757"/>
    <w:rsid w:val="009F7798"/>
    <w:rsid w:val="009F7821"/>
    <w:rsid w:val="00A005F2"/>
    <w:rsid w:val="00A00A4D"/>
    <w:rsid w:val="00A00D2B"/>
    <w:rsid w:val="00A0135D"/>
    <w:rsid w:val="00A015CE"/>
    <w:rsid w:val="00A02E5E"/>
    <w:rsid w:val="00A034F0"/>
    <w:rsid w:val="00A05C5E"/>
    <w:rsid w:val="00A05D6E"/>
    <w:rsid w:val="00A0695D"/>
    <w:rsid w:val="00A06B85"/>
    <w:rsid w:val="00A0732C"/>
    <w:rsid w:val="00A0764F"/>
    <w:rsid w:val="00A1131C"/>
    <w:rsid w:val="00A1247C"/>
    <w:rsid w:val="00A12A61"/>
    <w:rsid w:val="00A12E0B"/>
    <w:rsid w:val="00A13293"/>
    <w:rsid w:val="00A13FB4"/>
    <w:rsid w:val="00A1466B"/>
    <w:rsid w:val="00A14C1E"/>
    <w:rsid w:val="00A14FFF"/>
    <w:rsid w:val="00A152A4"/>
    <w:rsid w:val="00A16722"/>
    <w:rsid w:val="00A16881"/>
    <w:rsid w:val="00A16AF8"/>
    <w:rsid w:val="00A17027"/>
    <w:rsid w:val="00A20876"/>
    <w:rsid w:val="00A20985"/>
    <w:rsid w:val="00A22CCF"/>
    <w:rsid w:val="00A235CC"/>
    <w:rsid w:val="00A24464"/>
    <w:rsid w:val="00A2621D"/>
    <w:rsid w:val="00A27C16"/>
    <w:rsid w:val="00A317B8"/>
    <w:rsid w:val="00A32282"/>
    <w:rsid w:val="00A32F43"/>
    <w:rsid w:val="00A3350E"/>
    <w:rsid w:val="00A33644"/>
    <w:rsid w:val="00A336B8"/>
    <w:rsid w:val="00A33DBF"/>
    <w:rsid w:val="00A33FA7"/>
    <w:rsid w:val="00A36AB6"/>
    <w:rsid w:val="00A37946"/>
    <w:rsid w:val="00A40BE1"/>
    <w:rsid w:val="00A40D3F"/>
    <w:rsid w:val="00A40DB4"/>
    <w:rsid w:val="00A42413"/>
    <w:rsid w:val="00A429E9"/>
    <w:rsid w:val="00A42A19"/>
    <w:rsid w:val="00A42AC4"/>
    <w:rsid w:val="00A43D1C"/>
    <w:rsid w:val="00A44950"/>
    <w:rsid w:val="00A45F6A"/>
    <w:rsid w:val="00A460F7"/>
    <w:rsid w:val="00A464D4"/>
    <w:rsid w:val="00A4734C"/>
    <w:rsid w:val="00A4789F"/>
    <w:rsid w:val="00A50496"/>
    <w:rsid w:val="00A512D5"/>
    <w:rsid w:val="00A51391"/>
    <w:rsid w:val="00A513A2"/>
    <w:rsid w:val="00A51F5C"/>
    <w:rsid w:val="00A51F91"/>
    <w:rsid w:val="00A5214B"/>
    <w:rsid w:val="00A523CF"/>
    <w:rsid w:val="00A52596"/>
    <w:rsid w:val="00A52F8F"/>
    <w:rsid w:val="00A5312F"/>
    <w:rsid w:val="00A54A2C"/>
    <w:rsid w:val="00A54F40"/>
    <w:rsid w:val="00A5737B"/>
    <w:rsid w:val="00A5743C"/>
    <w:rsid w:val="00A57CE1"/>
    <w:rsid w:val="00A6065E"/>
    <w:rsid w:val="00A60C5E"/>
    <w:rsid w:val="00A620CF"/>
    <w:rsid w:val="00A63948"/>
    <w:rsid w:val="00A64767"/>
    <w:rsid w:val="00A64D85"/>
    <w:rsid w:val="00A65329"/>
    <w:rsid w:val="00A65377"/>
    <w:rsid w:val="00A65464"/>
    <w:rsid w:val="00A667C5"/>
    <w:rsid w:val="00A66A0D"/>
    <w:rsid w:val="00A6702C"/>
    <w:rsid w:val="00A6771A"/>
    <w:rsid w:val="00A67812"/>
    <w:rsid w:val="00A67E28"/>
    <w:rsid w:val="00A705EB"/>
    <w:rsid w:val="00A70E83"/>
    <w:rsid w:val="00A73075"/>
    <w:rsid w:val="00A733AA"/>
    <w:rsid w:val="00A73767"/>
    <w:rsid w:val="00A73D00"/>
    <w:rsid w:val="00A74E9C"/>
    <w:rsid w:val="00A74EC6"/>
    <w:rsid w:val="00A74F00"/>
    <w:rsid w:val="00A75837"/>
    <w:rsid w:val="00A773D4"/>
    <w:rsid w:val="00A77EF9"/>
    <w:rsid w:val="00A82867"/>
    <w:rsid w:val="00A829A1"/>
    <w:rsid w:val="00A82D09"/>
    <w:rsid w:val="00A82EA5"/>
    <w:rsid w:val="00A86D30"/>
    <w:rsid w:val="00A8725D"/>
    <w:rsid w:val="00A87AC5"/>
    <w:rsid w:val="00A905EA"/>
    <w:rsid w:val="00A908FA"/>
    <w:rsid w:val="00A90DB8"/>
    <w:rsid w:val="00A9400D"/>
    <w:rsid w:val="00A94280"/>
    <w:rsid w:val="00A94792"/>
    <w:rsid w:val="00A949E8"/>
    <w:rsid w:val="00A958A4"/>
    <w:rsid w:val="00A95A9C"/>
    <w:rsid w:val="00A95C34"/>
    <w:rsid w:val="00A95FE5"/>
    <w:rsid w:val="00A96799"/>
    <w:rsid w:val="00A967DC"/>
    <w:rsid w:val="00A9699A"/>
    <w:rsid w:val="00A96CBD"/>
    <w:rsid w:val="00AA1C39"/>
    <w:rsid w:val="00AA25CD"/>
    <w:rsid w:val="00AA2774"/>
    <w:rsid w:val="00AA2A5A"/>
    <w:rsid w:val="00AA32B9"/>
    <w:rsid w:val="00AA3519"/>
    <w:rsid w:val="00AA351D"/>
    <w:rsid w:val="00AA39D7"/>
    <w:rsid w:val="00AA433D"/>
    <w:rsid w:val="00AA4F5D"/>
    <w:rsid w:val="00AA50D1"/>
    <w:rsid w:val="00AA6B4C"/>
    <w:rsid w:val="00AA7399"/>
    <w:rsid w:val="00AA7864"/>
    <w:rsid w:val="00AA7921"/>
    <w:rsid w:val="00AB01C7"/>
    <w:rsid w:val="00AB0A63"/>
    <w:rsid w:val="00AB142D"/>
    <w:rsid w:val="00AB2B9F"/>
    <w:rsid w:val="00AB472A"/>
    <w:rsid w:val="00AB4AD6"/>
    <w:rsid w:val="00AB4F07"/>
    <w:rsid w:val="00AB4F49"/>
    <w:rsid w:val="00AB7187"/>
    <w:rsid w:val="00AB73A2"/>
    <w:rsid w:val="00AC0442"/>
    <w:rsid w:val="00AC07C9"/>
    <w:rsid w:val="00AC33A8"/>
    <w:rsid w:val="00AC360D"/>
    <w:rsid w:val="00AC5948"/>
    <w:rsid w:val="00AC6EBD"/>
    <w:rsid w:val="00AC6EFF"/>
    <w:rsid w:val="00AC7755"/>
    <w:rsid w:val="00AD0890"/>
    <w:rsid w:val="00AD2BBD"/>
    <w:rsid w:val="00AD2BD1"/>
    <w:rsid w:val="00AD3373"/>
    <w:rsid w:val="00AD3FED"/>
    <w:rsid w:val="00AD60BC"/>
    <w:rsid w:val="00AD622A"/>
    <w:rsid w:val="00AD69CD"/>
    <w:rsid w:val="00AD7024"/>
    <w:rsid w:val="00AD7A08"/>
    <w:rsid w:val="00AD7AD5"/>
    <w:rsid w:val="00AD7CD6"/>
    <w:rsid w:val="00AE0460"/>
    <w:rsid w:val="00AE0C6D"/>
    <w:rsid w:val="00AE0FF5"/>
    <w:rsid w:val="00AE2DDE"/>
    <w:rsid w:val="00AE344B"/>
    <w:rsid w:val="00AE3B95"/>
    <w:rsid w:val="00AE60F9"/>
    <w:rsid w:val="00AE63A7"/>
    <w:rsid w:val="00AE6CE5"/>
    <w:rsid w:val="00AE7CD5"/>
    <w:rsid w:val="00AE7E8B"/>
    <w:rsid w:val="00AF1E2F"/>
    <w:rsid w:val="00AF23AD"/>
    <w:rsid w:val="00AF270E"/>
    <w:rsid w:val="00AF28A5"/>
    <w:rsid w:val="00AF2953"/>
    <w:rsid w:val="00AF3B95"/>
    <w:rsid w:val="00AF3D5F"/>
    <w:rsid w:val="00AF5B06"/>
    <w:rsid w:val="00AF5FA9"/>
    <w:rsid w:val="00B01054"/>
    <w:rsid w:val="00B02F64"/>
    <w:rsid w:val="00B037B0"/>
    <w:rsid w:val="00B0472B"/>
    <w:rsid w:val="00B04F2F"/>
    <w:rsid w:val="00B07E99"/>
    <w:rsid w:val="00B1039B"/>
    <w:rsid w:val="00B10887"/>
    <w:rsid w:val="00B10B3D"/>
    <w:rsid w:val="00B12247"/>
    <w:rsid w:val="00B1360F"/>
    <w:rsid w:val="00B1445C"/>
    <w:rsid w:val="00B144E5"/>
    <w:rsid w:val="00B146D9"/>
    <w:rsid w:val="00B14B6A"/>
    <w:rsid w:val="00B14E18"/>
    <w:rsid w:val="00B161F1"/>
    <w:rsid w:val="00B16716"/>
    <w:rsid w:val="00B16976"/>
    <w:rsid w:val="00B17173"/>
    <w:rsid w:val="00B2034D"/>
    <w:rsid w:val="00B208FD"/>
    <w:rsid w:val="00B20D9F"/>
    <w:rsid w:val="00B21725"/>
    <w:rsid w:val="00B21730"/>
    <w:rsid w:val="00B23038"/>
    <w:rsid w:val="00B23678"/>
    <w:rsid w:val="00B23A69"/>
    <w:rsid w:val="00B23C78"/>
    <w:rsid w:val="00B23DB4"/>
    <w:rsid w:val="00B276D3"/>
    <w:rsid w:val="00B27AA9"/>
    <w:rsid w:val="00B30660"/>
    <w:rsid w:val="00B30A28"/>
    <w:rsid w:val="00B32771"/>
    <w:rsid w:val="00B359B9"/>
    <w:rsid w:val="00B35C98"/>
    <w:rsid w:val="00B402F6"/>
    <w:rsid w:val="00B40795"/>
    <w:rsid w:val="00B410D4"/>
    <w:rsid w:val="00B41B8D"/>
    <w:rsid w:val="00B42329"/>
    <w:rsid w:val="00B42FA1"/>
    <w:rsid w:val="00B43118"/>
    <w:rsid w:val="00B43178"/>
    <w:rsid w:val="00B43364"/>
    <w:rsid w:val="00B43886"/>
    <w:rsid w:val="00B43FCE"/>
    <w:rsid w:val="00B44E5B"/>
    <w:rsid w:val="00B44EA4"/>
    <w:rsid w:val="00B44F1B"/>
    <w:rsid w:val="00B451FA"/>
    <w:rsid w:val="00B45C48"/>
    <w:rsid w:val="00B45E67"/>
    <w:rsid w:val="00B46066"/>
    <w:rsid w:val="00B46F2B"/>
    <w:rsid w:val="00B471E1"/>
    <w:rsid w:val="00B473C2"/>
    <w:rsid w:val="00B47624"/>
    <w:rsid w:val="00B47F5F"/>
    <w:rsid w:val="00B5057E"/>
    <w:rsid w:val="00B50D10"/>
    <w:rsid w:val="00B51EC9"/>
    <w:rsid w:val="00B53003"/>
    <w:rsid w:val="00B53F6B"/>
    <w:rsid w:val="00B5475D"/>
    <w:rsid w:val="00B54FCE"/>
    <w:rsid w:val="00B56DE1"/>
    <w:rsid w:val="00B56F89"/>
    <w:rsid w:val="00B57A7C"/>
    <w:rsid w:val="00B57CA0"/>
    <w:rsid w:val="00B600DA"/>
    <w:rsid w:val="00B6084B"/>
    <w:rsid w:val="00B614C4"/>
    <w:rsid w:val="00B62365"/>
    <w:rsid w:val="00B64671"/>
    <w:rsid w:val="00B6574D"/>
    <w:rsid w:val="00B6596B"/>
    <w:rsid w:val="00B659DC"/>
    <w:rsid w:val="00B65C4F"/>
    <w:rsid w:val="00B67402"/>
    <w:rsid w:val="00B705DC"/>
    <w:rsid w:val="00B71E43"/>
    <w:rsid w:val="00B727F0"/>
    <w:rsid w:val="00B7330E"/>
    <w:rsid w:val="00B73E0E"/>
    <w:rsid w:val="00B75050"/>
    <w:rsid w:val="00B758AB"/>
    <w:rsid w:val="00B807F4"/>
    <w:rsid w:val="00B80C93"/>
    <w:rsid w:val="00B8135F"/>
    <w:rsid w:val="00B813E2"/>
    <w:rsid w:val="00B85E39"/>
    <w:rsid w:val="00B872FA"/>
    <w:rsid w:val="00B8752E"/>
    <w:rsid w:val="00B87829"/>
    <w:rsid w:val="00B87A96"/>
    <w:rsid w:val="00B87AE6"/>
    <w:rsid w:val="00B910F2"/>
    <w:rsid w:val="00B932B0"/>
    <w:rsid w:val="00B944C5"/>
    <w:rsid w:val="00B94E20"/>
    <w:rsid w:val="00B94ECD"/>
    <w:rsid w:val="00B9511E"/>
    <w:rsid w:val="00B965A0"/>
    <w:rsid w:val="00B973E6"/>
    <w:rsid w:val="00BA0C34"/>
    <w:rsid w:val="00BA1767"/>
    <w:rsid w:val="00BA1E41"/>
    <w:rsid w:val="00BA2167"/>
    <w:rsid w:val="00BA236C"/>
    <w:rsid w:val="00BA2962"/>
    <w:rsid w:val="00BA38F0"/>
    <w:rsid w:val="00BA3FA5"/>
    <w:rsid w:val="00BA5CB6"/>
    <w:rsid w:val="00BA6C3D"/>
    <w:rsid w:val="00BA77A3"/>
    <w:rsid w:val="00BB3150"/>
    <w:rsid w:val="00BB4062"/>
    <w:rsid w:val="00BB4137"/>
    <w:rsid w:val="00BB45D2"/>
    <w:rsid w:val="00BB5225"/>
    <w:rsid w:val="00BB6131"/>
    <w:rsid w:val="00BC0BC0"/>
    <w:rsid w:val="00BC1E0F"/>
    <w:rsid w:val="00BC2B7D"/>
    <w:rsid w:val="00BC3C60"/>
    <w:rsid w:val="00BC5FA3"/>
    <w:rsid w:val="00BC75B5"/>
    <w:rsid w:val="00BC76B0"/>
    <w:rsid w:val="00BC7B17"/>
    <w:rsid w:val="00BD01B5"/>
    <w:rsid w:val="00BD1849"/>
    <w:rsid w:val="00BD19FF"/>
    <w:rsid w:val="00BD37E1"/>
    <w:rsid w:val="00BD59A6"/>
    <w:rsid w:val="00BD5F1F"/>
    <w:rsid w:val="00BD6F36"/>
    <w:rsid w:val="00BD6F65"/>
    <w:rsid w:val="00BE0068"/>
    <w:rsid w:val="00BE101D"/>
    <w:rsid w:val="00BE207D"/>
    <w:rsid w:val="00BE2A79"/>
    <w:rsid w:val="00BE2C12"/>
    <w:rsid w:val="00BE2F33"/>
    <w:rsid w:val="00BE36F0"/>
    <w:rsid w:val="00BE4F35"/>
    <w:rsid w:val="00BE7D14"/>
    <w:rsid w:val="00BF0323"/>
    <w:rsid w:val="00BF070D"/>
    <w:rsid w:val="00BF0D6B"/>
    <w:rsid w:val="00BF2777"/>
    <w:rsid w:val="00BF2B86"/>
    <w:rsid w:val="00BF3110"/>
    <w:rsid w:val="00BF36F9"/>
    <w:rsid w:val="00BF3870"/>
    <w:rsid w:val="00BF4F60"/>
    <w:rsid w:val="00BF68FD"/>
    <w:rsid w:val="00BF732E"/>
    <w:rsid w:val="00BF7364"/>
    <w:rsid w:val="00BF75F8"/>
    <w:rsid w:val="00BF7DDE"/>
    <w:rsid w:val="00C00A6A"/>
    <w:rsid w:val="00C03DD7"/>
    <w:rsid w:val="00C03FCA"/>
    <w:rsid w:val="00C04313"/>
    <w:rsid w:val="00C0478A"/>
    <w:rsid w:val="00C06733"/>
    <w:rsid w:val="00C06D59"/>
    <w:rsid w:val="00C107A7"/>
    <w:rsid w:val="00C10CC9"/>
    <w:rsid w:val="00C11C68"/>
    <w:rsid w:val="00C11E5A"/>
    <w:rsid w:val="00C15E0F"/>
    <w:rsid w:val="00C16A68"/>
    <w:rsid w:val="00C16BBD"/>
    <w:rsid w:val="00C171BA"/>
    <w:rsid w:val="00C20582"/>
    <w:rsid w:val="00C22098"/>
    <w:rsid w:val="00C2243C"/>
    <w:rsid w:val="00C23472"/>
    <w:rsid w:val="00C23BB2"/>
    <w:rsid w:val="00C2549E"/>
    <w:rsid w:val="00C26C4E"/>
    <w:rsid w:val="00C33152"/>
    <w:rsid w:val="00C33A46"/>
    <w:rsid w:val="00C33A58"/>
    <w:rsid w:val="00C340E6"/>
    <w:rsid w:val="00C34C14"/>
    <w:rsid w:val="00C36A7B"/>
    <w:rsid w:val="00C36CC6"/>
    <w:rsid w:val="00C37BD5"/>
    <w:rsid w:val="00C4010A"/>
    <w:rsid w:val="00C40F5A"/>
    <w:rsid w:val="00C41584"/>
    <w:rsid w:val="00C41B14"/>
    <w:rsid w:val="00C426B6"/>
    <w:rsid w:val="00C435D4"/>
    <w:rsid w:val="00C44C79"/>
    <w:rsid w:val="00C44E10"/>
    <w:rsid w:val="00C45577"/>
    <w:rsid w:val="00C46473"/>
    <w:rsid w:val="00C46763"/>
    <w:rsid w:val="00C5173F"/>
    <w:rsid w:val="00C54244"/>
    <w:rsid w:val="00C5429E"/>
    <w:rsid w:val="00C60502"/>
    <w:rsid w:val="00C61032"/>
    <w:rsid w:val="00C613E1"/>
    <w:rsid w:val="00C6169C"/>
    <w:rsid w:val="00C6303F"/>
    <w:rsid w:val="00C6357D"/>
    <w:rsid w:val="00C635B3"/>
    <w:rsid w:val="00C64121"/>
    <w:rsid w:val="00C66442"/>
    <w:rsid w:val="00C66BBD"/>
    <w:rsid w:val="00C673CB"/>
    <w:rsid w:val="00C67E1B"/>
    <w:rsid w:val="00C7036F"/>
    <w:rsid w:val="00C70395"/>
    <w:rsid w:val="00C706C9"/>
    <w:rsid w:val="00C7189E"/>
    <w:rsid w:val="00C71D3D"/>
    <w:rsid w:val="00C72109"/>
    <w:rsid w:val="00C726DF"/>
    <w:rsid w:val="00C72928"/>
    <w:rsid w:val="00C74181"/>
    <w:rsid w:val="00C752FD"/>
    <w:rsid w:val="00C75F8A"/>
    <w:rsid w:val="00C7728D"/>
    <w:rsid w:val="00C804E2"/>
    <w:rsid w:val="00C80732"/>
    <w:rsid w:val="00C8128E"/>
    <w:rsid w:val="00C8207F"/>
    <w:rsid w:val="00C85968"/>
    <w:rsid w:val="00C86AFD"/>
    <w:rsid w:val="00C87673"/>
    <w:rsid w:val="00C87CD7"/>
    <w:rsid w:val="00C90E5D"/>
    <w:rsid w:val="00C914E8"/>
    <w:rsid w:val="00C9197B"/>
    <w:rsid w:val="00C9224A"/>
    <w:rsid w:val="00C92861"/>
    <w:rsid w:val="00C92A16"/>
    <w:rsid w:val="00C932E6"/>
    <w:rsid w:val="00C9369D"/>
    <w:rsid w:val="00C93BD7"/>
    <w:rsid w:val="00C93BF4"/>
    <w:rsid w:val="00C95040"/>
    <w:rsid w:val="00C95596"/>
    <w:rsid w:val="00C96509"/>
    <w:rsid w:val="00C96E07"/>
    <w:rsid w:val="00C9736F"/>
    <w:rsid w:val="00CA021C"/>
    <w:rsid w:val="00CA05F2"/>
    <w:rsid w:val="00CA104E"/>
    <w:rsid w:val="00CA123F"/>
    <w:rsid w:val="00CA2089"/>
    <w:rsid w:val="00CA2540"/>
    <w:rsid w:val="00CA259C"/>
    <w:rsid w:val="00CA3398"/>
    <w:rsid w:val="00CA3C23"/>
    <w:rsid w:val="00CA3F6C"/>
    <w:rsid w:val="00CA45E3"/>
    <w:rsid w:val="00CA4858"/>
    <w:rsid w:val="00CA488B"/>
    <w:rsid w:val="00CA4A96"/>
    <w:rsid w:val="00CA4FEE"/>
    <w:rsid w:val="00CA5788"/>
    <w:rsid w:val="00CA626D"/>
    <w:rsid w:val="00CA64FE"/>
    <w:rsid w:val="00CA6641"/>
    <w:rsid w:val="00CA6D78"/>
    <w:rsid w:val="00CA710A"/>
    <w:rsid w:val="00CA7A32"/>
    <w:rsid w:val="00CB0186"/>
    <w:rsid w:val="00CB1237"/>
    <w:rsid w:val="00CB2266"/>
    <w:rsid w:val="00CB29DB"/>
    <w:rsid w:val="00CB2E95"/>
    <w:rsid w:val="00CB35A8"/>
    <w:rsid w:val="00CB46EC"/>
    <w:rsid w:val="00CB4D0E"/>
    <w:rsid w:val="00CB599E"/>
    <w:rsid w:val="00CB5F9E"/>
    <w:rsid w:val="00CB650F"/>
    <w:rsid w:val="00CB6DD0"/>
    <w:rsid w:val="00CB70AE"/>
    <w:rsid w:val="00CB7D7F"/>
    <w:rsid w:val="00CB7EA8"/>
    <w:rsid w:val="00CC03F7"/>
    <w:rsid w:val="00CC0D11"/>
    <w:rsid w:val="00CC1264"/>
    <w:rsid w:val="00CC1E42"/>
    <w:rsid w:val="00CC319C"/>
    <w:rsid w:val="00CC474A"/>
    <w:rsid w:val="00CC48E7"/>
    <w:rsid w:val="00CC5024"/>
    <w:rsid w:val="00CC56D5"/>
    <w:rsid w:val="00CC5CFF"/>
    <w:rsid w:val="00CC63A1"/>
    <w:rsid w:val="00CD045D"/>
    <w:rsid w:val="00CD09A6"/>
    <w:rsid w:val="00CD09F1"/>
    <w:rsid w:val="00CD0AA7"/>
    <w:rsid w:val="00CD200E"/>
    <w:rsid w:val="00CD3152"/>
    <w:rsid w:val="00CD3516"/>
    <w:rsid w:val="00CD3A55"/>
    <w:rsid w:val="00CD3F00"/>
    <w:rsid w:val="00CD4375"/>
    <w:rsid w:val="00CD4670"/>
    <w:rsid w:val="00CD49AB"/>
    <w:rsid w:val="00CD51A7"/>
    <w:rsid w:val="00CD5645"/>
    <w:rsid w:val="00CD57BA"/>
    <w:rsid w:val="00CD5841"/>
    <w:rsid w:val="00CD662A"/>
    <w:rsid w:val="00CD67A5"/>
    <w:rsid w:val="00CD728C"/>
    <w:rsid w:val="00CD7809"/>
    <w:rsid w:val="00CD7A71"/>
    <w:rsid w:val="00CE0BAC"/>
    <w:rsid w:val="00CE0FD8"/>
    <w:rsid w:val="00CE164A"/>
    <w:rsid w:val="00CE1CB0"/>
    <w:rsid w:val="00CE1E96"/>
    <w:rsid w:val="00CE2E05"/>
    <w:rsid w:val="00CE3024"/>
    <w:rsid w:val="00CE357B"/>
    <w:rsid w:val="00CE3E2B"/>
    <w:rsid w:val="00CE4321"/>
    <w:rsid w:val="00CE4939"/>
    <w:rsid w:val="00CE5D19"/>
    <w:rsid w:val="00CE6E3A"/>
    <w:rsid w:val="00CE72E3"/>
    <w:rsid w:val="00CF0E17"/>
    <w:rsid w:val="00CF19AA"/>
    <w:rsid w:val="00CF28EF"/>
    <w:rsid w:val="00CF2F86"/>
    <w:rsid w:val="00CF3F27"/>
    <w:rsid w:val="00CF5508"/>
    <w:rsid w:val="00CF5BE7"/>
    <w:rsid w:val="00CF6731"/>
    <w:rsid w:val="00CF6825"/>
    <w:rsid w:val="00CF6DD0"/>
    <w:rsid w:val="00CF6EF3"/>
    <w:rsid w:val="00CF7872"/>
    <w:rsid w:val="00CF7F3C"/>
    <w:rsid w:val="00D0081E"/>
    <w:rsid w:val="00D00A95"/>
    <w:rsid w:val="00D03427"/>
    <w:rsid w:val="00D037AC"/>
    <w:rsid w:val="00D043DE"/>
    <w:rsid w:val="00D0445C"/>
    <w:rsid w:val="00D05824"/>
    <w:rsid w:val="00D1007E"/>
    <w:rsid w:val="00D101F6"/>
    <w:rsid w:val="00D10459"/>
    <w:rsid w:val="00D120F0"/>
    <w:rsid w:val="00D1228C"/>
    <w:rsid w:val="00D12BC2"/>
    <w:rsid w:val="00D1336A"/>
    <w:rsid w:val="00D13F3C"/>
    <w:rsid w:val="00D149AE"/>
    <w:rsid w:val="00D15278"/>
    <w:rsid w:val="00D1546A"/>
    <w:rsid w:val="00D15E7E"/>
    <w:rsid w:val="00D16AB1"/>
    <w:rsid w:val="00D17078"/>
    <w:rsid w:val="00D1731B"/>
    <w:rsid w:val="00D202F2"/>
    <w:rsid w:val="00D20B5D"/>
    <w:rsid w:val="00D20C5B"/>
    <w:rsid w:val="00D20D6B"/>
    <w:rsid w:val="00D21FE4"/>
    <w:rsid w:val="00D2225B"/>
    <w:rsid w:val="00D222BA"/>
    <w:rsid w:val="00D23080"/>
    <w:rsid w:val="00D2380A"/>
    <w:rsid w:val="00D24775"/>
    <w:rsid w:val="00D24B12"/>
    <w:rsid w:val="00D25451"/>
    <w:rsid w:val="00D255A3"/>
    <w:rsid w:val="00D26A6E"/>
    <w:rsid w:val="00D27154"/>
    <w:rsid w:val="00D2762A"/>
    <w:rsid w:val="00D30C27"/>
    <w:rsid w:val="00D30F4D"/>
    <w:rsid w:val="00D31429"/>
    <w:rsid w:val="00D31751"/>
    <w:rsid w:val="00D32CE8"/>
    <w:rsid w:val="00D34377"/>
    <w:rsid w:val="00D343EB"/>
    <w:rsid w:val="00D3452E"/>
    <w:rsid w:val="00D35860"/>
    <w:rsid w:val="00D35B3F"/>
    <w:rsid w:val="00D36099"/>
    <w:rsid w:val="00D36156"/>
    <w:rsid w:val="00D40FE3"/>
    <w:rsid w:val="00D42FBF"/>
    <w:rsid w:val="00D43008"/>
    <w:rsid w:val="00D43014"/>
    <w:rsid w:val="00D43BD4"/>
    <w:rsid w:val="00D44280"/>
    <w:rsid w:val="00D4445F"/>
    <w:rsid w:val="00D453EB"/>
    <w:rsid w:val="00D45697"/>
    <w:rsid w:val="00D46CE2"/>
    <w:rsid w:val="00D473B4"/>
    <w:rsid w:val="00D526D1"/>
    <w:rsid w:val="00D52A19"/>
    <w:rsid w:val="00D52AE0"/>
    <w:rsid w:val="00D537D1"/>
    <w:rsid w:val="00D53EE0"/>
    <w:rsid w:val="00D54106"/>
    <w:rsid w:val="00D550F5"/>
    <w:rsid w:val="00D55360"/>
    <w:rsid w:val="00D55628"/>
    <w:rsid w:val="00D56AD9"/>
    <w:rsid w:val="00D579ED"/>
    <w:rsid w:val="00D61A96"/>
    <w:rsid w:val="00D61DE2"/>
    <w:rsid w:val="00D62879"/>
    <w:rsid w:val="00D62E3F"/>
    <w:rsid w:val="00D62F09"/>
    <w:rsid w:val="00D64B66"/>
    <w:rsid w:val="00D66F44"/>
    <w:rsid w:val="00D675FC"/>
    <w:rsid w:val="00D71E7E"/>
    <w:rsid w:val="00D724CA"/>
    <w:rsid w:val="00D72852"/>
    <w:rsid w:val="00D72F18"/>
    <w:rsid w:val="00D739E5"/>
    <w:rsid w:val="00D739FD"/>
    <w:rsid w:val="00D74BBD"/>
    <w:rsid w:val="00D7626E"/>
    <w:rsid w:val="00D76283"/>
    <w:rsid w:val="00D80202"/>
    <w:rsid w:val="00D805C9"/>
    <w:rsid w:val="00D81DA9"/>
    <w:rsid w:val="00D82381"/>
    <w:rsid w:val="00D829C3"/>
    <w:rsid w:val="00D83B01"/>
    <w:rsid w:val="00D85659"/>
    <w:rsid w:val="00D8568B"/>
    <w:rsid w:val="00D85D35"/>
    <w:rsid w:val="00D872C0"/>
    <w:rsid w:val="00D874FB"/>
    <w:rsid w:val="00D907AD"/>
    <w:rsid w:val="00D918B6"/>
    <w:rsid w:val="00D91C86"/>
    <w:rsid w:val="00D92449"/>
    <w:rsid w:val="00D92DA7"/>
    <w:rsid w:val="00D93C0C"/>
    <w:rsid w:val="00D95988"/>
    <w:rsid w:val="00D9599B"/>
    <w:rsid w:val="00D95F6F"/>
    <w:rsid w:val="00D9630A"/>
    <w:rsid w:val="00D967F5"/>
    <w:rsid w:val="00D96BAC"/>
    <w:rsid w:val="00D96FDD"/>
    <w:rsid w:val="00D9705D"/>
    <w:rsid w:val="00D974B9"/>
    <w:rsid w:val="00D97607"/>
    <w:rsid w:val="00DA0CFE"/>
    <w:rsid w:val="00DA0DA2"/>
    <w:rsid w:val="00DA2FC8"/>
    <w:rsid w:val="00DA3160"/>
    <w:rsid w:val="00DA3885"/>
    <w:rsid w:val="00DA3CE6"/>
    <w:rsid w:val="00DA3CF2"/>
    <w:rsid w:val="00DA4611"/>
    <w:rsid w:val="00DA471E"/>
    <w:rsid w:val="00DA4881"/>
    <w:rsid w:val="00DA4F33"/>
    <w:rsid w:val="00DA4F44"/>
    <w:rsid w:val="00DA5433"/>
    <w:rsid w:val="00DA5F52"/>
    <w:rsid w:val="00DA6027"/>
    <w:rsid w:val="00DA63DC"/>
    <w:rsid w:val="00DA70DD"/>
    <w:rsid w:val="00DB02C7"/>
    <w:rsid w:val="00DB0931"/>
    <w:rsid w:val="00DB235F"/>
    <w:rsid w:val="00DB3500"/>
    <w:rsid w:val="00DB3E46"/>
    <w:rsid w:val="00DB3E5B"/>
    <w:rsid w:val="00DB6058"/>
    <w:rsid w:val="00DB627F"/>
    <w:rsid w:val="00DB6287"/>
    <w:rsid w:val="00DB6ADD"/>
    <w:rsid w:val="00DB735F"/>
    <w:rsid w:val="00DB7958"/>
    <w:rsid w:val="00DC0B9A"/>
    <w:rsid w:val="00DC101A"/>
    <w:rsid w:val="00DC1DD8"/>
    <w:rsid w:val="00DC1F9C"/>
    <w:rsid w:val="00DC2914"/>
    <w:rsid w:val="00DC3B97"/>
    <w:rsid w:val="00DC3ED8"/>
    <w:rsid w:val="00DC3F61"/>
    <w:rsid w:val="00DC3F74"/>
    <w:rsid w:val="00DC42F8"/>
    <w:rsid w:val="00DC52E0"/>
    <w:rsid w:val="00DC7798"/>
    <w:rsid w:val="00DD03B4"/>
    <w:rsid w:val="00DD0B5E"/>
    <w:rsid w:val="00DD13A8"/>
    <w:rsid w:val="00DD4AD5"/>
    <w:rsid w:val="00DD52C9"/>
    <w:rsid w:val="00DD5B1F"/>
    <w:rsid w:val="00DD5EA2"/>
    <w:rsid w:val="00DD71AA"/>
    <w:rsid w:val="00DD7366"/>
    <w:rsid w:val="00DD7F6C"/>
    <w:rsid w:val="00DE0127"/>
    <w:rsid w:val="00DE0631"/>
    <w:rsid w:val="00DE10D5"/>
    <w:rsid w:val="00DE1C5D"/>
    <w:rsid w:val="00DE2715"/>
    <w:rsid w:val="00DE3304"/>
    <w:rsid w:val="00DE3681"/>
    <w:rsid w:val="00DE5090"/>
    <w:rsid w:val="00DE523D"/>
    <w:rsid w:val="00DE5844"/>
    <w:rsid w:val="00DE6199"/>
    <w:rsid w:val="00DE6F1C"/>
    <w:rsid w:val="00DE7148"/>
    <w:rsid w:val="00DE7208"/>
    <w:rsid w:val="00DF04E9"/>
    <w:rsid w:val="00DF0EBC"/>
    <w:rsid w:val="00DF13C6"/>
    <w:rsid w:val="00DF14FE"/>
    <w:rsid w:val="00DF1639"/>
    <w:rsid w:val="00DF2F1E"/>
    <w:rsid w:val="00DF3E1D"/>
    <w:rsid w:val="00DF6A04"/>
    <w:rsid w:val="00DF6BD3"/>
    <w:rsid w:val="00DF79F6"/>
    <w:rsid w:val="00E00FF0"/>
    <w:rsid w:val="00E01722"/>
    <w:rsid w:val="00E01FE1"/>
    <w:rsid w:val="00E02321"/>
    <w:rsid w:val="00E02600"/>
    <w:rsid w:val="00E031F9"/>
    <w:rsid w:val="00E03254"/>
    <w:rsid w:val="00E03F87"/>
    <w:rsid w:val="00E0548E"/>
    <w:rsid w:val="00E05F53"/>
    <w:rsid w:val="00E0632D"/>
    <w:rsid w:val="00E06652"/>
    <w:rsid w:val="00E06702"/>
    <w:rsid w:val="00E072AE"/>
    <w:rsid w:val="00E10019"/>
    <w:rsid w:val="00E105C7"/>
    <w:rsid w:val="00E10C40"/>
    <w:rsid w:val="00E121F2"/>
    <w:rsid w:val="00E13520"/>
    <w:rsid w:val="00E13975"/>
    <w:rsid w:val="00E1437D"/>
    <w:rsid w:val="00E156D4"/>
    <w:rsid w:val="00E15BB2"/>
    <w:rsid w:val="00E164CC"/>
    <w:rsid w:val="00E176C5"/>
    <w:rsid w:val="00E21948"/>
    <w:rsid w:val="00E21C93"/>
    <w:rsid w:val="00E23CDA"/>
    <w:rsid w:val="00E2561B"/>
    <w:rsid w:val="00E25CA6"/>
    <w:rsid w:val="00E25F44"/>
    <w:rsid w:val="00E265D7"/>
    <w:rsid w:val="00E267F4"/>
    <w:rsid w:val="00E26B0F"/>
    <w:rsid w:val="00E26D58"/>
    <w:rsid w:val="00E27629"/>
    <w:rsid w:val="00E2788A"/>
    <w:rsid w:val="00E30319"/>
    <w:rsid w:val="00E321B0"/>
    <w:rsid w:val="00E3258B"/>
    <w:rsid w:val="00E34F4A"/>
    <w:rsid w:val="00E35222"/>
    <w:rsid w:val="00E35AA9"/>
    <w:rsid w:val="00E36D2B"/>
    <w:rsid w:val="00E4044B"/>
    <w:rsid w:val="00E420E7"/>
    <w:rsid w:val="00E42345"/>
    <w:rsid w:val="00E4268A"/>
    <w:rsid w:val="00E42904"/>
    <w:rsid w:val="00E42E04"/>
    <w:rsid w:val="00E436AE"/>
    <w:rsid w:val="00E43B23"/>
    <w:rsid w:val="00E43ED3"/>
    <w:rsid w:val="00E45B64"/>
    <w:rsid w:val="00E4647F"/>
    <w:rsid w:val="00E464E5"/>
    <w:rsid w:val="00E473B3"/>
    <w:rsid w:val="00E504C3"/>
    <w:rsid w:val="00E5092F"/>
    <w:rsid w:val="00E50B26"/>
    <w:rsid w:val="00E51882"/>
    <w:rsid w:val="00E51FFA"/>
    <w:rsid w:val="00E521D6"/>
    <w:rsid w:val="00E53235"/>
    <w:rsid w:val="00E536B6"/>
    <w:rsid w:val="00E5407B"/>
    <w:rsid w:val="00E540EA"/>
    <w:rsid w:val="00E54CAE"/>
    <w:rsid w:val="00E54D27"/>
    <w:rsid w:val="00E55228"/>
    <w:rsid w:val="00E55440"/>
    <w:rsid w:val="00E5591E"/>
    <w:rsid w:val="00E55BD2"/>
    <w:rsid w:val="00E56A12"/>
    <w:rsid w:val="00E57588"/>
    <w:rsid w:val="00E57900"/>
    <w:rsid w:val="00E60240"/>
    <w:rsid w:val="00E6279A"/>
    <w:rsid w:val="00E665D2"/>
    <w:rsid w:val="00E72039"/>
    <w:rsid w:val="00E73795"/>
    <w:rsid w:val="00E748D0"/>
    <w:rsid w:val="00E74FB6"/>
    <w:rsid w:val="00E7585A"/>
    <w:rsid w:val="00E76ABA"/>
    <w:rsid w:val="00E76ED9"/>
    <w:rsid w:val="00E7715C"/>
    <w:rsid w:val="00E7754F"/>
    <w:rsid w:val="00E778D5"/>
    <w:rsid w:val="00E7798F"/>
    <w:rsid w:val="00E807C6"/>
    <w:rsid w:val="00E814EE"/>
    <w:rsid w:val="00E81C41"/>
    <w:rsid w:val="00E8206B"/>
    <w:rsid w:val="00E83AE6"/>
    <w:rsid w:val="00E85B45"/>
    <w:rsid w:val="00E85F21"/>
    <w:rsid w:val="00E86BBC"/>
    <w:rsid w:val="00E87EE0"/>
    <w:rsid w:val="00E901B5"/>
    <w:rsid w:val="00E9031A"/>
    <w:rsid w:val="00E90E0F"/>
    <w:rsid w:val="00E92226"/>
    <w:rsid w:val="00E92A7F"/>
    <w:rsid w:val="00E935E6"/>
    <w:rsid w:val="00E93665"/>
    <w:rsid w:val="00E93FA8"/>
    <w:rsid w:val="00E95668"/>
    <w:rsid w:val="00E95EC2"/>
    <w:rsid w:val="00EA0038"/>
    <w:rsid w:val="00EA0C11"/>
    <w:rsid w:val="00EA0FFE"/>
    <w:rsid w:val="00EA1D1F"/>
    <w:rsid w:val="00EA24A0"/>
    <w:rsid w:val="00EA2FF0"/>
    <w:rsid w:val="00EA3474"/>
    <w:rsid w:val="00EA3F81"/>
    <w:rsid w:val="00EA461D"/>
    <w:rsid w:val="00EA5DEC"/>
    <w:rsid w:val="00EA6BDC"/>
    <w:rsid w:val="00EB011D"/>
    <w:rsid w:val="00EB074D"/>
    <w:rsid w:val="00EB1874"/>
    <w:rsid w:val="00EB2997"/>
    <w:rsid w:val="00EB3429"/>
    <w:rsid w:val="00EB3D6D"/>
    <w:rsid w:val="00EB5754"/>
    <w:rsid w:val="00EB589F"/>
    <w:rsid w:val="00EC0520"/>
    <w:rsid w:val="00EC0777"/>
    <w:rsid w:val="00EC097F"/>
    <w:rsid w:val="00EC09EF"/>
    <w:rsid w:val="00EC1459"/>
    <w:rsid w:val="00EC225B"/>
    <w:rsid w:val="00EC2683"/>
    <w:rsid w:val="00EC347D"/>
    <w:rsid w:val="00EC55B5"/>
    <w:rsid w:val="00EC6ABF"/>
    <w:rsid w:val="00ED011F"/>
    <w:rsid w:val="00ED0A9A"/>
    <w:rsid w:val="00ED0D72"/>
    <w:rsid w:val="00ED0F98"/>
    <w:rsid w:val="00ED1292"/>
    <w:rsid w:val="00ED12C2"/>
    <w:rsid w:val="00ED1800"/>
    <w:rsid w:val="00ED1CC0"/>
    <w:rsid w:val="00ED3318"/>
    <w:rsid w:val="00ED36F2"/>
    <w:rsid w:val="00ED39E1"/>
    <w:rsid w:val="00ED55BC"/>
    <w:rsid w:val="00EE008D"/>
    <w:rsid w:val="00EE16F1"/>
    <w:rsid w:val="00EE226B"/>
    <w:rsid w:val="00EE23BB"/>
    <w:rsid w:val="00EE2D11"/>
    <w:rsid w:val="00EE3211"/>
    <w:rsid w:val="00EE3C37"/>
    <w:rsid w:val="00EE3E04"/>
    <w:rsid w:val="00EE5287"/>
    <w:rsid w:val="00EE64FA"/>
    <w:rsid w:val="00EE693B"/>
    <w:rsid w:val="00EE6E27"/>
    <w:rsid w:val="00EE73D6"/>
    <w:rsid w:val="00EE7407"/>
    <w:rsid w:val="00EF004F"/>
    <w:rsid w:val="00EF00E7"/>
    <w:rsid w:val="00EF1121"/>
    <w:rsid w:val="00EF1123"/>
    <w:rsid w:val="00EF196B"/>
    <w:rsid w:val="00EF3661"/>
    <w:rsid w:val="00EF38BF"/>
    <w:rsid w:val="00EF5AED"/>
    <w:rsid w:val="00EF5CA4"/>
    <w:rsid w:val="00EF6252"/>
    <w:rsid w:val="00EF680B"/>
    <w:rsid w:val="00EF699D"/>
    <w:rsid w:val="00EF75F4"/>
    <w:rsid w:val="00EF761B"/>
    <w:rsid w:val="00EF77DA"/>
    <w:rsid w:val="00EF7876"/>
    <w:rsid w:val="00F013A6"/>
    <w:rsid w:val="00F0266E"/>
    <w:rsid w:val="00F05E29"/>
    <w:rsid w:val="00F05E67"/>
    <w:rsid w:val="00F07AC8"/>
    <w:rsid w:val="00F11D2F"/>
    <w:rsid w:val="00F12883"/>
    <w:rsid w:val="00F128F8"/>
    <w:rsid w:val="00F13002"/>
    <w:rsid w:val="00F13BC0"/>
    <w:rsid w:val="00F150D4"/>
    <w:rsid w:val="00F174FD"/>
    <w:rsid w:val="00F17B14"/>
    <w:rsid w:val="00F20DE7"/>
    <w:rsid w:val="00F20E63"/>
    <w:rsid w:val="00F21E84"/>
    <w:rsid w:val="00F230C8"/>
    <w:rsid w:val="00F24056"/>
    <w:rsid w:val="00F241B5"/>
    <w:rsid w:val="00F244B0"/>
    <w:rsid w:val="00F25F03"/>
    <w:rsid w:val="00F26006"/>
    <w:rsid w:val="00F26B86"/>
    <w:rsid w:val="00F2735E"/>
    <w:rsid w:val="00F278C2"/>
    <w:rsid w:val="00F312AC"/>
    <w:rsid w:val="00F313AF"/>
    <w:rsid w:val="00F3149D"/>
    <w:rsid w:val="00F3173F"/>
    <w:rsid w:val="00F320D4"/>
    <w:rsid w:val="00F32657"/>
    <w:rsid w:val="00F32B96"/>
    <w:rsid w:val="00F34981"/>
    <w:rsid w:val="00F37B70"/>
    <w:rsid w:val="00F40397"/>
    <w:rsid w:val="00F403AB"/>
    <w:rsid w:val="00F40EF4"/>
    <w:rsid w:val="00F41E89"/>
    <w:rsid w:val="00F422EF"/>
    <w:rsid w:val="00F42855"/>
    <w:rsid w:val="00F42A07"/>
    <w:rsid w:val="00F42AC6"/>
    <w:rsid w:val="00F441AF"/>
    <w:rsid w:val="00F44363"/>
    <w:rsid w:val="00F466B1"/>
    <w:rsid w:val="00F47A91"/>
    <w:rsid w:val="00F47BAB"/>
    <w:rsid w:val="00F50380"/>
    <w:rsid w:val="00F51D61"/>
    <w:rsid w:val="00F524B5"/>
    <w:rsid w:val="00F528E8"/>
    <w:rsid w:val="00F52CE6"/>
    <w:rsid w:val="00F532EC"/>
    <w:rsid w:val="00F55584"/>
    <w:rsid w:val="00F5571F"/>
    <w:rsid w:val="00F55E4E"/>
    <w:rsid w:val="00F56B9D"/>
    <w:rsid w:val="00F56BB5"/>
    <w:rsid w:val="00F571D7"/>
    <w:rsid w:val="00F574DC"/>
    <w:rsid w:val="00F613EA"/>
    <w:rsid w:val="00F624F1"/>
    <w:rsid w:val="00F636FF"/>
    <w:rsid w:val="00F63FE1"/>
    <w:rsid w:val="00F65831"/>
    <w:rsid w:val="00F65DB1"/>
    <w:rsid w:val="00F66855"/>
    <w:rsid w:val="00F66BE0"/>
    <w:rsid w:val="00F70147"/>
    <w:rsid w:val="00F713D7"/>
    <w:rsid w:val="00F71C5C"/>
    <w:rsid w:val="00F72251"/>
    <w:rsid w:val="00F72289"/>
    <w:rsid w:val="00F730D1"/>
    <w:rsid w:val="00F74059"/>
    <w:rsid w:val="00F740B5"/>
    <w:rsid w:val="00F74F01"/>
    <w:rsid w:val="00F75B7C"/>
    <w:rsid w:val="00F7656D"/>
    <w:rsid w:val="00F7716B"/>
    <w:rsid w:val="00F8230E"/>
    <w:rsid w:val="00F84A90"/>
    <w:rsid w:val="00F855E3"/>
    <w:rsid w:val="00F85673"/>
    <w:rsid w:val="00F872A9"/>
    <w:rsid w:val="00F9074A"/>
    <w:rsid w:val="00F92ECF"/>
    <w:rsid w:val="00F93D57"/>
    <w:rsid w:val="00F9437E"/>
    <w:rsid w:val="00F944A2"/>
    <w:rsid w:val="00F948BA"/>
    <w:rsid w:val="00F94BCD"/>
    <w:rsid w:val="00F97436"/>
    <w:rsid w:val="00FA014D"/>
    <w:rsid w:val="00FA01BA"/>
    <w:rsid w:val="00FA047C"/>
    <w:rsid w:val="00FA084A"/>
    <w:rsid w:val="00FA13A3"/>
    <w:rsid w:val="00FA15FC"/>
    <w:rsid w:val="00FA3F40"/>
    <w:rsid w:val="00FA50EE"/>
    <w:rsid w:val="00FA5BFD"/>
    <w:rsid w:val="00FA7111"/>
    <w:rsid w:val="00FA7682"/>
    <w:rsid w:val="00FB040A"/>
    <w:rsid w:val="00FB15B6"/>
    <w:rsid w:val="00FB2209"/>
    <w:rsid w:val="00FB3B52"/>
    <w:rsid w:val="00FB6AC4"/>
    <w:rsid w:val="00FC09C6"/>
    <w:rsid w:val="00FC0E1D"/>
    <w:rsid w:val="00FC30DA"/>
    <w:rsid w:val="00FC40B3"/>
    <w:rsid w:val="00FD1225"/>
    <w:rsid w:val="00FD20C6"/>
    <w:rsid w:val="00FD255B"/>
    <w:rsid w:val="00FD2E11"/>
    <w:rsid w:val="00FD460D"/>
    <w:rsid w:val="00FD4804"/>
    <w:rsid w:val="00FD506E"/>
    <w:rsid w:val="00FD5395"/>
    <w:rsid w:val="00FD557A"/>
    <w:rsid w:val="00FD6014"/>
    <w:rsid w:val="00FD6418"/>
    <w:rsid w:val="00FD70ED"/>
    <w:rsid w:val="00FD7573"/>
    <w:rsid w:val="00FD7B81"/>
    <w:rsid w:val="00FD7B98"/>
    <w:rsid w:val="00FE0AC9"/>
    <w:rsid w:val="00FE29AA"/>
    <w:rsid w:val="00FE3415"/>
    <w:rsid w:val="00FE37D3"/>
    <w:rsid w:val="00FE5197"/>
    <w:rsid w:val="00FE59C7"/>
    <w:rsid w:val="00FE6093"/>
    <w:rsid w:val="00FE6D1B"/>
    <w:rsid w:val="00FE78C6"/>
    <w:rsid w:val="00FE79AA"/>
    <w:rsid w:val="00FE7DEF"/>
    <w:rsid w:val="00FF0C23"/>
    <w:rsid w:val="00FF127B"/>
    <w:rsid w:val="00FF3C8F"/>
    <w:rsid w:val="00FF3D37"/>
    <w:rsid w:val="00FF3E62"/>
    <w:rsid w:val="00FF4F84"/>
    <w:rsid w:val="00FF535D"/>
    <w:rsid w:val="00FF58AC"/>
    <w:rsid w:val="00FF5C98"/>
    <w:rsid w:val="00FF6381"/>
    <w:rsid w:val="00FF679D"/>
    <w:rsid w:val="00FF6DB2"/>
    <w:rsid w:val="00FF7E2F"/>
    <w:rsid w:val="010E6107"/>
    <w:rsid w:val="01382DB4"/>
    <w:rsid w:val="01423649"/>
    <w:rsid w:val="01457F6F"/>
    <w:rsid w:val="01747D1E"/>
    <w:rsid w:val="01C43576"/>
    <w:rsid w:val="01C47CF3"/>
    <w:rsid w:val="01C96287"/>
    <w:rsid w:val="01CF1907"/>
    <w:rsid w:val="01E4051A"/>
    <w:rsid w:val="01F178BE"/>
    <w:rsid w:val="021C71F5"/>
    <w:rsid w:val="023006A7"/>
    <w:rsid w:val="0252665D"/>
    <w:rsid w:val="025F19CF"/>
    <w:rsid w:val="028A13E5"/>
    <w:rsid w:val="02FF7A7B"/>
    <w:rsid w:val="035203D6"/>
    <w:rsid w:val="03610DE0"/>
    <w:rsid w:val="0361681B"/>
    <w:rsid w:val="03ED1CC0"/>
    <w:rsid w:val="03EE1902"/>
    <w:rsid w:val="04253FDA"/>
    <w:rsid w:val="045340A9"/>
    <w:rsid w:val="045C66B2"/>
    <w:rsid w:val="04641540"/>
    <w:rsid w:val="048A515F"/>
    <w:rsid w:val="0491498E"/>
    <w:rsid w:val="04A41675"/>
    <w:rsid w:val="04C837E3"/>
    <w:rsid w:val="04D253F8"/>
    <w:rsid w:val="05084354"/>
    <w:rsid w:val="0525422D"/>
    <w:rsid w:val="05460C55"/>
    <w:rsid w:val="056B1564"/>
    <w:rsid w:val="058B77B2"/>
    <w:rsid w:val="05A671DA"/>
    <w:rsid w:val="05B76962"/>
    <w:rsid w:val="05B9261D"/>
    <w:rsid w:val="0623601E"/>
    <w:rsid w:val="06302DB6"/>
    <w:rsid w:val="06597543"/>
    <w:rsid w:val="06981DF9"/>
    <w:rsid w:val="06C11578"/>
    <w:rsid w:val="06C550DB"/>
    <w:rsid w:val="06D0743C"/>
    <w:rsid w:val="071E63F3"/>
    <w:rsid w:val="075E2523"/>
    <w:rsid w:val="07944BFB"/>
    <w:rsid w:val="07A36A9F"/>
    <w:rsid w:val="07D26F91"/>
    <w:rsid w:val="07D54282"/>
    <w:rsid w:val="08377730"/>
    <w:rsid w:val="08430947"/>
    <w:rsid w:val="086C26E0"/>
    <w:rsid w:val="08822685"/>
    <w:rsid w:val="088C0A16"/>
    <w:rsid w:val="08B17BE1"/>
    <w:rsid w:val="08C52D6F"/>
    <w:rsid w:val="08D844B0"/>
    <w:rsid w:val="0929584C"/>
    <w:rsid w:val="092E340E"/>
    <w:rsid w:val="093431FC"/>
    <w:rsid w:val="0966617B"/>
    <w:rsid w:val="09DD2B7E"/>
    <w:rsid w:val="09DE12BD"/>
    <w:rsid w:val="09DF5A3E"/>
    <w:rsid w:val="0A1039BB"/>
    <w:rsid w:val="0A2464AA"/>
    <w:rsid w:val="0A264213"/>
    <w:rsid w:val="0A303D95"/>
    <w:rsid w:val="0A4038E0"/>
    <w:rsid w:val="0A8623B3"/>
    <w:rsid w:val="0A9860DD"/>
    <w:rsid w:val="0AC84057"/>
    <w:rsid w:val="0B236999"/>
    <w:rsid w:val="0B243B52"/>
    <w:rsid w:val="0B591E2E"/>
    <w:rsid w:val="0B6049A4"/>
    <w:rsid w:val="0B982B1A"/>
    <w:rsid w:val="0BCD1763"/>
    <w:rsid w:val="0C1D75EE"/>
    <w:rsid w:val="0C2C7AC3"/>
    <w:rsid w:val="0C5F0057"/>
    <w:rsid w:val="0C691C6B"/>
    <w:rsid w:val="0C890D10"/>
    <w:rsid w:val="0CB50A66"/>
    <w:rsid w:val="0CC06DF7"/>
    <w:rsid w:val="0CC223BD"/>
    <w:rsid w:val="0DAF4501"/>
    <w:rsid w:val="0DEF62B6"/>
    <w:rsid w:val="0E3C75E8"/>
    <w:rsid w:val="0E5C591E"/>
    <w:rsid w:val="0E617934"/>
    <w:rsid w:val="0E675E9D"/>
    <w:rsid w:val="0E8343A6"/>
    <w:rsid w:val="0E8419FF"/>
    <w:rsid w:val="0EEA0A05"/>
    <w:rsid w:val="0EEE65D1"/>
    <w:rsid w:val="0F0273A3"/>
    <w:rsid w:val="0F4E27DE"/>
    <w:rsid w:val="0F6D2474"/>
    <w:rsid w:val="0F6D575B"/>
    <w:rsid w:val="0F816195"/>
    <w:rsid w:val="0F8B58F5"/>
    <w:rsid w:val="0F8B645F"/>
    <w:rsid w:val="0F971E23"/>
    <w:rsid w:val="0FAB02B9"/>
    <w:rsid w:val="0FE02217"/>
    <w:rsid w:val="102333CF"/>
    <w:rsid w:val="103A162C"/>
    <w:rsid w:val="106A0522"/>
    <w:rsid w:val="107431BA"/>
    <w:rsid w:val="10956CD9"/>
    <w:rsid w:val="109B03CC"/>
    <w:rsid w:val="109E452C"/>
    <w:rsid w:val="10A432A1"/>
    <w:rsid w:val="10F54C7E"/>
    <w:rsid w:val="11127111"/>
    <w:rsid w:val="11151235"/>
    <w:rsid w:val="113D42B9"/>
    <w:rsid w:val="114535BD"/>
    <w:rsid w:val="11515D18"/>
    <w:rsid w:val="11645423"/>
    <w:rsid w:val="118B5AD6"/>
    <w:rsid w:val="11942369"/>
    <w:rsid w:val="11D85FCC"/>
    <w:rsid w:val="125C52D3"/>
    <w:rsid w:val="12777F79"/>
    <w:rsid w:val="12912E05"/>
    <w:rsid w:val="12A44024"/>
    <w:rsid w:val="12A97B84"/>
    <w:rsid w:val="131D1B36"/>
    <w:rsid w:val="13223AF1"/>
    <w:rsid w:val="13327318"/>
    <w:rsid w:val="13327FF2"/>
    <w:rsid w:val="13451321"/>
    <w:rsid w:val="134770B1"/>
    <w:rsid w:val="1386733D"/>
    <w:rsid w:val="13887B1A"/>
    <w:rsid w:val="13923D54"/>
    <w:rsid w:val="13AA413F"/>
    <w:rsid w:val="13D778B6"/>
    <w:rsid w:val="140B4870"/>
    <w:rsid w:val="14162C01"/>
    <w:rsid w:val="141779F2"/>
    <w:rsid w:val="142469A5"/>
    <w:rsid w:val="143015E2"/>
    <w:rsid w:val="14565413"/>
    <w:rsid w:val="14D56784"/>
    <w:rsid w:val="14E4621D"/>
    <w:rsid w:val="1508348E"/>
    <w:rsid w:val="150E2655"/>
    <w:rsid w:val="151F2260"/>
    <w:rsid w:val="15203C88"/>
    <w:rsid w:val="15242DBE"/>
    <w:rsid w:val="1526273B"/>
    <w:rsid w:val="15317A6C"/>
    <w:rsid w:val="154842EA"/>
    <w:rsid w:val="15A30C01"/>
    <w:rsid w:val="15B21729"/>
    <w:rsid w:val="15EB4E7C"/>
    <w:rsid w:val="15F92FD8"/>
    <w:rsid w:val="16004EE4"/>
    <w:rsid w:val="1620557D"/>
    <w:rsid w:val="167071E4"/>
    <w:rsid w:val="16733962"/>
    <w:rsid w:val="16757268"/>
    <w:rsid w:val="16997AD2"/>
    <w:rsid w:val="16AC5172"/>
    <w:rsid w:val="16B3479E"/>
    <w:rsid w:val="16C42BE6"/>
    <w:rsid w:val="16FF19EA"/>
    <w:rsid w:val="172179B8"/>
    <w:rsid w:val="1727563E"/>
    <w:rsid w:val="172B6DB1"/>
    <w:rsid w:val="17850FB1"/>
    <w:rsid w:val="17DC4231"/>
    <w:rsid w:val="17EE0DC6"/>
    <w:rsid w:val="180E3DC2"/>
    <w:rsid w:val="182944A3"/>
    <w:rsid w:val="1852743B"/>
    <w:rsid w:val="185C1A45"/>
    <w:rsid w:val="188B43D5"/>
    <w:rsid w:val="19024013"/>
    <w:rsid w:val="191F7377"/>
    <w:rsid w:val="19414DFD"/>
    <w:rsid w:val="19420680"/>
    <w:rsid w:val="194C318E"/>
    <w:rsid w:val="1979635F"/>
    <w:rsid w:val="19AF5431"/>
    <w:rsid w:val="19BF22BF"/>
    <w:rsid w:val="19CF3767"/>
    <w:rsid w:val="19D528C7"/>
    <w:rsid w:val="19E96131"/>
    <w:rsid w:val="19FD494A"/>
    <w:rsid w:val="1A1041D0"/>
    <w:rsid w:val="1A247A97"/>
    <w:rsid w:val="1A3A7593"/>
    <w:rsid w:val="1A706A83"/>
    <w:rsid w:val="1A7C1301"/>
    <w:rsid w:val="1A9C7638"/>
    <w:rsid w:val="1AA530AD"/>
    <w:rsid w:val="1AFB58F2"/>
    <w:rsid w:val="1B0A146F"/>
    <w:rsid w:val="1B2E3201"/>
    <w:rsid w:val="1B376301"/>
    <w:rsid w:val="1B380F38"/>
    <w:rsid w:val="1B415452"/>
    <w:rsid w:val="1B60171F"/>
    <w:rsid w:val="1B6B6A0B"/>
    <w:rsid w:val="1B764049"/>
    <w:rsid w:val="1C154F6E"/>
    <w:rsid w:val="1C197E29"/>
    <w:rsid w:val="1C262D11"/>
    <w:rsid w:val="1C4A49B2"/>
    <w:rsid w:val="1C4F6C7E"/>
    <w:rsid w:val="1C625C9F"/>
    <w:rsid w:val="1C78447A"/>
    <w:rsid w:val="1C912F6B"/>
    <w:rsid w:val="1CD30C0D"/>
    <w:rsid w:val="1D03247A"/>
    <w:rsid w:val="1D047EAE"/>
    <w:rsid w:val="1D320DF5"/>
    <w:rsid w:val="1D551119"/>
    <w:rsid w:val="1D6E70D6"/>
    <w:rsid w:val="1D7A568E"/>
    <w:rsid w:val="1DB530CD"/>
    <w:rsid w:val="1DC23799"/>
    <w:rsid w:val="1DD8637C"/>
    <w:rsid w:val="1E2101FE"/>
    <w:rsid w:val="1E372C11"/>
    <w:rsid w:val="1E3B28B6"/>
    <w:rsid w:val="1E5E66D2"/>
    <w:rsid w:val="1E71779F"/>
    <w:rsid w:val="1EA416D1"/>
    <w:rsid w:val="1EA4585B"/>
    <w:rsid w:val="1EE61241"/>
    <w:rsid w:val="1EF06882"/>
    <w:rsid w:val="1F010A0B"/>
    <w:rsid w:val="1F06691B"/>
    <w:rsid w:val="1F1C0F96"/>
    <w:rsid w:val="1F1F7A4B"/>
    <w:rsid w:val="1F271CAA"/>
    <w:rsid w:val="1F3C63CC"/>
    <w:rsid w:val="1F8A0ACB"/>
    <w:rsid w:val="1F92518E"/>
    <w:rsid w:val="1FCB5B9C"/>
    <w:rsid w:val="1FCD7EB9"/>
    <w:rsid w:val="200A5B20"/>
    <w:rsid w:val="20163B31"/>
    <w:rsid w:val="20201EC2"/>
    <w:rsid w:val="20220951"/>
    <w:rsid w:val="204C14F0"/>
    <w:rsid w:val="20585C30"/>
    <w:rsid w:val="206A5249"/>
    <w:rsid w:val="207A3E5E"/>
    <w:rsid w:val="20D17AAC"/>
    <w:rsid w:val="20E91E42"/>
    <w:rsid w:val="20EF3C66"/>
    <w:rsid w:val="213F5933"/>
    <w:rsid w:val="21C34CF0"/>
    <w:rsid w:val="21C76D7B"/>
    <w:rsid w:val="21E736FC"/>
    <w:rsid w:val="221E3F06"/>
    <w:rsid w:val="22587EB6"/>
    <w:rsid w:val="22645564"/>
    <w:rsid w:val="229628CB"/>
    <w:rsid w:val="22AC349C"/>
    <w:rsid w:val="22CC223E"/>
    <w:rsid w:val="22D20532"/>
    <w:rsid w:val="22D66F38"/>
    <w:rsid w:val="22DC346F"/>
    <w:rsid w:val="230756AC"/>
    <w:rsid w:val="232073FF"/>
    <w:rsid w:val="232A43DD"/>
    <w:rsid w:val="2364201F"/>
    <w:rsid w:val="23A52A88"/>
    <w:rsid w:val="23B0469D"/>
    <w:rsid w:val="23C1773C"/>
    <w:rsid w:val="24470995"/>
    <w:rsid w:val="24482291"/>
    <w:rsid w:val="24674FCB"/>
    <w:rsid w:val="24C820E3"/>
    <w:rsid w:val="24C87001"/>
    <w:rsid w:val="252A6FED"/>
    <w:rsid w:val="253F1428"/>
    <w:rsid w:val="2562407F"/>
    <w:rsid w:val="256C1795"/>
    <w:rsid w:val="25A8151C"/>
    <w:rsid w:val="260F5480"/>
    <w:rsid w:val="269D1C78"/>
    <w:rsid w:val="26A06F6E"/>
    <w:rsid w:val="26B639D7"/>
    <w:rsid w:val="26DE0FD1"/>
    <w:rsid w:val="26E31B2E"/>
    <w:rsid w:val="26EE1790"/>
    <w:rsid w:val="2781405D"/>
    <w:rsid w:val="27E300A8"/>
    <w:rsid w:val="280B3FC1"/>
    <w:rsid w:val="28126BBF"/>
    <w:rsid w:val="285A40FB"/>
    <w:rsid w:val="285E3505"/>
    <w:rsid w:val="286233FC"/>
    <w:rsid w:val="287149A1"/>
    <w:rsid w:val="28AF344A"/>
    <w:rsid w:val="28B14910"/>
    <w:rsid w:val="28BF25E3"/>
    <w:rsid w:val="28DC6898"/>
    <w:rsid w:val="28FB3D1E"/>
    <w:rsid w:val="292F7352"/>
    <w:rsid w:val="29417EE1"/>
    <w:rsid w:val="29854031"/>
    <w:rsid w:val="29880BEA"/>
    <w:rsid w:val="29980F12"/>
    <w:rsid w:val="2A1A4572"/>
    <w:rsid w:val="2A230DAE"/>
    <w:rsid w:val="2A3B04C1"/>
    <w:rsid w:val="2A423861"/>
    <w:rsid w:val="2AB22C1B"/>
    <w:rsid w:val="2AEA3A1A"/>
    <w:rsid w:val="2B267866"/>
    <w:rsid w:val="2B320F6B"/>
    <w:rsid w:val="2B3C72FC"/>
    <w:rsid w:val="2B6A4FC2"/>
    <w:rsid w:val="2BCC7E8E"/>
    <w:rsid w:val="2BD22C0B"/>
    <w:rsid w:val="2C25678C"/>
    <w:rsid w:val="2C3B2E86"/>
    <w:rsid w:val="2C3D0328"/>
    <w:rsid w:val="2CB151D8"/>
    <w:rsid w:val="2CEF21C5"/>
    <w:rsid w:val="2CFA3055"/>
    <w:rsid w:val="2D2E1BA1"/>
    <w:rsid w:val="2D3102E5"/>
    <w:rsid w:val="2D3364CE"/>
    <w:rsid w:val="2D452F54"/>
    <w:rsid w:val="2D5A676F"/>
    <w:rsid w:val="2DBD6096"/>
    <w:rsid w:val="2DC77CAA"/>
    <w:rsid w:val="2DE26AA6"/>
    <w:rsid w:val="2E1A1742"/>
    <w:rsid w:val="2E6D6953"/>
    <w:rsid w:val="2ECC1AD7"/>
    <w:rsid w:val="2ED72669"/>
    <w:rsid w:val="2F0D2540"/>
    <w:rsid w:val="2F317156"/>
    <w:rsid w:val="2F386C07"/>
    <w:rsid w:val="2F571D98"/>
    <w:rsid w:val="2F6837A0"/>
    <w:rsid w:val="2F7552B2"/>
    <w:rsid w:val="2F9D7121"/>
    <w:rsid w:val="2FD62A87"/>
    <w:rsid w:val="304211A0"/>
    <w:rsid w:val="305D6C29"/>
    <w:rsid w:val="307D149D"/>
    <w:rsid w:val="30C10EB6"/>
    <w:rsid w:val="30C44089"/>
    <w:rsid w:val="30D7336F"/>
    <w:rsid w:val="30E531BD"/>
    <w:rsid w:val="30EB624E"/>
    <w:rsid w:val="30EC6A9B"/>
    <w:rsid w:val="311D09DC"/>
    <w:rsid w:val="312132A7"/>
    <w:rsid w:val="312F5E08"/>
    <w:rsid w:val="3157337F"/>
    <w:rsid w:val="318254C8"/>
    <w:rsid w:val="319A5D04"/>
    <w:rsid w:val="31A17BC3"/>
    <w:rsid w:val="31F9640B"/>
    <w:rsid w:val="3204001F"/>
    <w:rsid w:val="32242AD2"/>
    <w:rsid w:val="322A3DF1"/>
    <w:rsid w:val="328234D4"/>
    <w:rsid w:val="328E1B6C"/>
    <w:rsid w:val="32C91C94"/>
    <w:rsid w:val="32F93DAF"/>
    <w:rsid w:val="32FF2902"/>
    <w:rsid w:val="330672EA"/>
    <w:rsid w:val="330D5C27"/>
    <w:rsid w:val="33391532"/>
    <w:rsid w:val="333F0CA1"/>
    <w:rsid w:val="33C92B36"/>
    <w:rsid w:val="33CE41B8"/>
    <w:rsid w:val="33D72119"/>
    <w:rsid w:val="33DC6658"/>
    <w:rsid w:val="33F73CD2"/>
    <w:rsid w:val="34254E5C"/>
    <w:rsid w:val="34270272"/>
    <w:rsid w:val="343B5701"/>
    <w:rsid w:val="344779A5"/>
    <w:rsid w:val="345532A4"/>
    <w:rsid w:val="34554598"/>
    <w:rsid w:val="347A6754"/>
    <w:rsid w:val="34933B51"/>
    <w:rsid w:val="34A90CC0"/>
    <w:rsid w:val="34F27A73"/>
    <w:rsid w:val="35216666"/>
    <w:rsid w:val="352A2CFC"/>
    <w:rsid w:val="353F7ACA"/>
    <w:rsid w:val="358E1AEB"/>
    <w:rsid w:val="35B80C45"/>
    <w:rsid w:val="35C032BE"/>
    <w:rsid w:val="35D579E0"/>
    <w:rsid w:val="366D46DB"/>
    <w:rsid w:val="36716136"/>
    <w:rsid w:val="36820DFD"/>
    <w:rsid w:val="368D718F"/>
    <w:rsid w:val="36C503B0"/>
    <w:rsid w:val="36DB4D0F"/>
    <w:rsid w:val="370B29C9"/>
    <w:rsid w:val="371812F1"/>
    <w:rsid w:val="375201D1"/>
    <w:rsid w:val="378E453E"/>
    <w:rsid w:val="37910FBB"/>
    <w:rsid w:val="37BD5302"/>
    <w:rsid w:val="37CF27BA"/>
    <w:rsid w:val="3801031D"/>
    <w:rsid w:val="3810198E"/>
    <w:rsid w:val="381210B6"/>
    <w:rsid w:val="384A2968"/>
    <w:rsid w:val="385641FC"/>
    <w:rsid w:val="386B671F"/>
    <w:rsid w:val="38EE3475"/>
    <w:rsid w:val="390A7481"/>
    <w:rsid w:val="393941D4"/>
    <w:rsid w:val="393F0C84"/>
    <w:rsid w:val="39B17AFC"/>
    <w:rsid w:val="39BB7346"/>
    <w:rsid w:val="39D20B92"/>
    <w:rsid w:val="39DA7253"/>
    <w:rsid w:val="39EB029D"/>
    <w:rsid w:val="39FC7DAF"/>
    <w:rsid w:val="39FD3633"/>
    <w:rsid w:val="3A0B4374"/>
    <w:rsid w:val="3A276D51"/>
    <w:rsid w:val="3A29797A"/>
    <w:rsid w:val="3A3C2693"/>
    <w:rsid w:val="3A4B3EDA"/>
    <w:rsid w:val="3A73272E"/>
    <w:rsid w:val="3AC927E8"/>
    <w:rsid w:val="3ACB7183"/>
    <w:rsid w:val="3ADC3E14"/>
    <w:rsid w:val="3AEE2E06"/>
    <w:rsid w:val="3B191137"/>
    <w:rsid w:val="3B6405FB"/>
    <w:rsid w:val="3B946F54"/>
    <w:rsid w:val="3C0F143E"/>
    <w:rsid w:val="3C1C362D"/>
    <w:rsid w:val="3C26613B"/>
    <w:rsid w:val="3C8666B4"/>
    <w:rsid w:val="3C94676F"/>
    <w:rsid w:val="3CA96714"/>
    <w:rsid w:val="3CBA7ED8"/>
    <w:rsid w:val="3CC66044"/>
    <w:rsid w:val="3CD72A6B"/>
    <w:rsid w:val="3CE974FE"/>
    <w:rsid w:val="3D264530"/>
    <w:rsid w:val="3D393E77"/>
    <w:rsid w:val="3D493E51"/>
    <w:rsid w:val="3D61263F"/>
    <w:rsid w:val="3D8C258A"/>
    <w:rsid w:val="3DDA0B0A"/>
    <w:rsid w:val="3DDB6CA0"/>
    <w:rsid w:val="3DEC58B0"/>
    <w:rsid w:val="3DFA2BBE"/>
    <w:rsid w:val="3DFE50A4"/>
    <w:rsid w:val="3E0F3A5D"/>
    <w:rsid w:val="3E396178"/>
    <w:rsid w:val="3E7E3AE6"/>
    <w:rsid w:val="3EF43B41"/>
    <w:rsid w:val="3F0874F8"/>
    <w:rsid w:val="3F39320C"/>
    <w:rsid w:val="3F602397"/>
    <w:rsid w:val="3F69137B"/>
    <w:rsid w:val="3F6C1603"/>
    <w:rsid w:val="3F6F5F91"/>
    <w:rsid w:val="3FA12730"/>
    <w:rsid w:val="3FA75BCB"/>
    <w:rsid w:val="3FDD0BD3"/>
    <w:rsid w:val="3FDE08F5"/>
    <w:rsid w:val="4008017A"/>
    <w:rsid w:val="401776B5"/>
    <w:rsid w:val="40481F49"/>
    <w:rsid w:val="40535A0F"/>
    <w:rsid w:val="40A57735"/>
    <w:rsid w:val="40C50AD3"/>
    <w:rsid w:val="40E65833"/>
    <w:rsid w:val="414B09AC"/>
    <w:rsid w:val="418A654E"/>
    <w:rsid w:val="41947EA6"/>
    <w:rsid w:val="41D47F93"/>
    <w:rsid w:val="41F533C3"/>
    <w:rsid w:val="42004FD7"/>
    <w:rsid w:val="42014C57"/>
    <w:rsid w:val="4211049B"/>
    <w:rsid w:val="42203714"/>
    <w:rsid w:val="42651B87"/>
    <w:rsid w:val="4268218D"/>
    <w:rsid w:val="42772D77"/>
    <w:rsid w:val="42C07614"/>
    <w:rsid w:val="42C42797"/>
    <w:rsid w:val="42C8103A"/>
    <w:rsid w:val="42D178AE"/>
    <w:rsid w:val="42E41580"/>
    <w:rsid w:val="432418C0"/>
    <w:rsid w:val="4351010D"/>
    <w:rsid w:val="435C3C0F"/>
    <w:rsid w:val="43713BB4"/>
    <w:rsid w:val="438B4FB1"/>
    <w:rsid w:val="43947F98"/>
    <w:rsid w:val="439B601B"/>
    <w:rsid w:val="43A45F3A"/>
    <w:rsid w:val="43AE11BC"/>
    <w:rsid w:val="441F3676"/>
    <w:rsid w:val="44202BE5"/>
    <w:rsid w:val="442339D8"/>
    <w:rsid w:val="44563ED5"/>
    <w:rsid w:val="445E7646"/>
    <w:rsid w:val="44605A3B"/>
    <w:rsid w:val="44806705"/>
    <w:rsid w:val="44D25AAC"/>
    <w:rsid w:val="44F92736"/>
    <w:rsid w:val="45030AC7"/>
    <w:rsid w:val="454038DE"/>
    <w:rsid w:val="45441531"/>
    <w:rsid w:val="45647867"/>
    <w:rsid w:val="456E61AA"/>
    <w:rsid w:val="45726666"/>
    <w:rsid w:val="45913BAE"/>
    <w:rsid w:val="45C66607"/>
    <w:rsid w:val="45D55F98"/>
    <w:rsid w:val="46295027"/>
    <w:rsid w:val="4650656B"/>
    <w:rsid w:val="465E3302"/>
    <w:rsid w:val="46722FB9"/>
    <w:rsid w:val="4672735B"/>
    <w:rsid w:val="467632F5"/>
    <w:rsid w:val="46816C10"/>
    <w:rsid w:val="47051512"/>
    <w:rsid w:val="47567722"/>
    <w:rsid w:val="478E1953"/>
    <w:rsid w:val="479B70F9"/>
    <w:rsid w:val="47CE7AF8"/>
    <w:rsid w:val="47D01EDF"/>
    <w:rsid w:val="47DD782E"/>
    <w:rsid w:val="47FF54E0"/>
    <w:rsid w:val="481822D3"/>
    <w:rsid w:val="48AB2F86"/>
    <w:rsid w:val="48BF3D66"/>
    <w:rsid w:val="49746620"/>
    <w:rsid w:val="498C34BA"/>
    <w:rsid w:val="499E6ADA"/>
    <w:rsid w:val="49B8117F"/>
    <w:rsid w:val="4AB26F61"/>
    <w:rsid w:val="4ABD162D"/>
    <w:rsid w:val="4ACE2F74"/>
    <w:rsid w:val="4AE46A7B"/>
    <w:rsid w:val="4AEA39F4"/>
    <w:rsid w:val="4B3F2B00"/>
    <w:rsid w:val="4B51581A"/>
    <w:rsid w:val="4B8B517E"/>
    <w:rsid w:val="4B9B51B7"/>
    <w:rsid w:val="4BD03E62"/>
    <w:rsid w:val="4C0C69D1"/>
    <w:rsid w:val="4C4A4923"/>
    <w:rsid w:val="4C537700"/>
    <w:rsid w:val="4C8F3727"/>
    <w:rsid w:val="4CB06962"/>
    <w:rsid w:val="4CD01F92"/>
    <w:rsid w:val="4CEF6C50"/>
    <w:rsid w:val="4D490586"/>
    <w:rsid w:val="4D5E2AFB"/>
    <w:rsid w:val="4D7A64BE"/>
    <w:rsid w:val="4D7E0E31"/>
    <w:rsid w:val="4D8347ED"/>
    <w:rsid w:val="4DCA5495"/>
    <w:rsid w:val="4E0C3F18"/>
    <w:rsid w:val="4E253663"/>
    <w:rsid w:val="4E5C54FB"/>
    <w:rsid w:val="4E6D2CB8"/>
    <w:rsid w:val="4E717CF4"/>
    <w:rsid w:val="4E784D33"/>
    <w:rsid w:val="4E933E07"/>
    <w:rsid w:val="4ED97DE9"/>
    <w:rsid w:val="4F320A25"/>
    <w:rsid w:val="4F404BC5"/>
    <w:rsid w:val="4F45079D"/>
    <w:rsid w:val="4F7C2E75"/>
    <w:rsid w:val="4F851663"/>
    <w:rsid w:val="4F915C51"/>
    <w:rsid w:val="502618E8"/>
    <w:rsid w:val="5027550C"/>
    <w:rsid w:val="5054095A"/>
    <w:rsid w:val="507B081A"/>
    <w:rsid w:val="50A5479F"/>
    <w:rsid w:val="50A75D18"/>
    <w:rsid w:val="50CD3844"/>
    <w:rsid w:val="512A4843"/>
    <w:rsid w:val="51386297"/>
    <w:rsid w:val="513A40D0"/>
    <w:rsid w:val="514946EA"/>
    <w:rsid w:val="515A6B83"/>
    <w:rsid w:val="5178753C"/>
    <w:rsid w:val="517A073C"/>
    <w:rsid w:val="517D757C"/>
    <w:rsid w:val="517F6B8D"/>
    <w:rsid w:val="519B2E9C"/>
    <w:rsid w:val="51A161BE"/>
    <w:rsid w:val="51D714C7"/>
    <w:rsid w:val="51DB2C1B"/>
    <w:rsid w:val="51E00412"/>
    <w:rsid w:val="51F562DF"/>
    <w:rsid w:val="51FF0AD3"/>
    <w:rsid w:val="52121BB5"/>
    <w:rsid w:val="521D0102"/>
    <w:rsid w:val="52752859"/>
    <w:rsid w:val="528F19C6"/>
    <w:rsid w:val="52B513BE"/>
    <w:rsid w:val="52EC03EB"/>
    <w:rsid w:val="530B1DCC"/>
    <w:rsid w:val="530C225C"/>
    <w:rsid w:val="531F0928"/>
    <w:rsid w:val="533E08F9"/>
    <w:rsid w:val="5346672E"/>
    <w:rsid w:val="5357444A"/>
    <w:rsid w:val="535757FA"/>
    <w:rsid w:val="53820B12"/>
    <w:rsid w:val="53C548B8"/>
    <w:rsid w:val="53F96DF7"/>
    <w:rsid w:val="54267F9B"/>
    <w:rsid w:val="54782184"/>
    <w:rsid w:val="548B6B5F"/>
    <w:rsid w:val="54C31A5B"/>
    <w:rsid w:val="5509025D"/>
    <w:rsid w:val="551556A5"/>
    <w:rsid w:val="551B1B5B"/>
    <w:rsid w:val="55401D6C"/>
    <w:rsid w:val="554558D8"/>
    <w:rsid w:val="55754AD4"/>
    <w:rsid w:val="557708B5"/>
    <w:rsid w:val="558B778B"/>
    <w:rsid w:val="55C43625"/>
    <w:rsid w:val="55D65B5E"/>
    <w:rsid w:val="55DB77D0"/>
    <w:rsid w:val="55ED318A"/>
    <w:rsid w:val="55FA625C"/>
    <w:rsid w:val="563E54BC"/>
    <w:rsid w:val="563F07A3"/>
    <w:rsid w:val="565B7F3A"/>
    <w:rsid w:val="56D21692"/>
    <w:rsid w:val="56FD77F1"/>
    <w:rsid w:val="571E12FD"/>
    <w:rsid w:val="571F24A8"/>
    <w:rsid w:val="573E3DB0"/>
    <w:rsid w:val="578A642E"/>
    <w:rsid w:val="578C1931"/>
    <w:rsid w:val="57A7215B"/>
    <w:rsid w:val="580367B5"/>
    <w:rsid w:val="58040BF9"/>
    <w:rsid w:val="5811083D"/>
    <w:rsid w:val="58425BDC"/>
    <w:rsid w:val="5862214E"/>
    <w:rsid w:val="58803394"/>
    <w:rsid w:val="588562C6"/>
    <w:rsid w:val="58CE57C7"/>
    <w:rsid w:val="58D6513A"/>
    <w:rsid w:val="58DE7204"/>
    <w:rsid w:val="58E660B8"/>
    <w:rsid w:val="58F509F1"/>
    <w:rsid w:val="594E66D2"/>
    <w:rsid w:val="59522196"/>
    <w:rsid w:val="597102E2"/>
    <w:rsid w:val="59A92BA5"/>
    <w:rsid w:val="59AA2204"/>
    <w:rsid w:val="59EC260F"/>
    <w:rsid w:val="5A006E37"/>
    <w:rsid w:val="5A6826C8"/>
    <w:rsid w:val="5A6C3F68"/>
    <w:rsid w:val="5ABF32C5"/>
    <w:rsid w:val="5AE57637"/>
    <w:rsid w:val="5AEE3DBE"/>
    <w:rsid w:val="5AF63A22"/>
    <w:rsid w:val="5B0F6FF4"/>
    <w:rsid w:val="5B1556C4"/>
    <w:rsid w:val="5B2E301B"/>
    <w:rsid w:val="5B343F5B"/>
    <w:rsid w:val="5B715A14"/>
    <w:rsid w:val="5B7F2E79"/>
    <w:rsid w:val="5B8945B3"/>
    <w:rsid w:val="5B9C20DB"/>
    <w:rsid w:val="5BD347B4"/>
    <w:rsid w:val="5BD42235"/>
    <w:rsid w:val="5BDD2B45"/>
    <w:rsid w:val="5BE701AC"/>
    <w:rsid w:val="5BFA51BE"/>
    <w:rsid w:val="5C3B728F"/>
    <w:rsid w:val="5C493E38"/>
    <w:rsid w:val="5C497C75"/>
    <w:rsid w:val="5CD765E0"/>
    <w:rsid w:val="5CF42257"/>
    <w:rsid w:val="5D385380"/>
    <w:rsid w:val="5D6D24E6"/>
    <w:rsid w:val="5D6F7A58"/>
    <w:rsid w:val="5D715229"/>
    <w:rsid w:val="5DA80EB7"/>
    <w:rsid w:val="5DD067F8"/>
    <w:rsid w:val="5DF43025"/>
    <w:rsid w:val="5E12784F"/>
    <w:rsid w:val="5E26061F"/>
    <w:rsid w:val="5E902C25"/>
    <w:rsid w:val="5EB21969"/>
    <w:rsid w:val="5ED46B86"/>
    <w:rsid w:val="5ED50624"/>
    <w:rsid w:val="5ED8702A"/>
    <w:rsid w:val="5EDA45BA"/>
    <w:rsid w:val="5EF7597F"/>
    <w:rsid w:val="5EF84E47"/>
    <w:rsid w:val="5F164911"/>
    <w:rsid w:val="5F3560BF"/>
    <w:rsid w:val="5FA32F55"/>
    <w:rsid w:val="5FD50E80"/>
    <w:rsid w:val="60467201"/>
    <w:rsid w:val="607F5921"/>
    <w:rsid w:val="61023B41"/>
    <w:rsid w:val="611B369C"/>
    <w:rsid w:val="613F179B"/>
    <w:rsid w:val="614A6BE5"/>
    <w:rsid w:val="61662701"/>
    <w:rsid w:val="617701F5"/>
    <w:rsid w:val="61855A0A"/>
    <w:rsid w:val="619F1F9F"/>
    <w:rsid w:val="61BA646B"/>
    <w:rsid w:val="61C471B3"/>
    <w:rsid w:val="62037FB9"/>
    <w:rsid w:val="62146209"/>
    <w:rsid w:val="62395D3E"/>
    <w:rsid w:val="623F1E5F"/>
    <w:rsid w:val="624D42BE"/>
    <w:rsid w:val="627B71A0"/>
    <w:rsid w:val="62C82CA9"/>
    <w:rsid w:val="63130619"/>
    <w:rsid w:val="6341070D"/>
    <w:rsid w:val="63483071"/>
    <w:rsid w:val="63800859"/>
    <w:rsid w:val="638906B4"/>
    <w:rsid w:val="63936B74"/>
    <w:rsid w:val="64423289"/>
    <w:rsid w:val="645B1696"/>
    <w:rsid w:val="645F60EA"/>
    <w:rsid w:val="647319F7"/>
    <w:rsid w:val="64901066"/>
    <w:rsid w:val="64B1636B"/>
    <w:rsid w:val="64E60AF2"/>
    <w:rsid w:val="6501056A"/>
    <w:rsid w:val="65156591"/>
    <w:rsid w:val="65367019"/>
    <w:rsid w:val="654B2B4E"/>
    <w:rsid w:val="654F3237"/>
    <w:rsid w:val="659A6D3E"/>
    <w:rsid w:val="65C825EA"/>
    <w:rsid w:val="65D920A6"/>
    <w:rsid w:val="6619093D"/>
    <w:rsid w:val="661F6E0C"/>
    <w:rsid w:val="663667DB"/>
    <w:rsid w:val="664107D0"/>
    <w:rsid w:val="667A6BE2"/>
    <w:rsid w:val="667B19B6"/>
    <w:rsid w:val="667C162B"/>
    <w:rsid w:val="66990B2F"/>
    <w:rsid w:val="669B155E"/>
    <w:rsid w:val="66B229A3"/>
    <w:rsid w:val="66CC7AB7"/>
    <w:rsid w:val="66EC34BE"/>
    <w:rsid w:val="66ED5FB4"/>
    <w:rsid w:val="670853FD"/>
    <w:rsid w:val="670E46A1"/>
    <w:rsid w:val="67456D79"/>
    <w:rsid w:val="67602EBD"/>
    <w:rsid w:val="67666032"/>
    <w:rsid w:val="676C7B91"/>
    <w:rsid w:val="67706CC4"/>
    <w:rsid w:val="67742D74"/>
    <w:rsid w:val="67766731"/>
    <w:rsid w:val="677A5055"/>
    <w:rsid w:val="67851681"/>
    <w:rsid w:val="678655E4"/>
    <w:rsid w:val="67BC5ABE"/>
    <w:rsid w:val="67F82B48"/>
    <w:rsid w:val="6837454B"/>
    <w:rsid w:val="683F2814"/>
    <w:rsid w:val="68402ED8"/>
    <w:rsid w:val="68511835"/>
    <w:rsid w:val="686D58E2"/>
    <w:rsid w:val="687E024B"/>
    <w:rsid w:val="688A7410"/>
    <w:rsid w:val="68B510B3"/>
    <w:rsid w:val="68BE5982"/>
    <w:rsid w:val="68DB0519"/>
    <w:rsid w:val="690B5432"/>
    <w:rsid w:val="6923630A"/>
    <w:rsid w:val="692E7F1E"/>
    <w:rsid w:val="693764BC"/>
    <w:rsid w:val="6974674E"/>
    <w:rsid w:val="698E432E"/>
    <w:rsid w:val="698F343B"/>
    <w:rsid w:val="699636A9"/>
    <w:rsid w:val="69AC6C0B"/>
    <w:rsid w:val="69BE41E9"/>
    <w:rsid w:val="69FC4C01"/>
    <w:rsid w:val="6A015CF8"/>
    <w:rsid w:val="6A165325"/>
    <w:rsid w:val="6A3D00DC"/>
    <w:rsid w:val="6A491970"/>
    <w:rsid w:val="6A5C2B8F"/>
    <w:rsid w:val="6A9A0475"/>
    <w:rsid w:val="6AEA5C76"/>
    <w:rsid w:val="6B072260"/>
    <w:rsid w:val="6B7408F7"/>
    <w:rsid w:val="6B8861F6"/>
    <w:rsid w:val="6BB256BF"/>
    <w:rsid w:val="6BC31BD8"/>
    <w:rsid w:val="6BF74B2E"/>
    <w:rsid w:val="6C272092"/>
    <w:rsid w:val="6C2B07E3"/>
    <w:rsid w:val="6C3A689C"/>
    <w:rsid w:val="6C6241DE"/>
    <w:rsid w:val="6C793D2F"/>
    <w:rsid w:val="6C841A63"/>
    <w:rsid w:val="6C8F7D1B"/>
    <w:rsid w:val="6CAD2E04"/>
    <w:rsid w:val="6CBD35F3"/>
    <w:rsid w:val="6CFA206B"/>
    <w:rsid w:val="6D302924"/>
    <w:rsid w:val="6D341F2A"/>
    <w:rsid w:val="6D400349"/>
    <w:rsid w:val="6D447ADB"/>
    <w:rsid w:val="6D453443"/>
    <w:rsid w:val="6D474FD5"/>
    <w:rsid w:val="6D727209"/>
    <w:rsid w:val="6D756624"/>
    <w:rsid w:val="6D7777CF"/>
    <w:rsid w:val="6DAA1F76"/>
    <w:rsid w:val="6DC45BEF"/>
    <w:rsid w:val="6E077F01"/>
    <w:rsid w:val="6E20323A"/>
    <w:rsid w:val="6E283E5B"/>
    <w:rsid w:val="6E2C2368"/>
    <w:rsid w:val="6E4E2A84"/>
    <w:rsid w:val="6E500DC6"/>
    <w:rsid w:val="6EA64798"/>
    <w:rsid w:val="6EB66959"/>
    <w:rsid w:val="6ECC597E"/>
    <w:rsid w:val="6EDC35ED"/>
    <w:rsid w:val="6EFC1923"/>
    <w:rsid w:val="6EFC51A7"/>
    <w:rsid w:val="6F6D48B9"/>
    <w:rsid w:val="6F6E1A65"/>
    <w:rsid w:val="6FEE0256"/>
    <w:rsid w:val="6FFE5F86"/>
    <w:rsid w:val="70025A76"/>
    <w:rsid w:val="700C1760"/>
    <w:rsid w:val="703716AB"/>
    <w:rsid w:val="703E787B"/>
    <w:rsid w:val="70406A16"/>
    <w:rsid w:val="70593DDE"/>
    <w:rsid w:val="706A37E2"/>
    <w:rsid w:val="70A0333E"/>
    <w:rsid w:val="70A367DC"/>
    <w:rsid w:val="70B97668"/>
    <w:rsid w:val="70C65EC1"/>
    <w:rsid w:val="70DA0EB4"/>
    <w:rsid w:val="713F1EA3"/>
    <w:rsid w:val="714A2FA6"/>
    <w:rsid w:val="715304D9"/>
    <w:rsid w:val="71920663"/>
    <w:rsid w:val="719E6674"/>
    <w:rsid w:val="71AD706F"/>
    <w:rsid w:val="724C7A91"/>
    <w:rsid w:val="72510C2D"/>
    <w:rsid w:val="726F7A40"/>
    <w:rsid w:val="727A2B5F"/>
    <w:rsid w:val="728241F2"/>
    <w:rsid w:val="72842772"/>
    <w:rsid w:val="728D3B4B"/>
    <w:rsid w:val="72AC57F5"/>
    <w:rsid w:val="72C267D6"/>
    <w:rsid w:val="72D95730"/>
    <w:rsid w:val="72F3399E"/>
    <w:rsid w:val="73166260"/>
    <w:rsid w:val="733A09A1"/>
    <w:rsid w:val="7359610E"/>
    <w:rsid w:val="73783CD7"/>
    <w:rsid w:val="7396227D"/>
    <w:rsid w:val="739843B3"/>
    <w:rsid w:val="73B1065D"/>
    <w:rsid w:val="73C64D7F"/>
    <w:rsid w:val="73C85151"/>
    <w:rsid w:val="73C93A07"/>
    <w:rsid w:val="73E456D2"/>
    <w:rsid w:val="740D74D1"/>
    <w:rsid w:val="746D7B7F"/>
    <w:rsid w:val="74887320"/>
    <w:rsid w:val="74944C62"/>
    <w:rsid w:val="74952880"/>
    <w:rsid w:val="74964153"/>
    <w:rsid w:val="74A024E4"/>
    <w:rsid w:val="74A677B5"/>
    <w:rsid w:val="74A9289C"/>
    <w:rsid w:val="74AD503C"/>
    <w:rsid w:val="74C0081A"/>
    <w:rsid w:val="74CF3C20"/>
    <w:rsid w:val="74E27046"/>
    <w:rsid w:val="74E81B55"/>
    <w:rsid w:val="75011284"/>
    <w:rsid w:val="752175BA"/>
    <w:rsid w:val="756D74E4"/>
    <w:rsid w:val="75882536"/>
    <w:rsid w:val="75C42647"/>
    <w:rsid w:val="75D00657"/>
    <w:rsid w:val="75D100C4"/>
    <w:rsid w:val="765C3ABF"/>
    <w:rsid w:val="7663757C"/>
    <w:rsid w:val="767720EA"/>
    <w:rsid w:val="76776496"/>
    <w:rsid w:val="76853969"/>
    <w:rsid w:val="76B94407"/>
    <w:rsid w:val="76FB7CCC"/>
    <w:rsid w:val="772B760F"/>
    <w:rsid w:val="772D6395"/>
    <w:rsid w:val="774A0BC1"/>
    <w:rsid w:val="77543BCA"/>
    <w:rsid w:val="778238A1"/>
    <w:rsid w:val="778451AB"/>
    <w:rsid w:val="778D1C32"/>
    <w:rsid w:val="77B53DD6"/>
    <w:rsid w:val="77F90B6D"/>
    <w:rsid w:val="77FB2266"/>
    <w:rsid w:val="78173D95"/>
    <w:rsid w:val="78304CBF"/>
    <w:rsid w:val="78711EA5"/>
    <w:rsid w:val="78C0027C"/>
    <w:rsid w:val="78DE0EE0"/>
    <w:rsid w:val="78F227FE"/>
    <w:rsid w:val="78FC3F32"/>
    <w:rsid w:val="78FF34A9"/>
    <w:rsid w:val="79273399"/>
    <w:rsid w:val="793019F7"/>
    <w:rsid w:val="798B6F10"/>
    <w:rsid w:val="798D302F"/>
    <w:rsid w:val="79BD3F25"/>
    <w:rsid w:val="7A905722"/>
    <w:rsid w:val="7AA51E44"/>
    <w:rsid w:val="7AD0650C"/>
    <w:rsid w:val="7AFB37ED"/>
    <w:rsid w:val="7B5D15F3"/>
    <w:rsid w:val="7BBB1C1E"/>
    <w:rsid w:val="7BC36BAD"/>
    <w:rsid w:val="7BFC04F7"/>
    <w:rsid w:val="7BFC0976"/>
    <w:rsid w:val="7C4F3DF1"/>
    <w:rsid w:val="7C5B3A94"/>
    <w:rsid w:val="7C6552DE"/>
    <w:rsid w:val="7C6B440D"/>
    <w:rsid w:val="7C8313D5"/>
    <w:rsid w:val="7C8E7766"/>
    <w:rsid w:val="7C985AF7"/>
    <w:rsid w:val="7CBE3315"/>
    <w:rsid w:val="7CDC328D"/>
    <w:rsid w:val="7CEF6506"/>
    <w:rsid w:val="7CFA011A"/>
    <w:rsid w:val="7D197F5B"/>
    <w:rsid w:val="7D4071CA"/>
    <w:rsid w:val="7D547E08"/>
    <w:rsid w:val="7D7B626D"/>
    <w:rsid w:val="7D7C1806"/>
    <w:rsid w:val="7D9E6DEE"/>
    <w:rsid w:val="7DC93C6B"/>
    <w:rsid w:val="7DC945CD"/>
    <w:rsid w:val="7DD532C9"/>
    <w:rsid w:val="7DD547CA"/>
    <w:rsid w:val="7DF34AAF"/>
    <w:rsid w:val="7E0A3E44"/>
    <w:rsid w:val="7E286E4E"/>
    <w:rsid w:val="7E4A0D41"/>
    <w:rsid w:val="7E5252B7"/>
    <w:rsid w:val="7E587DBC"/>
    <w:rsid w:val="7E620CB9"/>
    <w:rsid w:val="7E95476D"/>
    <w:rsid w:val="7EA038CE"/>
    <w:rsid w:val="7ECD2214"/>
    <w:rsid w:val="7EE92BDA"/>
    <w:rsid w:val="7F0B0A5C"/>
    <w:rsid w:val="7F242240"/>
    <w:rsid w:val="7F2C6E61"/>
    <w:rsid w:val="7F5B0B7E"/>
    <w:rsid w:val="7F5D1C11"/>
    <w:rsid w:val="7F656F0F"/>
    <w:rsid w:val="7F690A77"/>
    <w:rsid w:val="7F74100D"/>
    <w:rsid w:val="7F7E7F1B"/>
    <w:rsid w:val="7F871AF4"/>
    <w:rsid w:val="7F98785D"/>
    <w:rsid w:val="7F9F166F"/>
    <w:rsid w:val="7FA22BE1"/>
    <w:rsid w:val="7FB665F7"/>
    <w:rsid w:val="7FBA383D"/>
    <w:rsid w:val="7FC65CAF"/>
    <w:rsid w:val="7FCB7C32"/>
    <w:rsid w:val="7FE63172"/>
    <w:rsid w:val="7FEF31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51"/>
    <w:qFormat/>
    <w:uiPriority w:val="99"/>
    <w:pPr>
      <w:keepNext/>
      <w:keepLines/>
      <w:spacing w:line="360" w:lineRule="auto"/>
      <w:outlineLvl w:val="0"/>
    </w:pPr>
    <w:rPr>
      <w:b/>
      <w:bCs/>
      <w:kern w:val="44"/>
      <w:sz w:val="32"/>
      <w:szCs w:val="32"/>
    </w:rPr>
  </w:style>
  <w:style w:type="paragraph" w:styleId="5">
    <w:name w:val="heading 2"/>
    <w:basedOn w:val="1"/>
    <w:next w:val="1"/>
    <w:link w:val="52"/>
    <w:qFormat/>
    <w:uiPriority w:val="99"/>
    <w:pPr>
      <w:keepNext/>
      <w:keepLines/>
      <w:spacing w:before="260" w:after="260" w:line="416" w:lineRule="auto"/>
      <w:jc w:val="left"/>
      <w:outlineLvl w:val="1"/>
    </w:pPr>
    <w:rPr>
      <w:rFonts w:ascii="Cambria" w:hAnsi="Cambria" w:cs="Cambria"/>
      <w:b/>
      <w:bCs/>
      <w:sz w:val="32"/>
      <w:szCs w:val="32"/>
    </w:rPr>
  </w:style>
  <w:style w:type="paragraph" w:styleId="6">
    <w:name w:val="heading 3"/>
    <w:basedOn w:val="1"/>
    <w:next w:val="1"/>
    <w:link w:val="53"/>
    <w:qFormat/>
    <w:uiPriority w:val="99"/>
    <w:pPr>
      <w:keepNext/>
      <w:keepLines/>
      <w:spacing w:line="360" w:lineRule="auto"/>
      <w:outlineLvl w:val="2"/>
    </w:pPr>
    <w:rPr>
      <w:b/>
      <w:bCs/>
      <w:sz w:val="24"/>
      <w:szCs w:val="24"/>
    </w:rPr>
  </w:style>
  <w:style w:type="paragraph" w:styleId="7">
    <w:name w:val="heading 4"/>
    <w:basedOn w:val="1"/>
    <w:next w:val="1"/>
    <w:link w:val="54"/>
    <w:qFormat/>
    <w:uiPriority w:val="99"/>
    <w:pPr>
      <w:keepNext/>
      <w:keepLines/>
      <w:spacing w:line="360" w:lineRule="auto"/>
      <w:outlineLvl w:val="3"/>
    </w:pPr>
    <w:rPr>
      <w:rFonts w:ascii="Arial" w:hAnsi="Arial" w:cs="Arial"/>
      <w:b/>
      <w:bCs/>
    </w:rPr>
  </w:style>
  <w:style w:type="paragraph" w:styleId="8">
    <w:name w:val="heading 5"/>
    <w:basedOn w:val="1"/>
    <w:next w:val="1"/>
    <w:link w:val="55"/>
    <w:qFormat/>
    <w:uiPriority w:val="99"/>
    <w:pPr>
      <w:keepNext/>
      <w:keepLines/>
      <w:spacing w:before="280" w:after="290" w:line="376" w:lineRule="auto"/>
      <w:outlineLvl w:val="4"/>
    </w:pPr>
    <w:rPr>
      <w:b/>
      <w:bCs/>
      <w:sz w:val="28"/>
      <w:szCs w:val="28"/>
    </w:rPr>
  </w:style>
  <w:style w:type="paragraph" w:styleId="9">
    <w:name w:val="heading 6"/>
    <w:basedOn w:val="1"/>
    <w:next w:val="1"/>
    <w:link w:val="56"/>
    <w:qFormat/>
    <w:uiPriority w:val="99"/>
    <w:pPr>
      <w:keepNext/>
      <w:keepLines/>
      <w:spacing w:before="240" w:after="64" w:line="320" w:lineRule="auto"/>
      <w:outlineLvl w:val="5"/>
    </w:pPr>
    <w:rPr>
      <w:rFonts w:ascii="Arial" w:hAnsi="Arial" w:eastAsia="黑体" w:cs="Arial"/>
      <w:b/>
      <w:bCs/>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1"/>
    <w:qFormat/>
    <w:uiPriority w:val="99"/>
    <w:pPr>
      <w:jc w:val="center"/>
    </w:pPr>
  </w:style>
  <w:style w:type="paragraph" w:styleId="3">
    <w:name w:val="Body Text 2"/>
    <w:basedOn w:val="1"/>
    <w:link w:val="70"/>
    <w:qFormat/>
    <w:uiPriority w:val="99"/>
    <w:pPr>
      <w:adjustRightInd w:val="0"/>
      <w:snapToGrid w:val="0"/>
      <w:spacing w:before="60" w:after="60" w:line="300" w:lineRule="auto"/>
    </w:pPr>
    <w:rPr>
      <w:rFonts w:ascii="宋体" w:cs="宋体"/>
      <w:sz w:val="24"/>
      <w:szCs w:val="24"/>
    </w:rPr>
  </w:style>
  <w:style w:type="paragraph" w:styleId="10">
    <w:name w:val="toc 7"/>
    <w:basedOn w:val="1"/>
    <w:next w:val="1"/>
    <w:semiHidden/>
    <w:qFormat/>
    <w:uiPriority w:val="99"/>
    <w:pPr>
      <w:ind w:left="1260"/>
      <w:jc w:val="left"/>
    </w:pPr>
    <w:rPr>
      <w:rFonts w:ascii="Calibri" w:hAnsi="Calibri" w:cs="Calibri"/>
      <w:sz w:val="18"/>
      <w:szCs w:val="18"/>
    </w:rPr>
  </w:style>
  <w:style w:type="paragraph" w:styleId="11">
    <w:name w:val="Normal Indent"/>
    <w:basedOn w:val="1"/>
    <w:qFormat/>
    <w:uiPriority w:val="99"/>
    <w:pPr>
      <w:ind w:firstLine="420"/>
    </w:pPr>
  </w:style>
  <w:style w:type="paragraph" w:styleId="12">
    <w:name w:val="Document Map"/>
    <w:basedOn w:val="1"/>
    <w:link w:val="59"/>
    <w:semiHidden/>
    <w:qFormat/>
    <w:uiPriority w:val="99"/>
    <w:pPr>
      <w:shd w:val="clear" w:color="auto" w:fill="000080"/>
    </w:pPr>
  </w:style>
  <w:style w:type="paragraph" w:styleId="13">
    <w:name w:val="annotation text"/>
    <w:basedOn w:val="1"/>
    <w:link w:val="57"/>
    <w:semiHidden/>
    <w:qFormat/>
    <w:uiPriority w:val="99"/>
    <w:pPr>
      <w:jc w:val="left"/>
    </w:pPr>
  </w:style>
  <w:style w:type="paragraph" w:styleId="14">
    <w:name w:val="Body Text 3"/>
    <w:basedOn w:val="1"/>
    <w:link w:val="60"/>
    <w:qFormat/>
    <w:uiPriority w:val="99"/>
    <w:rPr>
      <w:rFonts w:ascii="宋体" w:cs="宋体"/>
      <w:sz w:val="24"/>
      <w:szCs w:val="24"/>
    </w:rPr>
  </w:style>
  <w:style w:type="paragraph" w:styleId="15">
    <w:name w:val="Body Text Indent"/>
    <w:basedOn w:val="1"/>
    <w:link w:val="62"/>
    <w:qFormat/>
    <w:uiPriority w:val="99"/>
    <w:pPr>
      <w:spacing w:line="360" w:lineRule="auto"/>
      <w:ind w:left="424" w:leftChars="202" w:firstLine="567"/>
    </w:pPr>
    <w:rPr>
      <w:sz w:val="24"/>
      <w:szCs w:val="24"/>
    </w:rPr>
  </w:style>
  <w:style w:type="paragraph" w:styleId="16">
    <w:name w:val="toc 5"/>
    <w:basedOn w:val="1"/>
    <w:next w:val="1"/>
    <w:semiHidden/>
    <w:qFormat/>
    <w:uiPriority w:val="99"/>
    <w:pPr>
      <w:ind w:left="840"/>
      <w:jc w:val="left"/>
    </w:pPr>
    <w:rPr>
      <w:rFonts w:ascii="Calibri" w:hAnsi="Calibri" w:cs="Calibri"/>
      <w:sz w:val="18"/>
      <w:szCs w:val="18"/>
    </w:rPr>
  </w:style>
  <w:style w:type="paragraph" w:styleId="17">
    <w:name w:val="toc 3"/>
    <w:basedOn w:val="1"/>
    <w:next w:val="1"/>
    <w:semiHidden/>
    <w:qFormat/>
    <w:uiPriority w:val="99"/>
    <w:pPr>
      <w:ind w:left="420"/>
      <w:jc w:val="left"/>
    </w:pPr>
    <w:rPr>
      <w:rFonts w:ascii="Calibri" w:hAnsi="Calibri" w:cs="Calibri"/>
      <w:i/>
      <w:iCs/>
      <w:sz w:val="20"/>
      <w:szCs w:val="20"/>
    </w:rPr>
  </w:style>
  <w:style w:type="paragraph" w:styleId="18">
    <w:name w:val="Plain Text"/>
    <w:basedOn w:val="1"/>
    <w:link w:val="63"/>
    <w:qFormat/>
    <w:uiPriority w:val="99"/>
    <w:rPr>
      <w:rFonts w:ascii="宋体" w:hAnsi="Courier New" w:cs="宋体"/>
    </w:rPr>
  </w:style>
  <w:style w:type="paragraph" w:styleId="19">
    <w:name w:val="toc 8"/>
    <w:basedOn w:val="1"/>
    <w:next w:val="1"/>
    <w:semiHidden/>
    <w:qFormat/>
    <w:uiPriority w:val="99"/>
    <w:pPr>
      <w:ind w:left="1470"/>
      <w:jc w:val="left"/>
    </w:pPr>
    <w:rPr>
      <w:rFonts w:ascii="Calibri" w:hAnsi="Calibri" w:cs="Calibri"/>
      <w:sz w:val="18"/>
      <w:szCs w:val="18"/>
    </w:rPr>
  </w:style>
  <w:style w:type="paragraph" w:styleId="20">
    <w:name w:val="Date"/>
    <w:basedOn w:val="1"/>
    <w:next w:val="1"/>
    <w:link w:val="64"/>
    <w:qFormat/>
    <w:uiPriority w:val="99"/>
    <w:pPr>
      <w:ind w:left="100" w:leftChars="2500"/>
    </w:pPr>
  </w:style>
  <w:style w:type="paragraph" w:styleId="21">
    <w:name w:val="Body Text Indent 2"/>
    <w:basedOn w:val="1"/>
    <w:link w:val="65"/>
    <w:qFormat/>
    <w:uiPriority w:val="99"/>
    <w:pPr>
      <w:spacing w:line="480" w:lineRule="exact"/>
      <w:ind w:left="-1"/>
    </w:pPr>
    <w:rPr>
      <w:sz w:val="24"/>
      <w:szCs w:val="24"/>
    </w:rPr>
  </w:style>
  <w:style w:type="paragraph" w:styleId="22">
    <w:name w:val="Balloon Text"/>
    <w:basedOn w:val="1"/>
    <w:link w:val="66"/>
    <w:semiHidden/>
    <w:qFormat/>
    <w:uiPriority w:val="99"/>
    <w:rPr>
      <w:sz w:val="18"/>
      <w:szCs w:val="18"/>
    </w:rPr>
  </w:style>
  <w:style w:type="paragraph" w:styleId="23">
    <w:name w:val="footer"/>
    <w:basedOn w:val="1"/>
    <w:link w:val="67"/>
    <w:qFormat/>
    <w:uiPriority w:val="99"/>
    <w:pPr>
      <w:tabs>
        <w:tab w:val="center" w:pos="4153"/>
        <w:tab w:val="right" w:pos="8306"/>
      </w:tabs>
      <w:snapToGrid w:val="0"/>
      <w:jc w:val="left"/>
    </w:pPr>
    <w:rPr>
      <w:sz w:val="18"/>
      <w:szCs w:val="18"/>
    </w:rPr>
  </w:style>
  <w:style w:type="paragraph" w:styleId="24">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99"/>
    <w:pPr>
      <w:spacing w:before="120" w:after="120"/>
      <w:jc w:val="left"/>
    </w:pPr>
    <w:rPr>
      <w:rFonts w:ascii="Calibri" w:hAnsi="Calibri" w:cs="Calibri"/>
      <w:b/>
      <w:bCs/>
      <w:caps/>
      <w:sz w:val="20"/>
      <w:szCs w:val="20"/>
    </w:rPr>
  </w:style>
  <w:style w:type="paragraph" w:styleId="26">
    <w:name w:val="toc 4"/>
    <w:basedOn w:val="1"/>
    <w:next w:val="1"/>
    <w:semiHidden/>
    <w:qFormat/>
    <w:uiPriority w:val="99"/>
    <w:pPr>
      <w:ind w:left="630"/>
      <w:jc w:val="left"/>
    </w:pPr>
    <w:rPr>
      <w:rFonts w:ascii="Calibri" w:hAnsi="Calibri" w:cs="Calibri"/>
      <w:sz w:val="18"/>
      <w:szCs w:val="18"/>
    </w:rPr>
  </w:style>
  <w:style w:type="paragraph" w:styleId="27">
    <w:name w:val="toc 6"/>
    <w:basedOn w:val="1"/>
    <w:next w:val="1"/>
    <w:semiHidden/>
    <w:qFormat/>
    <w:uiPriority w:val="99"/>
    <w:pPr>
      <w:ind w:left="1050"/>
      <w:jc w:val="left"/>
    </w:pPr>
    <w:rPr>
      <w:rFonts w:ascii="Calibri" w:hAnsi="Calibri" w:cs="Calibri"/>
      <w:sz w:val="18"/>
      <w:szCs w:val="18"/>
    </w:rPr>
  </w:style>
  <w:style w:type="paragraph" w:styleId="28">
    <w:name w:val="Body Text Indent 3"/>
    <w:basedOn w:val="1"/>
    <w:link w:val="69"/>
    <w:qFormat/>
    <w:uiPriority w:val="99"/>
    <w:pPr>
      <w:spacing w:line="360" w:lineRule="auto"/>
      <w:ind w:left="420" w:firstLine="480"/>
    </w:pPr>
    <w:rPr>
      <w:rFonts w:ascii="宋体" w:hAnsi="宋体" w:cs="宋体"/>
      <w:sz w:val="24"/>
      <w:szCs w:val="24"/>
    </w:rPr>
  </w:style>
  <w:style w:type="paragraph" w:styleId="29">
    <w:name w:val="toc 2"/>
    <w:basedOn w:val="1"/>
    <w:next w:val="1"/>
    <w:semiHidden/>
    <w:qFormat/>
    <w:uiPriority w:val="99"/>
    <w:pPr>
      <w:ind w:left="210"/>
      <w:jc w:val="left"/>
    </w:pPr>
    <w:rPr>
      <w:rFonts w:ascii="Calibri" w:hAnsi="Calibri" w:cs="Calibri"/>
      <w:smallCaps/>
      <w:sz w:val="20"/>
      <w:szCs w:val="20"/>
    </w:rPr>
  </w:style>
  <w:style w:type="paragraph" w:styleId="30">
    <w:name w:val="toc 9"/>
    <w:basedOn w:val="1"/>
    <w:next w:val="1"/>
    <w:semiHidden/>
    <w:qFormat/>
    <w:uiPriority w:val="99"/>
    <w:pPr>
      <w:ind w:left="1680"/>
      <w:jc w:val="left"/>
    </w:pPr>
    <w:rPr>
      <w:rFonts w:ascii="Calibri" w:hAnsi="Calibri" w:cs="Calibri"/>
      <w:sz w:val="18"/>
      <w:szCs w:val="18"/>
    </w:rPr>
  </w:style>
  <w:style w:type="paragraph" w:styleId="31">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kern w:val="0"/>
      <w:sz w:val="20"/>
    </w:rPr>
  </w:style>
  <w:style w:type="paragraph" w:styleId="32">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33">
    <w:name w:val="annotation subject"/>
    <w:basedOn w:val="13"/>
    <w:next w:val="13"/>
    <w:link w:val="58"/>
    <w:semiHidden/>
    <w:qFormat/>
    <w:uiPriority w:val="99"/>
    <w:rPr>
      <w:b/>
      <w:bCs/>
    </w:rPr>
  </w:style>
  <w:style w:type="paragraph" w:styleId="34">
    <w:name w:val="Body Text First Indent"/>
    <w:basedOn w:val="2"/>
    <w:qFormat/>
    <w:locked/>
    <w:uiPriority w:val="99"/>
    <w:pPr>
      <w:ind w:firstLine="420" w:firstLineChars="100"/>
    </w:pPr>
    <w:rPr>
      <w:rFonts w:ascii="宋体"/>
    </w:r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99"/>
    <w:rPr>
      <w:b/>
      <w:bCs/>
    </w:rPr>
  </w:style>
  <w:style w:type="character" w:styleId="39">
    <w:name w:val="page number"/>
    <w:basedOn w:val="37"/>
    <w:qFormat/>
    <w:uiPriority w:val="99"/>
  </w:style>
  <w:style w:type="character" w:styleId="40">
    <w:name w:val="FollowedHyperlink"/>
    <w:basedOn w:val="37"/>
    <w:qFormat/>
    <w:uiPriority w:val="99"/>
    <w:rPr>
      <w:color w:val="auto"/>
      <w:u w:val="none"/>
    </w:rPr>
  </w:style>
  <w:style w:type="character" w:styleId="41">
    <w:name w:val="Emphasis"/>
    <w:basedOn w:val="37"/>
    <w:qFormat/>
    <w:uiPriority w:val="99"/>
    <w:rPr>
      <w:i/>
      <w:iCs/>
    </w:rPr>
  </w:style>
  <w:style w:type="character" w:styleId="42">
    <w:name w:val="HTML Definition"/>
    <w:basedOn w:val="37"/>
    <w:qFormat/>
    <w:uiPriority w:val="99"/>
  </w:style>
  <w:style w:type="character" w:styleId="43">
    <w:name w:val="HTML Acronym"/>
    <w:basedOn w:val="37"/>
    <w:qFormat/>
    <w:uiPriority w:val="99"/>
  </w:style>
  <w:style w:type="character" w:styleId="44">
    <w:name w:val="HTML Variable"/>
    <w:basedOn w:val="37"/>
    <w:qFormat/>
    <w:uiPriority w:val="99"/>
  </w:style>
  <w:style w:type="character" w:styleId="45">
    <w:name w:val="Hyperlink"/>
    <w:basedOn w:val="37"/>
    <w:qFormat/>
    <w:uiPriority w:val="99"/>
    <w:rPr>
      <w:color w:val="auto"/>
      <w:u w:val="none"/>
    </w:rPr>
  </w:style>
  <w:style w:type="character" w:styleId="46">
    <w:name w:val="HTML Code"/>
    <w:basedOn w:val="37"/>
    <w:qFormat/>
    <w:uiPriority w:val="99"/>
    <w:rPr>
      <w:rFonts w:ascii="monospace" w:hAnsi="monospace" w:cs="monospace"/>
      <w:sz w:val="24"/>
      <w:szCs w:val="24"/>
    </w:rPr>
  </w:style>
  <w:style w:type="character" w:styleId="47">
    <w:name w:val="annotation reference"/>
    <w:basedOn w:val="37"/>
    <w:semiHidden/>
    <w:qFormat/>
    <w:uiPriority w:val="99"/>
    <w:rPr>
      <w:sz w:val="21"/>
      <w:szCs w:val="21"/>
    </w:rPr>
  </w:style>
  <w:style w:type="character" w:styleId="48">
    <w:name w:val="HTML Cite"/>
    <w:basedOn w:val="37"/>
    <w:qFormat/>
    <w:uiPriority w:val="99"/>
  </w:style>
  <w:style w:type="character" w:styleId="49">
    <w:name w:val="HTML Keyboard"/>
    <w:basedOn w:val="37"/>
    <w:qFormat/>
    <w:uiPriority w:val="99"/>
    <w:rPr>
      <w:rFonts w:ascii="monospace" w:hAnsi="monospace" w:cs="monospace"/>
      <w:sz w:val="24"/>
      <w:szCs w:val="24"/>
    </w:rPr>
  </w:style>
  <w:style w:type="character" w:styleId="50">
    <w:name w:val="HTML Sample"/>
    <w:basedOn w:val="37"/>
    <w:qFormat/>
    <w:uiPriority w:val="99"/>
    <w:rPr>
      <w:rFonts w:ascii="monospace" w:hAnsi="monospace" w:cs="monospace"/>
      <w:sz w:val="24"/>
      <w:szCs w:val="24"/>
    </w:rPr>
  </w:style>
  <w:style w:type="character" w:customStyle="1" w:styleId="51">
    <w:name w:val="标题 1 Char"/>
    <w:basedOn w:val="37"/>
    <w:link w:val="4"/>
    <w:qFormat/>
    <w:locked/>
    <w:uiPriority w:val="99"/>
    <w:rPr>
      <w:b/>
      <w:bCs/>
      <w:kern w:val="44"/>
      <w:sz w:val="44"/>
      <w:szCs w:val="44"/>
    </w:rPr>
  </w:style>
  <w:style w:type="character" w:customStyle="1" w:styleId="52">
    <w:name w:val="标题 2 Char"/>
    <w:basedOn w:val="37"/>
    <w:link w:val="5"/>
    <w:qFormat/>
    <w:locked/>
    <w:uiPriority w:val="99"/>
    <w:rPr>
      <w:rFonts w:ascii="Cambria" w:hAnsi="Cambria" w:cs="Cambria"/>
      <w:b/>
      <w:bCs/>
      <w:kern w:val="2"/>
      <w:sz w:val="32"/>
      <w:szCs w:val="32"/>
    </w:rPr>
  </w:style>
  <w:style w:type="character" w:customStyle="1" w:styleId="53">
    <w:name w:val="标题 3 Char"/>
    <w:basedOn w:val="37"/>
    <w:link w:val="6"/>
    <w:qFormat/>
    <w:locked/>
    <w:uiPriority w:val="99"/>
    <w:rPr>
      <w:b/>
      <w:bCs/>
      <w:kern w:val="2"/>
      <w:sz w:val="32"/>
      <w:szCs w:val="32"/>
    </w:rPr>
  </w:style>
  <w:style w:type="character" w:customStyle="1" w:styleId="54">
    <w:name w:val="标题 4 Char"/>
    <w:basedOn w:val="37"/>
    <w:link w:val="7"/>
    <w:semiHidden/>
    <w:qFormat/>
    <w:locked/>
    <w:uiPriority w:val="99"/>
    <w:rPr>
      <w:rFonts w:ascii="Cambria" w:hAnsi="Cambria" w:eastAsia="宋体" w:cs="Cambria"/>
      <w:b/>
      <w:bCs/>
      <w:sz w:val="28"/>
      <w:szCs w:val="28"/>
    </w:rPr>
  </w:style>
  <w:style w:type="character" w:customStyle="1" w:styleId="55">
    <w:name w:val="标题 5 Char"/>
    <w:basedOn w:val="37"/>
    <w:link w:val="8"/>
    <w:qFormat/>
    <w:locked/>
    <w:uiPriority w:val="99"/>
    <w:rPr>
      <w:b/>
      <w:bCs/>
      <w:kern w:val="2"/>
      <w:sz w:val="28"/>
      <w:szCs w:val="28"/>
    </w:rPr>
  </w:style>
  <w:style w:type="character" w:customStyle="1" w:styleId="56">
    <w:name w:val="标题 6 Char"/>
    <w:basedOn w:val="37"/>
    <w:link w:val="9"/>
    <w:semiHidden/>
    <w:qFormat/>
    <w:locked/>
    <w:uiPriority w:val="99"/>
    <w:rPr>
      <w:rFonts w:ascii="Cambria" w:hAnsi="Cambria" w:eastAsia="宋体" w:cs="Cambria"/>
      <w:b/>
      <w:bCs/>
      <w:sz w:val="24"/>
      <w:szCs w:val="24"/>
    </w:rPr>
  </w:style>
  <w:style w:type="character" w:customStyle="1" w:styleId="57">
    <w:name w:val="批注文字 Char"/>
    <w:basedOn w:val="37"/>
    <w:link w:val="13"/>
    <w:semiHidden/>
    <w:qFormat/>
    <w:locked/>
    <w:uiPriority w:val="99"/>
    <w:rPr>
      <w:sz w:val="21"/>
      <w:szCs w:val="21"/>
    </w:rPr>
  </w:style>
  <w:style w:type="character" w:customStyle="1" w:styleId="58">
    <w:name w:val="批注主题 Char"/>
    <w:basedOn w:val="57"/>
    <w:link w:val="33"/>
    <w:semiHidden/>
    <w:qFormat/>
    <w:locked/>
    <w:uiPriority w:val="99"/>
    <w:rPr>
      <w:b/>
      <w:bCs/>
      <w:sz w:val="21"/>
      <w:szCs w:val="21"/>
    </w:rPr>
  </w:style>
  <w:style w:type="character" w:customStyle="1" w:styleId="59">
    <w:name w:val="文档结构图 Char"/>
    <w:basedOn w:val="37"/>
    <w:link w:val="12"/>
    <w:semiHidden/>
    <w:qFormat/>
    <w:locked/>
    <w:uiPriority w:val="99"/>
    <w:rPr>
      <w:sz w:val="2"/>
      <w:szCs w:val="2"/>
    </w:rPr>
  </w:style>
  <w:style w:type="character" w:customStyle="1" w:styleId="60">
    <w:name w:val="正文文本 3 Char"/>
    <w:basedOn w:val="37"/>
    <w:link w:val="14"/>
    <w:semiHidden/>
    <w:qFormat/>
    <w:locked/>
    <w:uiPriority w:val="99"/>
    <w:rPr>
      <w:sz w:val="16"/>
      <w:szCs w:val="16"/>
    </w:rPr>
  </w:style>
  <w:style w:type="character" w:customStyle="1" w:styleId="61">
    <w:name w:val="正文文本 Char"/>
    <w:basedOn w:val="37"/>
    <w:link w:val="2"/>
    <w:qFormat/>
    <w:locked/>
    <w:uiPriority w:val="99"/>
    <w:rPr>
      <w:rFonts w:eastAsia="宋体"/>
      <w:kern w:val="2"/>
      <w:sz w:val="21"/>
      <w:szCs w:val="21"/>
      <w:lang w:val="en-US" w:eastAsia="zh-CN"/>
    </w:rPr>
  </w:style>
  <w:style w:type="character" w:customStyle="1" w:styleId="62">
    <w:name w:val="正文文本缩进 Char"/>
    <w:basedOn w:val="37"/>
    <w:link w:val="15"/>
    <w:qFormat/>
    <w:locked/>
    <w:uiPriority w:val="99"/>
    <w:rPr>
      <w:snapToGrid w:val="0"/>
      <w:sz w:val="24"/>
      <w:szCs w:val="24"/>
    </w:rPr>
  </w:style>
  <w:style w:type="character" w:customStyle="1" w:styleId="63">
    <w:name w:val="纯文本 Char"/>
    <w:basedOn w:val="37"/>
    <w:link w:val="18"/>
    <w:qFormat/>
    <w:locked/>
    <w:uiPriority w:val="99"/>
    <w:rPr>
      <w:rFonts w:ascii="宋体" w:hAnsi="Courier New" w:eastAsia="宋体" w:cs="宋体"/>
      <w:kern w:val="2"/>
      <w:sz w:val="21"/>
      <w:szCs w:val="21"/>
      <w:lang w:val="en-US" w:eastAsia="zh-CN"/>
    </w:rPr>
  </w:style>
  <w:style w:type="character" w:customStyle="1" w:styleId="64">
    <w:name w:val="日期 Char"/>
    <w:basedOn w:val="37"/>
    <w:link w:val="20"/>
    <w:semiHidden/>
    <w:qFormat/>
    <w:locked/>
    <w:uiPriority w:val="99"/>
    <w:rPr>
      <w:sz w:val="21"/>
      <w:szCs w:val="21"/>
    </w:rPr>
  </w:style>
  <w:style w:type="character" w:customStyle="1" w:styleId="65">
    <w:name w:val="正文文本缩进 2 Char"/>
    <w:basedOn w:val="37"/>
    <w:link w:val="21"/>
    <w:qFormat/>
    <w:locked/>
    <w:uiPriority w:val="99"/>
    <w:rPr>
      <w:snapToGrid w:val="0"/>
      <w:sz w:val="24"/>
      <w:szCs w:val="24"/>
    </w:rPr>
  </w:style>
  <w:style w:type="character" w:customStyle="1" w:styleId="66">
    <w:name w:val="批注框文本 Char"/>
    <w:basedOn w:val="37"/>
    <w:link w:val="22"/>
    <w:qFormat/>
    <w:locked/>
    <w:uiPriority w:val="99"/>
    <w:rPr>
      <w:kern w:val="2"/>
      <w:sz w:val="18"/>
      <w:szCs w:val="18"/>
    </w:rPr>
  </w:style>
  <w:style w:type="character" w:customStyle="1" w:styleId="67">
    <w:name w:val="页脚 Char"/>
    <w:basedOn w:val="37"/>
    <w:link w:val="23"/>
    <w:qFormat/>
    <w:locked/>
    <w:uiPriority w:val="99"/>
    <w:rPr>
      <w:rFonts w:eastAsia="宋体"/>
      <w:kern w:val="2"/>
      <w:sz w:val="18"/>
      <w:szCs w:val="18"/>
      <w:lang w:val="en-US" w:eastAsia="zh-CN"/>
    </w:rPr>
  </w:style>
  <w:style w:type="character" w:customStyle="1" w:styleId="68">
    <w:name w:val="页眉 Char"/>
    <w:basedOn w:val="37"/>
    <w:link w:val="24"/>
    <w:semiHidden/>
    <w:qFormat/>
    <w:locked/>
    <w:uiPriority w:val="99"/>
    <w:rPr>
      <w:sz w:val="18"/>
      <w:szCs w:val="18"/>
    </w:rPr>
  </w:style>
  <w:style w:type="character" w:customStyle="1" w:styleId="69">
    <w:name w:val="正文文本缩进 3 Char"/>
    <w:basedOn w:val="37"/>
    <w:link w:val="28"/>
    <w:qFormat/>
    <w:locked/>
    <w:uiPriority w:val="99"/>
    <w:rPr>
      <w:rFonts w:ascii="宋体" w:eastAsia="宋体" w:cs="宋体"/>
      <w:snapToGrid w:val="0"/>
      <w:sz w:val="24"/>
      <w:szCs w:val="24"/>
    </w:rPr>
  </w:style>
  <w:style w:type="character" w:customStyle="1" w:styleId="70">
    <w:name w:val="正文文本 2 Char"/>
    <w:basedOn w:val="37"/>
    <w:link w:val="3"/>
    <w:qFormat/>
    <w:locked/>
    <w:uiPriority w:val="99"/>
    <w:rPr>
      <w:rFonts w:ascii="宋体" w:cs="宋体"/>
      <w:kern w:val="2"/>
      <w:sz w:val="24"/>
      <w:szCs w:val="24"/>
    </w:rPr>
  </w:style>
  <w:style w:type="character" w:customStyle="1" w:styleId="71">
    <w:name w:val="Char Char24"/>
    <w:qFormat/>
    <w:locked/>
    <w:uiPriority w:val="99"/>
    <w:rPr>
      <w:rFonts w:eastAsia="宋体"/>
      <w:b/>
      <w:bCs/>
      <w:kern w:val="2"/>
      <w:sz w:val="32"/>
      <w:szCs w:val="32"/>
      <w:lang w:val="en-US" w:eastAsia="zh-CN"/>
    </w:rPr>
  </w:style>
  <w:style w:type="character" w:customStyle="1" w:styleId="72">
    <w:name w:val="t_tag"/>
    <w:basedOn w:val="37"/>
    <w:qFormat/>
    <w:uiPriority w:val="99"/>
  </w:style>
  <w:style w:type="character" w:customStyle="1" w:styleId="73">
    <w:name w:val="Char Char3"/>
    <w:qFormat/>
    <w:uiPriority w:val="99"/>
    <w:rPr>
      <w:rFonts w:eastAsia="宋体"/>
      <w:kern w:val="2"/>
      <w:sz w:val="24"/>
      <w:szCs w:val="24"/>
      <w:lang w:val="en-US" w:eastAsia="zh-CN"/>
    </w:rPr>
  </w:style>
  <w:style w:type="paragraph" w:customStyle="1" w:styleId="74">
    <w:name w:val="Char Char Char Char"/>
    <w:basedOn w:val="1"/>
    <w:qFormat/>
    <w:uiPriority w:val="99"/>
    <w:rPr>
      <w:rFonts w:ascii="Tahoma" w:hAnsi="Tahoma" w:cs="Tahoma"/>
      <w:sz w:val="24"/>
      <w:szCs w:val="24"/>
    </w:rPr>
  </w:style>
  <w:style w:type="paragraph" w:customStyle="1" w:styleId="75">
    <w:name w:val="Char Char Char"/>
    <w:basedOn w:val="1"/>
    <w:qFormat/>
    <w:uiPriority w:val="99"/>
    <w:pPr>
      <w:spacing w:line="360" w:lineRule="auto"/>
    </w:pPr>
  </w:style>
  <w:style w:type="paragraph" w:customStyle="1" w:styleId="76">
    <w:name w:val="列出段落1"/>
    <w:basedOn w:val="1"/>
    <w:qFormat/>
    <w:uiPriority w:val="99"/>
    <w:pPr>
      <w:ind w:firstLine="420" w:firstLineChars="200"/>
    </w:pPr>
    <w:rPr>
      <w:rFonts w:ascii="Calibri" w:hAnsi="Calibri" w:cs="Calibri"/>
    </w:rPr>
  </w:style>
  <w:style w:type="paragraph" w:customStyle="1" w:styleId="77">
    <w:name w:val="Char"/>
    <w:basedOn w:val="1"/>
    <w:qFormat/>
    <w:uiPriority w:val="99"/>
    <w:pPr>
      <w:spacing w:line="360" w:lineRule="auto"/>
    </w:pPr>
    <w:rPr>
      <w:rFonts w:ascii="仿宋_GB2312" w:eastAsia="仿宋_GB2312" w:cs="仿宋_GB2312"/>
      <w:b/>
      <w:bCs/>
      <w:sz w:val="32"/>
      <w:szCs w:val="32"/>
    </w:rPr>
  </w:style>
  <w:style w:type="paragraph" w:customStyle="1" w:styleId="78">
    <w:name w:val="保留正文"/>
    <w:basedOn w:val="2"/>
    <w:qFormat/>
    <w:uiPriority w:val="99"/>
    <w:pPr>
      <w:keepNext/>
      <w:spacing w:after="160"/>
      <w:jc w:val="both"/>
    </w:pPr>
  </w:style>
  <w:style w:type="paragraph" w:customStyle="1" w:styleId="79">
    <w:name w:val="普通 (Web)"/>
    <w:basedOn w:val="1"/>
    <w:qFormat/>
    <w:uiPriority w:val="99"/>
    <w:pPr>
      <w:widowControl/>
      <w:spacing w:before="100" w:beforeAutospacing="1" w:after="100" w:afterAutospacing="1"/>
      <w:jc w:val="left"/>
    </w:pPr>
    <w:rPr>
      <w:rFonts w:ascii="宋体" w:hAnsi="宋体" w:cs="宋体"/>
      <w:sz w:val="24"/>
      <w:szCs w:val="24"/>
    </w:rPr>
  </w:style>
  <w:style w:type="paragraph" w:customStyle="1" w:styleId="80">
    <w:name w:val="目录"/>
    <w:basedOn w:val="1"/>
    <w:qFormat/>
    <w:uiPriority w:val="99"/>
    <w:pPr>
      <w:widowControl/>
      <w:jc w:val="center"/>
    </w:pPr>
    <w:rPr>
      <w:rFonts w:ascii="宋体" w:cs="宋体"/>
      <w:b/>
      <w:bCs/>
      <w:sz w:val="36"/>
      <w:szCs w:val="36"/>
    </w:rPr>
  </w:style>
  <w:style w:type="paragraph" w:customStyle="1" w:styleId="81">
    <w:name w:val="Char Char Char Char1"/>
    <w:basedOn w:val="1"/>
    <w:qFormat/>
    <w:uiPriority w:val="99"/>
    <w:pPr>
      <w:adjustRightInd w:val="0"/>
      <w:spacing w:line="440" w:lineRule="exact"/>
    </w:pPr>
    <w:rPr>
      <w:sz w:val="20"/>
      <w:szCs w:val="20"/>
    </w:rPr>
  </w:style>
  <w:style w:type="character" w:customStyle="1" w:styleId="82">
    <w:name w:val="ui-bz-bg-hover"/>
    <w:basedOn w:val="37"/>
    <w:qFormat/>
    <w:uiPriority w:val="99"/>
    <w:rPr>
      <w:shd w:val="clear" w:color="auto" w:fill="000000"/>
    </w:rPr>
  </w:style>
  <w:style w:type="character" w:customStyle="1" w:styleId="83">
    <w:name w:val="ui-bz-bg-hover1"/>
    <w:basedOn w:val="37"/>
    <w:qFormat/>
    <w:uiPriority w:val="99"/>
  </w:style>
  <w:style w:type="character" w:customStyle="1" w:styleId="84">
    <w:name w:val="top-icon"/>
    <w:basedOn w:val="37"/>
    <w:qFormat/>
    <w:uiPriority w:val="99"/>
  </w:style>
  <w:style w:type="character" w:customStyle="1" w:styleId="85">
    <w:name w:val="t-tag"/>
    <w:basedOn w:val="37"/>
    <w:qFormat/>
    <w:uiPriority w:val="99"/>
    <w:rPr>
      <w:color w:val="FFFFFF"/>
      <w:sz w:val="18"/>
      <w:szCs w:val="18"/>
      <w:shd w:val="clear" w:color="auto" w:fill="auto"/>
    </w:rPr>
  </w:style>
  <w:style w:type="character" w:customStyle="1" w:styleId="86">
    <w:name w:val="bds_more2"/>
    <w:basedOn w:val="37"/>
    <w:qFormat/>
    <w:uiPriority w:val="99"/>
  </w:style>
  <w:style w:type="character" w:customStyle="1" w:styleId="87">
    <w:name w:val="bds_more3"/>
    <w:basedOn w:val="37"/>
    <w:qFormat/>
    <w:uiPriority w:val="99"/>
  </w:style>
  <w:style w:type="character" w:customStyle="1" w:styleId="88">
    <w:name w:val="f-star"/>
    <w:basedOn w:val="37"/>
    <w:qFormat/>
    <w:uiPriority w:val="99"/>
    <w:rPr>
      <w:color w:val="auto"/>
      <w:sz w:val="21"/>
      <w:szCs w:val="21"/>
    </w:rPr>
  </w:style>
  <w:style w:type="character" w:customStyle="1" w:styleId="89">
    <w:name w:val="bds_nopic"/>
    <w:basedOn w:val="37"/>
    <w:qFormat/>
    <w:uiPriority w:val="99"/>
  </w:style>
  <w:style w:type="character" w:customStyle="1" w:styleId="90">
    <w:name w:val="orange"/>
    <w:basedOn w:val="37"/>
    <w:qFormat/>
    <w:uiPriority w:val="99"/>
    <w:rPr>
      <w:color w:val="auto"/>
    </w:rPr>
  </w:style>
  <w:style w:type="character" w:customStyle="1" w:styleId="91">
    <w:name w:val="org_name"/>
    <w:basedOn w:val="37"/>
    <w:qFormat/>
    <w:uiPriority w:val="99"/>
  </w:style>
  <w:style w:type="character" w:customStyle="1" w:styleId="92">
    <w:name w:val="no42"/>
    <w:basedOn w:val="37"/>
    <w:qFormat/>
    <w:uiPriority w:val="99"/>
  </w:style>
  <w:style w:type="character" w:customStyle="1" w:styleId="93">
    <w:name w:val="no52"/>
    <w:basedOn w:val="37"/>
    <w:qFormat/>
    <w:uiPriority w:val="99"/>
  </w:style>
  <w:style w:type="character" w:customStyle="1" w:styleId="94">
    <w:name w:val="no62"/>
    <w:basedOn w:val="37"/>
    <w:qFormat/>
    <w:uiPriority w:val="99"/>
  </w:style>
  <w:style w:type="character" w:customStyle="1" w:styleId="95">
    <w:name w:val="no72"/>
    <w:basedOn w:val="37"/>
    <w:qFormat/>
    <w:uiPriority w:val="99"/>
  </w:style>
  <w:style w:type="character" w:customStyle="1" w:styleId="96">
    <w:name w:val="ico-jiang"/>
    <w:basedOn w:val="37"/>
    <w:qFormat/>
    <w:uiPriority w:val="99"/>
  </w:style>
  <w:style w:type="character" w:customStyle="1" w:styleId="97">
    <w:name w:val="ico-jiang1"/>
    <w:basedOn w:val="37"/>
    <w:qFormat/>
    <w:uiPriority w:val="99"/>
  </w:style>
  <w:style w:type="character" w:customStyle="1" w:styleId="98">
    <w:name w:val="my-notice1"/>
    <w:basedOn w:val="37"/>
    <w:qFormat/>
    <w:uiPriority w:val="99"/>
  </w:style>
  <w:style w:type="character" w:customStyle="1" w:styleId="99">
    <w:name w:val="my-class"/>
    <w:basedOn w:val="37"/>
    <w:qFormat/>
    <w:uiPriority w:val="99"/>
  </w:style>
  <w:style w:type="character" w:customStyle="1" w:styleId="100">
    <w:name w:val="tip10"/>
    <w:basedOn w:val="37"/>
    <w:qFormat/>
    <w:uiPriority w:val="99"/>
    <w:rPr>
      <w:vanish/>
      <w:color w:val="FF0000"/>
      <w:sz w:val="18"/>
      <w:szCs w:val="18"/>
    </w:rPr>
  </w:style>
  <w:style w:type="character" w:customStyle="1" w:styleId="101">
    <w:name w:val="my-class2"/>
    <w:basedOn w:val="37"/>
    <w:qFormat/>
    <w:uiPriority w:val="99"/>
  </w:style>
  <w:style w:type="character" w:customStyle="1" w:styleId="102">
    <w:name w:val="bds_more"/>
    <w:basedOn w:val="37"/>
    <w:qFormat/>
    <w:uiPriority w:val="99"/>
  </w:style>
  <w:style w:type="character" w:customStyle="1" w:styleId="103">
    <w:name w:val="bds_more1"/>
    <w:basedOn w:val="37"/>
    <w:qFormat/>
    <w:uiPriority w:val="99"/>
    <w:rPr>
      <w:rFonts w:ascii="宋体" w:hAnsi="宋体" w:eastAsia="宋体" w:cs="宋体"/>
    </w:rPr>
  </w:style>
  <w:style w:type="character" w:customStyle="1" w:styleId="104">
    <w:name w:val="bds_nopic1"/>
    <w:basedOn w:val="37"/>
    <w:qFormat/>
    <w:uiPriority w:val="99"/>
  </w:style>
  <w:style w:type="character" w:customStyle="1" w:styleId="105">
    <w:name w:val="bds_nopic2"/>
    <w:basedOn w:val="37"/>
    <w:qFormat/>
    <w:uiPriority w:val="99"/>
  </w:style>
  <w:style w:type="character" w:customStyle="1" w:styleId="106">
    <w:name w:val="orange6"/>
    <w:basedOn w:val="37"/>
    <w:qFormat/>
    <w:uiPriority w:val="99"/>
    <w:rPr>
      <w:color w:val="auto"/>
    </w:rPr>
  </w:style>
  <w:style w:type="character" w:customStyle="1" w:styleId="107">
    <w:name w:val="font31"/>
    <w:basedOn w:val="37"/>
    <w:qFormat/>
    <w:uiPriority w:val="99"/>
    <w:rPr>
      <w:rFonts w:ascii="font-weight : 400" w:hAnsi="font-weight : 400" w:cs="font-weight : 400"/>
      <w:color w:val="000000"/>
      <w:sz w:val="20"/>
      <w:szCs w:val="20"/>
      <w:u w:val="none"/>
      <w:vertAlign w:val="superscript"/>
    </w:rPr>
  </w:style>
  <w:style w:type="character" w:customStyle="1" w:styleId="108">
    <w:name w:val="font01"/>
    <w:basedOn w:val="37"/>
    <w:qFormat/>
    <w:uiPriority w:val="99"/>
    <w:rPr>
      <w:rFonts w:ascii="宋体" w:hAnsi="宋体" w:eastAsia="宋体" w:cs="宋体"/>
      <w:color w:val="FF0000"/>
      <w:sz w:val="20"/>
      <w:szCs w:val="20"/>
      <w:u w:val="none"/>
    </w:rPr>
  </w:style>
  <w:style w:type="character" w:customStyle="1" w:styleId="109">
    <w:name w:val="font11"/>
    <w:basedOn w:val="37"/>
    <w:qFormat/>
    <w:uiPriority w:val="99"/>
    <w:rPr>
      <w:rFonts w:ascii="宋体" w:hAnsi="宋体" w:eastAsia="宋体" w:cs="宋体"/>
      <w:color w:val="000000"/>
      <w:sz w:val="20"/>
      <w:szCs w:val="20"/>
      <w:u w:val="none"/>
    </w:rPr>
  </w:style>
  <w:style w:type="paragraph" w:customStyle="1" w:styleId="110">
    <w:name w:val="Revision1"/>
    <w:hidden/>
    <w:qFormat/>
    <w:uiPriority w:val="99"/>
    <w:rPr>
      <w:rFonts w:ascii="Times New Roman" w:hAnsi="Times New Roman" w:eastAsia="宋体" w:cs="Times New Roman"/>
      <w:kern w:val="2"/>
      <w:sz w:val="21"/>
      <w:szCs w:val="21"/>
      <w:lang w:val="en-US" w:eastAsia="zh-CN" w:bidi="ar-SA"/>
    </w:rPr>
  </w:style>
  <w:style w:type="paragraph" w:customStyle="1" w:styleId="111">
    <w:name w:val="表注1"/>
    <w:basedOn w:val="1"/>
    <w:unhideWhenUsed/>
    <w:qFormat/>
    <w:uiPriority w:val="0"/>
    <w:pPr>
      <w:adjustRightInd w:val="0"/>
      <w:snapToGrid w:val="0"/>
      <w:spacing w:beforeLines="50" w:line="300" w:lineRule="auto"/>
      <w:ind w:left="350" w:hanging="350" w:hangingChars="350"/>
    </w:pPr>
    <w:rPr>
      <w:rFonts w:hint="eastAsia" w:eastAsia="仿宋_GB2312"/>
      <w:color w:val="000000"/>
    </w:rPr>
  </w:style>
  <w:style w:type="paragraph" w:customStyle="1" w:styleId="112">
    <w:name w:val="列出段落2"/>
    <w:basedOn w:val="1"/>
    <w:qFormat/>
    <w:uiPriority w:val="34"/>
    <w:pPr>
      <w:ind w:firstLine="420" w:firstLineChars="200"/>
    </w:pPr>
  </w:style>
  <w:style w:type="paragraph" w:customStyle="1" w:styleId="113">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76</Pages>
  <Words>28663</Words>
  <Characters>31172</Characters>
  <Lines>277</Lines>
  <Paragraphs>78</Paragraphs>
  <TotalTime>1</TotalTime>
  <ScaleCrop>false</ScaleCrop>
  <LinksUpToDate>false</LinksUpToDate>
  <CharactersWithSpaces>34027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2015-07-29T10:12:00Z</dcterms:created>
  <dc:creator>Longwill-4</dc:creator>
  <cp:lastModifiedBy>Administrator</cp:lastModifiedBy>
  <cp:lastPrinted>2022-10-09T06:46:24Z</cp:lastPrinted>
  <dcterms:modified xsi:type="dcterms:W3CDTF">2022-10-09T06:52:21Z</dcterms:modified>
  <dc:title>招标编号:SXLHZB2009-276</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039CFC1F191241B39CF7D371897BCB53</vt:lpwstr>
  </property>
</Properties>
</file>