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color w:val="auto"/>
          <w:sz w:val="36"/>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LC-ZC-2022-011</w:t>
      </w:r>
    </w:p>
    <w:p>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w:t>
      </w:r>
    </w:p>
    <w:p>
      <w:pPr>
        <w:rPr>
          <w:rFonts w:hint="eastAsia" w:ascii="仿宋" w:hAnsi="仿宋" w:eastAsia="仿宋" w:cs="仿宋"/>
          <w:b/>
          <w:color w:val="auto"/>
          <w:sz w:val="36"/>
          <w:highlight w:val="none"/>
        </w:rPr>
      </w:pPr>
    </w:p>
    <w:p>
      <w:pPr>
        <w:pStyle w:val="14"/>
        <w:rPr>
          <w:rFonts w:hint="eastAsia"/>
          <w:color w:val="auto"/>
          <w:highlight w:val="none"/>
          <w:lang w:eastAsia="zh-CN"/>
        </w:rPr>
      </w:pPr>
      <w:r>
        <w:rPr>
          <w:rFonts w:hint="eastAsia" w:ascii="仿宋" w:hAnsi="仿宋" w:eastAsia="仿宋" w:cs="仿宋"/>
          <w:b/>
          <w:color w:val="auto"/>
          <w:spacing w:val="-11"/>
          <w:sz w:val="52"/>
          <w:szCs w:val="52"/>
          <w:highlight w:val="none"/>
          <w:lang w:val="en-US" w:eastAsia="zh-CN"/>
        </w:rPr>
        <w:t>花园乡村积分制管理平台建设项目</w:t>
      </w:r>
    </w:p>
    <w:p>
      <w:pPr>
        <w:jc w:val="center"/>
        <w:rPr>
          <w:rFonts w:hint="eastAsia" w:ascii="仿宋" w:hAnsi="仿宋" w:eastAsia="仿宋" w:cs="仿宋"/>
          <w:b/>
          <w:color w:val="auto"/>
          <w:sz w:val="36"/>
          <w:szCs w:val="36"/>
          <w:highlight w:val="none"/>
        </w:rPr>
      </w:pPr>
    </w:p>
    <w:p>
      <w:pPr>
        <w:pStyle w:val="6"/>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竞争性磋商文件</w:t>
      </w:r>
      <w:bookmarkStart w:id="0" w:name="_Toc363463325"/>
    </w:p>
    <w:p>
      <w:pPr>
        <w:spacing w:line="780" w:lineRule="auto"/>
        <w:jc w:val="center"/>
        <w:rPr>
          <w:rFonts w:hint="eastAsia" w:ascii="仿宋" w:hAnsi="仿宋" w:eastAsia="仿宋" w:cs="仿宋"/>
          <w:color w:val="auto"/>
          <w:highlight w:val="none"/>
        </w:rPr>
      </w:pPr>
      <w:r>
        <w:rPr>
          <w:rFonts w:hint="eastAsia" w:ascii="仿宋" w:hAnsi="仿宋" w:eastAsia="仿宋" w:cs="仿宋"/>
          <w:b w:val="0"/>
          <w:bCs w:val="0"/>
          <w:color w:val="auto"/>
          <w:spacing w:val="-20"/>
          <w:sz w:val="180"/>
          <w:szCs w:val="220"/>
          <w:highlight w:val="none"/>
          <w:lang w:val="en-US" w:eastAsia="zh-CN"/>
        </w:rPr>
        <w:drawing>
          <wp:inline distT="0" distB="0" distL="114300" distR="114300">
            <wp:extent cx="2047875" cy="1703070"/>
            <wp:effectExtent l="0" t="0" r="9525" b="11430"/>
            <wp:docPr id="1" name="图片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LOGO"/>
                    <pic:cNvPicPr>
                      <a:picLocks noChangeAspect="1"/>
                    </pic:cNvPicPr>
                  </pic:nvPicPr>
                  <pic:blipFill>
                    <a:blip r:embed="rId6"/>
                    <a:srcRect l="24168" r="25989" b="23596"/>
                    <a:stretch>
                      <a:fillRect/>
                    </a:stretch>
                  </pic:blipFill>
                  <pic:spPr>
                    <a:xfrm>
                      <a:off x="0" y="0"/>
                      <a:ext cx="2047875" cy="1703070"/>
                    </a:xfrm>
                    <a:prstGeom prst="rect">
                      <a:avLst/>
                    </a:prstGeom>
                    <a:noFill/>
                    <a:ln>
                      <a:noFill/>
                    </a:ln>
                  </pic:spPr>
                </pic:pic>
              </a:graphicData>
            </a:graphic>
          </wp:inline>
        </w:drawing>
      </w:r>
      <w:bookmarkEnd w:id="0"/>
    </w:p>
    <w:p>
      <w:pPr>
        <w:pStyle w:val="6"/>
        <w:rPr>
          <w:rFonts w:hint="eastAsia" w:ascii="仿宋" w:hAnsi="仿宋" w:eastAsia="仿宋" w:cs="仿宋"/>
          <w:color w:val="auto"/>
          <w:sz w:val="18"/>
          <w:szCs w:val="18"/>
          <w:highlight w:val="none"/>
        </w:rPr>
      </w:pPr>
    </w:p>
    <w:p>
      <w:pPr>
        <w:rPr>
          <w:rFonts w:hint="eastAsia" w:ascii="仿宋" w:hAnsi="仿宋" w:eastAsia="仿宋" w:cs="仿宋"/>
          <w:color w:val="auto"/>
          <w:highlight w:val="none"/>
        </w:rPr>
      </w:pPr>
    </w:p>
    <w:p>
      <w:pPr>
        <w:jc w:val="center"/>
        <w:rPr>
          <w:rFonts w:hint="eastAsia" w:ascii="仿宋" w:hAnsi="仿宋" w:eastAsia="仿宋" w:cs="仿宋"/>
          <w:b/>
          <w:bCs/>
          <w:color w:val="auto"/>
          <w:sz w:val="32"/>
          <w:szCs w:val="32"/>
          <w:highlight w:val="none"/>
        </w:rPr>
      </w:pPr>
    </w:p>
    <w:p>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陕西龙辰全过程工程咨询有限公司</w:t>
      </w:r>
    </w:p>
    <w:p>
      <w:pPr>
        <w:tabs>
          <w:tab w:val="left" w:pos="525"/>
        </w:tabs>
        <w:ind w:left="0" w:leftChars="0" w:firstLine="0"/>
        <w:jc w:val="center"/>
        <w:rPr>
          <w:rFonts w:hint="eastAsia" w:ascii="仿宋" w:hAnsi="仿宋" w:eastAsia="仿宋" w:cs="仿宋"/>
          <w:b/>
          <w:color w:val="auto"/>
          <w:sz w:val="44"/>
          <w:szCs w:val="44"/>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月</w:t>
      </w:r>
    </w:p>
    <w:p>
      <w:pPr>
        <w:jc w:val="center"/>
        <w:rPr>
          <w:rFonts w:hint="eastAsia" w:ascii="仿宋" w:hAnsi="仿宋" w:eastAsia="仿宋" w:cs="宋体"/>
          <w:b/>
          <w:bCs/>
          <w:color w:val="auto"/>
          <w:kern w:val="44"/>
          <w:sz w:val="44"/>
          <w:szCs w:val="44"/>
          <w:highlight w:val="none"/>
          <w:lang w:val="en-US" w:eastAsia="zh-CN"/>
        </w:rPr>
        <w:sectPr>
          <w:footnotePr>
            <w:numFmt w:val="decimalEnclosedCircleChinese"/>
            <w:numRestart w:val="eachPage"/>
          </w:footnotePr>
          <w:pgSz w:w="11907" w:h="16840"/>
          <w:pgMar w:top="1440" w:right="1361" w:bottom="1440" w:left="1361" w:header="720" w:footer="680" w:gutter="0"/>
          <w:pgBorders>
            <w:top w:val="none" w:sz="0" w:space="0"/>
            <w:left w:val="none" w:sz="0" w:space="0"/>
            <w:bottom w:val="none" w:sz="0" w:space="0"/>
            <w:right w:val="none" w:sz="0" w:space="0"/>
          </w:pgBorders>
          <w:pgNumType w:fmt="decimal"/>
          <w:cols w:space="720" w:num="1"/>
        </w:sectPr>
      </w:pPr>
    </w:p>
    <w:p>
      <w:pPr>
        <w:jc w:val="center"/>
        <w:rPr>
          <w:rFonts w:hint="eastAsia" w:ascii="仿宋" w:hAnsi="仿宋" w:eastAsia="仿宋" w:cs="宋体"/>
          <w:b/>
          <w:bCs/>
          <w:color w:val="auto"/>
          <w:kern w:val="44"/>
          <w:sz w:val="44"/>
          <w:szCs w:val="44"/>
          <w:highlight w:val="none"/>
          <w:lang w:val="en-US" w:eastAsia="zh-CN"/>
        </w:rPr>
      </w:pPr>
      <w:r>
        <w:rPr>
          <w:rFonts w:hint="eastAsia" w:ascii="仿宋" w:hAnsi="仿宋" w:eastAsia="仿宋" w:cs="宋体"/>
          <w:b/>
          <w:bCs/>
          <w:color w:val="auto"/>
          <w:kern w:val="44"/>
          <w:sz w:val="44"/>
          <w:szCs w:val="44"/>
          <w:highlight w:val="none"/>
          <w:lang w:val="en-US" w:eastAsia="zh-CN"/>
        </w:rPr>
        <w:t>特别提醒</w:t>
      </w:r>
    </w:p>
    <w:p>
      <w:pPr>
        <w:widowControl w:val="0"/>
        <w:numPr>
          <w:ilvl w:val="0"/>
          <w:numId w:val="2"/>
        </w:numPr>
        <w:adjustRightInd/>
        <w:snapToGrid/>
        <w:spacing w:after="0" w:line="360" w:lineRule="auto"/>
        <w:ind w:firstLine="480" w:firstLineChars="200"/>
        <w:jc w:val="both"/>
        <w:rPr>
          <w:rStyle w:val="18"/>
          <w:rFonts w:hint="eastAsia" w:ascii="仿宋" w:hAnsi="仿宋" w:eastAsia="仿宋" w:cs="仿宋_GB2312"/>
          <w:b w:val="0"/>
          <w:color w:val="auto"/>
          <w:sz w:val="24"/>
          <w:highlight w:val="none"/>
          <w:shd w:val="clear" w:color="auto" w:fill="FFFFFF"/>
        </w:rPr>
      </w:pPr>
      <w:r>
        <w:rPr>
          <w:rStyle w:val="18"/>
          <w:rFonts w:hint="eastAsia" w:ascii="仿宋" w:hAnsi="仿宋" w:eastAsia="仿宋" w:cs="仿宋_GB2312"/>
          <w:b w:val="0"/>
          <w:color w:val="auto"/>
          <w:sz w:val="24"/>
          <w:highlight w:val="none"/>
          <w:shd w:val="clear" w:color="auto" w:fill="FFFFFF"/>
        </w:rPr>
        <w:t>供应商须按照陕西省财政厅关于政府采购供应商注册登记有关事项的通知中的要求，通过陕西省政府采购网（http://www.ccgp-shaanxi.gov.cn/）注册登记加入陕西省政府采购供应商库。</w:t>
      </w:r>
    </w:p>
    <w:p>
      <w:pPr>
        <w:widowControl w:val="0"/>
        <w:numPr>
          <w:ilvl w:val="0"/>
          <w:numId w:val="2"/>
        </w:numPr>
        <w:adjustRightInd/>
        <w:snapToGrid/>
        <w:spacing w:after="0" w:line="360" w:lineRule="auto"/>
        <w:ind w:firstLine="480" w:firstLineChars="200"/>
        <w:jc w:val="both"/>
        <w:rPr>
          <w:rStyle w:val="18"/>
          <w:rFonts w:hint="eastAsia" w:ascii="仿宋" w:hAnsi="仿宋" w:eastAsia="仿宋" w:cs="仿宋_GB2312"/>
          <w:b w:val="0"/>
          <w:color w:val="auto"/>
          <w:sz w:val="24"/>
          <w:highlight w:val="none"/>
          <w:shd w:val="clear" w:color="auto" w:fill="FFFFFF"/>
        </w:rPr>
      </w:pPr>
      <w:r>
        <w:rPr>
          <w:rStyle w:val="18"/>
          <w:rFonts w:hint="eastAsia" w:ascii="仿宋" w:hAnsi="仿宋" w:eastAsia="仿宋" w:cs="仿宋_GB2312"/>
          <w:b w:val="0"/>
          <w:color w:val="auto"/>
          <w:sz w:val="24"/>
          <w:highlight w:val="none"/>
          <w:shd w:val="clear" w:color="auto" w:fill="FFFFFF"/>
        </w:rPr>
        <w:t>疫情防控期间，各</w:t>
      </w:r>
      <w:r>
        <w:rPr>
          <w:rStyle w:val="18"/>
          <w:rFonts w:hint="eastAsia" w:ascii="仿宋" w:hAnsi="仿宋" w:eastAsia="仿宋" w:cs="仿宋_GB2312"/>
          <w:b w:val="0"/>
          <w:color w:val="auto"/>
          <w:sz w:val="24"/>
          <w:highlight w:val="none"/>
          <w:shd w:val="clear" w:color="auto" w:fill="FFFFFF"/>
          <w:lang w:val="en-US" w:eastAsia="zh-CN"/>
        </w:rPr>
        <w:t>供应商应</w:t>
      </w:r>
      <w:r>
        <w:rPr>
          <w:rStyle w:val="18"/>
          <w:rFonts w:hint="eastAsia" w:ascii="仿宋" w:hAnsi="仿宋" w:eastAsia="仿宋" w:cs="仿宋_GB2312"/>
          <w:b w:val="0"/>
          <w:color w:val="auto"/>
          <w:sz w:val="24"/>
          <w:highlight w:val="none"/>
          <w:shd w:val="clear" w:color="auto" w:fill="FFFFFF"/>
        </w:rPr>
        <w:t>委托一名持绿色健康码的代表前来获取</w:t>
      </w:r>
      <w:r>
        <w:rPr>
          <w:rStyle w:val="18"/>
          <w:rFonts w:hint="eastAsia" w:ascii="仿宋" w:hAnsi="仿宋" w:eastAsia="仿宋" w:cs="仿宋_GB2312"/>
          <w:b w:val="0"/>
          <w:color w:val="auto"/>
          <w:sz w:val="24"/>
          <w:highlight w:val="none"/>
          <w:shd w:val="clear" w:color="auto" w:fill="FFFFFF"/>
          <w:lang w:val="en-US" w:eastAsia="zh-CN"/>
        </w:rPr>
        <w:t>采购</w:t>
      </w:r>
      <w:r>
        <w:rPr>
          <w:rStyle w:val="18"/>
          <w:rFonts w:hint="eastAsia" w:ascii="仿宋" w:hAnsi="仿宋" w:eastAsia="仿宋" w:cs="仿宋_GB2312"/>
          <w:b w:val="0"/>
          <w:color w:val="auto"/>
          <w:sz w:val="24"/>
          <w:highlight w:val="none"/>
          <w:shd w:val="clear" w:color="auto" w:fill="FFFFFF"/>
        </w:rPr>
        <w:t>文件、投标</w:t>
      </w:r>
      <w:r>
        <w:rPr>
          <w:rStyle w:val="18"/>
          <w:rFonts w:hint="eastAsia" w:ascii="仿宋" w:hAnsi="仿宋" w:eastAsia="仿宋" w:cs="仿宋_GB2312"/>
          <w:b w:val="0"/>
          <w:color w:val="auto"/>
          <w:sz w:val="24"/>
          <w:highlight w:val="none"/>
          <w:shd w:val="clear" w:color="auto" w:fill="FFFFFF"/>
          <w:lang w:eastAsia="zh-CN"/>
        </w:rPr>
        <w:t>、</w:t>
      </w:r>
      <w:r>
        <w:rPr>
          <w:rStyle w:val="18"/>
          <w:rFonts w:hint="eastAsia" w:ascii="仿宋" w:hAnsi="仿宋" w:eastAsia="仿宋" w:cs="仿宋_GB2312"/>
          <w:b w:val="0"/>
          <w:color w:val="auto"/>
          <w:sz w:val="24"/>
          <w:highlight w:val="none"/>
          <w:shd w:val="clear" w:color="auto" w:fill="FFFFFF"/>
          <w:lang w:val="en-US" w:eastAsia="zh-CN"/>
        </w:rPr>
        <w:t>开标</w:t>
      </w:r>
      <w:r>
        <w:rPr>
          <w:rStyle w:val="18"/>
          <w:rFonts w:hint="eastAsia" w:ascii="仿宋" w:hAnsi="仿宋" w:eastAsia="仿宋" w:cs="仿宋_GB2312"/>
          <w:b w:val="0"/>
          <w:color w:val="auto"/>
          <w:sz w:val="24"/>
          <w:highlight w:val="none"/>
          <w:shd w:val="clear" w:color="auto" w:fill="FFFFFF"/>
        </w:rPr>
        <w:t>，核酸检测根据政府疫情防控的要求进行查验，开标全程佩戴口罩，做好防护。</w:t>
      </w:r>
    </w:p>
    <w:p>
      <w:pPr>
        <w:widowControl w:val="0"/>
        <w:numPr>
          <w:ilvl w:val="0"/>
          <w:numId w:val="2"/>
        </w:numPr>
        <w:adjustRightInd/>
        <w:snapToGrid/>
        <w:spacing w:after="0" w:line="360" w:lineRule="auto"/>
        <w:ind w:firstLine="480" w:firstLineChars="200"/>
        <w:jc w:val="both"/>
        <w:rPr>
          <w:rStyle w:val="18"/>
          <w:rFonts w:hint="eastAsia" w:ascii="仿宋" w:hAnsi="仿宋" w:eastAsia="仿宋" w:cs="仿宋_GB2312"/>
          <w:b w:val="0"/>
          <w:color w:val="auto"/>
          <w:sz w:val="24"/>
          <w:highlight w:val="none"/>
          <w:shd w:val="clear" w:color="auto" w:fill="FFFFFF"/>
        </w:rPr>
      </w:pPr>
      <w:r>
        <w:rPr>
          <w:rStyle w:val="18"/>
          <w:rFonts w:hint="eastAsia" w:ascii="仿宋" w:hAnsi="仿宋" w:eastAsia="仿宋" w:cs="仿宋_GB2312"/>
          <w:b w:val="0"/>
          <w:color w:val="auto"/>
          <w:sz w:val="24"/>
          <w:highlight w:val="none"/>
          <w:shd w:val="clear" w:color="auto" w:fill="FFFFFF"/>
        </w:rPr>
        <w:t>供应商登记免费领取竞争性磋商文件的，如不参与项目磋商，应在递交磋商响应文件递交截止时间前一日以书面形式告知采购代理机构。否则，采购代理机构可以向财政部门门反映情况并提供相应的佐证。供应商一年内累计出现三次该情形,将被监管部门记录为失信行为。</w:t>
      </w:r>
    </w:p>
    <w:p>
      <w:pPr>
        <w:rPr>
          <w:rFonts w:hint="eastAsia" w:ascii="仿宋" w:hAnsi="仿宋" w:eastAsia="仿宋" w:cs="宋体"/>
          <w:b/>
          <w:bCs/>
          <w:color w:val="auto"/>
          <w:kern w:val="44"/>
          <w:sz w:val="44"/>
          <w:szCs w:val="44"/>
          <w:highlight w:val="none"/>
          <w:lang w:val="en-US" w:eastAsia="zh-CN"/>
        </w:rPr>
      </w:pPr>
    </w:p>
    <w:p>
      <w:pPr>
        <w:rPr>
          <w:rFonts w:hint="eastAsia" w:ascii="仿宋" w:hAnsi="仿宋" w:eastAsia="仿宋" w:cs="宋体"/>
          <w:b/>
          <w:bCs/>
          <w:color w:val="auto"/>
          <w:kern w:val="44"/>
          <w:sz w:val="44"/>
          <w:szCs w:val="44"/>
          <w:highlight w:val="none"/>
        </w:rPr>
      </w:pPr>
      <w:r>
        <w:rPr>
          <w:rFonts w:hint="eastAsia" w:ascii="仿宋" w:hAnsi="仿宋" w:eastAsia="仿宋" w:cs="宋体"/>
          <w:b/>
          <w:bCs/>
          <w:color w:val="auto"/>
          <w:kern w:val="44"/>
          <w:sz w:val="44"/>
          <w:szCs w:val="44"/>
          <w:highlight w:val="none"/>
        </w:rPr>
        <w:br w:type="page"/>
      </w:r>
      <w:bookmarkStart w:id="112" w:name="_GoBack"/>
      <w:bookmarkEnd w:id="112"/>
    </w:p>
    <w:p>
      <w:pPr>
        <w:jc w:val="center"/>
        <w:rPr>
          <w:rFonts w:hint="eastAsia" w:ascii="仿宋" w:hAnsi="仿宋" w:eastAsia="仿宋" w:cs="仿宋"/>
          <w:b/>
          <w:bCs/>
          <w:color w:val="auto"/>
          <w:kern w:val="44"/>
          <w:sz w:val="44"/>
          <w:szCs w:val="44"/>
          <w:highlight w:val="none"/>
          <w:lang w:val="en-US" w:eastAsia="zh-CN"/>
        </w:rPr>
      </w:pPr>
      <w:r>
        <w:rPr>
          <w:rFonts w:hint="eastAsia" w:ascii="仿宋" w:hAnsi="仿宋" w:eastAsia="仿宋" w:cs="仿宋"/>
          <w:b/>
          <w:bCs/>
          <w:color w:val="auto"/>
          <w:kern w:val="44"/>
          <w:sz w:val="44"/>
          <w:szCs w:val="44"/>
          <w:highlight w:val="none"/>
          <w:lang w:val="en-US" w:eastAsia="zh-CN"/>
        </w:rPr>
        <w:t>目录</w:t>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TOC \o "2-2" \h \u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_Toc3365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val="en-US" w:eastAsia="zh-CN"/>
        </w:rPr>
        <w:t>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_Toc3365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_Toc29127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_Toc29127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_Toc4881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第三章 评审办法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_Toc793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第四章 采购内容及要求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_Toc20251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第五章 合同及格式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_Toc20251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_Toc18422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第六章 磋商响应文件格式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_Toc18422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lang w:val="en-US" w:eastAsia="zh-CN"/>
        </w:rPr>
        <w:fldChar w:fldCharType="end"/>
      </w:r>
    </w:p>
    <w:p>
      <w:pPr>
        <w:pStyle w:val="12"/>
        <w:tabs>
          <w:tab w:val="right" w:leader="dot" w:pos="9185"/>
        </w:tabs>
        <w:rPr>
          <w:color w:val="auto"/>
        </w:rPr>
      </w:pPr>
    </w:p>
    <w:p>
      <w:pPr>
        <w:pStyle w:val="14"/>
        <w:rPr>
          <w:rFonts w:hint="eastAsia"/>
          <w:color w:val="auto"/>
          <w:highlight w:val="none"/>
          <w:lang w:val="en-US" w:eastAsia="zh-CN"/>
        </w:rPr>
      </w:pPr>
      <w:r>
        <w:rPr>
          <w:rFonts w:hint="eastAsia" w:ascii="仿宋" w:hAnsi="仿宋" w:eastAsia="仿宋" w:cs="仿宋"/>
          <w:color w:val="auto"/>
          <w:highlight w:val="none"/>
          <w:lang w:val="en-US" w:eastAsia="zh-CN"/>
        </w:rPr>
        <w:fldChar w:fldCharType="end"/>
      </w:r>
    </w:p>
    <w:p>
      <w:pPr>
        <w:rPr>
          <w:rFonts w:hint="eastAsia" w:ascii="仿宋" w:hAnsi="仿宋" w:eastAsia="仿宋" w:cs="宋体"/>
          <w:b/>
          <w:bCs/>
          <w:color w:val="auto"/>
          <w:kern w:val="44"/>
          <w:sz w:val="44"/>
          <w:szCs w:val="44"/>
          <w:highlight w:val="none"/>
        </w:rPr>
      </w:pPr>
      <w:r>
        <w:rPr>
          <w:rFonts w:hint="eastAsia" w:ascii="仿宋" w:hAnsi="仿宋" w:eastAsia="仿宋" w:cs="宋体"/>
          <w:b/>
          <w:bCs/>
          <w:color w:val="auto"/>
          <w:kern w:val="44"/>
          <w:sz w:val="44"/>
          <w:szCs w:val="44"/>
          <w:highlight w:val="none"/>
        </w:rPr>
        <w:br w:type="page"/>
      </w:r>
    </w:p>
    <w:p>
      <w:pPr>
        <w:pStyle w:val="4"/>
        <w:bidi w:val="0"/>
        <w:rPr>
          <w:rFonts w:hint="eastAsia"/>
          <w:color w:val="auto"/>
          <w:highlight w:val="none"/>
        </w:rPr>
      </w:pPr>
      <w:bookmarkStart w:id="1" w:name="_Toc3365"/>
      <w:r>
        <w:rPr>
          <w:rFonts w:hint="eastAsia"/>
          <w:color w:val="auto"/>
          <w:highlight w:val="none"/>
        </w:rPr>
        <w:t>第</w:t>
      </w:r>
      <w:r>
        <w:rPr>
          <w:rFonts w:hint="eastAsia"/>
          <w:color w:val="auto"/>
          <w:highlight w:val="none"/>
          <w:lang w:val="en-US" w:eastAsia="zh-CN"/>
        </w:rPr>
        <w:t>一</w:t>
      </w:r>
      <w:r>
        <w:rPr>
          <w:rFonts w:hint="eastAsia"/>
          <w:color w:val="auto"/>
          <w:highlight w:val="none"/>
        </w:rPr>
        <w:t xml:space="preserve">章 </w:t>
      </w:r>
      <w:r>
        <w:rPr>
          <w:rFonts w:hint="eastAsia"/>
          <w:color w:val="auto"/>
          <w:highlight w:val="none"/>
          <w:lang w:val="en-US" w:eastAsia="zh-CN"/>
        </w:rPr>
        <w:t>竞争性磋商公告</w:t>
      </w:r>
      <w:bookmarkEnd w:id="1"/>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60" w:type="dxa"/>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4"/>
                <w:szCs w:val="24"/>
                <w:highlight w:val="none"/>
                <w:shd w:val="clear" w:color="auto" w:fill="FFFFFF"/>
                <w:lang w:eastAsia="zh-CN"/>
              </w:rPr>
            </w:pPr>
            <w:r>
              <w:rPr>
                <w:rFonts w:hint="eastAsia" w:ascii="仿宋" w:hAnsi="仿宋" w:eastAsia="仿宋" w:cs="仿宋"/>
                <w:b/>
                <w:bCs w:val="0"/>
                <w:i w:val="0"/>
                <w:caps w:val="0"/>
                <w:color w:val="auto"/>
                <w:spacing w:val="0"/>
                <w:sz w:val="24"/>
                <w:szCs w:val="24"/>
                <w:highlight w:val="none"/>
                <w:shd w:val="clear" w:color="auto" w:fill="FFFFFF"/>
                <w:lang w:eastAsia="zh-CN"/>
              </w:rPr>
              <w:t>项目概况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vertAlign w:val="baseline"/>
                <w:lang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花园乡村积分制管理平台建设项目</w:t>
            </w:r>
            <w:r>
              <w:rPr>
                <w:rFonts w:hint="eastAsia" w:ascii="仿宋" w:hAnsi="仿宋" w:eastAsia="仿宋" w:cs="仿宋"/>
                <w:b w:val="0"/>
                <w:bCs/>
                <w:i w:val="0"/>
                <w:caps w:val="0"/>
                <w:color w:val="auto"/>
                <w:spacing w:val="0"/>
                <w:sz w:val="24"/>
                <w:szCs w:val="24"/>
                <w:highlight w:val="none"/>
                <w:shd w:val="clear" w:color="auto" w:fill="FFFFFF"/>
                <w:lang w:val="en-US" w:eastAsia="zh-CN"/>
              </w:rPr>
              <w:t>采购项目的的潜在供应商应在</w:t>
            </w:r>
            <w:r>
              <w:rPr>
                <w:rFonts w:hint="eastAsia" w:ascii="仿宋" w:hAnsi="仿宋" w:eastAsia="仿宋" w:cs="仿宋"/>
                <w:b/>
                <w:bCs w:val="0"/>
                <w:i w:val="0"/>
                <w:caps w:val="0"/>
                <w:color w:val="auto"/>
                <w:spacing w:val="0"/>
                <w:sz w:val="24"/>
                <w:szCs w:val="24"/>
                <w:highlight w:val="none"/>
                <w:shd w:val="clear" w:color="auto" w:fill="FFFFFF"/>
                <w:lang w:val="en-US" w:eastAsia="zh-CN"/>
              </w:rPr>
              <w:t>西安市朱宏路3号陕西省统建管理办公室10楼1007室（西安银行南侧）</w:t>
            </w:r>
            <w:r>
              <w:rPr>
                <w:rFonts w:hint="eastAsia" w:ascii="仿宋" w:hAnsi="仿宋" w:eastAsia="仿宋" w:cs="仿宋"/>
                <w:b w:val="0"/>
                <w:bCs/>
                <w:i w:val="0"/>
                <w:caps w:val="0"/>
                <w:color w:val="auto"/>
                <w:spacing w:val="0"/>
                <w:sz w:val="24"/>
                <w:szCs w:val="24"/>
                <w:highlight w:val="none"/>
                <w:shd w:val="clear" w:color="auto" w:fill="FFFFFF"/>
                <w:lang w:val="en-US" w:eastAsia="zh-CN"/>
              </w:rPr>
              <w:t>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并于2022年11月02日14时30分（北京时间）</w:t>
            </w:r>
            <w:r>
              <w:rPr>
                <w:rFonts w:hint="eastAsia" w:ascii="仿宋" w:hAnsi="仿宋" w:eastAsia="仿宋" w:cs="仿宋"/>
                <w:b w:val="0"/>
                <w:bCs/>
                <w:i w:val="0"/>
                <w:caps w:val="0"/>
                <w:color w:val="auto"/>
                <w:spacing w:val="0"/>
                <w:sz w:val="24"/>
                <w:szCs w:val="24"/>
                <w:highlight w:val="none"/>
                <w:shd w:val="clear" w:color="auto" w:fill="FFFFFF"/>
                <w:lang w:val="en-US" w:eastAsia="zh-CN"/>
              </w:rPr>
              <w:t>前提交响应文件。</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一、项目基本情况：</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项目编号：LC-ZC-2022-011</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项目名称：</w:t>
      </w:r>
      <w:r>
        <w:rPr>
          <w:rFonts w:hint="eastAsia" w:ascii="仿宋" w:hAnsi="仿宋" w:eastAsia="仿宋" w:cs="仿宋"/>
          <w:b/>
          <w:bCs w:val="0"/>
          <w:i w:val="0"/>
          <w:caps w:val="0"/>
          <w:color w:val="auto"/>
          <w:spacing w:val="0"/>
          <w:sz w:val="24"/>
          <w:szCs w:val="24"/>
          <w:highlight w:val="none"/>
          <w:shd w:val="clear" w:color="auto" w:fill="FFFFFF"/>
          <w:lang w:val="en-US" w:eastAsia="zh-CN"/>
        </w:rPr>
        <w:t>花园乡村积分制管理平台建设项目</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采购方式：竞争性磋商</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预算金额：1,175,800.00元</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采购需求：</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合同包1(花园乡村积分制管理平台建设项目):</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合同包预算金额：1,175,800.00元</w:t>
      </w:r>
    </w:p>
    <w:tbl>
      <w:tblPr>
        <w:tblStyle w:val="16"/>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90"/>
        <w:gridCol w:w="780"/>
        <w:gridCol w:w="960"/>
        <w:gridCol w:w="1498"/>
        <w:gridCol w:w="165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3"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品目号</w:t>
            </w:r>
          </w:p>
        </w:tc>
        <w:tc>
          <w:tcPr>
            <w:tcW w:w="1490"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品目名称</w:t>
            </w:r>
          </w:p>
        </w:tc>
        <w:tc>
          <w:tcPr>
            <w:tcW w:w="780"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采购标的</w:t>
            </w:r>
          </w:p>
        </w:tc>
        <w:tc>
          <w:tcPr>
            <w:tcW w:w="960"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数量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（单位）</w:t>
            </w:r>
          </w:p>
        </w:tc>
        <w:tc>
          <w:tcPr>
            <w:tcW w:w="1498"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技术规格、参数及要求</w:t>
            </w:r>
          </w:p>
        </w:tc>
        <w:tc>
          <w:tcPr>
            <w:tcW w:w="1656"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品目预算（元）</w:t>
            </w:r>
          </w:p>
        </w:tc>
        <w:tc>
          <w:tcPr>
            <w:tcW w:w="962"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仿宋" w:hAnsi="仿宋" w:eastAsia="仿宋" w:cs="仿宋"/>
                <w:b/>
                <w:bCs/>
                <w:i w:val="0"/>
                <w:caps w:val="0"/>
                <w:color w:val="auto"/>
                <w:spacing w:val="0"/>
                <w:sz w:val="21"/>
                <w:szCs w:val="21"/>
                <w:highlight w:val="none"/>
                <w:shd w:val="clear" w:color="auto" w:fill="FFFFFF"/>
                <w:vertAlign w:val="baseline"/>
                <w:lang w:val="en-US" w:eastAsia="zh-CN"/>
              </w:rPr>
            </w:pPr>
            <w:r>
              <w:rPr>
                <w:rFonts w:hint="eastAsia" w:ascii="仿宋" w:hAnsi="仿宋" w:eastAsia="仿宋" w:cs="仿宋"/>
                <w:b/>
                <w:bCs/>
                <w:i w:val="0"/>
                <w:caps w:val="0"/>
                <w:color w:val="auto"/>
                <w:spacing w:val="0"/>
                <w:sz w:val="21"/>
                <w:szCs w:val="21"/>
                <w:highlight w:val="none"/>
                <w:shd w:val="clear" w:color="auto" w:fill="FFFFFF"/>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33"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1-1</w:t>
            </w:r>
          </w:p>
        </w:tc>
        <w:tc>
          <w:tcPr>
            <w:tcW w:w="1490"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通用应用软件开发服务</w:t>
            </w:r>
          </w:p>
        </w:tc>
        <w:tc>
          <w:tcPr>
            <w:tcW w:w="780"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服务</w:t>
            </w:r>
          </w:p>
        </w:tc>
        <w:tc>
          <w:tcPr>
            <w:tcW w:w="960"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1（项）</w:t>
            </w:r>
          </w:p>
        </w:tc>
        <w:tc>
          <w:tcPr>
            <w:tcW w:w="1498"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详见采购文件</w:t>
            </w:r>
          </w:p>
        </w:tc>
        <w:tc>
          <w:tcPr>
            <w:tcW w:w="1656"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1,175,800.00</w:t>
            </w:r>
          </w:p>
        </w:tc>
        <w:tc>
          <w:tcPr>
            <w:tcW w:w="962" w:type="dxa"/>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right"/>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w:t>
            </w:r>
          </w:p>
        </w:tc>
      </w:tr>
    </w:tbl>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本合同包不接受联合体投标</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合同履行期限：</w:t>
      </w:r>
      <w:r>
        <w:rPr>
          <w:rFonts w:hint="eastAsia" w:ascii="仿宋" w:hAnsi="仿宋" w:eastAsia="仿宋" w:cs="仿宋"/>
          <w:color w:val="auto"/>
          <w:sz w:val="24"/>
          <w:szCs w:val="24"/>
          <w:highlight w:val="none"/>
          <w:lang w:val="en-US" w:eastAsia="zh-CN"/>
        </w:rPr>
        <w:t>自合同签订之日起45个日历日内完成软件的开发、硬件供货、安装、调试并正常运行，运行维护服务期1年。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rPr>
        <w:t>二、 申请人的资格要求：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1、满足《中华人民共和国政府采购法》第二十二条规定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2、落实政府采购政策需满足的资格要求：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bCs/>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合同包1(</w:t>
      </w:r>
      <w:r>
        <w:rPr>
          <w:rFonts w:hint="eastAsia" w:ascii="仿宋" w:hAnsi="仿宋" w:eastAsia="仿宋" w:cs="仿宋"/>
          <w:i w:val="0"/>
          <w:caps w:val="0"/>
          <w:color w:val="auto"/>
          <w:spacing w:val="0"/>
          <w:sz w:val="24"/>
          <w:szCs w:val="24"/>
          <w:highlight w:val="none"/>
          <w:shd w:val="clear" w:color="auto" w:fill="FFFFFF"/>
          <w:lang w:eastAsia="zh-CN"/>
        </w:rPr>
        <w:t>花园乡村积分制管理平台建设项目</w:t>
      </w:r>
      <w:r>
        <w:rPr>
          <w:rFonts w:hint="eastAsia" w:ascii="仿宋" w:hAnsi="仿宋" w:eastAsia="仿宋" w:cs="仿宋"/>
          <w:i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b/>
          <w:bCs/>
          <w:i w:val="0"/>
          <w:caps w:val="0"/>
          <w:color w:val="auto"/>
          <w:spacing w:val="0"/>
          <w:sz w:val="24"/>
          <w:szCs w:val="24"/>
          <w:highlight w:val="none"/>
          <w:shd w:val="clear" w:color="auto" w:fill="FFFFFF"/>
          <w:lang w:val="en-US" w:eastAsia="zh-CN"/>
        </w:rPr>
        <w:t>本项目非专门面向中小企业采购。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3、本项目的特定资格要求：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合同包1(</w:t>
      </w:r>
      <w:r>
        <w:rPr>
          <w:rFonts w:hint="eastAsia" w:ascii="仿宋" w:hAnsi="仿宋" w:eastAsia="仿宋" w:cs="仿宋"/>
          <w:i w:val="0"/>
          <w:caps w:val="0"/>
          <w:color w:val="auto"/>
          <w:spacing w:val="0"/>
          <w:sz w:val="24"/>
          <w:szCs w:val="24"/>
          <w:highlight w:val="none"/>
          <w:shd w:val="clear" w:color="auto" w:fill="FFFFFF"/>
          <w:lang w:eastAsia="zh-CN"/>
        </w:rPr>
        <w:t>花园乡村积分制管理平台建设项目</w:t>
      </w:r>
      <w:r>
        <w:rPr>
          <w:rFonts w:hint="eastAsia" w:ascii="仿宋" w:hAnsi="仿宋" w:eastAsia="仿宋" w:cs="仿宋"/>
          <w:i w:val="0"/>
          <w:caps w:val="0"/>
          <w:color w:val="auto"/>
          <w:spacing w:val="0"/>
          <w:sz w:val="24"/>
          <w:szCs w:val="24"/>
          <w:highlight w:val="none"/>
          <w:shd w:val="clear" w:color="auto" w:fill="FFFFFF"/>
        </w:rPr>
        <w:t>)特定资格要求如下: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法定代表人授权书（附法定代表人、被授权人身份证复印件）及被授权人身份证（法定代表人直接参加磋商，须提供法定代表人身份证明及身份证原件）；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i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i w:val="0"/>
          <w:caps w:val="0"/>
          <w:color w:val="auto"/>
          <w:spacing w:val="0"/>
          <w:sz w:val="24"/>
          <w:szCs w:val="24"/>
          <w:highlight w:val="none"/>
          <w:shd w:val="clear" w:color="auto" w:fill="FFFFFF"/>
        </w:rPr>
      </w:pPr>
      <w:r>
        <w:rPr>
          <w:rFonts w:hint="eastAsia" w:ascii="仿宋" w:hAnsi="仿宋" w:eastAsia="仿宋" w:cs="仿宋"/>
          <w:b/>
          <w:bCs/>
          <w:i w:val="0"/>
          <w:caps w:val="0"/>
          <w:color w:val="auto"/>
          <w:spacing w:val="0"/>
          <w:sz w:val="24"/>
          <w:szCs w:val="24"/>
          <w:highlight w:val="none"/>
          <w:shd w:val="clear" w:color="auto" w:fill="FFFFFF"/>
        </w:rPr>
        <w:t>三、获取采购文件</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w:t>
      </w:r>
      <w:r>
        <w:rPr>
          <w:rFonts w:hint="eastAsia" w:ascii="仿宋" w:hAnsi="仿宋" w:eastAsia="仿宋" w:cs="仿宋"/>
          <w:b w:val="0"/>
          <w:bCs/>
          <w:i w:val="0"/>
          <w:caps w:val="0"/>
          <w:color w:val="auto"/>
          <w:spacing w:val="0"/>
          <w:sz w:val="24"/>
          <w:szCs w:val="24"/>
          <w:highlight w:val="none"/>
          <w:shd w:val="clear" w:color="auto" w:fill="FFFFFF"/>
          <w:lang w:val="en-US" w:eastAsia="zh-CN"/>
        </w:rPr>
        <w:t>2022年10月20日至2022年10月26日</w:t>
      </w:r>
      <w:r>
        <w:rPr>
          <w:rFonts w:hint="eastAsia" w:ascii="仿宋" w:hAnsi="仿宋" w:eastAsia="仿宋" w:cs="仿宋"/>
          <w:b w:val="0"/>
          <w:bCs/>
          <w:i w:val="0"/>
          <w:caps w:val="0"/>
          <w:color w:val="auto"/>
          <w:spacing w:val="0"/>
          <w:sz w:val="24"/>
          <w:szCs w:val="24"/>
          <w:highlight w:val="none"/>
          <w:shd w:val="clear" w:color="auto" w:fill="FFFFFF"/>
          <w:lang w:val="en-US" w:eastAsia="zh-CN"/>
        </w:rPr>
        <w:t>，每天上午09:00:00至12:00:00，下午14:00:00至17:00:00（北京时间）</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地点：西安市朱宏路3号陕西省统建管理办公室10楼1007室（西安银行南侧）。</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方式：现场获取</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售价：0元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default" w:ascii="仿宋" w:hAnsi="仿宋" w:eastAsia="仿宋" w:cs="仿宋"/>
          <w:b/>
          <w:bCs/>
          <w:i w:val="0"/>
          <w:caps w:val="0"/>
          <w:color w:val="auto"/>
          <w:spacing w:val="0"/>
          <w:sz w:val="24"/>
          <w:szCs w:val="24"/>
          <w:highlight w:val="none"/>
          <w:shd w:val="clear" w:color="auto" w:fill="FFFFFF"/>
          <w:lang w:val="en-US" w:eastAsia="zh-CN"/>
        </w:rPr>
      </w:pPr>
      <w:r>
        <w:rPr>
          <w:rFonts w:hint="eastAsia" w:ascii="仿宋" w:hAnsi="仿宋" w:eastAsia="仿宋" w:cs="仿宋"/>
          <w:b/>
          <w:bCs/>
          <w:i w:val="0"/>
          <w:caps w:val="0"/>
          <w:color w:val="auto"/>
          <w:spacing w:val="0"/>
          <w:sz w:val="24"/>
          <w:szCs w:val="24"/>
          <w:highlight w:val="none"/>
          <w:shd w:val="clear" w:color="auto" w:fill="FFFFFF"/>
          <w:lang w:val="en-US" w:eastAsia="zh-CN"/>
        </w:rPr>
        <w:t>四、提交投标文件截止时间、开标时间和地点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时间：</w:t>
      </w:r>
      <w:r>
        <w:rPr>
          <w:rFonts w:hint="eastAsia" w:ascii="仿宋" w:hAnsi="仿宋" w:eastAsia="仿宋" w:cs="仿宋"/>
          <w:i w:val="0"/>
          <w:caps w:val="0"/>
          <w:color w:val="auto"/>
          <w:spacing w:val="0"/>
          <w:sz w:val="24"/>
          <w:szCs w:val="24"/>
          <w:highlight w:val="none"/>
          <w:shd w:val="clear" w:color="auto" w:fill="FFFFFF"/>
        </w:rPr>
        <w:t>2022年</w:t>
      </w:r>
      <w:r>
        <w:rPr>
          <w:rFonts w:hint="eastAsia" w:ascii="仿宋" w:hAnsi="仿宋" w:eastAsia="仿宋" w:cs="仿宋"/>
          <w:i w:val="0"/>
          <w:caps w:val="0"/>
          <w:color w:val="auto"/>
          <w:spacing w:val="0"/>
          <w:sz w:val="24"/>
          <w:szCs w:val="24"/>
          <w:highlight w:val="none"/>
          <w:shd w:val="clear" w:color="auto" w:fill="FFFFFF"/>
          <w:lang w:val="en-US" w:eastAsia="zh-CN"/>
        </w:rPr>
        <w:t>11</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02</w:t>
      </w:r>
      <w:r>
        <w:rPr>
          <w:rFonts w:hint="eastAsia" w:ascii="仿宋" w:hAnsi="仿宋" w:eastAsia="仿宋" w:cs="仿宋"/>
          <w:i w:val="0"/>
          <w:caps w:val="0"/>
          <w:color w:val="auto"/>
          <w:spacing w:val="0"/>
          <w:sz w:val="24"/>
          <w:szCs w:val="24"/>
          <w:highlight w:val="none"/>
          <w:shd w:val="clear" w:color="auto" w:fill="FFFFFF"/>
        </w:rPr>
        <w:t>日</w:t>
      </w:r>
      <w:r>
        <w:rPr>
          <w:rFonts w:hint="eastAsia" w:ascii="仿宋" w:hAnsi="仿宋" w:eastAsia="仿宋" w:cs="仿宋"/>
          <w:i w:val="0"/>
          <w:caps w:val="0"/>
          <w:color w:val="auto"/>
          <w:spacing w:val="0"/>
          <w:sz w:val="24"/>
          <w:szCs w:val="24"/>
          <w:highlight w:val="none"/>
          <w:shd w:val="clear" w:color="auto" w:fill="FFFFFF"/>
          <w:lang w:val="en-US" w:eastAsia="zh-CN"/>
        </w:rPr>
        <w:t>14</w:t>
      </w:r>
      <w:r>
        <w:rPr>
          <w:rFonts w:hint="eastAsia" w:ascii="仿宋" w:hAnsi="仿宋" w:eastAsia="仿宋" w:cs="仿宋"/>
          <w:i w:val="0"/>
          <w:caps w:val="0"/>
          <w:color w:val="auto"/>
          <w:spacing w:val="0"/>
          <w:sz w:val="24"/>
          <w:szCs w:val="24"/>
          <w:highlight w:val="none"/>
          <w:shd w:val="clear" w:color="auto" w:fill="FFFFFF"/>
        </w:rPr>
        <w:t>时30分00秒（北京时间）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val="en-US" w:eastAsia="zh-CN"/>
        </w:rPr>
        <w:t>提交投标文件</w:t>
      </w:r>
      <w:r>
        <w:rPr>
          <w:rFonts w:hint="eastAsia" w:ascii="仿宋" w:hAnsi="仿宋" w:eastAsia="仿宋" w:cs="仿宋"/>
          <w:i w:val="0"/>
          <w:caps w:val="0"/>
          <w:color w:val="auto"/>
          <w:spacing w:val="0"/>
          <w:sz w:val="24"/>
          <w:szCs w:val="24"/>
          <w:highlight w:val="none"/>
          <w:shd w:val="clear" w:color="auto" w:fill="FFFFFF"/>
        </w:rPr>
        <w:t>地点：</w:t>
      </w:r>
      <w:r>
        <w:rPr>
          <w:rFonts w:hint="eastAsia" w:ascii="仿宋" w:hAnsi="仿宋" w:eastAsia="仿宋" w:cs="仿宋"/>
          <w:i w:val="0"/>
          <w:caps w:val="0"/>
          <w:color w:val="auto"/>
          <w:spacing w:val="0"/>
          <w:sz w:val="24"/>
          <w:szCs w:val="24"/>
          <w:highlight w:val="none"/>
          <w:shd w:val="clear" w:color="auto" w:fill="FFFFFF"/>
          <w:lang w:eastAsia="zh-CN"/>
        </w:rPr>
        <w:t>西安市朱宏路3号陕西省统建管理办公室10楼</w:t>
      </w:r>
      <w:r>
        <w:rPr>
          <w:rFonts w:hint="eastAsia" w:ascii="仿宋" w:hAnsi="仿宋" w:eastAsia="仿宋" w:cs="仿宋"/>
          <w:i w:val="0"/>
          <w:caps w:val="0"/>
          <w:color w:val="auto"/>
          <w:spacing w:val="0"/>
          <w:sz w:val="24"/>
          <w:szCs w:val="24"/>
          <w:highlight w:val="none"/>
          <w:shd w:val="clear" w:color="auto" w:fill="FFFFFF"/>
          <w:lang w:val="en-US" w:eastAsia="zh-CN"/>
        </w:rPr>
        <w:t>1014室</w:t>
      </w:r>
      <w:r>
        <w:rPr>
          <w:rFonts w:hint="eastAsia" w:ascii="仿宋" w:hAnsi="仿宋" w:eastAsia="仿宋" w:cs="仿宋"/>
          <w:i w:val="0"/>
          <w:caps w:val="0"/>
          <w:color w:val="auto"/>
          <w:spacing w:val="0"/>
          <w:sz w:val="24"/>
          <w:szCs w:val="24"/>
          <w:highlight w:val="none"/>
          <w:shd w:val="clear" w:color="auto" w:fill="FFFFFF"/>
          <w:lang w:eastAsia="zh-CN"/>
        </w:rPr>
        <w:t>（西安银行南侧）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val="en-US" w:eastAsia="zh-CN"/>
        </w:rPr>
        <w:t>开标</w:t>
      </w:r>
      <w:r>
        <w:rPr>
          <w:rFonts w:hint="eastAsia" w:ascii="仿宋" w:hAnsi="仿宋" w:eastAsia="仿宋" w:cs="仿宋"/>
          <w:i w:val="0"/>
          <w:caps w:val="0"/>
          <w:color w:val="auto"/>
          <w:spacing w:val="0"/>
          <w:sz w:val="24"/>
          <w:szCs w:val="24"/>
          <w:highlight w:val="none"/>
          <w:shd w:val="clear" w:color="auto" w:fill="FFFFFF"/>
        </w:rPr>
        <w:t>地点：</w:t>
      </w:r>
      <w:r>
        <w:rPr>
          <w:rFonts w:hint="eastAsia" w:ascii="仿宋" w:hAnsi="仿宋" w:eastAsia="仿宋" w:cs="仿宋"/>
          <w:i w:val="0"/>
          <w:caps w:val="0"/>
          <w:color w:val="auto"/>
          <w:spacing w:val="0"/>
          <w:sz w:val="24"/>
          <w:szCs w:val="24"/>
          <w:highlight w:val="none"/>
          <w:shd w:val="clear" w:color="auto" w:fill="FFFFFF"/>
          <w:lang w:eastAsia="zh-CN"/>
        </w:rPr>
        <w:t>西安市朱宏路3号陕西省统建管理办公室10楼</w:t>
      </w:r>
      <w:r>
        <w:rPr>
          <w:rFonts w:hint="eastAsia" w:ascii="仿宋" w:hAnsi="仿宋" w:eastAsia="仿宋" w:cs="仿宋"/>
          <w:i w:val="0"/>
          <w:caps w:val="0"/>
          <w:color w:val="auto"/>
          <w:spacing w:val="0"/>
          <w:sz w:val="24"/>
          <w:szCs w:val="24"/>
          <w:highlight w:val="none"/>
          <w:shd w:val="clear" w:color="auto" w:fill="FFFFFF"/>
          <w:lang w:val="en-US" w:eastAsia="zh-CN"/>
        </w:rPr>
        <w:t>1014室</w:t>
      </w:r>
      <w:r>
        <w:rPr>
          <w:rFonts w:hint="eastAsia" w:ascii="仿宋" w:hAnsi="仿宋" w:eastAsia="仿宋" w:cs="仿宋"/>
          <w:i w:val="0"/>
          <w:caps w:val="0"/>
          <w:color w:val="auto"/>
          <w:spacing w:val="0"/>
          <w:sz w:val="24"/>
          <w:szCs w:val="24"/>
          <w:highlight w:val="none"/>
          <w:shd w:val="clear" w:color="auto" w:fill="FFFFFF"/>
          <w:lang w:eastAsia="zh-CN"/>
        </w:rPr>
        <w:t>（西安银行南侧）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i w:val="0"/>
          <w:caps w:val="0"/>
          <w:color w:val="auto"/>
          <w:spacing w:val="0"/>
          <w:sz w:val="24"/>
          <w:szCs w:val="24"/>
          <w:highlight w:val="none"/>
          <w:shd w:val="clear" w:color="auto" w:fill="FFFFFF"/>
        </w:rPr>
      </w:pPr>
      <w:r>
        <w:rPr>
          <w:rFonts w:hint="eastAsia" w:ascii="仿宋" w:hAnsi="仿宋" w:eastAsia="仿宋" w:cs="仿宋"/>
          <w:b/>
          <w:bCs/>
          <w:i w:val="0"/>
          <w:caps w:val="0"/>
          <w:color w:val="auto"/>
          <w:spacing w:val="0"/>
          <w:sz w:val="24"/>
          <w:szCs w:val="24"/>
          <w:highlight w:val="none"/>
          <w:shd w:val="clear" w:color="auto" w:fill="FFFFFF"/>
          <w:lang w:val="en-US" w:eastAsia="zh-CN"/>
        </w:rPr>
        <w:t>五</w:t>
      </w:r>
      <w:r>
        <w:rPr>
          <w:rFonts w:hint="eastAsia" w:ascii="仿宋" w:hAnsi="仿宋" w:eastAsia="仿宋" w:cs="仿宋"/>
          <w:b/>
          <w:bCs/>
          <w:i w:val="0"/>
          <w:caps w:val="0"/>
          <w:color w:val="auto"/>
          <w:spacing w:val="0"/>
          <w:sz w:val="24"/>
          <w:szCs w:val="24"/>
          <w:highlight w:val="none"/>
          <w:shd w:val="clear" w:color="auto" w:fill="FFFFFF"/>
        </w:rPr>
        <w:t>、公告期限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自本公告发布之日起3个工作日。</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lang w:val="en-US" w:eastAsia="zh-CN"/>
        </w:rPr>
        <w:t>六</w:t>
      </w:r>
      <w:r>
        <w:rPr>
          <w:rFonts w:hint="eastAsia" w:ascii="仿宋" w:hAnsi="仿宋" w:eastAsia="仿宋" w:cs="仿宋"/>
          <w:b/>
          <w:i w:val="0"/>
          <w:caps w:val="0"/>
          <w:color w:val="auto"/>
          <w:spacing w:val="0"/>
          <w:sz w:val="24"/>
          <w:szCs w:val="24"/>
          <w:highlight w:val="none"/>
          <w:shd w:val="clear" w:color="auto" w:fill="FFFFFF"/>
        </w:rPr>
        <w:t>、其他补充事宜</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（一）获取竞争性磋商文件请携带单位介绍信原件,经办人身份证原件及加盖供应商公章的复印件。（二）落实的政府采购政策：（1）《政府采购促进中小企业发展管理办法》（财库〔2020〕46号）；（2）《财政部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w:t>
      </w:r>
      <w:r>
        <w:rPr>
          <w:rFonts w:hint="eastAsia" w:ascii="仿宋" w:hAnsi="仿宋" w:eastAsia="仿宋" w:cs="宋体"/>
          <w:color w:val="auto"/>
          <w:sz w:val="24"/>
          <w:szCs w:val="24"/>
          <w:highlight w:val="none"/>
        </w:rPr>
        <w:t>《关于印发节能产品政府采购品目清单的通知》（财库〔2019〕19号）</w:t>
      </w:r>
      <w:r>
        <w:rPr>
          <w:rFonts w:hint="eastAsia" w:ascii="仿宋" w:hAnsi="仿宋" w:eastAsia="仿宋" w:cs="仿宋"/>
          <w:b w:val="0"/>
          <w:bCs/>
          <w:i w:val="0"/>
          <w:caps w:val="0"/>
          <w:color w:val="auto"/>
          <w:spacing w:val="0"/>
          <w:sz w:val="24"/>
          <w:szCs w:val="24"/>
          <w:highlight w:val="none"/>
          <w:shd w:val="clear" w:color="auto" w:fill="FFFFFF"/>
          <w:lang w:val="en-US" w:eastAsia="zh-CN"/>
        </w:rPr>
        <w:t>；（5）</w:t>
      </w:r>
      <w:r>
        <w:rPr>
          <w:rFonts w:hint="eastAsia" w:ascii="仿宋" w:hAnsi="仿宋" w:eastAsia="仿宋" w:cs="宋体"/>
          <w:color w:val="auto"/>
          <w:sz w:val="24"/>
          <w:szCs w:val="24"/>
          <w:highlight w:val="none"/>
        </w:rPr>
        <w:t>《关于印发环境标志产品政府采购品目清单的通知》（财库〔2019〕18号）</w:t>
      </w:r>
      <w:r>
        <w:rPr>
          <w:rFonts w:hint="eastAsia" w:ascii="仿宋" w:hAnsi="仿宋" w:eastAsia="仿宋" w:cs="仿宋"/>
          <w:b w:val="0"/>
          <w:bCs/>
          <w:i w:val="0"/>
          <w:caps w:val="0"/>
          <w:color w:val="auto"/>
          <w:spacing w:val="0"/>
          <w:sz w:val="24"/>
          <w:szCs w:val="24"/>
          <w:highlight w:val="none"/>
          <w:shd w:val="clear" w:color="auto" w:fill="FFFFFF"/>
          <w:lang w:val="en-US" w:eastAsia="zh-CN"/>
        </w:rPr>
        <w:t>；（6）《三部门联合发布关于促进残疾人就业政府采购政策的通知》（财库〔2017〕141号）；（7）《财政部 发展改革委 生态环境部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w:t>
      </w:r>
      <w:r>
        <w:rPr>
          <w:rFonts w:hint="eastAsia" w:ascii="仿宋" w:hAnsi="仿宋" w:eastAsia="仿宋" w:cs="仿宋"/>
          <w:i w:val="0"/>
          <w:caps w:val="0"/>
          <w:color w:val="auto"/>
          <w:spacing w:val="0"/>
          <w:sz w:val="24"/>
          <w:szCs w:val="24"/>
          <w:highlight w:val="none"/>
          <w:shd w:val="clear" w:color="auto" w:fill="FFFFFF"/>
        </w:rPr>
        <w:t>《陕西省财政厅关于加快推进我省中小企业政府采购信用融资工作的通知》（陕财办釆［2020］15号）</w:t>
      </w:r>
      <w:r>
        <w:rPr>
          <w:rFonts w:hint="eastAsia" w:ascii="仿宋" w:hAnsi="仿宋" w:eastAsia="仿宋" w:cs="仿宋"/>
          <w:b w:val="0"/>
          <w:bCs/>
          <w:i w:val="0"/>
          <w:caps w:val="0"/>
          <w:color w:val="auto"/>
          <w:spacing w:val="0"/>
          <w:sz w:val="24"/>
          <w:szCs w:val="24"/>
          <w:highlight w:val="none"/>
          <w:shd w:val="clear" w:color="auto" w:fill="FFFFFF"/>
          <w:lang w:val="en-US" w:eastAsia="zh-CN"/>
        </w:rPr>
        <w:t>；（11）其他需要落实的政府采购政策，详见磋商文件。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lang w:val="en-US" w:eastAsia="zh-CN"/>
        </w:rPr>
        <w:t>七</w:t>
      </w:r>
      <w:r>
        <w:rPr>
          <w:rFonts w:hint="eastAsia" w:ascii="仿宋" w:hAnsi="仿宋" w:eastAsia="仿宋" w:cs="仿宋"/>
          <w:b/>
          <w:i w:val="0"/>
          <w:caps w:val="0"/>
          <w:color w:val="auto"/>
          <w:spacing w:val="0"/>
          <w:sz w:val="24"/>
          <w:szCs w:val="24"/>
          <w:highlight w:val="none"/>
          <w:shd w:val="clear" w:color="auto" w:fill="FFFFFF"/>
        </w:rPr>
        <w:t>、对本次采购提出询问，请按以下方式联系。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highlight w:val="none"/>
          <w:shd w:val="clear" w:color="auto" w:fill="FFFFFF"/>
        </w:rPr>
        <w:t>采购人信息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val="en-US" w:eastAsia="zh-CN"/>
        </w:rPr>
        <w:t>名称：西安市长安区农业培训中心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地址：</w:t>
      </w:r>
      <w:r>
        <w:rPr>
          <w:rFonts w:hint="eastAsia" w:ascii="仿宋" w:hAnsi="仿宋" w:eastAsia="仿宋" w:cs="仿宋"/>
          <w:i w:val="0"/>
          <w:caps w:val="0"/>
          <w:color w:val="auto"/>
          <w:spacing w:val="0"/>
          <w:sz w:val="24"/>
          <w:szCs w:val="24"/>
          <w:highlight w:val="none"/>
          <w:shd w:val="clear" w:color="auto" w:fill="FFFFFF"/>
          <w:lang w:val="en-US" w:eastAsia="zh-CN"/>
        </w:rPr>
        <w:t>西安市长安区韦曲北街2188号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联系方式：</w:t>
      </w:r>
      <w:r>
        <w:rPr>
          <w:rFonts w:hint="eastAsia" w:ascii="仿宋" w:hAnsi="仿宋" w:eastAsia="仿宋" w:cs="仿宋"/>
          <w:i w:val="0"/>
          <w:caps w:val="0"/>
          <w:color w:val="auto"/>
          <w:spacing w:val="0"/>
          <w:sz w:val="24"/>
          <w:szCs w:val="24"/>
          <w:highlight w:val="none"/>
          <w:shd w:val="clear" w:color="auto" w:fill="FFFFFF"/>
          <w:lang w:val="en-US" w:eastAsia="zh-CN"/>
        </w:rPr>
        <w:t>13468848118</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采购代理机构信息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rPr>
        <w:t>名称：</w:t>
      </w:r>
      <w:r>
        <w:rPr>
          <w:rFonts w:hint="eastAsia" w:ascii="仿宋" w:hAnsi="仿宋" w:eastAsia="仿宋" w:cs="仿宋"/>
          <w:i w:val="0"/>
          <w:caps w:val="0"/>
          <w:color w:val="auto"/>
          <w:spacing w:val="0"/>
          <w:sz w:val="24"/>
          <w:szCs w:val="24"/>
          <w:highlight w:val="none"/>
          <w:shd w:val="clear" w:color="auto" w:fill="FFFFFF"/>
          <w:lang w:eastAsia="zh-CN"/>
        </w:rPr>
        <w:t>陕西龙辰全过程工程咨询有限公司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rPr>
        <w:t>地址：</w:t>
      </w:r>
      <w:r>
        <w:rPr>
          <w:rFonts w:hint="eastAsia" w:ascii="仿宋" w:hAnsi="仿宋" w:eastAsia="仿宋" w:cs="仿宋"/>
          <w:i w:val="0"/>
          <w:caps w:val="0"/>
          <w:color w:val="auto"/>
          <w:spacing w:val="0"/>
          <w:sz w:val="24"/>
          <w:szCs w:val="24"/>
          <w:highlight w:val="none"/>
          <w:shd w:val="clear" w:color="auto" w:fill="FFFFFF"/>
          <w:lang w:eastAsia="zh-CN"/>
        </w:rPr>
        <w:t>西安市朱宏路3号陕西省统建管理办公室10楼（西安银行南侧）。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rPr>
        <w:t>联系方式：</w:t>
      </w:r>
      <w:r>
        <w:rPr>
          <w:rFonts w:hint="eastAsia" w:ascii="仿宋" w:hAnsi="仿宋" w:eastAsia="仿宋" w:cs="仿宋"/>
          <w:i w:val="0"/>
          <w:caps w:val="0"/>
          <w:color w:val="auto"/>
          <w:spacing w:val="0"/>
          <w:sz w:val="24"/>
          <w:szCs w:val="24"/>
          <w:highlight w:val="none"/>
          <w:shd w:val="clear" w:color="auto" w:fill="FFFFFF"/>
          <w:lang w:eastAsia="zh-CN"/>
        </w:rPr>
        <w:t>029-86350681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3.项目联系方式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rPr>
        <w:t>项目联系人：</w:t>
      </w:r>
      <w:r>
        <w:rPr>
          <w:rFonts w:hint="eastAsia" w:ascii="仿宋" w:hAnsi="仿宋" w:eastAsia="仿宋" w:cs="仿宋"/>
          <w:i w:val="0"/>
          <w:caps w:val="0"/>
          <w:color w:val="auto"/>
          <w:spacing w:val="0"/>
          <w:sz w:val="24"/>
          <w:szCs w:val="24"/>
          <w:highlight w:val="none"/>
          <w:shd w:val="clear" w:color="auto" w:fill="FFFFFF"/>
          <w:lang w:val="en-US" w:eastAsia="zh-CN"/>
        </w:rPr>
        <w:t>乔工、魏工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rPr>
        <w:t>电话：</w:t>
      </w:r>
      <w:r>
        <w:rPr>
          <w:rFonts w:hint="eastAsia" w:ascii="仿宋" w:hAnsi="仿宋" w:eastAsia="仿宋" w:cs="仿宋"/>
          <w:i w:val="0"/>
          <w:caps w:val="0"/>
          <w:color w:val="auto"/>
          <w:spacing w:val="0"/>
          <w:sz w:val="24"/>
          <w:szCs w:val="24"/>
          <w:highlight w:val="none"/>
          <w:shd w:val="clear" w:color="auto" w:fill="FFFFFF"/>
          <w:lang w:eastAsia="zh-CN"/>
        </w:rPr>
        <w:t>029-86350681</w:t>
      </w:r>
    </w:p>
    <w:p>
      <w:pPr>
        <w:rPr>
          <w:rFonts w:hint="eastAsia" w:ascii="仿宋" w:hAnsi="仿宋" w:eastAsia="仿宋" w:cs="宋体"/>
          <w:b/>
          <w:bCs/>
          <w:color w:val="auto"/>
          <w:kern w:val="44"/>
          <w:sz w:val="44"/>
          <w:szCs w:val="44"/>
          <w:highlight w:val="none"/>
        </w:rPr>
      </w:pPr>
    </w:p>
    <w:p>
      <w:pPr>
        <w:rPr>
          <w:rFonts w:hint="eastAsia" w:ascii="仿宋" w:hAnsi="仿宋" w:eastAsia="仿宋" w:cs="宋体"/>
          <w:b/>
          <w:bCs/>
          <w:color w:val="auto"/>
          <w:kern w:val="44"/>
          <w:sz w:val="44"/>
          <w:szCs w:val="44"/>
          <w:highlight w:val="none"/>
        </w:rPr>
      </w:pPr>
      <w:r>
        <w:rPr>
          <w:rFonts w:hint="eastAsia" w:ascii="仿宋" w:hAnsi="仿宋" w:eastAsia="仿宋" w:cs="宋体"/>
          <w:b/>
          <w:bCs/>
          <w:color w:val="auto"/>
          <w:kern w:val="44"/>
          <w:sz w:val="44"/>
          <w:szCs w:val="44"/>
          <w:highlight w:val="none"/>
        </w:rPr>
        <w:br w:type="page"/>
      </w:r>
    </w:p>
    <w:p>
      <w:pPr>
        <w:pStyle w:val="4"/>
        <w:bidi w:val="0"/>
        <w:rPr>
          <w:color w:val="auto"/>
          <w:highlight w:val="none"/>
        </w:rPr>
      </w:pPr>
      <w:bookmarkStart w:id="2" w:name="_Toc29127"/>
      <w:r>
        <w:rPr>
          <w:rFonts w:hint="eastAsia"/>
          <w:color w:val="auto"/>
          <w:highlight w:val="none"/>
        </w:rPr>
        <w:t>第二章 供应商须知</w:t>
      </w:r>
      <w:bookmarkEnd w:id="2"/>
    </w:p>
    <w:p>
      <w:pPr>
        <w:spacing w:after="0" w:line="360" w:lineRule="auto"/>
        <w:ind w:firstLine="482" w:firstLineChars="200"/>
        <w:jc w:val="both"/>
        <w:outlineLvl w:val="1"/>
        <w:rPr>
          <w:rFonts w:ascii="仿宋" w:hAnsi="仿宋" w:eastAsia="仿宋"/>
          <w:b/>
          <w:bCs/>
          <w:color w:val="auto"/>
          <w:sz w:val="24"/>
          <w:szCs w:val="24"/>
          <w:highlight w:val="none"/>
        </w:rPr>
      </w:pPr>
      <w:bookmarkStart w:id="3" w:name="_Toc11234"/>
      <w:bookmarkStart w:id="4" w:name="_Toc3700"/>
      <w:bookmarkStart w:id="5" w:name="_Toc24773"/>
      <w:r>
        <w:rPr>
          <w:rFonts w:hint="eastAsia" w:ascii="仿宋" w:hAnsi="仿宋" w:eastAsia="仿宋" w:cs="宋体"/>
          <w:b/>
          <w:bCs/>
          <w:color w:val="auto"/>
          <w:sz w:val="24"/>
          <w:szCs w:val="24"/>
          <w:highlight w:val="none"/>
        </w:rPr>
        <w:t>一、名词解释</w:t>
      </w:r>
      <w:bookmarkEnd w:id="3"/>
      <w:bookmarkEnd w:id="4"/>
      <w:bookmarkEnd w:id="5"/>
    </w:p>
    <w:p>
      <w:pPr>
        <w:spacing w:after="0" w:line="360" w:lineRule="auto"/>
        <w:ind w:firstLine="480" w:firstLineChars="200"/>
        <w:jc w:val="both"/>
        <w:rPr>
          <w:rFonts w:hint="eastAsia" w:ascii="仿宋" w:hAnsi="仿宋" w:eastAsia="仿宋"/>
          <w:color w:val="auto"/>
          <w:sz w:val="24"/>
          <w:szCs w:val="24"/>
          <w:highlight w:val="none"/>
          <w:lang w:eastAsia="zh-CN"/>
        </w:rPr>
      </w:pPr>
      <w:r>
        <w:rPr>
          <w:rFonts w:hint="eastAsia" w:ascii="仿宋" w:hAnsi="仿宋" w:eastAsia="仿宋" w:cs="宋体"/>
          <w:color w:val="auto"/>
          <w:sz w:val="24"/>
          <w:szCs w:val="24"/>
          <w:highlight w:val="none"/>
        </w:rPr>
        <w:t>（一）采购人：</w:t>
      </w:r>
      <w:r>
        <w:rPr>
          <w:rFonts w:hint="eastAsia" w:ascii="仿宋" w:hAnsi="仿宋" w:eastAsia="仿宋" w:cs="宋体"/>
          <w:color w:val="auto"/>
          <w:sz w:val="24"/>
          <w:szCs w:val="24"/>
          <w:highlight w:val="none"/>
          <w:lang w:eastAsia="zh-CN"/>
        </w:rPr>
        <w:t>西安市长安区农业培训中心</w:t>
      </w:r>
    </w:p>
    <w:p>
      <w:pPr>
        <w:spacing w:after="0" w:line="360" w:lineRule="auto"/>
        <w:ind w:firstLine="480" w:firstLineChars="200"/>
        <w:jc w:val="both"/>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（二）采购代理机构：</w:t>
      </w:r>
      <w:r>
        <w:rPr>
          <w:rFonts w:hint="eastAsia" w:ascii="仿宋" w:hAnsi="仿宋" w:eastAsia="仿宋" w:cs="宋体"/>
          <w:color w:val="auto"/>
          <w:sz w:val="24"/>
          <w:szCs w:val="24"/>
          <w:highlight w:val="none"/>
          <w:lang w:val="en-US" w:eastAsia="zh-CN"/>
        </w:rPr>
        <w:t>陕西龙辰全过程工程咨询有限公司</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（三）供应商：响应磋商、参加磋商竞争的法人、其他组织或者自然人</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（四）“货物”系指供应商按磋商文件规定，须向买方提供的产品及其它有关技术资料和材料。</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（五）“服务”系指磋商文件规定供应商须承担的安装、调试、验收工作以及其他类似的义务。</w:t>
      </w:r>
    </w:p>
    <w:p>
      <w:pPr>
        <w:spacing w:after="0" w:line="360" w:lineRule="auto"/>
        <w:ind w:firstLine="482" w:firstLineChars="200"/>
        <w:jc w:val="both"/>
        <w:outlineLvl w:val="1"/>
        <w:rPr>
          <w:rFonts w:ascii="仿宋" w:hAnsi="仿宋" w:eastAsia="仿宋"/>
          <w:b/>
          <w:bCs/>
          <w:color w:val="auto"/>
          <w:sz w:val="24"/>
          <w:szCs w:val="24"/>
          <w:highlight w:val="none"/>
        </w:rPr>
      </w:pPr>
      <w:bookmarkStart w:id="6" w:name="_Toc14465"/>
      <w:bookmarkStart w:id="7" w:name="_Toc18231"/>
      <w:bookmarkStart w:id="8" w:name="_Toc13074"/>
      <w:r>
        <w:rPr>
          <w:rFonts w:hint="eastAsia" w:ascii="仿宋" w:hAnsi="仿宋" w:eastAsia="仿宋" w:cs="宋体"/>
          <w:b/>
          <w:bCs/>
          <w:color w:val="auto"/>
          <w:sz w:val="24"/>
          <w:szCs w:val="24"/>
          <w:highlight w:val="none"/>
        </w:rPr>
        <w:t>二、磋商文件及要求</w:t>
      </w:r>
      <w:bookmarkEnd w:id="6"/>
      <w:bookmarkEnd w:id="7"/>
      <w:bookmarkEnd w:id="8"/>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磋商文件以中文编制，磋商文件包括</w:t>
      </w:r>
      <w:r>
        <w:rPr>
          <w:rFonts w:hint="eastAsia" w:ascii="仿宋" w:hAnsi="仿宋" w:eastAsia="仿宋" w:cs="宋体"/>
          <w:color w:val="auto"/>
          <w:sz w:val="24"/>
          <w:szCs w:val="24"/>
          <w:highlight w:val="none"/>
          <w:lang w:val="en-US" w:eastAsia="zh-CN"/>
        </w:rPr>
        <w:t>六</w:t>
      </w:r>
      <w:r>
        <w:rPr>
          <w:rFonts w:hint="eastAsia" w:ascii="仿宋" w:hAnsi="仿宋" w:eastAsia="仿宋" w:cs="宋体"/>
          <w:color w:val="auto"/>
          <w:sz w:val="24"/>
          <w:szCs w:val="24"/>
          <w:highlight w:val="none"/>
        </w:rPr>
        <w:t>部分，各供应商应根据磋商文件中所有内容及要求提交全部资料。</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（一）磋商文件组成：磋商文件是根据本项目的特点和需求编制，包括以下内容：</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竞争性磋商公告</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供应商须知</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评标办法</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采购内容及要求</w:t>
      </w:r>
    </w:p>
    <w:p>
      <w:pPr>
        <w:spacing w:after="0" w:line="360" w:lineRule="auto"/>
        <w:ind w:firstLine="480" w:firstLineChars="200"/>
        <w:jc w:val="both"/>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合同及格式</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6.磋商响应文件格式</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二）采购人或采购代理机构可以对已发出的磋商文件进行必要的澄清或者修改，澄清或者修改的内容作为磋商文件的组成部分。澄清或者修改的内容可能影响响应文件编制的，采购人、采购代理机构应当在提交响应文件截止时间至少五日前，以书面形式通知所有获取磋商文件的供应商；不足五日的，采购人、采购代理机构应当顺延提交响应文件截止时间。</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三）对采购活动事项有疑问或有质疑的供应商，应在磋商截止时间两个工作日前，按磋商文件中的通讯地址以书面形式通知采购代理机构，采购代理机构将予以答复，且作为磋商文件的组成部分。供应商对文件中有关表述不准确或难以理解或有疑义的内容，各供应商应及时与采购代理机构联系，否则，视为认同竞争性磋商文件的所有条款。</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（四）供应商必须从采购代理机构获取磋商文件，供应商自行转让或复制磋商文件视为无效。磋商文件一经售出，一律不退，仅作为本次磋商使用。</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（五）本磋商文件的解释权归采购代理机构。</w:t>
      </w:r>
    </w:p>
    <w:p>
      <w:pPr>
        <w:spacing w:after="0" w:line="360" w:lineRule="auto"/>
        <w:ind w:firstLine="482" w:firstLineChars="200"/>
        <w:jc w:val="both"/>
        <w:outlineLvl w:val="1"/>
        <w:rPr>
          <w:rFonts w:ascii="仿宋" w:hAnsi="仿宋" w:eastAsia="仿宋" w:cs="宋体"/>
          <w:b/>
          <w:bCs/>
          <w:color w:val="auto"/>
          <w:sz w:val="24"/>
          <w:szCs w:val="24"/>
          <w:highlight w:val="none"/>
        </w:rPr>
      </w:pPr>
      <w:bookmarkStart w:id="9" w:name="_Toc18692"/>
      <w:bookmarkStart w:id="10" w:name="_Toc14101"/>
      <w:bookmarkStart w:id="11" w:name="_Toc13344"/>
      <w:r>
        <w:rPr>
          <w:rFonts w:hint="eastAsia" w:ascii="仿宋" w:hAnsi="仿宋" w:eastAsia="仿宋" w:cs="宋体"/>
          <w:b/>
          <w:bCs/>
          <w:color w:val="auto"/>
          <w:sz w:val="24"/>
          <w:szCs w:val="24"/>
          <w:highlight w:val="none"/>
        </w:rPr>
        <w:t>三、磋商要求</w:t>
      </w:r>
      <w:bookmarkEnd w:id="9"/>
      <w:bookmarkEnd w:id="10"/>
      <w:bookmarkEnd w:id="11"/>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（一）磋商内容：本次磋商内容是</w:t>
      </w:r>
      <w:r>
        <w:rPr>
          <w:rFonts w:hint="eastAsia" w:ascii="仿宋" w:hAnsi="仿宋" w:eastAsia="仿宋" w:cs="宋体"/>
          <w:b/>
          <w:bCs/>
          <w:color w:val="auto"/>
          <w:sz w:val="24"/>
          <w:szCs w:val="24"/>
          <w:highlight w:val="none"/>
          <w:lang w:eastAsia="zh-CN"/>
        </w:rPr>
        <w:t>花园乡村积分制管理平台建设项目</w:t>
      </w:r>
      <w:r>
        <w:rPr>
          <w:rFonts w:hint="eastAsia" w:ascii="仿宋" w:hAnsi="仿宋" w:eastAsia="仿宋" w:cs="宋体"/>
          <w:color w:val="auto"/>
          <w:sz w:val="24"/>
          <w:szCs w:val="24"/>
          <w:highlight w:val="none"/>
        </w:rPr>
        <w:t>，各供应商应仔细阅读磋商文件中的所有事项、格式、条款和要求，对磋商文件的全部内容及要求做实质性响应，提交相应资料，不得在其中选项磋商或将其中内容再行分解。</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（二）合格的供应商要求</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基本资格条件：符合《中华人民共和国政府采购法》第二十二条的规定。</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）财务状况报告：</w:t>
      </w:r>
      <w:r>
        <w:rPr>
          <w:rFonts w:hint="eastAsia" w:ascii="仿宋" w:hAnsi="仿宋" w:eastAsia="仿宋" w:cs="宋体"/>
          <w:color w:val="auto"/>
          <w:sz w:val="24"/>
          <w:szCs w:val="24"/>
          <w:highlight w:val="none"/>
          <w:lang w:eastAsia="zh-CN"/>
        </w:rPr>
        <w:t>提供2021年度经审计的财务报告</w:t>
      </w:r>
      <w:r>
        <w:rPr>
          <w:rFonts w:hint="eastAsia" w:ascii="仿宋" w:hAnsi="仿宋" w:eastAsia="仿宋" w:cs="宋体"/>
          <w:color w:val="auto"/>
          <w:sz w:val="24"/>
          <w:szCs w:val="24"/>
          <w:highlight w:val="none"/>
        </w:rPr>
        <w:t>（成立时间至提交响应文件截止时间不足一年的可提供成立后任意时段的资产负债表），或开标前六个月内其基本存款账户开户银行出具的资信证明及基本存款账户的相关证明材料；（</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）税收缴纳证明：提供</w:t>
      </w:r>
      <w:r>
        <w:rPr>
          <w:rFonts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年1月至今已缴纳的至少一个月的纳税证明或完税证明，依法免税的单位应提供相关证明材料；（</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）社会保障资金缴纳证明：提供</w:t>
      </w:r>
      <w:r>
        <w:rPr>
          <w:rFonts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年1月至今已缴存的至少一个月的社会保险参保缴费情况证明，依法不需要缴纳社会保障资金的单位应提供相关证明材料；（5）具有履行合同所必需的设备和专业技术能力的承诺；（6）提供参加本次政府采购活动前三年内在经营活动中没有重大违法记录的书面声明。</w:t>
      </w:r>
    </w:p>
    <w:p>
      <w:pPr>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2.落实政府采购政策需满足的资格要求：本项目非专门面向中小企业采购。</w:t>
      </w:r>
    </w:p>
    <w:p>
      <w:pPr>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特定资格条件：（1）法定代表人授权书（附法定代表人、被授权人身份证复印件）及被授权人身份证（法定代表人直接参加磋商，须提供法定代表人身份证明及身份证原件）；（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after="0" w:line="360" w:lineRule="auto"/>
        <w:ind w:firstLine="482" w:firstLineChars="200"/>
        <w:jc w:val="both"/>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w:t>
      </w:r>
    </w:p>
    <w:p>
      <w:pPr>
        <w:spacing w:after="0" w:line="360" w:lineRule="auto"/>
        <w:ind w:firstLine="482" w:firstLineChars="200"/>
        <w:jc w:val="both"/>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1、以上资格要求均为必备资格，需提供相关证明文件并加盖供应商公章（如相关证明材料由第三方出具，应有第三方公章），缺项或未按要求响应的视为无效投标。</w:t>
      </w:r>
    </w:p>
    <w:p>
      <w:pPr>
        <w:spacing w:after="0" w:line="360" w:lineRule="auto"/>
        <w:ind w:firstLine="482" w:firstLineChars="200"/>
        <w:jc w:val="both"/>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2、</w:t>
      </w:r>
      <w:r>
        <w:rPr>
          <w:rFonts w:hint="default" w:ascii="仿宋" w:hAnsi="仿宋" w:eastAsia="仿宋" w:cs="宋体"/>
          <w:b/>
          <w:bCs/>
          <w:color w:val="auto"/>
          <w:sz w:val="24"/>
          <w:szCs w:val="24"/>
          <w:highlight w:val="none"/>
          <w:lang w:val="en-US" w:eastAsia="zh-CN"/>
        </w:rPr>
        <w:t>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after="0" w:line="360" w:lineRule="auto"/>
        <w:ind w:firstLine="482" w:firstLineChars="200"/>
        <w:jc w:val="both"/>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w:t>
      </w:r>
      <w:r>
        <w:rPr>
          <w:rFonts w:hint="default" w:ascii="仿宋" w:hAnsi="仿宋" w:eastAsia="仿宋" w:cs="宋体"/>
          <w:b/>
          <w:bCs/>
          <w:color w:val="auto"/>
          <w:sz w:val="24"/>
          <w:szCs w:val="24"/>
          <w:highlight w:val="none"/>
          <w:lang w:val="en-US" w:eastAsia="zh-CN"/>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after="0" w:line="360" w:lineRule="auto"/>
        <w:ind w:firstLine="482" w:firstLineChars="200"/>
        <w:jc w:val="both"/>
        <w:rPr>
          <w:rFonts w:ascii="仿宋" w:hAnsi="仿宋" w:eastAsia="仿宋"/>
          <w:b/>
          <w:bCs/>
          <w:color w:val="auto"/>
          <w:sz w:val="24"/>
          <w:szCs w:val="24"/>
          <w:highlight w:val="none"/>
        </w:rPr>
      </w:pPr>
      <w:r>
        <w:rPr>
          <w:rFonts w:hint="eastAsia" w:ascii="仿宋" w:hAnsi="仿宋" w:eastAsia="仿宋" w:cs="宋体"/>
          <w:b/>
          <w:bCs/>
          <w:color w:val="auto"/>
          <w:sz w:val="24"/>
          <w:szCs w:val="24"/>
          <w:highlight w:val="none"/>
        </w:rPr>
        <w:t>（三）本项目不接受联合体磋商。</w:t>
      </w:r>
    </w:p>
    <w:p>
      <w:pPr>
        <w:spacing w:after="0" w:line="360" w:lineRule="auto"/>
        <w:ind w:firstLine="482" w:firstLineChars="200"/>
        <w:jc w:val="both"/>
        <w:rPr>
          <w:rFonts w:ascii="仿宋" w:hAnsi="仿宋" w:eastAsia="仿宋"/>
          <w:b/>
          <w:color w:val="auto"/>
          <w:sz w:val="24"/>
          <w:szCs w:val="24"/>
          <w:highlight w:val="none"/>
        </w:rPr>
      </w:pPr>
      <w:r>
        <w:rPr>
          <w:rFonts w:hint="eastAsia" w:ascii="仿宋" w:hAnsi="仿宋" w:eastAsia="仿宋" w:cs="宋体"/>
          <w:b/>
          <w:color w:val="auto"/>
          <w:sz w:val="24"/>
          <w:szCs w:val="24"/>
          <w:highlight w:val="none"/>
        </w:rPr>
        <w:t>（四）限制磋商要求</w:t>
      </w:r>
    </w:p>
    <w:p>
      <w:pPr>
        <w:spacing w:after="0" w:line="360" w:lineRule="auto"/>
        <w:ind w:firstLine="482" w:firstLineChars="200"/>
        <w:jc w:val="both"/>
        <w:rPr>
          <w:rFonts w:ascii="仿宋" w:hAnsi="仿宋" w:eastAsia="仿宋"/>
          <w:b/>
          <w:color w:val="auto"/>
          <w:sz w:val="24"/>
          <w:szCs w:val="24"/>
          <w:highlight w:val="none"/>
        </w:rPr>
      </w:pPr>
      <w:r>
        <w:rPr>
          <w:rFonts w:ascii="仿宋" w:hAnsi="仿宋" w:eastAsia="仿宋" w:cs="宋体"/>
          <w:b/>
          <w:color w:val="auto"/>
          <w:sz w:val="24"/>
          <w:szCs w:val="24"/>
          <w:highlight w:val="none"/>
        </w:rPr>
        <w:t>1.</w:t>
      </w:r>
      <w:r>
        <w:rPr>
          <w:rFonts w:hint="eastAsia" w:ascii="仿宋" w:hAnsi="仿宋" w:eastAsia="仿宋" w:cs="宋体"/>
          <w:b/>
          <w:color w:val="auto"/>
          <w:sz w:val="24"/>
          <w:szCs w:val="24"/>
          <w:highlight w:val="none"/>
        </w:rPr>
        <w:t>供应商单位负责人为同一人或者存在直接控股、管理关系的不同供应商，不得参加同一项目或同一包的政府采购活动。</w:t>
      </w:r>
    </w:p>
    <w:p>
      <w:pPr>
        <w:spacing w:after="0" w:line="360" w:lineRule="auto"/>
        <w:ind w:firstLine="482" w:firstLineChars="200"/>
        <w:jc w:val="both"/>
        <w:rPr>
          <w:rFonts w:ascii="仿宋" w:hAnsi="仿宋" w:eastAsia="仿宋"/>
          <w:b/>
          <w:color w:val="auto"/>
          <w:sz w:val="24"/>
          <w:szCs w:val="24"/>
          <w:highlight w:val="none"/>
        </w:rPr>
      </w:pPr>
      <w:r>
        <w:rPr>
          <w:rFonts w:ascii="仿宋" w:hAnsi="仿宋" w:eastAsia="仿宋" w:cs="宋体"/>
          <w:b/>
          <w:color w:val="auto"/>
          <w:sz w:val="24"/>
          <w:szCs w:val="24"/>
          <w:highlight w:val="none"/>
        </w:rPr>
        <w:t>2.</w:t>
      </w:r>
      <w:r>
        <w:rPr>
          <w:rFonts w:hint="eastAsia" w:ascii="仿宋" w:hAnsi="仿宋" w:eastAsia="仿宋" w:cs="宋体"/>
          <w:b/>
          <w:color w:val="auto"/>
          <w:sz w:val="24"/>
          <w:szCs w:val="24"/>
          <w:highlight w:val="none"/>
        </w:rPr>
        <w:t>除单一来源采购项目外，为采购项目提供整体设计、规范编制或者项目管理、监理、检测等服务的供应商，不得再参加同一项目的其他采购活动。</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（五）磋商响应文件有效期</w:t>
      </w:r>
    </w:p>
    <w:p>
      <w:pPr>
        <w:spacing w:after="0" w:line="360" w:lineRule="auto"/>
        <w:ind w:firstLine="482" w:firstLineChars="200"/>
        <w:jc w:val="both"/>
        <w:rPr>
          <w:rFonts w:ascii="仿宋" w:hAnsi="仿宋" w:eastAsia="仿宋"/>
          <w:color w:val="auto"/>
          <w:sz w:val="24"/>
          <w:szCs w:val="24"/>
          <w:highlight w:val="none"/>
        </w:rPr>
      </w:pPr>
      <w:r>
        <w:rPr>
          <w:rFonts w:hint="eastAsia" w:ascii="仿宋" w:hAnsi="仿宋" w:eastAsia="仿宋"/>
          <w:b/>
          <w:bCs/>
          <w:color w:val="auto"/>
          <w:sz w:val="24"/>
          <w:szCs w:val="24"/>
          <w:highlight w:val="none"/>
        </w:rPr>
        <w:t>磋商响应文件有效期为提交响应文件的截止时间起90个日历日</w:t>
      </w:r>
      <w:r>
        <w:rPr>
          <w:rFonts w:hint="eastAsia" w:ascii="仿宋" w:hAnsi="仿宋" w:eastAsia="仿宋" w:cs="宋体"/>
          <w:color w:val="auto"/>
          <w:sz w:val="24"/>
          <w:szCs w:val="24"/>
          <w:highlight w:val="none"/>
        </w:rPr>
        <w:t>，在有效期内磋商响应文件对供应商具有法律约束力，以保证采购人完成评审、定标以及合同签订事项。成交供应商的磋商响应文件有效期自动延长至合同执行完毕。</w:t>
      </w:r>
    </w:p>
    <w:p>
      <w:pPr>
        <w:spacing w:after="0" w:line="360" w:lineRule="auto"/>
        <w:ind w:firstLine="482" w:firstLineChars="200"/>
        <w:jc w:val="both"/>
        <w:outlineLvl w:val="1"/>
        <w:rPr>
          <w:rFonts w:ascii="仿宋" w:hAnsi="仿宋" w:eastAsia="仿宋"/>
          <w:b/>
          <w:bCs/>
          <w:color w:val="auto"/>
          <w:sz w:val="24"/>
          <w:szCs w:val="24"/>
          <w:highlight w:val="none"/>
        </w:rPr>
      </w:pPr>
      <w:bookmarkStart w:id="12" w:name="_Toc722"/>
      <w:bookmarkStart w:id="13" w:name="_Toc19812"/>
      <w:bookmarkStart w:id="14" w:name="_Toc513647108"/>
      <w:bookmarkStart w:id="15" w:name="_Toc32459"/>
      <w:bookmarkStart w:id="16" w:name="_Toc6552"/>
      <w:r>
        <w:rPr>
          <w:rFonts w:hint="eastAsia" w:ascii="仿宋" w:hAnsi="仿宋" w:eastAsia="仿宋" w:cs="宋体"/>
          <w:b/>
          <w:bCs/>
          <w:color w:val="auto"/>
          <w:sz w:val="24"/>
          <w:szCs w:val="24"/>
          <w:highlight w:val="none"/>
        </w:rPr>
        <w:t>四、需要落实的政府采购政策</w:t>
      </w:r>
      <w:bookmarkEnd w:id="12"/>
      <w:bookmarkEnd w:id="13"/>
      <w:bookmarkEnd w:id="14"/>
      <w:bookmarkEnd w:id="15"/>
      <w:bookmarkEnd w:id="16"/>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1、《政府采购促进中小企业发展管理办法》的通知--财库〔2020〕46号</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政府采购促进中小企业发展管理办法》（财库〔2020〕46号）规定，参加政府采购活动的中小企业应当提供《中小企业声明函》。供应商提供的《中小企业声明函》资料必须真实，否则，按照有关规定予以处理。在政府采购活动中，供应商提供的货物、工程或者服务符合下列情形的，享受《办法》规定的中小企业扶持政策:</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(一)在货物采购项目中，货物由中小企业制造，即货物由中小企业生产且使用该中小企业商号或者注册商标；</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(二)在工程采购项目中，工程由中小企业承建，即工程施工单位为中小企业；</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(三)在服务采购项目中，服务由中小企业承接，即提供服务的人员为中小企业依照《中华人民共和国劳动合同法》订立劳动合同的从业人员。</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在货物采购项目中，供应商提供的货物既有中小企业制造货物，也有大型企业制造货物的，不享受《办法》规定的中小企业扶持政策。</w:t>
      </w:r>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2、财政部司法部关于政府采购支持监狱企业发展有关问题的通知--财库〔2014〕68号</w:t>
      </w:r>
    </w:p>
    <w:p>
      <w:pPr>
        <w:spacing w:after="0" w:line="360" w:lineRule="auto"/>
        <w:ind w:firstLine="480" w:firstLineChars="200"/>
        <w:jc w:val="both"/>
        <w:rPr>
          <w:rFonts w:ascii="仿宋" w:hAnsi="仿宋" w:eastAsia="仿宋" w:cs="宋体"/>
          <w:color w:val="auto"/>
          <w:sz w:val="22"/>
          <w:szCs w:val="22"/>
          <w:highlight w:val="none"/>
        </w:rPr>
      </w:pPr>
      <w:r>
        <w:rPr>
          <w:rFonts w:hint="eastAsia" w:ascii="仿宋" w:hAnsi="仿宋" w:eastAsia="仿宋"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w:t>
      </w:r>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3、《关于促进残疾人就业政府采购政策的通知》--财库〔2017〕141号</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符合条件的残疾人福利性单位在参加政府采购活动时，应当提供本通知规定的《残疾人福利性单位声明函》，并对声明的真实性负责。供应商提供的《残疾人福利性单位声明函》与事实不符的，依照《政府采购法》第七十七条第一款的规定追究法律责任。向残疾人福利性单位采购的金额，计入面向中小企业采购的统计数据。残疾人福利性单位属于小型、微型企业的，不重复享受政策。</w:t>
      </w:r>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4、投标产品政府采购政策</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《节能产品政府采购品目清单》见财政部、发展改革委《关于印发节能产品政府采购品目清单的通知》（财库〔2019〕19号）附件。</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《环境标志产品政府采购品目清单》见财政部、生态环境部《关于印发环境标志产品政府采购品目清单的通知》（财库〔2019〕18号）附件。</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“国家确定的认证机构”名单见市场监管总局《关于发布参与实施政府采购节能产品、环境标志产品认证机构名录的公告》（2019年第16号）。</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获得上述认证的产品在投标时应提供有效证明材料。</w:t>
      </w:r>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val="en-US" w:eastAsia="zh-CN"/>
        </w:rPr>
        <w:t>5</w:t>
      </w:r>
      <w:r>
        <w:rPr>
          <w:rFonts w:hint="eastAsia" w:ascii="仿宋" w:hAnsi="仿宋" w:eastAsia="仿宋" w:cs="宋体"/>
          <w:b/>
          <w:color w:val="auto"/>
          <w:sz w:val="24"/>
          <w:szCs w:val="24"/>
          <w:highlight w:val="none"/>
        </w:rPr>
        <w:t>、《关于运用政府采购政策支持乡村产业振兴的通知》（财库〔2021〕19 号）</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脱贫地区农副产品是指在832个脱贫县域内注册的企业、农民专业合作社、家庭农场等出产的农副产品。</w:t>
      </w:r>
    </w:p>
    <w:p>
      <w:pPr>
        <w:spacing w:after="0" w:line="360" w:lineRule="auto"/>
        <w:ind w:firstLine="482" w:firstLineChars="200"/>
        <w:jc w:val="both"/>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val="en-US" w:eastAsia="zh-CN"/>
        </w:rPr>
        <w:t>6</w:t>
      </w:r>
      <w:r>
        <w:rPr>
          <w:rFonts w:hint="eastAsia" w:ascii="仿宋" w:hAnsi="仿宋" w:eastAsia="仿宋" w:cs="宋体"/>
          <w:b/>
          <w:color w:val="auto"/>
          <w:sz w:val="24"/>
          <w:szCs w:val="24"/>
          <w:highlight w:val="none"/>
        </w:rPr>
        <w:t>、融资平台</w:t>
      </w:r>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pPr>
        <w:spacing w:after="0" w:line="360" w:lineRule="auto"/>
        <w:ind w:firstLine="480" w:firstLineChars="200"/>
        <w:jc w:val="both"/>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color w:val="auto"/>
          <w:sz w:val="24"/>
          <w:szCs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w:t>
      </w:r>
      <w:r>
        <w:rPr>
          <w:rFonts w:hint="eastAsia" w:ascii="仿宋" w:hAnsi="仿宋" w:eastAsia="仿宋" w:cs="宋体"/>
          <w:b w:val="0"/>
          <w:bCs w:val="0"/>
          <w:color w:val="auto"/>
          <w:sz w:val="24"/>
          <w:szCs w:val="24"/>
          <w:highlight w:val="none"/>
        </w:rPr>
        <w:t>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信用融资平台网址：http://www.ccgp-shaanxi.gov.cn/zcdservice/zcd/shanxi/</w:t>
      </w:r>
    </w:p>
    <w:p>
      <w:pPr>
        <w:spacing w:after="0" w:line="360" w:lineRule="auto"/>
        <w:ind w:firstLine="482" w:firstLineChars="200"/>
        <w:jc w:val="both"/>
        <w:outlineLvl w:val="1"/>
        <w:rPr>
          <w:rFonts w:ascii="仿宋" w:hAnsi="仿宋" w:eastAsia="仿宋"/>
          <w:b/>
          <w:bCs/>
          <w:color w:val="auto"/>
          <w:sz w:val="24"/>
          <w:szCs w:val="24"/>
          <w:highlight w:val="none"/>
        </w:rPr>
      </w:pPr>
      <w:bookmarkStart w:id="17" w:name="_Toc18483"/>
      <w:bookmarkStart w:id="18" w:name="_Toc32195"/>
      <w:r>
        <w:rPr>
          <w:rFonts w:hint="eastAsia" w:ascii="仿宋" w:hAnsi="仿宋" w:eastAsia="仿宋" w:cs="宋体"/>
          <w:b/>
          <w:bCs/>
          <w:color w:val="auto"/>
          <w:sz w:val="24"/>
          <w:szCs w:val="24"/>
          <w:highlight w:val="none"/>
        </w:rPr>
        <w:t>五、磋商报价要求</w:t>
      </w:r>
      <w:bookmarkEnd w:id="17"/>
      <w:bookmarkEnd w:id="18"/>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（一）供应商应按照磋商文件中提供的格式完整、正确填写磋商响应函、第一次磋商报价表，任何有选择的报价采购代理机构不予接受。</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二</w:t>
      </w:r>
      <w:r>
        <w:rPr>
          <w:rFonts w:hint="eastAsia" w:ascii="仿宋" w:hAnsi="仿宋" w:eastAsia="仿宋" w:cs="宋体"/>
          <w:color w:val="auto"/>
          <w:sz w:val="24"/>
          <w:szCs w:val="24"/>
          <w:highlight w:val="none"/>
        </w:rPr>
        <w:t>）磋商报价是完成招标内容所需的全部费用。</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三</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u w:val="single"/>
        </w:rPr>
        <w:t>磋商报价表中标明的价格，一次性包死，在合同执行过程中，不得以任何理由变更。</w:t>
      </w:r>
    </w:p>
    <w:p>
      <w:pPr>
        <w:spacing w:after="0" w:line="360" w:lineRule="auto"/>
        <w:ind w:firstLine="480" w:firstLineChars="200"/>
        <w:jc w:val="both"/>
        <w:rPr>
          <w:rFonts w:ascii="仿宋" w:hAnsi="仿宋" w:eastAsia="仿宋"/>
          <w:b/>
          <w:bCs/>
          <w:color w:val="auto"/>
          <w:sz w:val="24"/>
          <w:szCs w:val="24"/>
          <w:highlight w:val="none"/>
          <w:u w:val="singl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四</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u w:val="single"/>
        </w:rPr>
        <w:t>磋商最后报价，在采购内容无实质性变更下，不得高于首次磋商报价。</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五</w:t>
      </w:r>
      <w:r>
        <w:rPr>
          <w:rFonts w:hint="eastAsia" w:ascii="仿宋" w:hAnsi="仿宋" w:eastAsia="仿宋" w:cs="宋体"/>
          <w:color w:val="auto"/>
          <w:sz w:val="24"/>
          <w:szCs w:val="24"/>
          <w:highlight w:val="none"/>
        </w:rPr>
        <w:t>）凡因供应商对磋商文件阅读不深、理解不透、误解、疏漏、或因市场行情了解不清造成的后果和风险均由供应商自负。</w:t>
      </w:r>
    </w:p>
    <w:p>
      <w:pPr>
        <w:spacing w:after="0" w:line="360" w:lineRule="auto"/>
        <w:ind w:firstLine="480" w:firstLineChars="200"/>
        <w:jc w:val="both"/>
        <w:rPr>
          <w:rFonts w:ascii="仿宋" w:hAnsi="仿宋" w:eastAsia="仿宋"/>
          <w:b/>
          <w:bCs/>
          <w:color w:val="auto"/>
          <w:sz w:val="24"/>
          <w:szCs w:val="24"/>
          <w:highlight w:val="none"/>
          <w:u w:val="singl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六</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u w:val="single"/>
        </w:rPr>
        <w:t>供应商不得以低于成本的报价参与磋商。当磋商小组认为，某潜在供应商的报价或者部分分项报价存在明显不合理的低于成本的报价，有可能影响产品质量和不能诚信履约的，可要求该潜在供应商在规定期限内，提供必要的书面文件予以解释和说明并附带相关证明材料；否则，磋商小组认定该供应商以低于成本价竞价，其磋商响应文件作无效响应文件处理。</w:t>
      </w:r>
    </w:p>
    <w:p>
      <w:pPr>
        <w:spacing w:after="0" w:line="360" w:lineRule="auto"/>
        <w:ind w:firstLine="480" w:firstLineChars="200"/>
        <w:jc w:val="both"/>
        <w:rPr>
          <w:rFonts w:ascii="仿宋" w:hAnsi="仿宋" w:eastAsia="仿宋"/>
          <w:b/>
          <w:bCs/>
          <w:color w:val="auto"/>
          <w:sz w:val="24"/>
          <w:szCs w:val="24"/>
          <w:highlight w:val="none"/>
          <w:u w:val="single"/>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u w:val="single"/>
        </w:rPr>
        <w:t>最低报价不是成交的唯一依据，磋商过程中所产生的一切费用由供应商自行承担。</w:t>
      </w:r>
    </w:p>
    <w:p>
      <w:pPr>
        <w:spacing w:after="0" w:line="360" w:lineRule="auto"/>
        <w:ind w:firstLine="482" w:firstLineChars="200"/>
        <w:jc w:val="both"/>
        <w:outlineLvl w:val="1"/>
        <w:rPr>
          <w:rFonts w:ascii="仿宋" w:hAnsi="仿宋" w:eastAsia="仿宋"/>
          <w:b/>
          <w:bCs/>
          <w:color w:val="auto"/>
          <w:sz w:val="24"/>
          <w:szCs w:val="24"/>
          <w:highlight w:val="none"/>
        </w:rPr>
      </w:pPr>
      <w:bookmarkStart w:id="19" w:name="_Toc21736"/>
      <w:bookmarkStart w:id="20" w:name="_Toc2480"/>
      <w:bookmarkStart w:id="21" w:name="_Toc2044"/>
      <w:r>
        <w:rPr>
          <w:rFonts w:hint="eastAsia" w:ascii="仿宋" w:hAnsi="仿宋" w:eastAsia="仿宋" w:cs="宋体"/>
          <w:b/>
          <w:bCs/>
          <w:color w:val="auto"/>
          <w:sz w:val="24"/>
          <w:szCs w:val="24"/>
          <w:highlight w:val="none"/>
        </w:rPr>
        <w:t>六、磋商保证金</w:t>
      </w:r>
      <w:bookmarkEnd w:id="19"/>
      <w:bookmarkEnd w:id="20"/>
      <w:bookmarkEnd w:id="21"/>
    </w:p>
    <w:p>
      <w:pPr>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无</w:t>
      </w:r>
    </w:p>
    <w:p>
      <w:pPr>
        <w:spacing w:after="0" w:line="360" w:lineRule="auto"/>
        <w:ind w:firstLine="482" w:firstLineChars="200"/>
        <w:jc w:val="both"/>
        <w:outlineLvl w:val="1"/>
        <w:rPr>
          <w:rFonts w:ascii="仿宋" w:hAnsi="仿宋" w:eastAsia="仿宋"/>
          <w:b/>
          <w:bCs/>
          <w:color w:val="auto"/>
          <w:sz w:val="24"/>
          <w:szCs w:val="24"/>
          <w:highlight w:val="none"/>
        </w:rPr>
      </w:pPr>
      <w:bookmarkStart w:id="22" w:name="_Toc10198"/>
      <w:bookmarkStart w:id="23" w:name="_Toc4684"/>
      <w:r>
        <w:rPr>
          <w:rFonts w:hint="eastAsia" w:ascii="仿宋" w:hAnsi="仿宋" w:eastAsia="仿宋" w:cs="宋体"/>
          <w:b/>
          <w:bCs/>
          <w:color w:val="auto"/>
          <w:sz w:val="24"/>
          <w:szCs w:val="24"/>
          <w:highlight w:val="none"/>
        </w:rPr>
        <w:t>七、磋商响应文件的编写原则和要求</w:t>
      </w:r>
      <w:bookmarkEnd w:id="22"/>
      <w:bookmarkEnd w:id="23"/>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（一）真实性原则</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供应商应保证所提供的磋商响应文件和所有资料的真实性、准确性和完整性。</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供应商在政府采购过程中提供不真实的材料，无论其材料是否重要，采购人均有权拒绝，并取消其磋商资格，供应商需承担相应的后果及法律责任。</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（二）语言文字</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提交的磋商响应文件以及供应商与采购代理机构就有关磋商的所有来往书面文件均须使用中文。磋商响应文件中如附有外文资料，必须逐一对应翻译成中文并加盖供应商公章后附在相关外文资料后面，否则，供应商的磋商响应文件将作为无效文件处理。</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翻译的中文资料与外文资料如果出现差异和矛盾时，以中文为准。但不能故意错误翻译，否则，供应商的磋商响应文件将作为无效文件处理。必要时采购人可以要求供应商提供附有公证书的中文翻译文件或者与原版文件签章相一致的中文翻译文件。</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（三）计量单位</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磋商文件已有明确规定的，使用磋商文件规定的计量单位；磋商文件没有规定的，应采用中华人民共和国法定计量单位</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国际单位制和国家选定的其他计量单位</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。否则，视为对磋商文件未作出实质性响应。</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（四）备选方案</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本项目不接受备选磋商响应方案，磋商响应文件的报价只允许有一个报价，不接受有任何选择或具有附加条件的报价，否则，在评审时将其视为无效磋商响应文件。</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（五）磋商响应文件的编写要求</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供应商必须按磋商文件的“磋商响应文件格式”编写响应文件，供应商不得对格式做任何修改。如有必要，可以增加附页，作为磋商响应文件的组成部分。</w:t>
      </w:r>
    </w:p>
    <w:p>
      <w:pPr>
        <w:spacing w:after="0" w:line="360" w:lineRule="auto"/>
        <w:ind w:firstLine="482" w:firstLineChars="200"/>
        <w:jc w:val="both"/>
        <w:rPr>
          <w:rFonts w:hint="eastAsia" w:ascii="仿宋" w:hAnsi="仿宋" w:eastAsia="仿宋" w:cs="宋体"/>
          <w:b/>
          <w:bCs/>
          <w:color w:val="auto"/>
          <w:sz w:val="24"/>
          <w:szCs w:val="24"/>
          <w:highlight w:val="none"/>
        </w:rPr>
      </w:pPr>
      <w:bookmarkStart w:id="24" w:name="_Toc513647112"/>
      <w:bookmarkStart w:id="25" w:name="_Toc15048"/>
      <w:r>
        <w:rPr>
          <w:rFonts w:hint="eastAsia" w:ascii="仿宋" w:hAnsi="仿宋" w:eastAsia="仿宋" w:cs="宋体"/>
          <w:b/>
          <w:bCs/>
          <w:color w:val="auto"/>
          <w:sz w:val="24"/>
          <w:szCs w:val="24"/>
          <w:highlight w:val="none"/>
          <w:lang w:val="zh-CN"/>
        </w:rPr>
        <w:t>八、</w:t>
      </w:r>
      <w:r>
        <w:rPr>
          <w:rFonts w:hint="eastAsia" w:ascii="仿宋" w:hAnsi="仿宋" w:eastAsia="仿宋" w:cs="宋体"/>
          <w:b/>
          <w:bCs/>
          <w:color w:val="auto"/>
          <w:sz w:val="24"/>
          <w:szCs w:val="24"/>
          <w:highlight w:val="none"/>
        </w:rPr>
        <w:t>磋商响应文件的式样、签署和装订</w:t>
      </w:r>
      <w:bookmarkEnd w:id="24"/>
      <w:bookmarkEnd w:id="25"/>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（一）各供应商应参照磋商文件给定的样式，</w:t>
      </w:r>
      <w:r>
        <w:rPr>
          <w:rFonts w:hint="eastAsia" w:ascii="仿宋" w:hAnsi="仿宋" w:eastAsia="仿宋" w:cs="宋体"/>
          <w:b/>
          <w:bCs/>
          <w:color w:val="auto"/>
          <w:sz w:val="24"/>
          <w:szCs w:val="24"/>
          <w:highlight w:val="none"/>
          <w:lang w:val="zh-CN"/>
        </w:rPr>
        <w:t>准备磋商响应文件正本一份、副本二份，</w:t>
      </w:r>
      <w:r>
        <w:rPr>
          <w:rFonts w:hint="eastAsia" w:ascii="仿宋" w:hAnsi="仿宋" w:eastAsia="仿宋" w:cs="宋体"/>
          <w:b/>
          <w:bCs/>
          <w:color w:val="auto"/>
          <w:sz w:val="24"/>
          <w:szCs w:val="24"/>
          <w:highlight w:val="none"/>
          <w:lang w:val="en-US" w:eastAsia="zh-CN"/>
        </w:rPr>
        <w:t>报价一览表一份及</w:t>
      </w:r>
      <w:r>
        <w:rPr>
          <w:rFonts w:hint="eastAsia" w:ascii="仿宋" w:hAnsi="仿宋" w:eastAsia="仿宋" w:cs="宋体"/>
          <w:b/>
          <w:bCs/>
          <w:color w:val="auto"/>
          <w:sz w:val="24"/>
          <w:szCs w:val="24"/>
          <w:highlight w:val="none"/>
          <w:lang w:val="zh-CN"/>
        </w:rPr>
        <w:t>磋商响应文件电子版</w:t>
      </w:r>
      <w:r>
        <w:rPr>
          <w:rFonts w:hint="eastAsia" w:ascii="仿宋" w:hAnsi="仿宋" w:eastAsia="仿宋" w:cs="宋体"/>
          <w:b/>
          <w:bCs/>
          <w:color w:val="auto"/>
          <w:sz w:val="24"/>
          <w:szCs w:val="24"/>
          <w:highlight w:val="none"/>
          <w:lang w:val="zh-CN" w:eastAsia="zh-CN"/>
        </w:rPr>
        <w:t>（U盘）</w:t>
      </w:r>
      <w:r>
        <w:rPr>
          <w:rFonts w:hint="eastAsia" w:ascii="仿宋" w:hAnsi="仿宋" w:eastAsia="仿宋" w:cs="宋体"/>
          <w:b/>
          <w:bCs/>
          <w:color w:val="auto"/>
          <w:sz w:val="24"/>
          <w:szCs w:val="24"/>
          <w:highlight w:val="none"/>
          <w:lang w:val="en-US" w:eastAsia="zh-CN"/>
        </w:rPr>
        <w:t>二</w:t>
      </w:r>
      <w:r>
        <w:rPr>
          <w:rFonts w:hint="eastAsia" w:ascii="仿宋" w:hAnsi="仿宋" w:eastAsia="仿宋" w:cs="宋体"/>
          <w:b/>
          <w:bCs/>
          <w:color w:val="auto"/>
          <w:sz w:val="24"/>
          <w:szCs w:val="24"/>
          <w:highlight w:val="none"/>
          <w:lang w:val="zh-CN"/>
        </w:rPr>
        <w:t>份</w:t>
      </w:r>
      <w:r>
        <w:rPr>
          <w:rFonts w:hint="eastAsia" w:ascii="仿宋" w:hAnsi="仿宋" w:eastAsia="仿宋" w:cs="宋体"/>
          <w:color w:val="auto"/>
          <w:sz w:val="24"/>
          <w:szCs w:val="24"/>
          <w:highlight w:val="none"/>
          <w:lang w:val="zh-CN"/>
        </w:rPr>
        <w:t>，响应文件的封面上应清楚地标记“正本”、“副本”字样。</w:t>
      </w:r>
      <w:r>
        <w:rPr>
          <w:rFonts w:hint="eastAsia" w:ascii="仿宋" w:hAnsi="仿宋" w:eastAsia="仿宋" w:cs="宋体"/>
          <w:b/>
          <w:bCs/>
          <w:color w:val="auto"/>
          <w:sz w:val="24"/>
          <w:szCs w:val="24"/>
          <w:highlight w:val="none"/>
          <w:lang w:val="zh-CN" w:eastAsia="zh-CN"/>
        </w:rPr>
        <w:t>电子版（U盘）需标注</w:t>
      </w:r>
      <w:r>
        <w:rPr>
          <w:rFonts w:hint="eastAsia" w:ascii="仿宋" w:hAnsi="仿宋" w:eastAsia="仿宋" w:cs="宋体"/>
          <w:b/>
          <w:bCs/>
          <w:color w:val="auto"/>
          <w:sz w:val="24"/>
          <w:szCs w:val="24"/>
          <w:highlight w:val="none"/>
          <w:lang w:val="en-US" w:eastAsia="zh-CN"/>
        </w:rPr>
        <w:t>供应商全称、项目名称、编号</w:t>
      </w:r>
      <w:r>
        <w:rPr>
          <w:rFonts w:hint="eastAsia" w:ascii="仿宋" w:hAnsi="仿宋" w:eastAsia="仿宋" w:cs="宋体"/>
          <w:b/>
          <w:bCs/>
          <w:color w:val="auto"/>
          <w:sz w:val="24"/>
          <w:szCs w:val="24"/>
          <w:highlight w:val="none"/>
          <w:lang w:val="zh-CN" w:eastAsia="zh-CN"/>
        </w:rPr>
        <w:t>。</w:t>
      </w:r>
      <w:r>
        <w:rPr>
          <w:rFonts w:hint="eastAsia" w:ascii="仿宋" w:hAnsi="仿宋" w:eastAsia="仿宋" w:cs="宋体"/>
          <w:b/>
          <w:bCs/>
          <w:color w:val="auto"/>
          <w:sz w:val="24"/>
          <w:szCs w:val="24"/>
          <w:highlight w:val="none"/>
          <w:lang w:val="en-US" w:eastAsia="zh-CN"/>
        </w:rPr>
        <w:t>电子版包括：（1）word版磋商响应文件；（2）磋商响应文件正本签字盖章后的PDF格式扫描件，与正本具有同等法律效力。</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（二）磋商响应文件的正本和所有的副本均需打印或用不褪色蓝（黑）墨水（汁）书写，统一装订、编码，在每一页的正下方清楚标明第几页、共几页等字样。</w:t>
      </w:r>
      <w:r>
        <w:rPr>
          <w:rFonts w:hint="eastAsia" w:ascii="仿宋" w:hAnsi="仿宋" w:eastAsia="仿宋" w:cs="宋体"/>
          <w:color w:val="auto"/>
          <w:sz w:val="24"/>
          <w:szCs w:val="24"/>
          <w:highlight w:val="none"/>
        </w:rPr>
        <w:t>因字迹不清、表达不准或不按给定的磋商文件格式编制的磋商响应文件，所引起的不利后果由供应商自负。</w:t>
      </w:r>
    </w:p>
    <w:p>
      <w:pPr>
        <w:spacing w:after="0" w:line="360" w:lineRule="auto"/>
        <w:ind w:firstLine="480" w:firstLineChars="200"/>
        <w:jc w:val="both"/>
        <w:rPr>
          <w:rFonts w:hint="eastAsia" w:ascii="仿宋" w:hAnsi="仿宋" w:eastAsia="仿宋" w:cs="宋体"/>
          <w:b/>
          <w:bCs/>
          <w:color w:val="auto"/>
          <w:sz w:val="24"/>
          <w:szCs w:val="24"/>
          <w:highlight w:val="none"/>
        </w:rPr>
      </w:pPr>
      <w:r>
        <w:rPr>
          <w:rFonts w:hint="eastAsia" w:ascii="仿宋" w:hAnsi="仿宋" w:eastAsia="仿宋" w:cs="宋体"/>
          <w:color w:val="auto"/>
          <w:sz w:val="24"/>
          <w:szCs w:val="24"/>
          <w:highlight w:val="none"/>
          <w:lang w:val="zh-CN"/>
        </w:rPr>
        <w:t>（三）磋商响应文件（正、副本）必须加盖供应商红色公章</w:t>
      </w:r>
      <w:r>
        <w:rPr>
          <w:rFonts w:hint="eastAsia" w:ascii="仿宋" w:hAnsi="仿宋" w:eastAsia="仿宋" w:cs="宋体"/>
          <w:color w:val="auto"/>
          <w:sz w:val="24"/>
          <w:szCs w:val="24"/>
          <w:highlight w:val="none"/>
        </w:rPr>
        <w:t>并按照磋商文件要求由法定代表人（授权代表人）签字</w:t>
      </w: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rPr>
        <w:t>磋商文件中凡是需要法定代表人签字或盖章之处，</w:t>
      </w:r>
      <w:r>
        <w:rPr>
          <w:rFonts w:hint="eastAsia" w:ascii="仿宋" w:hAnsi="仿宋" w:eastAsia="仿宋" w:cs="宋体"/>
          <w:b/>
          <w:bCs/>
          <w:color w:val="auto"/>
          <w:sz w:val="24"/>
          <w:szCs w:val="24"/>
          <w:highlight w:val="none"/>
        </w:rPr>
        <w:t>非法人单位的负责人均参照执行。</w:t>
      </w:r>
    </w:p>
    <w:p>
      <w:pPr>
        <w:spacing w:after="0" w:line="360" w:lineRule="auto"/>
        <w:ind w:firstLine="480" w:firstLineChars="200"/>
        <w:jc w:val="both"/>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（四）磋商响应文件的打印应清楚工整，统一采用A4纸编制（如部分附表需要用其他规格的复印纸编写，则应按A4复印纸折叠）。</w:t>
      </w:r>
      <w:r>
        <w:rPr>
          <w:rFonts w:hint="eastAsia" w:ascii="仿宋" w:hAnsi="仿宋" w:eastAsia="仿宋" w:cs="宋体"/>
          <w:b/>
          <w:bCs/>
          <w:color w:val="auto"/>
          <w:sz w:val="24"/>
          <w:szCs w:val="24"/>
          <w:highlight w:val="none"/>
          <w:lang w:val="en-US" w:eastAsia="zh-CN"/>
        </w:rPr>
        <w:t>建议双面打印。</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（五）磋商响应文件除各供应商对错处做必要修改外，不得行间插字、涂改和增删，如有修改错漏处，必须由供应商法定代表人或其授权人代表签字或盖章。</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（六）磋商响应文件应牢固装订成册，</w:t>
      </w:r>
      <w:r>
        <w:rPr>
          <w:rFonts w:hint="eastAsia" w:ascii="仿宋_x0005_裥..." w:hAnsi="仿宋_x0005_裥..." w:eastAsia="仿宋_x0005_裥..."/>
          <w:color w:val="auto"/>
          <w:sz w:val="23"/>
          <w:szCs w:val="24"/>
          <w:highlight w:val="none"/>
        </w:rPr>
        <w:t>由于装订原因造成文件的散落、丢失等责任自负。</w:t>
      </w:r>
    </w:p>
    <w:p>
      <w:pPr>
        <w:spacing w:after="0" w:line="360" w:lineRule="auto"/>
        <w:ind w:firstLine="482" w:firstLineChars="200"/>
        <w:jc w:val="both"/>
        <w:rPr>
          <w:rFonts w:hint="eastAsia" w:ascii="仿宋" w:hAnsi="仿宋" w:eastAsia="仿宋" w:cs="宋体"/>
          <w:b/>
          <w:bCs/>
          <w:color w:val="auto"/>
          <w:sz w:val="24"/>
          <w:szCs w:val="24"/>
          <w:highlight w:val="none"/>
          <w:lang w:val="zh-CN"/>
        </w:rPr>
      </w:pPr>
      <w:bookmarkStart w:id="26" w:name="_Toc6397"/>
      <w:bookmarkStart w:id="27" w:name="_Toc14017"/>
      <w:r>
        <w:rPr>
          <w:rFonts w:hint="eastAsia" w:ascii="仿宋" w:hAnsi="仿宋" w:eastAsia="仿宋" w:cs="宋体"/>
          <w:b/>
          <w:bCs/>
          <w:color w:val="auto"/>
          <w:sz w:val="24"/>
          <w:szCs w:val="24"/>
          <w:highlight w:val="none"/>
          <w:lang w:val="zh-CN"/>
        </w:rPr>
        <w:t>九、磋商响应文件的密封和提交</w:t>
      </w:r>
      <w:bookmarkEnd w:id="26"/>
      <w:bookmarkEnd w:id="27"/>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（一）磋商响应文件密封</w:t>
      </w:r>
    </w:p>
    <w:p>
      <w:pPr>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报价一览表除在竞争性磋商响应文件内装订外，再制作一份原件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lang w:val="en-US" w:eastAsia="zh-CN"/>
        </w:rPr>
        <w:t>竞争性磋商响应文件正本、所有的副本、电子版本、报价一览表分开密封装在单独的封袋中（封袋不得有破损），共4包</w:t>
      </w:r>
      <w:r>
        <w:rPr>
          <w:rFonts w:hint="eastAsia" w:ascii="仿宋" w:hAnsi="仿宋" w:eastAsia="仿宋" w:cs="宋体"/>
          <w:color w:val="auto"/>
          <w:sz w:val="24"/>
          <w:szCs w:val="24"/>
          <w:highlight w:val="none"/>
          <w:lang w:val="zh-CN"/>
        </w:rPr>
        <w:t>。封袋应加贴封条，并在封线处加盖</w:t>
      </w:r>
      <w:r>
        <w:rPr>
          <w:rFonts w:hint="eastAsia" w:ascii="仿宋" w:hAnsi="仿宋" w:eastAsia="仿宋" w:cs="宋体"/>
          <w:color w:val="auto"/>
          <w:sz w:val="24"/>
          <w:szCs w:val="24"/>
          <w:highlight w:val="none"/>
          <w:lang w:val="zh-CN" w:eastAsia="zh-CN"/>
        </w:rPr>
        <w:t>供应商</w:t>
      </w:r>
      <w:r>
        <w:rPr>
          <w:rFonts w:hint="eastAsia" w:ascii="仿宋" w:hAnsi="仿宋" w:eastAsia="仿宋" w:cs="宋体"/>
          <w:color w:val="auto"/>
          <w:sz w:val="24"/>
          <w:szCs w:val="24"/>
          <w:highlight w:val="none"/>
          <w:lang w:val="zh-CN"/>
        </w:rPr>
        <w:t>公章。</w:t>
      </w:r>
    </w:p>
    <w:p>
      <w:pPr>
        <w:spacing w:after="0" w:line="360" w:lineRule="auto"/>
        <w:ind w:firstLine="480" w:firstLineChars="200"/>
        <w:jc w:val="both"/>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lang w:val="zh-CN" w:eastAsia="zh-CN"/>
        </w:rPr>
        <w:t>外层包装请按以下要求标记：</w:t>
      </w:r>
    </w:p>
    <w:p>
      <w:pPr>
        <w:spacing w:after="0" w:line="360" w:lineRule="auto"/>
        <w:ind w:firstLine="480" w:firstLineChars="200"/>
        <w:jc w:val="both"/>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zh-CN" w:eastAsia="zh-CN"/>
        </w:rPr>
        <w:t xml:space="preserve">（1) </w:t>
      </w:r>
      <w:r>
        <w:rPr>
          <w:rFonts w:hint="eastAsia" w:ascii="仿宋" w:hAnsi="仿宋" w:eastAsia="仿宋" w:cs="宋体"/>
          <w:color w:val="auto"/>
          <w:sz w:val="24"/>
          <w:szCs w:val="24"/>
          <w:highlight w:val="none"/>
          <w:lang w:val="en-US" w:eastAsia="zh-CN"/>
        </w:rPr>
        <w:t>磋商响应供应商</w:t>
      </w:r>
      <w:r>
        <w:rPr>
          <w:rFonts w:hint="eastAsia" w:ascii="仿宋" w:hAnsi="仿宋" w:eastAsia="仿宋" w:cs="宋体"/>
          <w:color w:val="auto"/>
          <w:sz w:val="24"/>
          <w:szCs w:val="24"/>
          <w:highlight w:val="none"/>
          <w:lang w:val="zh-CN" w:eastAsia="zh-CN"/>
        </w:rPr>
        <w:t>的全称；</w:t>
      </w:r>
    </w:p>
    <w:p>
      <w:pPr>
        <w:spacing w:after="0" w:line="360" w:lineRule="auto"/>
        <w:ind w:firstLine="480" w:firstLineChars="200"/>
        <w:jc w:val="both"/>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zh-CN" w:eastAsia="zh-CN"/>
        </w:rPr>
        <w:t>（2）磋商项目名称、项目编号；</w:t>
      </w:r>
    </w:p>
    <w:p>
      <w:pPr>
        <w:spacing w:after="0" w:line="360" w:lineRule="auto"/>
        <w:ind w:firstLine="480" w:firstLineChars="200"/>
        <w:jc w:val="both"/>
        <w:rPr>
          <w:rFonts w:hint="default"/>
          <w:color w:val="auto"/>
          <w:highlight w:val="none"/>
          <w:lang w:val="en-US"/>
        </w:rPr>
      </w:pPr>
      <w:r>
        <w:rPr>
          <w:rFonts w:hint="eastAsia" w:ascii="仿宋" w:hAnsi="仿宋" w:eastAsia="仿宋" w:cs="宋体"/>
          <w:color w:val="auto"/>
          <w:sz w:val="24"/>
          <w:szCs w:val="24"/>
          <w:highlight w:val="none"/>
          <w:lang w:val="zh-CN" w:eastAsia="zh-CN"/>
        </w:rPr>
        <w:t>（3）“正本”、“副本”、“电子版本”、“</w:t>
      </w:r>
      <w:r>
        <w:rPr>
          <w:rFonts w:hint="eastAsia" w:ascii="仿宋" w:hAnsi="仿宋" w:eastAsia="仿宋" w:cs="宋体"/>
          <w:color w:val="auto"/>
          <w:sz w:val="24"/>
          <w:szCs w:val="24"/>
          <w:highlight w:val="none"/>
          <w:lang w:val="en-US" w:eastAsia="zh-CN"/>
        </w:rPr>
        <w:t>报价</w:t>
      </w:r>
      <w:r>
        <w:rPr>
          <w:rFonts w:hint="eastAsia" w:ascii="仿宋" w:hAnsi="仿宋" w:eastAsia="仿宋" w:cs="宋体"/>
          <w:color w:val="auto"/>
          <w:sz w:val="24"/>
          <w:szCs w:val="24"/>
          <w:highlight w:val="none"/>
          <w:lang w:val="zh-CN" w:eastAsia="zh-CN"/>
        </w:rPr>
        <w:t>一览表”及“请勿在</w:t>
      </w:r>
      <w:r>
        <w:rPr>
          <w:rFonts w:hint="eastAsia" w:ascii="仿宋" w:hAnsi="仿宋" w:eastAsia="仿宋" w:cs="宋体"/>
          <w:color w:val="auto"/>
          <w:sz w:val="24"/>
          <w:szCs w:val="24"/>
          <w:highlight w:val="none"/>
          <w:u w:val="single"/>
          <w:lang w:val="en-US" w:eastAsia="zh-CN"/>
        </w:rPr>
        <w:t xml:space="preserve">      年    月   日     分</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磋商</w:t>
      </w:r>
      <w:r>
        <w:rPr>
          <w:rFonts w:hint="eastAsia" w:ascii="仿宋" w:hAnsi="仿宋" w:eastAsia="仿宋" w:cs="宋体"/>
          <w:color w:val="auto"/>
          <w:sz w:val="24"/>
          <w:szCs w:val="24"/>
          <w:highlight w:val="none"/>
          <w:lang w:val="zh-CN" w:eastAsia="zh-CN"/>
        </w:rPr>
        <w:t>时间)之前启封”。</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（二）磋商响应文件的递交</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1.供应商应在磋商文件要求提交磋商响应文件的截止时间前将磋商响应文件密封送达磋商地点，递交并办理签收手续。</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2.如果磋商响应文件未按要求密封和加写标记，采购代理机构拒绝接收。</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3.在磋商文件要求提交磋商响应文件的截止时间之后送达的磋商响应文件，为无效文件，采购代理机构拒绝接收。</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4.采购代理机构在磋商文件规定的磋商响应文件递交截止时间前，只负责磋商响应文件的接收、登记和组织工作，对其磋商响应文件的有效性不负任何责任。</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5.磋商响应文件递送后，在磋商截止期前，供应商可以补充、修改或撤回其磋商响应文件，并书面通知采购代理机构。补充、修改的内容应按磋商响应文件的要求签署、盖章，密封后，作为磋商响应文件的组成部分。</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6.磋商截止时间后，供应商不得对其磋商响应文件做任何修改。</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7.在磋商截止时间后到磋商文件规定的磋商有效期满之间的这段时间内，供应商不得撤回其磋商，否则，其磋商保证金将被没收。</w:t>
      </w:r>
    </w:p>
    <w:p>
      <w:pPr>
        <w:spacing w:after="0" w:line="360" w:lineRule="auto"/>
        <w:ind w:firstLine="482" w:firstLineChars="200"/>
        <w:jc w:val="both"/>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十</w:t>
      </w:r>
      <w:r>
        <w:rPr>
          <w:rFonts w:hint="eastAsia" w:ascii="仿宋" w:hAnsi="仿宋" w:eastAsia="仿宋" w:cs="宋体"/>
          <w:b/>
          <w:bCs/>
          <w:color w:val="auto"/>
          <w:sz w:val="24"/>
          <w:szCs w:val="24"/>
          <w:highlight w:val="none"/>
          <w:lang w:val="zh-CN"/>
        </w:rPr>
        <w:t>、资格审查</w:t>
      </w:r>
      <w:r>
        <w:rPr>
          <w:rFonts w:hint="eastAsia" w:ascii="仿宋" w:hAnsi="仿宋" w:eastAsia="仿宋" w:cs="宋体"/>
          <w:b/>
          <w:bCs/>
          <w:color w:val="auto"/>
          <w:sz w:val="24"/>
          <w:szCs w:val="24"/>
          <w:highlight w:val="none"/>
          <w:lang w:val="en-US" w:eastAsia="zh-CN"/>
        </w:rPr>
        <w:t>小组</w:t>
      </w:r>
    </w:p>
    <w:p>
      <w:pPr>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采购人委派的资格审查小组对文件中的供应商资格证明文件进行审查，并对供应商信用记录进行核查。资格审查小组由</w:t>
      </w:r>
      <w:r>
        <w:rPr>
          <w:rFonts w:hint="eastAsia" w:ascii="仿宋" w:hAnsi="仿宋" w:eastAsia="仿宋" w:cs="宋体"/>
          <w:color w:val="auto"/>
          <w:sz w:val="24"/>
          <w:szCs w:val="24"/>
          <w:highlight w:val="none"/>
          <w:lang w:val="en-US" w:eastAsia="zh-CN"/>
        </w:rPr>
        <w:t>采购人组建</w:t>
      </w:r>
      <w:r>
        <w:rPr>
          <w:rFonts w:hint="eastAsia" w:ascii="仿宋" w:hAnsi="仿宋" w:eastAsia="仿宋" w:cs="宋体"/>
          <w:color w:val="auto"/>
          <w:sz w:val="24"/>
          <w:szCs w:val="24"/>
          <w:highlight w:val="none"/>
          <w:lang w:val="zh-CN"/>
        </w:rPr>
        <w:t>，采购人应出具书面授权函。</w:t>
      </w:r>
    </w:p>
    <w:p>
      <w:pPr>
        <w:spacing w:after="0" w:line="360" w:lineRule="auto"/>
        <w:ind w:firstLine="482" w:firstLineChars="200"/>
        <w:jc w:val="both"/>
        <w:outlineLvl w:val="1"/>
        <w:rPr>
          <w:rFonts w:ascii="仿宋" w:hAnsi="仿宋" w:eastAsia="仿宋"/>
          <w:b/>
          <w:bCs/>
          <w:color w:val="auto"/>
          <w:sz w:val="24"/>
          <w:szCs w:val="24"/>
          <w:highlight w:val="none"/>
        </w:rPr>
      </w:pPr>
      <w:bookmarkStart w:id="28" w:name="_Toc24235"/>
      <w:bookmarkStart w:id="29" w:name="_Toc9384"/>
      <w:r>
        <w:rPr>
          <w:rFonts w:hint="eastAsia" w:ascii="仿宋" w:hAnsi="仿宋" w:eastAsia="仿宋" w:cs="宋体"/>
          <w:b/>
          <w:bCs/>
          <w:color w:val="auto"/>
          <w:sz w:val="24"/>
          <w:szCs w:val="24"/>
          <w:highlight w:val="none"/>
          <w:lang w:val="en-US" w:eastAsia="zh-CN"/>
        </w:rPr>
        <w:t>十一、</w:t>
      </w:r>
      <w:r>
        <w:rPr>
          <w:rFonts w:hint="eastAsia" w:ascii="仿宋" w:hAnsi="仿宋" w:eastAsia="仿宋" w:cs="宋体"/>
          <w:b/>
          <w:bCs/>
          <w:color w:val="auto"/>
          <w:sz w:val="24"/>
          <w:szCs w:val="24"/>
          <w:highlight w:val="none"/>
        </w:rPr>
        <w:t>磋商小组组成及职责</w:t>
      </w:r>
      <w:bookmarkEnd w:id="28"/>
      <w:bookmarkEnd w:id="29"/>
    </w:p>
    <w:p>
      <w:pPr>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（一）磋商小组的组成</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为确保磋商工作公平、公正，根据有关规定成立磋商小组。磋商小组由采购人代表及有关专家共三人组成，专家比例不少于磋商小组成员总数的三分之二。其中采购人代表须持有授权书</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评审专家</w:t>
      </w:r>
      <w:r>
        <w:rPr>
          <w:rFonts w:hint="eastAsia" w:ascii="仿宋" w:hAnsi="仿宋" w:eastAsia="仿宋" w:cs="宋体"/>
          <w:color w:val="auto"/>
          <w:sz w:val="24"/>
          <w:szCs w:val="24"/>
          <w:highlight w:val="none"/>
        </w:rPr>
        <w:t>在专家库中随机抽取。</w:t>
      </w:r>
    </w:p>
    <w:p>
      <w:pPr>
        <w:tabs>
          <w:tab w:val="left" w:pos="9030"/>
        </w:tabs>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rPr>
        <w:t>（二）</w:t>
      </w:r>
      <w:r>
        <w:rPr>
          <w:rFonts w:hint="eastAsia" w:ascii="仿宋" w:hAnsi="仿宋" w:eastAsia="仿宋" w:cs="宋体"/>
          <w:color w:val="auto"/>
          <w:sz w:val="24"/>
          <w:szCs w:val="24"/>
          <w:highlight w:val="none"/>
          <w:lang w:val="zh-CN"/>
        </w:rPr>
        <w:t>磋商小组的职责</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磋商小组成员应当遵守并履行下列义务：</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遵纪守法，客观、公正、廉洁地履行职责，审查磋商响应文件是否符合竞争性磋商文件的要求，并做出评价；</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要求供应商对磋商响应文件有关事项作出解释或者澄清；</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按照竞争性磋商文件的要求和磋商办法进行评审，推荐成交候选供应商名单，对评审意见承担个人责任；</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对评审过程和结果以及供应商的商业秘密保密；</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编写磋商评审报告；</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配合采购代理机构答复供应商提出的质疑；</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配合财政部门的投诉处理工作；</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8.</w:t>
      </w:r>
      <w:r>
        <w:rPr>
          <w:rFonts w:hint="eastAsia" w:ascii="仿宋" w:hAnsi="仿宋" w:eastAsia="仿宋" w:cs="宋体"/>
          <w:color w:val="auto"/>
          <w:sz w:val="24"/>
          <w:szCs w:val="24"/>
          <w:highlight w:val="none"/>
        </w:rPr>
        <w:t>依据政府采购法有关精神，有权对磋商过程中出现的一切问题做出处理决定。</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lang w:val="zh-CN"/>
        </w:rPr>
        <w:t>（三）</w:t>
      </w:r>
      <w:r>
        <w:rPr>
          <w:rFonts w:hint="eastAsia" w:ascii="仿宋" w:hAnsi="仿宋" w:eastAsia="仿宋" w:cs="宋体"/>
          <w:color w:val="auto"/>
          <w:sz w:val="24"/>
          <w:szCs w:val="24"/>
          <w:highlight w:val="none"/>
        </w:rPr>
        <w:t>磋商小组的职能：</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审查参加磋商供应商的资质文件是否齐全、合法、有效；</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与各供应商就磋商响应文件（含澄清、说明或补正的内容）中的技术指标、实施方案、磋商报价、商务响应等进行磋商；</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依据磋商文件，并视磋商情况，确定进入最终评审的供应商；</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排序推荐成交侯选人；</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协商处理磋商过程中出现的其它相关问题。</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四）磋商小组有权对整个磋商过程中出现的一切问题，根据《中华人民共和国政府采购法》、《中华人民共和国政府采购实施条例》和《政府采购竞争性磋商采购方式管理暂行办法》的精神，本着公开、公平、公正的原则，进行处理。</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（五）</w:t>
      </w:r>
      <w:r>
        <w:rPr>
          <w:rFonts w:hint="eastAsia" w:ascii="仿宋" w:hAnsi="仿宋" w:eastAsia="仿宋" w:cs="宋体"/>
          <w:color w:val="auto"/>
          <w:sz w:val="24"/>
          <w:szCs w:val="24"/>
          <w:highlight w:val="none"/>
        </w:rPr>
        <w:t>竞争性磋商开始后，直到与成交的供应商签订合同为止，凡与审查、澄清、评价和比较各供应商的有关资料及意见等内容，磋商小组均不得向供应商及与磋商无关的其他人透露。</w:t>
      </w:r>
    </w:p>
    <w:p>
      <w:pPr>
        <w:spacing w:after="0" w:line="360" w:lineRule="auto"/>
        <w:ind w:firstLine="482" w:firstLineChars="200"/>
        <w:jc w:val="both"/>
        <w:rPr>
          <w:rFonts w:hint="eastAsia" w:ascii="仿宋" w:hAnsi="仿宋" w:eastAsia="仿宋" w:cs="宋体"/>
          <w:b/>
          <w:bCs/>
          <w:color w:val="auto"/>
          <w:sz w:val="24"/>
          <w:szCs w:val="24"/>
          <w:highlight w:val="none"/>
        </w:rPr>
      </w:pPr>
      <w:bookmarkStart w:id="30" w:name="_Toc495908031"/>
      <w:bookmarkStart w:id="31" w:name="_Toc495909077"/>
      <w:bookmarkStart w:id="32" w:name="_Toc1269"/>
      <w:bookmarkStart w:id="33" w:name="_Toc495681386"/>
      <w:bookmarkStart w:id="34" w:name="_Toc513647114"/>
      <w:bookmarkStart w:id="35" w:name="_Toc495681513"/>
      <w:bookmarkStart w:id="36" w:name="_Toc495681232"/>
      <w:bookmarkStart w:id="37" w:name="_Toc29338"/>
      <w:r>
        <w:rPr>
          <w:rFonts w:hint="eastAsia" w:ascii="仿宋" w:hAnsi="仿宋" w:eastAsia="仿宋" w:cs="宋体"/>
          <w:b/>
          <w:bCs/>
          <w:color w:val="auto"/>
          <w:sz w:val="24"/>
          <w:szCs w:val="24"/>
          <w:highlight w:val="none"/>
        </w:rPr>
        <w:t>十</w:t>
      </w:r>
      <w:r>
        <w:rPr>
          <w:rFonts w:hint="eastAsia" w:ascii="仿宋" w:hAnsi="仿宋" w:eastAsia="仿宋" w:cs="宋体"/>
          <w:b/>
          <w:bCs/>
          <w:color w:val="auto"/>
          <w:sz w:val="24"/>
          <w:szCs w:val="24"/>
          <w:highlight w:val="none"/>
          <w:lang w:val="en-US" w:eastAsia="zh-CN"/>
        </w:rPr>
        <w:t>二</w:t>
      </w:r>
      <w:r>
        <w:rPr>
          <w:rFonts w:hint="eastAsia" w:ascii="仿宋" w:hAnsi="仿宋" w:eastAsia="仿宋" w:cs="宋体"/>
          <w:b/>
          <w:bCs/>
          <w:color w:val="auto"/>
          <w:sz w:val="24"/>
          <w:szCs w:val="24"/>
          <w:highlight w:val="none"/>
        </w:rPr>
        <w:t>、磋商会议</w:t>
      </w:r>
      <w:bookmarkEnd w:id="30"/>
      <w:bookmarkEnd w:id="31"/>
      <w:bookmarkEnd w:id="32"/>
      <w:bookmarkEnd w:id="33"/>
      <w:bookmarkEnd w:id="34"/>
      <w:bookmarkEnd w:id="35"/>
      <w:bookmarkEnd w:id="36"/>
      <w:bookmarkEnd w:id="37"/>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（一）在磋商文件规定的时间和地点，由采购代理机构组织磋商工作，供应商须委派代表参加，签名报到以证明其出席。磋商整个过程接受监督机构的监督和管理。</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（二）竞争性磋商会议进行时，由供应商代表与监标人共同检查响应文件的密封情况，经检查无误后，签字确认。</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（三）磋商过程由采购代理机构指定专人记录。</w:t>
      </w:r>
    </w:p>
    <w:p>
      <w:pPr>
        <w:spacing w:after="0" w:line="360" w:lineRule="auto"/>
        <w:ind w:firstLine="482" w:firstLineChars="200"/>
        <w:jc w:val="both"/>
        <w:outlineLvl w:val="1"/>
        <w:rPr>
          <w:rFonts w:ascii="仿宋" w:hAnsi="仿宋" w:eastAsia="仿宋"/>
          <w:b/>
          <w:bCs/>
          <w:color w:val="auto"/>
          <w:sz w:val="24"/>
          <w:szCs w:val="24"/>
          <w:highlight w:val="none"/>
        </w:rPr>
      </w:pPr>
      <w:bookmarkStart w:id="38" w:name="_Toc7847"/>
      <w:bookmarkStart w:id="39" w:name="_Toc8844"/>
      <w:bookmarkStart w:id="40" w:name="_Toc4417"/>
      <w:r>
        <w:rPr>
          <w:rFonts w:hint="eastAsia" w:ascii="仿宋" w:hAnsi="仿宋" w:eastAsia="仿宋" w:cs="宋体"/>
          <w:b/>
          <w:bCs/>
          <w:color w:val="auto"/>
          <w:sz w:val="24"/>
          <w:szCs w:val="24"/>
          <w:highlight w:val="none"/>
        </w:rPr>
        <w:t>十</w:t>
      </w:r>
      <w:r>
        <w:rPr>
          <w:rFonts w:hint="eastAsia" w:ascii="仿宋" w:hAnsi="仿宋" w:eastAsia="仿宋" w:cs="宋体"/>
          <w:b/>
          <w:bCs/>
          <w:color w:val="auto"/>
          <w:sz w:val="24"/>
          <w:szCs w:val="24"/>
          <w:highlight w:val="none"/>
          <w:lang w:val="en-US" w:eastAsia="zh-CN"/>
        </w:rPr>
        <w:t>三</w:t>
      </w:r>
      <w:r>
        <w:rPr>
          <w:rFonts w:hint="eastAsia" w:ascii="仿宋" w:hAnsi="仿宋" w:eastAsia="仿宋" w:cs="宋体"/>
          <w:b/>
          <w:bCs/>
          <w:color w:val="auto"/>
          <w:sz w:val="24"/>
          <w:szCs w:val="24"/>
          <w:highlight w:val="none"/>
        </w:rPr>
        <w:t>、磋商评审程序及评审办法</w:t>
      </w:r>
      <w:bookmarkEnd w:id="38"/>
      <w:bookmarkEnd w:id="39"/>
      <w:bookmarkEnd w:id="40"/>
    </w:p>
    <w:p>
      <w:pPr>
        <w:tabs>
          <w:tab w:val="left" w:pos="9030"/>
        </w:tabs>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（一）磋商响应文件的</w:t>
      </w:r>
      <w:r>
        <w:rPr>
          <w:rFonts w:hint="eastAsia" w:ascii="仿宋" w:hAnsi="仿宋" w:eastAsia="仿宋" w:cs="宋体"/>
          <w:b/>
          <w:bCs/>
          <w:color w:val="auto"/>
          <w:sz w:val="24"/>
          <w:szCs w:val="24"/>
          <w:highlight w:val="none"/>
        </w:rPr>
        <w:t>资格性审查</w:t>
      </w:r>
      <w:r>
        <w:rPr>
          <w:rFonts w:hint="eastAsia" w:ascii="仿宋" w:hAnsi="仿宋" w:eastAsia="仿宋" w:cs="宋体"/>
          <w:color w:val="auto"/>
          <w:sz w:val="24"/>
          <w:szCs w:val="24"/>
          <w:highlight w:val="none"/>
        </w:rPr>
        <w:t>：由</w:t>
      </w:r>
      <w:r>
        <w:rPr>
          <w:rFonts w:hint="eastAsia" w:ascii="仿宋" w:hAnsi="仿宋" w:eastAsia="仿宋" w:cs="宋体"/>
          <w:b/>
          <w:bCs/>
          <w:color w:val="auto"/>
          <w:sz w:val="24"/>
          <w:szCs w:val="24"/>
          <w:highlight w:val="none"/>
          <w:lang w:val="en-US" w:eastAsia="zh-CN"/>
        </w:rPr>
        <w:t>资格审查</w:t>
      </w:r>
      <w:r>
        <w:rPr>
          <w:rFonts w:hint="eastAsia" w:ascii="仿宋" w:hAnsi="仿宋" w:eastAsia="仿宋" w:cs="宋体"/>
          <w:b/>
          <w:bCs/>
          <w:color w:val="auto"/>
          <w:sz w:val="24"/>
          <w:szCs w:val="24"/>
          <w:highlight w:val="none"/>
        </w:rPr>
        <w:t>小组</w:t>
      </w:r>
      <w:r>
        <w:rPr>
          <w:rFonts w:hint="eastAsia" w:ascii="仿宋" w:hAnsi="仿宋" w:eastAsia="仿宋" w:cs="宋体"/>
          <w:color w:val="auto"/>
          <w:sz w:val="24"/>
          <w:szCs w:val="24"/>
          <w:highlight w:val="none"/>
        </w:rPr>
        <w:t>依据法律法规和竞争性磋商文件的规定，对响应文件中的合格供应商要求证明文件等进行审查，以确保投标供应商是否具备相应资格。</w:t>
      </w:r>
    </w:p>
    <w:p>
      <w:pPr>
        <w:tabs>
          <w:tab w:val="left" w:pos="9030"/>
        </w:tabs>
        <w:spacing w:after="0" w:line="360" w:lineRule="auto"/>
        <w:ind w:firstLine="480" w:firstLineChars="200"/>
        <w:jc w:val="both"/>
        <w:rPr>
          <w:color w:val="auto"/>
          <w:highlight w:val="none"/>
        </w:rPr>
      </w:pPr>
      <w:r>
        <w:rPr>
          <w:rFonts w:hint="eastAsia" w:ascii="仿宋" w:hAnsi="仿宋" w:eastAsia="仿宋" w:cs="宋体"/>
          <w:color w:val="auto"/>
          <w:sz w:val="24"/>
          <w:szCs w:val="24"/>
          <w:highlight w:val="none"/>
          <w:lang w:val="en-US" w:eastAsia="zh-CN"/>
        </w:rPr>
        <w:t>资格</w:t>
      </w:r>
      <w:r>
        <w:rPr>
          <w:rFonts w:hint="eastAsia" w:ascii="仿宋" w:hAnsi="仿宋" w:eastAsia="仿宋" w:cs="宋体"/>
          <w:color w:val="auto"/>
          <w:sz w:val="24"/>
          <w:szCs w:val="24"/>
          <w:highlight w:val="none"/>
          <w:lang w:val="zh-CN"/>
        </w:rPr>
        <w:t>性审查结束后，</w:t>
      </w:r>
      <w:r>
        <w:rPr>
          <w:rFonts w:hint="eastAsia" w:ascii="仿宋" w:hAnsi="仿宋" w:eastAsia="仿宋" w:cs="宋体"/>
          <w:color w:val="auto"/>
          <w:sz w:val="24"/>
          <w:szCs w:val="24"/>
          <w:highlight w:val="none"/>
          <w:lang w:val="en-US" w:eastAsia="zh-CN"/>
        </w:rPr>
        <w:t>资格审查</w:t>
      </w:r>
      <w:r>
        <w:rPr>
          <w:rFonts w:hint="eastAsia" w:ascii="仿宋" w:hAnsi="仿宋" w:eastAsia="仿宋" w:cs="宋体"/>
          <w:color w:val="auto"/>
          <w:sz w:val="24"/>
          <w:szCs w:val="24"/>
          <w:highlight w:val="none"/>
          <w:lang w:val="zh-CN"/>
        </w:rPr>
        <w:t>小组应当对审查结果进行签字确认，并告知无效供应商</w:t>
      </w:r>
      <w:r>
        <w:rPr>
          <w:rFonts w:hint="eastAsia" w:ascii="仿宋" w:hAnsi="仿宋" w:eastAsia="仿宋" w:cs="宋体"/>
          <w:color w:val="auto"/>
          <w:sz w:val="24"/>
          <w:szCs w:val="24"/>
          <w:highlight w:val="none"/>
          <w:lang w:val="en-US" w:eastAsia="zh-CN"/>
        </w:rPr>
        <w:t>资格</w:t>
      </w:r>
      <w:r>
        <w:rPr>
          <w:rFonts w:hint="eastAsia" w:ascii="仿宋" w:hAnsi="仿宋" w:eastAsia="仿宋" w:cs="宋体"/>
          <w:color w:val="auto"/>
          <w:sz w:val="24"/>
          <w:szCs w:val="24"/>
          <w:highlight w:val="none"/>
          <w:lang w:val="zh-CN"/>
        </w:rPr>
        <w:t>性审查未通过的原因。</w:t>
      </w:r>
    </w:p>
    <w:p>
      <w:pPr>
        <w:tabs>
          <w:tab w:val="left" w:pos="9030"/>
        </w:tabs>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（二）磋商响应文件</w:t>
      </w:r>
      <w:r>
        <w:rPr>
          <w:rFonts w:hint="eastAsia" w:ascii="仿宋" w:hAnsi="仿宋" w:eastAsia="仿宋" w:cs="宋体"/>
          <w:b/>
          <w:bCs/>
          <w:color w:val="auto"/>
          <w:sz w:val="24"/>
          <w:szCs w:val="24"/>
          <w:highlight w:val="none"/>
        </w:rPr>
        <w:t>符合性审查</w:t>
      </w:r>
      <w:r>
        <w:rPr>
          <w:rFonts w:hint="eastAsia" w:ascii="仿宋" w:hAnsi="仿宋" w:eastAsia="仿宋" w:cs="宋体"/>
          <w:color w:val="auto"/>
          <w:sz w:val="24"/>
          <w:szCs w:val="24"/>
          <w:highlight w:val="none"/>
        </w:rPr>
        <w:t>：由</w:t>
      </w:r>
      <w:r>
        <w:rPr>
          <w:rFonts w:hint="eastAsia" w:ascii="仿宋" w:hAnsi="仿宋" w:eastAsia="仿宋" w:cs="宋体"/>
          <w:b/>
          <w:bCs/>
          <w:color w:val="auto"/>
          <w:sz w:val="24"/>
          <w:szCs w:val="24"/>
          <w:highlight w:val="none"/>
        </w:rPr>
        <w:t>磋商小组</w:t>
      </w:r>
      <w:r>
        <w:rPr>
          <w:rFonts w:hint="eastAsia" w:ascii="仿宋" w:hAnsi="仿宋" w:eastAsia="仿宋" w:cs="宋体"/>
          <w:color w:val="auto"/>
          <w:sz w:val="24"/>
          <w:szCs w:val="24"/>
          <w:highlight w:val="none"/>
        </w:rPr>
        <w:t>依据竞争性磋商文件的规定，对响应文件的有效性、完整性和对竞争性磋商文件的响应程度进行审查，以确定是否对竞争性磋商文件的实质性内容作出响应。</w:t>
      </w:r>
    </w:p>
    <w:p>
      <w:pPr>
        <w:tabs>
          <w:tab w:val="left" w:pos="9030"/>
        </w:tabs>
        <w:spacing w:after="0" w:line="360" w:lineRule="auto"/>
        <w:ind w:firstLine="480" w:firstLineChars="200"/>
        <w:jc w:val="both"/>
        <w:rPr>
          <w:rFonts w:ascii="仿宋" w:hAnsi="仿宋" w:eastAsia="仿宋"/>
          <w:b/>
          <w:bCs/>
          <w:color w:val="auto"/>
          <w:sz w:val="24"/>
          <w:szCs w:val="24"/>
          <w:highlight w:val="none"/>
          <w:lang w:val="zh-CN"/>
        </w:rPr>
      </w:pPr>
      <w:r>
        <w:rPr>
          <w:rFonts w:hint="eastAsia" w:ascii="仿宋" w:hAnsi="仿宋" w:eastAsia="仿宋" w:cs="宋体"/>
          <w:color w:val="auto"/>
          <w:sz w:val="24"/>
          <w:szCs w:val="24"/>
          <w:highlight w:val="none"/>
          <w:lang w:val="zh-CN"/>
        </w:rPr>
        <w:t>符合性审查结束后，磋商小组应当对审查结果进行签字确认，并告知无效供应商符合性审查未通过的原因。</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（三）供应商存在下列情况之一的，磋商无效：</w:t>
      </w:r>
    </w:p>
    <w:p>
      <w:pPr>
        <w:tabs>
          <w:tab w:val="left" w:pos="9030"/>
        </w:tabs>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不具备磋商文件中规定的资格要求的或提供的资格要求文件不符合磋商文件要求的；</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磋商响应文件未按磋商文件要求签署、盖章的；</w:t>
      </w:r>
    </w:p>
    <w:p>
      <w:pPr>
        <w:tabs>
          <w:tab w:val="left" w:pos="9030"/>
        </w:tabs>
        <w:spacing w:after="0" w:line="360" w:lineRule="auto"/>
        <w:ind w:firstLine="480" w:firstLineChars="200"/>
        <w:jc w:val="both"/>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3</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磋商响应文件磋商有效期不符合磋商文件要求的；</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rPr>
        <w:t>4</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供应商出现多份报价，出现选择性报价的；</w:t>
      </w:r>
    </w:p>
    <w:p>
      <w:pPr>
        <w:autoSpaceDE w:val="0"/>
        <w:autoSpaceDN w:val="0"/>
        <w:spacing w:after="0" w:line="360" w:lineRule="auto"/>
        <w:ind w:firstLine="480" w:firstLineChars="200"/>
        <w:jc w:val="both"/>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5</w:t>
      </w:r>
      <w:r>
        <w:rPr>
          <w:rFonts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lang w:val="zh-CN"/>
        </w:rPr>
        <w:t>磋商报价与市场价偏离较大，低于成本，形成不正当竞争；</w:t>
      </w:r>
    </w:p>
    <w:p>
      <w:pPr>
        <w:tabs>
          <w:tab w:val="left" w:pos="9030"/>
        </w:tabs>
        <w:spacing w:after="0" w:line="360" w:lineRule="auto"/>
        <w:ind w:firstLine="480" w:firstLineChars="200"/>
        <w:jc w:val="both"/>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6</w:t>
      </w:r>
      <w:r>
        <w:rPr>
          <w:rFonts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lang w:val="zh-CN"/>
        </w:rPr>
        <w:t>报价超过磋商文件中规定的预算金额；</w:t>
      </w:r>
    </w:p>
    <w:p>
      <w:pPr>
        <w:tabs>
          <w:tab w:val="left" w:pos="9030"/>
        </w:tabs>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7.磋商响应文件未实质性响应磋商文件的;</w:t>
      </w:r>
    </w:p>
    <w:p>
      <w:pPr>
        <w:tabs>
          <w:tab w:val="left" w:pos="9030"/>
        </w:tabs>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（四）磋商响应文件的澄清、说明或者更正：</w:t>
      </w:r>
    </w:p>
    <w:p>
      <w:pPr>
        <w:tabs>
          <w:tab w:val="left" w:pos="9030"/>
        </w:tabs>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30"/>
        </w:tabs>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9030"/>
        </w:tabs>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rPr>
        <w:t>报价</w:t>
      </w:r>
      <w:r>
        <w:rPr>
          <w:rFonts w:hint="eastAsia" w:ascii="仿宋" w:hAnsi="仿宋" w:eastAsia="仿宋" w:cs="宋体"/>
          <w:color w:val="auto"/>
          <w:sz w:val="24"/>
          <w:szCs w:val="24"/>
          <w:highlight w:val="none"/>
          <w:lang w:val="zh-CN"/>
        </w:rPr>
        <w:t>出现前后不一致的，按照下列规定修正：</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ascii="仿宋" w:hAnsi="仿宋" w:eastAsia="仿宋" w:cs="宋体"/>
          <w:color w:val="auto"/>
          <w:sz w:val="24"/>
          <w:szCs w:val="24"/>
          <w:highlight w:val="none"/>
          <w:lang w:val="zh-CN"/>
        </w:rPr>
        <w:t>1</w:t>
      </w: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rPr>
        <w:t>磋商时，磋商响应文件中磋商报价表内容与磋商响应文件中明细表内容不一致的，以磋商报价表为准</w:t>
      </w:r>
      <w:r>
        <w:rPr>
          <w:rFonts w:hint="eastAsia" w:ascii="仿宋" w:hAnsi="仿宋" w:eastAsia="仿宋" w:cs="宋体"/>
          <w:color w:val="auto"/>
          <w:sz w:val="24"/>
          <w:szCs w:val="24"/>
          <w:highlight w:val="none"/>
          <w:lang w:val="zh-CN"/>
        </w:rPr>
        <w:t>；</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）大写金额和小写金额不一致的，以大写金额为准；</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lang w:val="zh-CN"/>
        </w:rPr>
        <w:t>）单价金额小数点或者百分比有明显错位的，以第一次磋商报价表的总报价为准，并修改单价；</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lang w:val="zh-CN"/>
        </w:rPr>
        <w:t>）文字与图表不一致的，以文字为准；</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总价金额与按单价汇总金额不一致的，以单价金额计算结果为准。同时出现两种以上不一致的，按照前款规定的顺序修正。修正后的报价经供应商书面确认后产生约束力，供应商不确认的，其磋商无效。</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（五）磋商</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磋商小组所有成员集中与单一供应商分别进行磋商，并给所有参加磋商供应商平等的磋商机会。</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after="0" w:line="360" w:lineRule="auto"/>
        <w:ind w:firstLine="480" w:firstLineChars="200"/>
        <w:jc w:val="both"/>
        <w:rPr>
          <w:rFonts w:ascii="仿宋" w:hAnsi="仿宋" w:eastAsia="仿宋"/>
          <w:color w:val="auto"/>
          <w:spacing w:val="-6"/>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pacing w:val="-6"/>
          <w:sz w:val="24"/>
          <w:szCs w:val="24"/>
          <w:highlight w:val="none"/>
        </w:rPr>
        <w:t>对磋商文件作出的实质性变动是磋商文件的有效组成部分，磋商小组应当及时以书面形式同时通知所有参加磋商的供应商。</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（六）最终报价</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磋商结束后，磋商小组应当要求所有实质性响应的供应商在规定时间内提交最后报价，提交最后报价的供应商不得少于</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家。</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最后报价是供应商响应文件的有效组成部分。</w:t>
      </w:r>
      <w:r>
        <w:rPr>
          <w:rFonts w:hint="eastAsia" w:ascii="仿宋" w:hAnsi="仿宋" w:eastAsia="仿宋" w:cs="宋体"/>
          <w:snapToGrid w:val="0"/>
          <w:color w:val="auto"/>
          <w:sz w:val="24"/>
          <w:szCs w:val="24"/>
          <w:highlight w:val="none"/>
        </w:rPr>
        <w:t>符合</w:t>
      </w:r>
      <w:r>
        <w:rPr>
          <w:rFonts w:hint="eastAsia" w:ascii="仿宋" w:hAnsi="仿宋" w:eastAsia="仿宋" w:cs="宋体"/>
          <w:color w:val="auto"/>
          <w:sz w:val="24"/>
          <w:szCs w:val="24"/>
          <w:highlight w:val="none"/>
        </w:rPr>
        <w:t>《政府采购竞争性磋商采购方式管理暂行办法》</w:t>
      </w:r>
      <w:r>
        <w:rPr>
          <w:rFonts w:hint="eastAsia" w:ascii="仿宋" w:hAnsi="仿宋" w:eastAsia="仿宋" w:cs="宋体"/>
          <w:snapToGrid w:val="0"/>
          <w:color w:val="auto"/>
          <w:sz w:val="24"/>
          <w:szCs w:val="24"/>
          <w:highlight w:val="none"/>
        </w:rPr>
        <w:t>第三条第四项情形的</w:t>
      </w:r>
      <w:r>
        <w:rPr>
          <w:rFonts w:hint="eastAsia" w:ascii="仿宋" w:hAnsi="仿宋" w:eastAsia="仿宋" w:cs="宋体"/>
          <w:color w:val="auto"/>
          <w:sz w:val="24"/>
          <w:szCs w:val="24"/>
          <w:highlight w:val="none"/>
        </w:rPr>
        <w:t>，提交最后报价的供应商可以为</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家。</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（七）</w:t>
      </w:r>
      <w:r>
        <w:rPr>
          <w:rFonts w:hint="eastAsia" w:ascii="仿宋" w:hAnsi="仿宋" w:eastAsia="仿宋" w:cs="宋体"/>
          <w:color w:val="auto"/>
          <w:sz w:val="24"/>
          <w:szCs w:val="24"/>
          <w:highlight w:val="none"/>
          <w:lang w:val="zh-CN"/>
        </w:rPr>
        <w:t>比较与评价</w:t>
      </w:r>
    </w:p>
    <w:p>
      <w:pPr>
        <w:spacing w:after="0" w:line="360" w:lineRule="auto"/>
        <w:ind w:firstLine="480" w:firstLineChars="200"/>
        <w:jc w:val="both"/>
        <w:rPr>
          <w:rFonts w:ascii="仿宋" w:hAnsi="仿宋" w:eastAsia="仿宋"/>
          <w:snapToGrid w:val="0"/>
          <w:color w:val="auto"/>
          <w:sz w:val="24"/>
          <w:szCs w:val="24"/>
          <w:highlight w:val="none"/>
        </w:rPr>
      </w:pPr>
      <w:r>
        <w:rPr>
          <w:rFonts w:ascii="仿宋" w:hAnsi="仿宋" w:eastAsia="仿宋" w:cs="宋体"/>
          <w:snapToGrid w:val="0"/>
          <w:color w:val="auto"/>
          <w:sz w:val="24"/>
          <w:szCs w:val="24"/>
          <w:highlight w:val="none"/>
        </w:rPr>
        <w:t>1.</w:t>
      </w:r>
      <w:r>
        <w:rPr>
          <w:rFonts w:hint="eastAsia" w:ascii="仿宋" w:hAnsi="仿宋" w:eastAsia="仿宋" w:cs="宋体"/>
          <w:snapToGrid w:val="0"/>
          <w:color w:val="auto"/>
          <w:sz w:val="24"/>
          <w:szCs w:val="24"/>
          <w:highlight w:val="none"/>
        </w:rPr>
        <w:t>经磋商确定最终采购需求和提交最后报价的供应商后，由磋商小组采用综合评分法对提交最后报价的供应商的响应文件和最后报价进行综合评分。</w:t>
      </w:r>
    </w:p>
    <w:p>
      <w:pPr>
        <w:spacing w:after="0" w:line="360" w:lineRule="auto"/>
        <w:ind w:firstLine="480" w:firstLineChars="200"/>
        <w:jc w:val="both"/>
        <w:rPr>
          <w:rFonts w:ascii="仿宋" w:hAnsi="仿宋" w:eastAsia="仿宋" w:cs="宋体"/>
          <w:snapToGrid w:val="0"/>
          <w:color w:val="auto"/>
          <w:sz w:val="24"/>
          <w:szCs w:val="24"/>
          <w:highlight w:val="none"/>
        </w:rPr>
      </w:pPr>
      <w:r>
        <w:rPr>
          <w:rFonts w:ascii="仿宋" w:hAnsi="仿宋" w:eastAsia="仿宋" w:cs="宋体"/>
          <w:snapToGrid w:val="0"/>
          <w:color w:val="auto"/>
          <w:sz w:val="24"/>
          <w:szCs w:val="24"/>
          <w:highlight w:val="none"/>
        </w:rPr>
        <w:t>2.</w:t>
      </w:r>
      <w:r>
        <w:rPr>
          <w:rFonts w:hint="eastAsia" w:ascii="仿宋" w:hAnsi="仿宋" w:eastAsia="仿宋" w:cs="宋体"/>
          <w:snapToGrid w:val="0"/>
          <w:color w:val="auto"/>
          <w:sz w:val="24"/>
          <w:szCs w:val="24"/>
          <w:highlight w:val="none"/>
        </w:rPr>
        <w:t>评审方法：采用综合评分法，即对响应文件满足磋商文件全部实质性要求且按评审因素的量化指标评审得分最高的供应商为成交候选供应商的评审方法。</w:t>
      </w:r>
    </w:p>
    <w:p>
      <w:pPr>
        <w:autoSpaceDE w:val="0"/>
        <w:autoSpaceDN w:val="0"/>
        <w:spacing w:after="0" w:line="360" w:lineRule="auto"/>
        <w:ind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zh-CN"/>
        </w:rPr>
        <w:t>其他事项说明</w:t>
      </w:r>
    </w:p>
    <w:p>
      <w:pPr>
        <w:autoSpaceDE w:val="0"/>
        <w:autoSpaceDN w:val="0"/>
        <w:spacing w:after="0" w:line="360" w:lineRule="auto"/>
        <w:ind w:firstLine="480" w:firstLineChars="200"/>
        <w:jc w:val="both"/>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rPr>
        <w:t>因落实政府采购政策进行价格调整的，以调整后的价格计算评审基准价和磋商报价。</w:t>
      </w:r>
    </w:p>
    <w:p>
      <w:pPr>
        <w:tabs>
          <w:tab w:val="left" w:pos="9030"/>
        </w:tabs>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zh-CN"/>
        </w:rPr>
        <w:t>（</w:t>
      </w: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）评审时，磋商小组根据以上内容进行综合比较，自主打分，分数四舍五入保留两位小数，独立对每个供应商的磋商响应文件进行评价，并汇总每个供应商的得分。</w:t>
      </w:r>
    </w:p>
    <w:p>
      <w:pPr>
        <w:tabs>
          <w:tab w:val="left" w:pos="9030"/>
        </w:tabs>
        <w:spacing w:after="0" w:line="360" w:lineRule="auto"/>
        <w:ind w:firstLine="480" w:firstLineChars="200"/>
        <w:jc w:val="both"/>
        <w:rPr>
          <w:rFonts w:hint="eastAsia"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3）使用综合评分法的采购项目，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rPr>
        <w:t>4</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推荐成交候选供应商名单</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磋商小组应当根据综合评分情况，按照评审得分由高到低顺序推荐</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名以上成交候选供应商，并编写评审报告。符合《政府采购竞争性磋商采购方式管理暂行办法》第二十一条第三款情形的，可以推荐</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家成交候</w:t>
      </w:r>
      <w:r>
        <w:rPr>
          <w:rFonts w:hint="eastAsia" w:ascii="仿宋" w:hAnsi="仿宋" w:eastAsia="仿宋" w:cs="宋体"/>
          <w:color w:val="auto"/>
          <w:sz w:val="24"/>
          <w:szCs w:val="24"/>
          <w:highlight w:val="none"/>
        </w:rPr>
        <w:t>选供应商。评审得分相同的，按照最后报价由低到高的顺序推荐。评审得分且最后报价相同的，按照技术指标优劣顺序推荐。</w:t>
      </w:r>
    </w:p>
    <w:p>
      <w:pPr>
        <w:spacing w:after="0" w:line="360" w:lineRule="auto"/>
        <w:ind w:firstLine="482" w:firstLineChars="200"/>
        <w:jc w:val="both"/>
        <w:outlineLvl w:val="1"/>
        <w:rPr>
          <w:rFonts w:ascii="仿宋" w:hAnsi="仿宋" w:eastAsia="仿宋"/>
          <w:b/>
          <w:bCs/>
          <w:color w:val="auto"/>
          <w:sz w:val="24"/>
          <w:szCs w:val="24"/>
          <w:highlight w:val="none"/>
        </w:rPr>
      </w:pPr>
      <w:bookmarkStart w:id="41" w:name="_Toc495908032"/>
      <w:bookmarkStart w:id="42" w:name="_Toc495681387"/>
      <w:bookmarkStart w:id="43" w:name="_Toc16265"/>
      <w:bookmarkStart w:id="44" w:name="_Toc10327"/>
      <w:bookmarkStart w:id="45" w:name="_Toc31160"/>
      <w:bookmarkStart w:id="46" w:name="_Toc495909078"/>
      <w:bookmarkStart w:id="47" w:name="_Toc495681233"/>
      <w:bookmarkStart w:id="48" w:name="_Toc495681514"/>
      <w:r>
        <w:rPr>
          <w:rFonts w:hint="eastAsia" w:ascii="仿宋" w:hAnsi="仿宋" w:eastAsia="仿宋" w:cs="宋体"/>
          <w:b/>
          <w:bCs/>
          <w:color w:val="auto"/>
          <w:sz w:val="24"/>
          <w:szCs w:val="24"/>
          <w:highlight w:val="none"/>
        </w:rPr>
        <w:t>十</w:t>
      </w:r>
      <w:r>
        <w:rPr>
          <w:rFonts w:hint="eastAsia" w:ascii="仿宋" w:hAnsi="仿宋" w:eastAsia="仿宋" w:cs="宋体"/>
          <w:b/>
          <w:bCs/>
          <w:color w:val="auto"/>
          <w:sz w:val="24"/>
          <w:szCs w:val="24"/>
          <w:highlight w:val="none"/>
          <w:lang w:val="en-US" w:eastAsia="zh-CN"/>
        </w:rPr>
        <w:t>四</w:t>
      </w:r>
      <w:r>
        <w:rPr>
          <w:rFonts w:hint="eastAsia" w:ascii="仿宋" w:hAnsi="仿宋" w:eastAsia="仿宋" w:cs="宋体"/>
          <w:b/>
          <w:bCs/>
          <w:color w:val="auto"/>
          <w:sz w:val="24"/>
          <w:szCs w:val="24"/>
          <w:highlight w:val="none"/>
        </w:rPr>
        <w:t>、确定成交供应商</w:t>
      </w:r>
      <w:bookmarkEnd w:id="41"/>
      <w:bookmarkEnd w:id="42"/>
      <w:bookmarkEnd w:id="43"/>
      <w:bookmarkEnd w:id="44"/>
      <w:bookmarkEnd w:id="45"/>
      <w:bookmarkEnd w:id="46"/>
      <w:bookmarkEnd w:id="47"/>
      <w:bookmarkEnd w:id="48"/>
    </w:p>
    <w:p>
      <w:pPr>
        <w:spacing w:after="0" w:line="360" w:lineRule="auto"/>
        <w:ind w:firstLine="480" w:firstLineChars="200"/>
        <w:jc w:val="both"/>
        <w:rPr>
          <w:rFonts w:ascii="仿宋" w:hAnsi="仿宋" w:eastAsia="仿宋"/>
          <w:color w:val="auto"/>
          <w:sz w:val="24"/>
          <w:szCs w:val="24"/>
          <w:highlight w:val="none"/>
        </w:rPr>
      </w:pPr>
      <w:bookmarkStart w:id="49" w:name="_Toc495908924"/>
      <w:bookmarkStart w:id="50" w:name="_Toc12165"/>
      <w:bookmarkStart w:id="51" w:name="_Toc513108171"/>
      <w:bookmarkStart w:id="52" w:name="_Toc511298200"/>
      <w:r>
        <w:rPr>
          <w:rFonts w:hint="eastAsia" w:ascii="仿宋" w:hAnsi="仿宋" w:eastAsia="仿宋" w:cs="宋体"/>
          <w:color w:val="auto"/>
          <w:sz w:val="24"/>
          <w:szCs w:val="24"/>
          <w:highlight w:val="none"/>
        </w:rPr>
        <w:t>（一）采购代理机构应在评审结束后一个工作日内，将评审报告送采购人确定成交供应商。</w:t>
      </w:r>
    </w:p>
    <w:p>
      <w:pPr>
        <w:spacing w:after="0" w:line="360" w:lineRule="auto"/>
        <w:ind w:firstLine="480" w:firstLineChars="200"/>
        <w:jc w:val="both"/>
        <w:rPr>
          <w:rFonts w:ascii="仿宋" w:hAnsi="仿宋" w:eastAsia="仿宋"/>
          <w:snapToGrid w:val="0"/>
          <w:color w:val="auto"/>
          <w:sz w:val="24"/>
          <w:szCs w:val="24"/>
          <w:highlight w:val="none"/>
        </w:rPr>
      </w:pPr>
      <w:r>
        <w:rPr>
          <w:rFonts w:hint="eastAsia" w:ascii="仿宋" w:hAnsi="仿宋" w:eastAsia="仿宋" w:cs="宋体"/>
          <w:color w:val="auto"/>
          <w:sz w:val="24"/>
          <w:szCs w:val="24"/>
          <w:highlight w:val="none"/>
        </w:rPr>
        <w:t>（二）采购人在收到评审报告后四个工作日内，从评审报告提出的成交候选人中，</w:t>
      </w:r>
      <w:r>
        <w:rPr>
          <w:rFonts w:hint="eastAsia" w:ascii="仿宋" w:hAnsi="仿宋" w:eastAsia="仿宋" w:cs="宋体"/>
          <w:snapToGrid w:val="0"/>
          <w:color w:val="auto"/>
          <w:sz w:val="24"/>
          <w:szCs w:val="24"/>
          <w:highlight w:val="none"/>
        </w:rPr>
        <w:t>按照排序由高到低的原则确定成交供应商，也可以书面授权磋商小组直接确定成交供应商。</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（三）采购代理机构在接到采购人的“成交复函”确认文件后一个工作日内，在</w:t>
      </w:r>
      <w:r>
        <w:rPr>
          <w:rFonts w:hint="eastAsia" w:ascii="仿宋" w:hAnsi="仿宋" w:eastAsia="仿宋" w:cs="宋体"/>
          <w:snapToGrid w:val="0"/>
          <w:color w:val="auto"/>
          <w:sz w:val="24"/>
          <w:szCs w:val="24"/>
          <w:highlight w:val="none"/>
        </w:rPr>
        <w:t>省级以上财政部门指定的政府采购信息发布媒体上公告成交结果，同时向成交供应商发出成交通知书。</w:t>
      </w:r>
    </w:p>
    <w:p>
      <w:pPr>
        <w:autoSpaceDE w:val="0"/>
        <w:autoSpaceDN w:val="0"/>
        <w:spacing w:after="0" w:line="360" w:lineRule="auto"/>
        <w:ind w:firstLine="482" w:firstLineChars="200"/>
        <w:jc w:val="both"/>
        <w:outlineLvl w:val="1"/>
        <w:rPr>
          <w:rFonts w:ascii="仿宋" w:hAnsi="仿宋" w:eastAsia="仿宋"/>
          <w:b/>
          <w:bCs/>
          <w:color w:val="auto"/>
          <w:sz w:val="24"/>
          <w:szCs w:val="24"/>
          <w:highlight w:val="none"/>
          <w:lang w:val="zh-CN"/>
        </w:rPr>
      </w:pPr>
      <w:bookmarkStart w:id="53" w:name="_Toc17294"/>
      <w:bookmarkStart w:id="54" w:name="_Toc28477"/>
      <w:r>
        <w:rPr>
          <w:rFonts w:hint="eastAsia" w:ascii="仿宋" w:hAnsi="仿宋" w:eastAsia="仿宋" w:cs="宋体"/>
          <w:b/>
          <w:bCs/>
          <w:color w:val="auto"/>
          <w:sz w:val="24"/>
          <w:szCs w:val="24"/>
          <w:highlight w:val="none"/>
          <w:lang w:val="zh-CN"/>
        </w:rPr>
        <w:t>十</w:t>
      </w:r>
      <w:r>
        <w:rPr>
          <w:rFonts w:hint="eastAsia" w:ascii="仿宋" w:hAnsi="仿宋" w:eastAsia="仿宋" w:cs="宋体"/>
          <w:b/>
          <w:bCs/>
          <w:color w:val="auto"/>
          <w:sz w:val="24"/>
          <w:szCs w:val="24"/>
          <w:highlight w:val="none"/>
          <w:lang w:val="en-US" w:eastAsia="zh-CN"/>
        </w:rPr>
        <w:t>五</w:t>
      </w:r>
      <w:r>
        <w:rPr>
          <w:rFonts w:hint="eastAsia" w:ascii="仿宋" w:hAnsi="仿宋" w:eastAsia="仿宋" w:cs="宋体"/>
          <w:b/>
          <w:bCs/>
          <w:color w:val="auto"/>
          <w:sz w:val="24"/>
          <w:szCs w:val="24"/>
          <w:highlight w:val="none"/>
          <w:lang w:val="zh-CN"/>
        </w:rPr>
        <w:t>、质疑</w:t>
      </w:r>
      <w:bookmarkEnd w:id="49"/>
      <w:r>
        <w:rPr>
          <w:rFonts w:hint="eastAsia" w:ascii="仿宋" w:hAnsi="仿宋" w:eastAsia="仿宋" w:cs="宋体"/>
          <w:b/>
          <w:bCs/>
          <w:color w:val="auto"/>
          <w:sz w:val="24"/>
          <w:szCs w:val="24"/>
          <w:highlight w:val="none"/>
          <w:lang w:val="zh-CN"/>
        </w:rPr>
        <w:t>与投诉</w:t>
      </w:r>
      <w:bookmarkEnd w:id="50"/>
      <w:bookmarkEnd w:id="51"/>
      <w:bookmarkEnd w:id="52"/>
      <w:bookmarkEnd w:id="53"/>
      <w:bookmarkEnd w:id="54"/>
    </w:p>
    <w:p>
      <w:pPr>
        <w:spacing w:after="0" w:line="360" w:lineRule="auto"/>
        <w:ind w:firstLine="480" w:firstLineChars="200"/>
        <w:jc w:val="both"/>
        <w:rPr>
          <w:rFonts w:ascii="仿宋" w:hAnsi="仿宋" w:eastAsia="仿宋"/>
          <w:color w:val="auto"/>
          <w:sz w:val="24"/>
          <w:szCs w:val="24"/>
          <w:highlight w:val="none"/>
        </w:rPr>
      </w:pPr>
      <w:bookmarkStart w:id="55" w:name="_Toc495681234"/>
      <w:bookmarkStart w:id="56" w:name="_Toc495908033"/>
      <w:bookmarkStart w:id="57" w:name="_Toc25195"/>
      <w:bookmarkStart w:id="58" w:name="_Toc495681515"/>
      <w:bookmarkStart w:id="59" w:name="_Toc495681388"/>
      <w:bookmarkStart w:id="60" w:name="_Toc495909079"/>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、供应商对政府采购活动事项有疑问的，可以向采购人、采购代理机构提出询问。</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、供应商认为采购文件、采购过程、中标或者成交结果使自己的权益受到损害的，可以在知道或者应知其权益受到损害之日起</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个工作日内，以书面形式向采购代理机构提出质疑。</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、供应商在法定质疑期内须一次性提出针对同一采购程序环节的质疑。</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、供应商提出质疑应当提交质疑函和必要的证明材料。质疑函应当包括下列内容：</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4-1</w:t>
      </w:r>
      <w:r>
        <w:rPr>
          <w:rFonts w:hint="eastAsia" w:ascii="仿宋" w:hAnsi="仿宋" w:eastAsia="仿宋" w:cs="宋体"/>
          <w:color w:val="auto"/>
          <w:sz w:val="24"/>
          <w:szCs w:val="24"/>
          <w:highlight w:val="none"/>
        </w:rPr>
        <w:t>、供应商的姓名或者名称、地址、邮编、联系人及联系电话；</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4-2</w:t>
      </w:r>
      <w:r>
        <w:rPr>
          <w:rFonts w:hint="eastAsia" w:ascii="仿宋" w:hAnsi="仿宋" w:eastAsia="仿宋" w:cs="宋体"/>
          <w:color w:val="auto"/>
          <w:sz w:val="24"/>
          <w:szCs w:val="24"/>
          <w:highlight w:val="none"/>
        </w:rPr>
        <w:t>、质疑项目的名称、编号；</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4-3</w:t>
      </w:r>
      <w:r>
        <w:rPr>
          <w:rFonts w:hint="eastAsia" w:ascii="仿宋" w:hAnsi="仿宋" w:eastAsia="仿宋" w:cs="宋体"/>
          <w:color w:val="auto"/>
          <w:sz w:val="24"/>
          <w:szCs w:val="24"/>
          <w:highlight w:val="none"/>
        </w:rPr>
        <w:t>、具体、明确的质疑事项和与质疑事项相关的请求；</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4-4</w:t>
      </w:r>
      <w:r>
        <w:rPr>
          <w:rFonts w:hint="eastAsia" w:ascii="仿宋" w:hAnsi="仿宋" w:eastAsia="仿宋" w:cs="宋体"/>
          <w:color w:val="auto"/>
          <w:sz w:val="24"/>
          <w:szCs w:val="24"/>
          <w:highlight w:val="none"/>
        </w:rPr>
        <w:t>、事实依据；</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4-5</w:t>
      </w:r>
      <w:r>
        <w:rPr>
          <w:rFonts w:hint="eastAsia" w:ascii="仿宋" w:hAnsi="仿宋" w:eastAsia="仿宋" w:cs="宋体"/>
          <w:color w:val="auto"/>
          <w:sz w:val="24"/>
          <w:szCs w:val="24"/>
          <w:highlight w:val="none"/>
        </w:rPr>
        <w:t>、必要的法律依据；</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4-6</w:t>
      </w:r>
      <w:r>
        <w:rPr>
          <w:rFonts w:hint="eastAsia" w:ascii="仿宋" w:hAnsi="仿宋" w:eastAsia="仿宋" w:cs="宋体"/>
          <w:color w:val="auto"/>
          <w:sz w:val="24"/>
          <w:szCs w:val="24"/>
          <w:highlight w:val="none"/>
        </w:rPr>
        <w:t>、提出质疑的日期。</w:t>
      </w:r>
    </w:p>
    <w:p>
      <w:pPr>
        <w:spacing w:after="0" w:line="360" w:lineRule="auto"/>
        <w:ind w:firstLine="480" w:firstLineChars="200"/>
        <w:jc w:val="both"/>
        <w:rPr>
          <w:rFonts w:ascii="仿宋" w:hAnsi="仿宋" w:eastAsia="仿宋"/>
          <w:color w:val="auto"/>
          <w:sz w:val="24"/>
          <w:szCs w:val="24"/>
          <w:highlight w:val="none"/>
        </w:rPr>
      </w:pPr>
      <w:r>
        <w:rPr>
          <w:rFonts w:hint="eastAsia" w:ascii="仿宋" w:hAnsi="仿宋" w:eastAsia="仿宋" w:cs="宋体"/>
          <w:color w:val="auto"/>
          <w:sz w:val="24"/>
          <w:szCs w:val="24"/>
          <w:highlight w:val="none"/>
        </w:rPr>
        <w:t>供应商为自然人的，应当由本人签字；供应商为法人或者其他组织的，应当由法定代表人、主要负责人，或者其授权代表签字或者盖章，并加盖公章。</w:t>
      </w:r>
    </w:p>
    <w:p>
      <w:pPr>
        <w:spacing w:after="0" w:line="360" w:lineRule="auto"/>
        <w:ind w:firstLine="480" w:firstLineChars="200"/>
        <w:jc w:val="both"/>
        <w:rPr>
          <w:rFonts w:ascii="仿宋" w:hAnsi="仿宋" w:eastAsia="仿宋"/>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、符合要求的质疑，采购代理机构将予以受理并答复，具体联系方式如下：</w:t>
      </w:r>
    </w:p>
    <w:p>
      <w:pPr>
        <w:spacing w:after="0" w:line="360" w:lineRule="auto"/>
        <w:ind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s="宋体"/>
          <w:color w:val="auto"/>
          <w:sz w:val="24"/>
          <w:szCs w:val="24"/>
          <w:highlight w:val="none"/>
        </w:rPr>
        <w:t>联系人：</w:t>
      </w:r>
      <w:r>
        <w:rPr>
          <w:rFonts w:hint="eastAsia" w:ascii="仿宋" w:hAnsi="仿宋" w:eastAsia="仿宋" w:cs="宋体"/>
          <w:color w:val="auto"/>
          <w:sz w:val="24"/>
          <w:szCs w:val="24"/>
          <w:highlight w:val="none"/>
          <w:lang w:val="en-US" w:eastAsia="zh-CN"/>
        </w:rPr>
        <w:t>乔工、魏工</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联系电话：</w:t>
      </w:r>
      <w:r>
        <w:rPr>
          <w:rFonts w:hint="eastAsia" w:ascii="仿宋" w:hAnsi="仿宋" w:eastAsia="仿宋" w:cs="宋体"/>
          <w:color w:val="auto"/>
          <w:sz w:val="24"/>
          <w:szCs w:val="24"/>
          <w:highlight w:val="none"/>
          <w:lang w:eastAsia="zh-CN"/>
        </w:rPr>
        <w:t>029-86350681</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地址：</w:t>
      </w:r>
      <w:r>
        <w:rPr>
          <w:rFonts w:hint="eastAsia" w:ascii="仿宋" w:hAnsi="仿宋" w:eastAsia="仿宋" w:cs="宋体"/>
          <w:color w:val="auto"/>
          <w:sz w:val="24"/>
          <w:szCs w:val="24"/>
          <w:highlight w:val="none"/>
          <w:lang w:eastAsia="zh-CN"/>
        </w:rPr>
        <w:t>西安市朱宏路3号陕西省统建管理办公室10楼（西安银行南侧）</w:t>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质疑函范本地址：</w:t>
      </w:r>
      <w:r>
        <w:rPr>
          <w:rFonts w:hint="eastAsia" w:ascii="仿宋" w:hAnsi="仿宋" w:eastAsia="仿宋" w:cs="宋体"/>
          <w:color w:val="auto"/>
          <w:sz w:val="24"/>
          <w:szCs w:val="24"/>
          <w:highlight w:val="none"/>
        </w:rPr>
        <w:fldChar w:fldCharType="begin"/>
      </w:r>
      <w:r>
        <w:rPr>
          <w:rFonts w:hint="eastAsia" w:ascii="仿宋" w:hAnsi="仿宋" w:eastAsia="仿宋" w:cs="宋体"/>
          <w:color w:val="auto"/>
          <w:sz w:val="24"/>
          <w:szCs w:val="24"/>
          <w:highlight w:val="none"/>
        </w:rPr>
        <w:instrText xml:space="preserve"> HYPERLINK "http://download.ccgp.gov.cn/2018/zhiyihanfanben.zip" </w:instrText>
      </w:r>
      <w:r>
        <w:rPr>
          <w:rFonts w:hint="eastAsia"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http://download.ccgp.gov.cn/2018/zhiyihanfanben.zip</w:t>
      </w:r>
      <w:r>
        <w:rPr>
          <w:rFonts w:hint="eastAsia" w:ascii="仿宋" w:hAnsi="仿宋" w:eastAsia="仿宋" w:cs="宋体"/>
          <w:color w:val="auto"/>
          <w:sz w:val="24"/>
          <w:szCs w:val="24"/>
          <w:highlight w:val="none"/>
        </w:rPr>
        <w:fldChar w:fldCharType="end"/>
      </w:r>
    </w:p>
    <w:p>
      <w:pPr>
        <w:spacing w:after="0" w:line="360" w:lineRule="auto"/>
        <w:ind w:firstLine="480" w:firstLineChars="200"/>
        <w:jc w:val="both"/>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供应商进行虚假和恶意质疑的，采购代理机构将提供相关资料报监督机构，按其情况进行相应处理。</w:t>
      </w:r>
    </w:p>
    <w:p>
      <w:pPr>
        <w:adjustRightInd/>
        <w:snapToGrid/>
        <w:spacing w:line="220" w:lineRule="atLeast"/>
        <w:ind w:firstLine="241" w:firstLineChars="1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十</w:t>
      </w:r>
      <w:r>
        <w:rPr>
          <w:rFonts w:hint="eastAsia" w:ascii="仿宋" w:hAnsi="仿宋" w:eastAsia="仿宋" w:cs="宋体"/>
          <w:b/>
          <w:bCs/>
          <w:color w:val="auto"/>
          <w:sz w:val="24"/>
          <w:szCs w:val="24"/>
          <w:highlight w:val="none"/>
          <w:lang w:val="en-US" w:eastAsia="zh-CN"/>
        </w:rPr>
        <w:t>六</w:t>
      </w:r>
      <w:r>
        <w:rPr>
          <w:rFonts w:hint="eastAsia" w:ascii="仿宋" w:hAnsi="仿宋" w:eastAsia="仿宋" w:cs="宋体"/>
          <w:b/>
          <w:bCs/>
          <w:color w:val="auto"/>
          <w:sz w:val="24"/>
          <w:szCs w:val="24"/>
          <w:highlight w:val="none"/>
        </w:rPr>
        <w:t>、履约保证金</w:t>
      </w:r>
    </w:p>
    <w:p>
      <w:pPr>
        <w:spacing w:after="0" w:line="360" w:lineRule="auto"/>
        <w:ind w:firstLine="480" w:firstLineChars="200"/>
        <w:jc w:val="both"/>
        <w:rPr>
          <w:rFonts w:ascii="仿宋" w:hAnsi="仿宋" w:eastAsia="仿宋"/>
          <w:b/>
          <w:bCs/>
          <w:color w:val="auto"/>
          <w:sz w:val="24"/>
          <w:szCs w:val="24"/>
          <w:highlight w:val="none"/>
        </w:rPr>
      </w:pPr>
      <w:r>
        <w:rPr>
          <w:rFonts w:hint="eastAsia" w:ascii="仿宋" w:hAnsi="仿宋" w:eastAsia="仿宋" w:cs="宋体"/>
          <w:color w:val="auto"/>
          <w:sz w:val="24"/>
          <w:szCs w:val="24"/>
          <w:highlight w:val="none"/>
        </w:rPr>
        <w:t>无</w:t>
      </w:r>
    </w:p>
    <w:p>
      <w:pPr>
        <w:adjustRightInd/>
        <w:snapToGrid/>
        <w:spacing w:line="220" w:lineRule="atLeast"/>
        <w:ind w:firstLine="241" w:firstLineChars="100"/>
        <w:rPr>
          <w:rFonts w:ascii="仿宋" w:hAnsi="仿宋" w:eastAsia="仿宋"/>
          <w:b/>
          <w:bCs/>
          <w:color w:val="auto"/>
          <w:sz w:val="24"/>
          <w:szCs w:val="24"/>
          <w:highlight w:val="none"/>
        </w:rPr>
      </w:pPr>
      <w:r>
        <w:rPr>
          <w:rFonts w:hint="eastAsia" w:ascii="仿宋" w:hAnsi="仿宋" w:eastAsia="仿宋" w:cs="宋体"/>
          <w:b/>
          <w:bCs/>
          <w:color w:val="auto"/>
          <w:sz w:val="24"/>
          <w:szCs w:val="24"/>
          <w:highlight w:val="none"/>
        </w:rPr>
        <w:t>十</w:t>
      </w:r>
      <w:r>
        <w:rPr>
          <w:rFonts w:hint="eastAsia" w:ascii="仿宋" w:hAnsi="仿宋" w:eastAsia="仿宋" w:cs="宋体"/>
          <w:b/>
          <w:bCs/>
          <w:color w:val="auto"/>
          <w:sz w:val="24"/>
          <w:szCs w:val="24"/>
          <w:highlight w:val="none"/>
          <w:lang w:val="en-US" w:eastAsia="zh-CN"/>
        </w:rPr>
        <w:t>七</w:t>
      </w:r>
      <w:r>
        <w:rPr>
          <w:rFonts w:hint="eastAsia" w:ascii="仿宋" w:hAnsi="仿宋" w:eastAsia="仿宋" w:cs="宋体"/>
          <w:b/>
          <w:bCs/>
          <w:color w:val="auto"/>
          <w:sz w:val="24"/>
          <w:szCs w:val="24"/>
          <w:highlight w:val="none"/>
        </w:rPr>
        <w:t>、签订合同</w:t>
      </w:r>
      <w:bookmarkEnd w:id="55"/>
      <w:bookmarkEnd w:id="56"/>
      <w:bookmarkEnd w:id="57"/>
      <w:bookmarkEnd w:id="58"/>
      <w:bookmarkEnd w:id="59"/>
      <w:bookmarkEnd w:id="60"/>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bookmarkStart w:id="61" w:name="_Toc31258"/>
      <w:bookmarkStart w:id="62" w:name="_Toc495681389"/>
      <w:bookmarkStart w:id="63" w:name="_Toc495681235"/>
      <w:bookmarkStart w:id="64" w:name="_Toc495909080"/>
      <w:bookmarkStart w:id="65" w:name="_Toc495671243"/>
      <w:bookmarkStart w:id="66" w:name="_Toc495908034"/>
      <w:bookmarkStart w:id="67" w:name="_Toc495681516"/>
      <w:r>
        <w:rPr>
          <w:rFonts w:ascii="仿宋" w:hAnsi="仿宋" w:eastAsia="仿宋" w:cs="宋体"/>
          <w:color w:val="auto"/>
          <w:sz w:val="24"/>
          <w:szCs w:val="24"/>
          <w:highlight w:val="none"/>
          <w:lang w:val="zh-CN"/>
        </w:rPr>
        <w:t>1</w:t>
      </w:r>
      <w:r>
        <w:rPr>
          <w:rFonts w:hint="eastAsia" w:ascii="仿宋" w:hAnsi="仿宋" w:eastAsia="仿宋" w:cs="宋体"/>
          <w:color w:val="auto"/>
          <w:sz w:val="24"/>
          <w:szCs w:val="24"/>
          <w:highlight w:val="none"/>
          <w:lang w:val="zh-CN"/>
        </w:rPr>
        <w:t>、采购人与成交供应商应当在成交通知书发出之日起</w:t>
      </w:r>
      <w:r>
        <w:rPr>
          <w:rFonts w:ascii="仿宋" w:hAnsi="仿宋" w:eastAsia="仿宋" w:cs="宋体"/>
          <w:color w:val="auto"/>
          <w:sz w:val="24"/>
          <w:szCs w:val="24"/>
          <w:highlight w:val="none"/>
          <w:lang w:val="zh-CN"/>
        </w:rPr>
        <w:t>30</w:t>
      </w:r>
      <w:r>
        <w:rPr>
          <w:rFonts w:hint="eastAsia" w:ascii="仿宋" w:hAnsi="仿宋" w:eastAsia="仿宋" w:cs="宋体"/>
          <w:color w:val="auto"/>
          <w:sz w:val="24"/>
          <w:szCs w:val="24"/>
          <w:highlight w:val="none"/>
          <w:lang w:val="zh-CN"/>
        </w:rPr>
        <w:t>日内，按照磋商文件确定的合同文本以及采购标的、成交金额、技术和服务要求等事项签订政府采购合同。</w:t>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2、</w:t>
      </w:r>
      <w:r>
        <w:rPr>
          <w:rFonts w:hint="eastAsia" w:ascii="仿宋" w:hAnsi="仿宋" w:eastAsia="仿宋" w:cs="宋体"/>
          <w:color w:val="auto"/>
          <w:sz w:val="24"/>
          <w:szCs w:val="24"/>
          <w:highlight w:val="none"/>
          <w:lang w:val="en-US" w:eastAsia="zh-CN"/>
        </w:rPr>
        <w:t>采购人自政府采购合同签订之日起2个工作日内，将政府采购合同在省级以上人民政府财政部门指定的媒体上公告，但政府采购合同中涉及国家秘密、商业秘密的内容除外。</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lang w:val="zh-CN"/>
        </w:rPr>
        <w:t>采购人不得向成交供应商提出超出磋商文件以外的任何要求作为签订合同的条件，不得与成交供应商订立背离磋商文件确定的合同文本以及采购标的、成交金额、技术和服务要求等实质性内容的协议。</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val="zh-CN"/>
        </w:rPr>
        <w:t>、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pPr>
        <w:autoSpaceDE w:val="0"/>
        <w:autoSpaceDN w:val="0"/>
        <w:spacing w:after="0" w:line="360" w:lineRule="auto"/>
        <w:ind w:firstLine="480" w:firstLineChars="200"/>
        <w:jc w:val="both"/>
        <w:rPr>
          <w:rFonts w:ascii="仿宋" w:hAnsi="仿宋" w:eastAsia="仿宋"/>
          <w:color w:val="auto"/>
          <w:sz w:val="24"/>
          <w:szCs w:val="24"/>
          <w:highlight w:val="none"/>
          <w:lang w:val="zh-CN"/>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lang w:val="zh-CN"/>
        </w:rPr>
        <w:t>、竞争性磋商文件、成交供应商的响应文件及竞争性磋商过程中有关澄清、承诺文件均应作为合同附件。</w:t>
      </w:r>
    </w:p>
    <w:p>
      <w:pPr>
        <w:autoSpaceDE w:val="0"/>
        <w:autoSpaceDN w:val="0"/>
        <w:spacing w:after="0" w:line="360" w:lineRule="auto"/>
        <w:ind w:firstLine="480" w:firstLineChars="200"/>
        <w:jc w:val="both"/>
        <w:outlineLvl w:val="1"/>
        <w:rPr>
          <w:rFonts w:ascii="仿宋" w:hAnsi="仿宋" w:eastAsia="仿宋"/>
          <w:color w:val="auto"/>
          <w:sz w:val="24"/>
          <w:szCs w:val="24"/>
          <w:highlight w:val="none"/>
          <w:lang w:val="zh-CN"/>
        </w:rPr>
      </w:pPr>
      <w:bookmarkStart w:id="68" w:name="_Toc18823"/>
      <w:bookmarkStart w:id="69" w:name="_Toc5349"/>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val="zh-CN"/>
        </w:rPr>
        <w:t>、签订合同后，成交供应商不得将其他相关服务进行转包。未经采购人同意，成交供应商也不得采用分包的形式履行合同，否则采购人有权终止合同，转包或分包造成采购人损失的，成交供应商应承担相应赔偿责任。</w:t>
      </w:r>
      <w:bookmarkEnd w:id="68"/>
      <w:bookmarkEnd w:id="69"/>
    </w:p>
    <w:p>
      <w:pPr>
        <w:autoSpaceDE w:val="0"/>
        <w:autoSpaceDN w:val="0"/>
        <w:spacing w:after="0" w:line="360" w:lineRule="auto"/>
        <w:ind w:firstLine="482" w:firstLineChars="200"/>
        <w:jc w:val="both"/>
        <w:outlineLvl w:val="1"/>
        <w:rPr>
          <w:rFonts w:hint="eastAsia" w:ascii="仿宋" w:hAnsi="仿宋" w:eastAsia="仿宋" w:cs="宋体"/>
          <w:b/>
          <w:bCs/>
          <w:color w:val="auto"/>
          <w:sz w:val="24"/>
          <w:szCs w:val="24"/>
          <w:highlight w:val="none"/>
          <w:lang w:val="en-US" w:eastAsia="zh-CN"/>
        </w:rPr>
      </w:pPr>
      <w:bookmarkStart w:id="70" w:name="_Toc28525"/>
      <w:bookmarkStart w:id="71" w:name="_Toc6260"/>
      <w:r>
        <w:rPr>
          <w:rFonts w:hint="eastAsia" w:ascii="仿宋" w:hAnsi="仿宋" w:eastAsia="仿宋" w:cs="宋体"/>
          <w:b/>
          <w:bCs/>
          <w:color w:val="auto"/>
          <w:sz w:val="24"/>
          <w:szCs w:val="24"/>
          <w:highlight w:val="none"/>
          <w:lang w:val="zh-CN"/>
        </w:rPr>
        <w:t>十</w:t>
      </w:r>
      <w:r>
        <w:rPr>
          <w:rFonts w:hint="eastAsia" w:ascii="仿宋" w:hAnsi="仿宋" w:eastAsia="仿宋" w:cs="宋体"/>
          <w:b/>
          <w:bCs/>
          <w:color w:val="auto"/>
          <w:sz w:val="24"/>
          <w:szCs w:val="24"/>
          <w:highlight w:val="none"/>
          <w:lang w:val="en-US" w:eastAsia="zh-CN"/>
        </w:rPr>
        <w:t>八</w:t>
      </w:r>
      <w:r>
        <w:rPr>
          <w:rFonts w:hint="eastAsia" w:ascii="仿宋" w:hAnsi="仿宋" w:eastAsia="仿宋" w:cs="宋体"/>
          <w:b/>
          <w:bCs/>
          <w:color w:val="auto"/>
          <w:sz w:val="24"/>
          <w:szCs w:val="24"/>
          <w:highlight w:val="none"/>
          <w:lang w:val="zh-CN"/>
        </w:rPr>
        <w:t>、</w:t>
      </w:r>
      <w:bookmarkEnd w:id="61"/>
      <w:bookmarkEnd w:id="62"/>
      <w:bookmarkEnd w:id="63"/>
      <w:bookmarkEnd w:id="64"/>
      <w:bookmarkEnd w:id="65"/>
      <w:bookmarkEnd w:id="66"/>
      <w:bookmarkEnd w:id="67"/>
      <w:bookmarkStart w:id="72" w:name="_Toc495681236"/>
      <w:bookmarkStart w:id="73" w:name="_Toc495908035"/>
      <w:bookmarkStart w:id="74" w:name="_Toc14098"/>
      <w:bookmarkStart w:id="75" w:name="_Toc495909081"/>
      <w:bookmarkStart w:id="76" w:name="_Toc495681517"/>
      <w:bookmarkStart w:id="77" w:name="_Toc495681390"/>
      <w:r>
        <w:rPr>
          <w:rFonts w:hint="eastAsia" w:ascii="仿宋" w:hAnsi="仿宋" w:eastAsia="仿宋" w:cs="宋体"/>
          <w:b/>
          <w:bCs/>
          <w:color w:val="auto"/>
          <w:sz w:val="24"/>
          <w:szCs w:val="24"/>
          <w:highlight w:val="none"/>
          <w:lang w:val="en-US" w:eastAsia="zh-CN"/>
        </w:rPr>
        <w:t>其他</w:t>
      </w:r>
      <w:bookmarkEnd w:id="70"/>
      <w:bookmarkEnd w:id="71"/>
    </w:p>
    <w:p>
      <w:pPr>
        <w:autoSpaceDE w:val="0"/>
        <w:autoSpaceDN w:val="0"/>
        <w:spacing w:after="0" w:line="360" w:lineRule="auto"/>
        <w:ind w:firstLine="480" w:firstLineChars="200"/>
        <w:jc w:val="both"/>
        <w:outlineLvl w:val="1"/>
        <w:rPr>
          <w:rFonts w:hint="eastAsia" w:ascii="仿宋" w:hAnsi="仿宋" w:eastAsia="仿宋" w:cs="宋体"/>
          <w:color w:val="auto"/>
          <w:sz w:val="24"/>
          <w:szCs w:val="24"/>
          <w:highlight w:val="none"/>
          <w:lang w:val="en-US" w:eastAsia="zh-CN"/>
        </w:rPr>
      </w:pPr>
      <w:bookmarkStart w:id="78" w:name="_Toc23200"/>
      <w:bookmarkStart w:id="79" w:name="_Toc23099"/>
      <w:r>
        <w:rPr>
          <w:rFonts w:hint="eastAsia" w:ascii="仿宋" w:hAnsi="仿宋" w:eastAsia="仿宋" w:cs="宋体"/>
          <w:color w:val="auto"/>
          <w:sz w:val="24"/>
          <w:szCs w:val="24"/>
          <w:highlight w:val="none"/>
          <w:lang w:val="en-US" w:eastAsia="zh-CN"/>
        </w:rPr>
        <w:t>（一）履约验收</w:t>
      </w:r>
      <w:bookmarkEnd w:id="78"/>
      <w:bookmarkEnd w:id="79"/>
    </w:p>
    <w:p>
      <w:pPr>
        <w:autoSpaceDE w:val="0"/>
        <w:autoSpaceDN w:val="0"/>
        <w:spacing w:after="0" w:line="360" w:lineRule="auto"/>
        <w:ind w:firstLine="480" w:firstLineChars="200"/>
        <w:jc w:val="both"/>
        <w:outlineLvl w:val="1"/>
        <w:rPr>
          <w:rFonts w:hint="eastAsia" w:ascii="仿宋" w:hAnsi="仿宋" w:eastAsia="仿宋" w:cs="宋体"/>
          <w:color w:val="auto"/>
          <w:sz w:val="24"/>
          <w:szCs w:val="24"/>
          <w:highlight w:val="none"/>
          <w:lang w:val="en-US" w:eastAsia="zh-CN"/>
        </w:rPr>
      </w:pPr>
      <w:bookmarkStart w:id="80" w:name="_Toc28226"/>
      <w:bookmarkStart w:id="81" w:name="_Toc14466"/>
      <w:r>
        <w:rPr>
          <w:rFonts w:hint="eastAsia" w:ascii="仿宋" w:hAnsi="仿宋" w:eastAsia="仿宋" w:cs="宋体"/>
          <w:color w:val="auto"/>
          <w:sz w:val="24"/>
          <w:szCs w:val="24"/>
          <w:highlight w:val="none"/>
          <w:lang w:val="en-US" w:eastAsia="zh-CN"/>
        </w:rPr>
        <w:t>1、政府采购合同的履行、违约责任和解决争议的方法等适用《中华人民共和国民法典》。采购人按照政府采购合同规定的技术、服务、安全标准组织对供应商履约情况进行验收，并出具验收书。</w:t>
      </w:r>
      <w:bookmarkEnd w:id="80"/>
      <w:bookmarkEnd w:id="81"/>
    </w:p>
    <w:p>
      <w:pPr>
        <w:autoSpaceDE w:val="0"/>
        <w:autoSpaceDN w:val="0"/>
        <w:spacing w:after="0" w:line="360" w:lineRule="auto"/>
        <w:ind w:firstLine="480" w:firstLineChars="200"/>
        <w:jc w:val="both"/>
        <w:outlineLvl w:val="1"/>
        <w:rPr>
          <w:rFonts w:hint="default" w:ascii="仿宋" w:hAnsi="仿宋" w:eastAsia="仿宋" w:cs="宋体"/>
          <w:color w:val="auto"/>
          <w:sz w:val="24"/>
          <w:szCs w:val="24"/>
          <w:highlight w:val="none"/>
          <w:lang w:val="en-US" w:eastAsia="zh-CN"/>
        </w:rPr>
      </w:pPr>
      <w:bookmarkStart w:id="82" w:name="_Toc25863"/>
      <w:bookmarkStart w:id="83" w:name="_Toc8922"/>
      <w:r>
        <w:rPr>
          <w:rFonts w:hint="eastAsia" w:ascii="仿宋" w:hAnsi="仿宋" w:eastAsia="仿宋" w:cs="宋体"/>
          <w:color w:val="auto"/>
          <w:sz w:val="24"/>
          <w:szCs w:val="24"/>
          <w:highlight w:val="none"/>
          <w:lang w:val="en-US" w:eastAsia="zh-CN"/>
        </w:rPr>
        <w:t>2、是否委托采购代理机构组织履约验收：</w:t>
      </w:r>
      <w:r>
        <w:rPr>
          <w:rFonts w:hint="eastAsia" w:ascii="仿宋" w:hAnsi="仿宋" w:eastAsia="仿宋" w:cs="宋体"/>
          <w:color w:val="auto"/>
          <w:sz w:val="24"/>
          <w:szCs w:val="24"/>
          <w:highlight w:val="none"/>
          <w:lang w:val="zh-CN" w:eastAsia="zh-CN"/>
        </w:rPr>
        <w:t>否。</w:t>
      </w:r>
      <w:bookmarkEnd w:id="82"/>
      <w:bookmarkEnd w:id="83"/>
    </w:p>
    <w:p>
      <w:pPr>
        <w:autoSpaceDE w:val="0"/>
        <w:autoSpaceDN w:val="0"/>
        <w:spacing w:after="0" w:line="360" w:lineRule="auto"/>
        <w:ind w:firstLine="480" w:firstLineChars="200"/>
        <w:jc w:val="both"/>
        <w:outlineLvl w:val="1"/>
        <w:rPr>
          <w:rFonts w:hint="eastAsia" w:ascii="仿宋" w:hAnsi="仿宋" w:eastAsia="仿宋" w:cs="宋体"/>
          <w:b/>
          <w:bCs/>
          <w:color w:val="auto"/>
          <w:sz w:val="24"/>
          <w:szCs w:val="24"/>
          <w:highlight w:val="none"/>
          <w:lang w:val="en-US" w:eastAsia="zh-CN"/>
        </w:rPr>
      </w:pPr>
      <w:bookmarkStart w:id="84" w:name="_Toc31950"/>
      <w:bookmarkStart w:id="85" w:name="_Toc24347"/>
      <w:r>
        <w:rPr>
          <w:rFonts w:hint="eastAsia" w:ascii="仿宋" w:hAnsi="仿宋" w:eastAsia="仿宋" w:cs="宋体"/>
          <w:color w:val="auto"/>
          <w:sz w:val="24"/>
          <w:szCs w:val="24"/>
          <w:highlight w:val="none"/>
          <w:lang w:val="en-US" w:eastAsia="zh-CN"/>
        </w:rPr>
        <w:t>（二）</w:t>
      </w:r>
      <w:r>
        <w:rPr>
          <w:rFonts w:hint="eastAsia" w:ascii="仿宋" w:hAnsi="仿宋" w:eastAsia="仿宋" w:cs="宋体"/>
          <w:b/>
          <w:bCs/>
          <w:color w:val="auto"/>
          <w:sz w:val="24"/>
          <w:szCs w:val="24"/>
          <w:highlight w:val="none"/>
          <w:lang w:val="en-US" w:eastAsia="zh-CN"/>
        </w:rPr>
        <w:t>本项目非专门面向中小企业采购。</w:t>
      </w:r>
      <w:bookmarkEnd w:id="84"/>
      <w:bookmarkEnd w:id="85"/>
    </w:p>
    <w:p>
      <w:pPr>
        <w:autoSpaceDE w:val="0"/>
        <w:autoSpaceDN w:val="0"/>
        <w:spacing w:after="0" w:line="360" w:lineRule="auto"/>
        <w:ind w:firstLine="480" w:firstLineChars="200"/>
        <w:jc w:val="both"/>
        <w:outlineLvl w:val="1"/>
        <w:rPr>
          <w:rFonts w:hint="eastAsia" w:ascii="仿宋" w:hAnsi="仿宋" w:eastAsia="仿宋" w:cs="宋体"/>
          <w:b w:val="0"/>
          <w:bCs w:val="0"/>
          <w:color w:val="auto"/>
          <w:sz w:val="24"/>
          <w:szCs w:val="24"/>
          <w:highlight w:val="none"/>
          <w:lang w:val="en-US" w:eastAsia="zh-CN"/>
        </w:rPr>
      </w:pPr>
      <w:bookmarkStart w:id="86" w:name="_Toc12519"/>
      <w:bookmarkStart w:id="87" w:name="_Toc29996"/>
      <w:r>
        <w:rPr>
          <w:rFonts w:hint="eastAsia" w:ascii="仿宋" w:hAnsi="仿宋" w:eastAsia="仿宋" w:cs="宋体"/>
          <w:b w:val="0"/>
          <w:bCs w:val="0"/>
          <w:color w:val="auto"/>
          <w:sz w:val="24"/>
          <w:szCs w:val="24"/>
          <w:highlight w:val="none"/>
          <w:lang w:val="en-US" w:eastAsia="zh-CN"/>
        </w:rPr>
        <w:t>1、本项目所属行业为</w:t>
      </w:r>
      <w:r>
        <w:rPr>
          <w:rFonts w:hint="eastAsia" w:ascii="仿宋" w:hAnsi="仿宋" w:eastAsia="仿宋" w:cs="宋体"/>
          <w:b w:val="0"/>
          <w:bCs w:val="0"/>
          <w:color w:val="auto"/>
          <w:sz w:val="24"/>
          <w:szCs w:val="24"/>
          <w:highlight w:val="none"/>
          <w:u w:val="single"/>
          <w:lang w:val="en-US" w:eastAsia="zh-CN"/>
        </w:rPr>
        <w:t>软件和信息技术服务业</w:t>
      </w:r>
      <w:r>
        <w:rPr>
          <w:rFonts w:hint="eastAsia" w:ascii="仿宋" w:hAnsi="仿宋" w:eastAsia="仿宋" w:cs="宋体"/>
          <w:b w:val="0"/>
          <w:bCs w:val="0"/>
          <w:color w:val="auto"/>
          <w:sz w:val="24"/>
          <w:szCs w:val="24"/>
          <w:highlight w:val="none"/>
          <w:lang w:val="en-US" w:eastAsia="zh-CN"/>
        </w:rPr>
        <w:t>。</w:t>
      </w:r>
      <w:bookmarkEnd w:id="86"/>
      <w:bookmarkEnd w:id="87"/>
    </w:p>
    <w:p>
      <w:pPr>
        <w:autoSpaceDE w:val="0"/>
        <w:autoSpaceDN w:val="0"/>
        <w:spacing w:after="0" w:line="360" w:lineRule="auto"/>
        <w:ind w:firstLine="480" w:firstLineChars="200"/>
        <w:jc w:val="both"/>
        <w:outlineLvl w:val="1"/>
        <w:rPr>
          <w:rFonts w:hint="default" w:ascii="仿宋" w:hAnsi="仿宋" w:eastAsia="仿宋" w:cs="宋体"/>
          <w:color w:val="auto"/>
          <w:sz w:val="24"/>
          <w:szCs w:val="24"/>
          <w:highlight w:val="none"/>
          <w:lang w:val="en-US" w:eastAsia="zh-CN"/>
        </w:rPr>
      </w:pPr>
      <w:bookmarkStart w:id="88" w:name="_Toc32412"/>
      <w:bookmarkStart w:id="89" w:name="_Toc28947"/>
      <w:r>
        <w:rPr>
          <w:rFonts w:hint="eastAsia" w:ascii="仿宋" w:hAnsi="仿宋" w:eastAsia="仿宋" w:cs="宋体"/>
          <w:color w:val="auto"/>
          <w:sz w:val="24"/>
          <w:szCs w:val="24"/>
          <w:highlight w:val="none"/>
          <w:lang w:val="en-US" w:eastAsia="zh-CN"/>
        </w:rPr>
        <w:t>2、划型标准为：从业人员100人及以上，且营业收入1000万元及以上的为中型企业；从业人员10人及以上，且营业收入50万元及以上的为小型企业；从业人员10人以下或营业收入50万元以下的为微型企业。</w:t>
      </w:r>
      <w:bookmarkEnd w:id="88"/>
      <w:bookmarkEnd w:id="89"/>
    </w:p>
    <w:p>
      <w:pPr>
        <w:autoSpaceDE w:val="0"/>
        <w:autoSpaceDN w:val="0"/>
        <w:spacing w:after="0" w:line="360" w:lineRule="auto"/>
        <w:ind w:firstLine="480" w:firstLineChars="200"/>
        <w:jc w:val="both"/>
        <w:outlineLvl w:val="1"/>
        <w:rPr>
          <w:rFonts w:ascii="仿宋" w:hAnsi="仿宋" w:eastAsia="仿宋"/>
          <w:b w:val="0"/>
          <w:bCs w:val="0"/>
          <w:color w:val="auto"/>
          <w:sz w:val="24"/>
          <w:szCs w:val="24"/>
          <w:highlight w:val="none"/>
        </w:rPr>
      </w:pPr>
      <w:bookmarkStart w:id="90" w:name="_Toc671"/>
      <w:bookmarkStart w:id="91" w:name="_Toc10056"/>
      <w:r>
        <w:rPr>
          <w:rFonts w:hint="eastAsia" w:ascii="仿宋" w:hAnsi="仿宋" w:eastAsia="仿宋" w:cs="宋体"/>
          <w:b w:val="0"/>
          <w:bCs w:val="0"/>
          <w:color w:val="auto"/>
          <w:sz w:val="24"/>
          <w:szCs w:val="24"/>
          <w:highlight w:val="none"/>
          <w:lang w:val="en-US" w:eastAsia="zh-CN"/>
        </w:rPr>
        <w:t>（三）</w:t>
      </w:r>
      <w:r>
        <w:rPr>
          <w:rFonts w:hint="eastAsia" w:ascii="仿宋" w:hAnsi="仿宋" w:eastAsia="仿宋" w:cs="宋体"/>
          <w:b w:val="0"/>
          <w:bCs w:val="0"/>
          <w:color w:val="auto"/>
          <w:sz w:val="24"/>
          <w:szCs w:val="24"/>
          <w:highlight w:val="none"/>
        </w:rPr>
        <w:t>成交服务费</w:t>
      </w:r>
      <w:bookmarkEnd w:id="72"/>
      <w:bookmarkEnd w:id="73"/>
      <w:bookmarkEnd w:id="74"/>
      <w:bookmarkEnd w:id="75"/>
      <w:bookmarkEnd w:id="76"/>
      <w:bookmarkEnd w:id="77"/>
      <w:bookmarkEnd w:id="90"/>
      <w:bookmarkEnd w:id="91"/>
    </w:p>
    <w:p>
      <w:pPr>
        <w:spacing w:after="0" w:line="360" w:lineRule="auto"/>
        <w:ind w:firstLine="480" w:firstLineChars="200"/>
        <w:jc w:val="both"/>
        <w:rPr>
          <w:rFonts w:hint="default"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1、项目属性：服务</w:t>
      </w:r>
    </w:p>
    <w:p>
      <w:pPr>
        <w:spacing w:after="0" w:line="360" w:lineRule="auto"/>
        <w:ind w:firstLine="480" w:firstLineChars="200"/>
        <w:jc w:val="both"/>
        <w:rPr>
          <w:rFonts w:ascii="仿宋" w:hAnsi="仿宋" w:eastAsia="仿宋"/>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2、</w:t>
      </w:r>
      <w:r>
        <w:rPr>
          <w:rFonts w:hint="eastAsia" w:ascii="仿宋" w:hAnsi="仿宋" w:eastAsia="仿宋" w:cs="宋体"/>
          <w:b w:val="0"/>
          <w:bCs w:val="0"/>
          <w:color w:val="auto"/>
          <w:sz w:val="24"/>
          <w:szCs w:val="24"/>
          <w:highlight w:val="none"/>
        </w:rPr>
        <w:t>成交供应商在领取成交通知书前，须向采购代理机构支付成交服务费。</w:t>
      </w:r>
    </w:p>
    <w:p>
      <w:pPr>
        <w:spacing w:after="0" w:line="360" w:lineRule="auto"/>
        <w:ind w:firstLine="480" w:firstLineChars="200"/>
        <w:jc w:val="both"/>
        <w:rPr>
          <w:rFonts w:ascii="仿宋" w:hAnsi="仿宋" w:eastAsia="仿宋"/>
          <w:b w:val="0"/>
          <w:bCs w:val="0"/>
          <w:color w:val="auto"/>
          <w:sz w:val="24"/>
          <w:szCs w:val="24"/>
          <w:highlight w:val="none"/>
          <w:lang w:val="zh-CN"/>
        </w:rPr>
      </w:pPr>
      <w:r>
        <w:rPr>
          <w:rFonts w:hint="eastAsia" w:ascii="仿宋" w:hAnsi="仿宋" w:eastAsia="仿宋" w:cs="宋体"/>
          <w:b w:val="0"/>
          <w:bCs w:val="0"/>
          <w:color w:val="auto"/>
          <w:sz w:val="24"/>
          <w:szCs w:val="24"/>
          <w:highlight w:val="none"/>
          <w:lang w:val="en-US" w:eastAsia="zh-CN"/>
        </w:rPr>
        <w:t>3、</w:t>
      </w:r>
      <w:r>
        <w:rPr>
          <w:rFonts w:hint="eastAsia" w:ascii="仿宋" w:hAnsi="仿宋" w:eastAsia="仿宋" w:cs="宋体"/>
          <w:b w:val="0"/>
          <w:bCs w:val="0"/>
          <w:color w:val="auto"/>
          <w:sz w:val="24"/>
          <w:szCs w:val="24"/>
          <w:highlight w:val="none"/>
        </w:rPr>
        <w:t>成交</w:t>
      </w:r>
      <w:r>
        <w:rPr>
          <w:rFonts w:hint="eastAsia" w:ascii="仿宋" w:hAnsi="仿宋" w:eastAsia="仿宋" w:cs="宋体"/>
          <w:b w:val="0"/>
          <w:bCs w:val="0"/>
          <w:color w:val="auto"/>
          <w:sz w:val="24"/>
          <w:szCs w:val="24"/>
          <w:highlight w:val="none"/>
          <w:lang w:val="zh-CN"/>
        </w:rPr>
        <w:t>服务费</w:t>
      </w:r>
      <w:r>
        <w:rPr>
          <w:rFonts w:hint="eastAsia" w:ascii="仿宋" w:hAnsi="仿宋" w:eastAsia="仿宋" w:cs="宋体"/>
          <w:b w:val="0"/>
          <w:bCs w:val="0"/>
          <w:color w:val="auto"/>
          <w:sz w:val="24"/>
          <w:szCs w:val="24"/>
          <w:highlight w:val="none"/>
        </w:rPr>
        <w:t>参考国家发改委文件计价格［</w:t>
      </w:r>
      <w:r>
        <w:rPr>
          <w:rFonts w:ascii="仿宋" w:hAnsi="仿宋" w:eastAsia="仿宋" w:cs="宋体"/>
          <w:b w:val="0"/>
          <w:bCs w:val="0"/>
          <w:color w:val="auto"/>
          <w:sz w:val="24"/>
          <w:szCs w:val="24"/>
          <w:highlight w:val="none"/>
        </w:rPr>
        <w:t>2002</w:t>
      </w:r>
      <w:r>
        <w:rPr>
          <w:rFonts w:hint="eastAsia" w:ascii="仿宋" w:hAnsi="仿宋" w:eastAsia="仿宋" w:cs="宋体"/>
          <w:b w:val="0"/>
          <w:bCs w:val="0"/>
          <w:color w:val="auto"/>
          <w:sz w:val="24"/>
          <w:szCs w:val="24"/>
          <w:highlight w:val="none"/>
        </w:rPr>
        <w:t>］</w:t>
      </w:r>
      <w:r>
        <w:rPr>
          <w:rFonts w:ascii="仿宋" w:hAnsi="仿宋" w:eastAsia="仿宋" w:cs="宋体"/>
          <w:b w:val="0"/>
          <w:bCs w:val="0"/>
          <w:color w:val="auto"/>
          <w:sz w:val="24"/>
          <w:szCs w:val="24"/>
          <w:highlight w:val="none"/>
        </w:rPr>
        <w:t>1980</w:t>
      </w:r>
      <w:r>
        <w:rPr>
          <w:rFonts w:hint="eastAsia" w:ascii="仿宋" w:hAnsi="仿宋" w:eastAsia="仿宋" w:cs="宋体"/>
          <w:b w:val="0"/>
          <w:bCs w:val="0"/>
          <w:color w:val="auto"/>
          <w:sz w:val="24"/>
          <w:szCs w:val="24"/>
          <w:highlight w:val="none"/>
        </w:rPr>
        <w:t>号、［</w:t>
      </w:r>
      <w:r>
        <w:rPr>
          <w:rFonts w:ascii="仿宋" w:hAnsi="仿宋" w:eastAsia="仿宋" w:cs="宋体"/>
          <w:b w:val="0"/>
          <w:bCs w:val="0"/>
          <w:color w:val="auto"/>
          <w:sz w:val="24"/>
          <w:szCs w:val="24"/>
          <w:highlight w:val="none"/>
        </w:rPr>
        <w:t>2003</w:t>
      </w:r>
      <w:r>
        <w:rPr>
          <w:rFonts w:hint="eastAsia" w:ascii="仿宋" w:hAnsi="仿宋" w:eastAsia="仿宋" w:cs="宋体"/>
          <w:b w:val="0"/>
          <w:bCs w:val="0"/>
          <w:color w:val="auto"/>
          <w:sz w:val="24"/>
          <w:szCs w:val="24"/>
          <w:highlight w:val="none"/>
        </w:rPr>
        <w:t>］</w:t>
      </w:r>
      <w:r>
        <w:rPr>
          <w:rFonts w:ascii="仿宋" w:hAnsi="仿宋" w:eastAsia="仿宋" w:cs="宋体"/>
          <w:b w:val="0"/>
          <w:bCs w:val="0"/>
          <w:color w:val="auto"/>
          <w:sz w:val="24"/>
          <w:szCs w:val="24"/>
          <w:highlight w:val="none"/>
        </w:rPr>
        <w:t>857</w:t>
      </w:r>
      <w:r>
        <w:rPr>
          <w:rFonts w:hint="eastAsia" w:ascii="仿宋" w:hAnsi="仿宋" w:eastAsia="仿宋" w:cs="宋体"/>
          <w:b w:val="0"/>
          <w:bCs w:val="0"/>
          <w:color w:val="auto"/>
          <w:sz w:val="24"/>
          <w:szCs w:val="24"/>
          <w:highlight w:val="none"/>
        </w:rPr>
        <w:t>号以及发改价格［</w:t>
      </w:r>
      <w:r>
        <w:rPr>
          <w:rFonts w:ascii="仿宋" w:hAnsi="仿宋" w:eastAsia="仿宋" w:cs="宋体"/>
          <w:b w:val="0"/>
          <w:bCs w:val="0"/>
          <w:color w:val="auto"/>
          <w:sz w:val="24"/>
          <w:szCs w:val="24"/>
          <w:highlight w:val="none"/>
        </w:rPr>
        <w:t>2011</w:t>
      </w:r>
      <w:r>
        <w:rPr>
          <w:rFonts w:hint="eastAsia" w:ascii="仿宋" w:hAnsi="仿宋" w:eastAsia="仿宋" w:cs="宋体"/>
          <w:b w:val="0"/>
          <w:bCs w:val="0"/>
          <w:color w:val="auto"/>
          <w:sz w:val="24"/>
          <w:szCs w:val="24"/>
          <w:highlight w:val="none"/>
        </w:rPr>
        <w:t>］</w:t>
      </w:r>
      <w:r>
        <w:rPr>
          <w:rFonts w:ascii="仿宋" w:hAnsi="仿宋" w:eastAsia="仿宋" w:cs="宋体"/>
          <w:b w:val="0"/>
          <w:bCs w:val="0"/>
          <w:color w:val="auto"/>
          <w:sz w:val="24"/>
          <w:szCs w:val="24"/>
          <w:highlight w:val="none"/>
        </w:rPr>
        <w:t>534</w:t>
      </w:r>
      <w:r>
        <w:rPr>
          <w:rFonts w:hint="eastAsia" w:ascii="仿宋" w:hAnsi="仿宋" w:eastAsia="仿宋" w:cs="宋体"/>
          <w:b w:val="0"/>
          <w:bCs w:val="0"/>
          <w:color w:val="auto"/>
          <w:sz w:val="24"/>
          <w:szCs w:val="24"/>
          <w:highlight w:val="none"/>
        </w:rPr>
        <w:t>号文件规定的取费标准计取。</w:t>
      </w:r>
    </w:p>
    <w:p>
      <w:pPr>
        <w:spacing w:after="0" w:line="360" w:lineRule="auto"/>
        <w:ind w:firstLine="480" w:firstLineChars="200"/>
        <w:jc w:val="both"/>
        <w:rPr>
          <w:rFonts w:ascii="仿宋" w:hAnsi="仿宋" w:eastAsia="仿宋"/>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4、</w:t>
      </w:r>
      <w:r>
        <w:rPr>
          <w:rFonts w:hint="eastAsia" w:ascii="仿宋" w:hAnsi="仿宋" w:eastAsia="仿宋" w:cs="宋体"/>
          <w:b w:val="0"/>
          <w:bCs w:val="0"/>
          <w:color w:val="auto"/>
          <w:sz w:val="24"/>
          <w:szCs w:val="24"/>
          <w:highlight w:val="none"/>
        </w:rPr>
        <w:t>成交供应商服务费交纳信息：</w:t>
      </w:r>
    </w:p>
    <w:p>
      <w:pPr>
        <w:spacing w:after="0" w:line="360" w:lineRule="auto"/>
        <w:ind w:firstLine="480" w:firstLineChars="200"/>
        <w:jc w:val="both"/>
        <w:rPr>
          <w:rFonts w:hint="eastAsia" w:ascii="仿宋" w:hAnsi="仿宋" w:eastAsia="仿宋" w:cs="宋体"/>
          <w:b w:val="0"/>
          <w:bCs w:val="0"/>
          <w:color w:val="auto"/>
          <w:sz w:val="24"/>
          <w:szCs w:val="24"/>
          <w:highlight w:val="none"/>
          <w:lang w:val="zh-CN"/>
        </w:rPr>
      </w:pPr>
      <w:r>
        <w:rPr>
          <w:rFonts w:hint="eastAsia" w:ascii="仿宋" w:hAnsi="仿宋" w:eastAsia="仿宋" w:cs="宋体"/>
          <w:b w:val="0"/>
          <w:bCs w:val="0"/>
          <w:color w:val="auto"/>
          <w:sz w:val="24"/>
          <w:szCs w:val="24"/>
          <w:highlight w:val="none"/>
          <w:lang w:val="zh-CN"/>
        </w:rPr>
        <w:t>开户名称：陕西龙辰全过程工程咨询有限公司</w:t>
      </w:r>
    </w:p>
    <w:p>
      <w:pPr>
        <w:spacing w:after="0" w:line="360" w:lineRule="auto"/>
        <w:ind w:firstLine="480" w:firstLineChars="200"/>
        <w:jc w:val="both"/>
        <w:rPr>
          <w:rFonts w:hint="eastAsia" w:ascii="仿宋" w:hAnsi="仿宋" w:eastAsia="仿宋" w:cs="宋体"/>
          <w:b w:val="0"/>
          <w:bCs w:val="0"/>
          <w:color w:val="auto"/>
          <w:sz w:val="24"/>
          <w:szCs w:val="24"/>
          <w:highlight w:val="none"/>
          <w:lang w:val="zh-CN"/>
        </w:rPr>
      </w:pPr>
      <w:r>
        <w:rPr>
          <w:rFonts w:hint="eastAsia" w:ascii="仿宋" w:hAnsi="仿宋" w:eastAsia="仿宋" w:cs="宋体"/>
          <w:b w:val="0"/>
          <w:bCs w:val="0"/>
          <w:color w:val="auto"/>
          <w:sz w:val="24"/>
          <w:szCs w:val="24"/>
          <w:highlight w:val="none"/>
          <w:lang w:val="zh-CN"/>
        </w:rPr>
        <w:t>开户行：西安银行股份有限公司星火路支行</w:t>
      </w:r>
    </w:p>
    <w:p>
      <w:pPr>
        <w:spacing w:after="0" w:line="360" w:lineRule="auto"/>
        <w:ind w:firstLine="480" w:firstLineChars="200"/>
        <w:jc w:val="both"/>
        <w:rPr>
          <w:rFonts w:hint="eastAsia" w:ascii="仿宋" w:hAnsi="仿宋" w:eastAsia="仿宋" w:cs="宋体"/>
          <w:b w:val="0"/>
          <w:bCs w:val="0"/>
          <w:color w:val="auto"/>
          <w:sz w:val="24"/>
          <w:szCs w:val="24"/>
          <w:highlight w:val="none"/>
          <w:lang w:val="zh-CN"/>
        </w:rPr>
      </w:pPr>
      <w:r>
        <w:rPr>
          <w:rFonts w:hint="eastAsia" w:ascii="仿宋" w:hAnsi="仿宋" w:eastAsia="仿宋" w:cs="宋体"/>
          <w:b w:val="0"/>
          <w:bCs w:val="0"/>
          <w:color w:val="auto"/>
          <w:sz w:val="24"/>
          <w:szCs w:val="24"/>
          <w:highlight w:val="none"/>
          <w:lang w:val="zh-CN"/>
        </w:rPr>
        <w:t>账号：7080 1158 0000 2694 81</w:t>
      </w:r>
    </w:p>
    <w:p>
      <w:pPr>
        <w:rPr>
          <w:rFonts w:hint="eastAsia" w:ascii="仿宋" w:hAnsi="仿宋" w:eastAsia="仿宋" w:cs="宋体"/>
          <w:b w:val="0"/>
          <w:bCs w:val="0"/>
          <w:color w:val="auto"/>
          <w:sz w:val="24"/>
          <w:szCs w:val="24"/>
          <w:highlight w:val="none"/>
          <w:lang w:val="zh-CN"/>
        </w:rPr>
      </w:pPr>
      <w:r>
        <w:rPr>
          <w:rFonts w:hint="eastAsia" w:ascii="仿宋" w:hAnsi="仿宋" w:eastAsia="仿宋" w:cs="宋体"/>
          <w:b w:val="0"/>
          <w:bCs w:val="0"/>
          <w:color w:val="auto"/>
          <w:sz w:val="24"/>
          <w:szCs w:val="24"/>
          <w:highlight w:val="none"/>
          <w:lang w:val="zh-CN"/>
        </w:rPr>
        <w:br w:type="page"/>
      </w:r>
    </w:p>
    <w:p>
      <w:pPr>
        <w:autoSpaceDE w:val="0"/>
        <w:autoSpaceDN w:val="0"/>
        <w:spacing w:after="0" w:line="360" w:lineRule="auto"/>
        <w:ind w:firstLine="480" w:firstLineChars="200"/>
        <w:jc w:val="both"/>
        <w:outlineLvl w:val="1"/>
        <w:rPr>
          <w:rFonts w:hint="eastAsia" w:ascii="仿宋" w:hAnsi="仿宋" w:eastAsia="仿宋" w:cs="宋体"/>
          <w:color w:val="auto"/>
          <w:sz w:val="24"/>
          <w:szCs w:val="24"/>
          <w:highlight w:val="none"/>
          <w:lang w:val="en-US" w:eastAsia="zh-CN"/>
        </w:rPr>
      </w:pPr>
      <w:bookmarkStart w:id="92" w:name="_Toc19431"/>
      <w:r>
        <w:rPr>
          <w:rFonts w:hint="eastAsia" w:ascii="仿宋" w:hAnsi="仿宋" w:eastAsia="仿宋" w:cs="宋体"/>
          <w:color w:val="auto"/>
          <w:sz w:val="24"/>
          <w:szCs w:val="24"/>
          <w:highlight w:val="none"/>
          <w:lang w:val="en-US" w:eastAsia="zh-CN"/>
        </w:rPr>
        <w:t>附件一：</w:t>
      </w:r>
      <w:bookmarkEnd w:id="92"/>
    </w:p>
    <w:p>
      <w:pPr>
        <w:autoSpaceDE w:val="0"/>
        <w:autoSpaceDN w:val="0"/>
        <w:spacing w:after="0" w:line="360" w:lineRule="auto"/>
        <w:jc w:val="both"/>
        <w:outlineLvl w:val="1"/>
        <w:rPr>
          <w:rFonts w:hint="default" w:ascii="仿宋" w:hAnsi="仿宋" w:eastAsia="仿宋" w:cs="宋体"/>
          <w:color w:val="auto"/>
          <w:sz w:val="24"/>
          <w:szCs w:val="24"/>
          <w:highlight w:val="none"/>
          <w:lang w:val="en-US" w:eastAsia="zh-CN"/>
        </w:rPr>
      </w:pPr>
    </w:p>
    <w:p>
      <w:pPr>
        <w:autoSpaceDE w:val="0"/>
        <w:autoSpaceDN w:val="0"/>
        <w:spacing w:after="0" w:line="360" w:lineRule="auto"/>
        <w:jc w:val="center"/>
        <w:outlineLvl w:val="1"/>
        <w:rPr>
          <w:rFonts w:hint="default" w:ascii="仿宋" w:hAnsi="仿宋" w:eastAsia="仿宋" w:cs="宋体"/>
          <w:b/>
          <w:bCs/>
          <w:color w:val="auto"/>
          <w:sz w:val="24"/>
          <w:szCs w:val="24"/>
          <w:highlight w:val="none"/>
          <w:lang w:val="en-US" w:eastAsia="zh-CN"/>
        </w:rPr>
      </w:pPr>
      <w:bookmarkStart w:id="93" w:name="_Toc23050"/>
      <w:r>
        <w:rPr>
          <w:rFonts w:hint="default" w:ascii="仿宋" w:hAnsi="仿宋" w:eastAsia="仿宋" w:cs="宋体"/>
          <w:b/>
          <w:bCs/>
          <w:color w:val="auto"/>
          <w:sz w:val="24"/>
          <w:szCs w:val="24"/>
          <w:highlight w:val="none"/>
          <w:lang w:val="en-US" w:eastAsia="zh-CN"/>
        </w:rPr>
        <w:t>“政采贷”业务介绍</w:t>
      </w:r>
      <w:bookmarkEnd w:id="93"/>
    </w:p>
    <w:p>
      <w:pPr>
        <w:autoSpaceDE w:val="0"/>
        <w:autoSpaceDN w:val="0"/>
        <w:spacing w:after="0" w:line="360" w:lineRule="auto"/>
        <w:ind w:firstLine="480" w:firstLineChars="200"/>
        <w:jc w:val="both"/>
        <w:outlineLvl w:val="1"/>
        <w:rPr>
          <w:rFonts w:hint="default" w:ascii="仿宋" w:hAnsi="仿宋" w:eastAsia="仿宋" w:cs="宋体"/>
          <w:color w:val="auto"/>
          <w:sz w:val="24"/>
          <w:szCs w:val="24"/>
          <w:highlight w:val="none"/>
          <w:lang w:val="en-US" w:eastAsia="zh-CN"/>
        </w:rPr>
      </w:pPr>
    </w:p>
    <w:p>
      <w:pPr>
        <w:autoSpaceDE w:val="0"/>
        <w:autoSpaceDN w:val="0"/>
        <w:spacing w:after="0" w:line="360" w:lineRule="auto"/>
        <w:ind w:firstLine="480" w:firstLineChars="200"/>
        <w:jc w:val="both"/>
        <w:outlineLvl w:val="1"/>
        <w:rPr>
          <w:rFonts w:hint="default" w:ascii="仿宋" w:hAnsi="仿宋" w:eastAsia="仿宋" w:cs="宋体"/>
          <w:color w:val="auto"/>
          <w:sz w:val="24"/>
          <w:szCs w:val="24"/>
          <w:highlight w:val="none"/>
          <w:lang w:val="en-US" w:eastAsia="zh-CN"/>
        </w:rPr>
      </w:pPr>
      <w:bookmarkStart w:id="94" w:name="_Toc29663"/>
      <w:r>
        <w:rPr>
          <w:rFonts w:hint="default" w:ascii="仿宋" w:hAnsi="仿宋" w:eastAsia="仿宋" w:cs="宋体"/>
          <w:color w:val="auto"/>
          <w:sz w:val="24"/>
          <w:szCs w:val="24"/>
          <w:highlight w:val="none"/>
          <w:lang w:val="en-US" w:eastAsia="zh-CN"/>
        </w:rPr>
        <w:t>政采贷，即政府采购合同融资，是银行机构以政府采购诚信考核和信用审查为基础，凭借中小企业取得并提供的政府采购合同，按优于一般中小企业贷款的利率直接向申请贷款的中小企业发放贷款的一种新融资方式。政府采购贷特点政采贷以中小企业的政府采购信用和国库集中支付作为履约保障的政府采购合同为基础，借力政府采购诚信保障，提供了银企对接的机会和相关的服务支持。</w:t>
      </w:r>
      <w:bookmarkEnd w:id="94"/>
    </w:p>
    <w:p>
      <w:pPr>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br w:type="page"/>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附件二：</w:t>
      </w:r>
    </w:p>
    <w:p>
      <w:pPr>
        <w:autoSpaceDE w:val="0"/>
        <w:autoSpaceDN w:val="0"/>
        <w:spacing w:after="0" w:line="360" w:lineRule="auto"/>
        <w:jc w:val="center"/>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陕西政府采购供应商信用融资信息服务平台操作手册</w:t>
      </w:r>
    </w:p>
    <w:p>
      <w:pPr>
        <w:autoSpaceDE w:val="0"/>
        <w:autoSpaceDN w:val="0"/>
        <w:spacing w:after="0" w:line="360" w:lineRule="auto"/>
        <w:ind w:firstLine="482" w:firstLineChars="200"/>
        <w:jc w:val="center"/>
        <w:rPr>
          <w:rFonts w:hint="eastAsia" w:ascii="仿宋" w:hAnsi="仿宋" w:eastAsia="仿宋" w:cs="宋体"/>
          <w:b/>
          <w:bCs/>
          <w:color w:val="auto"/>
          <w:sz w:val="24"/>
          <w:szCs w:val="24"/>
          <w:highlight w:val="none"/>
          <w:lang w:val="en-US" w:eastAsia="zh-CN"/>
        </w:rPr>
      </w:pP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陕西政府采购供应商信用融资信息服务平台主要功能为：供应商凭中标项目或成交合提交融资意向，查看融资申请进度等功能，本操作手册将详细说明这些功能。</w:t>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1、首页</w:t>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平台首页主要呈现陕西政府采购信用融资相关政策法规、基本操作流程及供应商帮助内容，供应商企业可由登录注册模块登录平台。</w:t>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2、登录</w:t>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陕西政府采购网的中标企业可用手机号注册用户，注册时需要填写企业名称及社会统一信用代码等信息，如下图：</w:t>
      </w:r>
    </w:p>
    <w:p>
      <w:pPr>
        <w:autoSpaceDE w:val="0"/>
        <w:autoSpaceDN w:val="0"/>
        <w:spacing w:after="0" w:line="360" w:lineRule="auto"/>
        <w:ind w:left="0" w:leftChars="0" w:firstLine="0" w:firstLineChars="0"/>
        <w:jc w:val="center"/>
        <w:rPr>
          <w:color w:val="auto"/>
          <w:highlight w:val="none"/>
        </w:rPr>
      </w:pPr>
      <w:r>
        <w:rPr>
          <w:color w:val="auto"/>
          <w:highlight w:val="none"/>
        </w:rPr>
        <w:drawing>
          <wp:inline distT="0" distB="0" distL="0" distR="0">
            <wp:extent cx="5478780" cy="3079750"/>
            <wp:effectExtent l="0" t="0" r="7620" b="635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pic:cNvPicPr>
                      <a:picLocks noChangeAspect="1"/>
                    </pic:cNvPicPr>
                  </pic:nvPicPr>
                  <pic:blipFill>
                    <a:blip r:embed="rId7" cstate="print"/>
                    <a:stretch>
                      <a:fillRect/>
                    </a:stretch>
                  </pic:blipFill>
                  <pic:spPr>
                    <a:xfrm>
                      <a:off x="0" y="0"/>
                      <a:ext cx="5478780" cy="3079750"/>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注册成功后，凭手机登录平台，如下图，点击首页：</w:t>
      </w:r>
    </w:p>
    <w:p>
      <w:pPr>
        <w:autoSpaceDE w:val="0"/>
        <w:autoSpaceDN w:val="0"/>
        <w:spacing w:after="0" w:line="360" w:lineRule="auto"/>
        <w:ind w:left="0" w:leftChars="0" w:firstLine="0" w:firstLineChars="0"/>
        <w:jc w:val="center"/>
        <w:rPr>
          <w:color w:val="auto"/>
          <w:sz w:val="20"/>
          <w:highlight w:val="none"/>
        </w:rPr>
      </w:pPr>
      <w:r>
        <w:rPr>
          <w:color w:val="auto"/>
          <w:sz w:val="20"/>
          <w:highlight w:val="none"/>
        </w:rPr>
        <w:drawing>
          <wp:inline distT="0" distB="0" distL="0" distR="0">
            <wp:extent cx="5464810" cy="3072130"/>
            <wp:effectExtent l="0" t="0" r="2540" b="1397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5465225" cy="3072383"/>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3、点击“可融资项目/合同”，再点击申请贷款：</w:t>
      </w:r>
    </w:p>
    <w:p>
      <w:pPr>
        <w:autoSpaceDE w:val="0"/>
        <w:autoSpaceDN w:val="0"/>
        <w:spacing w:after="0" w:line="360" w:lineRule="auto"/>
        <w:ind w:left="0" w:leftChars="-100" w:hanging="220" w:hangingChars="110"/>
        <w:jc w:val="center"/>
        <w:rPr>
          <w:rFonts w:hint="eastAsia" w:ascii="仿宋" w:hAnsi="仿宋" w:eastAsia="仿宋" w:cs="宋体"/>
          <w:color w:val="auto"/>
          <w:sz w:val="24"/>
          <w:szCs w:val="24"/>
          <w:highlight w:val="none"/>
          <w:lang w:val="en-US" w:eastAsia="zh-CN"/>
        </w:rPr>
      </w:pPr>
      <w:r>
        <w:rPr>
          <w:color w:val="auto"/>
          <w:sz w:val="20"/>
          <w:highlight w:val="none"/>
        </w:rPr>
        <w:drawing>
          <wp:inline distT="0" distB="0" distL="0" distR="0">
            <wp:extent cx="5463540" cy="3072130"/>
            <wp:effectExtent l="0" t="0" r="3810" b="1397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463540" cy="3072383"/>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4、勾选融资意向书：</w:t>
      </w:r>
    </w:p>
    <w:p>
      <w:pPr>
        <w:pStyle w:val="2"/>
        <w:rPr>
          <w:color w:val="auto"/>
          <w:sz w:val="20"/>
          <w:highlight w:val="none"/>
        </w:rPr>
      </w:pPr>
      <w:r>
        <w:rPr>
          <w:color w:val="auto"/>
          <w:sz w:val="20"/>
          <w:highlight w:val="none"/>
        </w:rPr>
        <w:drawing>
          <wp:inline distT="0" distB="0" distL="0" distR="0">
            <wp:extent cx="5463540" cy="3072130"/>
            <wp:effectExtent l="0" t="0" r="3810" b="1397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463540" cy="3072383"/>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5、页面下拉，输入贷款金额、预计用款周期、可接受利率、贷款资金用途，点击保存，选择办理贷款机构所在地，例如：长安区韦曲街道，然后点击下一步。</w:t>
      </w:r>
    </w:p>
    <w:p>
      <w:pPr>
        <w:pStyle w:val="2"/>
        <w:rPr>
          <w:color w:val="auto"/>
          <w:sz w:val="20"/>
          <w:highlight w:val="none"/>
        </w:rPr>
      </w:pPr>
      <w:r>
        <w:rPr>
          <w:color w:val="auto"/>
          <w:sz w:val="20"/>
          <w:highlight w:val="none"/>
        </w:rPr>
        <w:drawing>
          <wp:inline distT="0" distB="0" distL="0" distR="0">
            <wp:extent cx="5464810" cy="3072130"/>
            <wp:effectExtent l="0" t="0" r="2540" b="1397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5465225" cy="3072383"/>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6、在意向银行列点击提交贷款意向并确定：</w:t>
      </w:r>
    </w:p>
    <w:p>
      <w:pPr>
        <w:jc w:val="center"/>
        <w:rPr>
          <w:color w:val="auto"/>
          <w:sz w:val="20"/>
          <w:highlight w:val="none"/>
        </w:rPr>
      </w:pPr>
      <w:r>
        <w:rPr>
          <w:color w:val="auto"/>
          <w:sz w:val="20"/>
          <w:highlight w:val="none"/>
        </w:rPr>
        <w:drawing>
          <wp:inline distT="0" distB="0" distL="0" distR="0">
            <wp:extent cx="5464810" cy="3072130"/>
            <wp:effectExtent l="0" t="0" r="2540" b="1397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5465225" cy="3072383"/>
                    </a:xfrm>
                    <a:prstGeom prst="rect">
                      <a:avLst/>
                    </a:prstGeom>
                  </pic:spPr>
                </pic:pic>
              </a:graphicData>
            </a:graphic>
          </wp:inline>
        </w:drawing>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7、在申请进度栏即可查看本笔融资进度：</w:t>
      </w:r>
    </w:p>
    <w:p>
      <w:pPr>
        <w:pStyle w:val="2"/>
        <w:rPr>
          <w:rFonts w:hint="eastAsia"/>
          <w:color w:val="auto"/>
          <w:highlight w:val="none"/>
          <w:lang w:val="en-US" w:eastAsia="zh-CN"/>
        </w:rPr>
      </w:pPr>
      <w:r>
        <w:rPr>
          <w:color w:val="auto"/>
          <w:sz w:val="20"/>
          <w:highlight w:val="none"/>
        </w:rPr>
        <w:drawing>
          <wp:inline distT="0" distB="0" distL="0" distR="0">
            <wp:extent cx="5463540" cy="3072130"/>
            <wp:effectExtent l="0" t="0" r="3810" b="1397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5463540" cy="3072383"/>
                    </a:xfrm>
                    <a:prstGeom prst="rect">
                      <a:avLst/>
                    </a:prstGeom>
                  </pic:spPr>
                </pic:pic>
              </a:graphicData>
            </a:graphic>
          </wp:inline>
        </w:drawing>
      </w:r>
    </w:p>
    <w:p>
      <w:pPr>
        <w:pStyle w:val="2"/>
        <w:rPr>
          <w:color w:val="auto"/>
          <w:highlight w:val="none"/>
        </w:rPr>
      </w:pPr>
    </w:p>
    <w:p>
      <w:pPr>
        <w:rPr>
          <w:color w:val="auto"/>
          <w:sz w:val="20"/>
          <w:highlight w:val="none"/>
        </w:rPr>
      </w:pPr>
      <w:r>
        <w:rPr>
          <w:color w:val="auto"/>
          <w:sz w:val="20"/>
          <w:highlight w:val="none"/>
        </w:rPr>
        <w:br w:type="page"/>
      </w:r>
    </w:p>
    <w:p>
      <w:pPr>
        <w:autoSpaceDE w:val="0"/>
        <w:autoSpaceDN w:val="0"/>
        <w:spacing w:after="0" w:line="360" w:lineRule="auto"/>
        <w:ind w:firstLine="480" w:firstLineChars="200"/>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附件三：</w:t>
      </w:r>
    </w:p>
    <w:p>
      <w:pPr>
        <w:spacing w:before="58"/>
        <w:ind w:left="495" w:right="495"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长安区开展政采贷业务银行联系方式</w:t>
      </w:r>
    </w:p>
    <w:p>
      <w:pPr>
        <w:pStyle w:val="2"/>
        <w:spacing w:before="5"/>
        <w:rPr>
          <w:rFonts w:hint="eastAsia" w:ascii="仿宋" w:hAnsi="仿宋" w:eastAsia="仿宋" w:cs="仿宋"/>
          <w:color w:val="auto"/>
          <w:sz w:val="24"/>
          <w:szCs w:val="24"/>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3716"/>
        <w:gridCol w:w="2224"/>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8"/>
              <w:ind w:left="133" w:right="12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716" w:type="dxa"/>
          </w:tcPr>
          <w:p>
            <w:pPr>
              <w:pStyle w:val="28"/>
              <w:spacing w:before="145"/>
              <w:ind w:left="155" w:right="14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银行名称</w:t>
            </w:r>
          </w:p>
        </w:tc>
        <w:tc>
          <w:tcPr>
            <w:tcW w:w="2224" w:type="dxa"/>
          </w:tcPr>
          <w:p>
            <w:pPr>
              <w:pStyle w:val="28"/>
              <w:spacing w:before="164"/>
              <w:ind w:left="6"/>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w:t>
            </w:r>
          </w:p>
        </w:tc>
        <w:tc>
          <w:tcPr>
            <w:tcW w:w="2280" w:type="dxa"/>
          </w:tcPr>
          <w:p>
            <w:pPr>
              <w:pStyle w:val="28"/>
              <w:spacing w:before="164"/>
              <w:ind w:left="908" w:right="89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8"/>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1</w:t>
            </w:r>
          </w:p>
        </w:tc>
        <w:tc>
          <w:tcPr>
            <w:tcW w:w="3716" w:type="dxa"/>
          </w:tcPr>
          <w:p>
            <w:pPr>
              <w:pStyle w:val="28"/>
              <w:spacing w:before="145"/>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中信银行</w:t>
            </w:r>
          </w:p>
        </w:tc>
        <w:tc>
          <w:tcPr>
            <w:tcW w:w="2224" w:type="dxa"/>
          </w:tcPr>
          <w:p>
            <w:pPr>
              <w:pStyle w:val="28"/>
              <w:spacing w:before="163"/>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张天宇</w:t>
            </w:r>
          </w:p>
        </w:tc>
        <w:tc>
          <w:tcPr>
            <w:tcW w:w="2280" w:type="dxa"/>
          </w:tcPr>
          <w:p>
            <w:pPr>
              <w:pStyle w:val="28"/>
              <w:spacing w:before="163"/>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15102968497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60"/>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2</w:t>
            </w:r>
          </w:p>
        </w:tc>
        <w:tc>
          <w:tcPr>
            <w:tcW w:w="3716" w:type="dxa"/>
          </w:tcPr>
          <w:p>
            <w:pPr>
              <w:pStyle w:val="28"/>
              <w:spacing w:before="145"/>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w:t>
            </w:r>
          </w:p>
        </w:tc>
        <w:tc>
          <w:tcPr>
            <w:tcW w:w="2224" w:type="dxa"/>
          </w:tcPr>
          <w:p>
            <w:pPr>
              <w:pStyle w:val="28"/>
              <w:tabs>
                <w:tab w:val="left" w:pos="428"/>
              </w:tabs>
              <w:spacing w:before="163"/>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羡</w:t>
            </w:r>
          </w:p>
        </w:tc>
        <w:tc>
          <w:tcPr>
            <w:tcW w:w="2280" w:type="dxa"/>
          </w:tcPr>
          <w:p>
            <w:pPr>
              <w:pStyle w:val="28"/>
              <w:spacing w:before="163"/>
              <w:ind w:right="496"/>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029-81563158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9"/>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3</w:t>
            </w:r>
          </w:p>
        </w:tc>
        <w:tc>
          <w:tcPr>
            <w:tcW w:w="3716" w:type="dxa"/>
          </w:tcPr>
          <w:p>
            <w:pPr>
              <w:pStyle w:val="28"/>
              <w:spacing w:before="147"/>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西安市长安区农村信用合作联社</w:t>
            </w:r>
          </w:p>
        </w:tc>
        <w:tc>
          <w:tcPr>
            <w:tcW w:w="2224" w:type="dxa"/>
          </w:tcPr>
          <w:p>
            <w:pPr>
              <w:pStyle w:val="28"/>
              <w:tabs>
                <w:tab w:val="left" w:pos="428"/>
              </w:tabs>
              <w:spacing w:before="165"/>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锋</w:t>
            </w:r>
          </w:p>
        </w:tc>
        <w:tc>
          <w:tcPr>
            <w:tcW w:w="2280" w:type="dxa"/>
          </w:tcPr>
          <w:p>
            <w:pPr>
              <w:pStyle w:val="28"/>
              <w:spacing w:before="165"/>
              <w:ind w:right="496"/>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029-89230551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0" w:type="dxa"/>
            <w:vMerge w:val="restart"/>
          </w:tcPr>
          <w:p>
            <w:pPr>
              <w:pStyle w:val="28"/>
              <w:rPr>
                <w:rFonts w:hint="eastAsia" w:ascii="仿宋" w:hAnsi="仿宋" w:eastAsia="仿宋" w:cs="仿宋"/>
                <w:color w:val="auto"/>
                <w:sz w:val="24"/>
                <w:szCs w:val="24"/>
                <w:highlight w:val="none"/>
              </w:rPr>
            </w:pPr>
          </w:p>
          <w:p>
            <w:pPr>
              <w:pStyle w:val="28"/>
              <w:spacing w:before="182"/>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4</w:t>
            </w:r>
          </w:p>
        </w:tc>
        <w:tc>
          <w:tcPr>
            <w:tcW w:w="3716" w:type="dxa"/>
            <w:vMerge w:val="restart"/>
          </w:tcPr>
          <w:p>
            <w:pPr>
              <w:pStyle w:val="28"/>
              <w:spacing w:before="2"/>
              <w:rPr>
                <w:rFonts w:hint="eastAsia" w:ascii="仿宋" w:hAnsi="仿宋" w:eastAsia="仿宋" w:cs="仿宋"/>
                <w:color w:val="auto"/>
                <w:sz w:val="24"/>
                <w:szCs w:val="24"/>
                <w:highlight w:val="none"/>
              </w:rPr>
            </w:pPr>
          </w:p>
          <w:p>
            <w:pPr>
              <w:pStyle w:val="28"/>
              <w:spacing w:before="1"/>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浦发银行</w:t>
            </w:r>
          </w:p>
        </w:tc>
        <w:tc>
          <w:tcPr>
            <w:tcW w:w="2224" w:type="dxa"/>
          </w:tcPr>
          <w:p>
            <w:pPr>
              <w:pStyle w:val="28"/>
              <w:tabs>
                <w:tab w:val="left" w:pos="428"/>
              </w:tabs>
              <w:spacing w:before="164"/>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超</w:t>
            </w:r>
          </w:p>
        </w:tc>
        <w:tc>
          <w:tcPr>
            <w:tcW w:w="2280" w:type="dxa"/>
          </w:tcPr>
          <w:p>
            <w:pPr>
              <w:pStyle w:val="28"/>
              <w:spacing w:before="164"/>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13992895375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vMerge w:val="continue"/>
            <w:tcBorders>
              <w:top w:val="nil"/>
            </w:tcBorders>
          </w:tcPr>
          <w:p>
            <w:pPr>
              <w:rPr>
                <w:rFonts w:hint="eastAsia" w:ascii="仿宋" w:hAnsi="仿宋" w:eastAsia="仿宋" w:cs="仿宋"/>
                <w:color w:val="auto"/>
                <w:sz w:val="24"/>
                <w:szCs w:val="24"/>
                <w:highlight w:val="none"/>
              </w:rPr>
            </w:pPr>
          </w:p>
        </w:tc>
        <w:tc>
          <w:tcPr>
            <w:tcW w:w="3716" w:type="dxa"/>
            <w:vMerge w:val="continue"/>
            <w:tcBorders>
              <w:top w:val="nil"/>
            </w:tcBorders>
          </w:tcPr>
          <w:p>
            <w:pPr>
              <w:rPr>
                <w:rFonts w:hint="eastAsia" w:ascii="仿宋" w:hAnsi="仿宋" w:eastAsia="仿宋" w:cs="仿宋"/>
                <w:color w:val="auto"/>
                <w:sz w:val="24"/>
                <w:szCs w:val="24"/>
                <w:highlight w:val="none"/>
              </w:rPr>
            </w:pPr>
          </w:p>
        </w:tc>
        <w:tc>
          <w:tcPr>
            <w:tcW w:w="2224" w:type="dxa"/>
          </w:tcPr>
          <w:p>
            <w:pPr>
              <w:pStyle w:val="28"/>
              <w:tabs>
                <w:tab w:val="left" w:pos="428"/>
              </w:tabs>
              <w:spacing w:before="164"/>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昊</w:t>
            </w:r>
          </w:p>
        </w:tc>
        <w:tc>
          <w:tcPr>
            <w:tcW w:w="2280" w:type="dxa"/>
          </w:tcPr>
          <w:p>
            <w:pPr>
              <w:pStyle w:val="28"/>
              <w:spacing w:before="164"/>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15209277417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8"/>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5</w:t>
            </w:r>
          </w:p>
        </w:tc>
        <w:tc>
          <w:tcPr>
            <w:tcW w:w="3716" w:type="dxa"/>
          </w:tcPr>
          <w:p>
            <w:pPr>
              <w:pStyle w:val="28"/>
              <w:spacing w:before="146"/>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北京银行</w:t>
            </w:r>
          </w:p>
        </w:tc>
        <w:tc>
          <w:tcPr>
            <w:tcW w:w="2224" w:type="dxa"/>
          </w:tcPr>
          <w:p>
            <w:pPr>
              <w:pStyle w:val="28"/>
              <w:tabs>
                <w:tab w:val="left" w:pos="428"/>
              </w:tabs>
              <w:spacing w:before="164"/>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明</w:t>
            </w:r>
          </w:p>
        </w:tc>
        <w:tc>
          <w:tcPr>
            <w:tcW w:w="2280" w:type="dxa"/>
          </w:tcPr>
          <w:p>
            <w:pPr>
              <w:pStyle w:val="28"/>
              <w:spacing w:before="164"/>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18149209660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8"/>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6</w:t>
            </w:r>
          </w:p>
        </w:tc>
        <w:tc>
          <w:tcPr>
            <w:tcW w:w="3716" w:type="dxa"/>
          </w:tcPr>
          <w:p>
            <w:pPr>
              <w:pStyle w:val="28"/>
              <w:spacing w:before="145"/>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兴业银行</w:t>
            </w:r>
          </w:p>
        </w:tc>
        <w:tc>
          <w:tcPr>
            <w:tcW w:w="2224" w:type="dxa"/>
          </w:tcPr>
          <w:p>
            <w:pPr>
              <w:pStyle w:val="28"/>
              <w:tabs>
                <w:tab w:val="left" w:pos="428"/>
              </w:tabs>
              <w:spacing w:before="163"/>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健</w:t>
            </w:r>
          </w:p>
        </w:tc>
        <w:tc>
          <w:tcPr>
            <w:tcW w:w="2280" w:type="dxa"/>
          </w:tcPr>
          <w:p>
            <w:pPr>
              <w:pStyle w:val="28"/>
              <w:spacing w:before="163"/>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18591051627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60"/>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7</w:t>
            </w:r>
          </w:p>
        </w:tc>
        <w:tc>
          <w:tcPr>
            <w:tcW w:w="3716" w:type="dxa"/>
          </w:tcPr>
          <w:p>
            <w:pPr>
              <w:pStyle w:val="28"/>
              <w:spacing w:before="145"/>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中国建设银行</w:t>
            </w:r>
          </w:p>
        </w:tc>
        <w:tc>
          <w:tcPr>
            <w:tcW w:w="2224" w:type="dxa"/>
          </w:tcPr>
          <w:p>
            <w:pPr>
              <w:pStyle w:val="28"/>
              <w:spacing w:before="163"/>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孙振荣</w:t>
            </w:r>
          </w:p>
        </w:tc>
        <w:tc>
          <w:tcPr>
            <w:tcW w:w="2280" w:type="dxa"/>
          </w:tcPr>
          <w:p>
            <w:pPr>
              <w:pStyle w:val="28"/>
              <w:spacing w:before="163"/>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18792546729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0" w:type="dxa"/>
          </w:tcPr>
          <w:p>
            <w:pPr>
              <w:pStyle w:val="28"/>
              <w:spacing w:before="159"/>
              <w:ind w:left="8"/>
              <w:jc w:val="center"/>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8</w:t>
            </w:r>
          </w:p>
        </w:tc>
        <w:tc>
          <w:tcPr>
            <w:tcW w:w="3716" w:type="dxa"/>
          </w:tcPr>
          <w:p>
            <w:pPr>
              <w:pStyle w:val="28"/>
              <w:spacing w:before="147"/>
              <w:ind w:left="158" w:right="1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中国工商银行</w:t>
            </w:r>
          </w:p>
        </w:tc>
        <w:tc>
          <w:tcPr>
            <w:tcW w:w="2224" w:type="dxa"/>
          </w:tcPr>
          <w:p>
            <w:pPr>
              <w:pStyle w:val="28"/>
              <w:spacing w:before="165"/>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李碧莹</w:t>
            </w:r>
          </w:p>
        </w:tc>
        <w:tc>
          <w:tcPr>
            <w:tcW w:w="2280" w:type="dxa"/>
          </w:tcPr>
          <w:p>
            <w:pPr>
              <w:pStyle w:val="28"/>
              <w:spacing w:before="165"/>
              <w:ind w:right="549"/>
              <w:jc w:val="righ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13809159860</w:t>
            </w:r>
          </w:p>
        </w:tc>
      </w:tr>
    </w:tbl>
    <w:p>
      <w:pPr>
        <w:pStyle w:val="2"/>
        <w:rPr>
          <w:rFonts w:hint="default"/>
          <w:color w:val="auto"/>
          <w:highlight w:val="none"/>
          <w:lang w:val="en-US" w:eastAsia="zh-CN"/>
        </w:rPr>
      </w:pPr>
    </w:p>
    <w:p>
      <w:pPr>
        <w:rPr>
          <w:rFonts w:hint="default"/>
          <w:color w:val="auto"/>
          <w:highlight w:val="none"/>
          <w:lang w:val="en-US" w:eastAsia="zh-CN"/>
        </w:rPr>
      </w:pPr>
    </w:p>
    <w:p>
      <w:pPr>
        <w:rPr>
          <w:rFonts w:hint="eastAsia" w:ascii="仿宋" w:hAnsi="仿宋" w:eastAsia="仿宋" w:cs="宋体"/>
          <w:b w:val="0"/>
          <w:bCs w:val="0"/>
          <w:color w:val="auto"/>
          <w:sz w:val="24"/>
          <w:szCs w:val="24"/>
          <w:highlight w:val="none"/>
          <w:lang w:val="zh-CN"/>
        </w:rPr>
      </w:pPr>
      <w:r>
        <w:rPr>
          <w:rFonts w:hint="eastAsia" w:ascii="仿宋" w:hAnsi="仿宋" w:eastAsia="仿宋" w:cs="宋体"/>
          <w:b w:val="0"/>
          <w:bCs w:val="0"/>
          <w:color w:val="auto"/>
          <w:sz w:val="24"/>
          <w:szCs w:val="24"/>
          <w:highlight w:val="none"/>
          <w:lang w:val="zh-CN"/>
        </w:rPr>
        <w:br w:type="page"/>
      </w:r>
    </w:p>
    <w:p>
      <w:pPr>
        <w:pStyle w:val="4"/>
        <w:bidi w:val="0"/>
        <w:rPr>
          <w:rFonts w:hint="default"/>
          <w:color w:val="auto"/>
          <w:highlight w:val="none"/>
          <w:lang w:val="en-US" w:eastAsia="zh-CN"/>
        </w:rPr>
      </w:pPr>
      <w:bookmarkStart w:id="95" w:name="_Toc4881"/>
      <w:r>
        <w:rPr>
          <w:rFonts w:hint="eastAsia"/>
          <w:color w:val="auto"/>
          <w:highlight w:val="none"/>
          <w:lang w:val="en-US" w:eastAsia="zh-CN"/>
        </w:rPr>
        <w:t>第三章 评审办法</w:t>
      </w:r>
      <w:bookmarkEnd w:id="95"/>
    </w:p>
    <w:p>
      <w:pPr>
        <w:spacing w:after="0"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一、评审方法</w:t>
      </w:r>
    </w:p>
    <w:p>
      <w:pPr>
        <w:spacing w:after="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按照《中华人民共和国政府采购法》</w:t>
      </w:r>
      <w:r>
        <w:rPr>
          <w:rFonts w:hint="eastAsia" w:ascii="仿宋" w:hAnsi="仿宋" w:eastAsia="仿宋"/>
          <w:color w:val="auto"/>
          <w:sz w:val="24"/>
          <w:szCs w:val="24"/>
          <w:highlight w:val="none"/>
        </w:rPr>
        <w:t>及实施条例和</w:t>
      </w:r>
      <w:r>
        <w:rPr>
          <w:rFonts w:ascii="仿宋" w:hAnsi="仿宋" w:eastAsia="仿宋"/>
          <w:color w:val="auto"/>
          <w:sz w:val="24"/>
          <w:szCs w:val="24"/>
          <w:highlight w:val="none"/>
        </w:rPr>
        <w:t>关于印发《政府采购竞争性磋商采购方式管理暂行办法》的通知</w:t>
      </w:r>
      <w:r>
        <w:rPr>
          <w:rFonts w:hint="eastAsia" w:ascii="仿宋" w:hAnsi="仿宋" w:eastAsia="仿宋"/>
          <w:color w:val="auto"/>
          <w:sz w:val="24"/>
          <w:szCs w:val="24"/>
          <w:highlight w:val="none"/>
        </w:rPr>
        <w:t>（</w:t>
      </w:r>
      <w:r>
        <w:rPr>
          <w:rFonts w:ascii="仿宋" w:hAnsi="仿宋" w:eastAsia="仿宋"/>
          <w:color w:val="auto"/>
          <w:sz w:val="24"/>
          <w:szCs w:val="24"/>
          <w:highlight w:val="none"/>
        </w:rPr>
        <w:t>财库</w:t>
      </w:r>
      <w:r>
        <w:rPr>
          <w:rFonts w:hint="eastAsia" w:ascii="仿宋" w:hAnsi="仿宋" w:eastAsia="仿宋"/>
          <w:color w:val="auto"/>
          <w:sz w:val="24"/>
          <w:szCs w:val="24"/>
          <w:highlight w:val="none"/>
        </w:rPr>
        <w:t>〔2014〕</w:t>
      </w:r>
      <w:r>
        <w:rPr>
          <w:rFonts w:ascii="仿宋" w:hAnsi="仿宋" w:eastAsia="仿宋"/>
          <w:color w:val="auto"/>
          <w:sz w:val="24"/>
          <w:szCs w:val="24"/>
          <w:highlight w:val="none"/>
        </w:rPr>
        <w:t>214号</w:t>
      </w:r>
      <w:r>
        <w:rPr>
          <w:rFonts w:hint="eastAsia" w:ascii="仿宋" w:hAnsi="仿宋" w:eastAsia="仿宋"/>
          <w:color w:val="auto"/>
          <w:sz w:val="2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after="0"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二、评审标准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2.1初步评审标准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2.1.1资格性审查标准：见附件1初步审查要素表</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2.1.2符合性审查标准：见附件1初步审查要素表</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2.2分值构成与评分标准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2.2.1 分值构成：见附件2评标因素及权重分值表</w:t>
      </w:r>
    </w:p>
    <w:p>
      <w:pPr>
        <w:spacing w:after="0"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三、评审程序</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按照竞争性磋商响应文件初审、澄清有关问题、分别磋商、二次报价、比较与评审、推荐成交候选人名单。在上一步评审中被认定为无效磋商者，不进入下一步的评审。</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、对磋商响应文件的初审</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1.1</w:t>
      </w:r>
      <w:r>
        <w:rPr>
          <w:rFonts w:ascii="仿宋" w:hAnsi="仿宋" w:eastAsia="仿宋"/>
          <w:b/>
          <w:bCs/>
          <w:color w:val="auto"/>
          <w:sz w:val="24"/>
          <w:szCs w:val="24"/>
          <w:highlight w:val="none"/>
        </w:rPr>
        <w:t>资格性审查</w:t>
      </w:r>
      <w:r>
        <w:rPr>
          <w:rFonts w:hint="eastAsia" w:ascii="仿宋" w:hAnsi="仿宋" w:eastAsia="仿宋"/>
          <w:b/>
          <w:bCs/>
          <w:color w:val="auto"/>
          <w:sz w:val="24"/>
          <w:szCs w:val="24"/>
          <w:highlight w:val="none"/>
        </w:rPr>
        <w:t>：</w:t>
      </w:r>
      <w:r>
        <w:rPr>
          <w:rFonts w:hint="eastAsia" w:ascii="仿宋" w:hAnsi="仿宋" w:eastAsia="仿宋" w:cs="宋体"/>
          <w:b/>
          <w:bCs/>
          <w:color w:val="auto"/>
          <w:sz w:val="24"/>
          <w:szCs w:val="24"/>
          <w:highlight w:val="none"/>
          <w:lang w:val="en-US" w:eastAsia="zh-CN"/>
        </w:rPr>
        <w:t>资格审查</w:t>
      </w:r>
      <w:r>
        <w:rPr>
          <w:rFonts w:hint="eastAsia" w:ascii="仿宋" w:hAnsi="仿宋" w:eastAsia="仿宋" w:cs="宋体"/>
          <w:b/>
          <w:bCs/>
          <w:color w:val="auto"/>
          <w:sz w:val="24"/>
          <w:szCs w:val="24"/>
          <w:highlight w:val="none"/>
        </w:rPr>
        <w:t>小组</w:t>
      </w:r>
      <w:r>
        <w:rPr>
          <w:rFonts w:ascii="仿宋" w:hAnsi="仿宋" w:eastAsia="仿宋"/>
          <w:color w:val="auto"/>
          <w:sz w:val="24"/>
          <w:szCs w:val="24"/>
          <w:highlight w:val="none"/>
        </w:rPr>
        <w:t>依据</w:t>
      </w:r>
      <w:r>
        <w:rPr>
          <w:rFonts w:hint="eastAsia" w:ascii="仿宋" w:hAnsi="仿宋" w:eastAsia="仿宋"/>
          <w:color w:val="auto"/>
          <w:sz w:val="24"/>
          <w:szCs w:val="24"/>
          <w:highlight w:val="none"/>
        </w:rPr>
        <w:t>评审标准对磋商响应文件进行资格性审查。有一项不符合评审标准的，</w:t>
      </w:r>
      <w:r>
        <w:rPr>
          <w:rFonts w:ascii="仿宋" w:hAnsi="仿宋" w:eastAsia="仿宋"/>
          <w:color w:val="auto"/>
          <w:sz w:val="24"/>
          <w:szCs w:val="24"/>
          <w:highlight w:val="none"/>
        </w:rPr>
        <w:t>将被视为未实质性响应</w:t>
      </w:r>
      <w:r>
        <w:rPr>
          <w:rFonts w:hint="eastAsia" w:ascii="仿宋" w:hAnsi="仿宋" w:eastAsia="仿宋"/>
          <w:color w:val="auto"/>
          <w:sz w:val="24"/>
          <w:szCs w:val="24"/>
          <w:highlight w:val="none"/>
        </w:rPr>
        <w:t>磋商</w:t>
      </w:r>
      <w:r>
        <w:rPr>
          <w:rFonts w:ascii="仿宋" w:hAnsi="仿宋" w:eastAsia="仿宋"/>
          <w:color w:val="auto"/>
          <w:sz w:val="24"/>
          <w:szCs w:val="24"/>
          <w:highlight w:val="none"/>
        </w:rPr>
        <w:t>文件</w:t>
      </w:r>
      <w:r>
        <w:rPr>
          <w:rFonts w:hint="eastAsia" w:ascii="仿宋" w:hAnsi="仿宋" w:eastAsia="仿宋"/>
          <w:color w:val="auto"/>
          <w:sz w:val="24"/>
          <w:szCs w:val="24"/>
          <w:highlight w:val="none"/>
        </w:rPr>
        <w:t>，其磋商响应文件将按无效文件处理</w:t>
      </w:r>
      <w:r>
        <w:rPr>
          <w:rFonts w:ascii="仿宋" w:hAnsi="仿宋" w:eastAsia="仿宋"/>
          <w:color w:val="auto"/>
          <w:sz w:val="24"/>
          <w:szCs w:val="24"/>
          <w:highlight w:val="none"/>
        </w:rPr>
        <w:t>。</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.2</w:t>
      </w:r>
      <w:r>
        <w:rPr>
          <w:rFonts w:ascii="仿宋" w:hAnsi="仿宋" w:eastAsia="仿宋"/>
          <w:b/>
          <w:bCs/>
          <w:color w:val="auto"/>
          <w:sz w:val="24"/>
          <w:szCs w:val="24"/>
          <w:highlight w:val="none"/>
        </w:rPr>
        <w:t>符合性审查</w:t>
      </w:r>
      <w:r>
        <w:rPr>
          <w:rFonts w:hint="eastAsia" w:ascii="仿宋" w:hAnsi="仿宋" w:eastAsia="仿宋"/>
          <w:b/>
          <w:bCs/>
          <w:color w:val="auto"/>
          <w:sz w:val="24"/>
          <w:szCs w:val="24"/>
          <w:highlight w:val="none"/>
        </w:rPr>
        <w:t>：磋商小组</w:t>
      </w:r>
      <w:r>
        <w:rPr>
          <w:rFonts w:ascii="仿宋" w:hAnsi="仿宋" w:eastAsia="仿宋"/>
          <w:color w:val="auto"/>
          <w:sz w:val="24"/>
          <w:szCs w:val="24"/>
          <w:highlight w:val="none"/>
        </w:rPr>
        <w:t>依据</w:t>
      </w:r>
      <w:r>
        <w:rPr>
          <w:rFonts w:hint="eastAsia" w:ascii="仿宋" w:hAnsi="仿宋" w:eastAsia="仿宋"/>
          <w:color w:val="auto"/>
          <w:sz w:val="24"/>
          <w:szCs w:val="24"/>
          <w:highlight w:val="none"/>
        </w:rPr>
        <w:t>评审标准对磋商响应文件进行符合性评审。有一项不符合评审标准的，将被视为未实质性响应磋商文件，其磋商响应文件将按无效文件处理。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在资格性审查阶段，不符合磋商文件要求的，不得进入符合性审查，在符合性审查时未通过的，不得进入后续评审环节。</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2、磋商响应文件的澄清</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2.1磋商小组发现供应商的报价明显低于其他通过符合性审查的供应商的磋商报价、或明显低于市场价格，使得其磋商报价可能低于其成本的，应当要求该供应商在评审现场作出书面说明并提供相应的证明材料。供应商不能合理说明或者不能提供相应证明材料的，由磋商小组认定该供应商以低于成本报价竞标，其磋商响应文件作无效响应处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2.2有效的书面澄清材料，是磋商响应文件的补充材料，成为磋商响应文件的组成部分。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3、磋商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磋商小组所有成员集中与单一供应商分别进行磋商，并要求供应商在规定的时间内提交最后报价。</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4、磋商过程中的实质性变动</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4.2对竞争性磋商文件做出的实质性变动是磋商文件的有效组成部分，磋商小组应当及时以书面形式通知所有参加磋商的供应商。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5、综合评审</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对于经初审合格的所有供应商，由磋商小组各成员依据磋商响应文件和最终报价，按照下列《评标因素及权重分值表》规定的内容独立进行综合评价、比较打分，然后汇总每个供应商的得分，从高到低依次排序，推荐成交候选人。</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6、推荐成交候选人</w:t>
      </w:r>
    </w:p>
    <w:p>
      <w:pPr>
        <w:spacing w:after="0"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磋商小组完成评审后，向采购人提出书面评审，并推荐1-3名成交候选人，标明排列顺序。</w:t>
      </w:r>
    </w:p>
    <w:p>
      <w:pPr>
        <w:spacing w:after="0"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四、政策性扣减方式</w:t>
      </w:r>
    </w:p>
    <w:p>
      <w:pPr>
        <w:spacing w:after="0"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lang w:eastAsia="zh-CN"/>
        </w:rPr>
        <w:t>对于</w:t>
      </w:r>
      <w:r>
        <w:rPr>
          <w:rFonts w:hint="eastAsia" w:ascii="仿宋" w:hAnsi="仿宋" w:eastAsia="仿宋"/>
          <w:color w:val="auto"/>
          <w:sz w:val="24"/>
          <w:szCs w:val="24"/>
          <w:highlight w:val="none"/>
        </w:rPr>
        <w:t>未预留份额专门面向中小企业采购的采购项目，根据《政府采购促进中小企业发展管理办法》的相关规定，小微企业报价给予</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after="0" w:line="360" w:lineRule="auto"/>
        <w:ind w:firstLine="480" w:firstLineChars="200"/>
        <w:jc w:val="both"/>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after="0"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lang w:eastAsia="zh-CN"/>
        </w:rPr>
        <w:t>监狱企业、</w:t>
      </w:r>
      <w:r>
        <w:rPr>
          <w:rFonts w:hint="eastAsia" w:ascii="仿宋" w:hAnsi="仿宋" w:eastAsia="仿宋"/>
          <w:color w:val="auto"/>
          <w:sz w:val="24"/>
          <w:szCs w:val="24"/>
          <w:highlight w:val="none"/>
        </w:rPr>
        <w:t>残疾人福利性单位视同小微企业，享受预留份额、评审中价格扣除等促进中小企业发展的政府采购政策。</w:t>
      </w:r>
      <w:r>
        <w:rPr>
          <w:rFonts w:hint="eastAsia" w:ascii="仿宋" w:hAnsi="仿宋" w:eastAsia="仿宋"/>
          <w:color w:val="auto"/>
          <w:sz w:val="24"/>
          <w:szCs w:val="24"/>
          <w:highlight w:val="none"/>
          <w:lang w:eastAsia="zh-CN"/>
        </w:rPr>
        <w:t>监狱企业、</w:t>
      </w:r>
      <w:r>
        <w:rPr>
          <w:rFonts w:hint="eastAsia" w:ascii="仿宋" w:hAnsi="仿宋" w:eastAsia="仿宋"/>
          <w:color w:val="auto"/>
          <w:sz w:val="24"/>
          <w:szCs w:val="24"/>
          <w:highlight w:val="none"/>
        </w:rPr>
        <w:t>残疾人福利性单位属于</w:t>
      </w:r>
      <w:r>
        <w:rPr>
          <w:rFonts w:hint="eastAsia" w:ascii="仿宋" w:hAnsi="仿宋" w:eastAsia="仿宋"/>
          <w:color w:val="auto"/>
          <w:sz w:val="24"/>
          <w:szCs w:val="24"/>
          <w:highlight w:val="none"/>
          <w:lang w:eastAsia="zh-CN"/>
        </w:rPr>
        <w:t>小微</w:t>
      </w:r>
      <w:r>
        <w:rPr>
          <w:rFonts w:hint="eastAsia" w:ascii="仿宋" w:hAnsi="仿宋" w:eastAsia="仿宋"/>
          <w:color w:val="auto"/>
          <w:sz w:val="24"/>
          <w:szCs w:val="24"/>
          <w:highlight w:val="none"/>
        </w:rPr>
        <w:t>企业的，不重复享受政策。</w:t>
      </w:r>
    </w:p>
    <w:p>
      <w:pPr>
        <w:spacing w:after="0"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享受支持中小型企业发展政策优惠的，可以同时享受节能、环境标志产品优先采购政策。</w:t>
      </w:r>
    </w:p>
    <w:p>
      <w:pPr>
        <w:spacing w:after="0"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五、</w:t>
      </w:r>
      <w:r>
        <w:rPr>
          <w:rFonts w:hint="eastAsia" w:ascii="仿宋" w:hAnsi="仿宋" w:eastAsia="仿宋"/>
          <w:b/>
          <w:bCs/>
          <w:color w:val="auto"/>
          <w:sz w:val="24"/>
          <w:szCs w:val="24"/>
          <w:highlight w:val="none"/>
        </w:rPr>
        <w:t>特殊情况的处理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1、计算错误将按以下方法更正：</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（1）磋商响应文件中报价一览表(报价表)内容与磋商响应文件中相应内容不一致的，以报价一览表(报价表)为准；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（2）磋商响应文件的大写金额和小写金额不一致的，以大写金额为准；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（3）单价金额小数点或者百分比有明显错位的，以报价一览表的总价为准，并修改单价；</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（4）总价金额与按单价汇总金额不一致的，以单价金额计算结果为准。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按上述修正的顺序和方法调整的报价应对供应商具有约束力。如果供应商不接受修正后的价格，其响应文件将按无效响应处理。</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2、对于竞争性磋商响应文件中明显的标点符号错误或不构成实质性偏差的不正规、不一致或不规则，采购人可以接受。</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after="0" w:line="360" w:lineRule="auto"/>
        <w:ind w:firstLine="480" w:firstLineChars="200"/>
        <w:rPr>
          <w:rFonts w:hint="eastAsia"/>
          <w:color w:val="auto"/>
          <w:highlight w:val="none"/>
        </w:rPr>
      </w:pPr>
      <w:r>
        <w:rPr>
          <w:rFonts w:hint="eastAsia" w:ascii="仿宋" w:hAnsi="仿宋" w:eastAsia="仿宋"/>
          <w:color w:val="auto"/>
          <w:sz w:val="24"/>
          <w:szCs w:val="24"/>
          <w:highlight w:val="none"/>
        </w:rPr>
        <w:t>4、磋商过程中，若出现本评审方法以外的特殊情况时，将暂停评审，待磋商小组商榷后，再进行评定。</w:t>
      </w:r>
    </w:p>
    <w:p>
      <w:pPr>
        <w:pStyle w:val="14"/>
        <w:jc w:val="left"/>
        <w:rPr>
          <w:color w:val="auto"/>
          <w:highlight w:val="none"/>
        </w:rPr>
      </w:pPr>
    </w:p>
    <w:p>
      <w:pP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br w:type="page"/>
      </w:r>
    </w:p>
    <w:p>
      <w:pPr>
        <w:spacing w:after="0"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附件1</w:t>
      </w:r>
    </w:p>
    <w:p>
      <w:pPr>
        <w:spacing w:after="0"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初步审查要素表</w:t>
      </w:r>
    </w:p>
    <w:tbl>
      <w:tblPr>
        <w:tblStyle w:val="1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1204"/>
        <w:gridCol w:w="1632"/>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64" w:type="dxa"/>
            <w:gridSpan w:val="2"/>
            <w:vAlign w:val="center"/>
          </w:tcPr>
          <w:p>
            <w:pPr>
              <w:tabs>
                <w:tab w:val="left" w:pos="0"/>
              </w:tabs>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条款号</w:t>
            </w:r>
          </w:p>
        </w:tc>
        <w:tc>
          <w:tcPr>
            <w:tcW w:w="2836" w:type="dxa"/>
            <w:gridSpan w:val="2"/>
            <w:vAlign w:val="center"/>
          </w:tcPr>
          <w:p>
            <w:pPr>
              <w:tabs>
                <w:tab w:val="left" w:pos="0"/>
              </w:tabs>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评审因素</w:t>
            </w:r>
          </w:p>
        </w:tc>
        <w:tc>
          <w:tcPr>
            <w:tcW w:w="5319" w:type="dxa"/>
            <w:vAlign w:val="center"/>
          </w:tcPr>
          <w:p>
            <w:pPr>
              <w:tabs>
                <w:tab w:val="left" w:pos="0"/>
              </w:tabs>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1.1</w:t>
            </w:r>
          </w:p>
        </w:tc>
        <w:tc>
          <w:tcPr>
            <w:tcW w:w="600" w:type="dxa"/>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资格评审</w:t>
            </w:r>
          </w:p>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标准</w:t>
            </w:r>
          </w:p>
        </w:tc>
        <w:tc>
          <w:tcPr>
            <w:tcW w:w="2836" w:type="dxa"/>
            <w:gridSpan w:val="2"/>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基本资格条件</w:t>
            </w:r>
          </w:p>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(符合《中华人民共和国政府采购法》第二十二条的规定)</w:t>
            </w:r>
          </w:p>
        </w:tc>
        <w:tc>
          <w:tcPr>
            <w:tcW w:w="5319" w:type="dxa"/>
            <w:vAlign w:val="center"/>
          </w:tcPr>
          <w:p>
            <w:pPr>
              <w:pStyle w:val="2"/>
              <w:spacing w:after="0"/>
              <w:jc w:val="left"/>
              <w:rPr>
                <w:rFonts w:ascii="仿宋" w:hAnsi="仿宋" w:eastAsia="仿宋"/>
                <w:color w:val="auto"/>
                <w:sz w:val="24"/>
                <w:szCs w:val="24"/>
                <w:highlight w:val="none"/>
              </w:rPr>
            </w:pPr>
            <w:r>
              <w:rPr>
                <w:rFonts w:hint="eastAsia" w:ascii="仿宋" w:hAnsi="仿宋" w:eastAsia="仿宋" w:cs="宋体"/>
                <w:bCs/>
                <w:color w:val="auto"/>
                <w:sz w:val="24"/>
                <w:szCs w:val="24"/>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adjustRightInd/>
              <w:snapToGrid/>
              <w:spacing w:after="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2、财务状况报告：</w:t>
            </w:r>
            <w:r>
              <w:rPr>
                <w:rFonts w:hint="eastAsia" w:ascii="仿宋" w:hAnsi="仿宋" w:eastAsia="仿宋" w:cs="宋体"/>
                <w:color w:val="auto"/>
                <w:sz w:val="24"/>
                <w:szCs w:val="24"/>
                <w:highlight w:val="none"/>
                <w:lang w:eastAsia="zh-CN"/>
              </w:rPr>
              <w:t>提供2021年度经审计的财务报告</w:t>
            </w:r>
            <w:r>
              <w:rPr>
                <w:rFonts w:hint="eastAsia" w:ascii="仿宋" w:hAnsi="仿宋" w:eastAsia="仿宋" w:cs="宋体"/>
                <w:color w:val="auto"/>
                <w:sz w:val="24"/>
                <w:szCs w:val="24"/>
                <w:highlight w:val="none"/>
              </w:rPr>
              <w:t>（成立时间至提交响应文件截止时间不足一年的可提供成立后任意时段的资产负债表），或开标前六个月内其基本存款账户开户银行出具的资信证明及基本存款账户的相关证明材料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tabs>
                <w:tab w:val="left" w:pos="0"/>
              </w:tabs>
              <w:spacing w:after="0"/>
              <w:ind w:left="-73" w:leftChars="-33" w:firstLine="91" w:firstLineChars="38"/>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3、税收缴纳证明：提供202</w:t>
            </w:r>
            <w:r>
              <w:rPr>
                <w:rFonts w:hint="eastAsia" w:ascii="仿宋" w:hAnsi="仿宋" w:eastAsia="仿宋" w:cs="宋体"/>
                <w:bCs/>
                <w:color w:val="auto"/>
                <w:sz w:val="24"/>
                <w:szCs w:val="24"/>
                <w:highlight w:val="none"/>
                <w:lang w:val="en-US" w:eastAsia="zh-CN"/>
              </w:rPr>
              <w:t>2</w:t>
            </w:r>
            <w:r>
              <w:rPr>
                <w:rFonts w:hint="eastAsia" w:ascii="仿宋" w:hAnsi="仿宋" w:eastAsia="仿宋" w:cs="宋体"/>
                <w:bCs/>
                <w:color w:val="auto"/>
                <w:sz w:val="24"/>
                <w:szCs w:val="24"/>
                <w:highlight w:val="none"/>
              </w:rPr>
              <w:t>年1月至今已缴纳的至少一个月的纳税证明或完税证明，依法免税的单位应提供相关证明材料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tabs>
                <w:tab w:val="left" w:pos="0"/>
              </w:tabs>
              <w:spacing w:after="0"/>
              <w:ind w:left="-73" w:leftChars="-33" w:firstLine="91" w:firstLineChars="38"/>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4、社会保障资金缴纳证明：提供202</w:t>
            </w:r>
            <w:r>
              <w:rPr>
                <w:rFonts w:hint="eastAsia" w:ascii="仿宋" w:hAnsi="仿宋" w:eastAsia="仿宋" w:cs="宋体"/>
                <w:bCs/>
                <w:color w:val="auto"/>
                <w:sz w:val="24"/>
                <w:szCs w:val="24"/>
                <w:highlight w:val="none"/>
                <w:lang w:val="en-US" w:eastAsia="zh-CN"/>
              </w:rPr>
              <w:t>2</w:t>
            </w:r>
            <w:r>
              <w:rPr>
                <w:rFonts w:hint="eastAsia" w:ascii="仿宋" w:hAnsi="仿宋" w:eastAsia="仿宋" w:cs="宋体"/>
                <w:bCs/>
                <w:color w:val="auto"/>
                <w:sz w:val="24"/>
                <w:szCs w:val="24"/>
                <w:highlight w:val="none"/>
              </w:rPr>
              <w:t>年1月至今已缴存的至少一个月的社会保险参保缴费情况证明，依法不需要缴纳社会保障资金的单位应提供相关证明材料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tabs>
                <w:tab w:val="left" w:pos="0"/>
              </w:tabs>
              <w:spacing w:after="0"/>
              <w:ind w:left="-73" w:leftChars="-33" w:firstLine="91" w:firstLineChars="38"/>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adjustRightInd/>
              <w:snapToGrid/>
              <w:spacing w:after="0"/>
              <w:rPr>
                <w:rFonts w:ascii="仿宋" w:hAnsi="仿宋" w:eastAsia="仿宋"/>
                <w:color w:val="auto"/>
                <w:sz w:val="24"/>
                <w:szCs w:val="24"/>
                <w:highlight w:val="none"/>
              </w:rPr>
            </w:pPr>
            <w:r>
              <w:rPr>
                <w:rFonts w:hint="eastAsia" w:ascii="仿宋" w:hAnsi="仿宋" w:eastAsia="仿宋"/>
                <w:color w:val="auto"/>
                <w:sz w:val="24"/>
                <w:szCs w:val="24"/>
                <w:highlight w:val="none"/>
              </w:rPr>
              <w:t>6、提供参加本次政府采购活动前三年内在经营活动中没有重大违法记录的书面声明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特定资格条件</w:t>
            </w:r>
          </w:p>
        </w:tc>
        <w:tc>
          <w:tcPr>
            <w:tcW w:w="5319" w:type="dxa"/>
            <w:vAlign w:val="center"/>
          </w:tcPr>
          <w:p>
            <w:pPr>
              <w:widowControl w:val="0"/>
              <w:adjustRightInd/>
              <w:snapToGrid/>
              <w:spacing w:after="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1、法定代表人授权书（附法定代表人、被授权人身份证复印件）及被授权人身份证（法定代表人直接参加磋商，须提供法定代表人身份证明及身份证原件）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600" w:type="dxa"/>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2836" w:type="dxa"/>
            <w:gridSpan w:val="2"/>
            <w:vMerge w:val="continue"/>
            <w:vAlign w:val="center"/>
          </w:tcPr>
          <w:p>
            <w:pPr>
              <w:tabs>
                <w:tab w:val="left" w:pos="0"/>
              </w:tabs>
              <w:spacing w:after="0"/>
              <w:jc w:val="center"/>
              <w:rPr>
                <w:rFonts w:ascii="仿宋" w:hAnsi="仿宋" w:eastAsia="仿宋" w:cs="宋体"/>
                <w:bCs/>
                <w:color w:val="auto"/>
                <w:sz w:val="24"/>
                <w:szCs w:val="24"/>
                <w:highlight w:val="none"/>
              </w:rPr>
            </w:pPr>
          </w:p>
        </w:tc>
        <w:tc>
          <w:tcPr>
            <w:tcW w:w="5319" w:type="dxa"/>
            <w:vAlign w:val="center"/>
          </w:tcPr>
          <w:p>
            <w:pPr>
              <w:widowControl w:val="0"/>
              <w:adjustRightInd/>
              <w:snapToGrid/>
              <w:spacing w:after="0"/>
              <w:rPr>
                <w:rFonts w:ascii="仿宋" w:hAnsi="仿宋" w:eastAsia="仿宋"/>
                <w:color w:val="auto"/>
                <w:sz w:val="24"/>
                <w:szCs w:val="24"/>
                <w:highlight w:val="none"/>
              </w:rPr>
            </w:pPr>
            <w:r>
              <w:rPr>
                <w:rFonts w:hint="eastAsia" w:ascii="仿宋" w:hAnsi="仿宋" w:eastAsia="仿宋" w:cs="宋体"/>
                <w:color w:val="auto"/>
                <w:sz w:val="24"/>
                <w:szCs w:val="24"/>
                <w:highlight w:val="none"/>
              </w:rPr>
              <w:t>2、供应商不得为“信用中国”网站中列入失信被执行人和重大税收违法案件当事人名单的供应商，不得为中国政府采购网政府采购严重违法失信行为记录名单中被财政部门禁止参加政府采购活动的供应商；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宋体"/>
                <w:b/>
                <w:color w:val="auto"/>
                <w:sz w:val="24"/>
                <w:szCs w:val="24"/>
                <w:highlight w:val="none"/>
              </w:rPr>
              <w:t>（采购代理机构于本项目磋商公告发布后至磋商响应文件递交截止日查询相关信用记录，对列入失信被执行人、重大税收违法案件当事人名单、政府采购严重违法失信行为记录名单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9" w:type="dxa"/>
            <w:gridSpan w:val="5"/>
            <w:vAlign w:val="center"/>
          </w:tcPr>
          <w:p>
            <w:pPr>
              <w:pStyle w:val="2"/>
              <w:spacing w:after="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注：以上为必备资格条件，缺一项或某项达不到要求，按无效文件处理。资格审查时以磋商响应文件中所附证明材料</w:t>
            </w:r>
            <w:r>
              <w:rPr>
                <w:rFonts w:hint="eastAsia" w:ascii="仿宋" w:hAnsi="仿宋" w:eastAsia="仿宋"/>
                <w:b/>
                <w:color w:val="auto"/>
                <w:sz w:val="24"/>
                <w:szCs w:val="24"/>
                <w:highlight w:val="none"/>
              </w:rPr>
              <w:t>（信用中国和中国政府采购网信用记录可不提供，由代理机构查询并留存）</w:t>
            </w:r>
            <w:r>
              <w:rPr>
                <w:rFonts w:hint="eastAsia" w:ascii="仿宋" w:hAnsi="仿宋" w:eastAsia="仿宋" w:cs="宋体"/>
                <w:b/>
                <w:bCs/>
                <w:color w:val="auto"/>
                <w:sz w:val="24"/>
                <w:szCs w:val="24"/>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4" w:type="dxa"/>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1.2</w:t>
            </w:r>
          </w:p>
        </w:tc>
        <w:tc>
          <w:tcPr>
            <w:tcW w:w="600" w:type="dxa"/>
            <w:vMerge w:val="restart"/>
            <w:vAlign w:val="center"/>
          </w:tcPr>
          <w:p>
            <w:pPr>
              <w:tabs>
                <w:tab w:val="left" w:pos="0"/>
              </w:tabs>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符合性评审标准</w:t>
            </w:r>
          </w:p>
        </w:tc>
        <w:tc>
          <w:tcPr>
            <w:tcW w:w="1204" w:type="dxa"/>
            <w:tcBorders>
              <w:bottom w:val="nil"/>
            </w:tcBorders>
            <w:vAlign w:val="center"/>
          </w:tcPr>
          <w:p>
            <w:pPr>
              <w:tabs>
                <w:tab w:val="left" w:pos="0"/>
              </w:tabs>
              <w:spacing w:after="0"/>
              <w:jc w:val="center"/>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签署盖章</w:t>
            </w:r>
          </w:p>
        </w:tc>
        <w:tc>
          <w:tcPr>
            <w:tcW w:w="6951" w:type="dxa"/>
            <w:gridSpan w:val="2"/>
            <w:tcBorders>
              <w:bottom w:val="nil"/>
            </w:tcBorders>
            <w:vAlign w:val="center"/>
          </w:tcPr>
          <w:p>
            <w:pPr>
              <w:tabs>
                <w:tab w:val="left" w:pos="0"/>
              </w:tabs>
              <w:spacing w:after="0"/>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磋商响应文件应符合磋商文件签署和盖章的要求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4" w:type="dxa"/>
            <w:vMerge w:val="continue"/>
          </w:tcPr>
          <w:p>
            <w:pPr>
              <w:tabs>
                <w:tab w:val="left" w:pos="0"/>
              </w:tabs>
              <w:spacing w:after="0"/>
              <w:rPr>
                <w:rFonts w:ascii="仿宋" w:hAnsi="仿宋" w:eastAsia="仿宋" w:cs="宋体"/>
                <w:bCs/>
                <w:color w:val="auto"/>
                <w:sz w:val="24"/>
                <w:szCs w:val="24"/>
                <w:highlight w:val="none"/>
              </w:rPr>
            </w:pPr>
          </w:p>
        </w:tc>
        <w:tc>
          <w:tcPr>
            <w:tcW w:w="600" w:type="dxa"/>
            <w:vMerge w:val="continue"/>
          </w:tcPr>
          <w:p>
            <w:pPr>
              <w:tabs>
                <w:tab w:val="left" w:pos="0"/>
              </w:tabs>
              <w:spacing w:after="0"/>
              <w:rPr>
                <w:rFonts w:ascii="仿宋" w:hAnsi="仿宋" w:eastAsia="仿宋" w:cs="宋体"/>
                <w:bCs/>
                <w:color w:val="auto"/>
                <w:sz w:val="24"/>
                <w:szCs w:val="24"/>
                <w:highlight w:val="none"/>
              </w:rPr>
            </w:pPr>
          </w:p>
        </w:tc>
        <w:tc>
          <w:tcPr>
            <w:tcW w:w="1204" w:type="dxa"/>
            <w:vAlign w:val="center"/>
          </w:tcPr>
          <w:p>
            <w:pPr>
              <w:tabs>
                <w:tab w:val="left" w:pos="0"/>
              </w:tabs>
              <w:spacing w:after="0"/>
              <w:jc w:val="center"/>
              <w:rPr>
                <w:rFonts w:hint="eastAsia"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报价</w:t>
            </w:r>
          </w:p>
        </w:tc>
        <w:tc>
          <w:tcPr>
            <w:tcW w:w="6951" w:type="dxa"/>
            <w:gridSpan w:val="2"/>
            <w:vAlign w:val="center"/>
          </w:tcPr>
          <w:p>
            <w:pPr>
              <w:tabs>
                <w:tab w:val="left" w:pos="0"/>
              </w:tabs>
              <w:spacing w:after="0"/>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只能有一个有效报价，不得提交选择性报价，且每轮报价不超过采购预算金额或磋商小组认为低于成本价的报价。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4" w:type="dxa"/>
            <w:vMerge w:val="continue"/>
          </w:tcPr>
          <w:p>
            <w:pPr>
              <w:tabs>
                <w:tab w:val="left" w:pos="0"/>
              </w:tabs>
              <w:spacing w:after="0"/>
              <w:rPr>
                <w:rFonts w:ascii="仿宋" w:hAnsi="仿宋" w:eastAsia="仿宋" w:cs="宋体"/>
                <w:bCs/>
                <w:color w:val="auto"/>
                <w:sz w:val="24"/>
                <w:szCs w:val="24"/>
                <w:highlight w:val="none"/>
              </w:rPr>
            </w:pPr>
          </w:p>
        </w:tc>
        <w:tc>
          <w:tcPr>
            <w:tcW w:w="600" w:type="dxa"/>
            <w:vMerge w:val="continue"/>
          </w:tcPr>
          <w:p>
            <w:pPr>
              <w:tabs>
                <w:tab w:val="left" w:pos="0"/>
              </w:tabs>
              <w:spacing w:after="0"/>
              <w:rPr>
                <w:rFonts w:ascii="仿宋" w:hAnsi="仿宋" w:eastAsia="仿宋" w:cs="宋体"/>
                <w:bCs/>
                <w:color w:val="auto"/>
                <w:sz w:val="24"/>
                <w:szCs w:val="24"/>
                <w:highlight w:val="none"/>
              </w:rPr>
            </w:pPr>
          </w:p>
        </w:tc>
        <w:tc>
          <w:tcPr>
            <w:tcW w:w="1204" w:type="dxa"/>
            <w:vAlign w:val="center"/>
          </w:tcPr>
          <w:p>
            <w:pPr>
              <w:tabs>
                <w:tab w:val="left" w:pos="0"/>
              </w:tabs>
              <w:spacing w:after="0"/>
              <w:jc w:val="center"/>
              <w:rPr>
                <w:rFonts w:hint="eastAsia" w:ascii="仿宋" w:hAnsi="仿宋" w:eastAsia="仿宋" w:cs="宋体"/>
                <w:bCs/>
                <w:color w:val="auto"/>
                <w:sz w:val="24"/>
                <w:szCs w:val="24"/>
                <w:highlight w:val="none"/>
                <w:lang w:val="en-US" w:eastAsia="zh-CN" w:bidi="ar-SA"/>
              </w:rPr>
            </w:pPr>
            <w:r>
              <w:rPr>
                <w:rFonts w:hint="eastAsia" w:ascii="仿宋" w:hAnsi="仿宋" w:eastAsia="仿宋" w:cs="宋体"/>
                <w:bCs/>
                <w:color w:val="auto"/>
                <w:sz w:val="24"/>
                <w:szCs w:val="24"/>
                <w:highlight w:val="none"/>
                <w:lang w:val="en-US" w:eastAsia="zh-CN"/>
              </w:rPr>
              <w:t>磋商有效期</w:t>
            </w:r>
          </w:p>
        </w:tc>
        <w:tc>
          <w:tcPr>
            <w:tcW w:w="6951" w:type="dxa"/>
            <w:gridSpan w:val="2"/>
            <w:vAlign w:val="center"/>
          </w:tcPr>
          <w:p>
            <w:pPr>
              <w:tabs>
                <w:tab w:val="left" w:pos="0"/>
              </w:tabs>
              <w:spacing w:after="0"/>
              <w:rPr>
                <w:rFonts w:hint="eastAsia" w:ascii="仿宋" w:hAnsi="仿宋" w:eastAsia="仿宋" w:cs="宋体"/>
                <w:bCs/>
                <w:color w:val="auto"/>
                <w:sz w:val="24"/>
                <w:szCs w:val="24"/>
                <w:highlight w:val="none"/>
                <w:lang w:val="en-US" w:eastAsia="zh-CN" w:bidi="ar-SA"/>
              </w:rPr>
            </w:pPr>
            <w:r>
              <w:rPr>
                <w:rFonts w:hint="eastAsia" w:ascii="仿宋" w:hAnsi="仿宋" w:eastAsia="仿宋" w:cs="宋体"/>
                <w:bCs/>
                <w:color w:val="auto"/>
                <w:sz w:val="24"/>
                <w:szCs w:val="24"/>
                <w:highlight w:val="none"/>
              </w:rPr>
              <w:t>应满足</w:t>
            </w:r>
            <w:r>
              <w:rPr>
                <w:rFonts w:hint="eastAsia" w:ascii="仿宋" w:hAnsi="仿宋" w:eastAsia="仿宋" w:cs="宋体"/>
                <w:bCs/>
                <w:color w:val="auto"/>
                <w:sz w:val="24"/>
                <w:szCs w:val="24"/>
                <w:highlight w:val="none"/>
                <w:lang w:eastAsia="zh-CN"/>
              </w:rPr>
              <w:t>磋商文件</w:t>
            </w:r>
            <w:r>
              <w:rPr>
                <w:rFonts w:hint="eastAsia" w:ascii="仿宋" w:hAnsi="仿宋" w:eastAsia="仿宋" w:cs="宋体"/>
                <w:bCs/>
                <w:color w:val="auto"/>
                <w:sz w:val="24"/>
                <w:szCs w:val="24"/>
                <w:highlight w:val="none"/>
              </w:rPr>
              <w:t>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4" w:type="dxa"/>
            <w:vMerge w:val="continue"/>
          </w:tcPr>
          <w:p>
            <w:pPr>
              <w:tabs>
                <w:tab w:val="left" w:pos="0"/>
              </w:tabs>
              <w:spacing w:after="0"/>
              <w:rPr>
                <w:rFonts w:ascii="仿宋" w:hAnsi="仿宋" w:eastAsia="仿宋" w:cs="宋体"/>
                <w:bCs/>
                <w:color w:val="auto"/>
                <w:sz w:val="24"/>
                <w:szCs w:val="24"/>
                <w:highlight w:val="none"/>
              </w:rPr>
            </w:pPr>
          </w:p>
        </w:tc>
        <w:tc>
          <w:tcPr>
            <w:tcW w:w="600" w:type="dxa"/>
            <w:vMerge w:val="continue"/>
          </w:tcPr>
          <w:p>
            <w:pPr>
              <w:tabs>
                <w:tab w:val="left" w:pos="0"/>
              </w:tabs>
              <w:spacing w:after="0"/>
              <w:rPr>
                <w:rFonts w:ascii="仿宋" w:hAnsi="仿宋" w:eastAsia="仿宋" w:cs="宋体"/>
                <w:bCs/>
                <w:color w:val="auto"/>
                <w:sz w:val="24"/>
                <w:szCs w:val="24"/>
                <w:highlight w:val="none"/>
              </w:rPr>
            </w:pPr>
          </w:p>
        </w:tc>
        <w:tc>
          <w:tcPr>
            <w:tcW w:w="1204" w:type="dxa"/>
            <w:vAlign w:val="center"/>
          </w:tcPr>
          <w:p>
            <w:pPr>
              <w:tabs>
                <w:tab w:val="left" w:pos="0"/>
              </w:tabs>
              <w:spacing w:after="0"/>
              <w:jc w:val="center"/>
              <w:rPr>
                <w:rFonts w:hint="default" w:ascii="仿宋" w:hAnsi="仿宋" w:eastAsia="仿宋" w:cs="宋体"/>
                <w:bCs/>
                <w:color w:val="auto"/>
                <w:sz w:val="24"/>
                <w:szCs w:val="24"/>
                <w:highlight w:val="none"/>
                <w:lang w:val="en-US" w:eastAsia="zh-CN" w:bidi="ar-SA"/>
              </w:rPr>
            </w:pPr>
            <w:r>
              <w:rPr>
                <w:rFonts w:hint="eastAsia" w:ascii="仿宋" w:hAnsi="仿宋" w:eastAsia="仿宋" w:cs="宋体"/>
                <w:bCs/>
                <w:color w:val="auto"/>
                <w:sz w:val="24"/>
                <w:szCs w:val="24"/>
                <w:highlight w:val="none"/>
                <w:lang w:val="en-US" w:eastAsia="zh-CN"/>
              </w:rPr>
              <w:t>响应程度</w:t>
            </w:r>
          </w:p>
        </w:tc>
        <w:tc>
          <w:tcPr>
            <w:tcW w:w="6951" w:type="dxa"/>
            <w:gridSpan w:val="2"/>
            <w:vAlign w:val="center"/>
          </w:tcPr>
          <w:p>
            <w:pPr>
              <w:tabs>
                <w:tab w:val="left" w:pos="0"/>
              </w:tabs>
              <w:spacing w:after="0"/>
              <w:rPr>
                <w:rFonts w:hint="eastAsia" w:ascii="仿宋" w:hAnsi="仿宋" w:eastAsia="仿宋" w:cs="宋体"/>
                <w:bCs/>
                <w:color w:val="auto"/>
                <w:sz w:val="24"/>
                <w:szCs w:val="24"/>
                <w:highlight w:val="none"/>
                <w:lang w:val="en-US" w:eastAsia="zh-CN" w:bidi="ar-SA"/>
              </w:rPr>
            </w:pPr>
            <w:r>
              <w:rPr>
                <w:rFonts w:hint="eastAsia" w:ascii="仿宋" w:hAnsi="仿宋" w:eastAsia="仿宋" w:cs="宋体"/>
                <w:bCs/>
                <w:color w:val="auto"/>
                <w:sz w:val="24"/>
                <w:szCs w:val="24"/>
                <w:highlight w:val="none"/>
              </w:rPr>
              <w:t>磋商响应文件内容应全面响应磋商文件要求，且无未实质性响应及无效标的情形</w:t>
            </w:r>
          </w:p>
        </w:tc>
      </w:tr>
    </w:tbl>
    <w:p>
      <w:pPr>
        <w:spacing w:after="0" w:line="360" w:lineRule="auto"/>
        <w:rPr>
          <w:rFonts w:hint="eastAsia" w:ascii="仿宋" w:hAnsi="仿宋" w:eastAsia="仿宋" w:cs="宋体"/>
          <w:b/>
          <w:color w:val="auto"/>
          <w:spacing w:val="4"/>
          <w:sz w:val="24"/>
          <w:szCs w:val="24"/>
          <w:highlight w:val="none"/>
        </w:rPr>
      </w:pPr>
    </w:p>
    <w:p>
      <w:pPr>
        <w:spacing w:after="0" w:line="360" w:lineRule="auto"/>
        <w:rPr>
          <w:rFonts w:ascii="仿宋" w:hAnsi="仿宋" w:eastAsia="仿宋" w:cs="宋体"/>
          <w:b/>
          <w:color w:val="auto"/>
          <w:spacing w:val="4"/>
          <w:sz w:val="24"/>
          <w:szCs w:val="24"/>
          <w:highlight w:val="none"/>
        </w:rPr>
      </w:pPr>
      <w:r>
        <w:rPr>
          <w:rFonts w:hint="eastAsia" w:ascii="仿宋" w:hAnsi="仿宋" w:eastAsia="仿宋" w:cs="宋体"/>
          <w:b/>
          <w:color w:val="auto"/>
          <w:spacing w:val="4"/>
          <w:sz w:val="24"/>
          <w:szCs w:val="24"/>
          <w:highlight w:val="none"/>
        </w:rPr>
        <w:t>附件2</w:t>
      </w:r>
    </w:p>
    <w:p>
      <w:pPr>
        <w:spacing w:after="0"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评标因素及权重分值表</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67"/>
        <w:gridCol w:w="407"/>
        <w:gridCol w:w="6025"/>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blHeader/>
          <w:jc w:val="center"/>
        </w:trPr>
        <w:tc>
          <w:tcPr>
            <w:tcW w:w="961" w:type="dxa"/>
            <w:vAlign w:val="center"/>
          </w:tcPr>
          <w:p>
            <w:pPr>
              <w:pStyle w:val="9"/>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类别</w:t>
            </w:r>
          </w:p>
        </w:tc>
        <w:tc>
          <w:tcPr>
            <w:tcW w:w="867" w:type="dxa"/>
            <w:vAlign w:val="center"/>
          </w:tcPr>
          <w:p>
            <w:pPr>
              <w:widowControl w:val="0"/>
              <w:adjustRightInd/>
              <w:snapToGrid/>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总分</w:t>
            </w:r>
          </w:p>
        </w:tc>
        <w:tc>
          <w:tcPr>
            <w:tcW w:w="6432" w:type="dxa"/>
            <w:gridSpan w:val="2"/>
            <w:vAlign w:val="center"/>
          </w:tcPr>
          <w:p>
            <w:pPr>
              <w:widowControl w:val="0"/>
              <w:adjustRightInd/>
              <w:snapToGrid/>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评标因素</w:t>
            </w:r>
          </w:p>
        </w:tc>
        <w:tc>
          <w:tcPr>
            <w:tcW w:w="811" w:type="dxa"/>
            <w:vAlign w:val="center"/>
          </w:tcPr>
          <w:p>
            <w:pPr>
              <w:widowControl w:val="0"/>
              <w:adjustRightInd/>
              <w:snapToGrid/>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最高</w:t>
            </w:r>
          </w:p>
          <w:p>
            <w:pPr>
              <w:widowControl w:val="0"/>
              <w:adjustRightInd/>
              <w:snapToGrid/>
              <w:spacing w:after="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61" w:type="dxa"/>
            <w:vAlign w:val="center"/>
          </w:tcPr>
          <w:p>
            <w:pPr>
              <w:spacing w:after="0"/>
              <w:jc w:val="center"/>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价格评审</w:t>
            </w:r>
          </w:p>
        </w:tc>
        <w:tc>
          <w:tcPr>
            <w:tcW w:w="867" w:type="dxa"/>
            <w:vAlign w:val="center"/>
          </w:tcPr>
          <w:p>
            <w:pPr>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10</w:t>
            </w:r>
            <w:r>
              <w:rPr>
                <w:rFonts w:hint="eastAsia" w:ascii="仿宋" w:hAnsi="仿宋" w:eastAsia="仿宋" w:cs="宋体"/>
                <w:bCs/>
                <w:color w:val="auto"/>
                <w:sz w:val="24"/>
                <w:szCs w:val="24"/>
                <w:highlight w:val="none"/>
              </w:rPr>
              <w:t>分</w:t>
            </w:r>
          </w:p>
        </w:tc>
        <w:tc>
          <w:tcPr>
            <w:tcW w:w="6432" w:type="dxa"/>
            <w:gridSpan w:val="2"/>
            <w:vAlign w:val="center"/>
          </w:tcPr>
          <w:p>
            <w:pPr>
              <w:spacing w:after="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1、满足磋商文件实质性要求且最终报价最低的供应商的价格为磋商基准价，其价格分为满分</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分。</w:t>
            </w:r>
          </w:p>
          <w:p>
            <w:pPr>
              <w:spacing w:after="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2、磋商报价得分=（磋商基准价/最终磋商报价）×</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p>
        </w:tc>
        <w:tc>
          <w:tcPr>
            <w:tcW w:w="811" w:type="dxa"/>
            <w:vAlign w:val="center"/>
          </w:tcPr>
          <w:p>
            <w:pPr>
              <w:spacing w:after="0"/>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61" w:type="dxa"/>
            <w:vMerge w:val="restart"/>
            <w:vAlign w:val="center"/>
          </w:tcPr>
          <w:p>
            <w:pPr>
              <w:spacing w:after="0"/>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技术评审</w:t>
            </w:r>
          </w:p>
          <w:p>
            <w:pPr>
              <w:spacing w:after="0"/>
              <w:ind w:left="-99" w:leftChars="-45" w:firstLine="120" w:firstLineChars="50"/>
              <w:rPr>
                <w:rFonts w:ascii="仿宋" w:hAnsi="仿宋" w:eastAsia="仿宋" w:cs="宋体"/>
                <w:color w:val="auto"/>
                <w:sz w:val="24"/>
                <w:szCs w:val="24"/>
                <w:highlight w:val="none"/>
              </w:rPr>
            </w:pPr>
          </w:p>
        </w:tc>
        <w:tc>
          <w:tcPr>
            <w:tcW w:w="867" w:type="dxa"/>
            <w:vMerge w:val="restart"/>
            <w:vAlign w:val="center"/>
          </w:tcPr>
          <w:p>
            <w:pPr>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60</w:t>
            </w:r>
            <w:r>
              <w:rPr>
                <w:rFonts w:hint="eastAsia" w:ascii="仿宋" w:hAnsi="仿宋" w:eastAsia="仿宋" w:cs="宋体"/>
                <w:bCs/>
                <w:color w:val="auto"/>
                <w:sz w:val="24"/>
                <w:szCs w:val="24"/>
                <w:highlight w:val="none"/>
              </w:rPr>
              <w:t>分</w:t>
            </w:r>
          </w:p>
          <w:p>
            <w:pPr>
              <w:spacing w:after="0"/>
              <w:jc w:val="center"/>
              <w:rPr>
                <w:rFonts w:ascii="仿宋" w:hAnsi="仿宋" w:eastAsia="仿宋" w:cs="宋体"/>
                <w:bCs/>
                <w:color w:val="auto"/>
                <w:sz w:val="24"/>
                <w:szCs w:val="24"/>
                <w:highlight w:val="none"/>
              </w:rPr>
            </w:pPr>
          </w:p>
        </w:tc>
        <w:tc>
          <w:tcPr>
            <w:tcW w:w="407" w:type="dxa"/>
            <w:vAlign w:val="center"/>
          </w:tcPr>
          <w:p>
            <w:pPr>
              <w:spacing w:after="0"/>
              <w:jc w:val="center"/>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①</w:t>
            </w:r>
          </w:p>
        </w:tc>
        <w:tc>
          <w:tcPr>
            <w:tcW w:w="6025" w:type="dxa"/>
            <w:vAlign w:val="center"/>
          </w:tcPr>
          <w:p>
            <w:pPr>
              <w:spacing w:after="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对本项目采购需求、服务目标和内容的理解。</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采购需求理解全面、服务目标和内容理解透彻、技术思路清晰明确，得（</w:t>
            </w:r>
            <w:r>
              <w:rPr>
                <w:rFonts w:hint="eastAsia" w:ascii="仿宋" w:hAnsi="仿宋" w:eastAsia="仿宋" w:cs="宋体"/>
                <w:color w:val="auto"/>
                <w:sz w:val="24"/>
                <w:szCs w:val="24"/>
                <w:highlight w:val="none"/>
                <w:lang w:val="en-US" w:eastAsia="zh-CN"/>
              </w:rPr>
              <w:t>3-5</w:t>
            </w:r>
            <w:r>
              <w:rPr>
                <w:rFonts w:hint="eastAsia" w:ascii="仿宋" w:hAnsi="仿宋" w:eastAsia="仿宋" w:cs="宋体"/>
                <w:color w:val="auto"/>
                <w:sz w:val="24"/>
                <w:szCs w:val="24"/>
                <w:highlight w:val="none"/>
              </w:rPr>
              <w:t>]分；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采购需求、服务目标和内容理解一般，得[</w:t>
            </w:r>
            <w:r>
              <w:rPr>
                <w:rFonts w:hint="eastAsia" w:ascii="仿宋" w:hAnsi="仿宋" w:eastAsia="仿宋" w:cs="宋体"/>
                <w:color w:val="auto"/>
                <w:sz w:val="24"/>
                <w:szCs w:val="24"/>
                <w:highlight w:val="none"/>
                <w:lang w:val="en-US" w:eastAsia="zh-CN"/>
              </w:rPr>
              <w:t>1-3</w:t>
            </w:r>
            <w:r>
              <w:rPr>
                <w:rFonts w:hint="eastAsia" w:ascii="仿宋" w:hAnsi="仿宋" w:eastAsia="仿宋" w:cs="宋体"/>
                <w:color w:val="auto"/>
                <w:sz w:val="24"/>
                <w:szCs w:val="24"/>
                <w:highlight w:val="none"/>
              </w:rPr>
              <w:t>]分。</w:t>
            </w:r>
          </w:p>
        </w:tc>
        <w:tc>
          <w:tcPr>
            <w:tcW w:w="811" w:type="dxa"/>
            <w:vAlign w:val="center"/>
          </w:tcPr>
          <w:p>
            <w:pPr>
              <w:spacing w:after="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1"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867" w:type="dxa"/>
            <w:vMerge w:val="continue"/>
            <w:vAlign w:val="center"/>
          </w:tcPr>
          <w:p>
            <w:pPr>
              <w:spacing w:after="0"/>
              <w:jc w:val="center"/>
              <w:rPr>
                <w:rFonts w:ascii="仿宋" w:hAnsi="仿宋" w:eastAsia="仿宋" w:cs="宋体"/>
                <w:bCs/>
                <w:color w:val="auto"/>
                <w:sz w:val="24"/>
                <w:szCs w:val="24"/>
                <w:highlight w:val="none"/>
              </w:rPr>
            </w:pPr>
          </w:p>
        </w:tc>
        <w:tc>
          <w:tcPr>
            <w:tcW w:w="407" w:type="dxa"/>
            <w:vAlign w:val="center"/>
          </w:tcPr>
          <w:p>
            <w:pPr>
              <w:spacing w:after="0"/>
              <w:jc w:val="center"/>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②</w:t>
            </w:r>
          </w:p>
        </w:tc>
        <w:tc>
          <w:tcPr>
            <w:tcW w:w="6025" w:type="dxa"/>
            <w:vAlign w:val="center"/>
          </w:tcPr>
          <w:p>
            <w:pPr>
              <w:spacing w:after="0"/>
              <w:rPr>
                <w:rFonts w:hint="eastAsia" w:ascii="仿宋" w:hAnsi="仿宋" w:eastAsia="仿宋" w:cs="宋体"/>
                <w:color w:val="auto"/>
                <w:sz w:val="24"/>
                <w:szCs w:val="24"/>
                <w:highlight w:val="none"/>
                <w:lang w:val="en-US" w:eastAsia="zh-CN"/>
              </w:rPr>
            </w:pPr>
            <w:r>
              <w:rPr>
                <w:rFonts w:hint="eastAsia" w:ascii="仿宋" w:hAnsi="仿宋" w:eastAsia="仿宋" w:cs="宋体"/>
                <w:b/>
                <w:bCs/>
                <w:color w:val="auto"/>
                <w:sz w:val="24"/>
                <w:szCs w:val="24"/>
                <w:highlight w:val="none"/>
              </w:rPr>
              <w:t>具有完整的项目实施方案，包括</w:t>
            </w:r>
            <w:r>
              <w:rPr>
                <w:rFonts w:hint="eastAsia" w:ascii="仿宋" w:hAnsi="仿宋" w:eastAsia="仿宋" w:cs="宋体"/>
                <w:b/>
                <w:bCs/>
                <w:color w:val="auto"/>
                <w:sz w:val="24"/>
                <w:szCs w:val="24"/>
                <w:highlight w:val="none"/>
                <w:lang w:val="en-US" w:eastAsia="zh-CN"/>
              </w:rPr>
              <w:t>但不限于</w:t>
            </w:r>
            <w:r>
              <w:rPr>
                <w:rFonts w:hint="eastAsia" w:ascii="仿宋" w:hAnsi="仿宋" w:eastAsia="仿宋" w:cs="宋体"/>
                <w:b/>
                <w:bCs/>
                <w:color w:val="auto"/>
                <w:sz w:val="24"/>
                <w:szCs w:val="24"/>
                <w:highlight w:val="none"/>
              </w:rPr>
              <w:t>总体实施方案、基础软件底层架构方案</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项目组织及协调方案、项目验收方案</w:t>
            </w:r>
            <w:r>
              <w:rPr>
                <w:rFonts w:hint="eastAsia" w:ascii="仿宋" w:hAnsi="仿宋" w:eastAsia="仿宋" w:cs="宋体"/>
                <w:b/>
                <w:bCs/>
                <w:color w:val="auto"/>
                <w:sz w:val="24"/>
                <w:szCs w:val="24"/>
                <w:highlight w:val="none"/>
                <w:lang w:val="en-US" w:eastAsia="zh-CN"/>
              </w:rPr>
              <w:t>等</w:t>
            </w:r>
            <w:r>
              <w:rPr>
                <w:rFonts w:hint="eastAsia" w:ascii="仿宋" w:hAnsi="仿宋" w:eastAsia="仿宋" w:cs="宋体"/>
                <w:b/>
                <w:bCs/>
                <w:color w:val="auto"/>
                <w:sz w:val="24"/>
                <w:szCs w:val="24"/>
                <w:highlight w:val="none"/>
              </w:rPr>
              <w:t>内容。</w:t>
            </w:r>
            <w:r>
              <w:rPr>
                <w:rFonts w:hint="eastAsia" w:ascii="仿宋" w:hAnsi="仿宋" w:eastAsia="仿宋" w:cs="宋体"/>
                <w:color w:val="auto"/>
                <w:sz w:val="24"/>
                <w:szCs w:val="24"/>
                <w:highlight w:val="none"/>
                <w:lang w:val="en-US" w:eastAsia="zh-CN"/>
              </w:rPr>
              <w:t xml:space="preserve"> </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方案内容详细、切实可行，满足项目需求，得（11-15]分；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方案内容较详细，较满足项目需求，得（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-11]分；</w:t>
            </w:r>
          </w:p>
          <w:p>
            <w:pPr>
              <w:spacing w:after="0"/>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方案内容一般，得[</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p>
        </w:tc>
        <w:tc>
          <w:tcPr>
            <w:tcW w:w="811" w:type="dxa"/>
            <w:vAlign w:val="center"/>
          </w:tcPr>
          <w:p>
            <w:pPr>
              <w:spacing w:after="0"/>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61"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867"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407" w:type="dxa"/>
            <w:vAlign w:val="center"/>
          </w:tcPr>
          <w:p>
            <w:pPr>
              <w:spacing w:after="0"/>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③</w:t>
            </w:r>
          </w:p>
        </w:tc>
        <w:tc>
          <w:tcPr>
            <w:tcW w:w="6025" w:type="dxa"/>
            <w:vAlign w:val="center"/>
          </w:tcPr>
          <w:p>
            <w:pPr>
              <w:spacing w:after="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针对本项目的服务保障措施，包含但不限于进度保证措施、质量保证措施、数据保密措施、技术驻场及远程指导服务保证措施等。</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措施内容详细、切实可行，满足项目需求，得（11-15]分；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措施内容较详细，较满足项目需求，得（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-11]分；</w:t>
            </w:r>
          </w:p>
          <w:p>
            <w:pPr>
              <w:spacing w:after="0"/>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措施内容一般，得[</w:t>
            </w:r>
            <w:r>
              <w:rPr>
                <w:rFonts w:hint="eastAsia" w:ascii="仿宋" w:hAnsi="仿宋" w:eastAsia="仿宋" w:cs="宋体"/>
                <w:color w:val="auto"/>
                <w:sz w:val="24"/>
                <w:szCs w:val="24"/>
                <w:highlight w:val="none"/>
                <w:lang w:val="en-US" w:eastAsia="zh-CN"/>
              </w:rPr>
              <w:t>5-8</w:t>
            </w:r>
            <w:r>
              <w:rPr>
                <w:rFonts w:hint="eastAsia" w:ascii="仿宋" w:hAnsi="仿宋" w:eastAsia="仿宋" w:cs="宋体"/>
                <w:color w:val="auto"/>
                <w:sz w:val="24"/>
                <w:szCs w:val="24"/>
                <w:highlight w:val="none"/>
              </w:rPr>
              <w:t>]分。</w:t>
            </w:r>
          </w:p>
        </w:tc>
        <w:tc>
          <w:tcPr>
            <w:tcW w:w="811" w:type="dxa"/>
            <w:vAlign w:val="center"/>
          </w:tcPr>
          <w:p>
            <w:pPr>
              <w:spacing w:after="0"/>
              <w:rPr>
                <w:rFonts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961"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867"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407" w:type="dxa"/>
            <w:vAlign w:val="center"/>
          </w:tcPr>
          <w:p>
            <w:pPr>
              <w:spacing w:after="0"/>
              <w:jc w:val="center"/>
              <w:rPr>
                <w:rFonts w:ascii="仿宋" w:hAnsi="仿宋" w:eastAsia="仿宋" w:cs="宋体"/>
                <w:color w:val="auto"/>
                <w:sz w:val="24"/>
                <w:szCs w:val="24"/>
                <w:highlight w:val="none"/>
                <w:lang w:val="en-US" w:eastAsia="zh-CN" w:bidi="ar-SA"/>
              </w:rPr>
            </w:pPr>
            <w:r>
              <w:rPr>
                <w:rFonts w:hint="eastAsia" w:ascii="仿宋" w:hAnsi="仿宋" w:eastAsia="仿宋" w:cs="宋体"/>
                <w:bCs/>
                <w:color w:val="auto"/>
                <w:sz w:val="24"/>
                <w:szCs w:val="24"/>
                <w:highlight w:val="none"/>
              </w:rPr>
              <w:t>④</w:t>
            </w:r>
          </w:p>
        </w:tc>
        <w:tc>
          <w:tcPr>
            <w:tcW w:w="6025" w:type="dxa"/>
            <w:vAlign w:val="center"/>
          </w:tcPr>
          <w:p>
            <w:pPr>
              <w:spacing w:after="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所投产品的供货渠道正规，质量有保证</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根据</w:t>
            </w:r>
            <w:r>
              <w:rPr>
                <w:rFonts w:hint="eastAsia" w:ascii="仿宋" w:hAnsi="仿宋" w:eastAsia="仿宋" w:cs="宋体"/>
                <w:b/>
                <w:bCs/>
                <w:color w:val="auto"/>
                <w:sz w:val="24"/>
                <w:szCs w:val="24"/>
                <w:highlight w:val="none"/>
                <w:lang w:val="en-US" w:eastAsia="zh-CN"/>
              </w:rPr>
              <w:t>各供应商</w:t>
            </w:r>
            <w:r>
              <w:rPr>
                <w:rFonts w:hint="eastAsia" w:ascii="仿宋" w:hAnsi="仿宋" w:eastAsia="仿宋" w:cs="宋体"/>
                <w:b/>
                <w:bCs/>
                <w:color w:val="auto"/>
                <w:sz w:val="24"/>
                <w:szCs w:val="24"/>
                <w:highlight w:val="none"/>
              </w:rPr>
              <w:t>制订的质量保证措施进行评审。</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质量保证措施和方法可行性高，控制程序合理，过程控制点准确，措施全面有力、无遗漏，得（11-15]分；</w:t>
            </w:r>
          </w:p>
          <w:p>
            <w:pPr>
              <w:spacing w:after="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质量保证措施和方法可行性较高，控制程序较合理，过程控制点较准确，措施基本全面，得（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-11]分</w:t>
            </w:r>
            <w:r>
              <w:rPr>
                <w:rFonts w:hint="eastAsia" w:ascii="仿宋" w:hAnsi="仿宋" w:eastAsia="仿宋" w:cs="宋体"/>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after="0" w:line="240" w:lineRule="auto"/>
              <w:ind w:right="0" w:rightChars="0"/>
              <w:jc w:val="both"/>
              <w:textAlignment w:val="auto"/>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质量保证措施和方法可行性较低，控制程序合理性较差，过程控制点不够准确，措施不够全面，得[</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p>
        </w:tc>
        <w:tc>
          <w:tcPr>
            <w:tcW w:w="811" w:type="dxa"/>
            <w:vAlign w:val="center"/>
          </w:tcPr>
          <w:p>
            <w:pPr>
              <w:spacing w:after="0"/>
              <w:rPr>
                <w:rFonts w:ascii="仿宋" w:hAnsi="仿宋" w:eastAsia="仿宋" w:cs="宋体"/>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61"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867" w:type="dxa"/>
            <w:vMerge w:val="continue"/>
            <w:vAlign w:val="center"/>
          </w:tcPr>
          <w:p>
            <w:pPr>
              <w:spacing w:after="0"/>
              <w:ind w:left="-99" w:leftChars="-45" w:firstLine="120" w:firstLineChars="50"/>
              <w:rPr>
                <w:rFonts w:ascii="仿宋" w:hAnsi="仿宋" w:eastAsia="仿宋" w:cs="宋体"/>
                <w:color w:val="auto"/>
                <w:sz w:val="24"/>
                <w:szCs w:val="24"/>
                <w:highlight w:val="none"/>
              </w:rPr>
            </w:pPr>
          </w:p>
        </w:tc>
        <w:tc>
          <w:tcPr>
            <w:tcW w:w="407" w:type="dxa"/>
            <w:vAlign w:val="center"/>
          </w:tcPr>
          <w:p>
            <w:pPr>
              <w:spacing w:after="0"/>
              <w:jc w:val="center"/>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⑤</w:t>
            </w:r>
          </w:p>
        </w:tc>
        <w:tc>
          <w:tcPr>
            <w:tcW w:w="6025" w:type="dxa"/>
            <w:vAlign w:val="center"/>
          </w:tcPr>
          <w:p>
            <w:pPr>
              <w:spacing w:after="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项目团队配备方案：</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项目团队人员结构数量合理，专业技术人员配备齐全、分工合理，专业人员能力强、项目经验丰富，得（6-10]分；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项目团队人员结构数量较合理、专业技术人员配备较齐全、分工较合理，专业人员能力较强、项目经验较丰富，得（3-6]分；</w:t>
            </w:r>
          </w:p>
          <w:p>
            <w:pPr>
              <w:spacing w:after="0"/>
              <w:rPr>
                <w:rFonts w:hint="default"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项目团队人员结构数量、专业技术人员配备、能力、项目经验一般，得[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-3]分。</w:t>
            </w:r>
          </w:p>
        </w:tc>
        <w:tc>
          <w:tcPr>
            <w:tcW w:w="811" w:type="dxa"/>
            <w:vAlign w:val="center"/>
          </w:tcPr>
          <w:p>
            <w:pPr>
              <w:spacing w:after="0"/>
              <w:rPr>
                <w:rFonts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61" w:type="dxa"/>
            <w:vMerge w:val="restart"/>
            <w:vAlign w:val="center"/>
          </w:tcPr>
          <w:p>
            <w:pPr>
              <w:spacing w:after="0"/>
              <w:ind w:left="-99" w:leftChars="-45" w:firstLine="120" w:firstLineChars="50"/>
              <w:jc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商务评审</w:t>
            </w:r>
          </w:p>
        </w:tc>
        <w:tc>
          <w:tcPr>
            <w:tcW w:w="867" w:type="dxa"/>
            <w:vMerge w:val="restart"/>
            <w:vAlign w:val="center"/>
          </w:tcPr>
          <w:p>
            <w:pPr>
              <w:spacing w:after="0"/>
              <w:ind w:left="-99" w:leftChars="-45" w:firstLine="120" w:firstLineChars="50"/>
              <w:jc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30分</w:t>
            </w:r>
          </w:p>
        </w:tc>
        <w:tc>
          <w:tcPr>
            <w:tcW w:w="407" w:type="dxa"/>
            <w:vAlign w:val="center"/>
          </w:tcPr>
          <w:p>
            <w:pPr>
              <w:spacing w:after="0"/>
              <w:jc w:val="center"/>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①</w:t>
            </w:r>
          </w:p>
        </w:tc>
        <w:tc>
          <w:tcPr>
            <w:tcW w:w="6025" w:type="dxa"/>
            <w:vAlign w:val="center"/>
          </w:tcPr>
          <w:p>
            <w:pPr>
              <w:spacing w:after="0"/>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售后服务方案</w:t>
            </w:r>
          </w:p>
          <w:p>
            <w:pPr>
              <w:spacing w:after="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提供售后服务的能力及具体的售后服务方案（拟投入售后服务人员配置情况、售后服务响应时间及应对措施等）</w:t>
            </w:r>
          </w:p>
          <w:p>
            <w:pPr>
              <w:spacing w:after="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售后服务方案全面、具体、合理，得</w:t>
            </w:r>
            <w:r>
              <w:rPr>
                <w:rFonts w:hint="eastAsia" w:ascii="仿宋" w:hAnsi="仿宋" w:eastAsia="仿宋" w:cs="宋体"/>
                <w:color w:val="auto"/>
                <w:sz w:val="24"/>
                <w:szCs w:val="24"/>
                <w:highlight w:val="none"/>
              </w:rPr>
              <w:t>（6-10]</w:t>
            </w:r>
            <w:r>
              <w:rPr>
                <w:rFonts w:hint="eastAsia" w:ascii="仿宋" w:hAnsi="仿宋" w:eastAsia="仿宋" w:cs="宋体"/>
                <w:color w:val="auto"/>
                <w:sz w:val="24"/>
                <w:szCs w:val="24"/>
                <w:highlight w:val="none"/>
                <w:lang w:val="en-US" w:eastAsia="zh-CN"/>
              </w:rPr>
              <w:t>分；</w:t>
            </w:r>
          </w:p>
          <w:p>
            <w:pPr>
              <w:spacing w:after="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售后服务方案</w:t>
            </w:r>
            <w:r>
              <w:rPr>
                <w:rFonts w:hint="eastAsia" w:ascii="仿宋" w:hAnsi="仿宋" w:eastAsia="仿宋" w:cs="宋体"/>
                <w:color w:val="auto"/>
                <w:sz w:val="24"/>
                <w:szCs w:val="24"/>
                <w:highlight w:val="none"/>
              </w:rPr>
              <w:t>较全面、较合理，</w:t>
            </w:r>
            <w:r>
              <w:rPr>
                <w:rFonts w:hint="eastAsia" w:ascii="仿宋" w:hAnsi="仿宋" w:eastAsia="仿宋" w:cs="宋体"/>
                <w:color w:val="auto"/>
                <w:sz w:val="24"/>
                <w:szCs w:val="24"/>
                <w:highlight w:val="none"/>
                <w:lang w:val="en-US" w:eastAsia="zh-CN"/>
              </w:rPr>
              <w:t>得</w:t>
            </w:r>
            <w:r>
              <w:rPr>
                <w:rFonts w:hint="eastAsia" w:ascii="仿宋" w:hAnsi="仿宋" w:eastAsia="仿宋" w:cs="宋体"/>
                <w:color w:val="auto"/>
                <w:sz w:val="24"/>
                <w:szCs w:val="24"/>
                <w:highlight w:val="none"/>
              </w:rPr>
              <w:t>（3-6]</w:t>
            </w:r>
            <w:r>
              <w:rPr>
                <w:rFonts w:hint="eastAsia" w:ascii="仿宋" w:hAnsi="仿宋" w:eastAsia="仿宋" w:cs="宋体"/>
                <w:color w:val="auto"/>
                <w:sz w:val="24"/>
                <w:szCs w:val="24"/>
                <w:highlight w:val="none"/>
                <w:lang w:val="en-US" w:eastAsia="zh-CN"/>
              </w:rPr>
              <w:t>分；</w:t>
            </w:r>
          </w:p>
          <w:p>
            <w:pPr>
              <w:spacing w:after="0"/>
              <w:rPr>
                <w:rFonts w:hint="default"/>
                <w:color w:val="auto"/>
                <w:highlight w:val="none"/>
                <w:lang w:val="en-US" w:eastAsia="zh-CN"/>
              </w:rPr>
            </w:pPr>
            <w:r>
              <w:rPr>
                <w:rFonts w:hint="eastAsia" w:ascii="仿宋" w:hAnsi="仿宋" w:eastAsia="仿宋" w:cs="宋体"/>
                <w:color w:val="auto"/>
                <w:sz w:val="24"/>
                <w:szCs w:val="24"/>
                <w:highlight w:val="none"/>
                <w:lang w:val="en-US" w:eastAsia="zh-CN"/>
              </w:rPr>
              <w:t>售后服务方案</w:t>
            </w:r>
            <w:r>
              <w:rPr>
                <w:rFonts w:hint="eastAsia" w:ascii="仿宋" w:hAnsi="仿宋" w:eastAsia="仿宋" w:cs="宋体"/>
                <w:color w:val="auto"/>
                <w:sz w:val="24"/>
                <w:szCs w:val="24"/>
                <w:highlight w:val="none"/>
              </w:rPr>
              <w:t>内容</w:t>
            </w:r>
            <w:r>
              <w:rPr>
                <w:rFonts w:hint="eastAsia" w:ascii="仿宋" w:hAnsi="仿宋" w:eastAsia="仿宋" w:cs="宋体"/>
                <w:color w:val="auto"/>
                <w:sz w:val="24"/>
                <w:szCs w:val="24"/>
                <w:highlight w:val="none"/>
              </w:rPr>
              <w:t>不够全面、不够合理</w:t>
            </w:r>
            <w:r>
              <w:rPr>
                <w:rFonts w:hint="eastAsia" w:ascii="仿宋" w:hAnsi="仿宋" w:eastAsia="仿宋" w:cs="宋体"/>
                <w:color w:val="auto"/>
                <w:sz w:val="24"/>
                <w:szCs w:val="24"/>
                <w:highlight w:val="none"/>
                <w:lang w:val="en-US" w:eastAsia="zh-CN"/>
              </w:rPr>
              <w:t>，得</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分。</w:t>
            </w:r>
          </w:p>
        </w:tc>
        <w:tc>
          <w:tcPr>
            <w:tcW w:w="811" w:type="dxa"/>
            <w:vAlign w:val="center"/>
          </w:tcPr>
          <w:p>
            <w:pPr>
              <w:spacing w:after="0"/>
              <w:jc w:val="center"/>
              <w:rPr>
                <w:rFonts w:hint="default" w:ascii="仿宋" w:hAnsi="仿宋" w:eastAsia="仿宋" w:cs="宋体"/>
                <w:color w:val="auto"/>
                <w:sz w:val="24"/>
                <w:szCs w:val="24"/>
                <w:highlight w:val="none"/>
                <w:lang w:val="en-US" w:eastAsia="zh-CN" w:bidi="ar-SA"/>
              </w:rPr>
            </w:pPr>
            <w:r>
              <w:rPr>
                <w:rFonts w:hint="eastAsia" w:ascii="仿宋" w:hAnsi="仿宋" w:cs="宋体"/>
                <w:color w:val="auto"/>
                <w:sz w:val="24"/>
                <w:szCs w:val="24"/>
                <w:highlight w:val="none"/>
                <w:lang w:val="en-US" w:eastAsia="zh-CN" w:bidi="ar-SA"/>
              </w:rPr>
              <w:t>10</w:t>
            </w:r>
            <w:r>
              <w:rPr>
                <w:rFonts w:hint="eastAsia" w:ascii="仿宋" w:hAnsi="仿宋" w:eastAsia="仿宋" w:cs="宋体"/>
                <w:color w:val="auto"/>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61" w:type="dxa"/>
            <w:vMerge w:val="continue"/>
            <w:vAlign w:val="center"/>
          </w:tcPr>
          <w:p>
            <w:pPr>
              <w:spacing w:after="0"/>
              <w:ind w:left="-99" w:leftChars="-45" w:firstLine="120" w:firstLineChars="50"/>
              <w:jc w:val="center"/>
              <w:rPr>
                <w:rFonts w:hint="eastAsia" w:ascii="仿宋" w:hAnsi="仿宋" w:eastAsia="仿宋" w:cs="宋体"/>
                <w:color w:val="auto"/>
                <w:sz w:val="24"/>
                <w:szCs w:val="24"/>
                <w:highlight w:val="none"/>
                <w:lang w:val="en-US" w:eastAsia="zh-CN"/>
              </w:rPr>
            </w:pPr>
          </w:p>
        </w:tc>
        <w:tc>
          <w:tcPr>
            <w:tcW w:w="867" w:type="dxa"/>
            <w:vMerge w:val="continue"/>
            <w:vAlign w:val="center"/>
          </w:tcPr>
          <w:p>
            <w:pPr>
              <w:spacing w:after="0"/>
              <w:ind w:left="-99" w:leftChars="-45" w:firstLine="120" w:firstLineChars="50"/>
              <w:jc w:val="center"/>
              <w:rPr>
                <w:rFonts w:hint="eastAsia" w:ascii="仿宋" w:hAnsi="仿宋" w:eastAsia="仿宋" w:cs="宋体"/>
                <w:color w:val="auto"/>
                <w:sz w:val="24"/>
                <w:szCs w:val="24"/>
                <w:highlight w:val="none"/>
                <w:lang w:val="en-US" w:eastAsia="zh-CN"/>
              </w:rPr>
            </w:pPr>
          </w:p>
        </w:tc>
        <w:tc>
          <w:tcPr>
            <w:tcW w:w="407" w:type="dxa"/>
            <w:vAlign w:val="center"/>
          </w:tcPr>
          <w:p>
            <w:pPr>
              <w:spacing w:after="0"/>
              <w:jc w:val="center"/>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②</w:t>
            </w:r>
          </w:p>
        </w:tc>
        <w:tc>
          <w:tcPr>
            <w:tcW w:w="6025" w:type="dxa"/>
            <w:vAlign w:val="center"/>
          </w:tcPr>
          <w:p>
            <w:pPr>
              <w:spacing w:after="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针对本项目的培训方案详细、可操作性强，内容包含但不限于培训内容、培训方式等</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方案内容详细、切实可行，满足项目需求，得（</w:t>
            </w:r>
            <w:r>
              <w:rPr>
                <w:rFonts w:hint="eastAsia" w:ascii="仿宋" w:hAnsi="仿宋" w:eastAsia="仿宋" w:cs="宋体"/>
                <w:color w:val="auto"/>
                <w:sz w:val="24"/>
                <w:szCs w:val="24"/>
                <w:highlight w:val="none"/>
                <w:lang w:val="en-US" w:eastAsia="zh-CN"/>
              </w:rPr>
              <w:t>6-10</w:t>
            </w:r>
            <w:r>
              <w:rPr>
                <w:rFonts w:hint="eastAsia" w:ascii="仿宋" w:hAnsi="仿宋" w:eastAsia="仿宋" w:cs="宋体"/>
                <w:color w:val="auto"/>
                <w:sz w:val="24"/>
                <w:szCs w:val="24"/>
                <w:highlight w:val="none"/>
              </w:rPr>
              <w:t>]分；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方案内容较详细，</w:t>
            </w:r>
            <w:r>
              <w:rPr>
                <w:rFonts w:hint="eastAsia" w:ascii="仿宋" w:hAnsi="仿宋" w:eastAsia="仿宋" w:cs="宋体"/>
                <w:color w:val="auto"/>
                <w:sz w:val="24"/>
                <w:szCs w:val="24"/>
                <w:highlight w:val="none"/>
                <w:lang w:val="en-US" w:eastAsia="zh-CN"/>
              </w:rPr>
              <w:t>较合理</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3-6</w:t>
            </w:r>
            <w:r>
              <w:rPr>
                <w:rFonts w:hint="eastAsia" w:ascii="仿宋" w:hAnsi="仿宋" w:eastAsia="仿宋" w:cs="宋体"/>
                <w:color w:val="auto"/>
                <w:sz w:val="24"/>
                <w:szCs w:val="24"/>
                <w:highlight w:val="none"/>
              </w:rPr>
              <w:t>]分；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w:t>
            </w:r>
            <w:r>
              <w:rPr>
                <w:rFonts w:hint="eastAsia" w:ascii="仿宋" w:hAnsi="仿宋" w:eastAsia="仿宋" w:cs="宋体"/>
                <w:color w:val="auto"/>
                <w:sz w:val="24"/>
                <w:szCs w:val="24"/>
                <w:highlight w:val="none"/>
              </w:rPr>
              <w:t>不够全面、不够合理</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1-3</w:t>
            </w:r>
            <w:r>
              <w:rPr>
                <w:rFonts w:hint="eastAsia" w:ascii="仿宋" w:hAnsi="仿宋" w:eastAsia="仿宋" w:cs="宋体"/>
                <w:color w:val="auto"/>
                <w:sz w:val="24"/>
                <w:szCs w:val="24"/>
                <w:highlight w:val="none"/>
              </w:rPr>
              <w:t>]分。</w:t>
            </w:r>
          </w:p>
        </w:tc>
        <w:tc>
          <w:tcPr>
            <w:tcW w:w="811" w:type="dxa"/>
            <w:vAlign w:val="center"/>
          </w:tcPr>
          <w:p>
            <w:pPr>
              <w:spacing w:after="0"/>
              <w:jc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1" w:hRule="atLeast"/>
          <w:jc w:val="center"/>
        </w:trPr>
        <w:tc>
          <w:tcPr>
            <w:tcW w:w="961" w:type="dxa"/>
            <w:vMerge w:val="continue"/>
            <w:vAlign w:val="center"/>
          </w:tcPr>
          <w:p>
            <w:pPr>
              <w:spacing w:after="0"/>
              <w:ind w:left="-99" w:leftChars="-45" w:firstLine="120" w:firstLineChars="50"/>
              <w:jc w:val="center"/>
              <w:rPr>
                <w:rFonts w:hint="eastAsia" w:ascii="仿宋" w:hAnsi="仿宋" w:eastAsia="仿宋" w:cs="宋体"/>
                <w:color w:val="auto"/>
                <w:sz w:val="24"/>
                <w:szCs w:val="24"/>
                <w:highlight w:val="none"/>
                <w:lang w:val="en-US" w:eastAsia="zh-CN"/>
              </w:rPr>
            </w:pPr>
          </w:p>
        </w:tc>
        <w:tc>
          <w:tcPr>
            <w:tcW w:w="867" w:type="dxa"/>
            <w:vMerge w:val="continue"/>
            <w:vAlign w:val="center"/>
          </w:tcPr>
          <w:p>
            <w:pPr>
              <w:spacing w:after="0"/>
              <w:ind w:left="-99" w:leftChars="-45" w:firstLine="120" w:firstLineChars="50"/>
              <w:jc w:val="center"/>
              <w:rPr>
                <w:rFonts w:hint="eastAsia" w:ascii="仿宋" w:hAnsi="仿宋" w:eastAsia="仿宋" w:cs="宋体"/>
                <w:color w:val="auto"/>
                <w:sz w:val="24"/>
                <w:szCs w:val="24"/>
                <w:highlight w:val="none"/>
                <w:lang w:val="en-US" w:eastAsia="zh-CN"/>
              </w:rPr>
            </w:pPr>
          </w:p>
        </w:tc>
        <w:tc>
          <w:tcPr>
            <w:tcW w:w="407" w:type="dxa"/>
            <w:vAlign w:val="center"/>
          </w:tcPr>
          <w:p>
            <w:pPr>
              <w:spacing w:after="0"/>
              <w:jc w:val="center"/>
              <w:rPr>
                <w:rFonts w:hint="eastAsia" w:ascii="仿宋" w:hAnsi="仿宋" w:eastAsia="仿宋" w:cs="宋体"/>
                <w:bCs/>
                <w:color w:val="auto"/>
                <w:sz w:val="24"/>
                <w:szCs w:val="24"/>
                <w:highlight w:val="none"/>
                <w:lang w:val="en-US" w:eastAsia="zh-CN" w:bidi="ar-SA"/>
              </w:rPr>
            </w:pPr>
            <w:r>
              <w:rPr>
                <w:rFonts w:hint="eastAsia" w:ascii="仿宋" w:hAnsi="仿宋" w:eastAsia="仿宋" w:cs="宋体"/>
                <w:bCs/>
                <w:color w:val="auto"/>
                <w:sz w:val="24"/>
                <w:szCs w:val="24"/>
                <w:highlight w:val="none"/>
              </w:rPr>
              <w:t>③</w:t>
            </w:r>
          </w:p>
        </w:tc>
        <w:tc>
          <w:tcPr>
            <w:tcW w:w="6025" w:type="dxa"/>
            <w:vAlign w:val="center"/>
          </w:tcPr>
          <w:p>
            <w:pPr>
              <w:spacing w:after="0"/>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rPr>
              <w:t>突发性事件处理方案</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包括但不限于疫情防控、突发事件等</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方案内容详细、</w:t>
            </w:r>
            <w:r>
              <w:rPr>
                <w:rFonts w:hint="eastAsia" w:ascii="仿宋" w:hAnsi="仿宋" w:eastAsia="仿宋" w:cs="宋体"/>
                <w:color w:val="auto"/>
                <w:sz w:val="24"/>
                <w:szCs w:val="24"/>
                <w:highlight w:val="none"/>
              </w:rPr>
              <w:t>应急调配迅速、解决办法合理高效，可实施性强</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6-10</w:t>
            </w:r>
            <w:r>
              <w:rPr>
                <w:rFonts w:hint="eastAsia" w:ascii="仿宋" w:hAnsi="仿宋" w:eastAsia="仿宋" w:cs="宋体"/>
                <w:color w:val="auto"/>
                <w:sz w:val="24"/>
                <w:szCs w:val="24"/>
                <w:highlight w:val="none"/>
              </w:rPr>
              <w:t>]分；</w:t>
            </w:r>
          </w:p>
          <w:p>
            <w:pPr>
              <w:spacing w:after="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方案内容较详细，</w:t>
            </w:r>
            <w:r>
              <w:rPr>
                <w:rFonts w:hint="eastAsia" w:ascii="仿宋" w:hAnsi="仿宋" w:eastAsia="仿宋" w:cs="宋体"/>
                <w:color w:val="auto"/>
                <w:sz w:val="24"/>
                <w:szCs w:val="24"/>
                <w:highlight w:val="none"/>
                <w:lang w:val="en-US" w:eastAsia="zh-CN"/>
              </w:rPr>
              <w:t>较合理</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3-6</w:t>
            </w:r>
            <w:r>
              <w:rPr>
                <w:rFonts w:hint="eastAsia" w:ascii="仿宋" w:hAnsi="仿宋" w:eastAsia="仿宋" w:cs="宋体"/>
                <w:color w:val="auto"/>
                <w:sz w:val="24"/>
                <w:szCs w:val="24"/>
                <w:highlight w:val="none"/>
              </w:rPr>
              <w:t>]分；</w:t>
            </w:r>
          </w:p>
          <w:p>
            <w:pPr>
              <w:spacing w:after="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方案内容</w:t>
            </w:r>
            <w:r>
              <w:rPr>
                <w:rFonts w:hint="eastAsia" w:ascii="仿宋" w:hAnsi="仿宋" w:eastAsia="仿宋" w:cs="宋体"/>
                <w:color w:val="auto"/>
                <w:sz w:val="24"/>
                <w:szCs w:val="24"/>
                <w:highlight w:val="none"/>
              </w:rPr>
              <w:t>不够全面、不够合理</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1-3</w:t>
            </w:r>
            <w:r>
              <w:rPr>
                <w:rFonts w:hint="eastAsia" w:ascii="仿宋" w:hAnsi="仿宋" w:eastAsia="仿宋" w:cs="宋体"/>
                <w:color w:val="auto"/>
                <w:sz w:val="24"/>
                <w:szCs w:val="24"/>
                <w:highlight w:val="none"/>
              </w:rPr>
              <w:t>]分。</w:t>
            </w:r>
          </w:p>
        </w:tc>
        <w:tc>
          <w:tcPr>
            <w:tcW w:w="811" w:type="dxa"/>
            <w:vAlign w:val="center"/>
          </w:tcPr>
          <w:p>
            <w:pPr>
              <w:spacing w:after="0"/>
              <w:jc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10分</w:t>
            </w:r>
          </w:p>
        </w:tc>
      </w:tr>
    </w:tbl>
    <w:p>
      <w:pPr>
        <w:keepNext w:val="0"/>
        <w:keepLines w:val="0"/>
        <w:pageBreakBefore w:val="0"/>
        <w:widowControl/>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宋体"/>
          <w:color w:val="auto"/>
          <w:spacing w:val="4"/>
          <w:sz w:val="24"/>
          <w:szCs w:val="24"/>
          <w:highlight w:val="none"/>
        </w:rPr>
      </w:pPr>
      <w:r>
        <w:rPr>
          <w:rFonts w:hint="eastAsia" w:ascii="仿宋" w:hAnsi="仿宋" w:eastAsia="仿宋" w:cs="宋体"/>
          <w:color w:val="auto"/>
          <w:spacing w:val="4"/>
          <w:sz w:val="24"/>
          <w:szCs w:val="24"/>
          <w:highlight w:val="none"/>
        </w:rPr>
        <w:t>注：</w:t>
      </w:r>
      <w:r>
        <w:rPr>
          <w:rFonts w:hint="eastAsia" w:ascii="仿宋" w:hAnsi="仿宋" w:eastAsia="仿宋" w:cs="宋体"/>
          <w:color w:val="auto"/>
          <w:spacing w:val="4"/>
          <w:sz w:val="24"/>
          <w:szCs w:val="24"/>
          <w:highlight w:val="none"/>
          <w:lang w:val="en-US" w:eastAsia="zh-CN"/>
        </w:rPr>
        <w:t>1、</w:t>
      </w:r>
      <w:r>
        <w:rPr>
          <w:rFonts w:hint="eastAsia" w:ascii="仿宋" w:hAnsi="仿宋" w:eastAsia="仿宋" w:cs="宋体"/>
          <w:color w:val="auto"/>
          <w:spacing w:val="4"/>
          <w:sz w:val="24"/>
          <w:szCs w:val="24"/>
          <w:highlight w:val="none"/>
        </w:rPr>
        <w:t>漏项缺项、或只有标题而无内容的，该项按0分计算。</w:t>
      </w:r>
    </w:p>
    <w:p>
      <w:pPr>
        <w:spacing w:after="0" w:line="360" w:lineRule="auto"/>
        <w:rPr>
          <w:rFonts w:hint="eastAsia"/>
          <w:color w:val="auto"/>
          <w:highlight w:val="none"/>
        </w:rPr>
      </w:pPr>
      <w:r>
        <w:rPr>
          <w:rFonts w:hint="eastAsia" w:ascii="仿宋" w:hAnsi="仿宋" w:eastAsia="仿宋" w:cs="宋体"/>
          <w:color w:val="auto"/>
          <w:spacing w:val="4"/>
          <w:sz w:val="24"/>
          <w:szCs w:val="24"/>
          <w:highlight w:val="none"/>
          <w:lang w:val="en-US" w:eastAsia="zh-CN"/>
        </w:rPr>
        <w:t>2、本表分值区间符号“［”、“］”表示包含本数，“（”、“）”表示不包含本数。</w:t>
      </w:r>
      <w:r>
        <w:rPr>
          <w:rFonts w:hint="eastAsia"/>
          <w:color w:val="auto"/>
          <w:highlight w:val="none"/>
        </w:rPr>
        <w:br w:type="page"/>
      </w:r>
    </w:p>
    <w:p>
      <w:pPr>
        <w:pStyle w:val="4"/>
        <w:bidi w:val="0"/>
        <w:rPr>
          <w:rFonts w:hint="default"/>
          <w:color w:val="auto"/>
          <w:highlight w:val="none"/>
          <w:lang w:val="en-US" w:eastAsia="zh-CN"/>
        </w:rPr>
      </w:pPr>
      <w:bookmarkStart w:id="96" w:name="_Toc793"/>
      <w:r>
        <w:rPr>
          <w:rFonts w:hint="eastAsia"/>
          <w:color w:val="auto"/>
          <w:highlight w:val="none"/>
          <w:lang w:val="en-US" w:eastAsia="zh-CN"/>
        </w:rPr>
        <w:t>第四章 采购内容及要求</w:t>
      </w:r>
      <w:bookmarkEnd w:id="96"/>
    </w:p>
    <w:p>
      <w:pPr>
        <w:keepNext w:val="0"/>
        <w:keepLines w:val="0"/>
        <w:pageBreakBefore w:val="0"/>
        <w:widowControl/>
        <w:kinsoku/>
        <w:wordWrap/>
        <w:overflowPunct/>
        <w:topLinePunct w:val="0"/>
        <w:autoSpaceDE w:val="0"/>
        <w:autoSpaceDN w:val="0"/>
        <w:bidi w:val="0"/>
        <w:snapToGrid/>
        <w:spacing w:after="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一、商务要求</w:t>
      </w:r>
    </w:p>
    <w:p>
      <w:pPr>
        <w:keepNext w:val="0"/>
        <w:keepLines w:val="0"/>
        <w:pageBreakBefore w:val="0"/>
        <w:widowControl/>
        <w:kinsoku/>
        <w:wordWrap/>
        <w:overflowPunct/>
        <w:topLinePunct w:val="0"/>
        <w:autoSpaceDE w:val="0"/>
        <w:autoSpaceDN w:val="0"/>
        <w:bidi w:val="0"/>
        <w:snapToGrid/>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1、服务期：自合同签订之日起45个日历日内完成软件的开发、硬件供货、安装、调试并正常运行，运行维护服务期1年。</w:t>
      </w:r>
    </w:p>
    <w:p>
      <w:pPr>
        <w:keepNext w:val="0"/>
        <w:keepLines w:val="0"/>
        <w:pageBreakBefore w:val="0"/>
        <w:widowControl/>
        <w:kinsoku/>
        <w:wordWrap/>
        <w:overflowPunct/>
        <w:topLinePunct w:val="0"/>
        <w:autoSpaceDE w:val="0"/>
        <w:autoSpaceDN w:val="0"/>
        <w:bidi w:val="0"/>
        <w:snapToGrid/>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2、硬件质保期：自验收合格交付之日起1年</w:t>
      </w:r>
    </w:p>
    <w:p>
      <w:pPr>
        <w:spacing w:after="0"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3、付款方式：验收合格后，甲方在收到乙方开具的真实合法、等额有效的增值税专用发票及付款申请资料并审批无误后，待办理完财政支付手续后一次性支付。</w:t>
      </w:r>
    </w:p>
    <w:p>
      <w:pPr>
        <w:keepNext w:val="0"/>
        <w:keepLines w:val="0"/>
        <w:pageBreakBefore w:val="0"/>
        <w:widowControl/>
        <w:kinsoku/>
        <w:wordWrap/>
        <w:overflowPunct/>
        <w:topLinePunct w:val="0"/>
        <w:autoSpaceDE w:val="0"/>
        <w:autoSpaceDN w:val="0"/>
        <w:bidi w:val="0"/>
        <w:snapToGrid/>
        <w:spacing w:after="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二、技术要求及清单</w:t>
      </w:r>
    </w:p>
    <w:tbl>
      <w:tblPr>
        <w:tblStyle w:val="15"/>
        <w:tblW w:w="8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205"/>
        <w:gridCol w:w="5012"/>
        <w:gridCol w:w="838"/>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457" w:type="dxa"/>
            <w:tcBorders>
              <w:top w:val="dotted" w:color="auto" w:sz="8" w:space="0"/>
              <w:left w:val="dotted" w:color="auto" w:sz="0" w:space="0"/>
              <w:bottom w:val="dotted" w:color="auto" w:sz="8" w:space="0"/>
              <w:right w:val="dotted" w:color="auto" w:sz="8"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tcBorders>
              <w:top w:val="dotted" w:color="auto" w:sz="8"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项目</w:t>
            </w:r>
          </w:p>
        </w:tc>
        <w:tc>
          <w:tcPr>
            <w:tcW w:w="5012" w:type="dxa"/>
            <w:tcBorders>
              <w:top w:val="dotted" w:color="auto" w:sz="8"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内容</w:t>
            </w:r>
          </w:p>
        </w:tc>
        <w:tc>
          <w:tcPr>
            <w:tcW w:w="838" w:type="dxa"/>
            <w:tcBorders>
              <w:top w:val="dotted" w:color="auto" w:sz="8"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c>
          <w:tcPr>
            <w:tcW w:w="800" w:type="dxa"/>
            <w:tcBorders>
              <w:top w:val="dotted" w:color="auto" w:sz="8"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restart"/>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平台侧</w:t>
            </w:r>
          </w:p>
        </w:tc>
        <w:tc>
          <w:tcPr>
            <w:tcW w:w="1205"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平台开发</w:t>
            </w: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小程序及平台研发</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套</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云存储</w:t>
            </w: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云存储、云主机、云安全</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年</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restart"/>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前端硬件侧服务费</w:t>
            </w:r>
          </w:p>
        </w:tc>
        <w:tc>
          <w:tcPr>
            <w:tcW w:w="1205" w:type="dxa"/>
            <w:vMerge w:val="restart"/>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材料</w:t>
            </w: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积分存折耗材</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户</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二维码耗材</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户</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现场安装及讲解人工费</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户</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restart"/>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硬件供货</w:t>
            </w: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电脑</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扫码枪</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把</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网线、连接线、转接头、光猫等辅材</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套</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便携式标签机</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Style w:val="26"/>
                <w:rFonts w:hint="eastAsia" w:ascii="仿宋" w:hAnsi="仿宋" w:eastAsia="仿宋" w:cs="仿宋"/>
                <w:b w:val="0"/>
                <w:bCs w:val="0"/>
                <w:color w:val="auto"/>
                <w:sz w:val="24"/>
                <w:szCs w:val="24"/>
                <w:highlight w:val="none"/>
                <w:lang w:val="en-US" w:eastAsia="zh-CN" w:bidi="ar"/>
              </w:rPr>
              <w:t>100M</w:t>
            </w:r>
            <w:r>
              <w:rPr>
                <w:rStyle w:val="27"/>
                <w:rFonts w:hint="eastAsia" w:ascii="仿宋" w:hAnsi="仿宋" w:eastAsia="仿宋" w:cs="仿宋"/>
                <w:b w:val="0"/>
                <w:bCs w:val="0"/>
                <w:color w:val="auto"/>
                <w:sz w:val="24"/>
                <w:szCs w:val="24"/>
                <w:highlight w:val="none"/>
                <w:lang w:val="en-US" w:eastAsia="zh-CN" w:bidi="ar"/>
              </w:rPr>
              <w:t>有线宽带</w:t>
            </w:r>
          </w:p>
        </w:tc>
        <w:tc>
          <w:tcPr>
            <w:tcW w:w="838" w:type="dxa"/>
            <w:tcBorders>
              <w:top w:val="dotted" w:color="auto" w:sz="0" w:space="0"/>
              <w:left w:val="single" w:color="auto" w:sz="4"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条</w:t>
            </w:r>
          </w:p>
        </w:tc>
        <w:tc>
          <w:tcPr>
            <w:tcW w:w="800" w:type="dxa"/>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57" w:type="dxa"/>
            <w:vMerge w:val="continue"/>
            <w:tcBorders>
              <w:top w:val="dotted" w:color="auto" w:sz="0" w:space="0"/>
              <w:left w:val="dotted" w:color="auto" w:sz="0" w:space="0"/>
              <w:bottom w:val="dotted" w:color="auto" w:sz="0"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1205" w:type="dxa"/>
            <w:vMerge w:val="continue"/>
            <w:tcBorders>
              <w:top w:val="dotted" w:color="auto" w:sz="0" w:space="0"/>
              <w:left w:val="dotted" w:color="auto" w:sz="0" w:space="0"/>
              <w:bottom w:val="dotted" w:color="auto" w:sz="8" w:space="0"/>
              <w:right w:val="dotted"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rPr>
                <w:rFonts w:hint="eastAsia" w:ascii="仿宋" w:hAnsi="仿宋" w:eastAsia="仿宋" w:cs="仿宋"/>
                <w:b w:val="0"/>
                <w:bCs w:val="0"/>
                <w:i w:val="0"/>
                <w:iCs w:val="0"/>
                <w:color w:val="auto"/>
                <w:sz w:val="24"/>
                <w:szCs w:val="24"/>
                <w:highlight w:val="none"/>
                <w:u w:val="none"/>
              </w:rPr>
            </w:pPr>
          </w:p>
        </w:tc>
        <w:tc>
          <w:tcPr>
            <w:tcW w:w="5012" w:type="dxa"/>
            <w:tcBorders>
              <w:top w:val="dotted" w:color="auto" w:sz="0" w:space="0"/>
              <w:left w:val="dotted" w:color="auto" w:sz="0" w:space="0"/>
              <w:bottom w:val="dotted" w:color="auto" w:sz="8"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硬件安装调试及标签纸</w:t>
            </w:r>
          </w:p>
        </w:tc>
        <w:tc>
          <w:tcPr>
            <w:tcW w:w="838" w:type="dxa"/>
            <w:tcBorders>
              <w:top w:val="dotted" w:color="auto" w:sz="0" w:space="0"/>
              <w:left w:val="single" w:color="auto" w:sz="4" w:space="0"/>
              <w:bottom w:val="dotted" w:color="auto" w:sz="8"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套</w:t>
            </w:r>
          </w:p>
        </w:tc>
        <w:tc>
          <w:tcPr>
            <w:tcW w:w="80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bl>
    <w:p>
      <w:pPr>
        <w:keepNext w:val="0"/>
        <w:keepLines w:val="0"/>
        <w:pageBreakBefore w:val="0"/>
        <w:widowControl/>
        <w:kinsoku/>
        <w:wordWrap/>
        <w:overflowPunct/>
        <w:topLinePunct w:val="0"/>
        <w:autoSpaceDE w:val="0"/>
        <w:autoSpaceDN w:val="0"/>
        <w:bidi w:val="0"/>
        <w:adjustRightInd w:val="0"/>
        <w:snapToGrid/>
        <w:spacing w:before="0" w:beforeLines="50" w:after="0"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1、平台开发</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（1）建立花园乡村积分制管理平台小程序</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花园乡村积分制管理平台小程序为农户提供了查看个人基本信息、巡检得分情况等功能。小程序支持积分消费与商品兑换功能。</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小程序需要对街办管理员、村级管理员等政府管理人员通过不同的权限职责进行区分，相应数据和资源的查看获取也不同，汇总的统计数据要根据不同维度，进行定制化展示。</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使用小程序为村组级别的检查工作人员提供检查打分入口，支持在线扫码与表单提交，可以定位农户信息、巡检情况表单提交等。</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（2）花园乡村积分制后台系统</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后台系统包含人员管理、网点管理、资讯通知发布等基本信息管理功能。同时支持系统权限管理,根据用户职权不同进行管辖区域的分配。</w:t>
      </w:r>
    </w:p>
    <w:p>
      <w:pPr>
        <w:keepNext w:val="0"/>
        <w:keepLines w:val="0"/>
        <w:pageBreakBefore w:val="0"/>
        <w:widowControl/>
        <w:kinsoku/>
        <w:wordWrap/>
        <w:overflowPunct/>
        <w:topLinePunct w:val="0"/>
        <w:autoSpaceDE w:val="0"/>
        <w:autoSpaceDN w:val="0"/>
        <w:bidi w:val="0"/>
        <w:snapToGrid/>
        <w:spacing w:after="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2、云服务</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（1）云主机采用云服务器，可以使用集中化的远程管理平台方便操作和维护，服务器要求配置（或其配置以上）：</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处理器：≥4核1.7GHz;</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 存：≥12GB</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硬 盘：≥500G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带 宽：≥30Mbps独享</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 他：千兆网卡</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操作系统：centos6.5或其他</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云存储、云主机、云安全使用期限不少于1年。</w:t>
      </w:r>
    </w:p>
    <w:p>
      <w:pPr>
        <w:keepNext w:val="0"/>
        <w:keepLines w:val="0"/>
        <w:pageBreakBefore w:val="0"/>
        <w:widowControl/>
        <w:kinsoku/>
        <w:wordWrap/>
        <w:overflowPunct/>
        <w:topLinePunct w:val="0"/>
        <w:autoSpaceDE w:val="0"/>
        <w:autoSpaceDN w:val="0"/>
        <w:bidi w:val="0"/>
        <w:snapToGrid/>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3、硬件要求</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（1）电脑要求配置</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机型：国产品牌商用台式机；</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CPU：2.8GHz及以上；</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内存：≥4G DDR3；显卡：</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显卡：集成显卡；</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硬盘：≥128G SSD；</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网卡：千兆网卡；</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显示器:≥21.5英寸LED。</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产品认证：产品属于节能环保产品，提供节能环保认证。</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服务：原厂三年保修提供生产厂商授权及售后服务承诺函原件</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（2）扫码枪要求配置（或其配置以上）</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分辨率: ≥648(水平)x488(垂直)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连接方式: 无线或有线方式</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扫描模式: 手动按键扫描，自动连续扫描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防摔性能: ≥0.5米自由落体跌落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精度及景深:≥3mil90mm-320mm</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误码率: ≥1/300万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提示方式: 蜂呜声、指示灯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接口类型: USB </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（3）便携式标签机要求配置（或其配置以上）</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分辨率：≥203DPI</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打印宽度： ≥60mm</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打印速度： ≥2~5inch/sec</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打印头温度探测： 热敏电阻</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纸存在探测： 光电传感器</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通讯接口：USB或其他</w:t>
      </w:r>
    </w:p>
    <w:p>
      <w:pPr>
        <w:keepNext w:val="0"/>
        <w:keepLines w:val="0"/>
        <w:pageBreakBefore w:val="0"/>
        <w:widowControl/>
        <w:kinsoku/>
        <w:wordWrap/>
        <w:overflowPunct/>
        <w:topLinePunct w:val="0"/>
        <w:autoSpaceDE w:val="0"/>
        <w:autoSpaceDN w:val="0"/>
        <w:bidi w:val="0"/>
        <w:snapToGrid/>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4、传输网络要求</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不低于100M有线宽带10条，使用期限不少于1年。</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支持IPv4和IPv6双栈模式；</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支持有线宽带连接、支持无线 wifi 和 awifi</w:t>
      </w:r>
    </w:p>
    <w:p>
      <w:pPr>
        <w:pStyle w:val="8"/>
        <w:keepNext w:val="0"/>
        <w:keepLines w:val="0"/>
        <w:pageBreakBefore w:val="0"/>
        <w:widowControl/>
        <w:kinsoku/>
        <w:wordWrap/>
        <w:overflowPunct/>
        <w:topLinePunct w:val="0"/>
        <w:bidi w:val="0"/>
        <w:snapToGrid/>
        <w:spacing w:after="0" w:line="360" w:lineRule="auto"/>
        <w:ind w:right="-240" w:rightChars="-109"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网络接口光接口</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pStyle w:val="4"/>
        <w:bidi w:val="0"/>
        <w:rPr>
          <w:rFonts w:hint="eastAsia"/>
          <w:color w:val="auto"/>
          <w:highlight w:val="none"/>
          <w:lang w:val="en-US" w:eastAsia="zh-CN"/>
        </w:rPr>
      </w:pPr>
      <w:bookmarkStart w:id="97" w:name="_Toc20251"/>
      <w:r>
        <w:rPr>
          <w:rFonts w:hint="eastAsia"/>
          <w:color w:val="auto"/>
          <w:highlight w:val="none"/>
          <w:lang w:val="en-US" w:eastAsia="zh-CN"/>
        </w:rPr>
        <w:t>第五章 合同及格式</w:t>
      </w:r>
      <w:bookmarkEnd w:id="97"/>
    </w:p>
    <w:p>
      <w:pPr>
        <w:spacing w:after="0" w:line="360" w:lineRule="auto"/>
        <w:jc w:val="center"/>
        <w:rPr>
          <w:rFonts w:ascii="仿宋" w:hAnsi="仿宋" w:eastAsia="仿宋"/>
          <w:color w:val="auto"/>
          <w:sz w:val="24"/>
          <w:szCs w:val="24"/>
          <w:highlight w:val="none"/>
        </w:rPr>
      </w:pPr>
      <w:r>
        <w:rPr>
          <w:rFonts w:hint="eastAsia" w:ascii="仿宋" w:hAnsi="仿宋" w:eastAsia="仿宋" w:cs="宋体"/>
          <w:color w:val="auto"/>
          <w:sz w:val="24"/>
          <w:szCs w:val="24"/>
          <w:highlight w:val="none"/>
        </w:rPr>
        <w:t>（注：本合同样本仅供参考，具体条款内容由采购人和成交供应商协商确定，但不得改变采购文件、响应文件、成交通知书等实质性内容。）</w:t>
      </w:r>
    </w:p>
    <w:p>
      <w:pPr>
        <w:spacing w:after="0" w:line="360" w:lineRule="auto"/>
        <w:jc w:val="center"/>
        <w:rPr>
          <w:rFonts w:ascii="仿宋" w:hAnsi="仿宋" w:eastAsia="仿宋"/>
          <w:b/>
          <w:bCs/>
          <w:color w:val="auto"/>
          <w:sz w:val="24"/>
          <w:szCs w:val="24"/>
          <w:highlight w:val="none"/>
        </w:rPr>
      </w:pP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甲方（采购人）：</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乙方（供应商）：</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根据《中华人民共和国政府采购法》、《中华人民共和国民法典》等相关法律，甲、乙双方就</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项目名称、项目编号），经平等协商达成合同如下：</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一、合同文件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本合同所附下列文件是构成本合同不可分割的部分，组成合同的各项文件应互相解释，互为说明，解释合同文件的优先顺序如下：</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（一）合同格式以及合同条款</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（二）成交通知书</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（三）成交供应商在评标过程中做出的有关澄清、说明、承诺或者补正文件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（四）成交供应商磋商响应文件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（五）磋商文件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（六）本合同附件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同一层次的合同文件规定有矛盾的以较后时间制定的为准。</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二、合同的范围和条件</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本合同的范围和条件应与上述合同文件的规定相一致。</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三、服务项目磋商文件中投标服务明细表一致。</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四、合同金额</w:t>
      </w:r>
    </w:p>
    <w:p>
      <w:pPr>
        <w:spacing w:after="0" w:line="360" w:lineRule="auto"/>
        <w:ind w:firstLine="48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合同金额为人民币万元，大写：。</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含税</w:t>
      </w:r>
      <w:r>
        <w:rPr>
          <w:rFonts w:hint="eastAsia" w:ascii="仿宋" w:hAnsi="仿宋" w:eastAsia="仿宋" w:cs="宋体"/>
          <w:color w:val="auto"/>
          <w:sz w:val="24"/>
          <w:szCs w:val="24"/>
          <w:highlight w:val="none"/>
          <w:lang w:eastAsia="zh-CN"/>
        </w:rPr>
        <w:t>）</w:t>
      </w:r>
    </w:p>
    <w:p>
      <w:pPr>
        <w:spacing w:after="0"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五、付款方式</w:t>
      </w:r>
    </w:p>
    <w:p>
      <w:pPr>
        <w:spacing w:after="0"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验收合格后，甲方在收到乙方开具的真实合法、等额有效的增值税专用发票及付款申请资料并审批无误后，待办理完财政支付手续后一次性支付。</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六、服务期限、地点</w:t>
      </w:r>
      <w:r>
        <w:rPr>
          <w:rFonts w:ascii="仿宋" w:hAnsi="仿宋" w:eastAsia="仿宋"/>
          <w:color w:val="auto"/>
          <w:sz w:val="24"/>
          <w:szCs w:val="24"/>
          <w:highlight w:val="none"/>
        </w:rPr>
        <w:tab/>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、服务期限：</w:t>
      </w:r>
      <w:r>
        <w:rPr>
          <w:rFonts w:hint="eastAsia" w:ascii="仿宋" w:hAnsi="仿宋" w:eastAsia="仿宋" w:cs="宋体"/>
          <w:color w:val="auto"/>
          <w:sz w:val="24"/>
          <w:szCs w:val="24"/>
          <w:highlight w:val="none"/>
          <w:u w:val="single"/>
        </w:rPr>
        <w:t>年月日至年月日</w:t>
      </w:r>
      <w:r>
        <w:rPr>
          <w:rFonts w:hint="eastAsia" w:ascii="仿宋" w:hAnsi="仿宋" w:eastAsia="仿宋" w:cs="宋体"/>
          <w:color w:val="auto"/>
          <w:sz w:val="24"/>
          <w:szCs w:val="24"/>
          <w:highlight w:val="none"/>
        </w:rPr>
        <w:t>。</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、服务地点：</w:t>
      </w:r>
    </w:p>
    <w:p>
      <w:pPr>
        <w:spacing w:after="0" w:line="360" w:lineRule="auto"/>
        <w:ind w:firstLine="480"/>
        <w:rPr>
          <w:rFonts w:hint="eastAsia" w:ascii="仿宋" w:hAnsi="仿宋" w:eastAsia="仿宋"/>
          <w:color w:val="auto"/>
          <w:sz w:val="24"/>
          <w:szCs w:val="24"/>
          <w:highlight w:val="none"/>
          <w:lang w:eastAsia="zh-CN"/>
        </w:rPr>
      </w:pPr>
      <w:r>
        <w:rPr>
          <w:rFonts w:hint="eastAsia" w:ascii="仿宋" w:hAnsi="仿宋" w:eastAsia="仿宋" w:cs="宋体"/>
          <w:color w:val="auto"/>
          <w:sz w:val="24"/>
          <w:szCs w:val="24"/>
          <w:highlight w:val="none"/>
        </w:rPr>
        <w:t>七、</w:t>
      </w:r>
      <w:r>
        <w:rPr>
          <w:rFonts w:hint="eastAsia" w:ascii="仿宋" w:hAnsi="仿宋" w:eastAsia="仿宋" w:cs="宋体"/>
          <w:color w:val="auto"/>
          <w:sz w:val="24"/>
          <w:szCs w:val="24"/>
          <w:highlight w:val="none"/>
          <w:lang w:val="en-US" w:eastAsia="zh-CN"/>
        </w:rPr>
        <w:t>验收</w:t>
      </w:r>
    </w:p>
    <w:p>
      <w:pPr>
        <w:spacing w:after="0"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1、验收依据：</w:t>
      </w:r>
      <w:r>
        <w:rPr>
          <w:rFonts w:hint="eastAsia" w:ascii="仿宋" w:hAnsi="仿宋" w:eastAsia="仿宋" w:cs="宋体"/>
          <w:color w:val="auto"/>
          <w:sz w:val="24"/>
          <w:szCs w:val="24"/>
          <w:highlight w:val="none"/>
          <w:lang w:val="en-US" w:eastAsia="zh-CN"/>
        </w:rPr>
        <w:t>磋商</w:t>
      </w:r>
      <w:r>
        <w:rPr>
          <w:rFonts w:hint="eastAsia" w:ascii="仿宋" w:hAnsi="仿宋" w:eastAsia="仿宋" w:cs="宋体"/>
          <w:color w:val="auto"/>
          <w:sz w:val="24"/>
          <w:szCs w:val="24"/>
          <w:highlight w:val="none"/>
        </w:rPr>
        <w:t>文件、</w:t>
      </w:r>
      <w:r>
        <w:rPr>
          <w:rFonts w:hint="eastAsia" w:ascii="仿宋" w:hAnsi="仿宋" w:eastAsia="仿宋" w:cs="宋体"/>
          <w:color w:val="auto"/>
          <w:sz w:val="24"/>
          <w:szCs w:val="24"/>
          <w:highlight w:val="none"/>
          <w:lang w:val="en-US" w:eastAsia="zh-CN"/>
        </w:rPr>
        <w:t>响应</w:t>
      </w:r>
      <w:r>
        <w:rPr>
          <w:rFonts w:hint="eastAsia" w:ascii="仿宋" w:hAnsi="仿宋" w:eastAsia="仿宋" w:cs="宋体"/>
          <w:color w:val="auto"/>
          <w:sz w:val="24"/>
          <w:szCs w:val="24"/>
          <w:highlight w:val="none"/>
        </w:rPr>
        <w:t xml:space="preserve">文件、澄清表（函）；本合同及附件文本；国家相应的标准、规范。 </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2、乙方提供的服务、货物应符合国家（或行业）规定标准。</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八、违约条款</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、乙方延迟提供服务，每延迟日，按合同金额的</w:t>
      </w:r>
      <w:r>
        <w:rPr>
          <w:rFonts w:hint="eastAsia" w:ascii="仿宋" w:hAnsi="仿宋" w:eastAsia="仿宋" w:cs="宋体"/>
          <w:color w:val="auto"/>
          <w:sz w:val="24"/>
          <w:szCs w:val="24"/>
          <w:highlight w:val="none"/>
          <w:u w:val="single"/>
          <w:lang w:val="en-US" w:eastAsia="zh-CN"/>
        </w:rPr>
        <w:t xml:space="preserve">     </w:t>
      </w:r>
      <w:r>
        <w:rPr>
          <w:rFonts w:hint="eastAsia" w:ascii="仿宋" w:hAnsi="仿宋" w:eastAsia="仿宋" w:cs="宋体"/>
          <w:color w:val="auto"/>
          <w:sz w:val="24"/>
          <w:szCs w:val="24"/>
          <w:highlight w:val="none"/>
        </w:rPr>
        <w:t>支付违约金。</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、一方不按期履行合同，并经另一方提示后日内仍不履行合同的，守约方有权解除合同，违约方要承担相应的法律责任。</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、如因一方违约，双方未能就赔偿损失达成协议，引起诉讼或仲裁时，违约方除应赔偿对方经济损失外，还应承担因诉讼或仲裁所支付的律师代理费等相关费用。</w:t>
      </w:r>
    </w:p>
    <w:p>
      <w:pPr>
        <w:spacing w:after="0" w:line="360" w:lineRule="auto"/>
        <w:ind w:firstLine="480"/>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、其它应承担的违约责任，以《中华人民共和国</w:t>
      </w:r>
      <w:r>
        <w:rPr>
          <w:rFonts w:hint="eastAsia" w:ascii="仿宋" w:hAnsi="仿宋" w:eastAsia="仿宋" w:cs="宋体"/>
          <w:color w:val="auto"/>
          <w:sz w:val="24"/>
          <w:szCs w:val="24"/>
          <w:highlight w:val="none"/>
          <w:lang w:val="en-US" w:eastAsia="zh-CN"/>
        </w:rPr>
        <w:t>民法典</w:t>
      </w:r>
      <w:r>
        <w:rPr>
          <w:rFonts w:hint="eastAsia" w:ascii="仿宋" w:hAnsi="仿宋" w:eastAsia="仿宋" w:cs="宋体"/>
          <w:color w:val="auto"/>
          <w:sz w:val="24"/>
          <w:szCs w:val="24"/>
          <w:highlight w:val="none"/>
        </w:rPr>
        <w:t>》和其它有关法律、法规规定为准，无相关规定的，</w:t>
      </w:r>
      <w:r>
        <w:rPr>
          <w:rFonts w:hint="eastAsia" w:ascii="仿宋" w:hAnsi="仿宋" w:eastAsia="仿宋" w:cs="宋体"/>
          <w:color w:val="auto"/>
          <w:sz w:val="24"/>
          <w:szCs w:val="24"/>
          <w:highlight w:val="none"/>
          <w:lang w:val="en-US" w:eastAsia="zh-CN"/>
        </w:rPr>
        <w:t>无相关规定的，</w:t>
      </w:r>
      <w:r>
        <w:rPr>
          <w:rFonts w:hint="eastAsia" w:ascii="仿宋" w:hAnsi="仿宋" w:eastAsia="仿宋" w:cs="宋体"/>
          <w:color w:val="auto"/>
          <w:sz w:val="24"/>
          <w:szCs w:val="24"/>
          <w:highlight w:val="none"/>
        </w:rPr>
        <w:t>双方协商解决。</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5、按照本合同规定应该偿付的违约金、赔偿金等，应当在明确责任后日内，按银行规定或双方商定的结算办法付清，否则按逾期付款处理。</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九、不可抗力条款</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因不可抗力致使一方不能及时或完全履行合同的，应及时通知采购代理机构及另一方，双方互不承担责任，并在天内提供有关不可抗力的相应证明。合同未履行部分是否继续履行、如何履行等问题，可由双方协商解决。</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十、争议的解决方式</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合同发生纠纷时，双方应协商解决，协商不成可以采用下列方式解决：</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、提交仲裁委员会仲裁；</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、向人民法院诉讼。</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十一、补充协议</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合同未尽事宜，经双方协商可签订补充协议，所签订的补充协议与本合同具有同等的法律效力，补充协议的生效应符合本合同的有关规定。合同补充条款应同时报政府采购监督管理部门备案。</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十二、合同保存</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本合同一式份，甲方份，乙方份。</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十三、其他需要补充的内容：</w:t>
      </w:r>
    </w:p>
    <w:p>
      <w:pPr>
        <w:spacing w:after="0" w:line="360" w:lineRule="auto"/>
        <w:ind w:firstLine="480"/>
        <w:rPr>
          <w:rFonts w:ascii="仿宋" w:hAnsi="仿宋" w:eastAsia="仿宋"/>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、乙方应按磋商文件、响应文件及乙方在谈判过程中做出的书面说明或承诺提供及时、快速、优质的服务。</w:t>
      </w:r>
    </w:p>
    <w:p>
      <w:pPr>
        <w:spacing w:after="0" w:line="360" w:lineRule="auto"/>
        <w:ind w:firstLine="480"/>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、其他服务内容：</w:t>
      </w:r>
    </w:p>
    <w:p>
      <w:pPr>
        <w:pStyle w:val="6"/>
        <w:rPr>
          <w:color w:val="auto"/>
          <w:highlight w:val="none"/>
        </w:rPr>
      </w:pPr>
    </w:p>
    <w:p>
      <w:pPr>
        <w:spacing w:after="0" w:line="360" w:lineRule="auto"/>
        <w:ind w:firstLine="480"/>
        <w:rPr>
          <w:rFonts w:ascii="仿宋" w:hAnsi="仿宋" w:eastAsia="仿宋"/>
          <w:color w:val="auto"/>
          <w:sz w:val="24"/>
          <w:szCs w:val="24"/>
          <w:highlight w:val="none"/>
        </w:rPr>
      </w:pP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甲方：</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公章</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乙方：</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公章</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w:t>
      </w:r>
    </w:p>
    <w:p>
      <w:pPr>
        <w:spacing w:after="0"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法定代表人或其授权代表（签字）：</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法定代表人或其授权代表（签字）：</w:t>
      </w:r>
    </w:p>
    <w:p>
      <w:pPr>
        <w:spacing w:after="0" w:line="360" w:lineRule="auto"/>
        <w:ind w:firstLine="480"/>
        <w:rPr>
          <w:rFonts w:hint="eastAsia" w:ascii="仿宋" w:hAnsi="仿宋" w:eastAsia="仿宋" w:cs="宋体"/>
          <w:color w:val="auto"/>
          <w:sz w:val="24"/>
          <w:szCs w:val="24"/>
          <w:highlight w:val="none"/>
        </w:rPr>
      </w:pPr>
    </w:p>
    <w:p>
      <w:pPr>
        <w:spacing w:after="0" w:line="360" w:lineRule="auto"/>
        <w:ind w:firstLine="48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地址：                                地址：</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开户银行：</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开户银行：</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账号：</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账号：</w:t>
      </w:r>
    </w:p>
    <w:p>
      <w:pPr>
        <w:spacing w:after="0" w:line="360" w:lineRule="auto"/>
        <w:ind w:firstLine="480"/>
        <w:rPr>
          <w:rFonts w:ascii="仿宋" w:hAnsi="仿宋" w:eastAsia="仿宋"/>
          <w:color w:val="auto"/>
          <w:sz w:val="24"/>
          <w:szCs w:val="24"/>
          <w:highlight w:val="none"/>
        </w:rPr>
      </w:pPr>
      <w:r>
        <w:rPr>
          <w:rFonts w:hint="eastAsia" w:ascii="仿宋" w:hAnsi="仿宋" w:eastAsia="仿宋" w:cs="宋体"/>
          <w:color w:val="auto"/>
          <w:sz w:val="24"/>
          <w:szCs w:val="24"/>
          <w:highlight w:val="none"/>
        </w:rPr>
        <w:t>联系电话：</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联系电话：</w:t>
      </w:r>
    </w:p>
    <w:p>
      <w:pPr>
        <w:pStyle w:val="21"/>
        <w:widowControl/>
        <w:rPr>
          <w:rFonts w:hint="eastAsia" w:ascii="仿宋" w:hAnsi="仿宋"/>
          <w:color w:val="auto"/>
          <w:sz w:val="24"/>
          <w:szCs w:val="24"/>
          <w:highlight w:val="none"/>
        </w:rPr>
      </w:pPr>
      <w:r>
        <w:rPr>
          <w:rFonts w:hint="eastAsia" w:ascii="仿宋" w:hAnsi="仿宋"/>
          <w:color w:val="auto"/>
          <w:sz w:val="24"/>
          <w:szCs w:val="24"/>
          <w:highlight w:val="none"/>
        </w:rPr>
        <w:t>签订日期：</w:t>
      </w:r>
      <w:r>
        <w:rPr>
          <w:rFonts w:hint="eastAsia" w:ascii="仿宋" w:hAnsi="仿宋"/>
          <w:color w:val="auto"/>
          <w:sz w:val="24"/>
          <w:szCs w:val="24"/>
          <w:highlight w:val="none"/>
          <w:lang w:val="en-US" w:eastAsia="zh-CN"/>
        </w:rPr>
        <w:t xml:space="preserve">                            </w:t>
      </w:r>
      <w:r>
        <w:rPr>
          <w:rFonts w:hint="eastAsia" w:ascii="仿宋" w:hAnsi="仿宋"/>
          <w:color w:val="auto"/>
          <w:sz w:val="24"/>
          <w:szCs w:val="24"/>
          <w:highlight w:val="none"/>
        </w:rPr>
        <w:t>签订日期：</w:t>
      </w:r>
    </w:p>
    <w:p>
      <w:pPr>
        <w:pStyle w:val="21"/>
        <w:widowControl/>
        <w:rPr>
          <w:rFonts w:hint="eastAsia" w:ascii="仿宋" w:hAnsi="仿宋"/>
          <w:color w:val="auto"/>
          <w:sz w:val="24"/>
          <w:szCs w:val="24"/>
          <w:highlight w:val="none"/>
        </w:rPr>
      </w:pPr>
    </w:p>
    <w:p>
      <w:pPr>
        <w:pStyle w:val="21"/>
        <w:widowControl/>
        <w:rPr>
          <w:rFonts w:hint="eastAsia" w:ascii="仿宋" w:hAnsi="仿宋"/>
          <w:color w:val="auto"/>
          <w:sz w:val="24"/>
          <w:szCs w:val="24"/>
          <w:highlight w:val="none"/>
        </w:rPr>
      </w:pPr>
    </w:p>
    <w:p>
      <w:pPr>
        <w:pStyle w:val="21"/>
        <w:widowControl/>
        <w:rPr>
          <w:rFonts w:hint="eastAsia" w:ascii="仿宋" w:hAnsi="仿宋"/>
          <w:color w:val="auto"/>
          <w:sz w:val="24"/>
          <w:szCs w:val="24"/>
          <w:highlight w:val="none"/>
        </w:rPr>
      </w:pPr>
    </w:p>
    <w:p>
      <w:pPr>
        <w:pStyle w:val="21"/>
        <w:widowControl/>
        <w:rPr>
          <w:rFonts w:hint="eastAsia" w:ascii="仿宋" w:hAnsi="仿宋" w:eastAsia="仿宋" w:cs="宋体"/>
          <w:color w:val="auto"/>
          <w:sz w:val="24"/>
          <w:szCs w:val="24"/>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pStyle w:val="4"/>
        <w:bidi w:val="0"/>
        <w:rPr>
          <w:rFonts w:hint="eastAsia"/>
          <w:color w:val="auto"/>
          <w:highlight w:val="none"/>
          <w:lang w:val="en-US" w:eastAsia="zh-CN"/>
        </w:rPr>
      </w:pPr>
      <w:bookmarkStart w:id="98" w:name="_Toc18422"/>
      <w:r>
        <w:rPr>
          <w:rFonts w:hint="eastAsia"/>
          <w:color w:val="auto"/>
          <w:highlight w:val="none"/>
          <w:lang w:val="en-US" w:eastAsia="zh-CN"/>
        </w:rPr>
        <w:t>第六章 磋商响应文件格式</w:t>
      </w:r>
      <w:bookmarkEnd w:id="98"/>
    </w:p>
    <w:p>
      <w:pPr>
        <w:jc w:val="left"/>
        <w:rPr>
          <w:rFonts w:hint="eastAsia" w:ascii="仿宋" w:hAnsi="仿宋" w:eastAsia="仿宋" w:cs="仿宋"/>
          <w:b/>
          <w:bCs/>
          <w:color w:val="auto"/>
          <w:sz w:val="32"/>
          <w:szCs w:val="32"/>
          <w:highlight w:val="none"/>
          <w:lang w:val="en-US" w:eastAsia="zh-CN"/>
        </w:rPr>
      </w:pPr>
    </w:p>
    <w:p>
      <w:p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采购项目编号：</w:t>
      </w:r>
      <w:r>
        <w:rPr>
          <w:rFonts w:hint="eastAsia" w:ascii="仿宋" w:hAnsi="仿宋" w:eastAsia="仿宋" w:cs="仿宋"/>
          <w:b/>
          <w:bCs/>
          <w:color w:val="auto"/>
          <w:sz w:val="32"/>
          <w:szCs w:val="32"/>
          <w:highlight w:val="none"/>
          <w:lang w:eastAsia="zh-CN"/>
        </w:rPr>
        <w:t>LC-ZC-2022-011</w:t>
      </w:r>
    </w:p>
    <w:p>
      <w:pPr>
        <w:ind w:firstLine="4343" w:firstLineChars="1352"/>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（正本或副本）</w:t>
      </w:r>
    </w:p>
    <w:p>
      <w:pPr>
        <w:jc w:val="right"/>
        <w:rPr>
          <w:rFonts w:hint="eastAsia" w:ascii="仿宋" w:hAnsi="仿宋" w:eastAsia="仿宋" w:cs="仿宋"/>
          <w:b/>
          <w:color w:val="auto"/>
          <w:sz w:val="32"/>
          <w:szCs w:val="32"/>
          <w:highlight w:val="none"/>
        </w:rPr>
      </w:pPr>
    </w:p>
    <w:p>
      <w:pPr>
        <w:jc w:val="right"/>
        <w:rPr>
          <w:rFonts w:hint="eastAsia" w:ascii="仿宋" w:hAnsi="仿宋" w:eastAsia="仿宋" w:cs="仿宋"/>
          <w:b/>
          <w:color w:val="auto"/>
          <w:sz w:val="32"/>
          <w:szCs w:val="32"/>
          <w:highlight w:val="none"/>
        </w:rPr>
      </w:pPr>
    </w:p>
    <w:p>
      <w:pPr>
        <w:pStyle w:val="14"/>
        <w:rPr>
          <w:rFonts w:hint="eastAsia" w:ascii="仿宋" w:hAnsi="仿宋" w:eastAsia="仿宋" w:cs="仿宋"/>
          <w:color w:val="auto"/>
          <w:highlight w:val="none"/>
        </w:rPr>
      </w:pPr>
    </w:p>
    <w:p>
      <w:pPr>
        <w:jc w:val="center"/>
        <w:rPr>
          <w:rFonts w:hint="eastAsia" w:ascii="仿宋" w:hAnsi="仿宋" w:eastAsia="仿宋" w:cs="仿宋"/>
          <w:b/>
          <w:color w:val="auto"/>
          <w:sz w:val="62"/>
          <w:szCs w:val="72"/>
          <w:highlight w:val="none"/>
        </w:rPr>
      </w:pPr>
      <w:r>
        <w:rPr>
          <w:rFonts w:hint="eastAsia" w:ascii="仿宋" w:hAnsi="仿宋" w:eastAsia="仿宋" w:cs="仿宋"/>
          <w:b/>
          <w:color w:val="auto"/>
          <w:sz w:val="62"/>
          <w:szCs w:val="72"/>
          <w:highlight w:val="none"/>
          <w:lang w:eastAsia="zh-CN"/>
        </w:rPr>
        <w:t>花园乡村积分制管理平台建设项目</w:t>
      </w:r>
    </w:p>
    <w:p>
      <w:pPr>
        <w:pStyle w:val="14"/>
        <w:ind w:left="0" w:leftChars="0" w:firstLine="0" w:firstLineChars="0"/>
        <w:rPr>
          <w:rFonts w:hint="eastAsia" w:ascii="仿宋" w:hAnsi="仿宋" w:eastAsia="仿宋" w:cs="仿宋"/>
          <w:b/>
          <w:color w:val="auto"/>
          <w:sz w:val="62"/>
          <w:szCs w:val="72"/>
          <w:highlight w:val="none"/>
        </w:rPr>
      </w:pPr>
    </w:p>
    <w:p>
      <w:pPr>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竞争性磋商响应文件</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jc w:val="cente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14"/>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tabs>
          <w:tab w:val="center" w:pos="5346"/>
        </w:tabs>
        <w:spacing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供应商名称（公章）</w:t>
      </w:r>
    </w:p>
    <w:p>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年  月</w:t>
      </w:r>
      <w:r>
        <w:rPr>
          <w:rFonts w:hint="eastAsia" w:ascii="仿宋" w:hAnsi="仿宋" w:eastAsia="仿宋" w:cs="仿宋"/>
          <w:b/>
          <w:color w:val="auto"/>
          <w:sz w:val="32"/>
          <w:szCs w:val="32"/>
          <w:highlight w:val="none"/>
          <w:lang w:val="en-US" w:eastAsia="zh-CN"/>
        </w:rPr>
        <w:t xml:space="preserve">  日</w:t>
      </w:r>
    </w:p>
    <w:p>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pPr>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目录</w:t>
      </w:r>
    </w:p>
    <w:p>
      <w:pPr>
        <w:jc w:val="center"/>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（格式自拟）</w:t>
      </w:r>
    </w:p>
    <w:p>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仿宋" w:hAnsi="仿宋" w:eastAsia="仿宋" w:cs="仿宋"/>
          <w:b/>
          <w:color w:val="auto"/>
          <w:sz w:val="32"/>
          <w:szCs w:val="32"/>
          <w:highlight w:val="none"/>
        </w:rPr>
      </w:pPr>
      <w:bookmarkStart w:id="99" w:name="_Toc363474027"/>
      <w:bookmarkStart w:id="100" w:name="_Toc403077648"/>
      <w:bookmarkStart w:id="101" w:name="_Toc22207"/>
      <w:bookmarkStart w:id="102" w:name="_Toc25120"/>
      <w:bookmarkStart w:id="103" w:name="_Toc29491"/>
      <w:bookmarkStart w:id="104" w:name="_Toc29316"/>
      <w:r>
        <w:rPr>
          <w:rFonts w:hint="eastAsia" w:ascii="仿宋" w:hAnsi="仿宋" w:eastAsia="仿宋" w:cs="仿宋"/>
          <w:b/>
          <w:color w:val="auto"/>
          <w:sz w:val="32"/>
          <w:szCs w:val="32"/>
          <w:highlight w:val="none"/>
        </w:rPr>
        <w:t>一、磋商</w:t>
      </w:r>
      <w:bookmarkEnd w:id="99"/>
      <w:bookmarkEnd w:id="100"/>
      <w:r>
        <w:rPr>
          <w:rFonts w:hint="eastAsia" w:ascii="仿宋" w:hAnsi="仿宋" w:eastAsia="仿宋" w:cs="仿宋"/>
          <w:b/>
          <w:color w:val="auto"/>
          <w:sz w:val="32"/>
          <w:szCs w:val="32"/>
          <w:highlight w:val="none"/>
        </w:rPr>
        <w:t>响应函</w:t>
      </w:r>
      <w:bookmarkEnd w:id="101"/>
      <w:bookmarkEnd w:id="102"/>
      <w:bookmarkEnd w:id="103"/>
      <w:bookmarkEnd w:id="104"/>
    </w:p>
    <w:p>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仿宋" w:hAnsi="仿宋" w:eastAsia="仿宋" w:cs="仿宋"/>
          <w:color w:val="auto"/>
          <w:spacing w:val="4"/>
          <w:szCs w:val="24"/>
          <w:highlight w:val="none"/>
          <w:lang w:eastAsia="zh-CN"/>
        </w:rPr>
      </w:pPr>
      <w:r>
        <w:rPr>
          <w:rFonts w:hint="eastAsia" w:ascii="仿宋" w:hAnsi="仿宋" w:eastAsia="仿宋" w:cs="仿宋"/>
          <w:color w:val="auto"/>
          <w:spacing w:val="4"/>
          <w:szCs w:val="24"/>
          <w:highlight w:val="none"/>
        </w:rPr>
        <w:t>致：</w:t>
      </w:r>
      <w:r>
        <w:rPr>
          <w:rFonts w:hint="eastAsia" w:ascii="仿宋" w:hAnsi="仿宋" w:eastAsia="仿宋" w:cs="仿宋"/>
          <w:color w:val="auto"/>
          <w:spacing w:val="4"/>
          <w:szCs w:val="24"/>
          <w:highlight w:val="none"/>
          <w:u w:val="single"/>
          <w:lang w:eastAsia="zh-CN"/>
        </w:rPr>
        <w:t>（</w:t>
      </w:r>
      <w:r>
        <w:rPr>
          <w:rFonts w:hint="eastAsia" w:ascii="仿宋" w:hAnsi="仿宋" w:eastAsia="仿宋" w:cs="仿宋"/>
          <w:color w:val="auto"/>
          <w:spacing w:val="4"/>
          <w:szCs w:val="24"/>
          <w:highlight w:val="none"/>
          <w:u w:val="single"/>
          <w:lang w:val="en-US" w:eastAsia="zh-CN"/>
        </w:rPr>
        <w:t>采购人名称</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456" w:firstLineChars="200"/>
        <w:jc w:val="both"/>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根据贵方“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”项目的磋商邀请</w:t>
      </w:r>
      <w:r>
        <w:rPr>
          <w:rFonts w:hint="eastAsia" w:ascii="仿宋" w:hAnsi="仿宋" w:eastAsia="仿宋" w:cs="仿宋"/>
          <w:color w:val="auto"/>
          <w:spacing w:val="4"/>
          <w:szCs w:val="24"/>
          <w:highlight w:val="none"/>
          <w:u w:val="single"/>
        </w:rPr>
        <w:t>(项目编号：           )</w:t>
      </w:r>
      <w:r>
        <w:rPr>
          <w:rFonts w:hint="eastAsia" w:ascii="仿宋" w:hAnsi="仿宋" w:eastAsia="仿宋" w:cs="仿宋"/>
          <w:color w:val="auto"/>
          <w:spacing w:val="4"/>
          <w:szCs w:val="24"/>
          <w:highlight w:val="none"/>
        </w:rPr>
        <w:t>，签字代表</w:t>
      </w:r>
      <w:r>
        <w:rPr>
          <w:rFonts w:hint="eastAsia" w:ascii="仿宋" w:hAnsi="仿宋" w:eastAsia="仿宋" w:cs="仿宋"/>
          <w:color w:val="auto"/>
          <w:spacing w:val="4"/>
          <w:szCs w:val="24"/>
          <w:highlight w:val="none"/>
          <w:u w:val="single"/>
        </w:rPr>
        <w:t>（全名）</w:t>
      </w:r>
      <w:r>
        <w:rPr>
          <w:rFonts w:hint="eastAsia" w:ascii="仿宋" w:hAnsi="仿宋" w:eastAsia="仿宋" w:cs="仿宋"/>
          <w:color w:val="auto"/>
          <w:spacing w:val="4"/>
          <w:szCs w:val="24"/>
          <w:highlight w:val="none"/>
        </w:rPr>
        <w:t>经正式授权并代表供应商</w:t>
      </w:r>
      <w:r>
        <w:rPr>
          <w:rFonts w:hint="eastAsia" w:ascii="仿宋" w:hAnsi="仿宋" w:eastAsia="仿宋" w:cs="仿宋"/>
          <w:color w:val="auto"/>
          <w:spacing w:val="4"/>
          <w:szCs w:val="24"/>
          <w:highlight w:val="none"/>
          <w:u w:val="single"/>
        </w:rPr>
        <w:t>(供应商名称)</w:t>
      </w:r>
      <w:r>
        <w:rPr>
          <w:rFonts w:hint="eastAsia" w:ascii="仿宋" w:hAnsi="仿宋" w:eastAsia="仿宋" w:cs="仿宋"/>
          <w:color w:val="auto"/>
          <w:spacing w:val="4"/>
          <w:szCs w:val="24"/>
          <w:highlight w:val="none"/>
        </w:rPr>
        <w:t xml:space="preserve"> 提交竞争性磋商响应文件正本壹份、副本一式</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份、报价一览表</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份、电子版</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份。</w:t>
      </w:r>
    </w:p>
    <w:p>
      <w:pPr>
        <w:keepNext w:val="0"/>
        <w:keepLines w:val="0"/>
        <w:pageBreakBefore w:val="0"/>
        <w:widowControl/>
        <w:kinsoku/>
        <w:wordWrap/>
        <w:overflowPunct/>
        <w:topLinePunct w:val="0"/>
        <w:autoSpaceDE/>
        <w:autoSpaceDN/>
        <w:bidi w:val="0"/>
        <w:adjustRightInd w:val="0"/>
        <w:snapToGrid/>
        <w:spacing w:after="0" w:line="360" w:lineRule="auto"/>
        <w:ind w:left="572" w:leftChars="251" w:hanging="20" w:hangingChars="9"/>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我方承诺如下：</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highlight w:val="none"/>
        </w:rPr>
      </w:pPr>
      <w:r>
        <w:rPr>
          <w:rFonts w:hint="eastAsia" w:ascii="仿宋" w:hAnsi="仿宋" w:eastAsia="仿宋" w:cs="仿宋"/>
          <w:color w:val="auto"/>
          <w:spacing w:val="4"/>
          <w:szCs w:val="24"/>
          <w:highlight w:val="none"/>
        </w:rPr>
        <w:t>磋商报价</w:t>
      </w:r>
      <w:r>
        <w:rPr>
          <w:rFonts w:hint="eastAsia" w:ascii="仿宋" w:hAnsi="仿宋" w:eastAsia="仿宋" w:cs="仿宋"/>
          <w:color w:val="auto"/>
          <w:spacing w:val="4"/>
          <w:highlight w:val="none"/>
        </w:rPr>
        <w:t>为</w:t>
      </w:r>
      <w:r>
        <w:rPr>
          <w:rFonts w:hint="eastAsia" w:ascii="仿宋" w:hAnsi="仿宋" w:eastAsia="仿宋" w:cs="仿宋"/>
          <w:color w:val="auto"/>
          <w:spacing w:val="4"/>
          <w:highlight w:val="none"/>
          <w:lang w:eastAsia="zh-CN"/>
        </w:rPr>
        <w:t>小写：</w:t>
      </w:r>
      <w:r>
        <w:rPr>
          <w:rFonts w:hint="eastAsia" w:ascii="仿宋" w:hAnsi="仿宋" w:eastAsia="仿宋" w:cs="仿宋"/>
          <w:color w:val="auto"/>
          <w:spacing w:val="4"/>
          <w:highlight w:val="none"/>
        </w:rPr>
        <w:t xml:space="preserve"> </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lang w:eastAsia="zh-CN"/>
        </w:rPr>
        <w:t>大写：</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rPr>
        <w:t>）。</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如果成交，我们根据竞争性磋商文件的规定，履行合同的责任和义务。</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我们已详细阅读和审核全部竞争性磋商文件（含修改部分，如有的话），及有关附件，我们知道必须放弃提出含糊不清或误解的问题的权利。</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我们同意在磋商有效期内（</w:t>
      </w:r>
      <w:r>
        <w:rPr>
          <w:rFonts w:hint="eastAsia" w:ascii="仿宋" w:hAnsi="仿宋" w:eastAsia="仿宋" w:cs="仿宋"/>
          <w:color w:val="auto"/>
          <w:spacing w:val="4"/>
          <w:szCs w:val="24"/>
          <w:highlight w:val="none"/>
          <w:u w:val="single"/>
        </w:rPr>
        <w:t>提交响应文件的截止时间起</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个日历日</w:t>
      </w:r>
      <w:r>
        <w:rPr>
          <w:rFonts w:hint="eastAsia" w:ascii="仿宋" w:hAnsi="仿宋" w:eastAsia="仿宋" w:cs="仿宋"/>
          <w:color w:val="auto"/>
          <w:spacing w:val="4"/>
          <w:szCs w:val="24"/>
          <w:highlight w:val="none"/>
        </w:rPr>
        <w:t>），本磋商响应函对我方具有约束力。</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lang w:eastAsia="zh-CN"/>
        </w:rPr>
        <w:t>我方承诺不在磋商有效期内撤回磋商响应文件，否则将依法承担相应的责任。</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同意提供贵方可能另外要求的与本磋商有关的任何证据和资料。 </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我们同意，如果成交，向</w:t>
      </w:r>
      <w:r>
        <w:rPr>
          <w:rFonts w:hint="eastAsia" w:ascii="仿宋" w:hAnsi="仿宋" w:eastAsia="仿宋" w:cs="仿宋"/>
          <w:color w:val="auto"/>
          <w:spacing w:val="4"/>
          <w:szCs w:val="24"/>
          <w:highlight w:val="none"/>
          <w:lang w:eastAsia="zh-CN"/>
        </w:rPr>
        <w:t>陕西龙辰全过程工程咨询有限公司</w:t>
      </w:r>
      <w:r>
        <w:rPr>
          <w:rFonts w:hint="eastAsia" w:ascii="仿宋" w:hAnsi="仿宋" w:eastAsia="仿宋" w:cs="仿宋"/>
          <w:color w:val="auto"/>
          <w:spacing w:val="4"/>
          <w:szCs w:val="24"/>
          <w:highlight w:val="none"/>
        </w:rPr>
        <w:t>交纳招标代理服务费。</w:t>
      </w:r>
    </w:p>
    <w:p>
      <w:pPr>
        <w:keepNext w:val="0"/>
        <w:keepLines w:val="0"/>
        <w:pageBreakBefore w:val="0"/>
        <w:widowControl/>
        <w:numPr>
          <w:ilvl w:val="0"/>
          <w:numId w:val="3"/>
        </w:numPr>
        <w:tabs>
          <w:tab w:val="left" w:pos="2160"/>
        </w:tabs>
        <w:kinsoku/>
        <w:wordWrap/>
        <w:overflowPunct/>
        <w:topLinePunct w:val="0"/>
        <w:autoSpaceDE/>
        <w:autoSpaceDN/>
        <w:bidi w:val="0"/>
        <w:adjustRightInd w:val="0"/>
        <w:snapToGrid/>
        <w:spacing w:after="0" w:line="360" w:lineRule="auto"/>
        <w:ind w:firstLine="456" w:firstLineChars="2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与本磋商有关的一切正式往来通讯为：</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联系地址：</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供应商名称（盖章）：</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lang w:eastAsia="zh-CN"/>
        </w:rPr>
        <w:t>法定代表人/负责人</w:t>
      </w:r>
      <w:r>
        <w:rPr>
          <w:rFonts w:hint="eastAsia" w:ascii="仿宋" w:hAnsi="仿宋" w:eastAsia="仿宋" w:cs="仿宋"/>
          <w:color w:val="auto"/>
          <w:spacing w:val="4"/>
          <w:szCs w:val="24"/>
          <w:highlight w:val="none"/>
          <w:lang w:val="en-US" w:eastAsia="zh-CN"/>
        </w:rPr>
        <w:t>或</w:t>
      </w:r>
      <w:r>
        <w:rPr>
          <w:rFonts w:hint="eastAsia" w:ascii="仿宋" w:hAnsi="仿宋" w:eastAsia="仿宋" w:cs="仿宋"/>
          <w:color w:val="auto"/>
          <w:spacing w:val="4"/>
          <w:szCs w:val="24"/>
          <w:highlight w:val="none"/>
          <w:lang w:eastAsia="zh-CN"/>
        </w:rPr>
        <w:t>被授权人</w:t>
      </w:r>
      <w:r>
        <w:rPr>
          <w:rFonts w:hint="eastAsia" w:ascii="仿宋" w:hAnsi="仿宋" w:eastAsia="仿宋" w:cs="仿宋"/>
          <w:color w:val="auto"/>
          <w:spacing w:val="4"/>
          <w:szCs w:val="24"/>
          <w:highlight w:val="none"/>
        </w:rPr>
        <w:t>：</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none"/>
          <w:lang w:val="en-US" w:eastAsia="zh-CN"/>
        </w:rPr>
        <w:t>（</w:t>
      </w:r>
      <w:r>
        <w:rPr>
          <w:rFonts w:hint="eastAsia" w:ascii="仿宋" w:hAnsi="仿宋" w:eastAsia="仿宋" w:cs="仿宋"/>
          <w:color w:val="auto"/>
          <w:spacing w:val="4"/>
          <w:szCs w:val="24"/>
          <w:highlight w:val="none"/>
          <w:u w:val="none"/>
        </w:rPr>
        <w:t>签</w:t>
      </w:r>
      <w:r>
        <w:rPr>
          <w:rFonts w:hint="eastAsia" w:ascii="仿宋" w:hAnsi="仿宋" w:eastAsia="仿宋" w:cs="仿宋"/>
          <w:color w:val="auto"/>
          <w:spacing w:val="4"/>
          <w:szCs w:val="24"/>
          <w:highlight w:val="none"/>
        </w:rPr>
        <w:t>字</w:t>
      </w:r>
      <w:r>
        <w:rPr>
          <w:rFonts w:hint="eastAsia" w:ascii="仿宋" w:hAnsi="仿宋" w:eastAsia="仿宋" w:cs="仿宋"/>
          <w:color w:val="auto"/>
          <w:spacing w:val="4"/>
          <w:szCs w:val="24"/>
          <w:highlight w:val="none"/>
          <w:lang w:eastAsia="zh-CN"/>
        </w:rPr>
        <w:t>或盖章</w:t>
      </w:r>
      <w:r>
        <w:rPr>
          <w:rFonts w:hint="eastAsia" w:ascii="仿宋" w:hAnsi="仿宋" w:eastAsia="仿宋" w:cs="仿宋"/>
          <w:color w:val="auto"/>
          <w:spacing w:val="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1140" w:firstLineChars="500"/>
        <w:jc w:val="left"/>
        <w:textAlignment w:val="auto"/>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日    期：</w:t>
      </w:r>
      <w:r>
        <w:rPr>
          <w:rFonts w:hint="eastAsia" w:ascii="仿宋" w:hAnsi="仿宋" w:eastAsia="仿宋" w:cs="仿宋"/>
          <w:color w:val="auto"/>
          <w:szCs w:val="21"/>
          <w:highlight w:val="none"/>
        </w:rPr>
        <w:t xml:space="preserve">   年   月   日</w:t>
      </w:r>
    </w:p>
    <w:p>
      <w:pPr>
        <w:rPr>
          <w:rFonts w:hint="eastAsia"/>
          <w:color w:val="auto"/>
          <w:highlight w:val="none"/>
        </w:rPr>
      </w:pPr>
      <w:r>
        <w:rPr>
          <w:rFonts w:hint="eastAsia"/>
          <w:color w:val="auto"/>
          <w:highlight w:val="none"/>
        </w:rPr>
        <w:br w:type="page"/>
      </w:r>
    </w:p>
    <w:p>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仿宋" w:hAnsi="仿宋" w:eastAsia="仿宋" w:cs="仿宋"/>
          <w:color w:val="auto"/>
          <w:sz w:val="32"/>
          <w:szCs w:val="32"/>
          <w:highlight w:val="none"/>
        </w:rPr>
      </w:pPr>
      <w:bookmarkStart w:id="105" w:name="_Toc21618"/>
      <w:bookmarkStart w:id="106" w:name="_Toc31253"/>
      <w:bookmarkStart w:id="107" w:name="_Toc27328"/>
      <w:bookmarkStart w:id="108" w:name="_Toc6856"/>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、磋商报价表</w:t>
      </w:r>
      <w:bookmarkEnd w:id="105"/>
      <w:bookmarkEnd w:id="106"/>
      <w:bookmarkEnd w:id="107"/>
      <w:bookmarkEnd w:id="108"/>
    </w:p>
    <w:p>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.1报价一览表</w:t>
      </w:r>
    </w:p>
    <w:p>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color w:val="auto"/>
          <w:szCs w:val="24"/>
          <w:highlight w:val="none"/>
        </w:rPr>
      </w:pPr>
    </w:p>
    <w:p>
      <w:pPr>
        <w:keepNext w:val="0"/>
        <w:keepLines w:val="0"/>
        <w:pageBreakBefore w:val="0"/>
        <w:kinsoku/>
        <w:wordWrap/>
        <w:overflowPunct/>
        <w:topLinePunct w:val="0"/>
        <w:autoSpaceDE/>
        <w:autoSpaceDN/>
        <w:bidi w:val="0"/>
        <w:spacing w:after="0"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花园乡村积分制管理平台建设项目</w:t>
      </w:r>
      <w:r>
        <w:rPr>
          <w:rFonts w:hint="eastAsia" w:ascii="仿宋" w:hAnsi="仿宋" w:eastAsia="仿宋" w:cs="仿宋"/>
          <w:color w:val="auto"/>
          <w:highlight w:val="none"/>
        </w:rPr>
        <w:t xml:space="preserve">                                                 </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LC-ZC-2022-011</w:t>
      </w:r>
      <w:r>
        <w:rPr>
          <w:rFonts w:hint="eastAsia" w:ascii="仿宋" w:hAnsi="仿宋" w:eastAsia="仿宋" w:cs="仿宋"/>
          <w:color w:val="auto"/>
          <w:highlight w:val="none"/>
        </w:rPr>
        <w:t xml:space="preserve">                                               </w:t>
      </w:r>
    </w:p>
    <w:tbl>
      <w:tblPr>
        <w:tblStyle w:val="1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519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83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磋商总报价</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（元）</w:t>
            </w:r>
          </w:p>
        </w:tc>
        <w:tc>
          <w:tcPr>
            <w:tcW w:w="51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highlight w:val="none"/>
              </w:rPr>
              <w:t>服务期</w:t>
            </w:r>
          </w:p>
        </w:tc>
        <w:tc>
          <w:tcPr>
            <w:tcW w:w="88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83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p>
        </w:tc>
        <w:tc>
          <w:tcPr>
            <w:tcW w:w="51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p>
        </w:tc>
        <w:tc>
          <w:tcPr>
            <w:tcW w:w="88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90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jc w:val="both"/>
              <w:textAlignment w:val="auto"/>
              <w:rPr>
                <w:rFonts w:hint="eastAsia" w:ascii="仿宋" w:hAnsi="仿宋" w:eastAsia="仿宋" w:cs="仿宋"/>
                <w:color w:val="auto"/>
                <w:szCs w:val="24"/>
                <w:highlight w:val="none"/>
                <w:u w:val="single"/>
                <w:lang w:val="en-US" w:eastAsia="zh-CN"/>
              </w:rPr>
            </w:pPr>
            <w:r>
              <w:rPr>
                <w:rFonts w:hint="eastAsia" w:ascii="仿宋" w:hAnsi="仿宋" w:eastAsia="仿宋" w:cs="仿宋"/>
                <w:color w:val="auto"/>
                <w:szCs w:val="24"/>
                <w:highlight w:val="none"/>
              </w:rPr>
              <w:t xml:space="preserve">总报价：人民币（大写） </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0" w:beforeLines="100" w:after="0" w:line="240" w:lineRule="auto"/>
              <w:ind w:right="0" w:rightChars="0" w:firstLine="0" w:firstLineChars="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（小写：￥</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90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备注：表内报价内容以</w:t>
            </w:r>
            <w:r>
              <w:rPr>
                <w:rFonts w:hint="eastAsia" w:ascii="仿宋" w:hAnsi="仿宋" w:eastAsia="仿宋" w:cs="仿宋"/>
                <w:color w:val="auto"/>
                <w:szCs w:val="24"/>
                <w:highlight w:val="none"/>
              </w:rPr>
              <w:t>元</w:t>
            </w:r>
            <w:r>
              <w:rPr>
                <w:rFonts w:hint="eastAsia" w:ascii="仿宋" w:hAnsi="仿宋" w:eastAsia="仿宋" w:cs="仿宋"/>
                <w:color w:val="auto"/>
                <w:szCs w:val="24"/>
                <w:highlight w:val="none"/>
              </w:rPr>
              <w:t>为单位，保留小数点后（</w:t>
            </w:r>
            <w:r>
              <w:rPr>
                <w:rFonts w:hint="eastAsia" w:ascii="仿宋" w:hAnsi="仿宋" w:eastAsia="仿宋" w:cs="仿宋"/>
                <w:b/>
                <w:color w:val="auto"/>
                <w:szCs w:val="24"/>
                <w:highlight w:val="none"/>
              </w:rPr>
              <w:t>两位</w:t>
            </w:r>
            <w:r>
              <w:rPr>
                <w:rFonts w:hint="eastAsia" w:ascii="仿宋" w:hAnsi="仿宋" w:eastAsia="仿宋" w:cs="仿宋"/>
                <w:color w:val="auto"/>
                <w:szCs w:val="24"/>
                <w:highlight w:val="none"/>
              </w:rPr>
              <w:t>）。</w:t>
            </w:r>
          </w:p>
        </w:tc>
      </w:tr>
    </w:tbl>
    <w:p>
      <w:pPr>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p>
    <w:p>
      <w:pPr>
        <w:keepNext w:val="0"/>
        <w:keepLines w:val="0"/>
        <w:pageBreakBefore w:val="0"/>
        <w:kinsoku/>
        <w:wordWrap/>
        <w:overflowPunct/>
        <w:topLinePunct w:val="0"/>
        <w:autoSpaceDE/>
        <w:autoSpaceDN/>
        <w:bidi w:val="0"/>
        <w:spacing w:after="0" w:line="480" w:lineRule="auto"/>
        <w:ind w:right="565" w:rightChars="257"/>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kinsoku/>
        <w:wordWrap/>
        <w:overflowPunct/>
        <w:topLinePunct w:val="0"/>
        <w:autoSpaceDE/>
        <w:autoSpaceDN/>
        <w:bidi w:val="0"/>
        <w:spacing w:after="0" w:line="480" w:lineRule="auto"/>
        <w:ind w:right="565" w:rightChars="257"/>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keepNext w:val="0"/>
        <w:keepLines w:val="0"/>
        <w:pageBreakBefore w:val="0"/>
        <w:kinsoku/>
        <w:wordWrap/>
        <w:overflowPunct/>
        <w:topLinePunct w:val="0"/>
        <w:autoSpaceDE/>
        <w:autoSpaceDN/>
        <w:bidi w:val="0"/>
        <w:spacing w:after="0" w:line="480" w:lineRule="auto"/>
        <w:textAlignment w:val="auto"/>
        <w:rPr>
          <w:rFonts w:hint="eastAsia" w:ascii="仿宋" w:hAnsi="仿宋" w:eastAsia="仿宋" w:cs="仿宋"/>
          <w:b/>
          <w:bCs/>
          <w:color w:val="auto"/>
          <w:szCs w:val="24"/>
          <w:highlight w:val="none"/>
        </w:rPr>
      </w:pPr>
    </w:p>
    <w:p>
      <w:pPr>
        <w:keepNext w:val="0"/>
        <w:keepLines w:val="0"/>
        <w:pageBreakBefore w:val="0"/>
        <w:kinsoku/>
        <w:wordWrap/>
        <w:overflowPunct/>
        <w:topLinePunct w:val="0"/>
        <w:autoSpaceDE/>
        <w:autoSpaceDN/>
        <w:bidi w:val="0"/>
        <w:spacing w:after="0" w:line="480" w:lineRule="auto"/>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注：</w:t>
      </w:r>
      <w:r>
        <w:rPr>
          <w:rFonts w:hint="eastAsia" w:ascii="仿宋" w:hAnsi="仿宋" w:eastAsia="仿宋" w:cs="仿宋"/>
          <w:b/>
          <w:bCs/>
          <w:color w:val="auto"/>
          <w:szCs w:val="24"/>
          <w:highlight w:val="none"/>
          <w:lang w:val="en-US" w:eastAsia="zh-CN"/>
        </w:rPr>
        <w:t>报价一览表除在竞争性磋商响应文件内装订外，再制作一份原件</w:t>
      </w:r>
      <w:r>
        <w:rPr>
          <w:rFonts w:hint="eastAsia" w:ascii="仿宋" w:hAnsi="仿宋" w:eastAsia="仿宋" w:cs="仿宋"/>
          <w:b/>
          <w:bCs/>
          <w:color w:val="auto"/>
          <w:szCs w:val="24"/>
          <w:highlight w:val="none"/>
        </w:rPr>
        <w:t>密封单独提交。严格按照表格格式报价。</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.2磋商分项报价表</w:t>
      </w:r>
    </w:p>
    <w:p>
      <w:pPr>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spacing w:after="0"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花园乡村积分制管理平台建设项目</w:t>
      </w:r>
      <w:r>
        <w:rPr>
          <w:rFonts w:hint="eastAsia" w:ascii="仿宋" w:hAnsi="仿宋" w:eastAsia="仿宋" w:cs="仿宋"/>
          <w:color w:val="auto"/>
          <w:highlight w:val="none"/>
        </w:rPr>
        <w:t xml:space="preserve">                                                 </w:t>
      </w:r>
    </w:p>
    <w:p>
      <w:pPr>
        <w:spacing w:line="360" w:lineRule="auto"/>
        <w:jc w:val="both"/>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LC-ZC-2022-011</w:t>
      </w:r>
    </w:p>
    <w:p>
      <w:pPr>
        <w:kinsoku w:val="0"/>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（格式自拟）</w:t>
      </w:r>
    </w:p>
    <w:p>
      <w:pPr>
        <w:kinsoku w:val="0"/>
        <w:spacing w:line="360" w:lineRule="auto"/>
        <w:jc w:val="left"/>
        <w:rPr>
          <w:rFonts w:hint="eastAsia" w:ascii="仿宋" w:hAnsi="仿宋" w:eastAsia="仿宋" w:cs="仿宋"/>
          <w:b/>
          <w:bCs/>
          <w:color w:val="auto"/>
          <w:sz w:val="22"/>
          <w:szCs w:val="22"/>
          <w:highlight w:val="none"/>
        </w:rPr>
      </w:pPr>
    </w:p>
    <w:p>
      <w:pPr>
        <w:kinsoku w:val="0"/>
        <w:spacing w:line="360" w:lineRule="auto"/>
        <w:jc w:val="left"/>
        <w:rPr>
          <w:rFonts w:hint="eastAsia" w:ascii="仿宋" w:hAnsi="仿宋" w:eastAsia="仿宋" w:cs="仿宋"/>
          <w:b/>
          <w:bCs/>
          <w:color w:val="auto"/>
          <w:sz w:val="22"/>
          <w:szCs w:val="22"/>
          <w:highlight w:val="none"/>
        </w:rPr>
      </w:pPr>
    </w:p>
    <w:p>
      <w:pPr>
        <w:kinsoku w:val="0"/>
        <w:spacing w:line="360" w:lineRule="auto"/>
        <w:jc w:val="left"/>
        <w:rPr>
          <w:rFonts w:hint="eastAsia" w:ascii="仿宋" w:hAnsi="仿宋" w:eastAsia="仿宋" w:cs="仿宋"/>
          <w:b/>
          <w:bCs/>
          <w:color w:val="auto"/>
          <w:spacing w:val="-6"/>
          <w:sz w:val="22"/>
          <w:szCs w:val="22"/>
          <w:highlight w:val="none"/>
        </w:rPr>
      </w:pPr>
    </w:p>
    <w:p>
      <w:pPr>
        <w:kinsoku w:val="0"/>
        <w:spacing w:line="360" w:lineRule="auto"/>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注：1</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如果按单价计算的结果与总价不一致，以单价为准修正总价。</w:t>
      </w:r>
    </w:p>
    <w:p>
      <w:pPr>
        <w:kinsoku w:val="0"/>
        <w:spacing w:line="360" w:lineRule="auto"/>
        <w:ind w:firstLine="442" w:firstLineChars="200"/>
        <w:jc w:val="left"/>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pacing w:val="-6"/>
          <w:sz w:val="22"/>
          <w:szCs w:val="22"/>
          <w:highlight w:val="none"/>
        </w:rPr>
        <w:t>保留小数点后两位。</w:t>
      </w:r>
    </w:p>
    <w:p>
      <w:pPr>
        <w:kinsoku w:val="0"/>
        <w:spacing w:line="360" w:lineRule="auto"/>
        <w:ind w:firstLine="442" w:firstLineChars="20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 xml:space="preserve"> </w:t>
      </w:r>
    </w:p>
    <w:p>
      <w:pPr>
        <w:kinsoku w:val="0"/>
        <w:spacing w:line="360" w:lineRule="auto"/>
        <w:jc w:val="left"/>
        <w:rPr>
          <w:rFonts w:hint="eastAsia" w:ascii="仿宋" w:hAnsi="仿宋" w:eastAsia="仿宋" w:cs="仿宋"/>
          <w:b/>
          <w:bCs/>
          <w:color w:val="auto"/>
          <w:sz w:val="22"/>
          <w:szCs w:val="22"/>
          <w:highlight w:val="none"/>
        </w:rPr>
      </w:pPr>
    </w:p>
    <w:p>
      <w:pPr>
        <w:pStyle w:val="2"/>
        <w:rPr>
          <w:rFonts w:hint="eastAsia" w:ascii="仿宋" w:hAnsi="仿宋" w:eastAsia="仿宋" w:cs="仿宋"/>
          <w:color w:val="auto"/>
          <w:highlight w:val="none"/>
        </w:rPr>
      </w:pPr>
    </w:p>
    <w:p>
      <w:pPr>
        <w:spacing w:line="360" w:lineRule="auto"/>
        <w:ind w:left="480" w:hanging="480" w:hangingChars="200"/>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spacing w:after="0" w:line="480" w:lineRule="auto"/>
        <w:ind w:right="565" w:rightChars="257"/>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kinsoku/>
        <w:wordWrap/>
        <w:overflowPunct/>
        <w:topLinePunct w:val="0"/>
        <w:autoSpaceDE/>
        <w:autoSpaceDN/>
        <w:bidi w:val="0"/>
        <w:spacing w:after="0" w:line="480" w:lineRule="auto"/>
        <w:ind w:right="565" w:rightChars="257"/>
        <w:textAlignment w:val="auto"/>
        <w:rPr>
          <w:rFonts w:hint="eastAsia" w:ascii="仿宋" w:hAnsi="仿宋" w:eastAsia="仿宋" w:cs="仿宋"/>
          <w:color w:val="auto"/>
          <w:szCs w:val="21"/>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pStyle w:val="2"/>
        <w:jc w:val="both"/>
        <w:rPr>
          <w:rFonts w:hint="eastAsia" w:ascii="仿宋" w:hAnsi="仿宋" w:eastAsia="仿宋" w:cs="仿宋"/>
          <w:color w:val="auto"/>
          <w:highlight w:val="none"/>
        </w:rPr>
        <w:sectPr>
          <w:footerReference r:id="rId4" w:type="default"/>
          <w:footnotePr>
            <w:numFmt w:val="decimalEnclosedCircleChinese"/>
            <w:numRestart w:val="eachPage"/>
          </w:footnotePr>
          <w:pgSz w:w="11907" w:h="16840"/>
          <w:pgMar w:top="1440" w:right="1361" w:bottom="1440" w:left="1361" w:header="720" w:footer="680" w:gutter="0"/>
          <w:pgBorders>
            <w:top w:val="none" w:sz="0" w:space="0"/>
            <w:left w:val="none" w:sz="0" w:space="0"/>
            <w:bottom w:val="none" w:sz="0" w:space="0"/>
            <w:right w:val="none" w:sz="0" w:space="0"/>
          </w:pgBorders>
          <w:pgNumType w:fmt="decimal" w:start="1"/>
          <w:cols w:space="720" w:num="1"/>
        </w:sectPr>
      </w:pPr>
    </w:p>
    <w:p>
      <w:pPr>
        <w:jc w:val="center"/>
        <w:rPr>
          <w:rFonts w:hint="eastAsia" w:ascii="仿宋" w:hAnsi="仿宋" w:eastAsia="仿宋" w:cs="仿宋"/>
          <w:b/>
          <w:bCs/>
          <w:color w:val="auto"/>
          <w:sz w:val="32"/>
          <w:szCs w:val="32"/>
          <w:highlight w:val="none"/>
        </w:rPr>
      </w:pPr>
      <w:bookmarkStart w:id="109" w:name="_Toc31597"/>
      <w:bookmarkStart w:id="110" w:name="_Toc26962"/>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、磋商方案说明书</w:t>
      </w:r>
      <w:bookmarkEnd w:id="109"/>
      <w:bookmarkEnd w:id="110"/>
    </w:p>
    <w:p>
      <w:pPr>
        <w:spacing w:line="480" w:lineRule="auto"/>
        <w:ind w:firstLine="44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供应商按磋商文件的要求，依据评审方法附件2“</w:t>
      </w:r>
      <w:r>
        <w:rPr>
          <w:rFonts w:hint="eastAsia" w:ascii="仿宋" w:hAnsi="仿宋" w:eastAsia="仿宋" w:cs="仿宋"/>
          <w:b/>
          <w:color w:val="auto"/>
          <w:spacing w:val="4"/>
          <w:szCs w:val="24"/>
          <w:highlight w:val="none"/>
        </w:rPr>
        <w:t>评标因素及权重分值表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相关内容编写，格式自拟，评标因素及权重分值表要求内容，在磋商方案说明书中必须逐项对应编制。</w:t>
      </w:r>
    </w:p>
    <w:p>
      <w:pP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br w:type="page"/>
      </w:r>
    </w:p>
    <w:p>
      <w:pPr>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附表：               </w:t>
      </w:r>
      <w:r>
        <w:rPr>
          <w:rFonts w:hint="eastAsia" w:ascii="仿宋" w:hAnsi="仿宋" w:eastAsia="仿宋" w:cs="仿宋"/>
          <w:b/>
          <w:color w:val="auto"/>
          <w:sz w:val="30"/>
          <w:szCs w:val="30"/>
          <w:highlight w:val="none"/>
        </w:rPr>
        <w:t>响应偏差表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031"/>
        <w:gridCol w:w="2619"/>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序号</w:t>
            </w:r>
          </w:p>
        </w:tc>
        <w:tc>
          <w:tcPr>
            <w:tcW w:w="311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竞争性磋商文件要求</w:t>
            </w:r>
          </w:p>
        </w:tc>
        <w:tc>
          <w:tcPr>
            <w:tcW w:w="269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供应商响应</w:t>
            </w:r>
          </w:p>
        </w:tc>
        <w:tc>
          <w:tcPr>
            <w:tcW w:w="19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w:t>
            </w:r>
          </w:p>
        </w:tc>
        <w:tc>
          <w:tcPr>
            <w:tcW w:w="311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269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19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lang w:val="en-US" w:eastAsia="zh-CN"/>
              </w:rPr>
              <w:t>2</w:t>
            </w:r>
          </w:p>
        </w:tc>
        <w:tc>
          <w:tcPr>
            <w:tcW w:w="311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269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19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w:t>
            </w:r>
          </w:p>
        </w:tc>
        <w:tc>
          <w:tcPr>
            <w:tcW w:w="311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269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c>
          <w:tcPr>
            <w:tcW w:w="19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color w:val="auto"/>
                <w:sz w:val="22"/>
                <w:szCs w:val="22"/>
                <w:highlight w:val="none"/>
                <w:lang w:val="zh-CN"/>
              </w:rPr>
            </w:pPr>
          </w:p>
        </w:tc>
      </w:tr>
    </w:tbl>
    <w:p>
      <w:pPr>
        <w:autoSpaceDE w:val="0"/>
        <w:autoSpaceDN w:val="0"/>
        <w:adjustRightInd w:val="0"/>
        <w:spacing w:line="360" w:lineRule="auto"/>
        <w:jc w:val="left"/>
        <w:rPr>
          <w:rFonts w:hint="eastAsia" w:ascii="仿宋" w:hAnsi="仿宋" w:eastAsia="仿宋" w:cs="仿宋"/>
          <w:color w:val="auto"/>
          <w:sz w:val="22"/>
          <w:szCs w:val="22"/>
          <w:highlight w:val="none"/>
          <w:lang w:val="zh-CN"/>
        </w:rPr>
      </w:pPr>
    </w:p>
    <w:p>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textAlignment w:val="auto"/>
        <w:rPr>
          <w:rFonts w:hint="eastAsia" w:ascii="仿宋" w:hAnsi="仿宋" w:eastAsia="仿宋" w:cs="仿宋"/>
          <w:color w:val="auto"/>
          <w:szCs w:val="24"/>
          <w:highlight w:val="none"/>
          <w:lang w:val="zh-CN" w:eastAsia="zh-CN"/>
        </w:rPr>
      </w:pPr>
      <w:r>
        <w:rPr>
          <w:rFonts w:hint="eastAsia" w:ascii="仿宋" w:hAnsi="仿宋" w:eastAsia="仿宋" w:cs="仿宋"/>
          <w:color w:val="auto"/>
          <w:szCs w:val="24"/>
          <w:highlight w:val="none"/>
          <w:lang w:val="zh-CN" w:eastAsia="zh-CN"/>
        </w:rPr>
        <w:t>说明：</w:t>
      </w:r>
    </w:p>
    <w:p>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zh-CN" w:eastAsia="zh-CN"/>
        </w:rPr>
        <w:t>1、</w:t>
      </w:r>
      <w:r>
        <w:rPr>
          <w:rFonts w:hint="eastAsia" w:ascii="仿宋" w:hAnsi="仿宋" w:eastAsia="仿宋" w:cs="仿宋"/>
          <w:color w:val="auto"/>
          <w:szCs w:val="24"/>
          <w:highlight w:val="none"/>
          <w:lang w:val="en-US" w:eastAsia="zh-CN"/>
        </w:rPr>
        <w:t>供应商必须将磋商文件中第四章磋商内容及要求的全部内容逐项列入此表。</w:t>
      </w:r>
    </w:p>
    <w:p>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val="zh-CN" w:eastAsia="zh-CN"/>
        </w:rPr>
        <w:t>如有偏离，供应商应逐条说明，并在偏离说明栏一栏中注明</w:t>
      </w:r>
      <w:r>
        <w:rPr>
          <w:rFonts w:hint="eastAsia" w:ascii="仿宋" w:hAnsi="仿宋" w:eastAsia="仿宋" w:cs="仿宋"/>
          <w:color w:val="auto"/>
          <w:szCs w:val="24"/>
          <w:highlight w:val="none"/>
          <w:lang w:val="en-US" w:eastAsia="zh-CN"/>
        </w:rPr>
        <w:t>“正偏离”、“响应”或“负偏离”。</w:t>
      </w:r>
    </w:p>
    <w:p>
      <w:pPr>
        <w:pStyle w:val="14"/>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color w:val="auto"/>
          <w:highlight w:val="none"/>
          <w:lang w:val="en-US" w:eastAsia="zh-CN"/>
        </w:rPr>
      </w:pPr>
    </w:p>
    <w:p>
      <w:pPr>
        <w:pStyle w:val="14"/>
        <w:rPr>
          <w:rFonts w:hint="eastAsia"/>
          <w:color w:val="auto"/>
          <w:highlight w:val="none"/>
        </w:rPr>
      </w:pPr>
    </w:p>
    <w:p>
      <w:pPr>
        <w:keepNext w:val="0"/>
        <w:keepLines w:val="0"/>
        <w:pageBreakBefore w:val="0"/>
        <w:kinsoku/>
        <w:wordWrap/>
        <w:overflowPunct/>
        <w:topLinePunct w:val="0"/>
        <w:autoSpaceDE/>
        <w:autoSpaceDN/>
        <w:bidi w:val="0"/>
        <w:snapToGrid/>
        <w:spacing w:after="0" w:line="480" w:lineRule="auto"/>
        <w:ind w:right="565" w:rightChars="257"/>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kinsoku/>
        <w:wordWrap/>
        <w:overflowPunct/>
        <w:topLinePunct w:val="0"/>
        <w:autoSpaceDE/>
        <w:autoSpaceDN/>
        <w:bidi w:val="0"/>
        <w:snapToGrid/>
        <w:spacing w:after="0" w:line="480" w:lineRule="auto"/>
        <w:ind w:right="565" w:rightChars="257"/>
        <w:textAlignment w:val="auto"/>
        <w:rPr>
          <w:rFonts w:hint="eastAsia" w:ascii="仿宋" w:hAnsi="仿宋" w:eastAsia="仿宋" w:cs="仿宋"/>
          <w:color w:val="auto"/>
          <w:szCs w:val="21"/>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rPr>
          <w:rFonts w:hint="eastAsia"/>
          <w:color w:val="auto"/>
          <w:highlight w:val="none"/>
        </w:rPr>
      </w:pPr>
      <w:r>
        <w:rPr>
          <w:rFonts w:hint="eastAsia"/>
          <w:color w:val="auto"/>
          <w:highlight w:val="none"/>
        </w:rPr>
        <w:br w:type="page"/>
      </w:r>
    </w:p>
    <w:p>
      <w:pPr>
        <w:numPr>
          <w:ilvl w:val="0"/>
          <w:numId w:val="0"/>
        </w:numPr>
        <w:snapToGrid/>
        <w:spacing w:after="0" w:line="360"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四、承诺书</w:t>
      </w:r>
    </w:p>
    <w:p>
      <w:pPr>
        <w:numPr>
          <w:ilvl w:val="0"/>
          <w:numId w:val="0"/>
        </w:numPr>
        <w:snapToGrid/>
        <w:spacing w:after="0" w:line="360" w:lineRule="auto"/>
        <w:jc w:val="center"/>
        <w:rPr>
          <w:rFonts w:ascii="仿宋" w:hAnsi="仿宋" w:eastAsia="仿宋" w:cs="宋体"/>
          <w:b/>
          <w:color w:val="auto"/>
          <w:sz w:val="28"/>
          <w:szCs w:val="36"/>
          <w:highlight w:val="none"/>
        </w:rPr>
      </w:pPr>
      <w:r>
        <w:rPr>
          <w:rFonts w:hint="eastAsia" w:ascii="仿宋" w:hAnsi="仿宋" w:eastAsia="仿宋" w:cs="宋体"/>
          <w:b/>
          <w:color w:val="auto"/>
          <w:sz w:val="28"/>
          <w:szCs w:val="36"/>
          <w:highlight w:val="none"/>
          <w:lang w:val="zh-CN"/>
        </w:rPr>
        <w:t>参加政府采购活动行为自律承诺书</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作为参加本次政府采购项目的供应商，我方郑重承诺在参与政府采购活动中遵纪守法、公平竞争、诚实守信，如有违反愿承担一切责任及后果：</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1．不与采购人、采购代理机构、政府采购评审专家恶意串通，不向其行贿或提供其他不正当利益；</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2．不与其他供应商恶意串通，采取“围标、串标、陪标”等商业欺诈手段谋取中标、成交；</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4．不采取不正当手段诋毁、排挤其他供应商；</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5．不以不正当理由拒不与采购人签订政府采购合同，或逾期签订政府采购合同，或不按照采购文件确定的事项签订政府采购合同；</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6．不以不正当理由拒绝履行合同义务，不会擅自变更、中止或者终止政府采购合同或将政府采购合同转包；</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7．不在提供商品、服务或工程施工过程中提供假冒伪劣产品，损害采购人的合法权益或公共利益；</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8．不采取捏造事实、提供虚假材料或者以非法手段取得证明材料进行质疑和投诉；</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9．不发生其他有悖于政府采购公开、公平、公正和诚信原则的行为。</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10．尊重和接受政府采购监督管理部门的监督和采购人、采购代理机构的政府采购工作要求，愿意承担因违约行为给采购人造成的损失。</w:t>
      </w:r>
    </w:p>
    <w:p>
      <w:pPr>
        <w:tabs>
          <w:tab w:val="left" w:pos="0"/>
        </w:tabs>
        <w:snapToGrid/>
        <w:spacing w:after="0" w:line="360" w:lineRule="auto"/>
        <w:rPr>
          <w:rFonts w:hint="eastAsia" w:ascii="仿宋" w:hAnsi="仿宋" w:eastAsia="仿宋" w:cs="仿宋"/>
          <w:color w:val="auto"/>
          <w:szCs w:val="24"/>
          <w:highlight w:val="none"/>
        </w:rPr>
      </w:pPr>
    </w:p>
    <w:p>
      <w:pPr>
        <w:tabs>
          <w:tab w:val="left" w:pos="0"/>
        </w:tabs>
        <w:snapToGrid/>
        <w:spacing w:after="0" w:line="360" w:lineRule="auto"/>
        <w:rPr>
          <w:rFonts w:hint="eastAsia" w:ascii="仿宋" w:hAnsi="仿宋" w:eastAsia="仿宋" w:cs="仿宋"/>
          <w:color w:val="auto"/>
          <w:szCs w:val="24"/>
          <w:highlight w:val="none"/>
        </w:rPr>
      </w:pPr>
    </w:p>
    <w:p>
      <w:pPr>
        <w:tabs>
          <w:tab w:val="left" w:pos="0"/>
        </w:tabs>
        <w:snapToGrid/>
        <w:spacing w:after="0"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kinsoku/>
        <w:wordWrap/>
        <w:overflowPunct/>
        <w:topLinePunct w:val="0"/>
        <w:autoSpaceDE/>
        <w:autoSpaceDN/>
        <w:bidi w:val="0"/>
        <w:snapToGrid/>
        <w:spacing w:after="0" w:line="480" w:lineRule="auto"/>
        <w:ind w:right="565" w:rightChars="257"/>
        <w:textAlignment w:val="auto"/>
        <w:rPr>
          <w:rFonts w:hint="eastAsia" w:ascii="仿宋" w:hAnsi="仿宋" w:eastAsia="仿宋" w:cs="仿宋"/>
          <w:color w:val="auto"/>
          <w:szCs w:val="21"/>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五、资格审查文件</w:t>
      </w:r>
    </w:p>
    <w:p>
      <w:pPr>
        <w:keepNext w:val="0"/>
        <w:keepLines w:val="0"/>
        <w:pageBreakBefore w:val="0"/>
        <w:kinsoku/>
        <w:wordWrap/>
        <w:overflowPunct/>
        <w:topLinePunct w:val="0"/>
        <w:autoSpaceDE/>
        <w:autoSpaceDN/>
        <w:bidi w:val="0"/>
        <w:snapToGrid/>
        <w:spacing w:after="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（一）基本资格条件：符合《中华人民共和国政府采购法》第二十二条的规定，并提供以下资料；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2021年度经审计的财务报告（成立时间至提交响应文件截止时间不足一年的可提供成立后任意时段的资产负债表），或开标前六个月内其基本存款账户开户银行出具的资信证明及基本存款账户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（3）提供2022年1月至今已缴纳的至少一个月的纳税证明或完税证明，依法免税的单位应提供相关证明材料。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（4）提供2022年1月至今已缴存的至少一个月的社会保险参保缴费情况证明，依法不需要缴纳社会保障资金的单位应提供相关证明材料。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（5）具有履行合同所必需的设备和专业技术能力的承诺。（格式自拟）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（6）提供参加本次政府采购活动前三年内在经营活动中没有重大违法记录的书面声明。（格式自拟）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法定代表人授权书（附法定代表人、被授权人身份证复印件）及被授权人身份证（法定代表人直接参加投标，须提供法定代表人身份证明及身份证原件）。</w:t>
      </w:r>
    </w:p>
    <w:p>
      <w:pPr>
        <w:pStyle w:val="14"/>
        <w:rPr>
          <w:rFonts w:hint="eastAsia"/>
          <w:color w:val="auto"/>
          <w:highlight w:val="none"/>
          <w:lang w:val="en-US" w:eastAsia="zh-CN"/>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165" w:beforeLines="50"/>
        <w:jc w:val="both"/>
        <w:textAlignment w:val="auto"/>
        <w:outlineLvl w:val="9"/>
        <w:rPr>
          <w:rFonts w:hint="default"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附件一</w:t>
      </w:r>
    </w:p>
    <w:p>
      <w:pPr>
        <w:pStyle w:val="2"/>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法定代表人/负责人身份证明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kern w:val="0"/>
          <w:sz w:val="22"/>
          <w:szCs w:val="22"/>
          <w:highlight w:val="none"/>
        </w:rPr>
        <w:t>名称：</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统一社会信用代码：</w:t>
      </w:r>
      <w:r>
        <w:rPr>
          <w:rFonts w:hint="eastAsia" w:ascii="仿宋" w:hAnsi="仿宋" w:eastAsia="仿宋" w:cs="仿宋"/>
          <w:color w:val="auto"/>
          <w:kern w:val="0"/>
          <w:sz w:val="22"/>
          <w:szCs w:val="22"/>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注册地址：</w:t>
      </w:r>
      <w:r>
        <w:rPr>
          <w:rFonts w:hint="eastAsia" w:ascii="仿宋" w:hAnsi="仿宋" w:eastAsia="仿宋" w:cs="仿宋"/>
          <w:color w:val="auto"/>
          <w:kern w:val="0"/>
          <w:sz w:val="22"/>
          <w:szCs w:val="22"/>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成立时间：</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年 </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日</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u w:val="single"/>
        </w:rPr>
      </w:pPr>
      <w:r>
        <w:rPr>
          <w:rFonts w:hint="eastAsia" w:ascii="仿宋" w:hAnsi="仿宋" w:eastAsia="仿宋" w:cs="仿宋"/>
          <w:color w:val="auto"/>
          <w:kern w:val="0"/>
          <w:sz w:val="22"/>
          <w:szCs w:val="22"/>
          <w:highlight w:val="none"/>
        </w:rPr>
        <w:t>经营期限：</w:t>
      </w:r>
      <w:r>
        <w:rPr>
          <w:rFonts w:hint="eastAsia" w:ascii="仿宋" w:hAnsi="仿宋" w:eastAsia="仿宋" w:cs="仿宋"/>
          <w:color w:val="auto"/>
          <w:kern w:val="0"/>
          <w:sz w:val="22"/>
          <w:szCs w:val="22"/>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姓名：</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性别：</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年龄：</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系</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名称）的法定代表人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kern w:val="0"/>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40" w:firstLineChars="200"/>
        <w:jc w:val="left"/>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sz w:val="22"/>
          <w:szCs w:val="22"/>
          <w:highlight w:val="none"/>
          <w:lang w:val="en-US" w:eastAsia="zh-CN"/>
        </w:rPr>
        <w:t>后附</w:t>
      </w:r>
      <w:r>
        <w:rPr>
          <w:rFonts w:hint="eastAsia" w:ascii="仿宋" w:hAnsi="仿宋" w:eastAsia="仿宋" w:cs="仿宋"/>
          <w:color w:val="auto"/>
          <w:sz w:val="22"/>
          <w:szCs w:val="22"/>
          <w:highlight w:val="none"/>
        </w:rPr>
        <w:t>法定代表人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z w:val="22"/>
          <w:szCs w:val="22"/>
          <w:highlight w:val="none"/>
        </w:rPr>
        <w:t>身份证复印件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正反面</w:t>
      </w:r>
      <w:r>
        <w:rPr>
          <w:rFonts w:hint="eastAsia" w:ascii="仿宋" w:hAnsi="仿宋" w:eastAsia="仿宋" w:cs="仿宋"/>
          <w:color w:val="auto"/>
          <w:sz w:val="22"/>
          <w:szCs w:val="22"/>
          <w:highlight w:val="none"/>
          <w:lang w:eastAsia="zh-CN"/>
        </w:rPr>
        <w:t>）</w:t>
      </w:r>
    </w:p>
    <w:p>
      <w:pPr>
        <w:snapToGrid w:val="0"/>
        <w:spacing w:line="480" w:lineRule="auto"/>
        <w:rPr>
          <w:rFonts w:hint="eastAsia" w:ascii="仿宋" w:hAnsi="仿宋" w:eastAsia="仿宋" w:cs="仿宋"/>
          <w:color w:val="auto"/>
          <w:sz w:val="22"/>
          <w:szCs w:val="22"/>
          <w:highlight w:val="none"/>
        </w:rPr>
      </w:pPr>
    </w:p>
    <w:p>
      <w:pPr>
        <w:adjustRightInd w:val="0"/>
        <w:snapToGrid w:val="0"/>
        <w:spacing w:line="360" w:lineRule="auto"/>
        <w:rPr>
          <w:rFonts w:hint="eastAsia" w:ascii="仿宋" w:hAnsi="仿宋" w:eastAsia="仿宋" w:cs="仿宋"/>
          <w:color w:val="auto"/>
          <w:sz w:val="22"/>
          <w:szCs w:val="22"/>
          <w:highlight w:val="none"/>
        </w:rPr>
      </w:pPr>
    </w:p>
    <w:p>
      <w:pPr>
        <w:adjustRightInd w:val="0"/>
        <w:snapToGrid w:val="0"/>
        <w:spacing w:line="360" w:lineRule="auto"/>
        <w:ind w:right="420"/>
        <w:rPr>
          <w:rFonts w:hint="eastAsia" w:ascii="仿宋" w:hAnsi="仿宋" w:eastAsia="仿宋" w:cs="仿宋"/>
          <w:color w:val="auto"/>
          <w:sz w:val="22"/>
          <w:szCs w:val="22"/>
          <w:highlight w:val="none"/>
        </w:rPr>
      </w:pPr>
    </w:p>
    <w:p>
      <w:pPr>
        <w:adjustRightInd w:val="0"/>
        <w:snapToGrid w:val="0"/>
        <w:spacing w:line="360" w:lineRule="auto"/>
        <w:ind w:right="420"/>
        <w:rPr>
          <w:rFonts w:hint="eastAsia" w:ascii="仿宋" w:hAnsi="仿宋" w:eastAsia="仿宋" w:cs="仿宋"/>
          <w:color w:val="auto"/>
          <w:sz w:val="22"/>
          <w:szCs w:val="22"/>
          <w:highlight w:val="none"/>
        </w:rPr>
      </w:pPr>
    </w:p>
    <w:p>
      <w:pPr>
        <w:adjustRightInd w:val="0"/>
        <w:snapToGrid w:val="0"/>
        <w:spacing w:line="360" w:lineRule="auto"/>
        <w:ind w:right="420"/>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righ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Cs w:val="24"/>
          <w:highlight w:val="none"/>
        </w:rPr>
        <w:t>日期：</w:t>
      </w:r>
      <w:r>
        <w:rPr>
          <w:rFonts w:hint="eastAsia" w:ascii="仿宋" w:hAnsi="仿宋" w:eastAsia="仿宋" w:cs="仿宋"/>
          <w:color w:val="auto"/>
          <w:szCs w:val="21"/>
          <w:highlight w:val="none"/>
        </w:rPr>
        <w:t xml:space="preserve">   年   月   日</w:t>
      </w:r>
    </w:p>
    <w:p>
      <w:pPr>
        <w:pStyle w:val="2"/>
        <w:numPr>
          <w:ilvl w:val="0"/>
          <w:numId w:val="0"/>
        </w:numPr>
        <w:ind w:leftChars="200"/>
        <w:rPr>
          <w:rFonts w:hint="eastAsia" w:ascii="仿宋" w:hAnsi="仿宋" w:eastAsia="仿宋" w:cs="仿宋"/>
          <w:color w:val="auto"/>
          <w:sz w:val="22"/>
          <w:szCs w:val="22"/>
          <w:highlight w:val="none"/>
        </w:rPr>
      </w:pPr>
    </w:p>
    <w:p>
      <w:pPr>
        <w:pStyle w:val="22"/>
        <w:spacing w:line="360" w:lineRule="auto"/>
        <w:jc w:val="left"/>
        <w:rPr>
          <w:rFonts w:hint="eastAsia" w:ascii="仿宋" w:hAnsi="仿宋" w:eastAsia="仿宋" w:cs="仿宋"/>
          <w:b w:val="0"/>
          <w:color w:val="auto"/>
          <w:sz w:val="22"/>
          <w:szCs w:val="22"/>
          <w:highlight w:val="none"/>
          <w:lang w:eastAsia="zh-CN"/>
        </w:rPr>
      </w:pPr>
      <w:r>
        <w:rPr>
          <w:rFonts w:hint="eastAsia" w:ascii="仿宋" w:hAnsi="仿宋" w:eastAsia="仿宋" w:cs="仿宋"/>
          <w:b/>
          <w:bCs/>
          <w:color w:val="auto"/>
          <w:sz w:val="22"/>
          <w:szCs w:val="22"/>
          <w:highlight w:val="none"/>
          <w:lang w:val="en-US" w:eastAsia="zh-CN"/>
        </w:rPr>
        <w:t xml:space="preserve"> </w:t>
      </w:r>
    </w:p>
    <w:p>
      <w:pPr>
        <w:pStyle w:val="22"/>
        <w:spacing w:line="360" w:lineRule="auto"/>
        <w:jc w:val="left"/>
        <w:rPr>
          <w:rFonts w:hint="eastAsia" w:ascii="仿宋" w:hAnsi="仿宋" w:eastAsia="仿宋" w:cs="仿宋"/>
          <w:b w:val="0"/>
          <w:color w:val="auto"/>
          <w:sz w:val="22"/>
          <w:szCs w:val="22"/>
          <w:highlight w:val="none"/>
        </w:rPr>
      </w:pPr>
    </w:p>
    <w:p>
      <w:pPr>
        <w:pStyle w:val="22"/>
        <w:spacing w:line="360" w:lineRule="auto"/>
        <w:jc w:val="left"/>
        <w:rPr>
          <w:rFonts w:hint="eastAsia" w:ascii="仿宋" w:hAnsi="仿宋" w:eastAsia="仿宋" w:cs="仿宋"/>
          <w:b w:val="0"/>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法定代表人</w:t>
      </w:r>
      <w:r>
        <w:rPr>
          <w:rFonts w:hint="eastAsia" w:ascii="仿宋" w:hAnsi="仿宋" w:eastAsia="仿宋" w:cs="仿宋"/>
          <w:b/>
          <w:bCs/>
          <w:color w:val="auto"/>
          <w:sz w:val="22"/>
          <w:szCs w:val="22"/>
          <w:highlight w:val="none"/>
          <w:lang w:eastAsia="zh-CN"/>
        </w:rPr>
        <w:t>/负责人</w:t>
      </w:r>
      <w:r>
        <w:rPr>
          <w:rFonts w:hint="eastAsia" w:ascii="仿宋" w:hAnsi="仿宋" w:eastAsia="仿宋" w:cs="仿宋"/>
          <w:b/>
          <w:bCs/>
          <w:color w:val="auto"/>
          <w:sz w:val="22"/>
          <w:szCs w:val="22"/>
          <w:highlight w:val="none"/>
        </w:rPr>
        <w:t>授权书</w:t>
      </w:r>
    </w:p>
    <w:p>
      <w:pPr>
        <w:spacing w:line="560" w:lineRule="exact"/>
        <w:jc w:val="left"/>
        <w:rPr>
          <w:rFonts w:hint="default" w:ascii="仿宋" w:hAnsi="仿宋" w:eastAsia="仿宋" w:cs="仿宋"/>
          <w:color w:val="auto"/>
          <w:spacing w:val="4"/>
          <w:sz w:val="22"/>
          <w:szCs w:val="22"/>
          <w:highlight w:val="none"/>
          <w:u w:val="single"/>
          <w:lang w:val="en-US" w:eastAsia="zh-CN"/>
        </w:rPr>
      </w:pPr>
      <w:r>
        <w:rPr>
          <w:rFonts w:hint="eastAsia" w:ascii="仿宋" w:hAnsi="仿宋" w:eastAsia="仿宋" w:cs="仿宋"/>
          <w:b/>
          <w:color w:val="auto"/>
          <w:spacing w:val="4"/>
          <w:sz w:val="22"/>
          <w:szCs w:val="22"/>
          <w:highlight w:val="none"/>
        </w:rPr>
        <w:t>致：</w:t>
      </w:r>
      <w:r>
        <w:rPr>
          <w:rFonts w:hint="eastAsia" w:ascii="仿宋" w:hAnsi="仿宋" w:eastAsia="仿宋" w:cs="仿宋"/>
          <w:b/>
          <w:color w:val="auto"/>
          <w:spacing w:val="4"/>
          <w:sz w:val="22"/>
          <w:szCs w:val="22"/>
          <w:highlight w:val="none"/>
          <w:u w:val="single"/>
          <w:lang w:eastAsia="zh-CN"/>
        </w:rPr>
        <w:t>（</w:t>
      </w:r>
      <w:r>
        <w:rPr>
          <w:rFonts w:hint="eastAsia" w:ascii="仿宋" w:hAnsi="仿宋" w:eastAsia="仿宋" w:cs="仿宋"/>
          <w:b/>
          <w:color w:val="auto"/>
          <w:spacing w:val="4"/>
          <w:sz w:val="22"/>
          <w:szCs w:val="22"/>
          <w:highlight w:val="none"/>
          <w:u w:val="single"/>
          <w:lang w:val="en-US" w:eastAsia="zh-CN"/>
        </w:rPr>
        <w:t>采购人名称）</w:t>
      </w:r>
    </w:p>
    <w:p>
      <w:pPr>
        <w:spacing w:line="560" w:lineRule="exact"/>
        <w:ind w:firstLine="456" w:firstLineChars="200"/>
        <w:jc w:val="left"/>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u w:val="single"/>
        </w:rPr>
        <w:t>(</w:t>
      </w:r>
      <w:r>
        <w:rPr>
          <w:rFonts w:hint="eastAsia" w:ascii="仿宋" w:hAnsi="仿宋" w:eastAsia="仿宋" w:cs="仿宋"/>
          <w:color w:val="auto"/>
          <w:spacing w:val="4"/>
          <w:sz w:val="22"/>
          <w:szCs w:val="22"/>
          <w:highlight w:val="none"/>
          <w:u w:val="single"/>
          <w:lang w:eastAsia="zh-CN"/>
        </w:rPr>
        <w:t>供应商</w:t>
      </w:r>
      <w:r>
        <w:rPr>
          <w:rFonts w:hint="eastAsia" w:ascii="仿宋" w:hAnsi="仿宋" w:eastAsia="仿宋" w:cs="仿宋"/>
          <w:color w:val="auto"/>
          <w:spacing w:val="4"/>
          <w:sz w:val="22"/>
          <w:szCs w:val="22"/>
          <w:highlight w:val="none"/>
          <w:u w:val="single"/>
        </w:rPr>
        <w:t>名称)</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rPr>
        <w:t>按中华人民共和国法律于</w:t>
      </w:r>
      <w:r>
        <w:rPr>
          <w:rFonts w:hint="eastAsia" w:ascii="仿宋" w:hAnsi="仿宋" w:eastAsia="仿宋" w:cs="仿宋"/>
          <w:color w:val="auto"/>
          <w:spacing w:val="4"/>
          <w:sz w:val="22"/>
          <w:szCs w:val="22"/>
          <w:highlight w:val="none"/>
          <w:u w:val="none"/>
        </w:rPr>
        <w:t>（</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none"/>
        </w:rPr>
        <w:t>年</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none"/>
        </w:rPr>
        <w:t>月</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u w:val="single"/>
        </w:rPr>
        <w:t xml:space="preserve"> </w:t>
      </w:r>
      <w:r>
        <w:rPr>
          <w:rFonts w:hint="eastAsia" w:ascii="仿宋" w:hAnsi="仿宋" w:eastAsia="仿宋" w:cs="仿宋"/>
          <w:color w:val="auto"/>
          <w:spacing w:val="4"/>
          <w:sz w:val="22"/>
          <w:szCs w:val="22"/>
          <w:highlight w:val="none"/>
          <w:u w:val="none"/>
        </w:rPr>
        <w:t>日 ）</w:t>
      </w:r>
      <w:r>
        <w:rPr>
          <w:rFonts w:hint="eastAsia" w:ascii="仿宋" w:hAnsi="仿宋" w:eastAsia="仿宋" w:cs="仿宋"/>
          <w:color w:val="auto"/>
          <w:spacing w:val="4"/>
          <w:sz w:val="22"/>
          <w:szCs w:val="22"/>
          <w:highlight w:val="none"/>
          <w:u w:val="none"/>
          <w:lang w:val="en-US" w:eastAsia="zh-CN"/>
        </w:rPr>
        <w:t xml:space="preserve">  </w:t>
      </w:r>
      <w:r>
        <w:rPr>
          <w:rFonts w:hint="eastAsia" w:ascii="仿宋" w:hAnsi="仿宋" w:eastAsia="仿宋" w:cs="仿宋"/>
          <w:color w:val="auto"/>
          <w:spacing w:val="4"/>
          <w:sz w:val="22"/>
          <w:szCs w:val="22"/>
          <w:highlight w:val="none"/>
        </w:rPr>
        <w:t>成立。</w:t>
      </w:r>
      <w:r>
        <w:rPr>
          <w:rFonts w:hint="eastAsia" w:ascii="仿宋" w:hAnsi="仿宋" w:eastAsia="仿宋" w:cs="仿宋"/>
          <w:color w:val="auto"/>
          <w:sz w:val="22"/>
          <w:szCs w:val="22"/>
          <w:highlight w:val="none"/>
          <w:u w:val="none"/>
        </w:rPr>
        <w:t>法定代表人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pacing w:val="4"/>
          <w:sz w:val="22"/>
          <w:szCs w:val="22"/>
          <w:highlight w:val="none"/>
          <w:u w:val="single"/>
        </w:rPr>
        <w:t>姓名</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rPr>
        <w:t>特授权</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z w:val="22"/>
          <w:szCs w:val="22"/>
          <w:highlight w:val="none"/>
          <w:u w:val="single"/>
          <w:lang w:eastAsia="zh-CN"/>
        </w:rPr>
        <w:t>被授权人</w:t>
      </w:r>
      <w:r>
        <w:rPr>
          <w:rFonts w:hint="eastAsia" w:ascii="仿宋" w:hAnsi="仿宋" w:eastAsia="仿宋" w:cs="仿宋"/>
          <w:color w:val="auto"/>
          <w:spacing w:val="4"/>
          <w:sz w:val="22"/>
          <w:szCs w:val="22"/>
          <w:highlight w:val="none"/>
          <w:u w:val="single"/>
        </w:rPr>
        <w:t>姓名</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rPr>
        <w:t>代表我公司全权办理针对本次</w:t>
      </w:r>
      <w:r>
        <w:rPr>
          <w:rFonts w:hint="eastAsia" w:ascii="仿宋" w:hAnsi="仿宋" w:eastAsia="仿宋" w:cs="仿宋"/>
          <w:color w:val="auto"/>
          <w:spacing w:val="4"/>
          <w:sz w:val="22"/>
          <w:szCs w:val="22"/>
          <w:highlight w:val="none"/>
          <w:u w:val="single"/>
          <w:lang w:val="en-US" w:eastAsia="zh-CN"/>
        </w:rPr>
        <w:t xml:space="preserve">  </w:t>
      </w:r>
      <w:r>
        <w:rPr>
          <w:rFonts w:hint="eastAsia" w:ascii="仿宋" w:hAnsi="仿宋" w:eastAsia="仿宋" w:cs="仿宋"/>
          <w:color w:val="auto"/>
          <w:spacing w:val="4"/>
          <w:sz w:val="22"/>
          <w:szCs w:val="22"/>
          <w:highlight w:val="none"/>
          <w:u w:val="single"/>
          <w:lang w:eastAsia="zh-CN"/>
        </w:rPr>
        <w:t>项目名称、</w:t>
      </w:r>
      <w:r>
        <w:rPr>
          <w:rFonts w:hint="eastAsia" w:ascii="仿宋" w:hAnsi="仿宋" w:eastAsia="仿宋" w:cs="仿宋"/>
          <w:color w:val="auto"/>
          <w:spacing w:val="4"/>
          <w:sz w:val="22"/>
          <w:szCs w:val="22"/>
          <w:highlight w:val="none"/>
          <w:u w:val="single"/>
        </w:rPr>
        <w:t xml:space="preserve">项目编号   </w:t>
      </w:r>
      <w:r>
        <w:rPr>
          <w:rFonts w:hint="eastAsia" w:ascii="仿宋" w:hAnsi="仿宋" w:eastAsia="仿宋" w:cs="仿宋"/>
          <w:color w:val="auto"/>
          <w:spacing w:val="4"/>
          <w:sz w:val="22"/>
          <w:szCs w:val="22"/>
          <w:highlight w:val="none"/>
        </w:rPr>
        <w:t>投标、谈判、签约等具体工作，并签署全部有关的文件、协议及合同。</w:t>
      </w:r>
    </w:p>
    <w:p>
      <w:pPr>
        <w:spacing w:line="560" w:lineRule="exact"/>
        <w:ind w:firstLine="456" w:firstLineChars="200"/>
        <w:jc w:val="left"/>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我公司对</w:t>
      </w:r>
      <w:r>
        <w:rPr>
          <w:rFonts w:hint="eastAsia" w:ascii="仿宋" w:hAnsi="仿宋" w:eastAsia="仿宋" w:cs="仿宋"/>
          <w:color w:val="auto"/>
          <w:sz w:val="22"/>
          <w:szCs w:val="22"/>
          <w:highlight w:val="none"/>
          <w:lang w:eastAsia="zh-CN"/>
        </w:rPr>
        <w:t>被授权人</w:t>
      </w:r>
      <w:r>
        <w:rPr>
          <w:rFonts w:hint="eastAsia" w:ascii="仿宋" w:hAnsi="仿宋" w:eastAsia="仿宋" w:cs="仿宋"/>
          <w:color w:val="auto"/>
          <w:spacing w:val="4"/>
          <w:sz w:val="22"/>
          <w:szCs w:val="22"/>
          <w:highlight w:val="none"/>
        </w:rPr>
        <w:t>的签名负全部责任。</w:t>
      </w:r>
    </w:p>
    <w:p>
      <w:pPr>
        <w:spacing w:line="560" w:lineRule="exact"/>
        <w:ind w:right="213" w:rightChars="97" w:firstLine="440" w:firstLineChars="200"/>
        <w:jc w:val="left"/>
        <w:rPr>
          <w:rFonts w:hint="eastAsia" w:ascii="仿宋" w:hAnsi="仿宋" w:eastAsia="仿宋" w:cs="仿宋"/>
          <w:b w:val="0"/>
          <w:bCs w:val="0"/>
          <w:color w:val="auto"/>
          <w:sz w:val="22"/>
          <w:szCs w:val="22"/>
          <w:highlight w:val="none"/>
          <w:u w:val="none"/>
          <w:lang w:val="en-US" w:eastAsia="zh-CN"/>
        </w:rPr>
      </w:pPr>
      <w:r>
        <w:rPr>
          <w:rFonts w:hint="eastAsia" w:ascii="仿宋" w:hAnsi="仿宋" w:eastAsia="仿宋" w:cs="仿宋"/>
          <w:b w:val="0"/>
          <w:bCs w:val="0"/>
          <w:color w:val="auto"/>
          <w:sz w:val="22"/>
          <w:szCs w:val="22"/>
          <w:highlight w:val="none"/>
          <w:lang w:eastAsia="zh-CN"/>
        </w:rPr>
        <w:t>本授权有效期与投标有效期一致</w:t>
      </w:r>
      <w:r>
        <w:rPr>
          <w:rFonts w:hint="eastAsia" w:ascii="仿宋" w:hAnsi="仿宋" w:eastAsia="仿宋" w:cs="仿宋"/>
          <w:b w:val="0"/>
          <w:bCs w:val="0"/>
          <w:color w:val="auto"/>
          <w:sz w:val="22"/>
          <w:szCs w:val="22"/>
          <w:highlight w:val="none"/>
          <w:u w:val="none"/>
          <w:lang w:val="en-US" w:eastAsia="zh-CN"/>
        </w:rPr>
        <w:t>。</w:t>
      </w:r>
    </w:p>
    <w:tbl>
      <w:tblPr>
        <w:tblStyle w:val="15"/>
        <w:tblW w:w="0" w:type="auto"/>
        <w:jc w:val="center"/>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jc w:val="center"/>
        </w:trPr>
        <w:tc>
          <w:tcPr>
            <w:tcW w:w="4200" w:type="dxa"/>
            <w:noWrap w:val="0"/>
            <w:vAlign w:val="top"/>
          </w:tcPr>
          <w:p>
            <w:pPr>
              <w:spacing w:line="520" w:lineRule="exact"/>
              <w:jc w:val="left"/>
              <w:rPr>
                <w:rFonts w:hint="eastAsia" w:ascii="仿宋" w:hAnsi="仿宋" w:eastAsia="仿宋" w:cs="仿宋"/>
                <w:color w:val="auto"/>
                <w:spacing w:val="4"/>
                <w:sz w:val="22"/>
                <w:szCs w:val="22"/>
                <w:highlight w:val="none"/>
              </w:rPr>
            </w:pPr>
            <w:r>
              <w:rPr>
                <w:rFonts w:hint="eastAsia" w:ascii="仿宋" w:hAnsi="仿宋" w:eastAsia="仿宋" w:cs="仿宋"/>
                <w:color w:val="auto"/>
                <w:sz w:val="22"/>
                <w:szCs w:val="22"/>
                <w:highlight w:val="none"/>
              </w:rPr>
              <w:t>法定代表</w:t>
            </w:r>
            <w:r>
              <w:rPr>
                <w:rFonts w:hint="eastAsia" w:ascii="仿宋" w:hAnsi="仿宋" w:eastAsia="仿宋" w:cs="仿宋"/>
                <w:color w:val="auto"/>
                <w:sz w:val="22"/>
                <w:szCs w:val="22"/>
                <w:highlight w:val="none"/>
                <w:lang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sz w:val="22"/>
                <w:szCs w:val="22"/>
                <w:highlight w:val="none"/>
                <w:lang w:eastAsia="zh-CN"/>
              </w:rPr>
              <w:t>签字或盖章</w:t>
            </w:r>
            <w:r>
              <w:rPr>
                <w:rFonts w:hint="eastAsia" w:ascii="仿宋" w:hAnsi="仿宋" w:eastAsia="仿宋" w:cs="仿宋"/>
                <w:color w:val="auto"/>
                <w:spacing w:val="4"/>
                <w:sz w:val="22"/>
                <w:szCs w:val="22"/>
                <w:highlight w:val="none"/>
              </w:rPr>
              <w:t>：</w:t>
            </w:r>
          </w:p>
        </w:tc>
        <w:tc>
          <w:tcPr>
            <w:tcW w:w="3990" w:type="dxa"/>
            <w:noWrap w:val="0"/>
            <w:vAlign w:val="top"/>
          </w:tcPr>
          <w:p>
            <w:pPr>
              <w:spacing w:line="520" w:lineRule="exact"/>
              <w:jc w:val="left"/>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被授权人</w:t>
            </w:r>
            <w:r>
              <w:rPr>
                <w:rFonts w:hint="eastAsia" w:ascii="仿宋" w:hAnsi="仿宋" w:eastAsia="仿宋" w:cs="仿宋"/>
                <w:color w:val="auto"/>
                <w:spacing w:val="4"/>
                <w:sz w:val="22"/>
                <w:szCs w:val="22"/>
                <w:highlight w:val="none"/>
                <w:lang w:eastAsia="zh-CN"/>
              </w:rPr>
              <w:t>签字或盖章</w:t>
            </w:r>
            <w:r>
              <w:rPr>
                <w:rFonts w:hint="eastAsia" w:ascii="仿宋" w:hAnsi="仿宋" w:eastAsia="仿宋" w:cs="仿宋"/>
                <w:color w:val="auto"/>
                <w:spacing w:val="4"/>
                <w:sz w:val="22"/>
                <w:szCs w:val="22"/>
                <w:highlight w:val="none"/>
              </w:rPr>
              <w:t>：</w:t>
            </w:r>
          </w:p>
        </w:tc>
      </w:tr>
      <w:tr>
        <w:tblPrEx>
          <w:tblCellMar>
            <w:top w:w="0" w:type="dxa"/>
            <w:left w:w="108" w:type="dxa"/>
            <w:bottom w:w="0" w:type="dxa"/>
            <w:right w:w="108" w:type="dxa"/>
          </w:tblCellMar>
        </w:tblPrEx>
        <w:trPr>
          <w:trHeight w:val="600" w:hRule="atLeast"/>
          <w:jc w:val="center"/>
        </w:trPr>
        <w:tc>
          <w:tcPr>
            <w:tcW w:w="4200" w:type="dxa"/>
            <w:noWrap w:val="0"/>
            <w:vAlign w:val="top"/>
          </w:tcPr>
          <w:p>
            <w:pPr>
              <w:spacing w:line="520" w:lineRule="exact"/>
              <w:jc w:val="left"/>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职务：</w:t>
            </w:r>
          </w:p>
        </w:tc>
        <w:tc>
          <w:tcPr>
            <w:tcW w:w="3990" w:type="dxa"/>
            <w:noWrap w:val="0"/>
            <w:vAlign w:val="top"/>
          </w:tcPr>
          <w:p>
            <w:pPr>
              <w:spacing w:line="520" w:lineRule="exact"/>
              <w:jc w:val="left"/>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职务：</w:t>
            </w:r>
          </w:p>
        </w:tc>
      </w:tr>
    </w:tbl>
    <w:p>
      <w:pPr>
        <w:spacing w:line="560" w:lineRule="exact"/>
        <w:ind w:right="213" w:rightChars="97" w:firstLine="440" w:firstLineChars="200"/>
        <w:jc w:val="lef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val="en-US" w:eastAsia="zh-CN"/>
        </w:rPr>
        <w:t>后</w:t>
      </w:r>
      <w:r>
        <w:rPr>
          <w:rFonts w:hint="eastAsia" w:ascii="仿宋" w:hAnsi="仿宋" w:eastAsia="仿宋" w:cs="仿宋"/>
          <w:color w:val="auto"/>
          <w:sz w:val="22"/>
          <w:szCs w:val="22"/>
          <w:highlight w:val="none"/>
          <w:lang w:val="zh-CN"/>
        </w:rPr>
        <w:t>附法定代表人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z w:val="22"/>
          <w:szCs w:val="22"/>
          <w:highlight w:val="none"/>
          <w:lang w:val="zh-CN"/>
        </w:rPr>
        <w:t>身份证复印件及被授权人身份证复印件（正反面）</w:t>
      </w:r>
    </w:p>
    <w:p>
      <w:pPr>
        <w:spacing w:line="480" w:lineRule="auto"/>
        <w:ind w:left="444" w:leftChars="202" w:right="565" w:rightChars="257"/>
        <w:jc w:val="left"/>
        <w:rPr>
          <w:rFonts w:hint="eastAsia" w:ascii="仿宋" w:hAnsi="仿宋" w:eastAsia="仿宋" w:cs="仿宋"/>
          <w:color w:val="auto"/>
          <w:sz w:val="22"/>
          <w:szCs w:val="22"/>
          <w:highlight w:val="none"/>
          <w:lang w:eastAsia="zh-CN"/>
        </w:rPr>
      </w:pPr>
    </w:p>
    <w:p>
      <w:pPr>
        <w:spacing w:line="480" w:lineRule="auto"/>
        <w:ind w:left="444" w:leftChars="202" w:right="565" w:rightChars="257"/>
        <w:jc w:val="left"/>
        <w:rPr>
          <w:rFonts w:hint="eastAsia" w:ascii="仿宋" w:hAnsi="仿宋" w:eastAsia="仿宋" w:cs="仿宋"/>
          <w:color w:val="auto"/>
          <w:sz w:val="22"/>
          <w:szCs w:val="22"/>
          <w:highlight w:val="none"/>
          <w:lang w:eastAsia="zh-CN"/>
        </w:rPr>
      </w:pPr>
    </w:p>
    <w:p>
      <w:pPr>
        <w:adjustRightInd w:val="0"/>
        <w:snapToGrid w:val="0"/>
        <w:spacing w:line="360" w:lineRule="auto"/>
        <w:ind w:right="420"/>
        <w:rPr>
          <w:rFonts w:hint="eastAsia" w:ascii="仿宋" w:hAnsi="仿宋" w:eastAsia="仿宋" w:cs="仿宋"/>
          <w:color w:val="auto"/>
          <w:sz w:val="22"/>
          <w:szCs w:val="22"/>
          <w:highlight w:val="none"/>
        </w:rPr>
      </w:pPr>
    </w:p>
    <w:p>
      <w:pPr>
        <w:keepNext w:val="0"/>
        <w:keepLines w:val="0"/>
        <w:pageBreakBefore w:val="0"/>
        <w:tabs>
          <w:tab w:val="left" w:pos="0"/>
        </w:tabs>
        <w:kinsoku/>
        <w:wordWrap/>
        <w:overflowPunct/>
        <w:topLinePunct w:val="0"/>
        <w:autoSpaceDE/>
        <w:autoSpaceDN/>
        <w:bidi w:val="0"/>
        <w:snapToGrid/>
        <w:spacing w:after="0" w:line="480" w:lineRule="auto"/>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480" w:lineRule="auto"/>
        <w:ind w:right="0"/>
        <w:textAlignment w:val="auto"/>
        <w:rPr>
          <w:rFonts w:hint="eastAsia" w:ascii="仿宋" w:hAnsi="仿宋" w:eastAsia="仿宋" w:cs="仿宋"/>
          <w:color w:val="auto"/>
          <w:sz w:val="22"/>
          <w:szCs w:val="22"/>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ind w:firstLine="442" w:firstLineChars="200"/>
        <w:rPr>
          <w:rFonts w:hint="eastAsia" w:ascii="仿宋" w:hAnsi="仿宋" w:eastAsia="仿宋" w:cs="仿宋"/>
          <w:b/>
          <w:bCs/>
          <w:color w:val="auto"/>
          <w:sz w:val="22"/>
          <w:szCs w:val="22"/>
          <w:highlight w:val="none"/>
          <w:lang w:val="zh-CN"/>
        </w:rPr>
      </w:pPr>
    </w:p>
    <w:p>
      <w:pPr>
        <w:pStyle w:val="2"/>
        <w:numPr>
          <w:ilvl w:val="0"/>
          <w:numId w:val="0"/>
        </w:numPr>
        <w:ind w:leftChars="200"/>
        <w:jc w:val="left"/>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说明：</w:t>
      </w:r>
      <w:r>
        <w:rPr>
          <w:rFonts w:hint="eastAsia" w:ascii="仿宋" w:hAnsi="仿宋" w:eastAsia="仿宋" w:cs="仿宋"/>
          <w:b/>
          <w:bCs/>
          <w:color w:val="auto"/>
          <w:sz w:val="22"/>
          <w:szCs w:val="22"/>
          <w:highlight w:val="none"/>
          <w:lang w:val="en-US" w:eastAsia="zh-CN"/>
        </w:rPr>
        <w:t>法定代表人/负责人直接磋商时无需提供。</w:t>
      </w:r>
    </w:p>
    <w:p>
      <w:pPr>
        <w:pStyle w:val="14"/>
        <w:rPr>
          <w:rFonts w:hint="eastAsia"/>
          <w:color w:val="auto"/>
          <w:highlight w:val="none"/>
          <w:lang w:val="en-US" w:eastAsia="zh-CN"/>
        </w:rPr>
      </w:pPr>
    </w:p>
    <w:p>
      <w:pPr>
        <w:rPr>
          <w:rFonts w:hint="eastAsia" w:ascii="仿宋" w:hAnsi="仿宋" w:eastAsia="仿宋" w:cs="仿宋"/>
          <w:b/>
          <w:bCs/>
          <w:color w:val="auto"/>
          <w:sz w:val="32"/>
          <w:szCs w:val="32"/>
          <w:highlight w:val="none"/>
          <w:lang w:val="en-US" w:eastAsia="zh-CN"/>
        </w:rPr>
      </w:pPr>
    </w:p>
    <w:p>
      <w:pPr>
        <w:numPr>
          <w:ilvl w:val="0"/>
          <w:numId w:val="0"/>
        </w:numPr>
        <w:snapToGrid/>
        <w:spacing w:after="0" w:line="360" w:lineRule="auto"/>
        <w:jc w:val="both"/>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附件</w:t>
      </w:r>
      <w:r>
        <w:rPr>
          <w:rFonts w:hint="eastAsia" w:ascii="仿宋" w:hAnsi="仿宋" w:eastAsia="仿宋" w:cs="仿宋"/>
          <w:b/>
          <w:bCs/>
          <w:color w:val="auto"/>
          <w:sz w:val="22"/>
          <w:szCs w:val="22"/>
          <w:highlight w:val="none"/>
          <w:lang w:val="en-US" w:eastAsia="zh-CN"/>
        </w:rPr>
        <w:t>二</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 xml:space="preserve">                     </w:t>
      </w:r>
    </w:p>
    <w:p>
      <w:pPr>
        <w:numPr>
          <w:ilvl w:val="0"/>
          <w:numId w:val="0"/>
        </w:numPr>
        <w:snapToGrid/>
        <w:spacing w:after="0" w:line="360" w:lineRule="auto"/>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zh-CN"/>
        </w:rPr>
        <w:t>供应商投标资格承诺书</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1.供应商在本项目磋商中，不存在与其它供应商负责人为同一人，有控股、管理等关联关系承诺：</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1.1管理关系说明：</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我单位管理的具有独立法人的下属单位有：</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en-US" w:eastAsia="zh-CN"/>
        </w:rPr>
        <w:t>。</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我单位的上级管理单位有：</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en-US" w:eastAsia="zh-CN"/>
        </w:rPr>
        <w:t>。</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1.2股权关系说明：</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我单位控股的单位有</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en-US" w:eastAsia="zh-CN"/>
        </w:rPr>
        <w:t>。</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我单位被</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en-US" w:eastAsia="zh-CN"/>
        </w:rPr>
        <w:t>单位控股。</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zh-CN" w:eastAsia="zh-CN"/>
        </w:rPr>
        <w:t>2</w:t>
      </w:r>
      <w:r>
        <w:rPr>
          <w:rFonts w:hint="eastAsia" w:ascii="仿宋" w:hAnsi="仿宋" w:eastAsia="仿宋" w:cs="宋体"/>
          <w:color w:val="auto"/>
          <w:highlight w:val="none"/>
          <w:lang w:val="en-US" w:eastAsia="zh-CN"/>
        </w:rPr>
        <w:t>.</w:t>
      </w:r>
      <w:r>
        <w:rPr>
          <w:rFonts w:hint="eastAsia" w:ascii="仿宋" w:hAnsi="仿宋" w:eastAsia="仿宋" w:cs="宋体"/>
          <w:color w:val="auto"/>
          <w:highlight w:val="none"/>
          <w:lang w:val="zh-CN" w:eastAsia="zh-CN"/>
        </w:rPr>
        <w:t>我方与采购人不存在利害关系及其他可能影响招标公正性的情形。</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zh-CN" w:eastAsia="zh-CN"/>
        </w:rPr>
        <w:t>3</w:t>
      </w:r>
      <w:r>
        <w:rPr>
          <w:rFonts w:hint="eastAsia" w:ascii="仿宋" w:hAnsi="仿宋" w:eastAsia="仿宋" w:cs="宋体"/>
          <w:color w:val="auto"/>
          <w:highlight w:val="none"/>
          <w:lang w:val="en-US" w:eastAsia="zh-CN"/>
        </w:rPr>
        <w:t>.</w:t>
      </w:r>
      <w:r>
        <w:rPr>
          <w:rFonts w:hint="eastAsia" w:ascii="仿宋" w:hAnsi="仿宋" w:eastAsia="仿宋" w:cs="宋体"/>
          <w:color w:val="auto"/>
          <w:highlight w:val="none"/>
          <w:lang w:val="zh-CN" w:eastAsia="zh-CN"/>
        </w:rPr>
        <w:t>我方没有为采购项目提供整体设计、规范编制或者项目管理、监理、检测等服务。</w:t>
      </w:r>
    </w:p>
    <w:p>
      <w:pPr>
        <w:tabs>
          <w:tab w:val="left" w:pos="0"/>
        </w:tabs>
        <w:snapToGrid/>
        <w:spacing w:after="0" w:line="360" w:lineRule="auto"/>
        <w:ind w:left="-2" w:leftChars="-1" w:firstLine="440"/>
        <w:rPr>
          <w:rFonts w:hint="eastAsia" w:ascii="仿宋" w:hAnsi="仿宋" w:eastAsia="仿宋" w:cs="宋体"/>
          <w:color w:val="auto"/>
          <w:highlight w:val="none"/>
          <w:u w:val="single"/>
          <w:lang w:val="en-US" w:eastAsia="zh-CN"/>
        </w:rPr>
      </w:pPr>
      <w:r>
        <w:rPr>
          <w:rFonts w:hint="eastAsia" w:ascii="仿宋" w:hAnsi="仿宋" w:eastAsia="仿宋" w:cs="宋体"/>
          <w:color w:val="auto"/>
          <w:highlight w:val="none"/>
          <w:lang w:val="en-US" w:eastAsia="zh-CN"/>
        </w:rPr>
        <w:t>4.其他与本项目有关的利害关系说明：</w:t>
      </w:r>
      <w:r>
        <w:rPr>
          <w:rFonts w:hint="eastAsia" w:ascii="仿宋" w:hAnsi="仿宋" w:eastAsia="仿宋" w:cs="宋体"/>
          <w:color w:val="auto"/>
          <w:highlight w:val="none"/>
          <w:u w:val="single"/>
          <w:lang w:val="en-US" w:eastAsia="zh-CN"/>
        </w:rPr>
        <w:t xml:space="preserve">                 </w:t>
      </w:r>
    </w:p>
    <w:p>
      <w:pPr>
        <w:tabs>
          <w:tab w:val="left" w:pos="0"/>
        </w:tabs>
        <w:snapToGrid/>
        <w:spacing w:after="0" w:line="360" w:lineRule="auto"/>
        <w:ind w:left="-2" w:leftChars="-1" w:firstLine="440"/>
        <w:rPr>
          <w:rFonts w:hint="default"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5.信用声明：</w:t>
      </w:r>
      <w:r>
        <w:rPr>
          <w:rFonts w:hint="eastAsia" w:ascii="仿宋" w:hAnsi="仿宋" w:eastAsia="仿宋" w:cs="宋体"/>
          <w:color w:val="auto"/>
          <w:highlight w:val="none"/>
          <w:lang w:val="zh-CN" w:eastAsia="zh-CN"/>
        </w:rPr>
        <w:t>供应商可通过【信用中国】（www.creditchina.gov.cn）、【中国政府采购网】（www.ccgp.gov.cn）网站对自身信用记录进行自查，并按查询结果填写下述声明。</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en-US" w:eastAsia="zh-CN"/>
        </w:rPr>
        <w:t>5.1</w:t>
      </w:r>
      <w:r>
        <w:rPr>
          <w:rFonts w:hint="eastAsia" w:ascii="仿宋" w:hAnsi="仿宋" w:eastAsia="仿宋" w:cs="宋体"/>
          <w:color w:val="auto"/>
          <w:highlight w:val="none"/>
          <w:lang w:val="zh-CN" w:eastAsia="zh-CN"/>
        </w:rPr>
        <w:t>我方</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zh-CN" w:eastAsia="zh-CN"/>
        </w:rPr>
        <w:t>（填“未被列入”或“被列入”）失信被执行人名单。</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en-US" w:eastAsia="zh-CN"/>
        </w:rPr>
        <w:t>5.2</w:t>
      </w:r>
      <w:r>
        <w:rPr>
          <w:rFonts w:hint="eastAsia" w:ascii="仿宋" w:hAnsi="仿宋" w:eastAsia="仿宋" w:cs="宋体"/>
          <w:color w:val="auto"/>
          <w:highlight w:val="none"/>
          <w:lang w:val="zh-CN" w:eastAsia="zh-CN"/>
        </w:rPr>
        <w:t>我方</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zh-CN" w:eastAsia="zh-CN"/>
        </w:rPr>
        <w:t>（填“未被列入”或“被列入”）重大税收违法案件当事人名单。</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en-US" w:eastAsia="zh-CN"/>
        </w:rPr>
        <w:t>5.3</w:t>
      </w:r>
      <w:r>
        <w:rPr>
          <w:rFonts w:hint="eastAsia" w:ascii="仿宋" w:hAnsi="仿宋" w:eastAsia="仿宋" w:cs="宋体"/>
          <w:color w:val="auto"/>
          <w:highlight w:val="none"/>
          <w:lang w:val="zh-CN" w:eastAsia="zh-CN"/>
        </w:rPr>
        <w:t>我方</w:t>
      </w:r>
      <w:r>
        <w:rPr>
          <w:rFonts w:hint="eastAsia" w:ascii="仿宋" w:hAnsi="仿宋" w:eastAsia="仿宋" w:cs="宋体"/>
          <w:color w:val="auto"/>
          <w:highlight w:val="none"/>
          <w:u w:val="single"/>
          <w:lang w:val="en-US" w:eastAsia="zh-CN"/>
        </w:rPr>
        <w:t xml:space="preserve">   </w:t>
      </w:r>
      <w:r>
        <w:rPr>
          <w:rFonts w:hint="eastAsia" w:ascii="仿宋" w:hAnsi="仿宋" w:eastAsia="仿宋" w:cs="宋体"/>
          <w:color w:val="auto"/>
          <w:highlight w:val="none"/>
          <w:lang w:val="zh-CN" w:eastAsia="zh-CN"/>
        </w:rPr>
        <w:t>（填“未被列入”或“被列入”）政府采购严重违法失信行为记录名单。</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zh-CN" w:eastAsia="zh-CN"/>
        </w:rPr>
        <w:t>我方承诺以上说明如有不实，我方将无条件地退出本项目的采购活动，并遵照《政府采购法》有关“提供虚假材料的规定”接受处罚。</w:t>
      </w:r>
    </w:p>
    <w:p>
      <w:pPr>
        <w:tabs>
          <w:tab w:val="left" w:pos="0"/>
        </w:tabs>
        <w:snapToGrid/>
        <w:spacing w:after="0" w:line="360" w:lineRule="auto"/>
        <w:ind w:left="-2" w:leftChars="-1" w:firstLine="440"/>
        <w:rPr>
          <w:rFonts w:hint="eastAsia" w:ascii="仿宋" w:hAnsi="仿宋" w:eastAsia="仿宋" w:cs="宋体"/>
          <w:color w:val="auto"/>
          <w:highlight w:val="none"/>
          <w:lang w:val="zh-CN" w:eastAsia="zh-CN"/>
        </w:rPr>
      </w:pPr>
      <w:r>
        <w:rPr>
          <w:rFonts w:hint="eastAsia" w:ascii="仿宋" w:hAnsi="仿宋" w:eastAsia="仿宋" w:cs="宋体"/>
          <w:color w:val="auto"/>
          <w:highlight w:val="none"/>
          <w:lang w:val="zh-CN" w:eastAsia="zh-CN"/>
        </w:rPr>
        <w:t>特此声明。</w:t>
      </w:r>
    </w:p>
    <w:p>
      <w:pPr>
        <w:tabs>
          <w:tab w:val="left" w:pos="0"/>
        </w:tabs>
        <w:snapToGrid/>
        <w:spacing w:after="0" w:line="360" w:lineRule="auto"/>
        <w:rPr>
          <w:rFonts w:hint="eastAsia" w:ascii="仿宋" w:hAnsi="仿宋" w:eastAsia="仿宋" w:cs="仿宋"/>
          <w:color w:val="auto"/>
          <w:szCs w:val="24"/>
          <w:highlight w:val="none"/>
        </w:rPr>
      </w:pPr>
    </w:p>
    <w:p>
      <w:pPr>
        <w:keepNext w:val="0"/>
        <w:keepLines w:val="0"/>
        <w:pageBreakBefore w:val="0"/>
        <w:tabs>
          <w:tab w:val="left" w:pos="0"/>
        </w:tabs>
        <w:kinsoku/>
        <w:wordWrap/>
        <w:overflowPunct/>
        <w:topLinePunct w:val="0"/>
        <w:autoSpaceDE/>
        <w:autoSpaceDN/>
        <w:bidi w:val="0"/>
        <w:snapToGrid/>
        <w:spacing w:after="0" w:line="480" w:lineRule="auto"/>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w:t>
      </w:r>
      <w:r>
        <w:rPr>
          <w:rFonts w:hint="eastAsia" w:ascii="仿宋" w:hAnsi="仿宋" w:eastAsia="仿宋" w:cs="仿宋"/>
          <w:color w:val="auto"/>
          <w:spacing w:val="4"/>
          <w:highlight w:val="none"/>
          <w:lang w:val="en-US" w:eastAsia="zh-CN"/>
        </w:rPr>
        <w:t>人</w:t>
      </w:r>
      <w:r>
        <w:rPr>
          <w:rFonts w:hint="eastAsia" w:ascii="仿宋" w:hAnsi="仿宋" w:eastAsia="仿宋" w:cs="仿宋"/>
          <w:color w:val="auto"/>
          <w:spacing w:val="4"/>
          <w:szCs w:val="24"/>
          <w:highlight w:val="none"/>
          <w:lang w:eastAsia="zh-CN"/>
        </w:rPr>
        <w:t>/负责人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kinsoku/>
        <w:wordWrap/>
        <w:overflowPunct/>
        <w:topLinePunct w:val="0"/>
        <w:autoSpaceDE/>
        <w:autoSpaceDN/>
        <w:bidi w:val="0"/>
        <w:snapToGrid/>
        <w:spacing w:after="0" w:line="480" w:lineRule="auto"/>
        <w:ind w:right="565" w:rightChars="257"/>
        <w:textAlignment w:val="auto"/>
        <w:rPr>
          <w:rFonts w:hint="eastAsia" w:ascii="仿宋" w:hAnsi="仿宋" w:eastAsia="仿宋" w:cs="仿宋"/>
          <w:color w:val="auto"/>
          <w:szCs w:val="21"/>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1"/>
          <w:highlight w:val="none"/>
        </w:rPr>
        <w:t xml:space="preserve">   年   月   日</w:t>
      </w:r>
    </w:p>
    <w:p>
      <w:pPr>
        <w:tabs>
          <w:tab w:val="left" w:pos="0"/>
        </w:tabs>
        <w:snapToGrid/>
        <w:spacing w:after="0" w:line="360" w:lineRule="auto"/>
        <w:ind w:left="-2" w:leftChars="-1" w:firstLine="44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 xml:space="preserve">               </w:t>
      </w: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六、其他资料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依据竞争性磋商文件要求，供应商认为有必要说明的其他内容。</w:t>
      </w:r>
    </w:p>
    <w:p>
      <w:pPr>
        <w:rPr>
          <w:rFonts w:hint="default"/>
          <w:color w:val="auto"/>
          <w:highlight w:val="none"/>
          <w:lang w:val="en-US" w:eastAsia="zh-CN"/>
        </w:rPr>
      </w:pPr>
      <w:r>
        <w:rPr>
          <w:rFonts w:hint="default"/>
          <w:color w:val="auto"/>
          <w:highlight w:val="none"/>
          <w:lang w:val="en-US" w:eastAsia="zh-CN"/>
        </w:rPr>
        <w:br w:type="page"/>
      </w:r>
    </w:p>
    <w:p>
      <w:pPr>
        <w:pStyle w:val="23"/>
        <w:spacing w:line="48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 xml:space="preserve">附件： </w:t>
      </w:r>
      <w:r>
        <w:rPr>
          <w:rFonts w:hint="eastAsia" w:ascii="仿宋" w:hAnsi="仿宋" w:eastAsia="仿宋" w:cs="仿宋"/>
          <w:color w:val="auto"/>
          <w:sz w:val="22"/>
          <w:szCs w:val="22"/>
          <w:highlight w:val="none"/>
          <w:lang w:val="en-US" w:eastAsia="zh-CN"/>
        </w:rPr>
        <w:t>（以下非竞争性磋商文件正文）</w:t>
      </w:r>
    </w:p>
    <w:p>
      <w:pPr>
        <w:pStyle w:val="5"/>
        <w:keepNext/>
        <w:keepLines w:val="0"/>
        <w:pageBreakBefore w:val="0"/>
        <w:widowControl w:val="0"/>
        <w:numPr>
          <w:ilvl w:val="0"/>
          <w:numId w:val="0"/>
        </w:numPr>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中小企业声明函（服务）</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640"/>
        <w:jc w:val="left"/>
        <w:textAlignment w:val="auto"/>
        <w:outlineLvl w:val="9"/>
        <w:rPr>
          <w:rFonts w:hint="eastAsia" w:ascii="仿宋" w:hAnsi="仿宋" w:eastAsia="仿宋" w:cs="仿宋"/>
          <w:b w:val="0"/>
          <w:bCs w:val="0"/>
          <w:color w:val="auto"/>
          <w:spacing w:val="-2"/>
          <w:sz w:val="22"/>
          <w:szCs w:val="22"/>
          <w:highlight w:val="none"/>
        </w:rPr>
      </w:pPr>
      <w:r>
        <w:rPr>
          <w:rFonts w:hint="eastAsia" w:ascii="仿宋" w:hAnsi="仿宋" w:eastAsia="仿宋" w:cs="仿宋"/>
          <w:b w:val="0"/>
          <w:bCs w:val="0"/>
          <w:color w:val="auto"/>
          <w:spacing w:val="-2"/>
          <w:sz w:val="22"/>
          <w:szCs w:val="22"/>
          <w:highlight w:val="none"/>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sz w:val="22"/>
          <w:szCs w:val="22"/>
          <w:highlight w:val="none"/>
          <w:u w:val="single"/>
        </w:rPr>
        <w:t>（单位名称）</w:t>
      </w:r>
      <w:r>
        <w:rPr>
          <w:rFonts w:hint="eastAsia" w:ascii="仿宋" w:hAnsi="仿宋" w:eastAsia="仿宋" w:cs="仿宋"/>
          <w:b w:val="0"/>
          <w:bCs w:val="0"/>
          <w:color w:val="auto"/>
          <w:spacing w:val="-2"/>
          <w:sz w:val="22"/>
          <w:szCs w:val="22"/>
          <w:highlight w:val="none"/>
        </w:rPr>
        <w:t>的</w:t>
      </w:r>
      <w:r>
        <w:rPr>
          <w:rFonts w:hint="eastAsia" w:ascii="仿宋" w:hAnsi="仿宋" w:eastAsia="仿宋" w:cs="仿宋"/>
          <w:b w:val="0"/>
          <w:bCs w:val="0"/>
          <w:color w:val="auto"/>
          <w:spacing w:val="-2"/>
          <w:sz w:val="22"/>
          <w:szCs w:val="22"/>
          <w:highlight w:val="none"/>
          <w:u w:val="single"/>
        </w:rPr>
        <w:t>（项目名称）</w:t>
      </w:r>
      <w:r>
        <w:rPr>
          <w:rFonts w:hint="eastAsia" w:ascii="仿宋" w:hAnsi="仿宋" w:eastAsia="仿宋" w:cs="仿宋"/>
          <w:b w:val="0"/>
          <w:bCs w:val="0"/>
          <w:color w:val="auto"/>
          <w:spacing w:val="-2"/>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4"/>
        <w:keepNext w:val="0"/>
        <w:keepLines w:val="0"/>
        <w:pageBreakBefore w:val="0"/>
        <w:numPr>
          <w:ilvl w:val="0"/>
          <w:numId w:val="4"/>
        </w:numPr>
        <w:kinsoku/>
        <w:wordWrap/>
        <w:overflowPunct/>
        <w:topLinePunct w:val="0"/>
        <w:autoSpaceDE/>
        <w:autoSpaceDN/>
        <w:bidi w:val="0"/>
        <w:adjustRightInd/>
        <w:snapToGrid/>
        <w:spacing w:line="360" w:lineRule="auto"/>
        <w:ind w:left="20" w:leftChars="0" w:firstLineChars="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val="zh-CN" w:eastAsia="zh-CN"/>
        </w:rPr>
        <w:t>（标的名称）</w:t>
      </w:r>
      <w:r>
        <w:rPr>
          <w:rFonts w:hint="eastAsia" w:ascii="仿宋" w:hAnsi="仿宋" w:eastAsia="仿宋" w:cs="仿宋"/>
          <w:color w:val="auto"/>
          <w:sz w:val="22"/>
          <w:szCs w:val="22"/>
          <w:highlight w:val="none"/>
        </w:rPr>
        <w:t>，属于</w:t>
      </w:r>
      <w:r>
        <w:rPr>
          <w:rFonts w:hint="eastAsia" w:ascii="仿宋" w:hAnsi="仿宋" w:eastAsia="仿宋" w:cs="仿宋"/>
          <w:color w:val="auto"/>
          <w:sz w:val="22"/>
          <w:szCs w:val="22"/>
          <w:highlight w:val="none"/>
          <w:u w:val="single"/>
          <w:lang w:val="zh-CN" w:eastAsia="zh-CN"/>
        </w:rPr>
        <w:t>（采购文件中明确的所属行业）</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rPr>
        <w:t>承建（承接）企业为</w:t>
      </w:r>
      <w:r>
        <w:rPr>
          <w:rFonts w:hint="eastAsia" w:ascii="仿宋" w:hAnsi="仿宋" w:eastAsia="仿宋" w:cs="仿宋"/>
          <w:color w:val="auto"/>
          <w:sz w:val="22"/>
          <w:szCs w:val="22"/>
          <w:highlight w:val="none"/>
          <w:u w:val="single"/>
        </w:rPr>
        <w:t>（企业名称）</w:t>
      </w:r>
      <w:r>
        <w:rPr>
          <w:rFonts w:hint="eastAsia" w:ascii="仿宋" w:hAnsi="仿宋" w:eastAsia="仿宋" w:cs="仿宋"/>
          <w:color w:val="auto"/>
          <w:sz w:val="22"/>
          <w:szCs w:val="22"/>
          <w:highlight w:val="none"/>
        </w:rPr>
        <w:t>，从业人员</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人，营业收入为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rPr>
        <w:t>万元，资产总额为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rPr>
        <w:t>万元</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属于</w:t>
      </w:r>
      <w:r>
        <w:rPr>
          <w:rFonts w:hint="eastAsia" w:ascii="仿宋" w:hAnsi="仿宋" w:eastAsia="仿宋" w:cs="仿宋"/>
          <w:color w:val="auto"/>
          <w:sz w:val="22"/>
          <w:szCs w:val="22"/>
          <w:highlight w:val="none"/>
          <w:u w:val="single"/>
        </w:rPr>
        <w:t>（中型企业、小型企业、微型企业）</w:t>
      </w:r>
      <w:r>
        <w:rPr>
          <w:rFonts w:hint="eastAsia" w:ascii="仿宋" w:hAnsi="仿宋" w:eastAsia="仿宋" w:cs="仿宋"/>
          <w:color w:val="auto"/>
          <w:sz w:val="22"/>
          <w:szCs w:val="22"/>
          <w:highlight w:val="none"/>
        </w:rPr>
        <w:t>；</w:t>
      </w:r>
    </w:p>
    <w:p>
      <w:pPr>
        <w:pStyle w:val="24"/>
        <w:keepNext w:val="0"/>
        <w:keepLines w:val="0"/>
        <w:pageBreakBefore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仿宋" w:hAnsi="仿宋" w:eastAsia="仿宋" w:cs="仿宋"/>
          <w:color w:val="auto"/>
          <w:sz w:val="22"/>
          <w:szCs w:val="22"/>
          <w:highlight w:val="none"/>
          <w:u w:val="none"/>
          <w:lang w:val="zh-CN" w:eastAsia="zh-CN"/>
        </w:rPr>
      </w:pPr>
      <w:r>
        <w:rPr>
          <w:rFonts w:hint="eastAsia" w:ascii="仿宋" w:hAnsi="仿宋" w:eastAsia="仿宋" w:cs="仿宋"/>
          <w:color w:val="auto"/>
          <w:sz w:val="22"/>
          <w:szCs w:val="22"/>
          <w:highlight w:val="none"/>
          <w:u w:val="none"/>
          <w:lang w:val="zh-CN" w:eastAsia="zh-CN"/>
        </w:rPr>
        <w:t>……</w:t>
      </w:r>
    </w:p>
    <w:p>
      <w:pPr>
        <w:pStyle w:val="24"/>
        <w:keepNext w:val="0"/>
        <w:keepLines w:val="0"/>
        <w:pageBreakBefore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仿宋" w:hAnsi="仿宋" w:eastAsia="仿宋" w:cs="仿宋"/>
          <w:color w:val="auto"/>
          <w:sz w:val="22"/>
          <w:szCs w:val="22"/>
          <w:highlight w:val="none"/>
          <w:u w:val="none"/>
          <w:lang w:val="zh-CN" w:eastAsia="zh-CN"/>
        </w:rPr>
      </w:pPr>
      <w:r>
        <w:rPr>
          <w:rFonts w:hint="eastAsia" w:ascii="仿宋" w:hAnsi="仿宋" w:eastAsia="仿宋" w:cs="仿宋"/>
          <w:color w:val="auto"/>
          <w:sz w:val="22"/>
          <w:szCs w:val="22"/>
          <w:highlight w:val="none"/>
          <w:u w:val="none"/>
          <w:lang w:val="zh-CN" w:eastAsia="zh-CN"/>
        </w:rPr>
        <w:t>以上企业，不属于大企业的分支机构，不存在控股股东为大企业的情形，也不存在与大企业的负责人为同一人的情形。</w:t>
      </w:r>
    </w:p>
    <w:p>
      <w:pPr>
        <w:pStyle w:val="24"/>
        <w:keepNext w:val="0"/>
        <w:keepLines w:val="0"/>
        <w:pageBreakBefore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仿宋" w:hAnsi="仿宋" w:eastAsia="仿宋" w:cs="仿宋"/>
          <w:color w:val="auto"/>
          <w:sz w:val="22"/>
          <w:szCs w:val="22"/>
          <w:highlight w:val="none"/>
          <w:u w:val="none"/>
          <w:lang w:val="zh-CN" w:eastAsia="zh-CN"/>
        </w:rPr>
      </w:pPr>
      <w:r>
        <w:rPr>
          <w:rFonts w:hint="eastAsia" w:ascii="仿宋" w:hAnsi="仿宋" w:eastAsia="仿宋" w:cs="仿宋"/>
          <w:color w:val="auto"/>
          <w:sz w:val="22"/>
          <w:szCs w:val="22"/>
          <w:highlight w:val="none"/>
          <w:u w:val="none"/>
          <w:lang w:val="zh-CN" w:eastAsia="zh-CN"/>
        </w:rPr>
        <w:t>本企业对上述声明内容的真实性负责。如有虚假，将依法承担相应责任。</w:t>
      </w:r>
    </w:p>
    <w:p>
      <w:pPr>
        <w:pStyle w:val="24"/>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after="0" w:line="480" w:lineRule="auto"/>
        <w:ind w:right="0" w:firstLine="440" w:firstLineChars="200"/>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 w:val="22"/>
          <w:szCs w:val="22"/>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仿宋" w:hAnsi="仿宋" w:eastAsia="仿宋" w:cs="仿宋"/>
          <w:b w:val="0"/>
          <w:bCs w:val="0"/>
          <w:color w:val="auto"/>
          <w:kern w:val="0"/>
          <w:sz w:val="22"/>
          <w:szCs w:val="22"/>
          <w:highlight w:val="none"/>
          <w:u w:val="none"/>
          <w:lang w:val="en-US" w:eastAsia="zh-CN" w:bidi="ar-SA"/>
        </w:rPr>
      </w:pPr>
      <w:r>
        <w:rPr>
          <w:rFonts w:hint="eastAsia" w:ascii="仿宋" w:hAnsi="仿宋" w:eastAsia="仿宋" w:cs="仿宋"/>
          <w:color w:val="auto"/>
          <w:szCs w:val="24"/>
          <w:highlight w:val="none"/>
        </w:rPr>
        <w:t>日期：</w:t>
      </w:r>
      <w:r>
        <w:rPr>
          <w:rFonts w:hint="eastAsia" w:ascii="仿宋" w:hAnsi="仿宋" w:eastAsia="仿宋" w:cs="仿宋"/>
          <w:color w:val="auto"/>
          <w:szCs w:val="21"/>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after="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42" w:firstLineChars="200"/>
        <w:textAlignment w:val="auto"/>
        <w:outlineLvl w:val="9"/>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eastAsia="zh-CN"/>
        </w:rPr>
        <w:t>备注：</w:t>
      </w:r>
      <w:r>
        <w:rPr>
          <w:rFonts w:hint="eastAsia" w:ascii="仿宋" w:hAnsi="仿宋" w:eastAsia="仿宋" w:cs="仿宋"/>
          <w:b/>
          <w:bCs/>
          <w:color w:val="auto"/>
          <w:sz w:val="22"/>
          <w:szCs w:val="22"/>
          <w:highlight w:val="none"/>
          <w:lang w:val="en-US" w:eastAsia="zh-CN"/>
        </w:rPr>
        <w:t>1、</w:t>
      </w:r>
      <w:r>
        <w:rPr>
          <w:rFonts w:hint="eastAsia" w:ascii="仿宋" w:hAnsi="仿宋" w:eastAsia="仿宋" w:cs="仿宋"/>
          <w:b/>
          <w:bCs/>
          <w:color w:val="auto"/>
          <w:sz w:val="22"/>
          <w:szCs w:val="22"/>
          <w:highlight w:val="none"/>
          <w:lang w:eastAsia="zh-CN"/>
        </w:rPr>
        <w:t>中小企业参加政府采购活动，应当按照《政府采购促进中小企业发展管理办法》（财库〔2020〕46号）规定和《中小企业划型标准规定》（工信部联企业〔2011〕300号），如实填写并提交本《中小企业声明函》。</w:t>
      </w:r>
      <w:r>
        <w:rPr>
          <w:rFonts w:hint="eastAsia" w:ascii="仿宋" w:hAnsi="仿宋" w:eastAsia="仿宋" w:cs="仿宋"/>
          <w:b/>
          <w:bCs/>
          <w:color w:val="auto"/>
          <w:sz w:val="22"/>
          <w:szCs w:val="22"/>
          <w:highlight w:val="none"/>
          <w:lang w:val="en-US" w:eastAsia="zh-CN"/>
        </w:rPr>
        <w:t>2、从业人员、营业收入、资产总额填报上一年度数据，无上一年度数据的新成立企业可不填报。3、供应商出具的《中小企业声明函》内容不实的，属于提供虚假材料谋取中标。如对相关信息了解不充分，或者不能确定相关信息真实、准确的，不建议出具《中小企业声明函》。 4、《中小企业声明函》随中标结果同时公开。</w:t>
      </w:r>
    </w:p>
    <w:p>
      <w:pPr>
        <w:rPr>
          <w:rFonts w:hint="eastAsia" w:ascii="仿宋" w:hAnsi="仿宋" w:eastAsia="仿宋" w:cs="仿宋"/>
          <w:b/>
          <w:color w:val="auto"/>
          <w:spacing w:val="6"/>
          <w:sz w:val="22"/>
          <w:szCs w:val="22"/>
          <w:highlight w:val="none"/>
        </w:rPr>
      </w:pPr>
      <w:r>
        <w:rPr>
          <w:rFonts w:hint="eastAsia" w:ascii="仿宋" w:hAnsi="仿宋" w:eastAsia="仿宋" w:cs="仿宋"/>
          <w:b/>
          <w:color w:val="auto"/>
          <w:spacing w:val="6"/>
          <w:sz w:val="22"/>
          <w:szCs w:val="22"/>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仿宋" w:hAnsi="仿宋" w:eastAsia="仿宋" w:cs="仿宋"/>
          <w:b/>
          <w:color w:val="auto"/>
          <w:spacing w:val="6"/>
          <w:sz w:val="22"/>
          <w:szCs w:val="22"/>
          <w:highlight w:val="none"/>
        </w:rPr>
      </w:pPr>
      <w:r>
        <w:rPr>
          <w:rFonts w:hint="eastAsia" w:ascii="仿宋" w:hAnsi="仿宋" w:eastAsia="仿宋" w:cs="仿宋"/>
          <w:b/>
          <w:color w:val="auto"/>
          <w:spacing w:val="6"/>
          <w:sz w:val="22"/>
          <w:szCs w:val="22"/>
          <w:highlight w:val="none"/>
        </w:rPr>
        <w:t>残疾人福利性单位声明函</w:t>
      </w:r>
    </w:p>
    <w:p>
      <w:pPr>
        <w:spacing w:line="588" w:lineRule="exact"/>
        <w:rPr>
          <w:rFonts w:hint="eastAsia" w:ascii="仿宋" w:hAnsi="仿宋" w:eastAsia="仿宋" w:cs="仿宋"/>
          <w:b/>
          <w:color w:val="auto"/>
          <w:spacing w:val="6"/>
          <w:sz w:val="22"/>
          <w:szCs w:val="22"/>
          <w:highlight w:val="none"/>
        </w:rPr>
      </w:pPr>
    </w:p>
    <w:p>
      <w:pPr>
        <w:spacing w:line="588" w:lineRule="exact"/>
        <w:ind w:firstLine="464" w:firstLineChars="200"/>
        <w:rPr>
          <w:rFonts w:hint="eastAsia" w:ascii="仿宋" w:hAnsi="仿宋" w:eastAsia="仿宋" w:cs="仿宋"/>
          <w:color w:val="auto"/>
          <w:spacing w:val="6"/>
          <w:sz w:val="22"/>
          <w:szCs w:val="22"/>
          <w:highlight w:val="none"/>
        </w:rPr>
      </w:pPr>
      <w:r>
        <w:rPr>
          <w:rFonts w:hint="eastAsia" w:ascii="仿宋" w:hAnsi="仿宋" w:eastAsia="仿宋" w:cs="仿宋"/>
          <w:color w:val="auto"/>
          <w:spacing w:val="6"/>
          <w:sz w:val="22"/>
          <w:szCs w:val="22"/>
          <w:highlight w:val="none"/>
        </w:rPr>
        <w:t>本单位郑重声明，根据《财政部 民政部 中国残疾人联合会关于促进残疾人就业政府采购政策的通知》（财库</w:t>
      </w:r>
      <w:r>
        <w:rPr>
          <w:rFonts w:hint="eastAsia" w:ascii="仿宋" w:hAnsi="仿宋" w:eastAsia="仿宋" w:cs="仿宋"/>
          <w:color w:val="auto"/>
          <w:sz w:val="22"/>
          <w:szCs w:val="22"/>
          <w:highlight w:val="none"/>
        </w:rPr>
        <w:t>〔2017〕 141</w:t>
      </w:r>
      <w:r>
        <w:rPr>
          <w:rFonts w:hint="eastAsia" w:ascii="仿宋" w:hAnsi="仿宋" w:eastAsia="仿宋" w:cs="仿宋"/>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仿宋" w:hAnsi="仿宋" w:eastAsia="仿宋" w:cs="仿宋"/>
          <w:color w:val="auto"/>
          <w:spacing w:val="6"/>
          <w:sz w:val="22"/>
          <w:szCs w:val="22"/>
          <w:highlight w:val="none"/>
        </w:rPr>
      </w:pPr>
      <w:r>
        <w:rPr>
          <w:rFonts w:hint="eastAsia" w:ascii="仿宋" w:hAnsi="仿宋" w:eastAsia="仿宋" w:cs="仿宋"/>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仿宋" w:hAnsi="仿宋" w:eastAsia="仿宋" w:cs="仿宋"/>
          <w:color w:val="auto"/>
          <w:spacing w:val="6"/>
          <w:sz w:val="22"/>
          <w:szCs w:val="22"/>
          <w:highlight w:val="none"/>
        </w:rPr>
      </w:pPr>
    </w:p>
    <w:p>
      <w:pPr>
        <w:spacing w:line="588" w:lineRule="exact"/>
        <w:ind w:firstLine="464" w:firstLineChars="200"/>
        <w:rPr>
          <w:rFonts w:hint="eastAsia" w:ascii="仿宋" w:hAnsi="仿宋" w:eastAsia="仿宋" w:cs="仿宋"/>
          <w:color w:val="auto"/>
          <w:spacing w:val="6"/>
          <w:sz w:val="22"/>
          <w:szCs w:val="22"/>
          <w:highlight w:val="none"/>
        </w:rPr>
      </w:pPr>
    </w:p>
    <w:p>
      <w:pPr>
        <w:spacing w:line="588" w:lineRule="exact"/>
        <w:ind w:firstLine="464" w:firstLineChars="200"/>
        <w:rPr>
          <w:rFonts w:hint="eastAsia" w:ascii="仿宋" w:hAnsi="仿宋" w:eastAsia="仿宋" w:cs="仿宋"/>
          <w:color w:val="auto"/>
          <w:spacing w:val="6"/>
          <w:sz w:val="22"/>
          <w:szCs w:val="22"/>
          <w:highlight w:val="none"/>
        </w:rPr>
      </w:pPr>
    </w:p>
    <w:p>
      <w:pPr>
        <w:spacing w:line="588" w:lineRule="exact"/>
        <w:ind w:firstLine="464" w:firstLineChars="200"/>
        <w:rPr>
          <w:rFonts w:hint="eastAsia" w:ascii="仿宋" w:hAnsi="仿宋" w:eastAsia="仿宋" w:cs="仿宋"/>
          <w:color w:val="auto"/>
          <w:spacing w:val="6"/>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after="0" w:line="480" w:lineRule="auto"/>
        <w:ind w:right="0" w:firstLine="440" w:firstLineChars="200"/>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Cs w:val="24"/>
          <w:highlight w:val="none"/>
        </w:rPr>
        <w:t>供应商名称</w:t>
      </w:r>
      <w:r>
        <w:rPr>
          <w:rFonts w:hint="eastAsia" w:ascii="仿宋" w:hAnsi="仿宋" w:eastAsia="仿宋" w:cs="仿宋"/>
          <w:color w:val="auto"/>
          <w:spacing w:val="4"/>
          <w:szCs w:val="24"/>
          <w:highlight w:val="none"/>
        </w:rPr>
        <w:t>（盖章）</w:t>
      </w:r>
      <w:r>
        <w:rPr>
          <w:rFonts w:hint="eastAsia" w:ascii="仿宋" w:hAnsi="仿宋" w:eastAsia="仿宋" w:cs="仿宋"/>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480" w:lineRule="auto"/>
        <w:ind w:right="0" w:firstLine="440" w:firstLineChars="200"/>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szCs w:val="24"/>
          <w:highlight w:val="none"/>
        </w:rPr>
        <w:t>日期：</w:t>
      </w:r>
      <w:r>
        <w:rPr>
          <w:rFonts w:hint="eastAsia" w:ascii="仿宋" w:hAnsi="仿宋" w:eastAsia="仿宋" w:cs="仿宋"/>
          <w:color w:val="auto"/>
          <w:szCs w:val="21"/>
          <w:highlight w:val="none"/>
        </w:rPr>
        <w:t xml:space="preserve">   年   月   日</w:t>
      </w:r>
    </w:p>
    <w:p>
      <w:pPr>
        <w:spacing w:line="440" w:lineRule="exact"/>
        <w:rPr>
          <w:rFonts w:hint="eastAsia" w:ascii="仿宋" w:hAnsi="仿宋" w:eastAsia="仿宋" w:cs="仿宋"/>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备注：</w:t>
      </w:r>
      <w:r>
        <w:rPr>
          <w:rFonts w:hint="eastAsia" w:ascii="仿宋" w:hAnsi="仿宋" w:eastAsia="仿宋" w:cs="仿宋"/>
          <w:b/>
          <w:bCs/>
          <w:color w:val="auto"/>
          <w:sz w:val="22"/>
          <w:szCs w:val="22"/>
          <w:highlight w:val="none"/>
          <w:lang w:eastAsia="zh-CN"/>
        </w:rPr>
        <w:t>符合条件的残疾人福利性单位在参加政府采购活动时，应当提供《残疾人福利性单位声明函》，并对声明的真实性负责；非残疾人福利性单位无需提供。</w:t>
      </w:r>
    </w:p>
    <w:p>
      <w:pPr>
        <w:pStyle w:val="2"/>
        <w:rPr>
          <w:rFonts w:hint="eastAsia" w:ascii="仿宋" w:hAnsi="仿宋" w:eastAsia="仿宋" w:cs="仿宋"/>
          <w:color w:val="auto"/>
          <w:sz w:val="22"/>
          <w:szCs w:val="22"/>
          <w:highlight w:val="none"/>
        </w:rPr>
      </w:pPr>
    </w:p>
    <w:p>
      <w:pPr>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rPr>
          <w:rFonts w:hint="eastAsia" w:ascii="仿宋" w:hAnsi="仿宋" w:eastAsia="仿宋" w:cs="仿宋"/>
          <w:color w:val="auto"/>
          <w:sz w:val="22"/>
          <w:szCs w:val="22"/>
          <w:highlight w:val="none"/>
        </w:rPr>
      </w:pPr>
    </w:p>
    <w:p>
      <w:pPr>
        <w:rPr>
          <w:rFonts w:hint="eastAsia" w:ascii="仿宋" w:hAnsi="仿宋" w:eastAsia="仿宋" w:cs="仿宋"/>
          <w:b/>
          <w:color w:val="auto"/>
          <w:sz w:val="22"/>
          <w:szCs w:val="22"/>
          <w:highlight w:val="none"/>
          <w:lang w:eastAsia="zh-CN"/>
        </w:rPr>
      </w:pPr>
      <w:bookmarkStart w:id="111" w:name="_Toc32281"/>
      <w:r>
        <w:rPr>
          <w:rFonts w:hint="eastAsia" w:ascii="仿宋" w:hAnsi="仿宋" w:eastAsia="仿宋" w:cs="仿宋"/>
          <w:b/>
          <w:color w:val="auto"/>
          <w:sz w:val="22"/>
          <w:szCs w:val="22"/>
          <w:highlight w:val="none"/>
          <w:lang w:eastAsia="zh-CN"/>
        </w:rPr>
        <w:br w:type="page"/>
      </w:r>
    </w:p>
    <w:p>
      <w:pPr>
        <w:spacing w:line="360" w:lineRule="auto"/>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监狱企业证明文件</w:t>
      </w:r>
      <w:bookmarkEnd w:id="111"/>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仿宋" w:hAnsi="仿宋" w:eastAsia="仿宋" w:cs="仿宋"/>
          <w:b/>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b/>
          <w:color w:val="auto"/>
          <w:sz w:val="22"/>
          <w:szCs w:val="22"/>
          <w:highlight w:val="none"/>
          <w:lang w:eastAsia="zh-CN"/>
        </w:rPr>
        <w:t>，非监狱企业无需提供</w:t>
      </w:r>
      <w:r>
        <w:rPr>
          <w:rFonts w:hint="eastAsia" w:ascii="仿宋" w:hAnsi="仿宋" w:eastAsia="仿宋" w:cs="仿宋"/>
          <w:b/>
          <w:color w:val="auto"/>
          <w:sz w:val="22"/>
          <w:szCs w:val="22"/>
          <w:highlight w:val="none"/>
        </w:rPr>
        <w:t>。</w:t>
      </w:r>
    </w:p>
    <w:p>
      <w:pPr>
        <w:pStyle w:val="14"/>
        <w:numPr>
          <w:ilvl w:val="0"/>
          <w:numId w:val="0"/>
        </w:numPr>
        <w:ind w:right="-88" w:rightChars="-40"/>
        <w:jc w:val="both"/>
        <w:rPr>
          <w:rFonts w:hint="default"/>
          <w:color w:val="auto"/>
          <w:highlight w:val="none"/>
          <w:lang w:val="en-US" w:eastAsia="zh-CN"/>
        </w:rPr>
      </w:pPr>
    </w:p>
    <w:p>
      <w:pPr>
        <w:pStyle w:val="14"/>
        <w:rPr>
          <w:rFonts w:hint="eastAsia" w:ascii="仿宋" w:hAnsi="仿宋" w:eastAsia="仿宋" w:cs="仿宋"/>
          <w:color w:val="auto"/>
          <w:sz w:val="22"/>
          <w:szCs w:val="22"/>
          <w:highlight w:val="none"/>
          <w:lang w:val="en-US" w:eastAsia="zh-CN"/>
        </w:rPr>
      </w:pPr>
    </w:p>
    <w:p>
      <w:pPr>
        <w:pStyle w:val="14"/>
        <w:rPr>
          <w:rFonts w:hint="eastAsia" w:ascii="仿宋" w:hAnsi="仿宋" w:eastAsia="仿宋" w:cs="仿宋"/>
          <w:color w:val="auto"/>
          <w:sz w:val="22"/>
          <w:szCs w:val="22"/>
          <w:highlight w:val="none"/>
          <w:lang w:val="en-US" w:eastAsia="zh-CN"/>
        </w:rPr>
      </w:pPr>
    </w:p>
    <w:p>
      <w:pPr>
        <w:jc w:val="both"/>
        <w:rPr>
          <w:rFonts w:hint="default"/>
          <w:color w:val="auto"/>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x0005_裥...">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upperLetter"/>
      <w:pStyle w:val="5"/>
      <w:lvlText w:val="%1、"/>
      <w:lvlJc w:val="left"/>
      <w:pPr>
        <w:tabs>
          <w:tab w:val="left" w:pos="960"/>
        </w:tabs>
        <w:ind w:left="960" w:hanging="324"/>
      </w:pPr>
      <w:rPr>
        <w:rFonts w:hint="eastAsia"/>
      </w:rPr>
    </w:lvl>
  </w:abstractNum>
  <w:abstractNum w:abstractNumId="1">
    <w:nsid w:val="00FF2508"/>
    <w:multiLevelType w:val="singleLevel"/>
    <w:tmpl w:val="00FF2508"/>
    <w:lvl w:ilvl="0" w:tentative="0">
      <w:start w:val="1"/>
      <w:numFmt w:val="decimal"/>
      <w:suff w:val="nothing"/>
      <w:lvlText w:val="（%1）"/>
      <w:lvlJc w:val="left"/>
    </w:lvl>
  </w:abstractNum>
  <w:abstractNum w:abstractNumId="2">
    <w:nsid w:val="03893486"/>
    <w:multiLevelType w:val="singleLevel"/>
    <w:tmpl w:val="03893486"/>
    <w:lvl w:ilvl="0" w:tentative="0">
      <w:start w:val="1"/>
      <w:numFmt w:val="decimal"/>
      <w:suff w:val="nothing"/>
      <w:lvlText w:val="%1、"/>
      <w:lvlJc w:val="left"/>
    </w:lvl>
  </w:abstractNum>
  <w:abstractNum w:abstractNumId="3">
    <w:nsid w:val="7ED0A0DE"/>
    <w:multiLevelType w:val="singleLevel"/>
    <w:tmpl w:val="7ED0A0DE"/>
    <w:lvl w:ilvl="0" w:tentative="0">
      <w:start w:val="1"/>
      <w:numFmt w:val="decimal"/>
      <w:suff w:val="nothing"/>
      <w:lvlText w:val="%1、"/>
      <w:lvlJc w:val="left"/>
      <w:pPr>
        <w:ind w:left="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DQ1MzE1OGZjNzcwNzc3YmIwNjMxNjMwODEyNjcifQ=="/>
  </w:docVars>
  <w:rsids>
    <w:rsidRoot w:val="00172A27"/>
    <w:rsid w:val="00806B23"/>
    <w:rsid w:val="020242D7"/>
    <w:rsid w:val="02106DC3"/>
    <w:rsid w:val="022655F4"/>
    <w:rsid w:val="023C4FA5"/>
    <w:rsid w:val="025008C3"/>
    <w:rsid w:val="02650658"/>
    <w:rsid w:val="027F6AB2"/>
    <w:rsid w:val="02AF2F00"/>
    <w:rsid w:val="03830824"/>
    <w:rsid w:val="03D07BEC"/>
    <w:rsid w:val="03E012B9"/>
    <w:rsid w:val="03F15914"/>
    <w:rsid w:val="04357D70"/>
    <w:rsid w:val="04F57B51"/>
    <w:rsid w:val="04FF5876"/>
    <w:rsid w:val="05361C9E"/>
    <w:rsid w:val="0548762F"/>
    <w:rsid w:val="056A31F2"/>
    <w:rsid w:val="05A02BA8"/>
    <w:rsid w:val="05BC2F2E"/>
    <w:rsid w:val="06117A75"/>
    <w:rsid w:val="06250C7F"/>
    <w:rsid w:val="062A10C3"/>
    <w:rsid w:val="07A32AD8"/>
    <w:rsid w:val="080355A0"/>
    <w:rsid w:val="08236132"/>
    <w:rsid w:val="0935559F"/>
    <w:rsid w:val="095615C7"/>
    <w:rsid w:val="099C0A7A"/>
    <w:rsid w:val="09E718CF"/>
    <w:rsid w:val="0A2747C8"/>
    <w:rsid w:val="0AB247F2"/>
    <w:rsid w:val="0AE069D0"/>
    <w:rsid w:val="0B7079A5"/>
    <w:rsid w:val="0C7C4592"/>
    <w:rsid w:val="0D6356CF"/>
    <w:rsid w:val="0EAA3109"/>
    <w:rsid w:val="0EEC7DE1"/>
    <w:rsid w:val="101051ED"/>
    <w:rsid w:val="10703EDE"/>
    <w:rsid w:val="10B422DB"/>
    <w:rsid w:val="10DC1574"/>
    <w:rsid w:val="10EE4E0B"/>
    <w:rsid w:val="10F20D97"/>
    <w:rsid w:val="116C49D5"/>
    <w:rsid w:val="11C664AC"/>
    <w:rsid w:val="1242592F"/>
    <w:rsid w:val="12E808AB"/>
    <w:rsid w:val="12E9554E"/>
    <w:rsid w:val="13141823"/>
    <w:rsid w:val="13270FED"/>
    <w:rsid w:val="13401EA3"/>
    <w:rsid w:val="13913037"/>
    <w:rsid w:val="13D65BBB"/>
    <w:rsid w:val="140B0AC5"/>
    <w:rsid w:val="143D057B"/>
    <w:rsid w:val="14C447F8"/>
    <w:rsid w:val="15213F90"/>
    <w:rsid w:val="15505C84"/>
    <w:rsid w:val="15512CFA"/>
    <w:rsid w:val="15A42B7C"/>
    <w:rsid w:val="16016017"/>
    <w:rsid w:val="162409D1"/>
    <w:rsid w:val="162A1B90"/>
    <w:rsid w:val="16781D3E"/>
    <w:rsid w:val="168C7931"/>
    <w:rsid w:val="16D000A9"/>
    <w:rsid w:val="17276132"/>
    <w:rsid w:val="175E0F34"/>
    <w:rsid w:val="1807337A"/>
    <w:rsid w:val="18383533"/>
    <w:rsid w:val="18406943"/>
    <w:rsid w:val="186F6C45"/>
    <w:rsid w:val="19037E7B"/>
    <w:rsid w:val="19452647"/>
    <w:rsid w:val="19495077"/>
    <w:rsid w:val="19715B54"/>
    <w:rsid w:val="1A3345AB"/>
    <w:rsid w:val="1A705206"/>
    <w:rsid w:val="1ABF7F3C"/>
    <w:rsid w:val="1B6F680A"/>
    <w:rsid w:val="1B7B1F7C"/>
    <w:rsid w:val="1B813443"/>
    <w:rsid w:val="1BFD0C2A"/>
    <w:rsid w:val="1C802A2A"/>
    <w:rsid w:val="1CBF6220"/>
    <w:rsid w:val="1D7C655F"/>
    <w:rsid w:val="1EB15511"/>
    <w:rsid w:val="1F5107FF"/>
    <w:rsid w:val="1F845C8A"/>
    <w:rsid w:val="20165492"/>
    <w:rsid w:val="205931AF"/>
    <w:rsid w:val="20EE6288"/>
    <w:rsid w:val="212E3BD9"/>
    <w:rsid w:val="212E4E04"/>
    <w:rsid w:val="21823DE5"/>
    <w:rsid w:val="21917954"/>
    <w:rsid w:val="21AB632E"/>
    <w:rsid w:val="22154323"/>
    <w:rsid w:val="22235254"/>
    <w:rsid w:val="229C259C"/>
    <w:rsid w:val="22A50BF6"/>
    <w:rsid w:val="23573514"/>
    <w:rsid w:val="24045C6E"/>
    <w:rsid w:val="242515DF"/>
    <w:rsid w:val="247E7DEF"/>
    <w:rsid w:val="24FC4402"/>
    <w:rsid w:val="25E34945"/>
    <w:rsid w:val="25F07D6A"/>
    <w:rsid w:val="25F92E06"/>
    <w:rsid w:val="26701180"/>
    <w:rsid w:val="267D4CCD"/>
    <w:rsid w:val="277C68C0"/>
    <w:rsid w:val="286406A9"/>
    <w:rsid w:val="28843D57"/>
    <w:rsid w:val="29793A0A"/>
    <w:rsid w:val="298316F9"/>
    <w:rsid w:val="298D4118"/>
    <w:rsid w:val="29C540E8"/>
    <w:rsid w:val="2A4C56D3"/>
    <w:rsid w:val="2A4E4E38"/>
    <w:rsid w:val="2A570D04"/>
    <w:rsid w:val="2A9A3806"/>
    <w:rsid w:val="2AE47AEE"/>
    <w:rsid w:val="2AE535F3"/>
    <w:rsid w:val="2BAF5A72"/>
    <w:rsid w:val="2BBC1C4B"/>
    <w:rsid w:val="2BBE50F8"/>
    <w:rsid w:val="2BC637E0"/>
    <w:rsid w:val="2C5F7A20"/>
    <w:rsid w:val="2CE850D0"/>
    <w:rsid w:val="2D0B5B85"/>
    <w:rsid w:val="2D3E7060"/>
    <w:rsid w:val="2E2F3838"/>
    <w:rsid w:val="2E312239"/>
    <w:rsid w:val="2E433ABF"/>
    <w:rsid w:val="2F6F3887"/>
    <w:rsid w:val="3059003E"/>
    <w:rsid w:val="305F57EE"/>
    <w:rsid w:val="30DF10AC"/>
    <w:rsid w:val="314676E4"/>
    <w:rsid w:val="31EE70F4"/>
    <w:rsid w:val="32AB50B1"/>
    <w:rsid w:val="3312482C"/>
    <w:rsid w:val="33AE23A5"/>
    <w:rsid w:val="344F07C2"/>
    <w:rsid w:val="34580D8D"/>
    <w:rsid w:val="34873421"/>
    <w:rsid w:val="34901C99"/>
    <w:rsid w:val="352670DE"/>
    <w:rsid w:val="3538471B"/>
    <w:rsid w:val="35F72913"/>
    <w:rsid w:val="35F9332B"/>
    <w:rsid w:val="362632C2"/>
    <w:rsid w:val="365410C7"/>
    <w:rsid w:val="369C13ED"/>
    <w:rsid w:val="37627780"/>
    <w:rsid w:val="377E59AF"/>
    <w:rsid w:val="386471B4"/>
    <w:rsid w:val="38AA1FD6"/>
    <w:rsid w:val="38C904AC"/>
    <w:rsid w:val="38CC39A8"/>
    <w:rsid w:val="38F33AC7"/>
    <w:rsid w:val="391C4F85"/>
    <w:rsid w:val="3A2A31CC"/>
    <w:rsid w:val="3AC60D78"/>
    <w:rsid w:val="3AEB2969"/>
    <w:rsid w:val="3B8F0229"/>
    <w:rsid w:val="3C2F371D"/>
    <w:rsid w:val="3CD23D6E"/>
    <w:rsid w:val="3CD356D5"/>
    <w:rsid w:val="3CDA7937"/>
    <w:rsid w:val="3CF32055"/>
    <w:rsid w:val="3E3C150D"/>
    <w:rsid w:val="3E7412CE"/>
    <w:rsid w:val="3EA03A5D"/>
    <w:rsid w:val="3EBB52F3"/>
    <w:rsid w:val="3EF536CA"/>
    <w:rsid w:val="3EF55E0E"/>
    <w:rsid w:val="3FBF1722"/>
    <w:rsid w:val="411249BA"/>
    <w:rsid w:val="41977179"/>
    <w:rsid w:val="41AD7B25"/>
    <w:rsid w:val="42186000"/>
    <w:rsid w:val="42795105"/>
    <w:rsid w:val="42EB101F"/>
    <w:rsid w:val="42EE3196"/>
    <w:rsid w:val="43E70D28"/>
    <w:rsid w:val="44EC0221"/>
    <w:rsid w:val="44F75334"/>
    <w:rsid w:val="45714E61"/>
    <w:rsid w:val="458E66C0"/>
    <w:rsid w:val="45AA51C1"/>
    <w:rsid w:val="466C072A"/>
    <w:rsid w:val="46C543C2"/>
    <w:rsid w:val="46F72688"/>
    <w:rsid w:val="47FF0D25"/>
    <w:rsid w:val="481873BA"/>
    <w:rsid w:val="49FE3D2D"/>
    <w:rsid w:val="4A475610"/>
    <w:rsid w:val="4A78588E"/>
    <w:rsid w:val="4AD73E31"/>
    <w:rsid w:val="4B15420F"/>
    <w:rsid w:val="4B4B1E98"/>
    <w:rsid w:val="4B6776B0"/>
    <w:rsid w:val="4BB87F0C"/>
    <w:rsid w:val="4BFB7921"/>
    <w:rsid w:val="4C2D08FA"/>
    <w:rsid w:val="4C7F0FE4"/>
    <w:rsid w:val="4CA50490"/>
    <w:rsid w:val="4CB5339B"/>
    <w:rsid w:val="4CE31738"/>
    <w:rsid w:val="4D1E4D9D"/>
    <w:rsid w:val="4D73213F"/>
    <w:rsid w:val="4D7F353F"/>
    <w:rsid w:val="4D956757"/>
    <w:rsid w:val="4E3C076C"/>
    <w:rsid w:val="4E46150C"/>
    <w:rsid w:val="4E5A43E4"/>
    <w:rsid w:val="4E930EC1"/>
    <w:rsid w:val="4EE649E6"/>
    <w:rsid w:val="4EFE20DA"/>
    <w:rsid w:val="4F8E16AF"/>
    <w:rsid w:val="4F9B1B89"/>
    <w:rsid w:val="50702F99"/>
    <w:rsid w:val="51C8534D"/>
    <w:rsid w:val="51CC5275"/>
    <w:rsid w:val="521C5CCD"/>
    <w:rsid w:val="5273460B"/>
    <w:rsid w:val="52827953"/>
    <w:rsid w:val="528547B3"/>
    <w:rsid w:val="532540D9"/>
    <w:rsid w:val="53446C55"/>
    <w:rsid w:val="53746BFD"/>
    <w:rsid w:val="53945128"/>
    <w:rsid w:val="53ED0228"/>
    <w:rsid w:val="53F71F19"/>
    <w:rsid w:val="53FA1AB9"/>
    <w:rsid w:val="54817A35"/>
    <w:rsid w:val="54A23853"/>
    <w:rsid w:val="55D6790C"/>
    <w:rsid w:val="5686714C"/>
    <w:rsid w:val="576004A0"/>
    <w:rsid w:val="578C7DFA"/>
    <w:rsid w:val="57B53B2A"/>
    <w:rsid w:val="582422FC"/>
    <w:rsid w:val="5857124C"/>
    <w:rsid w:val="58C67F85"/>
    <w:rsid w:val="58DF1921"/>
    <w:rsid w:val="58F24A5D"/>
    <w:rsid w:val="59186F98"/>
    <w:rsid w:val="592727A1"/>
    <w:rsid w:val="596D4A2C"/>
    <w:rsid w:val="596E0BC5"/>
    <w:rsid w:val="59C363FA"/>
    <w:rsid w:val="59E22D24"/>
    <w:rsid w:val="59EC3BA2"/>
    <w:rsid w:val="5A3317D1"/>
    <w:rsid w:val="5A710DCE"/>
    <w:rsid w:val="5AB0511D"/>
    <w:rsid w:val="5B0637C0"/>
    <w:rsid w:val="5BA945E8"/>
    <w:rsid w:val="5BAF4E87"/>
    <w:rsid w:val="5BF74212"/>
    <w:rsid w:val="5C0A0BEE"/>
    <w:rsid w:val="5C325930"/>
    <w:rsid w:val="5C6914E7"/>
    <w:rsid w:val="5CAE3215"/>
    <w:rsid w:val="5CF72C7A"/>
    <w:rsid w:val="5D9562FF"/>
    <w:rsid w:val="5D973E25"/>
    <w:rsid w:val="5E173F8D"/>
    <w:rsid w:val="5E661A86"/>
    <w:rsid w:val="5E863689"/>
    <w:rsid w:val="5E8E5228"/>
    <w:rsid w:val="5ED01848"/>
    <w:rsid w:val="5F0A5CF8"/>
    <w:rsid w:val="602C252F"/>
    <w:rsid w:val="608F4270"/>
    <w:rsid w:val="616834A5"/>
    <w:rsid w:val="61E13B61"/>
    <w:rsid w:val="62092E18"/>
    <w:rsid w:val="621A5A46"/>
    <w:rsid w:val="62434FBB"/>
    <w:rsid w:val="625E7607"/>
    <w:rsid w:val="6287513D"/>
    <w:rsid w:val="628A7254"/>
    <w:rsid w:val="634C56B2"/>
    <w:rsid w:val="638B61DA"/>
    <w:rsid w:val="638E1826"/>
    <w:rsid w:val="63AF3C23"/>
    <w:rsid w:val="641206A9"/>
    <w:rsid w:val="641C6E32"/>
    <w:rsid w:val="6443403B"/>
    <w:rsid w:val="644F33C5"/>
    <w:rsid w:val="64781B91"/>
    <w:rsid w:val="647C3D75"/>
    <w:rsid w:val="649479AB"/>
    <w:rsid w:val="64D315AA"/>
    <w:rsid w:val="65D31C24"/>
    <w:rsid w:val="668C2C6E"/>
    <w:rsid w:val="66960DC8"/>
    <w:rsid w:val="66F52DBE"/>
    <w:rsid w:val="66FD46FD"/>
    <w:rsid w:val="671B3BC0"/>
    <w:rsid w:val="671D183F"/>
    <w:rsid w:val="675D6BE8"/>
    <w:rsid w:val="677C34FF"/>
    <w:rsid w:val="67C75F68"/>
    <w:rsid w:val="68040309"/>
    <w:rsid w:val="68264723"/>
    <w:rsid w:val="68403B4E"/>
    <w:rsid w:val="68715CE9"/>
    <w:rsid w:val="68907DEF"/>
    <w:rsid w:val="68D94E51"/>
    <w:rsid w:val="695D033F"/>
    <w:rsid w:val="69C36973"/>
    <w:rsid w:val="69CA6E89"/>
    <w:rsid w:val="69E95A08"/>
    <w:rsid w:val="6AAB0F10"/>
    <w:rsid w:val="6AC55556"/>
    <w:rsid w:val="6AF1726A"/>
    <w:rsid w:val="6AFD7D57"/>
    <w:rsid w:val="6B6F1F3D"/>
    <w:rsid w:val="6BC66911"/>
    <w:rsid w:val="6C0244A0"/>
    <w:rsid w:val="6C7A503E"/>
    <w:rsid w:val="6CDE35EB"/>
    <w:rsid w:val="6D3003F7"/>
    <w:rsid w:val="6D6E2CE4"/>
    <w:rsid w:val="6DB97DE8"/>
    <w:rsid w:val="6E1D6BED"/>
    <w:rsid w:val="6E2837BF"/>
    <w:rsid w:val="6E5A4335"/>
    <w:rsid w:val="6EC87538"/>
    <w:rsid w:val="6EE40E94"/>
    <w:rsid w:val="6EF07839"/>
    <w:rsid w:val="6F0D3F47"/>
    <w:rsid w:val="6F0F1C8D"/>
    <w:rsid w:val="6F273B36"/>
    <w:rsid w:val="6F35349E"/>
    <w:rsid w:val="6F577C9B"/>
    <w:rsid w:val="6FB67AB5"/>
    <w:rsid w:val="6FE923D9"/>
    <w:rsid w:val="6FF9671A"/>
    <w:rsid w:val="704076C7"/>
    <w:rsid w:val="705F1E77"/>
    <w:rsid w:val="7109222A"/>
    <w:rsid w:val="71303BF3"/>
    <w:rsid w:val="71494532"/>
    <w:rsid w:val="716D2916"/>
    <w:rsid w:val="72A628D4"/>
    <w:rsid w:val="72B12A18"/>
    <w:rsid w:val="72D119A7"/>
    <w:rsid w:val="73464495"/>
    <w:rsid w:val="74217B30"/>
    <w:rsid w:val="74DA038C"/>
    <w:rsid w:val="75013298"/>
    <w:rsid w:val="75E67BC7"/>
    <w:rsid w:val="760D1667"/>
    <w:rsid w:val="76486801"/>
    <w:rsid w:val="76497A7B"/>
    <w:rsid w:val="76AE1D54"/>
    <w:rsid w:val="76CF7E18"/>
    <w:rsid w:val="76E0626A"/>
    <w:rsid w:val="76F51448"/>
    <w:rsid w:val="770E4CAD"/>
    <w:rsid w:val="77A47EBE"/>
    <w:rsid w:val="77F66609"/>
    <w:rsid w:val="78575DDC"/>
    <w:rsid w:val="79555700"/>
    <w:rsid w:val="79AA2C77"/>
    <w:rsid w:val="79E24222"/>
    <w:rsid w:val="7A8A0DE5"/>
    <w:rsid w:val="7A94551C"/>
    <w:rsid w:val="7AEE4FA7"/>
    <w:rsid w:val="7B0A57DF"/>
    <w:rsid w:val="7B324FCD"/>
    <w:rsid w:val="7B824533"/>
    <w:rsid w:val="7BC32103"/>
    <w:rsid w:val="7BC87F24"/>
    <w:rsid w:val="7BEF6D51"/>
    <w:rsid w:val="7C1C1C6D"/>
    <w:rsid w:val="7C3C7A60"/>
    <w:rsid w:val="7CF77FE5"/>
    <w:rsid w:val="7D85337F"/>
    <w:rsid w:val="7D902913"/>
    <w:rsid w:val="7E3913C2"/>
    <w:rsid w:val="7E5B3009"/>
    <w:rsid w:val="7E654C78"/>
    <w:rsid w:val="7EF50554"/>
    <w:rsid w:val="7EFE7BD6"/>
    <w:rsid w:val="7F1B445E"/>
    <w:rsid w:val="7F756A2F"/>
    <w:rsid w:val="7FBB354B"/>
    <w:rsid w:val="7FCD38DE"/>
    <w:rsid w:val="7FF1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spacing w:line="560" w:lineRule="exact"/>
      <w:ind w:firstLine="0" w:firstLineChars="0"/>
      <w:jc w:val="center"/>
      <w:outlineLvl w:val="1"/>
    </w:pPr>
    <w:rPr>
      <w:rFonts w:ascii="楷体" w:hAnsi="楷体" w:eastAsia="仿宋"/>
      <w:b/>
      <w:sz w:val="44"/>
      <w:szCs w:val="32"/>
    </w:rPr>
  </w:style>
  <w:style w:type="paragraph" w:styleId="5">
    <w:name w:val="heading 3"/>
    <w:basedOn w:val="1"/>
    <w:next w:val="1"/>
    <w:qFormat/>
    <w:uiPriority w:val="0"/>
    <w:pPr>
      <w:keepNext/>
      <w:numPr>
        <w:ilvl w:val="0"/>
        <w:numId w:val="1"/>
      </w:numPr>
      <w:jc w:val="center"/>
      <w:outlineLvl w:val="2"/>
    </w:pPr>
    <w:rPr>
      <w:rFonts w:ascii="黑体" w:eastAsia="黑体"/>
      <w:color w:val="00000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right="-84" w:rightChars="-40"/>
      <w:jc w:val="center"/>
    </w:pPr>
    <w:rPr>
      <w:rFonts w:eastAsia="宋体"/>
    </w:rPr>
  </w:style>
  <w:style w:type="paragraph" w:styleId="6">
    <w:name w:val="Normal Indent"/>
    <w:basedOn w:val="1"/>
    <w:next w:val="7"/>
    <w:qFormat/>
    <w:uiPriority w:val="0"/>
    <w:pPr>
      <w:spacing w:line="300" w:lineRule="auto"/>
      <w:ind w:firstLine="420" w:firstLineChars="200"/>
    </w:pPr>
    <w:rPr>
      <w:rFonts w:ascii="Times New Roman"/>
      <w:kern w:val="2"/>
      <w:sz w:val="21"/>
      <w:szCs w:val="24"/>
    </w:rPr>
  </w:style>
  <w:style w:type="paragraph" w:styleId="7">
    <w:name w:val="toc 4"/>
    <w:basedOn w:val="1"/>
    <w:next w:val="1"/>
    <w:unhideWhenUsed/>
    <w:qFormat/>
    <w:uiPriority w:val="39"/>
    <w:pPr>
      <w:ind w:left="1260" w:leftChars="600"/>
    </w:pPr>
  </w:style>
  <w:style w:type="paragraph" w:styleId="8">
    <w:name w:val="annotation text"/>
    <w:basedOn w:val="1"/>
    <w:qFormat/>
    <w:uiPriority w:val="99"/>
    <w:pPr>
      <w:jc w:val="left"/>
    </w:pPr>
    <w:rPr>
      <w:rFonts w:ascii="Times New Roman"/>
      <w:kern w:val="2"/>
      <w:sz w:val="21"/>
      <w:szCs w:val="24"/>
    </w:rPr>
  </w:style>
  <w:style w:type="paragraph" w:styleId="9">
    <w:name w:val="Date"/>
    <w:basedOn w:val="1"/>
    <w:next w:val="1"/>
    <w:qFormat/>
    <w:uiPriority w:val="0"/>
    <w:pPr>
      <w:widowControl w:val="0"/>
      <w:adjustRightInd/>
      <w:snapToGrid/>
      <w:spacing w:after="0"/>
      <w:jc w:val="both"/>
    </w:pPr>
    <w:rPr>
      <w:rFonts w:ascii="Times New Roman" w:hAnsi="Times New Roman" w:eastAsia="宋体" w:cs="Times New Roman"/>
      <w:kern w:val="2"/>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ind w:left="420" w:leftChars="200"/>
    </w:p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2"/>
    <w:qFormat/>
    <w:uiPriority w:val="0"/>
    <w:pPr>
      <w:ind w:firstLine="420" w:firstLineChars="100"/>
    </w:pPr>
  </w:style>
  <w:style w:type="table" w:styleId="16">
    <w:name w:val="Table Grid"/>
    <w:basedOn w:val="15"/>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szCs w:val="24"/>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styleId="20">
    <w:name w:val="List Paragraph"/>
    <w:basedOn w:val="1"/>
    <w:qFormat/>
    <w:uiPriority w:val="34"/>
    <w:pPr>
      <w:ind w:firstLine="420" w:firstLineChars="200"/>
    </w:pPr>
  </w:style>
  <w:style w:type="paragraph" w:customStyle="1" w:styleId="21">
    <w:name w:val="正文空2格  1."/>
    <w:basedOn w:val="1"/>
    <w:qFormat/>
    <w:uiPriority w:val="99"/>
    <w:pPr>
      <w:widowControl w:val="0"/>
      <w:snapToGrid/>
      <w:spacing w:after="0" w:line="360" w:lineRule="auto"/>
      <w:ind w:firstLine="480" w:firstLineChars="200"/>
      <w:jc w:val="both"/>
    </w:pPr>
    <w:rPr>
      <w:rFonts w:ascii="宋体" w:hAnsi="Times New Roman" w:eastAsia="仿宋" w:cs="宋体"/>
      <w:sz w:val="28"/>
      <w:szCs w:val="28"/>
    </w:rPr>
  </w:style>
  <w:style w:type="paragraph" w:customStyle="1" w:styleId="22">
    <w:name w:val="目录"/>
    <w:basedOn w:val="1"/>
    <w:qFormat/>
    <w:uiPriority w:val="0"/>
    <w:pPr>
      <w:widowControl/>
      <w:jc w:val="center"/>
    </w:pPr>
    <w:rPr>
      <w:rFonts w:hAnsi="Times New Roman"/>
      <w:b/>
      <w:sz w:val="36"/>
    </w:rPr>
  </w:style>
  <w:style w:type="paragraph" w:customStyle="1" w:styleId="23">
    <w:name w:val="Char1"/>
    <w:basedOn w:val="1"/>
    <w:qFormat/>
    <w:uiPriority w:val="0"/>
    <w:rPr>
      <w:rFonts w:ascii="仿宋_GB2312" w:eastAsia="仿宋_GB2312"/>
      <w:b/>
      <w:sz w:val="32"/>
      <w:szCs w:val="32"/>
    </w:rPr>
  </w:style>
  <w:style w:type="paragraph" w:customStyle="1" w:styleId="24">
    <w:name w:val="正文缩进1"/>
    <w:basedOn w:val="1"/>
    <w:qFormat/>
    <w:uiPriority w:val="0"/>
    <w:pPr>
      <w:ind w:firstLine="420" w:firstLineChars="200"/>
    </w:pPr>
  </w:style>
  <w:style w:type="paragraph" w:customStyle="1" w:styleId="25">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szCs w:val="24"/>
    </w:rPr>
  </w:style>
  <w:style w:type="character" w:customStyle="1" w:styleId="26">
    <w:name w:val="font21"/>
    <w:basedOn w:val="17"/>
    <w:qFormat/>
    <w:uiPriority w:val="0"/>
    <w:rPr>
      <w:rFonts w:hint="default" w:ascii="Arial" w:hAnsi="Arial" w:cs="Arial"/>
      <w:color w:val="000000"/>
      <w:sz w:val="32"/>
      <w:szCs w:val="32"/>
      <w:u w:val="none"/>
    </w:rPr>
  </w:style>
  <w:style w:type="character" w:customStyle="1" w:styleId="27">
    <w:name w:val="font71"/>
    <w:basedOn w:val="17"/>
    <w:qFormat/>
    <w:uiPriority w:val="0"/>
    <w:rPr>
      <w:rFonts w:hint="eastAsia" w:ascii="宋体" w:hAnsi="宋体" w:eastAsia="宋体" w:cs="宋体"/>
      <w:color w:val="000000"/>
      <w:sz w:val="32"/>
      <w:szCs w:val="32"/>
      <w:u w:val="none"/>
    </w:rPr>
  </w:style>
  <w:style w:type="paragraph" w:customStyle="1" w:styleId="2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24132</Words>
  <Characters>25271</Characters>
  <Lines>1</Lines>
  <Paragraphs>1</Paragraphs>
  <TotalTime>1</TotalTime>
  <ScaleCrop>false</ScaleCrop>
  <LinksUpToDate>false</LinksUpToDate>
  <CharactersWithSpaces>26650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2022-06-07T03:10:00Z</dcterms:created>
  <dc:creator>Administrator</dc:creator>
  <cp:lastModifiedBy>Jorva</cp:lastModifiedBy>
  <cp:lastPrinted>2022-10-14T08:55:00Z</cp:lastPrinted>
  <dcterms:modified xsi:type="dcterms:W3CDTF">2022-10-25T07:32:51Z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A3DC8BD390774E479D8E6587BCAAFED7</vt:lpwstr>
  </property>
</Properties>
</file>