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rPr>
          <w:rFonts w:hint="eastAsia" w:ascii="仿宋" w:hAnsi="仿宋" w:eastAsia="仿宋"/>
          <w:b/>
          <w:sz w:val="32"/>
          <w:szCs w:val="32"/>
          <w:lang w:eastAsia="zh-CN"/>
        </w:rPr>
        <w:t>附件</w:t>
      </w:r>
      <w:r>
        <w:rPr>
          <w:rFonts w:hint="eastAsia" w:ascii="仿宋" w:hAnsi="仿宋" w:eastAsia="仿宋"/>
          <w:b/>
          <w:sz w:val="32"/>
          <w:szCs w:val="32"/>
          <w:lang w:val="en-US" w:eastAsia="zh-CN"/>
        </w:rPr>
        <w:t>2：政府采购需求书范本（服务类）</w:t>
      </w: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jc w:val="center"/>
              <w:rPr>
                <w:rFonts w:ascii="宋体" w:hAnsi="宋体"/>
                <w:b/>
                <w:sz w:val="24"/>
              </w:rPr>
            </w:pPr>
            <w:r>
              <w:rPr>
                <w:rFonts w:hint="eastAsia" w:ascii="宋体" w:hAnsi="宋体"/>
                <w:b/>
                <w:sz w:val="28"/>
                <w:szCs w:val="28"/>
                <w:lang w:val="zh-CN"/>
              </w:rPr>
              <w:t>序号</w:t>
            </w:r>
          </w:p>
        </w:tc>
        <w:tc>
          <w:tcPr>
            <w:tcW w:w="1556" w:type="dxa"/>
            <w:vAlign w:val="center"/>
          </w:tcPr>
          <w:p>
            <w:pPr>
              <w:pStyle w:val="31"/>
              <w:ind w:left="38"/>
              <w:jc w:val="center"/>
              <w:rPr>
                <w:b/>
                <w:kern w:val="2"/>
                <w:lang w:val="zh-CN"/>
              </w:rPr>
            </w:pPr>
            <w:r>
              <w:rPr>
                <w:rFonts w:hint="eastAsia"/>
                <w:b/>
                <w:kern w:val="2"/>
                <w:sz w:val="28"/>
                <w:szCs w:val="28"/>
                <w:lang w:val="zh-CN"/>
              </w:rPr>
              <w:t>关键事项</w:t>
            </w:r>
          </w:p>
        </w:tc>
        <w:tc>
          <w:tcPr>
            <w:tcW w:w="7067" w:type="dxa"/>
            <w:vAlign w:val="center"/>
          </w:tcPr>
          <w:p>
            <w:pPr>
              <w:pStyle w:val="31"/>
              <w:jc w:val="center"/>
              <w:rPr>
                <w:b/>
                <w:kern w:val="2"/>
                <w:lang w:val="zh-CN"/>
              </w:rPr>
            </w:pPr>
            <w:r>
              <w:rPr>
                <w:rFonts w:hint="eastAsia"/>
                <w:b/>
                <w:kern w:val="2"/>
                <w:sz w:val="28"/>
                <w:szCs w:val="28"/>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8"/>
                <w:szCs w:val="28"/>
                <w:lang w:val="zh-CN"/>
              </w:rPr>
            </w:pPr>
            <w:r>
              <w:rPr>
                <w:rFonts w:ascii="宋体" w:hAnsi="宋体"/>
                <w:sz w:val="28"/>
                <w:szCs w:val="28"/>
                <w:lang w:val="zh-CN"/>
              </w:rPr>
              <w:t>1</w:t>
            </w:r>
          </w:p>
        </w:tc>
        <w:tc>
          <w:tcPr>
            <w:tcW w:w="1556" w:type="dxa"/>
            <w:vAlign w:val="center"/>
          </w:tcPr>
          <w:p>
            <w:pPr>
              <w:pStyle w:val="31"/>
              <w:ind w:left="38"/>
              <w:jc w:val="center"/>
              <w:rPr>
                <w:kern w:val="2"/>
                <w:lang w:val="zh-CN"/>
              </w:rPr>
            </w:pPr>
            <w:r>
              <w:rPr>
                <w:rFonts w:hint="eastAsia"/>
                <w:kern w:val="2"/>
                <w:lang w:val="zh-CN"/>
              </w:rPr>
              <w:t>采购预算</w:t>
            </w:r>
          </w:p>
        </w:tc>
        <w:tc>
          <w:tcPr>
            <w:tcW w:w="7067" w:type="dxa"/>
            <w:vAlign w:val="center"/>
          </w:tcPr>
          <w:p>
            <w:pPr>
              <w:pStyle w:val="31"/>
              <w:jc w:val="both"/>
              <w:rPr>
                <w:b/>
                <w:kern w:val="2"/>
                <w:lang w:val="zh-CN"/>
              </w:rPr>
            </w:pPr>
            <w:r>
              <w:rPr>
                <w:rFonts w:hint="eastAsia"/>
                <w:b/>
                <w:kern w:val="2"/>
                <w:lang w:val="zh-CN"/>
              </w:rPr>
              <w:t>人民币</w:t>
            </w:r>
            <w:r>
              <w:rPr>
                <w:b/>
                <w:kern w:val="2"/>
                <w:lang w:val="zh-CN"/>
              </w:rPr>
              <w:t>_</w:t>
            </w:r>
            <w:r>
              <w:rPr>
                <w:rFonts w:hint="eastAsia"/>
                <w:b/>
                <w:kern w:val="2"/>
                <w:u w:val="single"/>
                <w:lang w:val="en-US" w:eastAsia="zh-CN"/>
              </w:rPr>
              <w:t>36万</w:t>
            </w:r>
            <w:r>
              <w:rPr>
                <w:rFonts w:hint="eastAsia"/>
                <w:b/>
                <w:kern w:val="2"/>
                <w:lang w:val="zh-CN"/>
              </w:rPr>
              <w:t>元</w:t>
            </w:r>
          </w:p>
          <w:p>
            <w:pPr>
              <w:pStyle w:val="31"/>
              <w:jc w:val="both"/>
              <w:rPr>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8"/>
                <w:szCs w:val="28"/>
                <w:lang w:val="zh-CN"/>
              </w:rPr>
            </w:pPr>
            <w:r>
              <w:rPr>
                <w:rFonts w:ascii="宋体" w:hAnsi="宋体"/>
                <w:sz w:val="28"/>
                <w:szCs w:val="28"/>
                <w:lang w:val="zh-CN"/>
              </w:rPr>
              <w:t>2</w:t>
            </w:r>
          </w:p>
        </w:tc>
        <w:tc>
          <w:tcPr>
            <w:tcW w:w="1556" w:type="dxa"/>
            <w:vAlign w:val="center"/>
          </w:tcPr>
          <w:p>
            <w:pPr>
              <w:pStyle w:val="31"/>
              <w:ind w:left="38"/>
              <w:jc w:val="center"/>
              <w:rPr>
                <w:kern w:val="2"/>
                <w:lang w:val="zh-CN"/>
              </w:rPr>
            </w:pPr>
            <w:r>
              <w:rPr>
                <w:rFonts w:hint="eastAsia"/>
                <w:kern w:val="2"/>
                <w:lang w:val="zh-CN"/>
              </w:rPr>
              <w:t>最高限价</w:t>
            </w:r>
          </w:p>
        </w:tc>
        <w:tc>
          <w:tcPr>
            <w:tcW w:w="7067" w:type="dxa"/>
            <w:vAlign w:val="center"/>
          </w:tcPr>
          <w:p>
            <w:pPr>
              <w:pStyle w:val="31"/>
              <w:jc w:val="both"/>
              <w:rPr>
                <w:rFonts w:hint="default" w:eastAsia="宋体"/>
                <w:b/>
                <w:kern w:val="2"/>
                <w:lang w:val="en-US" w:eastAsia="zh-CN"/>
              </w:rPr>
            </w:pPr>
            <w:r>
              <w:rPr>
                <w:rFonts w:hint="eastAsia"/>
                <w:b/>
                <w:kern w:val="2"/>
                <w:lang w:val="zh-CN"/>
              </w:rPr>
              <w:t>人民币</w:t>
            </w:r>
            <w:r>
              <w:rPr>
                <w:rFonts w:hint="eastAsia"/>
                <w:b/>
                <w:kern w:val="2"/>
                <w:lang w:val="en-US" w:eastAsia="zh-CN"/>
              </w:rPr>
              <w:t xml:space="preserve"> </w:t>
            </w:r>
            <w:r>
              <w:rPr>
                <w:rFonts w:hint="eastAsia"/>
                <w:b/>
                <w:kern w:val="2"/>
                <w:u w:val="single"/>
                <w:lang w:val="en-US" w:eastAsia="zh-CN"/>
              </w:rPr>
              <w:t>20</w:t>
            </w:r>
            <w:r>
              <w:rPr>
                <w:rFonts w:hint="eastAsia"/>
                <w:b/>
                <w:kern w:val="2"/>
                <w:u w:val="single"/>
                <w:lang w:val="zh-CN"/>
              </w:rPr>
              <w:t>元</w:t>
            </w:r>
            <w:r>
              <w:rPr>
                <w:rFonts w:hint="eastAsia"/>
                <w:b/>
                <w:kern w:val="2"/>
                <w:u w:val="single"/>
                <w:lang w:val="en-US" w:eastAsia="zh-CN"/>
              </w:rPr>
              <w:t>/亩</w:t>
            </w:r>
          </w:p>
          <w:p>
            <w:pPr>
              <w:pStyle w:val="31"/>
              <w:ind w:left="38"/>
              <w:jc w:val="both"/>
              <w:rPr>
                <w:b/>
                <w:kern w:val="2"/>
                <w:lang w:val="zh-CN"/>
              </w:rPr>
            </w:pPr>
            <w:r>
              <w:rPr>
                <w:rFonts w:hint="eastAsia"/>
                <w:kern w:val="2"/>
                <w:sz w:val="21"/>
                <w:szCs w:val="21"/>
                <w:lang w:val="zh-CN"/>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8"/>
                <w:szCs w:val="28"/>
                <w:lang w:val="zh-CN"/>
              </w:rPr>
            </w:pPr>
            <w:r>
              <w:rPr>
                <w:rFonts w:ascii="宋体" w:hAnsi="宋体"/>
                <w:sz w:val="28"/>
                <w:szCs w:val="28"/>
                <w:lang w:val="zh-CN"/>
              </w:rPr>
              <w:t>3</w:t>
            </w:r>
          </w:p>
        </w:tc>
        <w:tc>
          <w:tcPr>
            <w:tcW w:w="1556" w:type="dxa"/>
            <w:vMerge w:val="restart"/>
            <w:vAlign w:val="center"/>
          </w:tcPr>
          <w:p>
            <w:pPr>
              <w:pStyle w:val="31"/>
              <w:ind w:left="38"/>
              <w:jc w:val="center"/>
              <w:rPr>
                <w:rFonts w:hint="eastAsia"/>
                <w:kern w:val="2"/>
                <w:lang w:val="zh-CN"/>
              </w:rPr>
            </w:pPr>
            <w:r>
              <w:rPr>
                <w:rFonts w:hint="eastAsia"/>
                <w:kern w:val="2"/>
                <w:lang w:val="zh-CN"/>
              </w:rPr>
              <w:t>项目性质</w:t>
            </w:r>
          </w:p>
        </w:tc>
        <w:tc>
          <w:tcPr>
            <w:tcW w:w="7067" w:type="dxa"/>
            <w:vAlign w:val="center"/>
          </w:tcPr>
          <w:p>
            <w:pPr>
              <w:pStyle w:val="31"/>
              <w:jc w:val="both"/>
              <w:rPr>
                <w:b/>
                <w:kern w:val="2"/>
                <w:lang w:val="zh-CN"/>
              </w:rPr>
            </w:pPr>
            <w:r>
              <w:rPr>
                <w:rFonts w:hint="default" w:ascii="Arial" w:hAnsi="Arial" w:cs="Arial"/>
                <w:b/>
                <w:sz w:val="24"/>
                <w:lang w:val="zh-CN"/>
              </w:rPr>
              <w:t>√</w:t>
            </w:r>
            <w:r>
              <w:rPr>
                <w:rFonts w:hint="eastAsia"/>
                <w:b/>
                <w:kern w:val="2"/>
                <w:lang w:val="zh-CN"/>
              </w:rPr>
              <w:t>专门面向中小企业采购</w:t>
            </w:r>
          </w:p>
          <w:p>
            <w:pPr>
              <w:pStyle w:val="31"/>
              <w:ind w:left="38"/>
              <w:jc w:val="both"/>
              <w:rPr>
                <w:rFonts w:hint="eastAsia"/>
                <w:b/>
                <w:kern w:val="2"/>
                <w:lang w:val="zh-CN"/>
              </w:rPr>
            </w:pPr>
            <w:r>
              <w:rPr>
                <w:rFonts w:hint="eastAsia"/>
                <w:kern w:val="2"/>
                <w:sz w:val="21"/>
                <w:szCs w:val="21"/>
                <w:lang w:val="zh-CN"/>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b/>
                <w:sz w:val="28"/>
                <w:szCs w:val="28"/>
                <w:lang w:val="zh-CN"/>
              </w:rPr>
            </w:pPr>
          </w:p>
        </w:tc>
        <w:tc>
          <w:tcPr>
            <w:tcW w:w="1556" w:type="dxa"/>
            <w:vMerge w:val="continue"/>
            <w:vAlign w:val="center"/>
          </w:tcPr>
          <w:p>
            <w:pPr>
              <w:pStyle w:val="31"/>
              <w:ind w:left="96"/>
              <w:jc w:val="center"/>
              <w:rPr>
                <w:kern w:val="2"/>
                <w:lang w:val="zh-CN"/>
              </w:rPr>
            </w:pPr>
          </w:p>
        </w:tc>
        <w:tc>
          <w:tcPr>
            <w:tcW w:w="7067" w:type="dxa"/>
            <w:vAlign w:val="center"/>
          </w:tcPr>
          <w:p>
            <w:pPr>
              <w:ind w:right="94" w:rightChars="45"/>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4</w:t>
            </w:r>
          </w:p>
        </w:tc>
        <w:tc>
          <w:tcPr>
            <w:tcW w:w="1556" w:type="dxa"/>
            <w:vAlign w:val="center"/>
          </w:tcPr>
          <w:p>
            <w:pPr>
              <w:pStyle w:val="31"/>
              <w:ind w:left="96"/>
              <w:jc w:val="center"/>
              <w:rPr>
                <w:kern w:val="2"/>
                <w:lang w:val="zh-CN"/>
              </w:rPr>
            </w:pPr>
            <w:r>
              <w:rPr>
                <w:kern w:val="2"/>
                <w:lang w:val="zh-CN"/>
              </w:rPr>
              <w:t>对供应商的</w:t>
            </w:r>
          </w:p>
          <w:p>
            <w:pPr>
              <w:pStyle w:val="31"/>
              <w:ind w:left="96"/>
              <w:jc w:val="center"/>
              <w:rPr>
                <w:kern w:val="2"/>
                <w:lang w:val="zh-CN"/>
              </w:rPr>
            </w:pPr>
            <w:r>
              <w:rPr>
                <w:kern w:val="2"/>
                <w:lang w:val="zh-CN"/>
              </w:rPr>
              <w:t>资格要求</w:t>
            </w:r>
          </w:p>
        </w:tc>
        <w:tc>
          <w:tcPr>
            <w:tcW w:w="7067" w:type="dxa"/>
            <w:vAlign w:val="center"/>
          </w:tcPr>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1、具有独立承担民事责任的能力且具备向采购人提供相关服务的企业法人、 事业法人、其他组织或者自然人，企业法人应提供统一社会信用代码的营业 执照；事业法人应提供统一社会信用代码证书；其他组织应提供合法证明文 件； 自然人提供身份证明文件；</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 财务状况报告：提供 2021 年度的财务会计报告 (至少包括资产负债表和利润表，成立时间至提交响应文件截止时间不足一年的可 提供成立后任意时段的资产负债表) ，或其磋商前三个月内基本存款账户开 户银行出具的资信证明及基本存款账户开户许可证或开户银行打印的含有企 业基本存款账户编号的《基本存款账户信息》；</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 提供具有履行本合同所必需的设备和专业技术能力的证明材料或承诺；</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4、税收缴纳证明： 自 2021 年 8 月 1 日以来已缴纳的至少一个月的纳税凭证 或完税证明 (任意税种) ，完税证明上应有代收机构或税务机关的公章；依 法免税的供应商应提供相关文件证明；</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 社保缴纳证明： 自 2021 年 8 月 1 日以来已缴存的至少一个月的社会保障 资金缴存单据或社保机构开具的社会保险参保缴费情况证明；依法不需要缴 纳社会保障资金的供应商应提供相关文件证明；</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6、参加政府采购活动前 3 年内在经营活动中没有重大违法记录的书面声明； </w:t>
            </w:r>
          </w:p>
          <w:p>
            <w:pPr>
              <w:spacing w:line="360" w:lineRule="auto"/>
              <w:ind w:firstLine="480" w:firstLineChars="200"/>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lang w:val="en-US" w:eastAsia="zh-CN"/>
              </w:rPr>
              <w:t>7、</w:t>
            </w:r>
            <w:r>
              <w:rPr>
                <w:rFonts w:hint="eastAsia" w:ascii="宋体" w:hAnsi="宋体" w:eastAsia="宋体" w:cs="宋体"/>
                <w:color w:val="000000"/>
                <w:sz w:val="24"/>
                <w:szCs w:val="32"/>
                <w:highlight w:val="none"/>
              </w:rPr>
              <w:t>供应商应授权合法的人员参加磋商全过程，其中法定代表人直接参加 磋商时须出具法定代表人身份证明及法定代表人身份证；法定代表人授权委 托代理人参加磋商时须出具法定代表人授权委托书及委托代理人身份证；</w:t>
            </w:r>
          </w:p>
          <w:p>
            <w:pPr>
              <w:spacing w:line="360" w:lineRule="auto"/>
              <w:ind w:firstLine="480" w:firstLineChars="200"/>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lang w:val="en-US" w:eastAsia="zh-CN"/>
              </w:rPr>
              <w:t>8、</w:t>
            </w:r>
            <w:r>
              <w:rPr>
                <w:rFonts w:hint="eastAsia" w:ascii="宋体" w:hAnsi="宋体" w:eastAsia="宋体" w:cs="宋体"/>
                <w:color w:val="000000"/>
                <w:sz w:val="24"/>
                <w:szCs w:val="32"/>
                <w:highlight w:val="none"/>
              </w:rPr>
              <w:t xml:space="preserve">供应商不得为“信用中国”网站 (www.creditchina.gov.cn) 中列入 失信被执行人和重大税收违法失信主体的供应商，不得为中国政府采购网 </w:t>
            </w:r>
            <w:r>
              <w:rPr>
                <w:rFonts w:hint="eastAsia" w:ascii="宋体" w:hAnsi="宋体" w:eastAsia="宋体" w:cs="宋体"/>
                <w:color w:val="000000"/>
                <w:sz w:val="24"/>
                <w:szCs w:val="32"/>
                <w:highlight w:val="none"/>
              </w:rPr>
              <w:tab/>
            </w:r>
            <w:r>
              <w:rPr>
                <w:rFonts w:hint="eastAsia" w:ascii="宋体" w:hAnsi="宋体" w:eastAsia="宋体" w:cs="宋体"/>
                <w:color w:val="000000"/>
                <w:sz w:val="24"/>
                <w:szCs w:val="32"/>
                <w:highlight w:val="none"/>
              </w:rPr>
              <w:t>(www.ccgp.gov.cn) 政府采购严重违法失信行为记录名单中被财政部门禁止 参加政府采购活动的供应商；</w:t>
            </w:r>
          </w:p>
          <w:p>
            <w:pPr>
              <w:pStyle w:val="31"/>
              <w:jc w:val="both"/>
              <w:rPr>
                <w:kern w:val="2"/>
                <w:lang w:val="zh-CN"/>
              </w:rPr>
            </w:pPr>
            <w:r>
              <w:rPr>
                <w:rFonts w:hint="eastAsia" w:ascii="宋体" w:hAnsi="宋体" w:eastAsia="宋体" w:cs="宋体"/>
                <w:color w:val="000000"/>
                <w:kern w:val="2"/>
                <w:sz w:val="24"/>
                <w:szCs w:val="32"/>
                <w:highlight w:val="none"/>
                <w:lang w:val="en-US" w:eastAsia="zh-CN" w:bidi="ar-SA"/>
              </w:rPr>
              <w:t>9、本项目为专门面向中小企业采购项目 (监狱企业、残疾人福利性单位视同 小型、微型企业) 。中型企业、小型企业、微型企业的，应提供《中小企业 声明函》，监狱企业的， 应提供监狱企业的证明文件；残疾人福利性单位的，应提供《残疾人福利性 单位声明函》。</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4"/>
              </w:rPr>
            </w:pPr>
            <w:r>
              <w:rPr>
                <w:rFonts w:ascii="宋体" w:hAnsi="宋体"/>
                <w:sz w:val="24"/>
              </w:rPr>
              <w:t>5</w:t>
            </w:r>
          </w:p>
        </w:tc>
        <w:tc>
          <w:tcPr>
            <w:tcW w:w="1556" w:type="dxa"/>
            <w:vMerge w:val="restart"/>
            <w:vAlign w:val="center"/>
          </w:tcPr>
          <w:p>
            <w:pPr>
              <w:pStyle w:val="31"/>
              <w:ind w:left="96"/>
              <w:jc w:val="center"/>
              <w:rPr>
                <w:rFonts w:hint="eastAsia"/>
                <w:kern w:val="2"/>
                <w:lang w:val="zh-CN"/>
              </w:rPr>
            </w:pPr>
            <w:r>
              <w:rPr>
                <w:kern w:val="2"/>
                <w:lang w:val="zh-CN"/>
              </w:rPr>
              <w:t>是否</w:t>
            </w:r>
            <w:r>
              <w:rPr>
                <w:rFonts w:hint="eastAsia"/>
                <w:kern w:val="2"/>
                <w:lang w:val="zh-CN"/>
              </w:rPr>
              <w:t>接受</w:t>
            </w:r>
          </w:p>
          <w:p>
            <w:pPr>
              <w:pStyle w:val="31"/>
              <w:ind w:left="96"/>
              <w:jc w:val="center"/>
              <w:rPr>
                <w:rFonts w:hint="eastAsia"/>
                <w:kern w:val="2"/>
                <w:lang w:val="zh-CN"/>
              </w:rPr>
            </w:pPr>
            <w:r>
              <w:rPr>
                <w:kern w:val="2"/>
                <w:lang w:val="zh-CN"/>
              </w:rPr>
              <w:t>联合体投标</w:t>
            </w:r>
          </w:p>
        </w:tc>
        <w:tc>
          <w:tcPr>
            <w:tcW w:w="7067" w:type="dxa"/>
            <w:vAlign w:val="center"/>
          </w:tcPr>
          <w:p>
            <w:pPr>
              <w:pStyle w:val="31"/>
              <w:jc w:val="both"/>
              <w:rPr>
                <w:b/>
                <w:kern w:val="2"/>
                <w:lang w:val="zh-CN"/>
              </w:rPr>
            </w:pPr>
            <w:r>
              <w:rPr>
                <w:rFonts w:hint="eastAsia"/>
                <w:b/>
                <w:kern w:val="2"/>
                <w:lang w:val="zh-CN"/>
              </w:rPr>
              <w:t>○接受</w:t>
            </w:r>
          </w:p>
          <w:p>
            <w:pPr>
              <w:pStyle w:val="31"/>
              <w:jc w:val="both"/>
              <w:rPr>
                <w:rFonts w:hint="eastAsia"/>
                <w:b/>
                <w:kern w:val="2"/>
                <w:lang w:val="zh-CN"/>
              </w:rPr>
            </w:pPr>
            <w:r>
              <w:rPr>
                <w:rFonts w:hint="eastAsia"/>
                <w:kern w:val="2"/>
                <w:sz w:val="21"/>
                <w:szCs w:val="21"/>
                <w:lang w:val="zh-CN"/>
              </w:rPr>
              <w:t>对于联合体协议或者分包意向协议约定小微企业的合同份额占到合同总金额30%以上的，对联合体或者大中型企业的报价</w:t>
            </w:r>
            <w:r>
              <w:rPr>
                <w:rFonts w:hint="eastAsia"/>
                <w:b/>
                <w:kern w:val="2"/>
                <w:sz w:val="21"/>
                <w:szCs w:val="21"/>
                <w:lang w:val="zh-CN"/>
              </w:rPr>
              <w:t>给予___%（2%-</w:t>
            </w:r>
            <w:r>
              <w:rPr>
                <w:b/>
                <w:kern w:val="2"/>
                <w:sz w:val="21"/>
                <w:szCs w:val="21"/>
                <w:lang w:val="zh-CN"/>
              </w:rPr>
              <w:t>3%</w:t>
            </w:r>
            <w:r>
              <w:rPr>
                <w:rFonts w:hint="eastAsia"/>
                <w:b/>
                <w:kern w:val="2"/>
                <w:sz w:val="21"/>
                <w:szCs w:val="21"/>
                <w:lang w:val="zh-CN"/>
              </w:rPr>
              <w:t>）的扣除</w:t>
            </w:r>
            <w:r>
              <w:rPr>
                <w:rFonts w:hint="eastAsia"/>
                <w:kern w:val="2"/>
                <w:sz w:val="21"/>
                <w:szCs w:val="21"/>
                <w:lang w:val="zh-CN"/>
              </w:rPr>
              <w:t>，用扣除后的报价参加评审。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sz w:val="24"/>
              </w:rPr>
            </w:pPr>
          </w:p>
        </w:tc>
        <w:tc>
          <w:tcPr>
            <w:tcW w:w="1556" w:type="dxa"/>
            <w:vMerge w:val="continue"/>
            <w:vAlign w:val="center"/>
          </w:tcPr>
          <w:p>
            <w:pPr>
              <w:pStyle w:val="31"/>
              <w:ind w:left="96"/>
              <w:jc w:val="center"/>
              <w:rPr>
                <w:kern w:val="2"/>
                <w:lang w:val="zh-CN"/>
              </w:rPr>
            </w:pPr>
          </w:p>
        </w:tc>
        <w:tc>
          <w:tcPr>
            <w:tcW w:w="7067" w:type="dxa"/>
            <w:vAlign w:val="center"/>
          </w:tcPr>
          <w:p>
            <w:pPr>
              <w:pStyle w:val="31"/>
              <w:jc w:val="both"/>
              <w:rPr>
                <w:rFonts w:hint="eastAsia"/>
                <w:b/>
                <w:kern w:val="2"/>
                <w:lang w:val="zh-CN"/>
              </w:rPr>
            </w:pPr>
            <w:r>
              <w:rPr>
                <w:rFonts w:hint="default" w:ascii="Arial" w:hAnsi="Arial" w:cs="Arial"/>
                <w:b/>
                <w:sz w:val="24"/>
                <w:lang w:val="zh-CN"/>
              </w:rPr>
              <w:t>√</w:t>
            </w:r>
            <w:r>
              <w:rPr>
                <w:rFonts w:hint="eastAsia"/>
                <w:b/>
                <w:kern w:val="2"/>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4"/>
              </w:rPr>
            </w:pPr>
            <w:r>
              <w:rPr>
                <w:rFonts w:ascii="宋体" w:hAnsi="宋体"/>
                <w:sz w:val="24"/>
              </w:rPr>
              <w:t>6</w:t>
            </w:r>
          </w:p>
        </w:tc>
        <w:tc>
          <w:tcPr>
            <w:tcW w:w="1556" w:type="dxa"/>
            <w:vMerge w:val="restart"/>
            <w:vAlign w:val="center"/>
          </w:tcPr>
          <w:p>
            <w:pPr>
              <w:pStyle w:val="31"/>
              <w:ind w:left="96"/>
              <w:jc w:val="center"/>
              <w:rPr>
                <w:kern w:val="2"/>
                <w:lang w:val="zh-CN"/>
              </w:rPr>
            </w:pPr>
            <w:r>
              <w:rPr>
                <w:kern w:val="2"/>
                <w:lang w:val="zh-CN"/>
              </w:rPr>
              <w:t>履约保证金</w:t>
            </w:r>
          </w:p>
        </w:tc>
        <w:tc>
          <w:tcPr>
            <w:tcW w:w="7067" w:type="dxa"/>
            <w:vAlign w:val="center"/>
          </w:tcPr>
          <w:p>
            <w:pPr>
              <w:ind w:right="94" w:rightChars="45"/>
              <w:rPr>
                <w:rFonts w:ascii="宋体" w:hAnsi="宋体"/>
                <w:b/>
                <w:sz w:val="24"/>
              </w:rPr>
            </w:pPr>
            <w:r>
              <w:rPr>
                <w:rFonts w:ascii="宋体" w:hAnsi="宋体"/>
                <w:b/>
                <w:sz w:val="24"/>
              </w:rPr>
              <w:t>占政府采购合同金额的</w:t>
            </w:r>
            <w:r>
              <w:rPr>
                <w:rFonts w:hint="eastAsia" w:ascii="宋体" w:hAnsi="宋体"/>
                <w:b/>
                <w:sz w:val="24"/>
                <w:u w:val="single"/>
                <w:lang w:val="en-US" w:eastAsia="zh-CN"/>
              </w:rPr>
              <w:t>0</w:t>
            </w:r>
            <w:r>
              <w:rPr>
                <w:rFonts w:hint="eastAsia" w:ascii="宋体" w:hAnsi="宋体"/>
                <w:b/>
                <w:sz w:val="24"/>
                <w:lang w:val="en-US" w:eastAsia="zh-CN"/>
              </w:rPr>
              <w:t>%</w:t>
            </w:r>
          </w:p>
          <w:p>
            <w:pPr>
              <w:ind w:right="94" w:rightChars="45"/>
              <w:rPr>
                <w:rFonts w:hint="eastAsia" w:ascii="宋体" w:hAnsi="宋体"/>
                <w:szCs w:val="21"/>
              </w:rPr>
            </w:pPr>
            <w:r>
              <w:rPr>
                <w:rFonts w:hint="eastAsia" w:ascii="宋体" w:hAnsi="宋体"/>
                <w:szCs w:val="21"/>
              </w:rPr>
              <w:t>履约保证金的数额不得超过政府采购合同金额的10%；对于单价合同，其数额不得超过采购预算的10%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sz w:val="24"/>
              </w:rPr>
            </w:pPr>
          </w:p>
        </w:tc>
        <w:tc>
          <w:tcPr>
            <w:tcW w:w="1556" w:type="dxa"/>
            <w:vMerge w:val="continue"/>
            <w:vAlign w:val="center"/>
          </w:tcPr>
          <w:p>
            <w:pPr>
              <w:pStyle w:val="31"/>
              <w:ind w:left="96"/>
              <w:jc w:val="center"/>
              <w:rPr>
                <w:kern w:val="2"/>
                <w:lang w:val="zh-CN"/>
              </w:rPr>
            </w:pPr>
          </w:p>
        </w:tc>
        <w:tc>
          <w:tcPr>
            <w:tcW w:w="7067" w:type="dxa"/>
            <w:vAlign w:val="center"/>
          </w:tcPr>
          <w:p>
            <w:pPr>
              <w:ind w:right="94" w:rightChars="45"/>
              <w:rPr>
                <w:rFonts w:ascii="宋体" w:hAnsi="宋体"/>
                <w:b/>
                <w:sz w:val="24"/>
              </w:rPr>
            </w:pPr>
            <w:r>
              <w:rPr>
                <w:rFonts w:hint="default" w:ascii="Arial" w:hAnsi="Arial" w:cs="Arial"/>
                <w:b/>
                <w:sz w:val="24"/>
                <w:lang w:val="zh-CN"/>
              </w:rPr>
              <w:t>√</w:t>
            </w:r>
            <w:r>
              <w:rPr>
                <w:rFonts w:ascii="宋体" w:hAnsi="宋体"/>
                <w:b/>
                <w:sz w:val="24"/>
              </w:rPr>
              <w:t>由采购单位自行收退</w:t>
            </w:r>
          </w:p>
          <w:p>
            <w:pPr>
              <w:ind w:right="94" w:rightChars="45"/>
              <w:rPr>
                <w:rFonts w:hint="eastAsia" w:ascii="宋体" w:hAnsi="宋体"/>
                <w:b/>
                <w:sz w:val="24"/>
              </w:rPr>
            </w:pPr>
            <w:r>
              <w:rPr>
                <w:rFonts w:ascii="宋体" w:hAnsi="宋体"/>
                <w:b/>
                <w:sz w:val="24"/>
              </w:rPr>
              <w:t>○由代理机构负责收退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7</w:t>
            </w:r>
          </w:p>
        </w:tc>
        <w:tc>
          <w:tcPr>
            <w:tcW w:w="1556" w:type="dxa"/>
            <w:vAlign w:val="center"/>
          </w:tcPr>
          <w:p>
            <w:pPr>
              <w:pStyle w:val="31"/>
              <w:ind w:left="96"/>
              <w:jc w:val="center"/>
              <w:rPr>
                <w:kern w:val="2"/>
                <w:lang w:val="zh-CN"/>
              </w:rPr>
            </w:pPr>
            <w:r>
              <w:rPr>
                <w:kern w:val="2"/>
                <w:lang w:val="zh-CN"/>
              </w:rPr>
              <w:t>集中答疑</w:t>
            </w:r>
          </w:p>
        </w:tc>
        <w:tc>
          <w:tcPr>
            <w:tcW w:w="7067" w:type="dxa"/>
            <w:vAlign w:val="center"/>
          </w:tcPr>
          <w:p>
            <w:pPr>
              <w:ind w:right="94" w:rightChars="45"/>
              <w:rPr>
                <w:rFonts w:hint="eastAsia" w:ascii="宋体" w:hAnsi="宋体"/>
                <w:b/>
                <w:sz w:val="24"/>
              </w:rPr>
            </w:pPr>
            <w:r>
              <w:rPr>
                <w:rFonts w:ascii="宋体" w:hAnsi="宋体"/>
                <w:b/>
                <w:sz w:val="24"/>
              </w:rPr>
              <w:t>○组织，答疑地点为：</w:t>
            </w:r>
            <w:r>
              <w:rPr>
                <w:rFonts w:hint="eastAsia" w:ascii="宋体" w:hAnsi="宋体"/>
                <w:b/>
                <w:sz w:val="24"/>
              </w:rPr>
              <w:t>_______________________</w:t>
            </w:r>
          </w:p>
          <w:p>
            <w:pPr>
              <w:numPr>
                <w:ilvl w:val="0"/>
                <w:numId w:val="0"/>
              </w:numPr>
              <w:ind w:leftChars="0" w:right="94" w:rightChars="45"/>
              <w:rPr>
                <w:rFonts w:ascii="宋体" w:hAnsi="宋体"/>
                <w:b/>
                <w:sz w:val="24"/>
              </w:rPr>
            </w:pPr>
            <w:r>
              <w:rPr>
                <w:rFonts w:hint="default" w:ascii="Arial" w:hAnsi="Arial" w:cs="Arial"/>
                <w:b/>
                <w:sz w:val="24"/>
                <w:lang w:val="zh-CN"/>
              </w:rPr>
              <w:t>√</w:t>
            </w:r>
            <w:r>
              <w:rPr>
                <w:rFonts w:ascii="宋体" w:hAnsi="宋体"/>
                <w:b/>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8</w:t>
            </w:r>
          </w:p>
        </w:tc>
        <w:tc>
          <w:tcPr>
            <w:tcW w:w="1556" w:type="dxa"/>
            <w:vAlign w:val="center"/>
          </w:tcPr>
          <w:p>
            <w:pPr>
              <w:pStyle w:val="31"/>
              <w:ind w:left="96"/>
              <w:jc w:val="center"/>
              <w:rPr>
                <w:kern w:val="2"/>
                <w:lang w:val="zh-CN"/>
              </w:rPr>
            </w:pPr>
            <w:r>
              <w:rPr>
                <w:kern w:val="2"/>
                <w:lang w:val="zh-CN"/>
              </w:rPr>
              <w:t>价格分比重</w:t>
            </w:r>
          </w:p>
        </w:tc>
        <w:tc>
          <w:tcPr>
            <w:tcW w:w="7067" w:type="dxa"/>
            <w:vAlign w:val="center"/>
          </w:tcPr>
          <w:p>
            <w:pPr>
              <w:widowControl/>
              <w:rPr>
                <w:rFonts w:hint="eastAsia" w:ascii="宋体" w:hAnsi="宋体" w:cs="宋体"/>
                <w:b/>
                <w:kern w:val="0"/>
                <w:sz w:val="24"/>
                <w:szCs w:val="24"/>
                <w:lang w:val="zh-CN"/>
              </w:rPr>
            </w:pPr>
            <w:r>
              <w:rPr>
                <w:rFonts w:ascii="宋体" w:hAnsi="宋体" w:cs="宋体"/>
                <w:b/>
                <w:kern w:val="0"/>
                <w:sz w:val="24"/>
                <w:szCs w:val="24"/>
                <w:lang w:val="zh-CN"/>
              </w:rPr>
              <w:t>占总分值的</w:t>
            </w:r>
            <w:r>
              <w:rPr>
                <w:rFonts w:hint="eastAsia" w:ascii="宋体" w:hAnsi="宋体" w:cs="宋体"/>
                <w:b/>
                <w:kern w:val="0"/>
                <w:sz w:val="24"/>
                <w:szCs w:val="24"/>
                <w:lang w:val="zh-CN"/>
              </w:rPr>
              <w:t>_</w:t>
            </w:r>
            <w:r>
              <w:rPr>
                <w:rFonts w:hint="eastAsia" w:ascii="宋体" w:hAnsi="宋体" w:cs="宋体"/>
                <w:b/>
                <w:kern w:val="0"/>
                <w:sz w:val="24"/>
                <w:szCs w:val="24"/>
                <w:lang w:val="en-US" w:eastAsia="zh-CN"/>
              </w:rPr>
              <w:t>10</w:t>
            </w:r>
            <w:r>
              <w:rPr>
                <w:rFonts w:hint="eastAsia" w:ascii="宋体" w:hAnsi="宋体" w:cs="宋体"/>
                <w:b/>
                <w:kern w:val="0"/>
                <w:sz w:val="24"/>
                <w:szCs w:val="24"/>
                <w:lang w:val="zh-CN"/>
              </w:rPr>
              <w:t>__%</w:t>
            </w:r>
          </w:p>
          <w:p>
            <w:pPr>
              <w:widowControl/>
              <w:rPr>
                <w:rFonts w:ascii="宋体" w:hAnsi="宋体" w:cs="宋体"/>
                <w:kern w:val="0"/>
                <w:szCs w:val="21"/>
                <w:lang w:val="zh-CN"/>
              </w:rPr>
            </w:pPr>
            <w:r>
              <w:rPr>
                <w:rFonts w:hint="eastAsia" w:ascii="宋体" w:hAnsi="宋体" w:cs="宋体"/>
                <w:kern w:val="0"/>
                <w:szCs w:val="21"/>
                <w:lang w:val="zh-CN"/>
              </w:rPr>
              <w:t>[招标]根据《政府采购货物和服务招标投标管理办法》（财政部87号令）的规定，综合</w:t>
            </w:r>
            <w:r>
              <w:rPr>
                <w:rFonts w:ascii="宋体" w:hAnsi="宋体" w:cs="宋体"/>
                <w:kern w:val="0"/>
                <w:szCs w:val="21"/>
                <w:lang w:val="zh-CN"/>
              </w:rPr>
              <w:t>评分法服务</w:t>
            </w:r>
            <w:r>
              <w:rPr>
                <w:rFonts w:hint="eastAsia" w:ascii="宋体" w:hAnsi="宋体" w:cs="宋体"/>
                <w:kern w:val="0"/>
                <w:szCs w:val="21"/>
                <w:lang w:val="zh-CN"/>
              </w:rPr>
              <w:t>项目的价格分值占总分值的比重不得低于</w:t>
            </w:r>
            <w:r>
              <w:rPr>
                <w:rFonts w:ascii="宋体" w:hAnsi="宋体" w:cs="宋体"/>
                <w:kern w:val="0"/>
                <w:szCs w:val="21"/>
                <w:lang w:val="zh-CN"/>
              </w:rPr>
              <w:t>1</w:t>
            </w:r>
            <w:r>
              <w:rPr>
                <w:rFonts w:hint="eastAsia" w:ascii="宋体" w:hAnsi="宋体" w:cs="宋体"/>
                <w:kern w:val="0"/>
                <w:szCs w:val="21"/>
                <w:lang w:val="zh-CN"/>
              </w:rPr>
              <w:t>0%。执行国家统一定价标准和采用固定价格采购的项目，其价格不列为评审因素。</w:t>
            </w:r>
          </w:p>
          <w:p>
            <w:pPr>
              <w:widowControl/>
              <w:rPr>
                <w:rFonts w:hint="eastAsia" w:ascii="宋体" w:hAnsi="宋体" w:cs="宋体"/>
                <w:kern w:val="0"/>
                <w:szCs w:val="21"/>
                <w:lang w:val="zh-CN"/>
              </w:rPr>
            </w:pPr>
            <w:r>
              <w:rPr>
                <w:rFonts w:ascii="宋体" w:hAnsi="宋体" w:cs="宋体"/>
                <w:kern w:val="0"/>
                <w:szCs w:val="21"/>
                <w:lang w:val="zh-CN"/>
              </w:rPr>
              <w:t>[磋商</w:t>
            </w:r>
            <w:r>
              <w:rPr>
                <w:rFonts w:hint="eastAsia" w:ascii="宋体" w:hAnsi="宋体" w:cs="宋体"/>
                <w:kern w:val="0"/>
                <w:szCs w:val="21"/>
                <w:lang w:val="zh-CN"/>
              </w:rPr>
              <w:t>]根据《政府采购竞争性磋商采购方式管理暂行办法》（财库〔2014〕214号）的规定，服务项目的价格分值占总分值的比重(即权值)为</w:t>
            </w:r>
            <w:r>
              <w:rPr>
                <w:rFonts w:ascii="宋体" w:hAnsi="宋体" w:cs="宋体"/>
                <w:kern w:val="0"/>
                <w:szCs w:val="21"/>
                <w:lang w:val="zh-CN"/>
              </w:rPr>
              <w:t>1</w:t>
            </w:r>
            <w:r>
              <w:rPr>
                <w:rFonts w:hint="eastAsia" w:ascii="宋体" w:hAnsi="宋体" w:cs="宋体"/>
                <w:kern w:val="0"/>
                <w:szCs w:val="21"/>
                <w:lang w:val="zh-CN"/>
              </w:rPr>
              <w:t>0%-</w:t>
            </w:r>
            <w:r>
              <w:rPr>
                <w:rFonts w:ascii="宋体" w:hAnsi="宋体" w:cs="宋体"/>
                <w:kern w:val="0"/>
                <w:szCs w:val="21"/>
                <w:lang w:val="zh-CN"/>
              </w:rPr>
              <w:t>3</w:t>
            </w:r>
            <w:r>
              <w:rPr>
                <w:rFonts w:hint="eastAsia" w:ascii="宋体" w:hAnsi="宋体" w:cs="宋体"/>
                <w:kern w:val="0"/>
                <w:szCs w:val="21"/>
                <w:lang w:val="zh-CN"/>
              </w:rPr>
              <w:t>0%。</w:t>
            </w:r>
          </w:p>
          <w:p>
            <w:pPr>
              <w:widowControl/>
              <w:rPr>
                <w:rFonts w:hint="eastAsia" w:ascii="宋体" w:hAnsi="宋体" w:cs="宋体"/>
                <w:kern w:val="0"/>
                <w:szCs w:val="21"/>
                <w:lang w:val="zh-CN"/>
              </w:rPr>
            </w:pPr>
            <w:r>
              <w:rPr>
                <w:rFonts w:hint="eastAsia" w:ascii="宋体" w:hAnsi="宋体" w:cs="宋体"/>
                <w:kern w:val="0"/>
                <w:szCs w:val="21"/>
                <w:lang w:val="zh-CN"/>
              </w:rPr>
              <w:t>[其他采购方式]无须设置。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9</w:t>
            </w:r>
          </w:p>
        </w:tc>
        <w:tc>
          <w:tcPr>
            <w:tcW w:w="1556" w:type="dxa"/>
            <w:vAlign w:val="center"/>
          </w:tcPr>
          <w:p>
            <w:pPr>
              <w:pStyle w:val="31"/>
              <w:ind w:left="96"/>
              <w:jc w:val="center"/>
              <w:rPr>
                <w:kern w:val="2"/>
                <w:lang w:val="zh-CN"/>
              </w:rPr>
            </w:pPr>
            <w:r>
              <w:rPr>
                <w:kern w:val="2"/>
                <w:lang w:val="zh-CN"/>
              </w:rPr>
              <w:t>合同类型</w:t>
            </w:r>
          </w:p>
        </w:tc>
        <w:tc>
          <w:tcPr>
            <w:tcW w:w="7067" w:type="dxa"/>
            <w:vAlign w:val="center"/>
          </w:tcPr>
          <w:p>
            <w:pPr>
              <w:rPr>
                <w:rFonts w:ascii="宋体" w:hAnsi="宋体"/>
                <w:b/>
                <w:sz w:val="24"/>
                <w:lang w:val="zh-CN"/>
              </w:rPr>
            </w:pPr>
            <w:r>
              <w:rPr>
                <w:rFonts w:hint="default" w:ascii="Arial" w:hAnsi="Arial" w:cs="Arial"/>
                <w:b/>
                <w:sz w:val="24"/>
                <w:lang w:val="zh-CN"/>
              </w:rPr>
              <w:t>√</w:t>
            </w:r>
            <w:r>
              <w:rPr>
                <w:rFonts w:ascii="宋体" w:hAnsi="宋体"/>
                <w:b/>
                <w:sz w:val="24"/>
                <w:lang w:val="zh-CN"/>
              </w:rPr>
              <w:t>固定总价</w:t>
            </w:r>
          </w:p>
          <w:p>
            <w:pPr>
              <w:rPr>
                <w:rFonts w:ascii="宋体" w:hAnsi="宋体"/>
                <w:b/>
                <w:sz w:val="24"/>
                <w:lang w:val="zh-CN"/>
              </w:rPr>
            </w:pPr>
            <w:r>
              <w:rPr>
                <w:rFonts w:ascii="宋体" w:hAnsi="宋体"/>
                <w:b/>
                <w:sz w:val="24"/>
                <w:lang w:val="zh-CN"/>
              </w:rPr>
              <w:t>○固定单价（适用于采购数量不定的情形）</w:t>
            </w:r>
          </w:p>
          <w:p>
            <w:pPr>
              <w:rPr>
                <w:rFonts w:hint="eastAsia" w:ascii="宋体" w:hAnsi="宋体"/>
                <w:sz w:val="24"/>
                <w:lang w:val="zh-CN"/>
              </w:rPr>
            </w:pPr>
            <w:r>
              <w:rPr>
                <w:rFonts w:ascii="宋体" w:hAnsi="宋体"/>
                <w:b/>
                <w:sz w:val="24"/>
                <w:lang w:val="zh-CN"/>
              </w:rPr>
              <w:t>○其他</w:t>
            </w:r>
            <w:r>
              <w:rPr>
                <w:rFonts w:hint="eastAsia" w:ascii="宋体" w:hAnsi="宋体"/>
                <w:b/>
                <w:sz w:val="24"/>
                <w:lang w:val="zh-CN"/>
              </w:rPr>
              <w:t>：_____________________________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10</w:t>
            </w:r>
          </w:p>
        </w:tc>
        <w:tc>
          <w:tcPr>
            <w:tcW w:w="1556" w:type="dxa"/>
            <w:vAlign w:val="center"/>
          </w:tcPr>
          <w:p>
            <w:pPr>
              <w:tabs>
                <w:tab w:val="left" w:pos="7665"/>
              </w:tabs>
              <w:snapToGrid w:val="0"/>
              <w:jc w:val="center"/>
              <w:rPr>
                <w:rFonts w:ascii="宋体" w:hAnsi="宋体"/>
                <w:sz w:val="24"/>
              </w:rPr>
            </w:pPr>
            <w:r>
              <w:rPr>
                <w:rFonts w:ascii="宋体" w:hAnsi="宋体"/>
                <w:sz w:val="24"/>
              </w:rPr>
              <w:t>争议解决途径</w:t>
            </w:r>
          </w:p>
        </w:tc>
        <w:tc>
          <w:tcPr>
            <w:tcW w:w="7067" w:type="dxa"/>
            <w:vAlign w:val="center"/>
          </w:tcPr>
          <w:p>
            <w:pPr>
              <w:tabs>
                <w:tab w:val="left" w:pos="7665"/>
              </w:tabs>
              <w:snapToGrid w:val="0"/>
              <w:rPr>
                <w:rFonts w:ascii="宋体" w:hAnsi="宋体"/>
                <w:b/>
                <w:sz w:val="24"/>
              </w:rPr>
            </w:pPr>
            <w:r>
              <w:rPr>
                <w:rFonts w:hint="default" w:ascii="Arial" w:hAnsi="Arial" w:cs="Arial"/>
                <w:b/>
                <w:sz w:val="24"/>
                <w:lang w:val="zh-CN"/>
              </w:rPr>
              <w:t>√</w:t>
            </w:r>
            <w:r>
              <w:rPr>
                <w:rFonts w:ascii="宋体" w:hAnsi="宋体"/>
                <w:b/>
                <w:sz w:val="24"/>
              </w:rPr>
              <w:t>向有管辖权的人民法院提起诉讼</w:t>
            </w:r>
          </w:p>
          <w:p>
            <w:pPr>
              <w:tabs>
                <w:tab w:val="left" w:pos="7665"/>
              </w:tabs>
              <w:snapToGrid w:val="0"/>
              <w:rPr>
                <w:rFonts w:ascii="宋体" w:hAnsi="宋体"/>
                <w:b/>
                <w:sz w:val="24"/>
              </w:rPr>
            </w:pPr>
            <w:r>
              <w:rPr>
                <w:rFonts w:ascii="宋体" w:hAnsi="宋体"/>
                <w:b/>
                <w:sz w:val="24"/>
              </w:rPr>
              <w:t>○向西安仲裁委员会提请仲裁</w:t>
            </w:r>
          </w:p>
          <w:p>
            <w:pPr>
              <w:tabs>
                <w:tab w:val="left" w:pos="7665"/>
              </w:tabs>
              <w:snapToGrid w:val="0"/>
              <w:rPr>
                <w:rFonts w:hint="eastAsia" w:ascii="宋体" w:hAnsi="宋体"/>
                <w:sz w:val="24"/>
              </w:rPr>
            </w:pPr>
            <w:r>
              <w:rPr>
                <w:rFonts w:ascii="宋体" w:hAnsi="宋体"/>
                <w:b/>
                <w:sz w:val="24"/>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11</w:t>
            </w:r>
          </w:p>
        </w:tc>
        <w:tc>
          <w:tcPr>
            <w:tcW w:w="1556" w:type="dxa"/>
            <w:vAlign w:val="center"/>
          </w:tcPr>
          <w:p>
            <w:pPr>
              <w:snapToGrid w:val="0"/>
              <w:jc w:val="center"/>
              <w:rPr>
                <w:rFonts w:hint="eastAsia" w:ascii="宋体" w:hAnsi="宋体"/>
                <w:sz w:val="24"/>
              </w:rPr>
            </w:pPr>
            <w:r>
              <w:rPr>
                <w:rFonts w:hint="eastAsia" w:ascii="宋体" w:hAnsi="宋体"/>
                <w:sz w:val="24"/>
              </w:rPr>
              <w:t>联系方式</w:t>
            </w:r>
          </w:p>
        </w:tc>
        <w:tc>
          <w:tcPr>
            <w:tcW w:w="7067" w:type="dxa"/>
            <w:vAlign w:val="center"/>
          </w:tcPr>
          <w:p>
            <w:pPr>
              <w:tabs>
                <w:tab w:val="left" w:pos="7665"/>
              </w:tabs>
              <w:snapToGrid w:val="0"/>
              <w:rPr>
                <w:rFonts w:hint="default" w:ascii="宋体" w:hAnsi="宋体"/>
                <w:b/>
                <w:bCs/>
                <w:sz w:val="24"/>
                <w:lang w:val="en-US"/>
              </w:rPr>
            </w:pPr>
            <w:r>
              <w:rPr>
                <w:rFonts w:hint="eastAsia" w:ascii="宋体" w:hAnsi="宋体"/>
                <w:b/>
                <w:bCs/>
                <w:sz w:val="24"/>
              </w:rPr>
              <w:t>项目对接人：</w:t>
            </w:r>
            <w:r>
              <w:rPr>
                <w:rFonts w:hint="eastAsia" w:ascii="宋体" w:hAnsi="宋体"/>
                <w:b/>
                <w:bCs/>
                <w:sz w:val="24"/>
                <w:u w:val="single"/>
                <w:lang w:val="en-US" w:eastAsia="zh-CN"/>
              </w:rPr>
              <w:t>程老师</w:t>
            </w:r>
          </w:p>
          <w:p>
            <w:pPr>
              <w:tabs>
                <w:tab w:val="left" w:pos="7665"/>
              </w:tabs>
              <w:snapToGrid w:val="0"/>
              <w:rPr>
                <w:rFonts w:hint="eastAsia" w:ascii="宋体" w:hAnsi="宋体"/>
                <w:b/>
                <w:bCs/>
                <w:sz w:val="24"/>
              </w:rPr>
            </w:pPr>
            <w:r>
              <w:rPr>
                <w:rFonts w:ascii="宋体" w:hAnsi="宋体"/>
                <w:b/>
                <w:bCs/>
                <w:sz w:val="24"/>
              </w:rPr>
              <w:t>联系电话：</w:t>
            </w:r>
            <w:r>
              <w:rPr>
                <w:rFonts w:hint="eastAsia" w:ascii="宋体" w:hAnsi="宋体"/>
                <w:b/>
                <w:bCs/>
                <w:sz w:val="24"/>
                <w:u w:val="single"/>
              </w:rPr>
              <w:t>029-85622271</w:t>
            </w:r>
          </w:p>
          <w:p>
            <w:pPr>
              <w:tabs>
                <w:tab w:val="left" w:pos="7665"/>
              </w:tabs>
              <w:snapToGrid w:val="0"/>
              <w:rPr>
                <w:rFonts w:hint="eastAsia" w:ascii="宋体" w:hAnsi="宋体"/>
                <w:sz w:val="24"/>
              </w:rPr>
            </w:pPr>
            <w:r>
              <w:rPr>
                <w:rFonts w:ascii="宋体" w:hAnsi="宋体"/>
                <w:b/>
                <w:bCs/>
                <w:sz w:val="24"/>
              </w:rPr>
              <w:t>电子邮箱：</w:t>
            </w:r>
            <w:r>
              <w:rPr>
                <w:rFonts w:hint="eastAsia" w:ascii="宋体" w:hAnsi="宋体"/>
                <w:b/>
                <w:bCs/>
                <w:sz w:val="24"/>
              </w:rPr>
              <w:t>_______________</w:t>
            </w:r>
          </w:p>
        </w:tc>
      </w:tr>
    </w:tbl>
    <w:p>
      <w:pPr>
        <w:widowControl/>
        <w:jc w:val="center"/>
        <w:rPr>
          <w:rFonts w:ascii="仿宋" w:hAnsi="仿宋" w:eastAsia="仿宋"/>
          <w:b/>
          <w:sz w:val="32"/>
          <w:szCs w:val="32"/>
        </w:rPr>
      </w:pPr>
    </w:p>
    <w:p>
      <w:pPr>
        <w:widowControl/>
        <w:jc w:val="center"/>
        <w:rPr>
          <w:rFonts w:ascii="仿宋" w:hAnsi="仿宋" w:eastAsia="仿宋"/>
          <w:b/>
          <w:sz w:val="32"/>
          <w:szCs w:val="32"/>
        </w:rPr>
      </w:pPr>
    </w:p>
    <w:p>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pPr>
        <w:pBdr>
          <w:bottom w:val="single" w:color="auto" w:sz="4" w:space="1"/>
        </w:pBdr>
        <w:spacing w:before="312" w:beforeLines="100"/>
        <w:ind w:left="420" w:hanging="420"/>
        <w:rPr>
          <w:rFonts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项目名称：2022年粮食重大病虫害应急防治  </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项目资金：</w:t>
      </w:r>
      <w:r>
        <w:rPr>
          <w:rFonts w:hint="eastAsia" w:ascii="仿宋" w:hAnsi="仿宋" w:eastAsia="仿宋"/>
          <w:sz w:val="28"/>
          <w:szCs w:val="28"/>
          <w:lang w:val="en-US" w:eastAsia="zh-CN"/>
        </w:rPr>
        <w:t>36万元</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项目任务：完成1.8万亩小麦条锈病防治，达到“打点保面，压低菌源”目的，最大限度地降低条锈病损失，保证我区夏粮生产安全</w:t>
      </w:r>
      <w:r>
        <w:rPr>
          <w:rFonts w:hint="eastAsia" w:ascii="仿宋" w:hAnsi="仿宋" w:eastAsia="仿宋"/>
          <w:sz w:val="28"/>
          <w:szCs w:val="28"/>
          <w:lang w:eastAsia="zh-CN"/>
        </w:rPr>
        <w:t>。</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二、服务内容（包括工作区域、工作内容等）</w:t>
      </w:r>
    </w:p>
    <w:p>
      <w:pPr>
        <w:rPr>
          <w:rFonts w:ascii="仿宋" w:hAnsi="仿宋" w:eastAsia="仿宋"/>
          <w:sz w:val="28"/>
          <w:szCs w:val="28"/>
        </w:rPr>
      </w:pP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1.工作区域：长安区（具体地点由甲方指定）</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2.工作内容：开展小麦条锈病防治1.8万亩</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三、技术要求（如有，一般适合于技术服务项目）</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1.防治药剂选用44%三唑酮25克/亩。</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2.防治器械以大型自走式高杆喷雾器为主，配合植保无人机，保证防治全面到位。</w:t>
      </w:r>
    </w:p>
    <w:p>
      <w:pPr>
        <w:ind w:firstLine="560" w:firstLineChars="200"/>
        <w:rPr>
          <w:rFonts w:ascii="楷体" w:hAnsi="楷体" w:eastAsia="楷体"/>
          <w:color w:val="FF0000"/>
          <w:sz w:val="24"/>
          <w:szCs w:val="28"/>
        </w:rPr>
      </w:pPr>
      <w:r>
        <w:rPr>
          <w:rFonts w:hint="eastAsia" w:ascii="仿宋" w:hAnsi="仿宋" w:eastAsia="仿宋"/>
          <w:sz w:val="28"/>
          <w:szCs w:val="28"/>
          <w:lang w:val="en-US" w:eastAsia="zh-CN"/>
        </w:rPr>
        <w:t>3.防效达到85%以上。</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四、服务要求（如对人员配置、专业设备、服务标准等）</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1.拥有4台高杆自走式喷雾机，背负式汽油喷雾机5台，专业技术人员及作业人员10人以上；</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2.按照防治规范操作，如违反防治规范，责任由自己承担。</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3.2023年4月20日前完成防治任务。</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4.及时收集防治资料，已备项目验收之需。</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五、商务要求（如服务期限、款项结算等）</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（一）服务期限</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合同签订之日至2023年4月20日前完成防治任务。</w:t>
      </w:r>
    </w:p>
    <w:p>
      <w:pPr>
        <w:numPr>
          <w:ilvl w:val="0"/>
          <w:numId w:val="1"/>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款项结算</w:t>
      </w:r>
    </w:p>
    <w:p>
      <w:pPr>
        <w:numPr>
          <w:ilvl w:val="0"/>
          <w:numId w:val="0"/>
        </w:num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无预付款，项目验收完成，按照财政资金拨付情况及时支付；</w:t>
      </w:r>
    </w:p>
    <w:p>
      <w:pPr>
        <w:pBdr>
          <w:bottom w:val="single" w:color="auto" w:sz="4" w:space="1"/>
        </w:pBdr>
        <w:spacing w:before="312" w:beforeLines="100"/>
        <w:rPr>
          <w:rFonts w:ascii="仿宋" w:hAnsi="仿宋" w:eastAsia="仿宋"/>
          <w:b/>
          <w:sz w:val="28"/>
          <w:szCs w:val="28"/>
        </w:rPr>
      </w:pPr>
      <w:r>
        <w:rPr>
          <w:rFonts w:hint="eastAsia" w:ascii="仿宋" w:hAnsi="仿宋" w:eastAsia="仿宋"/>
          <w:b/>
          <w:sz w:val="28"/>
          <w:szCs w:val="28"/>
        </w:rPr>
        <w:t>六、其他（如有要求，请写明）</w:t>
      </w:r>
    </w:p>
    <w:p>
      <w:pPr>
        <w:ind w:firstLine="560" w:firstLineChars="200"/>
        <w:rPr>
          <w:rFonts w:ascii="仿宋" w:hAnsi="仿宋" w:eastAsia="仿宋"/>
          <w:sz w:val="28"/>
          <w:szCs w:val="28"/>
        </w:rPr>
      </w:pPr>
      <w:r>
        <w:rPr>
          <w:rFonts w:hint="eastAsia" w:ascii="仿宋" w:hAnsi="仿宋" w:eastAsia="仿宋"/>
          <w:sz w:val="28"/>
          <w:szCs w:val="28"/>
        </w:rPr>
        <w:t>（一）对服务商的业绩要求</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1.提供专业化防治组织资质、法人授权等；</w:t>
      </w:r>
    </w:p>
    <w:p>
      <w:pPr>
        <w:ind w:firstLine="560" w:firstLineChars="200"/>
        <w:rPr>
          <w:rFonts w:ascii="仿宋" w:hAnsi="仿宋" w:eastAsia="仿宋"/>
          <w:sz w:val="28"/>
          <w:szCs w:val="28"/>
        </w:rPr>
      </w:pPr>
      <w:r>
        <w:rPr>
          <w:rFonts w:hint="eastAsia" w:ascii="仿宋" w:hAnsi="仿宋" w:eastAsia="仿宋"/>
          <w:sz w:val="28"/>
          <w:szCs w:val="28"/>
          <w:lang w:val="en-US" w:eastAsia="zh-CN"/>
        </w:rPr>
        <w:t>2.提供近3年专业化防治业绩、获奖等企业证明；</w:t>
      </w:r>
    </w:p>
    <w:p>
      <w:pPr>
        <w:ind w:firstLine="560" w:firstLineChars="200"/>
        <w:rPr>
          <w:rFonts w:ascii="仿宋" w:hAnsi="仿宋" w:eastAsia="仿宋"/>
          <w:color w:val="FF0000"/>
          <w:sz w:val="28"/>
          <w:szCs w:val="28"/>
        </w:rPr>
      </w:pPr>
      <w:r>
        <w:rPr>
          <w:rFonts w:hint="eastAsia" w:ascii="仿宋" w:hAnsi="仿宋" w:eastAsia="仿宋"/>
          <w:sz w:val="28"/>
          <w:szCs w:val="28"/>
        </w:rPr>
        <w:t>（二）进度要求</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1.2023年3月1日前完成防治药剂储备、器械检修、人员培训等准备工作。</w:t>
      </w:r>
    </w:p>
    <w:p>
      <w:pPr>
        <w:ind w:firstLine="560" w:firstLineChars="200"/>
        <w:rPr>
          <w:rFonts w:ascii="仿宋" w:hAnsi="仿宋" w:eastAsia="仿宋"/>
          <w:sz w:val="28"/>
          <w:szCs w:val="28"/>
        </w:rPr>
      </w:pPr>
      <w:r>
        <w:rPr>
          <w:rFonts w:hint="eastAsia" w:ascii="仿宋" w:hAnsi="仿宋" w:eastAsia="仿宋"/>
          <w:sz w:val="28"/>
          <w:szCs w:val="28"/>
          <w:lang w:val="en-US" w:eastAsia="zh-CN"/>
        </w:rPr>
        <w:t>2.2023年4月20日前完成指定区域防治任务。</w:t>
      </w:r>
    </w:p>
    <w:p>
      <w:pPr>
        <w:ind w:firstLine="560" w:firstLineChars="200"/>
        <w:rPr>
          <w:rFonts w:ascii="仿宋" w:hAnsi="仿宋" w:eastAsia="仿宋"/>
          <w:sz w:val="28"/>
          <w:szCs w:val="28"/>
        </w:rPr>
      </w:pPr>
      <w:r>
        <w:rPr>
          <w:rFonts w:hint="eastAsia" w:ascii="仿宋" w:hAnsi="仿宋" w:eastAsia="仿宋"/>
          <w:sz w:val="28"/>
          <w:szCs w:val="28"/>
        </w:rPr>
        <w:t>（三）质量验收标准或规范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1.防治组织采用植保部门</w:t>
      </w:r>
      <w:r>
        <w:rPr>
          <w:rFonts w:hint="eastAsia" w:ascii="仿宋" w:hAnsi="仿宋" w:eastAsia="仿宋"/>
          <w:color w:val="auto"/>
          <w:sz w:val="28"/>
          <w:szCs w:val="28"/>
          <w:lang w:val="en-US" w:eastAsia="zh-CN"/>
        </w:rPr>
        <w:t>防治要求的</w:t>
      </w:r>
      <w:r>
        <w:rPr>
          <w:rFonts w:hint="eastAsia" w:ascii="仿宋" w:hAnsi="仿宋" w:eastAsia="仿宋"/>
          <w:sz w:val="28"/>
          <w:szCs w:val="28"/>
          <w:lang w:val="en-US" w:eastAsia="zh-CN"/>
        </w:rPr>
        <w:t>药剂，所有药剂必须符合国家的“三证”要求；</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2.防治效果保证85%以上；</w:t>
      </w:r>
    </w:p>
    <w:p>
      <w:pPr>
        <w:ind w:firstLine="280" w:firstLineChars="100"/>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）违约责任</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1.防治效果不佳，防治组织免费重新防治；</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2.因防治不力或延误，承担相应的经济损失。</w:t>
      </w: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20511"/>
    <w:multiLevelType w:val="singleLevel"/>
    <w:tmpl w:val="FD22051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hN2Y5MDY2MjZlZmRmY2EwZjJlZjc5NzAyZWFjMmU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10F93ED3"/>
    <w:rsid w:val="122625C9"/>
    <w:rsid w:val="135D1702"/>
    <w:rsid w:val="149A211F"/>
    <w:rsid w:val="1CE912A0"/>
    <w:rsid w:val="1F2C7E1A"/>
    <w:rsid w:val="205A623B"/>
    <w:rsid w:val="260C26F4"/>
    <w:rsid w:val="26EA6341"/>
    <w:rsid w:val="2F437F25"/>
    <w:rsid w:val="3541551D"/>
    <w:rsid w:val="3A174037"/>
    <w:rsid w:val="3A6D200D"/>
    <w:rsid w:val="3D5C1616"/>
    <w:rsid w:val="421D53C4"/>
    <w:rsid w:val="49373B9B"/>
    <w:rsid w:val="4DF26EBF"/>
    <w:rsid w:val="4E824A21"/>
    <w:rsid w:val="4F5E5F70"/>
    <w:rsid w:val="50CD35E8"/>
    <w:rsid w:val="54D667DE"/>
    <w:rsid w:val="5EFE190E"/>
    <w:rsid w:val="60D34ADD"/>
    <w:rsid w:val="6F0F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styleId="3">
    <w:name w:val="annotation text"/>
    <w:basedOn w:val="1"/>
    <w:link w:val="35"/>
    <w:semiHidden/>
    <w:unhideWhenUsed/>
    <w:qFormat/>
    <w:uiPriority w:val="99"/>
    <w:pPr>
      <w:jc w:val="left"/>
    </w:pPr>
  </w:style>
  <w:style w:type="paragraph" w:styleId="4">
    <w:name w:val="Balloon Text"/>
    <w:basedOn w:val="1"/>
    <w:link w:val="37"/>
    <w:semiHidden/>
    <w:unhideWhenUsed/>
    <w:qFormat/>
    <w:uiPriority w:val="99"/>
    <w:rPr>
      <w:sz w:val="18"/>
      <w:szCs w:val="18"/>
    </w:rPr>
  </w:style>
  <w:style w:type="paragraph" w:styleId="5">
    <w:name w:val="footer"/>
    <w:basedOn w:val="1"/>
    <w:link w:val="34"/>
    <w:unhideWhenUsed/>
    <w:qFormat/>
    <w:uiPriority w:val="99"/>
    <w:pPr>
      <w:tabs>
        <w:tab w:val="center" w:pos="4153"/>
        <w:tab w:val="right" w:pos="8306"/>
      </w:tabs>
      <w:snapToGrid w:val="0"/>
      <w:jc w:val="left"/>
    </w:pPr>
    <w:rPr>
      <w:sz w:val="18"/>
      <w:szCs w:val="18"/>
    </w:rPr>
  </w:style>
  <w:style w:type="paragraph" w:styleId="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3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20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2">
    <w:name w:val="样式 Char Char"/>
    <w:link w:val="31"/>
    <w:qFormat/>
    <w:locked/>
    <w:uiPriority w:val="0"/>
    <w:rPr>
      <w:rFonts w:ascii="宋体" w:hAnsi="宋体" w:eastAsia="宋体" w:cs="宋体"/>
      <w:kern w:val="0"/>
      <w:sz w:val="24"/>
      <w:szCs w:val="24"/>
    </w:rPr>
  </w:style>
  <w:style w:type="character" w:customStyle="1" w:styleId="33">
    <w:name w:val="页眉 Char"/>
    <w:basedOn w:val="9"/>
    <w:link w:val="6"/>
    <w:qFormat/>
    <w:uiPriority w:val="99"/>
    <w:rPr>
      <w:rFonts w:ascii="Calibri" w:hAnsi="Calibri" w:eastAsia="宋体" w:cs="Times New Roman"/>
      <w:sz w:val="18"/>
      <w:szCs w:val="18"/>
    </w:rPr>
  </w:style>
  <w:style w:type="character" w:customStyle="1" w:styleId="34">
    <w:name w:val="页脚 Char"/>
    <w:basedOn w:val="9"/>
    <w:link w:val="5"/>
    <w:qFormat/>
    <w:uiPriority w:val="99"/>
    <w:rPr>
      <w:rFonts w:ascii="Calibri" w:hAnsi="Calibri" w:eastAsia="宋体" w:cs="Times New Roman"/>
      <w:sz w:val="18"/>
      <w:szCs w:val="18"/>
    </w:rPr>
  </w:style>
  <w:style w:type="character" w:customStyle="1" w:styleId="35">
    <w:name w:val="批注文字 Char"/>
    <w:basedOn w:val="9"/>
    <w:link w:val="3"/>
    <w:semiHidden/>
    <w:qFormat/>
    <w:uiPriority w:val="99"/>
    <w:rPr>
      <w:rFonts w:ascii="Calibri" w:hAnsi="Calibri" w:eastAsia="宋体" w:cs="Times New Roman"/>
    </w:rPr>
  </w:style>
  <w:style w:type="character" w:customStyle="1" w:styleId="36">
    <w:name w:val="批注主题 Char"/>
    <w:basedOn w:val="35"/>
    <w:link w:val="7"/>
    <w:semiHidden/>
    <w:qFormat/>
    <w:uiPriority w:val="99"/>
    <w:rPr>
      <w:rFonts w:ascii="Calibri" w:hAnsi="Calibri" w:eastAsia="宋体" w:cs="Times New Roman"/>
      <w:b/>
      <w:bCs/>
    </w:rPr>
  </w:style>
  <w:style w:type="character" w:customStyle="1" w:styleId="37">
    <w:name w:val="批注框文本 Char"/>
    <w:basedOn w:val="9"/>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1539</Words>
  <Characters>1731</Characters>
  <Lines>21</Lines>
  <Paragraphs>6</Paragraphs>
  <TotalTime>1</TotalTime>
  <ScaleCrop>false</ScaleCrop>
  <LinksUpToDate>false</LinksUpToDate>
  <CharactersWithSpaces>1734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Administrator</cp:lastModifiedBy>
  <dcterms:modified xsi:type="dcterms:W3CDTF">2022-11-02T03:51:19Z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63FB7607C5DB46B880CE71C3FF232BF1</vt:lpwstr>
  </property>
</Properties>
</file>