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 w:hAnsi="仿宋" w:eastAsia="仿宋"/>
          <w:b/>
          <w:sz w:val="32"/>
          <w:szCs w:val="32"/>
          <w:lang w:val="en-US" w:eastAsia="zh-CN"/>
        </w:rPr>
      </w:pPr>
      <w:r>
        <w:rPr>
          <w:rFonts w:hint="eastAsia" w:ascii="仿宋" w:hAnsi="仿宋" w:eastAsia="仿宋"/>
          <w:b/>
          <w:sz w:val="32"/>
          <w:szCs w:val="32"/>
          <w:lang w:eastAsia="zh-CN"/>
        </w:rPr>
        <w:t>附件</w:t>
      </w:r>
      <w:r>
        <w:rPr>
          <w:rFonts w:hint="eastAsia" w:ascii="仿宋" w:hAnsi="仿宋" w:eastAsia="仿宋"/>
          <w:b/>
          <w:sz w:val="32"/>
          <w:szCs w:val="32"/>
          <w:lang w:val="en-US" w:eastAsia="zh-CN"/>
        </w:rPr>
        <w:t>1：政府采购需求书范本（货物类）</w:t>
      </w:r>
    </w:p>
    <w:tbl>
      <w:tblPr>
        <w:tblStyle w:val="9"/>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9" w:type="dxa"/>
            <w:vAlign w:val="center"/>
          </w:tcPr>
          <w:p>
            <w:pPr>
              <w:snapToGrid w:val="0"/>
              <w:jc w:val="both"/>
              <w:rPr>
                <w:rFonts w:ascii="宋体" w:hAnsi="宋体"/>
                <w:b/>
                <w:bCs w:val="0"/>
                <w:color w:val="000000" w:themeColor="text1"/>
                <w:sz w:val="24"/>
                <w14:textFill>
                  <w14:solidFill>
                    <w14:schemeClr w14:val="tx1"/>
                  </w14:solidFill>
                </w14:textFill>
              </w:rPr>
            </w:pPr>
            <w:r>
              <w:rPr>
                <w:rFonts w:hint="eastAsia" w:ascii="宋体" w:hAnsi="宋体"/>
                <w:b/>
                <w:bCs w:val="0"/>
                <w:color w:val="000000" w:themeColor="text1"/>
                <w:sz w:val="28"/>
                <w:szCs w:val="28"/>
                <w:lang w:val="zh-CN"/>
                <w14:textFill>
                  <w14:solidFill>
                    <w14:schemeClr w14:val="tx1"/>
                  </w14:solidFill>
                </w14:textFill>
              </w:rPr>
              <w:t>序号</w:t>
            </w:r>
          </w:p>
        </w:tc>
        <w:tc>
          <w:tcPr>
            <w:tcW w:w="1556" w:type="dxa"/>
            <w:vAlign w:val="center"/>
          </w:tcPr>
          <w:p>
            <w:pPr>
              <w:pStyle w:val="32"/>
              <w:ind w:left="38"/>
              <w:jc w:val="center"/>
              <w:rPr>
                <w:b/>
                <w:bCs w:val="0"/>
                <w:color w:val="000000" w:themeColor="text1"/>
                <w:kern w:val="2"/>
                <w:lang w:val="zh-CN"/>
                <w14:textFill>
                  <w14:solidFill>
                    <w14:schemeClr w14:val="tx1"/>
                  </w14:solidFill>
                </w14:textFill>
              </w:rPr>
            </w:pPr>
            <w:r>
              <w:rPr>
                <w:rFonts w:hint="eastAsia"/>
                <w:b/>
                <w:bCs w:val="0"/>
                <w:color w:val="000000" w:themeColor="text1"/>
                <w:kern w:val="2"/>
                <w:sz w:val="28"/>
                <w:szCs w:val="28"/>
                <w:lang w:val="zh-CN"/>
                <w14:textFill>
                  <w14:solidFill>
                    <w14:schemeClr w14:val="tx1"/>
                  </w14:solidFill>
                </w14:textFill>
              </w:rPr>
              <w:t>关键事项</w:t>
            </w:r>
          </w:p>
        </w:tc>
        <w:tc>
          <w:tcPr>
            <w:tcW w:w="7067" w:type="dxa"/>
            <w:vAlign w:val="center"/>
          </w:tcPr>
          <w:p>
            <w:pPr>
              <w:pStyle w:val="32"/>
              <w:jc w:val="center"/>
              <w:rPr>
                <w:b/>
                <w:bCs w:val="0"/>
                <w:color w:val="000000" w:themeColor="text1"/>
                <w:kern w:val="2"/>
                <w:lang w:val="zh-CN"/>
                <w14:textFill>
                  <w14:solidFill>
                    <w14:schemeClr w14:val="tx1"/>
                  </w14:solidFill>
                </w14:textFill>
              </w:rPr>
            </w:pPr>
            <w:r>
              <w:rPr>
                <w:rFonts w:hint="eastAsia"/>
                <w:b/>
                <w:bCs w:val="0"/>
                <w:color w:val="000000" w:themeColor="text1"/>
                <w:kern w:val="2"/>
                <w:sz w:val="28"/>
                <w:szCs w:val="28"/>
                <w:lang w:val="zh-CN"/>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8"/>
                <w:szCs w:val="28"/>
                <w:lang w:val="zh-CN"/>
                <w14:textFill>
                  <w14:solidFill>
                    <w14:schemeClr w14:val="tx1"/>
                  </w14:solidFill>
                </w14:textFill>
              </w:rPr>
            </w:pPr>
            <w:r>
              <w:rPr>
                <w:rFonts w:ascii="宋体" w:hAnsi="宋体"/>
                <w:b w:val="0"/>
                <w:bCs/>
                <w:color w:val="000000" w:themeColor="text1"/>
                <w:sz w:val="28"/>
                <w:szCs w:val="28"/>
                <w:lang w:val="zh-CN"/>
                <w14:textFill>
                  <w14:solidFill>
                    <w14:schemeClr w14:val="tx1"/>
                  </w14:solidFill>
                </w14:textFill>
              </w:rPr>
              <w:t>1</w:t>
            </w:r>
          </w:p>
        </w:tc>
        <w:tc>
          <w:tcPr>
            <w:tcW w:w="1556" w:type="dxa"/>
            <w:vAlign w:val="center"/>
          </w:tcPr>
          <w:p>
            <w:pPr>
              <w:pStyle w:val="32"/>
              <w:ind w:left="38"/>
              <w:jc w:val="center"/>
              <w:rPr>
                <w:b w:val="0"/>
                <w:bCs/>
                <w:color w:val="000000" w:themeColor="text1"/>
                <w:kern w:val="2"/>
                <w:lang w:val="zh-CN"/>
                <w14:textFill>
                  <w14:solidFill>
                    <w14:schemeClr w14:val="tx1"/>
                  </w14:solidFill>
                </w14:textFill>
              </w:rPr>
            </w:pPr>
            <w:r>
              <w:rPr>
                <w:rFonts w:hint="eastAsia"/>
                <w:b w:val="0"/>
                <w:bCs/>
                <w:color w:val="000000" w:themeColor="text1"/>
                <w:kern w:val="2"/>
                <w:lang w:val="zh-CN"/>
                <w14:textFill>
                  <w14:solidFill>
                    <w14:schemeClr w14:val="tx1"/>
                  </w14:solidFill>
                </w14:textFill>
              </w:rPr>
              <w:t>采购预算</w:t>
            </w:r>
          </w:p>
        </w:tc>
        <w:tc>
          <w:tcPr>
            <w:tcW w:w="7067" w:type="dxa"/>
            <w:vAlign w:val="center"/>
          </w:tcPr>
          <w:p>
            <w:pPr>
              <w:pStyle w:val="32"/>
              <w:jc w:val="both"/>
              <w:rPr>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人民币</w:t>
            </w:r>
            <w:r>
              <w:rPr>
                <w:rFonts w:hint="eastAsia"/>
                <w:b/>
                <w:bCs w:val="0"/>
                <w:color w:val="000000" w:themeColor="text1"/>
                <w:kern w:val="2"/>
                <w:lang w:val="en-US" w:eastAsia="zh-CN"/>
                <w14:textFill>
                  <w14:solidFill>
                    <w14:schemeClr w14:val="tx1"/>
                  </w14:solidFill>
                </w14:textFill>
              </w:rPr>
              <w:t xml:space="preserve"> </w:t>
            </w:r>
            <w:r>
              <w:rPr>
                <w:rFonts w:hint="eastAsia"/>
                <w:b/>
                <w:bCs w:val="0"/>
                <w:color w:val="000000" w:themeColor="text1"/>
                <w:kern w:val="2"/>
                <w:u w:val="single"/>
                <w:lang w:val="en-US" w:eastAsia="zh-CN"/>
                <w14:textFill>
                  <w14:solidFill>
                    <w14:schemeClr w14:val="tx1"/>
                  </w14:solidFill>
                </w14:textFill>
              </w:rPr>
              <w:t xml:space="preserve">970000 </w:t>
            </w:r>
            <w:r>
              <w:rPr>
                <w:rFonts w:hint="eastAsia"/>
                <w:b/>
                <w:bCs w:val="0"/>
                <w:color w:val="000000" w:themeColor="text1"/>
                <w:kern w:val="2"/>
                <w:lang w:val="zh-CN"/>
                <w14:textFill>
                  <w14:solidFill>
                    <w14:schemeClr w14:val="tx1"/>
                  </w14:solidFill>
                </w14:textFill>
              </w:rPr>
              <w:t>元</w:t>
            </w:r>
          </w:p>
          <w:p>
            <w:pPr>
              <w:pStyle w:val="32"/>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8"/>
                <w:szCs w:val="28"/>
                <w:lang w:val="zh-CN"/>
                <w14:textFill>
                  <w14:solidFill>
                    <w14:schemeClr w14:val="tx1"/>
                  </w14:solidFill>
                </w14:textFill>
              </w:rPr>
            </w:pPr>
            <w:r>
              <w:rPr>
                <w:rFonts w:ascii="宋体" w:hAnsi="宋体"/>
                <w:b w:val="0"/>
                <w:bCs/>
                <w:color w:val="000000" w:themeColor="text1"/>
                <w:sz w:val="28"/>
                <w:szCs w:val="28"/>
                <w:lang w:val="zh-CN"/>
                <w14:textFill>
                  <w14:solidFill>
                    <w14:schemeClr w14:val="tx1"/>
                  </w14:solidFill>
                </w14:textFill>
              </w:rPr>
              <w:t>2</w:t>
            </w:r>
          </w:p>
        </w:tc>
        <w:tc>
          <w:tcPr>
            <w:tcW w:w="1556" w:type="dxa"/>
            <w:vAlign w:val="center"/>
          </w:tcPr>
          <w:p>
            <w:pPr>
              <w:pStyle w:val="32"/>
              <w:ind w:left="38"/>
              <w:jc w:val="center"/>
              <w:rPr>
                <w:b w:val="0"/>
                <w:bCs/>
                <w:color w:val="000000" w:themeColor="text1"/>
                <w:kern w:val="2"/>
                <w:lang w:val="zh-CN"/>
                <w14:textFill>
                  <w14:solidFill>
                    <w14:schemeClr w14:val="tx1"/>
                  </w14:solidFill>
                </w14:textFill>
              </w:rPr>
            </w:pPr>
            <w:r>
              <w:rPr>
                <w:rFonts w:hint="eastAsia"/>
                <w:b w:val="0"/>
                <w:bCs/>
                <w:color w:val="000000" w:themeColor="text1"/>
                <w:kern w:val="2"/>
                <w:lang w:val="zh-CN"/>
                <w14:textFill>
                  <w14:solidFill>
                    <w14:schemeClr w14:val="tx1"/>
                  </w14:solidFill>
                </w14:textFill>
              </w:rPr>
              <w:t>最高限价</w:t>
            </w:r>
          </w:p>
        </w:tc>
        <w:tc>
          <w:tcPr>
            <w:tcW w:w="7067" w:type="dxa"/>
            <w:vAlign w:val="center"/>
          </w:tcPr>
          <w:p>
            <w:pPr>
              <w:pStyle w:val="32"/>
              <w:jc w:val="both"/>
              <w:rPr>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人民币</w:t>
            </w:r>
            <w:r>
              <w:rPr>
                <w:b/>
                <w:bCs w:val="0"/>
                <w:color w:val="000000" w:themeColor="text1"/>
                <w:kern w:val="2"/>
                <w:lang w:val="zh-CN"/>
                <w14:textFill>
                  <w14:solidFill>
                    <w14:schemeClr w14:val="tx1"/>
                  </w14:solidFill>
                </w14:textFill>
              </w:rPr>
              <w:t>______</w:t>
            </w:r>
            <w:r>
              <w:rPr>
                <w:rFonts w:hint="eastAsia"/>
                <w:b/>
                <w:bCs w:val="0"/>
                <w:color w:val="000000" w:themeColor="text1"/>
                <w:kern w:val="2"/>
                <w:lang w:val="en-US" w:eastAsia="zh-CN"/>
                <w14:textFill>
                  <w14:solidFill>
                    <w14:schemeClr w14:val="tx1"/>
                  </w14:solidFill>
                </w14:textFill>
              </w:rPr>
              <w:t>/</w:t>
            </w:r>
            <w:r>
              <w:rPr>
                <w:b/>
                <w:bCs w:val="0"/>
                <w:color w:val="000000" w:themeColor="text1"/>
                <w:kern w:val="2"/>
                <w:lang w:val="zh-CN"/>
                <w14:textFill>
                  <w14:solidFill>
                    <w14:schemeClr w14:val="tx1"/>
                  </w14:solidFill>
                </w14:textFill>
              </w:rPr>
              <w:t>_____</w:t>
            </w:r>
            <w:r>
              <w:rPr>
                <w:rFonts w:hint="eastAsia"/>
                <w:b/>
                <w:bCs w:val="0"/>
                <w:color w:val="000000" w:themeColor="text1"/>
                <w:kern w:val="2"/>
                <w:lang w:val="zh-CN"/>
                <w14:textFill>
                  <w14:solidFill>
                    <w14:schemeClr w14:val="tx1"/>
                  </w14:solidFill>
                </w14:textFill>
              </w:rPr>
              <w:t>元</w:t>
            </w:r>
          </w:p>
          <w:p>
            <w:pPr>
              <w:pStyle w:val="32"/>
              <w:ind w:left="38"/>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b w:val="0"/>
                <w:bCs/>
                <w:color w:val="000000" w:themeColor="text1"/>
                <w:sz w:val="28"/>
                <w:szCs w:val="28"/>
                <w:lang w:val="zh-CN"/>
                <w14:textFill>
                  <w14:solidFill>
                    <w14:schemeClr w14:val="tx1"/>
                  </w14:solidFill>
                </w14:textFill>
              </w:rPr>
            </w:pPr>
            <w:r>
              <w:rPr>
                <w:rFonts w:ascii="宋体" w:hAnsi="宋体"/>
                <w:b w:val="0"/>
                <w:bCs/>
                <w:color w:val="000000" w:themeColor="text1"/>
                <w:sz w:val="28"/>
                <w:szCs w:val="28"/>
                <w:lang w:val="zh-CN"/>
                <w14:textFill>
                  <w14:solidFill>
                    <w14:schemeClr w14:val="tx1"/>
                  </w14:solidFill>
                </w14:textFill>
              </w:rPr>
              <w:t>3</w:t>
            </w:r>
          </w:p>
        </w:tc>
        <w:tc>
          <w:tcPr>
            <w:tcW w:w="1556" w:type="dxa"/>
            <w:vMerge w:val="restart"/>
            <w:vAlign w:val="center"/>
          </w:tcPr>
          <w:p>
            <w:pPr>
              <w:pStyle w:val="32"/>
              <w:ind w:left="38"/>
              <w:jc w:val="center"/>
              <w:rPr>
                <w:b w:val="0"/>
                <w:bCs/>
                <w:color w:val="000000" w:themeColor="text1"/>
                <w:kern w:val="2"/>
                <w:lang w:val="zh-CN"/>
                <w14:textFill>
                  <w14:solidFill>
                    <w14:schemeClr w14:val="tx1"/>
                  </w14:solidFill>
                </w14:textFill>
              </w:rPr>
            </w:pPr>
            <w:r>
              <w:rPr>
                <w:rFonts w:hint="eastAsia"/>
                <w:b w:val="0"/>
                <w:bCs/>
                <w:color w:val="000000" w:themeColor="text1"/>
                <w:kern w:val="2"/>
                <w:lang w:val="zh-CN"/>
                <w14:textFill>
                  <w14:solidFill>
                    <w14:schemeClr w14:val="tx1"/>
                  </w14:solidFill>
                </w14:textFill>
              </w:rPr>
              <w:t>项目性质</w:t>
            </w:r>
          </w:p>
        </w:tc>
        <w:tc>
          <w:tcPr>
            <w:tcW w:w="7067" w:type="dxa"/>
            <w:vAlign w:val="center"/>
          </w:tcPr>
          <w:p>
            <w:pPr>
              <w:pStyle w:val="32"/>
              <w:jc w:val="both"/>
              <w:rPr>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●专门面向中小企业采购</w:t>
            </w:r>
          </w:p>
          <w:p>
            <w:pPr>
              <w:pStyle w:val="32"/>
              <w:ind w:left="38"/>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hint="default" w:ascii="宋体" w:hAnsi="宋体" w:eastAsia="宋体"/>
                <w:b w:val="0"/>
                <w:bCs/>
                <w:color w:val="000000" w:themeColor="text1"/>
                <w:sz w:val="28"/>
                <w:szCs w:val="28"/>
                <w:lang w:val="en-US" w:eastAsia="zh-CN"/>
                <w14:textFill>
                  <w14:solidFill>
                    <w14:schemeClr w14:val="tx1"/>
                  </w14:solidFill>
                </w14:textFill>
              </w:rPr>
            </w:pPr>
            <w:r>
              <w:rPr>
                <w:rFonts w:hint="eastAsia" w:ascii="宋体" w:hAnsi="宋体"/>
                <w:b w:val="0"/>
                <w:bCs/>
                <w:color w:val="000000" w:themeColor="text1"/>
                <w:sz w:val="28"/>
                <w:szCs w:val="28"/>
                <w:lang w:val="zh-CN"/>
                <w14:textFill>
                  <w14:solidFill>
                    <w14:schemeClr w14:val="tx1"/>
                  </w14:solidFill>
                </w14:textFill>
              </w:rPr>
              <w:t xml:space="preserve"> </w:t>
            </w:r>
            <w:r>
              <w:rPr>
                <w:rFonts w:hint="eastAsia" w:ascii="宋体" w:hAnsi="宋体"/>
                <w:b w:val="0"/>
                <w:bCs/>
                <w:color w:val="000000" w:themeColor="text1"/>
                <w:sz w:val="28"/>
                <w:szCs w:val="28"/>
                <w:lang w:val="en-US" w:eastAsia="zh-CN"/>
                <w14:textFill>
                  <w14:solidFill>
                    <w14:schemeClr w14:val="tx1"/>
                  </w14:solidFill>
                </w14:textFill>
              </w:rPr>
              <w:t xml:space="preserve">   </w:t>
            </w:r>
          </w:p>
        </w:tc>
        <w:tc>
          <w:tcPr>
            <w:tcW w:w="1556" w:type="dxa"/>
            <w:vMerge w:val="continue"/>
            <w:vAlign w:val="center"/>
          </w:tcPr>
          <w:p>
            <w:pPr>
              <w:pStyle w:val="32"/>
              <w:ind w:left="96"/>
              <w:jc w:val="center"/>
              <w:rPr>
                <w:b w:val="0"/>
                <w:bCs/>
                <w:color w:val="000000" w:themeColor="text1"/>
                <w:kern w:val="2"/>
                <w:lang w:val="zh-CN"/>
                <w14:textFill>
                  <w14:solidFill>
                    <w14:schemeClr w14:val="tx1"/>
                  </w14:solidFill>
                </w14:textFill>
              </w:rPr>
            </w:pPr>
          </w:p>
        </w:tc>
        <w:tc>
          <w:tcPr>
            <w:tcW w:w="7067" w:type="dxa"/>
            <w:vAlign w:val="center"/>
          </w:tcPr>
          <w:p>
            <w:pPr>
              <w:rPr>
                <w:rFonts w:ascii="宋体" w:hAnsi="宋体" w:cs="宋体"/>
                <w:b/>
                <w:bCs w:val="0"/>
                <w:color w:val="000000" w:themeColor="text1"/>
                <w:sz w:val="24"/>
                <w:szCs w:val="24"/>
                <w:lang w:val="zh-CN"/>
                <w14:textFill>
                  <w14:solidFill>
                    <w14:schemeClr w14:val="tx1"/>
                  </w14:solidFill>
                </w14:textFill>
              </w:rPr>
            </w:pPr>
            <w:r>
              <w:rPr>
                <w:rFonts w:ascii="宋体" w:hAnsi="宋体" w:cs="宋体"/>
                <w:b/>
                <w:bCs w:val="0"/>
                <w:color w:val="000000" w:themeColor="text1"/>
                <w:sz w:val="24"/>
                <w:szCs w:val="24"/>
                <w:lang w:val="zh-CN"/>
                <w14:textFill>
                  <w14:solidFill>
                    <w14:schemeClr w14:val="tx1"/>
                  </w14:solidFill>
                </w14:textFill>
              </w:rPr>
              <w:t>○</w:t>
            </w:r>
            <w:r>
              <w:rPr>
                <w:rFonts w:hint="eastAsia" w:ascii="宋体" w:hAnsi="宋体" w:cs="宋体"/>
                <w:b/>
                <w:bCs w:val="0"/>
                <w:color w:val="000000" w:themeColor="text1"/>
                <w:sz w:val="24"/>
                <w:szCs w:val="24"/>
                <w:lang w:val="zh-CN"/>
                <w14:textFill>
                  <w14:solidFill>
                    <w14:schemeClr w14:val="tx1"/>
                  </w14:solidFill>
                </w14:textFill>
              </w:rPr>
              <w:t>非专门面向中小企业采购</w:t>
            </w:r>
          </w:p>
          <w:p>
            <w:pPr>
              <w:ind w:right="94" w:rightChars="45"/>
              <w:rPr>
                <w:rFonts w:ascii="宋体" w:hAnsi="宋体"/>
                <w:b w:val="0"/>
                <w:bCs/>
                <w:color w:val="000000" w:themeColor="text1"/>
                <w:szCs w:val="21"/>
                <w14:textFill>
                  <w14:solidFill>
                    <w14:schemeClr w14:val="tx1"/>
                  </w14:solidFill>
                </w14:textFill>
              </w:rPr>
            </w:pPr>
            <w:r>
              <w:rPr>
                <w:rFonts w:hint="eastAsia" w:ascii="宋体" w:hAnsi="宋体" w:cs="宋体"/>
                <w:b w:val="0"/>
                <w:bCs/>
                <w:color w:val="000000" w:themeColor="text1"/>
                <w:kern w:val="0"/>
                <w:szCs w:val="21"/>
                <w:lang w:val="zh-CN"/>
                <w14:textFill>
                  <w14:solidFill>
                    <w14:schemeClr w14:val="tx1"/>
                  </w14:solidFill>
                </w14:textFill>
              </w:rPr>
              <w:t>对符合《政府采购促进中小企业发展管理办法》（财库〔2020〕46号）规定的小微企业（监狱企业视同小型、微型企业）的报价</w:t>
            </w:r>
            <w:r>
              <w:rPr>
                <w:rFonts w:hint="eastAsia" w:ascii="宋体" w:hAnsi="宋体" w:cs="宋体"/>
                <w:b/>
                <w:bCs w:val="0"/>
                <w:color w:val="000000" w:themeColor="text1"/>
                <w:kern w:val="0"/>
                <w:szCs w:val="21"/>
                <w:lang w:val="zh-CN"/>
                <w14:textFill>
                  <w14:solidFill>
                    <w14:schemeClr w14:val="tx1"/>
                  </w14:solidFill>
                </w14:textFill>
              </w:rPr>
              <w:t>给予___%（6%-</w:t>
            </w:r>
            <w:r>
              <w:rPr>
                <w:rFonts w:ascii="宋体" w:hAnsi="宋体" w:cs="宋体"/>
                <w:b/>
                <w:bCs w:val="0"/>
                <w:color w:val="000000" w:themeColor="text1"/>
                <w:kern w:val="0"/>
                <w:szCs w:val="21"/>
                <w:lang w:val="zh-CN"/>
                <w14:textFill>
                  <w14:solidFill>
                    <w14:schemeClr w14:val="tx1"/>
                  </w14:solidFill>
                </w14:textFill>
              </w:rPr>
              <w:t>10%</w:t>
            </w:r>
            <w:r>
              <w:rPr>
                <w:rFonts w:hint="eastAsia" w:ascii="宋体" w:hAnsi="宋体" w:cs="宋体"/>
                <w:b/>
                <w:bCs w:val="0"/>
                <w:color w:val="000000" w:themeColor="text1"/>
                <w:kern w:val="0"/>
                <w:szCs w:val="21"/>
                <w:lang w:val="zh-CN"/>
                <w14:textFill>
                  <w14:solidFill>
                    <w14:schemeClr w14:val="tx1"/>
                  </w14:solidFill>
                </w14:textFill>
              </w:rPr>
              <w:t>）的扣除</w:t>
            </w:r>
            <w:r>
              <w:rPr>
                <w:rFonts w:hint="eastAsia" w:ascii="宋体" w:hAnsi="宋体" w:cs="宋体"/>
                <w:b w:val="0"/>
                <w:bCs/>
                <w:color w:val="000000" w:themeColor="text1"/>
                <w:kern w:val="0"/>
                <w:szCs w:val="21"/>
                <w:lang w:val="zh-CN"/>
                <w14:textFill>
                  <w14:solidFill>
                    <w14:schemeClr w14:val="tx1"/>
                  </w14:solidFill>
                </w14:textFill>
              </w:rPr>
              <w:t>，用扣除后的价格参加评审。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4</w:t>
            </w:r>
          </w:p>
        </w:tc>
        <w:tc>
          <w:tcPr>
            <w:tcW w:w="1556" w:type="dxa"/>
            <w:vAlign w:val="center"/>
          </w:tcPr>
          <w:p>
            <w:pPr>
              <w:pStyle w:val="32"/>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对供应商的</w:t>
            </w:r>
          </w:p>
          <w:p>
            <w:pPr>
              <w:pStyle w:val="32"/>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资格要求</w:t>
            </w:r>
          </w:p>
        </w:tc>
        <w:tc>
          <w:tcPr>
            <w:tcW w:w="7067" w:type="dxa"/>
            <w:vAlign w:val="center"/>
          </w:tcPr>
          <w:p>
            <w:pPr>
              <w:pStyle w:val="32"/>
              <w:numPr>
                <w:ilvl w:val="0"/>
                <w:numId w:val="1"/>
              </w:numPr>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满足《中华人民共和国政府采购法》第二十二条规定。并按照《政府采购法实施条例》第十七条规定提供下列材料：</w:t>
            </w:r>
          </w:p>
          <w:p>
            <w:pPr>
              <w:pStyle w:val="32"/>
              <w:numPr>
                <w:ilvl w:val="0"/>
                <w:numId w:val="0"/>
              </w:numPr>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（1）法人或者其他组织的营业执照、自然人的身份证明等证明文件；</w:t>
            </w:r>
          </w:p>
          <w:p>
            <w:pPr>
              <w:pStyle w:val="32"/>
              <w:numPr>
                <w:ilvl w:val="0"/>
                <w:numId w:val="0"/>
              </w:numPr>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（2）法定代表人参加谈判的，须出具法人身份证明及身份证；法定代表人授权他人参加谈判的，提供法定代表人委托授权书并出示被授权代表的身份证复印件；</w:t>
            </w:r>
          </w:p>
          <w:p>
            <w:pPr>
              <w:pStyle w:val="32"/>
              <w:numPr>
                <w:ilvl w:val="0"/>
                <w:numId w:val="0"/>
              </w:numPr>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3）财务状况报告：提供具有财务审计资质单位出具的2021年度财务审计报告（成立时间至谈判时间不足一年的可提供成立后任意时段的资产负债表）或谈判前六个月内其基本账户银行出具的资信证明（附开户许可证或基本账户证明）或政府采购信用担保机构出具的谈判担保函；</w:t>
            </w:r>
          </w:p>
          <w:p>
            <w:pPr>
              <w:pStyle w:val="32"/>
              <w:numPr>
                <w:ilvl w:val="0"/>
                <w:numId w:val="0"/>
              </w:numPr>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（4）履行合同所必需的设备和专业技术能力：提供了可充分满足履行合同所需设备和专业技术能力的证明材料或承诺；</w:t>
            </w:r>
          </w:p>
          <w:p>
            <w:pPr>
              <w:pStyle w:val="32"/>
              <w:numPr>
                <w:ilvl w:val="0"/>
                <w:numId w:val="0"/>
              </w:numPr>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（5）税收缴纳证明：提供供应商2022年1月至今已缴纳任意时段完税凭证或税务机关开具的完税证明（复印件）；依法免税的应提供相关文件证明；</w:t>
            </w:r>
          </w:p>
          <w:p>
            <w:pPr>
              <w:pStyle w:val="32"/>
              <w:numPr>
                <w:ilvl w:val="0"/>
                <w:numId w:val="0"/>
              </w:numPr>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（6）社会保障资金缴纳证明：提供供应商2022年1月至今已缴存的任意时段的社会保障资金缴存单据或社保机构开具的社会保险参保缴费情况证明；依法不需要缴纳社会保障资金的应提供相关文件证明；</w:t>
            </w:r>
          </w:p>
          <w:p>
            <w:pPr>
              <w:pStyle w:val="32"/>
              <w:numPr>
                <w:ilvl w:val="0"/>
                <w:numId w:val="0"/>
              </w:numPr>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（7）参加本次谈判前3年内，在经营活动中没有重大违法记录的书面声明。</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2、落实政府采购政策需满足的资格要求：本项目专门面向中小企业采购（残疾人福利性单位、监狱企业视同小型、微型企业）。</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3、本项目的特定资格要求：</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3.1 供应商应为具有独立承担民事责任能力的法人、其他组织或自然人，提供合法有效的统一社会信用代码营业执照（事业单位提供事业单位法人证书，自然人应提供身份证）；</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3.2 供应商应提供锅炉生产厂家《中华人民共和国特种设备制造许可证（锅炉）》C级及以上证书《中华人民共和国特种设备生产许可证锅炉制造（含安装、修理、改造）》B级及以上；</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3.3 供应商应提供燃气燃烧器具安装维修许可证；</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3.</w:t>
            </w:r>
            <w:r>
              <w:rPr>
                <w:rFonts w:hint="eastAsia"/>
                <w:b/>
                <w:bCs w:val="0"/>
                <w:color w:val="000000" w:themeColor="text1"/>
                <w:kern w:val="2"/>
                <w:lang w:val="en-US" w:eastAsia="zh-CN"/>
                <w14:textFill>
                  <w14:solidFill>
                    <w14:schemeClr w14:val="tx1"/>
                  </w14:solidFill>
                </w14:textFill>
              </w:rPr>
              <w:t>4</w:t>
            </w:r>
            <w:r>
              <w:rPr>
                <w:rFonts w:hint="eastAsia"/>
                <w:b/>
                <w:bCs w:val="0"/>
                <w:color w:val="000000" w:themeColor="text1"/>
                <w:kern w:val="2"/>
                <w:lang w:val="zh-CN"/>
                <w14:textFill>
                  <w14:solidFill>
                    <w14:schemeClr w14:val="tx1"/>
                  </w14:solidFill>
                </w14:textFill>
              </w:rPr>
              <w:t>法定代表人直接参加谈判的，须出具法人身份证明及身份证；法定代表人授权代表参加谈判的，须出具法定代表人授权书及授权代表身份证；</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3.</w:t>
            </w:r>
            <w:r>
              <w:rPr>
                <w:rFonts w:hint="eastAsia"/>
                <w:b/>
                <w:bCs w:val="0"/>
                <w:color w:val="000000" w:themeColor="text1"/>
                <w:kern w:val="2"/>
                <w:lang w:val="en-US" w:eastAsia="zh-CN"/>
                <w14:textFill>
                  <w14:solidFill>
                    <w14:schemeClr w14:val="tx1"/>
                  </w14:solidFill>
                </w14:textFill>
              </w:rPr>
              <w:t>5</w:t>
            </w:r>
            <w:r>
              <w:rPr>
                <w:rFonts w:hint="eastAsia"/>
                <w:b/>
                <w:bCs w:val="0"/>
                <w:color w:val="000000" w:themeColor="text1"/>
                <w:kern w:val="2"/>
                <w:lang w:val="zh-CN"/>
                <w14:textFill>
                  <w14:solidFill>
                    <w14:schemeClr w14:val="tx1"/>
                  </w14:solidFill>
                </w14:textFill>
              </w:rPr>
              <w:t>供应商不得存在下列情形之一：</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（1）单位负责人为同一人或者存在直接控股、管理关系的不同供应商，不得参加本次采购活动；</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（2）为本项目提供整体设计、规范编制或者项目管理、监理、检测等服务的供应商，不得再参加该采购项目的其他采购活动。</w:t>
            </w:r>
          </w:p>
          <w:p>
            <w:pPr>
              <w:pStyle w:val="32"/>
              <w:jc w:val="both"/>
              <w:rPr>
                <w:rFonts w:hint="eastAsia"/>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3）供应商在参加政府采购活动前3年内在经营活动中没有重大违法记录，未被信用中国网（www.creditchina.gov.cn）列入失信被执行人、税收违法黑名单，未被中国政府采购网（www.ccgp.gov.cn）列入政府采购严重违法失信行为记录名单。</w:t>
            </w:r>
          </w:p>
          <w:p>
            <w:pPr>
              <w:pStyle w:val="32"/>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根据《政府采购促进中小企业发展管理办法》（财库〔2020〕46号）的规定,不得以企业注册资本、资产总额、营业收入、从业人员、利润、纳税额等规模条件和财务指标作为供应商的资格要求或者评审因素，不得在企业股权结构、经营年限等方面对中小企业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5</w:t>
            </w:r>
          </w:p>
        </w:tc>
        <w:tc>
          <w:tcPr>
            <w:tcW w:w="1556" w:type="dxa"/>
            <w:vMerge w:val="restart"/>
            <w:vAlign w:val="center"/>
          </w:tcPr>
          <w:p>
            <w:pPr>
              <w:pStyle w:val="32"/>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是否允许</w:t>
            </w:r>
          </w:p>
          <w:p>
            <w:pPr>
              <w:pStyle w:val="32"/>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进口产品</w:t>
            </w:r>
          </w:p>
        </w:tc>
        <w:tc>
          <w:tcPr>
            <w:tcW w:w="7067" w:type="dxa"/>
            <w:vAlign w:val="center"/>
          </w:tcPr>
          <w:p>
            <w:pPr>
              <w:pStyle w:val="32"/>
              <w:jc w:val="both"/>
              <w:rPr>
                <w:b w:val="0"/>
                <w:bCs/>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w:t>
            </w:r>
            <w:r>
              <w:rPr>
                <w:b/>
                <w:bCs w:val="0"/>
                <w:color w:val="000000" w:themeColor="text1"/>
                <w:kern w:val="2"/>
                <w:lang w:val="zh-CN"/>
                <w14:textFill>
                  <w14:solidFill>
                    <w14:schemeClr w14:val="tx1"/>
                  </w14:solidFill>
                </w14:textFill>
              </w:rPr>
              <w:t>允许</w:t>
            </w:r>
            <w:r>
              <w:rPr>
                <w:b w:val="0"/>
                <w:bCs/>
                <w:color w:val="000000" w:themeColor="text1"/>
                <w:kern w:val="2"/>
                <w:lang w:val="zh-CN"/>
                <w14:textFill>
                  <w14:solidFill>
                    <w14:schemeClr w14:val="tx1"/>
                  </w14:solidFill>
                </w14:textFill>
              </w:rPr>
              <w:t>（须提供财政部门审核通过的复印件）</w:t>
            </w:r>
          </w:p>
          <w:p>
            <w:pPr>
              <w:pStyle w:val="32"/>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根据《政府采购进口产品管理办法》（财库〔2007〕119号）的规定，采购人采购进口产品时，必须在采购活动开始前向财政部门提出申请并获得财政部门审核同意后，才能开展采购活动。且不得因此排斥国产产品，满足需求的国产产品依然可以参与竞争。</w:t>
            </w:r>
            <w:r>
              <w:rPr>
                <w:b w:val="0"/>
                <w:bCs/>
                <w:color w:val="000000" w:themeColor="text1"/>
                <w:kern w:val="2"/>
                <w:sz w:val="21"/>
                <w:szCs w:val="21"/>
                <w:lang w:val="zh-CN"/>
                <w14:textFill>
                  <w14:solidFill>
                    <w14:schemeClr w14:val="tx1"/>
                  </w14:solidFill>
                </w14:textFill>
              </w:rPr>
              <w:t>“进口产品的认定”参见</w:t>
            </w:r>
            <w:r>
              <w:rPr>
                <w:rFonts w:hint="eastAsia"/>
                <w:b w:val="0"/>
                <w:bCs/>
                <w:color w:val="000000" w:themeColor="text1"/>
                <w:kern w:val="2"/>
                <w:sz w:val="21"/>
                <w:szCs w:val="21"/>
                <w:lang w:val="zh-CN"/>
                <w14:textFill>
                  <w14:solidFill>
                    <w14:schemeClr w14:val="tx1"/>
                  </w14:solidFill>
                </w14:textFill>
              </w:rPr>
              <w:t>《关于政府采购进口产品管理有关问题的通知》（财办库〔2008〕248号）文件有关规定。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val="0"/>
                <w:bCs/>
                <w:color w:val="000000" w:themeColor="text1"/>
                <w:sz w:val="24"/>
                <w14:textFill>
                  <w14:solidFill>
                    <w14:schemeClr w14:val="tx1"/>
                  </w14:solidFill>
                </w14:textFill>
              </w:rPr>
            </w:pPr>
          </w:p>
        </w:tc>
        <w:tc>
          <w:tcPr>
            <w:tcW w:w="1556" w:type="dxa"/>
            <w:vMerge w:val="continue"/>
            <w:vAlign w:val="center"/>
          </w:tcPr>
          <w:p>
            <w:pPr>
              <w:pStyle w:val="32"/>
              <w:ind w:left="96"/>
              <w:jc w:val="center"/>
              <w:rPr>
                <w:b w:val="0"/>
                <w:bCs/>
                <w:color w:val="000000" w:themeColor="text1"/>
                <w:kern w:val="2"/>
                <w:lang w:val="zh-CN"/>
                <w14:textFill>
                  <w14:solidFill>
                    <w14:schemeClr w14:val="tx1"/>
                  </w14:solidFill>
                </w14:textFill>
              </w:rPr>
            </w:pPr>
          </w:p>
        </w:tc>
        <w:tc>
          <w:tcPr>
            <w:tcW w:w="7067" w:type="dxa"/>
            <w:vAlign w:val="center"/>
          </w:tcPr>
          <w:p>
            <w:pPr>
              <w:pStyle w:val="32"/>
              <w:jc w:val="both"/>
              <w:rPr>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w:t>
            </w:r>
            <w:r>
              <w:rPr>
                <w:b/>
                <w:bCs w:val="0"/>
                <w:color w:val="000000" w:themeColor="text1"/>
                <w:kern w:val="2"/>
                <w:lang w:val="zh-CN"/>
                <w14:textFill>
                  <w14:solidFill>
                    <w14:schemeClr w14:val="tx1"/>
                  </w14:solidFill>
                </w14:textFill>
              </w:rPr>
              <w:t>不允许</w:t>
            </w:r>
          </w:p>
          <w:p>
            <w:pPr>
              <w:pStyle w:val="32"/>
              <w:jc w:val="both"/>
              <w:rPr>
                <w:b w:val="0"/>
                <w:bCs/>
                <w:color w:val="000000" w:themeColor="text1"/>
                <w:kern w:val="2"/>
                <w:lang w:val="zh-CN"/>
                <w14:textFill>
                  <w14:solidFill>
                    <w14:schemeClr w14:val="tx1"/>
                  </w14:solidFill>
                </w14:textFill>
              </w:rPr>
            </w:pPr>
            <w:r>
              <w:rPr>
                <w:b w:val="0"/>
                <w:bCs/>
                <w:color w:val="000000" w:themeColor="text1"/>
                <w:kern w:val="2"/>
                <w:sz w:val="21"/>
                <w:szCs w:val="21"/>
                <w:lang w:val="zh-CN"/>
                <w14:textFill>
                  <w14:solidFill>
                    <w14:schemeClr w14:val="tx1"/>
                  </w14:solidFill>
                </w14:textFill>
              </w:rPr>
              <w:t>所投产品为进口产品时，将被视为无效投标。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6</w:t>
            </w:r>
          </w:p>
        </w:tc>
        <w:tc>
          <w:tcPr>
            <w:tcW w:w="1556" w:type="dxa"/>
            <w:vMerge w:val="restart"/>
            <w:vAlign w:val="center"/>
          </w:tcPr>
          <w:p>
            <w:pPr>
              <w:pStyle w:val="32"/>
              <w:ind w:left="96"/>
              <w:jc w:val="center"/>
              <w:rPr>
                <w:rFonts w:hint="eastAsia"/>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是否</w:t>
            </w:r>
            <w:r>
              <w:rPr>
                <w:rFonts w:hint="eastAsia"/>
                <w:b w:val="0"/>
                <w:bCs/>
                <w:color w:val="000000" w:themeColor="text1"/>
                <w:kern w:val="2"/>
                <w:lang w:val="zh-CN"/>
                <w14:textFill>
                  <w14:solidFill>
                    <w14:schemeClr w14:val="tx1"/>
                  </w14:solidFill>
                </w14:textFill>
              </w:rPr>
              <w:t>接受</w:t>
            </w:r>
          </w:p>
          <w:p>
            <w:pPr>
              <w:pStyle w:val="32"/>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联合体投标</w:t>
            </w:r>
          </w:p>
        </w:tc>
        <w:tc>
          <w:tcPr>
            <w:tcW w:w="7067" w:type="dxa"/>
            <w:vAlign w:val="center"/>
          </w:tcPr>
          <w:p>
            <w:pPr>
              <w:pStyle w:val="32"/>
              <w:jc w:val="both"/>
              <w:rPr>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○接受</w:t>
            </w:r>
          </w:p>
          <w:p>
            <w:pPr>
              <w:pStyle w:val="32"/>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对于联合体协议或者分包意向协议约定小微企业的合同份额占到合同总金额30%以上的，对联合体或者大中型企业的报价</w:t>
            </w:r>
            <w:r>
              <w:rPr>
                <w:rFonts w:hint="eastAsia"/>
                <w:b/>
                <w:bCs w:val="0"/>
                <w:color w:val="000000" w:themeColor="text1"/>
                <w:kern w:val="2"/>
                <w:sz w:val="21"/>
                <w:szCs w:val="21"/>
                <w:lang w:val="zh-CN"/>
                <w14:textFill>
                  <w14:solidFill>
                    <w14:schemeClr w14:val="tx1"/>
                  </w14:solidFill>
                </w14:textFill>
              </w:rPr>
              <w:t>给予___%（2%-</w:t>
            </w:r>
            <w:r>
              <w:rPr>
                <w:b/>
                <w:bCs w:val="0"/>
                <w:color w:val="000000" w:themeColor="text1"/>
                <w:kern w:val="2"/>
                <w:sz w:val="21"/>
                <w:szCs w:val="21"/>
                <w:lang w:val="zh-CN"/>
                <w14:textFill>
                  <w14:solidFill>
                    <w14:schemeClr w14:val="tx1"/>
                  </w14:solidFill>
                </w14:textFill>
              </w:rPr>
              <w:t>3%</w:t>
            </w:r>
            <w:r>
              <w:rPr>
                <w:rFonts w:hint="eastAsia"/>
                <w:b/>
                <w:bCs w:val="0"/>
                <w:color w:val="000000" w:themeColor="text1"/>
                <w:kern w:val="2"/>
                <w:sz w:val="21"/>
                <w:szCs w:val="21"/>
                <w:lang w:val="zh-CN"/>
                <w14:textFill>
                  <w14:solidFill>
                    <w14:schemeClr w14:val="tx1"/>
                  </w14:solidFill>
                </w14:textFill>
              </w:rPr>
              <w:t>）的扣除</w:t>
            </w:r>
            <w:r>
              <w:rPr>
                <w:rFonts w:hint="eastAsia"/>
                <w:b w:val="0"/>
                <w:bCs/>
                <w:color w:val="000000" w:themeColor="text1"/>
                <w:kern w:val="2"/>
                <w:sz w:val="21"/>
                <w:szCs w:val="21"/>
                <w:lang w:val="zh-CN"/>
                <w14:textFill>
                  <w14:solidFill>
                    <w14:schemeClr w14:val="tx1"/>
                  </w14:solidFill>
                </w14:textFill>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val="0"/>
                <w:bCs/>
                <w:color w:val="000000" w:themeColor="text1"/>
                <w:sz w:val="24"/>
                <w14:textFill>
                  <w14:solidFill>
                    <w14:schemeClr w14:val="tx1"/>
                  </w14:solidFill>
                </w14:textFill>
              </w:rPr>
            </w:pPr>
          </w:p>
        </w:tc>
        <w:tc>
          <w:tcPr>
            <w:tcW w:w="1556" w:type="dxa"/>
            <w:vMerge w:val="continue"/>
            <w:vAlign w:val="center"/>
          </w:tcPr>
          <w:p>
            <w:pPr>
              <w:pStyle w:val="32"/>
              <w:ind w:left="96"/>
              <w:jc w:val="center"/>
              <w:rPr>
                <w:b w:val="0"/>
                <w:bCs/>
                <w:color w:val="000000" w:themeColor="text1"/>
                <w:kern w:val="2"/>
                <w:lang w:val="zh-CN"/>
                <w14:textFill>
                  <w14:solidFill>
                    <w14:schemeClr w14:val="tx1"/>
                  </w14:solidFill>
                </w14:textFill>
              </w:rPr>
            </w:pPr>
          </w:p>
        </w:tc>
        <w:tc>
          <w:tcPr>
            <w:tcW w:w="7067" w:type="dxa"/>
            <w:vAlign w:val="center"/>
          </w:tcPr>
          <w:p>
            <w:pPr>
              <w:pStyle w:val="32"/>
              <w:jc w:val="both"/>
              <w:rPr>
                <w:b w:val="0"/>
                <w:bCs/>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7</w:t>
            </w:r>
          </w:p>
        </w:tc>
        <w:tc>
          <w:tcPr>
            <w:tcW w:w="1556" w:type="dxa"/>
            <w:vMerge w:val="restart"/>
            <w:vAlign w:val="center"/>
          </w:tcPr>
          <w:p>
            <w:pPr>
              <w:pStyle w:val="32"/>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履约保证金</w:t>
            </w:r>
          </w:p>
        </w:tc>
        <w:tc>
          <w:tcPr>
            <w:tcW w:w="7067" w:type="dxa"/>
            <w:vAlign w:val="center"/>
          </w:tcPr>
          <w:p>
            <w:pPr>
              <w:ind w:right="94" w:rightChars="45"/>
              <w:rPr>
                <w:rFonts w:ascii="宋体" w:hAnsi="宋体"/>
                <w:b/>
                <w:bCs w:val="0"/>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占政府采购合同金额的</w:t>
            </w:r>
            <w:r>
              <w:rPr>
                <w:rFonts w:hint="eastAsia" w:ascii="宋体" w:hAnsi="宋体"/>
                <w:b/>
                <w:bCs w:val="0"/>
                <w:color w:val="000000" w:themeColor="text1"/>
                <w:sz w:val="24"/>
                <w:lang w:val="en-US" w:eastAsia="zh-CN"/>
                <w14:textFill>
                  <w14:solidFill>
                    <w14:schemeClr w14:val="tx1"/>
                  </w14:solidFill>
                </w14:textFill>
              </w:rPr>
              <w:t xml:space="preserve"> </w:t>
            </w:r>
            <w:r>
              <w:rPr>
                <w:rFonts w:hint="eastAsia" w:ascii="宋体" w:hAnsi="宋体"/>
                <w:b/>
                <w:bCs w:val="0"/>
                <w:color w:val="000000" w:themeColor="text1"/>
                <w:sz w:val="24"/>
                <w:u w:val="single"/>
                <w:lang w:val="en-US" w:eastAsia="zh-CN"/>
                <w14:textFill>
                  <w14:solidFill>
                    <w14:schemeClr w14:val="tx1"/>
                  </w14:solidFill>
                </w14:textFill>
              </w:rPr>
              <w:t xml:space="preserve">  / </w:t>
            </w:r>
            <w:r>
              <w:rPr>
                <w:rFonts w:hint="eastAsia" w:ascii="宋体" w:hAnsi="宋体"/>
                <w:b/>
                <w:bCs w:val="0"/>
                <w:color w:val="000000" w:themeColor="text1"/>
                <w:sz w:val="24"/>
                <w:lang w:val="en-US" w:eastAsia="zh-CN"/>
                <w14:textFill>
                  <w14:solidFill>
                    <w14:schemeClr w14:val="tx1"/>
                  </w14:solidFill>
                </w14:textFill>
              </w:rPr>
              <w:t xml:space="preserve"> </w:t>
            </w:r>
            <w:r>
              <w:rPr>
                <w:rFonts w:hint="eastAsia" w:ascii="宋体" w:hAnsi="宋体"/>
                <w:b/>
                <w:bCs w:val="0"/>
                <w:color w:val="000000" w:themeColor="text1"/>
                <w:sz w:val="24"/>
                <w14:textFill>
                  <w14:solidFill>
                    <w14:schemeClr w14:val="tx1"/>
                  </w14:solidFill>
                </w14:textFill>
              </w:rPr>
              <w:t>%</w:t>
            </w:r>
          </w:p>
          <w:p>
            <w:pPr>
              <w:ind w:right="94" w:rightChars="45"/>
              <w:rPr>
                <w:rFonts w:ascii="宋体" w:hAnsi="宋体"/>
                <w:b w:val="0"/>
                <w:bCs/>
                <w:color w:val="000000" w:themeColor="text1"/>
                <w:szCs w:val="21"/>
                <w14:textFill>
                  <w14:solidFill>
                    <w14:schemeClr w14:val="tx1"/>
                  </w14:solidFill>
                </w14:textFill>
              </w:rPr>
            </w:pPr>
            <w:r>
              <w:rPr>
                <w:rFonts w:hint="eastAsia" w:ascii="宋体" w:hAnsi="宋体"/>
                <w:b w:val="0"/>
                <w:bCs/>
                <w:color w:val="000000" w:themeColor="text1"/>
                <w:szCs w:val="21"/>
                <w14:textFill>
                  <w14:solidFill>
                    <w14:schemeClr w14:val="tx1"/>
                  </w14:solidFill>
                </w14:textFill>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val="0"/>
                <w:bCs/>
                <w:color w:val="000000" w:themeColor="text1"/>
                <w:sz w:val="24"/>
                <w14:textFill>
                  <w14:solidFill>
                    <w14:schemeClr w14:val="tx1"/>
                  </w14:solidFill>
                </w14:textFill>
              </w:rPr>
            </w:pPr>
          </w:p>
        </w:tc>
        <w:tc>
          <w:tcPr>
            <w:tcW w:w="1556" w:type="dxa"/>
            <w:vMerge w:val="continue"/>
            <w:vAlign w:val="center"/>
          </w:tcPr>
          <w:p>
            <w:pPr>
              <w:pStyle w:val="32"/>
              <w:ind w:left="96"/>
              <w:jc w:val="center"/>
              <w:rPr>
                <w:b w:val="0"/>
                <w:bCs/>
                <w:color w:val="000000" w:themeColor="text1"/>
                <w:kern w:val="2"/>
                <w:lang w:val="zh-CN"/>
                <w14:textFill>
                  <w14:solidFill>
                    <w14:schemeClr w14:val="tx1"/>
                  </w14:solidFill>
                </w14:textFill>
              </w:rPr>
            </w:pPr>
          </w:p>
        </w:tc>
        <w:tc>
          <w:tcPr>
            <w:tcW w:w="7067" w:type="dxa"/>
            <w:vAlign w:val="center"/>
          </w:tcPr>
          <w:p>
            <w:pPr>
              <w:ind w:right="94" w:rightChars="45"/>
              <w:rPr>
                <w:rFonts w:ascii="宋体" w:hAnsi="宋体"/>
                <w:b/>
                <w:bCs w:val="0"/>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○由采购单位自行收退</w:t>
            </w:r>
          </w:p>
          <w:p>
            <w:pPr>
              <w:ind w:right="94" w:rightChars="45"/>
              <w:rPr>
                <w:rFonts w:ascii="宋体" w:hAnsi="宋体"/>
                <w:b w:val="0"/>
                <w:bCs/>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○由代理机构负责收退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8</w:t>
            </w:r>
          </w:p>
        </w:tc>
        <w:tc>
          <w:tcPr>
            <w:tcW w:w="1556" w:type="dxa"/>
            <w:vAlign w:val="center"/>
          </w:tcPr>
          <w:p>
            <w:pPr>
              <w:pStyle w:val="32"/>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现场踏勘和集中答疑</w:t>
            </w:r>
          </w:p>
        </w:tc>
        <w:tc>
          <w:tcPr>
            <w:tcW w:w="7067" w:type="dxa"/>
            <w:vAlign w:val="center"/>
          </w:tcPr>
          <w:p>
            <w:pPr>
              <w:ind w:right="94" w:rightChars="45"/>
              <w:rPr>
                <w:rFonts w:ascii="宋体" w:hAnsi="宋体"/>
                <w:b/>
                <w:bCs w:val="0"/>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○组织，集结地点为：</w:t>
            </w:r>
            <w:r>
              <w:rPr>
                <w:rFonts w:hint="eastAsia" w:ascii="宋体" w:hAnsi="宋体"/>
                <w:b/>
                <w:bCs w:val="0"/>
                <w:color w:val="000000" w:themeColor="text1"/>
                <w:sz w:val="24"/>
                <w14:textFill>
                  <w14:solidFill>
                    <w14:schemeClr w14:val="tx1"/>
                  </w14:solidFill>
                </w14:textFill>
              </w:rPr>
              <w:t>_______________________</w:t>
            </w:r>
          </w:p>
          <w:p>
            <w:pPr>
              <w:ind w:right="94" w:rightChars="45"/>
              <w:rPr>
                <w:rFonts w:ascii="宋体" w:hAnsi="宋体"/>
                <w:b w:val="0"/>
                <w:bCs/>
                <w:color w:val="000000" w:themeColor="text1"/>
                <w:sz w:val="24"/>
                <w14:textFill>
                  <w14:solidFill>
                    <w14:schemeClr w14:val="tx1"/>
                  </w14:solidFill>
                </w14:textFill>
              </w:rPr>
            </w:pPr>
            <w:r>
              <w:rPr>
                <w:rFonts w:hint="eastAsia"/>
                <w:b/>
                <w:bCs w:val="0"/>
                <w:color w:val="000000" w:themeColor="text1"/>
                <w:kern w:val="2"/>
                <w:lang w:val="zh-CN"/>
                <w14:textFill>
                  <w14:solidFill>
                    <w14:schemeClr w14:val="tx1"/>
                  </w14:solidFill>
                </w14:textFill>
              </w:rPr>
              <w:t>●</w:t>
            </w:r>
            <w:r>
              <w:rPr>
                <w:rFonts w:ascii="宋体" w:hAnsi="宋体"/>
                <w:b/>
                <w:bCs w:val="0"/>
                <w:color w:val="000000" w:themeColor="text1"/>
                <w:sz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9</w:t>
            </w:r>
          </w:p>
        </w:tc>
        <w:tc>
          <w:tcPr>
            <w:tcW w:w="1556" w:type="dxa"/>
            <w:vAlign w:val="center"/>
          </w:tcPr>
          <w:p>
            <w:pPr>
              <w:pStyle w:val="32"/>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价格分比重</w:t>
            </w:r>
          </w:p>
        </w:tc>
        <w:tc>
          <w:tcPr>
            <w:tcW w:w="7067" w:type="dxa"/>
            <w:vAlign w:val="center"/>
          </w:tcPr>
          <w:p>
            <w:pPr>
              <w:widowControl/>
              <w:rPr>
                <w:rFonts w:ascii="宋体" w:hAnsi="宋体" w:cs="宋体"/>
                <w:b/>
                <w:bCs w:val="0"/>
                <w:color w:val="000000" w:themeColor="text1"/>
                <w:kern w:val="0"/>
                <w:sz w:val="24"/>
                <w:szCs w:val="24"/>
                <w:lang w:val="zh-CN"/>
                <w14:textFill>
                  <w14:solidFill>
                    <w14:schemeClr w14:val="tx1"/>
                  </w14:solidFill>
                </w14:textFill>
              </w:rPr>
            </w:pPr>
            <w:r>
              <w:rPr>
                <w:rFonts w:ascii="宋体" w:hAnsi="宋体" w:cs="宋体"/>
                <w:b/>
                <w:bCs w:val="0"/>
                <w:color w:val="000000" w:themeColor="text1"/>
                <w:kern w:val="0"/>
                <w:sz w:val="24"/>
                <w:szCs w:val="24"/>
                <w:lang w:val="zh-CN"/>
                <w14:textFill>
                  <w14:solidFill>
                    <w14:schemeClr w14:val="tx1"/>
                  </w14:solidFill>
                </w14:textFill>
              </w:rPr>
              <w:t>占总分值的</w:t>
            </w:r>
            <w:r>
              <w:rPr>
                <w:rFonts w:hint="eastAsia" w:ascii="宋体" w:hAnsi="宋体" w:cs="宋体"/>
                <w:b/>
                <w:bCs w:val="0"/>
                <w:color w:val="000000" w:themeColor="text1"/>
                <w:kern w:val="0"/>
                <w:sz w:val="24"/>
                <w:szCs w:val="24"/>
                <w:lang w:val="en-US" w:eastAsia="zh-CN"/>
                <w14:textFill>
                  <w14:solidFill>
                    <w14:schemeClr w14:val="tx1"/>
                  </w14:solidFill>
                </w14:textFill>
              </w:rPr>
              <w:t xml:space="preserve"> </w:t>
            </w:r>
            <w:r>
              <w:rPr>
                <w:rFonts w:hint="eastAsia" w:ascii="宋体" w:hAnsi="宋体" w:cs="宋体"/>
                <w:b/>
                <w:bCs w:val="0"/>
                <w:color w:val="000000" w:themeColor="text1"/>
                <w:kern w:val="0"/>
                <w:sz w:val="24"/>
                <w:szCs w:val="24"/>
                <w:u w:val="single"/>
                <w:lang w:val="en-US" w:eastAsia="zh-CN"/>
                <w14:textFill>
                  <w14:solidFill>
                    <w14:schemeClr w14:val="tx1"/>
                  </w14:solidFill>
                </w14:textFill>
              </w:rPr>
              <w:t xml:space="preserve">/  </w:t>
            </w:r>
            <w:r>
              <w:rPr>
                <w:rFonts w:hint="eastAsia" w:ascii="宋体" w:hAnsi="宋体" w:cs="宋体"/>
                <w:b/>
                <w:bCs w:val="0"/>
                <w:color w:val="000000" w:themeColor="text1"/>
                <w:kern w:val="0"/>
                <w:sz w:val="24"/>
                <w:szCs w:val="24"/>
                <w:lang w:val="zh-CN"/>
                <w14:textFill>
                  <w14:solidFill>
                    <w14:schemeClr w14:val="tx1"/>
                  </w14:solidFill>
                </w14:textFill>
              </w:rPr>
              <w:t>%</w:t>
            </w:r>
          </w:p>
          <w:p>
            <w:pPr>
              <w:widowControl/>
              <w:rPr>
                <w:rFonts w:ascii="宋体" w:hAnsi="宋体" w:cs="宋体"/>
                <w:b w:val="0"/>
                <w:bCs/>
                <w:color w:val="000000" w:themeColor="text1"/>
                <w:kern w:val="0"/>
                <w:szCs w:val="21"/>
                <w:lang w:val="zh-CN"/>
                <w14:textFill>
                  <w14:solidFill>
                    <w14:schemeClr w14:val="tx1"/>
                  </w14:solidFill>
                </w14:textFill>
              </w:rPr>
            </w:pPr>
            <w:r>
              <w:rPr>
                <w:rFonts w:hint="eastAsia" w:ascii="宋体" w:hAnsi="宋体" w:cs="宋体"/>
                <w:b w:val="0"/>
                <w:bCs/>
                <w:color w:val="000000" w:themeColor="text1"/>
                <w:kern w:val="0"/>
                <w:szCs w:val="21"/>
                <w:lang w:val="zh-CN"/>
                <w14:textFill>
                  <w14:solidFill>
                    <w14:schemeClr w14:val="tx1"/>
                  </w14:solidFill>
                </w14:textFill>
              </w:rPr>
              <w:t>[招标]根据《政府采购货物和服务招标投标管理办法》（财政部87号令）的规定，综合</w:t>
            </w:r>
            <w:r>
              <w:rPr>
                <w:rFonts w:ascii="宋体" w:hAnsi="宋体" w:cs="宋体"/>
                <w:b w:val="0"/>
                <w:bCs/>
                <w:color w:val="000000" w:themeColor="text1"/>
                <w:kern w:val="0"/>
                <w:szCs w:val="21"/>
                <w:lang w:val="zh-CN"/>
                <w14:textFill>
                  <w14:solidFill>
                    <w14:schemeClr w14:val="tx1"/>
                  </w14:solidFill>
                </w14:textFill>
              </w:rPr>
              <w:t>评分法</w:t>
            </w:r>
            <w:r>
              <w:rPr>
                <w:rFonts w:hint="eastAsia" w:ascii="宋体" w:hAnsi="宋体" w:cs="宋体"/>
                <w:b w:val="0"/>
                <w:bCs/>
                <w:color w:val="000000" w:themeColor="text1"/>
                <w:kern w:val="0"/>
                <w:szCs w:val="21"/>
                <w:lang w:val="zh-CN"/>
                <w14:textFill>
                  <w14:solidFill>
                    <w14:schemeClr w14:val="tx1"/>
                  </w14:solidFill>
                </w14:textFill>
              </w:rPr>
              <w:t>货物项目的价格分值占总分值的比重不得低于30%。执行国家统一定价标准和采用固定价格采购的项目，其价格不列为评审因素。</w:t>
            </w:r>
          </w:p>
          <w:p>
            <w:pPr>
              <w:widowControl/>
              <w:rPr>
                <w:rFonts w:ascii="宋体" w:hAnsi="宋体" w:cs="宋体"/>
                <w:b w:val="0"/>
                <w:bCs/>
                <w:color w:val="000000" w:themeColor="text1"/>
                <w:kern w:val="0"/>
                <w:szCs w:val="21"/>
                <w:lang w:val="zh-CN"/>
                <w14:textFill>
                  <w14:solidFill>
                    <w14:schemeClr w14:val="tx1"/>
                  </w14:solidFill>
                </w14:textFill>
              </w:rPr>
            </w:pPr>
            <w:r>
              <w:rPr>
                <w:rFonts w:ascii="宋体" w:hAnsi="宋体" w:cs="宋体"/>
                <w:b w:val="0"/>
                <w:bCs/>
                <w:color w:val="000000" w:themeColor="text1"/>
                <w:kern w:val="0"/>
                <w:szCs w:val="21"/>
                <w:lang w:val="zh-CN"/>
                <w14:textFill>
                  <w14:solidFill>
                    <w14:schemeClr w14:val="tx1"/>
                  </w14:solidFill>
                </w14:textFill>
              </w:rPr>
              <w:t>[磋商</w:t>
            </w:r>
            <w:r>
              <w:rPr>
                <w:rFonts w:hint="eastAsia" w:ascii="宋体" w:hAnsi="宋体" w:cs="宋体"/>
                <w:b w:val="0"/>
                <w:bCs/>
                <w:color w:val="000000" w:themeColor="text1"/>
                <w:kern w:val="0"/>
                <w:szCs w:val="21"/>
                <w:lang w:val="zh-CN"/>
                <w14:textFill>
                  <w14:solidFill>
                    <w14:schemeClr w14:val="tx1"/>
                  </w14:solidFill>
                </w14:textFill>
              </w:rPr>
              <w:t>]根据《政府采购竞争性磋商采购方式管理暂行办法》（财库〔2014〕214号）的规定，货物项目的价格分值占总分值的比重(即权值)为30%-60%。</w:t>
            </w:r>
          </w:p>
          <w:p>
            <w:pPr>
              <w:widowControl/>
              <w:rPr>
                <w:rFonts w:ascii="宋体" w:hAnsi="宋体" w:cs="宋体"/>
                <w:b w:val="0"/>
                <w:bCs/>
                <w:color w:val="000000" w:themeColor="text1"/>
                <w:kern w:val="0"/>
                <w:szCs w:val="21"/>
                <w:lang w:val="zh-CN"/>
                <w14:textFill>
                  <w14:solidFill>
                    <w14:schemeClr w14:val="tx1"/>
                  </w14:solidFill>
                </w14:textFill>
              </w:rPr>
            </w:pPr>
            <w:r>
              <w:rPr>
                <w:rFonts w:hint="eastAsia" w:ascii="宋体" w:hAnsi="宋体" w:cs="宋体"/>
                <w:b w:val="0"/>
                <w:bCs/>
                <w:color w:val="000000" w:themeColor="text1"/>
                <w:kern w:val="0"/>
                <w:szCs w:val="21"/>
                <w:lang w:val="zh-CN"/>
                <w14:textFill>
                  <w14:solidFill>
                    <w14:schemeClr w14:val="tx1"/>
                  </w14:solidFill>
                </w14:textFill>
              </w:rPr>
              <w:t>[其他采购方式]无须设置。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10</w:t>
            </w:r>
          </w:p>
        </w:tc>
        <w:tc>
          <w:tcPr>
            <w:tcW w:w="1556" w:type="dxa"/>
            <w:vAlign w:val="center"/>
          </w:tcPr>
          <w:p>
            <w:pPr>
              <w:pStyle w:val="32"/>
              <w:ind w:left="96"/>
              <w:jc w:val="center"/>
              <w:rPr>
                <w:b w:val="0"/>
                <w:bCs/>
                <w:color w:val="000000" w:themeColor="text1"/>
                <w:kern w:val="2"/>
                <w:highlight w:val="none"/>
                <w:lang w:val="zh-CN"/>
                <w14:textFill>
                  <w14:solidFill>
                    <w14:schemeClr w14:val="tx1"/>
                  </w14:solidFill>
                </w14:textFill>
              </w:rPr>
            </w:pPr>
            <w:r>
              <w:rPr>
                <w:b w:val="0"/>
                <w:bCs/>
                <w:color w:val="000000" w:themeColor="text1"/>
                <w:kern w:val="2"/>
                <w:highlight w:val="none"/>
                <w:lang w:val="zh-CN"/>
                <w14:textFill>
                  <w14:solidFill>
                    <w14:schemeClr w14:val="tx1"/>
                  </w14:solidFill>
                </w14:textFill>
              </w:rPr>
              <w:t>合同类型</w:t>
            </w:r>
          </w:p>
        </w:tc>
        <w:tc>
          <w:tcPr>
            <w:tcW w:w="7067" w:type="dxa"/>
            <w:vAlign w:val="center"/>
          </w:tcPr>
          <w:p>
            <w:pPr>
              <w:rPr>
                <w:rFonts w:ascii="宋体" w:hAnsi="宋体"/>
                <w:b/>
                <w:bCs w:val="0"/>
                <w:color w:val="000000" w:themeColor="text1"/>
                <w:sz w:val="24"/>
                <w:highlight w:val="none"/>
                <w:lang w:val="zh-CN"/>
                <w14:textFill>
                  <w14:solidFill>
                    <w14:schemeClr w14:val="tx1"/>
                  </w14:solidFill>
                </w14:textFill>
              </w:rPr>
            </w:pPr>
            <w:r>
              <w:rPr>
                <w:rFonts w:hint="eastAsia"/>
                <w:b/>
                <w:bCs w:val="0"/>
                <w:color w:val="000000" w:themeColor="text1"/>
                <w:kern w:val="2"/>
                <w:highlight w:val="none"/>
                <w:lang w:val="zh-CN"/>
                <w14:textFill>
                  <w14:solidFill>
                    <w14:schemeClr w14:val="tx1"/>
                  </w14:solidFill>
                </w14:textFill>
              </w:rPr>
              <w:t>●</w:t>
            </w:r>
            <w:r>
              <w:rPr>
                <w:rFonts w:ascii="宋体" w:hAnsi="宋体"/>
                <w:b/>
                <w:bCs w:val="0"/>
                <w:color w:val="000000" w:themeColor="text1"/>
                <w:sz w:val="24"/>
                <w:highlight w:val="none"/>
                <w:lang w:val="zh-CN"/>
                <w14:textFill>
                  <w14:solidFill>
                    <w14:schemeClr w14:val="tx1"/>
                  </w14:solidFill>
                </w14:textFill>
              </w:rPr>
              <w:t>固定总价</w:t>
            </w:r>
          </w:p>
          <w:p>
            <w:pPr>
              <w:rPr>
                <w:rFonts w:ascii="宋体" w:hAnsi="宋体"/>
                <w:b/>
                <w:bCs w:val="0"/>
                <w:color w:val="000000" w:themeColor="text1"/>
                <w:sz w:val="24"/>
                <w:highlight w:val="none"/>
                <w:lang w:val="zh-CN"/>
                <w14:textFill>
                  <w14:solidFill>
                    <w14:schemeClr w14:val="tx1"/>
                  </w14:solidFill>
                </w14:textFill>
              </w:rPr>
            </w:pPr>
            <w:r>
              <w:rPr>
                <w:rFonts w:ascii="宋体" w:hAnsi="宋体"/>
                <w:b/>
                <w:bCs w:val="0"/>
                <w:color w:val="000000" w:themeColor="text1"/>
                <w:sz w:val="24"/>
                <w:highlight w:val="none"/>
                <w:lang w:val="zh-CN"/>
                <w14:textFill>
                  <w14:solidFill>
                    <w14:schemeClr w14:val="tx1"/>
                  </w14:solidFill>
                </w14:textFill>
              </w:rPr>
              <w:t>○固定单价（适用于采购数量不定的情形）</w:t>
            </w:r>
          </w:p>
          <w:p>
            <w:pPr>
              <w:rPr>
                <w:rFonts w:ascii="宋体" w:hAnsi="宋体"/>
                <w:b w:val="0"/>
                <w:bCs/>
                <w:color w:val="000000" w:themeColor="text1"/>
                <w:sz w:val="24"/>
                <w:highlight w:val="none"/>
                <w:lang w:val="zh-CN"/>
                <w14:textFill>
                  <w14:solidFill>
                    <w14:schemeClr w14:val="tx1"/>
                  </w14:solidFill>
                </w14:textFill>
              </w:rPr>
            </w:pPr>
            <w:r>
              <w:rPr>
                <w:rFonts w:ascii="宋体" w:hAnsi="宋体"/>
                <w:b/>
                <w:bCs w:val="0"/>
                <w:color w:val="000000" w:themeColor="text1"/>
                <w:sz w:val="24"/>
                <w:highlight w:val="none"/>
                <w:lang w:val="zh-CN"/>
                <w14:textFill>
                  <w14:solidFill>
                    <w14:schemeClr w14:val="tx1"/>
                  </w14:solidFill>
                </w14:textFill>
              </w:rPr>
              <w:t>○其他：</w:t>
            </w:r>
            <w:r>
              <w:rPr>
                <w:rFonts w:hint="eastAsia" w:ascii="宋体" w:hAnsi="宋体"/>
                <w:b w:val="0"/>
                <w:bCs/>
                <w:color w:val="000000" w:themeColor="text1"/>
                <w:sz w:val="24"/>
                <w:highlight w:val="none"/>
                <w:lang w:val="zh-CN"/>
                <w14:textFill>
                  <w14:solidFill>
                    <w14:schemeClr w14:val="tx1"/>
                  </w14:solidFill>
                </w14:textFill>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11</w:t>
            </w:r>
          </w:p>
        </w:tc>
        <w:tc>
          <w:tcPr>
            <w:tcW w:w="1556" w:type="dxa"/>
            <w:vAlign w:val="center"/>
          </w:tcPr>
          <w:p>
            <w:pPr>
              <w:tabs>
                <w:tab w:val="left" w:pos="7665"/>
              </w:tabs>
              <w:snapToGrid w:val="0"/>
              <w:jc w:val="center"/>
              <w:rPr>
                <w:rFonts w:ascii="宋体" w:hAnsi="宋体"/>
                <w:b w:val="0"/>
                <w:bCs/>
                <w:color w:val="000000" w:themeColor="text1"/>
                <w:sz w:val="24"/>
                <w:highlight w:val="none"/>
                <w14:textFill>
                  <w14:solidFill>
                    <w14:schemeClr w14:val="tx1"/>
                  </w14:solidFill>
                </w14:textFill>
              </w:rPr>
            </w:pPr>
            <w:r>
              <w:rPr>
                <w:rFonts w:ascii="宋体" w:hAnsi="宋体"/>
                <w:b w:val="0"/>
                <w:bCs/>
                <w:color w:val="000000" w:themeColor="text1"/>
                <w:sz w:val="24"/>
                <w:highlight w:val="none"/>
                <w14:textFill>
                  <w14:solidFill>
                    <w14:schemeClr w14:val="tx1"/>
                  </w14:solidFill>
                </w14:textFill>
              </w:rPr>
              <w:t>争议解决途径</w:t>
            </w:r>
          </w:p>
        </w:tc>
        <w:tc>
          <w:tcPr>
            <w:tcW w:w="7067" w:type="dxa"/>
            <w:vAlign w:val="center"/>
          </w:tcPr>
          <w:p>
            <w:pPr>
              <w:tabs>
                <w:tab w:val="left" w:pos="7665"/>
              </w:tabs>
              <w:snapToGrid w:val="0"/>
              <w:rPr>
                <w:rFonts w:ascii="宋体" w:hAnsi="宋体"/>
                <w:b/>
                <w:bCs w:val="0"/>
                <w:color w:val="000000" w:themeColor="text1"/>
                <w:sz w:val="24"/>
                <w:highlight w:val="none"/>
                <w14:textFill>
                  <w14:solidFill>
                    <w14:schemeClr w14:val="tx1"/>
                  </w14:solidFill>
                </w14:textFill>
              </w:rPr>
            </w:pPr>
            <w:r>
              <w:rPr>
                <w:rFonts w:hint="eastAsia"/>
                <w:b/>
                <w:bCs w:val="0"/>
                <w:color w:val="000000" w:themeColor="text1"/>
                <w:kern w:val="2"/>
                <w:highlight w:val="none"/>
                <w:lang w:val="zh-CN"/>
                <w14:textFill>
                  <w14:solidFill>
                    <w14:schemeClr w14:val="tx1"/>
                  </w14:solidFill>
                </w14:textFill>
              </w:rPr>
              <w:t>●</w:t>
            </w:r>
            <w:r>
              <w:rPr>
                <w:rFonts w:ascii="宋体" w:hAnsi="宋体"/>
                <w:b/>
                <w:bCs w:val="0"/>
                <w:color w:val="000000" w:themeColor="text1"/>
                <w:sz w:val="24"/>
                <w:highlight w:val="none"/>
                <w14:textFill>
                  <w14:solidFill>
                    <w14:schemeClr w14:val="tx1"/>
                  </w14:solidFill>
                </w14:textFill>
              </w:rPr>
              <w:t>向有管辖权的人民法院提起诉讼</w:t>
            </w:r>
          </w:p>
          <w:p>
            <w:pPr>
              <w:tabs>
                <w:tab w:val="left" w:pos="7665"/>
              </w:tabs>
              <w:snapToGrid w:val="0"/>
              <w:rPr>
                <w:rFonts w:ascii="宋体" w:hAnsi="宋体"/>
                <w:b/>
                <w:bCs w:val="0"/>
                <w:color w:val="000000" w:themeColor="text1"/>
                <w:sz w:val="24"/>
                <w:highlight w:val="none"/>
                <w14:textFill>
                  <w14:solidFill>
                    <w14:schemeClr w14:val="tx1"/>
                  </w14:solidFill>
                </w14:textFill>
              </w:rPr>
            </w:pPr>
            <w:r>
              <w:rPr>
                <w:rFonts w:ascii="宋体" w:hAnsi="宋体"/>
                <w:b/>
                <w:bCs w:val="0"/>
                <w:color w:val="000000" w:themeColor="text1"/>
                <w:sz w:val="24"/>
                <w:highlight w:val="none"/>
                <w14:textFill>
                  <w14:solidFill>
                    <w14:schemeClr w14:val="tx1"/>
                  </w14:solidFill>
                </w14:textFill>
              </w:rPr>
              <w:t>○向西安仲裁委员会提请仲裁</w:t>
            </w:r>
          </w:p>
          <w:p>
            <w:pPr>
              <w:tabs>
                <w:tab w:val="left" w:pos="7665"/>
              </w:tabs>
              <w:snapToGrid w:val="0"/>
              <w:rPr>
                <w:rFonts w:ascii="宋体" w:hAnsi="宋体"/>
                <w:b w:val="0"/>
                <w:bCs/>
                <w:color w:val="000000" w:themeColor="text1"/>
                <w:sz w:val="24"/>
                <w:highlight w:val="none"/>
                <w14:textFill>
                  <w14:solidFill>
                    <w14:schemeClr w14:val="tx1"/>
                  </w14:solidFill>
                </w14:textFill>
              </w:rPr>
            </w:pPr>
            <w:r>
              <w:rPr>
                <w:rFonts w:ascii="宋体" w:hAnsi="宋体"/>
                <w:b/>
                <w:bCs w:val="0"/>
                <w:color w:val="000000" w:themeColor="text1"/>
                <w:sz w:val="24"/>
                <w:highlight w:val="none"/>
                <w14:textFill>
                  <w14:solidFill>
                    <w14:schemeClr w14:val="tx1"/>
                  </w14:solidFill>
                </w14:textFill>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12</w:t>
            </w:r>
          </w:p>
        </w:tc>
        <w:tc>
          <w:tcPr>
            <w:tcW w:w="1556" w:type="dxa"/>
            <w:vAlign w:val="center"/>
          </w:tcPr>
          <w:p>
            <w:pPr>
              <w:snapToGrid w:val="0"/>
              <w:jc w:val="center"/>
              <w:rPr>
                <w:rFonts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联系方式</w:t>
            </w:r>
          </w:p>
        </w:tc>
        <w:tc>
          <w:tcPr>
            <w:tcW w:w="7067" w:type="dxa"/>
            <w:vAlign w:val="center"/>
          </w:tcPr>
          <w:p>
            <w:pPr>
              <w:tabs>
                <w:tab w:val="left" w:pos="7665"/>
              </w:tabs>
              <w:snapToGrid w:val="0"/>
              <w:rPr>
                <w:rFonts w:hint="eastAsia" w:ascii="宋体" w:hAnsi="宋体" w:eastAsia="宋体"/>
                <w:b/>
                <w:bCs w:val="0"/>
                <w:color w:val="000000" w:themeColor="text1"/>
                <w:sz w:val="24"/>
                <w:highlight w:val="none"/>
                <w:u w:val="single"/>
                <w:lang w:val="en-US" w:eastAsia="zh-CN"/>
                <w14:textFill>
                  <w14:solidFill>
                    <w14:schemeClr w14:val="tx1"/>
                  </w14:solidFill>
                </w14:textFill>
              </w:rPr>
            </w:pPr>
            <w:r>
              <w:rPr>
                <w:rFonts w:hint="eastAsia" w:ascii="宋体" w:hAnsi="宋体"/>
                <w:b/>
                <w:bCs w:val="0"/>
                <w:color w:val="000000" w:themeColor="text1"/>
                <w:sz w:val="24"/>
                <w:highlight w:val="none"/>
                <w14:textFill>
                  <w14:solidFill>
                    <w14:schemeClr w14:val="tx1"/>
                  </w14:solidFill>
                </w14:textFill>
              </w:rPr>
              <w:t>项目对接人：</w:t>
            </w:r>
            <w:r>
              <w:rPr>
                <w:rFonts w:hint="eastAsia" w:ascii="宋体" w:hAnsi="宋体"/>
                <w:b/>
                <w:bCs w:val="0"/>
                <w:color w:val="000000" w:themeColor="text1"/>
                <w:sz w:val="24"/>
                <w:highlight w:val="none"/>
                <w:u w:val="single"/>
                <w:lang w:val="en-US" w:eastAsia="zh-CN"/>
                <w14:textFill>
                  <w14:solidFill>
                    <w14:schemeClr w14:val="tx1"/>
                  </w14:solidFill>
                </w14:textFill>
              </w:rPr>
              <w:t>沈占军</w:t>
            </w:r>
          </w:p>
          <w:p>
            <w:pPr>
              <w:tabs>
                <w:tab w:val="left" w:pos="7665"/>
              </w:tabs>
              <w:snapToGrid w:val="0"/>
              <w:rPr>
                <w:rFonts w:hint="eastAsia" w:ascii="宋体" w:hAnsi="宋体" w:eastAsia="宋体"/>
                <w:b/>
                <w:bCs w:val="0"/>
                <w:color w:val="000000" w:themeColor="text1"/>
                <w:sz w:val="24"/>
                <w:highlight w:val="none"/>
                <w:lang w:eastAsia="zh-CN"/>
                <w14:textFill>
                  <w14:solidFill>
                    <w14:schemeClr w14:val="tx1"/>
                  </w14:solidFill>
                </w14:textFill>
              </w:rPr>
            </w:pPr>
            <w:r>
              <w:rPr>
                <w:rFonts w:ascii="宋体" w:hAnsi="宋体"/>
                <w:b/>
                <w:bCs w:val="0"/>
                <w:color w:val="000000" w:themeColor="text1"/>
                <w:sz w:val="24"/>
                <w:highlight w:val="none"/>
                <w14:textFill>
                  <w14:solidFill>
                    <w14:schemeClr w14:val="tx1"/>
                  </w14:solidFill>
                </w14:textFill>
              </w:rPr>
              <w:t>联系电话：</w:t>
            </w:r>
            <w:r>
              <w:rPr>
                <w:rFonts w:hint="eastAsia" w:ascii="宋体" w:hAnsi="宋体"/>
                <w:b/>
                <w:bCs w:val="0"/>
                <w:color w:val="000000" w:themeColor="text1"/>
                <w:sz w:val="24"/>
                <w:highlight w:val="none"/>
                <w:u w:val="single"/>
                <w:lang w:val="en-US" w:eastAsia="zh-CN"/>
                <w14:textFill>
                  <w14:solidFill>
                    <w14:schemeClr w14:val="tx1"/>
                  </w14:solidFill>
                </w14:textFill>
              </w:rPr>
              <w:t xml:space="preserve"> 1</w:t>
            </w:r>
            <w:r>
              <w:rPr>
                <w:rFonts w:hint="eastAsia" w:ascii="宋体" w:hAnsi="宋体"/>
                <w:b/>
                <w:bCs w:val="0"/>
                <w:color w:val="000000" w:themeColor="text1"/>
                <w:sz w:val="24"/>
                <w:highlight w:val="none"/>
                <w:u w:val="single"/>
                <w14:textFill>
                  <w14:solidFill>
                    <w14:schemeClr w14:val="tx1"/>
                  </w14:solidFill>
                </w14:textFill>
              </w:rPr>
              <w:t>3484817727</w:t>
            </w:r>
            <w:r>
              <w:rPr>
                <w:rFonts w:hint="eastAsia" w:ascii="宋体" w:hAnsi="宋体"/>
                <w:b/>
                <w:bCs w:val="0"/>
                <w:color w:val="000000" w:themeColor="text1"/>
                <w:sz w:val="24"/>
                <w:highlight w:val="none"/>
                <w:u w:val="single"/>
                <w:lang w:val="en-US" w:eastAsia="zh-CN"/>
                <w14:textFill>
                  <w14:solidFill>
                    <w14:schemeClr w14:val="tx1"/>
                  </w14:solidFill>
                </w14:textFill>
              </w:rPr>
              <w:t xml:space="preserve"> </w:t>
            </w:r>
          </w:p>
          <w:p>
            <w:pPr>
              <w:tabs>
                <w:tab w:val="left" w:pos="7665"/>
              </w:tabs>
              <w:snapToGrid w:val="0"/>
              <w:rPr>
                <w:rFonts w:ascii="宋体" w:hAnsi="宋体"/>
                <w:b w:val="0"/>
                <w:bCs/>
                <w:color w:val="000000" w:themeColor="text1"/>
                <w:sz w:val="24"/>
                <w:highlight w:val="none"/>
                <w14:textFill>
                  <w14:solidFill>
                    <w14:schemeClr w14:val="tx1"/>
                  </w14:solidFill>
                </w14:textFill>
              </w:rPr>
            </w:pPr>
            <w:r>
              <w:rPr>
                <w:rFonts w:ascii="宋体" w:hAnsi="宋体"/>
                <w:b/>
                <w:bCs w:val="0"/>
                <w:color w:val="000000" w:themeColor="text1"/>
                <w:sz w:val="24"/>
                <w:highlight w:val="none"/>
                <w14:textFill>
                  <w14:solidFill>
                    <w14:schemeClr w14:val="tx1"/>
                  </w14:solidFill>
                </w14:textFill>
              </w:rPr>
              <w:t>电子邮箱：</w:t>
            </w:r>
            <w:r>
              <w:rPr>
                <w:rFonts w:hint="eastAsia" w:ascii="宋体" w:hAnsi="宋体"/>
                <w:b/>
                <w:bCs w:val="0"/>
                <w:color w:val="000000" w:themeColor="text1"/>
                <w:sz w:val="24"/>
                <w:highlight w:val="none"/>
                <w:u w:val="single"/>
                <w14:textFill>
                  <w14:solidFill>
                    <w14:schemeClr w14:val="tx1"/>
                  </w14:solidFill>
                </w14:textFill>
              </w:rPr>
              <w:t>__</w:t>
            </w:r>
            <w:r>
              <w:rPr>
                <w:rFonts w:hint="eastAsia" w:ascii="宋体" w:hAnsi="宋体"/>
                <w:b/>
                <w:bCs w:val="0"/>
                <w:color w:val="000000" w:themeColor="text1"/>
                <w:sz w:val="24"/>
                <w:highlight w:val="none"/>
                <w:u w:val="single"/>
                <w:lang w:val="en-US" w:eastAsia="zh-CN"/>
                <w14:textFill>
                  <w14:solidFill>
                    <w14:schemeClr w14:val="tx1"/>
                  </w14:solidFill>
                </w14:textFill>
              </w:rPr>
              <w:t>/</w:t>
            </w:r>
            <w:r>
              <w:rPr>
                <w:rFonts w:hint="eastAsia" w:ascii="宋体" w:hAnsi="宋体"/>
                <w:b w:val="0"/>
                <w:bCs/>
                <w:color w:val="000000" w:themeColor="text1"/>
                <w:sz w:val="24"/>
                <w:highlight w:val="none"/>
                <w:u w:val="single"/>
                <w14:textFill>
                  <w14:solidFill>
                    <w14:schemeClr w14:val="tx1"/>
                  </w14:solidFill>
                </w14:textFill>
              </w:rPr>
              <w:t>__</w:t>
            </w:r>
            <w:r>
              <w:rPr>
                <w:rFonts w:hint="eastAsia" w:ascii="宋体" w:hAnsi="宋体"/>
                <w:b w:val="0"/>
                <w:bCs/>
                <w:color w:val="000000" w:themeColor="text1"/>
                <w:sz w:val="24"/>
                <w:highlight w:val="none"/>
                <w14:textFill>
                  <w14:solidFill>
                    <w14:schemeClr w14:val="tx1"/>
                  </w14:solidFill>
                </w14:textFill>
              </w:rPr>
              <w:t>__</w:t>
            </w:r>
          </w:p>
        </w:tc>
      </w:tr>
    </w:tbl>
    <w:p>
      <w:pPr>
        <w:widowControl/>
        <w:ind w:firstLine="2570" w:firstLineChars="800"/>
        <w:jc w:val="left"/>
        <w:rPr>
          <w:rFonts w:ascii="仿宋" w:hAnsi="仿宋" w:eastAsia="仿宋"/>
          <w:b/>
          <w:sz w:val="32"/>
          <w:szCs w:val="32"/>
        </w:rPr>
      </w:pPr>
    </w:p>
    <w:p>
      <w:pPr>
        <w:rPr>
          <w:rFonts w:ascii="仿宋" w:hAnsi="仿宋" w:eastAsia="仿宋"/>
          <w:b/>
          <w:sz w:val="32"/>
          <w:szCs w:val="32"/>
        </w:rPr>
      </w:pPr>
      <w:r>
        <w:rPr>
          <w:rFonts w:ascii="仿宋" w:hAnsi="仿宋" w:eastAsia="仿宋"/>
          <w:b/>
          <w:sz w:val="32"/>
          <w:szCs w:val="32"/>
        </w:rPr>
        <w:br w:type="page"/>
      </w:r>
    </w:p>
    <w:p>
      <w:pPr>
        <w:widowControl/>
        <w:jc w:val="center"/>
        <w:rPr>
          <w:rFonts w:ascii="仿宋" w:hAnsi="仿宋" w:eastAsia="仿宋"/>
          <w:b/>
          <w:sz w:val="32"/>
          <w:szCs w:val="32"/>
        </w:rPr>
      </w:pPr>
      <w:r>
        <w:rPr>
          <w:rFonts w:ascii="仿宋" w:hAnsi="仿宋" w:eastAsia="仿宋"/>
          <w:b/>
          <w:sz w:val="32"/>
          <w:szCs w:val="32"/>
        </w:rPr>
        <w:t>需求框架</w:t>
      </w:r>
      <w:r>
        <w:rPr>
          <w:rFonts w:hint="eastAsia" w:ascii="仿宋" w:hAnsi="仿宋" w:eastAsia="仿宋"/>
          <w:b/>
          <w:sz w:val="32"/>
          <w:szCs w:val="32"/>
        </w:rPr>
        <w:t>（货物类</w:t>
      </w:r>
      <w:r>
        <w:rPr>
          <w:rFonts w:ascii="仿宋" w:hAnsi="仿宋" w:eastAsia="仿宋"/>
          <w:b/>
          <w:sz w:val="32"/>
          <w:szCs w:val="32"/>
        </w:rPr>
        <w:t>）</w:t>
      </w:r>
    </w:p>
    <w:p>
      <w:pPr>
        <w:pBdr>
          <w:bottom w:val="single" w:color="auto" w:sz="4" w:space="1"/>
        </w:pBdr>
        <w:spacing w:before="312" w:beforeLines="100"/>
        <w:ind w:left="420" w:hanging="420"/>
        <w:rPr>
          <w:rFonts w:ascii="仿宋" w:hAnsi="仿宋" w:eastAsia="仿宋"/>
          <w:b/>
          <w:sz w:val="28"/>
          <w:szCs w:val="28"/>
        </w:rPr>
      </w:pPr>
      <w:r>
        <w:rPr>
          <w:rFonts w:ascii="仿宋" w:hAnsi="仿宋" w:eastAsia="仿宋"/>
          <w:b/>
          <w:sz w:val="28"/>
          <w:szCs w:val="28"/>
        </w:rPr>
        <w:t>一、项目</w:t>
      </w:r>
      <w:r>
        <w:rPr>
          <w:rFonts w:hint="eastAsia" w:ascii="仿宋" w:hAnsi="仿宋" w:eastAsia="仿宋"/>
          <w:b/>
          <w:sz w:val="28"/>
          <w:szCs w:val="28"/>
        </w:rPr>
        <w:t>概况</w:t>
      </w:r>
    </w:p>
    <w:p>
      <w:pPr>
        <w:spacing w:line="40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为进一步提升办学水平、实现长安区第一中学高质量持续快速发展，为长安百万人民坚守一所好的公办高中，现拟为长安区第一中学购买天然气锅炉设备，采购预算97万元。</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二、采购内容（包括采购品目、规格和数量）</w:t>
      </w:r>
    </w:p>
    <w:p>
      <w:pP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一</w:t>
      </w:r>
      <w:r>
        <w:rPr>
          <w:rFonts w:hint="eastAsia" w:ascii="仿宋" w:hAnsi="仿宋" w:eastAsia="仿宋"/>
          <w:sz w:val="28"/>
          <w:szCs w:val="28"/>
        </w:rPr>
        <w:t>）</w:t>
      </w:r>
      <w:r>
        <w:rPr>
          <w:rFonts w:hint="eastAsia" w:ascii="仿宋" w:hAnsi="仿宋" w:eastAsia="仿宋"/>
          <w:sz w:val="28"/>
          <w:szCs w:val="28"/>
          <w:lang w:eastAsia="zh-CN"/>
        </w:rPr>
        <w:t>燃气锅炉</w:t>
      </w:r>
      <w:r>
        <w:rPr>
          <w:rFonts w:hint="eastAsia" w:ascii="仿宋" w:hAnsi="仿宋" w:eastAsia="仿宋"/>
          <w:sz w:val="28"/>
          <w:szCs w:val="28"/>
        </w:rPr>
        <w:t>：</w:t>
      </w:r>
    </w:p>
    <w:tbl>
      <w:tblPr>
        <w:tblStyle w:val="40"/>
        <w:tblW w:w="8358" w:type="dxa"/>
        <w:tblInd w:w="0" w:type="dxa"/>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Grid>
        <w:gridCol w:w="1116"/>
        <w:gridCol w:w="2499"/>
        <w:gridCol w:w="1945"/>
        <w:gridCol w:w="2798"/>
      </w:tblGrid>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518" w:hRule="atLeast"/>
        </w:trPr>
        <w:tc>
          <w:tcPr>
            <w:tcW w:w="1116"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5A5A5" w:themeFill="accent3"/>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24"/>
                <w:sz w:val="24"/>
                <w:szCs w:val="24"/>
                <w:highlight w:val="none"/>
              </w:rPr>
              <w:t>序号</w:t>
            </w:r>
          </w:p>
        </w:tc>
        <w:tc>
          <w:tcPr>
            <w:tcW w:w="2499"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5A5A5" w:themeFill="accent3"/>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24"/>
                <w:sz w:val="24"/>
                <w:szCs w:val="24"/>
                <w:highlight w:val="none"/>
              </w:rPr>
              <w:t>货物名称</w:t>
            </w:r>
          </w:p>
        </w:tc>
        <w:tc>
          <w:tcPr>
            <w:tcW w:w="1945"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5A5A5" w:themeFill="accent3"/>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24"/>
                <w:sz w:val="24"/>
                <w:szCs w:val="24"/>
                <w:highlight w:val="none"/>
              </w:rPr>
              <w:t>数量</w:t>
            </w:r>
          </w:p>
        </w:tc>
        <w:tc>
          <w:tcPr>
            <w:tcW w:w="2798" w:type="dxa"/>
            <w:tcBorders>
              <w:top w:val="single" w:color="auto" w:sz="4" w:space="0"/>
              <w:left w:val="single" w:color="auto" w:sz="4" w:space="0"/>
              <w:bottom w:val="single" w:color="auto" w:sz="4" w:space="0"/>
              <w:right w:val="single" w:color="auto" w:sz="4" w:space="0"/>
              <w:insideH w:val="single" w:sz="4" w:space="0"/>
              <w:insideV w:val="nil"/>
            </w:tcBorders>
            <w:shd w:val="clear" w:color="auto" w:fill="A5A5A5" w:themeFill="accent3"/>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24"/>
                <w:sz w:val="24"/>
                <w:szCs w:val="24"/>
                <w:highlight w:val="none"/>
              </w:rPr>
              <w:t>规格</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518" w:hRule="atLeast"/>
        </w:trPr>
        <w:tc>
          <w:tcPr>
            <w:tcW w:w="1116" w:type="dxa"/>
            <w:tcBorders>
              <w:top w:val="single" w:color="auto" w:sz="4" w:space="0"/>
              <w:left w:val="single" w:color="auto" w:sz="4" w:space="0"/>
              <w:bottom w:val="single" w:color="auto" w:sz="4" w:space="0"/>
              <w:right w:val="single" w:color="auto" w:sz="4" w:space="0"/>
            </w:tcBorders>
            <w:shd w:val="clear" w:color="auto" w:fill="ECECEC" w:themeFill="accent3" w:themeFillTint="33"/>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24"/>
                <w:sz w:val="24"/>
                <w:szCs w:val="24"/>
                <w:highlight w:val="none"/>
              </w:rPr>
              <w:t>1</w:t>
            </w:r>
          </w:p>
        </w:tc>
        <w:tc>
          <w:tcPr>
            <w:tcW w:w="2499" w:type="dxa"/>
            <w:tcBorders>
              <w:top w:val="single" w:color="auto" w:sz="4" w:space="0"/>
              <w:left w:val="single" w:color="auto" w:sz="4" w:space="0"/>
              <w:bottom w:val="single" w:color="auto" w:sz="4" w:space="0"/>
              <w:right w:val="single" w:color="auto" w:sz="4" w:space="0"/>
            </w:tcBorders>
            <w:shd w:val="clear" w:color="auto" w:fill="ECECEC" w:themeFill="accent3" w:themeFillTint="33"/>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24"/>
                <w:sz w:val="24"/>
                <w:szCs w:val="24"/>
                <w:highlight w:val="none"/>
                <w:lang w:eastAsia="zh-CN"/>
              </w:rPr>
              <w:t>立式不锈钢开水锅炉</w:t>
            </w:r>
          </w:p>
        </w:tc>
        <w:tc>
          <w:tcPr>
            <w:tcW w:w="1945" w:type="dxa"/>
            <w:tcBorders>
              <w:top w:val="single" w:color="auto" w:sz="4" w:space="0"/>
              <w:left w:val="single" w:color="auto" w:sz="4" w:space="0"/>
              <w:bottom w:val="single" w:color="auto" w:sz="4" w:space="0"/>
              <w:right w:val="single" w:color="auto" w:sz="4" w:space="0"/>
            </w:tcBorders>
            <w:shd w:val="clear" w:color="auto" w:fill="ECECEC" w:themeFill="accent3" w:themeFillTint="33"/>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24"/>
                <w:sz w:val="24"/>
                <w:szCs w:val="24"/>
                <w:highlight w:val="none"/>
                <w:lang w:val="en-US" w:eastAsia="zh-CN"/>
              </w:rPr>
              <w:t>1</w:t>
            </w:r>
            <w:r>
              <w:rPr>
                <w:rFonts w:hint="eastAsia" w:ascii="宋体" w:hAnsi="宋体" w:eastAsia="宋体" w:cs="宋体"/>
                <w:color w:val="auto"/>
                <w:kern w:val="24"/>
                <w:sz w:val="24"/>
                <w:szCs w:val="24"/>
                <w:highlight w:val="none"/>
              </w:rPr>
              <w:t xml:space="preserve"> 台</w:t>
            </w:r>
          </w:p>
        </w:tc>
        <w:tc>
          <w:tcPr>
            <w:tcW w:w="2798" w:type="dxa"/>
            <w:tcBorders>
              <w:top w:val="single" w:color="auto" w:sz="4" w:space="0"/>
              <w:left w:val="single" w:color="auto" w:sz="4" w:space="0"/>
              <w:bottom w:val="single" w:color="auto" w:sz="4" w:space="0"/>
              <w:right w:val="single" w:color="auto" w:sz="4" w:space="0"/>
            </w:tcBorders>
            <w:shd w:val="clear" w:color="auto" w:fill="ECECEC" w:themeFill="accent3" w:themeFillTint="33"/>
            <w:vAlign w:val="center"/>
          </w:tcPr>
          <w:p>
            <w:pPr>
              <w:widowControl/>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30万大卡</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533" w:hRule="atLeast"/>
        </w:trPr>
        <w:tc>
          <w:tcPr>
            <w:tcW w:w="11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24"/>
                <w:sz w:val="24"/>
                <w:szCs w:val="24"/>
                <w:highlight w:val="none"/>
              </w:rPr>
              <w:t>2</w:t>
            </w:r>
          </w:p>
        </w:tc>
        <w:tc>
          <w:tcPr>
            <w:tcW w:w="249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24"/>
                <w:sz w:val="24"/>
                <w:szCs w:val="24"/>
                <w:highlight w:val="none"/>
                <w:lang w:eastAsia="zh-CN"/>
              </w:rPr>
              <w:t>立式热水锅炉</w:t>
            </w:r>
          </w:p>
        </w:tc>
        <w:tc>
          <w:tcPr>
            <w:tcW w:w="19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24"/>
                <w:sz w:val="24"/>
                <w:szCs w:val="24"/>
                <w:highlight w:val="none"/>
                <w:lang w:val="en-US" w:eastAsia="zh-CN"/>
              </w:rPr>
              <w:t>1</w:t>
            </w:r>
            <w:r>
              <w:rPr>
                <w:rFonts w:hint="eastAsia" w:ascii="宋体" w:hAnsi="宋体" w:eastAsia="宋体" w:cs="宋体"/>
                <w:color w:val="auto"/>
                <w:kern w:val="24"/>
                <w:sz w:val="24"/>
                <w:szCs w:val="24"/>
                <w:highlight w:val="none"/>
              </w:rPr>
              <w:t xml:space="preserve"> 台</w:t>
            </w:r>
          </w:p>
        </w:tc>
        <w:tc>
          <w:tcPr>
            <w:tcW w:w="279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30万大卡</w:t>
            </w:r>
          </w:p>
        </w:tc>
      </w:tr>
    </w:tbl>
    <w:p/>
    <w:p>
      <w:pPr>
        <w:rPr>
          <w:rFonts w:hint="eastAsia"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lang w:eastAsia="zh-CN"/>
        </w:rPr>
        <w:t>餐厅设备</w:t>
      </w:r>
      <w:r>
        <w:rPr>
          <w:rFonts w:hint="eastAsia" w:ascii="仿宋" w:hAnsi="仿宋" w:eastAsia="仿宋"/>
          <w:sz w:val="28"/>
          <w:szCs w:val="28"/>
        </w:rPr>
        <w:t>：</w:t>
      </w:r>
    </w:p>
    <w:tbl>
      <w:tblPr>
        <w:tblStyle w:val="9"/>
        <w:tblW w:w="5000" w:type="pct"/>
        <w:tblInd w:w="0" w:type="dxa"/>
        <w:tblLayout w:type="autofit"/>
        <w:tblCellMar>
          <w:top w:w="0" w:type="dxa"/>
          <w:left w:w="108" w:type="dxa"/>
          <w:bottom w:w="0" w:type="dxa"/>
          <w:right w:w="108" w:type="dxa"/>
        </w:tblCellMar>
      </w:tblPr>
      <w:tblGrid>
        <w:gridCol w:w="836"/>
        <w:gridCol w:w="2016"/>
        <w:gridCol w:w="2017"/>
        <w:gridCol w:w="875"/>
        <w:gridCol w:w="875"/>
        <w:gridCol w:w="1903"/>
      </w:tblGrid>
      <w:tr>
        <w:tblPrEx>
          <w:tblCellMar>
            <w:top w:w="0" w:type="dxa"/>
            <w:left w:w="108" w:type="dxa"/>
            <w:bottom w:w="0" w:type="dxa"/>
            <w:right w:w="108" w:type="dxa"/>
          </w:tblCellMar>
        </w:tblPrEx>
        <w:trPr>
          <w:trHeight w:val="600" w:hRule="atLeast"/>
        </w:trPr>
        <w:tc>
          <w:tcPr>
            <w:tcW w:w="490"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编号</w:t>
            </w:r>
          </w:p>
        </w:tc>
        <w:tc>
          <w:tcPr>
            <w:tcW w:w="1182"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产品名称</w:t>
            </w:r>
          </w:p>
        </w:tc>
        <w:tc>
          <w:tcPr>
            <w:tcW w:w="1183"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尺寸</w:t>
            </w:r>
          </w:p>
        </w:tc>
        <w:tc>
          <w:tcPr>
            <w:tcW w:w="513"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数量</w:t>
            </w:r>
          </w:p>
        </w:tc>
        <w:tc>
          <w:tcPr>
            <w:tcW w:w="513"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单位</w:t>
            </w:r>
          </w:p>
        </w:tc>
        <w:tc>
          <w:tcPr>
            <w:tcW w:w="11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备注</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000000"/>
                <w:kern w:val="0"/>
                <w:sz w:val="24"/>
                <w:szCs w:val="24"/>
                <w:highlight w:val="none"/>
              </w:rPr>
            </w:pPr>
          </w:p>
        </w:tc>
        <w:tc>
          <w:tcPr>
            <w:tcW w:w="1182"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设备</w:t>
            </w:r>
          </w:p>
        </w:tc>
        <w:tc>
          <w:tcPr>
            <w:tcW w:w="1183"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000000"/>
                <w:kern w:val="0"/>
                <w:sz w:val="24"/>
                <w:szCs w:val="24"/>
                <w:highlight w:val="none"/>
              </w:rPr>
            </w:pPr>
          </w:p>
        </w:tc>
        <w:tc>
          <w:tcPr>
            <w:tcW w:w="513"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000000"/>
                <w:kern w:val="0"/>
                <w:sz w:val="24"/>
                <w:szCs w:val="24"/>
                <w:highlight w:val="none"/>
              </w:rPr>
            </w:pPr>
          </w:p>
        </w:tc>
        <w:tc>
          <w:tcPr>
            <w:tcW w:w="513"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000000"/>
                <w:kern w:val="0"/>
                <w:sz w:val="24"/>
                <w:szCs w:val="24"/>
                <w:highlight w:val="none"/>
              </w:rPr>
            </w:pPr>
          </w:p>
        </w:tc>
        <w:tc>
          <w:tcPr>
            <w:tcW w:w="1116"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000000"/>
                <w:kern w:val="0"/>
                <w:sz w:val="24"/>
                <w:szCs w:val="24"/>
                <w:highlight w:val="none"/>
              </w:rPr>
            </w:pP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双门蒸饭车(燃气)</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1400*680*1700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双头大锅灶</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2200*1100*1250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800锅</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单头大锅灶</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1250*1350*1250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1000锅</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八头煲仔炉</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1500*750*950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单头低背矮汤炉</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700*750*500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自然风 不带鼓风</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小炒连大锅灶</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2200*1100*1250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7</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单头单尾小炒灶</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1000*1100*1250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w:t>
            </w:r>
          </w:p>
        </w:tc>
        <w:tc>
          <w:tcPr>
            <w:tcW w:w="1182"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油网烟罩</w:t>
            </w:r>
          </w:p>
        </w:tc>
        <w:tc>
          <w:tcPr>
            <w:tcW w:w="118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3420*1200*500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组</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9</w:t>
            </w:r>
          </w:p>
        </w:tc>
        <w:tc>
          <w:tcPr>
            <w:tcW w:w="1182"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油网烟罩</w:t>
            </w:r>
          </w:p>
        </w:tc>
        <w:tc>
          <w:tcPr>
            <w:tcW w:w="118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2460*1200*500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组</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1182"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油网烟罩</w:t>
            </w:r>
          </w:p>
        </w:tc>
        <w:tc>
          <w:tcPr>
            <w:tcW w:w="118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2200*1100*500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组</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11</w:t>
            </w:r>
          </w:p>
        </w:tc>
        <w:tc>
          <w:tcPr>
            <w:tcW w:w="1182"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油网烟罩</w:t>
            </w:r>
          </w:p>
        </w:tc>
        <w:tc>
          <w:tcPr>
            <w:tcW w:w="118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1500*1100*500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组</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w:t>
            </w:r>
          </w:p>
        </w:tc>
        <w:tc>
          <w:tcPr>
            <w:tcW w:w="1182"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油网烟罩</w:t>
            </w:r>
          </w:p>
        </w:tc>
        <w:tc>
          <w:tcPr>
            <w:tcW w:w="118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6000*1200*500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组</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w:t>
            </w:r>
          </w:p>
        </w:tc>
        <w:tc>
          <w:tcPr>
            <w:tcW w:w="1182"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油网烟罩</w:t>
            </w:r>
          </w:p>
        </w:tc>
        <w:tc>
          <w:tcPr>
            <w:tcW w:w="1183"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5500*1300*500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组</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14</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轴流风机</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轴流风机</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16</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镀锌管道</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400*400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135</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强排系统</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防爆风机</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8000-10000立方/小时</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镀锌管道</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排烟风口</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400*400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个</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法兰支架</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付</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防火阀</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联动控制箱</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配风机</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7</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软连接</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配风机</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套</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送风系统</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轴流风机</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6500立方/小时</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镀锌管道</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180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散流器</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400*400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15</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个</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法兰支架</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12</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付</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防火阀</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600*500</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台</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108" w:type="dxa"/>
            <w:bottom w:w="0" w:type="dxa"/>
            <w:right w:w="108" w:type="dxa"/>
          </w:tblCellMar>
        </w:tblPrEx>
        <w:trPr>
          <w:trHeight w:val="600" w:hRule="atLeast"/>
        </w:trPr>
        <w:tc>
          <w:tcPr>
            <w:tcW w:w="49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w:t>
            </w:r>
          </w:p>
        </w:tc>
        <w:tc>
          <w:tcPr>
            <w:tcW w:w="118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软连接</w:t>
            </w:r>
          </w:p>
        </w:tc>
        <w:tc>
          <w:tcPr>
            <w:tcW w:w="118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配风机</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513"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套</w:t>
            </w:r>
          </w:p>
        </w:tc>
        <w:tc>
          <w:tcPr>
            <w:tcW w:w="111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tc>
      </w:tr>
    </w:tbl>
    <w:p>
      <w:pPr>
        <w:pBdr>
          <w:bottom w:val="single" w:color="auto" w:sz="4" w:space="1"/>
        </w:pBdr>
        <w:spacing w:before="312" w:beforeLines="100"/>
        <w:ind w:left="420" w:hanging="420"/>
        <w:rPr>
          <w:rFonts w:hint="eastAsia" w:ascii="仿宋" w:hAnsi="仿宋" w:eastAsia="仿宋"/>
          <w:b/>
          <w:sz w:val="28"/>
          <w:szCs w:val="28"/>
        </w:rPr>
      </w:pPr>
      <w:r>
        <w:rPr>
          <w:rFonts w:hint="eastAsia" w:ascii="仿宋" w:hAnsi="仿宋" w:eastAsia="仿宋"/>
          <w:b/>
          <w:sz w:val="28"/>
          <w:szCs w:val="28"/>
        </w:rPr>
        <w:t>三、技术要求（包括对产品的认证、检验报告等）</w:t>
      </w:r>
    </w:p>
    <w:p>
      <w:pPr>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sz w:val="28"/>
          <w:szCs w:val="28"/>
          <w:lang w:eastAsia="zh-CN"/>
        </w:rPr>
        <w:t>设备参数</w:t>
      </w:r>
    </w:p>
    <w:p>
      <w:pPr>
        <w:widowControl/>
        <w:spacing w:line="360" w:lineRule="auto"/>
        <w:jc w:val="lef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经前期市场调研，</w:t>
      </w:r>
      <w:r>
        <w:rPr>
          <w:rFonts w:hint="eastAsia" w:ascii="宋体" w:hAnsi="宋体" w:eastAsia="宋体" w:cs="宋体"/>
          <w:color w:val="000000"/>
          <w:kern w:val="0"/>
          <w:sz w:val="24"/>
          <w:szCs w:val="24"/>
          <w:highlight w:val="none"/>
          <w:lang w:eastAsia="zh-CN"/>
        </w:rPr>
        <w:t>充分考虑项目目前现状兼顾后期预留量，整体设备参数如下：</w:t>
      </w:r>
    </w:p>
    <w:p>
      <w:pPr>
        <w:rPr>
          <w:rFonts w:hint="default" w:ascii="仿宋" w:hAnsi="仿宋" w:eastAsia="仿宋"/>
          <w:sz w:val="28"/>
          <w:szCs w:val="28"/>
          <w:lang w:val="en-US" w:eastAsia="zh-CN"/>
        </w:rPr>
      </w:pPr>
      <w:r>
        <w:rPr>
          <w:rFonts w:hint="eastAsia" w:ascii="仿宋" w:hAnsi="仿宋" w:eastAsia="仿宋"/>
          <w:sz w:val="28"/>
          <w:szCs w:val="28"/>
          <w:lang w:val="en-US" w:eastAsia="zh-CN"/>
        </w:rPr>
        <w:t>1.1开水锅炉系统设备及参数</w:t>
      </w:r>
    </w:p>
    <w:tbl>
      <w:tblPr>
        <w:tblStyle w:val="9"/>
        <w:tblW w:w="4998"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827"/>
        <w:gridCol w:w="1732"/>
        <w:gridCol w:w="2434"/>
        <w:gridCol w:w="1073"/>
        <w:gridCol w:w="923"/>
        <w:gridCol w:w="15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00" w:hRule="atLeast"/>
        </w:trPr>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01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规格型号</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5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8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73" w:hRule="atLeast"/>
        </w:trPr>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01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30万大卡立式不锈钢开水锅炉</w:t>
            </w:r>
          </w:p>
        </w:tc>
        <w:tc>
          <w:tcPr>
            <w:tcW w:w="142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bookmarkStart w:id="0" w:name="_GoBack"/>
            <w:r>
              <w:rPr>
                <w:rFonts w:hint="eastAsia" w:ascii="宋体" w:hAnsi="宋体" w:eastAsia="宋体" w:cs="宋体"/>
                <w:color w:val="000000"/>
                <w:kern w:val="0"/>
                <w:sz w:val="24"/>
                <w:szCs w:val="24"/>
                <w:highlight w:val="none"/>
                <w:lang w:val="en-US" w:eastAsia="zh-CN"/>
              </w:rPr>
              <w:t>30万大卡</w:t>
            </w:r>
            <w:bookmarkEnd w:id="0"/>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5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9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不锈钢饮用水锅炉，含燃烧器、控制箱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30" w:hRule="atLeast"/>
        </w:trPr>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01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不锈钢保温开水箱</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Style w:val="42"/>
                <w:rFonts w:hint="eastAsia" w:ascii="宋体" w:hAnsi="宋体" w:eastAsia="宋体" w:cs="宋体"/>
                <w:sz w:val="24"/>
                <w:szCs w:val="24"/>
                <w:highlight w:val="none"/>
                <w:lang w:val="en-US" w:eastAsia="zh-CN" w:bidi="ar"/>
              </w:rPr>
              <w:t>3m</w:t>
            </w:r>
            <w:r>
              <w:rPr>
                <w:rStyle w:val="43"/>
                <w:rFonts w:hint="eastAsia" w:ascii="宋体" w:hAnsi="宋体" w:eastAsia="宋体" w:cs="宋体"/>
                <w:sz w:val="24"/>
                <w:szCs w:val="24"/>
                <w:highlight w:val="none"/>
                <w:lang w:val="en-US" w:eastAsia="zh-CN" w:bidi="ar"/>
              </w:rPr>
              <w:t>3</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座</w:t>
            </w:r>
          </w:p>
        </w:tc>
        <w:tc>
          <w:tcPr>
            <w:tcW w:w="5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r>
              <w:rPr>
                <w:rFonts w:hint="eastAsia" w:ascii="宋体" w:hAnsi="宋体" w:cs="宋体"/>
                <w:i w:val="0"/>
                <w:iCs w:val="0"/>
                <w:color w:val="000000"/>
                <w:kern w:val="0"/>
                <w:sz w:val="24"/>
                <w:szCs w:val="24"/>
                <w:highlight w:val="none"/>
                <w:u w:val="none"/>
                <w:lang w:val="en-US" w:eastAsia="zh-CN" w:bidi="ar"/>
              </w:rPr>
              <w:t>16</w:t>
            </w:r>
            <w:r>
              <w:rPr>
                <w:rFonts w:hint="eastAsia" w:ascii="宋体" w:hAnsi="宋体" w:eastAsia="宋体" w:cs="宋体"/>
                <w:i w:val="0"/>
                <w:iCs w:val="0"/>
                <w:color w:val="000000"/>
                <w:kern w:val="0"/>
                <w:sz w:val="24"/>
                <w:szCs w:val="24"/>
                <w:highlight w:val="none"/>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15" w:hRule="atLeast"/>
        </w:trPr>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1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饮用开水循环泵</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系统配套</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5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8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15" w:hRule="atLeast"/>
        </w:trPr>
        <w:tc>
          <w:tcPr>
            <w:tcW w:w="48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016"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电子水处理器</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系统配套</w:t>
            </w: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5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97"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15" w:hRule="atLeast"/>
        </w:trPr>
        <w:tc>
          <w:tcPr>
            <w:tcW w:w="485" w:type="pct"/>
            <w:tcBorders>
              <w:bottom w:val="single" w:color="auto" w:sz="4" w:space="0"/>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5</w:t>
            </w:r>
          </w:p>
        </w:tc>
        <w:tc>
          <w:tcPr>
            <w:tcW w:w="1016" w:type="pct"/>
            <w:tcBorders>
              <w:bottom w:val="single" w:color="auto" w:sz="4" w:space="0"/>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安装及辅材</w:t>
            </w:r>
          </w:p>
        </w:tc>
        <w:tc>
          <w:tcPr>
            <w:tcW w:w="1428"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629"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项</w:t>
            </w:r>
          </w:p>
        </w:tc>
        <w:tc>
          <w:tcPr>
            <w:tcW w:w="54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97"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bl>
    <w:p>
      <w:pPr>
        <w:rPr>
          <w:rFonts w:hint="eastAsia" w:ascii="仿宋" w:hAnsi="仿宋" w:eastAsia="仿宋"/>
          <w:sz w:val="28"/>
          <w:szCs w:val="28"/>
          <w:lang w:val="en-US" w:eastAsia="zh-CN"/>
        </w:rPr>
      </w:pPr>
      <w:r>
        <w:rPr>
          <w:rFonts w:hint="eastAsia" w:ascii="仿宋" w:hAnsi="仿宋" w:eastAsia="仿宋"/>
          <w:sz w:val="28"/>
          <w:szCs w:val="28"/>
          <w:lang w:val="en-US" w:eastAsia="zh-CN"/>
        </w:rPr>
        <w:t>1.2生活热水锅炉系统设备及参数</w:t>
      </w:r>
    </w:p>
    <w:tbl>
      <w:tblPr>
        <w:tblStyle w:val="9"/>
        <w:tblW w:w="4998"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autofit"/>
        <w:tblCellMar>
          <w:top w:w="0" w:type="dxa"/>
          <w:left w:w="108" w:type="dxa"/>
          <w:bottom w:w="0" w:type="dxa"/>
          <w:right w:w="108" w:type="dxa"/>
        </w:tblCellMar>
      </w:tblPr>
      <w:tblGrid>
        <w:gridCol w:w="699"/>
        <w:gridCol w:w="2122"/>
        <w:gridCol w:w="2376"/>
        <w:gridCol w:w="1018"/>
        <w:gridCol w:w="854"/>
        <w:gridCol w:w="14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09"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2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设备名称</w:t>
            </w:r>
          </w:p>
        </w:tc>
        <w:tc>
          <w:tcPr>
            <w:tcW w:w="13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规格型号</w:t>
            </w: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数量</w:t>
            </w:r>
          </w:p>
        </w:tc>
        <w:tc>
          <w:tcPr>
            <w:tcW w:w="85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93"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4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30万大卡立式热水锅炉</w:t>
            </w:r>
          </w:p>
        </w:tc>
        <w:tc>
          <w:tcPr>
            <w:tcW w:w="139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CLHS0.35-85/65-Y.Q</w:t>
            </w: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5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含燃烧器、锅炉控制箱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31"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不锈钢保温水箱</w:t>
            </w:r>
          </w:p>
        </w:tc>
        <w:tc>
          <w:tcPr>
            <w:tcW w:w="13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6m</w:t>
            </w:r>
            <w:r>
              <w:rPr>
                <w:rFonts w:hint="eastAsia" w:ascii="宋体" w:hAnsi="宋体" w:eastAsia="宋体" w:cs="宋体"/>
                <w:i w:val="0"/>
                <w:iCs w:val="0"/>
                <w:color w:val="000000"/>
                <w:kern w:val="0"/>
                <w:sz w:val="24"/>
                <w:szCs w:val="24"/>
                <w:highlight w:val="none"/>
                <w:u w:val="none"/>
                <w:vertAlign w:val="superscript"/>
                <w:lang w:val="en-US" w:eastAsia="zh-CN" w:bidi="ar"/>
              </w:rPr>
              <w:t>3</w:t>
            </w: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座</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50"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12"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锅炉循环泵</w:t>
            </w:r>
          </w:p>
        </w:tc>
        <w:tc>
          <w:tcPr>
            <w:tcW w:w="13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系统配套</w:t>
            </w: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850"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12"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2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板式换热器</w:t>
            </w:r>
          </w:p>
        </w:tc>
        <w:tc>
          <w:tcPr>
            <w:tcW w:w="13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350KW</w:t>
            </w: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50"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12"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洗浴热水循环泵</w:t>
            </w:r>
          </w:p>
        </w:tc>
        <w:tc>
          <w:tcPr>
            <w:tcW w:w="13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系统配套</w:t>
            </w: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85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0"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2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电子水处理器</w:t>
            </w:r>
          </w:p>
        </w:tc>
        <w:tc>
          <w:tcPr>
            <w:tcW w:w="13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系统配套</w:t>
            </w: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50"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12"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2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高位膨胀水箱</w:t>
            </w:r>
          </w:p>
        </w:tc>
        <w:tc>
          <w:tcPr>
            <w:tcW w:w="13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系统配套</w:t>
            </w: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座</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50"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37" w:hRule="atLeast"/>
        </w:trPr>
        <w:tc>
          <w:tcPr>
            <w:tcW w:w="410"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245"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安装及辅材</w:t>
            </w:r>
          </w:p>
        </w:tc>
        <w:tc>
          <w:tcPr>
            <w:tcW w:w="1394"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p>
        </w:tc>
        <w:tc>
          <w:tcPr>
            <w:tcW w:w="597"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lang w:eastAsia="zh-CN"/>
              </w:rPr>
            </w:pPr>
            <w:r>
              <w:rPr>
                <w:rFonts w:hint="eastAsia" w:ascii="宋体" w:hAnsi="宋体" w:eastAsia="宋体" w:cs="宋体"/>
                <w:i w:val="0"/>
                <w:iCs w:val="0"/>
                <w:color w:val="000000"/>
                <w:sz w:val="24"/>
                <w:szCs w:val="24"/>
                <w:highlight w:val="none"/>
                <w:u w:val="none"/>
                <w:lang w:eastAsia="zh-CN"/>
              </w:rPr>
              <w:t>项</w:t>
            </w:r>
          </w:p>
        </w:tc>
        <w:tc>
          <w:tcPr>
            <w:tcW w:w="501"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50" w:type="pct"/>
            <w:tcBorders>
              <w:tl2br w:val="nil"/>
              <w:tr2bl w:val="nil"/>
            </w:tcBorders>
            <w:shd w:val="clear" w:color="auto" w:fill="auto"/>
            <w:noWrap/>
            <w:vAlign w:val="center"/>
          </w:tcPr>
          <w:p>
            <w:pPr>
              <w:jc w:val="center"/>
              <w:rPr>
                <w:rFonts w:hint="eastAsia" w:ascii="宋体" w:hAnsi="宋体" w:eastAsia="宋体" w:cs="宋体"/>
                <w:i w:val="0"/>
                <w:iCs w:val="0"/>
                <w:color w:val="000000"/>
                <w:sz w:val="24"/>
                <w:szCs w:val="24"/>
                <w:highlight w:val="none"/>
                <w:u w:val="none"/>
              </w:rPr>
            </w:pPr>
          </w:p>
        </w:tc>
      </w:tr>
    </w:tbl>
    <w:p>
      <w:pPr>
        <w:rPr>
          <w:sz w:val="18"/>
          <w:szCs w:val="18"/>
          <w:highlight w:val="yellow"/>
        </w:rPr>
      </w:pPr>
    </w:p>
    <w:p>
      <w:pPr>
        <w:rPr>
          <w:rFonts w:hint="eastAsia" w:ascii="仿宋" w:hAnsi="仿宋" w:eastAsia="仿宋"/>
          <w:sz w:val="28"/>
          <w:szCs w:val="28"/>
          <w:lang w:val="en-US" w:eastAsia="zh-CN"/>
        </w:rPr>
      </w:pPr>
      <w:r>
        <w:rPr>
          <w:rFonts w:hint="eastAsia" w:ascii="仿宋" w:hAnsi="仿宋" w:eastAsia="仿宋"/>
          <w:sz w:val="28"/>
          <w:szCs w:val="28"/>
          <w:lang w:val="en-US" w:eastAsia="zh-CN"/>
        </w:rPr>
        <w:t>2.1餐厅设备参数：</w:t>
      </w:r>
    </w:p>
    <w:tbl>
      <w:tblPr>
        <w:tblStyle w:val="9"/>
        <w:tblpPr w:leftFromText="180" w:rightFromText="180" w:vertAnchor="text" w:horzAnchor="page" w:tblpX="1792" w:tblpY="294"/>
        <w:tblOverlap w:val="never"/>
        <w:tblW w:w="5000" w:type="pct"/>
        <w:tblInd w:w="0" w:type="dxa"/>
        <w:tblLayout w:type="autofit"/>
        <w:tblCellMar>
          <w:top w:w="0" w:type="dxa"/>
          <w:left w:w="108" w:type="dxa"/>
          <w:bottom w:w="0" w:type="dxa"/>
          <w:right w:w="108" w:type="dxa"/>
        </w:tblCellMar>
      </w:tblPr>
      <w:tblGrid>
        <w:gridCol w:w="764"/>
        <w:gridCol w:w="2064"/>
        <w:gridCol w:w="4028"/>
        <w:gridCol w:w="1666"/>
      </w:tblGrid>
      <w:tr>
        <w:tblPrEx>
          <w:tblCellMar>
            <w:top w:w="0" w:type="dxa"/>
            <w:left w:w="108" w:type="dxa"/>
            <w:bottom w:w="0" w:type="dxa"/>
            <w:right w:w="108" w:type="dxa"/>
          </w:tblCellMar>
        </w:tblPrEx>
        <w:trPr>
          <w:trHeight w:val="510" w:hRule="atLeast"/>
        </w:trPr>
        <w:tc>
          <w:tcPr>
            <w:tcW w:w="448"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编号</w:t>
            </w:r>
          </w:p>
        </w:tc>
        <w:tc>
          <w:tcPr>
            <w:tcW w:w="1210"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产品名称</w:t>
            </w:r>
          </w:p>
        </w:tc>
        <w:tc>
          <w:tcPr>
            <w:tcW w:w="2362" w:type="pct"/>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参数说明</w:t>
            </w:r>
          </w:p>
        </w:tc>
        <w:tc>
          <w:tcPr>
            <w:tcW w:w="97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备注</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1210"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设备</w:t>
            </w:r>
          </w:p>
        </w:tc>
        <w:tc>
          <w:tcPr>
            <w:tcW w:w="2362"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c>
          <w:tcPr>
            <w:tcW w:w="977" w:type="pct"/>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w:t>
            </w:r>
          </w:p>
        </w:tc>
      </w:tr>
      <w:tr>
        <w:tblPrEx>
          <w:tblCellMar>
            <w:top w:w="0" w:type="dxa"/>
            <w:left w:w="108" w:type="dxa"/>
            <w:bottom w:w="0" w:type="dxa"/>
            <w:right w:w="108" w:type="dxa"/>
          </w:tblCellMar>
        </w:tblPrEx>
        <w:trPr>
          <w:trHeight w:val="47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双门蒸饭车(燃气)</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外层指纹板磨砂不锈钢制作，中层加厚高密度整体发泡层，内层采用一次性成型整体拉伸食品级不锈钢，全自动进水装置S304锈钢浮球，黄铜水阀，工业级环形发热管。不锈钢门把手。配DN20口径S316不锈钢蒸汽进汽口。配24张食品级S304加厚不锈钢饭盘。最大蒸饭能力：米饭：18-24kg；面点：12-18kg；排骨：24-30kg；蒸饭时间：25-50mins；重量：44Kg</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665"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双头大锅灶</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面厚度δ=1.2mm，炉身、炉背厚度δ=1.0mm。炉脚采用直径2″不锈钢管内含钢柱，配可调性不锈钢子弹脚。风机：采用多翼式低噪音强力铝合金中压风机。静音节能燃烧器，耐火砖、耐火水泥炉膛，结构简单，便于维修。燃烧噪音≤70分贝,配安全全自动点火系统,熄火保护，鼓风式风机功率不超过550w，双风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800锅</w:t>
            </w:r>
          </w:p>
        </w:tc>
      </w:tr>
      <w:tr>
        <w:tblPrEx>
          <w:tblCellMar>
            <w:top w:w="0" w:type="dxa"/>
            <w:left w:w="108" w:type="dxa"/>
            <w:bottom w:w="0" w:type="dxa"/>
            <w:right w:w="108" w:type="dxa"/>
          </w:tblCellMar>
        </w:tblPrEx>
        <w:trPr>
          <w:trHeight w:val="177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单头大锅灶</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面厚度δ=1.2mm，炉身、炉背厚度δ=1.0mm。炉脚采用直径2″不锈钢管内含钢柱，配可调性不锈钢子弹脚。风机：采用多翼式低噪音强力铝合金中压风机。静音节能燃烧器，耐火砖、耐火水泥炉膛，结构简单，便于维修。燃烧噪音≤70分贝,配安全全自动点火系统,熄火保护，鼓风式风机功率不超过550w，单风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1000锅</w:t>
            </w:r>
          </w:p>
        </w:tc>
      </w:tr>
      <w:tr>
        <w:tblPrEx>
          <w:tblCellMar>
            <w:top w:w="0" w:type="dxa"/>
            <w:left w:w="108" w:type="dxa"/>
            <w:bottom w:w="0" w:type="dxa"/>
            <w:right w:w="108" w:type="dxa"/>
          </w:tblCellMar>
        </w:tblPrEx>
        <w:trPr>
          <w:trHeight w:val="96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八头煲仔炉</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采用优质不锈钢；1.2板厚制作；特制炉头直径200mm；测板高度200mm；背板高度150mm；子弹脚直径38mm。</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96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单头低背矮汤炉</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采用优质不锈钢板制造，面板1.2mm，其余0.8mm，φ38*1.0mm不锈钢脚，采用节能炉头，比普通炉头节能55%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自然风 不带鼓风</w:t>
            </w:r>
          </w:p>
        </w:tc>
      </w:tr>
      <w:tr>
        <w:tblPrEx>
          <w:tblCellMar>
            <w:top w:w="0" w:type="dxa"/>
            <w:left w:w="108" w:type="dxa"/>
            <w:bottom w:w="0" w:type="dxa"/>
            <w:right w:w="108" w:type="dxa"/>
          </w:tblCellMar>
        </w:tblPrEx>
        <w:trPr>
          <w:trHeight w:val="177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小炒连大锅灶</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面厚度δ=1.2mm，炉身、炉背厚度δ=1.0mm。炉脚采用直径2″不锈钢管内含钢柱，配可调性不锈钢子弹脚。风机：采用多翼式低噪音强力铝合金中压风机。静音节能燃烧器，耐火砖、耐火水泥炉膛，结构简单，便于维修。燃烧噪音≤70分贝,配安全全自动点火系统,熄火保护，鼓风式风机功率不超过550w，双风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77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单头单尾小炒灶</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面厚度δ=1.2mm，炉身、炉背厚度δ=1.0mm。炉脚采用直径2″不锈钢管内含钢柱，配可调性不锈钢子弹脚。风机：采用多翼式低噪音强力铝合金中压风机。静音节能燃烧器，耐火砖、耐火水泥炉膛，结构简单，便于维修。燃烧噪音≤70分贝,配安全全自动点火系统,熄火保护，鼓风式风机功率不超过550w，单风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1210"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油网烟罩</w:t>
            </w:r>
          </w:p>
        </w:tc>
        <w:tc>
          <w:tcPr>
            <w:tcW w:w="2362" w:type="pct"/>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优质不锈钢制造；</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壳体面板201厚度1.0mm，加强筋1.2mm；</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配双层隔油网，滴油杯及防潮灯；</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配英式防爆灯座，电源线套管丝牙接驳。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1210"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油网烟罩</w:t>
            </w:r>
          </w:p>
        </w:tc>
        <w:tc>
          <w:tcPr>
            <w:tcW w:w="2362" w:type="pct"/>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优质不锈钢制造；</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壳体面板201厚度1.0mm，加强筋1.2mm；</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配双层隔油网，滴油杯及防潮灯；</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配英式防爆灯座，电源线套管丝牙接驳。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1210"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油网烟罩</w:t>
            </w:r>
          </w:p>
        </w:tc>
        <w:tc>
          <w:tcPr>
            <w:tcW w:w="2362" w:type="pct"/>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优质不锈钢制造；</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壳体面板201厚度1.0mm，加强筋1.2mm；</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配双层隔油网，滴油杯及防潮灯；</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配英式防爆灯座，电源线套管丝牙接驳。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1210"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油网烟罩</w:t>
            </w:r>
          </w:p>
        </w:tc>
        <w:tc>
          <w:tcPr>
            <w:tcW w:w="2362" w:type="pct"/>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优质不锈钢制造；</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壳体面板201厚度1.0mm，加强筋1.2mm；</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配双层隔油网，滴油杯及防潮灯；</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配英式防爆灯座，电源线套管丝牙接驳。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1210"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油网烟罩</w:t>
            </w:r>
          </w:p>
        </w:tc>
        <w:tc>
          <w:tcPr>
            <w:tcW w:w="2362" w:type="pct"/>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优质不锈钢制造；</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壳体面板201厚度1.0mm，加强筋1.2mm；</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配双层隔油网，滴油杯及防潮灯；</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配英式防爆灯座，电源线套管丝牙接驳。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1210" w:type="pct"/>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油网烟罩</w:t>
            </w:r>
          </w:p>
        </w:tc>
        <w:tc>
          <w:tcPr>
            <w:tcW w:w="2362" w:type="pct"/>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优质不锈钢制造；</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壳体面板201厚度1.0mm，加强筋1.2mm；</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配双层隔油网，滴油杯及防潮灯；</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配英式防爆灯座，电源线套管丝牙接驳。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轴流风机</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使用机翼型压铸铝可调叶片，高强度</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机翼叶型设计，风量大、压力高、噪声低</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注意：禁止在密闭或补风不足的环境使用，否则会导致电机过载而烧毁</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轴流风机</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使用机翼型压铸铝可调叶片，高强度</w:t>
            </w:r>
          </w:p>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机翼叶型设计，风量大、压力高、噪声低</w:t>
            </w:r>
          </w:p>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注意：禁止在密闭或补风不足的环境使用，否则会导致电机过载而烧毁</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1230"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镀锌管道</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优质国标镀锌板1.0MM厚，共板法兰压十字加强筋。</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强排系统</w:t>
            </w:r>
          </w:p>
        </w:tc>
        <w:tc>
          <w:tcPr>
            <w:tcW w:w="236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防爆风机</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优质国标纯铜电机，符合消防防爆要求。</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镀锌管道</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优质国标镀锌板1.0MM厚，共板法兰压十字加强筋。</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排烟风口</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铝合金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法兰支架</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40国标角铁、10#国标丝杆</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防火阀</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3.0MM铁板喷防锈漆 转动灵活，高温140度熔断。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联动控制箱</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过流过载保护</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软连接</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防油 防水 防火 阻断震动传播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送风系统</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轴流风机</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优质国标纯铜电机。</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镀锌管道</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优质国标镀锌板1.0MM厚，共板法兰压十字加强筋。</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散流器</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铝合金</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法兰支架</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40国标角铁、10#国标丝杆</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防火阀</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3.0MM铁板喷防锈漆 转动灵活，高温140度熔断。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702" w:hRule="atLeast"/>
        </w:trPr>
        <w:tc>
          <w:tcPr>
            <w:tcW w:w="44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21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软连接</w:t>
            </w:r>
          </w:p>
        </w:tc>
        <w:tc>
          <w:tcPr>
            <w:tcW w:w="2362"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防油 防水 防火 阻断震动传播</w:t>
            </w:r>
          </w:p>
        </w:tc>
        <w:tc>
          <w:tcPr>
            <w:tcW w:w="97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bl>
    <w:p>
      <w:pPr>
        <w:pStyle w:val="4"/>
        <w:rPr>
          <w:sz w:val="18"/>
          <w:szCs w:val="18"/>
          <w:highlight w:val="yellow"/>
        </w:rPr>
      </w:pP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四、服务要求</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供应商签订合同后，根据采购人的采购需要</w:t>
      </w:r>
      <w:r>
        <w:rPr>
          <w:rFonts w:hint="eastAsia" w:ascii="仿宋" w:hAnsi="仿宋" w:eastAsia="仿宋"/>
          <w:sz w:val="28"/>
          <w:szCs w:val="28"/>
          <w:lang w:eastAsia="zh-CN"/>
        </w:rPr>
        <w:t>，从设备生产</w:t>
      </w:r>
      <w:r>
        <w:rPr>
          <w:rFonts w:hint="eastAsia" w:ascii="仿宋" w:hAnsi="仿宋" w:eastAsia="仿宋"/>
          <w:sz w:val="28"/>
          <w:szCs w:val="28"/>
        </w:rPr>
        <w:t>，到</w:t>
      </w:r>
      <w:r>
        <w:rPr>
          <w:rFonts w:hint="eastAsia" w:ascii="仿宋" w:hAnsi="仿宋" w:eastAsia="仿宋"/>
          <w:sz w:val="28"/>
          <w:szCs w:val="28"/>
          <w:lang w:eastAsia="zh-CN"/>
        </w:rPr>
        <w:t>设备安装、调试中出现设备安装调试不及时</w:t>
      </w:r>
      <w:r>
        <w:rPr>
          <w:rFonts w:hint="eastAsia" w:ascii="仿宋" w:hAnsi="仿宋" w:eastAsia="仿宋"/>
          <w:sz w:val="28"/>
          <w:szCs w:val="28"/>
        </w:rPr>
        <w:t>等原因由供应商负责。</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、乙方对其所提供设备、材料等负责备品配件的供应,长期提供维修服务，并提供技术咨询等服务。质保期内应无偿负责的维修和替换等工作。超出质保期只收取维修所需原设备、材料成本费用。</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、服务响应时限：7*24小时服务，提供售后服务电话（应具有：固定电话、移动电话、传真）。</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lang w:val="en-US" w:eastAsia="zh-CN"/>
        </w:rPr>
        <w:t>4</w:t>
      </w:r>
      <w:r>
        <w:rPr>
          <w:rFonts w:hint="eastAsia" w:ascii="仿宋" w:hAnsi="仿宋" w:eastAsia="仿宋"/>
          <w:sz w:val="28"/>
          <w:szCs w:val="28"/>
        </w:rPr>
        <w:t>、派专人对学校提供售后服务，并每月定期对所提供的设备、材料等进行巡检</w:t>
      </w:r>
      <w:r>
        <w:rPr>
          <w:rFonts w:hint="eastAsia" w:ascii="仿宋" w:hAnsi="仿宋" w:eastAsia="仿宋"/>
          <w:sz w:val="28"/>
          <w:szCs w:val="28"/>
          <w:highlight w:val="none"/>
        </w:rPr>
        <w:t>，做好巡检记录。</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5</w:t>
      </w:r>
      <w:r>
        <w:rPr>
          <w:rFonts w:hint="eastAsia" w:ascii="仿宋" w:hAnsi="仿宋" w:eastAsia="仿宋"/>
          <w:sz w:val="28"/>
          <w:szCs w:val="28"/>
          <w:highlight w:val="none"/>
        </w:rPr>
        <w:t>、维修工作时间不大于24小时，更换工作时间不大于72小时。</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6</w:t>
      </w:r>
      <w:r>
        <w:rPr>
          <w:rFonts w:hint="eastAsia" w:ascii="仿宋" w:hAnsi="仿宋" w:eastAsia="仿宋"/>
          <w:sz w:val="28"/>
          <w:szCs w:val="28"/>
          <w:highlight w:val="none"/>
        </w:rPr>
        <w:t>、若乙方未按照合同规定的售后服务要求执行，甲方有权自行选择第三方进行维护和修理，所产生的费用将从质保金中扣除。</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7</w:t>
      </w:r>
      <w:r>
        <w:rPr>
          <w:rFonts w:hint="eastAsia" w:ascii="仿宋" w:hAnsi="仿宋" w:eastAsia="仿宋"/>
          <w:sz w:val="28"/>
          <w:szCs w:val="28"/>
          <w:highlight w:val="none"/>
        </w:rPr>
        <w:t>、乙方应无偿对学校指定人员在现场进行维护、使用说明的培训，使甲方</w:t>
      </w:r>
      <w:r>
        <w:rPr>
          <w:rFonts w:hint="eastAsia" w:ascii="仿宋" w:hAnsi="仿宋" w:eastAsia="仿宋"/>
          <w:sz w:val="28"/>
          <w:szCs w:val="28"/>
          <w:highlight w:val="none"/>
          <w:lang w:val="en-US" w:eastAsia="zh-CN"/>
        </w:rPr>
        <w:t>能</w:t>
      </w:r>
      <w:r>
        <w:rPr>
          <w:rFonts w:hint="eastAsia" w:ascii="仿宋" w:hAnsi="仿宋" w:eastAsia="仿宋"/>
          <w:sz w:val="28"/>
          <w:szCs w:val="28"/>
          <w:highlight w:val="none"/>
        </w:rPr>
        <w:t>够完成现场日常操作，技术人员能完成系统维护工作，并制作维护使用手册。</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8</w:t>
      </w:r>
      <w:r>
        <w:rPr>
          <w:rFonts w:hint="eastAsia" w:ascii="仿宋" w:hAnsi="仿宋" w:eastAsia="仿宋"/>
          <w:sz w:val="28"/>
          <w:szCs w:val="28"/>
          <w:highlight w:val="none"/>
        </w:rPr>
        <w:t>、在保修期内更换部件，其保修期应相应延长。</w:t>
      </w:r>
    </w:p>
    <w:p>
      <w:pPr>
        <w:pBdr>
          <w:bottom w:val="single" w:color="auto" w:sz="4" w:space="1"/>
        </w:pBdr>
        <w:spacing w:before="312" w:beforeLines="100"/>
        <w:ind w:left="420" w:hanging="420"/>
        <w:rPr>
          <w:rFonts w:ascii="仿宋" w:hAnsi="仿宋" w:eastAsia="仿宋"/>
          <w:b/>
          <w:sz w:val="28"/>
          <w:szCs w:val="28"/>
          <w:highlight w:val="none"/>
        </w:rPr>
      </w:pPr>
      <w:r>
        <w:rPr>
          <w:rFonts w:hint="eastAsia" w:ascii="仿宋" w:hAnsi="仿宋" w:eastAsia="仿宋"/>
          <w:b/>
          <w:sz w:val="28"/>
          <w:szCs w:val="28"/>
          <w:highlight w:val="none"/>
        </w:rPr>
        <w:t>五、商务要求</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1、</w:t>
      </w:r>
      <w:r>
        <w:rPr>
          <w:rFonts w:hint="eastAsia" w:ascii="仿宋" w:hAnsi="仿宋" w:eastAsia="仿宋"/>
          <w:sz w:val="28"/>
          <w:szCs w:val="28"/>
          <w:highlight w:val="none"/>
        </w:rPr>
        <w:t>交货期</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自合同签订之日起</w:t>
      </w:r>
      <w:r>
        <w:rPr>
          <w:rFonts w:hint="eastAsia" w:ascii="仿宋" w:hAnsi="仿宋" w:eastAsia="仿宋"/>
          <w:sz w:val="28"/>
          <w:szCs w:val="28"/>
          <w:highlight w:val="none"/>
          <w:lang w:val="en-US" w:eastAsia="zh-CN"/>
        </w:rPr>
        <w:t>180</w:t>
      </w:r>
      <w:r>
        <w:rPr>
          <w:rFonts w:hint="eastAsia" w:ascii="仿宋" w:hAnsi="仿宋" w:eastAsia="仿宋"/>
          <w:sz w:val="28"/>
          <w:szCs w:val="28"/>
          <w:highlight w:val="none"/>
        </w:rPr>
        <w:t>个日历日完成全部项目内容，并交付采购人验收合格。</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款项结算</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lang w:eastAsia="zh-CN"/>
        </w:rPr>
        <w:t>）</w:t>
      </w:r>
      <w:r>
        <w:rPr>
          <w:rFonts w:hint="eastAsia" w:ascii="仿宋" w:hAnsi="仿宋" w:eastAsia="仿宋"/>
          <w:sz w:val="28"/>
          <w:szCs w:val="28"/>
          <w:highlight w:val="none"/>
        </w:rPr>
        <w:t>合同签订后10个工作日内支付合同总价款的30%作为预付款。</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lang w:eastAsia="zh-CN"/>
        </w:rPr>
        <w:t>）</w:t>
      </w:r>
      <w:r>
        <w:rPr>
          <w:rFonts w:hint="eastAsia" w:ascii="仿宋" w:hAnsi="仿宋" w:eastAsia="仿宋"/>
          <w:sz w:val="28"/>
          <w:szCs w:val="28"/>
          <w:highlight w:val="none"/>
        </w:rPr>
        <w:t>全部</w:t>
      </w:r>
      <w:r>
        <w:rPr>
          <w:rFonts w:hint="eastAsia" w:ascii="仿宋" w:hAnsi="仿宋" w:eastAsia="仿宋"/>
          <w:sz w:val="28"/>
          <w:szCs w:val="28"/>
          <w:highlight w:val="none"/>
          <w:lang w:eastAsia="zh-CN"/>
        </w:rPr>
        <w:t>设备</w:t>
      </w:r>
      <w:r>
        <w:rPr>
          <w:rFonts w:hint="eastAsia" w:ascii="仿宋" w:hAnsi="仿宋" w:eastAsia="仿宋"/>
          <w:sz w:val="28"/>
          <w:szCs w:val="28"/>
          <w:highlight w:val="none"/>
        </w:rPr>
        <w:t>到达采购人指定地点后，10个工作日内支付合同总价款的</w:t>
      </w:r>
      <w:r>
        <w:rPr>
          <w:rFonts w:hint="eastAsia" w:ascii="仿宋" w:hAnsi="仿宋" w:eastAsia="仿宋"/>
          <w:sz w:val="28"/>
          <w:szCs w:val="28"/>
          <w:highlight w:val="none"/>
          <w:lang w:val="en-US" w:eastAsia="zh-CN"/>
        </w:rPr>
        <w:t>50</w:t>
      </w:r>
      <w:r>
        <w:rPr>
          <w:rFonts w:hint="eastAsia" w:ascii="仿宋" w:hAnsi="仿宋" w:eastAsia="仿宋"/>
          <w:sz w:val="28"/>
          <w:szCs w:val="28"/>
          <w:highlight w:val="none"/>
        </w:rPr>
        <w:t>％。</w:t>
      </w:r>
    </w:p>
    <w:p>
      <w:pPr>
        <w:spacing w:line="400" w:lineRule="exact"/>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（3）</w:t>
      </w:r>
      <w:r>
        <w:rPr>
          <w:rFonts w:hint="eastAsia" w:ascii="仿宋" w:hAnsi="仿宋" w:eastAsia="仿宋"/>
          <w:sz w:val="28"/>
          <w:szCs w:val="28"/>
          <w:highlight w:val="none"/>
          <w:lang w:eastAsia="zh-CN"/>
        </w:rPr>
        <w:t>设备</w:t>
      </w:r>
      <w:r>
        <w:rPr>
          <w:rFonts w:hint="eastAsia" w:ascii="仿宋" w:hAnsi="仿宋" w:eastAsia="仿宋"/>
          <w:sz w:val="28"/>
          <w:szCs w:val="28"/>
          <w:highlight w:val="none"/>
          <w:lang w:val="en-US" w:eastAsia="zh-CN"/>
        </w:rPr>
        <w:t>安装完毕且</w:t>
      </w:r>
      <w:r>
        <w:rPr>
          <w:rFonts w:hint="eastAsia" w:ascii="仿宋" w:hAnsi="仿宋" w:eastAsia="仿宋"/>
          <w:sz w:val="28"/>
          <w:szCs w:val="28"/>
          <w:highlight w:val="none"/>
        </w:rPr>
        <w:t>验收合格</w:t>
      </w:r>
      <w:r>
        <w:rPr>
          <w:rFonts w:hint="eastAsia" w:ascii="仿宋" w:hAnsi="仿宋" w:eastAsia="仿宋"/>
          <w:sz w:val="28"/>
          <w:szCs w:val="28"/>
          <w:highlight w:val="none"/>
          <w:lang w:eastAsia="zh-CN"/>
        </w:rPr>
        <w:t>后，</w:t>
      </w:r>
      <w:r>
        <w:rPr>
          <w:rFonts w:hint="eastAsia" w:ascii="仿宋" w:hAnsi="仿宋" w:eastAsia="仿宋"/>
          <w:sz w:val="28"/>
          <w:szCs w:val="28"/>
          <w:highlight w:val="none"/>
        </w:rPr>
        <w:t>10个工作日内支付合同总价款的</w:t>
      </w:r>
      <w:r>
        <w:rPr>
          <w:rFonts w:hint="eastAsia" w:ascii="仿宋" w:hAnsi="仿宋" w:eastAsia="仿宋"/>
          <w:sz w:val="28"/>
          <w:szCs w:val="28"/>
          <w:highlight w:val="none"/>
          <w:lang w:val="en-US" w:eastAsia="zh-CN"/>
        </w:rPr>
        <w:t>17</w:t>
      </w:r>
      <w:r>
        <w:rPr>
          <w:rFonts w:hint="eastAsia" w:ascii="仿宋" w:hAnsi="仿宋" w:eastAsia="仿宋"/>
          <w:sz w:val="28"/>
          <w:szCs w:val="28"/>
          <w:highlight w:val="none"/>
        </w:rPr>
        <w:t>％</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留合同总价的</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%作为质量保证金。从验收合格之日起满1年后，如无质量等问题，10个工作日内一次付清。</w:t>
      </w:r>
    </w:p>
    <w:p>
      <w:pPr>
        <w:pBdr>
          <w:bottom w:val="single" w:color="auto" w:sz="4" w:space="1"/>
        </w:pBdr>
        <w:spacing w:before="312" w:beforeLines="100"/>
        <w:rPr>
          <w:rFonts w:ascii="仿宋" w:hAnsi="仿宋" w:eastAsia="仿宋"/>
          <w:b/>
          <w:sz w:val="28"/>
          <w:szCs w:val="28"/>
          <w:highlight w:val="none"/>
        </w:rPr>
      </w:pPr>
      <w:r>
        <w:rPr>
          <w:rFonts w:hint="eastAsia" w:ascii="仿宋" w:hAnsi="仿宋" w:eastAsia="仿宋"/>
          <w:b/>
          <w:sz w:val="28"/>
          <w:szCs w:val="28"/>
          <w:highlight w:val="none"/>
        </w:rPr>
        <w:t>六、其他</w:t>
      </w:r>
    </w:p>
    <w:p>
      <w:pPr>
        <w:spacing w:line="400" w:lineRule="exact"/>
        <w:rPr>
          <w:rFonts w:ascii="仿宋" w:hAnsi="仿宋" w:eastAsia="仿宋"/>
          <w:sz w:val="28"/>
          <w:szCs w:val="28"/>
          <w:highlight w:val="none"/>
        </w:rPr>
      </w:pP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一</w:t>
      </w:r>
      <w:r>
        <w:rPr>
          <w:rFonts w:hint="eastAsia" w:ascii="仿宋" w:hAnsi="仿宋" w:eastAsia="仿宋"/>
          <w:sz w:val="28"/>
          <w:szCs w:val="28"/>
          <w:highlight w:val="none"/>
        </w:rPr>
        <w:t>）质量验收标准或规范</w:t>
      </w:r>
    </w:p>
    <w:p>
      <w:pPr>
        <w:spacing w:line="400" w:lineRule="exact"/>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1、质量要求</w:t>
      </w:r>
    </w:p>
    <w:p>
      <w:pPr>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1</w:t>
      </w:r>
      <w:r>
        <w:rPr>
          <w:rFonts w:hint="eastAsia" w:ascii="仿宋" w:hAnsi="仿宋" w:eastAsia="仿宋"/>
          <w:sz w:val="28"/>
          <w:szCs w:val="28"/>
          <w:highlight w:val="none"/>
          <w:lang w:eastAsia="zh-CN"/>
        </w:rPr>
        <w:t>）</w:t>
      </w:r>
      <w:r>
        <w:rPr>
          <w:rFonts w:hint="eastAsia" w:ascii="仿宋" w:hAnsi="仿宋" w:eastAsia="仿宋"/>
          <w:sz w:val="28"/>
          <w:szCs w:val="28"/>
          <w:highlight w:val="none"/>
        </w:rPr>
        <w:t>乙方须提供全新的、未使用过的合格正品产品（含零部件、配件等），完全符合合同规定的质量、规格和性能的要求。</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质量标准</w:t>
      </w:r>
      <w:r>
        <w:rPr>
          <w:rFonts w:hint="eastAsia" w:ascii="仿宋" w:hAnsi="仿宋" w:eastAsia="仿宋"/>
          <w:sz w:val="28"/>
          <w:szCs w:val="28"/>
        </w:rPr>
        <w:t>按照最新颁布的国家标准、行业标准或制造商企业标准确定，上述标准不一致的，以严格标准为准。</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产品质保期</w:t>
      </w:r>
      <w:r>
        <w:rPr>
          <w:rFonts w:hint="eastAsia" w:ascii="仿宋" w:hAnsi="仿宋" w:eastAsia="仿宋"/>
          <w:sz w:val="28"/>
          <w:szCs w:val="28"/>
          <w:lang w:val="en-US" w:eastAsia="zh-CN"/>
        </w:rPr>
        <w:t>两</w:t>
      </w:r>
      <w:r>
        <w:rPr>
          <w:rFonts w:hint="eastAsia" w:ascii="仿宋" w:hAnsi="仿宋" w:eastAsia="仿宋"/>
          <w:sz w:val="28"/>
          <w:szCs w:val="28"/>
        </w:rPr>
        <w:t>年，质保期起始时间为终验合格之日</w:t>
      </w:r>
      <w:r>
        <w:rPr>
          <w:rFonts w:hint="eastAsia" w:ascii="仿宋" w:hAnsi="仿宋" w:eastAsia="仿宋"/>
          <w:sz w:val="28"/>
          <w:szCs w:val="28"/>
          <w:lang w:eastAsia="zh-CN"/>
        </w:rPr>
        <w:t>。</w:t>
      </w:r>
      <w:r>
        <w:rPr>
          <w:rFonts w:hint="eastAsia" w:ascii="仿宋" w:hAnsi="仿宋" w:eastAsia="仿宋"/>
          <w:sz w:val="28"/>
          <w:szCs w:val="28"/>
        </w:rPr>
        <w:t>产品在质保期出现质量问题，乙方应负责三包（包修、包换、包退），费用由乙方负担，甲方有权到乙方生产场地检查产品质量和生产进度。</w:t>
      </w:r>
    </w:p>
    <w:p>
      <w:pPr>
        <w:spacing w:line="40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2、验收标准</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设备到达甲方指定地点后，组织现场开箱请点验货。所到设备的型号和数量必须与合同一致，甲方和乙方共同签署到货验收单。未签收到货验收单的货物不得擅自开箱安装。</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乙方保证合同所有设备是全新的（包括零部件），其规格参数及配件不低于（符合）本项目响应文件的要求。</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3</w:t>
      </w:r>
      <w:r>
        <w:rPr>
          <w:rFonts w:hint="eastAsia" w:ascii="仿宋" w:hAnsi="仿宋" w:eastAsia="仿宋"/>
          <w:sz w:val="28"/>
          <w:szCs w:val="28"/>
          <w:lang w:eastAsia="zh-CN"/>
        </w:rPr>
        <w:t>）</w:t>
      </w:r>
      <w:r>
        <w:rPr>
          <w:rFonts w:hint="eastAsia" w:ascii="仿宋" w:hAnsi="仿宋" w:eastAsia="仿宋"/>
          <w:sz w:val="28"/>
          <w:szCs w:val="28"/>
        </w:rPr>
        <w:t>安装完成，乙方进行自检，出现的问题限期整改。自检最终通过后，乙方提出验收申请，甲方组织相关人员进行最终验收，专家验收费用由乙方承担。</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rPr>
        <w:t>设备从通过最终验收之日起进入保修期，提供验收依据：</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合同及附加文本；</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谈判</w:t>
      </w:r>
      <w:r>
        <w:rPr>
          <w:rFonts w:hint="eastAsia" w:ascii="仿宋" w:hAnsi="仿宋" w:eastAsia="仿宋"/>
          <w:sz w:val="28"/>
          <w:szCs w:val="28"/>
        </w:rPr>
        <w:t>文件、成交供应商的响应文件及澄清（承诺）函；</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国家相应的标准、规范。</w:t>
      </w:r>
    </w:p>
    <w:p>
      <w:pPr>
        <w:spacing w:line="400" w:lineRule="exact"/>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二</w:t>
      </w:r>
      <w:r>
        <w:rPr>
          <w:rFonts w:ascii="仿宋" w:hAnsi="仿宋" w:eastAsia="仿宋"/>
          <w:sz w:val="28"/>
          <w:szCs w:val="28"/>
        </w:rPr>
        <w:t>）违约责任</w:t>
      </w:r>
    </w:p>
    <w:p>
      <w:pPr>
        <w:spacing w:line="40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sz w:val="28"/>
          <w:szCs w:val="28"/>
          <w:lang w:eastAsia="zh-CN"/>
        </w:rPr>
        <w:t>按《</w:t>
      </w:r>
      <w:r>
        <w:rPr>
          <w:rFonts w:hint="eastAsia" w:ascii="仿宋" w:hAnsi="仿宋" w:eastAsia="仿宋"/>
          <w:sz w:val="28"/>
          <w:szCs w:val="28"/>
          <w:lang w:val="en-US" w:eastAsia="zh-CN"/>
        </w:rPr>
        <w:t>民法典</w:t>
      </w:r>
      <w:r>
        <w:rPr>
          <w:rFonts w:hint="eastAsia" w:ascii="仿宋" w:hAnsi="仿宋" w:eastAsia="仿宋"/>
          <w:sz w:val="28"/>
          <w:szCs w:val="28"/>
          <w:lang w:eastAsia="zh-CN"/>
        </w:rPr>
        <w:t>》中的相关条款执行。</w:t>
      </w:r>
    </w:p>
    <w:p>
      <w:pPr>
        <w:spacing w:line="40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乙方迟交产品每超过一天，扣除乙方合同总价款的0</w:t>
      </w:r>
      <w:r>
        <w:rPr>
          <w:rFonts w:hint="eastAsia" w:ascii="仿宋" w:hAnsi="仿宋" w:eastAsia="仿宋"/>
          <w:sz w:val="28"/>
          <w:szCs w:val="28"/>
          <w:lang w:val="en-US" w:eastAsia="zh-CN"/>
        </w:rPr>
        <w:t>.</w:t>
      </w:r>
      <w:r>
        <w:rPr>
          <w:rFonts w:hint="eastAsia" w:ascii="仿宋" w:hAnsi="仿宋" w:eastAsia="仿宋"/>
          <w:sz w:val="28"/>
          <w:szCs w:val="28"/>
          <w:lang w:eastAsia="zh-CN"/>
        </w:rPr>
        <w:t>2%，迟交产品超过30天，甲方有权拒收产品。</w:t>
      </w:r>
    </w:p>
    <w:p>
      <w:pPr>
        <w:spacing w:line="40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hint="eastAsia" w:ascii="仿宋" w:hAnsi="仿宋" w:eastAsia="仿宋"/>
          <w:sz w:val="28"/>
          <w:szCs w:val="28"/>
          <w:lang w:eastAsia="zh-CN"/>
        </w:rPr>
        <w:t>按合同要求提供产品或产品质量不能满足采购技术要求，乙方必须无条件更换产品，提高技术，完善质量，否则，甲方会同监督机构、采购代理机构有权终止合同并对乙方违约行为进行追究，同时按政府采购供应商管理办法进行相应的处罚。</w:t>
      </w:r>
    </w:p>
    <w:p>
      <w:pPr>
        <w:spacing w:line="40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任何一方因不可抗力原因不能履行协议时，应尽快通知对方，双方均设法补偿。如仍无法履约协议，可协商延缓或撤销协议，双方责任免除。</w:t>
      </w:r>
    </w:p>
    <w:p/>
    <w:p>
      <w:pPr>
        <w:rPr>
          <w:rFonts w:hint="eastAsia"/>
        </w:rPr>
      </w:pP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509D3E"/>
    <w:multiLevelType w:val="singleLevel"/>
    <w:tmpl w:val="2D509D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hYTZmMTU4N2QwYjRmYjY2ZjgzZTgzODhmZDA2ZTk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F41"/>
    <w:rsid w:val="00023261"/>
    <w:rsid w:val="000234CF"/>
    <w:rsid w:val="000235C8"/>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B5ACF"/>
    <w:rsid w:val="000B6858"/>
    <w:rsid w:val="000C048C"/>
    <w:rsid w:val="000C078B"/>
    <w:rsid w:val="000C21A4"/>
    <w:rsid w:val="000C538D"/>
    <w:rsid w:val="000C59A5"/>
    <w:rsid w:val="000D0AF3"/>
    <w:rsid w:val="000D0DE1"/>
    <w:rsid w:val="000D1277"/>
    <w:rsid w:val="000D2633"/>
    <w:rsid w:val="000D4097"/>
    <w:rsid w:val="000E3FB5"/>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21FC0"/>
    <w:rsid w:val="00122D76"/>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B0699"/>
    <w:rsid w:val="001B2019"/>
    <w:rsid w:val="001B49FD"/>
    <w:rsid w:val="001C0BA3"/>
    <w:rsid w:val="001C0BBD"/>
    <w:rsid w:val="001C25ED"/>
    <w:rsid w:val="001D1BCB"/>
    <w:rsid w:val="001D22C0"/>
    <w:rsid w:val="001D4171"/>
    <w:rsid w:val="001D576E"/>
    <w:rsid w:val="001D70BC"/>
    <w:rsid w:val="001E2BB9"/>
    <w:rsid w:val="001E6A70"/>
    <w:rsid w:val="001F2059"/>
    <w:rsid w:val="001F49A1"/>
    <w:rsid w:val="001F4ACC"/>
    <w:rsid w:val="001F7532"/>
    <w:rsid w:val="00201795"/>
    <w:rsid w:val="0020498C"/>
    <w:rsid w:val="00207790"/>
    <w:rsid w:val="00210CFC"/>
    <w:rsid w:val="00210FBE"/>
    <w:rsid w:val="002125C8"/>
    <w:rsid w:val="00213205"/>
    <w:rsid w:val="002137AF"/>
    <w:rsid w:val="002174B0"/>
    <w:rsid w:val="00220787"/>
    <w:rsid w:val="0022387C"/>
    <w:rsid w:val="00230C6A"/>
    <w:rsid w:val="00233D53"/>
    <w:rsid w:val="002345B9"/>
    <w:rsid w:val="00237A3F"/>
    <w:rsid w:val="00237C8C"/>
    <w:rsid w:val="0024210D"/>
    <w:rsid w:val="00244C29"/>
    <w:rsid w:val="00247B11"/>
    <w:rsid w:val="00250468"/>
    <w:rsid w:val="00250A0D"/>
    <w:rsid w:val="00250B6E"/>
    <w:rsid w:val="00252050"/>
    <w:rsid w:val="00253B74"/>
    <w:rsid w:val="002547E0"/>
    <w:rsid w:val="00255DBC"/>
    <w:rsid w:val="0025777A"/>
    <w:rsid w:val="00260306"/>
    <w:rsid w:val="00261898"/>
    <w:rsid w:val="00264014"/>
    <w:rsid w:val="0026501F"/>
    <w:rsid w:val="00266611"/>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41DD"/>
    <w:rsid w:val="002D7418"/>
    <w:rsid w:val="002E1660"/>
    <w:rsid w:val="002E43F6"/>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11862"/>
    <w:rsid w:val="00316D60"/>
    <w:rsid w:val="003172BB"/>
    <w:rsid w:val="00322208"/>
    <w:rsid w:val="003245F8"/>
    <w:rsid w:val="00325D47"/>
    <w:rsid w:val="00325EF1"/>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4666"/>
    <w:rsid w:val="004574A4"/>
    <w:rsid w:val="00463236"/>
    <w:rsid w:val="004657D3"/>
    <w:rsid w:val="0046690A"/>
    <w:rsid w:val="0046782F"/>
    <w:rsid w:val="00471E1E"/>
    <w:rsid w:val="0047278F"/>
    <w:rsid w:val="0047590B"/>
    <w:rsid w:val="00490F98"/>
    <w:rsid w:val="00491349"/>
    <w:rsid w:val="00493684"/>
    <w:rsid w:val="00493E48"/>
    <w:rsid w:val="00496ACE"/>
    <w:rsid w:val="00497530"/>
    <w:rsid w:val="004A00FD"/>
    <w:rsid w:val="004A5CFF"/>
    <w:rsid w:val="004A61D7"/>
    <w:rsid w:val="004A6B5A"/>
    <w:rsid w:val="004B1026"/>
    <w:rsid w:val="004B5992"/>
    <w:rsid w:val="004C093C"/>
    <w:rsid w:val="004C0B7A"/>
    <w:rsid w:val="004C0CA0"/>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406CD"/>
    <w:rsid w:val="00542C65"/>
    <w:rsid w:val="00544037"/>
    <w:rsid w:val="0054537C"/>
    <w:rsid w:val="00547AD0"/>
    <w:rsid w:val="005509F0"/>
    <w:rsid w:val="00553778"/>
    <w:rsid w:val="00553AC5"/>
    <w:rsid w:val="00554646"/>
    <w:rsid w:val="005555A0"/>
    <w:rsid w:val="0056216F"/>
    <w:rsid w:val="005627E9"/>
    <w:rsid w:val="00566E90"/>
    <w:rsid w:val="00572506"/>
    <w:rsid w:val="00573AC9"/>
    <w:rsid w:val="00581DBA"/>
    <w:rsid w:val="00581F60"/>
    <w:rsid w:val="005829C2"/>
    <w:rsid w:val="00582A46"/>
    <w:rsid w:val="0058322B"/>
    <w:rsid w:val="00583A5C"/>
    <w:rsid w:val="0058471F"/>
    <w:rsid w:val="0058487A"/>
    <w:rsid w:val="00592CFD"/>
    <w:rsid w:val="00593C8A"/>
    <w:rsid w:val="005960B9"/>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7216"/>
    <w:rsid w:val="005E12F7"/>
    <w:rsid w:val="005E548A"/>
    <w:rsid w:val="005E5BCC"/>
    <w:rsid w:val="005E5CCE"/>
    <w:rsid w:val="005E6CCC"/>
    <w:rsid w:val="005F19BB"/>
    <w:rsid w:val="005F3B5B"/>
    <w:rsid w:val="006022C0"/>
    <w:rsid w:val="00602E42"/>
    <w:rsid w:val="0060308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6668A"/>
    <w:rsid w:val="00675065"/>
    <w:rsid w:val="00675563"/>
    <w:rsid w:val="00675632"/>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7C59"/>
    <w:rsid w:val="006D0312"/>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6375"/>
    <w:rsid w:val="00724763"/>
    <w:rsid w:val="007326D4"/>
    <w:rsid w:val="007331C5"/>
    <w:rsid w:val="00733D26"/>
    <w:rsid w:val="00733E96"/>
    <w:rsid w:val="00734BE2"/>
    <w:rsid w:val="00734DBA"/>
    <w:rsid w:val="007405AB"/>
    <w:rsid w:val="0074169B"/>
    <w:rsid w:val="007416A5"/>
    <w:rsid w:val="00742326"/>
    <w:rsid w:val="00743F8B"/>
    <w:rsid w:val="007552A7"/>
    <w:rsid w:val="00757FC1"/>
    <w:rsid w:val="00760265"/>
    <w:rsid w:val="00763522"/>
    <w:rsid w:val="00770D89"/>
    <w:rsid w:val="00771FBD"/>
    <w:rsid w:val="00772751"/>
    <w:rsid w:val="00772BFA"/>
    <w:rsid w:val="007732E5"/>
    <w:rsid w:val="00773A1F"/>
    <w:rsid w:val="007750D4"/>
    <w:rsid w:val="00775725"/>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C41"/>
    <w:rsid w:val="0084500E"/>
    <w:rsid w:val="008455FB"/>
    <w:rsid w:val="0084584F"/>
    <w:rsid w:val="00850BC8"/>
    <w:rsid w:val="00850E33"/>
    <w:rsid w:val="00856715"/>
    <w:rsid w:val="00856DC0"/>
    <w:rsid w:val="00861CE7"/>
    <w:rsid w:val="00864D01"/>
    <w:rsid w:val="00865BFC"/>
    <w:rsid w:val="0087394A"/>
    <w:rsid w:val="00874D32"/>
    <w:rsid w:val="00881B84"/>
    <w:rsid w:val="008876A3"/>
    <w:rsid w:val="00887DFB"/>
    <w:rsid w:val="0089283A"/>
    <w:rsid w:val="00892ADC"/>
    <w:rsid w:val="00893813"/>
    <w:rsid w:val="0089658C"/>
    <w:rsid w:val="00896F74"/>
    <w:rsid w:val="00897000"/>
    <w:rsid w:val="008A2458"/>
    <w:rsid w:val="008A66B8"/>
    <w:rsid w:val="008A7EED"/>
    <w:rsid w:val="008B2B1D"/>
    <w:rsid w:val="008B5009"/>
    <w:rsid w:val="008B7E45"/>
    <w:rsid w:val="008C1237"/>
    <w:rsid w:val="008C64FB"/>
    <w:rsid w:val="008C771B"/>
    <w:rsid w:val="008C77A4"/>
    <w:rsid w:val="008D0DB7"/>
    <w:rsid w:val="008D2DAF"/>
    <w:rsid w:val="008D4EEC"/>
    <w:rsid w:val="008E1C91"/>
    <w:rsid w:val="008E2EFF"/>
    <w:rsid w:val="008E3B9E"/>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A82"/>
    <w:rsid w:val="00951071"/>
    <w:rsid w:val="0095333C"/>
    <w:rsid w:val="00955186"/>
    <w:rsid w:val="00956EE8"/>
    <w:rsid w:val="009643C2"/>
    <w:rsid w:val="00966B6A"/>
    <w:rsid w:val="0097057C"/>
    <w:rsid w:val="009715C5"/>
    <w:rsid w:val="00971AF2"/>
    <w:rsid w:val="009723B8"/>
    <w:rsid w:val="0098281C"/>
    <w:rsid w:val="0098423D"/>
    <w:rsid w:val="009850E9"/>
    <w:rsid w:val="00985DFA"/>
    <w:rsid w:val="00986315"/>
    <w:rsid w:val="009911E3"/>
    <w:rsid w:val="00994E42"/>
    <w:rsid w:val="00995178"/>
    <w:rsid w:val="009A1C33"/>
    <w:rsid w:val="009A2439"/>
    <w:rsid w:val="009A2BFF"/>
    <w:rsid w:val="009A6D30"/>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52BF"/>
    <w:rsid w:val="009D6DD3"/>
    <w:rsid w:val="009E3F57"/>
    <w:rsid w:val="009E4F8A"/>
    <w:rsid w:val="009E6771"/>
    <w:rsid w:val="009E67E4"/>
    <w:rsid w:val="009F0511"/>
    <w:rsid w:val="009F1DBD"/>
    <w:rsid w:val="009F22FE"/>
    <w:rsid w:val="009F750B"/>
    <w:rsid w:val="00A00435"/>
    <w:rsid w:val="00A03071"/>
    <w:rsid w:val="00A05B11"/>
    <w:rsid w:val="00A06B7F"/>
    <w:rsid w:val="00A07D9C"/>
    <w:rsid w:val="00A109CC"/>
    <w:rsid w:val="00A13EDB"/>
    <w:rsid w:val="00A14C4D"/>
    <w:rsid w:val="00A15845"/>
    <w:rsid w:val="00A17B52"/>
    <w:rsid w:val="00A2141C"/>
    <w:rsid w:val="00A21B16"/>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286E"/>
    <w:rsid w:val="00A96F13"/>
    <w:rsid w:val="00AA1080"/>
    <w:rsid w:val="00AA16D3"/>
    <w:rsid w:val="00AA18CA"/>
    <w:rsid w:val="00AA3BFA"/>
    <w:rsid w:val="00AA5A0A"/>
    <w:rsid w:val="00AA5E84"/>
    <w:rsid w:val="00AA725C"/>
    <w:rsid w:val="00AB3274"/>
    <w:rsid w:val="00AB7A0E"/>
    <w:rsid w:val="00AC0409"/>
    <w:rsid w:val="00AC0C60"/>
    <w:rsid w:val="00AC15C6"/>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2FCD"/>
    <w:rsid w:val="00B34577"/>
    <w:rsid w:val="00B34E07"/>
    <w:rsid w:val="00B43464"/>
    <w:rsid w:val="00B45223"/>
    <w:rsid w:val="00B45C7D"/>
    <w:rsid w:val="00B461F3"/>
    <w:rsid w:val="00B50C36"/>
    <w:rsid w:val="00B51C5E"/>
    <w:rsid w:val="00B52083"/>
    <w:rsid w:val="00B52525"/>
    <w:rsid w:val="00B52B44"/>
    <w:rsid w:val="00B52D72"/>
    <w:rsid w:val="00B56BAC"/>
    <w:rsid w:val="00B571F4"/>
    <w:rsid w:val="00B64780"/>
    <w:rsid w:val="00B6494B"/>
    <w:rsid w:val="00B65E8E"/>
    <w:rsid w:val="00B67926"/>
    <w:rsid w:val="00B679FA"/>
    <w:rsid w:val="00B72B4C"/>
    <w:rsid w:val="00B75DE1"/>
    <w:rsid w:val="00B76EAC"/>
    <w:rsid w:val="00B81ECA"/>
    <w:rsid w:val="00B838D7"/>
    <w:rsid w:val="00B86A3E"/>
    <w:rsid w:val="00B9113C"/>
    <w:rsid w:val="00B91DE8"/>
    <w:rsid w:val="00B96111"/>
    <w:rsid w:val="00B975ED"/>
    <w:rsid w:val="00B979E2"/>
    <w:rsid w:val="00B97D1F"/>
    <w:rsid w:val="00B97E9D"/>
    <w:rsid w:val="00BA38E0"/>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5539"/>
    <w:rsid w:val="00C25C2B"/>
    <w:rsid w:val="00C34D95"/>
    <w:rsid w:val="00C357EB"/>
    <w:rsid w:val="00C37015"/>
    <w:rsid w:val="00C40072"/>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533B"/>
    <w:rsid w:val="00CB0748"/>
    <w:rsid w:val="00CB18BD"/>
    <w:rsid w:val="00CB232C"/>
    <w:rsid w:val="00CB2D79"/>
    <w:rsid w:val="00CB2E90"/>
    <w:rsid w:val="00CB4405"/>
    <w:rsid w:val="00CB4EF4"/>
    <w:rsid w:val="00CB5BD0"/>
    <w:rsid w:val="00CB63F6"/>
    <w:rsid w:val="00CC042F"/>
    <w:rsid w:val="00CC11D6"/>
    <w:rsid w:val="00CD1AFF"/>
    <w:rsid w:val="00CD2668"/>
    <w:rsid w:val="00CD2FAC"/>
    <w:rsid w:val="00CD495B"/>
    <w:rsid w:val="00CD7C0B"/>
    <w:rsid w:val="00CD7C6C"/>
    <w:rsid w:val="00CE3BDB"/>
    <w:rsid w:val="00CE4305"/>
    <w:rsid w:val="00CE44AB"/>
    <w:rsid w:val="00CE4BC6"/>
    <w:rsid w:val="00CE52BF"/>
    <w:rsid w:val="00CE70DB"/>
    <w:rsid w:val="00CF001E"/>
    <w:rsid w:val="00CF50D5"/>
    <w:rsid w:val="00CF5C9B"/>
    <w:rsid w:val="00CF6662"/>
    <w:rsid w:val="00D01058"/>
    <w:rsid w:val="00D01136"/>
    <w:rsid w:val="00D03474"/>
    <w:rsid w:val="00D03476"/>
    <w:rsid w:val="00D03C0F"/>
    <w:rsid w:val="00D06B71"/>
    <w:rsid w:val="00D105D9"/>
    <w:rsid w:val="00D11FB0"/>
    <w:rsid w:val="00D129B0"/>
    <w:rsid w:val="00D1756F"/>
    <w:rsid w:val="00D21893"/>
    <w:rsid w:val="00D23DB6"/>
    <w:rsid w:val="00D242FC"/>
    <w:rsid w:val="00D26400"/>
    <w:rsid w:val="00D264F9"/>
    <w:rsid w:val="00D35E6A"/>
    <w:rsid w:val="00D361F7"/>
    <w:rsid w:val="00D37A4D"/>
    <w:rsid w:val="00D37BDA"/>
    <w:rsid w:val="00D409F8"/>
    <w:rsid w:val="00D41D8D"/>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3BBB"/>
    <w:rsid w:val="00D9483F"/>
    <w:rsid w:val="00D9612C"/>
    <w:rsid w:val="00DA0DFD"/>
    <w:rsid w:val="00DA26D1"/>
    <w:rsid w:val="00DB18FC"/>
    <w:rsid w:val="00DB2769"/>
    <w:rsid w:val="00DB3FFB"/>
    <w:rsid w:val="00DB4762"/>
    <w:rsid w:val="00DB630A"/>
    <w:rsid w:val="00DB6473"/>
    <w:rsid w:val="00DC4AE1"/>
    <w:rsid w:val="00DC6B38"/>
    <w:rsid w:val="00DC767D"/>
    <w:rsid w:val="00DC7A15"/>
    <w:rsid w:val="00DD0CDD"/>
    <w:rsid w:val="00DD26EA"/>
    <w:rsid w:val="00DD35BB"/>
    <w:rsid w:val="00DD7198"/>
    <w:rsid w:val="00DE3B48"/>
    <w:rsid w:val="00DF0FF1"/>
    <w:rsid w:val="00DF1557"/>
    <w:rsid w:val="00DF7223"/>
    <w:rsid w:val="00DF749E"/>
    <w:rsid w:val="00DF7988"/>
    <w:rsid w:val="00E0112E"/>
    <w:rsid w:val="00E02056"/>
    <w:rsid w:val="00E037D5"/>
    <w:rsid w:val="00E07EB9"/>
    <w:rsid w:val="00E10A87"/>
    <w:rsid w:val="00E114BC"/>
    <w:rsid w:val="00E11D50"/>
    <w:rsid w:val="00E13609"/>
    <w:rsid w:val="00E14B3C"/>
    <w:rsid w:val="00E16067"/>
    <w:rsid w:val="00E17358"/>
    <w:rsid w:val="00E212E3"/>
    <w:rsid w:val="00E227F4"/>
    <w:rsid w:val="00E23903"/>
    <w:rsid w:val="00E2575E"/>
    <w:rsid w:val="00E27DAA"/>
    <w:rsid w:val="00E27FDC"/>
    <w:rsid w:val="00E30E7D"/>
    <w:rsid w:val="00E31BA9"/>
    <w:rsid w:val="00E40872"/>
    <w:rsid w:val="00E41594"/>
    <w:rsid w:val="00E43FB3"/>
    <w:rsid w:val="00E46A08"/>
    <w:rsid w:val="00E56FE8"/>
    <w:rsid w:val="00E57C5E"/>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751"/>
    <w:rsid w:val="00F02CF2"/>
    <w:rsid w:val="00F0385A"/>
    <w:rsid w:val="00F1070F"/>
    <w:rsid w:val="00F14992"/>
    <w:rsid w:val="00F21D20"/>
    <w:rsid w:val="00F22674"/>
    <w:rsid w:val="00F22B78"/>
    <w:rsid w:val="00F244F9"/>
    <w:rsid w:val="00F25220"/>
    <w:rsid w:val="00F25320"/>
    <w:rsid w:val="00F26FA6"/>
    <w:rsid w:val="00F306D7"/>
    <w:rsid w:val="00F308B7"/>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1976"/>
    <w:rsid w:val="00F92C8D"/>
    <w:rsid w:val="00F931AD"/>
    <w:rsid w:val="00F9741A"/>
    <w:rsid w:val="00FA1F53"/>
    <w:rsid w:val="00FA2095"/>
    <w:rsid w:val="00FA244D"/>
    <w:rsid w:val="00FA3FE8"/>
    <w:rsid w:val="00FB1215"/>
    <w:rsid w:val="00FB4CB0"/>
    <w:rsid w:val="00FB6392"/>
    <w:rsid w:val="00FC39BA"/>
    <w:rsid w:val="00FC3DAC"/>
    <w:rsid w:val="00FD1428"/>
    <w:rsid w:val="00FD20C5"/>
    <w:rsid w:val="00FD2761"/>
    <w:rsid w:val="00FD37B5"/>
    <w:rsid w:val="00FD4568"/>
    <w:rsid w:val="00FD5B5E"/>
    <w:rsid w:val="00FD613E"/>
    <w:rsid w:val="00FD6F4D"/>
    <w:rsid w:val="00FE05A0"/>
    <w:rsid w:val="00FE3FCF"/>
    <w:rsid w:val="00FF2E19"/>
    <w:rsid w:val="00FF756F"/>
    <w:rsid w:val="01D6245C"/>
    <w:rsid w:val="03DC31A4"/>
    <w:rsid w:val="07705F21"/>
    <w:rsid w:val="0CC71672"/>
    <w:rsid w:val="0D1576D5"/>
    <w:rsid w:val="0F9C56B0"/>
    <w:rsid w:val="14D8043E"/>
    <w:rsid w:val="18F97167"/>
    <w:rsid w:val="1A7E1788"/>
    <w:rsid w:val="1D990F18"/>
    <w:rsid w:val="250171C9"/>
    <w:rsid w:val="2BE31EF4"/>
    <w:rsid w:val="2E436BE7"/>
    <w:rsid w:val="3B361005"/>
    <w:rsid w:val="3EEA2F2A"/>
    <w:rsid w:val="3FB272EC"/>
    <w:rsid w:val="3FCE7ED1"/>
    <w:rsid w:val="46436C90"/>
    <w:rsid w:val="4D5344EF"/>
    <w:rsid w:val="5489514E"/>
    <w:rsid w:val="598078C5"/>
    <w:rsid w:val="69196036"/>
    <w:rsid w:val="6D7E6831"/>
    <w:rsid w:val="79755659"/>
    <w:rsid w:val="7E77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6"/>
    <w:semiHidden/>
    <w:unhideWhenUsed/>
    <w:qFormat/>
    <w:uiPriority w:val="99"/>
    <w:pPr>
      <w:jc w:val="left"/>
    </w:pPr>
  </w:style>
  <w:style w:type="paragraph" w:styleId="4">
    <w:name w:val="Body Text"/>
    <w:basedOn w:val="1"/>
    <w:next w:val="1"/>
    <w:unhideWhenUsed/>
    <w:qFormat/>
    <w:uiPriority w:val="99"/>
    <w:rPr>
      <w:b/>
      <w:sz w:val="28"/>
    </w:rPr>
  </w:style>
  <w:style w:type="paragraph" w:styleId="5">
    <w:name w:val="Balloon Text"/>
    <w:basedOn w:val="1"/>
    <w:link w:val="38"/>
    <w:semiHidden/>
    <w:unhideWhenUsed/>
    <w:qFormat/>
    <w:uiPriority w:val="99"/>
    <w:rPr>
      <w:sz w:val="18"/>
      <w:szCs w:val="18"/>
    </w:rPr>
  </w:style>
  <w:style w:type="paragraph" w:styleId="6">
    <w:name w:val="footer"/>
    <w:basedOn w:val="1"/>
    <w:link w:val="35"/>
    <w:unhideWhenUsed/>
    <w:qFormat/>
    <w:uiPriority w:val="99"/>
    <w:pPr>
      <w:tabs>
        <w:tab w:val="center" w:pos="4153"/>
        <w:tab w:val="right" w:pos="8306"/>
      </w:tabs>
      <w:snapToGrid w:val="0"/>
      <w:jc w:val="left"/>
    </w:pPr>
    <w:rPr>
      <w:sz w:val="18"/>
      <w:szCs w:val="18"/>
    </w:rPr>
  </w:style>
  <w:style w:type="paragraph" w:styleId="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37"/>
    <w:semiHidden/>
    <w:unhideWhenUsed/>
    <w:qFormat/>
    <w:uiPriority w:val="99"/>
    <w:rPr>
      <w:b/>
      <w:bCs/>
    </w:rPr>
  </w:style>
  <w:style w:type="character" w:styleId="11">
    <w:name w:val="annotation reference"/>
    <w:basedOn w:val="10"/>
    <w:semiHidden/>
    <w:unhideWhenUsed/>
    <w:qFormat/>
    <w:uiPriority w:val="99"/>
    <w:rPr>
      <w:sz w:val="21"/>
      <w:szCs w:val="21"/>
    </w:rPr>
  </w:style>
  <w:style w:type="paragraph" w:customStyle="1" w:styleId="12">
    <w:name w:val="※封面大标题"/>
    <w:basedOn w:val="1"/>
    <w:next w:val="1"/>
    <w:qFormat/>
    <w:uiPriority w:val="0"/>
    <w:pPr>
      <w:widowControl/>
      <w:jc w:val="center"/>
    </w:pPr>
    <w:rPr>
      <w:rFonts w:ascii="华文中宋" w:hAnsi="华文中宋" w:eastAsia="华文中宋"/>
      <w:sz w:val="96"/>
      <w:szCs w:val="96"/>
    </w:rPr>
  </w:style>
  <w:style w:type="paragraph" w:customStyle="1" w:styleId="13">
    <w:name w:val="※封面题颌"/>
    <w:basedOn w:val="1"/>
    <w:next w:val="1"/>
    <w:qFormat/>
    <w:uiPriority w:val="0"/>
    <w:pPr>
      <w:widowControl/>
      <w:jc w:val="center"/>
    </w:pPr>
    <w:rPr>
      <w:rFonts w:ascii="Calibri Light" w:hAnsi="Calibri Light" w:eastAsia="华文仿宋"/>
      <w:sz w:val="36"/>
      <w:szCs w:val="36"/>
    </w:rPr>
  </w:style>
  <w:style w:type="paragraph" w:customStyle="1" w:styleId="14">
    <w:name w:val="※封面题眉"/>
    <w:basedOn w:val="1"/>
    <w:next w:val="12"/>
    <w:qFormat/>
    <w:uiPriority w:val="0"/>
    <w:pPr>
      <w:widowControl/>
      <w:jc w:val="center"/>
    </w:pPr>
    <w:rPr>
      <w:rFonts w:ascii="华文仿宋" w:hAnsi="华文仿宋" w:eastAsia="华文仿宋"/>
      <w:sz w:val="52"/>
      <w:szCs w:val="28"/>
    </w:rPr>
  </w:style>
  <w:style w:type="paragraph" w:customStyle="1" w:styleId="15">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6">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7">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18">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19">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0">
    <w:name w:val="※小标题 一"/>
    <w:basedOn w:val="19"/>
    <w:next w:val="19"/>
    <w:qFormat/>
    <w:uiPriority w:val="0"/>
    <w:pPr>
      <w:spacing w:before="120" w:line="240" w:lineRule="auto"/>
      <w:outlineLvl w:val="2"/>
    </w:pPr>
    <w:rPr>
      <w:b/>
      <w:color w:val="203864" w:themeColor="accent5" w:themeShade="80"/>
      <w:sz w:val="32"/>
    </w:rPr>
  </w:style>
  <w:style w:type="paragraph" w:customStyle="1" w:styleId="21">
    <w:name w:val="※小标题（1）"/>
    <w:basedOn w:val="1"/>
    <w:next w:val="19"/>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2">
    <w:name w:val="※小标题（一）"/>
    <w:basedOn w:val="1"/>
    <w:next w:val="19"/>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3">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24">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25">
    <w:name w:val="※页眉"/>
    <w:basedOn w:val="19"/>
    <w:qFormat/>
    <w:uiPriority w:val="0"/>
    <w:pPr>
      <w:pBdr>
        <w:bottom w:val="single" w:color="auto" w:sz="4" w:space="1"/>
      </w:pBdr>
      <w:spacing w:line="240" w:lineRule="atLeast"/>
      <w:jc w:val="right"/>
    </w:pPr>
    <w:rPr>
      <w:rFonts w:ascii="宋体" w:hAnsi="宋体" w:eastAsia="宋体"/>
      <w:sz w:val="18"/>
    </w:rPr>
  </w:style>
  <w:style w:type="paragraph" w:customStyle="1" w:styleId="26">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7">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28">
    <w:name w:val="※章节标题（第Z部分分项）"/>
    <w:basedOn w:val="27"/>
    <w:qFormat/>
    <w:uiPriority w:val="0"/>
    <w:pPr>
      <w:outlineLvl w:val="2"/>
    </w:pPr>
  </w:style>
  <w:style w:type="paragraph" w:customStyle="1" w:styleId="29">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0">
    <w:name w:val="※正文（缩进2）"/>
    <w:basedOn w:val="19"/>
    <w:qFormat/>
    <w:uiPriority w:val="0"/>
    <w:pPr>
      <w:ind w:firstLine="200" w:firstLineChars="200"/>
    </w:pPr>
  </w:style>
  <w:style w:type="paragraph" w:customStyle="1" w:styleId="31">
    <w:name w:val="※正文（缩进4）"/>
    <w:basedOn w:val="19"/>
    <w:qFormat/>
    <w:uiPriority w:val="0"/>
    <w:pPr>
      <w:ind w:firstLine="400" w:firstLineChars="400"/>
    </w:pPr>
  </w:style>
  <w:style w:type="paragraph" w:customStyle="1" w:styleId="32">
    <w:name w:val="样式"/>
    <w:link w:val="33"/>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33">
    <w:name w:val="样式 Char Char"/>
    <w:link w:val="32"/>
    <w:qFormat/>
    <w:locked/>
    <w:uiPriority w:val="0"/>
    <w:rPr>
      <w:rFonts w:ascii="宋体" w:hAnsi="宋体" w:eastAsia="宋体" w:cs="宋体"/>
      <w:kern w:val="0"/>
      <w:sz w:val="24"/>
      <w:szCs w:val="24"/>
    </w:rPr>
  </w:style>
  <w:style w:type="character" w:customStyle="1" w:styleId="34">
    <w:name w:val="页眉 Char"/>
    <w:basedOn w:val="10"/>
    <w:link w:val="7"/>
    <w:qFormat/>
    <w:uiPriority w:val="99"/>
    <w:rPr>
      <w:rFonts w:ascii="Calibri" w:hAnsi="Calibri" w:eastAsia="宋体" w:cs="Times New Roman"/>
      <w:sz w:val="18"/>
      <w:szCs w:val="18"/>
    </w:rPr>
  </w:style>
  <w:style w:type="character" w:customStyle="1" w:styleId="35">
    <w:name w:val="页脚 Char"/>
    <w:basedOn w:val="10"/>
    <w:link w:val="6"/>
    <w:qFormat/>
    <w:uiPriority w:val="99"/>
    <w:rPr>
      <w:rFonts w:ascii="Calibri" w:hAnsi="Calibri" w:eastAsia="宋体" w:cs="Times New Roman"/>
      <w:sz w:val="18"/>
      <w:szCs w:val="18"/>
    </w:rPr>
  </w:style>
  <w:style w:type="character" w:customStyle="1" w:styleId="36">
    <w:name w:val="批注文字 Char"/>
    <w:basedOn w:val="10"/>
    <w:link w:val="3"/>
    <w:semiHidden/>
    <w:qFormat/>
    <w:uiPriority w:val="99"/>
    <w:rPr>
      <w:rFonts w:ascii="Calibri" w:hAnsi="Calibri" w:eastAsia="宋体" w:cs="Times New Roman"/>
    </w:rPr>
  </w:style>
  <w:style w:type="character" w:customStyle="1" w:styleId="37">
    <w:name w:val="批注主题 Char"/>
    <w:basedOn w:val="36"/>
    <w:link w:val="8"/>
    <w:semiHidden/>
    <w:qFormat/>
    <w:uiPriority w:val="99"/>
    <w:rPr>
      <w:rFonts w:ascii="Calibri" w:hAnsi="Calibri" w:eastAsia="宋体" w:cs="Times New Roman"/>
      <w:b/>
      <w:bCs/>
    </w:rPr>
  </w:style>
  <w:style w:type="character" w:customStyle="1" w:styleId="38">
    <w:name w:val="批注框文本 Char"/>
    <w:basedOn w:val="10"/>
    <w:link w:val="5"/>
    <w:semiHidden/>
    <w:qFormat/>
    <w:uiPriority w:val="99"/>
    <w:rPr>
      <w:rFonts w:ascii="Calibri" w:hAnsi="Calibri" w:eastAsia="宋体" w:cs="Times New Roman"/>
      <w:sz w:val="18"/>
      <w:szCs w:val="18"/>
    </w:rPr>
  </w:style>
  <w:style w:type="paragraph" w:styleId="39">
    <w:name w:val="List Paragraph"/>
    <w:basedOn w:val="1"/>
    <w:qFormat/>
    <w:uiPriority w:val="34"/>
    <w:pPr>
      <w:ind w:firstLine="420" w:firstLineChars="200"/>
    </w:pPr>
    <w:rPr>
      <w:rFonts w:asciiTheme="minorHAnsi" w:hAnsiTheme="minorHAnsi" w:eastAsiaTheme="minorEastAsia" w:cstheme="minorBidi"/>
    </w:rPr>
  </w:style>
  <w:style w:type="table" w:customStyle="1" w:styleId="40">
    <w:name w:val="Grid Table 4 Accent 3"/>
    <w:basedOn w:val="9"/>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1">
    <w:name w:val="Table Normal"/>
    <w:unhideWhenUsed/>
    <w:qFormat/>
    <w:uiPriority w:val="0"/>
    <w:tblPr>
      <w:tblCellMar>
        <w:top w:w="0" w:type="dxa"/>
        <w:left w:w="0" w:type="dxa"/>
        <w:bottom w:w="0" w:type="dxa"/>
        <w:right w:w="0" w:type="dxa"/>
      </w:tblCellMar>
    </w:tblPr>
  </w:style>
  <w:style w:type="character" w:customStyle="1" w:styleId="42">
    <w:name w:val="font31"/>
    <w:basedOn w:val="10"/>
    <w:qFormat/>
    <w:uiPriority w:val="0"/>
    <w:rPr>
      <w:rFonts w:hint="default" w:ascii="Times New Roman" w:hAnsi="Times New Roman" w:cs="Times New Roman"/>
      <w:color w:val="000000"/>
      <w:sz w:val="22"/>
      <w:szCs w:val="22"/>
      <w:u w:val="none"/>
    </w:rPr>
  </w:style>
  <w:style w:type="character" w:customStyle="1" w:styleId="43">
    <w:name w:val="font41"/>
    <w:basedOn w:val="10"/>
    <w:qFormat/>
    <w:uiPriority w:val="0"/>
    <w:rPr>
      <w:rFonts w:hint="default" w:ascii="Times New Roman" w:hAnsi="Times New Roman" w:cs="Times New Roman"/>
      <w:color w:val="000000"/>
      <w:sz w:val="22"/>
      <w:szCs w:val="22"/>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5750</Words>
  <Characters>6494</Characters>
  <Lines>22</Lines>
  <Paragraphs>6</Paragraphs>
  <TotalTime>0</TotalTime>
  <ScaleCrop>false</ScaleCrop>
  <LinksUpToDate>false</LinksUpToDate>
  <CharactersWithSpaces>6609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2021-03-19T00:37:00Z</dcterms:created>
  <dc:creator>lenovo</dc:creator>
  <cp:lastModifiedBy>人间不染</cp:lastModifiedBy>
  <cp:lastPrinted>2022-11-10T11:05:00Z</cp:lastPrinted>
  <dcterms:modified xsi:type="dcterms:W3CDTF">2022-12-05T04:07:29Z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794DC132FEDC4159B8D3B26BFF03672F</vt:lpwstr>
  </property>
</Properties>
</file>