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竞争性磋商内容及服务要求</w:t>
      </w:r>
    </w:p>
    <w:p>
      <w:pPr>
        <w:pStyle w:val="2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  <w:t>磋商范围为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西安市长安区2023年-2024年绿化养护服务项目（第十八包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至第二十二包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街景布置配套的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  <w:t>监理服务工作。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GEzMWViYjBjZDg0ZGI4M2JkODJiYWY3ZDk3MjQifQ=="/>
  </w:docVars>
  <w:rsids>
    <w:rsidRoot w:val="0F021ABD"/>
    <w:rsid w:val="0F02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2022-12-07T08:48:00Z</dcterms:created>
  <dc:creator>清風</dc:creator>
  <cp:lastModifiedBy>清風</cp:lastModifiedBy>
  <dcterms:modified xsi:type="dcterms:W3CDTF">2022-12-07T08:49:01Z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915E956557E7412781B187803909838C</vt:lpwstr>
  </property>
</Properties>
</file>