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sz w:val="28"/>
          <w:lang w:val="en-US" w:eastAsia="zh-CN"/>
        </w:rPr>
      </w:pPr>
      <w:r>
        <w:rPr>
          <w:rFonts w:hint="eastAsia" w:ascii="宋体" w:hAnsi="宋体" w:cs="宋体"/>
          <w:b/>
          <w:sz w:val="28"/>
        </w:rPr>
        <w:t>采购项目编号：</w:t>
      </w:r>
      <w:r>
        <w:rPr>
          <w:rFonts w:hint="eastAsia" w:ascii="宋体" w:hAnsi="宋体" w:cs="宋体"/>
          <w:b/>
          <w:sz w:val="28"/>
          <w:lang w:eastAsia="zh-CN"/>
        </w:rPr>
        <w:t>SXDC202</w:t>
      </w:r>
      <w:r>
        <w:rPr>
          <w:rFonts w:hint="eastAsia" w:ascii="宋体" w:hAnsi="宋体" w:cs="宋体"/>
          <w:b/>
          <w:sz w:val="28"/>
          <w:lang w:val="en-US" w:eastAsia="zh-CN"/>
        </w:rPr>
        <w:t>2</w:t>
      </w:r>
      <w:r>
        <w:rPr>
          <w:rFonts w:hint="eastAsia" w:ascii="宋体" w:hAnsi="宋体" w:cs="宋体"/>
          <w:b/>
          <w:sz w:val="28"/>
          <w:lang w:eastAsia="zh-CN"/>
        </w:rPr>
        <w:t>-ZB-</w:t>
      </w:r>
      <w:r>
        <w:rPr>
          <w:rFonts w:hint="eastAsia" w:ascii="宋体" w:hAnsi="宋体" w:cs="宋体"/>
          <w:b/>
          <w:sz w:val="28"/>
          <w:lang w:val="en-US" w:eastAsia="zh-CN"/>
        </w:rPr>
        <w:t>27</w:t>
      </w:r>
    </w:p>
    <w:p>
      <w:pPr>
        <w:pStyle w:val="2"/>
        <w:ind w:left="0" w:leftChars="0" w:firstLine="0" w:firstLineChars="0"/>
        <w:rPr>
          <w:rFonts w:ascii="宋体" w:hAnsi="宋体" w:cs="宋体"/>
          <w:bCs/>
          <w:spacing w:val="20"/>
          <w:sz w:val="72"/>
          <w:szCs w:val="72"/>
        </w:rPr>
      </w:pPr>
    </w:p>
    <w:p>
      <w:pPr>
        <w:spacing w:line="1000" w:lineRule="exact"/>
        <w:jc w:val="center"/>
        <w:rPr>
          <w:rFonts w:hint="eastAsia" w:ascii="宋体" w:hAnsi="宋体" w:cs="宋体"/>
          <w:b/>
          <w:bCs/>
          <w:spacing w:val="20"/>
          <w:kern w:val="0"/>
          <w:sz w:val="56"/>
          <w:szCs w:val="56"/>
        </w:rPr>
      </w:pPr>
      <w:bookmarkStart w:id="0" w:name="_Toc6752"/>
      <w:r>
        <w:rPr>
          <w:rFonts w:hint="eastAsia" w:ascii="宋体" w:hAnsi="宋体" w:cs="宋体"/>
          <w:b/>
          <w:color w:val="auto"/>
          <w:sz w:val="48"/>
          <w:szCs w:val="48"/>
          <w:lang w:val="en-US" w:eastAsia="zh-CN"/>
        </w:rPr>
        <w:t>西安市高陵区船张观澜小学校园文化项目</w:t>
      </w:r>
    </w:p>
    <w:p>
      <w:pPr>
        <w:spacing w:line="1000" w:lineRule="exact"/>
        <w:jc w:val="both"/>
        <w:rPr>
          <w:rFonts w:hint="eastAsia" w:ascii="宋体" w:hAnsi="宋体" w:cs="宋体"/>
          <w:b/>
          <w:bCs/>
          <w:spacing w:val="20"/>
          <w:kern w:val="0"/>
          <w:sz w:val="56"/>
          <w:szCs w:val="56"/>
        </w:rPr>
      </w:pPr>
    </w:p>
    <w:p>
      <w:pPr>
        <w:spacing w:line="1000" w:lineRule="exact"/>
        <w:jc w:val="center"/>
        <w:rPr>
          <w:rFonts w:ascii="宋体" w:hAnsi="宋体" w:cs="宋体"/>
          <w:sz w:val="20"/>
          <w:szCs w:val="20"/>
        </w:rPr>
      </w:pPr>
      <w:r>
        <w:rPr>
          <w:rFonts w:hint="eastAsia" w:ascii="宋体" w:hAnsi="宋体" w:cs="宋体"/>
          <w:b/>
          <w:bCs/>
          <w:spacing w:val="20"/>
          <w:kern w:val="0"/>
          <w:sz w:val="56"/>
          <w:szCs w:val="56"/>
        </w:rPr>
        <w:t>竞争性磋商文件</w:t>
      </w:r>
      <w:bookmarkEnd w:id="0"/>
    </w:p>
    <w:p>
      <w:pPr>
        <w:spacing w:line="220" w:lineRule="atLeast"/>
        <w:rPr>
          <w:rFonts w:ascii="宋体" w:hAnsi="宋体" w:cs="宋体"/>
          <w:szCs w:val="21"/>
        </w:rPr>
      </w:pPr>
      <w:r>
        <w:rPr>
          <w:rFonts w:hint="eastAsia" w:ascii="仿宋_GB2312" w:hAnsi="Adobe 仿宋 Std R"/>
          <w:color w:val="000000"/>
        </w:rPr>
        <w:drawing>
          <wp:anchor distT="0" distB="0" distL="114300" distR="114300" simplePos="0" relativeHeight="251660288" behindDoc="0" locked="0" layoutInCell="1" allowOverlap="1">
            <wp:simplePos x="0" y="0"/>
            <wp:positionH relativeFrom="column">
              <wp:posOffset>1483360</wp:posOffset>
            </wp:positionH>
            <wp:positionV relativeFrom="paragraph">
              <wp:posOffset>134620</wp:posOffset>
            </wp:positionV>
            <wp:extent cx="3107055" cy="3230245"/>
            <wp:effectExtent l="0" t="0" r="17145" b="8255"/>
            <wp:wrapSquare wrapText="bothSides"/>
            <wp:docPr id="20" name="图片 2" descr="a2313229c71d71211533fb2afd26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a2313229c71d71211533fb2afd26fe7"/>
                    <pic:cNvPicPr>
                      <a:picLocks noChangeAspect="1"/>
                    </pic:cNvPicPr>
                  </pic:nvPicPr>
                  <pic:blipFill>
                    <a:blip r:embed="rId15"/>
                    <a:stretch>
                      <a:fillRect/>
                    </a:stretch>
                  </pic:blipFill>
                  <pic:spPr>
                    <a:xfrm>
                      <a:off x="0" y="0"/>
                      <a:ext cx="3107055" cy="3230245"/>
                    </a:xfrm>
                    <a:prstGeom prst="rect">
                      <a:avLst/>
                    </a:prstGeom>
                    <a:noFill/>
                    <a:ln>
                      <a:noFill/>
                    </a:ln>
                  </pic:spPr>
                </pic:pic>
              </a:graphicData>
            </a:graphic>
          </wp:anchor>
        </w:drawing>
      </w:r>
    </w:p>
    <w:p>
      <w:pPr>
        <w:pStyle w:val="2"/>
        <w:ind w:firstLine="210"/>
        <w:rPr>
          <w:rFonts w:ascii="宋体" w:hAnsi="宋体" w:cs="宋体"/>
        </w:rPr>
      </w:pPr>
    </w:p>
    <w:p>
      <w:pPr>
        <w:pStyle w:val="4"/>
      </w:pPr>
    </w:p>
    <w:p>
      <w:pPr>
        <w:pStyle w:val="2"/>
        <w:ind w:firstLine="723"/>
        <w:rPr>
          <w:rFonts w:ascii="宋体" w:hAnsi="宋体" w:cs="宋体"/>
        </w:rPr>
      </w:pPr>
    </w:p>
    <w:p>
      <w:pPr>
        <w:spacing w:line="220" w:lineRule="atLeast"/>
        <w:rPr>
          <w:rFonts w:ascii="宋体" w:hAnsi="宋体" w:cs="宋体"/>
          <w:szCs w:val="21"/>
        </w:rPr>
      </w:pPr>
    </w:p>
    <w:p>
      <w:pPr>
        <w:spacing w:line="220" w:lineRule="atLeast"/>
        <w:rPr>
          <w:rFonts w:ascii="宋体" w:hAnsi="宋体" w:cs="宋体"/>
          <w:szCs w:val="21"/>
        </w:rPr>
      </w:pPr>
    </w:p>
    <w:p>
      <w:pPr>
        <w:spacing w:line="220" w:lineRule="atLeast"/>
        <w:rPr>
          <w:rFonts w:ascii="宋体" w:hAnsi="宋体" w:cs="宋体"/>
          <w:szCs w:val="21"/>
        </w:rPr>
      </w:pPr>
    </w:p>
    <w:p>
      <w:pPr>
        <w:spacing w:line="220" w:lineRule="atLeast"/>
        <w:rPr>
          <w:rFonts w:ascii="宋体" w:hAnsi="宋体" w:cs="宋体"/>
          <w:szCs w:val="21"/>
        </w:rPr>
      </w:pPr>
    </w:p>
    <w:p>
      <w:pPr>
        <w:spacing w:line="220" w:lineRule="atLeast"/>
        <w:rPr>
          <w:rFonts w:ascii="宋体" w:hAnsi="宋体" w:cs="宋体"/>
          <w:szCs w:val="21"/>
        </w:rPr>
      </w:pPr>
    </w:p>
    <w:p>
      <w:pPr>
        <w:spacing w:line="220" w:lineRule="atLeast"/>
        <w:rPr>
          <w:rFonts w:ascii="宋体" w:hAnsi="宋体" w:cs="宋体"/>
          <w:szCs w:val="21"/>
        </w:rPr>
      </w:pPr>
    </w:p>
    <w:p>
      <w:pPr>
        <w:spacing w:line="220" w:lineRule="atLeast"/>
        <w:rPr>
          <w:rFonts w:ascii="宋体" w:hAnsi="宋体" w:cs="宋体"/>
          <w:szCs w:val="21"/>
        </w:rPr>
      </w:pPr>
    </w:p>
    <w:p>
      <w:pPr>
        <w:pStyle w:val="2"/>
        <w:ind w:firstLine="0"/>
        <w:rPr>
          <w:rFonts w:ascii="宋体" w:hAnsi="宋体" w:cs="宋体"/>
        </w:rPr>
      </w:pPr>
    </w:p>
    <w:p>
      <w:pPr>
        <w:pStyle w:val="2"/>
        <w:ind w:firstLine="0"/>
        <w:rPr>
          <w:rFonts w:ascii="宋体" w:hAnsi="宋体" w:cs="宋体"/>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ind w:firstLine="2891" w:firstLineChars="900"/>
        <w:jc w:val="both"/>
        <w:rPr>
          <w:rFonts w:hint="eastAsia" w:ascii="宋体" w:hAnsi="宋体" w:cs="宋体"/>
          <w:b/>
          <w:sz w:val="32"/>
          <w:szCs w:val="32"/>
        </w:rPr>
      </w:pPr>
    </w:p>
    <w:p>
      <w:pPr>
        <w:spacing w:line="360" w:lineRule="auto"/>
        <w:ind w:firstLine="2891" w:firstLineChars="900"/>
        <w:jc w:val="both"/>
        <w:rPr>
          <w:rFonts w:ascii="宋体" w:hAnsi="宋体" w:cs="宋体"/>
          <w:b/>
          <w:sz w:val="32"/>
          <w:szCs w:val="32"/>
        </w:rPr>
      </w:pPr>
      <w:r>
        <w:rPr>
          <w:rFonts w:hint="eastAsia" w:ascii="宋体" w:hAnsi="宋体" w:cs="宋体"/>
          <w:b/>
          <w:sz w:val="32"/>
          <w:szCs w:val="32"/>
        </w:rPr>
        <w:t>陕西迪诚项目管理有限公司</w:t>
      </w:r>
    </w:p>
    <w:p>
      <w:pPr>
        <w:spacing w:line="360" w:lineRule="auto"/>
        <w:ind w:firstLine="3534" w:firstLineChars="1100"/>
        <w:jc w:val="both"/>
        <w:rPr>
          <w:rFonts w:ascii="宋体" w:hAnsi="宋体" w:cs="宋体"/>
          <w:b/>
          <w:bCs/>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二</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spacing w:line="276" w:lineRule="auto"/>
        <w:jc w:val="center"/>
        <w:rPr>
          <w:rFonts w:ascii="宋体" w:hAnsi="宋体" w:cs="宋体"/>
          <w:b/>
          <w:bCs/>
          <w:color w:val="000000"/>
          <w:sz w:val="38"/>
          <w:szCs w:val="36"/>
          <w:lang w:val="zh-CN"/>
        </w:rPr>
        <w:sectPr>
          <w:headerReference r:id="rId3" w:type="first"/>
          <w:footerReference r:id="rId5" w:type="first"/>
          <w:footerReference r:id="rId4" w:type="default"/>
          <w:pgSz w:w="11907" w:h="16840"/>
          <w:pgMar w:top="1440" w:right="1080" w:bottom="1440" w:left="1080" w:header="907" w:footer="2413" w:gutter="0"/>
          <w:pgBorders>
            <w:top w:val="none" w:sz="0" w:space="0"/>
            <w:left w:val="none" w:sz="0" w:space="0"/>
            <w:bottom w:val="none" w:sz="0" w:space="0"/>
            <w:right w:val="none" w:sz="0" w:space="0"/>
          </w:pgBorders>
          <w:pgNumType w:start="1"/>
          <w:cols w:space="720" w:num="1"/>
          <w:rtlGutter w:val="1"/>
          <w:docGrid w:linePitch="326" w:charSpace="0"/>
        </w:sectPr>
      </w:pPr>
    </w:p>
    <w:p>
      <w:pPr>
        <w:spacing w:line="276" w:lineRule="auto"/>
        <w:jc w:val="center"/>
        <w:rPr>
          <w:rFonts w:ascii="宋体" w:hAnsi="宋体" w:cs="宋体"/>
          <w:b/>
          <w:bCs/>
          <w:color w:val="000000"/>
          <w:sz w:val="38"/>
          <w:szCs w:val="36"/>
          <w:lang w:val="zh-CN"/>
        </w:rPr>
      </w:pPr>
      <w:r>
        <w:rPr>
          <w:rFonts w:hint="eastAsia" w:ascii="宋体" w:hAnsi="宋体" w:cs="宋体"/>
          <w:b/>
          <w:bCs/>
          <w:color w:val="000000"/>
          <w:sz w:val="38"/>
          <w:szCs w:val="36"/>
          <w:lang w:val="zh-CN"/>
        </w:rPr>
        <w:t>温馨提示</w:t>
      </w:r>
    </w:p>
    <w:p>
      <w:pPr>
        <w:pStyle w:val="2"/>
        <w:ind w:firstLine="210"/>
        <w:rPr>
          <w:lang w:val="zh-CN"/>
        </w:rPr>
      </w:pPr>
    </w:p>
    <w:p>
      <w:pPr>
        <w:spacing w:line="360" w:lineRule="auto"/>
        <w:ind w:firstLine="560" w:firstLineChars="200"/>
        <w:rPr>
          <w:rFonts w:ascii="宋体" w:hAnsi="宋体" w:cs="宋体"/>
          <w:bCs/>
          <w:color w:val="000000"/>
          <w:sz w:val="28"/>
          <w:szCs w:val="28"/>
          <w:lang w:val="zh-CN"/>
        </w:rPr>
      </w:pPr>
      <w:r>
        <w:rPr>
          <w:rFonts w:hint="eastAsia" w:ascii="宋体" w:hAnsi="宋体" w:cs="宋体"/>
          <w:bCs/>
          <w:color w:val="000000"/>
          <w:sz w:val="28"/>
          <w:szCs w:val="28"/>
          <w:lang w:val="zh-CN"/>
        </w:rPr>
        <w:t>购买磋商文件后，请仔细阅读，特别注意粗体部分，如有疑问，请来电咨询。</w:t>
      </w:r>
    </w:p>
    <w:p>
      <w:pPr>
        <w:spacing w:line="360" w:lineRule="auto"/>
        <w:ind w:firstLine="565" w:firstLineChars="202"/>
        <w:rPr>
          <w:rFonts w:ascii="宋体" w:hAnsi="宋体" w:cs="宋体"/>
          <w:bCs/>
          <w:color w:val="000000"/>
          <w:sz w:val="28"/>
          <w:szCs w:val="28"/>
        </w:rPr>
      </w:pPr>
      <w:r>
        <w:rPr>
          <w:rFonts w:hint="eastAsia" w:ascii="宋体" w:hAnsi="宋体" w:cs="宋体"/>
          <w:bCs/>
          <w:color w:val="000000"/>
          <w:sz w:val="28"/>
          <w:szCs w:val="28"/>
          <w:lang w:val="zh-CN"/>
        </w:rPr>
        <w:t>招标代理部电话：</w:t>
      </w:r>
      <w:r>
        <w:rPr>
          <w:rFonts w:hint="eastAsia" w:ascii="宋体" w:hAnsi="宋体" w:cs="宋体"/>
          <w:bCs/>
          <w:color w:val="000000"/>
          <w:sz w:val="28"/>
          <w:szCs w:val="28"/>
        </w:rPr>
        <w:t>15702935667</w:t>
      </w:r>
    </w:p>
    <w:p>
      <w:pPr>
        <w:pStyle w:val="2"/>
        <w:ind w:firstLine="210"/>
        <w:rPr>
          <w:lang w:val="zh-CN"/>
        </w:rPr>
      </w:pP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7" w:hRule="atLeast"/>
          <w:jc w:val="center"/>
        </w:trPr>
        <w:tc>
          <w:tcPr>
            <w:tcW w:w="9693" w:type="dxa"/>
          </w:tcPr>
          <w:p>
            <w:pPr>
              <w:spacing w:line="360" w:lineRule="auto"/>
              <w:ind w:firstLine="562" w:firstLineChars="200"/>
              <w:rPr>
                <w:rFonts w:ascii="宋体" w:hAnsi="宋体" w:cs="宋体"/>
                <w:b/>
                <w:bCs/>
                <w:color w:val="000000"/>
                <w:sz w:val="28"/>
                <w:szCs w:val="28"/>
                <w:lang w:val="zh-CN"/>
              </w:rPr>
            </w:pPr>
            <w:r>
              <w:rPr>
                <w:rFonts w:hint="eastAsia" w:ascii="宋体" w:hAnsi="宋体" w:cs="宋体"/>
                <w:b/>
                <w:bCs/>
                <w:color w:val="000000"/>
                <w:sz w:val="28"/>
                <w:szCs w:val="28"/>
                <w:lang w:val="zh-CN"/>
              </w:rPr>
              <w:t>请将代理服务费汇至下列指定账户：</w:t>
            </w:r>
          </w:p>
          <w:p>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开户名称：陕西迪诚项目管理有限公司</w:t>
            </w:r>
          </w:p>
          <w:p>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开户银行：中国建设银行股份有限公司西安世融嘉城支行</w:t>
            </w:r>
          </w:p>
          <w:p>
            <w:pPr>
              <w:pStyle w:val="14"/>
              <w:adjustRightInd w:val="0"/>
              <w:snapToGrid w:val="0"/>
              <w:spacing w:line="360" w:lineRule="auto"/>
              <w:ind w:firstLine="562" w:firstLineChars="200"/>
              <w:rPr>
                <w:rFonts w:hAnsi="宋体" w:cs="宋体"/>
                <w:sz w:val="28"/>
                <w:szCs w:val="28"/>
              </w:rPr>
            </w:pPr>
            <w:r>
              <w:rPr>
                <w:rFonts w:hint="eastAsia" w:hAnsi="宋体" w:cs="宋体"/>
                <w:b/>
                <w:bCs/>
                <w:sz w:val="28"/>
                <w:szCs w:val="28"/>
              </w:rPr>
              <w:t>账 号：61050175540000000417</w:t>
            </w:r>
            <w:r>
              <w:rPr>
                <w:rFonts w:hint="eastAsia" w:hAnsi="宋体" w:cs="宋体"/>
                <w:sz w:val="28"/>
                <w:szCs w:val="28"/>
              </w:rPr>
              <w:t xml:space="preserve"> </w:t>
            </w:r>
          </w:p>
          <w:p>
            <w:pPr>
              <w:pStyle w:val="14"/>
              <w:adjustRightInd w:val="0"/>
              <w:snapToGrid w:val="0"/>
              <w:spacing w:line="360" w:lineRule="auto"/>
              <w:ind w:firstLine="562" w:firstLineChars="200"/>
              <w:rPr>
                <w:rFonts w:hAnsi="宋体" w:cs="宋体"/>
                <w:b/>
                <w:bCs/>
                <w:color w:val="000000"/>
                <w:sz w:val="28"/>
                <w:szCs w:val="28"/>
                <w:lang w:val="zh-CN"/>
              </w:rPr>
            </w:pPr>
            <w:r>
              <w:rPr>
                <w:rFonts w:hint="eastAsia" w:hAnsi="宋体" w:cs="宋体"/>
                <w:b/>
                <w:bCs/>
                <w:color w:val="000000"/>
                <w:sz w:val="28"/>
                <w:szCs w:val="28"/>
                <w:lang w:val="zh-CN"/>
              </w:rPr>
              <w:t>汇款备注：</w:t>
            </w:r>
            <w:r>
              <w:rPr>
                <w:rFonts w:hint="eastAsia" w:hAnsi="宋体" w:cs="宋体"/>
                <w:b/>
                <w:bCs/>
                <w:color w:val="000000"/>
                <w:sz w:val="28"/>
                <w:szCs w:val="28"/>
                <w:lang w:val="zh-CN" w:eastAsia="zh-CN"/>
              </w:rPr>
              <w:t>西安市高陵区船张观澜小学校园文化项目</w:t>
            </w:r>
            <w:r>
              <w:rPr>
                <w:rFonts w:hint="eastAsia" w:hAnsi="宋体" w:cs="宋体"/>
                <w:b/>
                <w:bCs/>
                <w:color w:val="000000"/>
                <w:sz w:val="28"/>
                <w:szCs w:val="28"/>
              </w:rPr>
              <w:t>（可简写）</w:t>
            </w:r>
          </w:p>
        </w:tc>
      </w:tr>
    </w:tbl>
    <w:p>
      <w:pPr>
        <w:jc w:val="center"/>
        <w:rPr>
          <w:rFonts w:ascii="宋体" w:hAnsi="宋体" w:cs="宋体"/>
          <w:b/>
          <w:sz w:val="36"/>
          <w:szCs w:val="36"/>
        </w:rPr>
      </w:pPr>
    </w:p>
    <w:p>
      <w:pPr>
        <w:jc w:val="center"/>
        <w:rPr>
          <w:rFonts w:ascii="宋体" w:hAnsi="宋体" w:cs="宋体"/>
          <w:b/>
          <w:sz w:val="36"/>
          <w:szCs w:val="36"/>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pStyle w:val="3"/>
        <w:rPr>
          <w:rFonts w:ascii="宋体" w:hAnsi="宋体" w:cs="宋体"/>
          <w:b w:val="0"/>
          <w:sz w:val="44"/>
          <w:szCs w:val="44"/>
        </w:rPr>
      </w:pPr>
    </w:p>
    <w:p>
      <w:pPr>
        <w:spacing w:after="166" w:afterLines="50"/>
        <w:jc w:val="center"/>
        <w:rPr>
          <w:rFonts w:hint="eastAsia" w:ascii="宋体" w:hAnsi="宋体" w:eastAsia="宋体" w:cs="宋体"/>
          <w:b/>
          <w:bCs/>
          <w:color w:val="000000" w:themeColor="text1"/>
          <w:sz w:val="36"/>
          <w:szCs w:val="36"/>
          <w14:textFill>
            <w14:solidFill>
              <w14:schemeClr w14:val="tx1"/>
            </w14:solidFill>
          </w14:textFill>
        </w:rPr>
      </w:pPr>
    </w:p>
    <w:p>
      <w:pPr>
        <w:spacing w:after="166" w:afterLines="50"/>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特别提示</w:t>
      </w:r>
    </w:p>
    <w:p>
      <w:pPr>
        <w:spacing w:line="48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各供应商，在此我们特别提醒您注意以下事项：</w:t>
      </w:r>
    </w:p>
    <w:p>
      <w:pPr>
        <w:spacing w:line="48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一、有关</w:t>
      </w:r>
      <w:r>
        <w:rPr>
          <w:rFonts w:hint="eastAsia" w:ascii="宋体" w:hAnsi="宋体" w:eastAsia="宋体" w:cs="宋体"/>
          <w:b/>
          <w:bCs/>
          <w:color w:val="000000" w:themeColor="text1"/>
          <w:sz w:val="22"/>
          <w:szCs w:val="22"/>
          <w:lang w:eastAsia="zh-CN"/>
          <w14:textFill>
            <w14:solidFill>
              <w14:schemeClr w14:val="tx1"/>
            </w14:solidFill>
          </w14:textFill>
        </w:rPr>
        <w:t>磋商文件</w:t>
      </w:r>
      <w:r>
        <w:rPr>
          <w:rFonts w:hint="eastAsia" w:ascii="宋体" w:hAnsi="宋体" w:eastAsia="宋体" w:cs="宋体"/>
          <w:b/>
          <w:bCs/>
          <w:color w:val="000000" w:themeColor="text1"/>
          <w:sz w:val="22"/>
          <w:szCs w:val="22"/>
          <w14:textFill>
            <w14:solidFill>
              <w14:schemeClr w14:val="tx1"/>
            </w14:solidFill>
          </w14:textFill>
        </w:rPr>
        <w:t>：</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1、请仔细阅读</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并正确理解</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中各项具体要求。如对</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有疑问，请在</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规定的时间内以书面形式提出，逾期将被拒绝受理。</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2、请严格按照</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载明的</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的格式要求编制</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须胶装成册。</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3、请仔细核对</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是否已按照</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的要求签字、签章和加盖单位公章，实质性条款是否满足</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要求，</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中所附资格证明等资料是否齐全、有效且是否满足</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要求。</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4、请按照</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要求密封</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，并正确标记。</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提示：</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若不满足以上条件将有被否决的风险。</w:t>
      </w:r>
    </w:p>
    <w:p>
      <w:pPr>
        <w:spacing w:line="48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二、有关谈判：</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1、除</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要求递交的文件和资料外，请随身携带</w:t>
      </w:r>
      <w:r>
        <w:rPr>
          <w:rFonts w:hint="eastAsia" w:ascii="宋体" w:hAnsi="宋体" w:eastAsia="宋体" w:cs="宋体"/>
          <w:color w:val="000000" w:themeColor="text1"/>
          <w:sz w:val="22"/>
          <w:szCs w:val="22"/>
          <w:lang w:eastAsia="zh-CN"/>
          <w14:textFill>
            <w14:solidFill>
              <w14:schemeClr w14:val="tx1"/>
            </w14:solidFill>
          </w14:textFill>
        </w:rPr>
        <w:t>磋商文件</w:t>
      </w:r>
      <w:r>
        <w:rPr>
          <w:rFonts w:hint="eastAsia" w:ascii="宋体" w:hAnsi="宋体" w:eastAsia="宋体" w:cs="宋体"/>
          <w:color w:val="000000" w:themeColor="text1"/>
          <w:sz w:val="22"/>
          <w:szCs w:val="22"/>
          <w14:textFill>
            <w14:solidFill>
              <w14:schemeClr w14:val="tx1"/>
            </w14:solidFill>
          </w14:textFill>
        </w:rPr>
        <w:t>要求提供的其他备查文件原件。</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2、请务必考虑天气情况、交通情况以及您对开标地址的路线熟悉等情况于</w:t>
      </w:r>
      <w:r>
        <w:rPr>
          <w:rFonts w:hint="eastAsia" w:ascii="宋体" w:hAnsi="宋体" w:eastAsia="宋体" w:cs="宋体"/>
          <w:color w:val="000000" w:themeColor="text1"/>
          <w:sz w:val="22"/>
          <w:szCs w:val="22"/>
          <w:lang w:val="en-US" w:eastAsia="zh-CN"/>
          <w14:textFill>
            <w14:solidFill>
              <w14:schemeClr w14:val="tx1"/>
            </w14:solidFill>
          </w14:textFill>
        </w:rPr>
        <w:t>磋商</w:t>
      </w:r>
      <w:r>
        <w:rPr>
          <w:rFonts w:hint="eastAsia" w:ascii="宋体" w:hAnsi="宋体" w:eastAsia="宋体" w:cs="宋体"/>
          <w:color w:val="000000" w:themeColor="text1"/>
          <w:sz w:val="22"/>
          <w:szCs w:val="22"/>
          <w14:textFill>
            <w14:solidFill>
              <w14:schemeClr w14:val="tx1"/>
            </w14:solidFill>
          </w14:textFill>
        </w:rPr>
        <w:t>公告规定的时间和地点递交</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逾期到达，将被拒绝接收。</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3、请到达文件递交地点后及时到</w:t>
      </w:r>
      <w:r>
        <w:rPr>
          <w:rFonts w:hint="eastAsia" w:ascii="宋体" w:hAnsi="宋体" w:eastAsia="宋体" w:cs="宋体"/>
          <w:color w:val="000000" w:themeColor="text1"/>
          <w:sz w:val="22"/>
          <w:szCs w:val="22"/>
          <w:lang w:eastAsia="zh-CN"/>
          <w14:textFill>
            <w14:solidFill>
              <w14:schemeClr w14:val="tx1"/>
            </w14:solidFill>
          </w14:textFill>
        </w:rPr>
        <w:t>磋商响应文件</w:t>
      </w:r>
      <w:r>
        <w:rPr>
          <w:rFonts w:hint="eastAsia" w:ascii="宋体" w:hAnsi="宋体" w:eastAsia="宋体" w:cs="宋体"/>
          <w:color w:val="000000" w:themeColor="text1"/>
          <w:sz w:val="22"/>
          <w:szCs w:val="22"/>
          <w14:textFill>
            <w14:solidFill>
              <w14:schemeClr w14:val="tx1"/>
            </w14:solidFill>
          </w14:textFill>
        </w:rPr>
        <w:t>接收处签字登记。</w:t>
      </w:r>
    </w:p>
    <w:p>
      <w:pPr>
        <w:spacing w:line="48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三、关于弃标的说明</w:t>
      </w:r>
    </w:p>
    <w:p>
      <w:pPr>
        <w:spacing w:line="480" w:lineRule="exact"/>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若因为一些特殊原因不能参加本次</w:t>
      </w:r>
      <w:r>
        <w:rPr>
          <w:rFonts w:hint="eastAsia" w:ascii="宋体" w:hAnsi="宋体" w:eastAsia="宋体" w:cs="宋体"/>
          <w:color w:val="000000" w:themeColor="text1"/>
          <w:sz w:val="22"/>
          <w:szCs w:val="22"/>
          <w:lang w:val="en-US" w:eastAsia="zh-CN"/>
          <w14:textFill>
            <w14:solidFill>
              <w14:schemeClr w14:val="tx1"/>
            </w14:solidFill>
          </w14:textFill>
        </w:rPr>
        <w:t>磋商</w:t>
      </w:r>
      <w:r>
        <w:rPr>
          <w:rFonts w:hint="eastAsia" w:ascii="宋体" w:hAnsi="宋体" w:eastAsia="宋体" w:cs="宋体"/>
          <w:color w:val="000000" w:themeColor="text1"/>
          <w:sz w:val="22"/>
          <w:szCs w:val="22"/>
          <w14:textFill>
            <w14:solidFill>
              <w14:schemeClr w14:val="tx1"/>
            </w14:solidFill>
          </w14:textFill>
        </w:rPr>
        <w:t>活动的，请务必以书面形式告知我们，以便我们正常开展后期工作，同时也避免再次打扰您，感谢您的配合。</w:t>
      </w:r>
    </w:p>
    <w:p>
      <w:pPr>
        <w:spacing w:line="500" w:lineRule="exact"/>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四、关于供应商注册登记提醒：</w:t>
      </w:r>
    </w:p>
    <w:p>
      <w:pPr>
        <w:spacing w:line="480" w:lineRule="exact"/>
        <w:ind w:firstLine="442" w:firstLineChars="200"/>
        <w:rPr>
          <w:rFonts w:hint="eastAsia" w:ascii="宋体" w:hAnsi="宋体" w:eastAsia="宋体" w:cs="宋体"/>
          <w:b/>
          <w:sz w:val="44"/>
          <w:szCs w:val="44"/>
        </w:rPr>
        <w:sectPr>
          <w:headerReference r:id="rId7" w:type="first"/>
          <w:footerReference r:id="rId8" w:type="first"/>
          <w:headerReference r:id="rId6" w:type="default"/>
          <w:pgSz w:w="11906" w:h="16838"/>
          <w:pgMar w:top="1417" w:right="1134" w:bottom="1417" w:left="1417" w:header="1134" w:footer="992" w:gutter="0"/>
          <w:pgBorders>
            <w:top w:val="none" w:sz="0" w:space="0"/>
            <w:left w:val="none" w:sz="0" w:space="0"/>
            <w:bottom w:val="none" w:sz="0" w:space="0"/>
            <w:right w:val="none" w:sz="0" w:space="0"/>
          </w:pgBorders>
          <w:pgNumType w:start="1"/>
          <w:cols w:space="720" w:num="1"/>
          <w:titlePg/>
          <w:docGrid w:type="lines" w:linePitch="333" w:charSpace="0"/>
        </w:sectPr>
      </w:pPr>
      <w:r>
        <w:rPr>
          <w:rFonts w:hint="eastAsia" w:ascii="宋体" w:hAnsi="宋体" w:eastAsia="宋体" w:cs="宋体"/>
          <w:b/>
          <w:bCs/>
          <w:color w:val="000000" w:themeColor="text1"/>
          <w:sz w:val="22"/>
          <w:szCs w:val="22"/>
          <w14:textFill>
            <w14:solidFill>
              <w14:schemeClr w14:val="tx1"/>
            </w14:solidFill>
          </w14:textFill>
        </w:rPr>
        <w:t>请各供应商仔细阅读上述提示。如需帮助，请您与我们的工作人员联系，我们将非常高兴地为您服务。</w:t>
      </w:r>
    </w:p>
    <w:p>
      <w:pPr>
        <w:spacing w:line="360" w:lineRule="auto"/>
        <w:rPr>
          <w:rFonts w:ascii="宋体" w:hAnsi="宋体" w:cs="宋体"/>
          <w:b/>
          <w:sz w:val="44"/>
          <w:szCs w:val="44"/>
        </w:rPr>
      </w:pPr>
    </w:p>
    <w:p>
      <w:pPr>
        <w:pStyle w:val="2"/>
      </w:pPr>
    </w:p>
    <w:sdt>
      <w:sdtPr>
        <w:rPr>
          <w:rFonts w:ascii="宋体" w:hAnsi="宋体" w:eastAsia="宋体" w:cs="Times New Roman"/>
          <w:b/>
          <w:bCs/>
          <w:kern w:val="2"/>
          <w:sz w:val="44"/>
          <w:szCs w:val="48"/>
          <w:lang w:val="en-US" w:eastAsia="zh-CN" w:bidi="ar-SA"/>
        </w:rPr>
        <w:id w:val="147481887"/>
        <w15:color w:val="DBDBDB"/>
        <w:docPartObj>
          <w:docPartGallery w:val="Table of Contents"/>
          <w:docPartUnique/>
        </w:docPartObj>
      </w:sdtPr>
      <w:sdtEndPr>
        <w:rPr>
          <w:rFonts w:ascii="Calibri" w:hAnsi="Calibri" w:eastAsia="宋体" w:cs="Times New Roman"/>
          <w:b/>
          <w:bCs/>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b/>
              <w:bCs/>
              <w:sz w:val="44"/>
              <w:szCs w:val="48"/>
            </w:rPr>
          </w:pPr>
          <w:r>
            <w:rPr>
              <w:rFonts w:ascii="宋体" w:hAnsi="宋体" w:eastAsia="宋体"/>
              <w:b/>
              <w:bCs/>
              <w:sz w:val="44"/>
              <w:szCs w:val="48"/>
            </w:rPr>
            <w:t>目录</w:t>
          </w:r>
        </w:p>
        <w:p>
          <w:pPr>
            <w:pStyle w:val="61"/>
            <w:tabs>
              <w:tab w:val="right" w:leader="dot" w:pos="8839"/>
            </w:tabs>
            <w:spacing w:line="600" w:lineRule="auto"/>
          </w:pPr>
        </w:p>
        <w:p>
          <w:pPr>
            <w:pStyle w:val="61"/>
            <w:tabs>
              <w:tab w:val="right" w:leader="dot" w:pos="8839"/>
            </w:tabs>
            <w:spacing w:line="600" w:lineRule="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_Toc32640 </w:instrText>
          </w:r>
          <w:r>
            <w:rPr>
              <w:sz w:val="28"/>
              <w:szCs w:val="28"/>
            </w:rPr>
            <w:fldChar w:fldCharType="separate"/>
          </w:r>
          <w:r>
            <w:rPr>
              <w:rFonts w:hint="eastAsia" w:ascii="宋体" w:hAnsi="宋体" w:cs="宋体"/>
              <w:sz w:val="28"/>
              <w:szCs w:val="28"/>
            </w:rPr>
            <w:t>第一部分  采购公告</w:t>
          </w:r>
          <w:r>
            <w:rPr>
              <w:sz w:val="28"/>
              <w:szCs w:val="28"/>
            </w:rPr>
            <w:tab/>
          </w:r>
          <w:r>
            <w:rPr>
              <w:sz w:val="28"/>
              <w:szCs w:val="28"/>
            </w:rPr>
            <w:fldChar w:fldCharType="begin"/>
          </w:r>
          <w:r>
            <w:rPr>
              <w:sz w:val="28"/>
              <w:szCs w:val="28"/>
            </w:rPr>
            <w:instrText xml:space="preserve"> PAGEREF _Toc32640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61"/>
            <w:tabs>
              <w:tab w:val="right" w:leader="dot" w:pos="8839"/>
            </w:tabs>
            <w:spacing w:line="600" w:lineRule="auto"/>
            <w:rPr>
              <w:sz w:val="28"/>
              <w:szCs w:val="28"/>
            </w:rPr>
          </w:pPr>
          <w:r>
            <w:rPr>
              <w:sz w:val="28"/>
              <w:szCs w:val="28"/>
            </w:rPr>
            <w:fldChar w:fldCharType="begin"/>
          </w:r>
          <w:r>
            <w:rPr>
              <w:sz w:val="28"/>
              <w:szCs w:val="28"/>
            </w:rPr>
            <w:instrText xml:space="preserve"> HYPERLINK \l _Toc9517 </w:instrText>
          </w:r>
          <w:r>
            <w:rPr>
              <w:sz w:val="28"/>
              <w:szCs w:val="28"/>
            </w:rPr>
            <w:fldChar w:fldCharType="separate"/>
          </w:r>
          <w:r>
            <w:rPr>
              <w:rFonts w:hint="eastAsia" w:ascii="宋体" w:hAnsi="宋体" w:cs="宋体"/>
              <w:sz w:val="28"/>
              <w:szCs w:val="28"/>
            </w:rPr>
            <w:t>第二部分  供应商须知前附表</w:t>
          </w:r>
          <w:r>
            <w:rPr>
              <w:sz w:val="28"/>
              <w:szCs w:val="28"/>
            </w:rPr>
            <w:tab/>
          </w:r>
          <w:r>
            <w:rPr>
              <w:sz w:val="28"/>
              <w:szCs w:val="28"/>
            </w:rPr>
            <w:fldChar w:fldCharType="begin"/>
          </w:r>
          <w:r>
            <w:rPr>
              <w:sz w:val="28"/>
              <w:szCs w:val="28"/>
            </w:rPr>
            <w:instrText xml:space="preserve"> PAGEREF _Toc9517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61"/>
            <w:tabs>
              <w:tab w:val="right" w:leader="dot" w:pos="8839"/>
            </w:tabs>
            <w:spacing w:line="600" w:lineRule="auto"/>
            <w:rPr>
              <w:sz w:val="28"/>
              <w:szCs w:val="28"/>
            </w:rPr>
          </w:pPr>
          <w:r>
            <w:rPr>
              <w:sz w:val="28"/>
              <w:szCs w:val="28"/>
            </w:rPr>
            <w:fldChar w:fldCharType="begin"/>
          </w:r>
          <w:r>
            <w:rPr>
              <w:sz w:val="28"/>
              <w:szCs w:val="28"/>
            </w:rPr>
            <w:instrText xml:space="preserve"> HYPERLINK \l _Toc23695 </w:instrText>
          </w:r>
          <w:r>
            <w:rPr>
              <w:sz w:val="28"/>
              <w:szCs w:val="28"/>
            </w:rPr>
            <w:fldChar w:fldCharType="separate"/>
          </w:r>
          <w:r>
            <w:rPr>
              <w:rFonts w:hint="eastAsia" w:ascii="宋体" w:hAnsi="宋体" w:cs="宋体"/>
              <w:sz w:val="28"/>
              <w:szCs w:val="28"/>
            </w:rPr>
            <w:t>第三部分  供应商须知</w:t>
          </w:r>
          <w:r>
            <w:rPr>
              <w:sz w:val="28"/>
              <w:szCs w:val="28"/>
            </w:rPr>
            <w:tab/>
          </w:r>
          <w:r>
            <w:rPr>
              <w:sz w:val="28"/>
              <w:szCs w:val="28"/>
            </w:rPr>
            <w:fldChar w:fldCharType="begin"/>
          </w:r>
          <w:r>
            <w:rPr>
              <w:sz w:val="28"/>
              <w:szCs w:val="28"/>
            </w:rPr>
            <w:instrText xml:space="preserve"> PAGEREF _Toc23695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61"/>
            <w:tabs>
              <w:tab w:val="right" w:leader="dot" w:pos="8839"/>
            </w:tabs>
            <w:spacing w:line="600" w:lineRule="auto"/>
            <w:rPr>
              <w:sz w:val="28"/>
              <w:szCs w:val="28"/>
            </w:rPr>
          </w:pPr>
          <w:r>
            <w:rPr>
              <w:sz w:val="28"/>
              <w:szCs w:val="28"/>
            </w:rPr>
            <w:fldChar w:fldCharType="begin"/>
          </w:r>
          <w:r>
            <w:rPr>
              <w:sz w:val="28"/>
              <w:szCs w:val="28"/>
            </w:rPr>
            <w:instrText xml:space="preserve"> HYPERLINK \l _Toc1819 </w:instrText>
          </w:r>
          <w:r>
            <w:rPr>
              <w:sz w:val="28"/>
              <w:szCs w:val="28"/>
            </w:rPr>
            <w:fldChar w:fldCharType="separate"/>
          </w:r>
          <w:r>
            <w:rPr>
              <w:rFonts w:hint="eastAsia" w:ascii="宋体" w:hAnsi="宋体" w:cs="宋体"/>
              <w:sz w:val="28"/>
              <w:szCs w:val="52"/>
            </w:rPr>
            <w:t>第四部分  评标办法及标准</w:t>
          </w:r>
          <w:r>
            <w:rPr>
              <w:sz w:val="28"/>
              <w:szCs w:val="28"/>
            </w:rPr>
            <w:tab/>
          </w:r>
          <w:r>
            <w:rPr>
              <w:sz w:val="28"/>
              <w:szCs w:val="28"/>
            </w:rPr>
            <w:fldChar w:fldCharType="begin"/>
          </w:r>
          <w:r>
            <w:rPr>
              <w:sz w:val="28"/>
              <w:szCs w:val="28"/>
            </w:rPr>
            <w:instrText xml:space="preserve"> PAGEREF _Toc1819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61"/>
            <w:tabs>
              <w:tab w:val="right" w:leader="dot" w:pos="8839"/>
            </w:tabs>
            <w:spacing w:line="600" w:lineRule="auto"/>
            <w:rPr>
              <w:sz w:val="28"/>
              <w:szCs w:val="28"/>
            </w:rPr>
          </w:pPr>
          <w:r>
            <w:rPr>
              <w:sz w:val="28"/>
              <w:szCs w:val="28"/>
            </w:rPr>
            <w:fldChar w:fldCharType="begin"/>
          </w:r>
          <w:r>
            <w:rPr>
              <w:sz w:val="28"/>
              <w:szCs w:val="28"/>
            </w:rPr>
            <w:instrText xml:space="preserve"> HYPERLINK \l _Toc6189 </w:instrText>
          </w:r>
          <w:r>
            <w:rPr>
              <w:sz w:val="28"/>
              <w:szCs w:val="28"/>
            </w:rPr>
            <w:fldChar w:fldCharType="separate"/>
          </w:r>
          <w:r>
            <w:rPr>
              <w:rFonts w:hint="eastAsia" w:ascii="宋体" w:hAnsi="宋体" w:cs="宋体"/>
              <w:sz w:val="28"/>
              <w:szCs w:val="52"/>
            </w:rPr>
            <w:t xml:space="preserve">第五部分  </w:t>
          </w:r>
          <w:r>
            <w:rPr>
              <w:rFonts w:hint="eastAsia" w:ascii="宋体" w:hAnsi="宋体" w:cs="宋体"/>
              <w:sz w:val="28"/>
              <w:szCs w:val="52"/>
              <w:lang w:val="en-US" w:eastAsia="zh-CN"/>
            </w:rPr>
            <w:t xml:space="preserve"> </w:t>
          </w:r>
          <w:r>
            <w:rPr>
              <w:rFonts w:hint="eastAsia" w:ascii="宋体" w:hAnsi="宋体" w:cs="宋体"/>
              <w:sz w:val="28"/>
              <w:szCs w:val="52"/>
            </w:rPr>
            <w:t>采购内容及要求</w:t>
          </w:r>
          <w:r>
            <w:rPr>
              <w:sz w:val="28"/>
              <w:szCs w:val="28"/>
            </w:rPr>
            <w:tab/>
          </w:r>
          <w:r>
            <w:rPr>
              <w:sz w:val="28"/>
              <w:szCs w:val="28"/>
            </w:rPr>
            <w:fldChar w:fldCharType="begin"/>
          </w:r>
          <w:r>
            <w:rPr>
              <w:sz w:val="28"/>
              <w:szCs w:val="28"/>
            </w:rPr>
            <w:instrText xml:space="preserve"> PAGEREF _Toc6189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61"/>
            <w:tabs>
              <w:tab w:val="right" w:leader="dot" w:pos="8839"/>
            </w:tabs>
            <w:spacing w:line="600" w:lineRule="auto"/>
            <w:rPr>
              <w:sz w:val="28"/>
              <w:szCs w:val="28"/>
            </w:rPr>
          </w:pPr>
          <w:r>
            <w:rPr>
              <w:sz w:val="28"/>
              <w:szCs w:val="28"/>
            </w:rPr>
            <w:fldChar w:fldCharType="begin"/>
          </w:r>
          <w:r>
            <w:rPr>
              <w:sz w:val="28"/>
              <w:szCs w:val="28"/>
            </w:rPr>
            <w:instrText xml:space="preserve"> HYPERLINK \l _Toc26920 </w:instrText>
          </w:r>
          <w:r>
            <w:rPr>
              <w:sz w:val="28"/>
              <w:szCs w:val="28"/>
            </w:rPr>
            <w:fldChar w:fldCharType="separate"/>
          </w:r>
          <w:r>
            <w:rPr>
              <w:rFonts w:hint="eastAsia" w:ascii="宋体" w:hAnsi="宋体" w:eastAsia="宋体" w:cs="宋体"/>
              <w:bCs/>
              <w:kern w:val="2"/>
              <w:sz w:val="28"/>
              <w:szCs w:val="52"/>
              <w:lang w:val="en-US" w:eastAsia="zh-CN" w:bidi="ar-SA"/>
            </w:rPr>
            <w:t>第六部分  合同主要条款</w:t>
          </w:r>
          <w:r>
            <w:rPr>
              <w:sz w:val="28"/>
              <w:szCs w:val="28"/>
            </w:rPr>
            <w:tab/>
          </w:r>
          <w:r>
            <w:rPr>
              <w:sz w:val="28"/>
              <w:szCs w:val="28"/>
            </w:rPr>
            <w:fldChar w:fldCharType="begin"/>
          </w:r>
          <w:r>
            <w:rPr>
              <w:sz w:val="28"/>
              <w:szCs w:val="28"/>
            </w:rPr>
            <w:instrText xml:space="preserve"> PAGEREF _Toc26920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61"/>
            <w:tabs>
              <w:tab w:val="right" w:leader="dot" w:pos="8839"/>
            </w:tabs>
            <w:spacing w:line="600" w:lineRule="auto"/>
            <w:rPr>
              <w:sz w:val="28"/>
              <w:szCs w:val="28"/>
            </w:rPr>
          </w:pPr>
          <w:r>
            <w:rPr>
              <w:sz w:val="28"/>
              <w:szCs w:val="28"/>
            </w:rPr>
            <w:fldChar w:fldCharType="begin"/>
          </w:r>
          <w:r>
            <w:rPr>
              <w:sz w:val="28"/>
              <w:szCs w:val="28"/>
            </w:rPr>
            <w:instrText xml:space="preserve"> HYPERLINK \l _Toc10975 </w:instrText>
          </w:r>
          <w:r>
            <w:rPr>
              <w:sz w:val="28"/>
              <w:szCs w:val="28"/>
            </w:rPr>
            <w:fldChar w:fldCharType="separate"/>
          </w:r>
          <w:r>
            <w:rPr>
              <w:rFonts w:hint="eastAsia" w:ascii="宋体" w:hAnsi="宋体" w:eastAsia="宋体" w:cs="宋体"/>
              <w:bCs/>
              <w:kern w:val="2"/>
              <w:sz w:val="28"/>
              <w:szCs w:val="56"/>
              <w:lang w:val="en-US" w:eastAsia="zh-CN" w:bidi="ar-SA"/>
            </w:rPr>
            <w:t xml:space="preserve">第七部分  </w:t>
          </w:r>
          <w:r>
            <w:rPr>
              <w:rFonts w:hint="eastAsia" w:ascii="宋体" w:hAnsi="宋体" w:cs="宋体"/>
              <w:sz w:val="28"/>
              <w:szCs w:val="56"/>
            </w:rPr>
            <w:t>响应文件格式</w:t>
          </w:r>
          <w:r>
            <w:rPr>
              <w:sz w:val="28"/>
              <w:szCs w:val="28"/>
            </w:rPr>
            <w:tab/>
          </w:r>
          <w:r>
            <w:rPr>
              <w:sz w:val="28"/>
              <w:szCs w:val="28"/>
            </w:rPr>
            <w:fldChar w:fldCharType="begin"/>
          </w:r>
          <w:r>
            <w:rPr>
              <w:sz w:val="28"/>
              <w:szCs w:val="28"/>
            </w:rPr>
            <w:instrText xml:space="preserve"> PAGEREF _Toc10975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61"/>
            <w:tabs>
              <w:tab w:val="right" w:leader="dot" w:pos="8839"/>
            </w:tabs>
            <w:spacing w:line="600" w:lineRule="auto"/>
          </w:pPr>
        </w:p>
        <w:p>
          <w:pPr>
            <w:bidi w:val="0"/>
          </w:pPr>
          <w:r>
            <w:fldChar w:fldCharType="end"/>
          </w:r>
        </w:p>
      </w:sdtContent>
    </w:sdt>
    <w:p>
      <w:pPr>
        <w:bidi w:val="0"/>
      </w:pPr>
    </w:p>
    <w:p>
      <w:pPr>
        <w:bidi w:val="0"/>
      </w:pPr>
    </w:p>
    <w:p>
      <w:pPr>
        <w:bidi w:val="0"/>
      </w:pPr>
    </w:p>
    <w:p>
      <w:pPr>
        <w:tabs>
          <w:tab w:val="left" w:pos="5875"/>
        </w:tabs>
        <w:bidi w:val="0"/>
        <w:jc w:val="left"/>
        <w:rPr>
          <w:rFonts w:hint="eastAsia" w:eastAsia="宋体"/>
          <w:lang w:eastAsia="zh-CN"/>
        </w:rPr>
        <w:sectPr>
          <w:headerReference r:id="rId9" w:type="default"/>
          <w:footerReference r:id="rId10" w:type="default"/>
          <w:footnotePr>
            <w:pos w:val="beneathText"/>
          </w:footnotePr>
          <w:pgSz w:w="11906" w:h="16838"/>
          <w:pgMar w:top="1491" w:right="1423" w:bottom="1219" w:left="1644"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lang w:eastAsia="zh-CN"/>
        </w:rPr>
        <w:tab/>
      </w:r>
    </w:p>
    <w:p>
      <w:pPr>
        <w:pStyle w:val="6"/>
        <w:spacing w:before="0" w:after="0" w:line="360" w:lineRule="auto"/>
        <w:jc w:val="center"/>
        <w:outlineLvl w:val="0"/>
        <w:rPr>
          <w:rFonts w:ascii="宋体" w:hAnsi="宋体" w:cs="宋体"/>
          <w:sz w:val="36"/>
        </w:rPr>
      </w:pPr>
      <w:bookmarkStart w:id="1" w:name="_Toc24389"/>
      <w:bookmarkStart w:id="2" w:name="_Toc7524467"/>
      <w:bookmarkStart w:id="3" w:name="_Toc32640"/>
      <w:bookmarkStart w:id="4" w:name="_Toc22601"/>
      <w:bookmarkStart w:id="5" w:name="_Toc7737"/>
      <w:bookmarkStart w:id="6" w:name="_Toc727"/>
      <w:bookmarkStart w:id="7" w:name="_Toc20825"/>
      <w:r>
        <w:rPr>
          <w:rFonts w:hint="eastAsia" w:ascii="宋体" w:hAnsi="宋体" w:cs="宋体"/>
          <w:sz w:val="36"/>
        </w:rPr>
        <w:t>第一部分  采购公告</w:t>
      </w:r>
      <w:bookmarkEnd w:id="1"/>
      <w:bookmarkEnd w:id="2"/>
      <w:bookmarkEnd w:id="3"/>
      <w:bookmarkEnd w:id="4"/>
      <w:bookmarkEnd w:id="5"/>
      <w:bookmarkEnd w:id="6"/>
      <w:bookmarkEnd w:id="7"/>
    </w:p>
    <w:p>
      <w:pPr>
        <w:pStyle w:val="24"/>
        <w:spacing w:before="0" w:beforeAutospacing="0" w:after="0" w:afterAutospacing="0" w:line="510" w:lineRule="atLeast"/>
        <w:ind w:firstLine="420"/>
        <w:rPr>
          <w:rFonts w:hint="eastAsia" w:ascii="宋体" w:hAnsi="宋体" w:eastAsia="宋体" w:cs="宋体"/>
          <w:color w:val="auto"/>
          <w:sz w:val="21"/>
          <w:szCs w:val="21"/>
          <w:shd w:val="clear" w:color="auto" w:fill="FFFFFF"/>
          <w:lang w:val="en-US" w:eastAsia="zh-CN"/>
        </w:rPr>
      </w:pPr>
      <w:bookmarkStart w:id="8" w:name="_Toc246928894"/>
      <w:r>
        <w:rPr>
          <w:rFonts w:hint="eastAsia" w:ascii="宋体" w:hAnsi="宋体" w:eastAsia="宋体" w:cs="宋体"/>
          <w:color w:val="auto"/>
          <w:sz w:val="21"/>
          <w:szCs w:val="21"/>
          <w:shd w:val="clear" w:color="auto" w:fill="FFFFFF"/>
          <w:lang w:val="en-US" w:eastAsia="zh-CN"/>
        </w:rPr>
        <w:t>西安市高陵区船张观澜小学校园文化项目潜在的供应商可在西安市未央区凤城四路世融国际中心</w:t>
      </w:r>
      <w:r>
        <w:rPr>
          <w:rFonts w:hint="eastAsia" w:cs="宋体"/>
          <w:color w:val="auto"/>
          <w:sz w:val="21"/>
          <w:szCs w:val="21"/>
          <w:shd w:val="clear" w:color="auto" w:fill="FFFFFF"/>
          <w:lang w:val="en-US" w:eastAsia="zh-CN"/>
        </w:rPr>
        <w:t>805</w:t>
      </w:r>
      <w:r>
        <w:rPr>
          <w:rFonts w:hint="eastAsia" w:ascii="宋体" w:hAnsi="宋体" w:eastAsia="宋体" w:cs="宋体"/>
          <w:color w:val="auto"/>
          <w:sz w:val="21"/>
          <w:szCs w:val="21"/>
          <w:shd w:val="clear" w:color="auto" w:fill="FFFFFF"/>
          <w:lang w:val="en-US" w:eastAsia="zh-CN"/>
        </w:rPr>
        <w:t>办公室获</w:t>
      </w:r>
      <w:r>
        <w:rPr>
          <w:rFonts w:hint="eastAsia" w:ascii="宋体" w:hAnsi="宋体" w:eastAsia="宋体" w:cs="宋体"/>
          <w:color w:val="auto"/>
          <w:sz w:val="21"/>
          <w:szCs w:val="21"/>
          <w:highlight w:val="none"/>
          <w:shd w:val="clear" w:color="auto" w:fill="FFFFFF"/>
          <w:lang w:val="en-US" w:eastAsia="zh-CN"/>
        </w:rPr>
        <w:t>取采购文件，并于202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val="en-US" w:eastAsia="zh-CN"/>
        </w:rPr>
        <w:t>年</w:t>
      </w:r>
      <w:r>
        <w:rPr>
          <w:rFonts w:hint="eastAsia" w:cs="宋体"/>
          <w:color w:val="auto"/>
          <w:sz w:val="21"/>
          <w:szCs w:val="21"/>
          <w:highlight w:val="none"/>
          <w:shd w:val="clear" w:color="auto" w:fill="FFFFFF"/>
          <w:lang w:val="en-US" w:eastAsia="zh-CN"/>
        </w:rPr>
        <w:t>04</w:t>
      </w:r>
      <w:r>
        <w:rPr>
          <w:rFonts w:hint="eastAsia" w:ascii="宋体" w:hAnsi="宋体" w:eastAsia="宋体" w:cs="宋体"/>
          <w:color w:val="auto"/>
          <w:sz w:val="21"/>
          <w:szCs w:val="21"/>
          <w:highlight w:val="none"/>
          <w:shd w:val="clear" w:color="auto" w:fill="FFFFFF"/>
          <w:lang w:val="en-US" w:eastAsia="zh-CN"/>
        </w:rPr>
        <w:t>月</w:t>
      </w:r>
      <w:r>
        <w:rPr>
          <w:rFonts w:hint="eastAsia"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lang w:val="en-US" w:eastAsia="zh-CN"/>
        </w:rPr>
        <w:t xml:space="preserve">日 </w:t>
      </w:r>
      <w:r>
        <w:rPr>
          <w:rFonts w:hint="eastAsia" w:cs="宋体"/>
          <w:color w:val="auto"/>
          <w:sz w:val="21"/>
          <w:szCs w:val="21"/>
          <w:highlight w:val="none"/>
          <w:shd w:val="clear" w:color="auto" w:fill="FFFFFF"/>
          <w:lang w:val="en-US" w:eastAsia="zh-CN"/>
        </w:rPr>
        <w:t>14:00</w:t>
      </w:r>
      <w:r>
        <w:rPr>
          <w:rFonts w:hint="eastAsia" w:ascii="宋体" w:hAnsi="宋体" w:eastAsia="宋体" w:cs="宋体"/>
          <w:color w:val="auto"/>
          <w:sz w:val="21"/>
          <w:szCs w:val="21"/>
          <w:highlight w:val="none"/>
          <w:shd w:val="clear" w:color="auto" w:fill="FFFFFF"/>
          <w:lang w:val="en-US" w:eastAsia="zh-CN"/>
        </w:rPr>
        <w:t xml:space="preserve"> 前递交响应文件。</w:t>
      </w:r>
    </w:p>
    <w:p>
      <w:pPr>
        <w:pStyle w:val="24"/>
        <w:spacing w:before="0" w:beforeAutospacing="0" w:after="0" w:afterAutospacing="0" w:line="510" w:lineRule="atLeast"/>
        <w:ind w:firstLine="42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一、项目基本情况：</w:t>
      </w:r>
    </w:p>
    <w:p>
      <w:pPr>
        <w:pStyle w:val="24"/>
        <w:spacing w:before="0" w:beforeAutospacing="0" w:after="0" w:afterAutospacing="0" w:line="510" w:lineRule="atLeast"/>
        <w:ind w:firstLine="420"/>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1、项目编号：SXDC202</w:t>
      </w:r>
      <w:r>
        <w:rPr>
          <w:rFonts w:hint="eastAsia" w:cs="宋体"/>
          <w:color w:val="auto"/>
          <w:sz w:val="21"/>
          <w:szCs w:val="21"/>
          <w:shd w:val="clear" w:color="auto" w:fill="FFFFFF"/>
          <w:lang w:val="en-US" w:eastAsia="zh-CN"/>
        </w:rPr>
        <w:t>2</w:t>
      </w:r>
      <w:r>
        <w:rPr>
          <w:rFonts w:hint="eastAsia" w:ascii="宋体" w:hAnsi="宋体" w:eastAsia="宋体" w:cs="宋体"/>
          <w:color w:val="auto"/>
          <w:sz w:val="21"/>
          <w:szCs w:val="21"/>
          <w:shd w:val="clear" w:color="auto" w:fill="FFFFFF"/>
          <w:lang w:val="en-US" w:eastAsia="zh-CN"/>
        </w:rPr>
        <w:t>-ZB-</w:t>
      </w:r>
      <w:r>
        <w:rPr>
          <w:rFonts w:hint="eastAsia" w:cs="宋体"/>
          <w:color w:val="auto"/>
          <w:sz w:val="21"/>
          <w:szCs w:val="21"/>
          <w:shd w:val="clear" w:color="auto" w:fill="FFFFFF"/>
          <w:lang w:val="en-US" w:eastAsia="zh-CN"/>
        </w:rPr>
        <w:t>27</w:t>
      </w:r>
    </w:p>
    <w:p>
      <w:pPr>
        <w:pStyle w:val="24"/>
        <w:spacing w:before="0" w:beforeAutospacing="0" w:after="0" w:afterAutospacing="0" w:line="510" w:lineRule="atLeast"/>
        <w:ind w:firstLine="42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2、项目名称：西安市高陵区船张观澜小学校园文化项目</w:t>
      </w:r>
    </w:p>
    <w:p>
      <w:pPr>
        <w:pStyle w:val="24"/>
        <w:spacing w:before="0" w:beforeAutospacing="0" w:after="0" w:afterAutospacing="0" w:line="510" w:lineRule="atLeast"/>
        <w:ind w:firstLine="42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3、预算金额：</w:t>
      </w:r>
      <w:r>
        <w:rPr>
          <w:rFonts w:hint="eastAsia" w:cs="宋体"/>
          <w:color w:val="auto"/>
          <w:sz w:val="21"/>
          <w:szCs w:val="21"/>
          <w:shd w:val="clear" w:color="auto" w:fill="FFFFFF"/>
          <w:lang w:val="en-US" w:eastAsia="zh-CN"/>
        </w:rPr>
        <w:t>800000.00元</w:t>
      </w:r>
      <w:r>
        <w:rPr>
          <w:rFonts w:hint="eastAsia" w:ascii="宋体" w:hAnsi="宋体" w:eastAsia="宋体" w:cs="宋体"/>
          <w:color w:val="auto"/>
          <w:sz w:val="21"/>
          <w:szCs w:val="21"/>
          <w:shd w:val="clear" w:color="auto" w:fill="FFFFFF"/>
          <w:lang w:val="en-US" w:eastAsia="zh-CN"/>
        </w:rPr>
        <w:t>；</w:t>
      </w:r>
    </w:p>
    <w:p>
      <w:pPr>
        <w:pStyle w:val="24"/>
        <w:spacing w:before="0" w:beforeAutospacing="0" w:after="0" w:afterAutospacing="0" w:line="510" w:lineRule="atLeast"/>
        <w:ind w:firstLine="42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4、最高限价：</w:t>
      </w:r>
      <w:r>
        <w:rPr>
          <w:rFonts w:hint="eastAsia" w:cs="宋体"/>
          <w:color w:val="auto"/>
          <w:sz w:val="21"/>
          <w:szCs w:val="21"/>
          <w:highlight w:val="none"/>
          <w:shd w:val="clear" w:color="auto" w:fill="FFFFFF"/>
          <w:lang w:val="en-US" w:eastAsia="zh-CN"/>
        </w:rPr>
        <w:t>794000.00</w:t>
      </w:r>
      <w:r>
        <w:rPr>
          <w:rFonts w:hint="eastAsia" w:ascii="宋体" w:hAnsi="宋体" w:eastAsia="宋体" w:cs="宋体"/>
          <w:color w:val="auto"/>
          <w:sz w:val="21"/>
          <w:szCs w:val="21"/>
          <w:highlight w:val="none"/>
          <w:shd w:val="clear" w:color="auto" w:fill="FFFFFF"/>
          <w:lang w:val="en-US" w:eastAsia="zh-CN"/>
        </w:rPr>
        <w:t>元 ；</w:t>
      </w:r>
    </w:p>
    <w:p>
      <w:pPr>
        <w:pStyle w:val="24"/>
        <w:spacing w:before="0" w:beforeAutospacing="0" w:after="0" w:afterAutospacing="0" w:line="510" w:lineRule="atLeast"/>
        <w:ind w:firstLine="420"/>
        <w:rPr>
          <w:rFonts w:hint="default" w:cs="宋体"/>
          <w:color w:val="333333"/>
          <w:sz w:val="21"/>
          <w:szCs w:val="21"/>
          <w:lang w:val="en-US" w:eastAsia="zh-CN"/>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5、采购需求：</w:t>
      </w:r>
      <w:bookmarkStart w:id="633" w:name="_GoBack"/>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西安市高陵区船张观澜小学校园文化项目，1批， 采购预算： 800000.00元， 项目概况：为提升教育教学办学水平，对校园文化进行整体提升改造。具体内容详见</w:t>
      </w:r>
      <w:r>
        <w:rPr>
          <w:rFonts w:hint="eastAsia" w:cs="宋体"/>
          <w:color w:val="000000" w:themeColor="text1"/>
          <w:kern w:val="2"/>
          <w:sz w:val="21"/>
          <w:szCs w:val="21"/>
          <w:lang w:val="en-US" w:eastAsia="zh-CN" w:bidi="ar-SA"/>
          <w14:textFill>
            <w14:solidFill>
              <w14:schemeClr w14:val="tx1"/>
            </w14:solidFill>
          </w14:textFill>
        </w:rPr>
        <w:t>竞争性磋商文件</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p>
    <w:bookmarkEnd w:id="633"/>
    <w:p>
      <w:pPr>
        <w:pStyle w:val="24"/>
        <w:spacing w:before="0" w:beforeAutospacing="0" w:after="0" w:afterAutospacing="0" w:line="510" w:lineRule="atLeast"/>
        <w:ind w:firstLine="42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简要技术要求、用途：公用。</w:t>
      </w:r>
    </w:p>
    <w:p>
      <w:pPr>
        <w:pStyle w:val="24"/>
        <w:spacing w:before="0" w:beforeAutospacing="0" w:after="0" w:afterAutospacing="0" w:line="510" w:lineRule="atLeast"/>
        <w:ind w:firstLine="42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6、合同履行期限：2022-4-25 08:00:00 至 2022-05-24 18:00:00（具体服务起止日期可随合同签订时间相应顺延）</w:t>
      </w:r>
    </w:p>
    <w:p>
      <w:pPr>
        <w:pStyle w:val="24"/>
        <w:keepNext w:val="0"/>
        <w:keepLines w:val="0"/>
        <w:widowControl/>
        <w:suppressLineNumbers w:val="0"/>
        <w:spacing w:line="510" w:lineRule="atLeast"/>
        <w:ind w:firstLine="420" w:firstLineChars="200"/>
        <w:rPr>
          <w:rFonts w:hint="eastAsia" w:ascii="楷体" w:hAnsi="楷体" w:cs="楷体"/>
          <w:sz w:val="21"/>
          <w:szCs w:val="21"/>
          <w:lang w:val="en-US" w:eastAsia="zh-CN"/>
        </w:rPr>
      </w:pPr>
      <w:r>
        <w:rPr>
          <w:rFonts w:hint="eastAsia" w:cs="宋体"/>
          <w:color w:val="auto"/>
          <w:kern w:val="0"/>
          <w:sz w:val="21"/>
          <w:szCs w:val="21"/>
          <w:shd w:val="clear" w:color="auto" w:fill="FFFFFF"/>
          <w:lang w:val="en-US" w:eastAsia="zh-CN" w:bidi="ar-SA"/>
        </w:rPr>
        <w:t>7</w:t>
      </w:r>
      <w:r>
        <w:rPr>
          <w:rFonts w:hint="eastAsia" w:ascii="宋体" w:hAnsi="宋体" w:eastAsia="宋体" w:cs="宋体"/>
          <w:color w:val="auto"/>
          <w:kern w:val="0"/>
          <w:sz w:val="21"/>
          <w:szCs w:val="21"/>
          <w:shd w:val="clear" w:color="auto" w:fill="FFFFFF"/>
          <w:lang w:val="en-US" w:eastAsia="zh-CN" w:bidi="ar-SA"/>
        </w:rPr>
        <w:t>、</w:t>
      </w:r>
      <w:r>
        <w:rPr>
          <w:rFonts w:hint="eastAsia" w:ascii="楷体" w:hAnsi="楷体" w:cs="楷体"/>
          <w:sz w:val="21"/>
          <w:szCs w:val="21"/>
          <w:lang w:val="en-US" w:eastAsia="zh-CN"/>
        </w:rPr>
        <w:t>本项目是否接受联合体投标：否</w:t>
      </w:r>
    </w:p>
    <w:p>
      <w:pPr>
        <w:pStyle w:val="24"/>
        <w:spacing w:before="150" w:beforeAutospacing="0" w:after="0" w:afterAutospacing="0" w:line="510" w:lineRule="atLeast"/>
        <w:rPr>
          <w:rFonts w:hint="eastAsia" w:ascii="宋体" w:hAnsi="宋体" w:eastAsia="宋体" w:cs="宋体"/>
          <w:b/>
          <w:color w:val="auto"/>
          <w:sz w:val="21"/>
          <w:szCs w:val="21"/>
        </w:rPr>
      </w:pPr>
      <w:r>
        <w:rPr>
          <w:rFonts w:hint="eastAsia" w:ascii="宋体" w:hAnsi="宋体" w:eastAsia="宋体" w:cs="宋体"/>
          <w:b/>
          <w:color w:val="auto"/>
          <w:sz w:val="21"/>
          <w:szCs w:val="21"/>
          <w:shd w:val="clear" w:color="auto" w:fill="FFFFFF"/>
        </w:rPr>
        <w:t>二、响应供应商的资格要求</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1、满足《中华人民共和国政府采购法》第二十二条规定</w:t>
      </w:r>
    </w:p>
    <w:p>
      <w:pPr>
        <w:pStyle w:val="24"/>
        <w:spacing w:before="0" w:beforeAutospacing="0" w:after="0" w:afterAutospacing="0" w:line="480" w:lineRule="auto"/>
        <w:ind w:firstLine="42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2、落实政府采购政策需满足的资格要求：</w:t>
      </w:r>
    </w:p>
    <w:p>
      <w:pPr>
        <w:pStyle w:val="14"/>
        <w:spacing w:line="360" w:lineRule="auto"/>
        <w:jc w:val="left"/>
        <w:rPr>
          <w:rFonts w:hint="default" w:hAnsi="宋体" w:cs="宋体"/>
          <w:color w:val="000000"/>
          <w:highlight w:val="none"/>
          <w:lang w:val="en-US" w:eastAsia="zh-CN"/>
        </w:rPr>
      </w:pPr>
      <w:r>
        <w:rPr>
          <w:rFonts w:hint="default" w:hAnsi="宋体" w:cs="宋体"/>
          <w:color w:val="000000"/>
          <w:highlight w:val="none"/>
          <w:lang w:val="en-US" w:eastAsia="zh-CN"/>
        </w:rPr>
        <w:t>（1）《财政部国家发展改革委关于印发〈节能产品政府采购实施意见〉的通知》（财库〔2004〕185号）；（2）《国务院办公厅关于建立政府强制采购节能产品制度的通知》（国办发〔2007〕51号）；（3）《关于环境标志产品政府采购实施的意见》（财库〔2006〕90号）；（4）《关于印发〈政府采购促进中小企业发展管理办法〉的通知》（财库〔2020〕46号）；（5）《财政部司法部关于政府采购支持监狱企业发展有关问题的通知》（财库〔2014〕68号）；（6）《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w:t>
      </w:r>
    </w:p>
    <w:p>
      <w:pPr>
        <w:pStyle w:val="14"/>
        <w:spacing w:line="360" w:lineRule="auto"/>
        <w:jc w:val="left"/>
        <w:rPr>
          <w:rFonts w:hint="eastAsia" w:ascii="宋体" w:hAnsi="宋体" w:eastAsia="宋体" w:cs="宋体"/>
          <w:b w:val="0"/>
          <w:bCs/>
          <w:color w:val="auto"/>
          <w:sz w:val="21"/>
          <w:szCs w:val="21"/>
          <w:shd w:val="clear" w:color="auto" w:fill="FFFFFF"/>
        </w:rPr>
      </w:pPr>
      <w:r>
        <w:rPr>
          <w:rFonts w:hint="eastAsia" w:ascii="宋体" w:hAnsi="宋体" w:eastAsia="宋体" w:cs="宋体"/>
          <w:color w:val="auto"/>
          <w:sz w:val="21"/>
          <w:szCs w:val="21"/>
          <w:shd w:val="clear" w:color="auto" w:fill="FFFFFF"/>
        </w:rPr>
        <w:t>3、本项目的特定资格要求：</w:t>
      </w:r>
      <w:r>
        <w:rPr>
          <w:rFonts w:hint="default" w:hAnsi="宋体" w:cs="宋体"/>
          <w:color w:val="000000"/>
          <w:highlight w:val="none"/>
          <w:lang w:val="en-US" w:eastAsia="zh-CN"/>
        </w:rPr>
        <w:t>(1)供应商为具有独立承担民事责任能力的法人或其他组织或自然人，并提供法人或者其他组织合法有效的统一社会信用代码的营业执照等证明文件，事业单位应提供事业单位法人证书，自然人应提供身份证明文件； (2)提供2021年度经审计的财务报告，或磋商前三个月内公司存款账户开户银行出具的资信证明，或信用担保机构出具的投标担保函（以上三种形式的资料提供任何一种即可）； (3)提供2021年1月至今任意一个月已缴纳完税凭证或税务机关开具的完税证明（任意税种）；依法免税的应提供相关文件证明； (4)提供2021年1月至今任意一个月已缴纳的社会保障资金缴存单据或社保机构开具的社会保险参保缴费情况证明；依法不需要缴纳社会保障资金的应提供相关文件证明； (5)具备履行合同所必需的设备和专业技术能力的证明材料(由供应商根据项目需求提供说明材料或者承诺)； (6)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 (7)参加政府采购活动前3年内，在经营活动中没有重大违法记录；(8)代理机构将通过“信用中国”网站（www.creditchina.gov.cn）和中国政府采购网（www.ccgp.gov.cn）查询供应商信用记录，被列入失信被执行人、重大税收违法案件当事人名单、政府采购严重违法失信行为记录名单的单位将被拒绝参与本项目投标； (9)本项目不接受联合体磋商。单位负责人为同一人或者存在控股、管理关系的不同供应商不得参加同一合同项下政府采购活动；与采购人存在利害关系可能影响磋商公正性的法人、其他组织或者个人不得参加同一合同项下政府采购活动。</w:t>
      </w:r>
    </w:p>
    <w:p>
      <w:pPr>
        <w:pStyle w:val="24"/>
        <w:spacing w:before="0" w:beforeAutospacing="0" w:after="0" w:afterAutospacing="0" w:line="510" w:lineRule="atLeast"/>
        <w:ind w:firstLine="420"/>
        <w:rPr>
          <w:rFonts w:hint="eastAsia" w:ascii="宋体" w:hAnsi="宋体" w:eastAsia="宋体" w:cs="宋体"/>
          <w:b/>
          <w:color w:val="auto"/>
          <w:sz w:val="21"/>
          <w:szCs w:val="21"/>
        </w:rPr>
      </w:pPr>
      <w:r>
        <w:rPr>
          <w:rFonts w:hint="eastAsia" w:ascii="宋体" w:hAnsi="宋体" w:eastAsia="宋体" w:cs="宋体"/>
          <w:b/>
          <w:color w:val="auto"/>
          <w:sz w:val="21"/>
          <w:szCs w:val="21"/>
          <w:shd w:val="clear" w:color="auto" w:fill="FFFFFF"/>
        </w:rPr>
        <w:t>三、采购文件的获取方式</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时间</w:t>
      </w:r>
      <w:r>
        <w:rPr>
          <w:rFonts w:hint="eastAsia" w:ascii="宋体" w:hAnsi="宋体" w:eastAsia="宋体" w:cs="宋体"/>
          <w:color w:val="auto"/>
          <w:sz w:val="21"/>
          <w:szCs w:val="21"/>
          <w:highlight w:val="none"/>
          <w:shd w:val="clear" w:color="auto" w:fill="FFFFFF"/>
        </w:rPr>
        <w:t>：即日起至</w:t>
      </w:r>
      <w:r>
        <w:rPr>
          <w:rFonts w:hint="eastAsia" w:ascii="宋体" w:hAnsi="宋体" w:eastAsia="宋体" w:cs="宋体"/>
          <w:color w:val="auto"/>
          <w:sz w:val="21"/>
          <w:szCs w:val="21"/>
          <w:highlight w:val="none"/>
          <w:shd w:val="clear" w:color="auto" w:fill="FFFFFF"/>
          <w:lang w:val="en-US" w:eastAsia="zh-CN"/>
        </w:rPr>
        <w:t>202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val="en-US" w:eastAsia="zh-CN"/>
        </w:rPr>
        <w:t>年</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月</w:t>
      </w:r>
      <w:r>
        <w:rPr>
          <w:rFonts w:hint="eastAsia" w:cs="宋体"/>
          <w:color w:val="auto"/>
          <w:sz w:val="21"/>
          <w:szCs w:val="21"/>
          <w:highlight w:val="none"/>
          <w:shd w:val="clear" w:color="auto" w:fill="FFFFFF"/>
          <w:lang w:val="en-US" w:eastAsia="zh-CN"/>
        </w:rPr>
        <w:t>13</w:t>
      </w:r>
      <w:r>
        <w:rPr>
          <w:rFonts w:hint="eastAsia" w:ascii="宋体" w:hAnsi="宋体" w:eastAsia="宋体" w:cs="宋体"/>
          <w:color w:val="auto"/>
          <w:sz w:val="21"/>
          <w:szCs w:val="21"/>
          <w:highlight w:val="none"/>
          <w:shd w:val="clear" w:color="auto" w:fill="FFFFFF"/>
          <w:lang w:val="en-US" w:eastAsia="zh-CN"/>
        </w:rPr>
        <w:t>日</w:t>
      </w:r>
      <w:r>
        <w:rPr>
          <w:rFonts w:hint="eastAsia" w:ascii="宋体" w:hAnsi="宋体" w:eastAsia="宋体" w:cs="宋体"/>
          <w:color w:val="auto"/>
          <w:sz w:val="21"/>
          <w:szCs w:val="21"/>
          <w:highlight w:val="none"/>
          <w:shd w:val="clear" w:color="auto" w:fill="FFFFFF"/>
        </w:rPr>
        <w:t xml:space="preserve"> 17:00:00 止</w:t>
      </w:r>
    </w:p>
    <w:p>
      <w:pPr>
        <w:pStyle w:val="24"/>
        <w:spacing w:before="0" w:beforeAutospacing="0" w:after="0" w:afterAutospacing="0" w:line="510" w:lineRule="atLeast"/>
        <w:ind w:firstLine="420"/>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rPr>
        <w:t>地点：</w:t>
      </w:r>
      <w:r>
        <w:rPr>
          <w:rFonts w:hint="eastAsia" w:eastAsia="宋体" w:cs="宋体"/>
          <w:color w:val="auto"/>
          <w:sz w:val="21"/>
          <w:szCs w:val="21"/>
          <w:shd w:val="clear" w:color="auto" w:fill="FFFFFF"/>
          <w:lang w:eastAsia="zh-CN"/>
        </w:rPr>
        <w:t>西安市未央区凤城四路世融国际中心</w:t>
      </w:r>
      <w:r>
        <w:rPr>
          <w:rFonts w:hint="eastAsia" w:cs="宋体"/>
          <w:color w:val="auto"/>
          <w:sz w:val="21"/>
          <w:szCs w:val="21"/>
          <w:shd w:val="clear" w:color="auto" w:fill="FFFFFF"/>
          <w:lang w:val="en-US" w:eastAsia="zh-CN"/>
        </w:rPr>
        <w:t>805</w:t>
      </w:r>
      <w:r>
        <w:rPr>
          <w:rFonts w:hint="eastAsia" w:eastAsia="宋体" w:cs="宋体"/>
          <w:color w:val="auto"/>
          <w:sz w:val="21"/>
          <w:szCs w:val="21"/>
          <w:shd w:val="clear" w:color="auto" w:fill="FFFFFF"/>
          <w:lang w:eastAsia="zh-CN"/>
        </w:rPr>
        <w:t>办公室</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方式：现场购买/邮寄</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售价： 免费赠送</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Style w:val="30"/>
          <w:rFonts w:hint="eastAsia" w:ascii="宋体" w:hAnsi="宋体" w:eastAsia="宋体" w:cs="宋体"/>
          <w:color w:val="auto"/>
          <w:sz w:val="21"/>
          <w:szCs w:val="21"/>
          <w:shd w:val="clear" w:color="auto" w:fill="FFFFFF"/>
        </w:rPr>
        <w:t>注：领取竞争性磋商文件请携带单位介绍信原件,经办人身份证原件及加盖供应商公章的复印件。(提示:请供应商按照陕西省财政厅关于政府采购供应商注册登记有关事项的通知中的要求，通过陕西省政府采购网（http://www.ccgp-shaanxi.gov.cn/ ）注册登记加入陕西省政府采购供应商库。)</w:t>
      </w:r>
    </w:p>
    <w:p>
      <w:pPr>
        <w:pStyle w:val="24"/>
        <w:spacing w:before="150" w:beforeAutospacing="0" w:after="0" w:afterAutospacing="0" w:line="510" w:lineRule="atLeast"/>
        <w:rPr>
          <w:rFonts w:hint="eastAsia" w:ascii="宋体" w:hAnsi="宋体" w:eastAsia="宋体" w:cs="宋体"/>
          <w:b/>
          <w:color w:val="auto"/>
          <w:sz w:val="21"/>
          <w:szCs w:val="21"/>
        </w:rPr>
      </w:pPr>
      <w:r>
        <w:rPr>
          <w:rFonts w:hint="eastAsia" w:ascii="宋体" w:hAnsi="宋体" w:eastAsia="宋体" w:cs="宋体"/>
          <w:b/>
          <w:color w:val="auto"/>
          <w:sz w:val="21"/>
          <w:szCs w:val="21"/>
          <w:shd w:val="clear" w:color="auto" w:fill="FFFFFF"/>
        </w:rPr>
        <w:t>四、响应文件递交</w:t>
      </w:r>
    </w:p>
    <w:p>
      <w:pPr>
        <w:pStyle w:val="24"/>
        <w:spacing w:before="0" w:beforeAutospacing="0" w:after="0" w:afterAutospacing="0" w:line="510" w:lineRule="atLeast"/>
        <w:ind w:firstLine="420"/>
        <w:rPr>
          <w:rFonts w:hint="eastAsia" w:ascii="宋体" w:hAnsi="宋体" w:eastAsia="宋体" w:cs="宋体"/>
          <w:color w:val="auto"/>
          <w:sz w:val="21"/>
          <w:szCs w:val="21"/>
          <w:highlight w:val="yellow"/>
          <w:shd w:val="clear" w:color="auto" w:fill="FFFFFF"/>
          <w:lang w:eastAsia="zh-CN"/>
        </w:rPr>
      </w:pPr>
      <w:r>
        <w:rPr>
          <w:rFonts w:hint="eastAsia" w:ascii="宋体" w:hAnsi="宋体" w:eastAsia="宋体" w:cs="宋体"/>
          <w:color w:val="auto"/>
          <w:sz w:val="21"/>
          <w:szCs w:val="21"/>
          <w:shd w:val="clear" w:color="auto" w:fill="FFFFFF"/>
        </w:rPr>
        <w:t>截止时间：</w:t>
      </w:r>
      <w:r>
        <w:rPr>
          <w:rFonts w:hint="eastAsia" w:ascii="宋体" w:hAnsi="宋体" w:eastAsia="宋体" w:cs="宋体"/>
          <w:color w:val="auto"/>
          <w:sz w:val="21"/>
          <w:szCs w:val="21"/>
          <w:highlight w:val="none"/>
          <w:shd w:val="clear" w:color="auto" w:fill="FFFFFF"/>
        </w:rPr>
        <w:t>202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val="en-US" w:eastAsia="zh-CN"/>
        </w:rPr>
        <w:t>年</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月</w:t>
      </w:r>
      <w:r>
        <w:rPr>
          <w:rFonts w:hint="eastAsia"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lang w:val="en-US" w:eastAsia="zh-CN"/>
        </w:rPr>
        <w:t>日</w:t>
      </w:r>
      <w:r>
        <w:rPr>
          <w:rFonts w:hint="eastAsia" w:cs="宋体"/>
          <w:color w:val="auto"/>
          <w:sz w:val="21"/>
          <w:szCs w:val="21"/>
          <w:highlight w:val="none"/>
          <w:shd w:val="clear" w:color="auto" w:fill="FFFFFF"/>
          <w:lang w:val="en-US" w:eastAsia="zh-CN"/>
        </w:rPr>
        <w:t>14:0</w:t>
      </w:r>
      <w:r>
        <w:rPr>
          <w:rFonts w:hint="eastAsia" w:eastAsia="宋体" w:cs="宋体"/>
          <w:color w:val="auto"/>
          <w:sz w:val="21"/>
          <w:szCs w:val="21"/>
          <w:highlight w:val="none"/>
          <w:shd w:val="clear" w:color="auto" w:fill="FFFFFF"/>
          <w:lang w:val="en-US" w:eastAsia="zh-CN"/>
        </w:rPr>
        <w:t>0:00</w:t>
      </w:r>
    </w:p>
    <w:p>
      <w:pPr>
        <w:pStyle w:val="24"/>
        <w:spacing w:before="150" w:beforeAutospacing="0" w:after="0" w:afterAutospacing="0" w:line="510" w:lineRule="atLeast"/>
        <w:rPr>
          <w:rFonts w:hint="eastAsia" w:ascii="宋体" w:hAnsi="宋体" w:eastAsia="宋体" w:cs="宋体"/>
          <w:b/>
          <w:color w:val="auto"/>
          <w:sz w:val="21"/>
          <w:szCs w:val="21"/>
        </w:rPr>
      </w:pPr>
      <w:r>
        <w:rPr>
          <w:rFonts w:hint="eastAsia" w:ascii="宋体" w:hAnsi="宋体" w:eastAsia="宋体" w:cs="宋体"/>
          <w:b/>
          <w:color w:val="auto"/>
          <w:sz w:val="21"/>
          <w:szCs w:val="21"/>
          <w:shd w:val="clear" w:color="auto" w:fill="FFFFFF"/>
        </w:rPr>
        <w:t>五、公告期限</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自本公告发布之日起3个工作日。</w:t>
      </w:r>
    </w:p>
    <w:p>
      <w:pPr>
        <w:pStyle w:val="24"/>
        <w:spacing w:before="150" w:beforeAutospacing="0" w:after="0" w:afterAutospacing="0" w:line="510" w:lineRule="atLeast"/>
        <w:rPr>
          <w:rFonts w:hint="eastAsia" w:ascii="宋体" w:hAnsi="宋体" w:eastAsia="宋体" w:cs="宋体"/>
          <w:b/>
          <w:color w:val="auto"/>
          <w:sz w:val="21"/>
          <w:szCs w:val="21"/>
        </w:rPr>
      </w:pPr>
      <w:r>
        <w:rPr>
          <w:rFonts w:hint="eastAsia" w:ascii="宋体" w:hAnsi="宋体" w:eastAsia="宋体" w:cs="宋体"/>
          <w:b/>
          <w:color w:val="auto"/>
          <w:sz w:val="21"/>
          <w:szCs w:val="21"/>
          <w:shd w:val="clear" w:color="auto" w:fill="FFFFFF"/>
        </w:rPr>
        <w:t>六、其他补充事宜</w:t>
      </w:r>
    </w:p>
    <w:p>
      <w:pPr>
        <w:pStyle w:val="24"/>
        <w:spacing w:before="150" w:beforeAutospacing="0" w:after="0" w:afterAutospacing="0" w:line="510" w:lineRule="atLeast"/>
        <w:rPr>
          <w:rFonts w:hint="eastAsia" w:ascii="宋体" w:hAnsi="宋体" w:eastAsia="宋体" w:cs="宋体"/>
          <w:b/>
          <w:color w:val="auto"/>
          <w:sz w:val="21"/>
          <w:szCs w:val="21"/>
          <w:shd w:val="clear" w:color="auto" w:fill="FFFFFF"/>
          <w:lang w:val="en-US" w:eastAsia="zh-CN"/>
        </w:rPr>
      </w:pPr>
      <w:r>
        <w:rPr>
          <w:rFonts w:hint="eastAsia" w:eastAsia="宋体" w:cs="宋体"/>
          <w:b/>
          <w:color w:val="auto"/>
          <w:sz w:val="21"/>
          <w:szCs w:val="21"/>
          <w:shd w:val="clear" w:color="auto" w:fill="FFFFFF"/>
          <w:lang w:val="en-US" w:eastAsia="zh-CN"/>
        </w:rPr>
        <w:t>/</w:t>
      </w:r>
    </w:p>
    <w:p>
      <w:pPr>
        <w:pStyle w:val="24"/>
        <w:spacing w:before="150" w:beforeAutospacing="0" w:after="0" w:afterAutospacing="0" w:line="510" w:lineRule="atLeast"/>
        <w:rPr>
          <w:rFonts w:hint="eastAsia" w:ascii="宋体" w:hAnsi="宋体" w:eastAsia="宋体" w:cs="宋体"/>
          <w:b/>
          <w:color w:val="auto"/>
          <w:sz w:val="21"/>
          <w:szCs w:val="21"/>
        </w:rPr>
      </w:pPr>
      <w:r>
        <w:rPr>
          <w:rFonts w:hint="eastAsia" w:ascii="宋体" w:hAnsi="宋体" w:eastAsia="宋体" w:cs="宋体"/>
          <w:b/>
          <w:color w:val="auto"/>
          <w:sz w:val="21"/>
          <w:szCs w:val="21"/>
          <w:shd w:val="clear" w:color="auto" w:fill="FFFFFF"/>
        </w:rPr>
        <w:t>七、对本次采购提出询问，请按以下方式联系。</w:t>
      </w:r>
    </w:p>
    <w:p>
      <w:pPr>
        <w:pStyle w:val="24"/>
        <w:spacing w:before="0" w:beforeAutospacing="0" w:after="0" w:afterAutospacing="0" w:line="510" w:lineRule="atLeast"/>
        <w:ind w:firstLine="420"/>
        <w:rPr>
          <w:rFonts w:hint="default" w:ascii="宋体" w:hAnsi="宋体" w:eastAsia="宋体" w:cs="宋体"/>
          <w:color w:val="FF0000"/>
          <w:sz w:val="21"/>
          <w:szCs w:val="21"/>
          <w:shd w:val="clear" w:color="auto" w:fill="FFFFFF"/>
          <w:lang w:val="en-US" w:eastAsia="zh-CN"/>
        </w:rPr>
      </w:pPr>
      <w:r>
        <w:rPr>
          <w:rFonts w:hint="eastAsia" w:ascii="宋体" w:hAnsi="宋体" w:eastAsia="宋体" w:cs="宋体"/>
          <w:color w:val="auto"/>
          <w:sz w:val="21"/>
          <w:szCs w:val="21"/>
          <w:shd w:val="clear" w:color="auto" w:fill="FFFFFF"/>
        </w:rPr>
        <w:t>1、采购人信息：</w:t>
      </w:r>
      <w:r>
        <w:rPr>
          <w:rFonts w:hint="eastAsia" w:cs="宋体"/>
          <w:color w:val="auto"/>
          <w:sz w:val="21"/>
          <w:szCs w:val="21"/>
          <w:shd w:val="clear" w:color="auto" w:fill="FFFFFF"/>
          <w:lang w:eastAsia="zh-CN"/>
        </w:rPr>
        <w:t>西安市高陵区</w:t>
      </w:r>
      <w:r>
        <w:rPr>
          <w:rFonts w:hint="eastAsia" w:cs="宋体"/>
          <w:color w:val="auto"/>
          <w:sz w:val="21"/>
          <w:szCs w:val="21"/>
          <w:shd w:val="clear" w:color="auto" w:fill="FFFFFF"/>
          <w:lang w:val="en-US" w:eastAsia="zh-CN"/>
        </w:rPr>
        <w:t>教育局</w:t>
      </w:r>
    </w:p>
    <w:p>
      <w:pPr>
        <w:pStyle w:val="24"/>
        <w:spacing w:before="0" w:beforeAutospacing="0" w:after="0" w:afterAutospacing="0" w:line="510" w:lineRule="atLeas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联系人：</w:t>
      </w:r>
      <w:r>
        <w:rPr>
          <w:rFonts w:hint="eastAsia" w:cs="宋体"/>
          <w:color w:val="auto"/>
          <w:sz w:val="21"/>
          <w:szCs w:val="21"/>
          <w:highlight w:val="none"/>
          <w:shd w:val="clear" w:color="auto" w:fill="FFFFFF"/>
          <w:lang w:val="en-US" w:eastAsia="zh-CN"/>
        </w:rPr>
        <w:t>秦老师</w:t>
      </w:r>
    </w:p>
    <w:p>
      <w:pPr>
        <w:pStyle w:val="24"/>
        <w:spacing w:before="0" w:beforeAutospacing="0" w:after="0" w:afterAutospacing="0" w:line="510" w:lineRule="atLeast"/>
        <w:ind w:firstLine="420"/>
        <w:rPr>
          <w:rFonts w:hint="eastAsia"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联系地址:高陵区文卫路290号</w:t>
      </w:r>
    </w:p>
    <w:p>
      <w:pPr>
        <w:pStyle w:val="24"/>
        <w:spacing w:before="0" w:beforeAutospacing="0" w:after="0" w:afterAutospacing="0" w:line="510" w:lineRule="atLeast"/>
        <w:ind w:firstLine="420"/>
        <w:rPr>
          <w:rFonts w:hint="default" w:ascii="微软雅黑" w:hAnsi="微软雅黑" w:eastAsia="宋体" w:cs="微软雅黑"/>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联系电话：029-86921342</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2、项目联系方式</w:t>
      </w:r>
    </w:p>
    <w:p>
      <w:pPr>
        <w:pStyle w:val="24"/>
        <w:spacing w:before="0" w:beforeAutospacing="0" w:after="0" w:afterAutospacing="0" w:line="510" w:lineRule="atLeast"/>
        <w:ind w:firstLine="42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shd w:val="clear" w:color="auto" w:fill="FFFFFF"/>
        </w:rPr>
        <w:t>项目联系人：</w:t>
      </w:r>
      <w:r>
        <w:rPr>
          <w:rFonts w:hint="eastAsia" w:ascii="宋体" w:hAnsi="宋体" w:eastAsia="宋体" w:cs="宋体"/>
          <w:color w:val="auto"/>
          <w:sz w:val="21"/>
          <w:szCs w:val="21"/>
          <w:shd w:val="clear" w:color="auto" w:fill="FFFFFF"/>
          <w:lang w:val="en-US" w:eastAsia="zh-CN"/>
        </w:rPr>
        <w:t xml:space="preserve"> </w:t>
      </w:r>
      <w:r>
        <w:rPr>
          <w:rFonts w:hint="eastAsia" w:cs="宋体"/>
          <w:color w:val="auto"/>
          <w:sz w:val="21"/>
          <w:szCs w:val="21"/>
          <w:shd w:val="clear" w:color="auto" w:fill="FFFFFF"/>
          <w:lang w:val="en-US" w:eastAsia="zh-CN"/>
        </w:rPr>
        <w:t>杨</w:t>
      </w:r>
      <w:r>
        <w:rPr>
          <w:rFonts w:hint="eastAsia" w:eastAsia="宋体" w:cs="宋体"/>
          <w:color w:val="auto"/>
          <w:sz w:val="21"/>
          <w:szCs w:val="21"/>
          <w:shd w:val="clear" w:color="auto" w:fill="FFFFFF"/>
          <w:lang w:val="en-US" w:eastAsia="zh-CN"/>
        </w:rPr>
        <w:t>工</w:t>
      </w:r>
    </w:p>
    <w:p>
      <w:pPr>
        <w:pStyle w:val="24"/>
        <w:spacing w:before="0" w:beforeAutospacing="0" w:after="0" w:afterAutospacing="0" w:line="510" w:lineRule="atLeast"/>
        <w:ind w:firstLine="420"/>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电 话：</w:t>
      </w:r>
      <w:r>
        <w:rPr>
          <w:rFonts w:hint="eastAsia" w:ascii="宋体" w:hAnsi="宋体" w:eastAsia="宋体" w:cs="宋体"/>
          <w:color w:val="auto"/>
          <w:sz w:val="21"/>
          <w:szCs w:val="21"/>
          <w:shd w:val="clear" w:color="auto" w:fill="FFFFFF"/>
          <w:lang w:val="en-US" w:eastAsia="zh-CN"/>
        </w:rPr>
        <w:t xml:space="preserve"> </w:t>
      </w:r>
      <w:r>
        <w:rPr>
          <w:rFonts w:hint="eastAsia" w:cs="宋体"/>
          <w:color w:val="auto"/>
          <w:sz w:val="21"/>
          <w:szCs w:val="21"/>
          <w:shd w:val="clear" w:color="auto" w:fill="FFFFFF"/>
          <w:lang w:val="en-US" w:eastAsia="zh-CN"/>
        </w:rPr>
        <w:t>18710384099</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传 真：/</w:t>
      </w:r>
    </w:p>
    <w:p>
      <w:pPr>
        <w:pStyle w:val="24"/>
        <w:spacing w:before="0" w:beforeAutospacing="0" w:after="0" w:afterAutospacing="0" w:line="510" w:lineRule="atLeast"/>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3、采购代理机构信息</w:t>
      </w:r>
    </w:p>
    <w:p>
      <w:pPr>
        <w:pStyle w:val="24"/>
        <w:spacing w:before="0" w:beforeAutospacing="0" w:after="0" w:afterAutospacing="0" w:line="510" w:lineRule="atLeast"/>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shd w:val="clear" w:color="auto" w:fill="FFFFFF"/>
        </w:rPr>
        <w:t>名称：</w:t>
      </w:r>
      <w:r>
        <w:rPr>
          <w:rFonts w:hint="eastAsia" w:eastAsia="宋体" w:cs="宋体"/>
          <w:color w:val="auto"/>
          <w:sz w:val="21"/>
          <w:szCs w:val="21"/>
          <w:shd w:val="clear" w:color="auto" w:fill="FFFFFF"/>
          <w:lang w:eastAsia="zh-CN"/>
        </w:rPr>
        <w:t>陕西迪诚项目管理有限公司</w:t>
      </w:r>
    </w:p>
    <w:p>
      <w:pPr>
        <w:pStyle w:val="24"/>
        <w:spacing w:before="0" w:beforeAutospacing="0" w:after="0" w:afterAutospacing="0" w:line="510" w:lineRule="atLeast"/>
        <w:ind w:firstLine="420"/>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rPr>
        <w:t>联系地址：</w:t>
      </w:r>
      <w:r>
        <w:rPr>
          <w:rFonts w:hint="eastAsia" w:eastAsia="宋体" w:cs="宋体"/>
          <w:color w:val="auto"/>
          <w:sz w:val="21"/>
          <w:szCs w:val="21"/>
          <w:shd w:val="clear" w:color="auto" w:fill="FFFFFF"/>
          <w:lang w:eastAsia="zh-CN"/>
        </w:rPr>
        <w:t>西安市未央区凤城四路世融国际中心</w:t>
      </w:r>
      <w:r>
        <w:rPr>
          <w:rFonts w:hint="eastAsia" w:cs="宋体"/>
          <w:color w:val="auto"/>
          <w:sz w:val="21"/>
          <w:szCs w:val="21"/>
          <w:shd w:val="clear" w:color="auto" w:fill="FFFFFF"/>
          <w:lang w:val="en-US" w:eastAsia="zh-CN"/>
        </w:rPr>
        <w:t>805</w:t>
      </w:r>
      <w:r>
        <w:rPr>
          <w:rFonts w:hint="eastAsia" w:eastAsia="宋体" w:cs="宋体"/>
          <w:color w:val="auto"/>
          <w:sz w:val="21"/>
          <w:szCs w:val="21"/>
          <w:shd w:val="clear" w:color="auto" w:fill="FFFFFF"/>
          <w:lang w:eastAsia="zh-CN"/>
        </w:rPr>
        <w:t>办公室</w:t>
      </w:r>
    </w:p>
    <w:p>
      <w:pPr>
        <w:pStyle w:val="24"/>
        <w:spacing w:before="0" w:beforeAutospacing="0" w:after="0" w:afterAutospacing="0" w:line="510" w:lineRule="atLeast"/>
        <w:ind w:firstLine="420"/>
        <w:rPr>
          <w:rFonts w:hint="eastAsia" w:ascii="微软雅黑" w:hAnsi="微软雅黑" w:eastAsia="微软雅黑" w:cs="微软雅黑"/>
          <w:i w:val="0"/>
          <w:iCs w:val="0"/>
          <w:caps w:val="0"/>
          <w:spacing w:val="0"/>
          <w:sz w:val="21"/>
          <w:szCs w:val="21"/>
          <w:u w:val="none"/>
          <w:shd w:val="clear" w:color="auto" w:fill="FFFFFF"/>
        </w:rPr>
      </w:pPr>
    </w:p>
    <w:p>
      <w:pPr>
        <w:pStyle w:val="24"/>
        <w:spacing w:before="210" w:beforeAutospacing="0" w:after="210" w:afterAutospacing="0" w:line="510" w:lineRule="atLeast"/>
        <w:ind w:firstLine="420"/>
        <w:jc w:val="right"/>
        <w:rPr>
          <w:rFonts w:hint="eastAsia" w:ascii="宋体" w:hAnsi="宋体" w:eastAsia="宋体" w:cs="宋体"/>
          <w:b/>
          <w:bCs/>
          <w:color w:val="auto"/>
          <w:kern w:val="2"/>
          <w:sz w:val="36"/>
          <w:szCs w:val="36"/>
        </w:rPr>
      </w:pPr>
      <w:r>
        <w:rPr>
          <w:rFonts w:hint="eastAsia" w:eastAsia="宋体" w:cs="宋体"/>
          <w:color w:val="auto"/>
          <w:sz w:val="21"/>
          <w:szCs w:val="21"/>
          <w:shd w:val="clear" w:color="auto" w:fill="FFFFFF"/>
          <w:lang w:eastAsia="zh-CN"/>
        </w:rPr>
        <w:t>陕西迪诚项目管理有限</w:t>
      </w:r>
      <w:r>
        <w:rPr>
          <w:rFonts w:hint="eastAsia" w:eastAsia="宋体" w:cs="宋体"/>
          <w:color w:val="auto"/>
          <w:shd w:val="clear" w:color="auto" w:fill="FFFFFF"/>
          <w:lang w:eastAsia="zh-CN"/>
        </w:rPr>
        <w:t>公司</w:t>
      </w:r>
    </w:p>
    <w:p>
      <w:pPr>
        <w:rPr>
          <w:rFonts w:hint="eastAsia" w:ascii="宋体" w:hAnsi="宋体" w:eastAsia="宋体" w:cs="宋体"/>
          <w:b/>
          <w:bCs/>
          <w:color w:val="auto"/>
          <w:kern w:val="2"/>
          <w:sz w:val="36"/>
          <w:szCs w:val="36"/>
        </w:rPr>
      </w:pPr>
      <w:r>
        <w:rPr>
          <w:rFonts w:hint="eastAsia" w:ascii="宋体" w:hAnsi="宋体" w:eastAsia="宋体" w:cs="宋体"/>
          <w:b/>
          <w:bCs/>
          <w:color w:val="auto"/>
          <w:kern w:val="2"/>
          <w:sz w:val="36"/>
          <w:szCs w:val="36"/>
        </w:rPr>
        <w:br w:type="page"/>
      </w:r>
    </w:p>
    <w:p>
      <w:pPr>
        <w:tabs>
          <w:tab w:val="left" w:pos="-200"/>
          <w:tab w:val="left" w:pos="0"/>
        </w:tabs>
        <w:spacing w:line="360" w:lineRule="auto"/>
        <w:jc w:val="center"/>
        <w:rPr>
          <w:rFonts w:hint="eastAsia" w:ascii="宋体" w:hAnsi="宋体" w:eastAsia="宋体" w:cs="宋体"/>
          <w:bCs/>
          <w:color w:val="auto"/>
          <w:sz w:val="36"/>
          <w:szCs w:val="36"/>
        </w:rPr>
      </w:pPr>
      <w:r>
        <w:rPr>
          <w:rFonts w:hint="eastAsia" w:ascii="宋体" w:hAnsi="宋体" w:eastAsia="宋体" w:cs="宋体"/>
          <w:b/>
          <w:bCs/>
          <w:color w:val="auto"/>
          <w:kern w:val="2"/>
          <w:sz w:val="36"/>
          <w:szCs w:val="36"/>
        </w:rPr>
        <w:t xml:space="preserve">第二章  </w:t>
      </w:r>
      <w:bookmarkStart w:id="9" w:name="OLE_LINK3"/>
      <w:r>
        <w:rPr>
          <w:rFonts w:hint="eastAsia" w:ascii="宋体" w:hAnsi="宋体" w:eastAsia="宋体" w:cs="宋体"/>
          <w:b/>
          <w:bCs/>
          <w:color w:val="auto"/>
          <w:kern w:val="2"/>
          <w:sz w:val="36"/>
          <w:szCs w:val="36"/>
        </w:rPr>
        <w:t>供应商须知</w:t>
      </w:r>
      <w:bookmarkEnd w:id="9"/>
    </w:p>
    <w:p>
      <w:pPr>
        <w:pStyle w:val="7"/>
        <w:widowControl w:val="0"/>
        <w:spacing w:before="120" w:after="120" w:line="360" w:lineRule="auto"/>
        <w:ind w:left="0"/>
        <w:jc w:val="center"/>
        <w:rPr>
          <w:rFonts w:hint="eastAsia" w:ascii="宋体" w:hAnsi="宋体" w:eastAsia="宋体" w:cs="宋体"/>
          <w:color w:val="auto"/>
          <w:sz w:val="32"/>
        </w:rPr>
      </w:pPr>
      <w:bookmarkStart w:id="10" w:name="_Toc19364"/>
      <w:bookmarkStart w:id="11" w:name="OLE_LINK2"/>
      <w:bookmarkStart w:id="12" w:name="_Toc9230"/>
      <w:bookmarkStart w:id="13" w:name="_Toc423973073"/>
      <w:bookmarkStart w:id="14" w:name="_Toc31462"/>
      <w:r>
        <w:rPr>
          <w:rFonts w:hint="eastAsia" w:ascii="宋体" w:hAnsi="宋体" w:eastAsia="宋体" w:cs="宋体"/>
          <w:color w:val="auto"/>
          <w:sz w:val="32"/>
        </w:rPr>
        <w:t>供应商须知前附表</w:t>
      </w:r>
      <w:bookmarkEnd w:id="10"/>
      <w:bookmarkEnd w:id="11"/>
      <w:bookmarkEnd w:id="12"/>
      <w:bookmarkEnd w:id="13"/>
      <w:bookmarkEnd w:id="14"/>
    </w:p>
    <w:p>
      <w:pPr>
        <w:spacing w:line="44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本表是对供应商须知的具体补充和修改，如有矛盾，应以本资料表为准。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86"/>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cs="宋体"/>
                <w:b/>
                <w:color w:val="000000" w:themeColor="text1"/>
                <w:sz w:val="21"/>
                <w:szCs w:val="21"/>
                <w14:textFill>
                  <w14:solidFill>
                    <w14:schemeClr w14:val="tx1"/>
                  </w14:solidFill>
                </w14:textFill>
              </w:rPr>
              <w:t>序号</w:t>
            </w:r>
          </w:p>
        </w:tc>
        <w:tc>
          <w:tcPr>
            <w:tcW w:w="1786" w:type="dxa"/>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cs="宋体"/>
                <w:b/>
                <w:color w:val="000000" w:themeColor="text1"/>
                <w:sz w:val="21"/>
                <w:szCs w:val="21"/>
                <w14:textFill>
                  <w14:solidFill>
                    <w14:schemeClr w14:val="tx1"/>
                  </w14:solidFill>
                </w14:textFill>
              </w:rPr>
              <w:t>内容</w:t>
            </w:r>
          </w:p>
        </w:tc>
        <w:tc>
          <w:tcPr>
            <w:tcW w:w="6306" w:type="dxa"/>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cs="宋体"/>
                <w:b/>
                <w:color w:val="000000" w:themeColor="text1"/>
                <w:sz w:val="2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14:textFill>
                  <w14:solidFill>
                    <w14:schemeClr w14:val="tx1"/>
                  </w14:solidFill>
                </w14:textFill>
              </w:rPr>
              <w:t>采购人</w:t>
            </w:r>
          </w:p>
        </w:tc>
        <w:tc>
          <w:tcPr>
            <w:tcW w:w="6306" w:type="dxa"/>
            <w:noWrap w:val="0"/>
            <w:vAlign w:val="center"/>
          </w:tcPr>
          <w:p>
            <w:pPr>
              <w:pStyle w:val="14"/>
              <w:spacing w:line="360"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采购人：西安市高陵区</w:t>
            </w:r>
            <w:r>
              <w:rPr>
                <w:rFonts w:hint="eastAsia" w:hAnsi="宋体" w:cs="宋体"/>
                <w:color w:val="000000" w:themeColor="text1"/>
                <w:kern w:val="2"/>
                <w:sz w:val="21"/>
                <w:szCs w:val="21"/>
                <w:lang w:val="en-US" w:eastAsia="zh-CN" w:bidi="ar-SA"/>
                <w14:textFill>
                  <w14:solidFill>
                    <w14:schemeClr w14:val="tx1"/>
                  </w14:solidFill>
                </w14:textFill>
              </w:rPr>
              <w:t>教育局</w:t>
            </w:r>
          </w:p>
          <w:p>
            <w:pPr>
              <w:pStyle w:val="14"/>
              <w:spacing w:line="360" w:lineRule="auto"/>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联系人：秦老师</w:t>
            </w:r>
          </w:p>
          <w:p>
            <w:pPr>
              <w:pStyle w:val="14"/>
              <w:spacing w:line="360" w:lineRule="auto"/>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联系地址:高陵区文卫路290号</w:t>
            </w:r>
          </w:p>
          <w:p>
            <w:pPr>
              <w:pStyle w:val="14"/>
              <w:spacing w:line="360" w:lineRule="auto"/>
              <w:jc w:val="left"/>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联系电话：029-86921342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14:textFill>
                  <w14:solidFill>
                    <w14:schemeClr w14:val="tx1"/>
                  </w14:solidFill>
                </w14:textFill>
              </w:rPr>
              <w:t>采购代理机构</w:t>
            </w:r>
          </w:p>
        </w:tc>
        <w:tc>
          <w:tcPr>
            <w:tcW w:w="6306" w:type="dxa"/>
            <w:noWrap w:val="0"/>
            <w:vAlign w:val="center"/>
          </w:tcPr>
          <w:p>
            <w:pPr>
              <w:spacing w:line="360"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代理机构：陕西迪诚项目管理有限公司</w:t>
            </w:r>
          </w:p>
          <w:p>
            <w:pPr>
              <w:spacing w:line="360"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地址：陕西省西安市未央区凤城四路世融国际中心805室</w:t>
            </w:r>
          </w:p>
          <w:p>
            <w:pPr>
              <w:spacing w:line="360"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联系人：杨工</w:t>
            </w:r>
          </w:p>
          <w:p>
            <w:pPr>
              <w:spacing w:line="360" w:lineRule="auto"/>
              <w:jc w:val="left"/>
              <w:rPr>
                <w:rFonts w:hint="default" w:ascii="宋体" w:hAnsi="宋体" w:eastAsia="宋体" w:cs="宋体"/>
                <w:color w:val="auto"/>
                <w:sz w:val="21"/>
                <w:szCs w:val="21"/>
                <w:lang w:val="en-US" w:eastAsia="zh-CN"/>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电话号码：</w:t>
            </w:r>
            <w:r>
              <w:rPr>
                <w:rFonts w:hint="eastAsia" w:ascii="宋体" w:hAnsi="宋体" w:cs="宋体"/>
                <w:color w:val="000000" w:themeColor="text1"/>
                <w:kern w:val="2"/>
                <w:sz w:val="21"/>
                <w:szCs w:val="21"/>
                <w:lang w:val="en-US" w:eastAsia="zh-CN" w:bidi="ar-SA"/>
                <w14:textFill>
                  <w14:solidFill>
                    <w14:schemeClr w14:val="tx1"/>
                  </w14:solidFill>
                </w14:textFill>
              </w:rPr>
              <w:t>18710384099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14:textFill>
                  <w14:solidFill>
                    <w14:schemeClr w14:val="tx1"/>
                  </w14:solidFill>
                </w14:textFill>
              </w:rPr>
              <w:t>项目名称</w:t>
            </w:r>
          </w:p>
        </w:tc>
        <w:tc>
          <w:tcPr>
            <w:tcW w:w="6306" w:type="dxa"/>
            <w:noWrap w:val="0"/>
            <w:vAlign w:val="center"/>
          </w:tcPr>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lang w:val="en-US" w:eastAsia="zh-CN"/>
              </w:rPr>
              <w:t>西安市高陵区船张观澜小学校园文化项目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14:textFill>
                  <w14:solidFill>
                    <w14:schemeClr w14:val="tx1"/>
                  </w14:solidFill>
                </w14:textFill>
              </w:rPr>
              <w:t>项目编号</w:t>
            </w:r>
          </w:p>
        </w:tc>
        <w:tc>
          <w:tcPr>
            <w:tcW w:w="6306" w:type="dxa"/>
            <w:noWrap w:val="0"/>
            <w:vAlign w:val="center"/>
          </w:tcPr>
          <w:p>
            <w:pPr>
              <w:spacing w:line="360" w:lineRule="auto"/>
              <w:jc w:val="left"/>
              <w:rPr>
                <w:rFonts w:hint="eastAsia" w:ascii="宋体" w:hAnsi="宋体" w:eastAsia="宋体" w:cs="宋体"/>
                <w:color w:val="auto"/>
                <w:sz w:val="21"/>
                <w:szCs w:val="21"/>
              </w:rPr>
            </w:pPr>
            <w:r>
              <w:rPr>
                <w:rFonts w:hint="default" w:ascii="宋体" w:hAnsi="宋体" w:eastAsia="宋体" w:cs="宋体"/>
                <w:color w:val="000000" w:themeColor="text1"/>
                <w:sz w:val="21"/>
                <w:szCs w:val="21"/>
                <w:lang w:val="en-US" w:eastAsia="zh-CN"/>
                <w14:textFill>
                  <w14:solidFill>
                    <w14:schemeClr w14:val="tx1"/>
                  </w14:solidFill>
                </w14:textFill>
              </w:rPr>
              <w:t>SXDC2022-ZB-</w:t>
            </w:r>
            <w:r>
              <w:rPr>
                <w:rFonts w:hint="eastAsia" w:ascii="宋体" w:hAnsi="宋体" w:cs="宋体"/>
                <w:color w:val="000000" w:themeColor="text1"/>
                <w:sz w:val="21"/>
                <w:szCs w:val="21"/>
                <w:lang w:val="en-US" w:eastAsia="zh-CN"/>
                <w14:textFill>
                  <w14:solidFill>
                    <w14:schemeClr w14:val="tx1"/>
                  </w14:solidFill>
                </w14:textFill>
              </w:rPr>
              <w:t>2</w:t>
            </w:r>
            <w:r>
              <w:rPr>
                <w:rFonts w:hint="eastAsia" w:hAnsi="宋体" w:cs="宋体"/>
                <w:color w:val="000000" w:themeColor="text1"/>
                <w:sz w:val="21"/>
                <w:szCs w:val="21"/>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highlight w:val="none"/>
                <w14:textFill>
                  <w14:solidFill>
                    <w14:schemeClr w14:val="tx1"/>
                  </w14:solidFill>
                </w14:textFill>
              </w:rPr>
              <w:t>采购内容</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西安市高陵区船张观澜小学校园文化项目</w:t>
            </w:r>
            <w:r>
              <w:rPr>
                <w:rFonts w:hint="eastAsia" w:ascii="宋体" w:hAnsi="宋体" w:eastAsia="宋体" w:cs="宋体"/>
                <w:color w:val="auto"/>
                <w:sz w:val="21"/>
                <w:szCs w:val="21"/>
              </w:rPr>
              <w:t xml:space="preserve">，1批， 采购预算： </w:t>
            </w:r>
            <w:r>
              <w:rPr>
                <w:rFonts w:hint="eastAsia" w:ascii="宋体" w:hAnsi="宋体" w:eastAsia="宋体" w:cs="宋体"/>
                <w:color w:val="auto"/>
                <w:sz w:val="21"/>
                <w:szCs w:val="21"/>
                <w:lang w:val="en-US" w:eastAsia="zh-CN"/>
              </w:rPr>
              <w:t>800000.00元</w:t>
            </w:r>
            <w:r>
              <w:rPr>
                <w:rFonts w:hint="eastAsia" w:ascii="宋体" w:hAnsi="宋体" w:eastAsia="宋体" w:cs="宋体"/>
                <w:color w:val="auto"/>
                <w:sz w:val="21"/>
                <w:szCs w:val="21"/>
              </w:rPr>
              <w:t>， 项目概况：</w:t>
            </w:r>
            <w:r>
              <w:rPr>
                <w:rFonts w:hint="eastAsia" w:ascii="宋体" w:hAnsi="宋体" w:eastAsia="宋体" w:cs="宋体"/>
                <w:color w:val="auto"/>
                <w:sz w:val="21"/>
                <w:szCs w:val="21"/>
                <w:lang w:val="en-US" w:eastAsia="zh-CN"/>
              </w:rPr>
              <w:t>为提升教育教学办学水平，对校园文化进行整体提升改造。具体内容详见</w:t>
            </w:r>
            <w:r>
              <w:rPr>
                <w:rFonts w:hint="eastAsia" w:ascii="宋体" w:hAnsi="宋体" w:cs="宋体"/>
                <w:color w:val="auto"/>
                <w:sz w:val="21"/>
                <w:szCs w:val="21"/>
                <w:lang w:val="en-US" w:eastAsia="zh-CN"/>
              </w:rPr>
              <w:t>竞争性</w:t>
            </w:r>
            <w:r>
              <w:rPr>
                <w:rFonts w:hint="eastAsia" w:ascii="宋体" w:hAnsi="宋体" w:eastAsia="宋体" w:cs="宋体"/>
                <w:color w:val="auto"/>
                <w:sz w:val="21"/>
                <w:szCs w:val="21"/>
                <w:lang w:val="en-US" w:eastAsia="zh-CN"/>
              </w:rPr>
              <w:t>磋商文件</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widowControl/>
              <w:tabs>
                <w:tab w:val="left" w:pos="1620"/>
              </w:tabs>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采购预算</w:t>
            </w:r>
          </w:p>
        </w:tc>
        <w:tc>
          <w:tcPr>
            <w:tcW w:w="6306" w:type="dxa"/>
            <w:noWrap w:val="0"/>
            <w:vAlign w:val="center"/>
          </w:tcPr>
          <w:p>
            <w:pPr>
              <w:widowControl/>
              <w:tabs>
                <w:tab w:val="left" w:pos="1620"/>
              </w:tabs>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人民币：</w:t>
            </w:r>
            <w:r>
              <w:rPr>
                <w:rFonts w:hint="eastAsia"/>
                <w:sz w:val="21"/>
                <w:szCs w:val="21"/>
                <w:highlight w:val="none"/>
                <w:lang w:val="en-US" w:eastAsia="zh-CN"/>
              </w:rPr>
              <w:t>800000.00</w:t>
            </w:r>
            <w:r>
              <w:rPr>
                <w:rFonts w:hint="default"/>
                <w:sz w:val="21"/>
                <w:szCs w:val="21"/>
                <w:highlight w:val="none"/>
                <w:lang w:val="en-US" w:eastAsia="zh-CN"/>
              </w:rPr>
              <w:t>元</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最高限价：</w:t>
            </w:r>
            <w:r>
              <w:rPr>
                <w:rFonts w:hint="eastAsia"/>
                <w:sz w:val="21"/>
                <w:szCs w:val="21"/>
                <w:highlight w:val="none"/>
                <w:lang w:val="en-US" w:eastAsia="zh-CN"/>
              </w:rPr>
              <w:t>794000.00元</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14:textFill>
                  <w14:solidFill>
                    <w14:schemeClr w14:val="tx1"/>
                  </w14:solidFill>
                </w14:textFill>
              </w:rPr>
              <w:t>采购地点</w:t>
            </w:r>
          </w:p>
        </w:tc>
        <w:tc>
          <w:tcPr>
            <w:tcW w:w="6306" w:type="dxa"/>
            <w:noWrap w:val="0"/>
            <w:vAlign w:val="center"/>
          </w:tcPr>
          <w:p>
            <w:pPr>
              <w:widowControl/>
              <w:spacing w:line="360" w:lineRule="auto"/>
              <w:textAlignment w:val="center"/>
              <w:rPr>
                <w:rFonts w:hint="eastAsia" w:ascii="宋体" w:hAnsi="宋体" w:eastAsia="宋体" w:cs="宋体"/>
                <w:color w:val="auto"/>
                <w:sz w:val="21"/>
                <w:szCs w:val="21"/>
              </w:rPr>
            </w:pPr>
            <w:r>
              <w:rPr>
                <w:rFonts w:hint="eastAsia" w:ascii="宋体" w:hAnsi="宋体" w:cs="宋体"/>
                <w:color w:val="000000" w:themeColor="text1"/>
                <w:sz w:val="2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完工期</w:t>
            </w:r>
          </w:p>
        </w:tc>
        <w:tc>
          <w:tcPr>
            <w:tcW w:w="630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质保期</w:t>
            </w:r>
          </w:p>
        </w:tc>
        <w:tc>
          <w:tcPr>
            <w:tcW w:w="630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14:textFill>
                  <w14:solidFill>
                    <w14:schemeClr w14:val="tx1"/>
                  </w14:solidFill>
                </w14:textFill>
              </w:rPr>
              <w:t>质量标准</w:t>
            </w:r>
          </w:p>
        </w:tc>
        <w:tc>
          <w:tcPr>
            <w:tcW w:w="6306"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themeColor="text1"/>
                <w:sz w:val="21"/>
                <w:szCs w:val="21"/>
                <w:highlight w:val="none"/>
                <w14:textFill>
                  <w14:solidFill>
                    <w14:schemeClr w14:val="tx1"/>
                  </w14:solidFill>
                </w14:textFill>
              </w:rPr>
              <w:t>资金来源</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cs="宋体"/>
                <w:color w:val="000000" w:themeColor="text1"/>
                <w:sz w:val="21"/>
                <w:szCs w:val="21"/>
                <w:highlight w:val="none"/>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14:textFill>
                  <w14:solidFill>
                    <w14:schemeClr w14:val="tx1"/>
                  </w14:solidFill>
                </w14:textFill>
              </w:rPr>
              <w:t>付款方式</w:t>
            </w:r>
          </w:p>
        </w:tc>
        <w:tc>
          <w:tcPr>
            <w:tcW w:w="6306" w:type="dxa"/>
            <w:noWrap w:val="0"/>
            <w:vAlign w:val="center"/>
          </w:tcPr>
          <w:p>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项目完工且通过</w:t>
            </w:r>
            <w:r>
              <w:rPr>
                <w:rFonts w:hint="eastAsia" w:ascii="宋体" w:hAnsi="宋体" w:eastAsia="宋体" w:cs="宋体"/>
                <w:color w:val="auto"/>
                <w:sz w:val="21"/>
                <w:szCs w:val="21"/>
                <w:highlight w:val="none"/>
              </w:rPr>
              <w:t>甲方验收合格后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甲方向乙方一次性支付合同款的100%。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14:textFill>
                  <w14:solidFill>
                    <w14:schemeClr w14:val="tx1"/>
                  </w14:solidFill>
                </w14:textFill>
              </w:rPr>
              <w:t>磋商文件发售</w:t>
            </w:r>
          </w:p>
        </w:tc>
        <w:tc>
          <w:tcPr>
            <w:tcW w:w="6306" w:type="dxa"/>
            <w:noWrap w:val="0"/>
            <w:vAlign w:val="center"/>
          </w:tcPr>
          <w:p>
            <w:pPr>
              <w:spacing w:line="360" w:lineRule="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发售时间：2022年04月07日至2022年04月13日（上午9：00-12:00，下午14:00-17:00）。</w:t>
            </w:r>
          </w:p>
          <w:p>
            <w:pPr>
              <w:spacing w:line="360" w:lineRule="auto"/>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发售地点：陕西省西安市未央区凤城四路世融国际中心805室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sz w:val="21"/>
                <w:szCs w:val="21"/>
              </w:rPr>
              <w:t>联合体磋商</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cs="宋体"/>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wordWrap w:val="0"/>
              <w:spacing w:line="360" w:lineRule="auto"/>
              <w:jc w:val="center"/>
              <w:rPr>
                <w:rFonts w:hint="eastAsia" w:ascii="宋体" w:hAnsi="宋体" w:eastAsia="宋体" w:cs="宋体"/>
                <w:color w:val="auto"/>
                <w:sz w:val="21"/>
                <w:szCs w:val="21"/>
              </w:rPr>
            </w:pPr>
            <w:r>
              <w:rPr>
                <w:rFonts w:hint="eastAsia" w:ascii="宋体" w:hAnsi="宋体" w:cs="宋体"/>
                <w:color w:val="000000"/>
                <w:kern w:val="0"/>
                <w:sz w:val="21"/>
                <w:szCs w:val="21"/>
              </w:rPr>
              <w:t>踏勘现场</w:t>
            </w:r>
          </w:p>
        </w:tc>
        <w:tc>
          <w:tcPr>
            <w:tcW w:w="6306" w:type="dxa"/>
            <w:noWrap w:val="0"/>
            <w:vAlign w:val="center"/>
          </w:tcPr>
          <w:p>
            <w:pPr>
              <w:wordWrap w:val="0"/>
              <w:spacing w:line="360" w:lineRule="auto"/>
              <w:jc w:val="left"/>
              <w:rPr>
                <w:rFonts w:hint="eastAsia" w:ascii="宋体" w:hAnsi="宋体" w:eastAsia="宋体" w:cs="宋体"/>
                <w:color w:val="auto"/>
                <w:sz w:val="21"/>
                <w:szCs w:val="21"/>
              </w:rPr>
            </w:pPr>
            <w:r>
              <w:rPr>
                <w:rFonts w:hint="eastAsia" w:ascii="宋体" w:hAnsi="宋体" w:cs="宋体"/>
                <w:color w:val="000000"/>
                <w:sz w:val="21"/>
                <w:szCs w:val="21"/>
              </w:rPr>
              <w:t>不组织统一踏勘现场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sz w:val="21"/>
                <w:szCs w:val="21"/>
              </w:rPr>
              <w:t>供应商对磋商文件提出问题的截止时间</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cs="宋体"/>
                <w:sz w:val="21"/>
                <w:szCs w:val="21"/>
              </w:rPr>
              <w:t>磋商文件递交截止时间3日前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sz w:val="21"/>
                <w:szCs w:val="21"/>
              </w:rPr>
              <w:t>采购代理机构答疑的时间</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cs="宋体"/>
                <w:sz w:val="21"/>
                <w:szCs w:val="21"/>
              </w:rPr>
              <w:t>自收到供应商疑问2日内答疑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tabs>
                <w:tab w:val="left" w:pos="1845"/>
                <w:tab w:val="right" w:pos="9014"/>
              </w:tabs>
              <w:spacing w:line="360" w:lineRule="auto"/>
              <w:jc w:val="center"/>
              <w:rPr>
                <w:rFonts w:hint="eastAsia" w:ascii="宋体" w:hAnsi="宋体" w:eastAsia="宋体" w:cs="宋体"/>
                <w:color w:val="auto"/>
                <w:sz w:val="21"/>
                <w:szCs w:val="21"/>
              </w:rPr>
            </w:pPr>
            <w:r>
              <w:rPr>
                <w:rFonts w:hint="eastAsia" w:ascii="宋体" w:hAnsi="宋体" w:cs="宋体"/>
                <w:color w:val="000000" w:themeColor="text1"/>
                <w:kern w:val="0"/>
                <w:sz w:val="21"/>
                <w:szCs w:val="21"/>
                <w14:textFill>
                  <w14:solidFill>
                    <w14:schemeClr w14:val="tx1"/>
                  </w14:solidFill>
                </w14:textFill>
              </w:rPr>
              <w:t>构成磋商文件的其他文件</w:t>
            </w:r>
          </w:p>
        </w:tc>
        <w:tc>
          <w:tcPr>
            <w:tcW w:w="6306" w:type="dxa"/>
            <w:noWrap w:val="0"/>
            <w:vAlign w:val="center"/>
          </w:tcPr>
          <w:p>
            <w:pPr>
              <w:tabs>
                <w:tab w:val="left" w:pos="1845"/>
                <w:tab w:val="right" w:pos="9014"/>
              </w:tabs>
              <w:spacing w:line="360" w:lineRule="auto"/>
              <w:rPr>
                <w:rFonts w:hint="eastAsia" w:ascii="宋体" w:hAnsi="宋体" w:eastAsia="宋体" w:cs="宋体"/>
                <w:color w:val="auto"/>
                <w:sz w:val="21"/>
                <w:szCs w:val="21"/>
              </w:rPr>
            </w:pPr>
            <w:r>
              <w:rPr>
                <w:rFonts w:hint="eastAsia" w:ascii="宋体" w:hAnsi="宋体" w:cs="宋体"/>
                <w:kern w:val="0"/>
                <w:sz w:val="21"/>
                <w:szCs w:val="21"/>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pStyle w:val="49"/>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14:textFill>
                  <w14:solidFill>
                    <w14:schemeClr w14:val="tx1"/>
                  </w14:solidFill>
                </w14:textFill>
              </w:rPr>
              <w:t>磋商文件递交截止时间和地点</w:t>
            </w:r>
          </w:p>
        </w:tc>
        <w:tc>
          <w:tcPr>
            <w:tcW w:w="6306" w:type="dxa"/>
            <w:noWrap w:val="0"/>
            <w:vAlign w:val="center"/>
          </w:tcPr>
          <w:p>
            <w:pPr>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1.磋商文件截止时间：2022年0</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月</w:t>
            </w:r>
            <w:r>
              <w:rPr>
                <w:rFonts w:hint="eastAsia" w:ascii="宋体" w:hAnsi="宋体" w:cs="宋体"/>
                <w:kern w:val="0"/>
                <w:sz w:val="21"/>
                <w:szCs w:val="21"/>
                <w:highlight w:val="none"/>
                <w:lang w:val="en-US" w:eastAsia="zh-CN" w:bidi="ar-SA"/>
              </w:rPr>
              <w:t>19</w:t>
            </w:r>
            <w:r>
              <w:rPr>
                <w:rFonts w:hint="eastAsia" w:ascii="宋体" w:hAnsi="宋体" w:eastAsia="宋体" w:cs="宋体"/>
                <w:kern w:val="0"/>
                <w:sz w:val="21"/>
                <w:szCs w:val="21"/>
                <w:highlight w:val="none"/>
                <w:lang w:val="en-US" w:eastAsia="zh-CN" w:bidi="ar-SA"/>
              </w:rPr>
              <w:t>日1</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:00（北京时间）</w:t>
            </w:r>
          </w:p>
          <w:p>
            <w:pPr>
              <w:spacing w:line="36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2.磋商时间：2022年0</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月</w:t>
            </w:r>
            <w:r>
              <w:rPr>
                <w:rFonts w:hint="eastAsia" w:ascii="宋体" w:hAnsi="宋体" w:cs="宋体"/>
                <w:kern w:val="0"/>
                <w:sz w:val="21"/>
                <w:szCs w:val="21"/>
                <w:highlight w:val="none"/>
                <w:lang w:val="en-US" w:eastAsia="zh-CN" w:bidi="ar-SA"/>
              </w:rPr>
              <w:t>19</w:t>
            </w:r>
            <w:r>
              <w:rPr>
                <w:rFonts w:hint="eastAsia" w:ascii="宋体" w:hAnsi="宋体" w:eastAsia="宋体" w:cs="宋体"/>
                <w:kern w:val="0"/>
                <w:sz w:val="21"/>
                <w:szCs w:val="21"/>
                <w:highlight w:val="none"/>
                <w:lang w:val="en-US" w:eastAsia="zh-CN" w:bidi="ar-SA"/>
              </w:rPr>
              <w:t>日1</w:t>
            </w:r>
            <w:r>
              <w:rPr>
                <w:rFonts w:hint="eastAsia" w:ascii="宋体" w:hAnsi="宋体" w:cs="宋体"/>
                <w:kern w:val="0"/>
                <w:sz w:val="21"/>
                <w:szCs w:val="21"/>
                <w:highlight w:val="none"/>
                <w:lang w:val="en-US" w:eastAsia="zh-CN" w:bidi="ar-SA"/>
              </w:rPr>
              <w:t>4</w:t>
            </w:r>
            <w:r>
              <w:rPr>
                <w:rFonts w:hint="eastAsia" w:ascii="宋体" w:hAnsi="宋体" w:eastAsia="宋体" w:cs="宋体"/>
                <w:kern w:val="0"/>
                <w:sz w:val="21"/>
                <w:szCs w:val="21"/>
                <w:highlight w:val="none"/>
                <w:lang w:val="en-US" w:eastAsia="zh-CN" w:bidi="ar-SA"/>
              </w:rPr>
              <w:t>:00（（北京时间）</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en-US" w:eastAsia="zh-CN" w:bidi="ar-SA"/>
              </w:rPr>
              <w:t>3.磋商地点：陕西省西安市未央区凤城四路世融国际中心805室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pStyle w:val="49"/>
              <w:jc w:val="center"/>
              <w:rPr>
                <w:rFonts w:hint="eastAsia" w:ascii="宋体" w:hAnsi="宋体" w:eastAsia="宋体" w:cs="宋体"/>
                <w:color w:val="auto"/>
                <w:sz w:val="21"/>
                <w:szCs w:val="21"/>
              </w:rPr>
            </w:pPr>
            <w:r>
              <w:rPr>
                <w:rFonts w:hint="eastAsia" w:ascii="宋体" w:hAnsi="宋体" w:cs="宋体"/>
                <w:color w:val="000000"/>
                <w:sz w:val="21"/>
                <w:szCs w:val="21"/>
              </w:rPr>
              <w:t>磋商小组的组建</w:t>
            </w:r>
          </w:p>
        </w:tc>
        <w:tc>
          <w:tcPr>
            <w:tcW w:w="6306" w:type="dxa"/>
            <w:noWrap w:val="0"/>
            <w:vAlign w:val="center"/>
          </w:tcPr>
          <w:p>
            <w:pPr>
              <w:tabs>
                <w:tab w:val="left" w:pos="1845"/>
                <w:tab w:val="right" w:pos="9014"/>
              </w:tabs>
              <w:spacing w:line="360" w:lineRule="auto"/>
              <w:rPr>
                <w:rFonts w:hint="eastAsia" w:ascii="宋体" w:hAnsi="宋体" w:eastAsia="宋体" w:cs="宋体"/>
                <w:color w:val="auto"/>
                <w:sz w:val="21"/>
                <w:szCs w:val="21"/>
              </w:rPr>
            </w:pPr>
            <w:r>
              <w:rPr>
                <w:rFonts w:hint="eastAsia" w:ascii="宋体" w:hAnsi="宋体" w:cs="宋体"/>
                <w:kern w:val="0"/>
                <w:sz w:val="21"/>
                <w:szCs w:val="21"/>
              </w:rPr>
              <w:t>磋商小组构成：3人，其中采购人代表1人，专家2人；专家名单在陕西省财政厅政府采购专家库中</w:t>
            </w:r>
            <w:r>
              <w:rPr>
                <w:rFonts w:hint="eastAsia" w:ascii="宋体" w:hAnsi="宋体" w:cs="宋体"/>
                <w:kern w:val="0"/>
                <w:sz w:val="21"/>
                <w:szCs w:val="21"/>
                <w:lang w:val="en-US" w:eastAsia="zh-CN"/>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tabs>
                <w:tab w:val="left" w:pos="1845"/>
                <w:tab w:val="right" w:pos="9014"/>
              </w:tabs>
              <w:spacing w:line="360" w:lineRule="auto"/>
              <w:jc w:val="center"/>
              <w:rPr>
                <w:rFonts w:hint="eastAsia" w:ascii="宋体" w:hAnsi="宋体" w:eastAsia="宋体" w:cs="宋体"/>
                <w:color w:val="auto"/>
                <w:sz w:val="21"/>
                <w:szCs w:val="21"/>
              </w:rPr>
            </w:pPr>
            <w:r>
              <w:rPr>
                <w:rFonts w:hint="eastAsia" w:ascii="宋体" w:hAnsi="宋体" w:cs="宋体"/>
                <w:color w:val="000000"/>
                <w:kern w:val="0"/>
                <w:sz w:val="21"/>
                <w:szCs w:val="21"/>
                <w:highlight w:val="none"/>
              </w:rPr>
              <w:t>磋商有效期</w:t>
            </w:r>
          </w:p>
        </w:tc>
        <w:tc>
          <w:tcPr>
            <w:tcW w:w="6306" w:type="dxa"/>
            <w:noWrap w:val="0"/>
            <w:vAlign w:val="center"/>
          </w:tcPr>
          <w:p>
            <w:pPr>
              <w:tabs>
                <w:tab w:val="left" w:pos="1845"/>
                <w:tab w:val="right" w:pos="9014"/>
              </w:tabs>
              <w:spacing w:line="360" w:lineRule="auto"/>
              <w:rPr>
                <w:rFonts w:hint="eastAsia" w:ascii="宋体" w:hAnsi="宋体" w:eastAsia="宋体" w:cs="宋体"/>
                <w:color w:val="auto"/>
                <w:sz w:val="21"/>
                <w:szCs w:val="21"/>
              </w:rPr>
            </w:pPr>
            <w:r>
              <w:rPr>
                <w:rFonts w:hint="eastAsia" w:ascii="宋体" w:hAnsi="宋体" w:cs="宋体"/>
                <w:kern w:val="0"/>
                <w:sz w:val="21"/>
                <w:szCs w:val="21"/>
                <w:highlight w:val="none"/>
              </w:rPr>
              <w:t>自磋商之日起九十（90）个日历日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color w:val="000000"/>
                <w:sz w:val="21"/>
                <w:szCs w:val="21"/>
              </w:rPr>
              <w:t>磋商保证金</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cs="宋体"/>
                <w:sz w:val="21"/>
                <w:szCs w:val="21"/>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exact"/>
              <w:jc w:val="center"/>
              <w:rPr>
                <w:rFonts w:hint="eastAsia" w:ascii="宋体" w:hAnsi="宋体" w:eastAsia="宋体" w:cs="宋体"/>
                <w:color w:val="auto"/>
                <w:sz w:val="21"/>
                <w:szCs w:val="21"/>
                <w:highlight w:val="yellow"/>
              </w:rPr>
            </w:pPr>
            <w:r>
              <w:rPr>
                <w:rFonts w:hint="eastAsia" w:ascii="宋体" w:hAnsi="宋体" w:cs="宋体"/>
                <w:color w:val="000000"/>
                <w:sz w:val="21"/>
                <w:szCs w:val="21"/>
              </w:rPr>
              <w:t>履约保证金</w:t>
            </w:r>
          </w:p>
        </w:tc>
        <w:tc>
          <w:tcPr>
            <w:tcW w:w="6306" w:type="dxa"/>
            <w:noWrap w:val="0"/>
            <w:vAlign w:val="center"/>
          </w:tcPr>
          <w:p>
            <w:pPr>
              <w:spacing w:line="360" w:lineRule="exact"/>
              <w:jc w:val="left"/>
              <w:rPr>
                <w:rFonts w:hint="eastAsia" w:ascii="宋体" w:hAnsi="宋体" w:eastAsia="宋体" w:cs="宋体"/>
                <w:color w:val="auto"/>
                <w:sz w:val="21"/>
                <w:szCs w:val="21"/>
                <w:highlight w:val="yellow"/>
                <w:lang w:eastAsia="zh-CN"/>
              </w:rPr>
            </w:pPr>
            <w:r>
              <w:rPr>
                <w:rFonts w:hint="eastAsia" w:ascii="宋体" w:hAnsi="宋体" w:cs="宋体"/>
                <w:sz w:val="21"/>
                <w:szCs w:val="21"/>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cs="宋体"/>
                <w:bCs/>
                <w:color w:val="000000" w:themeColor="text1"/>
                <w:sz w:val="21"/>
                <w:szCs w:val="21"/>
                <w14:textFill>
                  <w14:solidFill>
                    <w14:schemeClr w14:val="tx1"/>
                  </w14:solidFill>
                </w14:textFill>
              </w:rPr>
              <w:t>磋商报价</w:t>
            </w:r>
          </w:p>
        </w:tc>
        <w:tc>
          <w:tcPr>
            <w:tcW w:w="6306" w:type="dxa"/>
            <w:noWrap w:val="0"/>
            <w:vAlign w:val="center"/>
          </w:tcPr>
          <w:p>
            <w:pPr>
              <w:spacing w:line="360" w:lineRule="auto"/>
              <w:rPr>
                <w:rFonts w:hint="eastAsia" w:ascii="宋体" w:hAnsi="宋体" w:eastAsia="宋体" w:cs="宋体"/>
                <w:color w:val="auto"/>
                <w:sz w:val="21"/>
                <w:szCs w:val="21"/>
              </w:rPr>
            </w:pPr>
            <w:r>
              <w:rPr>
                <w:rFonts w:hint="eastAsia" w:ascii="宋体" w:hAnsi="宋体" w:cs="宋体"/>
                <w:bCs/>
                <w:color w:val="auto"/>
                <w:sz w:val="21"/>
                <w:szCs w:val="21"/>
              </w:rPr>
              <w:t>磋商报价是竞争性磋商文件所确定的磋商范围内的全部工作内容的价格体现，应包括材料费、施工费、运杂费（含保险）、仓储保管费、税金等其他一切相关费用，以及采购人在磋商前以及合同明示或暗示的所有风险、责任和义务。供应商成交后，总价将不作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rFonts w:hint="eastAsia" w:ascii="宋体" w:hAnsi="宋体" w:eastAsia="宋体" w:cs="宋体"/>
                <w:color w:val="auto"/>
                <w:sz w:val="21"/>
                <w:szCs w:val="21"/>
                <w:highlight w:val="yellow"/>
              </w:rPr>
            </w:pPr>
            <w:r>
              <w:rPr>
                <w:rFonts w:hint="eastAsia" w:ascii="宋体" w:hAnsi="宋体" w:cs="宋体"/>
                <w:color w:val="000000"/>
                <w:sz w:val="21"/>
                <w:szCs w:val="21"/>
              </w:rPr>
              <w:t>磋商响应文件的装订、数量</w:t>
            </w:r>
          </w:p>
        </w:tc>
        <w:tc>
          <w:tcPr>
            <w:tcW w:w="6306"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磋商响应文件一律采用书籍（胶装）方式装订。</w:t>
            </w:r>
            <w:r>
              <w:rPr>
                <w:rFonts w:hint="eastAsia" w:ascii="宋体" w:hAnsi="宋体" w:cs="宋体"/>
                <w:b/>
                <w:bCs/>
                <w:sz w:val="21"/>
                <w:szCs w:val="21"/>
              </w:rPr>
              <w:t>磋商响应文件正本壹份、副本贰份，电子版贰份（U盘，电子文档应为PDF与WORD格式）（注明供应商名称）。</w:t>
            </w:r>
            <w:r>
              <w:rPr>
                <w:rFonts w:hint="eastAsia" w:ascii="宋体" w:hAnsi="宋体" w:cs="宋体"/>
                <w:sz w:val="21"/>
                <w:szCs w:val="21"/>
              </w:rPr>
              <w:t>供应商应将响应文件的正本、所有副本和电子版文件，用单独的封袋分装密封（封袋不得有破损），在封袋上标明“正本”、“副本”或“电子版”字样，封袋封口处应加贴封条。</w:t>
            </w:r>
          </w:p>
          <w:p>
            <w:pPr>
              <w:tabs>
                <w:tab w:val="left" w:pos="7013"/>
              </w:tabs>
              <w:spacing w:line="360" w:lineRule="auto"/>
              <w:rPr>
                <w:rFonts w:hint="eastAsia" w:ascii="宋体" w:hAnsi="宋体" w:eastAsia="宋体" w:cs="宋体"/>
                <w:color w:val="auto"/>
                <w:sz w:val="21"/>
                <w:szCs w:val="21"/>
                <w:highlight w:val="yellow"/>
                <w:lang w:eastAsia="zh-CN"/>
              </w:rPr>
            </w:pPr>
            <w:r>
              <w:rPr>
                <w:rFonts w:hint="eastAsia" w:ascii="宋体" w:hAnsi="宋体" w:cs="宋体"/>
                <w:b/>
                <w:sz w:val="21"/>
                <w:szCs w:val="21"/>
              </w:rPr>
              <w:t>对未按磋商文件要求方式装订和递交的磋商响应文件，将作为无效文件处理。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jc w:val="center"/>
              <w:rPr>
                <w:rFonts w:ascii="宋体" w:hAnsi="宋体" w:cs="宋体"/>
                <w:color w:val="000000"/>
                <w:sz w:val="21"/>
                <w:szCs w:val="21"/>
              </w:rPr>
            </w:pPr>
            <w:r>
              <w:rPr>
                <w:rFonts w:hint="eastAsia" w:ascii="宋体" w:hAnsi="宋体" w:cs="宋体"/>
                <w:color w:val="000000"/>
                <w:sz w:val="21"/>
                <w:szCs w:val="21"/>
              </w:rPr>
              <w:t>磋商现场</w:t>
            </w:r>
          </w:p>
          <w:p>
            <w:pPr>
              <w:jc w:val="center"/>
              <w:rPr>
                <w:sz w:val="21"/>
                <w:szCs w:val="21"/>
              </w:rPr>
            </w:pPr>
            <w:r>
              <w:rPr>
                <w:rFonts w:hint="eastAsia" w:ascii="宋体" w:hAnsi="宋体" w:cs="宋体"/>
                <w:color w:val="000000"/>
                <w:sz w:val="21"/>
                <w:szCs w:val="21"/>
              </w:rPr>
              <w:t>须携带的资料</w:t>
            </w:r>
          </w:p>
        </w:tc>
        <w:tc>
          <w:tcPr>
            <w:tcW w:w="6306" w:type="dxa"/>
            <w:noWrap w:val="0"/>
            <w:vAlign w:val="center"/>
          </w:tcPr>
          <w:p>
            <w:pPr>
              <w:overflowPunct w:val="0"/>
              <w:adjustRightInd w:val="0"/>
              <w:snapToGrid w:val="0"/>
              <w:spacing w:line="360" w:lineRule="auto"/>
              <w:ind w:left="-2" w:leftChars="0" w:firstLine="0" w:firstLineChars="0"/>
              <w:rPr>
                <w:sz w:val="21"/>
                <w:szCs w:val="21"/>
              </w:rPr>
            </w:pPr>
            <w:r>
              <w:rPr>
                <w:rFonts w:hint="eastAsia" w:ascii="宋体" w:hAnsi="宋体" w:eastAsia="宋体" w:cs="宋体"/>
                <w:sz w:val="21"/>
                <w:szCs w:val="21"/>
              </w:rPr>
              <w:t>供应商被授权人</w:t>
            </w:r>
            <w:r>
              <w:rPr>
                <w:rFonts w:hint="eastAsia" w:ascii="宋体" w:hAnsi="宋体" w:eastAsia="宋体" w:cs="宋体"/>
                <w:sz w:val="21"/>
                <w:szCs w:val="21"/>
                <w:lang w:val="en-US" w:eastAsia="zh-CN"/>
              </w:rPr>
              <w:t>参加磋商会的</w:t>
            </w:r>
            <w:r>
              <w:rPr>
                <w:rFonts w:hint="eastAsia" w:ascii="宋体" w:hAnsi="宋体" w:eastAsia="宋体" w:cs="宋体"/>
                <w:sz w:val="21"/>
                <w:szCs w:val="21"/>
              </w:rPr>
              <w:t>须手持法定代表人授权委托书及被授权人身份证件原件（法定代表人直接参加时，只须出示法定代表人身份证明）。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sz w:val="21"/>
                <w:szCs w:val="21"/>
              </w:rPr>
            </w:pPr>
            <w:r>
              <w:rPr>
                <w:rFonts w:hint="eastAsia" w:ascii="宋体" w:hAnsi="宋体" w:cs="宋体"/>
                <w:sz w:val="21"/>
                <w:szCs w:val="21"/>
              </w:rPr>
              <w:t>封套上写明</w:t>
            </w:r>
          </w:p>
        </w:tc>
        <w:tc>
          <w:tcPr>
            <w:tcW w:w="6306" w:type="dxa"/>
            <w:noWrap w:val="0"/>
            <w:vAlign w:val="center"/>
          </w:tcPr>
          <w:p>
            <w:pPr>
              <w:pStyle w:val="49"/>
              <w:jc w:val="both"/>
              <w:rPr>
                <w:rFonts w:ascii="宋体" w:hAnsi="宋体" w:cs="宋体"/>
                <w:sz w:val="21"/>
                <w:szCs w:val="21"/>
              </w:rPr>
            </w:pPr>
            <w:r>
              <w:rPr>
                <w:rFonts w:hint="eastAsia" w:ascii="宋体" w:hAnsi="宋体" w:cs="宋体"/>
                <w:sz w:val="21"/>
                <w:szCs w:val="21"/>
              </w:rPr>
              <w:t>项目名称：</w:t>
            </w:r>
          </w:p>
          <w:p>
            <w:pPr>
              <w:pStyle w:val="49"/>
              <w:jc w:val="both"/>
              <w:rPr>
                <w:rFonts w:ascii="宋体" w:hAnsi="宋体" w:cs="宋体"/>
                <w:sz w:val="21"/>
                <w:szCs w:val="21"/>
              </w:rPr>
            </w:pPr>
            <w:r>
              <w:rPr>
                <w:rFonts w:hint="eastAsia" w:ascii="宋体" w:hAnsi="宋体" w:cs="宋体"/>
                <w:sz w:val="21"/>
                <w:szCs w:val="21"/>
              </w:rPr>
              <w:t>项目编号：</w:t>
            </w:r>
          </w:p>
          <w:p>
            <w:pPr>
              <w:pStyle w:val="49"/>
              <w:jc w:val="both"/>
              <w:rPr>
                <w:rFonts w:ascii="宋体" w:hAnsi="宋体" w:cs="宋体"/>
                <w:sz w:val="21"/>
                <w:szCs w:val="21"/>
              </w:rPr>
            </w:pPr>
            <w:r>
              <w:rPr>
                <w:rFonts w:hint="eastAsia" w:ascii="宋体" w:hAnsi="宋体" w:cs="宋体"/>
                <w:sz w:val="21"/>
                <w:szCs w:val="21"/>
              </w:rPr>
              <w:t>供应商名称：</w:t>
            </w:r>
          </w:p>
          <w:p>
            <w:pPr>
              <w:pStyle w:val="49"/>
              <w:jc w:val="both"/>
              <w:rPr>
                <w:rFonts w:hint="eastAsia" w:ascii="宋体" w:hAnsi="宋体" w:eastAsia="宋体" w:cs="宋体"/>
                <w:color w:val="auto"/>
                <w:sz w:val="21"/>
                <w:szCs w:val="21"/>
              </w:rPr>
            </w:pPr>
            <w:r>
              <w:rPr>
                <w:rFonts w:hint="eastAsia" w:ascii="宋体" w:hAnsi="宋体" w:cs="宋体"/>
                <w:sz w:val="21"/>
                <w:szCs w:val="21"/>
              </w:rPr>
              <w:t>磋商响应文件在</w:t>
            </w:r>
            <w:r>
              <w:rPr>
                <w:rFonts w:hint="eastAsia" w:ascii="宋体" w:hAnsi="宋体" w:cs="宋体"/>
                <w:sz w:val="21"/>
                <w:szCs w:val="21"/>
                <w:u w:val="single"/>
                <w:lang w:val="en-US" w:eastAsia="zh-CN"/>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r>
              <w:rPr>
                <w:rFonts w:hint="eastAsia" w:ascii="宋体" w:hAnsi="宋体" w:cs="宋体"/>
                <w:sz w:val="21"/>
                <w:szCs w:val="21"/>
                <w:u w:val="single"/>
              </w:rPr>
              <w:t xml:space="preserve">  </w:t>
            </w:r>
            <w:r>
              <w:rPr>
                <w:rFonts w:hint="eastAsia" w:ascii="宋体" w:hAnsi="宋体" w:cs="宋体"/>
                <w:sz w:val="21"/>
                <w:szCs w:val="21"/>
              </w:rPr>
              <w:t>时</w:t>
            </w:r>
            <w:r>
              <w:rPr>
                <w:rFonts w:hint="eastAsia" w:ascii="宋体" w:hAnsi="宋体" w:cs="宋体"/>
                <w:sz w:val="21"/>
                <w:szCs w:val="21"/>
                <w:u w:val="single"/>
              </w:rPr>
              <w:t xml:space="preserve">  </w:t>
            </w:r>
            <w:r>
              <w:rPr>
                <w:rFonts w:hint="eastAsia" w:ascii="宋体" w:hAnsi="宋体" w:cs="宋体"/>
                <w:sz w:val="21"/>
                <w:szCs w:val="21"/>
              </w:rPr>
              <w:t>分前“不得开启”字样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sz w:val="21"/>
                <w:szCs w:val="21"/>
              </w:rPr>
            </w:pPr>
            <w:r>
              <w:rPr>
                <w:rFonts w:hint="eastAsia" w:ascii="宋体" w:hAnsi="宋体" w:cs="宋体"/>
                <w:color w:val="000000"/>
                <w:sz w:val="21"/>
                <w:szCs w:val="21"/>
              </w:rPr>
              <w:t>供应商资格要求</w:t>
            </w:r>
          </w:p>
        </w:tc>
        <w:tc>
          <w:tcPr>
            <w:tcW w:w="6306" w:type="dxa"/>
            <w:noWrap w:val="0"/>
            <w:vAlign w:val="center"/>
          </w:tcPr>
          <w:p>
            <w:pPr>
              <w:spacing w:line="360" w:lineRule="auto"/>
              <w:rPr>
                <w:rFonts w:ascii="宋体" w:hAnsi="宋体" w:cs="宋体"/>
                <w:sz w:val="21"/>
                <w:szCs w:val="21"/>
              </w:rPr>
            </w:pPr>
            <w:r>
              <w:rPr>
                <w:rFonts w:hint="eastAsia" w:ascii="宋体" w:hAnsi="宋体" w:cs="宋体"/>
                <w:sz w:val="21"/>
                <w:szCs w:val="21"/>
              </w:rPr>
              <w:t>1、满足《中华人民共和国政府采购法》第二十二条规定</w:t>
            </w:r>
          </w:p>
          <w:p>
            <w:pPr>
              <w:pStyle w:val="14"/>
              <w:spacing w:line="360" w:lineRule="auto"/>
              <w:jc w:val="lef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2、本项目的特定资格要求：</w:t>
            </w:r>
            <w:r>
              <w:rPr>
                <w:rFonts w:hint="default" w:hAnsi="宋体" w:cs="宋体"/>
                <w:color w:val="000000"/>
                <w:highlight w:val="none"/>
                <w:lang w:val="en-US" w:eastAsia="zh-CN"/>
              </w:rPr>
              <w:t>(1)供应商为具有独立承担民事责任能力的法人或其他组织或自然人，并提供法人或者其他组织合法有效的统一社会信用代码的营业执照等证明文件，事业单位应提供事业单位法人证书，自然人应提供身份证明文件； (2)提供2021年度经审计的财务报告，或磋商前三个月内公司存款账户开户银行出具的资信证明，或信用担保机构出具的投标担保函（以上三种形式的资料提供任何一种即可）； (3)提供2021年1月至今任意一个月已缴纳完税凭证或税务机关开具的完税证明（任意税种）；依法免税的应提供相关文件证明； (4)提供2021年1月至今任意一个月已缴纳的社会保障资金缴存单据或社保机构开具的社会保险参保缴费情况证明；依法不需要缴纳社会保障资金的应提供相关文件证明； (5)具备履行合同所必需的设备和专业技术能力的证明材料(由供应商根据项目需求提供说明材料或者承诺)； (6)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 (7)参加政府采购活动前3年内，在经营活动中没有重大违法记录；(8)代理机构将通过“信用中国”网站（www.creditchina.gov.cn）和中国政府采购网（www.ccgp.gov.cn）查询供应商信用记录，被列入失信被执行人、重大税收违法案件当事人名单、政府采购严重违法失信行为记录名单的单位将被拒绝参与本项目投标； (9)本项目不接受联合体磋商。单位负责人为同一人或者存在控股、管理关系的不同供应商不得参加同一合同项下政府采购活动；与采购人存在利害关系可能影响磋商公正性的法人、其他组织或者个人不得参加同一合同项下政府采购活动。</w:t>
            </w:r>
          </w:p>
          <w:p>
            <w:pPr>
              <w:spacing w:line="360" w:lineRule="auto"/>
              <w:rPr>
                <w:sz w:val="21"/>
                <w:szCs w:val="21"/>
              </w:rPr>
            </w:pPr>
            <w:r>
              <w:rPr>
                <w:rFonts w:hint="eastAsia" w:ascii="宋体" w:hAnsi="宋体" w:cs="宋体"/>
                <w:b/>
                <w:bCs/>
                <w:sz w:val="21"/>
                <w:szCs w:val="21"/>
                <w:lang w:bidi="ar"/>
              </w:rPr>
              <w:t>注：以上资格要求均为必备资格，缺少其中任何一项，其磋商文件视为无效文件。磋商文件正本中的法定代表人授权委托书或法定代表人身份证明必须附原件，其他资格证明文件提供复印件并加盖供应商公章（原件自带，以备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auto"/>
              <w:jc w:val="center"/>
              <w:rPr>
                <w:sz w:val="21"/>
                <w:szCs w:val="21"/>
              </w:rPr>
            </w:pPr>
            <w:r>
              <w:rPr>
                <w:rFonts w:hint="eastAsia" w:ascii="宋体" w:hAnsi="宋体" w:cs="宋体"/>
                <w:sz w:val="21"/>
                <w:szCs w:val="21"/>
              </w:rPr>
              <w:t>招标代理服务费</w:t>
            </w:r>
          </w:p>
        </w:tc>
        <w:tc>
          <w:tcPr>
            <w:tcW w:w="6306" w:type="dxa"/>
            <w:noWrap w:val="0"/>
            <w:vAlign w:val="center"/>
          </w:tcPr>
          <w:p>
            <w:pPr>
              <w:numPr>
                <w:ilvl w:val="0"/>
                <w:numId w:val="3"/>
              </w:numPr>
              <w:spacing w:line="360" w:lineRule="auto"/>
              <w:jc w:val="left"/>
              <w:rPr>
                <w:rFonts w:hint="eastAsia"/>
                <w:sz w:val="21"/>
                <w:szCs w:val="21"/>
              </w:rPr>
            </w:pPr>
            <w:r>
              <w:rPr>
                <w:rFonts w:hint="eastAsia"/>
                <w:sz w:val="21"/>
                <w:szCs w:val="21"/>
              </w:rPr>
              <w:t>成交单位在领取成交通知书前，须向采购代理机构支付代理服务费。</w:t>
            </w:r>
          </w:p>
          <w:p>
            <w:pPr>
              <w:numPr>
                <w:ilvl w:val="0"/>
                <w:numId w:val="3"/>
              </w:numPr>
              <w:spacing w:line="360" w:lineRule="auto"/>
              <w:jc w:val="left"/>
              <w:rPr>
                <w:sz w:val="21"/>
                <w:szCs w:val="21"/>
              </w:rPr>
            </w:pPr>
            <w:r>
              <w:rPr>
                <w:rFonts w:hint="eastAsia"/>
                <w:sz w:val="21"/>
                <w:szCs w:val="21"/>
              </w:rPr>
              <w:t>代理服务费依据《国家计委关于印发&lt;招标代理服务收费管理暂行办法&gt;的通知》（计价格[2002]1980号）文件规定计取。并按照国家发展改革委员会办公厅颁发的《关于招标代理服务收费有关问题的通知》（发改办价格[2003] 857号）规定标准收取。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9" w:type="dxa"/>
            <w:noWrap w:val="0"/>
            <w:vAlign w:val="center"/>
          </w:tcPr>
          <w:p>
            <w:pPr>
              <w:numPr>
                <w:ilvl w:val="0"/>
                <w:numId w:val="2"/>
              </w:numPr>
              <w:spacing w:line="360" w:lineRule="auto"/>
              <w:ind w:left="420" w:leftChars="0" w:hanging="250" w:firstLineChars="0"/>
              <w:jc w:val="center"/>
              <w:rPr>
                <w:rFonts w:hint="eastAsia" w:ascii="宋体" w:hAnsi="宋体" w:eastAsia="宋体" w:cs="宋体"/>
                <w:color w:val="auto"/>
                <w:sz w:val="21"/>
                <w:szCs w:val="21"/>
              </w:rPr>
            </w:pPr>
          </w:p>
        </w:tc>
        <w:tc>
          <w:tcPr>
            <w:tcW w:w="1786" w:type="dxa"/>
            <w:noWrap w:val="0"/>
            <w:vAlign w:val="center"/>
          </w:tcPr>
          <w:p>
            <w:pPr>
              <w:spacing w:line="360" w:lineRule="exact"/>
              <w:jc w:val="center"/>
              <w:rPr>
                <w:sz w:val="21"/>
                <w:szCs w:val="21"/>
              </w:rPr>
            </w:pPr>
            <w:r>
              <w:rPr>
                <w:rFonts w:hint="eastAsia" w:ascii="宋体" w:hAnsi="宋体" w:cs="宋体"/>
                <w:sz w:val="21"/>
                <w:szCs w:val="21"/>
              </w:rPr>
              <w:t>其他</w:t>
            </w:r>
          </w:p>
        </w:tc>
        <w:tc>
          <w:tcPr>
            <w:tcW w:w="6306" w:type="dxa"/>
            <w:noWrap w:val="0"/>
            <w:vAlign w:val="center"/>
          </w:tcPr>
          <w:p>
            <w:pPr>
              <w:tabs>
                <w:tab w:val="left" w:pos="360"/>
              </w:tabs>
              <w:snapToGrid w:val="0"/>
              <w:spacing w:line="360" w:lineRule="exact"/>
              <w:rPr>
                <w:rFonts w:ascii="宋体" w:hAnsi="宋体" w:cs="宋体"/>
                <w:sz w:val="21"/>
                <w:szCs w:val="21"/>
              </w:rPr>
            </w:pPr>
          </w:p>
          <w:p>
            <w:pPr>
              <w:tabs>
                <w:tab w:val="left" w:pos="360"/>
              </w:tabs>
              <w:snapToGrid w:val="0"/>
              <w:spacing w:line="360" w:lineRule="exact"/>
              <w:rPr>
                <w:rFonts w:ascii="宋体" w:hAnsi="宋体" w:cs="宋体"/>
                <w:sz w:val="21"/>
                <w:szCs w:val="21"/>
              </w:rPr>
            </w:pPr>
            <w:r>
              <w:rPr>
                <w:rFonts w:hint="eastAsia" w:ascii="宋体" w:hAnsi="宋体" w:cs="宋体"/>
                <w:sz w:val="21"/>
                <w:szCs w:val="21"/>
              </w:rPr>
              <w:t>本前附表所列内容与</w:t>
            </w:r>
            <w:r>
              <w:rPr>
                <w:rFonts w:hint="eastAsia" w:ascii="宋体" w:hAnsi="宋体" w:cs="宋体"/>
                <w:sz w:val="21"/>
                <w:szCs w:val="21"/>
                <w:lang w:eastAsia="zh-CN"/>
              </w:rPr>
              <w:t>供应商</w:t>
            </w:r>
            <w:r>
              <w:rPr>
                <w:rFonts w:hint="eastAsia" w:ascii="宋体" w:hAnsi="宋体" w:cs="宋体"/>
                <w:sz w:val="21"/>
                <w:szCs w:val="21"/>
              </w:rPr>
              <w:t>须知内容不一致时，以前附表内容为准。</w:t>
            </w:r>
          </w:p>
          <w:p>
            <w:pPr>
              <w:tabs>
                <w:tab w:val="left" w:pos="360"/>
              </w:tabs>
              <w:snapToGrid w:val="0"/>
              <w:spacing w:line="360" w:lineRule="exact"/>
              <w:rPr>
                <w:sz w:val="21"/>
                <w:szCs w:val="21"/>
              </w:rPr>
            </w:pPr>
          </w:p>
        </w:tc>
      </w:tr>
    </w:tbl>
    <w:p>
      <w:pPr>
        <w:pStyle w:val="3"/>
        <w:rPr>
          <w:rFonts w:ascii="宋体" w:hAnsi="宋体" w:cs="宋体"/>
        </w:rPr>
      </w:pPr>
    </w:p>
    <w:p/>
    <w:p>
      <w:pPr>
        <w:pStyle w:val="6"/>
        <w:spacing w:before="0" w:after="0" w:line="360" w:lineRule="auto"/>
        <w:jc w:val="both"/>
        <w:outlineLvl w:val="0"/>
        <w:rPr>
          <w:rFonts w:hint="eastAsia" w:ascii="宋体" w:hAnsi="宋体" w:cs="宋体"/>
          <w:sz w:val="36"/>
        </w:rPr>
      </w:pPr>
      <w:bookmarkStart w:id="15" w:name="_Toc8813"/>
      <w:bookmarkStart w:id="16" w:name="_Toc3545"/>
      <w:bookmarkStart w:id="17" w:name="_Toc7524469"/>
      <w:bookmarkStart w:id="18" w:name="_Toc23695"/>
      <w:bookmarkStart w:id="19" w:name="_Toc21828"/>
      <w:bookmarkStart w:id="20" w:name="_Toc7098"/>
      <w:bookmarkStart w:id="21" w:name="_Toc1804"/>
    </w:p>
    <w:p>
      <w:pPr>
        <w:rPr>
          <w:rFonts w:hint="eastAsia"/>
        </w:rPr>
      </w:pPr>
    </w:p>
    <w:p>
      <w:pPr>
        <w:pStyle w:val="6"/>
        <w:spacing w:before="0" w:after="0" w:line="360" w:lineRule="auto"/>
        <w:jc w:val="center"/>
        <w:outlineLvl w:val="0"/>
        <w:rPr>
          <w:rFonts w:ascii="宋体" w:hAnsi="宋体" w:cs="宋体"/>
          <w:sz w:val="36"/>
        </w:rPr>
      </w:pPr>
      <w:r>
        <w:rPr>
          <w:rFonts w:hint="eastAsia" w:ascii="宋体" w:hAnsi="宋体" w:cs="宋体"/>
          <w:sz w:val="36"/>
        </w:rPr>
        <w:t>第三部分  供应商须知</w:t>
      </w:r>
      <w:bookmarkEnd w:id="8"/>
      <w:bookmarkEnd w:id="15"/>
      <w:bookmarkEnd w:id="16"/>
      <w:bookmarkEnd w:id="17"/>
      <w:bookmarkEnd w:id="18"/>
      <w:bookmarkEnd w:id="19"/>
      <w:bookmarkEnd w:id="20"/>
      <w:bookmarkEnd w:id="21"/>
    </w:p>
    <w:p>
      <w:pPr>
        <w:pStyle w:val="7"/>
        <w:spacing w:before="0" w:after="0" w:line="360" w:lineRule="auto"/>
        <w:jc w:val="center"/>
        <w:rPr>
          <w:rFonts w:ascii="宋体" w:hAnsi="宋体" w:eastAsia="宋体" w:cs="宋体"/>
          <w:bCs/>
          <w:sz w:val="28"/>
          <w:szCs w:val="28"/>
        </w:rPr>
      </w:pPr>
      <w:bookmarkStart w:id="22" w:name="_Toc246928895"/>
      <w:bookmarkStart w:id="23" w:name="_Toc10349"/>
      <w:bookmarkStart w:id="24" w:name="_Toc7524470"/>
      <w:bookmarkStart w:id="25" w:name="_Toc21877"/>
      <w:bookmarkStart w:id="26" w:name="_Toc360"/>
      <w:bookmarkStart w:id="27" w:name="_Toc1260"/>
      <w:bookmarkStart w:id="28" w:name="_Toc19486"/>
      <w:bookmarkStart w:id="29" w:name="_Toc12532"/>
      <w:r>
        <w:rPr>
          <w:rFonts w:hint="eastAsia" w:ascii="宋体" w:hAnsi="宋体" w:eastAsia="宋体" w:cs="宋体"/>
          <w:bCs/>
          <w:sz w:val="28"/>
          <w:szCs w:val="28"/>
        </w:rPr>
        <w:t>A 总则</w:t>
      </w:r>
      <w:bookmarkEnd w:id="22"/>
      <w:bookmarkEnd w:id="23"/>
      <w:bookmarkEnd w:id="24"/>
      <w:bookmarkEnd w:id="25"/>
      <w:bookmarkEnd w:id="26"/>
      <w:bookmarkEnd w:id="27"/>
      <w:bookmarkEnd w:id="28"/>
      <w:bookmarkEnd w:id="29"/>
    </w:p>
    <w:p>
      <w:pPr>
        <w:spacing w:line="360" w:lineRule="auto"/>
        <w:rPr>
          <w:rFonts w:hint="eastAsia" w:ascii="宋体" w:hAnsi="宋体" w:cs="宋体"/>
          <w:b/>
          <w:bCs/>
          <w:szCs w:val="21"/>
        </w:rPr>
      </w:pPr>
      <w:r>
        <w:rPr>
          <w:rFonts w:ascii="宋体" w:hAnsi="宋体" w:cs="宋体"/>
          <w:b/>
          <w:bCs/>
          <w:szCs w:val="21"/>
        </w:rPr>
        <w:t>1</w:t>
      </w:r>
      <w:r>
        <w:rPr>
          <w:rFonts w:hint="eastAsia" w:ascii="宋体" w:hAnsi="宋体" w:cs="宋体"/>
          <w:b/>
          <w:bCs/>
          <w:szCs w:val="21"/>
        </w:rPr>
        <w:t>、</w:t>
      </w:r>
      <w:r>
        <w:rPr>
          <w:rFonts w:ascii="宋体" w:hAnsi="宋体" w:cs="宋体"/>
          <w:b/>
          <w:bCs/>
          <w:szCs w:val="21"/>
        </w:rPr>
        <w:t>项目概况</w:t>
      </w:r>
      <w:r>
        <w:rPr>
          <w:rFonts w:hint="eastAsia" w:ascii="宋体" w:hAnsi="宋体" w:cs="宋体"/>
          <w:b/>
          <w:bCs/>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根据《中华人民共和国</w:t>
      </w:r>
      <w:r>
        <w:rPr>
          <w:rFonts w:hint="eastAsia" w:ascii="宋体" w:hAnsi="宋体" w:cs="宋体"/>
          <w:szCs w:val="21"/>
        </w:rPr>
        <w:t>政府采购</w:t>
      </w:r>
      <w:r>
        <w:rPr>
          <w:rFonts w:ascii="宋体" w:hAnsi="宋体" w:cs="宋体"/>
          <w:szCs w:val="21"/>
        </w:rPr>
        <w:t>法》等有关法律、法规和规章的规定，本磋商项目已具备磋商条件，现</w:t>
      </w:r>
      <w:r>
        <w:rPr>
          <w:rFonts w:hint="eastAsia" w:ascii="宋体" w:hAnsi="宋体" w:cs="宋体"/>
          <w:szCs w:val="21"/>
        </w:rPr>
        <w:t>对本项目</w:t>
      </w:r>
      <w:r>
        <w:rPr>
          <w:rFonts w:ascii="宋体" w:hAnsi="宋体" w:cs="宋体"/>
          <w:szCs w:val="21"/>
        </w:rPr>
        <w:t>进行</w:t>
      </w:r>
      <w:r>
        <w:rPr>
          <w:rFonts w:hint="eastAsia" w:ascii="宋体" w:hAnsi="宋体" w:cs="宋体"/>
          <w:szCs w:val="21"/>
        </w:rPr>
        <w:t>竞争性</w:t>
      </w:r>
      <w:r>
        <w:rPr>
          <w:rFonts w:ascii="宋体" w:hAnsi="宋体" w:cs="宋体"/>
          <w:szCs w:val="21"/>
        </w:rPr>
        <w:t>磋商。</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本磋商项目</w:t>
      </w:r>
      <w:r>
        <w:rPr>
          <w:rFonts w:hint="eastAsia" w:ascii="宋体" w:hAnsi="宋体" w:cs="宋体"/>
          <w:szCs w:val="21"/>
        </w:rPr>
        <w:t>采购人</w:t>
      </w:r>
      <w:r>
        <w:rPr>
          <w:rFonts w:ascii="宋体" w:hAnsi="宋体" w:cs="宋体"/>
          <w:szCs w:val="21"/>
        </w:rPr>
        <w:t>：见</w:t>
      </w:r>
      <w:r>
        <w:rPr>
          <w:rFonts w:hint="eastAsia" w:ascii="宋体" w:hAnsi="宋体" w:cs="宋体"/>
          <w:szCs w:val="21"/>
        </w:rPr>
        <w:t>供应商</w:t>
      </w:r>
      <w:r>
        <w:rPr>
          <w:rFonts w:ascii="宋体" w:hAnsi="宋体" w:cs="宋体"/>
          <w:szCs w:val="21"/>
        </w:rPr>
        <w:t>须知前附表。</w:t>
      </w:r>
    </w:p>
    <w:p>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本</w:t>
      </w:r>
      <w:r>
        <w:rPr>
          <w:rFonts w:hint="eastAsia" w:ascii="宋体" w:hAnsi="宋体" w:cs="宋体"/>
          <w:szCs w:val="21"/>
        </w:rPr>
        <w:t>磋商项目</w:t>
      </w:r>
      <w:r>
        <w:rPr>
          <w:rFonts w:ascii="宋体" w:hAnsi="宋体" w:cs="宋体"/>
          <w:szCs w:val="21"/>
        </w:rPr>
        <w:t>采购代理机构：见</w:t>
      </w:r>
      <w:r>
        <w:rPr>
          <w:rFonts w:hint="eastAsia" w:ascii="宋体" w:hAnsi="宋体" w:cs="宋体"/>
          <w:szCs w:val="21"/>
        </w:rPr>
        <w:t>供应商</w:t>
      </w:r>
      <w:r>
        <w:rPr>
          <w:rFonts w:ascii="宋体" w:hAnsi="宋体" w:cs="宋体"/>
          <w:szCs w:val="21"/>
        </w:rPr>
        <w:t>须知前附表。</w:t>
      </w:r>
    </w:p>
    <w:p>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本磋商项目名称：见</w:t>
      </w:r>
      <w:r>
        <w:rPr>
          <w:rFonts w:hint="eastAsia" w:ascii="宋体" w:hAnsi="宋体" w:cs="宋体"/>
          <w:szCs w:val="21"/>
        </w:rPr>
        <w:t>供应商</w:t>
      </w:r>
      <w:r>
        <w:rPr>
          <w:rFonts w:ascii="宋体" w:hAnsi="宋体" w:cs="宋体"/>
          <w:szCs w:val="21"/>
        </w:rPr>
        <w:t>须知前附表。</w:t>
      </w:r>
    </w:p>
    <w:p>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本磋商项目地点：见</w:t>
      </w:r>
      <w:r>
        <w:rPr>
          <w:rFonts w:hint="eastAsia" w:ascii="宋体" w:hAnsi="宋体" w:cs="宋体"/>
          <w:szCs w:val="21"/>
        </w:rPr>
        <w:t>供应商</w:t>
      </w:r>
      <w:r>
        <w:rPr>
          <w:rFonts w:ascii="宋体" w:hAnsi="宋体" w:cs="宋体"/>
          <w:szCs w:val="21"/>
        </w:rPr>
        <w:t>须知前附表。</w:t>
      </w:r>
    </w:p>
    <w:p>
      <w:pPr>
        <w:spacing w:line="360" w:lineRule="auto"/>
        <w:rPr>
          <w:rFonts w:ascii="宋体" w:hAnsi="宋体" w:cs="宋体"/>
          <w:b/>
          <w:bCs/>
          <w:szCs w:val="21"/>
        </w:rPr>
      </w:pPr>
      <w:r>
        <w:rPr>
          <w:rFonts w:hint="eastAsia" w:ascii="宋体" w:hAnsi="宋体" w:cs="宋体"/>
          <w:b/>
          <w:bCs/>
          <w:szCs w:val="21"/>
        </w:rPr>
        <w:t>2、</w:t>
      </w:r>
      <w:r>
        <w:rPr>
          <w:rFonts w:ascii="宋体" w:hAnsi="宋体" w:cs="宋体"/>
          <w:b/>
          <w:bCs/>
          <w:szCs w:val="21"/>
        </w:rPr>
        <w:t>磋商范围、计划</w:t>
      </w:r>
      <w:r>
        <w:rPr>
          <w:rFonts w:hint="eastAsia" w:ascii="宋体" w:hAnsi="宋体" w:cs="宋体"/>
          <w:b/>
          <w:bCs/>
          <w:szCs w:val="21"/>
          <w:lang w:eastAsia="zh-CN"/>
        </w:rPr>
        <w:t>完工期</w:t>
      </w:r>
      <w:r>
        <w:rPr>
          <w:rFonts w:ascii="宋体" w:hAnsi="宋体" w:cs="宋体"/>
          <w:b/>
          <w:bCs/>
          <w:szCs w:val="21"/>
        </w:rPr>
        <w:t>和质量要求</w:t>
      </w:r>
    </w:p>
    <w:p>
      <w:pPr>
        <w:spacing w:line="360" w:lineRule="auto"/>
        <w:ind w:firstLine="420" w:firstLineChars="200"/>
        <w:rPr>
          <w:rFonts w:ascii="宋体" w:hAnsi="宋体" w:cs="宋体"/>
          <w:szCs w:val="21"/>
        </w:rPr>
      </w:pPr>
      <w:r>
        <w:rPr>
          <w:rFonts w:hint="eastAsia" w:ascii="宋体" w:hAnsi="宋体" w:cs="宋体"/>
          <w:szCs w:val="21"/>
        </w:rPr>
        <w:t xml:space="preserve">（1） </w:t>
      </w:r>
      <w:r>
        <w:rPr>
          <w:rFonts w:ascii="宋体" w:hAnsi="宋体" w:cs="宋体"/>
          <w:szCs w:val="21"/>
        </w:rPr>
        <w:t>本</w:t>
      </w:r>
      <w:r>
        <w:rPr>
          <w:rFonts w:hint="eastAsia" w:ascii="宋体" w:hAnsi="宋体" w:cs="宋体"/>
          <w:szCs w:val="21"/>
        </w:rPr>
        <w:t>磋商项目</w:t>
      </w:r>
      <w:r>
        <w:rPr>
          <w:rFonts w:hint="eastAsia" w:ascii="宋体" w:hAnsi="宋体" w:cs="宋体"/>
          <w:szCs w:val="21"/>
          <w:highlight w:val="none"/>
        </w:rPr>
        <w:t>的</w:t>
      </w:r>
      <w:r>
        <w:rPr>
          <w:rFonts w:hint="eastAsia" w:ascii="宋体" w:hAnsi="宋体" w:cs="宋体"/>
          <w:szCs w:val="21"/>
          <w:highlight w:val="none"/>
          <w:lang w:val="en-US" w:eastAsia="zh-CN"/>
        </w:rPr>
        <w:t>磋商</w:t>
      </w:r>
      <w:r>
        <w:rPr>
          <w:rFonts w:ascii="宋体" w:hAnsi="宋体" w:cs="宋体"/>
          <w:szCs w:val="21"/>
        </w:rPr>
        <w:t>范围：见</w:t>
      </w:r>
      <w:r>
        <w:rPr>
          <w:rFonts w:hint="eastAsia" w:ascii="宋体" w:hAnsi="宋体" w:cs="宋体"/>
          <w:szCs w:val="21"/>
        </w:rPr>
        <w:t>供应商</w:t>
      </w:r>
      <w:r>
        <w:rPr>
          <w:rFonts w:ascii="宋体" w:hAnsi="宋体" w:cs="宋体"/>
          <w:szCs w:val="21"/>
        </w:rPr>
        <w:t>须知前附表。</w:t>
      </w:r>
    </w:p>
    <w:p>
      <w:pPr>
        <w:spacing w:line="360" w:lineRule="auto"/>
        <w:ind w:firstLine="420" w:firstLineChars="200"/>
        <w:rPr>
          <w:rFonts w:ascii="宋体" w:hAnsi="宋体" w:cs="宋体"/>
          <w:szCs w:val="21"/>
        </w:rPr>
      </w:pPr>
      <w:r>
        <w:rPr>
          <w:rFonts w:hint="eastAsia" w:ascii="宋体" w:hAnsi="宋体" w:cs="宋体"/>
          <w:szCs w:val="21"/>
        </w:rPr>
        <w:t xml:space="preserve">（2） </w:t>
      </w:r>
      <w:r>
        <w:rPr>
          <w:rFonts w:ascii="宋体" w:hAnsi="宋体" w:cs="宋体"/>
          <w:szCs w:val="21"/>
        </w:rPr>
        <w:t>本磋商项目的计划</w:t>
      </w:r>
      <w:r>
        <w:rPr>
          <w:rFonts w:hint="eastAsia" w:ascii="宋体" w:hAnsi="宋体" w:cs="宋体"/>
          <w:szCs w:val="21"/>
          <w:lang w:eastAsia="zh-CN"/>
        </w:rPr>
        <w:t>完工期</w:t>
      </w:r>
      <w:r>
        <w:rPr>
          <w:rFonts w:ascii="宋体" w:hAnsi="宋体" w:cs="宋体"/>
          <w:szCs w:val="21"/>
        </w:rPr>
        <w:t>：见</w:t>
      </w:r>
      <w:r>
        <w:rPr>
          <w:rFonts w:hint="eastAsia" w:ascii="宋体" w:hAnsi="宋体" w:cs="宋体"/>
          <w:szCs w:val="21"/>
        </w:rPr>
        <w:t>供应商</w:t>
      </w:r>
      <w:r>
        <w:rPr>
          <w:rFonts w:ascii="宋体" w:hAnsi="宋体" w:cs="宋体"/>
          <w:szCs w:val="21"/>
        </w:rPr>
        <w:t>须知前附表。</w:t>
      </w:r>
    </w:p>
    <w:p>
      <w:pPr>
        <w:spacing w:line="360" w:lineRule="auto"/>
        <w:ind w:firstLine="420" w:firstLineChars="200"/>
        <w:rPr>
          <w:rFonts w:ascii="宋体" w:hAnsi="宋体" w:cs="宋体"/>
          <w:szCs w:val="21"/>
        </w:rPr>
      </w:pPr>
      <w:r>
        <w:rPr>
          <w:rFonts w:hint="eastAsia" w:ascii="宋体" w:hAnsi="宋体" w:cs="宋体"/>
          <w:szCs w:val="21"/>
        </w:rPr>
        <w:t xml:space="preserve">（3） </w:t>
      </w:r>
      <w:r>
        <w:rPr>
          <w:rFonts w:ascii="宋体" w:hAnsi="宋体" w:cs="宋体"/>
          <w:szCs w:val="21"/>
        </w:rPr>
        <w:t>本磋商项目的质量要求：见</w:t>
      </w:r>
      <w:r>
        <w:rPr>
          <w:rFonts w:hint="eastAsia" w:ascii="宋体" w:hAnsi="宋体" w:cs="宋体"/>
          <w:szCs w:val="21"/>
        </w:rPr>
        <w:t>供应商</w:t>
      </w:r>
      <w:r>
        <w:rPr>
          <w:rFonts w:ascii="宋体" w:hAnsi="宋体" w:cs="宋体"/>
          <w:szCs w:val="21"/>
        </w:rPr>
        <w:t>须知前附表。</w:t>
      </w:r>
    </w:p>
    <w:p>
      <w:pPr>
        <w:pStyle w:val="7"/>
        <w:spacing w:before="0" w:after="0" w:line="360" w:lineRule="auto"/>
        <w:jc w:val="center"/>
        <w:rPr>
          <w:rFonts w:ascii="宋体" w:hAnsi="宋体" w:eastAsia="宋体" w:cs="宋体"/>
          <w:bCs/>
          <w:sz w:val="28"/>
          <w:szCs w:val="28"/>
          <w:highlight w:val="none"/>
        </w:rPr>
      </w:pPr>
      <w:bookmarkStart w:id="30" w:name="_Toc233435922"/>
      <w:bookmarkStart w:id="31" w:name="_Toc8046"/>
      <w:bookmarkStart w:id="32" w:name="_Toc31883"/>
      <w:bookmarkStart w:id="33" w:name="_Toc30310"/>
      <w:bookmarkStart w:id="34" w:name="_Toc386965829"/>
      <w:bookmarkStart w:id="35" w:name="_Toc11660"/>
      <w:bookmarkStart w:id="36" w:name="_Toc7524476"/>
      <w:bookmarkStart w:id="37" w:name="_Toc6191"/>
      <w:bookmarkStart w:id="38" w:name="_Toc26828"/>
      <w:bookmarkStart w:id="39" w:name="_Toc392236618"/>
      <w:bookmarkStart w:id="40" w:name="_Toc4410"/>
      <w:r>
        <w:rPr>
          <w:rFonts w:hint="eastAsia" w:ascii="宋体" w:hAnsi="宋体" w:eastAsia="宋体" w:cs="宋体"/>
          <w:bCs/>
          <w:sz w:val="28"/>
          <w:szCs w:val="28"/>
          <w:highlight w:val="none"/>
        </w:rPr>
        <w:t>B 磋商文件说明</w:t>
      </w:r>
      <w:bookmarkEnd w:id="30"/>
      <w:bookmarkEnd w:id="31"/>
      <w:bookmarkEnd w:id="32"/>
      <w:bookmarkEnd w:id="33"/>
      <w:bookmarkEnd w:id="34"/>
      <w:bookmarkEnd w:id="35"/>
      <w:bookmarkEnd w:id="36"/>
      <w:bookmarkEnd w:id="37"/>
      <w:bookmarkEnd w:id="38"/>
      <w:bookmarkEnd w:id="39"/>
      <w:bookmarkEnd w:id="40"/>
    </w:p>
    <w:p>
      <w:pPr>
        <w:pStyle w:val="8"/>
        <w:spacing w:before="0" w:after="0" w:line="360" w:lineRule="auto"/>
        <w:rPr>
          <w:rFonts w:ascii="宋体" w:hAnsi="宋体" w:cs="宋体"/>
          <w:bCs/>
          <w:sz w:val="21"/>
          <w:szCs w:val="21"/>
          <w:highlight w:val="none"/>
        </w:rPr>
      </w:pPr>
      <w:bookmarkStart w:id="41" w:name="_Toc28360"/>
      <w:bookmarkStart w:id="42" w:name="_Toc22734"/>
      <w:bookmarkStart w:id="43" w:name="_Toc29319"/>
      <w:bookmarkStart w:id="44" w:name="_Toc26978"/>
      <w:bookmarkStart w:id="45" w:name="_Toc392236619"/>
      <w:bookmarkStart w:id="46" w:name="_Toc7524477"/>
      <w:bookmarkStart w:id="47" w:name="_Toc32641"/>
      <w:bookmarkStart w:id="48" w:name="_Toc233435923"/>
      <w:bookmarkStart w:id="49" w:name="_Toc2632"/>
      <w:bookmarkStart w:id="50" w:name="_Toc386965830"/>
      <w:bookmarkStart w:id="51" w:name="_Toc23503"/>
      <w:r>
        <w:rPr>
          <w:rFonts w:hint="eastAsia" w:ascii="宋体" w:hAnsi="宋体" w:cs="宋体"/>
          <w:bCs/>
          <w:sz w:val="21"/>
          <w:szCs w:val="21"/>
          <w:highlight w:val="none"/>
          <w:lang w:val="en-US" w:eastAsia="zh-CN"/>
        </w:rPr>
        <w:t>3</w:t>
      </w:r>
      <w:r>
        <w:rPr>
          <w:rFonts w:hint="eastAsia" w:ascii="宋体" w:hAnsi="宋体" w:cs="宋体"/>
          <w:bCs/>
          <w:sz w:val="21"/>
          <w:szCs w:val="21"/>
          <w:highlight w:val="none"/>
        </w:rPr>
        <w:t xml:space="preserve"> 磋商文件的构成</w:t>
      </w:r>
      <w:bookmarkEnd w:id="41"/>
      <w:bookmarkEnd w:id="42"/>
      <w:bookmarkEnd w:id="43"/>
      <w:bookmarkEnd w:id="44"/>
      <w:bookmarkEnd w:id="45"/>
      <w:bookmarkEnd w:id="46"/>
      <w:bookmarkEnd w:id="47"/>
      <w:bookmarkEnd w:id="48"/>
      <w:bookmarkEnd w:id="49"/>
      <w:bookmarkEnd w:id="50"/>
      <w:bookmarkEnd w:id="51"/>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 磋商文件包括：</w:t>
      </w:r>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.1.1采购公告</w:t>
      </w:r>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.1.2供应商须知前附表</w:t>
      </w:r>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.1.3供应商须知</w:t>
      </w:r>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.1.4评标办法及标准</w:t>
      </w:r>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.1.5采购内容及要求</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.1.6合同主要条款</w:t>
      </w:r>
    </w:p>
    <w:p>
      <w:pPr>
        <w:spacing w:line="360" w:lineRule="auto"/>
        <w:rPr>
          <w:rFonts w:hint="default" w:eastAsia="宋体"/>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.1.7响应文件格式</w:t>
      </w:r>
    </w:p>
    <w:p>
      <w:pPr>
        <w:spacing w:line="360" w:lineRule="auto"/>
        <w:jc w:val="left"/>
        <w:rPr>
          <w:rFonts w:ascii="宋体" w:hAnsi="宋体" w:cs="宋体"/>
          <w:szCs w:val="21"/>
        </w:rPr>
      </w:pPr>
      <w:r>
        <w:rPr>
          <w:rFonts w:hint="eastAsia" w:ascii="宋体" w:hAnsi="宋体" w:cs="宋体"/>
          <w:szCs w:val="21"/>
          <w:highlight w:val="none"/>
          <w:lang w:val="en-US" w:eastAsia="zh-CN"/>
        </w:rPr>
        <w:t>3</w:t>
      </w:r>
      <w:r>
        <w:rPr>
          <w:rFonts w:hint="eastAsia" w:ascii="宋体" w:hAnsi="宋体" w:cs="宋体"/>
          <w:szCs w:val="21"/>
          <w:highlight w:val="none"/>
        </w:rPr>
        <w:t>.2  供应商应认真阅读磋</w:t>
      </w:r>
      <w:r>
        <w:rPr>
          <w:rFonts w:hint="eastAsia" w:ascii="宋体" w:hAnsi="宋体" w:cs="宋体"/>
          <w:szCs w:val="21"/>
        </w:rPr>
        <w:t>商文件中所有的事项、格式条款和规范要求等。供应商没有对磋商文件全面做出实质性响应是供应商的风险。磋商小组有权拒绝没有对磋商文件要求做出实质性响应的磋商。</w:t>
      </w:r>
      <w:bookmarkStart w:id="52" w:name="_Toc7524478"/>
      <w:bookmarkStart w:id="53" w:name="_Toc5606"/>
      <w:bookmarkStart w:id="54" w:name="_Toc3766"/>
      <w:bookmarkStart w:id="55" w:name="_Toc233435924"/>
      <w:bookmarkStart w:id="56" w:name="_Toc25965"/>
      <w:bookmarkStart w:id="57" w:name="_Toc13977"/>
      <w:bookmarkStart w:id="58" w:name="_Toc14698"/>
      <w:bookmarkStart w:id="59" w:name="_Toc386965831"/>
      <w:bookmarkStart w:id="60" w:name="_Toc392236620"/>
      <w:bookmarkStart w:id="61" w:name="_Toc22714"/>
      <w:bookmarkStart w:id="62" w:name="_Toc455"/>
    </w:p>
    <w:p>
      <w:pPr>
        <w:pStyle w:val="8"/>
        <w:spacing w:before="0" w:after="0" w:line="360" w:lineRule="auto"/>
        <w:rPr>
          <w:rFonts w:ascii="宋体" w:hAnsi="宋体" w:cs="宋体"/>
          <w:bCs/>
          <w:sz w:val="21"/>
          <w:szCs w:val="21"/>
        </w:rPr>
      </w:pPr>
      <w:r>
        <w:rPr>
          <w:rFonts w:hint="eastAsia" w:ascii="宋体" w:hAnsi="宋体" w:cs="宋体"/>
          <w:bCs/>
          <w:sz w:val="21"/>
          <w:szCs w:val="21"/>
          <w:lang w:val="en-US" w:eastAsia="zh-CN"/>
        </w:rPr>
        <w:t xml:space="preserve">4 </w:t>
      </w:r>
      <w:r>
        <w:rPr>
          <w:rFonts w:hint="eastAsia" w:ascii="宋体" w:hAnsi="宋体" w:cs="宋体"/>
          <w:bCs/>
          <w:sz w:val="21"/>
          <w:szCs w:val="21"/>
        </w:rPr>
        <w:t>磋商文件的澄清</w:t>
      </w:r>
      <w:bookmarkEnd w:id="52"/>
      <w:bookmarkEnd w:id="53"/>
      <w:bookmarkEnd w:id="54"/>
      <w:bookmarkEnd w:id="55"/>
      <w:bookmarkEnd w:id="56"/>
      <w:bookmarkEnd w:id="57"/>
      <w:bookmarkEnd w:id="58"/>
      <w:bookmarkEnd w:id="59"/>
      <w:bookmarkEnd w:id="60"/>
      <w:bookmarkEnd w:id="61"/>
      <w:bookmarkEnd w:id="62"/>
      <w:bookmarkStart w:id="63" w:name="_Toc25307"/>
    </w:p>
    <w:p>
      <w:pPr>
        <w:spacing w:line="360" w:lineRule="auto"/>
        <w:ind w:firstLine="420" w:firstLineChars="200"/>
        <w:jc w:val="left"/>
        <w:rPr>
          <w:rFonts w:ascii="宋体" w:hAnsi="宋体" w:cs="宋体"/>
          <w:bCs/>
          <w:szCs w:val="21"/>
        </w:rPr>
      </w:pPr>
      <w:r>
        <w:rPr>
          <w:rFonts w:hint="eastAsia" w:ascii="宋体" w:hAnsi="宋体" w:cs="宋体"/>
          <w:bCs/>
          <w:szCs w:val="21"/>
        </w:rPr>
        <w:t>任何供应商对磋商文件（除质疑外）需要询问或澄清的，或认为有必要与采购代理机构进行技术交流的，均应在磋商截止时间3日前按磋商文件中的联系方式，以书面形式向采购代理机构提出，采购代理机构应当在2日内，以书面形式予以答复（答复中不包括问题的来源），或认为有必要召开答疑会。超过该时间收到的需要询问或澄清的内容，采购代理机构有权不予答复。</w:t>
      </w:r>
      <w:bookmarkEnd w:id="63"/>
      <w:bookmarkStart w:id="64" w:name="_Toc386965832"/>
      <w:bookmarkStart w:id="65" w:name="_Toc15094"/>
      <w:bookmarkStart w:id="66" w:name="_Toc16399"/>
      <w:bookmarkStart w:id="67" w:name="_Toc8702"/>
      <w:bookmarkStart w:id="68" w:name="_Toc15550"/>
      <w:bookmarkStart w:id="69" w:name="_Toc233435925"/>
      <w:bookmarkStart w:id="70" w:name="_Toc7524479"/>
      <w:bookmarkStart w:id="71" w:name="_Toc25911"/>
      <w:bookmarkStart w:id="72" w:name="_Toc8521"/>
      <w:bookmarkStart w:id="73" w:name="_Toc392236621"/>
      <w:bookmarkStart w:id="74" w:name="_Toc22085"/>
    </w:p>
    <w:p>
      <w:pPr>
        <w:spacing w:line="360" w:lineRule="auto"/>
        <w:jc w:val="left"/>
        <w:rPr>
          <w:rFonts w:ascii="宋体" w:hAnsi="宋体" w:cs="宋体"/>
          <w:b/>
          <w:bCs w:val="0"/>
          <w:szCs w:val="21"/>
        </w:rPr>
      </w:pPr>
      <w:r>
        <w:rPr>
          <w:rFonts w:hint="eastAsia" w:ascii="宋体" w:hAnsi="宋体" w:cs="宋体"/>
          <w:b/>
          <w:bCs w:val="0"/>
          <w:szCs w:val="21"/>
          <w:lang w:val="en-US" w:eastAsia="zh-CN"/>
        </w:rPr>
        <w:t>5</w:t>
      </w:r>
      <w:r>
        <w:rPr>
          <w:rFonts w:hint="eastAsia" w:ascii="宋体" w:hAnsi="宋体" w:cs="宋体"/>
          <w:b/>
          <w:bCs w:val="0"/>
          <w:szCs w:val="21"/>
        </w:rPr>
        <w:t xml:space="preserve"> 磋商文件的修改</w:t>
      </w:r>
      <w:bookmarkEnd w:id="64"/>
      <w:bookmarkEnd w:id="65"/>
      <w:bookmarkEnd w:id="66"/>
      <w:bookmarkEnd w:id="67"/>
      <w:bookmarkEnd w:id="68"/>
      <w:bookmarkEnd w:id="69"/>
      <w:bookmarkEnd w:id="70"/>
      <w:bookmarkEnd w:id="71"/>
      <w:bookmarkEnd w:id="72"/>
      <w:bookmarkEnd w:id="73"/>
      <w:bookmarkEnd w:id="74"/>
    </w:p>
    <w:p>
      <w:pPr>
        <w:spacing w:line="360" w:lineRule="auto"/>
        <w:ind w:firstLine="420" w:firstLineChars="200"/>
        <w:jc w:val="left"/>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.1 在磋商响应文件首次递交截止时间前，采购代理机构无论出于何种原因，可以对已发出竞争性磋商文件进行必要的澄清或者修改，但不得修改采购标的和资格条件。</w:t>
      </w:r>
    </w:p>
    <w:p>
      <w:pPr>
        <w:spacing w:line="360" w:lineRule="auto"/>
        <w:ind w:firstLine="420" w:firstLineChars="200"/>
        <w:jc w:val="left"/>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.2 采购人或采购代理机构对已发出的竞争性磋商文件进行必要的澄清或者修改，澄清或修改的内容可能影响竞争性磋商响应文件编制的，应当在首次递交竞争性磋商响应文件截止时间至少5日前，以书面形式将澄清或者修改的内容通知所有获取竞争性磋商文件的潜在供应商。供应商在收到上述通知后，应立即以书面形式向采购代理机构确认。不足5日，将相应顺延磋商响应文件截止时间。</w:t>
      </w:r>
    </w:p>
    <w:p>
      <w:pPr>
        <w:spacing w:line="360" w:lineRule="auto"/>
        <w:ind w:firstLine="420" w:firstLineChars="200"/>
        <w:jc w:val="left"/>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3供应商应仔细阅读和检查竞争性磋商文件的全部内容。如发现缺页或附件不全，应及时向采购代理机构提出，以便补齐。如需要询问或澄清的（除质疑外），或认为有必要与采购代理机构进行技术交流的，均应在磋商响应文件递交截止时间3天前按竞争性磋商文件中的通讯地址以书面形式递交代理机构，采购代理机构应当以书面形式予以答复，必要时召开答疑会。超过该时间收到的需要询问或澄清的内容，采购代理机构有权不予答复。</w:t>
      </w:r>
    </w:p>
    <w:p>
      <w:pPr>
        <w:spacing w:line="360" w:lineRule="auto"/>
        <w:ind w:firstLine="420" w:firstLineChars="200"/>
        <w:jc w:val="left"/>
        <w:rPr>
          <w:rFonts w:hint="eastAsia"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.4 在磋商响应文件递交截止时间前，采购代理机构可以视采购具体情况，延长磋商响应文件截止时间和磋商时间，并在竞争性磋商文件要求提交竞争性磋商响应文件的截止时间前，将变更时间以书面形式通知所有获取竞争性磋商文件的潜在供应商，同时在原信息发布媒体上发布变更公告。</w:t>
      </w:r>
    </w:p>
    <w:p>
      <w:pPr>
        <w:spacing w:line="360" w:lineRule="auto"/>
        <w:ind w:firstLine="420" w:firstLineChars="200"/>
        <w:jc w:val="left"/>
        <w:rPr>
          <w:rFonts w:ascii="宋体" w:hAnsi="宋体" w:cs="宋体"/>
          <w:szCs w:val="21"/>
        </w:rPr>
      </w:pPr>
      <w:r>
        <w:rPr>
          <w:rFonts w:hint="eastAsia" w:ascii="宋体" w:hAnsi="宋体" w:cs="宋体"/>
          <w:b w:val="0"/>
          <w:bCs/>
          <w:sz w:val="21"/>
          <w:szCs w:val="21"/>
          <w:lang w:val="en-US" w:eastAsia="zh-CN"/>
        </w:rPr>
        <w:t>5</w:t>
      </w:r>
      <w:r>
        <w:rPr>
          <w:rFonts w:hint="eastAsia" w:ascii="宋体" w:hAnsi="宋体" w:cs="宋体"/>
          <w:b w:val="0"/>
          <w:bCs/>
          <w:sz w:val="21"/>
          <w:szCs w:val="21"/>
        </w:rPr>
        <w:t>.5 竞争性磋商文件澄清、答复、修改或补充的内容为竞争性磋商文件的组成部分。当竞争性磋商文件澄清、答复、修改或补充通知与竞争性磋商文件就同一内容表述不一致时，以最后发出的书面文件内容为准。</w:t>
      </w:r>
    </w:p>
    <w:p>
      <w:pPr>
        <w:pStyle w:val="7"/>
        <w:tabs>
          <w:tab w:val="left" w:pos="576"/>
        </w:tabs>
        <w:spacing w:before="0" w:after="0" w:line="360" w:lineRule="auto"/>
        <w:jc w:val="center"/>
        <w:rPr>
          <w:rFonts w:ascii="宋体" w:hAnsi="宋体" w:eastAsia="宋体" w:cs="宋体"/>
          <w:b w:val="0"/>
          <w:sz w:val="21"/>
          <w:szCs w:val="21"/>
        </w:rPr>
      </w:pPr>
      <w:bookmarkStart w:id="75" w:name="_Toc4214"/>
      <w:bookmarkStart w:id="76" w:name="_Toc13194"/>
      <w:bookmarkStart w:id="77" w:name="_Toc7524480"/>
      <w:bookmarkStart w:id="78" w:name="_Toc386965833"/>
      <w:bookmarkStart w:id="79" w:name="_Toc17244"/>
      <w:bookmarkStart w:id="80" w:name="_Toc31898"/>
      <w:bookmarkStart w:id="81" w:name="_Toc392236622"/>
      <w:bookmarkStart w:id="82" w:name="_Toc32329"/>
      <w:bookmarkStart w:id="83" w:name="_Toc6921"/>
      <w:bookmarkStart w:id="84" w:name="_Toc233435926"/>
      <w:bookmarkStart w:id="85" w:name="_Toc31475"/>
      <w:r>
        <w:rPr>
          <w:rFonts w:hint="eastAsia" w:ascii="宋体" w:hAnsi="宋体" w:eastAsia="宋体" w:cs="宋体"/>
          <w:bCs/>
          <w:sz w:val="28"/>
          <w:szCs w:val="28"/>
        </w:rPr>
        <w:t>C 响应文件的编写</w:t>
      </w:r>
      <w:bookmarkEnd w:id="75"/>
      <w:bookmarkEnd w:id="76"/>
      <w:bookmarkEnd w:id="77"/>
      <w:bookmarkEnd w:id="78"/>
      <w:bookmarkEnd w:id="79"/>
      <w:bookmarkEnd w:id="80"/>
      <w:bookmarkEnd w:id="81"/>
      <w:bookmarkEnd w:id="82"/>
      <w:bookmarkEnd w:id="83"/>
      <w:bookmarkEnd w:id="84"/>
      <w:bookmarkEnd w:id="85"/>
    </w:p>
    <w:p>
      <w:pPr>
        <w:pStyle w:val="8"/>
        <w:spacing w:before="0" w:after="0" w:line="360" w:lineRule="auto"/>
        <w:rPr>
          <w:rFonts w:ascii="宋体" w:hAnsi="宋体" w:cs="宋体"/>
          <w:bCs/>
          <w:sz w:val="21"/>
          <w:szCs w:val="21"/>
        </w:rPr>
      </w:pPr>
      <w:bookmarkStart w:id="86" w:name="_Toc12930"/>
      <w:bookmarkStart w:id="87" w:name="_Toc30982"/>
      <w:bookmarkStart w:id="88" w:name="_Toc13036"/>
      <w:bookmarkStart w:id="89" w:name="_Toc386965834"/>
      <w:bookmarkStart w:id="90" w:name="_Toc32421"/>
      <w:bookmarkStart w:id="91" w:name="_Toc7524481"/>
      <w:bookmarkStart w:id="92" w:name="_Toc392236623"/>
      <w:bookmarkStart w:id="93" w:name="_Toc18644"/>
      <w:bookmarkStart w:id="94" w:name="_Toc23961"/>
      <w:bookmarkStart w:id="95" w:name="_Toc29182"/>
      <w:bookmarkStart w:id="96" w:name="_Toc233435927"/>
      <w:r>
        <w:rPr>
          <w:rFonts w:hint="eastAsia" w:ascii="宋体" w:hAnsi="宋体" w:cs="宋体"/>
          <w:bCs/>
          <w:sz w:val="21"/>
          <w:szCs w:val="21"/>
          <w:lang w:val="en-US" w:eastAsia="zh-CN"/>
        </w:rPr>
        <w:t>6</w:t>
      </w:r>
      <w:r>
        <w:rPr>
          <w:rFonts w:hint="eastAsia" w:ascii="宋体" w:hAnsi="宋体" w:cs="宋体"/>
          <w:bCs/>
          <w:sz w:val="21"/>
          <w:szCs w:val="21"/>
        </w:rPr>
        <w:t xml:space="preserve"> 响应文件编制的原则</w:t>
      </w:r>
      <w:bookmarkEnd w:id="86"/>
      <w:bookmarkEnd w:id="87"/>
      <w:bookmarkEnd w:id="88"/>
      <w:bookmarkEnd w:id="89"/>
      <w:bookmarkEnd w:id="90"/>
      <w:bookmarkEnd w:id="91"/>
      <w:bookmarkEnd w:id="92"/>
      <w:bookmarkEnd w:id="93"/>
      <w:bookmarkEnd w:id="94"/>
      <w:bookmarkEnd w:id="95"/>
    </w:p>
    <w:p>
      <w:pPr>
        <w:overflowPunct w:val="0"/>
        <w:adjustRightInd w:val="0"/>
        <w:snapToGrid w:val="0"/>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投标将有可能被拒绝。</w:t>
      </w:r>
    </w:p>
    <w:p>
      <w:pPr>
        <w:overflowPunct w:val="0"/>
        <w:adjustRightInd w:val="0"/>
        <w:snapToGrid w:val="0"/>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.2 供应商必须保证响应文件所提供的全部资料真实可靠，并接受对其中任何资料进一步审查的要求。</w:t>
      </w:r>
    </w:p>
    <w:p>
      <w:pPr>
        <w:spacing w:line="360" w:lineRule="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.3 响应文件须对磋商文件中的内容做出实质性和完整的响应，否则其投标将被拒绝。</w:t>
      </w:r>
    </w:p>
    <w:p>
      <w:pPr>
        <w:pStyle w:val="8"/>
        <w:spacing w:before="0" w:after="0" w:line="360" w:lineRule="auto"/>
        <w:rPr>
          <w:rFonts w:ascii="宋体" w:hAnsi="宋体" w:cs="宋体"/>
          <w:bCs/>
          <w:sz w:val="21"/>
          <w:szCs w:val="21"/>
        </w:rPr>
      </w:pPr>
      <w:bookmarkStart w:id="97" w:name="_Toc392236624"/>
      <w:bookmarkStart w:id="98" w:name="_Toc7524482"/>
      <w:bookmarkStart w:id="99" w:name="_Toc6773"/>
      <w:bookmarkStart w:id="100" w:name="_Toc282"/>
      <w:bookmarkStart w:id="101" w:name="_Toc7779"/>
      <w:bookmarkStart w:id="102" w:name="_Toc13586"/>
      <w:bookmarkStart w:id="103" w:name="_Toc386965835"/>
      <w:bookmarkStart w:id="104" w:name="_Toc4389"/>
      <w:bookmarkStart w:id="105" w:name="_Toc4812"/>
      <w:bookmarkStart w:id="106" w:name="_Toc18760"/>
      <w:r>
        <w:rPr>
          <w:rFonts w:hint="eastAsia" w:ascii="宋体" w:hAnsi="宋体" w:cs="宋体"/>
          <w:bCs/>
          <w:sz w:val="21"/>
          <w:szCs w:val="21"/>
          <w:lang w:val="en-US" w:eastAsia="zh-CN"/>
        </w:rPr>
        <w:t>7</w:t>
      </w:r>
      <w:r>
        <w:rPr>
          <w:rFonts w:hint="eastAsia" w:ascii="宋体" w:hAnsi="宋体" w:cs="宋体"/>
          <w:bCs/>
          <w:sz w:val="21"/>
          <w:szCs w:val="21"/>
        </w:rPr>
        <w:t xml:space="preserve"> 响应文件语言</w:t>
      </w:r>
      <w:bookmarkEnd w:id="96"/>
      <w:bookmarkEnd w:id="97"/>
      <w:bookmarkEnd w:id="98"/>
      <w:bookmarkEnd w:id="99"/>
      <w:bookmarkEnd w:id="100"/>
      <w:bookmarkEnd w:id="101"/>
      <w:bookmarkEnd w:id="102"/>
      <w:bookmarkEnd w:id="103"/>
      <w:bookmarkEnd w:id="104"/>
      <w:bookmarkEnd w:id="105"/>
      <w:bookmarkEnd w:id="106"/>
    </w:p>
    <w:p>
      <w:pPr>
        <w:spacing w:line="360" w:lineRule="auto"/>
        <w:ind w:firstLine="420" w:firstLineChars="200"/>
        <w:rPr>
          <w:rFonts w:ascii="宋体" w:hAnsi="宋体" w:cs="宋体"/>
          <w:szCs w:val="21"/>
        </w:rPr>
      </w:pPr>
      <w:r>
        <w:rPr>
          <w:rFonts w:hint="eastAsia" w:ascii="宋体" w:hAnsi="宋体" w:cs="宋体"/>
          <w:szCs w:val="21"/>
        </w:rPr>
        <w:t>由供应商编写的响应文件和往来信件应以中文书写。</w:t>
      </w:r>
    </w:p>
    <w:p>
      <w:pPr>
        <w:pStyle w:val="8"/>
        <w:spacing w:before="0" w:after="0" w:line="360" w:lineRule="auto"/>
        <w:rPr>
          <w:rFonts w:ascii="宋体" w:hAnsi="宋体" w:cs="宋体"/>
          <w:bCs/>
          <w:sz w:val="21"/>
          <w:szCs w:val="21"/>
        </w:rPr>
      </w:pPr>
      <w:bookmarkStart w:id="107" w:name="_Toc29832"/>
      <w:bookmarkStart w:id="108" w:name="_Toc386965836"/>
      <w:bookmarkStart w:id="109" w:name="_Toc12695"/>
      <w:bookmarkStart w:id="110" w:name="_Toc392236625"/>
      <w:bookmarkStart w:id="111" w:name="_Toc1406"/>
      <w:bookmarkStart w:id="112" w:name="_Toc233435928"/>
      <w:bookmarkStart w:id="113" w:name="_Toc29945"/>
      <w:bookmarkStart w:id="114" w:name="_Toc7524483"/>
      <w:bookmarkStart w:id="115" w:name="_Toc6388"/>
      <w:bookmarkStart w:id="116" w:name="_Toc30526"/>
      <w:bookmarkStart w:id="117" w:name="_Toc10766"/>
      <w:r>
        <w:rPr>
          <w:rFonts w:hint="eastAsia" w:ascii="宋体" w:hAnsi="宋体" w:cs="宋体"/>
          <w:bCs/>
          <w:sz w:val="21"/>
          <w:szCs w:val="21"/>
          <w:lang w:val="en-US" w:eastAsia="zh-CN"/>
        </w:rPr>
        <w:t>8</w:t>
      </w:r>
      <w:r>
        <w:rPr>
          <w:rFonts w:hint="eastAsia" w:ascii="宋体" w:hAnsi="宋体" w:cs="宋体"/>
          <w:bCs/>
          <w:sz w:val="21"/>
          <w:szCs w:val="21"/>
        </w:rPr>
        <w:t xml:space="preserve"> 计量单位</w:t>
      </w:r>
      <w:bookmarkEnd w:id="107"/>
      <w:bookmarkEnd w:id="108"/>
      <w:bookmarkEnd w:id="109"/>
      <w:bookmarkEnd w:id="110"/>
      <w:bookmarkEnd w:id="111"/>
      <w:bookmarkEnd w:id="112"/>
      <w:bookmarkEnd w:id="113"/>
      <w:bookmarkEnd w:id="114"/>
      <w:bookmarkEnd w:id="115"/>
      <w:bookmarkEnd w:id="116"/>
      <w:bookmarkEnd w:id="117"/>
    </w:p>
    <w:p>
      <w:pPr>
        <w:spacing w:line="360" w:lineRule="auto"/>
        <w:ind w:firstLine="420" w:firstLineChars="200"/>
        <w:rPr>
          <w:rFonts w:ascii="宋体" w:hAnsi="宋体" w:cs="宋体"/>
          <w:szCs w:val="21"/>
        </w:rPr>
      </w:pPr>
      <w:r>
        <w:rPr>
          <w:rFonts w:hint="eastAsia" w:ascii="宋体" w:hAnsi="宋体" w:cs="宋体"/>
          <w:szCs w:val="21"/>
        </w:rPr>
        <w:t>除在磋商文件的技术规格中另有规定外，计量单位应使用中华人民共和国法定计量单位。</w:t>
      </w:r>
    </w:p>
    <w:p>
      <w:pPr>
        <w:pStyle w:val="8"/>
        <w:spacing w:before="0" w:after="0" w:line="360" w:lineRule="auto"/>
        <w:rPr>
          <w:rFonts w:ascii="宋体" w:hAnsi="宋体" w:cs="宋体"/>
          <w:bCs/>
          <w:sz w:val="21"/>
          <w:szCs w:val="21"/>
        </w:rPr>
      </w:pPr>
      <w:bookmarkStart w:id="118" w:name="_Toc392236626"/>
      <w:bookmarkStart w:id="119" w:name="_Toc23526"/>
      <w:bookmarkStart w:id="120" w:name="_Toc15625"/>
      <w:bookmarkStart w:id="121" w:name="_Toc7524484"/>
      <w:bookmarkStart w:id="122" w:name="_Toc5332"/>
      <w:bookmarkStart w:id="123" w:name="_Toc386965837"/>
      <w:bookmarkStart w:id="124" w:name="_Toc233435929"/>
      <w:bookmarkStart w:id="125" w:name="_Toc32019"/>
      <w:bookmarkStart w:id="126" w:name="_Toc11139"/>
      <w:bookmarkStart w:id="127" w:name="_Toc27637"/>
      <w:bookmarkStart w:id="128" w:name="_Toc14538"/>
      <w:r>
        <w:rPr>
          <w:rFonts w:hint="eastAsia" w:ascii="宋体" w:hAnsi="宋体" w:cs="宋体"/>
          <w:bCs/>
          <w:sz w:val="21"/>
          <w:szCs w:val="21"/>
          <w:lang w:val="en-US" w:eastAsia="zh-CN"/>
        </w:rPr>
        <w:t>9</w:t>
      </w:r>
      <w:r>
        <w:rPr>
          <w:rFonts w:hint="eastAsia" w:ascii="宋体" w:hAnsi="宋体" w:cs="宋体"/>
          <w:bCs/>
          <w:sz w:val="21"/>
          <w:szCs w:val="21"/>
        </w:rPr>
        <w:t xml:space="preserve"> 响应文件的组成</w:t>
      </w:r>
      <w:bookmarkEnd w:id="118"/>
      <w:bookmarkEnd w:id="119"/>
      <w:bookmarkEnd w:id="120"/>
      <w:bookmarkEnd w:id="121"/>
      <w:bookmarkEnd w:id="122"/>
      <w:bookmarkEnd w:id="123"/>
      <w:bookmarkEnd w:id="124"/>
      <w:bookmarkEnd w:id="125"/>
      <w:bookmarkEnd w:id="126"/>
      <w:bookmarkEnd w:id="127"/>
      <w:bookmarkEnd w:id="128"/>
    </w:p>
    <w:p>
      <w:pPr>
        <w:spacing w:line="360" w:lineRule="auto"/>
        <w:ind w:firstLine="420" w:firstLineChars="200"/>
        <w:rPr>
          <w:rFonts w:ascii="宋体" w:hAnsi="宋体" w:cs="宋体"/>
          <w:szCs w:val="21"/>
        </w:rPr>
      </w:pPr>
      <w:bookmarkStart w:id="129" w:name="_Toc14594"/>
      <w:bookmarkStart w:id="130" w:name="_Toc386965838"/>
      <w:bookmarkStart w:id="131" w:name="_Toc7524485"/>
      <w:bookmarkStart w:id="132" w:name="_Toc233435930"/>
      <w:bookmarkStart w:id="133" w:name="_Toc392236627"/>
      <w:bookmarkStart w:id="134" w:name="_Toc4760"/>
      <w:bookmarkStart w:id="135" w:name="_Toc32337"/>
      <w:bookmarkStart w:id="136" w:name="_Toc21364"/>
      <w:bookmarkStart w:id="137" w:name="_Toc19960"/>
      <w:r>
        <w:rPr>
          <w:rFonts w:hint="eastAsia" w:ascii="宋体" w:hAnsi="宋体" w:cs="宋体"/>
          <w:szCs w:val="21"/>
        </w:rPr>
        <w:t>响应文件必须根据磋商文件提供的内容及格式编制，并对磋商文件做出实质性响应。具体内容包括：</w:t>
      </w:r>
    </w:p>
    <w:p>
      <w:pPr>
        <w:pStyle w:val="8"/>
        <w:spacing w:before="0" w:after="0" w:line="360" w:lineRule="auto"/>
        <w:rPr>
          <w:rFonts w:ascii="宋体" w:hAnsi="宋体" w:cs="宋体"/>
          <w:b w:val="0"/>
          <w:sz w:val="21"/>
          <w:szCs w:val="21"/>
        </w:rPr>
      </w:pPr>
      <w:bookmarkStart w:id="138" w:name="_Toc17945"/>
      <w:bookmarkStart w:id="139" w:name="_Toc32272"/>
      <w:r>
        <w:rPr>
          <w:rFonts w:hint="eastAsia" w:ascii="宋体" w:hAnsi="宋体" w:cs="宋体"/>
          <w:b w:val="0"/>
          <w:sz w:val="21"/>
          <w:szCs w:val="21"/>
        </w:rPr>
        <w:t>（1）磋商响应函</w:t>
      </w:r>
    </w:p>
    <w:p>
      <w:pPr>
        <w:pStyle w:val="8"/>
        <w:spacing w:before="0" w:after="0" w:line="360" w:lineRule="auto"/>
        <w:rPr>
          <w:rFonts w:ascii="宋体" w:hAnsi="宋体" w:cs="宋体"/>
          <w:b w:val="0"/>
          <w:sz w:val="21"/>
          <w:szCs w:val="21"/>
        </w:rPr>
      </w:pPr>
      <w:r>
        <w:rPr>
          <w:rFonts w:hint="eastAsia" w:ascii="宋体" w:hAnsi="宋体" w:cs="宋体"/>
          <w:b w:val="0"/>
          <w:sz w:val="21"/>
          <w:szCs w:val="21"/>
        </w:rPr>
        <w:t>（2）法定代表人身份证明</w:t>
      </w:r>
    </w:p>
    <w:p>
      <w:pPr>
        <w:pStyle w:val="8"/>
        <w:spacing w:before="0" w:after="0" w:line="360" w:lineRule="auto"/>
        <w:rPr>
          <w:rFonts w:ascii="宋体" w:hAnsi="宋体" w:cs="宋体"/>
          <w:b w:val="0"/>
          <w:sz w:val="21"/>
          <w:szCs w:val="21"/>
        </w:rPr>
      </w:pPr>
      <w:r>
        <w:rPr>
          <w:rFonts w:hint="eastAsia" w:ascii="宋体" w:hAnsi="宋体" w:cs="宋体"/>
          <w:b w:val="0"/>
          <w:sz w:val="21"/>
          <w:szCs w:val="21"/>
        </w:rPr>
        <w:t>（3）法定代表人授权书</w:t>
      </w:r>
    </w:p>
    <w:p>
      <w:pPr>
        <w:pStyle w:val="8"/>
        <w:spacing w:before="0" w:after="0" w:line="360" w:lineRule="auto"/>
        <w:rPr>
          <w:rFonts w:hint="eastAsia" w:ascii="宋体" w:hAnsi="宋体" w:eastAsia="宋体" w:cs="宋体"/>
          <w:b w:val="0"/>
          <w:sz w:val="21"/>
          <w:szCs w:val="21"/>
          <w:lang w:eastAsia="zh-CN"/>
        </w:rPr>
      </w:pPr>
      <w:r>
        <w:rPr>
          <w:rFonts w:hint="eastAsia" w:ascii="宋体" w:hAnsi="宋体" w:cs="宋体"/>
          <w:b w:val="0"/>
          <w:sz w:val="21"/>
          <w:szCs w:val="21"/>
        </w:rPr>
        <w:t>（4）</w:t>
      </w:r>
      <w:r>
        <w:rPr>
          <w:rFonts w:hint="eastAsia" w:ascii="宋体" w:hAnsi="宋体" w:cs="宋体"/>
          <w:b w:val="0"/>
          <w:sz w:val="21"/>
          <w:szCs w:val="21"/>
          <w:lang w:val="en-US" w:eastAsia="zh-CN"/>
        </w:rPr>
        <w:t>磋商报价表</w:t>
      </w:r>
    </w:p>
    <w:p>
      <w:pPr>
        <w:pStyle w:val="8"/>
        <w:spacing w:before="0" w:after="0" w:line="360" w:lineRule="auto"/>
        <w:rPr>
          <w:rFonts w:ascii="宋体" w:hAnsi="宋体" w:cs="宋体"/>
          <w:b w:val="0"/>
          <w:sz w:val="21"/>
          <w:szCs w:val="21"/>
        </w:rPr>
      </w:pPr>
      <w:r>
        <w:rPr>
          <w:rFonts w:hint="eastAsia" w:ascii="宋体" w:hAnsi="宋体" w:cs="宋体"/>
          <w:b w:val="0"/>
          <w:sz w:val="21"/>
          <w:szCs w:val="21"/>
        </w:rPr>
        <w:t>（5）合同主要条款响应偏差表</w:t>
      </w:r>
    </w:p>
    <w:p>
      <w:pPr>
        <w:pStyle w:val="8"/>
        <w:spacing w:before="0" w:after="0" w:line="360" w:lineRule="auto"/>
        <w:rPr>
          <w:rFonts w:hint="eastAsia" w:ascii="宋体" w:hAnsi="宋体" w:cs="宋体"/>
          <w:b w:val="0"/>
          <w:sz w:val="21"/>
          <w:szCs w:val="21"/>
          <w:lang w:val="en-US" w:eastAsia="zh-CN"/>
        </w:rPr>
      </w:pPr>
      <w:r>
        <w:rPr>
          <w:rFonts w:hint="eastAsia" w:ascii="宋体" w:hAnsi="宋体" w:cs="宋体"/>
          <w:b w:val="0"/>
          <w:sz w:val="21"/>
          <w:szCs w:val="21"/>
        </w:rPr>
        <w:t>（6）</w:t>
      </w:r>
      <w:r>
        <w:rPr>
          <w:rFonts w:hint="eastAsia" w:ascii="宋体" w:hAnsi="宋体" w:cs="宋体"/>
          <w:b w:val="0"/>
          <w:sz w:val="21"/>
          <w:szCs w:val="21"/>
          <w:lang w:val="en-US" w:eastAsia="zh-CN"/>
        </w:rPr>
        <w:t>技术响应偏离表</w:t>
      </w:r>
    </w:p>
    <w:p>
      <w:pPr>
        <w:pStyle w:val="8"/>
        <w:spacing w:before="0" w:after="0" w:line="360" w:lineRule="auto"/>
        <w:rPr>
          <w:rFonts w:ascii="宋体" w:hAnsi="宋体" w:cs="宋体"/>
          <w:b w:val="0"/>
          <w:sz w:val="21"/>
          <w:szCs w:val="21"/>
        </w:rPr>
      </w:pPr>
      <w:r>
        <w:rPr>
          <w:rFonts w:hint="eastAsia" w:ascii="宋体" w:hAnsi="宋体" w:cs="宋体"/>
          <w:b w:val="0"/>
          <w:sz w:val="21"/>
          <w:szCs w:val="21"/>
          <w:lang w:val="en-US" w:eastAsia="zh-CN"/>
        </w:rPr>
        <w:t>（7）</w:t>
      </w:r>
      <w:r>
        <w:rPr>
          <w:rFonts w:hint="eastAsia" w:ascii="宋体" w:hAnsi="宋体" w:cs="宋体"/>
          <w:b w:val="0"/>
          <w:sz w:val="21"/>
          <w:szCs w:val="21"/>
        </w:rPr>
        <w:t>业绩</w:t>
      </w:r>
    </w:p>
    <w:p>
      <w:pPr>
        <w:pStyle w:val="8"/>
        <w:spacing w:before="0" w:after="0" w:line="360" w:lineRule="auto"/>
        <w:rPr>
          <w:rFonts w:ascii="宋体" w:hAnsi="宋体" w:cs="宋体"/>
          <w:b w:val="0"/>
          <w:sz w:val="21"/>
          <w:szCs w:val="21"/>
        </w:rPr>
      </w:pPr>
      <w:r>
        <w:rPr>
          <w:rFonts w:hint="eastAsia" w:ascii="宋体" w:hAnsi="宋体" w:cs="宋体"/>
          <w:b w:val="0"/>
          <w:sz w:val="21"/>
          <w:szCs w:val="21"/>
        </w:rPr>
        <w:t>（</w:t>
      </w:r>
      <w:r>
        <w:rPr>
          <w:rFonts w:hint="eastAsia" w:ascii="宋体" w:hAnsi="宋体" w:cs="宋体"/>
          <w:b w:val="0"/>
          <w:sz w:val="21"/>
          <w:szCs w:val="21"/>
          <w:lang w:val="en-US" w:eastAsia="zh-CN"/>
        </w:rPr>
        <w:t>8</w:t>
      </w:r>
      <w:r>
        <w:rPr>
          <w:rFonts w:hint="eastAsia" w:ascii="宋体" w:hAnsi="宋体" w:cs="宋体"/>
          <w:b w:val="0"/>
          <w:sz w:val="21"/>
          <w:szCs w:val="21"/>
        </w:rPr>
        <w:t>）供应商资格证明文件</w:t>
      </w:r>
    </w:p>
    <w:p>
      <w:pPr>
        <w:pStyle w:val="8"/>
        <w:spacing w:before="0" w:after="0" w:line="360" w:lineRule="auto"/>
        <w:rPr>
          <w:rFonts w:ascii="宋体" w:hAnsi="宋体" w:cs="宋体"/>
          <w:b w:val="0"/>
          <w:sz w:val="21"/>
          <w:szCs w:val="21"/>
        </w:rPr>
      </w:pPr>
      <w:r>
        <w:rPr>
          <w:rFonts w:hint="eastAsia" w:ascii="宋体" w:hAnsi="宋体" w:cs="宋体"/>
          <w:b w:val="0"/>
          <w:sz w:val="21"/>
          <w:szCs w:val="21"/>
        </w:rPr>
        <w:t>（</w:t>
      </w:r>
      <w:r>
        <w:rPr>
          <w:rFonts w:hint="eastAsia" w:ascii="宋体" w:hAnsi="宋体" w:cs="宋体"/>
          <w:b w:val="0"/>
          <w:sz w:val="21"/>
          <w:szCs w:val="21"/>
          <w:lang w:val="en-US" w:eastAsia="zh-CN"/>
        </w:rPr>
        <w:t>9</w:t>
      </w:r>
      <w:r>
        <w:rPr>
          <w:rFonts w:hint="eastAsia" w:ascii="宋体" w:hAnsi="宋体" w:cs="宋体"/>
          <w:b w:val="0"/>
          <w:sz w:val="21"/>
          <w:szCs w:val="21"/>
        </w:rPr>
        <w:t>）技术方案</w:t>
      </w:r>
    </w:p>
    <w:p>
      <w:pPr>
        <w:pStyle w:val="8"/>
        <w:spacing w:before="0" w:after="0" w:line="360" w:lineRule="auto"/>
        <w:rPr>
          <w:rFonts w:ascii="宋体" w:hAnsi="宋体" w:cs="宋体"/>
          <w:b w:val="0"/>
          <w:sz w:val="21"/>
          <w:szCs w:val="21"/>
        </w:rPr>
      </w:pPr>
      <w:r>
        <w:rPr>
          <w:rFonts w:hint="eastAsia" w:ascii="宋体" w:hAnsi="宋体" w:cs="宋体"/>
          <w:b w:val="0"/>
          <w:sz w:val="21"/>
          <w:szCs w:val="21"/>
        </w:rPr>
        <w:t>（</w:t>
      </w:r>
      <w:r>
        <w:rPr>
          <w:rFonts w:hint="eastAsia" w:ascii="宋体" w:hAnsi="宋体" w:cs="宋体"/>
          <w:b w:val="0"/>
          <w:sz w:val="21"/>
          <w:szCs w:val="21"/>
          <w:lang w:val="en-US" w:eastAsia="zh-CN"/>
        </w:rPr>
        <w:t>10</w:t>
      </w:r>
      <w:r>
        <w:rPr>
          <w:rFonts w:hint="eastAsia" w:ascii="宋体" w:hAnsi="宋体" w:cs="宋体"/>
          <w:b w:val="0"/>
          <w:sz w:val="21"/>
          <w:szCs w:val="21"/>
        </w:rPr>
        <w:t>）供应商认为有必要补充的其他资料</w:t>
      </w:r>
    </w:p>
    <w:p>
      <w:pPr>
        <w:pStyle w:val="8"/>
        <w:spacing w:before="0" w:after="0" w:line="360" w:lineRule="auto"/>
        <w:rPr>
          <w:rFonts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val="en-US" w:eastAsia="zh-CN"/>
        </w:rPr>
        <w:t>0</w:t>
      </w:r>
      <w:r>
        <w:rPr>
          <w:rFonts w:hint="eastAsia" w:ascii="宋体" w:hAnsi="宋体" w:cs="宋体"/>
          <w:bCs/>
          <w:sz w:val="21"/>
          <w:szCs w:val="21"/>
        </w:rPr>
        <w:t xml:space="preserve"> 响应文件格式</w:t>
      </w:r>
      <w:bookmarkEnd w:id="129"/>
      <w:bookmarkEnd w:id="130"/>
      <w:bookmarkEnd w:id="131"/>
      <w:bookmarkEnd w:id="132"/>
      <w:bookmarkEnd w:id="133"/>
      <w:bookmarkEnd w:id="134"/>
      <w:bookmarkEnd w:id="135"/>
      <w:bookmarkEnd w:id="136"/>
      <w:bookmarkEnd w:id="137"/>
      <w:bookmarkEnd w:id="138"/>
      <w:bookmarkEnd w:id="139"/>
    </w:p>
    <w:p>
      <w:pPr>
        <w:spacing w:line="360" w:lineRule="auto"/>
        <w:ind w:firstLine="420" w:firstLineChars="200"/>
        <w:rPr>
          <w:rFonts w:ascii="宋体" w:hAnsi="宋体" w:cs="宋体"/>
          <w:szCs w:val="21"/>
        </w:rPr>
      </w:pPr>
      <w:r>
        <w:rPr>
          <w:rFonts w:hint="eastAsia" w:ascii="宋体" w:hAnsi="宋体" w:cs="宋体"/>
          <w:szCs w:val="21"/>
        </w:rPr>
        <w:t>供应商应按磋商文件中提供的响应文件格式填写“磋商响应函”、“</w:t>
      </w:r>
      <w:r>
        <w:rPr>
          <w:rFonts w:hint="eastAsia" w:ascii="宋体" w:hAnsi="宋体" w:cs="宋体"/>
          <w:b w:val="0"/>
          <w:sz w:val="21"/>
          <w:szCs w:val="21"/>
          <w:lang w:val="en-US" w:eastAsia="zh-CN"/>
        </w:rPr>
        <w:t>磋商报价表</w:t>
      </w:r>
      <w:r>
        <w:rPr>
          <w:rFonts w:hint="eastAsia" w:ascii="宋体" w:hAnsi="宋体" w:cs="宋体"/>
          <w:szCs w:val="21"/>
        </w:rPr>
        <w:t>”以及其他附件格式。</w:t>
      </w:r>
    </w:p>
    <w:p>
      <w:pPr>
        <w:pStyle w:val="8"/>
        <w:spacing w:before="0" w:after="0" w:line="360" w:lineRule="auto"/>
        <w:rPr>
          <w:rFonts w:ascii="宋体" w:hAnsi="宋体" w:cs="宋体"/>
          <w:bCs/>
          <w:sz w:val="21"/>
          <w:szCs w:val="21"/>
        </w:rPr>
      </w:pPr>
      <w:bookmarkStart w:id="140" w:name="_Toc233435931"/>
      <w:bookmarkStart w:id="141" w:name="_Toc25019"/>
      <w:bookmarkStart w:id="142" w:name="_Toc2716"/>
      <w:bookmarkStart w:id="143" w:name="_Toc8452"/>
      <w:bookmarkStart w:id="144" w:name="_Toc7524486"/>
      <w:bookmarkStart w:id="145" w:name="_Toc21201"/>
      <w:bookmarkStart w:id="146" w:name="_Toc392236628"/>
      <w:bookmarkStart w:id="147" w:name="_Toc386965839"/>
      <w:bookmarkStart w:id="148" w:name="_Toc28880"/>
      <w:bookmarkStart w:id="149" w:name="_Toc29149"/>
      <w:bookmarkStart w:id="150" w:name="_Toc501"/>
      <w:r>
        <w:rPr>
          <w:rFonts w:hint="eastAsia" w:ascii="宋体" w:hAnsi="宋体" w:cs="宋体"/>
          <w:bCs/>
          <w:sz w:val="21"/>
          <w:szCs w:val="21"/>
        </w:rPr>
        <w:t>1</w:t>
      </w:r>
      <w:r>
        <w:rPr>
          <w:rFonts w:hint="eastAsia" w:ascii="宋体" w:hAnsi="宋体" w:cs="宋体"/>
          <w:bCs/>
          <w:sz w:val="21"/>
          <w:szCs w:val="21"/>
          <w:lang w:val="en-US" w:eastAsia="zh-CN"/>
        </w:rPr>
        <w:t>1</w:t>
      </w:r>
      <w:r>
        <w:rPr>
          <w:rFonts w:hint="eastAsia" w:ascii="宋体" w:hAnsi="宋体" w:cs="宋体"/>
          <w:bCs/>
          <w:sz w:val="21"/>
          <w:szCs w:val="21"/>
        </w:rPr>
        <w:t xml:space="preserve"> 磋商</w:t>
      </w:r>
      <w:bookmarkEnd w:id="140"/>
      <w:r>
        <w:rPr>
          <w:rFonts w:hint="eastAsia" w:ascii="宋体" w:hAnsi="宋体" w:cs="宋体"/>
          <w:bCs/>
          <w:sz w:val="21"/>
          <w:szCs w:val="21"/>
        </w:rPr>
        <w:t>报价</w:t>
      </w:r>
      <w:bookmarkEnd w:id="141"/>
      <w:bookmarkEnd w:id="142"/>
      <w:bookmarkEnd w:id="143"/>
      <w:bookmarkEnd w:id="144"/>
      <w:bookmarkEnd w:id="145"/>
      <w:bookmarkEnd w:id="146"/>
      <w:bookmarkEnd w:id="147"/>
      <w:bookmarkEnd w:id="148"/>
      <w:bookmarkEnd w:id="149"/>
      <w:bookmarkEnd w:id="150"/>
    </w:p>
    <w:p>
      <w:pPr>
        <w:snapToGrid w:val="0"/>
        <w:spacing w:line="360" w:lineRule="auto"/>
        <w:rPr>
          <w:rFonts w:ascii="宋体" w:hAnsi="宋体" w:cs="宋体"/>
          <w:szCs w:val="21"/>
        </w:rPr>
      </w:pPr>
      <w:bookmarkStart w:id="151" w:name="_Toc233435932"/>
      <w:bookmarkStart w:id="152" w:name="_Toc386965840"/>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.1本项目的磋商报价采用本须知磋商须知前附表所规定的方式进行报价。</w:t>
      </w:r>
    </w:p>
    <w:p>
      <w:pPr>
        <w:snapToGrid w:val="0"/>
        <w:spacing w:line="360" w:lineRule="auto"/>
        <w:ind w:left="525" w:hanging="525" w:hangingChars="25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.2凡因供应商对磋商文件阅读不深、理解不透、误解、疏漏，或因市场行情了解不清，造成的后果和风险由供应商自负。</w:t>
      </w:r>
    </w:p>
    <w:p>
      <w:pPr>
        <w:pStyle w:val="8"/>
        <w:spacing w:before="0" w:after="0" w:line="360" w:lineRule="auto"/>
        <w:rPr>
          <w:rFonts w:ascii="宋体" w:hAnsi="宋体" w:cs="宋体"/>
          <w:bCs/>
          <w:sz w:val="21"/>
          <w:szCs w:val="21"/>
        </w:rPr>
      </w:pPr>
      <w:bookmarkStart w:id="153" w:name="_Toc1742"/>
      <w:bookmarkStart w:id="154" w:name="_Toc7524487"/>
      <w:bookmarkStart w:id="155" w:name="_Toc17301"/>
      <w:bookmarkStart w:id="156" w:name="_Toc29939"/>
      <w:bookmarkStart w:id="157" w:name="_Toc25680"/>
      <w:bookmarkStart w:id="158" w:name="_Toc392236629"/>
      <w:bookmarkStart w:id="159" w:name="_Toc26416"/>
      <w:bookmarkStart w:id="160" w:name="_Toc5538"/>
      <w:bookmarkStart w:id="161" w:name="_Toc31116"/>
      <w:r>
        <w:rPr>
          <w:rFonts w:hint="eastAsia" w:ascii="宋体" w:hAnsi="宋体" w:cs="宋体"/>
          <w:bCs/>
          <w:sz w:val="21"/>
          <w:szCs w:val="21"/>
        </w:rPr>
        <w:t>1</w:t>
      </w:r>
      <w:r>
        <w:rPr>
          <w:rFonts w:hint="eastAsia" w:ascii="宋体" w:hAnsi="宋体" w:cs="宋体"/>
          <w:bCs/>
          <w:sz w:val="21"/>
          <w:szCs w:val="21"/>
          <w:lang w:val="en-US" w:eastAsia="zh-CN"/>
        </w:rPr>
        <w:t>2</w:t>
      </w:r>
      <w:r>
        <w:rPr>
          <w:rFonts w:hint="eastAsia" w:ascii="宋体" w:hAnsi="宋体" w:cs="宋体"/>
          <w:bCs/>
          <w:sz w:val="21"/>
          <w:szCs w:val="21"/>
        </w:rPr>
        <w:t xml:space="preserve"> 磋商货币</w:t>
      </w:r>
      <w:bookmarkEnd w:id="151"/>
      <w:bookmarkEnd w:id="152"/>
      <w:bookmarkEnd w:id="153"/>
      <w:bookmarkEnd w:id="154"/>
      <w:bookmarkEnd w:id="155"/>
      <w:bookmarkEnd w:id="156"/>
      <w:bookmarkEnd w:id="157"/>
      <w:bookmarkEnd w:id="158"/>
      <w:bookmarkEnd w:id="159"/>
      <w:bookmarkEnd w:id="160"/>
      <w:bookmarkEnd w:id="161"/>
    </w:p>
    <w:p>
      <w:pPr>
        <w:spacing w:line="360" w:lineRule="auto"/>
        <w:ind w:firstLine="420" w:firstLineChars="200"/>
        <w:rPr>
          <w:rFonts w:ascii="宋体" w:hAnsi="宋体" w:cs="宋体"/>
          <w:szCs w:val="21"/>
        </w:rPr>
      </w:pPr>
      <w:r>
        <w:rPr>
          <w:rFonts w:hint="eastAsia" w:ascii="宋体" w:hAnsi="宋体" w:cs="宋体"/>
          <w:szCs w:val="21"/>
        </w:rPr>
        <w:t>采购人只接受人民币作为唯一磋商报价货币。</w:t>
      </w:r>
    </w:p>
    <w:p>
      <w:pPr>
        <w:pStyle w:val="8"/>
        <w:spacing w:before="0" w:after="0" w:line="360" w:lineRule="auto"/>
        <w:rPr>
          <w:rFonts w:ascii="宋体" w:hAnsi="宋体" w:cs="宋体"/>
          <w:bCs/>
          <w:sz w:val="21"/>
          <w:szCs w:val="21"/>
        </w:rPr>
      </w:pPr>
      <w:bookmarkStart w:id="162" w:name="_Toc13351"/>
      <w:bookmarkStart w:id="163" w:name="_Toc386965843"/>
      <w:bookmarkStart w:id="164" w:name="_Toc392236630"/>
      <w:bookmarkStart w:id="165" w:name="_Toc233435935"/>
      <w:bookmarkStart w:id="166" w:name="_Toc30041"/>
      <w:bookmarkStart w:id="167" w:name="_Toc13461"/>
      <w:bookmarkStart w:id="168" w:name="_Toc28725"/>
      <w:bookmarkStart w:id="169" w:name="_Toc13822"/>
      <w:bookmarkStart w:id="170" w:name="_Toc29036"/>
      <w:bookmarkStart w:id="171" w:name="_Toc26590"/>
      <w:bookmarkStart w:id="172" w:name="_Toc7524488"/>
      <w:r>
        <w:rPr>
          <w:rFonts w:hint="eastAsia" w:ascii="宋体" w:hAnsi="宋体" w:cs="宋体"/>
          <w:bCs/>
          <w:sz w:val="21"/>
          <w:szCs w:val="21"/>
        </w:rPr>
        <w:t>1</w:t>
      </w:r>
      <w:r>
        <w:rPr>
          <w:rFonts w:hint="eastAsia" w:ascii="宋体" w:hAnsi="宋体" w:cs="宋体"/>
          <w:bCs/>
          <w:sz w:val="21"/>
          <w:szCs w:val="21"/>
          <w:lang w:val="en-US" w:eastAsia="zh-CN"/>
        </w:rPr>
        <w:t>3</w:t>
      </w:r>
      <w:r>
        <w:rPr>
          <w:rFonts w:hint="eastAsia" w:ascii="宋体" w:hAnsi="宋体" w:cs="宋体"/>
          <w:bCs/>
          <w:sz w:val="21"/>
          <w:szCs w:val="21"/>
        </w:rPr>
        <w:t xml:space="preserve"> 磋商保证金</w:t>
      </w:r>
      <w:bookmarkEnd w:id="162"/>
      <w:bookmarkEnd w:id="163"/>
      <w:bookmarkEnd w:id="164"/>
      <w:bookmarkEnd w:id="165"/>
      <w:bookmarkEnd w:id="166"/>
      <w:bookmarkEnd w:id="167"/>
      <w:bookmarkEnd w:id="168"/>
      <w:bookmarkEnd w:id="169"/>
      <w:bookmarkEnd w:id="170"/>
      <w:bookmarkEnd w:id="171"/>
      <w:bookmarkEnd w:id="172"/>
    </w:p>
    <w:p>
      <w:pPr>
        <w:snapToGrid w:val="0"/>
        <w:spacing w:line="360" w:lineRule="auto"/>
        <w:ind w:left="525" w:hanging="525" w:hangingChars="250"/>
        <w:rPr>
          <w:rFonts w:ascii="宋体" w:hAnsi="宋体" w:cs="宋体"/>
          <w:szCs w:val="21"/>
        </w:rPr>
      </w:pPr>
      <w:bookmarkStart w:id="173" w:name="_Toc7524489"/>
      <w:bookmarkStart w:id="174" w:name="_Toc9548"/>
      <w:bookmarkStart w:id="175" w:name="_Toc18375"/>
      <w:bookmarkStart w:id="176" w:name="_Toc23040"/>
      <w:bookmarkStart w:id="177" w:name="_Toc392236631"/>
      <w:bookmarkStart w:id="178" w:name="_Toc24956"/>
      <w:bookmarkStart w:id="179" w:name="_Toc386965844"/>
      <w:bookmarkStart w:id="180" w:name="_Toc233435936"/>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.1根据《西安市财政局关于促进政府采购公平竞争优化营商环境》（市财函【2020】617号文），本项目无需缴纳投标保证金。</w:t>
      </w:r>
    </w:p>
    <w:p>
      <w:pPr>
        <w:pStyle w:val="8"/>
        <w:spacing w:before="0" w:after="0" w:line="360" w:lineRule="auto"/>
        <w:rPr>
          <w:rFonts w:ascii="宋体" w:hAnsi="宋体" w:cs="宋体"/>
          <w:bCs/>
          <w:sz w:val="21"/>
          <w:szCs w:val="21"/>
        </w:rPr>
      </w:pPr>
      <w:bookmarkStart w:id="181" w:name="_Toc21313"/>
      <w:bookmarkStart w:id="182" w:name="_Toc7149"/>
      <w:bookmarkStart w:id="183" w:name="_Toc27117"/>
      <w:r>
        <w:rPr>
          <w:rFonts w:hint="eastAsia" w:ascii="宋体" w:hAnsi="宋体" w:cs="宋体"/>
          <w:bCs/>
          <w:sz w:val="21"/>
          <w:szCs w:val="21"/>
        </w:rPr>
        <w:t>1</w:t>
      </w:r>
      <w:r>
        <w:rPr>
          <w:rFonts w:hint="eastAsia" w:ascii="宋体" w:hAnsi="宋体" w:cs="宋体"/>
          <w:bCs/>
          <w:sz w:val="21"/>
          <w:szCs w:val="21"/>
          <w:lang w:val="en-US" w:eastAsia="zh-CN"/>
        </w:rPr>
        <w:t>4</w:t>
      </w:r>
      <w:r>
        <w:rPr>
          <w:rFonts w:hint="eastAsia" w:ascii="宋体" w:hAnsi="宋体" w:cs="宋体"/>
          <w:bCs/>
          <w:sz w:val="21"/>
          <w:szCs w:val="21"/>
        </w:rPr>
        <w:t xml:space="preserve"> 磋商有效期</w:t>
      </w:r>
      <w:bookmarkEnd w:id="173"/>
      <w:bookmarkEnd w:id="174"/>
      <w:bookmarkEnd w:id="175"/>
      <w:bookmarkEnd w:id="176"/>
      <w:bookmarkEnd w:id="177"/>
      <w:bookmarkEnd w:id="178"/>
      <w:bookmarkEnd w:id="179"/>
      <w:bookmarkEnd w:id="180"/>
      <w:bookmarkEnd w:id="181"/>
      <w:bookmarkEnd w:id="182"/>
      <w:bookmarkEnd w:id="183"/>
    </w:p>
    <w:p>
      <w:pPr>
        <w:spacing w:line="360" w:lineRule="auto"/>
        <w:rPr>
          <w:rFonts w:ascii="宋体" w:hAnsi="宋体" w:cs="宋体"/>
          <w:szCs w:val="21"/>
          <w:u w:val="single"/>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  响应文件自开标之日起，</w:t>
      </w:r>
      <w:r>
        <w:rPr>
          <w:rFonts w:hint="eastAsia" w:ascii="宋体" w:hAnsi="宋体" w:cs="宋体"/>
          <w:szCs w:val="21"/>
          <w:highlight w:val="none"/>
        </w:rPr>
        <w:t>磋商有效期为</w:t>
      </w:r>
      <w:r>
        <w:rPr>
          <w:rFonts w:hint="eastAsia" w:ascii="宋体" w:hAnsi="宋体" w:cs="宋体"/>
          <w:kern w:val="0"/>
          <w:szCs w:val="21"/>
          <w:highlight w:val="none"/>
        </w:rPr>
        <w:t>九十（90）个日历日</w:t>
      </w:r>
      <w:r>
        <w:rPr>
          <w:rFonts w:hint="eastAsia" w:ascii="宋体" w:hAnsi="宋体" w:cs="宋体"/>
          <w:szCs w:val="21"/>
        </w:rPr>
        <w:t>。响应文件的有效期比本须知规定的有效期短的，将被视为非响应磋商，采购人有权拒绝。</w:t>
      </w:r>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 xml:space="preserve">.2  </w:t>
      </w:r>
      <w:r>
        <w:rPr>
          <w:rFonts w:hint="eastAsia" w:ascii="宋体" w:hAnsi="宋体" w:cs="宋体"/>
          <w:color w:val="000000"/>
          <w:szCs w:val="21"/>
        </w:rPr>
        <w:t>特殊情况下，采购人可于投标有效期满之前要求供应商同意延长有效期，要求与答复均应为书面形式。</w:t>
      </w:r>
    </w:p>
    <w:p>
      <w:pPr>
        <w:pStyle w:val="8"/>
        <w:spacing w:before="0" w:after="0" w:line="360" w:lineRule="auto"/>
        <w:rPr>
          <w:rFonts w:ascii="宋体" w:hAnsi="宋体" w:cs="宋体"/>
          <w:bCs/>
          <w:sz w:val="21"/>
          <w:szCs w:val="21"/>
        </w:rPr>
      </w:pPr>
      <w:bookmarkStart w:id="184" w:name="_Toc5896"/>
      <w:bookmarkStart w:id="185" w:name="_Toc233435937"/>
      <w:bookmarkStart w:id="186" w:name="_Toc22540"/>
      <w:bookmarkStart w:id="187" w:name="_Toc6693"/>
      <w:bookmarkStart w:id="188" w:name="_Toc386965845"/>
      <w:bookmarkStart w:id="189" w:name="_Toc14575"/>
      <w:bookmarkStart w:id="190" w:name="_Toc392236632"/>
      <w:bookmarkStart w:id="191" w:name="_Toc16835"/>
      <w:bookmarkStart w:id="192" w:name="_Toc1070"/>
      <w:bookmarkStart w:id="193" w:name="_Toc22570"/>
      <w:bookmarkStart w:id="194" w:name="_Toc7524490"/>
      <w:r>
        <w:rPr>
          <w:rFonts w:hint="eastAsia" w:ascii="宋体" w:hAnsi="宋体" w:cs="宋体"/>
          <w:bCs/>
          <w:sz w:val="21"/>
          <w:szCs w:val="21"/>
        </w:rPr>
        <w:t>1</w:t>
      </w:r>
      <w:r>
        <w:rPr>
          <w:rFonts w:hint="eastAsia" w:ascii="宋体" w:hAnsi="宋体" w:cs="宋体"/>
          <w:bCs/>
          <w:sz w:val="21"/>
          <w:szCs w:val="21"/>
          <w:lang w:val="en-US" w:eastAsia="zh-CN"/>
        </w:rPr>
        <w:t>5</w:t>
      </w:r>
      <w:r>
        <w:rPr>
          <w:rFonts w:hint="eastAsia" w:ascii="宋体" w:hAnsi="宋体" w:cs="宋体"/>
          <w:bCs/>
          <w:sz w:val="21"/>
          <w:szCs w:val="21"/>
        </w:rPr>
        <w:t xml:space="preserve"> 响应文件的签署及格式</w:t>
      </w:r>
      <w:bookmarkEnd w:id="184"/>
      <w:bookmarkEnd w:id="185"/>
      <w:bookmarkEnd w:id="186"/>
      <w:bookmarkEnd w:id="187"/>
      <w:bookmarkEnd w:id="188"/>
      <w:bookmarkEnd w:id="189"/>
      <w:bookmarkEnd w:id="190"/>
      <w:bookmarkEnd w:id="191"/>
      <w:bookmarkEnd w:id="192"/>
      <w:bookmarkEnd w:id="193"/>
      <w:bookmarkEnd w:id="194"/>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响应文件的正本和副本均需打印或使用墨水笔书写。响应文件应由供应商法定代表人或经法定代表人正式授权的供应商代表在“磋商文件”要求的地方签字并加盖供应商公章。一旦正本和副本有差异，以正本为准。</w:t>
      </w:r>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.2除供应商对错处作必要修改外，响应文件中不许有加行、涂抹或改写。若有修改须由签署响应文件的人在旁边签字才有效。</w:t>
      </w:r>
    </w:p>
    <w:p>
      <w:pPr>
        <w:pStyle w:val="7"/>
        <w:tabs>
          <w:tab w:val="left" w:pos="576"/>
        </w:tabs>
        <w:spacing w:before="0" w:after="0" w:line="360" w:lineRule="auto"/>
        <w:jc w:val="center"/>
        <w:rPr>
          <w:rFonts w:ascii="宋体" w:hAnsi="宋体" w:eastAsia="宋体" w:cs="宋体"/>
          <w:bCs/>
          <w:sz w:val="28"/>
          <w:szCs w:val="28"/>
        </w:rPr>
      </w:pPr>
      <w:bookmarkStart w:id="195" w:name="_Toc29488"/>
      <w:bookmarkStart w:id="196" w:name="_Toc13486"/>
      <w:bookmarkStart w:id="197" w:name="_Toc7524491"/>
      <w:bookmarkStart w:id="198" w:name="_Toc23618"/>
      <w:bookmarkStart w:id="199" w:name="_Toc22633"/>
      <w:bookmarkStart w:id="200" w:name="_Toc392236633"/>
      <w:bookmarkStart w:id="201" w:name="_Toc386965846"/>
      <w:bookmarkStart w:id="202" w:name="_Toc10117"/>
      <w:bookmarkStart w:id="203" w:name="_Toc5363"/>
      <w:bookmarkStart w:id="204" w:name="_Toc233435938"/>
      <w:bookmarkStart w:id="205" w:name="_Toc17826"/>
      <w:r>
        <w:rPr>
          <w:rFonts w:hint="eastAsia" w:ascii="宋体" w:hAnsi="宋体" w:eastAsia="宋体" w:cs="宋体"/>
          <w:bCs/>
          <w:sz w:val="28"/>
          <w:szCs w:val="28"/>
        </w:rPr>
        <w:t>D 响应文件的递交</w:t>
      </w:r>
      <w:bookmarkEnd w:id="195"/>
      <w:bookmarkEnd w:id="196"/>
      <w:bookmarkEnd w:id="197"/>
      <w:bookmarkEnd w:id="198"/>
      <w:bookmarkEnd w:id="199"/>
      <w:bookmarkEnd w:id="200"/>
      <w:bookmarkEnd w:id="201"/>
      <w:bookmarkEnd w:id="202"/>
      <w:bookmarkEnd w:id="203"/>
      <w:bookmarkEnd w:id="204"/>
      <w:bookmarkEnd w:id="205"/>
    </w:p>
    <w:p>
      <w:pPr>
        <w:pStyle w:val="8"/>
        <w:spacing w:before="0" w:after="0" w:line="360" w:lineRule="auto"/>
        <w:rPr>
          <w:rFonts w:ascii="宋体" w:hAnsi="宋体" w:cs="宋体"/>
          <w:bCs/>
          <w:sz w:val="21"/>
          <w:szCs w:val="21"/>
        </w:rPr>
      </w:pPr>
      <w:bookmarkStart w:id="206" w:name="_Toc18243"/>
      <w:bookmarkStart w:id="207" w:name="_Toc14424"/>
      <w:bookmarkStart w:id="208" w:name="_Toc386965847"/>
      <w:bookmarkStart w:id="209" w:name="_Toc25154"/>
      <w:bookmarkStart w:id="210" w:name="_Toc14779"/>
      <w:bookmarkStart w:id="211" w:name="_Toc4582"/>
      <w:bookmarkStart w:id="212" w:name="_Toc26837"/>
      <w:bookmarkStart w:id="213" w:name="_Toc7524492"/>
      <w:bookmarkStart w:id="214" w:name="_Toc392236634"/>
      <w:bookmarkStart w:id="215" w:name="_Toc20024"/>
      <w:bookmarkStart w:id="216" w:name="_Toc233435939"/>
      <w:r>
        <w:rPr>
          <w:rFonts w:hint="eastAsia" w:ascii="宋体" w:hAnsi="宋体" w:cs="宋体"/>
          <w:bCs/>
          <w:sz w:val="21"/>
          <w:szCs w:val="21"/>
        </w:rPr>
        <w:t>1</w:t>
      </w:r>
      <w:r>
        <w:rPr>
          <w:rFonts w:hint="eastAsia" w:ascii="宋体" w:hAnsi="宋体" w:cs="宋体"/>
          <w:bCs/>
          <w:sz w:val="21"/>
          <w:szCs w:val="21"/>
          <w:lang w:val="en-US" w:eastAsia="zh-CN"/>
        </w:rPr>
        <w:t>6</w:t>
      </w:r>
      <w:r>
        <w:rPr>
          <w:rFonts w:hint="eastAsia" w:ascii="宋体" w:hAnsi="宋体" w:cs="宋体"/>
          <w:bCs/>
          <w:sz w:val="21"/>
          <w:szCs w:val="21"/>
        </w:rPr>
        <w:t xml:space="preserve"> 响应文件的数量、包装和标记</w:t>
      </w:r>
      <w:bookmarkEnd w:id="206"/>
      <w:bookmarkEnd w:id="207"/>
      <w:bookmarkEnd w:id="208"/>
      <w:bookmarkEnd w:id="209"/>
      <w:bookmarkEnd w:id="210"/>
      <w:bookmarkEnd w:id="211"/>
      <w:bookmarkEnd w:id="212"/>
      <w:bookmarkEnd w:id="213"/>
      <w:bookmarkEnd w:id="214"/>
      <w:bookmarkEnd w:id="215"/>
      <w:bookmarkEnd w:id="216"/>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.1响应文件数量见供应商须知前附表。一旦正本与副本不符，以正本为准。</w:t>
      </w:r>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.2供应商应在响应文件密封文件袋封面加盖供应商公章以保证文件密封性完整。</w:t>
      </w:r>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3响应文件必须密封递交。对封装材料及样式不作特别规定，但供应商应当保证其封装的可靠性，不致因搬运、堆放等原因散开。所有密封袋/箱和响应文件封面须标明项目名称、采购项目编号、供应商名称及“正本”、“副本”字样。</w:t>
      </w:r>
    </w:p>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.4如果未按上述规定进行密封和标记，采购人有权拒绝供应商的响应文件。</w:t>
      </w:r>
    </w:p>
    <w:p>
      <w:pPr>
        <w:pStyle w:val="8"/>
        <w:spacing w:before="0" w:after="0" w:line="360" w:lineRule="auto"/>
        <w:rPr>
          <w:rFonts w:ascii="宋体" w:hAnsi="宋体" w:cs="宋体"/>
          <w:bCs/>
          <w:sz w:val="21"/>
          <w:szCs w:val="21"/>
        </w:rPr>
      </w:pPr>
      <w:bookmarkStart w:id="217" w:name="_Toc19141"/>
      <w:bookmarkStart w:id="218" w:name="_Toc285"/>
      <w:bookmarkStart w:id="219" w:name="_Toc11659"/>
      <w:bookmarkStart w:id="220" w:name="_Toc31397"/>
      <w:bookmarkStart w:id="221" w:name="_Toc23296"/>
      <w:bookmarkStart w:id="222" w:name="_Toc233435940"/>
      <w:bookmarkStart w:id="223" w:name="_Toc4265"/>
      <w:bookmarkStart w:id="224" w:name="_Toc392236635"/>
      <w:bookmarkStart w:id="225" w:name="_Toc16728"/>
      <w:bookmarkStart w:id="226" w:name="_Toc7524493"/>
      <w:bookmarkStart w:id="227" w:name="_Toc386965848"/>
      <w:r>
        <w:rPr>
          <w:rFonts w:hint="eastAsia" w:ascii="宋体" w:hAnsi="宋体" w:cs="宋体"/>
          <w:bCs/>
          <w:sz w:val="21"/>
          <w:szCs w:val="21"/>
          <w:lang w:val="en-US" w:eastAsia="zh-CN"/>
        </w:rPr>
        <w:t>17</w:t>
      </w:r>
      <w:r>
        <w:rPr>
          <w:rFonts w:hint="eastAsia" w:ascii="宋体" w:hAnsi="宋体" w:cs="宋体"/>
          <w:bCs/>
          <w:sz w:val="21"/>
          <w:szCs w:val="21"/>
        </w:rPr>
        <w:t xml:space="preserve"> 投标截止时间</w:t>
      </w:r>
      <w:bookmarkEnd w:id="217"/>
      <w:bookmarkEnd w:id="218"/>
      <w:bookmarkEnd w:id="219"/>
      <w:bookmarkEnd w:id="220"/>
      <w:bookmarkEnd w:id="221"/>
      <w:bookmarkEnd w:id="222"/>
      <w:bookmarkEnd w:id="223"/>
      <w:bookmarkEnd w:id="224"/>
      <w:bookmarkEnd w:id="225"/>
      <w:bookmarkEnd w:id="226"/>
      <w:bookmarkEnd w:id="227"/>
    </w:p>
    <w:p>
      <w:pPr>
        <w:spacing w:line="360" w:lineRule="auto"/>
        <w:rPr>
          <w:rFonts w:ascii="宋体" w:hAnsi="宋体" w:cs="宋体"/>
          <w:szCs w:val="21"/>
        </w:rPr>
      </w:pPr>
      <w:r>
        <w:rPr>
          <w:rFonts w:hint="eastAsia" w:ascii="宋体" w:hAnsi="宋体" w:cs="宋体"/>
          <w:szCs w:val="21"/>
          <w:lang w:val="en-US" w:eastAsia="zh-CN"/>
        </w:rPr>
        <w:t>17</w:t>
      </w:r>
      <w:r>
        <w:rPr>
          <w:rFonts w:hint="eastAsia" w:ascii="宋体" w:hAnsi="宋体" w:cs="宋体"/>
          <w:szCs w:val="21"/>
        </w:rPr>
        <w:t>.1  所有响应文件都必须按“采购公告”中规定的统一递交响应文件时间送达“采购公告”中规定的递交地址。</w:t>
      </w:r>
    </w:p>
    <w:p>
      <w:pPr>
        <w:spacing w:line="360" w:lineRule="auto"/>
        <w:rPr>
          <w:rFonts w:ascii="宋体" w:hAnsi="宋体" w:cs="宋体"/>
          <w:szCs w:val="21"/>
        </w:rPr>
      </w:pPr>
      <w:r>
        <w:rPr>
          <w:rFonts w:hint="eastAsia" w:ascii="宋体" w:hAnsi="宋体" w:cs="宋体"/>
          <w:szCs w:val="21"/>
          <w:lang w:val="en-US" w:eastAsia="zh-CN"/>
        </w:rPr>
        <w:t>17</w:t>
      </w:r>
      <w:r>
        <w:rPr>
          <w:rFonts w:hint="eastAsia" w:ascii="宋体" w:hAnsi="宋体" w:cs="宋体"/>
          <w:szCs w:val="21"/>
        </w:rPr>
        <w:t>.2  出现因磋商文件的修改推迟投标截止日期时，则按修改通知规定的时间递交。</w:t>
      </w:r>
    </w:p>
    <w:p>
      <w:pPr>
        <w:spacing w:line="360" w:lineRule="auto"/>
        <w:rPr>
          <w:rFonts w:ascii="宋体" w:hAnsi="宋体" w:cs="宋体"/>
          <w:szCs w:val="21"/>
        </w:rPr>
      </w:pPr>
      <w:r>
        <w:rPr>
          <w:rFonts w:hint="eastAsia" w:ascii="宋体" w:hAnsi="宋体" w:cs="宋体"/>
          <w:szCs w:val="21"/>
          <w:lang w:val="en-US" w:eastAsia="zh-CN"/>
        </w:rPr>
        <w:t>17</w:t>
      </w:r>
      <w:r>
        <w:rPr>
          <w:rFonts w:hint="eastAsia" w:ascii="宋体" w:hAnsi="宋体" w:cs="宋体"/>
          <w:szCs w:val="21"/>
        </w:rPr>
        <w:t>.3  在响应文件递交截止时间之后递交的任何响应文件及资料将被拒绝接收。</w:t>
      </w:r>
    </w:p>
    <w:p>
      <w:pPr>
        <w:spacing w:line="360" w:lineRule="auto"/>
        <w:rPr>
          <w:rFonts w:ascii="宋体" w:hAnsi="宋体" w:cs="宋体"/>
          <w:szCs w:val="21"/>
        </w:rPr>
      </w:pPr>
      <w:r>
        <w:rPr>
          <w:rFonts w:hint="eastAsia" w:ascii="宋体" w:hAnsi="宋体" w:cs="宋体"/>
          <w:szCs w:val="21"/>
          <w:lang w:val="en-US" w:eastAsia="zh-CN"/>
        </w:rPr>
        <w:t>17</w:t>
      </w:r>
      <w:r>
        <w:rPr>
          <w:rFonts w:hint="eastAsia" w:ascii="宋体" w:hAnsi="宋体" w:cs="宋体"/>
          <w:szCs w:val="21"/>
        </w:rPr>
        <w:t>.4  拒绝接受以电报、电话、传真、电子邮件形式的投标。</w:t>
      </w:r>
    </w:p>
    <w:p>
      <w:pPr>
        <w:pStyle w:val="8"/>
        <w:spacing w:before="0" w:after="0" w:line="360" w:lineRule="auto"/>
        <w:rPr>
          <w:rFonts w:ascii="宋体" w:hAnsi="宋体" w:cs="宋体"/>
          <w:bCs/>
          <w:sz w:val="21"/>
          <w:szCs w:val="21"/>
        </w:rPr>
      </w:pPr>
      <w:bookmarkStart w:id="228" w:name="_Toc386965849"/>
      <w:bookmarkStart w:id="229" w:name="_Toc13250"/>
      <w:bookmarkStart w:id="230" w:name="_Toc3340"/>
      <w:bookmarkStart w:id="231" w:name="_Toc392236636"/>
      <w:bookmarkStart w:id="232" w:name="_Toc9923"/>
      <w:bookmarkStart w:id="233" w:name="_Toc7515"/>
      <w:bookmarkStart w:id="234" w:name="_Toc18581"/>
      <w:bookmarkStart w:id="235" w:name="_Toc7524494"/>
      <w:bookmarkStart w:id="236" w:name="_Toc6986"/>
      <w:bookmarkStart w:id="237" w:name="_Toc25590"/>
      <w:r>
        <w:rPr>
          <w:rFonts w:hint="eastAsia" w:ascii="宋体" w:hAnsi="宋体" w:cs="宋体"/>
          <w:bCs/>
          <w:sz w:val="21"/>
          <w:szCs w:val="21"/>
          <w:lang w:val="en-US" w:eastAsia="zh-CN"/>
        </w:rPr>
        <w:t>18</w:t>
      </w:r>
      <w:r>
        <w:rPr>
          <w:rFonts w:hint="eastAsia" w:ascii="宋体" w:hAnsi="宋体" w:cs="宋体"/>
          <w:bCs/>
          <w:sz w:val="21"/>
          <w:szCs w:val="21"/>
        </w:rPr>
        <w:t xml:space="preserve"> 响应文件的修改与撤回</w:t>
      </w:r>
      <w:bookmarkEnd w:id="228"/>
      <w:bookmarkEnd w:id="229"/>
      <w:bookmarkEnd w:id="230"/>
      <w:bookmarkEnd w:id="231"/>
      <w:bookmarkEnd w:id="232"/>
      <w:bookmarkEnd w:id="233"/>
      <w:bookmarkEnd w:id="234"/>
      <w:bookmarkEnd w:id="235"/>
      <w:bookmarkEnd w:id="236"/>
      <w:bookmarkEnd w:id="237"/>
    </w:p>
    <w:p>
      <w:pPr>
        <w:overflowPunct w:val="0"/>
        <w:adjustRightInd w:val="0"/>
        <w:snapToGrid w:val="0"/>
        <w:spacing w:line="360" w:lineRule="auto"/>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.1 供应商在递交响应文件后，可以修改或撤回其投标，但采购代理机构必须在规定的投标截止期之前，收到修改或撤回的书面通知。</w:t>
      </w:r>
    </w:p>
    <w:p>
      <w:pPr>
        <w:overflowPunct w:val="0"/>
        <w:adjustRightInd w:val="0"/>
        <w:snapToGrid w:val="0"/>
        <w:spacing w:line="360" w:lineRule="auto"/>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.2 供应商的修改或撤回通知应按规定编制、密封、标记和发送。撤回通知书也可以用传真传递，但随后要用经过签字的信件确认，其送达时间不得迟于投标截止时间。</w:t>
      </w:r>
    </w:p>
    <w:p>
      <w:pPr>
        <w:overflowPunct w:val="0"/>
        <w:adjustRightInd w:val="0"/>
        <w:snapToGrid w:val="0"/>
        <w:spacing w:line="360" w:lineRule="auto"/>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.3 在投标截止期之后，供应商不得对其投标做任何修改。</w:t>
      </w:r>
    </w:p>
    <w:p>
      <w:pPr>
        <w:spacing w:line="360" w:lineRule="auto"/>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.4 从投标截止期至供应商在磋商响应函格式中确定的投标有效期之间的这段时间内，供应商不得撤回其投标。</w:t>
      </w:r>
    </w:p>
    <w:p>
      <w:pPr>
        <w:pStyle w:val="7"/>
        <w:tabs>
          <w:tab w:val="left" w:pos="576"/>
        </w:tabs>
        <w:spacing w:before="0" w:after="0" w:line="360" w:lineRule="auto"/>
        <w:jc w:val="center"/>
        <w:rPr>
          <w:rFonts w:ascii="宋体" w:hAnsi="宋体" w:eastAsia="宋体" w:cs="宋体"/>
          <w:bCs/>
          <w:sz w:val="28"/>
          <w:szCs w:val="28"/>
        </w:rPr>
      </w:pPr>
      <w:bookmarkStart w:id="238" w:name="_Toc233435941"/>
      <w:bookmarkStart w:id="239" w:name="_Toc7524495"/>
      <w:bookmarkStart w:id="240" w:name="_Toc392236637"/>
      <w:bookmarkStart w:id="241" w:name="_Toc19557"/>
      <w:bookmarkStart w:id="242" w:name="_Toc4567"/>
      <w:bookmarkStart w:id="243" w:name="_Toc19000"/>
      <w:bookmarkStart w:id="244" w:name="_Toc386965850"/>
      <w:bookmarkStart w:id="245" w:name="_Toc24457"/>
      <w:bookmarkStart w:id="246" w:name="_Toc23344"/>
      <w:bookmarkStart w:id="247" w:name="_Toc11140"/>
      <w:bookmarkStart w:id="248" w:name="_Toc29445"/>
      <w:r>
        <w:rPr>
          <w:rFonts w:hint="eastAsia" w:ascii="宋体" w:hAnsi="宋体" w:eastAsia="宋体" w:cs="宋体"/>
          <w:bCs/>
          <w:sz w:val="28"/>
          <w:szCs w:val="28"/>
        </w:rPr>
        <w:t>E 磋商和</w:t>
      </w:r>
      <w:bookmarkEnd w:id="238"/>
      <w:r>
        <w:rPr>
          <w:rFonts w:hint="eastAsia" w:ascii="宋体" w:hAnsi="宋体" w:eastAsia="宋体" w:cs="宋体"/>
          <w:bCs/>
          <w:sz w:val="28"/>
          <w:szCs w:val="28"/>
        </w:rPr>
        <w:t>评审</w:t>
      </w:r>
      <w:bookmarkEnd w:id="239"/>
      <w:bookmarkEnd w:id="240"/>
      <w:bookmarkEnd w:id="241"/>
      <w:bookmarkEnd w:id="242"/>
      <w:bookmarkEnd w:id="243"/>
      <w:bookmarkEnd w:id="244"/>
      <w:bookmarkEnd w:id="245"/>
      <w:bookmarkEnd w:id="246"/>
      <w:bookmarkEnd w:id="247"/>
      <w:bookmarkEnd w:id="248"/>
    </w:p>
    <w:p>
      <w:pPr>
        <w:pStyle w:val="8"/>
        <w:spacing w:before="0" w:after="0" w:line="360" w:lineRule="auto"/>
        <w:rPr>
          <w:rFonts w:ascii="宋体" w:hAnsi="宋体" w:cs="宋体"/>
          <w:bCs/>
          <w:sz w:val="21"/>
          <w:szCs w:val="21"/>
        </w:rPr>
      </w:pPr>
      <w:bookmarkStart w:id="249" w:name="_Toc19324"/>
      <w:bookmarkStart w:id="250" w:name="_Toc8977"/>
      <w:bookmarkStart w:id="251" w:name="_Toc17012"/>
      <w:bookmarkStart w:id="252" w:name="_Toc233435942"/>
      <w:bookmarkStart w:id="253" w:name="_Toc16373"/>
      <w:bookmarkStart w:id="254" w:name="_Toc15314"/>
      <w:bookmarkStart w:id="255" w:name="_Toc20614"/>
      <w:bookmarkStart w:id="256" w:name="_Toc7524496"/>
      <w:bookmarkStart w:id="257" w:name="_Toc27161"/>
      <w:bookmarkStart w:id="258" w:name="_Toc386965851"/>
      <w:bookmarkStart w:id="259" w:name="_Toc392236638"/>
      <w:r>
        <w:rPr>
          <w:rFonts w:hint="eastAsia" w:ascii="宋体" w:hAnsi="宋体" w:cs="宋体"/>
          <w:bCs/>
          <w:sz w:val="21"/>
          <w:szCs w:val="21"/>
          <w:lang w:val="en-US" w:eastAsia="zh-CN"/>
        </w:rPr>
        <w:t>19</w:t>
      </w:r>
      <w:r>
        <w:rPr>
          <w:rFonts w:hint="eastAsia" w:ascii="宋体" w:hAnsi="宋体" w:cs="宋体"/>
          <w:bCs/>
          <w:sz w:val="21"/>
          <w:szCs w:val="21"/>
        </w:rPr>
        <w:t xml:space="preserve"> </w:t>
      </w:r>
      <w:bookmarkEnd w:id="249"/>
      <w:bookmarkEnd w:id="250"/>
      <w:bookmarkEnd w:id="251"/>
      <w:bookmarkEnd w:id="252"/>
      <w:bookmarkEnd w:id="253"/>
      <w:bookmarkEnd w:id="254"/>
      <w:bookmarkEnd w:id="255"/>
      <w:bookmarkEnd w:id="256"/>
      <w:bookmarkEnd w:id="257"/>
      <w:bookmarkEnd w:id="258"/>
      <w:bookmarkEnd w:id="259"/>
      <w:r>
        <w:rPr>
          <w:rFonts w:hint="eastAsia" w:ascii="宋体" w:hAnsi="宋体" w:cs="宋体"/>
          <w:bCs/>
          <w:sz w:val="21"/>
          <w:szCs w:val="21"/>
        </w:rPr>
        <w:t>磋商会议</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.1 采购代理机构按供应商须知前附表规定的时间、地点进行磋商。</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.2供应商应派法定代表人或者被授权人出席磋商会。参加磋商的代表应签名报到，以证明其出席。供应商的法定代表人或被授权人未出席磋商会的，视为其认同磋商结果。</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.3磋商仪式由采购代理机构主持，主持人宣读磋商会议开始，宣读会场纪律，宣布参加会议的供应商名单。</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.4为保证参会供应商身份的真实性，磋商时采购人对供应商的身份进行核查确认。</w:t>
      </w:r>
      <w:r>
        <w:rPr>
          <w:rFonts w:hint="eastAsia" w:ascii="宋体" w:hAnsi="宋体" w:cs="宋体"/>
          <w:b/>
          <w:bCs/>
          <w:szCs w:val="21"/>
        </w:rPr>
        <w:t>各供应商被授权人须另手持法定代表人授权委托书及被授权人身份证件原件（法定代表人直接参加时，只须出示法定代表人身份证明）接受核对审查</w:t>
      </w:r>
      <w:r>
        <w:rPr>
          <w:rFonts w:hint="eastAsia" w:ascii="宋体" w:hAnsi="宋体" w:cs="宋体"/>
          <w:szCs w:val="21"/>
        </w:rPr>
        <w:t>。</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.5供应商的法定代表人或被授权人与监标人当众检查所有竞争性磋商响应文件的密封情况，签字确认并宣读检查结果。未通过核查的按无效文件处理。</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.6采购代理机构工作人员随机开启各供应商的竞争性磋商响应文件，在公开唱读供应商名称、递交文件份数后，由记录人在监标人的监督下录入。</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.7采购代理机构对磋商过程进行录音录像，并存档备查。</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.8供应商代表对磋商过程有异议的，以及认为采购人、采购代理机构相关工作人员有需要回避的情形的，应当场提出询问或回避申请。</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.9磋商纪律要求</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.9.1供应商参加磋商时不得有下列情形：</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（1）提供虚假材料谋取成交资格；</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（2）采用不正当手段诋毁、排挤其他供应商；</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（3）与采购人、采购代理机构、其他供应商恶意串通；</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（4）向采购人、采购代理机构、磋商小组行贿或提供其他不正当利益的；</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（5）拒绝有关部门的监督检查或向监督检查部门提供虚假情况的；</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供应商若有上述情形之一的，属于不合格供应商，其竞争性磋商响应文件按无效文件处理，已取得成交资格的其资格将被取消。</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.9.2供应商有下列情形之一的，视为供应商相互恶意串通磋商，其竞争性磋商响应文件按无效文件处理：</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（1）不同供应商的竞争性磋商响应文件由同一单位或者个人编制；</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（2）不同供应商委托同一单位或者个人办理磋商事宜；</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（3）不同供应商的竞争性磋商响应文件载明的项目管理成员或者联系人员为同一人；</w:t>
      </w:r>
    </w:p>
    <w:p>
      <w:pPr>
        <w:overflowPunct w:val="0"/>
        <w:adjustRightInd w:val="0"/>
        <w:snapToGrid w:val="0"/>
        <w:spacing w:line="360" w:lineRule="auto"/>
        <w:ind w:left="420" w:hanging="420" w:hangingChars="200"/>
        <w:rPr>
          <w:rFonts w:hint="eastAsia" w:ascii="宋体" w:hAnsi="宋体" w:cs="宋体"/>
          <w:szCs w:val="21"/>
        </w:rPr>
      </w:pPr>
      <w:r>
        <w:rPr>
          <w:rFonts w:hint="eastAsia" w:ascii="宋体" w:hAnsi="宋体" w:cs="宋体"/>
          <w:szCs w:val="21"/>
        </w:rPr>
        <w:t>（4）不同供应商的竞争性磋商响应文件异常一致或者</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呈规律性差异；</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（5）不同供应商的竞争性磋商响应文件相互混装；</w:t>
      </w:r>
    </w:p>
    <w:p>
      <w:pPr>
        <w:pStyle w:val="8"/>
        <w:spacing w:before="0" w:after="0" w:line="360" w:lineRule="auto"/>
        <w:rPr>
          <w:rFonts w:ascii="宋体" w:hAnsi="宋体" w:cs="宋体"/>
          <w:bCs/>
          <w:sz w:val="21"/>
          <w:szCs w:val="21"/>
        </w:rPr>
      </w:pPr>
      <w:bookmarkStart w:id="260" w:name="_Toc233435943"/>
      <w:bookmarkStart w:id="261" w:name="_Toc10292"/>
      <w:bookmarkStart w:id="262" w:name="_Toc17025"/>
      <w:bookmarkStart w:id="263" w:name="_Toc27532"/>
      <w:bookmarkStart w:id="264" w:name="_Toc7524497"/>
      <w:bookmarkStart w:id="265" w:name="_Toc392236639"/>
      <w:bookmarkStart w:id="266" w:name="_Toc15653"/>
      <w:bookmarkStart w:id="267" w:name="_Toc10052"/>
      <w:bookmarkStart w:id="268" w:name="_Toc32258"/>
      <w:bookmarkStart w:id="269" w:name="_Toc386965852"/>
      <w:bookmarkStart w:id="270" w:name="_Toc10840"/>
      <w:r>
        <w:rPr>
          <w:rFonts w:hint="eastAsia" w:ascii="宋体" w:hAnsi="宋体" w:cs="宋体"/>
          <w:bCs/>
          <w:sz w:val="21"/>
          <w:szCs w:val="21"/>
        </w:rPr>
        <w:t>2</w:t>
      </w:r>
      <w:r>
        <w:rPr>
          <w:rFonts w:hint="eastAsia" w:ascii="宋体" w:hAnsi="宋体" w:cs="宋体"/>
          <w:bCs/>
          <w:sz w:val="21"/>
          <w:szCs w:val="21"/>
          <w:lang w:val="en-US" w:eastAsia="zh-CN"/>
        </w:rPr>
        <w:t>0</w:t>
      </w:r>
      <w:r>
        <w:rPr>
          <w:rFonts w:hint="eastAsia" w:ascii="宋体" w:hAnsi="宋体" w:cs="宋体"/>
          <w:bCs/>
          <w:sz w:val="21"/>
          <w:szCs w:val="21"/>
        </w:rPr>
        <w:t xml:space="preserve"> </w:t>
      </w:r>
      <w:bookmarkEnd w:id="260"/>
      <w:r>
        <w:rPr>
          <w:rFonts w:hint="eastAsia" w:ascii="宋体" w:hAnsi="宋体" w:cs="宋体"/>
          <w:bCs/>
          <w:sz w:val="21"/>
          <w:szCs w:val="21"/>
        </w:rPr>
        <w:t>磋商小组</w:t>
      </w:r>
      <w:bookmarkEnd w:id="261"/>
      <w:bookmarkEnd w:id="262"/>
      <w:bookmarkEnd w:id="263"/>
      <w:bookmarkEnd w:id="264"/>
      <w:bookmarkEnd w:id="265"/>
      <w:bookmarkEnd w:id="266"/>
      <w:bookmarkEnd w:id="267"/>
      <w:bookmarkEnd w:id="268"/>
      <w:bookmarkEnd w:id="269"/>
      <w:bookmarkEnd w:id="270"/>
    </w:p>
    <w:p>
      <w:pPr>
        <w:overflowPunct w:val="0"/>
        <w:adjustRightInd w:val="0"/>
        <w:snapToGrid w:val="0"/>
        <w:spacing w:line="360" w:lineRule="auto"/>
        <w:ind w:left="420" w:hanging="420" w:hangingChars="200"/>
        <w:rPr>
          <w:rFonts w:ascii="宋体" w:hAnsi="宋体" w:cs="宋体"/>
          <w:szCs w:val="21"/>
        </w:rPr>
      </w:pPr>
      <w:bookmarkStart w:id="271" w:name="_Toc386965853"/>
      <w:bookmarkStart w:id="272" w:name="_Toc233435944"/>
      <w:bookmarkStart w:id="273" w:name="_Toc392236640"/>
      <w:bookmarkStart w:id="274" w:name="_Toc27824"/>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.1 采购人将根据本次采购项目的特点，参照《中华人民共和国政府采购法》等有关规定组建磋商小组。</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.2 磋商小组成员由采购人及有关技术、经济等方面的专家组成，负责评审活动。</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.3 磋商小组成员对各供应商响应文件进行审查、质疑、评估和比较，并推荐出成交候选人。</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.4 磋商小组负责具体评审事务，并独立履行下列职责：</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1）审查、评价响应文件是否符合磋商文件的商务、技术等实质性要求；</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2）要求供应商对响应文件有关事项做出澄清或者说明；</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3）对响应文件进行比较和评价；</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4）确定成交候选人名单，以及根据采购人委托直接确定成交人；</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5）向采购人、采购代理机构或者有关部门报告评审中发现的违法行为。</w:t>
      </w:r>
    </w:p>
    <w:p>
      <w:pPr>
        <w:overflowPunct w:val="0"/>
        <w:adjustRightInd w:val="0"/>
        <w:snapToGrid w:val="0"/>
        <w:spacing w:line="360" w:lineRule="auto"/>
        <w:ind w:left="420" w:hanging="420" w:hanging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.5 磋商小组及其成员不得有下列行为：</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1）确定参与评审至评审结束前私自接触供应商；</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2）接受供应商提出的与响应文件不一致的澄清或者说明，财政部第87号令第五十一条规定的情形除外；</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3）违反评审纪律发表倾向性意见或者征询采购人的倾向性意见；</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4）对需要专业判断的主观评审因素协商评分；</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5）在评审过程中擅离职守，影响评审程序正常进行的；</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6）记录、复制或者带走任何评审资料；</w:t>
      </w:r>
    </w:p>
    <w:p>
      <w:pPr>
        <w:overflowPunct w:val="0"/>
        <w:adjustRightInd w:val="0"/>
        <w:snapToGrid w:val="0"/>
        <w:spacing w:line="360" w:lineRule="auto"/>
        <w:ind w:left="53" w:hanging="52" w:hangingChars="25"/>
        <w:rPr>
          <w:rFonts w:ascii="宋体" w:hAnsi="宋体" w:cs="宋体"/>
          <w:szCs w:val="21"/>
        </w:rPr>
      </w:pPr>
      <w:r>
        <w:rPr>
          <w:rFonts w:hint="eastAsia" w:ascii="宋体" w:hAnsi="宋体" w:cs="宋体"/>
          <w:szCs w:val="21"/>
        </w:rPr>
        <w:t>7）其他不遵守评审纪律的行为。</w:t>
      </w:r>
    </w:p>
    <w:p>
      <w:pPr>
        <w:overflowPunct w:val="0"/>
        <w:adjustRightInd w:val="0"/>
        <w:snapToGrid w:val="0"/>
        <w:spacing w:line="360" w:lineRule="auto"/>
        <w:ind w:firstLine="367" w:firstLineChars="175"/>
        <w:rPr>
          <w:rFonts w:ascii="宋体" w:hAnsi="宋体" w:cs="宋体"/>
          <w:szCs w:val="21"/>
        </w:rPr>
      </w:pPr>
      <w:r>
        <w:rPr>
          <w:rFonts w:hint="eastAsia" w:ascii="宋体" w:hAnsi="宋体" w:cs="宋体"/>
          <w:szCs w:val="21"/>
        </w:rPr>
        <w:t>磋商小组成员有前五项行为之一的，其评审意见无效，并不得获取评审劳务报酬和报销异地评审差旅费。</w:t>
      </w:r>
    </w:p>
    <w:p>
      <w:pPr>
        <w:pStyle w:val="8"/>
        <w:spacing w:before="0" w:after="0" w:line="360" w:lineRule="auto"/>
        <w:rPr>
          <w:rFonts w:ascii="宋体" w:hAnsi="宋体" w:cs="宋体"/>
          <w:bCs/>
          <w:sz w:val="21"/>
          <w:szCs w:val="21"/>
        </w:rPr>
      </w:pPr>
      <w:bookmarkStart w:id="275" w:name="_Toc30139"/>
      <w:bookmarkStart w:id="276" w:name="_Toc28861"/>
      <w:bookmarkStart w:id="277" w:name="_Toc23662"/>
      <w:bookmarkStart w:id="278" w:name="_Toc7524498"/>
      <w:bookmarkStart w:id="279" w:name="_Toc3113"/>
      <w:bookmarkStart w:id="280" w:name="_Toc26737"/>
      <w:bookmarkStart w:id="281" w:name="_Toc26629"/>
      <w:r>
        <w:rPr>
          <w:rFonts w:hint="eastAsia" w:ascii="宋体" w:hAnsi="宋体" w:cs="宋体"/>
          <w:bCs/>
          <w:sz w:val="21"/>
          <w:szCs w:val="21"/>
        </w:rPr>
        <w:t>2</w:t>
      </w:r>
      <w:r>
        <w:rPr>
          <w:rFonts w:hint="eastAsia" w:ascii="宋体" w:hAnsi="宋体" w:cs="宋体"/>
          <w:bCs/>
          <w:sz w:val="21"/>
          <w:szCs w:val="21"/>
          <w:lang w:val="en-US" w:eastAsia="zh-CN"/>
        </w:rPr>
        <w:t>1</w:t>
      </w:r>
      <w:r>
        <w:rPr>
          <w:rFonts w:hint="eastAsia" w:ascii="宋体" w:hAnsi="宋体" w:cs="宋体"/>
          <w:bCs/>
          <w:sz w:val="21"/>
          <w:szCs w:val="21"/>
        </w:rPr>
        <w:t xml:space="preserve"> 响应文件的初审</w:t>
      </w:r>
      <w:bookmarkEnd w:id="271"/>
      <w:bookmarkEnd w:id="272"/>
      <w:bookmarkEnd w:id="273"/>
      <w:bookmarkEnd w:id="274"/>
      <w:bookmarkEnd w:id="275"/>
      <w:bookmarkEnd w:id="276"/>
      <w:bookmarkEnd w:id="277"/>
      <w:bookmarkEnd w:id="278"/>
      <w:bookmarkEnd w:id="279"/>
      <w:bookmarkEnd w:id="280"/>
      <w:bookmarkEnd w:id="281"/>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.1响应文件资格性审查：采购人或采购代理机构应当依法对供应商的资格进行审查。合格供应商不足3家的，不得评审。</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.2响应文件符合性审查：磋商小组依据磋商文件的规定，从响应文件的有效性、完整性和对磋商文件的响应程度进行审查，以确定是否响应磋商文件的实质性内容。具体符合性审查内容如下：</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.2.1</w:t>
      </w:r>
      <w:r>
        <w:rPr>
          <w:rFonts w:hint="eastAsia" w:ascii="宋体" w:hAnsi="宋体" w:cs="宋体"/>
          <w:szCs w:val="21"/>
          <w:lang w:val="en-US" w:eastAsia="zh-CN"/>
        </w:rPr>
        <w:t>完工期</w:t>
      </w:r>
      <w:r>
        <w:rPr>
          <w:rFonts w:hint="eastAsia" w:ascii="宋体" w:hAnsi="宋体" w:cs="宋体"/>
          <w:szCs w:val="21"/>
        </w:rPr>
        <w:t>是否响应；</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.2.2</w:t>
      </w:r>
      <w:r>
        <w:rPr>
          <w:rFonts w:hint="eastAsia" w:ascii="宋体" w:hAnsi="宋体"/>
          <w:szCs w:val="24"/>
        </w:rPr>
        <w:t>磋商报价</w:t>
      </w:r>
      <w:r>
        <w:rPr>
          <w:rFonts w:hint="eastAsia" w:ascii="宋体" w:hAnsi="宋体" w:cs="宋体"/>
          <w:color w:val="000000"/>
          <w:szCs w:val="21"/>
        </w:rPr>
        <w:t>是否响应</w:t>
      </w:r>
      <w:r>
        <w:rPr>
          <w:rFonts w:hint="eastAsia" w:ascii="宋体" w:hAnsi="宋体" w:cs="宋体"/>
          <w:szCs w:val="21"/>
        </w:rPr>
        <w:t>；</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.2.3响应文件的数量是否合格；</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.2.4响应文件有效期是否合格；</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.2.5响应文件的签字盖章是否合格。</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.3经过对供应商及响应文件的资格性和符合性审查，出现下列情况者（但不限于），按无效投标处理。</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.3.1供应商没有经过正常渠道购买磋商文件或供应商的名称与登记领取磋商文件单位的名称不符；</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.3.2响应文件没有法定代表人授权书（法定代表人直接磋商除外）或授权书的合法性或有效性不符合磋商文件规定；</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.3.3供应商资质的有效性或符合性不符合要求的；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.3.4响应文件的数量不足或关键内容字迹模糊、无法辨认的；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.3.5超出经营范围投标的；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.3.6响应文件未按磋商文件规定有效签字和盖章的；或由供应商授权代表签字的,但未随响应文件一起提交有效的“授权委托书”原件的；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.3.7磋商有效期不足的；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.3.8磋商报价超过采购预算或最高限价的；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.3.9磋商报价与市场价偏离较大，低于成本，形成不正当竞争；</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.3.10磋商内容出现漏项或数量与要求不符，出现重大负偏差；</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.3.11响应文件附加了采购人难以接受的条件；</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.3.12提供虚假证明，开具虚假资质，出现虚假应答，除按无效标处理外，还进行相应的处罚；</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.3.13供应商有违法违规行为的；</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.3.14未按照磋商文件给定的后附表格式提供响应文件的；</w:t>
      </w:r>
    </w:p>
    <w:p>
      <w:pPr>
        <w:pStyle w:val="8"/>
        <w:spacing w:before="0" w:after="0" w:line="360" w:lineRule="auto"/>
        <w:rPr>
          <w:rFonts w:ascii="宋体" w:hAnsi="宋体" w:cs="宋体"/>
          <w:bCs/>
          <w:sz w:val="21"/>
          <w:szCs w:val="21"/>
        </w:rPr>
      </w:pPr>
      <w:bookmarkStart w:id="282" w:name="_Toc392236641"/>
      <w:bookmarkStart w:id="283" w:name="_Toc7524499"/>
      <w:bookmarkStart w:id="284" w:name="_Toc29913"/>
      <w:bookmarkStart w:id="285" w:name="_Toc32721"/>
      <w:bookmarkStart w:id="286" w:name="_Toc354"/>
      <w:bookmarkStart w:id="287" w:name="_Toc25176"/>
      <w:bookmarkStart w:id="288" w:name="_Toc28921"/>
      <w:bookmarkStart w:id="289" w:name="_Toc3544"/>
      <w:bookmarkStart w:id="290" w:name="_Toc233435945"/>
      <w:bookmarkStart w:id="291" w:name="_Toc20840"/>
      <w:bookmarkStart w:id="292" w:name="_Toc386965854"/>
      <w:r>
        <w:rPr>
          <w:rFonts w:hint="eastAsia" w:ascii="宋体" w:hAnsi="宋体" w:cs="宋体"/>
          <w:bCs/>
          <w:sz w:val="21"/>
          <w:szCs w:val="21"/>
        </w:rPr>
        <w:t>2</w:t>
      </w:r>
      <w:r>
        <w:rPr>
          <w:rFonts w:hint="eastAsia" w:ascii="宋体" w:hAnsi="宋体" w:cs="宋体"/>
          <w:bCs/>
          <w:sz w:val="21"/>
          <w:szCs w:val="21"/>
          <w:lang w:val="en-US" w:eastAsia="zh-CN"/>
        </w:rPr>
        <w:t>2</w:t>
      </w:r>
      <w:r>
        <w:rPr>
          <w:rFonts w:hint="eastAsia" w:ascii="宋体" w:hAnsi="宋体" w:cs="宋体"/>
          <w:bCs/>
          <w:sz w:val="21"/>
          <w:szCs w:val="21"/>
        </w:rPr>
        <w:t xml:space="preserve"> 响应文件的澄清</w:t>
      </w:r>
      <w:bookmarkEnd w:id="282"/>
      <w:bookmarkEnd w:id="283"/>
      <w:bookmarkEnd w:id="284"/>
      <w:bookmarkEnd w:id="285"/>
      <w:bookmarkEnd w:id="286"/>
      <w:bookmarkEnd w:id="287"/>
      <w:bookmarkEnd w:id="288"/>
      <w:bookmarkEnd w:id="289"/>
      <w:bookmarkEnd w:id="290"/>
      <w:bookmarkEnd w:id="291"/>
      <w:bookmarkEnd w:id="292"/>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.1 在评审期间,根据磋商小组的需要，要求供应商对其响应文件进行澄清，有关澄清的要求和答复应以书面形式提交，但不得寻求、提供或允许对磋商价格等实质性内容做任何更改。</w:t>
      </w:r>
    </w:p>
    <w:p>
      <w:pPr>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.2供应商应采用书面形式进行澄清或说明，但不得超出响应文件的范围或改变响应文件的实质性内容。</w:t>
      </w:r>
    </w:p>
    <w:p>
      <w:pPr>
        <w:pStyle w:val="8"/>
        <w:spacing w:before="0" w:after="0" w:line="360" w:lineRule="auto"/>
        <w:rPr>
          <w:rFonts w:ascii="宋体" w:hAnsi="宋体" w:cs="宋体"/>
          <w:bCs/>
          <w:sz w:val="21"/>
          <w:szCs w:val="21"/>
        </w:rPr>
      </w:pPr>
      <w:bookmarkStart w:id="293" w:name="_Toc13985"/>
      <w:bookmarkStart w:id="294" w:name="_Toc392236642"/>
      <w:bookmarkStart w:id="295" w:name="_Toc23694"/>
      <w:bookmarkStart w:id="296" w:name="_Toc13239"/>
      <w:bookmarkStart w:id="297" w:name="_Toc233435946"/>
      <w:bookmarkStart w:id="298" w:name="_Toc24509"/>
      <w:bookmarkStart w:id="299" w:name="_Toc386965855"/>
      <w:bookmarkStart w:id="300" w:name="_Toc4390"/>
      <w:bookmarkStart w:id="301" w:name="_Toc7524500"/>
      <w:bookmarkStart w:id="302" w:name="_Toc7785"/>
      <w:bookmarkStart w:id="303" w:name="_Toc21218"/>
      <w:r>
        <w:rPr>
          <w:rFonts w:hint="eastAsia" w:ascii="宋体" w:hAnsi="宋体" w:cs="宋体"/>
          <w:bCs/>
          <w:sz w:val="21"/>
          <w:szCs w:val="21"/>
        </w:rPr>
        <w:t>2</w:t>
      </w:r>
      <w:r>
        <w:rPr>
          <w:rFonts w:hint="eastAsia" w:ascii="宋体" w:hAnsi="宋体" w:cs="宋体"/>
          <w:bCs/>
          <w:sz w:val="21"/>
          <w:szCs w:val="21"/>
          <w:lang w:val="en-US" w:eastAsia="zh-CN"/>
        </w:rPr>
        <w:t>3</w:t>
      </w:r>
      <w:r>
        <w:rPr>
          <w:rFonts w:hint="eastAsia" w:ascii="宋体" w:hAnsi="宋体" w:cs="宋体"/>
          <w:bCs/>
          <w:sz w:val="21"/>
          <w:szCs w:val="21"/>
        </w:rPr>
        <w:t xml:space="preserve"> 响应文件的比较和评价</w:t>
      </w:r>
      <w:bookmarkEnd w:id="293"/>
      <w:bookmarkEnd w:id="294"/>
      <w:bookmarkEnd w:id="295"/>
      <w:bookmarkEnd w:id="296"/>
      <w:bookmarkEnd w:id="297"/>
      <w:bookmarkEnd w:id="298"/>
      <w:bookmarkEnd w:id="299"/>
      <w:bookmarkEnd w:id="300"/>
      <w:bookmarkEnd w:id="301"/>
      <w:bookmarkEnd w:id="302"/>
      <w:bookmarkEnd w:id="303"/>
    </w:p>
    <w:p>
      <w:pPr>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.1磋商小组在评审过程中，发现响应文件出现下列情况之一者，按以下原则修正：</w:t>
      </w:r>
    </w:p>
    <w:p>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.1.1对所有实质性响应磋商文件要求的响应文件，磋商小组将遵循公平、公正、科学和择优的原则，采用综合评审的方法确定成交候选单位。</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.1.2如果用文字表示的数值与用数字表示的数值不一致，以文字表示的值为准。</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.1.3对不同文字文本响应文件的解释发生异议的，以中文文本为准；</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.1.4正本与副本不一致的，以正本为准；</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.2 对于响应文件中不构成实质性偏差的小的不正规、不一致或不规则，采购人可以接受，但这种接受不能损害或影响任何供应商的相对排序。</w:t>
      </w:r>
    </w:p>
    <w:p>
      <w:pPr>
        <w:overflowPunct w:val="0"/>
        <w:adjustRightInd w:val="0"/>
        <w:snapToGrid w:val="0"/>
        <w:spacing w:line="360" w:lineRule="auto"/>
        <w:rPr>
          <w:rFonts w:ascii="宋体" w:hAnsi="宋体" w:cs="宋体"/>
          <w:szCs w:val="21"/>
        </w:rPr>
      </w:pPr>
      <w:r>
        <w:rPr>
          <w:rFonts w:hint="eastAsia" w:ascii="宋体" w:hAnsi="宋体" w:cs="宋体"/>
          <w:szCs w:val="21"/>
        </w:rPr>
        <w:t>26.3按照磋商文件规定的评审方法和标准，对资格性审查和符合性审查合格的文件进行商务和技术评审，综合比较和评价，最低报价不做为成交的唯一条件。</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.4 如果投标实质上没有响应磋商文件的要求，其投标将被拒绝，供应商不得通过修正或撤消不合要求的偏离或保留从而使其投标成为实质上响应的投标。</w:t>
      </w:r>
    </w:p>
    <w:p>
      <w:pPr>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.5评审程序：采取逐项分步评审方式，每一步评审不符合者，不进入下一步评审，全部评审合格的供应商进行最后的综合评审和打分，按最后得分由高向低排序，推荐成交候选单位。</w:t>
      </w:r>
    </w:p>
    <w:p>
      <w:pPr>
        <w:pStyle w:val="8"/>
        <w:spacing w:before="0" w:after="0" w:line="360" w:lineRule="auto"/>
        <w:rPr>
          <w:rFonts w:ascii="宋体" w:hAnsi="宋体" w:cs="宋体"/>
          <w:bCs/>
          <w:sz w:val="21"/>
          <w:szCs w:val="21"/>
        </w:rPr>
      </w:pPr>
      <w:bookmarkStart w:id="304" w:name="_Toc311415604"/>
      <w:bookmarkStart w:id="305" w:name="_Toc25219"/>
      <w:bookmarkStart w:id="306" w:name="_Toc7524501"/>
      <w:bookmarkStart w:id="307" w:name="_Toc26242"/>
      <w:bookmarkStart w:id="308" w:name="_Toc392236643"/>
      <w:bookmarkStart w:id="309" w:name="_Toc9312"/>
      <w:bookmarkStart w:id="310" w:name="_Toc28295"/>
      <w:bookmarkStart w:id="311" w:name="_Toc386965856"/>
      <w:bookmarkStart w:id="312" w:name="_Toc4288"/>
      <w:bookmarkStart w:id="313" w:name="_Toc11465"/>
      <w:bookmarkStart w:id="314" w:name="_Toc28359"/>
      <w:r>
        <w:rPr>
          <w:rFonts w:hint="eastAsia" w:ascii="宋体" w:hAnsi="宋体" w:cs="宋体"/>
          <w:bCs/>
          <w:sz w:val="21"/>
          <w:szCs w:val="21"/>
        </w:rPr>
        <w:t>2</w:t>
      </w:r>
      <w:r>
        <w:rPr>
          <w:rFonts w:hint="eastAsia" w:ascii="宋体" w:hAnsi="宋体" w:cs="宋体"/>
          <w:bCs/>
          <w:sz w:val="21"/>
          <w:szCs w:val="21"/>
          <w:lang w:val="en-US" w:eastAsia="zh-CN"/>
        </w:rPr>
        <w:t>4</w:t>
      </w:r>
      <w:r>
        <w:rPr>
          <w:rFonts w:hint="eastAsia" w:ascii="宋体" w:hAnsi="宋体" w:cs="宋体"/>
          <w:bCs/>
          <w:sz w:val="21"/>
          <w:szCs w:val="21"/>
        </w:rPr>
        <w:t xml:space="preserve"> 评审原则及主要方法</w:t>
      </w:r>
      <w:bookmarkEnd w:id="304"/>
      <w:bookmarkEnd w:id="305"/>
      <w:bookmarkEnd w:id="306"/>
      <w:bookmarkEnd w:id="307"/>
      <w:bookmarkEnd w:id="308"/>
      <w:bookmarkEnd w:id="309"/>
      <w:bookmarkEnd w:id="310"/>
      <w:bookmarkEnd w:id="311"/>
      <w:bookmarkEnd w:id="312"/>
      <w:bookmarkEnd w:id="313"/>
      <w:bookmarkEnd w:id="314"/>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.1 磋商小组将遵循公开、公平、公正和择优的原则，对所有供应商的响应文件评审，都采用相同的程序和标准。</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.2 评审过程的保密：在响应文件的评审、比较、成交候选单位推荐以及授予合同的过程中，供应商向采购人和磋商小组施加影响的任何行为，都将会导致其报价被拒绝。</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.3评审原则和办法：</w:t>
      </w:r>
    </w:p>
    <w:p>
      <w:pPr>
        <w:spacing w:line="360" w:lineRule="auto"/>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.3.1综合评分法：即在最大限度地满足磋商文件实质性要求前提下，按照磋商文件中规定的各项因素进行综合评审后，以评审总得分顺序推荐成交候选单位。具体评分办法见磋商文件第</w:t>
      </w:r>
      <w:r>
        <w:rPr>
          <w:rFonts w:hint="eastAsia" w:ascii="宋体" w:hAnsi="宋体" w:cs="宋体"/>
          <w:szCs w:val="21"/>
          <w:lang w:val="en-US" w:eastAsia="zh-CN"/>
        </w:rPr>
        <w:t>四</w:t>
      </w:r>
      <w:r>
        <w:rPr>
          <w:rFonts w:hint="eastAsia" w:ascii="宋体" w:hAnsi="宋体" w:cs="宋体"/>
          <w:szCs w:val="21"/>
        </w:rPr>
        <w:t>部分评</w:t>
      </w:r>
      <w:r>
        <w:rPr>
          <w:rFonts w:hint="eastAsia" w:ascii="宋体" w:hAnsi="宋体" w:cs="宋体"/>
          <w:szCs w:val="21"/>
          <w:lang w:val="en-US" w:eastAsia="zh-CN"/>
        </w:rPr>
        <w:t>标</w:t>
      </w:r>
      <w:r>
        <w:rPr>
          <w:rFonts w:hint="eastAsia" w:ascii="宋体" w:hAnsi="宋体" w:cs="宋体"/>
          <w:szCs w:val="21"/>
        </w:rPr>
        <w:t>办法。</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.3.2磋商小组各专家独立评分，按评审后综合得分由高到低顺序排列，推荐成交候选单位。得分相同的，按磋商报价由低到高顺序排列，得分且磋商报价相同的，比较技术指标得分，此技术得分高者排在前。</w:t>
      </w:r>
    </w:p>
    <w:p>
      <w:pPr>
        <w:spacing w:line="360" w:lineRule="auto"/>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.3.3 专家评分超过得分界限或未按照本办法规定时，该专家的该项评分作废，不计入汇总；计算采用插入法，数字均保留二位小数，第三位“四舍五入”；评审过程中，若出现本办法以外的特殊情况时，将暂停评审，有关情况待磋商小组确定后，再行评定。</w:t>
      </w:r>
    </w:p>
    <w:p>
      <w:pPr>
        <w:overflowPunct w:val="0"/>
        <w:adjustRightInd w:val="0"/>
        <w:snapToGrid w:val="0"/>
        <w:spacing w:line="360" w:lineRule="auto"/>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4</w:t>
      </w:r>
      <w:r>
        <w:rPr>
          <w:rFonts w:hint="eastAsia" w:ascii="宋体" w:hAnsi="宋体" w:cs="宋体"/>
          <w:szCs w:val="21"/>
          <w:highlight w:val="none"/>
        </w:rPr>
        <w:t>.4需要落实的政府采购政策</w:t>
      </w:r>
    </w:p>
    <w:p>
      <w:pPr>
        <w:pStyle w:val="14"/>
        <w:spacing w:line="360" w:lineRule="auto"/>
        <w:jc w:val="left"/>
        <w:rPr>
          <w:rFonts w:ascii="宋体" w:hAnsi="宋体" w:cs="宋体"/>
          <w:szCs w:val="21"/>
        </w:rPr>
      </w:pPr>
      <w:r>
        <w:rPr>
          <w:rFonts w:hint="eastAsia" w:ascii="宋体" w:hAnsi="宋体" w:cs="宋体"/>
          <w:szCs w:val="21"/>
        </w:rPr>
        <w:t>2</w:t>
      </w:r>
      <w:r>
        <w:rPr>
          <w:rFonts w:hint="eastAsia" w:hAnsi="宋体" w:cs="宋体"/>
          <w:szCs w:val="21"/>
          <w:lang w:val="en-US" w:eastAsia="zh-CN"/>
        </w:rPr>
        <w:t>4</w:t>
      </w:r>
      <w:r>
        <w:rPr>
          <w:rFonts w:hint="eastAsia" w:ascii="宋体" w:hAnsi="宋体" w:cs="宋体"/>
          <w:szCs w:val="21"/>
        </w:rPr>
        <w:t>.4.1</w:t>
      </w:r>
      <w:r>
        <w:rPr>
          <w:rFonts w:hint="default" w:ascii="宋体" w:hAnsi="宋体" w:eastAsia="宋体" w:cs="宋体"/>
          <w:kern w:val="2"/>
          <w:sz w:val="21"/>
          <w:szCs w:val="21"/>
          <w:lang w:val="en-US" w:eastAsia="zh-CN" w:bidi="ar-SA"/>
        </w:rPr>
        <w:t>《财政部国家发展改革委关于印发〈节能产品政府采购实施意见〉的通知》（财库〔2004〕185号）</w:t>
      </w:r>
      <w:r>
        <w:rPr>
          <w:rFonts w:hint="eastAsia" w:hAnsi="宋体" w:cs="宋体"/>
          <w:kern w:val="2"/>
          <w:sz w:val="21"/>
          <w:szCs w:val="21"/>
          <w:lang w:val="en-US" w:eastAsia="zh-CN" w:bidi="ar-SA"/>
        </w:rPr>
        <w:t>；</w:t>
      </w:r>
      <w:r>
        <w:rPr>
          <w:rFonts w:hint="eastAsia" w:ascii="宋体" w:hAnsi="宋体" w:cs="宋体"/>
          <w:szCs w:val="21"/>
        </w:rPr>
        <w:t xml:space="preserve"> </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w:t>
      </w:r>
      <w:r>
        <w:rPr>
          <w:rFonts w:hint="default" w:ascii="宋体" w:hAnsi="宋体" w:eastAsia="宋体" w:cs="宋体"/>
          <w:kern w:val="2"/>
          <w:sz w:val="21"/>
          <w:szCs w:val="21"/>
          <w:lang w:val="en-US" w:eastAsia="zh-CN" w:bidi="ar-SA"/>
        </w:rPr>
        <w:t>《国务院办公厅关于建立政府强制采购节能产品制度的通知》（国办发〔2007〕51号）；</w:t>
      </w:r>
      <w:r>
        <w:rPr>
          <w:rFonts w:hint="eastAsia" w:ascii="宋体" w:hAnsi="宋体" w:cs="宋体"/>
          <w:szCs w:val="21"/>
        </w:rPr>
        <w:t xml:space="preserve"> </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.4.3</w:t>
      </w:r>
      <w:r>
        <w:rPr>
          <w:rFonts w:hint="default" w:ascii="宋体" w:hAnsi="宋体" w:eastAsia="宋体" w:cs="宋体"/>
          <w:kern w:val="2"/>
          <w:sz w:val="21"/>
          <w:szCs w:val="21"/>
          <w:lang w:val="en-US" w:eastAsia="zh-CN" w:bidi="ar-SA"/>
        </w:rPr>
        <w:t>《关于环境标志产品政府采购实施的意见》（财库〔2006〕90号）；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.4.4《关于印发〈政府采购促进中小企业发展管理办法〉的通知》（财库〔2020〕46号）；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.4.5《财政部司法部关于政府采购支持监狱企业发展有关问题的通知》（财库〔2014〕68号）；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.4.6《关于促进残疾人就业政府采购政策的通知》（财库〔2017〕141号）；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.4.7《财政部发展改革委生态环境部市场监管总局关于调整优化节能产品、环境标志产品政府采购执行机制的通知》（财库〔2019〕9号）；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.4.8《关于运用政府采购政策支持脱贫攻坚的通知》（财库〔2019〕27号）；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.4.9《陕西省中小企业政府采购信用融资办法》（陕财办采〔2018〕23号）。</w:t>
      </w:r>
    </w:p>
    <w:p>
      <w:pPr>
        <w:overflowPunct w:val="0"/>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.4.1.1中小企业落实政府采购政策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中小企业是指在中华人民共和国境内依法设立，依据国务院批准的中小企业划分标准确定的中型企业、小型企业和微型企业，但与大企业的负责人为同一人，或者与大企业存在直接控股、管理关系的除外。本项目不专门面向中小企业或小微型企业采购。在本次采购活动中，对符合《关于印发〈政府采购促进中小企业发展管理办法〉的通知》（财库〔2020〕46号）规定的小微企业报价给予 6%—10%（</w:t>
      </w:r>
      <w:r>
        <w:rPr>
          <w:rFonts w:hint="eastAsia" w:ascii="宋体" w:hAnsi="宋体" w:cs="宋体"/>
          <w:szCs w:val="21"/>
          <w:highlight w:val="none"/>
        </w:rPr>
        <w:t>工程项目为</w:t>
      </w:r>
      <w:r>
        <w:rPr>
          <w:rFonts w:hint="eastAsia" w:ascii="宋体" w:hAnsi="宋体" w:cs="宋体"/>
          <w:szCs w:val="21"/>
        </w:rPr>
        <w:t>3%—5%）的扣除，用扣除后的价格参加评审。中小企业参加政府采购活动，应当出具《中小企业声明函》，否则不得享受相关中小企业扶持政策。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210" w:firstLineChars="100"/>
        <w:rPr>
          <w:rFonts w:ascii="宋体" w:hAnsi="宋体" w:cs="宋体"/>
          <w:szCs w:val="21"/>
        </w:rPr>
      </w:pPr>
      <w:r>
        <w:rPr>
          <w:rFonts w:hint="eastAsia" w:ascii="宋体" w:hAnsi="宋体" w:cs="宋体"/>
          <w:szCs w:val="21"/>
        </w:rPr>
        <w:t>c.残疾人福利性单位是指符合《关于促进残疾人就业政府采购政策的通知》（财库〔2017〕141号）规定条件的单位。</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.4.2投标产品政府采购政策</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.4.2.1节能产品根据《国务院办公厅关于建立政府强制采购节能产品制度的通知》（国办发〔2007〕51号）的规定，以财库〔2019〕9号为准。</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.4.2.2环境标志产品根据《财政部发展改革委生态环境部市场监管总局关于调整优化节能产品、环境标志产品政府采购执行机制的通知》（财库〔2019〕9号）文件规定为准。</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.4.2.3</w:t>
      </w:r>
      <w:r>
        <w:rPr>
          <w:rFonts w:hint="eastAsia" w:ascii="宋体" w:hAnsi="宋体" w:cs="宋体"/>
          <w:szCs w:val="21"/>
          <w:lang w:val="zh-CN"/>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szCs w:val="21"/>
        </w:rPr>
        <w:t> </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.4.2.4</w:t>
      </w:r>
      <w:r>
        <w:rPr>
          <w:rFonts w:hint="eastAsia" w:ascii="宋体" w:hAnsi="宋体" w:cs="宋体"/>
          <w:szCs w:val="21"/>
          <w:lang w:val="zh-CN"/>
        </w:rPr>
        <w:t>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.4.2.5 </w:t>
      </w:r>
      <w:r>
        <w:rPr>
          <w:rFonts w:hint="eastAsia" w:ascii="宋体" w:hAnsi="宋体" w:cs="宋体"/>
          <w:szCs w:val="21"/>
          <w:lang w:val="zh-CN"/>
        </w:rPr>
        <w:t>同一包的节能、环保、环境标志产品部分计分只对属于清单内的非强制类产品进行计分，强制类产品不给予计分。 </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.4.2.6节能、环保、环境标志产品不重复计分；同时列入国家级清单和省级清单的产品不重复计分。</w:t>
      </w:r>
    </w:p>
    <w:p>
      <w:pPr>
        <w:adjustRightInd w:val="0"/>
        <w:snapToGrid w:val="0"/>
        <w:spacing w:line="360" w:lineRule="auto"/>
        <w:rPr>
          <w:rFonts w:ascii="宋体" w:hAnsi="宋体" w:cs="宋体"/>
          <w:szCs w:val="21"/>
          <w:lang w:val="zh-CN"/>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.4.2.7</w:t>
      </w:r>
      <w:r>
        <w:rPr>
          <w:rFonts w:hint="eastAsia" w:ascii="宋体" w:hAnsi="宋体" w:cs="宋体"/>
          <w:szCs w:val="21"/>
          <w:lang w:val="zh-CN"/>
        </w:rPr>
        <w:t>节能、环保、环境标志产品不重复计分。</w:t>
      </w:r>
      <w:r>
        <w:rPr>
          <w:rFonts w:hint="eastAsia" w:ascii="宋体" w:hAnsi="宋体" w:cs="宋体"/>
          <w:szCs w:val="21"/>
        </w:rPr>
        <w:t>对符合要求的单位给予6%的价格扣除，用扣除后的价格参与评审。</w:t>
      </w:r>
      <w:r>
        <w:rPr>
          <w:rFonts w:hint="eastAsia" w:ascii="宋体" w:hAnsi="宋体" w:cs="宋体"/>
          <w:szCs w:val="21"/>
          <w:lang w:val="zh-CN"/>
        </w:rPr>
        <w:t>获得上述认证的产品在磋商时应提供有效证明材料。以上所有证明文件复印件须加盖供应商公章并注明“与原件一致”，否则不予计分。</w:t>
      </w:r>
    </w:p>
    <w:p>
      <w:pPr>
        <w:pStyle w:val="3"/>
        <w:rPr>
          <w:lang w:val="zh-CN"/>
        </w:rPr>
      </w:pPr>
      <w:r>
        <w:rPr>
          <w:rFonts w:hint="eastAsia" w:ascii="宋体" w:hAnsi="宋体" w:cs="宋体"/>
          <w:b w:val="0"/>
          <w:sz w:val="21"/>
          <w:szCs w:val="21"/>
        </w:rPr>
        <w:t>2</w:t>
      </w:r>
      <w:r>
        <w:rPr>
          <w:rFonts w:hint="eastAsia" w:ascii="宋体" w:hAnsi="宋体" w:cs="宋体"/>
          <w:b w:val="0"/>
          <w:sz w:val="21"/>
          <w:szCs w:val="21"/>
          <w:lang w:val="en-US" w:eastAsia="zh-CN"/>
        </w:rPr>
        <w:t>4</w:t>
      </w:r>
      <w:r>
        <w:rPr>
          <w:rFonts w:hint="eastAsia" w:ascii="宋体" w:hAnsi="宋体" w:cs="宋体"/>
          <w:b w:val="0"/>
          <w:sz w:val="21"/>
          <w:szCs w:val="21"/>
        </w:rPr>
        <w:t>.4.2.8</w:t>
      </w:r>
      <w:r>
        <w:rPr>
          <w:rFonts w:hint="eastAsia" w:ascii="宋体" w:hAnsi="宋体" w:cs="宋体"/>
          <w:b w:val="0"/>
          <w:sz w:val="21"/>
          <w:szCs w:val="21"/>
          <w:lang w:val="zh-CN"/>
        </w:rPr>
        <w:t>鼓励采用优先采购、预留采购份额方式采购贫困地区农副产品。鼓励优先采购聘用建档立卡贫困人员物业公司提供的物业服务</w:t>
      </w:r>
    </w:p>
    <w:p>
      <w:pPr>
        <w:adjustRightInd w:val="0"/>
        <w:snapToGrid w:val="0"/>
        <w:spacing w:line="360" w:lineRule="auto"/>
        <w:rPr>
          <w:rFonts w:ascii="宋体" w:hAnsi="宋体" w:cs="宋体"/>
          <w:szCs w:val="21"/>
          <w:lang w:val="zh-CN"/>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.4.2.9</w:t>
      </w:r>
      <w:r>
        <w:rPr>
          <w:rFonts w:hint="eastAsia" w:ascii="宋体" w:hAnsi="宋体" w:cs="宋体"/>
          <w:szCs w:val="21"/>
          <w:lang w:val="zh-CN"/>
        </w:rPr>
        <w:t>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adjustRightInd w:val="0"/>
        <w:snapToGrid w:val="0"/>
        <w:spacing w:line="360" w:lineRule="auto"/>
      </w:pPr>
      <w:r>
        <w:rPr>
          <w:rFonts w:hint="eastAsia" w:ascii="宋体" w:hAnsi="宋体" w:cs="宋体"/>
          <w:szCs w:val="21"/>
          <w:lang w:val="zh-C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8"/>
        <w:spacing w:before="0" w:after="0" w:line="360" w:lineRule="auto"/>
        <w:rPr>
          <w:rFonts w:ascii="宋体" w:hAnsi="宋体" w:cs="宋体"/>
          <w:bCs/>
          <w:sz w:val="21"/>
          <w:szCs w:val="21"/>
        </w:rPr>
      </w:pPr>
      <w:bookmarkStart w:id="315" w:name="_Toc392236644"/>
      <w:bookmarkStart w:id="316" w:name="_Toc4399"/>
      <w:bookmarkStart w:id="317" w:name="_Toc23524"/>
      <w:bookmarkStart w:id="318" w:name="_Toc11711"/>
      <w:bookmarkStart w:id="319" w:name="_Toc7524502"/>
      <w:bookmarkStart w:id="320" w:name="_Toc5369"/>
      <w:bookmarkStart w:id="321" w:name="_Toc12469"/>
      <w:bookmarkStart w:id="322" w:name="_Toc24985"/>
      <w:bookmarkStart w:id="323" w:name="_Toc311415605"/>
      <w:bookmarkStart w:id="324" w:name="_Toc386965857"/>
      <w:bookmarkStart w:id="325" w:name="_Toc8783"/>
      <w:r>
        <w:rPr>
          <w:rFonts w:hint="eastAsia" w:ascii="宋体" w:hAnsi="宋体" w:cs="宋体"/>
          <w:bCs/>
          <w:sz w:val="21"/>
          <w:szCs w:val="21"/>
        </w:rPr>
        <w:t>2</w:t>
      </w:r>
      <w:r>
        <w:rPr>
          <w:rFonts w:hint="eastAsia" w:ascii="宋体" w:hAnsi="宋体" w:cs="宋体"/>
          <w:bCs/>
          <w:sz w:val="21"/>
          <w:szCs w:val="21"/>
          <w:lang w:val="en-US" w:eastAsia="zh-CN"/>
        </w:rPr>
        <w:t>5</w:t>
      </w:r>
      <w:r>
        <w:rPr>
          <w:rFonts w:hint="eastAsia" w:ascii="宋体" w:hAnsi="宋体" w:cs="宋体"/>
          <w:bCs/>
          <w:sz w:val="21"/>
          <w:szCs w:val="21"/>
        </w:rPr>
        <w:t xml:space="preserve"> 与采购人、采购代理机构和磋商小组接触</w:t>
      </w:r>
      <w:bookmarkEnd w:id="315"/>
      <w:bookmarkEnd w:id="316"/>
      <w:bookmarkEnd w:id="317"/>
      <w:bookmarkEnd w:id="318"/>
      <w:bookmarkEnd w:id="319"/>
      <w:bookmarkEnd w:id="320"/>
      <w:bookmarkEnd w:id="321"/>
      <w:bookmarkEnd w:id="322"/>
      <w:bookmarkEnd w:id="323"/>
      <w:bookmarkEnd w:id="324"/>
      <w:bookmarkEnd w:id="325"/>
    </w:p>
    <w:p>
      <w:pPr>
        <w:spacing w:line="360" w:lineRule="auto"/>
        <w:ind w:firstLine="420" w:firstLineChars="200"/>
        <w:jc w:val="left"/>
        <w:rPr>
          <w:rFonts w:ascii="宋体" w:hAnsi="宋体" w:cs="宋体"/>
          <w:szCs w:val="21"/>
        </w:rPr>
      </w:pPr>
      <w:r>
        <w:rPr>
          <w:rFonts w:hint="eastAsia" w:ascii="宋体" w:hAnsi="宋体" w:cs="宋体"/>
          <w:szCs w:val="21"/>
        </w:rPr>
        <w:t>供应商试图对采购人、采购代理机构和磋商小组的评审、比较或授予合同的决定进行影响，都可能导致其磋商被拒绝。</w:t>
      </w:r>
    </w:p>
    <w:p>
      <w:pPr>
        <w:pStyle w:val="7"/>
        <w:tabs>
          <w:tab w:val="left" w:pos="576"/>
        </w:tabs>
        <w:spacing w:before="0" w:after="0" w:line="360" w:lineRule="auto"/>
        <w:jc w:val="center"/>
        <w:rPr>
          <w:rFonts w:ascii="宋体" w:hAnsi="宋体" w:eastAsia="宋体" w:cs="宋体"/>
          <w:bCs/>
          <w:sz w:val="28"/>
          <w:szCs w:val="28"/>
        </w:rPr>
      </w:pPr>
      <w:bookmarkStart w:id="326" w:name="_Toc26534"/>
      <w:bookmarkStart w:id="327" w:name="_Toc386965858"/>
      <w:bookmarkStart w:id="328" w:name="_Toc392236645"/>
      <w:bookmarkStart w:id="329" w:name="_Toc5977"/>
      <w:bookmarkStart w:id="330" w:name="_Toc2468"/>
      <w:bookmarkStart w:id="331" w:name="_Toc233435947"/>
      <w:bookmarkStart w:id="332" w:name="_Toc7524503"/>
      <w:bookmarkStart w:id="333" w:name="_Toc27212"/>
      <w:bookmarkStart w:id="334" w:name="_Toc24411"/>
      <w:bookmarkStart w:id="335" w:name="_Toc2781"/>
      <w:bookmarkStart w:id="336" w:name="_Toc29664"/>
      <w:r>
        <w:rPr>
          <w:rFonts w:hint="eastAsia" w:ascii="宋体" w:hAnsi="宋体" w:eastAsia="宋体" w:cs="宋体"/>
          <w:bCs/>
          <w:sz w:val="28"/>
          <w:szCs w:val="28"/>
        </w:rPr>
        <w:t>F</w:t>
      </w:r>
      <w:bookmarkStart w:id="337" w:name="_Hlt491765714"/>
      <w:bookmarkEnd w:id="337"/>
      <w:r>
        <w:rPr>
          <w:rFonts w:hint="eastAsia" w:ascii="宋体" w:hAnsi="宋体" w:eastAsia="宋体" w:cs="宋体"/>
          <w:bCs/>
          <w:sz w:val="28"/>
          <w:szCs w:val="28"/>
        </w:rPr>
        <w:t xml:space="preserve"> </w:t>
      </w:r>
      <w:bookmarkStart w:id="338" w:name="_Hlt497547134"/>
      <w:bookmarkEnd w:id="338"/>
      <w:r>
        <w:rPr>
          <w:rFonts w:hint="eastAsia" w:ascii="宋体" w:hAnsi="宋体" w:eastAsia="宋体" w:cs="宋体"/>
          <w:bCs/>
          <w:sz w:val="28"/>
          <w:szCs w:val="28"/>
        </w:rPr>
        <w:t>授予合同</w:t>
      </w:r>
      <w:bookmarkEnd w:id="326"/>
      <w:bookmarkEnd w:id="327"/>
      <w:bookmarkEnd w:id="328"/>
      <w:bookmarkEnd w:id="329"/>
      <w:bookmarkEnd w:id="330"/>
      <w:bookmarkEnd w:id="331"/>
      <w:bookmarkEnd w:id="332"/>
      <w:bookmarkEnd w:id="333"/>
      <w:bookmarkEnd w:id="334"/>
      <w:bookmarkEnd w:id="335"/>
      <w:bookmarkEnd w:id="336"/>
    </w:p>
    <w:p>
      <w:pPr>
        <w:pStyle w:val="8"/>
        <w:spacing w:before="0" w:after="0" w:line="360" w:lineRule="auto"/>
        <w:rPr>
          <w:rFonts w:ascii="宋体" w:hAnsi="宋体" w:cs="宋体"/>
          <w:bCs/>
          <w:sz w:val="21"/>
          <w:szCs w:val="21"/>
        </w:rPr>
      </w:pPr>
      <w:bookmarkStart w:id="339" w:name="_Toc389620200"/>
      <w:bookmarkStart w:id="340" w:name="_Toc385992361"/>
      <w:bookmarkStart w:id="341" w:name="_Toc233435948"/>
      <w:bookmarkStart w:id="342" w:name="_Toc386965859"/>
      <w:bookmarkStart w:id="343" w:name="_Toc15022"/>
      <w:bookmarkStart w:id="344" w:name="_Toc9372"/>
      <w:bookmarkStart w:id="345" w:name="_Toc14488"/>
      <w:bookmarkStart w:id="346" w:name="_Toc392236646"/>
      <w:bookmarkStart w:id="347" w:name="_Toc675"/>
      <w:bookmarkStart w:id="348" w:name="_Toc18182"/>
      <w:bookmarkStart w:id="349" w:name="_Toc7524504"/>
      <w:bookmarkStart w:id="350" w:name="_Toc20651"/>
      <w:bookmarkStart w:id="351" w:name="_Toc19293"/>
      <w:r>
        <w:rPr>
          <w:rFonts w:hint="eastAsia" w:ascii="宋体" w:hAnsi="宋体" w:cs="宋体"/>
          <w:bCs/>
          <w:sz w:val="21"/>
          <w:szCs w:val="21"/>
        </w:rPr>
        <w:t>2</w:t>
      </w:r>
      <w:bookmarkEnd w:id="339"/>
      <w:bookmarkEnd w:id="340"/>
      <w:bookmarkEnd w:id="341"/>
      <w:r>
        <w:rPr>
          <w:rFonts w:hint="eastAsia" w:ascii="宋体" w:hAnsi="宋体" w:cs="宋体"/>
          <w:bCs/>
          <w:sz w:val="21"/>
          <w:szCs w:val="21"/>
          <w:lang w:val="en-US" w:eastAsia="zh-CN"/>
        </w:rPr>
        <w:t>6</w:t>
      </w:r>
      <w:r>
        <w:rPr>
          <w:rFonts w:hint="eastAsia" w:ascii="宋体" w:hAnsi="宋体" w:cs="宋体"/>
          <w:bCs/>
          <w:sz w:val="21"/>
          <w:szCs w:val="21"/>
        </w:rPr>
        <w:t>定标及合同授予</w:t>
      </w:r>
      <w:bookmarkEnd w:id="342"/>
      <w:bookmarkEnd w:id="343"/>
      <w:bookmarkEnd w:id="344"/>
      <w:bookmarkEnd w:id="345"/>
      <w:bookmarkEnd w:id="346"/>
      <w:bookmarkEnd w:id="347"/>
      <w:bookmarkEnd w:id="348"/>
      <w:bookmarkEnd w:id="349"/>
      <w:bookmarkEnd w:id="350"/>
      <w:bookmarkEnd w:id="351"/>
    </w:p>
    <w:p>
      <w:pPr>
        <w:adjustRightInd w:val="0"/>
        <w:snapToGrid w:val="0"/>
        <w:spacing w:line="360" w:lineRule="auto"/>
        <w:rPr>
          <w:rFonts w:ascii="宋体" w:hAnsi="宋体" w:cs="宋体"/>
          <w:szCs w:val="21"/>
        </w:rPr>
      </w:pPr>
      <w:bookmarkStart w:id="352" w:name="_Toc385992364"/>
      <w:bookmarkStart w:id="353" w:name="_Toc389620203"/>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.1采购代理机构应在评审结束后</w:t>
      </w:r>
      <w:r>
        <w:rPr>
          <w:rFonts w:hint="eastAsia" w:ascii="宋体" w:hAnsi="宋体" w:cs="宋体"/>
          <w:szCs w:val="21"/>
          <w:lang w:val="en-US" w:eastAsia="zh-CN"/>
        </w:rPr>
        <w:t>二</w:t>
      </w:r>
      <w:r>
        <w:rPr>
          <w:rFonts w:hint="eastAsia" w:ascii="宋体" w:hAnsi="宋体" w:cs="宋体"/>
          <w:szCs w:val="21"/>
        </w:rPr>
        <w:t>个工作日内，将评审报告送采购人定标。</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.2采购人在收到评审报告后</w:t>
      </w:r>
      <w:r>
        <w:rPr>
          <w:rFonts w:hint="eastAsia" w:ascii="宋体" w:hAnsi="宋体" w:cs="宋体"/>
          <w:szCs w:val="21"/>
          <w:lang w:val="en-US" w:eastAsia="zh-CN"/>
        </w:rPr>
        <w:t>五</w:t>
      </w:r>
      <w:r>
        <w:rPr>
          <w:rFonts w:hint="eastAsia" w:ascii="宋体" w:hAnsi="宋体" w:cs="宋体"/>
          <w:szCs w:val="21"/>
        </w:rPr>
        <w:t>个工作日内，根据评审报告对评审过程及结果进行严格审核后确定成交单位，复函采购代理机构。</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.3采购代理机构在接到采购人的定标复函后，在财政部门指定的政府采购信息发布媒体上公告，并向成交单位发《成交通知书》。</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.4《成交通知书》将作为签订合同的依据，磋商文件、成交单位的响应文件和补充文件（如澄清、承诺等）等，均为有法律约束力的经济合同组成的一部分。</w:t>
      </w:r>
    </w:p>
    <w:p>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.5《成交通知书》发出30天内，如果已成交的供应商不能按响应文件，包括补充文件（如澄清、承诺等）中承诺的条件履行签约行为，采购人有权取消其成交资格。</w:t>
      </w:r>
      <w:bookmarkEnd w:id="352"/>
      <w:bookmarkEnd w:id="353"/>
      <w:bookmarkStart w:id="354" w:name="_Toc311415613"/>
      <w:bookmarkStart w:id="355" w:name="_Toc392236647"/>
      <w:bookmarkStart w:id="356" w:name="_Toc386965860"/>
      <w:bookmarkStart w:id="357" w:name="_Toc12320"/>
    </w:p>
    <w:p>
      <w:pPr>
        <w:pStyle w:val="8"/>
        <w:spacing w:before="0" w:after="0" w:line="360" w:lineRule="auto"/>
        <w:rPr>
          <w:rFonts w:ascii="宋体" w:hAnsi="宋体" w:cs="宋体"/>
          <w:b/>
          <w:bCs/>
          <w:sz w:val="21"/>
          <w:szCs w:val="21"/>
        </w:rPr>
      </w:pPr>
      <w:bookmarkStart w:id="358" w:name="_Toc9530"/>
      <w:bookmarkStart w:id="359" w:name="_Toc8411"/>
      <w:bookmarkStart w:id="360" w:name="_Toc7524505"/>
      <w:bookmarkStart w:id="361" w:name="_Toc11905"/>
      <w:bookmarkStart w:id="362" w:name="_Toc21179"/>
      <w:bookmarkStart w:id="363" w:name="_Toc4146"/>
      <w:bookmarkStart w:id="364" w:name="_Toc30632"/>
      <w:r>
        <w:rPr>
          <w:rFonts w:hint="eastAsia" w:ascii="宋体" w:hAnsi="宋体" w:cs="宋体"/>
          <w:b/>
          <w:bCs/>
          <w:sz w:val="21"/>
          <w:szCs w:val="21"/>
        </w:rPr>
        <w:t>3</w:t>
      </w:r>
      <w:r>
        <w:rPr>
          <w:rFonts w:hint="eastAsia" w:ascii="宋体" w:hAnsi="宋体" w:cs="宋体"/>
          <w:b/>
          <w:bCs/>
          <w:sz w:val="21"/>
          <w:szCs w:val="21"/>
          <w:lang w:val="en-US" w:eastAsia="zh-CN"/>
        </w:rPr>
        <w:t>7</w:t>
      </w:r>
      <w:r>
        <w:rPr>
          <w:rFonts w:hint="eastAsia" w:ascii="宋体" w:hAnsi="宋体" w:cs="宋体"/>
          <w:b/>
          <w:bCs/>
          <w:sz w:val="21"/>
          <w:szCs w:val="21"/>
        </w:rPr>
        <w:t xml:space="preserve"> 腐败和欺诈行为</w:t>
      </w:r>
      <w:bookmarkEnd w:id="354"/>
      <w:bookmarkEnd w:id="355"/>
      <w:bookmarkEnd w:id="356"/>
      <w:bookmarkEnd w:id="357"/>
      <w:bookmarkEnd w:id="358"/>
      <w:bookmarkEnd w:id="359"/>
      <w:bookmarkEnd w:id="360"/>
      <w:bookmarkEnd w:id="361"/>
      <w:bookmarkEnd w:id="362"/>
      <w:bookmarkEnd w:id="363"/>
      <w:bookmarkEnd w:id="364"/>
    </w:p>
    <w:p>
      <w:pPr>
        <w:adjustRightInd w:val="0"/>
        <w:snapToGrid w:val="0"/>
        <w:spacing w:line="360" w:lineRule="auto"/>
        <w:rPr>
          <w:rFonts w:ascii="宋体" w:hAnsi="宋体" w:cs="宋体"/>
          <w:b/>
          <w:bCs/>
          <w:szCs w:val="21"/>
        </w:rPr>
      </w:pPr>
      <w:r>
        <w:rPr>
          <w:rFonts w:hint="eastAsia" w:ascii="宋体" w:hAnsi="宋体" w:cs="宋体"/>
          <w:b/>
          <w:bCs/>
          <w:szCs w:val="21"/>
          <w:lang w:val="en-US" w:eastAsia="zh-CN"/>
        </w:rPr>
        <w:t>27</w:t>
      </w:r>
      <w:r>
        <w:rPr>
          <w:rFonts w:hint="eastAsia" w:ascii="宋体" w:hAnsi="宋体" w:cs="宋体"/>
          <w:b/>
          <w:bCs/>
          <w:szCs w:val="21"/>
        </w:rPr>
        <w:t>.1 定义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 “腐败行为”是指提供给予接受或索取任何有价值的东西来影响采购代理机构和/或采购人在采购过程或合同实施过程中的行为。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 “欺诈行为”是指为了影响采购过程或合同实施过程而谎报事实，损害采购代理机构和/或采购人的利益，包括供应商之间串通投标（递交响应文件之前和之后），人为地使投标丧失竞争性，剥夺采购人从自由公开竞争所能获得的权益。</w:t>
      </w:r>
    </w:p>
    <w:p>
      <w:pPr>
        <w:adjustRightInd w:val="0"/>
        <w:snapToGrid w:val="0"/>
        <w:spacing w:line="360" w:lineRule="auto"/>
        <w:rPr>
          <w:rFonts w:ascii="宋体" w:hAnsi="宋体" w:cs="宋体"/>
          <w:szCs w:val="21"/>
        </w:rPr>
      </w:pPr>
      <w:r>
        <w:rPr>
          <w:rFonts w:hint="eastAsia" w:ascii="宋体" w:hAnsi="宋体" w:cs="宋体"/>
          <w:szCs w:val="21"/>
          <w:lang w:val="en-US" w:eastAsia="zh-CN"/>
        </w:rPr>
        <w:t>27</w:t>
      </w:r>
      <w:r>
        <w:rPr>
          <w:rFonts w:hint="eastAsia" w:ascii="宋体" w:hAnsi="宋体" w:cs="宋体"/>
          <w:szCs w:val="21"/>
        </w:rPr>
        <w:t>.2如果采购代理机构和采购人认为供应商在本项目的竞争中有腐败或欺诈行为，其投标将被拒绝。</w:t>
      </w:r>
    </w:p>
    <w:p>
      <w:pPr>
        <w:widowControl/>
        <w:spacing w:line="360" w:lineRule="auto"/>
        <w:outlineLvl w:val="2"/>
        <w:rPr>
          <w:rFonts w:ascii="宋体" w:hAnsi="宋体" w:cs="宋体"/>
          <w:b/>
          <w:bCs/>
          <w:kern w:val="0"/>
          <w:szCs w:val="21"/>
        </w:rPr>
      </w:pPr>
      <w:bookmarkStart w:id="365" w:name="_Toc22869"/>
      <w:bookmarkStart w:id="366" w:name="_Toc9305"/>
      <w:bookmarkStart w:id="367" w:name="_Toc7524506"/>
      <w:bookmarkStart w:id="368" w:name="_Toc358364351"/>
      <w:bookmarkStart w:id="369" w:name="_Toc24285"/>
      <w:bookmarkStart w:id="370" w:name="_Toc26277"/>
      <w:bookmarkStart w:id="371" w:name="_Toc380336757"/>
      <w:bookmarkStart w:id="372" w:name="_Toc29469"/>
      <w:r>
        <w:rPr>
          <w:rFonts w:hint="eastAsia" w:ascii="宋体" w:hAnsi="宋体" w:cs="宋体"/>
          <w:b/>
          <w:bCs/>
          <w:kern w:val="0"/>
          <w:szCs w:val="21"/>
          <w:lang w:val="en-US" w:eastAsia="zh-CN"/>
        </w:rPr>
        <w:t>28</w:t>
      </w:r>
      <w:r>
        <w:rPr>
          <w:rFonts w:hint="eastAsia" w:ascii="宋体" w:hAnsi="宋体" w:cs="宋体"/>
          <w:b/>
          <w:bCs/>
          <w:kern w:val="0"/>
          <w:szCs w:val="21"/>
        </w:rPr>
        <w:t xml:space="preserve"> </w:t>
      </w:r>
      <w:bookmarkEnd w:id="365"/>
      <w:bookmarkEnd w:id="366"/>
      <w:bookmarkEnd w:id="367"/>
      <w:bookmarkEnd w:id="368"/>
      <w:bookmarkEnd w:id="369"/>
      <w:bookmarkEnd w:id="370"/>
      <w:bookmarkEnd w:id="371"/>
      <w:r>
        <w:rPr>
          <w:rFonts w:hint="eastAsia" w:ascii="宋体" w:hAnsi="宋体" w:cs="宋体"/>
          <w:b/>
          <w:bCs/>
          <w:kern w:val="0"/>
          <w:szCs w:val="21"/>
        </w:rPr>
        <w:t>成交服务费</w:t>
      </w:r>
      <w:bookmarkEnd w:id="372"/>
      <w:r>
        <w:rPr>
          <w:rFonts w:hint="eastAsia" w:ascii="宋体" w:hAnsi="宋体" w:cs="宋体"/>
          <w:b/>
          <w:bCs/>
          <w:kern w:val="0"/>
          <w:szCs w:val="21"/>
        </w:rPr>
        <w:t xml:space="preserve"> </w:t>
      </w:r>
    </w:p>
    <w:p>
      <w:pPr>
        <w:adjustRightInd w:val="0"/>
        <w:snapToGrid w:val="0"/>
        <w:spacing w:line="360" w:lineRule="auto"/>
        <w:rPr>
          <w:rFonts w:ascii="宋体" w:hAnsi="宋体" w:cs="宋体"/>
          <w:szCs w:val="21"/>
        </w:rPr>
      </w:pPr>
      <w:bookmarkStart w:id="373" w:name="_Toc246928930"/>
      <w:bookmarkStart w:id="374" w:name="_Toc497551820"/>
      <w:bookmarkStart w:id="375" w:name="_Toc497546918"/>
      <w:bookmarkStart w:id="376" w:name="_Toc497711585"/>
      <w:bookmarkStart w:id="377" w:name="_Toc492955459"/>
      <w:bookmarkStart w:id="378" w:name="_Toc497712133"/>
      <w:bookmarkStart w:id="379" w:name="_Toc93800308"/>
      <w:r>
        <w:rPr>
          <w:rFonts w:hint="eastAsia" w:ascii="宋体" w:hAnsi="宋体" w:cs="宋体"/>
          <w:szCs w:val="21"/>
          <w:lang w:val="en-US" w:eastAsia="zh-CN"/>
        </w:rPr>
        <w:t>28</w:t>
      </w:r>
      <w:r>
        <w:rPr>
          <w:rFonts w:hint="eastAsia" w:ascii="宋体" w:hAnsi="宋体" w:cs="宋体"/>
          <w:szCs w:val="21"/>
        </w:rPr>
        <w:t>.1</w:t>
      </w:r>
      <w:r>
        <w:rPr>
          <w:rFonts w:hint="eastAsia" w:ascii="宋体" w:hAnsi="宋体" w:cs="宋体"/>
          <w:b/>
          <w:bCs/>
          <w:szCs w:val="21"/>
        </w:rPr>
        <w:t>成交服务费按约定由成交供应商支付，领取成交通知书前，由成交单位向采购代理机构缴纳成交服务费，一次性付清。</w:t>
      </w:r>
    </w:p>
    <w:p>
      <w:pPr>
        <w:adjustRightInd w:val="0"/>
        <w:snapToGrid w:val="0"/>
        <w:spacing w:line="360" w:lineRule="auto"/>
        <w:rPr>
          <w:rFonts w:ascii="宋体" w:hAnsi="宋体" w:cs="宋体"/>
          <w:szCs w:val="21"/>
        </w:rPr>
      </w:pPr>
      <w:r>
        <w:rPr>
          <w:rFonts w:hint="eastAsia" w:ascii="宋体" w:hAnsi="宋体" w:cs="宋体"/>
          <w:szCs w:val="21"/>
          <w:lang w:val="en-US" w:eastAsia="zh-CN"/>
        </w:rPr>
        <w:t>28</w:t>
      </w:r>
      <w:r>
        <w:rPr>
          <w:rFonts w:hint="eastAsia" w:ascii="宋体" w:hAnsi="宋体" w:cs="宋体"/>
          <w:szCs w:val="21"/>
        </w:rPr>
        <w:t>.2成交服务费参照国家计委关于印发《招标代理服务收费管理暂行办法》的通知（计价格〔2002〕1980号）、《国家发展和改革委员会办公厅关于招标代理服务收费有关问题的通知》（发改办价格〔2003〕857号）规定的费率标准计取，招标代理服务收费按差额定率累进法计算。</w:t>
      </w:r>
    </w:p>
    <w:p>
      <w:pPr>
        <w:adjustRightInd w:val="0"/>
        <w:snapToGrid w:val="0"/>
        <w:spacing w:line="360" w:lineRule="auto"/>
        <w:rPr>
          <w:rFonts w:ascii="宋体" w:hAnsi="宋体" w:cs="宋体"/>
          <w:szCs w:val="21"/>
        </w:rPr>
      </w:pPr>
      <w:r>
        <w:rPr>
          <w:rFonts w:hint="eastAsia" w:ascii="宋体" w:hAnsi="宋体" w:cs="宋体"/>
          <w:szCs w:val="21"/>
          <w:lang w:val="en-US" w:eastAsia="zh-CN"/>
        </w:rPr>
        <w:t>28</w:t>
      </w:r>
      <w:r>
        <w:rPr>
          <w:rFonts w:hint="eastAsia" w:ascii="宋体" w:hAnsi="宋体" w:cs="宋体"/>
          <w:szCs w:val="21"/>
        </w:rPr>
        <w:t>.3招标代理服务费交纳信息</w:t>
      </w:r>
    </w:p>
    <w:p>
      <w:pPr>
        <w:adjustRightInd w:val="0"/>
        <w:snapToGrid w:val="0"/>
        <w:spacing w:line="360" w:lineRule="auto"/>
        <w:rPr>
          <w:rFonts w:ascii="宋体" w:hAnsi="宋体" w:cs="宋体"/>
          <w:szCs w:val="21"/>
        </w:rPr>
      </w:pPr>
      <w:r>
        <w:rPr>
          <w:rFonts w:hint="eastAsia" w:ascii="宋体" w:hAnsi="宋体" w:cs="宋体"/>
          <w:szCs w:val="21"/>
        </w:rPr>
        <w:t>开户名称：陕西迪诚项目管理有限公司</w:t>
      </w:r>
    </w:p>
    <w:p>
      <w:pPr>
        <w:adjustRightInd w:val="0"/>
        <w:snapToGrid w:val="0"/>
        <w:spacing w:line="360" w:lineRule="auto"/>
        <w:rPr>
          <w:rFonts w:ascii="宋体" w:hAnsi="宋体" w:cs="宋体"/>
          <w:szCs w:val="21"/>
        </w:rPr>
      </w:pPr>
      <w:r>
        <w:rPr>
          <w:rFonts w:hint="eastAsia" w:ascii="宋体" w:hAnsi="宋体" w:cs="宋体"/>
          <w:szCs w:val="21"/>
        </w:rPr>
        <w:t>开户银行：中国建设银行股份有限公司西安世融嘉城支行</w:t>
      </w:r>
    </w:p>
    <w:p>
      <w:pPr>
        <w:adjustRightInd w:val="0"/>
        <w:snapToGrid w:val="0"/>
        <w:spacing w:line="360" w:lineRule="auto"/>
        <w:rPr>
          <w:rFonts w:ascii="宋体" w:hAnsi="宋体" w:cs="宋体"/>
          <w:szCs w:val="21"/>
        </w:rPr>
      </w:pPr>
      <w:r>
        <w:rPr>
          <w:rFonts w:hint="eastAsia" w:ascii="宋体" w:hAnsi="宋体" w:cs="宋体"/>
          <w:szCs w:val="21"/>
        </w:rPr>
        <w:t>账 号：61050175540000000417</w:t>
      </w:r>
    </w:p>
    <w:p>
      <w:pPr>
        <w:adjustRightInd w:val="0"/>
        <w:snapToGrid w:val="0"/>
        <w:spacing w:line="360" w:lineRule="auto"/>
        <w:rPr>
          <w:rFonts w:ascii="宋体" w:hAnsi="宋体" w:cs="宋体"/>
          <w:b/>
          <w:bCs/>
          <w:szCs w:val="21"/>
        </w:rPr>
      </w:pPr>
      <w:r>
        <w:rPr>
          <w:rFonts w:hint="eastAsia" w:ascii="楷体" w:hAnsi="楷体" w:eastAsia="楷体" w:cs="楷体"/>
          <w:b/>
          <w:bCs/>
          <w:szCs w:val="24"/>
        </w:rPr>
        <w:t xml:space="preserve"> </w:t>
      </w:r>
      <w:r>
        <w:rPr>
          <w:rFonts w:hint="eastAsia" w:ascii="宋体" w:hAnsi="宋体" w:eastAsia="楷体" w:cs="宋体"/>
          <w:b/>
          <w:bCs/>
          <w:szCs w:val="21"/>
          <w:lang w:val="en-US" w:eastAsia="zh-CN"/>
        </w:rPr>
        <w:t>29</w:t>
      </w:r>
      <w:r>
        <w:rPr>
          <w:rFonts w:hint="eastAsia" w:ascii="宋体" w:hAnsi="宋体" w:cs="宋体"/>
          <w:b/>
          <w:bCs/>
          <w:szCs w:val="21"/>
        </w:rPr>
        <w:t>质疑</w:t>
      </w:r>
    </w:p>
    <w:p>
      <w:pPr>
        <w:pStyle w:val="2"/>
        <w:spacing w:line="360" w:lineRule="auto"/>
        <w:ind w:firstLine="0"/>
        <w:rPr>
          <w:rFonts w:ascii="宋体" w:hAnsi="宋体" w:cs="宋体"/>
          <w:b w:val="0"/>
          <w:bCs/>
          <w:sz w:val="21"/>
          <w:szCs w:val="21"/>
        </w:rPr>
      </w:pPr>
      <w:r>
        <w:rPr>
          <w:rFonts w:hint="eastAsia" w:ascii="宋体" w:hAnsi="宋体" w:cs="宋体"/>
          <w:b w:val="0"/>
          <w:bCs/>
          <w:sz w:val="21"/>
          <w:szCs w:val="21"/>
          <w:lang w:val="en-US" w:eastAsia="zh-CN"/>
        </w:rPr>
        <w:t>29</w:t>
      </w:r>
      <w:r>
        <w:rPr>
          <w:rFonts w:hint="eastAsia" w:ascii="宋体" w:hAnsi="宋体" w:cs="宋体"/>
          <w:b w:val="0"/>
          <w:bCs/>
          <w:sz w:val="21"/>
          <w:szCs w:val="21"/>
        </w:rPr>
        <w:t>.1供应商对本次采购活动有疑问的，按照《中华人民共和国政府采购法》《中华人民共和国政府采购法实施条例》和《政府采购质疑和投诉办法》（财政部94号令）的规定办理。</w:t>
      </w:r>
    </w:p>
    <w:p>
      <w:pPr>
        <w:adjustRightInd w:val="0"/>
        <w:snapToGrid w:val="0"/>
        <w:spacing w:line="360" w:lineRule="auto"/>
        <w:rPr>
          <w:rFonts w:ascii="宋体" w:hAnsi="宋体" w:cs="宋体"/>
          <w:szCs w:val="21"/>
        </w:rPr>
      </w:pPr>
      <w:r>
        <w:rPr>
          <w:rFonts w:hint="eastAsia" w:ascii="宋体" w:hAnsi="宋体" w:cs="宋体"/>
          <w:szCs w:val="21"/>
          <w:lang w:val="en-US" w:eastAsia="zh-CN"/>
        </w:rPr>
        <w:t>29</w:t>
      </w:r>
      <w:r>
        <w:rPr>
          <w:rFonts w:hint="eastAsia" w:ascii="宋体" w:hAnsi="宋体" w:cs="宋体"/>
          <w:szCs w:val="21"/>
        </w:rPr>
        <w:t>.2供应商对采购文件、采购过程或中标结果使自身的合法权益受到损害，应当在法定期限内，按照质疑函范本格式要求以书面形式向采购代理机构或采购人提出质疑。</w:t>
      </w:r>
    </w:p>
    <w:p>
      <w:pPr>
        <w:adjustRightInd w:val="0"/>
        <w:snapToGrid w:val="0"/>
        <w:spacing w:line="360" w:lineRule="auto"/>
        <w:rPr>
          <w:rFonts w:ascii="宋体" w:hAnsi="宋体" w:cs="宋体"/>
          <w:szCs w:val="21"/>
        </w:rPr>
      </w:pPr>
      <w:r>
        <w:rPr>
          <w:rFonts w:hint="eastAsia" w:ascii="宋体" w:hAnsi="宋体" w:cs="宋体"/>
          <w:szCs w:val="21"/>
        </w:rPr>
        <w:t>（1）质疑书应当包括以下主要内容：被质疑项目名称、项目编号、标段/包号、采购文件获取日期、质疑事项、证据及来源线索、法律依据（具体条款）、招标采购活动中自己权益受到侵害的实质内容、质疑人有效联系方式等。</w:t>
      </w:r>
    </w:p>
    <w:p>
      <w:pPr>
        <w:adjustRightInd w:val="0"/>
        <w:snapToGrid w:val="0"/>
        <w:spacing w:line="360" w:lineRule="auto"/>
        <w:rPr>
          <w:rFonts w:ascii="宋体" w:hAnsi="宋体" w:cs="宋体"/>
          <w:szCs w:val="21"/>
        </w:rPr>
      </w:pPr>
      <w:r>
        <w:rPr>
          <w:rFonts w:hint="eastAsia" w:ascii="宋体" w:hAnsi="宋体" w:cs="宋体"/>
          <w:szCs w:val="21"/>
        </w:rPr>
        <w:t>（2）质疑书应当由法定代表人或授权代表签字或盖章，并加盖单位公章，公章不得以合同章或其他印章代替，并附法人身份证明。</w:t>
      </w:r>
    </w:p>
    <w:p>
      <w:pPr>
        <w:adjustRightInd w:val="0"/>
        <w:snapToGrid w:val="0"/>
        <w:spacing w:line="360" w:lineRule="auto"/>
        <w:rPr>
          <w:rFonts w:ascii="宋体" w:hAnsi="宋体" w:cs="宋体"/>
          <w:szCs w:val="21"/>
        </w:rPr>
      </w:pPr>
      <w:r>
        <w:rPr>
          <w:rFonts w:hint="eastAsia" w:ascii="宋体" w:hAnsi="宋体" w:cs="宋体"/>
          <w:szCs w:val="21"/>
        </w:rPr>
        <w:t>（3）质疑人可以委托代理人办理质疑事项，代理人办理质疑事项时，除提交质疑书外，还应当提交质疑人的授权委托书及代理人的有效身份证明，授权委托书应当载明委托代理的具体权限和事项。</w:t>
      </w:r>
    </w:p>
    <w:p>
      <w:pPr>
        <w:adjustRightInd w:val="0"/>
        <w:snapToGrid w:val="0"/>
        <w:spacing w:line="360" w:lineRule="auto"/>
        <w:rPr>
          <w:rFonts w:ascii="宋体" w:hAnsi="宋体" w:cs="宋体"/>
          <w:szCs w:val="21"/>
        </w:rPr>
      </w:pPr>
      <w:r>
        <w:rPr>
          <w:rFonts w:hint="eastAsia" w:ascii="宋体" w:hAnsi="宋体" w:cs="宋体"/>
          <w:szCs w:val="21"/>
        </w:rPr>
        <w:t>（4）质疑函范本格式在中国政府采购网站（http://www.ccgp.gov.cn/）自行下载。</w:t>
      </w:r>
    </w:p>
    <w:p>
      <w:pPr>
        <w:adjustRightInd w:val="0"/>
        <w:snapToGrid w:val="0"/>
        <w:spacing w:line="360" w:lineRule="auto"/>
        <w:rPr>
          <w:rFonts w:ascii="宋体" w:hAnsi="宋体" w:cs="宋体"/>
          <w:szCs w:val="21"/>
        </w:rPr>
      </w:pPr>
      <w:r>
        <w:rPr>
          <w:rFonts w:hint="eastAsia" w:ascii="宋体" w:hAnsi="宋体" w:cs="宋体"/>
          <w:szCs w:val="21"/>
        </w:rPr>
        <w:t>（5）接收质疑函的联系部门、联系电话和通讯地址同采购公告。</w:t>
      </w:r>
    </w:p>
    <w:p>
      <w:pPr>
        <w:adjustRightInd w:val="0"/>
        <w:snapToGrid w:val="0"/>
        <w:spacing w:line="360" w:lineRule="auto"/>
        <w:rPr>
          <w:rFonts w:ascii="宋体" w:hAnsi="宋体" w:cs="宋体"/>
          <w:szCs w:val="21"/>
        </w:rPr>
      </w:pPr>
      <w:r>
        <w:rPr>
          <w:rFonts w:hint="eastAsia" w:ascii="宋体" w:hAnsi="宋体" w:cs="宋体"/>
          <w:szCs w:val="21"/>
          <w:lang w:val="en-US" w:eastAsia="zh-CN"/>
        </w:rPr>
        <w:t>29</w:t>
      </w:r>
      <w:r>
        <w:rPr>
          <w:rFonts w:hint="eastAsia" w:ascii="宋体" w:hAnsi="宋体" w:cs="宋体"/>
          <w:szCs w:val="21"/>
        </w:rPr>
        <w:t>.3 有下列情形之一的，属于无效质疑，采购代理机构和采购人不予受理：</w:t>
      </w:r>
    </w:p>
    <w:p>
      <w:pPr>
        <w:adjustRightInd w:val="0"/>
        <w:snapToGrid w:val="0"/>
        <w:spacing w:line="360" w:lineRule="auto"/>
        <w:rPr>
          <w:rFonts w:ascii="宋体" w:hAnsi="宋体" w:cs="宋体"/>
          <w:szCs w:val="21"/>
        </w:rPr>
      </w:pPr>
      <w:r>
        <w:rPr>
          <w:rFonts w:hint="eastAsia" w:ascii="宋体" w:hAnsi="宋体" w:cs="宋体"/>
          <w:szCs w:val="21"/>
        </w:rPr>
        <w:t>（1）质疑人不是参与本次政府采购项目的供应商；</w:t>
      </w:r>
    </w:p>
    <w:p>
      <w:pPr>
        <w:adjustRightInd w:val="0"/>
        <w:snapToGrid w:val="0"/>
        <w:spacing w:line="360" w:lineRule="auto"/>
        <w:rPr>
          <w:rFonts w:ascii="宋体" w:hAnsi="宋体" w:cs="宋体"/>
          <w:szCs w:val="21"/>
        </w:rPr>
      </w:pPr>
      <w:r>
        <w:rPr>
          <w:rFonts w:hint="eastAsia" w:ascii="宋体" w:hAnsi="宋体" w:cs="宋体"/>
          <w:szCs w:val="21"/>
        </w:rPr>
        <w:t>（2）质疑人与质疑事项不存在利害关系的；</w:t>
      </w:r>
    </w:p>
    <w:p>
      <w:pPr>
        <w:adjustRightInd w:val="0"/>
        <w:snapToGrid w:val="0"/>
        <w:spacing w:line="360" w:lineRule="auto"/>
        <w:rPr>
          <w:rFonts w:ascii="宋体" w:hAnsi="宋体" w:cs="宋体"/>
          <w:szCs w:val="21"/>
        </w:rPr>
      </w:pPr>
      <w:r>
        <w:rPr>
          <w:rFonts w:hint="eastAsia" w:ascii="宋体" w:hAnsi="宋体" w:cs="宋体"/>
          <w:szCs w:val="21"/>
        </w:rPr>
        <w:t>（3）未在法定期限内提出质疑的；</w:t>
      </w:r>
    </w:p>
    <w:p>
      <w:pPr>
        <w:adjustRightInd w:val="0"/>
        <w:snapToGrid w:val="0"/>
        <w:spacing w:line="360" w:lineRule="auto"/>
        <w:rPr>
          <w:rFonts w:ascii="宋体" w:hAnsi="宋体" w:cs="宋体"/>
          <w:szCs w:val="21"/>
        </w:rPr>
      </w:pPr>
      <w:r>
        <w:rPr>
          <w:rFonts w:hint="eastAsia" w:ascii="宋体" w:hAnsi="宋体" w:cs="宋体"/>
          <w:szCs w:val="21"/>
        </w:rPr>
        <w:t>（4）质疑未以书面形式提出，以传真、电子邮件、移动通信等形式即时收悉提交的质疑材料；</w:t>
      </w:r>
    </w:p>
    <w:p>
      <w:pPr>
        <w:adjustRightInd w:val="0"/>
        <w:snapToGrid w:val="0"/>
        <w:spacing w:line="360" w:lineRule="auto"/>
        <w:rPr>
          <w:rFonts w:ascii="宋体" w:hAnsi="宋体" w:cs="宋体"/>
          <w:szCs w:val="21"/>
        </w:rPr>
      </w:pPr>
      <w:r>
        <w:rPr>
          <w:rFonts w:hint="eastAsia" w:ascii="宋体" w:hAnsi="宋体" w:cs="宋体"/>
          <w:szCs w:val="21"/>
        </w:rPr>
        <w:t>（5）质疑未按质疑函范本格式提出的；</w:t>
      </w:r>
    </w:p>
    <w:p>
      <w:pPr>
        <w:adjustRightInd w:val="0"/>
        <w:snapToGrid w:val="0"/>
        <w:spacing w:line="360" w:lineRule="auto"/>
        <w:rPr>
          <w:rFonts w:ascii="宋体" w:hAnsi="宋体" w:cs="宋体"/>
          <w:szCs w:val="21"/>
        </w:rPr>
      </w:pPr>
      <w:r>
        <w:rPr>
          <w:rFonts w:hint="eastAsia" w:ascii="宋体" w:hAnsi="宋体" w:cs="宋体"/>
          <w:szCs w:val="21"/>
        </w:rPr>
        <w:t>（6）质疑书主要内容构成不完整的；</w:t>
      </w:r>
    </w:p>
    <w:p>
      <w:pPr>
        <w:adjustRightInd w:val="0"/>
        <w:snapToGrid w:val="0"/>
        <w:spacing w:line="360" w:lineRule="auto"/>
        <w:rPr>
          <w:rFonts w:ascii="宋体" w:hAnsi="宋体" w:cs="宋体"/>
          <w:szCs w:val="21"/>
        </w:rPr>
      </w:pPr>
      <w:r>
        <w:rPr>
          <w:rFonts w:hint="eastAsia" w:ascii="宋体" w:hAnsi="宋体" w:cs="宋体"/>
          <w:szCs w:val="21"/>
        </w:rPr>
        <w:t>（7）质疑书没有合法有效的签字、盖章或授权的；</w:t>
      </w:r>
    </w:p>
    <w:p>
      <w:pPr>
        <w:adjustRightInd w:val="0"/>
        <w:snapToGrid w:val="0"/>
        <w:spacing w:line="360" w:lineRule="auto"/>
        <w:rPr>
          <w:rFonts w:ascii="宋体" w:hAnsi="宋体" w:cs="宋体"/>
          <w:szCs w:val="21"/>
        </w:rPr>
      </w:pPr>
      <w:r>
        <w:rPr>
          <w:rFonts w:hint="eastAsia" w:ascii="宋体" w:hAnsi="宋体" w:cs="宋体"/>
          <w:szCs w:val="21"/>
        </w:rPr>
        <w:t>（8）以非法手段取得证据、材料的；</w:t>
      </w:r>
    </w:p>
    <w:p>
      <w:pPr>
        <w:adjustRightInd w:val="0"/>
        <w:snapToGrid w:val="0"/>
        <w:spacing w:line="360" w:lineRule="auto"/>
        <w:rPr>
          <w:rFonts w:ascii="宋体" w:hAnsi="宋体" w:cs="宋体"/>
          <w:szCs w:val="21"/>
        </w:rPr>
      </w:pPr>
      <w:r>
        <w:rPr>
          <w:rFonts w:hint="eastAsia" w:ascii="宋体" w:hAnsi="宋体" w:cs="宋体"/>
          <w:szCs w:val="21"/>
        </w:rPr>
        <w:t>（9）质疑答复后，同一质疑人就同一事项再次提出质疑的；</w:t>
      </w:r>
    </w:p>
    <w:p>
      <w:pPr>
        <w:adjustRightInd w:val="0"/>
        <w:snapToGrid w:val="0"/>
        <w:spacing w:line="360" w:lineRule="auto"/>
        <w:rPr>
          <w:rFonts w:ascii="宋体" w:hAnsi="宋体" w:cs="宋体"/>
          <w:szCs w:val="21"/>
        </w:rPr>
      </w:pPr>
      <w:r>
        <w:rPr>
          <w:rFonts w:hint="eastAsia" w:ascii="宋体" w:hAnsi="宋体" w:cs="宋体"/>
          <w:szCs w:val="21"/>
        </w:rPr>
        <w:t>（10）不符合法律、法规、规章和政府采购监管机构规定的其他条件的。</w:t>
      </w:r>
    </w:p>
    <w:p>
      <w:pPr>
        <w:adjustRightInd w:val="0"/>
        <w:snapToGrid w:val="0"/>
        <w:spacing w:line="360" w:lineRule="auto"/>
        <w:rPr>
          <w:rFonts w:ascii="宋体" w:hAnsi="宋体" w:cs="宋体"/>
          <w:szCs w:val="21"/>
        </w:rPr>
      </w:pPr>
      <w:r>
        <w:rPr>
          <w:rFonts w:hint="eastAsia" w:ascii="宋体" w:hAnsi="宋体" w:cs="宋体"/>
          <w:szCs w:val="21"/>
          <w:lang w:val="en-US" w:eastAsia="zh-CN"/>
        </w:rPr>
        <w:t>29</w:t>
      </w:r>
      <w:r>
        <w:rPr>
          <w:rFonts w:hint="eastAsia" w:ascii="宋体" w:hAnsi="宋体" w:cs="宋体"/>
          <w:szCs w:val="21"/>
        </w:rPr>
        <w:t>.4采购代理机构或采购人将在收到书面质疑后7个工作日内做出答复，并以书面形式通知质疑人和其他有关供应商。</w:t>
      </w:r>
    </w:p>
    <w:p>
      <w:pPr>
        <w:spacing w:line="360" w:lineRule="auto"/>
        <w:jc w:val="left"/>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US" w:eastAsia="zh-CN"/>
        </w:rPr>
        <w:t>0</w:t>
      </w:r>
      <w:r>
        <w:rPr>
          <w:rFonts w:hint="eastAsia" w:ascii="宋体" w:hAnsi="宋体" w:cs="宋体"/>
          <w:b/>
          <w:bCs/>
          <w:kern w:val="0"/>
          <w:szCs w:val="21"/>
        </w:rPr>
        <w:t>.投诉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供应商和其他利害关系人认为本次招标采购活动违反法律、法规和规章规定的，有权向有关行政监督机构投诉。</w:t>
      </w:r>
    </w:p>
    <w:p>
      <w:pPr>
        <w:adjustRightInd w:val="0"/>
        <w:snapToGrid w:val="0"/>
        <w:spacing w:line="360" w:lineRule="auto"/>
        <w:rPr>
          <w:rFonts w:ascii="宋体" w:hAnsi="宋体" w:cs="宋体"/>
          <w:szCs w:val="21"/>
        </w:rPr>
      </w:pPr>
      <w:r>
        <w:rPr>
          <w:rFonts w:hint="eastAsia" w:ascii="宋体" w:hAnsi="宋体" w:cs="宋体"/>
          <w:szCs w:val="21"/>
        </w:rPr>
        <w:t>（1）质疑人对采购代理机构或采购人的答复不满意，以及采购代理机构或采购人未在规定时间内做出答复的，可以在答复期满后15个工作日内向政府采购监管机构提出投诉。</w:t>
      </w:r>
    </w:p>
    <w:p>
      <w:pPr>
        <w:adjustRightInd w:val="0"/>
        <w:snapToGrid w:val="0"/>
        <w:spacing w:line="360" w:lineRule="auto"/>
        <w:rPr>
          <w:rFonts w:ascii="宋体" w:hAnsi="宋体" w:cs="宋体"/>
          <w:szCs w:val="21"/>
        </w:rPr>
      </w:pPr>
      <w:r>
        <w:rPr>
          <w:rFonts w:hint="eastAsia" w:ascii="宋体" w:hAnsi="宋体" w:cs="宋体"/>
          <w:szCs w:val="21"/>
        </w:rPr>
        <w:t>（2）供应商投诉的事项不得超出已质疑事项的范围。</w:t>
      </w:r>
    </w:p>
    <w:p>
      <w:pPr>
        <w:adjustRightInd w:val="0"/>
        <w:snapToGrid w:val="0"/>
        <w:spacing w:line="360" w:lineRule="auto"/>
        <w:rPr>
          <w:rFonts w:ascii="宋体" w:hAnsi="宋体" w:cs="宋体"/>
          <w:szCs w:val="21"/>
        </w:rPr>
      </w:pPr>
      <w:r>
        <w:rPr>
          <w:rFonts w:hint="eastAsia" w:ascii="宋体" w:hAnsi="宋体" w:cs="宋体"/>
          <w:szCs w:val="21"/>
        </w:rPr>
        <w:t>（3）投诉书范本格式在中国政府采购网站（http://www.ccgp.gov.cn/）自行下载。</w:t>
      </w:r>
    </w:p>
    <w:p>
      <w:pPr>
        <w:spacing w:line="360" w:lineRule="auto"/>
        <w:jc w:val="left"/>
        <w:rPr>
          <w:rFonts w:ascii="宋体" w:hAnsi="宋体" w:cs="宋体"/>
          <w:b/>
          <w:bCs/>
          <w:kern w:val="0"/>
          <w:szCs w:val="21"/>
        </w:rPr>
      </w:pPr>
      <w:r>
        <w:rPr>
          <w:rFonts w:hint="eastAsia" w:ascii="宋体" w:hAnsi="宋体" w:cs="宋体"/>
          <w:b/>
          <w:bCs/>
          <w:kern w:val="0"/>
          <w:szCs w:val="21"/>
          <w:lang w:val="en-US" w:eastAsia="zh-CN"/>
        </w:rPr>
        <w:t>31</w:t>
      </w:r>
      <w:r>
        <w:rPr>
          <w:rFonts w:hint="eastAsia" w:ascii="宋体" w:hAnsi="宋体" w:cs="宋体"/>
          <w:b/>
          <w:bCs/>
          <w:kern w:val="0"/>
          <w:szCs w:val="21"/>
        </w:rPr>
        <w:t>.其他</w:t>
      </w:r>
    </w:p>
    <w:p>
      <w:pPr>
        <w:adjustRightInd w:val="0"/>
        <w:snapToGrid w:val="0"/>
        <w:spacing w:line="360" w:lineRule="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1成交供应商确定后，成交供应商无正当理由拖延或拒签合同的，采购人有权取消其成交资格，并按评审顺序重新确定成交供应商。同时报请监督机构予以通报，禁止其进入政府采购市场。给采购人造成损失的，还应当予以赔偿，并依法承担相应法律责任。</w:t>
      </w:r>
    </w:p>
    <w:p>
      <w:pPr>
        <w:adjustRightInd w:val="0"/>
        <w:snapToGrid w:val="0"/>
        <w:spacing w:line="360" w:lineRule="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.2 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adjustRightInd w:val="0"/>
        <w:snapToGrid w:val="0"/>
        <w:spacing w:line="360" w:lineRule="auto"/>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3成交供应商应在签订的服务合同中注明是否将该合同用于申请信用融资，若需要，乙方须提供融资银行名称及在该银行开设的收款账号信息。若成交供应商弄虚作假或以伪造政府采购服务合同等方式违规获取政府采购信用融资，或无故不及时还款的，或出现其他违反法律法规的行为，除按融资合同约定承担违约责任外，同级财政部门应当将其行为按“不良行为”记入供应商诚信档案；情节严重的，应记入供应商“黑名单”；涉嫌犯罪的，移送司法机关处理。</w:t>
      </w:r>
    </w:p>
    <w:p>
      <w:pPr>
        <w:pStyle w:val="17"/>
        <w:rPr>
          <w:rFonts w:hint="eastAsia" w:ascii="宋体" w:hAnsi="宋体" w:cs="宋体"/>
          <w:b/>
          <w:bCs/>
          <w:kern w:val="0"/>
          <w:sz w:val="24"/>
          <w:szCs w:val="24"/>
        </w:rPr>
      </w:pPr>
      <w:bookmarkStart w:id="380" w:name="_Toc29928"/>
      <w:bookmarkStart w:id="381" w:name="_Toc3272"/>
      <w:bookmarkStart w:id="382" w:name="_Toc7524522"/>
      <w:bookmarkStart w:id="383" w:name="_Toc2149"/>
      <w:bookmarkStart w:id="384" w:name="_Toc28831"/>
      <w:bookmarkStart w:id="385" w:name="_Toc7524507"/>
      <w:bookmarkStart w:id="386" w:name="_Toc9569"/>
      <w:bookmarkStart w:id="387" w:name="_Toc18980"/>
      <w:bookmarkStart w:id="388" w:name="_Toc18916"/>
    </w:p>
    <w:p>
      <w:pPr>
        <w:pStyle w:val="17"/>
        <w:rPr>
          <w:rFonts w:ascii="宋体" w:hAnsi="宋体" w:cs="宋体"/>
          <w:b/>
          <w:bCs/>
          <w:kern w:val="0"/>
          <w:sz w:val="24"/>
          <w:szCs w:val="24"/>
        </w:rPr>
      </w:pPr>
      <w:r>
        <w:rPr>
          <w:rFonts w:hint="eastAsia" w:ascii="宋体" w:hAnsi="宋体" w:cs="宋体"/>
          <w:b/>
          <w:bCs/>
          <w:kern w:val="0"/>
          <w:sz w:val="24"/>
          <w:szCs w:val="24"/>
        </w:rPr>
        <w:t>附件一：西安市政府采购信用担保及信用融资合作机构联系名单</w:t>
      </w:r>
    </w:p>
    <w:tbl>
      <w:tblPr>
        <w:tblStyle w:val="27"/>
        <w:tblW w:w="9009" w:type="dxa"/>
        <w:tblInd w:w="93" w:type="dxa"/>
        <w:tblLayout w:type="fixed"/>
        <w:tblCellMar>
          <w:top w:w="0" w:type="dxa"/>
          <w:left w:w="108" w:type="dxa"/>
          <w:bottom w:w="0" w:type="dxa"/>
          <w:right w:w="108" w:type="dxa"/>
        </w:tblCellMar>
      </w:tblPr>
      <w:tblGrid>
        <w:gridCol w:w="657"/>
        <w:gridCol w:w="1879"/>
        <w:gridCol w:w="1329"/>
        <w:gridCol w:w="959"/>
        <w:gridCol w:w="896"/>
        <w:gridCol w:w="2449"/>
        <w:gridCol w:w="840"/>
      </w:tblGrid>
      <w:tr>
        <w:tblPrEx>
          <w:tblCellMar>
            <w:top w:w="0" w:type="dxa"/>
            <w:left w:w="108" w:type="dxa"/>
            <w:bottom w:w="0" w:type="dxa"/>
            <w:right w:w="108" w:type="dxa"/>
          </w:tblCellMar>
        </w:tblPrEx>
        <w:trPr>
          <w:trHeight w:val="70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序号</w:t>
            </w:r>
          </w:p>
        </w:tc>
        <w:tc>
          <w:tcPr>
            <w:tcW w:w="187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合作单位名称</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主办单位名称</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联系部门</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联系</w:t>
            </w:r>
          </w:p>
          <w:p>
            <w:pPr>
              <w:spacing w:line="360" w:lineRule="auto"/>
              <w:jc w:val="left"/>
              <w:rPr>
                <w:rFonts w:ascii="宋体" w:hAnsi="宋体" w:cs="宋体"/>
                <w:b/>
                <w:bCs/>
                <w:kern w:val="0"/>
                <w:szCs w:val="21"/>
              </w:rPr>
            </w:pPr>
            <w:r>
              <w:rPr>
                <w:rFonts w:hint="eastAsia" w:ascii="宋体" w:hAnsi="宋体" w:cs="宋体"/>
                <w:b/>
                <w:bCs/>
                <w:kern w:val="0"/>
                <w:szCs w:val="21"/>
              </w:rPr>
              <w:t>人员</w:t>
            </w:r>
          </w:p>
        </w:tc>
        <w:tc>
          <w:tcPr>
            <w:tcW w:w="244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联系电话</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b/>
                <w:bCs/>
                <w:kern w:val="0"/>
                <w:szCs w:val="21"/>
              </w:rPr>
            </w:pPr>
            <w:r>
              <w:rPr>
                <w:rFonts w:hint="eastAsia" w:ascii="宋体" w:hAnsi="宋体" w:cs="宋体"/>
                <w:b/>
                <w:bCs/>
                <w:kern w:val="0"/>
                <w:szCs w:val="21"/>
              </w:rPr>
              <w:t>备注</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1</w:t>
            </w:r>
          </w:p>
        </w:tc>
        <w:tc>
          <w:tcPr>
            <w:tcW w:w="187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西安投融资担保有限公司</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西安投融资担保有限公司</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业务五部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李晓</w:t>
            </w:r>
          </w:p>
          <w:p>
            <w:pPr>
              <w:adjustRightInd w:val="0"/>
              <w:snapToGrid w:val="0"/>
              <w:spacing w:line="360" w:lineRule="auto"/>
              <w:rPr>
                <w:rFonts w:ascii="宋体" w:hAnsi="宋体" w:cs="宋体"/>
                <w:szCs w:val="21"/>
              </w:rPr>
            </w:pPr>
            <w:r>
              <w:rPr>
                <w:rFonts w:hint="eastAsia" w:ascii="宋体" w:hAnsi="宋体" w:cs="宋体"/>
                <w:szCs w:val="21"/>
              </w:rPr>
              <w:t>何彦君</w:t>
            </w:r>
          </w:p>
          <w:p>
            <w:pPr>
              <w:adjustRightInd w:val="0"/>
              <w:snapToGrid w:val="0"/>
              <w:spacing w:line="360" w:lineRule="auto"/>
              <w:rPr>
                <w:rFonts w:ascii="宋体" w:hAnsi="宋体" w:cs="宋体"/>
                <w:szCs w:val="21"/>
              </w:rPr>
            </w:pPr>
            <w:r>
              <w:rPr>
                <w:rFonts w:hint="eastAsia" w:ascii="宋体" w:hAnsi="宋体" w:cs="宋体"/>
                <w:szCs w:val="21"/>
              </w:rPr>
              <w:t>张华</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88499422 13572821281</w:t>
            </w:r>
          </w:p>
          <w:p>
            <w:pPr>
              <w:adjustRightInd w:val="0"/>
              <w:snapToGrid w:val="0"/>
              <w:spacing w:line="360" w:lineRule="auto"/>
              <w:rPr>
                <w:rFonts w:ascii="宋体" w:hAnsi="宋体" w:cs="宋体"/>
                <w:szCs w:val="21"/>
              </w:rPr>
            </w:pPr>
            <w:r>
              <w:rPr>
                <w:rFonts w:hint="eastAsia" w:ascii="宋体" w:hAnsi="宋体" w:cs="宋体"/>
                <w:szCs w:val="21"/>
              </w:rPr>
              <w:t>88499422 13679255205</w:t>
            </w:r>
          </w:p>
          <w:p>
            <w:pPr>
              <w:adjustRightInd w:val="0"/>
              <w:snapToGrid w:val="0"/>
              <w:spacing w:line="360" w:lineRule="auto"/>
              <w:rPr>
                <w:rFonts w:ascii="宋体" w:hAnsi="宋体" w:cs="宋体"/>
                <w:szCs w:val="21"/>
              </w:rPr>
            </w:pPr>
            <w:r>
              <w:rPr>
                <w:rFonts w:hint="eastAsia" w:ascii="宋体" w:hAnsi="宋体" w:cs="宋体"/>
                <w:szCs w:val="21"/>
              </w:rPr>
              <w:t>88499422 18220823060</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信用担保</w:t>
            </w:r>
          </w:p>
        </w:tc>
      </w:tr>
      <w:tr>
        <w:tblPrEx>
          <w:tblCellMar>
            <w:top w:w="0" w:type="dxa"/>
            <w:left w:w="108" w:type="dxa"/>
            <w:bottom w:w="0" w:type="dxa"/>
            <w:right w:w="108" w:type="dxa"/>
          </w:tblCellMar>
        </w:tblPrEx>
        <w:trPr>
          <w:trHeight w:val="1281"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2</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陕西省信用再担保有限责任公司</w:t>
            </w:r>
          </w:p>
        </w:tc>
        <w:tc>
          <w:tcPr>
            <w:tcW w:w="132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陕西省信用再担保有限责任公司</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业务三部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夏靖颜</w:t>
            </w:r>
          </w:p>
          <w:p>
            <w:pPr>
              <w:adjustRightInd w:val="0"/>
              <w:snapToGrid w:val="0"/>
              <w:spacing w:line="360" w:lineRule="auto"/>
              <w:rPr>
                <w:rFonts w:ascii="宋体" w:hAnsi="宋体" w:cs="宋体"/>
                <w:szCs w:val="21"/>
              </w:rPr>
            </w:pPr>
            <w:r>
              <w:rPr>
                <w:rFonts w:hint="eastAsia" w:ascii="宋体" w:hAnsi="宋体" w:cs="宋体"/>
                <w:szCs w:val="21"/>
              </w:rPr>
              <w:t>朱筠祥</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88606038-6027</w:t>
            </w:r>
          </w:p>
          <w:p>
            <w:pPr>
              <w:adjustRightInd w:val="0"/>
              <w:snapToGrid w:val="0"/>
              <w:spacing w:line="360" w:lineRule="auto"/>
              <w:rPr>
                <w:rFonts w:ascii="宋体" w:hAnsi="宋体" w:cs="宋体"/>
                <w:szCs w:val="21"/>
              </w:rPr>
            </w:pPr>
            <w:r>
              <w:rPr>
                <w:rFonts w:hint="eastAsia" w:ascii="宋体" w:hAnsi="宋体" w:cs="宋体"/>
                <w:szCs w:val="21"/>
              </w:rPr>
              <w:t>18591406320</w:t>
            </w:r>
          </w:p>
          <w:p>
            <w:pPr>
              <w:adjustRightInd w:val="0"/>
              <w:snapToGrid w:val="0"/>
              <w:spacing w:line="360" w:lineRule="auto"/>
              <w:rPr>
                <w:rFonts w:ascii="宋体" w:hAnsi="宋体" w:cs="宋体"/>
                <w:szCs w:val="21"/>
              </w:rPr>
            </w:pPr>
            <w:r>
              <w:rPr>
                <w:rFonts w:hint="eastAsia" w:ascii="宋体" w:hAnsi="宋体" w:cs="宋体"/>
                <w:szCs w:val="21"/>
              </w:rPr>
              <w:t>18629282228</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信用担保</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3</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中国银行股份有限公司陕西省分行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中国银行西安二环世纪星支行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公司业务部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 xml:space="preserve">胡涛 </w:t>
            </w:r>
          </w:p>
          <w:p>
            <w:pPr>
              <w:adjustRightInd w:val="0"/>
              <w:snapToGrid w:val="0"/>
              <w:spacing w:line="360" w:lineRule="auto"/>
              <w:rPr>
                <w:rFonts w:ascii="宋体" w:hAnsi="宋体" w:cs="宋体"/>
                <w:szCs w:val="21"/>
              </w:rPr>
            </w:pPr>
            <w:r>
              <w:rPr>
                <w:rFonts w:hint="eastAsia" w:ascii="宋体" w:hAnsi="宋体" w:cs="宋体"/>
                <w:szCs w:val="21"/>
              </w:rPr>
              <w:t>叶楚沙</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88360743 18629048822</w:t>
            </w:r>
          </w:p>
          <w:p>
            <w:pPr>
              <w:adjustRightInd w:val="0"/>
              <w:snapToGrid w:val="0"/>
              <w:spacing w:line="360" w:lineRule="auto"/>
              <w:rPr>
                <w:rFonts w:ascii="宋体" w:hAnsi="宋体" w:cs="宋体"/>
                <w:szCs w:val="21"/>
              </w:rPr>
            </w:pPr>
            <w:r>
              <w:rPr>
                <w:rFonts w:hint="eastAsia" w:ascii="宋体" w:hAnsi="宋体" w:cs="宋体"/>
                <w:szCs w:val="21"/>
              </w:rPr>
              <w:t>88360749 13772153612</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4</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中国建设银行股份有限公司陕西省分行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建设银行西安市南大街支行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公司部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杨向晖</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87281468</w:t>
            </w:r>
          </w:p>
          <w:p>
            <w:pPr>
              <w:adjustRightInd w:val="0"/>
              <w:snapToGrid w:val="0"/>
              <w:spacing w:line="360" w:lineRule="auto"/>
              <w:rPr>
                <w:rFonts w:ascii="宋体" w:hAnsi="宋体" w:cs="宋体"/>
                <w:szCs w:val="21"/>
              </w:rPr>
            </w:pPr>
            <w:r>
              <w:rPr>
                <w:rFonts w:hint="eastAsia" w:ascii="宋体" w:hAnsi="宋体" w:cs="宋体"/>
                <w:szCs w:val="21"/>
              </w:rPr>
              <w:t>13379229383</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5</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中国工商银行股份有限公司陕西省分行营业部</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工商银行陕西分行营业部</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小企业金融业务部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牛国群</w:t>
            </w:r>
          </w:p>
          <w:p>
            <w:pPr>
              <w:adjustRightInd w:val="0"/>
              <w:snapToGrid w:val="0"/>
              <w:spacing w:line="360" w:lineRule="auto"/>
              <w:rPr>
                <w:rFonts w:ascii="宋体" w:hAnsi="宋体" w:cs="宋体"/>
                <w:szCs w:val="21"/>
              </w:rPr>
            </w:pPr>
            <w:r>
              <w:rPr>
                <w:rFonts w:hint="eastAsia" w:ascii="宋体" w:hAnsi="宋体" w:cs="宋体"/>
                <w:szCs w:val="21"/>
              </w:rPr>
              <w:t>张航</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87609569 18992851811</w:t>
            </w:r>
          </w:p>
          <w:p>
            <w:pPr>
              <w:adjustRightInd w:val="0"/>
              <w:snapToGrid w:val="0"/>
              <w:spacing w:line="360" w:lineRule="auto"/>
              <w:rPr>
                <w:rFonts w:ascii="宋体" w:hAnsi="宋体" w:cs="宋体"/>
                <w:szCs w:val="21"/>
              </w:rPr>
            </w:pPr>
            <w:r>
              <w:rPr>
                <w:rFonts w:hint="eastAsia" w:ascii="宋体" w:hAnsi="宋体" w:cs="宋体"/>
                <w:szCs w:val="21"/>
              </w:rPr>
              <w:t>87609761 13891883334</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6</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中国农业银行股份有限公司陕西省分行营业部</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农业银行西安西大街支行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公司业务部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贾珊</w:t>
            </w:r>
          </w:p>
          <w:p>
            <w:pPr>
              <w:adjustRightInd w:val="0"/>
              <w:snapToGrid w:val="0"/>
              <w:spacing w:line="360" w:lineRule="auto"/>
              <w:rPr>
                <w:rFonts w:ascii="宋体" w:hAnsi="宋体" w:cs="宋体"/>
                <w:szCs w:val="21"/>
              </w:rPr>
            </w:pPr>
            <w:r>
              <w:rPr>
                <w:rFonts w:hint="eastAsia" w:ascii="宋体" w:hAnsi="宋体" w:cs="宋体"/>
                <w:szCs w:val="21"/>
              </w:rPr>
              <w:t>高雅</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87617245 13891957123</w:t>
            </w:r>
          </w:p>
          <w:p>
            <w:pPr>
              <w:adjustRightInd w:val="0"/>
              <w:snapToGrid w:val="0"/>
              <w:spacing w:line="360" w:lineRule="auto"/>
              <w:rPr>
                <w:rFonts w:ascii="宋体" w:hAnsi="宋体" w:cs="宋体"/>
                <w:szCs w:val="21"/>
              </w:rPr>
            </w:pPr>
            <w:r>
              <w:rPr>
                <w:rFonts w:hint="eastAsia" w:ascii="宋体" w:hAnsi="宋体" w:cs="宋体"/>
                <w:szCs w:val="21"/>
              </w:rPr>
              <w:t>87613444 13659192425</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7</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交通银行股份有限公司陕西省分行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交通银行西安西五路支行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个人贷款中心</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李卫公</w:t>
            </w:r>
          </w:p>
          <w:p>
            <w:pPr>
              <w:adjustRightInd w:val="0"/>
              <w:snapToGrid w:val="0"/>
              <w:spacing w:line="360" w:lineRule="auto"/>
              <w:rPr>
                <w:rFonts w:ascii="宋体" w:hAnsi="宋体" w:cs="宋体"/>
                <w:szCs w:val="21"/>
              </w:rPr>
            </w:pPr>
            <w:r>
              <w:rPr>
                <w:rFonts w:hint="eastAsia" w:ascii="宋体" w:hAnsi="宋体" w:cs="宋体"/>
                <w:szCs w:val="21"/>
              </w:rPr>
              <w:t>雷强</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87297632 13991290525</w:t>
            </w:r>
          </w:p>
          <w:p>
            <w:pPr>
              <w:adjustRightInd w:val="0"/>
              <w:snapToGrid w:val="0"/>
              <w:spacing w:line="360" w:lineRule="auto"/>
              <w:rPr>
                <w:rFonts w:ascii="宋体" w:hAnsi="宋体" w:cs="宋体"/>
                <w:szCs w:val="21"/>
              </w:rPr>
            </w:pPr>
            <w:r>
              <w:rPr>
                <w:rFonts w:hint="eastAsia" w:ascii="宋体" w:hAnsi="宋体" w:cs="宋体"/>
                <w:szCs w:val="21"/>
              </w:rPr>
              <w:t>87272444 18629362690</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8</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招商银行股份有限公司西安分行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招商银行西安未央路支行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公司银行部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杨皓</w:t>
            </w:r>
          </w:p>
          <w:p>
            <w:pPr>
              <w:adjustRightInd w:val="0"/>
              <w:snapToGrid w:val="0"/>
              <w:spacing w:line="360" w:lineRule="auto"/>
              <w:rPr>
                <w:rFonts w:ascii="宋体" w:hAnsi="宋体" w:cs="宋体"/>
                <w:szCs w:val="21"/>
              </w:rPr>
            </w:pPr>
            <w:r>
              <w:rPr>
                <w:rFonts w:hint="eastAsia" w:ascii="宋体" w:hAnsi="宋体" w:cs="宋体"/>
                <w:szCs w:val="21"/>
              </w:rPr>
              <w:t>马秦香</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62811553 15002905553</w:t>
            </w:r>
          </w:p>
          <w:p>
            <w:pPr>
              <w:adjustRightInd w:val="0"/>
              <w:snapToGrid w:val="0"/>
              <w:spacing w:line="360" w:lineRule="auto"/>
              <w:rPr>
                <w:rFonts w:ascii="宋体" w:hAnsi="宋体" w:cs="宋体"/>
                <w:szCs w:val="21"/>
              </w:rPr>
            </w:pPr>
            <w:r>
              <w:rPr>
                <w:rFonts w:hint="eastAsia" w:ascii="宋体" w:hAnsi="宋体" w:cs="宋体"/>
                <w:szCs w:val="21"/>
              </w:rPr>
              <w:t>62811553 13609183259</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9</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中国民生银行股份有限公司西安分行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民生银行西安分行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城建金融部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李楠</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88266088-8450</w:t>
            </w:r>
          </w:p>
          <w:p>
            <w:pPr>
              <w:adjustRightInd w:val="0"/>
              <w:snapToGrid w:val="0"/>
              <w:spacing w:line="360" w:lineRule="auto"/>
              <w:rPr>
                <w:rFonts w:ascii="宋体" w:hAnsi="宋体" w:cs="宋体"/>
                <w:szCs w:val="21"/>
              </w:rPr>
            </w:pPr>
            <w:r>
              <w:rPr>
                <w:rFonts w:hint="eastAsia" w:ascii="宋体" w:hAnsi="宋体" w:cs="宋体"/>
                <w:szCs w:val="21"/>
              </w:rPr>
              <w:t>13572058213</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10</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中国光大银行股份有限公司西安分行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光大银行经济技术开发区支行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对公客户经理部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高艺瑄</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15619006186</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11</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昆仑银行股份有限公司西安分行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昆仑银行西安分行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机构投行部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韩天清</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86978975</w:t>
            </w:r>
          </w:p>
          <w:p>
            <w:pPr>
              <w:adjustRightInd w:val="0"/>
              <w:snapToGrid w:val="0"/>
              <w:spacing w:line="360" w:lineRule="auto"/>
              <w:rPr>
                <w:rFonts w:ascii="宋体" w:hAnsi="宋体" w:cs="宋体"/>
                <w:szCs w:val="21"/>
              </w:rPr>
            </w:pPr>
            <w:r>
              <w:rPr>
                <w:rFonts w:hint="eastAsia" w:ascii="宋体" w:hAnsi="宋体" w:cs="宋体"/>
                <w:szCs w:val="21"/>
              </w:rPr>
              <w:t>15609108028</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12</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平安银行股份有限公司西安分行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平安银行西安分行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业务发展七部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祝捷</w:t>
            </w:r>
          </w:p>
          <w:p>
            <w:pPr>
              <w:adjustRightInd w:val="0"/>
              <w:snapToGrid w:val="0"/>
              <w:spacing w:line="360" w:lineRule="auto"/>
              <w:rPr>
                <w:rFonts w:ascii="宋体" w:hAnsi="宋体" w:cs="宋体"/>
                <w:szCs w:val="21"/>
              </w:rPr>
            </w:pPr>
            <w:r>
              <w:rPr>
                <w:rFonts w:hint="eastAsia" w:ascii="宋体" w:hAnsi="宋体" w:cs="宋体"/>
                <w:szCs w:val="21"/>
              </w:rPr>
              <w:t>王尧</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18629505188</w:t>
            </w:r>
          </w:p>
          <w:p>
            <w:pPr>
              <w:adjustRightInd w:val="0"/>
              <w:snapToGrid w:val="0"/>
              <w:spacing w:line="360" w:lineRule="auto"/>
              <w:rPr>
                <w:rFonts w:ascii="宋体" w:hAnsi="宋体" w:cs="宋体"/>
                <w:szCs w:val="21"/>
              </w:rPr>
            </w:pPr>
            <w:r>
              <w:rPr>
                <w:rFonts w:hint="eastAsia" w:ascii="宋体" w:hAnsi="宋体" w:cs="宋体"/>
                <w:szCs w:val="21"/>
              </w:rPr>
              <w:t>18591767577</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13</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北京银行股份有限公司西安分行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北京银行西安分行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营业部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范诗阳</w:t>
            </w:r>
          </w:p>
          <w:p>
            <w:pPr>
              <w:adjustRightInd w:val="0"/>
              <w:snapToGrid w:val="0"/>
              <w:spacing w:line="360" w:lineRule="auto"/>
              <w:rPr>
                <w:rFonts w:ascii="宋体" w:hAnsi="宋体" w:cs="宋体"/>
                <w:szCs w:val="21"/>
              </w:rPr>
            </w:pPr>
            <w:r>
              <w:rPr>
                <w:rFonts w:hint="eastAsia" w:ascii="宋体" w:hAnsi="宋体" w:cs="宋体"/>
                <w:szCs w:val="21"/>
              </w:rPr>
              <w:t>曹英</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13991945764</w:t>
            </w:r>
          </w:p>
          <w:p>
            <w:pPr>
              <w:adjustRightInd w:val="0"/>
              <w:snapToGrid w:val="0"/>
              <w:spacing w:line="360" w:lineRule="auto"/>
              <w:rPr>
                <w:rFonts w:ascii="宋体" w:hAnsi="宋体" w:cs="宋体"/>
                <w:szCs w:val="21"/>
              </w:rPr>
            </w:pPr>
            <w:r>
              <w:rPr>
                <w:rFonts w:hint="eastAsia" w:ascii="宋体" w:hAnsi="宋体" w:cs="宋体"/>
                <w:szCs w:val="21"/>
              </w:rPr>
              <w:t>18691892195</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r>
        <w:tblPrEx>
          <w:tblCellMar>
            <w:top w:w="0" w:type="dxa"/>
            <w:left w:w="108" w:type="dxa"/>
            <w:bottom w:w="0" w:type="dxa"/>
            <w:right w:w="108" w:type="dxa"/>
          </w:tblCellMar>
        </w:tblPrEx>
        <w:trPr>
          <w:trHeight w:val="656"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14</w:t>
            </w:r>
          </w:p>
        </w:tc>
        <w:tc>
          <w:tcPr>
            <w:tcW w:w="18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兴业银行股份有限公司西安分行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兴业银行西安分行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新城业务总部</w:t>
            </w:r>
          </w:p>
        </w:tc>
        <w:tc>
          <w:tcPr>
            <w:tcW w:w="8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徐常磊</w:t>
            </w:r>
          </w:p>
          <w:p>
            <w:pPr>
              <w:adjustRightInd w:val="0"/>
              <w:snapToGrid w:val="0"/>
              <w:spacing w:line="360" w:lineRule="auto"/>
              <w:rPr>
                <w:rFonts w:ascii="宋体" w:hAnsi="宋体" w:cs="宋体"/>
                <w:szCs w:val="21"/>
              </w:rPr>
            </w:pPr>
            <w:r>
              <w:rPr>
                <w:rFonts w:hint="eastAsia" w:ascii="宋体" w:hAnsi="宋体" w:cs="宋体"/>
                <w:szCs w:val="21"/>
              </w:rPr>
              <w:t>鲁旸</w:t>
            </w:r>
          </w:p>
        </w:tc>
        <w:tc>
          <w:tcPr>
            <w:tcW w:w="244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15991623666</w:t>
            </w:r>
          </w:p>
          <w:p>
            <w:pPr>
              <w:adjustRightInd w:val="0"/>
              <w:snapToGrid w:val="0"/>
              <w:spacing w:line="360" w:lineRule="auto"/>
              <w:rPr>
                <w:rFonts w:ascii="宋体" w:hAnsi="宋体" w:cs="宋体"/>
                <w:szCs w:val="21"/>
              </w:rPr>
            </w:pPr>
            <w:r>
              <w:rPr>
                <w:rFonts w:hint="eastAsia" w:ascii="宋体" w:hAnsi="宋体" w:cs="宋体"/>
                <w:szCs w:val="21"/>
              </w:rPr>
              <w:t>15389081886</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rPr>
                <w:rFonts w:ascii="宋体" w:hAnsi="宋体" w:cs="宋体"/>
                <w:szCs w:val="21"/>
              </w:rPr>
            </w:pPr>
            <w:r>
              <w:rPr>
                <w:rFonts w:hint="eastAsia" w:ascii="宋体" w:hAnsi="宋体" w:cs="宋体"/>
                <w:szCs w:val="21"/>
              </w:rPr>
              <w:t>信用融资</w:t>
            </w:r>
          </w:p>
        </w:tc>
      </w:tr>
    </w:tbl>
    <w:p>
      <w:pPr>
        <w:pStyle w:val="6"/>
        <w:spacing w:before="0" w:after="0" w:line="360" w:lineRule="auto"/>
        <w:jc w:val="center"/>
        <w:outlineLvl w:val="0"/>
        <w:rPr>
          <w:rFonts w:ascii="宋体" w:hAnsi="宋体" w:cs="宋体"/>
          <w:sz w:val="36"/>
        </w:rPr>
      </w:pPr>
      <w:r>
        <w:rPr>
          <w:rFonts w:hint="eastAsia" w:ascii="宋体" w:hAnsi="宋体" w:cs="宋体"/>
          <w:sz w:val="36"/>
          <w:szCs w:val="36"/>
        </w:rPr>
        <w:br w:type="page"/>
      </w:r>
      <w:bookmarkStart w:id="389" w:name="_Toc1819"/>
      <w:bookmarkStart w:id="390" w:name="_Toc5087"/>
      <w:r>
        <w:rPr>
          <w:rFonts w:hint="eastAsia" w:ascii="宋体" w:hAnsi="宋体" w:cs="宋体"/>
          <w:sz w:val="36"/>
          <w:szCs w:val="36"/>
        </w:rPr>
        <w:t xml:space="preserve">第四部分  </w:t>
      </w:r>
      <w:bookmarkEnd w:id="380"/>
      <w:bookmarkEnd w:id="381"/>
      <w:bookmarkEnd w:id="382"/>
      <w:bookmarkEnd w:id="383"/>
      <w:r>
        <w:rPr>
          <w:rFonts w:hint="eastAsia" w:ascii="宋体" w:hAnsi="宋体" w:cs="宋体"/>
          <w:sz w:val="36"/>
          <w:szCs w:val="36"/>
        </w:rPr>
        <w:t>评标办法及标准</w:t>
      </w:r>
      <w:bookmarkEnd w:id="384"/>
      <w:bookmarkEnd w:id="389"/>
      <w:bookmarkEnd w:id="390"/>
    </w:p>
    <w:p>
      <w:pPr>
        <w:spacing w:line="480" w:lineRule="exact"/>
        <w:rPr>
          <w:b/>
          <w:szCs w:val="24"/>
        </w:rPr>
      </w:pPr>
      <w:r>
        <w:rPr>
          <w:rFonts w:hint="eastAsia"/>
          <w:b/>
          <w:szCs w:val="24"/>
        </w:rPr>
        <w:t>一．评审方法：</w:t>
      </w:r>
    </w:p>
    <w:p>
      <w:pPr>
        <w:spacing w:line="480" w:lineRule="exact"/>
        <w:ind w:firstLine="455" w:firstLineChars="217"/>
        <w:rPr>
          <w:rFonts w:hint="eastAsia" w:hAnsi="宋体"/>
          <w:spacing w:val="4"/>
          <w:szCs w:val="24"/>
        </w:rPr>
      </w:pPr>
      <w:r>
        <w:rPr>
          <w:rFonts w:hAnsi="宋体"/>
          <w:szCs w:val="24"/>
        </w:rPr>
        <w:t>按照《中华人民共和国政府采购法》</w:t>
      </w:r>
      <w:r>
        <w:rPr>
          <w:rFonts w:hint="eastAsia" w:hAnsi="宋体"/>
          <w:szCs w:val="24"/>
        </w:rPr>
        <w:t>及实施条例和</w:t>
      </w:r>
      <w:r>
        <w:rPr>
          <w:rFonts w:hAnsi="宋体"/>
          <w:szCs w:val="24"/>
        </w:rPr>
        <w:t>关于印发《政府采购竞争性磋商采购方式管理暂行办法》的通知</w:t>
      </w:r>
      <w:r>
        <w:rPr>
          <w:rFonts w:hint="eastAsia" w:hAnsi="宋体"/>
          <w:szCs w:val="24"/>
        </w:rPr>
        <w:t>（</w:t>
      </w:r>
      <w:r>
        <w:rPr>
          <w:rFonts w:hAnsi="宋体"/>
          <w:szCs w:val="24"/>
        </w:rPr>
        <w:t>财库【2014】214号</w:t>
      </w:r>
      <w:r>
        <w:rPr>
          <w:rFonts w:hint="eastAsia" w:hAnsi="宋体"/>
          <w:szCs w:val="24"/>
        </w:rPr>
        <w:t>）</w:t>
      </w:r>
      <w:r>
        <w:rPr>
          <w:rFonts w:hint="eastAsia" w:hAnsi="宋体"/>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480" w:lineRule="exact"/>
        <w:rPr>
          <w:rFonts w:hint="eastAsia" w:hAnsi="宋体" w:cs="宋体"/>
          <w:b/>
          <w:sz w:val="28"/>
          <w:szCs w:val="28"/>
        </w:rPr>
      </w:pPr>
      <w:r>
        <w:rPr>
          <w:rFonts w:hint="eastAsia" w:hAnsi="宋体" w:cs="宋体"/>
          <w:b/>
          <w:sz w:val="28"/>
          <w:szCs w:val="28"/>
        </w:rPr>
        <w:t>二、评审标准</w:t>
      </w:r>
    </w:p>
    <w:p>
      <w:pPr>
        <w:tabs>
          <w:tab w:val="left" w:pos="0"/>
        </w:tabs>
        <w:adjustRightInd w:val="0"/>
        <w:snapToGrid w:val="0"/>
        <w:spacing w:line="480" w:lineRule="exact"/>
        <w:ind w:firstLine="413" w:firstLineChars="196"/>
        <w:rPr>
          <w:rFonts w:hint="eastAsia" w:hAnsi="宋体" w:cs="宋体"/>
          <w:b/>
          <w:color w:val="000000"/>
        </w:rPr>
      </w:pPr>
      <w:r>
        <w:rPr>
          <w:rFonts w:hint="eastAsia" w:hAnsi="宋体" w:cs="宋体"/>
          <w:b/>
          <w:color w:val="000000"/>
        </w:rPr>
        <w:t>2.1初步评审标准</w:t>
      </w:r>
    </w:p>
    <w:p>
      <w:pPr>
        <w:tabs>
          <w:tab w:val="left" w:pos="0"/>
        </w:tabs>
        <w:adjustRightInd w:val="0"/>
        <w:snapToGrid w:val="0"/>
        <w:spacing w:line="480" w:lineRule="exact"/>
        <w:ind w:firstLine="411" w:firstLineChars="196"/>
        <w:rPr>
          <w:rFonts w:hint="eastAsia" w:hAnsi="宋体" w:cs="宋体"/>
          <w:color w:val="000000"/>
        </w:rPr>
      </w:pPr>
      <w:r>
        <w:rPr>
          <w:rFonts w:hint="eastAsia" w:hAnsi="宋体" w:cs="宋体"/>
          <w:color w:val="000000"/>
        </w:rPr>
        <w:t>2.1.1资格性审查标准：见附件1</w:t>
      </w:r>
    </w:p>
    <w:p>
      <w:pPr>
        <w:tabs>
          <w:tab w:val="left" w:pos="0"/>
        </w:tabs>
        <w:adjustRightInd w:val="0"/>
        <w:snapToGrid w:val="0"/>
        <w:spacing w:line="480" w:lineRule="exact"/>
        <w:ind w:firstLine="411" w:firstLineChars="196"/>
        <w:rPr>
          <w:rFonts w:hint="eastAsia" w:hAnsi="宋体" w:cs="宋体"/>
          <w:color w:val="000000"/>
        </w:rPr>
      </w:pPr>
      <w:r>
        <w:rPr>
          <w:rFonts w:hint="eastAsia" w:hAnsi="宋体" w:cs="宋体"/>
          <w:color w:val="000000"/>
        </w:rPr>
        <w:t>2.1.2符合性审查标准：见附件</w:t>
      </w:r>
      <w:r>
        <w:rPr>
          <w:rFonts w:hint="eastAsia" w:hAnsi="宋体" w:cs="宋体"/>
          <w:color w:val="000000"/>
          <w:lang w:val="en-US" w:eastAsia="zh-CN"/>
        </w:rPr>
        <w:t>2</w:t>
      </w:r>
    </w:p>
    <w:p>
      <w:pPr>
        <w:tabs>
          <w:tab w:val="left" w:pos="0"/>
        </w:tabs>
        <w:adjustRightInd w:val="0"/>
        <w:snapToGrid w:val="0"/>
        <w:spacing w:line="480" w:lineRule="exact"/>
        <w:ind w:firstLine="413" w:firstLineChars="196"/>
        <w:rPr>
          <w:rFonts w:hint="eastAsia" w:hAnsi="宋体" w:cs="宋体"/>
          <w:b/>
          <w:color w:val="000000"/>
          <w:szCs w:val="22"/>
        </w:rPr>
      </w:pPr>
      <w:r>
        <w:rPr>
          <w:rFonts w:hint="eastAsia" w:hAnsi="宋体" w:cs="宋体"/>
          <w:b/>
          <w:color w:val="000000"/>
          <w:szCs w:val="22"/>
        </w:rPr>
        <w:t>2.2分值构成与评分标准</w:t>
      </w:r>
    </w:p>
    <w:p>
      <w:pPr>
        <w:tabs>
          <w:tab w:val="left" w:pos="0"/>
        </w:tabs>
        <w:adjustRightInd w:val="0"/>
        <w:snapToGrid w:val="0"/>
        <w:spacing w:line="480" w:lineRule="exact"/>
        <w:ind w:firstLine="411" w:firstLineChars="196"/>
        <w:rPr>
          <w:rFonts w:hint="eastAsia" w:hAnsi="宋体"/>
          <w:b/>
          <w:spacing w:val="4"/>
          <w:szCs w:val="24"/>
        </w:rPr>
      </w:pPr>
      <w:r>
        <w:rPr>
          <w:rFonts w:hint="eastAsia" w:hAnsi="宋体" w:cs="宋体"/>
          <w:bCs/>
          <w:color w:val="000000"/>
          <w:szCs w:val="22"/>
        </w:rPr>
        <w:t>2.2.1 分值构成：见附件</w:t>
      </w:r>
      <w:r>
        <w:rPr>
          <w:rFonts w:hint="eastAsia" w:hAnsi="宋体" w:cs="宋体"/>
          <w:bCs/>
          <w:color w:val="000000"/>
          <w:szCs w:val="22"/>
          <w:lang w:val="en-US" w:eastAsia="zh-CN"/>
        </w:rPr>
        <w:t>3综合评分明细表</w:t>
      </w:r>
    </w:p>
    <w:p>
      <w:pPr>
        <w:spacing w:line="480" w:lineRule="exact"/>
        <w:rPr>
          <w:rFonts w:hint="eastAsia" w:hAnsi="宋体"/>
          <w:b/>
          <w:spacing w:val="4"/>
          <w:szCs w:val="24"/>
        </w:rPr>
      </w:pPr>
      <w:r>
        <w:rPr>
          <w:rFonts w:hint="eastAsia" w:hAnsi="宋体"/>
          <w:b/>
          <w:spacing w:val="4"/>
          <w:szCs w:val="24"/>
        </w:rPr>
        <w:t>三、评审程序：</w:t>
      </w:r>
    </w:p>
    <w:p>
      <w:pPr>
        <w:pStyle w:val="21"/>
        <w:spacing w:line="480" w:lineRule="exact"/>
        <w:ind w:left="0" w:leftChars="0" w:firstLine="420" w:firstLineChars="200"/>
        <w:rPr>
          <w:rFonts w:hint="eastAsia"/>
          <w:sz w:val="24"/>
          <w:szCs w:val="24"/>
        </w:rPr>
      </w:pPr>
      <w:r>
        <w:rPr>
          <w:rFonts w:hint="eastAsia" w:ascii="Calibri" w:hAnsi="宋体" w:eastAsia="宋体" w:cs="宋体"/>
          <w:bCs/>
          <w:color w:val="000000"/>
          <w:kern w:val="2"/>
          <w:sz w:val="21"/>
          <w:szCs w:val="22"/>
          <w:lang w:val="en-US" w:eastAsia="zh-CN" w:bidi="ar-SA"/>
        </w:rPr>
        <w:t>按照竞争性磋商响应文件初审、澄清有关问题、分别磋商、二次报价、比较与评审、推荐成交候选人名单。在上一步评审中被认定为无效磋商者，不进入下一步的评审。</w:t>
      </w:r>
    </w:p>
    <w:p>
      <w:pPr>
        <w:numPr>
          <w:ilvl w:val="0"/>
          <w:numId w:val="4"/>
        </w:numPr>
        <w:spacing w:line="480" w:lineRule="exact"/>
        <w:ind w:firstLine="438" w:firstLineChars="200"/>
        <w:rPr>
          <w:rFonts w:hint="eastAsia" w:hAnsi="宋体"/>
          <w:b/>
          <w:bCs/>
          <w:spacing w:val="4"/>
          <w:szCs w:val="24"/>
        </w:rPr>
      </w:pPr>
      <w:r>
        <w:rPr>
          <w:rFonts w:hint="eastAsia" w:hAnsi="宋体"/>
          <w:b/>
          <w:bCs/>
          <w:spacing w:val="4"/>
          <w:szCs w:val="24"/>
        </w:rPr>
        <w:t>对磋商响应文件的初审：</w:t>
      </w:r>
    </w:p>
    <w:p>
      <w:pPr>
        <w:tabs>
          <w:tab w:val="left" w:pos="0"/>
        </w:tabs>
        <w:adjustRightInd w:val="0"/>
        <w:snapToGrid w:val="0"/>
        <w:spacing w:line="480" w:lineRule="exact"/>
        <w:ind w:firstLine="413" w:firstLineChars="196"/>
        <w:rPr>
          <w:b/>
          <w:bCs/>
          <w:color w:val="000000"/>
        </w:rPr>
      </w:pPr>
      <w:r>
        <w:rPr>
          <w:rFonts w:hint="eastAsia"/>
          <w:b/>
          <w:bCs/>
          <w:color w:val="000000"/>
        </w:rPr>
        <w:t>1.1</w:t>
      </w:r>
      <w:r>
        <w:rPr>
          <w:b/>
          <w:bCs/>
          <w:color w:val="000000"/>
        </w:rPr>
        <w:t>资格性审查</w:t>
      </w:r>
      <w:r>
        <w:rPr>
          <w:rFonts w:hint="eastAsia"/>
          <w:b/>
          <w:bCs/>
          <w:color w:val="000000"/>
        </w:rPr>
        <w:t>：磋商小组</w:t>
      </w:r>
      <w:r>
        <w:rPr>
          <w:b/>
          <w:bCs/>
          <w:color w:val="000000"/>
        </w:rPr>
        <w:t>将依据</w:t>
      </w:r>
      <w:r>
        <w:rPr>
          <w:rFonts w:hint="eastAsia"/>
          <w:b/>
          <w:bCs/>
          <w:color w:val="000000"/>
        </w:rPr>
        <w:t>本章第 2.1.1 项规定的评审标准对磋商响应文件进行资格性审查。有一项不符合评审标准的，</w:t>
      </w:r>
      <w:r>
        <w:rPr>
          <w:b/>
          <w:bCs/>
          <w:color w:val="000000"/>
        </w:rPr>
        <w:t>将被视为未实质性响应</w:t>
      </w:r>
      <w:r>
        <w:rPr>
          <w:rFonts w:hint="eastAsia"/>
          <w:b/>
          <w:bCs/>
          <w:color w:val="000000"/>
        </w:rPr>
        <w:t>磋商</w:t>
      </w:r>
      <w:r>
        <w:rPr>
          <w:b/>
          <w:bCs/>
          <w:color w:val="000000"/>
        </w:rPr>
        <w:t>文件</w:t>
      </w:r>
      <w:r>
        <w:rPr>
          <w:rFonts w:hint="eastAsia"/>
          <w:b/>
          <w:bCs/>
          <w:color w:val="000000"/>
        </w:rPr>
        <w:t>，其磋商响应文件将按无效文件处理</w:t>
      </w:r>
      <w:r>
        <w:rPr>
          <w:b/>
          <w:bCs/>
          <w:color w:val="000000"/>
        </w:rPr>
        <w:t>。</w:t>
      </w:r>
    </w:p>
    <w:p>
      <w:pPr>
        <w:spacing w:line="480" w:lineRule="exact"/>
        <w:ind w:firstLine="422" w:firstLineChars="200"/>
        <w:rPr>
          <w:rFonts w:hint="eastAsia"/>
          <w:color w:val="000000"/>
        </w:rPr>
      </w:pPr>
      <w:r>
        <w:rPr>
          <w:rFonts w:hint="eastAsia"/>
          <w:b/>
          <w:bCs/>
          <w:color w:val="000000"/>
        </w:rPr>
        <w:t>1</w:t>
      </w:r>
      <w:r>
        <w:rPr>
          <w:b/>
          <w:bCs/>
          <w:color w:val="000000"/>
        </w:rPr>
        <w:t>.2符合性审查</w:t>
      </w:r>
      <w:r>
        <w:rPr>
          <w:rFonts w:hint="eastAsia"/>
          <w:b/>
          <w:bCs/>
          <w:color w:val="000000"/>
        </w:rPr>
        <w:t>：磋商小组根据本章第 2.1.2 项规定的评审标准对磋商响应文件进行符合性评审。有一项不符合评审标准的，将被视为未实质性响应磋商文件，其磋商响应文件将按无效文件处理。</w:t>
      </w:r>
    </w:p>
    <w:p>
      <w:pPr>
        <w:spacing w:line="480" w:lineRule="exact"/>
        <w:ind w:firstLine="422" w:firstLineChars="200"/>
        <w:rPr>
          <w:rFonts w:hint="eastAsia" w:hAnsi="宋体" w:cs="宋体"/>
          <w:b/>
          <w:bCs/>
          <w:szCs w:val="24"/>
        </w:rPr>
      </w:pPr>
      <w:r>
        <w:rPr>
          <w:rFonts w:hint="eastAsia"/>
          <w:b/>
          <w:bCs/>
          <w:color w:val="000000"/>
        </w:rPr>
        <w:t>在资格性审查阶段，不符合磋商文件要求的，不得进入符合性审查，在符合性审查时未通过的，不得进入后续评审环节。</w:t>
      </w:r>
    </w:p>
    <w:p>
      <w:pPr>
        <w:spacing w:before="156" w:beforeLines="50" w:after="156" w:afterLines="50" w:line="480" w:lineRule="exact"/>
        <w:ind w:firstLine="422" w:firstLineChars="200"/>
        <w:rPr>
          <w:rFonts w:hint="eastAsia" w:hAnsi="宋体" w:cs="宋体"/>
          <w:b/>
          <w:color w:val="000000"/>
        </w:rPr>
      </w:pPr>
      <w:r>
        <w:rPr>
          <w:rFonts w:hint="eastAsia" w:hAnsi="宋体" w:cs="宋体"/>
          <w:b/>
          <w:color w:val="000000"/>
        </w:rPr>
        <w:t>2、磋商响应文件的澄清</w:t>
      </w:r>
    </w:p>
    <w:p>
      <w:pPr>
        <w:spacing w:line="480" w:lineRule="exact"/>
        <w:ind w:firstLine="436" w:firstLineChars="200"/>
        <w:rPr>
          <w:rFonts w:hint="eastAsia" w:hAnsi="宋体" w:cs="宋体"/>
          <w:bCs/>
          <w:spacing w:val="4"/>
          <w:szCs w:val="24"/>
        </w:rPr>
      </w:pPr>
      <w:r>
        <w:rPr>
          <w:rFonts w:hint="eastAsia" w:hAnsi="宋体" w:cs="宋体"/>
          <w:bCs/>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pPr>
        <w:spacing w:line="480" w:lineRule="exact"/>
        <w:ind w:firstLine="420" w:firstLineChars="200"/>
        <w:rPr>
          <w:rFonts w:hint="eastAsia" w:hAnsi="宋体" w:cs="宋体"/>
          <w:bCs/>
          <w:spacing w:val="4"/>
          <w:szCs w:val="24"/>
        </w:rPr>
      </w:pPr>
      <w:r>
        <w:rPr>
          <w:rFonts w:hint="eastAsia" w:hAnsi="宋体" w:cs="宋体"/>
          <w:color w:val="000000"/>
          <w:szCs w:val="24"/>
        </w:rPr>
        <w:t>2.2有效的书面澄清材料，是磋商响应文件的补充材料，成为磋商响应文件的组成部分。</w:t>
      </w:r>
    </w:p>
    <w:p>
      <w:pPr>
        <w:spacing w:line="480" w:lineRule="exact"/>
        <w:ind w:firstLine="422" w:firstLineChars="200"/>
        <w:rPr>
          <w:rFonts w:hint="eastAsia" w:hAnsi="宋体"/>
          <w:szCs w:val="24"/>
        </w:rPr>
      </w:pPr>
      <w:r>
        <w:rPr>
          <w:rFonts w:hint="eastAsia" w:hAnsi="宋体"/>
          <w:b/>
          <w:bCs/>
          <w:szCs w:val="24"/>
        </w:rPr>
        <w:t>3、磋商：</w:t>
      </w:r>
      <w:r>
        <w:rPr>
          <w:rFonts w:hint="eastAsia" w:hAnsi="宋体"/>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szCs w:val="24"/>
        </w:rPr>
        <w:t>、</w:t>
      </w:r>
      <w:r>
        <w:rPr>
          <w:rFonts w:hint="eastAsia" w:hAnsi="宋体"/>
          <w:szCs w:val="24"/>
        </w:rPr>
        <w:t>服务要求以及合同草案条款，但不得变动磋商文件中的其它内容。实质性变动的内容，需经采购人代表确认。</w:t>
      </w:r>
    </w:p>
    <w:p>
      <w:pPr>
        <w:spacing w:line="480" w:lineRule="exact"/>
        <w:ind w:firstLine="527" w:firstLineChars="250"/>
        <w:rPr>
          <w:rFonts w:hint="eastAsia" w:hAnsi="宋体"/>
          <w:szCs w:val="24"/>
        </w:rPr>
      </w:pPr>
      <w:r>
        <w:rPr>
          <w:rFonts w:hint="eastAsia" w:hAnsi="宋体"/>
          <w:b/>
          <w:bCs/>
          <w:szCs w:val="24"/>
        </w:rPr>
        <w:t>4、</w:t>
      </w:r>
      <w:r>
        <w:rPr>
          <w:rFonts w:hint="eastAsia"/>
          <w:b/>
          <w:bCs/>
          <w:szCs w:val="24"/>
        </w:rPr>
        <w:t>综合评审</w:t>
      </w:r>
      <w:r>
        <w:rPr>
          <w:rFonts w:hint="eastAsia" w:hAnsi="宋体"/>
          <w:b/>
          <w:bCs/>
          <w:szCs w:val="24"/>
        </w:rPr>
        <w:t>：</w:t>
      </w:r>
      <w:r>
        <w:rPr>
          <w:rFonts w:hint="eastAsia" w:hAnsi="宋体"/>
          <w:szCs w:val="24"/>
        </w:rPr>
        <w:t>对于经初审合格的所有供应商，</w:t>
      </w:r>
      <w:r>
        <w:rPr>
          <w:rFonts w:hint="eastAsia"/>
          <w:szCs w:val="24"/>
        </w:rPr>
        <w:t>由磋商小组各成员依据磋商响应文件和最终报价，</w:t>
      </w:r>
      <w:r>
        <w:rPr>
          <w:rFonts w:hint="eastAsia" w:hAnsi="宋体"/>
          <w:szCs w:val="24"/>
        </w:rPr>
        <w:t>按照下列《评标要素和分值分解表》规定的内容独立进行综合评价、比较打分，然后汇总每个供应商的得分，从高到低依次排序，推荐成交候选人。</w:t>
      </w:r>
    </w:p>
    <w:p>
      <w:pPr>
        <w:spacing w:line="480" w:lineRule="exact"/>
        <w:jc w:val="left"/>
        <w:rPr>
          <w:rFonts w:hint="eastAsia" w:hAnsi="宋体"/>
          <w:b/>
          <w:szCs w:val="24"/>
        </w:rPr>
      </w:pPr>
      <w:r>
        <w:rPr>
          <w:rFonts w:hint="eastAsia" w:hAnsi="宋体"/>
          <w:b/>
          <w:szCs w:val="24"/>
        </w:rPr>
        <w:t>四</w:t>
      </w:r>
      <w:r>
        <w:rPr>
          <w:rFonts w:hAnsi="宋体"/>
          <w:b/>
          <w:szCs w:val="24"/>
        </w:rPr>
        <w:t>、政策性扣减</w:t>
      </w:r>
    </w:p>
    <w:p>
      <w:pPr>
        <w:spacing w:line="480" w:lineRule="exact"/>
        <w:ind w:firstLine="422" w:firstLineChars="200"/>
        <w:jc w:val="left"/>
        <w:rPr>
          <w:rFonts w:hint="eastAsia" w:hAnsi="宋体"/>
          <w:b/>
          <w:bCs/>
          <w:szCs w:val="24"/>
        </w:rPr>
      </w:pPr>
      <w:r>
        <w:rPr>
          <w:rFonts w:hint="eastAsia" w:hAnsi="宋体"/>
          <w:b/>
          <w:bCs/>
          <w:szCs w:val="24"/>
        </w:rPr>
        <w:t>1</w:t>
      </w:r>
      <w:r>
        <w:rPr>
          <w:rFonts w:hAnsi="宋体"/>
          <w:b/>
          <w:bCs/>
          <w:szCs w:val="24"/>
        </w:rPr>
        <w:t>政策性扣减范围</w:t>
      </w:r>
    </w:p>
    <w:p>
      <w:pPr>
        <w:spacing w:line="480" w:lineRule="exact"/>
        <w:ind w:firstLine="420" w:firstLineChars="200"/>
        <w:jc w:val="left"/>
        <w:rPr>
          <w:rFonts w:hint="eastAsia" w:hAnsi="宋体"/>
          <w:szCs w:val="24"/>
        </w:rPr>
      </w:pPr>
      <w:r>
        <w:rPr>
          <w:rFonts w:hAnsi="宋体"/>
          <w:szCs w:val="24"/>
        </w:rPr>
        <w:t>1.1供应商符合小型、微型企业或监狱企业</w:t>
      </w:r>
      <w:r>
        <w:rPr>
          <w:rFonts w:hint="eastAsia" w:hAnsi="宋体"/>
          <w:szCs w:val="24"/>
        </w:rPr>
        <w:t>、残疾人福利性单位</w:t>
      </w:r>
      <w:r>
        <w:rPr>
          <w:rFonts w:hAnsi="宋体"/>
          <w:szCs w:val="24"/>
        </w:rPr>
        <w:t>条件的，其</w:t>
      </w:r>
      <w:r>
        <w:rPr>
          <w:rFonts w:hint="eastAsia" w:hAnsi="宋体"/>
          <w:szCs w:val="24"/>
        </w:rPr>
        <w:t>磋商</w:t>
      </w:r>
      <w:r>
        <w:rPr>
          <w:rFonts w:hAnsi="宋体"/>
          <w:szCs w:val="24"/>
        </w:rPr>
        <w:t>报价价格评审时将按相应比例进行扣减。</w:t>
      </w:r>
    </w:p>
    <w:p>
      <w:pPr>
        <w:spacing w:line="480" w:lineRule="exact"/>
        <w:ind w:firstLine="420" w:firstLineChars="200"/>
        <w:jc w:val="left"/>
        <w:rPr>
          <w:rFonts w:hint="eastAsia" w:hAnsi="宋体"/>
          <w:szCs w:val="24"/>
        </w:rPr>
      </w:pPr>
      <w:r>
        <w:rPr>
          <w:rFonts w:hAnsi="宋体"/>
          <w:szCs w:val="24"/>
        </w:rPr>
        <w:t>1.2依照&lt;关于印发</w:t>
      </w:r>
      <w:r>
        <w:rPr>
          <w:rFonts w:hint="default" w:hAnsi="宋体"/>
          <w:szCs w:val="24"/>
          <w:lang w:val="en-US" w:eastAsia="zh-CN"/>
        </w:rPr>
        <w:t>《关于印发〈政府采购促进中小企业发展管理办法〉的通知》（财库〔2020〕46号）</w:t>
      </w:r>
      <w:r>
        <w:rPr>
          <w:rFonts w:hAnsi="宋体"/>
          <w:szCs w:val="24"/>
        </w:rPr>
        <w:t>的规定，小型、微型企业应当同时符合以下条件：</w:t>
      </w:r>
    </w:p>
    <w:p>
      <w:pPr>
        <w:spacing w:line="480" w:lineRule="exact"/>
        <w:ind w:firstLine="420" w:firstLineChars="200"/>
        <w:jc w:val="left"/>
        <w:rPr>
          <w:rFonts w:hint="eastAsia" w:hAnsi="宋体"/>
          <w:szCs w:val="24"/>
        </w:rPr>
      </w:pPr>
      <w:r>
        <w:rPr>
          <w:rFonts w:hAnsi="宋体"/>
          <w:szCs w:val="24"/>
        </w:rPr>
        <w:t>1.2.1符合中小企业划分标准（中小企业划分标准是指国务院有关部门根据企业从业人员、营业收入、资产总额等指标制定的中小企业划型标准（工信部联企业〔2011〕300号））。</w:t>
      </w:r>
    </w:p>
    <w:p>
      <w:pPr>
        <w:spacing w:line="480" w:lineRule="exact"/>
        <w:ind w:firstLine="420" w:firstLineChars="200"/>
        <w:jc w:val="left"/>
        <w:rPr>
          <w:rFonts w:hint="eastAsia" w:hAnsi="宋体"/>
          <w:szCs w:val="24"/>
        </w:rPr>
      </w:pPr>
      <w:r>
        <w:rPr>
          <w:rFonts w:hAnsi="宋体"/>
          <w:szCs w:val="24"/>
        </w:rPr>
        <w:t>1.2.2提供本企业制造的货物、承</w:t>
      </w:r>
      <w:r>
        <w:rPr>
          <w:rFonts w:hAnsi="宋体"/>
          <w:szCs w:val="24"/>
          <w:highlight w:val="none"/>
        </w:rPr>
        <w:t>担的工程或者服务，</w:t>
      </w:r>
      <w:r>
        <w:rPr>
          <w:rFonts w:hAnsi="宋体"/>
          <w:szCs w:val="24"/>
        </w:rPr>
        <w:t>或者提供其他中小企业制造的货物，不包括提供或使用大型企业注册商标的货物。</w:t>
      </w:r>
    </w:p>
    <w:p>
      <w:pPr>
        <w:spacing w:line="480" w:lineRule="exact"/>
        <w:ind w:firstLine="420" w:firstLineChars="200"/>
        <w:jc w:val="left"/>
        <w:rPr>
          <w:rFonts w:hint="eastAsia" w:hAnsi="宋体"/>
          <w:szCs w:val="24"/>
        </w:rPr>
      </w:pPr>
      <w:r>
        <w:rPr>
          <w:rFonts w:hAnsi="宋体"/>
          <w:szCs w:val="24"/>
        </w:rPr>
        <w:t>1.2.3小型、微型企业提供中型企业制造的货物的，视同为中型企业；小型、微型、中型企业提供大型企业制造的货物的，视同为大型企业。</w:t>
      </w:r>
    </w:p>
    <w:p>
      <w:pPr>
        <w:spacing w:line="480" w:lineRule="exact"/>
        <w:ind w:firstLine="420" w:firstLineChars="200"/>
        <w:rPr>
          <w:rFonts w:hint="eastAsia" w:hAnsi="宋体"/>
          <w:szCs w:val="24"/>
        </w:rPr>
      </w:pPr>
      <w:r>
        <w:rPr>
          <w:rFonts w:hint="eastAsia" w:hAnsi="宋体"/>
          <w:szCs w:val="24"/>
        </w:rPr>
        <w:t>1.3采购人拟采购产品属于优先采购节能、环境标志产品范围的，应当优先采购节能、环境标志产品；拟采购产品符合政府采购强制采购政策的，实行强制采购。</w:t>
      </w:r>
    </w:p>
    <w:p>
      <w:pPr>
        <w:spacing w:line="480" w:lineRule="exact"/>
        <w:ind w:firstLine="420" w:firstLineChars="200"/>
        <w:rPr>
          <w:rFonts w:hint="eastAsia" w:hAnsi="宋体"/>
          <w:szCs w:val="24"/>
        </w:rPr>
      </w:pPr>
      <w:r>
        <w:rPr>
          <w:rFonts w:hint="eastAsia" w:hAnsi="宋体"/>
          <w:szCs w:val="24"/>
        </w:rPr>
        <w:t>1.3.1采购人依据节能产品、环境标志产品品目清单和节能、环境标志产品认证证书实施政府优先采购和强制采购。</w:t>
      </w:r>
    </w:p>
    <w:p>
      <w:pPr>
        <w:spacing w:line="480" w:lineRule="exact"/>
        <w:ind w:firstLine="420" w:firstLineChars="200"/>
        <w:rPr>
          <w:rFonts w:hAnsi="宋体"/>
          <w:szCs w:val="24"/>
        </w:rPr>
      </w:pPr>
      <w:r>
        <w:rPr>
          <w:rFonts w:hint="eastAsia" w:hAnsi="宋体"/>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80" w:lineRule="exact"/>
        <w:ind w:firstLine="420" w:firstLineChars="200"/>
        <w:rPr>
          <w:rFonts w:hint="eastAsia" w:hAnsi="宋体"/>
          <w:color w:val="000000"/>
        </w:rPr>
      </w:pPr>
      <w:r>
        <w:rPr>
          <w:rFonts w:hint="eastAsia" w:hAnsi="宋体" w:cs="宋体"/>
          <w:szCs w:val="24"/>
        </w:rPr>
        <w:t>1.4监狱企业参加政府采购活动时，应当提供由省级以上监狱管理局、戒毒管理局(含新疆生产建设兵团)出具的属于监狱企业的证明文件。</w:t>
      </w:r>
      <w:r>
        <w:rPr>
          <w:rFonts w:hint="eastAsia" w:hAnsi="宋体"/>
          <w:color w:val="000000"/>
        </w:rPr>
        <w:t>监狱企业参加政府采购活动时，视同小型、微型企业。</w:t>
      </w:r>
    </w:p>
    <w:p>
      <w:pPr>
        <w:spacing w:line="480" w:lineRule="exact"/>
        <w:ind w:firstLine="420" w:firstLineChars="200"/>
        <w:rPr>
          <w:rFonts w:hint="eastAsia" w:hAnsi="宋体"/>
          <w:color w:val="000000"/>
        </w:rPr>
      </w:pPr>
      <w:r>
        <w:rPr>
          <w:rFonts w:hint="eastAsia" w:hAnsi="宋体" w:cs="宋体"/>
          <w:szCs w:val="24"/>
        </w:rPr>
        <w:t>1.5符合条件的残疾人福利性单位在参加政府采购活动时，应当提供本通知规定的《残疾人福利性单位声明函》，并对声明的真实性负责。残疾人福利性单位</w:t>
      </w:r>
      <w:r>
        <w:rPr>
          <w:rFonts w:hint="eastAsia" w:hAnsi="宋体"/>
          <w:color w:val="000000"/>
        </w:rPr>
        <w:t>参加政府采购活动时，视同小型、微型企业；</w:t>
      </w:r>
      <w:r>
        <w:rPr>
          <w:rFonts w:hint="eastAsia" w:hAnsi="宋体" w:cs="宋体"/>
          <w:szCs w:val="24"/>
        </w:rPr>
        <w:t>残疾人福利性单位属于小型、微型企业的，不重复享受政策。</w:t>
      </w:r>
    </w:p>
    <w:p>
      <w:pPr>
        <w:spacing w:line="480" w:lineRule="exact"/>
        <w:ind w:firstLine="422" w:firstLineChars="200"/>
        <w:jc w:val="left"/>
        <w:rPr>
          <w:rFonts w:hint="eastAsia" w:hAnsi="宋体"/>
          <w:b/>
          <w:bCs/>
          <w:szCs w:val="24"/>
        </w:rPr>
      </w:pPr>
      <w:r>
        <w:rPr>
          <w:rFonts w:hAnsi="宋体"/>
          <w:b/>
          <w:bCs/>
          <w:szCs w:val="24"/>
        </w:rPr>
        <w:t>2、政策性扣减方式：</w:t>
      </w:r>
    </w:p>
    <w:p>
      <w:pPr>
        <w:spacing w:line="480" w:lineRule="exact"/>
        <w:ind w:firstLine="420" w:firstLineChars="200"/>
        <w:jc w:val="left"/>
        <w:rPr>
          <w:rFonts w:hint="eastAsia" w:hAnsi="宋体"/>
          <w:szCs w:val="24"/>
        </w:rPr>
      </w:pPr>
      <w:r>
        <w:rPr>
          <w:rFonts w:hAnsi="宋体"/>
          <w:szCs w:val="24"/>
        </w:rPr>
        <w:t>2.1供应商为非联合体参与</w:t>
      </w:r>
      <w:r>
        <w:rPr>
          <w:rFonts w:hint="eastAsia" w:hAnsi="宋体"/>
          <w:szCs w:val="24"/>
        </w:rPr>
        <w:t>磋商</w:t>
      </w:r>
      <w:r>
        <w:rPr>
          <w:rFonts w:hAnsi="宋体"/>
          <w:szCs w:val="24"/>
        </w:rPr>
        <w:t>的情况：</w:t>
      </w:r>
    </w:p>
    <w:p>
      <w:pPr>
        <w:spacing w:line="480" w:lineRule="exact"/>
        <w:ind w:firstLine="420" w:firstLineChars="200"/>
        <w:jc w:val="left"/>
        <w:rPr>
          <w:rFonts w:hint="eastAsia" w:hAnsi="宋体"/>
          <w:szCs w:val="24"/>
        </w:rPr>
      </w:pPr>
      <w:r>
        <w:rPr>
          <w:rFonts w:hAnsi="宋体"/>
          <w:szCs w:val="24"/>
        </w:rPr>
        <w:t>在</w:t>
      </w:r>
      <w:r>
        <w:rPr>
          <w:rFonts w:hint="eastAsia" w:hAnsi="宋体"/>
          <w:szCs w:val="24"/>
        </w:rPr>
        <w:t>磋商最终</w:t>
      </w:r>
      <w:r>
        <w:rPr>
          <w:rFonts w:hAnsi="宋体"/>
          <w:szCs w:val="24"/>
        </w:rPr>
        <w:t>报价的基础上，</w:t>
      </w:r>
      <w:r>
        <w:rPr>
          <w:rFonts w:hint="eastAsia" w:hAnsi="宋体"/>
          <w:szCs w:val="24"/>
        </w:rPr>
        <w:t>对小微企业、监狱企业、残疾人福利性单位，按“磋商报价×6%”进行扣减；</w:t>
      </w:r>
    </w:p>
    <w:p>
      <w:pPr>
        <w:spacing w:line="480" w:lineRule="exact"/>
        <w:ind w:firstLine="420" w:firstLineChars="200"/>
        <w:rPr>
          <w:rFonts w:hint="eastAsia" w:hAnsi="宋体" w:cs="宋体"/>
          <w:szCs w:val="24"/>
        </w:rPr>
      </w:pPr>
      <w:r>
        <w:rPr>
          <w:rFonts w:hint="eastAsia" w:hAnsi="宋体" w:cs="宋体"/>
          <w:szCs w:val="24"/>
        </w:rPr>
        <w:t>2.2供应商为联合体参与磋商，且联合协议中约定小型或微型企业的协议合同金额占到联合体协议合同总金额30％以上的，按“磋商报价×2%”进行扣减；</w:t>
      </w:r>
    </w:p>
    <w:p>
      <w:pPr>
        <w:spacing w:line="480" w:lineRule="exact"/>
        <w:ind w:firstLine="420" w:firstLineChars="200"/>
        <w:rPr>
          <w:rFonts w:hint="eastAsia" w:hAnsi="宋体" w:cs="宋体"/>
          <w:szCs w:val="24"/>
        </w:rPr>
      </w:pPr>
      <w:r>
        <w:rPr>
          <w:rFonts w:hint="eastAsia" w:hAnsi="宋体" w:cs="宋体"/>
          <w:szCs w:val="24"/>
        </w:rPr>
        <w:t>2.3小微企业、监狱企业、残疾人福利性单位不重复享受优惠政策；</w:t>
      </w:r>
    </w:p>
    <w:p>
      <w:pPr>
        <w:spacing w:line="480" w:lineRule="exact"/>
        <w:ind w:firstLine="420" w:firstLineChars="200"/>
        <w:rPr>
          <w:rFonts w:hint="eastAsia" w:hAnsi="宋体" w:cs="宋体"/>
          <w:szCs w:val="24"/>
        </w:rPr>
      </w:pPr>
      <w:r>
        <w:rPr>
          <w:rFonts w:hint="eastAsia" w:hAnsi="宋体" w:cs="宋体"/>
          <w:szCs w:val="24"/>
        </w:rPr>
        <w:t>2.4供应商享受支持中小型企业发展政策优惠的，可以同时享受节能、环境标志产品优先采购政策。</w:t>
      </w:r>
    </w:p>
    <w:p>
      <w:pPr>
        <w:numPr>
          <w:ilvl w:val="0"/>
          <w:numId w:val="4"/>
        </w:numPr>
        <w:spacing w:line="480" w:lineRule="exact"/>
        <w:ind w:firstLine="420" w:firstLineChars="200"/>
        <w:jc w:val="left"/>
        <w:rPr>
          <w:rFonts w:hint="eastAsia" w:hAnsi="宋体" w:cs="宋体"/>
          <w:szCs w:val="24"/>
        </w:rPr>
      </w:pPr>
      <w:r>
        <w:rPr>
          <w:rFonts w:hint="eastAsia" w:hAnsi="宋体" w:cs="宋体"/>
          <w:szCs w:val="24"/>
        </w:rPr>
        <w:t>成交价格=成交供应商的有效磋商报价。</w:t>
      </w:r>
    </w:p>
    <w:p>
      <w:pPr>
        <w:pStyle w:val="21"/>
        <w:spacing w:line="480" w:lineRule="exact"/>
        <w:ind w:left="0" w:leftChars="0" w:firstLine="0" w:firstLineChars="0"/>
        <w:rPr>
          <w:b/>
          <w:sz w:val="24"/>
          <w:szCs w:val="24"/>
        </w:rPr>
      </w:pPr>
      <w:r>
        <w:rPr>
          <w:rFonts w:hint="eastAsia"/>
          <w:b/>
          <w:sz w:val="24"/>
          <w:szCs w:val="24"/>
        </w:rPr>
        <w:t>五、成交：</w:t>
      </w:r>
    </w:p>
    <w:p>
      <w:pPr>
        <w:spacing w:line="480" w:lineRule="exact"/>
        <w:ind w:firstLine="436" w:firstLineChars="200"/>
        <w:rPr>
          <w:rFonts w:hAnsi="宋体"/>
          <w:spacing w:val="4"/>
          <w:szCs w:val="24"/>
        </w:rPr>
      </w:pPr>
      <w:r>
        <w:rPr>
          <w:rFonts w:hAnsi="宋体"/>
          <w:spacing w:val="4"/>
          <w:szCs w:val="24"/>
        </w:rPr>
        <w:t>1</w:t>
      </w:r>
      <w:r>
        <w:rPr>
          <w:rFonts w:hint="eastAsia" w:hAnsi="宋体"/>
          <w:spacing w:val="4"/>
          <w:szCs w:val="24"/>
        </w:rPr>
        <w:t>、磋商结果报告由磋商小组全体成员签字确认。</w:t>
      </w:r>
    </w:p>
    <w:p>
      <w:pPr>
        <w:spacing w:line="480" w:lineRule="exact"/>
        <w:rPr>
          <w:rFonts w:hint="eastAsia" w:hAnsi="宋体"/>
          <w:spacing w:val="4"/>
          <w:szCs w:val="24"/>
        </w:rPr>
      </w:pPr>
      <w:r>
        <w:rPr>
          <w:rFonts w:hAnsi="宋体"/>
          <w:spacing w:val="4"/>
          <w:szCs w:val="24"/>
        </w:rPr>
        <w:t>2</w:t>
      </w:r>
      <w:r>
        <w:rPr>
          <w:rFonts w:hint="eastAsia" w:hAnsi="宋体"/>
          <w:spacing w:val="4"/>
          <w:szCs w:val="24"/>
        </w:rPr>
        <w:t>、采购人根据磋商结果报告中推荐的成交候选人确定成交供应商，以复函通知采购代理机构。</w:t>
      </w:r>
    </w:p>
    <w:p>
      <w:pPr>
        <w:spacing w:line="480" w:lineRule="exact"/>
        <w:rPr>
          <w:rFonts w:hint="eastAsia" w:hAnsi="宋体"/>
          <w:b/>
          <w:bCs/>
          <w:spacing w:val="4"/>
          <w:kern w:val="2"/>
          <w:szCs w:val="24"/>
        </w:rPr>
      </w:pPr>
      <w:r>
        <w:rPr>
          <w:rFonts w:hint="eastAsia" w:ascii="Arial" w:hAnsi="Arial" w:cs="Verdana"/>
          <w:b/>
          <w:szCs w:val="24"/>
        </w:rPr>
        <w:t>六、</w:t>
      </w:r>
      <w:r>
        <w:rPr>
          <w:rFonts w:hint="eastAsia" w:hAnsi="宋体"/>
          <w:b/>
          <w:bCs/>
          <w:spacing w:val="4"/>
          <w:kern w:val="2"/>
          <w:szCs w:val="24"/>
        </w:rPr>
        <w:t>特殊情况的处理</w:t>
      </w:r>
    </w:p>
    <w:p>
      <w:pPr>
        <w:spacing w:line="480" w:lineRule="exact"/>
        <w:ind w:firstLine="436" w:firstLineChars="200"/>
        <w:rPr>
          <w:rFonts w:hint="eastAsia" w:hAnsi="宋体"/>
          <w:spacing w:val="4"/>
          <w:kern w:val="2"/>
          <w:szCs w:val="24"/>
        </w:rPr>
      </w:pPr>
      <w:r>
        <w:rPr>
          <w:rFonts w:hint="eastAsia" w:hAnsi="宋体"/>
          <w:spacing w:val="4"/>
          <w:kern w:val="2"/>
          <w:szCs w:val="24"/>
        </w:rPr>
        <w:t>磋商过程中，若出现本评审方法以外的特殊情况时，将暂停评审，待磋商小组商榷后，再进行评定。</w:t>
      </w:r>
    </w:p>
    <w:p>
      <w:pPr>
        <w:pStyle w:val="18"/>
        <w:jc w:val="center"/>
        <w:rPr>
          <w:rFonts w:ascii="宋体" w:hAnsi="宋体" w:cs="宋体"/>
          <w:b/>
          <w:bCs/>
          <w:sz w:val="24"/>
          <w:szCs w:val="24"/>
        </w:rPr>
      </w:pPr>
    </w:p>
    <w:p>
      <w:pPr>
        <w:pStyle w:val="18"/>
        <w:jc w:val="center"/>
        <w:rPr>
          <w:rFonts w:ascii="宋体" w:hAnsi="宋体" w:cs="宋体"/>
          <w:b/>
          <w:bCs/>
          <w:sz w:val="24"/>
          <w:szCs w:val="24"/>
        </w:rPr>
      </w:pPr>
    </w:p>
    <w:p>
      <w:pPr>
        <w:pStyle w:val="18"/>
        <w:jc w:val="center"/>
        <w:rPr>
          <w:rFonts w:ascii="宋体" w:hAnsi="宋体" w:cs="宋体"/>
          <w:b/>
          <w:bCs/>
          <w:sz w:val="24"/>
          <w:szCs w:val="24"/>
        </w:rPr>
      </w:pPr>
    </w:p>
    <w:p>
      <w:pPr>
        <w:pStyle w:val="18"/>
        <w:jc w:val="center"/>
        <w:rPr>
          <w:rFonts w:ascii="宋体" w:hAnsi="宋体" w:cs="宋体"/>
          <w:b/>
          <w:bCs/>
          <w:sz w:val="24"/>
          <w:szCs w:val="24"/>
        </w:rPr>
      </w:pPr>
    </w:p>
    <w:p>
      <w:pPr>
        <w:pStyle w:val="18"/>
        <w:jc w:val="center"/>
        <w:rPr>
          <w:rFonts w:ascii="宋体" w:hAnsi="宋体" w:cs="宋体"/>
          <w:b/>
          <w:bCs/>
          <w:sz w:val="24"/>
          <w:szCs w:val="24"/>
        </w:rPr>
      </w:pPr>
    </w:p>
    <w:p>
      <w:pPr>
        <w:pStyle w:val="18"/>
        <w:jc w:val="center"/>
        <w:rPr>
          <w:rFonts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pStyle w:val="17"/>
        <w:rPr>
          <w:rFonts w:hint="eastAsia"/>
        </w:rPr>
      </w:pPr>
    </w:p>
    <w:p>
      <w:pPr>
        <w:pStyle w:val="18"/>
        <w:jc w:val="left"/>
        <w:outlineLvl w:val="0"/>
        <w:rPr>
          <w:rFonts w:ascii="宋体" w:hAnsi="宋体" w:cs="宋体"/>
          <w:b/>
          <w:bCs/>
          <w:sz w:val="24"/>
          <w:szCs w:val="24"/>
        </w:rPr>
      </w:pPr>
      <w:bookmarkStart w:id="391" w:name="_Toc26145"/>
      <w:bookmarkStart w:id="392" w:name="_Toc30605"/>
      <w:r>
        <w:rPr>
          <w:rFonts w:hint="eastAsia" w:ascii="宋体" w:hAnsi="宋体" w:cs="宋体"/>
          <w:b/>
          <w:bCs/>
          <w:sz w:val="24"/>
          <w:szCs w:val="24"/>
        </w:rPr>
        <w:t>附件1：</w:t>
      </w:r>
      <w:bookmarkEnd w:id="391"/>
      <w:bookmarkEnd w:id="392"/>
    </w:p>
    <w:tbl>
      <w:tblPr>
        <w:tblStyle w:val="27"/>
        <w:tblpPr w:leftFromText="180" w:rightFromText="180" w:vertAnchor="text" w:horzAnchor="margin" w:tblpXSpec="center" w:tblpY="167"/>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3"/>
        <w:gridCol w:w="485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1" w:hRule="atLeast"/>
          <w:jc w:val="center"/>
        </w:trPr>
        <w:tc>
          <w:tcPr>
            <w:tcW w:w="923" w:type="dxa"/>
            <w:noWrap w:val="0"/>
            <w:vAlign w:val="center"/>
          </w:tcPr>
          <w:p>
            <w:pPr>
              <w:widowControl/>
              <w:spacing w:line="360" w:lineRule="auto"/>
              <w:jc w:val="center"/>
              <w:rPr>
                <w:rFonts w:hint="eastAsia" w:ascii="宋体" w:hAnsi="宋体"/>
                <w:b/>
                <w:sz w:val="24"/>
              </w:rPr>
            </w:pPr>
            <w:r>
              <w:rPr>
                <w:rFonts w:hint="eastAsia" w:ascii="宋体" w:hAnsi="宋体"/>
                <w:b/>
                <w:sz w:val="24"/>
              </w:rPr>
              <w:t>项目</w:t>
            </w:r>
          </w:p>
        </w:tc>
        <w:tc>
          <w:tcPr>
            <w:tcW w:w="4855" w:type="dxa"/>
            <w:noWrap w:val="0"/>
            <w:vAlign w:val="center"/>
          </w:tcPr>
          <w:p>
            <w:pPr>
              <w:widowControl/>
              <w:spacing w:line="360" w:lineRule="auto"/>
              <w:jc w:val="center"/>
              <w:rPr>
                <w:rFonts w:ascii="宋体" w:hAnsi="宋体"/>
                <w:b/>
                <w:sz w:val="24"/>
              </w:rPr>
            </w:pPr>
            <w:r>
              <w:rPr>
                <w:rFonts w:hint="eastAsia" w:ascii="宋体" w:hAnsi="宋体"/>
                <w:b/>
                <w:sz w:val="24"/>
              </w:rPr>
              <w:t>评审因素</w:t>
            </w:r>
          </w:p>
        </w:tc>
        <w:tc>
          <w:tcPr>
            <w:tcW w:w="2694" w:type="dxa"/>
            <w:noWrap w:val="0"/>
            <w:vAlign w:val="center"/>
          </w:tcPr>
          <w:p>
            <w:pPr>
              <w:widowControl/>
              <w:spacing w:line="360" w:lineRule="auto"/>
              <w:jc w:val="center"/>
              <w:rPr>
                <w:rFonts w:ascii="宋体" w:hAnsi="宋体"/>
                <w:b/>
                <w:sz w:val="24"/>
              </w:rPr>
            </w:pPr>
            <w:r>
              <w:rPr>
                <w:rFonts w:hint="eastAsia" w:ascii="宋体" w:hAnsi="宋体"/>
                <w:b/>
                <w:sz w:val="24"/>
              </w:rPr>
              <w:t>评标标准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4" w:hRule="atLeast"/>
          <w:jc w:val="center"/>
        </w:trPr>
        <w:tc>
          <w:tcPr>
            <w:tcW w:w="923" w:type="dxa"/>
            <w:vMerge w:val="restart"/>
            <w:noWrap w:val="0"/>
            <w:vAlign w:val="center"/>
          </w:tcPr>
          <w:p>
            <w:pPr>
              <w:spacing w:line="276" w:lineRule="auto"/>
              <w:jc w:val="center"/>
              <w:rPr>
                <w:rFonts w:hint="eastAsia" w:ascii="宋体" w:hAnsi="宋体" w:eastAsia="宋体"/>
                <w:szCs w:val="21"/>
                <w:lang w:eastAsia="zh-CN"/>
              </w:rPr>
            </w:pPr>
            <w:r>
              <w:rPr>
                <w:rFonts w:hint="eastAsia" w:ascii="宋体" w:hAnsi="宋体" w:cs="Times New Roman"/>
                <w:sz w:val="21"/>
                <w:szCs w:val="21"/>
              </w:rPr>
              <w:t>资格</w:t>
            </w:r>
            <w:r>
              <w:rPr>
                <w:rFonts w:hint="eastAsia" w:ascii="宋体" w:hAnsi="宋体" w:cs="Times New Roman"/>
                <w:sz w:val="21"/>
                <w:szCs w:val="21"/>
                <w:lang w:val="en-US" w:eastAsia="zh-CN"/>
              </w:rPr>
              <w:t>性</w:t>
            </w:r>
            <w:r>
              <w:rPr>
                <w:rFonts w:hint="eastAsia" w:ascii="宋体" w:hAnsi="宋体" w:cs="Times New Roman"/>
                <w:sz w:val="21"/>
                <w:szCs w:val="21"/>
              </w:rPr>
              <w:t>审查</w:t>
            </w:r>
            <w:r>
              <w:rPr>
                <w:rFonts w:hint="eastAsia" w:ascii="宋体" w:hAnsi="宋体" w:cs="Times New Roman"/>
                <w:sz w:val="21"/>
                <w:szCs w:val="21"/>
                <w:lang w:val="en-US" w:eastAsia="zh-CN"/>
              </w:rPr>
              <w:t>标准</w:t>
            </w:r>
          </w:p>
        </w:tc>
        <w:tc>
          <w:tcPr>
            <w:tcW w:w="4855" w:type="dxa"/>
            <w:noWrap w:val="0"/>
            <w:vAlign w:val="center"/>
          </w:tcPr>
          <w:p>
            <w:pPr>
              <w:spacing w:line="276" w:lineRule="auto"/>
              <w:rPr>
                <w:rFonts w:ascii="宋体" w:hAnsi="宋体"/>
                <w:sz w:val="24"/>
              </w:rPr>
            </w:pPr>
            <w:r>
              <w:rPr>
                <w:rFonts w:hint="default" w:hAnsi="宋体" w:cs="宋体"/>
                <w:color w:val="000000"/>
                <w:highlight w:val="none"/>
                <w:lang w:val="en-US" w:eastAsia="zh-CN"/>
              </w:rPr>
              <w:t>供应商为具有独立承担民事责任能力的法人或其他组织或自然人，并提供法人或者其他组织合法有效的统一社会信用代码的营业执照等证明文件，事业单位应提供事业单位法人证书，自然人应提供身份证明文件</w:t>
            </w:r>
            <w:r>
              <w:rPr>
                <w:rFonts w:hint="eastAsia"/>
                <w:lang w:val="en-US" w:eastAsia="zh-CN"/>
              </w:rPr>
              <w:t>；</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4" w:hRule="atLeast"/>
          <w:jc w:val="center"/>
        </w:trPr>
        <w:tc>
          <w:tcPr>
            <w:tcW w:w="923" w:type="dxa"/>
            <w:vMerge w:val="continue"/>
            <w:noWrap w:val="0"/>
            <w:vAlign w:val="center"/>
          </w:tcPr>
          <w:p>
            <w:pPr>
              <w:widowControl/>
              <w:spacing w:line="360" w:lineRule="auto"/>
              <w:jc w:val="center"/>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sz w:val="24"/>
              </w:rPr>
            </w:pPr>
            <w:r>
              <w:rPr>
                <w:rFonts w:hint="default" w:hAnsi="宋体" w:cs="宋体"/>
                <w:color w:val="000000"/>
                <w:highlight w:val="none"/>
                <w:lang w:val="en-US" w:eastAsia="zh-CN"/>
              </w:rPr>
              <w:t>提供2021年度经审计的财务报告，或磋商前三个月内公司存款账户开户银行出具的资信证明，或信用担保机构出具的投标担保函（以上三种形式的资料提供任何一种即可）；</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default" w:hAnsi="宋体" w:cs="宋体"/>
                <w:color w:val="000000"/>
                <w:highlight w:val="none"/>
                <w:lang w:val="en-US" w:eastAsia="zh-CN"/>
              </w:rPr>
              <w:t>提供2021年1月至今任意一个月已缴纳完税凭证或税务机关开具的完税证明（任意税种）；依法免税的应提供相关文件证明；</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7"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default" w:hAnsi="宋体" w:cs="宋体"/>
                <w:color w:val="000000"/>
                <w:highlight w:val="none"/>
                <w:lang w:val="en-US" w:eastAsia="zh-CN"/>
              </w:rPr>
              <w:t xml:space="preserve">提供2021年1月至今任意一个月已缴纳的社会保障资金缴存单据或社保机构开具的社会保险参保缴费情况证明；依法不需要缴纳社会保障资金的应提供相关文件证明； </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lang w:val="en-US" w:eastAsia="zh-CN"/>
              </w:rPr>
            </w:pPr>
            <w:r>
              <w:rPr>
                <w:rFonts w:hint="default" w:hAnsi="宋体" w:cs="宋体"/>
                <w:color w:val="000000"/>
                <w:highlight w:val="none"/>
                <w:lang w:val="en-US" w:eastAsia="zh-CN"/>
              </w:rPr>
              <w:t>具备履行合同所必需的设备和专业技术能力的证明材料(由供应商根据项目需求提供说明材料或者承诺)；</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lang w:val="en-US" w:eastAsia="zh-CN"/>
              </w:rPr>
            </w:pPr>
            <w:r>
              <w:rPr>
                <w:rFonts w:hint="default" w:hAnsi="宋体" w:cs="宋体"/>
                <w:color w:val="000000"/>
                <w:highlight w:val="none"/>
                <w:lang w:val="en-US" w:eastAsia="zh-CN"/>
              </w:rPr>
              <w:t>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1"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default" w:hAnsi="宋体" w:cs="宋体"/>
                <w:color w:val="000000"/>
                <w:highlight w:val="none"/>
                <w:lang w:val="en-US" w:eastAsia="zh-CN"/>
              </w:rPr>
              <w:t>参加政府采购活动前3年内，在经营活动中没有重大违法记录；</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default" w:hAnsi="宋体" w:cs="宋体"/>
                <w:color w:val="000000"/>
                <w:highlight w:val="none"/>
                <w:lang w:val="en-US" w:eastAsia="zh-CN"/>
              </w:rPr>
              <w:t xml:space="preserve">代理机构将通过“信用中国”网站（www.creditchina.gov.cn）和中国政府采购网（www.ccgp.gov.cn）查询供应商信用记录，被列入失信被执行人、重大税收违法案件当事人名单、政府采购严重违法失信行为记录名单的单位将被拒绝参与本项目投标； </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923" w:type="dxa"/>
            <w:vMerge w:val="continue"/>
            <w:noWrap w:val="0"/>
            <w:vAlign w:val="center"/>
          </w:tcPr>
          <w:p>
            <w:pPr>
              <w:widowControl/>
              <w:spacing w:line="360" w:lineRule="auto"/>
              <w:rPr>
                <w:rFonts w:hint="eastAsia" w:ascii="宋体" w:hAnsi="宋体"/>
                <w:szCs w:val="21"/>
              </w:rPr>
            </w:pPr>
          </w:p>
        </w:tc>
        <w:tc>
          <w:tcPr>
            <w:tcW w:w="4855" w:type="dxa"/>
            <w:noWrap w:val="0"/>
            <w:vAlign w:val="center"/>
          </w:tcPr>
          <w:p>
            <w:pPr>
              <w:adjustRightInd w:val="0"/>
              <w:snapToGrid w:val="0"/>
              <w:spacing w:line="276" w:lineRule="auto"/>
              <w:ind w:right="-50" w:rightChars="-24"/>
              <w:rPr>
                <w:rFonts w:hint="eastAsia" w:ascii="宋体" w:hAnsi="宋体" w:cs="Times New Roman"/>
                <w:sz w:val="21"/>
                <w:szCs w:val="21"/>
              </w:rPr>
            </w:pPr>
            <w:r>
              <w:rPr>
                <w:rFonts w:hint="default" w:hAnsi="宋体" w:cs="宋体"/>
                <w:color w:val="000000"/>
                <w:highlight w:val="none"/>
                <w:lang w:val="en-US" w:eastAsia="zh-CN"/>
              </w:rPr>
              <w:t>本项目不接受联合体磋商。单位负责人为同一人或者存在控股、管理关系的不同供应商不得参加同一合同项下政府采购活动；与采购人存在利害关系可能影响磋商公正性的法人、其他组织或者个人不得参加同一合同项下政府采购活动。</w:t>
            </w:r>
          </w:p>
        </w:tc>
        <w:tc>
          <w:tcPr>
            <w:tcW w:w="2694"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合法有效</w:t>
            </w:r>
          </w:p>
        </w:tc>
      </w:tr>
    </w:tbl>
    <w:p>
      <w:pPr>
        <w:pStyle w:val="18"/>
        <w:jc w:val="both"/>
        <w:rPr>
          <w:rFonts w:hint="eastAsia" w:ascii="宋体" w:hAnsi="宋体" w:cs="宋体"/>
          <w:b/>
          <w:bCs/>
          <w:sz w:val="24"/>
          <w:szCs w:val="24"/>
        </w:rPr>
      </w:pPr>
    </w:p>
    <w:p>
      <w:pPr>
        <w:pStyle w:val="18"/>
        <w:jc w:val="center"/>
        <w:rPr>
          <w:rFonts w:hint="eastAsia" w:ascii="宋体" w:hAnsi="宋体" w:cs="宋体"/>
          <w:b/>
          <w:bCs/>
          <w:sz w:val="24"/>
          <w:szCs w:val="24"/>
        </w:rPr>
      </w:pPr>
    </w:p>
    <w:p>
      <w:pPr>
        <w:pStyle w:val="18"/>
        <w:jc w:val="left"/>
        <w:outlineLvl w:val="0"/>
        <w:rPr>
          <w:rFonts w:hint="eastAsia" w:ascii="宋体" w:hAnsi="宋体" w:eastAsia="宋体" w:cs="宋体"/>
          <w:b/>
          <w:bCs/>
          <w:sz w:val="24"/>
          <w:szCs w:val="24"/>
          <w:lang w:val="en-US" w:eastAsia="zh-CN"/>
        </w:rPr>
      </w:pPr>
      <w:bookmarkStart w:id="393" w:name="_Toc17352"/>
      <w:bookmarkStart w:id="394" w:name="_Toc28513"/>
      <w:r>
        <w:rPr>
          <w:rFonts w:hint="eastAsia" w:ascii="宋体" w:hAnsi="宋体" w:cs="宋体"/>
          <w:b/>
          <w:bCs/>
          <w:sz w:val="24"/>
          <w:szCs w:val="24"/>
          <w:lang w:val="en-US" w:eastAsia="zh-CN"/>
        </w:rPr>
        <w:t>附件2：</w:t>
      </w:r>
      <w:bookmarkEnd w:id="393"/>
      <w:bookmarkEnd w:id="394"/>
    </w:p>
    <w:tbl>
      <w:tblPr>
        <w:tblStyle w:val="27"/>
        <w:tblpPr w:leftFromText="180" w:rightFromText="180" w:vertAnchor="text" w:horzAnchor="margin" w:tblpY="169"/>
        <w:tblOverlap w:val="never"/>
        <w:tblW w:w="918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8"/>
        <w:gridCol w:w="1684"/>
        <w:gridCol w:w="5343"/>
        <w:gridCol w:w="1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878" w:type="dxa"/>
            <w:noWrap w:val="0"/>
            <w:vAlign w:val="center"/>
          </w:tcPr>
          <w:p>
            <w:pPr>
              <w:widowControl/>
              <w:spacing w:line="360" w:lineRule="auto"/>
              <w:jc w:val="center"/>
              <w:rPr>
                <w:rFonts w:hint="eastAsia" w:ascii="宋体" w:hAnsi="宋体"/>
                <w:b/>
                <w:szCs w:val="21"/>
              </w:rPr>
            </w:pPr>
            <w:r>
              <w:rPr>
                <w:rFonts w:hint="eastAsia" w:ascii="宋体" w:hAnsi="宋体"/>
                <w:b/>
                <w:szCs w:val="21"/>
              </w:rPr>
              <w:t>项目</w:t>
            </w:r>
          </w:p>
        </w:tc>
        <w:tc>
          <w:tcPr>
            <w:tcW w:w="7027" w:type="dxa"/>
            <w:gridSpan w:val="2"/>
            <w:noWrap w:val="0"/>
            <w:vAlign w:val="center"/>
          </w:tcPr>
          <w:p>
            <w:pPr>
              <w:widowControl/>
              <w:spacing w:line="360" w:lineRule="auto"/>
              <w:jc w:val="center"/>
              <w:rPr>
                <w:rFonts w:ascii="宋体" w:hAnsi="宋体"/>
                <w:b/>
                <w:szCs w:val="21"/>
              </w:rPr>
            </w:pPr>
            <w:r>
              <w:rPr>
                <w:rFonts w:hint="eastAsia" w:ascii="宋体" w:hAnsi="宋体"/>
                <w:b/>
                <w:szCs w:val="21"/>
              </w:rPr>
              <w:t>评审因素</w:t>
            </w:r>
          </w:p>
        </w:tc>
        <w:tc>
          <w:tcPr>
            <w:tcW w:w="1275" w:type="dxa"/>
            <w:noWrap w:val="0"/>
            <w:vAlign w:val="center"/>
          </w:tcPr>
          <w:p>
            <w:pPr>
              <w:widowControl/>
              <w:spacing w:line="360" w:lineRule="auto"/>
              <w:jc w:val="center"/>
              <w:rPr>
                <w:rFonts w:ascii="宋体" w:hAnsi="宋体"/>
                <w:b/>
                <w:szCs w:val="21"/>
              </w:rPr>
            </w:pPr>
            <w:r>
              <w:rPr>
                <w:rFonts w:hint="eastAsia" w:ascii="宋体" w:hAnsi="宋体"/>
                <w:b/>
                <w:szCs w:val="21"/>
              </w:rPr>
              <w:t>评标标准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restart"/>
            <w:noWrap w:val="0"/>
            <w:vAlign w:val="center"/>
          </w:tcPr>
          <w:p>
            <w:pPr>
              <w:widowControl/>
              <w:spacing w:line="360" w:lineRule="auto"/>
              <w:rPr>
                <w:rFonts w:hint="eastAsia" w:ascii="宋体" w:hAnsi="宋体" w:eastAsia="宋体"/>
                <w:sz w:val="24"/>
                <w:lang w:val="en-US" w:eastAsia="zh-CN"/>
              </w:rPr>
            </w:pPr>
            <w:r>
              <w:rPr>
                <w:rFonts w:hint="eastAsia" w:ascii="宋体" w:hAnsi="宋体" w:cs="Times New Roman"/>
                <w:sz w:val="21"/>
                <w:szCs w:val="21"/>
              </w:rPr>
              <w:t>符合性</w:t>
            </w:r>
            <w:r>
              <w:rPr>
                <w:rFonts w:hint="eastAsia" w:ascii="宋体" w:hAnsi="宋体" w:cs="Times New Roman"/>
                <w:sz w:val="21"/>
                <w:szCs w:val="21"/>
                <w:lang w:val="en-US" w:eastAsia="zh-CN"/>
              </w:rPr>
              <w:t>审查标准</w:t>
            </w:r>
          </w:p>
        </w:tc>
        <w:tc>
          <w:tcPr>
            <w:tcW w:w="1684" w:type="dxa"/>
            <w:vMerge w:val="restart"/>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响应磋商文件的完整性审查</w:t>
            </w: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响应磋商文件是否按照竞争性磋商文件要求的格式编写</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磋商内容是否有重大缺漏项</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restart"/>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响应磋商文件的有效性审查</w:t>
            </w: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响应磋商文件的签署、加盖印章是否合格、有效；提供的各种证明文件、数据、资料是否真实、有效</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eastAsia="宋体" w:cs="Times New Roman"/>
                <w:sz w:val="21"/>
                <w:szCs w:val="21"/>
                <w:lang w:eastAsia="zh-CN"/>
              </w:rPr>
            </w:pPr>
            <w:r>
              <w:rPr>
                <w:rFonts w:hint="eastAsia" w:hAnsi="宋体" w:cs="宋体"/>
                <w:bCs/>
                <w:sz w:val="21"/>
                <w:szCs w:val="21"/>
              </w:rPr>
              <w:t>报价唯一</w:t>
            </w:r>
            <w:r>
              <w:rPr>
                <w:rFonts w:hint="eastAsia" w:hAnsi="宋体" w:cs="宋体"/>
                <w:bCs/>
                <w:sz w:val="21"/>
                <w:szCs w:val="21"/>
                <w:lang w:eastAsia="zh-CN"/>
              </w:rPr>
              <w:t>（</w:t>
            </w:r>
            <w:r>
              <w:rPr>
                <w:rFonts w:hint="eastAsia" w:hAnsi="宋体" w:cs="宋体"/>
                <w:bCs/>
                <w:sz w:val="21"/>
                <w:szCs w:val="21"/>
              </w:rPr>
              <w:t>只能有一个有效报价，不得提交选择性报价</w:t>
            </w:r>
            <w:r>
              <w:rPr>
                <w:rFonts w:hint="eastAsia" w:hAnsi="宋体" w:cs="宋体"/>
                <w:bCs/>
                <w:sz w:val="21"/>
                <w:szCs w:val="21"/>
                <w:lang w:eastAsia="zh-CN"/>
              </w:rPr>
              <w:t>）</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是否提交了合格有效的本次采购特别要求的资格证明文件</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restart"/>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响应磋商文件的响应性审查</w:t>
            </w: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磋商报价是否超过采购预算</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rPr>
              <w:t>响应磋商有效期是否符合竞争性磋商文件的要求</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78" w:type="dxa"/>
            <w:vMerge w:val="continue"/>
            <w:noWrap w:val="0"/>
            <w:vAlign w:val="center"/>
          </w:tcPr>
          <w:p>
            <w:pPr>
              <w:widowControl/>
              <w:spacing w:line="360" w:lineRule="auto"/>
              <w:rPr>
                <w:rFonts w:hint="eastAsia" w:ascii="宋体" w:hAnsi="宋体"/>
                <w:sz w:val="24"/>
              </w:rPr>
            </w:pPr>
          </w:p>
        </w:tc>
        <w:tc>
          <w:tcPr>
            <w:tcW w:w="1684" w:type="dxa"/>
            <w:vMerge w:val="continue"/>
            <w:tcBorders>
              <w:righ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p>
        </w:tc>
        <w:tc>
          <w:tcPr>
            <w:tcW w:w="5343" w:type="dxa"/>
            <w:tcBorders>
              <w:left w:val="single" w:color="auto" w:sz="4" w:space="0"/>
            </w:tcBorders>
            <w:noWrap w:val="0"/>
            <w:vAlign w:val="center"/>
          </w:tcPr>
          <w:p>
            <w:pPr>
              <w:adjustRightInd w:val="0"/>
              <w:snapToGrid w:val="0"/>
              <w:spacing w:line="276" w:lineRule="auto"/>
              <w:ind w:right="-50" w:rightChars="-24"/>
              <w:rPr>
                <w:rFonts w:hint="eastAsia" w:ascii="宋体" w:hAnsi="宋体" w:cs="Times New Roman"/>
                <w:sz w:val="21"/>
                <w:szCs w:val="21"/>
              </w:rPr>
            </w:pPr>
            <w:r>
              <w:rPr>
                <w:rFonts w:hint="eastAsia" w:ascii="宋体" w:hAnsi="宋体" w:cs="Times New Roman"/>
                <w:sz w:val="21"/>
                <w:szCs w:val="21"/>
                <w:lang w:val="en-US" w:eastAsia="zh-CN"/>
              </w:rPr>
              <w:t>完工期</w:t>
            </w:r>
            <w:r>
              <w:rPr>
                <w:rFonts w:hint="eastAsia" w:ascii="宋体" w:hAnsi="宋体" w:cs="Times New Roman"/>
                <w:sz w:val="21"/>
                <w:szCs w:val="21"/>
              </w:rPr>
              <w:t>是否符合竞争性磋商文件的要求</w:t>
            </w:r>
          </w:p>
        </w:tc>
        <w:tc>
          <w:tcPr>
            <w:tcW w:w="1275" w:type="dxa"/>
            <w:noWrap w:val="0"/>
            <w:vAlign w:val="center"/>
          </w:tcPr>
          <w:p>
            <w:pPr>
              <w:adjustRightInd w:val="0"/>
              <w:snapToGrid w:val="0"/>
              <w:spacing w:line="276" w:lineRule="auto"/>
              <w:ind w:right="-50" w:rightChars="-24"/>
              <w:jc w:val="center"/>
              <w:rPr>
                <w:rFonts w:hint="eastAsia" w:ascii="宋体" w:hAnsi="宋体" w:cs="Times New Roman"/>
                <w:sz w:val="21"/>
                <w:szCs w:val="21"/>
              </w:rPr>
            </w:pPr>
            <w:r>
              <w:rPr>
                <w:rFonts w:hint="eastAsia" w:ascii="宋体" w:hAnsi="宋体" w:cs="Times New Roman"/>
                <w:sz w:val="21"/>
                <w:szCs w:val="21"/>
              </w:rPr>
              <w:t>合格</w:t>
            </w:r>
          </w:p>
        </w:tc>
      </w:tr>
    </w:tbl>
    <w:p>
      <w:pPr>
        <w:pStyle w:val="18"/>
        <w:jc w:val="left"/>
        <w:rPr>
          <w:rFonts w:hint="eastAsia" w:ascii="宋体" w:hAnsi="宋体" w:eastAsia="宋体" w:cs="宋体"/>
          <w:b/>
          <w:bCs/>
          <w:sz w:val="24"/>
          <w:szCs w:val="24"/>
          <w:lang w:val="en-US" w:eastAsia="zh-CN"/>
        </w:rPr>
      </w:pPr>
    </w:p>
    <w:p>
      <w:pPr>
        <w:pStyle w:val="18"/>
        <w:jc w:val="left"/>
        <w:outlineLvl w:val="0"/>
        <w:rPr>
          <w:rFonts w:hint="default" w:ascii="宋体" w:hAnsi="宋体" w:eastAsia="宋体" w:cs="宋体"/>
          <w:b/>
          <w:bCs/>
          <w:sz w:val="24"/>
          <w:szCs w:val="24"/>
          <w:lang w:val="en-US" w:eastAsia="zh-CN"/>
        </w:rPr>
      </w:pPr>
      <w:bookmarkStart w:id="395" w:name="_Toc10381"/>
      <w:bookmarkStart w:id="396" w:name="_Toc8220"/>
      <w:r>
        <w:rPr>
          <w:rFonts w:hint="eastAsia" w:ascii="宋体" w:hAnsi="宋体" w:cs="宋体"/>
          <w:b/>
          <w:bCs/>
          <w:sz w:val="24"/>
          <w:szCs w:val="24"/>
          <w:lang w:val="en-US" w:eastAsia="zh-CN"/>
        </w:rPr>
        <w:t>附件3：</w:t>
      </w:r>
      <w:bookmarkEnd w:id="395"/>
      <w:bookmarkEnd w:id="396"/>
    </w:p>
    <w:p>
      <w:pPr>
        <w:pStyle w:val="18"/>
        <w:jc w:val="center"/>
        <w:rPr>
          <w:rFonts w:hint="eastAsia" w:eastAsia="宋体"/>
          <w:lang w:val="en-US" w:eastAsia="zh-CN"/>
        </w:rPr>
      </w:pPr>
      <w:r>
        <w:rPr>
          <w:rFonts w:hint="eastAsia" w:ascii="宋体" w:hAnsi="宋体" w:cs="宋体"/>
          <w:b/>
          <w:bCs/>
          <w:sz w:val="24"/>
          <w:szCs w:val="24"/>
        </w:rPr>
        <w:t>综合评分明细</w:t>
      </w:r>
      <w:r>
        <w:rPr>
          <w:rFonts w:hint="eastAsia" w:ascii="宋体" w:hAnsi="宋体" w:cs="宋体"/>
          <w:b/>
          <w:bCs/>
          <w:sz w:val="24"/>
          <w:szCs w:val="24"/>
          <w:lang w:val="en-US" w:eastAsia="zh-CN"/>
        </w:rPr>
        <w:t>表</w:t>
      </w:r>
    </w:p>
    <w:tbl>
      <w:tblPr>
        <w:tblStyle w:val="27"/>
        <w:tblW w:w="9171"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2171" w:type="dxa"/>
            <w:noWrap w:val="0"/>
            <w:vAlign w:val="center"/>
          </w:tcPr>
          <w:p>
            <w:pPr>
              <w:pStyle w:val="11"/>
              <w:spacing w:line="360" w:lineRule="auto"/>
              <w:ind w:firstLine="0"/>
              <w:jc w:val="center"/>
              <w:rPr>
                <w:rFonts w:hint="eastAsia" w:ascii="宋体" w:hAnsi="宋体" w:cs="宋体"/>
                <w:szCs w:val="21"/>
              </w:rPr>
            </w:pPr>
            <w:bookmarkStart w:id="397" w:name="_Toc7524523"/>
            <w:r>
              <w:rPr>
                <w:rFonts w:hint="eastAsia" w:ascii="宋体" w:hAnsi="宋体" w:cs="宋体"/>
                <w:szCs w:val="21"/>
              </w:rPr>
              <w:t>磋商报价</w:t>
            </w:r>
          </w:p>
          <w:p>
            <w:pPr>
              <w:pStyle w:val="11"/>
              <w:spacing w:line="360" w:lineRule="auto"/>
              <w:ind w:firstLine="0"/>
              <w:jc w:val="center"/>
              <w:rPr>
                <w:rFonts w:hint="eastAsia" w:ascii="宋体" w:hAnsi="宋体" w:cs="宋体"/>
                <w:szCs w:val="21"/>
              </w:rPr>
            </w:pPr>
            <w:r>
              <w:rPr>
                <w:rFonts w:hint="eastAsia" w:ascii="宋体" w:hAnsi="宋体" w:cs="宋体"/>
                <w:szCs w:val="21"/>
              </w:rPr>
              <w:t>（30分）</w:t>
            </w:r>
          </w:p>
        </w:tc>
        <w:tc>
          <w:tcPr>
            <w:tcW w:w="70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cs="宋体"/>
                <w:szCs w:val="21"/>
              </w:rPr>
              <w:br w:type="textWrapping"/>
            </w:r>
            <w:r>
              <w:rPr>
                <w:rFonts w:hint="eastAsia" w:ascii="宋体" w:hAnsi="宋体" w:cs="宋体"/>
                <w:szCs w:val="21"/>
              </w:rPr>
              <w:t xml:space="preserve">磋商报价得分=(磋商基准价／磋商报价)×价格权值×100               </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restart"/>
            <w:noWrap w:val="0"/>
            <w:vAlign w:val="center"/>
          </w:tcPr>
          <w:p>
            <w:pPr>
              <w:pStyle w:val="11"/>
              <w:spacing w:line="360" w:lineRule="auto"/>
              <w:ind w:firstLine="0"/>
              <w:jc w:val="center"/>
              <w:rPr>
                <w:rFonts w:hint="eastAsia" w:ascii="宋体" w:hAnsi="宋体" w:cs="宋体"/>
                <w:szCs w:val="21"/>
                <w:lang w:val="en-US" w:eastAsia="zh-CN"/>
              </w:rPr>
            </w:pPr>
            <w:r>
              <w:rPr>
                <w:rFonts w:hint="eastAsia" w:ascii="宋体" w:hAnsi="宋体" w:cs="宋体"/>
                <w:szCs w:val="21"/>
                <w:lang w:val="en-US" w:eastAsia="zh-CN"/>
              </w:rPr>
              <w:t>服务方案</w:t>
            </w:r>
          </w:p>
          <w:p>
            <w:pPr>
              <w:pStyle w:val="11"/>
              <w:spacing w:line="360" w:lineRule="auto"/>
              <w:ind w:firstLine="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37</w:t>
            </w:r>
            <w:r>
              <w:rPr>
                <w:rFonts w:hint="eastAsia" w:ascii="宋体" w:hAnsi="宋体" w:cs="宋体"/>
                <w:szCs w:val="21"/>
              </w:rPr>
              <w:t>分）</w:t>
            </w:r>
          </w:p>
        </w:tc>
        <w:tc>
          <w:tcPr>
            <w:tcW w:w="7000"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1、校园文化服务方案整体合理、完备、严谨、措施可靠且针对性强，按其响应程度计0-3分；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2、校园文化服务方案中管理措施、工作制度、组织能力、团队协作等方面，按其响应程度计0-3分；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3、具有完善的服务质量保证体系及措施，措施具有较强的可操作性，按其响应程度计0-3分；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4、针对本采购项目及采购人实际需求提供详细具体可行的服务措施承诺。按其响应程度计0-3分；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5、有完整的校园文化规划服务思路，方案符合项目,有创新的宣传方式，按其响应程度计0-3分；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2171" w:type="dxa"/>
            <w:vMerge w:val="continue"/>
            <w:noWrap w:val="0"/>
            <w:vAlign w:val="top"/>
          </w:tcPr>
          <w:p>
            <w:pPr>
              <w:pStyle w:val="11"/>
              <w:spacing w:line="360" w:lineRule="auto"/>
              <w:ind w:firstLine="0"/>
              <w:jc w:val="center"/>
              <w:rPr>
                <w:rFonts w:hint="eastAsia" w:ascii="宋体" w:hAnsi="宋体" w:cs="宋体"/>
                <w:szCs w:val="21"/>
              </w:rPr>
            </w:pPr>
          </w:p>
        </w:tc>
        <w:tc>
          <w:tcPr>
            <w:tcW w:w="70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6.设计方案及效果图：</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①设计方案详细、科学，效果图内容完善、创意新颖、思路清晰，审美性、艺术性、整体性强，能够充分满足采购需求，计16-22分。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②设计方案较为详细、合理，效果图的审美性、艺术性、整体性一般，计8-15分。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lang w:val="en-US" w:eastAsia="zh-CN"/>
              </w:rPr>
              <w:t>③设计方案较为粗略，效果图的审美性、艺术性、整体性较差，计0-7分。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2171" w:type="dxa"/>
            <w:vMerge w:val="restart"/>
            <w:noWrap w:val="0"/>
            <w:vAlign w:val="center"/>
          </w:tcPr>
          <w:p>
            <w:pPr>
              <w:pStyle w:val="11"/>
              <w:spacing w:line="360" w:lineRule="auto"/>
              <w:ind w:firstLine="0"/>
              <w:jc w:val="center"/>
              <w:rPr>
                <w:rFonts w:hint="eastAsia" w:ascii="宋体" w:hAnsi="宋体" w:cs="宋体"/>
                <w:szCs w:val="21"/>
                <w:lang w:val="en-US" w:eastAsia="zh-CN"/>
              </w:rPr>
            </w:pPr>
            <w:r>
              <w:rPr>
                <w:rFonts w:hint="eastAsia" w:ascii="宋体" w:hAnsi="宋体" w:cs="宋体"/>
                <w:szCs w:val="21"/>
              </w:rPr>
              <w:t>质量</w:t>
            </w:r>
            <w:r>
              <w:rPr>
                <w:rFonts w:hint="eastAsia" w:ascii="宋体" w:hAnsi="宋体" w:cs="宋体"/>
                <w:szCs w:val="21"/>
                <w:lang w:val="en-US" w:eastAsia="zh-CN"/>
              </w:rPr>
              <w:t>保障</w:t>
            </w:r>
          </w:p>
          <w:p>
            <w:pPr>
              <w:pStyle w:val="11"/>
              <w:spacing w:line="360" w:lineRule="auto"/>
              <w:ind w:firstLine="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13</w:t>
            </w:r>
            <w:r>
              <w:rPr>
                <w:rFonts w:hint="eastAsia" w:ascii="宋体" w:hAnsi="宋体" w:cs="宋体"/>
                <w:szCs w:val="21"/>
              </w:rPr>
              <w:t>分）</w:t>
            </w:r>
          </w:p>
        </w:tc>
        <w:tc>
          <w:tcPr>
            <w:tcW w:w="70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1.项目团队有策划、设计人员、提供安装服务的专业技术人员及合理安排调配方案保障项目顺利实施：</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①项目团队技术专业且经验丰富，人员调配方案科学、合理，计4-6分。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②项目团队专业性及服务经验一般，人员调配方案基本可行，计2-4分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lang w:val="en-US" w:eastAsia="zh-CN"/>
              </w:rPr>
              <w:t>③项目团队专业性、经验及人员调配方案较差，计0-2分。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71" w:type="dxa"/>
            <w:vMerge w:val="continue"/>
            <w:noWrap w:val="0"/>
            <w:vAlign w:val="top"/>
          </w:tcPr>
          <w:p>
            <w:pPr>
              <w:pStyle w:val="11"/>
              <w:spacing w:line="360" w:lineRule="auto"/>
              <w:ind w:firstLine="0"/>
              <w:jc w:val="center"/>
              <w:rPr>
                <w:rFonts w:hint="eastAsia" w:ascii="宋体" w:hAnsi="宋体" w:cs="宋体"/>
                <w:szCs w:val="21"/>
              </w:rPr>
            </w:pPr>
          </w:p>
        </w:tc>
        <w:tc>
          <w:tcPr>
            <w:tcW w:w="70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2.供应商提供针对本项目具体可行安全安装措施方案及能够保质保量完成本次项目的服务承诺。</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①方案详细具体、切实可行，服务承诺非常明确计5-7分；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②方案简要，基本可行，服务承诺基本明确计3-5分；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lang w:val="en-US" w:eastAsia="zh-CN"/>
              </w:rPr>
              <w:t>③方案粗略，可行性差，服务承诺不明确计0-3分。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noWrap w:val="0"/>
            <w:vAlign w:val="center"/>
          </w:tcPr>
          <w:p>
            <w:pPr>
              <w:pStyle w:val="11"/>
              <w:spacing w:line="360" w:lineRule="auto"/>
              <w:ind w:firstLine="0"/>
              <w:jc w:val="center"/>
              <w:rPr>
                <w:rFonts w:hint="eastAsia" w:ascii="宋体" w:hAnsi="宋体" w:cs="宋体"/>
                <w:szCs w:val="21"/>
              </w:rPr>
            </w:pPr>
            <w:r>
              <w:rPr>
                <w:rFonts w:hint="eastAsia" w:ascii="宋体" w:hAnsi="宋体" w:cs="宋体"/>
                <w:szCs w:val="21"/>
              </w:rPr>
              <w:t>业绩</w:t>
            </w:r>
          </w:p>
          <w:p>
            <w:pPr>
              <w:pStyle w:val="11"/>
              <w:spacing w:line="360" w:lineRule="auto"/>
              <w:ind w:firstLine="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70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zh-CN" w:eastAsia="zh-CN"/>
              </w:rPr>
            </w:pPr>
            <w:r>
              <w:rPr>
                <w:rFonts w:hint="eastAsia" w:ascii="宋体" w:hAnsi="宋体" w:cs="宋体"/>
                <w:szCs w:val="21"/>
                <w:lang w:val="en-US" w:eastAsia="zh-CN"/>
              </w:rPr>
              <w:t>供应商提供</w:t>
            </w:r>
            <w:r>
              <w:rPr>
                <w:rFonts w:hint="eastAsia" w:ascii="宋体" w:hAnsi="宋体" w:cs="宋体"/>
                <w:szCs w:val="21"/>
                <w:lang w:val="zh-CN" w:eastAsia="zh-CN"/>
              </w:rPr>
              <w:t>201</w:t>
            </w:r>
            <w:r>
              <w:rPr>
                <w:rFonts w:hint="eastAsia" w:ascii="宋体" w:hAnsi="宋体" w:cs="宋体"/>
                <w:szCs w:val="21"/>
                <w:lang w:val="en-US" w:eastAsia="zh-CN"/>
              </w:rPr>
              <w:t>9</w:t>
            </w:r>
            <w:r>
              <w:rPr>
                <w:rFonts w:hint="eastAsia" w:ascii="宋体" w:hAnsi="宋体" w:cs="宋体"/>
                <w:szCs w:val="21"/>
                <w:lang w:val="zh-CN" w:eastAsia="zh-CN"/>
              </w:rPr>
              <w:t>年</w:t>
            </w:r>
            <w:r>
              <w:rPr>
                <w:rFonts w:hint="eastAsia" w:ascii="宋体" w:hAnsi="宋体" w:cs="宋体"/>
                <w:szCs w:val="21"/>
                <w:lang w:val="en-US" w:eastAsia="zh-CN"/>
              </w:rPr>
              <w:t>1</w:t>
            </w:r>
            <w:r>
              <w:rPr>
                <w:rFonts w:hint="eastAsia" w:ascii="宋体" w:hAnsi="宋体" w:cs="宋体"/>
                <w:szCs w:val="21"/>
                <w:lang w:val="zh-CN" w:eastAsia="zh-CN"/>
              </w:rPr>
              <w:t>月1日至今类</w:t>
            </w:r>
            <w:r>
              <w:rPr>
                <w:rFonts w:hint="eastAsia" w:ascii="宋体" w:hAnsi="宋体" w:cs="宋体"/>
                <w:szCs w:val="21"/>
                <w:lang w:val="en-US" w:eastAsia="zh-CN"/>
              </w:rPr>
              <w:t>似</w:t>
            </w:r>
            <w:r>
              <w:rPr>
                <w:rFonts w:hint="eastAsia" w:ascii="宋体" w:hAnsi="宋体" w:cs="宋体"/>
                <w:szCs w:val="21"/>
                <w:lang w:val="zh-CN" w:eastAsia="zh-CN"/>
              </w:rPr>
              <w:t>项目业绩，每提供一个业绩得</w:t>
            </w:r>
            <w:r>
              <w:rPr>
                <w:rFonts w:hint="eastAsia" w:ascii="宋体" w:hAnsi="宋体" w:cs="宋体"/>
                <w:szCs w:val="21"/>
                <w:lang w:val="en-US" w:eastAsia="zh-CN"/>
              </w:rPr>
              <w:t>2</w:t>
            </w:r>
            <w:r>
              <w:rPr>
                <w:rFonts w:hint="eastAsia" w:ascii="宋体" w:hAnsi="宋体" w:cs="宋体"/>
                <w:szCs w:val="21"/>
                <w:lang w:val="zh-CN" w:eastAsia="zh-CN"/>
              </w:rPr>
              <w:t>分，满分</w:t>
            </w:r>
            <w:r>
              <w:rPr>
                <w:rFonts w:hint="eastAsia" w:ascii="宋体" w:hAnsi="宋体" w:cs="宋体"/>
                <w:szCs w:val="21"/>
                <w:lang w:val="en-US" w:eastAsia="zh-CN"/>
              </w:rPr>
              <w:t>10</w:t>
            </w:r>
            <w:r>
              <w:rPr>
                <w:rFonts w:hint="eastAsia" w:ascii="宋体" w:hAnsi="宋体" w:cs="宋体"/>
                <w:szCs w:val="21"/>
                <w:lang w:val="zh-CN" w:eastAsia="zh-CN"/>
              </w:rPr>
              <w:t>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lang w:val="zh-CN" w:eastAsia="zh-CN"/>
              </w:rPr>
              <w:t>注：</w:t>
            </w:r>
            <w:r>
              <w:rPr>
                <w:rFonts w:hint="eastAsia" w:ascii="宋体" w:hAnsi="宋体" w:cs="宋体"/>
                <w:szCs w:val="21"/>
                <w:lang w:val="en-US" w:eastAsia="zh-CN"/>
              </w:rPr>
              <w:t>响应</w:t>
            </w:r>
            <w:r>
              <w:rPr>
                <w:rFonts w:hint="eastAsia" w:ascii="宋体" w:hAnsi="宋体" w:cs="宋体"/>
                <w:szCs w:val="21"/>
                <w:lang w:val="zh-CN" w:eastAsia="zh-CN"/>
              </w:rPr>
              <w:t>文件中提供合同复印件加盖公章。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2171" w:type="dxa"/>
            <w:noWrap w:val="0"/>
            <w:vAlign w:val="center"/>
          </w:tcPr>
          <w:p>
            <w:pPr>
              <w:pStyle w:val="11"/>
              <w:spacing w:line="360" w:lineRule="auto"/>
              <w:ind w:firstLine="0"/>
              <w:jc w:val="center"/>
              <w:rPr>
                <w:rFonts w:hint="eastAsia" w:ascii="宋体" w:hAnsi="宋体" w:cs="宋体"/>
                <w:szCs w:val="21"/>
              </w:rPr>
            </w:pPr>
            <w:r>
              <w:rPr>
                <w:rFonts w:hint="eastAsia" w:ascii="宋体" w:hAnsi="宋体" w:cs="宋体"/>
                <w:szCs w:val="21"/>
              </w:rPr>
              <w:t>售后服务</w:t>
            </w:r>
          </w:p>
          <w:p>
            <w:pPr>
              <w:pStyle w:val="11"/>
              <w:spacing w:line="360" w:lineRule="auto"/>
              <w:ind w:firstLine="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7000" w:type="dxa"/>
            <w:noWrap w:val="0"/>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供应商提供完整的售后服务方案，根据服务方式、服务响应时间、服务等级、现场支持承诺等因素进行横向比较，根据响应情况：</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①方案详细具体、切实可行计5-10分；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lang w:val="en-US" w:eastAsia="zh-CN"/>
              </w:rPr>
            </w:pPr>
            <w:r>
              <w:rPr>
                <w:rFonts w:hint="eastAsia" w:ascii="宋体" w:hAnsi="宋体" w:cs="宋体"/>
                <w:szCs w:val="21"/>
                <w:lang w:val="en-US" w:eastAsia="zh-CN"/>
              </w:rPr>
              <w:t>②方案简要，基本可行计3-5分；</w:t>
            </w:r>
          </w:p>
          <w:p>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cs="宋体"/>
                <w:szCs w:val="21"/>
              </w:rPr>
            </w:pPr>
            <w:r>
              <w:rPr>
                <w:rFonts w:hint="eastAsia" w:ascii="宋体" w:hAnsi="宋体" w:cs="宋体"/>
                <w:szCs w:val="21"/>
                <w:lang w:val="en-US" w:eastAsia="zh-CN"/>
              </w:rPr>
              <w:t>③方案粗略，可行性差计1-3分。</w:t>
            </w:r>
          </w:p>
        </w:tc>
      </w:tr>
    </w:tbl>
    <w:p>
      <w:pPr>
        <w:pStyle w:val="11"/>
        <w:spacing w:line="360" w:lineRule="auto"/>
        <w:ind w:firstLine="0"/>
        <w:jc w:val="left"/>
        <w:rPr>
          <w:rFonts w:ascii="宋体" w:hAnsi="宋体" w:cs="宋体"/>
          <w:szCs w:val="21"/>
        </w:rPr>
      </w:pPr>
      <w:r>
        <w:rPr>
          <w:rFonts w:hint="eastAsia" w:ascii="宋体" w:hAnsi="宋体" w:cs="宋体"/>
          <w:szCs w:val="21"/>
        </w:rPr>
        <w:t>3.无效投标的认定在评审过程中，出现下列情形之一的，其磋商无效：</w:t>
      </w:r>
    </w:p>
    <w:p>
      <w:pPr>
        <w:pStyle w:val="11"/>
        <w:spacing w:line="360" w:lineRule="auto"/>
        <w:ind w:firstLine="525"/>
        <w:rPr>
          <w:rFonts w:ascii="宋体" w:hAnsi="宋体" w:cs="宋体"/>
          <w:szCs w:val="21"/>
        </w:rPr>
      </w:pPr>
      <w:r>
        <w:rPr>
          <w:rFonts w:hint="eastAsia" w:ascii="宋体" w:hAnsi="宋体" w:cs="宋体"/>
          <w:szCs w:val="21"/>
        </w:rPr>
        <w:t>（1）供应商没有经过正常渠道购买磋商文件或供应商的名称与登记领取磋商文件单位的名称不符；</w:t>
      </w:r>
    </w:p>
    <w:p>
      <w:pPr>
        <w:pStyle w:val="11"/>
        <w:spacing w:line="360" w:lineRule="auto"/>
        <w:ind w:firstLine="525"/>
        <w:rPr>
          <w:rFonts w:ascii="宋体" w:hAnsi="宋体" w:cs="宋体"/>
          <w:szCs w:val="21"/>
        </w:rPr>
      </w:pPr>
      <w:r>
        <w:rPr>
          <w:rFonts w:hint="eastAsia" w:ascii="宋体" w:hAnsi="宋体" w:cs="宋体"/>
          <w:szCs w:val="21"/>
        </w:rPr>
        <w:t>（2）不具备磋商文件中规定的资格要求，或磋商响应文件中提供的资格要求文件不符合磋商文件要求的；</w:t>
      </w:r>
    </w:p>
    <w:p>
      <w:pPr>
        <w:pStyle w:val="11"/>
        <w:spacing w:line="360" w:lineRule="auto"/>
        <w:ind w:firstLine="525"/>
        <w:rPr>
          <w:rFonts w:ascii="宋体" w:hAnsi="宋体" w:cs="宋体"/>
          <w:szCs w:val="21"/>
        </w:rPr>
      </w:pPr>
      <w:r>
        <w:rPr>
          <w:rFonts w:hint="eastAsia" w:ascii="宋体" w:hAnsi="宋体" w:cs="宋体"/>
          <w:szCs w:val="21"/>
        </w:rPr>
        <w:t>（3）未按磋商文件规定要求签署、盖章或未按照磋商文件规定的格式要求编制的；</w:t>
      </w:r>
    </w:p>
    <w:p>
      <w:pPr>
        <w:pStyle w:val="11"/>
        <w:spacing w:line="360" w:lineRule="auto"/>
        <w:ind w:firstLine="525"/>
        <w:rPr>
          <w:rFonts w:ascii="宋体" w:hAnsi="宋体" w:cs="宋体"/>
          <w:szCs w:val="21"/>
        </w:rPr>
      </w:pPr>
      <w:r>
        <w:rPr>
          <w:rFonts w:hint="eastAsia" w:ascii="宋体" w:hAnsi="宋体" w:cs="宋体"/>
          <w:szCs w:val="21"/>
        </w:rPr>
        <w:t>（4）磋商响应文件磋商有效期不符合磋商文件要求的；</w:t>
      </w:r>
    </w:p>
    <w:p>
      <w:pPr>
        <w:pStyle w:val="11"/>
        <w:spacing w:line="360" w:lineRule="auto"/>
        <w:ind w:firstLine="525"/>
        <w:rPr>
          <w:rFonts w:ascii="宋体" w:hAnsi="宋体" w:cs="宋体"/>
          <w:szCs w:val="21"/>
        </w:rPr>
      </w:pPr>
      <w:r>
        <w:rPr>
          <w:rFonts w:hint="eastAsia" w:ascii="宋体" w:hAnsi="宋体" w:cs="宋体"/>
          <w:szCs w:val="21"/>
        </w:rPr>
        <w:t>（5）磋商响应文件递交份数不满足磋商文件要求的；</w:t>
      </w:r>
    </w:p>
    <w:p>
      <w:pPr>
        <w:pStyle w:val="11"/>
        <w:spacing w:line="360" w:lineRule="auto"/>
        <w:ind w:firstLine="525"/>
        <w:rPr>
          <w:rFonts w:ascii="宋体" w:hAnsi="宋体" w:cs="宋体"/>
          <w:szCs w:val="21"/>
        </w:rPr>
      </w:pPr>
      <w:r>
        <w:rPr>
          <w:rFonts w:hint="eastAsia" w:ascii="宋体" w:hAnsi="宋体" w:cs="宋体"/>
          <w:szCs w:val="21"/>
        </w:rPr>
        <w:t>（6）磋商响应文件的商务响应不满足磋商文件商务要求（</w:t>
      </w:r>
      <w:r>
        <w:rPr>
          <w:rFonts w:hint="eastAsia" w:ascii="宋体" w:hAnsi="宋体" w:cs="宋体"/>
          <w:szCs w:val="21"/>
          <w:lang w:val="en-US" w:eastAsia="zh-CN"/>
        </w:rPr>
        <w:t>完工期</w:t>
      </w:r>
      <w:r>
        <w:rPr>
          <w:rFonts w:hint="eastAsia" w:ascii="宋体" w:hAnsi="宋体" w:cs="宋体"/>
          <w:szCs w:val="21"/>
        </w:rPr>
        <w:t>、付款、质保期等项）或响应的内容附有采购人不能接受的附加条件的；</w:t>
      </w:r>
    </w:p>
    <w:p>
      <w:pPr>
        <w:pStyle w:val="11"/>
        <w:spacing w:line="360" w:lineRule="auto"/>
        <w:ind w:firstLine="525"/>
        <w:rPr>
          <w:rFonts w:ascii="宋体" w:hAnsi="宋体" w:cs="宋体"/>
          <w:szCs w:val="21"/>
        </w:rPr>
      </w:pPr>
      <w:r>
        <w:rPr>
          <w:rFonts w:hint="eastAsia" w:ascii="宋体" w:hAnsi="宋体" w:cs="宋体"/>
          <w:szCs w:val="21"/>
        </w:rPr>
        <w:t>（7）供应商出现多份报价，出现选择性报价的；</w:t>
      </w:r>
    </w:p>
    <w:p>
      <w:pPr>
        <w:pStyle w:val="11"/>
        <w:spacing w:line="360" w:lineRule="auto"/>
        <w:ind w:firstLine="525"/>
        <w:rPr>
          <w:rFonts w:ascii="宋体" w:hAnsi="宋体" w:cs="宋体"/>
          <w:szCs w:val="21"/>
        </w:rPr>
      </w:pPr>
      <w:r>
        <w:rPr>
          <w:rFonts w:hint="eastAsia" w:ascii="宋体" w:hAnsi="宋体" w:cs="宋体"/>
          <w:szCs w:val="21"/>
        </w:rPr>
        <w:t>（8）磋商项目出现漏项或产品数量与要求不符，出现重大负偏差；</w:t>
      </w:r>
    </w:p>
    <w:p>
      <w:pPr>
        <w:pStyle w:val="11"/>
        <w:spacing w:line="360" w:lineRule="auto"/>
        <w:ind w:firstLine="525"/>
        <w:rPr>
          <w:rFonts w:ascii="宋体" w:hAnsi="宋体" w:cs="宋体"/>
          <w:szCs w:val="21"/>
        </w:rPr>
      </w:pPr>
      <w:r>
        <w:rPr>
          <w:rFonts w:hint="eastAsia" w:ascii="宋体" w:hAnsi="宋体" w:cs="宋体"/>
          <w:szCs w:val="21"/>
        </w:rPr>
        <w:t>（9）磋商内容特殊注明的技术指标达不到磋商文件要求，降低了服务的质量的。（如未特殊注明，忽略此条）</w:t>
      </w:r>
    </w:p>
    <w:p>
      <w:pPr>
        <w:pStyle w:val="11"/>
        <w:spacing w:line="360" w:lineRule="auto"/>
        <w:ind w:firstLine="525"/>
        <w:rPr>
          <w:rFonts w:ascii="宋体" w:hAnsi="宋体" w:cs="宋体"/>
          <w:szCs w:val="21"/>
        </w:rPr>
      </w:pPr>
      <w:r>
        <w:rPr>
          <w:rFonts w:hint="eastAsia" w:ascii="宋体" w:hAnsi="宋体" w:cs="宋体"/>
          <w:szCs w:val="21"/>
        </w:rPr>
        <w:t>（10）磋商报价与市场价偏离较大，低于成本，形成不正当竞争；</w:t>
      </w:r>
    </w:p>
    <w:p>
      <w:pPr>
        <w:pStyle w:val="11"/>
        <w:spacing w:line="360" w:lineRule="auto"/>
        <w:ind w:firstLine="525"/>
        <w:rPr>
          <w:rFonts w:ascii="宋体" w:hAnsi="宋体" w:cs="宋体"/>
          <w:szCs w:val="21"/>
        </w:rPr>
      </w:pPr>
      <w:r>
        <w:rPr>
          <w:rFonts w:hint="eastAsia" w:ascii="宋体" w:hAnsi="宋体" w:cs="宋体"/>
          <w:szCs w:val="21"/>
        </w:rPr>
        <w:t>（11）提供虚假证明，开具虚假资质，出现虚假应答，除按无效标处理外，还进行相应的处罚；</w:t>
      </w:r>
    </w:p>
    <w:p>
      <w:pPr>
        <w:pStyle w:val="11"/>
        <w:spacing w:line="360" w:lineRule="auto"/>
        <w:ind w:firstLine="525"/>
        <w:rPr>
          <w:rFonts w:ascii="宋体" w:hAnsi="宋体" w:cs="宋体"/>
          <w:szCs w:val="21"/>
        </w:rPr>
      </w:pPr>
      <w:r>
        <w:rPr>
          <w:rFonts w:hint="eastAsia" w:ascii="宋体" w:hAnsi="宋体" w:cs="宋体"/>
          <w:szCs w:val="21"/>
        </w:rPr>
        <w:t>（12）报价超过采购预算或最高限价的；</w:t>
      </w:r>
    </w:p>
    <w:p>
      <w:pPr>
        <w:pStyle w:val="11"/>
        <w:spacing w:line="360" w:lineRule="auto"/>
        <w:ind w:firstLine="472" w:firstLineChars="225"/>
        <w:rPr>
          <w:rFonts w:ascii="宋体" w:hAnsi="宋体" w:cs="宋体"/>
          <w:szCs w:val="21"/>
        </w:rPr>
      </w:pPr>
      <w:r>
        <w:rPr>
          <w:rFonts w:hint="eastAsia" w:ascii="宋体" w:hAnsi="宋体" w:cs="宋体"/>
          <w:szCs w:val="21"/>
        </w:rPr>
        <w:t>（13）磋商响应文件的关键内容字迹模糊和无法辨认的；</w:t>
      </w:r>
    </w:p>
    <w:p>
      <w:pPr>
        <w:pStyle w:val="11"/>
        <w:spacing w:line="360" w:lineRule="auto"/>
        <w:ind w:firstLine="525"/>
        <w:rPr>
          <w:rFonts w:ascii="宋体" w:hAnsi="宋体" w:cs="宋体"/>
          <w:szCs w:val="21"/>
        </w:rPr>
      </w:pPr>
      <w:r>
        <w:rPr>
          <w:rFonts w:hint="eastAsia" w:ascii="宋体" w:hAnsi="宋体" w:cs="宋体"/>
          <w:szCs w:val="21"/>
        </w:rPr>
        <w:t>（14）法律法规和磋商文件规定的其他情形的。</w:t>
      </w:r>
    </w:p>
    <w:p>
      <w:pPr>
        <w:pStyle w:val="10"/>
        <w:spacing w:before="0" w:after="0" w:line="360" w:lineRule="auto"/>
        <w:rPr>
          <w:rFonts w:ascii="宋体" w:hAnsi="宋体" w:cs="宋体"/>
          <w:sz w:val="21"/>
          <w:szCs w:val="21"/>
        </w:rPr>
      </w:pPr>
      <w:r>
        <w:rPr>
          <w:rFonts w:hint="eastAsia" w:ascii="宋体" w:hAnsi="宋体" w:cs="宋体"/>
          <w:sz w:val="21"/>
          <w:szCs w:val="21"/>
        </w:rPr>
        <w:t>4.特殊情况的处理</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4.1 磋商响应文件中如果出现计算错误，可按以下原则进行修正：</w:t>
      </w:r>
    </w:p>
    <w:p>
      <w:pPr>
        <w:spacing w:line="360" w:lineRule="auto"/>
        <w:ind w:firstLine="315" w:firstLineChars="150"/>
        <w:rPr>
          <w:rFonts w:ascii="宋体" w:hAnsi="宋体" w:cs="宋体"/>
          <w:szCs w:val="21"/>
        </w:rPr>
      </w:pPr>
      <w:r>
        <w:rPr>
          <w:rFonts w:hint="eastAsia" w:ascii="宋体" w:hAnsi="宋体" w:cs="宋体"/>
          <w:szCs w:val="21"/>
        </w:rPr>
        <w:t>（1）磋商响应文件中的大写金额与小写金额不一致的，以大写金额为准；</w:t>
      </w:r>
    </w:p>
    <w:p>
      <w:pPr>
        <w:spacing w:line="360" w:lineRule="auto"/>
        <w:ind w:firstLine="315" w:firstLineChars="150"/>
        <w:rPr>
          <w:rFonts w:ascii="宋体" w:hAnsi="宋体" w:cs="宋体"/>
          <w:szCs w:val="21"/>
        </w:rPr>
      </w:pPr>
      <w:r>
        <w:rPr>
          <w:rFonts w:hint="eastAsia" w:ascii="宋体" w:hAnsi="宋体" w:cs="宋体"/>
          <w:szCs w:val="21"/>
        </w:rPr>
        <w:t>（2）磋商响应文件中的总价金额与按单价计算的汇总金额不一致的，以单价计算的汇总金额为准；</w:t>
      </w:r>
    </w:p>
    <w:p>
      <w:pPr>
        <w:spacing w:line="360" w:lineRule="auto"/>
        <w:ind w:firstLine="315" w:firstLineChars="150"/>
        <w:rPr>
          <w:rFonts w:ascii="宋体" w:hAnsi="宋体" w:cs="宋体"/>
          <w:szCs w:val="21"/>
        </w:rPr>
      </w:pPr>
      <w:r>
        <w:rPr>
          <w:rFonts w:hint="eastAsia" w:ascii="宋体" w:hAnsi="宋体" w:cs="宋体"/>
          <w:szCs w:val="21"/>
        </w:rPr>
        <w:t>（3）磋商响应文件中的单价金额有明显小数点错误的，以总价为准，并修改单价；</w:t>
      </w:r>
    </w:p>
    <w:p>
      <w:pPr>
        <w:spacing w:line="360" w:lineRule="auto"/>
        <w:ind w:firstLine="315" w:firstLineChars="150"/>
        <w:rPr>
          <w:rFonts w:ascii="宋体" w:hAnsi="宋体" w:cs="宋体"/>
          <w:szCs w:val="21"/>
        </w:rPr>
      </w:pPr>
      <w:r>
        <w:rPr>
          <w:rFonts w:hint="eastAsia" w:ascii="宋体" w:hAnsi="宋体" w:cs="宋体"/>
          <w:szCs w:val="21"/>
        </w:rPr>
        <w:t>（4）磋商响应文件中有关分项表内容与</w:t>
      </w:r>
      <w:r>
        <w:rPr>
          <w:rFonts w:hint="eastAsia" w:ascii="宋体" w:hAnsi="宋体" w:cs="宋体"/>
          <w:szCs w:val="21"/>
          <w:highlight w:val="none"/>
        </w:rPr>
        <w:t>“第一次磋商报价表”</w:t>
      </w:r>
      <w:r>
        <w:rPr>
          <w:rFonts w:hint="eastAsia" w:ascii="宋体" w:hAnsi="宋体" w:cs="宋体"/>
          <w:szCs w:val="21"/>
        </w:rPr>
        <w:t>不一致的，以“第一次磋商报价表”为准；</w:t>
      </w:r>
    </w:p>
    <w:p>
      <w:pPr>
        <w:pStyle w:val="21"/>
        <w:ind w:firstLine="315" w:firstLineChars="150"/>
        <w:rPr>
          <w:rFonts w:ascii="宋体" w:hAnsi="宋体" w:eastAsia="宋体" w:cs="宋体"/>
          <w:sz w:val="21"/>
          <w:szCs w:val="21"/>
        </w:rPr>
      </w:pPr>
      <w:r>
        <w:rPr>
          <w:rFonts w:hint="eastAsia" w:ascii="宋体" w:hAnsi="宋体" w:eastAsia="宋体" w:cs="宋体"/>
          <w:sz w:val="21"/>
          <w:szCs w:val="21"/>
        </w:rPr>
        <w:t>（5）磋商响应文件中图表与文字表述不一致的，以文字表述为准；</w:t>
      </w:r>
    </w:p>
    <w:p>
      <w:pPr>
        <w:widowControl/>
        <w:autoSpaceDE w:val="0"/>
        <w:autoSpaceDN w:val="0"/>
        <w:spacing w:line="360" w:lineRule="auto"/>
        <w:ind w:firstLine="315" w:firstLineChars="150"/>
        <w:textAlignment w:val="bottom"/>
        <w:rPr>
          <w:rFonts w:ascii="宋体" w:hAnsi="宋体" w:cs="宋体"/>
          <w:szCs w:val="21"/>
        </w:rPr>
      </w:pPr>
      <w:r>
        <w:rPr>
          <w:rFonts w:hint="eastAsia" w:ascii="宋体" w:hAnsi="宋体" w:cs="宋体"/>
          <w:szCs w:val="21"/>
        </w:rPr>
        <w:t>（6）磋商响应文件正本与副本不一致的，以正本为准；</w:t>
      </w:r>
    </w:p>
    <w:p>
      <w:pPr>
        <w:pStyle w:val="11"/>
        <w:spacing w:line="360" w:lineRule="auto"/>
        <w:ind w:firstLine="315" w:firstLineChars="150"/>
        <w:rPr>
          <w:rFonts w:ascii="宋体" w:hAnsi="宋体" w:cs="宋体"/>
          <w:szCs w:val="21"/>
        </w:rPr>
      </w:pPr>
      <w:r>
        <w:rPr>
          <w:rFonts w:hint="eastAsia" w:ascii="宋体" w:hAnsi="宋体" w:cs="宋体"/>
          <w:szCs w:val="21"/>
        </w:rPr>
        <w:t>（7）对不同文字文本磋商响应文件的解释发生异议的，以中文文本为准。</w:t>
      </w:r>
    </w:p>
    <w:p>
      <w:pPr>
        <w:widowControl/>
        <w:autoSpaceDE w:val="0"/>
        <w:autoSpaceDN w:val="0"/>
        <w:spacing w:line="360" w:lineRule="auto"/>
        <w:ind w:firstLine="422" w:firstLineChars="200"/>
        <w:textAlignment w:val="bottom"/>
        <w:rPr>
          <w:rFonts w:ascii="宋体" w:hAnsi="宋体" w:cs="宋体"/>
          <w:b/>
          <w:szCs w:val="21"/>
        </w:rPr>
      </w:pPr>
      <w:r>
        <w:rPr>
          <w:rFonts w:hint="eastAsia" w:ascii="宋体" w:hAnsi="宋体" w:cs="宋体"/>
          <w:b/>
          <w:szCs w:val="21"/>
        </w:rPr>
        <w:t>按上述修正错误的方法调整的磋商报价应对供应商具有约束力。如果供应商不接受修正后的价格，其响应文件按无效响应文件处理。</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4.2 磋商响应文件中，若某项有不合理报价（或零报价、漏报价）的，经磋商小组评审后，此项得分为零，不参与磋商报价分值的计算。</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4.3 评委打分超过得分界限或未按本办法赋分时，该评委的打分，按废票处理。</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4.4 评审过程中，各种数字的计算结果，均保留两位小数，第三位“四舍五入”，但计算百分数时应精确到千分位，万分位“四舍五入”。</w:t>
      </w:r>
    </w:p>
    <w:p>
      <w:pPr>
        <w:pStyle w:val="51"/>
        <w:spacing w:line="360" w:lineRule="auto"/>
        <w:ind w:firstLine="413" w:firstLineChars="197"/>
        <w:rPr>
          <w:rFonts w:hAnsi="宋体" w:cs="宋体"/>
          <w:sz w:val="21"/>
          <w:szCs w:val="21"/>
        </w:rPr>
      </w:pPr>
      <w:r>
        <w:rPr>
          <w:rFonts w:hint="eastAsia" w:hAnsi="宋体" w:cs="宋体"/>
          <w:sz w:val="21"/>
          <w:szCs w:val="21"/>
        </w:rPr>
        <w:t>4.5评审过程中，若出现本评标办法以外的特殊情况时，将暂停评标，待磋商小组商榷后，再进行评定。</w:t>
      </w:r>
    </w:p>
    <w:p>
      <w:pPr>
        <w:pStyle w:val="11"/>
        <w:spacing w:line="360" w:lineRule="auto"/>
        <w:rPr>
          <w:rFonts w:ascii="宋体" w:hAnsi="宋体" w:cs="宋体"/>
          <w:szCs w:val="21"/>
        </w:rPr>
      </w:pPr>
      <w:r>
        <w:rPr>
          <w:rFonts w:hint="eastAsia" w:ascii="宋体" w:hAnsi="宋体" w:cs="宋体"/>
          <w:szCs w:val="21"/>
        </w:rPr>
        <w:t>4.6评标争议处理原则</w:t>
      </w:r>
    </w:p>
    <w:p>
      <w:pPr>
        <w:pStyle w:val="11"/>
        <w:spacing w:line="360" w:lineRule="auto"/>
        <w:ind w:firstLine="525"/>
        <w:rPr>
          <w:rFonts w:ascii="宋体" w:hAnsi="宋体" w:cs="宋体"/>
          <w:szCs w:val="21"/>
        </w:rPr>
      </w:pPr>
      <w:r>
        <w:rPr>
          <w:rFonts w:hint="eastAsia" w:ascii="宋体" w:hAnsi="宋体" w:cs="宋体"/>
          <w:szCs w:val="21"/>
        </w:rPr>
        <w:t>磋商小组在评审过程中，对磋商响应文件资格资审、符合性审查、对供应商磋商响应文件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10"/>
        <w:spacing w:before="0" w:after="0" w:line="360" w:lineRule="auto"/>
        <w:rPr>
          <w:rFonts w:ascii="宋体" w:hAnsi="宋体" w:cs="宋体"/>
          <w:sz w:val="21"/>
          <w:szCs w:val="21"/>
        </w:rPr>
      </w:pPr>
      <w:r>
        <w:rPr>
          <w:rFonts w:hint="eastAsia" w:ascii="宋体" w:hAnsi="宋体" w:cs="宋体"/>
          <w:sz w:val="21"/>
          <w:szCs w:val="21"/>
        </w:rPr>
        <w:t>5.评审专家在政府采购活动中承担以下义务</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5.1 遵纪守法，客观、公正、廉洁地履行职责。</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5.2 按照政府采购法律法规和采购文件的规定要求对供应商提供的产品价格、技术、商务、服务等方面严格进行评判，提供科学合理、公平公正的评审意见，参与起草评审报告，并予签字确认。</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5.3 保守秘密。不得透露采购文件咨询情况，不得泄漏供应商的磋商响应文件及知悉的商业秘密，不得向供应商透露评审情况。</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5.4 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5.6 法律、法规和规章规定的其他义务。</w:t>
      </w:r>
    </w:p>
    <w:p>
      <w:pPr>
        <w:pStyle w:val="10"/>
        <w:spacing w:before="0" w:after="0" w:line="360" w:lineRule="auto"/>
        <w:rPr>
          <w:rFonts w:ascii="宋体" w:hAnsi="宋体" w:cs="宋体"/>
          <w:sz w:val="21"/>
          <w:szCs w:val="21"/>
        </w:rPr>
      </w:pPr>
      <w:r>
        <w:rPr>
          <w:rFonts w:hint="eastAsia" w:ascii="宋体" w:hAnsi="宋体" w:cs="宋体"/>
          <w:sz w:val="21"/>
          <w:szCs w:val="21"/>
        </w:rPr>
        <w:t>6.在评审过程中，磋商小组及其成员不得有下列行为</w:t>
      </w:r>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398" w:name="_Toc10813"/>
      <w:bookmarkStart w:id="399" w:name="_Toc3516"/>
      <w:bookmarkStart w:id="400" w:name="_Toc2435"/>
      <w:bookmarkStart w:id="401" w:name="_Toc19561"/>
      <w:bookmarkStart w:id="402" w:name="_Toc9478"/>
      <w:r>
        <w:rPr>
          <w:rFonts w:hint="eastAsia" w:ascii="宋体" w:hAnsi="宋体" w:eastAsia="宋体" w:cs="宋体"/>
          <w:b w:val="0"/>
          <w:bCs w:val="0"/>
          <w:kern w:val="2"/>
          <w:sz w:val="21"/>
          <w:szCs w:val="21"/>
          <w:lang w:val="en-US" w:eastAsia="zh-CN" w:bidi="ar-SA"/>
        </w:rPr>
        <w:t>（1）确定参与磋商至磋商结束前私自接触供应商；</w:t>
      </w:r>
      <w:bookmarkEnd w:id="398"/>
      <w:bookmarkEnd w:id="399"/>
      <w:bookmarkEnd w:id="400"/>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03" w:name="_Toc11089"/>
      <w:bookmarkStart w:id="404" w:name="_Toc15782"/>
      <w:bookmarkStart w:id="405" w:name="_Toc18449"/>
      <w:r>
        <w:rPr>
          <w:rFonts w:hint="eastAsia" w:ascii="宋体" w:hAnsi="宋体" w:eastAsia="宋体" w:cs="宋体"/>
          <w:b w:val="0"/>
          <w:bCs w:val="0"/>
          <w:kern w:val="2"/>
          <w:sz w:val="21"/>
          <w:szCs w:val="21"/>
          <w:lang w:val="en-US" w:eastAsia="zh-CN" w:bidi="ar-SA"/>
        </w:rPr>
        <w:t>（2）接受供应商提出的与磋商响应文件不一致的澄清和说明；</w:t>
      </w:r>
      <w:bookmarkEnd w:id="403"/>
      <w:bookmarkEnd w:id="404"/>
      <w:bookmarkEnd w:id="405"/>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06" w:name="_Toc18013"/>
      <w:bookmarkStart w:id="407" w:name="_Toc436"/>
      <w:bookmarkStart w:id="408" w:name="_Toc32306"/>
      <w:r>
        <w:rPr>
          <w:rFonts w:hint="eastAsia" w:ascii="宋体" w:hAnsi="宋体" w:eastAsia="宋体" w:cs="宋体"/>
          <w:b w:val="0"/>
          <w:bCs w:val="0"/>
          <w:kern w:val="2"/>
          <w:sz w:val="21"/>
          <w:szCs w:val="21"/>
          <w:lang w:val="en-US" w:eastAsia="zh-CN" w:bidi="ar-SA"/>
        </w:rPr>
        <w:t>（3）征询采购人的倾向性意见；</w:t>
      </w:r>
      <w:bookmarkEnd w:id="406"/>
      <w:bookmarkEnd w:id="407"/>
      <w:bookmarkEnd w:id="408"/>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09" w:name="_Toc9112"/>
      <w:bookmarkStart w:id="410" w:name="_Toc24275"/>
      <w:bookmarkStart w:id="411" w:name="_Toc9246"/>
      <w:r>
        <w:rPr>
          <w:rFonts w:hint="eastAsia" w:ascii="宋体" w:hAnsi="宋体" w:eastAsia="宋体" w:cs="宋体"/>
          <w:b w:val="0"/>
          <w:bCs w:val="0"/>
          <w:kern w:val="2"/>
          <w:sz w:val="21"/>
          <w:szCs w:val="21"/>
          <w:lang w:val="en-US" w:eastAsia="zh-CN" w:bidi="ar-SA"/>
        </w:rPr>
        <w:t>（4）对主观评审因素协商评分；</w:t>
      </w:r>
      <w:bookmarkEnd w:id="409"/>
      <w:bookmarkEnd w:id="410"/>
      <w:bookmarkEnd w:id="411"/>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12" w:name="_Toc30582"/>
      <w:bookmarkStart w:id="413" w:name="_Toc19278"/>
      <w:bookmarkStart w:id="414" w:name="_Toc16480"/>
      <w:r>
        <w:rPr>
          <w:rFonts w:hint="eastAsia" w:ascii="宋体" w:hAnsi="宋体" w:eastAsia="宋体" w:cs="宋体"/>
          <w:b w:val="0"/>
          <w:bCs w:val="0"/>
          <w:kern w:val="2"/>
          <w:sz w:val="21"/>
          <w:szCs w:val="21"/>
          <w:lang w:val="en-US" w:eastAsia="zh-CN" w:bidi="ar-SA"/>
        </w:rPr>
        <w:t>（5）对客观评审因素评分不一致；</w:t>
      </w:r>
      <w:bookmarkEnd w:id="412"/>
      <w:bookmarkEnd w:id="413"/>
      <w:bookmarkEnd w:id="414"/>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15" w:name="_Toc21618"/>
      <w:bookmarkStart w:id="416" w:name="_Toc17534"/>
      <w:bookmarkStart w:id="417" w:name="_Toc1074"/>
      <w:r>
        <w:rPr>
          <w:rFonts w:hint="eastAsia" w:ascii="宋体" w:hAnsi="宋体" w:eastAsia="宋体" w:cs="宋体"/>
          <w:b w:val="0"/>
          <w:bCs w:val="0"/>
          <w:kern w:val="2"/>
          <w:sz w:val="21"/>
          <w:szCs w:val="21"/>
          <w:lang w:val="en-US" w:eastAsia="zh-CN" w:bidi="ar-SA"/>
        </w:rPr>
        <w:t>（6）在评标过程中擅离职守，影响评标程序正常进行的；</w:t>
      </w:r>
      <w:bookmarkEnd w:id="415"/>
      <w:bookmarkEnd w:id="416"/>
      <w:bookmarkEnd w:id="417"/>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18" w:name="_Toc15543"/>
      <w:bookmarkStart w:id="419" w:name="_Toc26154"/>
      <w:bookmarkStart w:id="420" w:name="_Toc25767"/>
      <w:r>
        <w:rPr>
          <w:rFonts w:hint="eastAsia" w:ascii="宋体" w:hAnsi="宋体" w:eastAsia="宋体" w:cs="宋体"/>
          <w:b w:val="0"/>
          <w:bCs w:val="0"/>
          <w:kern w:val="2"/>
          <w:sz w:val="21"/>
          <w:szCs w:val="21"/>
          <w:lang w:val="en-US" w:eastAsia="zh-CN" w:bidi="ar-SA"/>
        </w:rPr>
        <w:t>（7）记录、复制或带走任何评标资料；</w:t>
      </w:r>
      <w:bookmarkEnd w:id="418"/>
      <w:bookmarkEnd w:id="419"/>
      <w:bookmarkEnd w:id="420"/>
    </w:p>
    <w:p>
      <w:pPr>
        <w:pStyle w:val="6"/>
        <w:spacing w:before="0" w:after="0" w:line="360" w:lineRule="auto"/>
        <w:jc w:val="both"/>
        <w:outlineLvl w:val="0"/>
        <w:rPr>
          <w:rFonts w:hint="eastAsia" w:ascii="宋体" w:hAnsi="宋体" w:eastAsia="宋体" w:cs="宋体"/>
          <w:b w:val="0"/>
          <w:bCs w:val="0"/>
          <w:kern w:val="2"/>
          <w:sz w:val="21"/>
          <w:szCs w:val="21"/>
          <w:lang w:val="en-US" w:eastAsia="zh-CN" w:bidi="ar-SA"/>
        </w:rPr>
      </w:pPr>
      <w:bookmarkStart w:id="421" w:name="_Toc27271"/>
      <w:bookmarkStart w:id="422" w:name="_Toc1068"/>
      <w:bookmarkStart w:id="423" w:name="_Toc6416"/>
      <w:r>
        <w:rPr>
          <w:rFonts w:hint="eastAsia" w:ascii="宋体" w:hAnsi="宋体" w:eastAsia="宋体" w:cs="宋体"/>
          <w:b w:val="0"/>
          <w:bCs w:val="0"/>
          <w:kern w:val="2"/>
          <w:sz w:val="21"/>
          <w:szCs w:val="21"/>
          <w:lang w:val="en-US" w:eastAsia="zh-CN" w:bidi="ar-SA"/>
        </w:rPr>
        <w:t>（8）有关部门（机构）制定的其他评审工作纪律。</w:t>
      </w:r>
      <w:bookmarkEnd w:id="421"/>
      <w:bookmarkEnd w:id="422"/>
      <w:bookmarkEnd w:id="423"/>
    </w:p>
    <w:p>
      <w:pPr>
        <w:pStyle w:val="6"/>
        <w:spacing w:before="0" w:after="0" w:line="360" w:lineRule="auto"/>
        <w:jc w:val="center"/>
        <w:outlineLvl w:val="0"/>
        <w:rPr>
          <w:rStyle w:val="46"/>
          <w:rFonts w:ascii="宋体" w:hAnsi="宋体" w:cs="宋体"/>
          <w:b/>
          <w:sz w:val="36"/>
          <w:szCs w:val="36"/>
        </w:rPr>
      </w:pPr>
      <w:bookmarkStart w:id="424" w:name="_Toc2325"/>
      <w:bookmarkStart w:id="425" w:name="_Toc6189"/>
      <w:r>
        <w:rPr>
          <w:rFonts w:hint="eastAsia" w:ascii="宋体" w:hAnsi="宋体" w:eastAsia="宋体" w:cs="宋体"/>
          <w:b w:val="0"/>
          <w:bCs w:val="0"/>
          <w:kern w:val="2"/>
          <w:sz w:val="21"/>
          <w:szCs w:val="21"/>
          <w:lang w:val="en-US" w:eastAsia="zh-CN" w:bidi="ar-SA"/>
        </w:rPr>
        <w:t>磋商小组成员有前款第一至四项行为之一的，其评审意见无效。</w:t>
      </w:r>
      <w:r>
        <w:rPr>
          <w:rFonts w:hint="eastAsia" w:ascii="宋体" w:hAnsi="宋体" w:eastAsia="宋体" w:cs="宋体"/>
          <w:b w:val="0"/>
          <w:bCs w:val="0"/>
          <w:kern w:val="2"/>
          <w:sz w:val="21"/>
          <w:szCs w:val="21"/>
          <w:lang w:val="en-US" w:eastAsia="zh-CN" w:bidi="ar-SA"/>
        </w:rPr>
        <w:br w:type="page"/>
      </w:r>
      <w:bookmarkStart w:id="426" w:name="_Toc13970"/>
      <w:r>
        <w:rPr>
          <w:rFonts w:hint="eastAsia" w:ascii="宋体" w:hAnsi="宋体" w:cs="宋体"/>
          <w:color w:val="000000" w:themeColor="text1"/>
          <w:sz w:val="36"/>
          <w:szCs w:val="36"/>
          <w14:textFill>
            <w14:solidFill>
              <w14:schemeClr w14:val="tx1"/>
            </w14:solidFill>
          </w14:textFill>
        </w:rPr>
        <w:t xml:space="preserve">第五部分  </w:t>
      </w:r>
      <w:r>
        <w:rPr>
          <w:rFonts w:hint="eastAsia" w:ascii="宋体" w:hAnsi="宋体" w:cs="宋体"/>
          <w:color w:val="000000" w:themeColor="text1"/>
          <w:sz w:val="36"/>
          <w:szCs w:val="36"/>
          <w:lang w:val="en-US" w:eastAsia="zh-CN"/>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采购内容及要求</w:t>
      </w:r>
      <w:bookmarkEnd w:id="397"/>
      <w:bookmarkEnd w:id="401"/>
      <w:bookmarkEnd w:id="402"/>
      <w:bookmarkEnd w:id="424"/>
      <w:bookmarkEnd w:id="425"/>
      <w:bookmarkEnd w:id="426"/>
    </w:p>
    <w:p>
      <w:pPr>
        <w:pStyle w:val="11"/>
        <w:ind w:firstLine="0" w:firstLineChars="0"/>
        <w:jc w:val="center"/>
        <w:rPr>
          <w:rFonts w:hint="eastAsia"/>
          <w:sz w:val="24"/>
          <w:highlight w:val="none"/>
        </w:rPr>
      </w:pPr>
      <w:bookmarkStart w:id="427" w:name="_Toc5183"/>
      <w:bookmarkStart w:id="428" w:name="_Toc25698"/>
    </w:p>
    <w:tbl>
      <w:tblPr>
        <w:tblStyle w:val="27"/>
        <w:tblW w:w="9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5"/>
        <w:gridCol w:w="900"/>
        <w:gridCol w:w="1373"/>
        <w:gridCol w:w="1750"/>
        <w:gridCol w:w="900"/>
        <w:gridCol w:w="1200"/>
        <w:gridCol w:w="2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位置</w:t>
            </w:r>
          </w:p>
        </w:tc>
        <w:tc>
          <w:tcPr>
            <w:tcW w:w="13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名称</w:t>
            </w:r>
          </w:p>
        </w:tc>
        <w:tc>
          <w:tcPr>
            <w:tcW w:w="1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规格（mm）</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236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  料  工  艺  及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419" w:type="dxa"/>
            <w:gridSpan w:val="7"/>
            <w:tcBorders>
              <w:top w:val="single" w:color="000000" w:sz="4" w:space="0"/>
              <w:left w:val="single" w:color="000000" w:sz="4" w:space="0"/>
              <w:bottom w:val="single" w:color="000000" w:sz="4" w:space="0"/>
              <w:right w:val="single" w:color="000000" w:sz="4" w:space="0"/>
            </w:tcBorders>
            <w:shd w:val="clear" w:color="FFFFFF" w:fill="F2F2F2"/>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一、读书角文化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科技主题文化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8400*3000*2</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数学主题文化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8400*3000*2</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围棋主题文化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8400*3000*2</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阅读主题文化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8400*3000*2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书法主题文化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8400*3000*2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学习主题文化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8400*3000*2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19" w:type="dxa"/>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二、大厅及走廊文化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门厅</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主题文化墙</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9200*2100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20000*3300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20000*2300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131.32</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底层14mm高密度PVC，面层3mm亚克力立体镂空雕刻，覆6色高清UV打印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软木板造型</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1050*800*9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定制软木板，机械裁切造型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0"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走廊</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一层文化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8700*3200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7900*2900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8100*3000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7300*2300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8100*2200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7300*3400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134.48</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8800*2400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7800*2100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5300*1500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7500*3000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8200*2600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7600*2400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三层文化</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7800*2100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5300*1500</w:t>
            </w:r>
            <w:r>
              <w:rPr>
                <w:rFonts w:hint="eastAsia" w:ascii="宋体" w:hAnsi="宋体" w:eastAsia="宋体" w:cs="宋体"/>
                <w:i w:val="0"/>
                <w:iCs w:val="0"/>
                <w:color w:val="000000"/>
                <w:kern w:val="0"/>
                <w:sz w:val="22"/>
                <w:szCs w:val="22"/>
                <w:u w:val="none"/>
                <w:lang w:val="en-US" w:eastAsia="zh-CN" w:bidi="ar"/>
              </w:rPr>
              <w:br w:type="textWrapping"/>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四层文化</w:t>
            </w:r>
          </w:p>
        </w:tc>
        <w:tc>
          <w:tcPr>
            <w:tcW w:w="1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5300*1500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7600*2400</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w:t>
            </w:r>
          </w:p>
        </w:tc>
        <w:tc>
          <w:tcPr>
            <w:tcW w:w="23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底层14mm高密度PVC，立体镂空雕刻，覆6色高清UV打印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0" w:type="dxa"/>
            <w:vMerge w:val="continue"/>
            <w:tcBorders>
              <w:top w:val="single" w:color="000000" w:sz="4" w:space="0"/>
              <w:left w:val="single" w:color="000000"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阅读椅</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150*45*40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实木框架，高密度海绵，绒布包边，防腐木条面板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19" w:type="dxa"/>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三、室外文化及装修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楼顶</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1600*1000*12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1.2mm(实厚)冲孔镀锌板，通过激光切割出金属板材，边缘光滑无毛刺，金属边均开槽处理，再通过激光焊接机进行无缝焊接。整个制作流程用抛光、打磨、磨炭、喷砂、氧化、钝化、磷化、压铸、感光、紫外线固化等工艺精心制作，使产品表面圆润光滑，焊接接缝不显痕迹，永不脱缝，确保产品经久耐用，6年不变色，喷涂汽车级金属漆并高温烤漆，防腐蚀耐用强度高，色彩鲜艳不掉漆；面层丝印采用网间距2-3mm小网印版，采用正品丝印油墨附着力强、亮光、色泽鲜艳、柔软、不易开裂、不易回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校徽</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1.2mm(实厚)冲孔镀锌板，通过激光切割出金属板材，边缘光滑无毛刺，金属边均开槽处理，再通过激光焊接机进行无缝焊接。整个制作流程用抛光、打磨、磨炭、喷砂、氧化、钝化、磷化、压铸、感光、紫外线固化等工艺精心制作，使产品表面圆润光滑，焊接接缝不显痕迹，永不脱缝，确保产品经久耐用，6年不变色，喷涂汽车级金属漆并高温烤漆，防腐蚀耐用强度高，色彩鲜艳不掉漆，内嵌LED灯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背架</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1400*2600*13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钢结构背架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定时开关器</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定时控制开关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山墙</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泾渭分明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主题浮雕</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5500*9000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采用5cm厚轻质砂岩浮雕，先要雕刻机进行模型的雕刻；第二步：聚脲喷涂机进行喷涂聚脲软体PU，保护不破裂；第三步：刷颜料；第四步：上聚氨酯面漆，俗称亮油。第五步，真石漆喷涂面层，使得整体划一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红色文化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主题雕塑</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5500*9000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49.50 </w:t>
            </w: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采用5cm厚轻质砂岩浮雕，先要雕刻机进行模型的雕刻；第二步：聚脲喷涂机进行喷涂聚脲软体PU，保护不破裂；第三步：刷颜料；第四步：上聚氨酯面漆，俗称亮油。第五步，真石漆喷涂面层，使得整体划一</w:t>
            </w:r>
          </w:p>
        </w:tc>
      </w:tr>
    </w:tbl>
    <w:p>
      <w:pPr>
        <w:pStyle w:val="11"/>
        <w:ind w:firstLine="0" w:firstLineChars="0"/>
        <w:jc w:val="center"/>
        <w:rPr>
          <w:rFonts w:hint="eastAsia"/>
          <w:sz w:val="24"/>
          <w:highlight w:val="none"/>
        </w:rPr>
      </w:pPr>
    </w:p>
    <w:p>
      <w:pPr>
        <w:pStyle w:val="11"/>
        <w:ind w:firstLine="0" w:firstLineChars="0"/>
        <w:jc w:val="center"/>
        <w:rPr>
          <w:rFonts w:hint="eastAsia"/>
          <w:sz w:val="24"/>
          <w:highlight w:val="none"/>
        </w:rPr>
      </w:pPr>
    </w:p>
    <w:p>
      <w:pPr>
        <w:rPr>
          <w:rFonts w:hint="eastAsia" w:ascii="宋体" w:hAnsi="宋体" w:eastAsia="宋体" w:cs="宋体"/>
          <w:b/>
          <w:bCs/>
          <w:color w:val="000000" w:themeColor="text1"/>
          <w:kern w:val="2"/>
          <w:sz w:val="36"/>
          <w:szCs w:val="36"/>
          <w:lang w:val="en-US" w:eastAsia="zh-CN" w:bidi="ar-SA"/>
          <w14:textFill>
            <w14:solidFill>
              <w14:schemeClr w14:val="tx1"/>
            </w14:solidFill>
          </w14:textFill>
        </w:rPr>
      </w:pPr>
      <w:bookmarkStart w:id="429" w:name="_Toc26920"/>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br w:type="page"/>
      </w:r>
    </w:p>
    <w:p>
      <w:pPr>
        <w:jc w:val="center"/>
        <w:outlineLvl w:val="0"/>
        <w:rPr>
          <w:rFonts w:ascii="宋体" w:hAnsi="宋体" w:cs="宋体"/>
          <w:sz w:val="52"/>
          <w:szCs w:val="52"/>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第六部分</w:t>
      </w:r>
      <w:bookmarkEnd w:id="373"/>
      <w:bookmarkStart w:id="430" w:name="_Toc246928931"/>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 xml:space="preserve"> </w:t>
      </w:r>
      <w:bookmarkEnd w:id="374"/>
      <w:bookmarkEnd w:id="375"/>
      <w:bookmarkEnd w:id="376"/>
      <w:bookmarkEnd w:id="377"/>
      <w:bookmarkEnd w:id="378"/>
      <w:bookmarkEnd w:id="379"/>
      <w:bookmarkEnd w:id="385"/>
      <w:bookmarkEnd w:id="386"/>
      <w:bookmarkEnd w:id="387"/>
      <w:bookmarkEnd w:id="388"/>
      <w:bookmarkEnd w:id="427"/>
      <w:bookmarkEnd w:id="430"/>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 xml:space="preserve"> 合同主要条款</w:t>
      </w:r>
      <w:bookmarkEnd w:id="428"/>
      <w:bookmarkEnd w:id="429"/>
    </w:p>
    <w:p>
      <w:pPr>
        <w:ind w:firstLine="1680" w:firstLineChars="700"/>
        <w:rPr>
          <w:rFonts w:ascii="宋体" w:hAnsi="宋体"/>
          <w:bCs/>
          <w:sz w:val="24"/>
        </w:rPr>
      </w:pPr>
      <w:bookmarkStart w:id="431" w:name="_Toc21438"/>
      <w:r>
        <w:rPr>
          <w:rFonts w:hint="eastAsia" w:ascii="宋体" w:hAnsi="宋体"/>
          <w:bCs/>
          <w:sz w:val="24"/>
        </w:rPr>
        <w:t>（合同模板仅供参考，具体以实际签订合同为准）</w:t>
      </w:r>
    </w:p>
    <w:bookmarkEnd w:id="431"/>
    <w:p>
      <w:pPr>
        <w:rPr>
          <w:rFonts w:hint="eastAsia" w:ascii="宋体" w:hAnsi="宋体" w:cs="宋体"/>
          <w:b/>
          <w:szCs w:val="21"/>
        </w:rPr>
      </w:pPr>
      <w:bookmarkStart w:id="432" w:name="_Toc1258"/>
      <w:bookmarkStart w:id="433" w:name="_Toc30434"/>
      <w:bookmarkStart w:id="434" w:name="_Toc246928961"/>
      <w:bookmarkStart w:id="435" w:name="_Toc246928962"/>
      <w:bookmarkStart w:id="436" w:name="_Toc128557264"/>
      <w:bookmarkStart w:id="437" w:name="_Toc497546922"/>
      <w:bookmarkStart w:id="438" w:name="_Toc389620244"/>
      <w:bookmarkStart w:id="439" w:name="_Toc497711589"/>
      <w:bookmarkStart w:id="440" w:name="_Toc497551824"/>
      <w:bookmarkStart w:id="441" w:name="_Toc497712137"/>
      <w:bookmarkStart w:id="442" w:name="_Toc492955463"/>
      <w:bookmarkStart w:id="443" w:name="_Toc385992404"/>
    </w:p>
    <w:p>
      <w:pPr>
        <w:adjustRightInd w:val="0"/>
        <w:snapToGrid w:val="0"/>
        <w:spacing w:line="360" w:lineRule="auto"/>
        <w:rPr>
          <w:rFonts w:hAnsi="宋体" w:cs="宋体"/>
          <w:b/>
          <w:bCs/>
          <w:color w:val="auto"/>
        </w:rPr>
      </w:pPr>
      <w:r>
        <w:rPr>
          <w:rFonts w:hint="eastAsia" w:hAnsi="宋体" w:cs="宋体"/>
          <w:b/>
          <w:bCs/>
          <w:color w:val="auto"/>
        </w:rPr>
        <w:t>采购人（全称）：西安市高陵区</w:t>
      </w:r>
      <w:r>
        <w:rPr>
          <w:rFonts w:hint="eastAsia" w:hAnsi="宋体" w:cs="宋体"/>
          <w:b/>
          <w:bCs/>
          <w:color w:val="auto"/>
          <w:lang w:val="en-US" w:eastAsia="zh-CN"/>
        </w:rPr>
        <w:t>教育局</w:t>
      </w:r>
      <w:r>
        <w:rPr>
          <w:rFonts w:hint="eastAsia" w:hAnsi="宋体" w:cs="宋体"/>
          <w:b/>
          <w:bCs/>
          <w:color w:val="auto"/>
        </w:rPr>
        <w:t xml:space="preserve">                         </w:t>
      </w:r>
    </w:p>
    <w:p>
      <w:pPr>
        <w:adjustRightInd w:val="0"/>
        <w:snapToGrid w:val="0"/>
        <w:spacing w:line="360" w:lineRule="auto"/>
        <w:rPr>
          <w:rFonts w:hAnsi="宋体" w:cs="宋体"/>
          <w:color w:val="auto"/>
        </w:rPr>
      </w:pPr>
      <w:r>
        <w:rPr>
          <w:rFonts w:hint="eastAsia" w:hAnsi="宋体" w:cs="宋体"/>
          <w:b/>
          <w:bCs/>
          <w:color w:val="auto"/>
        </w:rPr>
        <w:t xml:space="preserve">供应商（全称）：         </w:t>
      </w:r>
      <w:r>
        <w:rPr>
          <w:rFonts w:hint="eastAsia" w:hAnsi="宋体" w:cs="宋体"/>
          <w:color w:val="auto"/>
        </w:rPr>
        <w:t xml:space="preserve">                         </w:t>
      </w:r>
    </w:p>
    <w:p>
      <w:pPr>
        <w:adjustRightInd w:val="0"/>
        <w:snapToGrid w:val="0"/>
        <w:spacing w:line="360" w:lineRule="auto"/>
        <w:ind w:firstLine="420" w:firstLineChars="200"/>
        <w:rPr>
          <w:rFonts w:hAnsi="宋体" w:cs="宋体"/>
          <w:color w:val="auto"/>
          <w:u w:val="single"/>
        </w:rPr>
      </w:pPr>
      <w:r>
        <w:rPr>
          <w:rFonts w:hint="eastAsia" w:hAnsi="宋体" w:cs="宋体"/>
          <w:color w:val="auto"/>
        </w:rPr>
        <w:t>根据</w:t>
      </w:r>
      <w:r>
        <w:rPr>
          <w:rFonts w:hint="eastAsia" w:hAnsi="宋体" w:cs="宋体"/>
          <w:color w:val="auto"/>
          <w:u w:val="single"/>
        </w:rPr>
        <w:t>（西安市高陵区船张观澜小学校园文化项目）</w:t>
      </w:r>
      <w:r>
        <w:rPr>
          <w:rFonts w:hint="eastAsia" w:hAnsi="宋体" w:cs="宋体"/>
          <w:color w:val="auto"/>
        </w:rPr>
        <w:t>的采购结果，按照《中华人民共和国合同法》及其他有关法律、法规，遵循平等、自愿、公平和诚信的原则，双方就下述项目范围与相关服务事项协商一致，订立本合同。</w:t>
      </w:r>
    </w:p>
    <w:p>
      <w:pPr>
        <w:spacing w:line="360" w:lineRule="auto"/>
        <w:rPr>
          <w:rFonts w:hAnsi="宋体" w:cs="宋体"/>
          <w:b/>
          <w:color w:val="auto"/>
        </w:rPr>
      </w:pPr>
      <w:r>
        <w:rPr>
          <w:rFonts w:hint="eastAsia" w:hAnsi="宋体" w:cs="宋体"/>
          <w:b/>
          <w:color w:val="auto"/>
        </w:rPr>
        <w:t>一、项目概况</w:t>
      </w:r>
    </w:p>
    <w:p>
      <w:pPr>
        <w:adjustRightInd w:val="0"/>
        <w:snapToGrid w:val="0"/>
        <w:spacing w:line="360" w:lineRule="auto"/>
        <w:ind w:firstLine="420" w:firstLineChars="200"/>
        <w:rPr>
          <w:rFonts w:hAnsi="宋体" w:cs="宋体"/>
          <w:color w:val="auto"/>
        </w:rPr>
      </w:pPr>
      <w:r>
        <w:rPr>
          <w:rFonts w:hint="eastAsia" w:hAnsi="宋体" w:cs="宋体"/>
          <w:color w:val="auto"/>
        </w:rPr>
        <w:t>1、项目名称：西安市高陵区船张观澜小学校园文化项目；</w:t>
      </w:r>
    </w:p>
    <w:p>
      <w:pPr>
        <w:adjustRightInd w:val="0"/>
        <w:snapToGrid w:val="0"/>
        <w:spacing w:line="360" w:lineRule="auto"/>
        <w:ind w:firstLine="420" w:firstLineChars="200"/>
        <w:rPr>
          <w:rFonts w:hAnsi="宋体" w:cs="宋体"/>
          <w:color w:val="auto"/>
        </w:rPr>
      </w:pPr>
      <w:r>
        <w:rPr>
          <w:rFonts w:hint="eastAsia" w:hAnsi="宋体" w:cs="宋体"/>
          <w:color w:val="auto"/>
        </w:rPr>
        <w:t>2、项目地点：</w:t>
      </w:r>
      <w:r>
        <w:rPr>
          <w:rFonts w:hint="eastAsia" w:hAnsi="宋体" w:cs="宋体"/>
          <w:color w:val="auto"/>
          <w:u w:val="single"/>
          <w:lang w:val="en-US" w:eastAsia="zh-CN"/>
        </w:rPr>
        <w:t>采购人指定地点</w:t>
      </w:r>
      <w:r>
        <w:rPr>
          <w:rFonts w:hint="eastAsia" w:hAnsi="宋体" w:cs="宋体"/>
          <w:color w:val="auto"/>
        </w:rPr>
        <w:t>；</w:t>
      </w:r>
    </w:p>
    <w:p>
      <w:pPr>
        <w:spacing w:line="360" w:lineRule="auto"/>
        <w:rPr>
          <w:rFonts w:hAnsi="宋体" w:cs="宋体"/>
          <w:b/>
          <w:color w:val="auto"/>
        </w:rPr>
      </w:pPr>
      <w:r>
        <w:rPr>
          <w:rFonts w:hint="eastAsia" w:hAnsi="宋体" w:cs="宋体"/>
          <w:b/>
          <w:color w:val="auto"/>
        </w:rPr>
        <w:t>二、组成本合同的文件</w:t>
      </w:r>
    </w:p>
    <w:p>
      <w:pPr>
        <w:adjustRightInd w:val="0"/>
        <w:snapToGrid w:val="0"/>
        <w:spacing w:line="360" w:lineRule="auto"/>
        <w:ind w:firstLine="420" w:firstLineChars="200"/>
        <w:rPr>
          <w:rFonts w:hAnsi="宋体" w:cs="宋体"/>
          <w:color w:val="auto"/>
        </w:rPr>
      </w:pPr>
      <w:r>
        <w:rPr>
          <w:rFonts w:hint="eastAsia" w:hAnsi="宋体" w:cs="宋体"/>
          <w:color w:val="auto"/>
        </w:rPr>
        <w:t>1、中标通知书、磋商响应文件、澄清、补充文件；</w:t>
      </w:r>
    </w:p>
    <w:p>
      <w:pPr>
        <w:adjustRightInd w:val="0"/>
        <w:snapToGrid w:val="0"/>
        <w:spacing w:line="360" w:lineRule="auto"/>
        <w:ind w:firstLine="420" w:firstLineChars="200"/>
        <w:rPr>
          <w:rFonts w:hAnsi="宋体" w:cs="宋体"/>
          <w:color w:val="auto"/>
        </w:rPr>
      </w:pPr>
      <w:r>
        <w:rPr>
          <w:rFonts w:hint="eastAsia" w:hAnsi="宋体" w:cs="宋体"/>
          <w:color w:val="auto"/>
        </w:rPr>
        <w:t>2、相关服务建议书；</w:t>
      </w:r>
    </w:p>
    <w:p>
      <w:pPr>
        <w:adjustRightInd w:val="0"/>
        <w:snapToGrid w:val="0"/>
        <w:spacing w:line="360" w:lineRule="auto"/>
        <w:ind w:firstLine="420" w:firstLineChars="200"/>
        <w:rPr>
          <w:rFonts w:hAnsi="宋体" w:cs="宋体"/>
          <w:color w:val="auto"/>
        </w:rPr>
      </w:pPr>
      <w:r>
        <w:rPr>
          <w:rFonts w:hint="eastAsia" w:hAnsi="宋体" w:cs="宋体"/>
          <w:color w:val="auto"/>
        </w:rPr>
        <w:t>3、本合同签订后，双方依法签订的补充协议也是本合同文件的组成部分。</w:t>
      </w:r>
    </w:p>
    <w:p>
      <w:pPr>
        <w:spacing w:line="360" w:lineRule="auto"/>
        <w:rPr>
          <w:rFonts w:hAnsi="宋体" w:cs="宋体"/>
          <w:b/>
          <w:color w:val="auto"/>
        </w:rPr>
      </w:pPr>
      <w:r>
        <w:rPr>
          <w:rFonts w:hint="eastAsia" w:hAnsi="宋体" w:cs="宋体"/>
          <w:b/>
          <w:color w:val="auto"/>
        </w:rPr>
        <w:t>三、合同总价</w:t>
      </w:r>
    </w:p>
    <w:p>
      <w:pPr>
        <w:adjustRightInd w:val="0"/>
        <w:snapToGrid w:val="0"/>
        <w:spacing w:line="360" w:lineRule="auto"/>
        <w:ind w:firstLine="422" w:firstLineChars="200"/>
        <w:rPr>
          <w:rFonts w:hAnsi="宋体" w:cs="宋体"/>
          <w:color w:val="auto"/>
        </w:rPr>
      </w:pPr>
      <w:r>
        <w:rPr>
          <w:rFonts w:hint="eastAsia" w:hAnsi="宋体" w:cs="宋体"/>
          <w:b/>
          <w:color w:val="auto"/>
        </w:rPr>
        <w:t>合同总价</w:t>
      </w:r>
      <w:r>
        <w:rPr>
          <w:rFonts w:hint="eastAsia" w:hAnsi="宋体" w:cs="宋体"/>
          <w:color w:val="auto"/>
        </w:rPr>
        <w:t>（大写）：</w:t>
      </w:r>
      <w:r>
        <w:rPr>
          <w:rFonts w:hint="eastAsia" w:hAnsi="宋体" w:cs="宋体"/>
          <w:color w:val="auto"/>
          <w:u w:val="single"/>
        </w:rPr>
        <w:t xml:space="preserve">                            </w:t>
      </w:r>
      <w:r>
        <w:rPr>
          <w:rFonts w:hint="eastAsia" w:hAnsi="宋体" w:cs="宋体"/>
          <w:color w:val="auto"/>
        </w:rPr>
        <w:t>（¥        ）；</w:t>
      </w:r>
    </w:p>
    <w:p>
      <w:pPr>
        <w:adjustRightInd w:val="0"/>
        <w:snapToGrid w:val="0"/>
        <w:spacing w:line="360" w:lineRule="auto"/>
        <w:ind w:firstLine="420" w:firstLineChars="200"/>
        <w:rPr>
          <w:rFonts w:hAnsi="宋体" w:cs="宋体"/>
          <w:color w:val="auto"/>
          <w:szCs w:val="24"/>
        </w:rPr>
      </w:pPr>
      <w:r>
        <w:rPr>
          <w:rFonts w:hint="eastAsia" w:hAnsi="宋体" w:cs="宋体"/>
          <w:color w:val="auto"/>
          <w:szCs w:val="24"/>
        </w:rPr>
        <w:t>合同总价即中标价，合同总价一次包死，不受市场价变化或实际工作量变化的影响。合同价格为含税价，供应商提供产品发生的一切税（包括增值税）费等都已包含于合同价款中。</w:t>
      </w:r>
    </w:p>
    <w:p>
      <w:pPr>
        <w:adjustRightInd w:val="0"/>
        <w:snapToGrid w:val="0"/>
        <w:spacing w:line="360" w:lineRule="auto"/>
        <w:ind w:firstLine="420" w:firstLineChars="200"/>
        <w:rPr>
          <w:rFonts w:hAnsi="宋体" w:cs="宋体"/>
          <w:color w:val="auto"/>
        </w:rPr>
      </w:pPr>
      <w:r>
        <w:rPr>
          <w:rFonts w:hint="eastAsia" w:hAnsi="宋体" w:cs="宋体"/>
          <w:color w:val="auto"/>
        </w:rPr>
        <w:t>附分项清单：</w:t>
      </w:r>
    </w:p>
    <w:tbl>
      <w:tblPr>
        <w:tblStyle w:val="2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17"/>
        <w:gridCol w:w="963"/>
        <w:gridCol w:w="1275"/>
        <w:gridCol w:w="1125"/>
        <w:gridCol w:w="1080"/>
        <w:gridCol w:w="129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94" w:type="dxa"/>
            <w:vAlign w:val="center"/>
          </w:tcPr>
          <w:p>
            <w:pPr>
              <w:adjustRightInd w:val="0"/>
              <w:snapToGrid w:val="0"/>
              <w:jc w:val="center"/>
              <w:rPr>
                <w:rFonts w:hAnsi="宋体" w:cs="宋体"/>
                <w:color w:val="auto"/>
              </w:rPr>
            </w:pPr>
            <w:r>
              <w:rPr>
                <w:rFonts w:hint="eastAsia" w:hAnsi="宋体" w:cs="宋体"/>
                <w:color w:val="auto"/>
              </w:rPr>
              <w:t>序号</w:t>
            </w:r>
          </w:p>
        </w:tc>
        <w:tc>
          <w:tcPr>
            <w:tcW w:w="1017" w:type="dxa"/>
            <w:vAlign w:val="center"/>
          </w:tcPr>
          <w:p>
            <w:pPr>
              <w:adjustRightInd w:val="0"/>
              <w:snapToGrid w:val="0"/>
              <w:jc w:val="center"/>
              <w:rPr>
                <w:rFonts w:hAnsi="宋体" w:cs="宋体"/>
                <w:color w:val="auto"/>
              </w:rPr>
            </w:pPr>
            <w:r>
              <w:rPr>
                <w:rFonts w:hint="eastAsia" w:hAnsi="宋体" w:cs="宋体"/>
                <w:color w:val="auto"/>
              </w:rPr>
              <w:t>名称</w:t>
            </w:r>
          </w:p>
        </w:tc>
        <w:tc>
          <w:tcPr>
            <w:tcW w:w="963" w:type="dxa"/>
            <w:vAlign w:val="center"/>
          </w:tcPr>
          <w:p>
            <w:pPr>
              <w:adjustRightInd w:val="0"/>
              <w:snapToGrid w:val="0"/>
              <w:jc w:val="center"/>
              <w:rPr>
                <w:rFonts w:hAnsi="宋体" w:cs="宋体"/>
                <w:color w:val="auto"/>
              </w:rPr>
            </w:pPr>
            <w:r>
              <w:rPr>
                <w:rFonts w:hint="eastAsia" w:hAnsi="宋体" w:cs="宋体"/>
                <w:color w:val="auto"/>
              </w:rPr>
              <w:t>品牌</w:t>
            </w:r>
          </w:p>
        </w:tc>
        <w:tc>
          <w:tcPr>
            <w:tcW w:w="1275" w:type="dxa"/>
            <w:vAlign w:val="center"/>
          </w:tcPr>
          <w:p>
            <w:pPr>
              <w:adjustRightInd w:val="0"/>
              <w:snapToGrid w:val="0"/>
              <w:jc w:val="center"/>
              <w:rPr>
                <w:rFonts w:hAnsi="宋体" w:cs="宋体"/>
                <w:color w:val="auto"/>
              </w:rPr>
            </w:pPr>
            <w:r>
              <w:rPr>
                <w:rFonts w:hint="eastAsia" w:hAnsi="宋体" w:cs="宋体"/>
                <w:color w:val="auto"/>
              </w:rPr>
              <w:t>规格型号</w:t>
            </w:r>
          </w:p>
        </w:tc>
        <w:tc>
          <w:tcPr>
            <w:tcW w:w="1125" w:type="dxa"/>
            <w:vAlign w:val="center"/>
          </w:tcPr>
          <w:p>
            <w:pPr>
              <w:adjustRightInd w:val="0"/>
              <w:snapToGrid w:val="0"/>
              <w:jc w:val="center"/>
              <w:rPr>
                <w:rFonts w:hAnsi="宋体" w:cs="宋体"/>
                <w:color w:val="auto"/>
              </w:rPr>
            </w:pPr>
            <w:r>
              <w:rPr>
                <w:rFonts w:hint="eastAsia" w:hAnsi="宋体" w:cs="宋体"/>
                <w:color w:val="auto"/>
              </w:rPr>
              <w:t>数量</w:t>
            </w:r>
          </w:p>
        </w:tc>
        <w:tc>
          <w:tcPr>
            <w:tcW w:w="1080" w:type="dxa"/>
            <w:vAlign w:val="center"/>
          </w:tcPr>
          <w:p>
            <w:pPr>
              <w:adjustRightInd w:val="0"/>
              <w:snapToGrid w:val="0"/>
              <w:jc w:val="center"/>
              <w:rPr>
                <w:rFonts w:hAnsi="宋体" w:cs="宋体"/>
                <w:color w:val="auto"/>
              </w:rPr>
            </w:pPr>
            <w:r>
              <w:rPr>
                <w:rFonts w:hint="eastAsia" w:hAnsi="宋体" w:cs="宋体"/>
                <w:color w:val="auto"/>
              </w:rPr>
              <w:t>单位</w:t>
            </w:r>
          </w:p>
        </w:tc>
        <w:tc>
          <w:tcPr>
            <w:tcW w:w="1290" w:type="dxa"/>
            <w:vAlign w:val="center"/>
          </w:tcPr>
          <w:p>
            <w:pPr>
              <w:adjustRightInd w:val="0"/>
              <w:snapToGrid w:val="0"/>
              <w:jc w:val="center"/>
              <w:rPr>
                <w:rFonts w:hAnsi="宋体" w:cs="宋体"/>
                <w:color w:val="auto"/>
              </w:rPr>
            </w:pPr>
            <w:r>
              <w:rPr>
                <w:rFonts w:hint="eastAsia" w:hAnsi="宋体" w:cs="宋体"/>
                <w:color w:val="auto"/>
              </w:rPr>
              <w:t>单价</w:t>
            </w:r>
          </w:p>
          <w:p>
            <w:pPr>
              <w:adjustRightInd w:val="0"/>
              <w:snapToGrid w:val="0"/>
              <w:jc w:val="center"/>
              <w:rPr>
                <w:rFonts w:hAnsi="宋体" w:cs="宋体"/>
                <w:color w:val="auto"/>
              </w:rPr>
            </w:pPr>
            <w:r>
              <w:rPr>
                <w:rFonts w:hint="eastAsia" w:hAnsi="宋体" w:cs="宋体"/>
                <w:color w:val="auto"/>
              </w:rPr>
              <w:t>（元）</w:t>
            </w:r>
          </w:p>
        </w:tc>
        <w:tc>
          <w:tcPr>
            <w:tcW w:w="1116" w:type="dxa"/>
            <w:vAlign w:val="center"/>
          </w:tcPr>
          <w:p>
            <w:pPr>
              <w:adjustRightInd w:val="0"/>
              <w:snapToGrid w:val="0"/>
              <w:jc w:val="center"/>
              <w:rPr>
                <w:rFonts w:hAnsi="宋体" w:cs="宋体"/>
                <w:color w:val="auto"/>
              </w:rPr>
            </w:pPr>
            <w:r>
              <w:rPr>
                <w:rFonts w:hint="eastAsia" w:hAnsi="宋体" w:cs="宋体"/>
                <w:color w:val="auto"/>
              </w:rPr>
              <w:t>合计</w:t>
            </w:r>
          </w:p>
          <w:p>
            <w:pPr>
              <w:adjustRightInd w:val="0"/>
              <w:snapToGrid w:val="0"/>
              <w:jc w:val="center"/>
              <w:rPr>
                <w:rFonts w:hAnsi="宋体" w:cs="宋体"/>
                <w:color w:val="auto"/>
              </w:rPr>
            </w:pPr>
            <w:r>
              <w:rPr>
                <w:rFonts w:hint="eastAsia"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Ansi="宋体" w:cs="宋体"/>
                <w:color w:val="auto"/>
              </w:rPr>
            </w:pPr>
          </w:p>
        </w:tc>
        <w:tc>
          <w:tcPr>
            <w:tcW w:w="1017" w:type="dxa"/>
            <w:vAlign w:val="center"/>
          </w:tcPr>
          <w:p>
            <w:pPr>
              <w:adjustRightInd w:val="0"/>
              <w:snapToGrid w:val="0"/>
              <w:jc w:val="center"/>
              <w:rPr>
                <w:rFonts w:hAnsi="宋体" w:cs="宋体"/>
                <w:color w:val="auto"/>
              </w:rPr>
            </w:pPr>
          </w:p>
        </w:tc>
        <w:tc>
          <w:tcPr>
            <w:tcW w:w="963" w:type="dxa"/>
            <w:vAlign w:val="center"/>
          </w:tcPr>
          <w:p>
            <w:pPr>
              <w:adjustRightInd w:val="0"/>
              <w:snapToGrid w:val="0"/>
              <w:jc w:val="center"/>
              <w:rPr>
                <w:rFonts w:hAnsi="宋体" w:cs="宋体"/>
                <w:color w:val="auto"/>
              </w:rPr>
            </w:pPr>
          </w:p>
        </w:tc>
        <w:tc>
          <w:tcPr>
            <w:tcW w:w="1275" w:type="dxa"/>
            <w:vAlign w:val="center"/>
          </w:tcPr>
          <w:p>
            <w:pPr>
              <w:adjustRightInd w:val="0"/>
              <w:snapToGrid w:val="0"/>
              <w:jc w:val="center"/>
              <w:rPr>
                <w:rFonts w:hAnsi="宋体" w:cs="宋体"/>
                <w:color w:val="auto"/>
              </w:rPr>
            </w:pPr>
          </w:p>
        </w:tc>
        <w:tc>
          <w:tcPr>
            <w:tcW w:w="1125" w:type="dxa"/>
            <w:vAlign w:val="center"/>
          </w:tcPr>
          <w:p>
            <w:pPr>
              <w:adjustRightInd w:val="0"/>
              <w:snapToGrid w:val="0"/>
              <w:jc w:val="center"/>
              <w:rPr>
                <w:rFonts w:hAnsi="宋体" w:cs="宋体"/>
                <w:color w:val="auto"/>
              </w:rPr>
            </w:pPr>
          </w:p>
        </w:tc>
        <w:tc>
          <w:tcPr>
            <w:tcW w:w="1080" w:type="dxa"/>
            <w:vAlign w:val="center"/>
          </w:tcPr>
          <w:p>
            <w:pPr>
              <w:adjustRightInd w:val="0"/>
              <w:snapToGrid w:val="0"/>
              <w:jc w:val="center"/>
              <w:rPr>
                <w:rFonts w:hAnsi="宋体" w:cs="宋体"/>
                <w:color w:val="auto"/>
              </w:rPr>
            </w:pPr>
          </w:p>
        </w:tc>
        <w:tc>
          <w:tcPr>
            <w:tcW w:w="1290" w:type="dxa"/>
            <w:vAlign w:val="center"/>
          </w:tcPr>
          <w:p>
            <w:pPr>
              <w:adjustRightInd w:val="0"/>
              <w:snapToGrid w:val="0"/>
              <w:jc w:val="center"/>
              <w:rPr>
                <w:rFonts w:hAnsi="宋体" w:cs="宋体"/>
                <w:color w:val="auto"/>
              </w:rPr>
            </w:pPr>
          </w:p>
        </w:tc>
        <w:tc>
          <w:tcPr>
            <w:tcW w:w="1116" w:type="dxa"/>
            <w:vAlign w:val="center"/>
          </w:tcPr>
          <w:p>
            <w:pPr>
              <w:adjustRightInd w:val="0"/>
              <w:snapToGrid w:val="0"/>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Ansi="宋体" w:cs="宋体"/>
                <w:color w:val="auto"/>
              </w:rPr>
            </w:pPr>
          </w:p>
        </w:tc>
        <w:tc>
          <w:tcPr>
            <w:tcW w:w="1017" w:type="dxa"/>
            <w:vAlign w:val="center"/>
          </w:tcPr>
          <w:p>
            <w:pPr>
              <w:adjustRightInd w:val="0"/>
              <w:snapToGrid w:val="0"/>
              <w:jc w:val="center"/>
              <w:rPr>
                <w:rFonts w:hAnsi="宋体" w:cs="宋体"/>
                <w:color w:val="auto"/>
              </w:rPr>
            </w:pPr>
          </w:p>
        </w:tc>
        <w:tc>
          <w:tcPr>
            <w:tcW w:w="963" w:type="dxa"/>
            <w:vAlign w:val="center"/>
          </w:tcPr>
          <w:p>
            <w:pPr>
              <w:adjustRightInd w:val="0"/>
              <w:snapToGrid w:val="0"/>
              <w:jc w:val="center"/>
              <w:rPr>
                <w:rFonts w:hAnsi="宋体" w:cs="宋体"/>
                <w:color w:val="auto"/>
              </w:rPr>
            </w:pPr>
          </w:p>
        </w:tc>
        <w:tc>
          <w:tcPr>
            <w:tcW w:w="1275" w:type="dxa"/>
            <w:vAlign w:val="center"/>
          </w:tcPr>
          <w:p>
            <w:pPr>
              <w:adjustRightInd w:val="0"/>
              <w:snapToGrid w:val="0"/>
              <w:jc w:val="center"/>
              <w:rPr>
                <w:rFonts w:hAnsi="宋体" w:cs="宋体"/>
                <w:color w:val="auto"/>
              </w:rPr>
            </w:pPr>
          </w:p>
        </w:tc>
        <w:tc>
          <w:tcPr>
            <w:tcW w:w="1125" w:type="dxa"/>
            <w:vAlign w:val="center"/>
          </w:tcPr>
          <w:p>
            <w:pPr>
              <w:adjustRightInd w:val="0"/>
              <w:snapToGrid w:val="0"/>
              <w:jc w:val="center"/>
              <w:rPr>
                <w:rFonts w:hAnsi="宋体" w:cs="宋体"/>
                <w:color w:val="auto"/>
              </w:rPr>
            </w:pPr>
          </w:p>
        </w:tc>
        <w:tc>
          <w:tcPr>
            <w:tcW w:w="1080" w:type="dxa"/>
            <w:vAlign w:val="center"/>
          </w:tcPr>
          <w:p>
            <w:pPr>
              <w:adjustRightInd w:val="0"/>
              <w:snapToGrid w:val="0"/>
              <w:jc w:val="center"/>
              <w:rPr>
                <w:rFonts w:hAnsi="宋体" w:cs="宋体"/>
                <w:color w:val="auto"/>
              </w:rPr>
            </w:pPr>
          </w:p>
        </w:tc>
        <w:tc>
          <w:tcPr>
            <w:tcW w:w="1290" w:type="dxa"/>
            <w:vAlign w:val="center"/>
          </w:tcPr>
          <w:p>
            <w:pPr>
              <w:adjustRightInd w:val="0"/>
              <w:snapToGrid w:val="0"/>
              <w:jc w:val="center"/>
              <w:rPr>
                <w:rFonts w:hAnsi="宋体" w:cs="宋体"/>
                <w:color w:val="auto"/>
              </w:rPr>
            </w:pPr>
          </w:p>
        </w:tc>
        <w:tc>
          <w:tcPr>
            <w:tcW w:w="1116" w:type="dxa"/>
            <w:vAlign w:val="center"/>
          </w:tcPr>
          <w:p>
            <w:pPr>
              <w:adjustRightInd w:val="0"/>
              <w:snapToGrid w:val="0"/>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Ansi="宋体" w:cs="宋体"/>
                <w:color w:val="auto"/>
              </w:rPr>
            </w:pPr>
          </w:p>
        </w:tc>
        <w:tc>
          <w:tcPr>
            <w:tcW w:w="1017" w:type="dxa"/>
            <w:vAlign w:val="center"/>
          </w:tcPr>
          <w:p>
            <w:pPr>
              <w:adjustRightInd w:val="0"/>
              <w:snapToGrid w:val="0"/>
              <w:jc w:val="center"/>
              <w:rPr>
                <w:rFonts w:hAnsi="宋体" w:cs="宋体"/>
                <w:color w:val="auto"/>
              </w:rPr>
            </w:pPr>
          </w:p>
        </w:tc>
        <w:tc>
          <w:tcPr>
            <w:tcW w:w="963" w:type="dxa"/>
            <w:vAlign w:val="center"/>
          </w:tcPr>
          <w:p>
            <w:pPr>
              <w:adjustRightInd w:val="0"/>
              <w:snapToGrid w:val="0"/>
              <w:jc w:val="center"/>
              <w:rPr>
                <w:rFonts w:hAnsi="宋体" w:cs="宋体"/>
                <w:color w:val="auto"/>
              </w:rPr>
            </w:pPr>
          </w:p>
        </w:tc>
        <w:tc>
          <w:tcPr>
            <w:tcW w:w="1275" w:type="dxa"/>
            <w:vAlign w:val="center"/>
          </w:tcPr>
          <w:p>
            <w:pPr>
              <w:adjustRightInd w:val="0"/>
              <w:snapToGrid w:val="0"/>
              <w:jc w:val="center"/>
              <w:rPr>
                <w:rFonts w:hAnsi="宋体" w:cs="宋体"/>
                <w:color w:val="auto"/>
              </w:rPr>
            </w:pPr>
          </w:p>
        </w:tc>
        <w:tc>
          <w:tcPr>
            <w:tcW w:w="1125" w:type="dxa"/>
            <w:vAlign w:val="center"/>
          </w:tcPr>
          <w:p>
            <w:pPr>
              <w:adjustRightInd w:val="0"/>
              <w:snapToGrid w:val="0"/>
              <w:jc w:val="center"/>
              <w:rPr>
                <w:rFonts w:hAnsi="宋体" w:cs="宋体"/>
                <w:color w:val="auto"/>
              </w:rPr>
            </w:pPr>
          </w:p>
        </w:tc>
        <w:tc>
          <w:tcPr>
            <w:tcW w:w="1080" w:type="dxa"/>
            <w:vAlign w:val="center"/>
          </w:tcPr>
          <w:p>
            <w:pPr>
              <w:adjustRightInd w:val="0"/>
              <w:snapToGrid w:val="0"/>
              <w:jc w:val="center"/>
              <w:rPr>
                <w:rFonts w:hAnsi="宋体" w:cs="宋体"/>
                <w:color w:val="auto"/>
              </w:rPr>
            </w:pPr>
          </w:p>
        </w:tc>
        <w:tc>
          <w:tcPr>
            <w:tcW w:w="1290" w:type="dxa"/>
            <w:vAlign w:val="center"/>
          </w:tcPr>
          <w:p>
            <w:pPr>
              <w:adjustRightInd w:val="0"/>
              <w:snapToGrid w:val="0"/>
              <w:jc w:val="center"/>
              <w:rPr>
                <w:rFonts w:hAnsi="宋体" w:cs="宋体"/>
                <w:color w:val="auto"/>
              </w:rPr>
            </w:pPr>
          </w:p>
        </w:tc>
        <w:tc>
          <w:tcPr>
            <w:tcW w:w="1116" w:type="dxa"/>
            <w:vAlign w:val="center"/>
          </w:tcPr>
          <w:p>
            <w:pPr>
              <w:adjustRightInd w:val="0"/>
              <w:snapToGrid w:val="0"/>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0" w:type="dxa"/>
            <w:gridSpan w:val="8"/>
            <w:vAlign w:val="center"/>
          </w:tcPr>
          <w:p>
            <w:pPr>
              <w:adjustRightInd w:val="0"/>
              <w:snapToGrid w:val="0"/>
              <w:jc w:val="left"/>
              <w:rPr>
                <w:rFonts w:hAnsi="宋体" w:cs="宋体"/>
                <w:color w:val="auto"/>
              </w:rPr>
            </w:pPr>
            <w:r>
              <w:rPr>
                <w:rFonts w:hint="eastAsia" w:hAnsi="宋体" w:cs="宋体"/>
                <w:color w:val="auto"/>
              </w:rPr>
              <w:t>合计金额：¥          万元；     大写：</w:t>
            </w:r>
          </w:p>
        </w:tc>
      </w:tr>
    </w:tbl>
    <w:p>
      <w:pPr>
        <w:adjustRightInd w:val="0"/>
        <w:snapToGrid w:val="0"/>
        <w:spacing w:line="560" w:lineRule="exact"/>
        <w:ind w:firstLine="415" w:firstLineChars="198"/>
        <w:rPr>
          <w:rFonts w:hAnsi="宋体" w:cs="宋体"/>
          <w:color w:val="auto"/>
        </w:rPr>
      </w:pPr>
      <w:r>
        <w:rPr>
          <w:rFonts w:hint="eastAsia" w:hAnsi="宋体" w:cs="宋体"/>
          <w:color w:val="auto"/>
        </w:rPr>
        <w:t>注：此表应与磋商文件、磋商响应文件内容一致。</w:t>
      </w:r>
    </w:p>
    <w:p>
      <w:pPr>
        <w:spacing w:line="360" w:lineRule="auto"/>
        <w:rPr>
          <w:rFonts w:hAnsi="宋体" w:cs="宋体"/>
          <w:b/>
          <w:color w:val="auto"/>
          <w:szCs w:val="22"/>
        </w:rPr>
      </w:pPr>
      <w:r>
        <w:rPr>
          <w:rFonts w:hint="eastAsia" w:hAnsi="宋体" w:cs="宋体"/>
          <w:b/>
          <w:color w:val="auto"/>
          <w:szCs w:val="22"/>
        </w:rPr>
        <w:t>四、结算方式：</w:t>
      </w:r>
    </w:p>
    <w:p>
      <w:pPr>
        <w:spacing w:line="360" w:lineRule="auto"/>
        <w:ind w:firstLine="420" w:firstLineChars="200"/>
        <w:rPr>
          <w:rFonts w:hAnsi="宋体" w:cs="宋体"/>
          <w:color w:val="auto"/>
          <w:szCs w:val="22"/>
        </w:rPr>
      </w:pPr>
      <w:r>
        <w:rPr>
          <w:rFonts w:hint="eastAsia" w:hAnsi="宋体" w:cs="宋体"/>
          <w:color w:val="auto"/>
          <w:szCs w:val="22"/>
        </w:rPr>
        <w:t>1、合同总价即中标价，为一次性报价，不受市场价变化或实际工作量变化的影响。</w:t>
      </w:r>
    </w:p>
    <w:p>
      <w:pPr>
        <w:spacing w:line="360" w:lineRule="auto"/>
        <w:ind w:firstLine="420" w:firstLineChars="200"/>
        <w:rPr>
          <w:rFonts w:hAnsi="宋体" w:cs="宋体"/>
          <w:color w:val="auto"/>
          <w:szCs w:val="22"/>
        </w:rPr>
      </w:pPr>
      <w:r>
        <w:rPr>
          <w:rFonts w:hint="eastAsia" w:hAnsi="宋体" w:cs="宋体"/>
          <w:color w:val="auto"/>
          <w:szCs w:val="22"/>
        </w:rPr>
        <w:t>2、付款方式和程序：</w:t>
      </w:r>
    </w:p>
    <w:p>
      <w:pPr>
        <w:spacing w:line="360" w:lineRule="auto"/>
        <w:ind w:firstLine="420" w:firstLineChars="200"/>
        <w:rPr>
          <w:rFonts w:hAnsi="宋体" w:cs="宋体"/>
          <w:color w:val="auto"/>
          <w:szCs w:val="22"/>
        </w:rPr>
      </w:pPr>
      <w:r>
        <w:rPr>
          <w:rFonts w:hint="eastAsia" w:hAnsi="宋体" w:cs="宋体"/>
          <w:color w:val="auto"/>
          <w:szCs w:val="22"/>
        </w:rPr>
        <w:t>1）由采购人以人民币负责结算，付款时供应商须出具收货单位签字盖章的验收报告单方可进行结算。（附详细清单）。</w:t>
      </w:r>
    </w:p>
    <w:p>
      <w:pPr>
        <w:spacing w:line="360" w:lineRule="auto"/>
        <w:ind w:firstLine="420" w:firstLineChars="200"/>
        <w:rPr>
          <w:rFonts w:hAnsi="宋体" w:cs="宋体"/>
          <w:color w:val="auto"/>
          <w:szCs w:val="22"/>
        </w:rPr>
      </w:pPr>
      <w:r>
        <w:rPr>
          <w:rFonts w:hint="eastAsia" w:hAnsi="宋体" w:cs="宋体"/>
          <w:color w:val="auto"/>
          <w:szCs w:val="22"/>
        </w:rPr>
        <w:t xml:space="preserve">2）付款方式： </w:t>
      </w:r>
    </w:p>
    <w:p>
      <w:pPr>
        <w:spacing w:line="360" w:lineRule="auto"/>
        <w:ind w:firstLine="420" w:firstLineChars="200"/>
        <w:rPr>
          <w:rFonts w:hint="eastAsia" w:hAnsi="宋体" w:cs="宋体"/>
          <w:color w:val="auto"/>
          <w:szCs w:val="22"/>
          <w:highlight w:val="yellow"/>
          <w:lang w:val="en-US" w:eastAsia="zh-CN"/>
        </w:rPr>
      </w:pPr>
      <w:r>
        <w:rPr>
          <w:rFonts w:hint="eastAsia" w:ascii="宋体" w:hAnsi="宋体" w:cs="宋体"/>
          <w:color w:val="auto"/>
          <w:sz w:val="21"/>
          <w:szCs w:val="21"/>
          <w:highlight w:val="none"/>
          <w:lang w:val="en-US" w:eastAsia="zh-CN"/>
        </w:rPr>
        <w:t>项目完工且通过</w:t>
      </w:r>
      <w:r>
        <w:rPr>
          <w:rFonts w:hint="eastAsia" w:ascii="宋体" w:hAnsi="宋体" w:eastAsia="宋体" w:cs="宋体"/>
          <w:color w:val="auto"/>
          <w:sz w:val="21"/>
          <w:szCs w:val="21"/>
          <w:highlight w:val="none"/>
        </w:rPr>
        <w:t>甲方验收合格后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甲方向乙方一次性支付合同款的100%。</w:t>
      </w:r>
    </w:p>
    <w:p>
      <w:pPr>
        <w:adjustRightInd w:val="0"/>
        <w:snapToGrid w:val="0"/>
        <w:spacing w:line="360" w:lineRule="auto"/>
        <w:rPr>
          <w:rFonts w:hAnsi="宋体" w:cs="宋体"/>
          <w:b/>
          <w:color w:val="auto"/>
        </w:rPr>
      </w:pPr>
      <w:r>
        <w:rPr>
          <w:rFonts w:hint="eastAsia" w:hAnsi="宋体" w:cs="宋体"/>
          <w:b/>
          <w:color w:val="auto"/>
        </w:rPr>
        <w:t>五、交货地点及交货期</w:t>
      </w:r>
    </w:p>
    <w:p>
      <w:pPr>
        <w:adjustRightInd w:val="0"/>
        <w:snapToGrid w:val="0"/>
        <w:spacing w:line="360" w:lineRule="auto"/>
        <w:ind w:firstLine="420" w:firstLineChars="200"/>
        <w:rPr>
          <w:rFonts w:hAnsi="宋体" w:cs="宋体"/>
          <w:color w:val="auto"/>
        </w:rPr>
      </w:pPr>
      <w:r>
        <w:rPr>
          <w:rFonts w:hint="eastAsia" w:hAnsi="宋体" w:cs="宋体"/>
          <w:color w:val="auto"/>
        </w:rPr>
        <w:t>1、</w:t>
      </w:r>
      <w:r>
        <w:rPr>
          <w:rFonts w:hint="eastAsia" w:hAnsi="宋体" w:cs="宋体"/>
          <w:color w:val="auto"/>
          <w:lang w:val="en-US" w:eastAsia="zh-CN"/>
        </w:rPr>
        <w:t>项目</w:t>
      </w:r>
      <w:r>
        <w:rPr>
          <w:rFonts w:hint="eastAsia" w:hAnsi="宋体" w:cs="宋体"/>
          <w:color w:val="auto"/>
        </w:rPr>
        <w:t>地点：采购人指定地点</w:t>
      </w:r>
    </w:p>
    <w:p>
      <w:pPr>
        <w:spacing w:line="360" w:lineRule="auto"/>
        <w:ind w:firstLine="420" w:firstLineChars="200"/>
        <w:rPr>
          <w:rFonts w:hAnsi="宋体" w:cs="宋体"/>
          <w:color w:val="auto"/>
        </w:rPr>
      </w:pPr>
      <w:r>
        <w:rPr>
          <w:rFonts w:hint="eastAsia" w:hAnsi="宋体" w:cs="宋体"/>
          <w:color w:val="auto"/>
        </w:rPr>
        <w:t>2、</w:t>
      </w:r>
      <w:r>
        <w:rPr>
          <w:rFonts w:hint="eastAsia" w:hAnsi="宋体" w:cs="宋体"/>
          <w:color w:val="auto"/>
          <w:lang w:eastAsia="zh-CN"/>
        </w:rPr>
        <w:t>完工期</w:t>
      </w:r>
      <w:r>
        <w:rPr>
          <w:rFonts w:hint="eastAsia" w:hAnsi="宋体" w:cs="宋体"/>
          <w:color w:val="auto"/>
        </w:rPr>
        <w:t>：</w:t>
      </w:r>
      <w:r>
        <w:rPr>
          <w:rFonts w:hint="eastAsia" w:ascii="宋体" w:hAnsi="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30日历天内</w:t>
      </w:r>
      <w:r>
        <w:rPr>
          <w:rFonts w:hint="eastAsia" w:hAnsi="宋体" w:cs="宋体"/>
          <w:color w:val="auto"/>
        </w:rPr>
        <w:t xml:space="preserve"> </w:t>
      </w:r>
    </w:p>
    <w:p>
      <w:pPr>
        <w:adjustRightInd w:val="0"/>
        <w:snapToGrid w:val="0"/>
        <w:spacing w:line="360" w:lineRule="auto"/>
        <w:rPr>
          <w:rFonts w:hAnsi="宋体" w:cs="宋体"/>
          <w:b/>
          <w:color w:val="auto"/>
          <w:szCs w:val="22"/>
        </w:rPr>
      </w:pPr>
      <w:r>
        <w:rPr>
          <w:rFonts w:hint="eastAsia" w:hAnsi="宋体" w:cs="宋体"/>
          <w:b/>
          <w:color w:val="auto"/>
          <w:szCs w:val="22"/>
        </w:rPr>
        <w:t xml:space="preserve">六. 项目售后服务及验收标准。 </w:t>
      </w:r>
    </w:p>
    <w:p>
      <w:pPr>
        <w:adjustRightInd w:val="0"/>
        <w:snapToGrid w:val="0"/>
        <w:spacing w:line="360" w:lineRule="auto"/>
        <w:ind w:firstLine="420" w:firstLineChars="200"/>
        <w:rPr>
          <w:rFonts w:hAnsi="宋体" w:cs="宋体"/>
          <w:color w:val="auto"/>
          <w:szCs w:val="22"/>
        </w:rPr>
      </w:pPr>
      <w:r>
        <w:rPr>
          <w:rFonts w:hint="eastAsia" w:hAnsi="宋体" w:cs="宋体"/>
          <w:color w:val="auto"/>
          <w:szCs w:val="22"/>
        </w:rPr>
        <w:t xml:space="preserve">售后服务：在保修期内按合同约定履行保修义务。 </w:t>
      </w:r>
    </w:p>
    <w:p>
      <w:pPr>
        <w:adjustRightInd w:val="0"/>
        <w:snapToGrid w:val="0"/>
        <w:spacing w:line="360" w:lineRule="auto"/>
        <w:ind w:firstLine="420" w:firstLineChars="200"/>
        <w:rPr>
          <w:rFonts w:hAnsi="宋体" w:cs="宋体"/>
          <w:color w:val="auto"/>
          <w:szCs w:val="22"/>
        </w:rPr>
      </w:pPr>
      <w:r>
        <w:rPr>
          <w:rFonts w:hint="eastAsia" w:hAnsi="宋体" w:cs="宋体"/>
          <w:color w:val="auto"/>
          <w:szCs w:val="22"/>
        </w:rPr>
        <w:t xml:space="preserve">验收标准：应符合现行国家、省、市等相关的法律、行政法规以及规范性文件 </w:t>
      </w:r>
    </w:p>
    <w:p>
      <w:pPr>
        <w:adjustRightInd w:val="0"/>
        <w:snapToGrid w:val="0"/>
        <w:spacing w:line="360" w:lineRule="auto"/>
        <w:ind w:firstLine="420" w:firstLineChars="200"/>
        <w:rPr>
          <w:color w:val="auto"/>
        </w:rPr>
      </w:pPr>
      <w:r>
        <w:rPr>
          <w:rFonts w:hint="eastAsia" w:hAnsi="宋体" w:cs="宋体"/>
          <w:color w:val="auto"/>
          <w:szCs w:val="22"/>
        </w:rPr>
        <w:t xml:space="preserve">规定。 </w:t>
      </w:r>
    </w:p>
    <w:p>
      <w:pPr>
        <w:spacing w:line="360" w:lineRule="auto"/>
        <w:rPr>
          <w:rFonts w:hAnsi="宋体" w:cs="宋体"/>
          <w:b/>
          <w:bCs/>
          <w:color w:val="auto"/>
          <w:szCs w:val="24"/>
        </w:rPr>
      </w:pPr>
      <w:r>
        <w:rPr>
          <w:rFonts w:hint="eastAsia" w:hAnsi="宋体" w:cs="宋体"/>
          <w:b/>
          <w:bCs/>
          <w:color w:val="auto"/>
        </w:rPr>
        <w:t>七</w:t>
      </w:r>
      <w:r>
        <w:rPr>
          <w:rFonts w:hint="eastAsia" w:hAnsi="宋体" w:cs="宋体"/>
          <w:b/>
          <w:bCs/>
          <w:color w:val="auto"/>
          <w:szCs w:val="24"/>
        </w:rPr>
        <w:t>、双方承诺</w:t>
      </w:r>
    </w:p>
    <w:p>
      <w:pPr>
        <w:adjustRightInd w:val="0"/>
        <w:snapToGrid w:val="0"/>
        <w:spacing w:line="360" w:lineRule="auto"/>
        <w:ind w:firstLine="420" w:firstLineChars="200"/>
        <w:rPr>
          <w:rFonts w:hAnsi="宋体" w:cs="宋体"/>
          <w:color w:val="auto"/>
          <w:szCs w:val="24"/>
        </w:rPr>
      </w:pPr>
      <w:r>
        <w:rPr>
          <w:rFonts w:hint="eastAsia" w:hAnsi="宋体" w:cs="宋体"/>
          <w:color w:val="auto"/>
          <w:szCs w:val="24"/>
        </w:rPr>
        <w:t>1、供应商向采购人承诺，按照本合同约定提供相关服务。</w:t>
      </w:r>
    </w:p>
    <w:p>
      <w:pPr>
        <w:adjustRightInd w:val="0"/>
        <w:snapToGrid w:val="0"/>
        <w:spacing w:line="360" w:lineRule="auto"/>
        <w:ind w:firstLine="420" w:firstLineChars="200"/>
        <w:rPr>
          <w:rFonts w:hAnsi="宋体" w:cs="宋体"/>
          <w:color w:val="auto"/>
          <w:szCs w:val="24"/>
        </w:rPr>
      </w:pPr>
      <w:r>
        <w:rPr>
          <w:rFonts w:hint="eastAsia" w:hAnsi="宋体" w:cs="宋体"/>
          <w:color w:val="auto"/>
          <w:szCs w:val="24"/>
        </w:rPr>
        <w:t>2、采购人向供应商承诺，按照本合同约定支付服务款项。</w:t>
      </w:r>
    </w:p>
    <w:p>
      <w:pPr>
        <w:adjustRightInd w:val="0"/>
        <w:snapToGrid w:val="0"/>
        <w:spacing w:line="360" w:lineRule="auto"/>
        <w:rPr>
          <w:rFonts w:hAnsi="宋体" w:cs="宋体"/>
          <w:b/>
          <w:color w:val="auto"/>
          <w:szCs w:val="24"/>
        </w:rPr>
      </w:pPr>
      <w:r>
        <w:rPr>
          <w:rFonts w:hint="eastAsia" w:hAnsi="宋体" w:cs="宋体"/>
          <w:b/>
          <w:color w:val="auto"/>
          <w:szCs w:val="24"/>
        </w:rPr>
        <w:t>八、内容及要求：</w:t>
      </w:r>
    </w:p>
    <w:p>
      <w:pPr>
        <w:adjustRightInd w:val="0"/>
        <w:snapToGrid w:val="0"/>
        <w:spacing w:line="360" w:lineRule="auto"/>
        <w:ind w:firstLine="420" w:firstLineChars="200"/>
        <w:rPr>
          <w:rFonts w:hAnsi="宋体" w:cs="宋体"/>
          <w:color w:val="auto"/>
          <w:szCs w:val="24"/>
        </w:rPr>
      </w:pPr>
      <w:r>
        <w:rPr>
          <w:rFonts w:hint="eastAsia" w:hAnsi="宋体" w:cs="宋体"/>
          <w:color w:val="auto"/>
          <w:szCs w:val="24"/>
        </w:rPr>
        <w:t>即交付的产品、服务内容、数量与磋商文件、磋商响应文件等所指明的，或者与本合同所指明的产品、服务内容相一致。</w:t>
      </w:r>
    </w:p>
    <w:p>
      <w:pPr>
        <w:spacing w:after="120"/>
        <w:jc w:val="center"/>
        <w:rPr>
          <w:rFonts w:hAnsi="宋体"/>
          <w:b/>
          <w:color w:val="auto"/>
          <w:sz w:val="32"/>
          <w:szCs w:val="32"/>
        </w:rPr>
      </w:pPr>
      <w:r>
        <w:rPr>
          <w:rFonts w:hint="eastAsia" w:hAnsi="宋体"/>
          <w:b/>
          <w:color w:val="auto"/>
          <w:sz w:val="32"/>
          <w:szCs w:val="32"/>
        </w:rPr>
        <w:t>供货内容一览表</w:t>
      </w:r>
    </w:p>
    <w:tbl>
      <w:tblPr>
        <w:tblStyle w:val="27"/>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Lines="50" w:line="360" w:lineRule="auto"/>
              <w:jc w:val="center"/>
              <w:rPr>
                <w:rFonts w:hAnsi="宋体" w:cs="宋体"/>
                <w:b/>
                <w:color w:val="auto"/>
                <w:szCs w:val="24"/>
              </w:rPr>
            </w:pPr>
            <w:r>
              <w:rPr>
                <w:rFonts w:hint="eastAsia" w:hAnsi="宋体" w:cs="宋体"/>
                <w:b/>
                <w:color w:val="auto"/>
                <w:szCs w:val="24"/>
              </w:rPr>
              <w:t>序号</w:t>
            </w:r>
          </w:p>
        </w:tc>
        <w:tc>
          <w:tcPr>
            <w:tcW w:w="960" w:type="dxa"/>
            <w:vAlign w:val="center"/>
          </w:tcPr>
          <w:p>
            <w:pPr>
              <w:spacing w:beforeLines="50" w:line="360" w:lineRule="auto"/>
              <w:jc w:val="center"/>
              <w:rPr>
                <w:rFonts w:hAnsi="宋体" w:cs="宋体"/>
                <w:b/>
                <w:color w:val="auto"/>
                <w:szCs w:val="24"/>
              </w:rPr>
            </w:pPr>
            <w:r>
              <w:rPr>
                <w:rFonts w:hint="eastAsia" w:hAnsi="宋体" w:cs="宋体"/>
                <w:b/>
                <w:color w:val="auto"/>
                <w:szCs w:val="24"/>
              </w:rPr>
              <w:t>名称</w:t>
            </w:r>
          </w:p>
        </w:tc>
        <w:tc>
          <w:tcPr>
            <w:tcW w:w="1485" w:type="dxa"/>
            <w:tcBorders>
              <w:right w:val="single" w:color="auto" w:sz="4" w:space="0"/>
            </w:tcBorders>
            <w:vAlign w:val="center"/>
          </w:tcPr>
          <w:p>
            <w:pPr>
              <w:pStyle w:val="7"/>
              <w:adjustRightInd w:val="0"/>
              <w:snapToGrid w:val="0"/>
              <w:ind w:left="0"/>
              <w:jc w:val="center"/>
              <w:rPr>
                <w:rFonts w:hint="eastAsia" w:ascii="Calibri" w:hAnsi="宋体" w:eastAsia="宋体" w:cs="宋体"/>
                <w:b/>
                <w:color w:val="auto"/>
                <w:kern w:val="2"/>
                <w:sz w:val="21"/>
                <w:szCs w:val="24"/>
                <w:lang w:val="en-US" w:eastAsia="zh-CN" w:bidi="ar-SA"/>
              </w:rPr>
            </w:pPr>
            <w:bookmarkStart w:id="444" w:name="_Toc27392"/>
            <w:r>
              <w:rPr>
                <w:rFonts w:hint="eastAsia" w:ascii="Calibri" w:hAnsi="宋体" w:eastAsia="宋体" w:cs="宋体"/>
                <w:b/>
                <w:color w:val="auto"/>
                <w:kern w:val="2"/>
                <w:sz w:val="21"/>
                <w:szCs w:val="24"/>
                <w:lang w:val="en-US" w:eastAsia="zh-CN" w:bidi="ar-SA"/>
              </w:rPr>
              <w:t>品牌、规格及型号</w:t>
            </w:r>
            <w:bookmarkEnd w:id="444"/>
          </w:p>
        </w:tc>
        <w:tc>
          <w:tcPr>
            <w:tcW w:w="1695" w:type="dxa"/>
            <w:tcBorders>
              <w:left w:val="single" w:color="auto" w:sz="4" w:space="0"/>
            </w:tcBorders>
            <w:vAlign w:val="center"/>
          </w:tcPr>
          <w:p>
            <w:pPr>
              <w:pStyle w:val="7"/>
              <w:adjustRightInd w:val="0"/>
              <w:snapToGrid w:val="0"/>
              <w:ind w:left="0"/>
              <w:jc w:val="center"/>
              <w:rPr>
                <w:rFonts w:hint="eastAsia" w:ascii="Calibri" w:hAnsi="宋体" w:eastAsia="宋体" w:cs="宋体"/>
                <w:b/>
                <w:color w:val="auto"/>
                <w:kern w:val="2"/>
                <w:sz w:val="21"/>
                <w:szCs w:val="24"/>
                <w:lang w:val="en-US" w:eastAsia="zh-CN" w:bidi="ar-SA"/>
              </w:rPr>
            </w:pPr>
            <w:bookmarkStart w:id="445" w:name="_Toc8981"/>
            <w:r>
              <w:rPr>
                <w:rFonts w:hint="eastAsia" w:ascii="Calibri" w:hAnsi="宋体" w:eastAsia="宋体" w:cs="宋体"/>
                <w:b/>
                <w:color w:val="auto"/>
                <w:kern w:val="2"/>
                <w:sz w:val="21"/>
                <w:szCs w:val="24"/>
                <w:lang w:val="en-US" w:eastAsia="zh-CN" w:bidi="ar-SA"/>
              </w:rPr>
              <w:t>原产地及 制造厂名</w:t>
            </w:r>
            <w:bookmarkEnd w:id="445"/>
          </w:p>
        </w:tc>
        <w:tc>
          <w:tcPr>
            <w:tcW w:w="825" w:type="dxa"/>
            <w:tcBorders>
              <w:right w:val="single" w:color="auto" w:sz="4" w:space="0"/>
            </w:tcBorders>
            <w:vAlign w:val="center"/>
          </w:tcPr>
          <w:p>
            <w:pPr>
              <w:pStyle w:val="7"/>
              <w:adjustRightInd w:val="0"/>
              <w:snapToGrid w:val="0"/>
              <w:ind w:left="0"/>
              <w:jc w:val="center"/>
              <w:rPr>
                <w:rFonts w:hint="eastAsia" w:ascii="Calibri" w:hAnsi="宋体" w:eastAsia="宋体" w:cs="宋体"/>
                <w:b/>
                <w:color w:val="auto"/>
                <w:kern w:val="2"/>
                <w:sz w:val="21"/>
                <w:szCs w:val="24"/>
                <w:lang w:val="en-US" w:eastAsia="zh-CN" w:bidi="ar-SA"/>
              </w:rPr>
            </w:pPr>
            <w:bookmarkStart w:id="446" w:name="_Toc14127"/>
            <w:r>
              <w:rPr>
                <w:rFonts w:hint="eastAsia" w:ascii="Calibri" w:hAnsi="宋体" w:eastAsia="宋体" w:cs="宋体"/>
                <w:b/>
                <w:color w:val="auto"/>
                <w:kern w:val="2"/>
                <w:sz w:val="21"/>
                <w:szCs w:val="24"/>
                <w:lang w:val="en-US" w:eastAsia="zh-CN" w:bidi="ar-SA"/>
              </w:rPr>
              <w:t>单价</w:t>
            </w:r>
            <w:bookmarkEnd w:id="446"/>
          </w:p>
        </w:tc>
        <w:tc>
          <w:tcPr>
            <w:tcW w:w="735" w:type="dxa"/>
            <w:tcBorders>
              <w:left w:val="single" w:color="auto" w:sz="4" w:space="0"/>
              <w:right w:val="single" w:color="auto" w:sz="4" w:space="0"/>
            </w:tcBorders>
            <w:vAlign w:val="center"/>
          </w:tcPr>
          <w:p>
            <w:pPr>
              <w:pStyle w:val="7"/>
              <w:adjustRightInd w:val="0"/>
              <w:snapToGrid w:val="0"/>
              <w:ind w:left="0"/>
              <w:jc w:val="center"/>
              <w:rPr>
                <w:rFonts w:hint="eastAsia" w:ascii="Calibri" w:hAnsi="宋体" w:eastAsia="宋体" w:cs="宋体"/>
                <w:b/>
                <w:color w:val="auto"/>
                <w:kern w:val="2"/>
                <w:sz w:val="21"/>
                <w:szCs w:val="24"/>
                <w:lang w:val="en-US" w:eastAsia="zh-CN" w:bidi="ar-SA"/>
              </w:rPr>
            </w:pPr>
            <w:bookmarkStart w:id="447" w:name="_Toc31109"/>
            <w:r>
              <w:rPr>
                <w:rFonts w:hint="eastAsia" w:ascii="Calibri" w:hAnsi="宋体" w:eastAsia="宋体" w:cs="宋体"/>
                <w:b/>
                <w:color w:val="auto"/>
                <w:kern w:val="2"/>
                <w:sz w:val="21"/>
                <w:szCs w:val="24"/>
                <w:lang w:val="en-US" w:eastAsia="zh-CN" w:bidi="ar-SA"/>
              </w:rPr>
              <w:t>数量</w:t>
            </w:r>
            <w:bookmarkEnd w:id="447"/>
          </w:p>
        </w:tc>
        <w:tc>
          <w:tcPr>
            <w:tcW w:w="1050" w:type="dxa"/>
            <w:tcBorders>
              <w:left w:val="single" w:color="auto" w:sz="4" w:space="0"/>
            </w:tcBorders>
            <w:vAlign w:val="center"/>
          </w:tcPr>
          <w:p>
            <w:pPr>
              <w:pStyle w:val="7"/>
              <w:ind w:left="0"/>
              <w:jc w:val="center"/>
              <w:rPr>
                <w:rFonts w:hint="eastAsia" w:ascii="Calibri" w:hAnsi="宋体" w:eastAsia="宋体" w:cs="宋体"/>
                <w:b/>
                <w:color w:val="auto"/>
                <w:kern w:val="2"/>
                <w:sz w:val="21"/>
                <w:szCs w:val="24"/>
                <w:lang w:val="en-US" w:eastAsia="zh-CN" w:bidi="ar-SA"/>
              </w:rPr>
            </w:pPr>
            <w:bookmarkStart w:id="448" w:name="_Toc23428"/>
            <w:r>
              <w:rPr>
                <w:rFonts w:hint="eastAsia" w:ascii="Calibri" w:hAnsi="宋体" w:eastAsia="宋体" w:cs="宋体"/>
                <w:b/>
                <w:color w:val="auto"/>
                <w:kern w:val="2"/>
                <w:sz w:val="21"/>
                <w:szCs w:val="24"/>
                <w:lang w:val="en-US" w:eastAsia="zh-CN" w:bidi="ar-SA"/>
              </w:rPr>
              <w:t>交付地点</w:t>
            </w:r>
            <w:bookmarkEnd w:id="448"/>
          </w:p>
        </w:tc>
        <w:tc>
          <w:tcPr>
            <w:tcW w:w="1215" w:type="dxa"/>
            <w:tcBorders>
              <w:right w:val="single" w:color="auto" w:sz="4" w:space="0"/>
            </w:tcBorders>
            <w:vAlign w:val="center"/>
          </w:tcPr>
          <w:p>
            <w:pPr>
              <w:pStyle w:val="7"/>
              <w:ind w:left="0"/>
              <w:jc w:val="center"/>
              <w:rPr>
                <w:rFonts w:hint="eastAsia" w:ascii="Calibri" w:hAnsi="宋体" w:eastAsia="宋体" w:cs="宋体"/>
                <w:b/>
                <w:color w:val="auto"/>
                <w:kern w:val="2"/>
                <w:sz w:val="21"/>
                <w:szCs w:val="24"/>
                <w:lang w:val="en-US" w:eastAsia="zh-CN" w:bidi="ar-SA"/>
              </w:rPr>
            </w:pPr>
            <w:bookmarkStart w:id="449" w:name="_Toc2991"/>
            <w:r>
              <w:rPr>
                <w:rFonts w:hint="eastAsia" w:ascii="Calibri" w:hAnsi="宋体" w:eastAsia="宋体" w:cs="宋体"/>
                <w:b/>
                <w:color w:val="auto"/>
                <w:kern w:val="2"/>
                <w:sz w:val="21"/>
                <w:szCs w:val="24"/>
                <w:lang w:val="en-US" w:eastAsia="zh-CN" w:bidi="ar-SA"/>
              </w:rPr>
              <w:t>交付时间</w:t>
            </w:r>
            <w:bookmarkEnd w:id="449"/>
          </w:p>
        </w:tc>
        <w:tc>
          <w:tcPr>
            <w:tcW w:w="903" w:type="dxa"/>
            <w:tcBorders>
              <w:right w:val="single" w:color="auto" w:sz="4" w:space="0"/>
            </w:tcBorders>
            <w:vAlign w:val="center"/>
          </w:tcPr>
          <w:p>
            <w:pPr>
              <w:pStyle w:val="7"/>
              <w:ind w:left="0"/>
              <w:jc w:val="center"/>
              <w:rPr>
                <w:rFonts w:hint="eastAsia" w:ascii="Calibri" w:hAnsi="宋体" w:eastAsia="宋体" w:cs="宋体"/>
                <w:b/>
                <w:color w:val="auto"/>
                <w:kern w:val="2"/>
                <w:sz w:val="21"/>
                <w:szCs w:val="24"/>
                <w:lang w:val="en-US" w:eastAsia="zh-CN" w:bidi="ar-SA"/>
              </w:rPr>
            </w:pPr>
            <w:bookmarkStart w:id="450" w:name="_Toc17703"/>
            <w:r>
              <w:rPr>
                <w:rFonts w:hint="eastAsia" w:ascii="Calibri" w:hAnsi="宋体" w:eastAsia="宋体" w:cs="宋体"/>
                <w:b/>
                <w:color w:val="auto"/>
                <w:kern w:val="2"/>
                <w:sz w:val="21"/>
                <w:szCs w:val="24"/>
                <w:lang w:val="en-US" w:eastAsia="zh-CN" w:bidi="ar-SA"/>
              </w:rPr>
              <w:t>备注</w:t>
            </w:r>
            <w:bookmarkEnd w:id="45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Lines="50" w:line="360" w:lineRule="auto"/>
              <w:jc w:val="center"/>
              <w:rPr>
                <w:rFonts w:hAnsi="宋体" w:cs="宋体"/>
                <w:color w:val="auto"/>
                <w:szCs w:val="24"/>
              </w:rPr>
            </w:pPr>
          </w:p>
        </w:tc>
        <w:tc>
          <w:tcPr>
            <w:tcW w:w="960" w:type="dxa"/>
          </w:tcPr>
          <w:p>
            <w:pPr>
              <w:spacing w:beforeLines="50" w:line="360" w:lineRule="auto"/>
              <w:jc w:val="center"/>
              <w:rPr>
                <w:rFonts w:hAnsi="宋体" w:cs="宋体"/>
                <w:color w:val="auto"/>
                <w:szCs w:val="24"/>
              </w:rPr>
            </w:pPr>
          </w:p>
        </w:tc>
        <w:tc>
          <w:tcPr>
            <w:tcW w:w="1485" w:type="dxa"/>
            <w:tcBorders>
              <w:right w:val="single" w:color="auto" w:sz="4" w:space="0"/>
            </w:tcBorders>
          </w:tcPr>
          <w:p>
            <w:pPr>
              <w:spacing w:beforeLines="50" w:line="360" w:lineRule="auto"/>
              <w:jc w:val="center"/>
              <w:rPr>
                <w:rFonts w:hAnsi="宋体" w:cs="宋体"/>
                <w:color w:val="auto"/>
                <w:szCs w:val="24"/>
              </w:rPr>
            </w:pPr>
          </w:p>
        </w:tc>
        <w:tc>
          <w:tcPr>
            <w:tcW w:w="1695" w:type="dxa"/>
            <w:tcBorders>
              <w:left w:val="single" w:color="auto" w:sz="4" w:space="0"/>
            </w:tcBorders>
          </w:tcPr>
          <w:p>
            <w:pPr>
              <w:spacing w:beforeLines="50" w:line="360" w:lineRule="auto"/>
              <w:jc w:val="center"/>
              <w:rPr>
                <w:rFonts w:hAnsi="宋体" w:cs="宋体"/>
                <w:color w:val="auto"/>
                <w:szCs w:val="24"/>
              </w:rPr>
            </w:pPr>
          </w:p>
        </w:tc>
        <w:tc>
          <w:tcPr>
            <w:tcW w:w="825" w:type="dxa"/>
            <w:tcBorders>
              <w:right w:val="single" w:color="auto" w:sz="4" w:space="0"/>
            </w:tcBorders>
          </w:tcPr>
          <w:p>
            <w:pPr>
              <w:spacing w:beforeLines="50" w:line="360" w:lineRule="auto"/>
              <w:jc w:val="center"/>
              <w:rPr>
                <w:rFonts w:hAnsi="宋体" w:cs="宋体"/>
                <w:color w:val="auto"/>
                <w:szCs w:val="24"/>
              </w:rPr>
            </w:pPr>
          </w:p>
        </w:tc>
        <w:tc>
          <w:tcPr>
            <w:tcW w:w="735" w:type="dxa"/>
            <w:tcBorders>
              <w:left w:val="single" w:color="auto" w:sz="4" w:space="0"/>
              <w:right w:val="single" w:color="auto" w:sz="4" w:space="0"/>
            </w:tcBorders>
          </w:tcPr>
          <w:p>
            <w:pPr>
              <w:spacing w:beforeLines="50" w:line="360" w:lineRule="auto"/>
              <w:jc w:val="center"/>
              <w:rPr>
                <w:rFonts w:hAnsi="宋体" w:cs="宋体"/>
                <w:color w:val="auto"/>
                <w:szCs w:val="24"/>
              </w:rPr>
            </w:pPr>
          </w:p>
        </w:tc>
        <w:tc>
          <w:tcPr>
            <w:tcW w:w="1050" w:type="dxa"/>
            <w:tcBorders>
              <w:left w:val="single" w:color="auto" w:sz="4" w:space="0"/>
            </w:tcBorders>
          </w:tcPr>
          <w:p>
            <w:pPr>
              <w:spacing w:beforeLines="50" w:line="360" w:lineRule="auto"/>
              <w:jc w:val="center"/>
              <w:rPr>
                <w:rFonts w:hAnsi="宋体" w:cs="宋体"/>
                <w:color w:val="auto"/>
                <w:szCs w:val="24"/>
              </w:rPr>
            </w:pPr>
          </w:p>
        </w:tc>
        <w:tc>
          <w:tcPr>
            <w:tcW w:w="1215" w:type="dxa"/>
            <w:tcBorders>
              <w:right w:val="single" w:color="auto" w:sz="4" w:space="0"/>
            </w:tcBorders>
          </w:tcPr>
          <w:p>
            <w:pPr>
              <w:spacing w:beforeLines="50" w:line="360" w:lineRule="auto"/>
              <w:jc w:val="center"/>
              <w:rPr>
                <w:rFonts w:hAnsi="宋体" w:cs="宋体"/>
                <w:color w:val="auto"/>
                <w:szCs w:val="24"/>
              </w:rPr>
            </w:pPr>
          </w:p>
        </w:tc>
        <w:tc>
          <w:tcPr>
            <w:tcW w:w="903" w:type="dxa"/>
            <w:tcBorders>
              <w:right w:val="single" w:color="auto" w:sz="4" w:space="0"/>
            </w:tcBorders>
          </w:tcPr>
          <w:p>
            <w:pPr>
              <w:spacing w:beforeLines="50" w:line="360" w:lineRule="auto"/>
              <w:jc w:val="center"/>
              <w:rPr>
                <w:rFonts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Lines="50" w:line="360" w:lineRule="auto"/>
              <w:jc w:val="center"/>
              <w:rPr>
                <w:rFonts w:hAnsi="宋体" w:cs="宋体"/>
                <w:color w:val="auto"/>
                <w:szCs w:val="24"/>
              </w:rPr>
            </w:pPr>
          </w:p>
        </w:tc>
        <w:tc>
          <w:tcPr>
            <w:tcW w:w="960" w:type="dxa"/>
          </w:tcPr>
          <w:p>
            <w:pPr>
              <w:spacing w:beforeLines="50" w:line="360" w:lineRule="auto"/>
              <w:jc w:val="center"/>
              <w:rPr>
                <w:rFonts w:hAnsi="宋体" w:cs="宋体"/>
                <w:color w:val="auto"/>
                <w:szCs w:val="24"/>
              </w:rPr>
            </w:pPr>
          </w:p>
        </w:tc>
        <w:tc>
          <w:tcPr>
            <w:tcW w:w="1485" w:type="dxa"/>
            <w:tcBorders>
              <w:right w:val="single" w:color="auto" w:sz="4" w:space="0"/>
            </w:tcBorders>
          </w:tcPr>
          <w:p>
            <w:pPr>
              <w:spacing w:beforeLines="50" w:line="360" w:lineRule="auto"/>
              <w:jc w:val="center"/>
              <w:rPr>
                <w:rFonts w:hAnsi="宋体" w:cs="宋体"/>
                <w:color w:val="auto"/>
                <w:szCs w:val="24"/>
              </w:rPr>
            </w:pPr>
          </w:p>
        </w:tc>
        <w:tc>
          <w:tcPr>
            <w:tcW w:w="1695" w:type="dxa"/>
            <w:tcBorders>
              <w:left w:val="single" w:color="auto" w:sz="4" w:space="0"/>
            </w:tcBorders>
          </w:tcPr>
          <w:p>
            <w:pPr>
              <w:spacing w:beforeLines="50" w:line="360" w:lineRule="auto"/>
              <w:jc w:val="center"/>
              <w:rPr>
                <w:rFonts w:hAnsi="宋体" w:cs="宋体"/>
                <w:color w:val="auto"/>
                <w:szCs w:val="24"/>
              </w:rPr>
            </w:pPr>
          </w:p>
        </w:tc>
        <w:tc>
          <w:tcPr>
            <w:tcW w:w="825" w:type="dxa"/>
            <w:tcBorders>
              <w:right w:val="single" w:color="auto" w:sz="4" w:space="0"/>
            </w:tcBorders>
          </w:tcPr>
          <w:p>
            <w:pPr>
              <w:spacing w:beforeLines="50" w:line="360" w:lineRule="auto"/>
              <w:jc w:val="center"/>
              <w:rPr>
                <w:rFonts w:hAnsi="宋体" w:cs="宋体"/>
                <w:color w:val="auto"/>
                <w:szCs w:val="24"/>
              </w:rPr>
            </w:pPr>
          </w:p>
        </w:tc>
        <w:tc>
          <w:tcPr>
            <w:tcW w:w="735" w:type="dxa"/>
            <w:tcBorders>
              <w:left w:val="single" w:color="auto" w:sz="4" w:space="0"/>
              <w:right w:val="single" w:color="auto" w:sz="4" w:space="0"/>
            </w:tcBorders>
          </w:tcPr>
          <w:p>
            <w:pPr>
              <w:spacing w:beforeLines="50" w:line="360" w:lineRule="auto"/>
              <w:jc w:val="center"/>
              <w:rPr>
                <w:rFonts w:hAnsi="宋体" w:cs="宋体"/>
                <w:color w:val="auto"/>
                <w:szCs w:val="24"/>
              </w:rPr>
            </w:pPr>
          </w:p>
        </w:tc>
        <w:tc>
          <w:tcPr>
            <w:tcW w:w="1050" w:type="dxa"/>
            <w:tcBorders>
              <w:left w:val="single" w:color="auto" w:sz="4" w:space="0"/>
            </w:tcBorders>
          </w:tcPr>
          <w:p>
            <w:pPr>
              <w:spacing w:beforeLines="50" w:line="360" w:lineRule="auto"/>
              <w:jc w:val="center"/>
              <w:rPr>
                <w:rFonts w:hAnsi="宋体" w:cs="宋体"/>
                <w:color w:val="auto"/>
                <w:szCs w:val="24"/>
              </w:rPr>
            </w:pPr>
          </w:p>
        </w:tc>
        <w:tc>
          <w:tcPr>
            <w:tcW w:w="1215" w:type="dxa"/>
            <w:tcBorders>
              <w:right w:val="single" w:color="auto" w:sz="4" w:space="0"/>
            </w:tcBorders>
          </w:tcPr>
          <w:p>
            <w:pPr>
              <w:spacing w:beforeLines="50" w:line="360" w:lineRule="auto"/>
              <w:jc w:val="center"/>
              <w:rPr>
                <w:rFonts w:hAnsi="宋体" w:cs="宋体"/>
                <w:color w:val="auto"/>
                <w:szCs w:val="24"/>
              </w:rPr>
            </w:pPr>
          </w:p>
        </w:tc>
        <w:tc>
          <w:tcPr>
            <w:tcW w:w="903" w:type="dxa"/>
            <w:tcBorders>
              <w:right w:val="single" w:color="auto" w:sz="4" w:space="0"/>
            </w:tcBorders>
          </w:tcPr>
          <w:p>
            <w:pPr>
              <w:spacing w:beforeLines="50" w:line="360" w:lineRule="auto"/>
              <w:jc w:val="center"/>
              <w:rPr>
                <w:rFonts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Lines="50" w:line="360" w:lineRule="auto"/>
              <w:jc w:val="center"/>
              <w:rPr>
                <w:rFonts w:hAnsi="宋体" w:cs="宋体"/>
                <w:color w:val="auto"/>
                <w:szCs w:val="24"/>
              </w:rPr>
            </w:pPr>
          </w:p>
        </w:tc>
        <w:tc>
          <w:tcPr>
            <w:tcW w:w="960" w:type="dxa"/>
          </w:tcPr>
          <w:p>
            <w:pPr>
              <w:spacing w:beforeLines="50" w:line="360" w:lineRule="auto"/>
              <w:jc w:val="center"/>
              <w:rPr>
                <w:rFonts w:hAnsi="宋体" w:cs="宋体"/>
                <w:color w:val="auto"/>
                <w:szCs w:val="24"/>
              </w:rPr>
            </w:pPr>
          </w:p>
        </w:tc>
        <w:tc>
          <w:tcPr>
            <w:tcW w:w="1485" w:type="dxa"/>
            <w:tcBorders>
              <w:right w:val="single" w:color="auto" w:sz="4" w:space="0"/>
            </w:tcBorders>
          </w:tcPr>
          <w:p>
            <w:pPr>
              <w:spacing w:beforeLines="50" w:line="360" w:lineRule="auto"/>
              <w:jc w:val="center"/>
              <w:rPr>
                <w:rFonts w:hAnsi="宋体" w:cs="宋体"/>
                <w:color w:val="auto"/>
                <w:szCs w:val="24"/>
              </w:rPr>
            </w:pPr>
          </w:p>
        </w:tc>
        <w:tc>
          <w:tcPr>
            <w:tcW w:w="1695" w:type="dxa"/>
            <w:tcBorders>
              <w:left w:val="single" w:color="auto" w:sz="4" w:space="0"/>
            </w:tcBorders>
          </w:tcPr>
          <w:p>
            <w:pPr>
              <w:spacing w:beforeLines="50" w:line="360" w:lineRule="auto"/>
              <w:jc w:val="center"/>
              <w:rPr>
                <w:rFonts w:hAnsi="宋体" w:cs="宋体"/>
                <w:color w:val="auto"/>
                <w:szCs w:val="24"/>
              </w:rPr>
            </w:pPr>
          </w:p>
        </w:tc>
        <w:tc>
          <w:tcPr>
            <w:tcW w:w="825" w:type="dxa"/>
            <w:tcBorders>
              <w:right w:val="single" w:color="auto" w:sz="4" w:space="0"/>
            </w:tcBorders>
          </w:tcPr>
          <w:p>
            <w:pPr>
              <w:spacing w:beforeLines="50" w:line="360" w:lineRule="auto"/>
              <w:jc w:val="center"/>
              <w:rPr>
                <w:rFonts w:hAnsi="宋体" w:cs="宋体"/>
                <w:color w:val="auto"/>
                <w:szCs w:val="24"/>
              </w:rPr>
            </w:pPr>
          </w:p>
        </w:tc>
        <w:tc>
          <w:tcPr>
            <w:tcW w:w="735" w:type="dxa"/>
            <w:tcBorders>
              <w:left w:val="single" w:color="auto" w:sz="4" w:space="0"/>
              <w:right w:val="single" w:color="auto" w:sz="4" w:space="0"/>
            </w:tcBorders>
          </w:tcPr>
          <w:p>
            <w:pPr>
              <w:spacing w:beforeLines="50" w:line="360" w:lineRule="auto"/>
              <w:jc w:val="center"/>
              <w:rPr>
                <w:rFonts w:hAnsi="宋体" w:cs="宋体"/>
                <w:color w:val="auto"/>
                <w:szCs w:val="24"/>
              </w:rPr>
            </w:pPr>
          </w:p>
        </w:tc>
        <w:tc>
          <w:tcPr>
            <w:tcW w:w="1050" w:type="dxa"/>
            <w:tcBorders>
              <w:left w:val="single" w:color="auto" w:sz="4" w:space="0"/>
            </w:tcBorders>
          </w:tcPr>
          <w:p>
            <w:pPr>
              <w:spacing w:beforeLines="50" w:line="360" w:lineRule="auto"/>
              <w:jc w:val="center"/>
              <w:rPr>
                <w:rFonts w:hAnsi="宋体" w:cs="宋体"/>
                <w:color w:val="auto"/>
                <w:szCs w:val="24"/>
              </w:rPr>
            </w:pPr>
          </w:p>
        </w:tc>
        <w:tc>
          <w:tcPr>
            <w:tcW w:w="1215" w:type="dxa"/>
            <w:tcBorders>
              <w:right w:val="single" w:color="auto" w:sz="4" w:space="0"/>
            </w:tcBorders>
          </w:tcPr>
          <w:p>
            <w:pPr>
              <w:spacing w:beforeLines="50" w:line="360" w:lineRule="auto"/>
              <w:jc w:val="center"/>
              <w:rPr>
                <w:rFonts w:hAnsi="宋体" w:cs="宋体"/>
                <w:color w:val="auto"/>
                <w:szCs w:val="24"/>
              </w:rPr>
            </w:pPr>
          </w:p>
        </w:tc>
        <w:tc>
          <w:tcPr>
            <w:tcW w:w="903" w:type="dxa"/>
            <w:tcBorders>
              <w:right w:val="single" w:color="auto" w:sz="4" w:space="0"/>
            </w:tcBorders>
          </w:tcPr>
          <w:p>
            <w:pPr>
              <w:spacing w:beforeLines="50" w:line="360" w:lineRule="auto"/>
              <w:jc w:val="center"/>
              <w:rPr>
                <w:rFonts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Lines="50" w:line="360" w:lineRule="auto"/>
              <w:jc w:val="center"/>
              <w:rPr>
                <w:rFonts w:hAnsi="宋体" w:cs="宋体"/>
                <w:color w:val="auto"/>
                <w:szCs w:val="24"/>
              </w:rPr>
            </w:pPr>
          </w:p>
        </w:tc>
        <w:tc>
          <w:tcPr>
            <w:tcW w:w="960" w:type="dxa"/>
          </w:tcPr>
          <w:p>
            <w:pPr>
              <w:spacing w:beforeLines="50" w:line="360" w:lineRule="auto"/>
              <w:jc w:val="center"/>
              <w:rPr>
                <w:rFonts w:hAnsi="宋体" w:cs="宋体"/>
                <w:color w:val="auto"/>
                <w:szCs w:val="24"/>
              </w:rPr>
            </w:pPr>
          </w:p>
        </w:tc>
        <w:tc>
          <w:tcPr>
            <w:tcW w:w="1485" w:type="dxa"/>
            <w:tcBorders>
              <w:right w:val="single" w:color="auto" w:sz="4" w:space="0"/>
            </w:tcBorders>
          </w:tcPr>
          <w:p>
            <w:pPr>
              <w:spacing w:beforeLines="50" w:line="360" w:lineRule="auto"/>
              <w:jc w:val="center"/>
              <w:rPr>
                <w:rFonts w:hAnsi="宋体" w:cs="宋体"/>
                <w:color w:val="auto"/>
                <w:szCs w:val="24"/>
              </w:rPr>
            </w:pPr>
          </w:p>
        </w:tc>
        <w:tc>
          <w:tcPr>
            <w:tcW w:w="1695" w:type="dxa"/>
            <w:tcBorders>
              <w:left w:val="single" w:color="auto" w:sz="4" w:space="0"/>
            </w:tcBorders>
          </w:tcPr>
          <w:p>
            <w:pPr>
              <w:spacing w:beforeLines="50" w:line="360" w:lineRule="auto"/>
              <w:jc w:val="center"/>
              <w:rPr>
                <w:rFonts w:hAnsi="宋体" w:cs="宋体"/>
                <w:color w:val="auto"/>
                <w:szCs w:val="24"/>
              </w:rPr>
            </w:pPr>
          </w:p>
        </w:tc>
        <w:tc>
          <w:tcPr>
            <w:tcW w:w="825" w:type="dxa"/>
            <w:tcBorders>
              <w:right w:val="single" w:color="auto" w:sz="4" w:space="0"/>
            </w:tcBorders>
          </w:tcPr>
          <w:p>
            <w:pPr>
              <w:spacing w:beforeLines="50" w:line="360" w:lineRule="auto"/>
              <w:jc w:val="center"/>
              <w:rPr>
                <w:rFonts w:hAnsi="宋体" w:cs="宋体"/>
                <w:color w:val="auto"/>
                <w:szCs w:val="24"/>
              </w:rPr>
            </w:pPr>
          </w:p>
        </w:tc>
        <w:tc>
          <w:tcPr>
            <w:tcW w:w="735" w:type="dxa"/>
            <w:tcBorders>
              <w:left w:val="single" w:color="auto" w:sz="4" w:space="0"/>
              <w:right w:val="single" w:color="auto" w:sz="4" w:space="0"/>
            </w:tcBorders>
          </w:tcPr>
          <w:p>
            <w:pPr>
              <w:spacing w:beforeLines="50" w:line="360" w:lineRule="auto"/>
              <w:jc w:val="center"/>
              <w:rPr>
                <w:rFonts w:hAnsi="宋体" w:cs="宋体"/>
                <w:color w:val="auto"/>
                <w:szCs w:val="24"/>
              </w:rPr>
            </w:pPr>
          </w:p>
        </w:tc>
        <w:tc>
          <w:tcPr>
            <w:tcW w:w="1050" w:type="dxa"/>
            <w:tcBorders>
              <w:left w:val="single" w:color="auto" w:sz="4" w:space="0"/>
            </w:tcBorders>
          </w:tcPr>
          <w:p>
            <w:pPr>
              <w:spacing w:beforeLines="50" w:line="360" w:lineRule="auto"/>
              <w:jc w:val="center"/>
              <w:rPr>
                <w:rFonts w:hAnsi="宋体" w:cs="宋体"/>
                <w:color w:val="auto"/>
                <w:szCs w:val="24"/>
              </w:rPr>
            </w:pPr>
          </w:p>
        </w:tc>
        <w:tc>
          <w:tcPr>
            <w:tcW w:w="1215" w:type="dxa"/>
            <w:tcBorders>
              <w:right w:val="single" w:color="auto" w:sz="4" w:space="0"/>
            </w:tcBorders>
          </w:tcPr>
          <w:p>
            <w:pPr>
              <w:spacing w:beforeLines="50" w:line="360" w:lineRule="auto"/>
              <w:jc w:val="center"/>
              <w:rPr>
                <w:rFonts w:hAnsi="宋体" w:cs="宋体"/>
                <w:color w:val="auto"/>
                <w:szCs w:val="24"/>
              </w:rPr>
            </w:pPr>
          </w:p>
        </w:tc>
        <w:tc>
          <w:tcPr>
            <w:tcW w:w="903" w:type="dxa"/>
            <w:tcBorders>
              <w:right w:val="single" w:color="auto" w:sz="4" w:space="0"/>
            </w:tcBorders>
          </w:tcPr>
          <w:p>
            <w:pPr>
              <w:spacing w:beforeLines="50" w:line="360" w:lineRule="auto"/>
              <w:jc w:val="center"/>
              <w:rPr>
                <w:rFonts w:hAnsi="宋体" w:cs="宋体"/>
                <w:color w:val="auto"/>
                <w:szCs w:val="24"/>
              </w:rPr>
            </w:pPr>
          </w:p>
        </w:tc>
      </w:tr>
    </w:tbl>
    <w:p>
      <w:pPr>
        <w:spacing w:line="360" w:lineRule="auto"/>
        <w:rPr>
          <w:rFonts w:hAnsi="宋体" w:cs="宋体"/>
          <w:b/>
          <w:color w:val="auto"/>
        </w:rPr>
      </w:pPr>
      <w:r>
        <w:rPr>
          <w:rFonts w:hint="eastAsia" w:hAnsi="宋体" w:cs="宋体"/>
          <w:b/>
          <w:color w:val="auto"/>
        </w:rPr>
        <w:t>九、包装要求</w:t>
      </w:r>
    </w:p>
    <w:p>
      <w:pPr>
        <w:tabs>
          <w:tab w:val="left" w:pos="840"/>
        </w:tabs>
        <w:spacing w:line="360" w:lineRule="auto"/>
        <w:ind w:firstLine="420" w:firstLineChars="200"/>
        <w:rPr>
          <w:rFonts w:hAnsi="宋体" w:cs="宋体"/>
          <w:color w:val="auto"/>
        </w:rPr>
      </w:pPr>
      <w:r>
        <w:rPr>
          <w:rFonts w:hint="eastAsia" w:hAnsi="宋体" w:cs="宋体"/>
          <w:color w:val="auto"/>
        </w:rPr>
        <w:t>1、除合同另有规定外，供应商提供的全部货物，均应按标准保护措施进行包装，并确保货物安全无损运至采购人指定地点。由于包装不良造成的损失和由此产生的费用均由供应商承担。</w:t>
      </w:r>
    </w:p>
    <w:p>
      <w:pPr>
        <w:tabs>
          <w:tab w:val="left" w:pos="840"/>
        </w:tabs>
        <w:spacing w:line="360" w:lineRule="auto"/>
        <w:ind w:firstLine="420" w:firstLineChars="200"/>
        <w:rPr>
          <w:rFonts w:hAnsi="宋体" w:cs="宋体"/>
          <w:color w:val="auto"/>
        </w:rPr>
      </w:pPr>
      <w:r>
        <w:rPr>
          <w:rFonts w:hint="eastAsia" w:hAnsi="宋体" w:cs="宋体"/>
          <w:color w:val="auto"/>
        </w:rPr>
        <w:t>2、每一个包装箱内应附一份详细装箱单和质量合格证。</w:t>
      </w:r>
    </w:p>
    <w:p>
      <w:pPr>
        <w:spacing w:line="360" w:lineRule="auto"/>
        <w:rPr>
          <w:rFonts w:hAnsi="宋体" w:cs="宋体"/>
          <w:b/>
          <w:color w:val="auto"/>
          <w:szCs w:val="24"/>
        </w:rPr>
      </w:pPr>
      <w:r>
        <w:rPr>
          <w:rFonts w:hint="eastAsia" w:hAnsi="宋体" w:cs="宋体"/>
          <w:b/>
          <w:color w:val="auto"/>
          <w:szCs w:val="24"/>
        </w:rPr>
        <w:t>十、运输、安装、调试要求：</w:t>
      </w:r>
    </w:p>
    <w:p>
      <w:pPr>
        <w:tabs>
          <w:tab w:val="left" w:pos="840"/>
        </w:tabs>
        <w:spacing w:line="360" w:lineRule="auto"/>
        <w:ind w:firstLine="420" w:firstLineChars="200"/>
        <w:rPr>
          <w:rFonts w:hAnsi="宋体" w:cs="宋体"/>
          <w:color w:val="auto"/>
          <w:szCs w:val="22"/>
        </w:rPr>
      </w:pPr>
      <w:r>
        <w:rPr>
          <w:rFonts w:hint="eastAsia" w:hAnsi="宋体" w:cs="宋体"/>
          <w:color w:val="auto"/>
          <w:szCs w:val="22"/>
        </w:rPr>
        <w:t>1、供应商根据产品特性，自行选择运输及包装方式，承担一切运输费用，包括从生产厂到采购人指定交货地点所需的装卸、运输（含保险费）及其他一切费用。</w:t>
      </w:r>
    </w:p>
    <w:p>
      <w:pPr>
        <w:tabs>
          <w:tab w:val="left" w:pos="840"/>
        </w:tabs>
        <w:spacing w:line="360" w:lineRule="auto"/>
        <w:ind w:firstLine="420" w:firstLineChars="200"/>
        <w:rPr>
          <w:rFonts w:hAnsi="宋体" w:cs="宋体"/>
          <w:color w:val="auto"/>
          <w:szCs w:val="22"/>
        </w:rPr>
      </w:pPr>
      <w:r>
        <w:rPr>
          <w:rFonts w:hint="eastAsia" w:hAnsi="宋体" w:cs="宋体"/>
          <w:color w:val="auto"/>
          <w:szCs w:val="22"/>
        </w:rPr>
        <w:t>2、由供应商负责派技术人员到现场进行安装、调试至验收合格。供应商应在合同签订后一周内，向采购人提供安装、调试及试运行的进度计划表。</w:t>
      </w:r>
    </w:p>
    <w:p>
      <w:pPr>
        <w:tabs>
          <w:tab w:val="left" w:pos="840"/>
        </w:tabs>
        <w:spacing w:line="360" w:lineRule="auto"/>
        <w:ind w:firstLine="420" w:firstLineChars="200"/>
        <w:rPr>
          <w:rFonts w:hAnsi="宋体" w:cs="宋体"/>
          <w:color w:val="auto"/>
          <w:szCs w:val="22"/>
        </w:rPr>
      </w:pPr>
      <w:r>
        <w:rPr>
          <w:rFonts w:hint="eastAsia" w:hAnsi="宋体" w:cs="宋体"/>
          <w:color w:val="auto"/>
          <w:szCs w:val="22"/>
        </w:rPr>
        <w:t>3、供应商应在合同规定的安装调试期内完成该项工作,如因供应商责任而造成延期，每超过一天按合同总价款的（1‰）支付采购人误期赔偿金，直至交货或提供服务结束为止，所有因延期而产生的费用由供应商承担。</w:t>
      </w:r>
    </w:p>
    <w:p>
      <w:pPr>
        <w:tabs>
          <w:tab w:val="left" w:pos="840"/>
        </w:tabs>
        <w:spacing w:line="360" w:lineRule="auto"/>
        <w:ind w:firstLine="420" w:firstLineChars="200"/>
        <w:rPr>
          <w:rFonts w:hAnsi="宋体" w:cs="宋体"/>
          <w:color w:val="auto"/>
          <w:szCs w:val="22"/>
        </w:rPr>
      </w:pPr>
      <w:r>
        <w:rPr>
          <w:rFonts w:hint="eastAsia" w:hAnsi="宋体" w:cs="宋体"/>
          <w:color w:val="auto"/>
          <w:szCs w:val="22"/>
        </w:rPr>
        <w:t>4、安装和调试期间所发生的费用均由供应商负责。</w:t>
      </w:r>
    </w:p>
    <w:p>
      <w:pPr>
        <w:tabs>
          <w:tab w:val="left" w:pos="840"/>
        </w:tabs>
        <w:spacing w:line="360" w:lineRule="auto"/>
        <w:ind w:firstLine="420" w:firstLineChars="200"/>
        <w:rPr>
          <w:rFonts w:hAnsi="宋体" w:cs="宋体"/>
          <w:color w:val="auto"/>
          <w:szCs w:val="22"/>
        </w:rPr>
      </w:pPr>
      <w:r>
        <w:rPr>
          <w:rFonts w:hint="eastAsia" w:hAnsi="宋体" w:cs="宋体"/>
          <w:color w:val="auto"/>
          <w:szCs w:val="22"/>
        </w:rPr>
        <w:t>5、供应商应对安装调试、整改等实施过程的安全负责，如发生人身伤亡、财产损失的由供应商负责解决并承担全部责任。</w:t>
      </w:r>
    </w:p>
    <w:p>
      <w:pPr>
        <w:spacing w:line="360" w:lineRule="auto"/>
        <w:rPr>
          <w:rFonts w:hAnsi="宋体" w:cs="宋体"/>
          <w:b/>
          <w:color w:val="auto"/>
          <w:szCs w:val="24"/>
        </w:rPr>
      </w:pPr>
      <w:r>
        <w:rPr>
          <w:rFonts w:hint="eastAsia" w:hAnsi="宋体" w:cs="宋体"/>
          <w:b/>
          <w:color w:val="auto"/>
          <w:szCs w:val="24"/>
        </w:rPr>
        <w:t>十一、技术支持：</w:t>
      </w:r>
    </w:p>
    <w:p>
      <w:pPr>
        <w:spacing w:line="360" w:lineRule="auto"/>
        <w:ind w:firstLine="420" w:firstLineChars="200"/>
        <w:rPr>
          <w:rFonts w:hAnsi="宋体" w:cs="宋体"/>
          <w:color w:val="auto"/>
          <w:szCs w:val="24"/>
        </w:rPr>
      </w:pPr>
      <w:r>
        <w:rPr>
          <w:rFonts w:hint="eastAsia" w:hAnsi="宋体" w:cs="宋体"/>
          <w:color w:val="auto"/>
          <w:szCs w:val="24"/>
        </w:rPr>
        <w:t xml:space="preserve"> 提供全年7×24小时的技术咨询服务,供应商怠于或无法提供技术支持的，采购人有权委托第三方处理，由此产生的费用和后果由供应商负责，费用直接从应付款或质保金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ind w:firstLine="420" w:firstLineChars="200"/>
        <w:rPr>
          <w:rFonts w:hAnsi="宋体" w:cs="宋体"/>
          <w:color w:val="auto"/>
          <w:szCs w:val="24"/>
        </w:rPr>
      </w:pPr>
      <w:r>
        <w:rPr>
          <w:rFonts w:hint="eastAsia" w:hAnsi="宋体" w:cs="宋体"/>
          <w:color w:val="auto"/>
          <w:szCs w:val="24"/>
        </w:rPr>
        <w:t>供应商在项目实施过程中，质量保障人员、资源不足或者执行不力，给项目质量带来的风险超出采购人认定的允许范围时，采购人可终止本项目的合作并进行索赔。</w:t>
      </w:r>
    </w:p>
    <w:p>
      <w:pPr>
        <w:spacing w:line="360" w:lineRule="auto"/>
        <w:rPr>
          <w:rFonts w:hAnsi="宋体" w:cs="宋体"/>
          <w:b/>
          <w:color w:val="auto"/>
          <w:szCs w:val="24"/>
        </w:rPr>
      </w:pPr>
      <w:r>
        <w:rPr>
          <w:rFonts w:hint="eastAsia" w:hAnsi="宋体" w:cs="宋体"/>
          <w:b/>
          <w:color w:val="auto"/>
          <w:szCs w:val="24"/>
        </w:rPr>
        <w:t>十</w:t>
      </w:r>
      <w:r>
        <w:rPr>
          <w:rFonts w:hint="eastAsia" w:hAnsi="宋体" w:cs="宋体"/>
          <w:b/>
          <w:color w:val="auto"/>
          <w:szCs w:val="24"/>
          <w:lang w:val="en-US" w:eastAsia="zh-CN"/>
        </w:rPr>
        <w:t>二</w:t>
      </w:r>
      <w:r>
        <w:rPr>
          <w:rFonts w:hint="eastAsia" w:hAnsi="宋体" w:cs="宋体"/>
          <w:b/>
          <w:color w:val="auto"/>
          <w:szCs w:val="24"/>
        </w:rPr>
        <w:t>、技术资料要求：</w:t>
      </w:r>
    </w:p>
    <w:p>
      <w:pPr>
        <w:spacing w:line="360" w:lineRule="auto"/>
        <w:ind w:firstLine="420" w:firstLineChars="200"/>
        <w:rPr>
          <w:rFonts w:hAnsi="宋体" w:cs="宋体"/>
          <w:color w:val="auto"/>
          <w:szCs w:val="24"/>
        </w:rPr>
      </w:pPr>
      <w:r>
        <w:rPr>
          <w:rFonts w:hint="eastAsia" w:hAnsi="宋体" w:cs="宋体"/>
          <w:color w:val="auto"/>
          <w:szCs w:val="24"/>
        </w:rPr>
        <w:t>供应商应向采购人提供全套中文技术资料一套，其费用包括在合同总价款中：</w:t>
      </w:r>
    </w:p>
    <w:p>
      <w:pPr>
        <w:spacing w:line="360" w:lineRule="auto"/>
        <w:ind w:firstLine="420" w:firstLineChars="200"/>
        <w:rPr>
          <w:rFonts w:hAnsi="宋体" w:cs="宋体"/>
          <w:color w:val="auto"/>
          <w:szCs w:val="24"/>
        </w:rPr>
      </w:pPr>
      <w:r>
        <w:rPr>
          <w:rFonts w:hint="eastAsia" w:hAnsi="宋体" w:cs="宋体"/>
          <w:color w:val="auto"/>
          <w:szCs w:val="24"/>
        </w:rPr>
        <w:t>1、完整的产品操作使用手册、说明书和维护、修理技术文件、图纸、保修卡等；</w:t>
      </w:r>
    </w:p>
    <w:p>
      <w:pPr>
        <w:spacing w:line="360" w:lineRule="auto"/>
        <w:ind w:firstLine="420" w:firstLineChars="200"/>
        <w:rPr>
          <w:rFonts w:hAnsi="宋体" w:cs="宋体"/>
          <w:color w:val="auto"/>
          <w:szCs w:val="24"/>
        </w:rPr>
      </w:pPr>
      <w:r>
        <w:rPr>
          <w:rFonts w:hint="eastAsia" w:hAnsi="宋体" w:cs="宋体"/>
          <w:color w:val="auto"/>
          <w:szCs w:val="24"/>
        </w:rPr>
        <w:t>2、制造厂的检验、测试报告、产品检验合格证书，质量</w:t>
      </w:r>
      <w:r>
        <w:rPr>
          <w:rFonts w:hint="eastAsia" w:hAnsi="宋体" w:cs="宋体"/>
          <w:color w:val="auto"/>
          <w:szCs w:val="24"/>
          <w:highlight w:val="none"/>
        </w:rPr>
        <w:t>保证书,环保认证等</w:t>
      </w:r>
      <w:r>
        <w:rPr>
          <w:rFonts w:hint="eastAsia" w:hAnsi="宋体" w:cs="宋体"/>
          <w:color w:val="auto"/>
          <w:szCs w:val="24"/>
        </w:rPr>
        <w:t>文件验收时需提供；</w:t>
      </w:r>
    </w:p>
    <w:p>
      <w:pPr>
        <w:spacing w:line="360" w:lineRule="auto"/>
        <w:ind w:firstLine="420" w:firstLineChars="200"/>
        <w:rPr>
          <w:rFonts w:hAnsi="宋体" w:cs="宋体"/>
          <w:color w:val="auto"/>
          <w:szCs w:val="24"/>
        </w:rPr>
      </w:pPr>
      <w:r>
        <w:rPr>
          <w:rFonts w:hint="eastAsia" w:hAnsi="宋体" w:cs="宋体"/>
          <w:color w:val="auto"/>
          <w:szCs w:val="24"/>
        </w:rPr>
        <w:t>3、必须的其它技术资料；</w:t>
      </w:r>
    </w:p>
    <w:p>
      <w:pPr>
        <w:spacing w:line="360" w:lineRule="auto"/>
        <w:ind w:firstLine="420" w:firstLineChars="200"/>
        <w:rPr>
          <w:rFonts w:hAnsi="宋体" w:cs="宋体"/>
          <w:color w:val="auto"/>
          <w:szCs w:val="24"/>
        </w:rPr>
      </w:pPr>
      <w:r>
        <w:rPr>
          <w:rFonts w:hint="eastAsia" w:hAnsi="宋体" w:cs="宋体"/>
          <w:color w:val="auto"/>
          <w:szCs w:val="24"/>
        </w:rPr>
        <w:t>4、产品验收标准；</w:t>
      </w:r>
    </w:p>
    <w:p>
      <w:pPr>
        <w:spacing w:line="360" w:lineRule="auto"/>
        <w:ind w:firstLine="420" w:firstLineChars="200"/>
        <w:rPr>
          <w:rFonts w:hAnsi="宋体" w:cs="宋体"/>
          <w:color w:val="auto"/>
        </w:rPr>
      </w:pPr>
      <w:r>
        <w:rPr>
          <w:rFonts w:hint="eastAsia" w:hAnsi="宋体" w:cs="宋体"/>
          <w:color w:val="auto"/>
        </w:rPr>
        <w:t>5、技术说明书；</w:t>
      </w:r>
    </w:p>
    <w:p>
      <w:pPr>
        <w:spacing w:line="360" w:lineRule="auto"/>
        <w:ind w:firstLine="420" w:firstLineChars="200"/>
        <w:rPr>
          <w:rFonts w:hAnsi="宋体" w:cs="宋体"/>
          <w:color w:val="auto"/>
        </w:rPr>
      </w:pPr>
      <w:r>
        <w:rPr>
          <w:rFonts w:hint="eastAsia" w:hAnsi="宋体" w:cs="宋体"/>
          <w:color w:val="auto"/>
        </w:rPr>
        <w:t>6、零部件目录；</w:t>
      </w:r>
    </w:p>
    <w:p>
      <w:pPr>
        <w:spacing w:line="360" w:lineRule="auto"/>
        <w:ind w:firstLine="420" w:firstLineChars="200"/>
        <w:rPr>
          <w:rFonts w:hAnsi="宋体" w:cs="宋体"/>
          <w:color w:val="auto"/>
        </w:rPr>
      </w:pPr>
      <w:r>
        <w:rPr>
          <w:rFonts w:hint="eastAsia" w:hAnsi="宋体" w:cs="宋体"/>
          <w:color w:val="auto"/>
        </w:rPr>
        <w:t>7、备品备件、易损件清单；</w:t>
      </w:r>
    </w:p>
    <w:p>
      <w:pPr>
        <w:spacing w:line="360" w:lineRule="auto"/>
        <w:ind w:firstLine="420" w:firstLineChars="200"/>
        <w:rPr>
          <w:rFonts w:hAnsi="宋体" w:cs="宋体"/>
          <w:color w:val="auto"/>
        </w:rPr>
      </w:pPr>
      <w:r>
        <w:rPr>
          <w:rFonts w:hint="eastAsia" w:hAnsi="宋体" w:cs="宋体"/>
          <w:color w:val="auto"/>
        </w:rPr>
        <w:t>8、项目完工后提供验收报告；</w:t>
      </w:r>
    </w:p>
    <w:p>
      <w:pPr>
        <w:spacing w:line="360" w:lineRule="auto"/>
        <w:ind w:firstLine="420" w:firstLineChars="200"/>
        <w:rPr>
          <w:rFonts w:hAnsi="宋体" w:cs="宋体"/>
          <w:color w:val="auto"/>
        </w:rPr>
      </w:pPr>
      <w:r>
        <w:rPr>
          <w:rFonts w:hint="eastAsia" w:hAnsi="宋体" w:cs="宋体"/>
          <w:color w:val="auto"/>
        </w:rPr>
        <w:t>9、合同中要求的其他文件资料。</w:t>
      </w:r>
    </w:p>
    <w:p>
      <w:pPr>
        <w:pStyle w:val="14"/>
        <w:spacing w:line="360" w:lineRule="auto"/>
        <w:rPr>
          <w:rFonts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val="en-US" w:eastAsia="zh-CN"/>
        </w:rPr>
        <w:t>三</w:t>
      </w:r>
      <w:r>
        <w:rPr>
          <w:rFonts w:hint="eastAsia" w:hAnsi="宋体" w:cs="宋体"/>
          <w:b/>
          <w:color w:val="auto"/>
          <w:sz w:val="24"/>
          <w:szCs w:val="24"/>
        </w:rPr>
        <w:t>、质保及维保服务（提供售后服务承诺书）：</w:t>
      </w:r>
    </w:p>
    <w:p>
      <w:pPr>
        <w:adjustRightInd w:val="0"/>
        <w:snapToGrid w:val="0"/>
        <w:spacing w:line="360" w:lineRule="auto"/>
        <w:ind w:firstLine="420" w:firstLineChars="200"/>
        <w:rPr>
          <w:rFonts w:hAnsi="宋体" w:cs="宋体"/>
          <w:color w:val="auto"/>
          <w:szCs w:val="24"/>
        </w:rPr>
      </w:pPr>
      <w:r>
        <w:rPr>
          <w:rFonts w:hint="eastAsia" w:hAnsi="宋体" w:cs="宋体"/>
          <w:color w:val="auto"/>
        </w:rPr>
        <w:t>1、本项目的质保期为整体验收合格后1年。</w:t>
      </w:r>
      <w:r>
        <w:rPr>
          <w:rFonts w:hint="eastAsia" w:hAnsi="宋体" w:cs="宋体"/>
          <w:color w:val="auto"/>
          <w:szCs w:val="24"/>
        </w:rPr>
        <w:t>（单个产品若供应商提供的质保期超过1年的，执行厂家规定，若国家有明确规定且高于此质保期的，执行国家规定）。</w:t>
      </w:r>
    </w:p>
    <w:p>
      <w:pPr>
        <w:spacing w:line="360" w:lineRule="auto"/>
        <w:ind w:firstLine="420" w:firstLineChars="200"/>
        <w:rPr>
          <w:rFonts w:hAnsi="宋体"/>
          <w:color w:val="auto"/>
          <w:szCs w:val="24"/>
        </w:rPr>
      </w:pPr>
      <w:r>
        <w:rPr>
          <w:rFonts w:hint="eastAsia" w:hAnsi="宋体" w:cs="宋体"/>
          <w:color w:val="auto"/>
          <w:szCs w:val="24"/>
        </w:rPr>
        <w:t>2、供应商</w:t>
      </w:r>
      <w:r>
        <w:rPr>
          <w:rFonts w:hint="eastAsia" w:hAnsi="宋体" w:cs="宋体"/>
          <w:color w:val="auto"/>
        </w:rPr>
        <w:t>提供的</w:t>
      </w:r>
      <w:r>
        <w:rPr>
          <w:rFonts w:hint="eastAsia" w:hAnsi="宋体" w:cs="宋体"/>
          <w:color w:val="auto"/>
          <w:szCs w:val="24"/>
        </w:rPr>
        <w:t>产品</w:t>
      </w:r>
      <w:r>
        <w:rPr>
          <w:rFonts w:hint="eastAsia" w:hAnsi="宋体" w:cs="宋体"/>
          <w:color w:val="auto"/>
        </w:rPr>
        <w:t>及材料必须保证质量可靠，为市场最新或主流</w:t>
      </w:r>
      <w:r>
        <w:rPr>
          <w:rFonts w:hint="eastAsia" w:hAnsi="宋体" w:cs="宋体"/>
          <w:color w:val="auto"/>
          <w:szCs w:val="24"/>
        </w:rPr>
        <w:t>产品</w:t>
      </w:r>
      <w:r>
        <w:rPr>
          <w:rFonts w:hint="eastAsia" w:hAnsi="宋体" w:cs="宋体"/>
          <w:color w:val="auto"/>
        </w:rPr>
        <w:t>，进货渠道正常，配置合理齐全，应全面满足磋商文件的要求，磋商文件未明确要求的内容，采购人须按磋商产品主流标准配置或以采购人的补充要求为准。所供产品工艺质量应严格按国家最新发布的规范标准执行，如发生质量问题由供应商承担全部责任。</w:t>
      </w:r>
      <w:r>
        <w:rPr>
          <w:rFonts w:hint="eastAsia" w:hAnsi="宋体" w:cs="宋体"/>
          <w:color w:val="auto"/>
          <w:szCs w:val="24"/>
        </w:rPr>
        <w:t>采购人使用产品过程中因产品质量、产品缺陷及安装质量等造成人身伤亡、财产损失的，由供应商负责解决并承担全部责任。</w:t>
      </w:r>
    </w:p>
    <w:p>
      <w:pPr>
        <w:tabs>
          <w:tab w:val="left" w:pos="1080"/>
        </w:tabs>
        <w:spacing w:line="360" w:lineRule="auto"/>
        <w:ind w:firstLine="420" w:firstLineChars="200"/>
        <w:rPr>
          <w:rFonts w:hAnsi="宋体" w:cs="宋体"/>
          <w:color w:val="auto"/>
          <w:szCs w:val="24"/>
        </w:rPr>
      </w:pPr>
      <w:r>
        <w:rPr>
          <w:rFonts w:hint="eastAsia" w:hAnsi="宋体" w:cs="宋体"/>
          <w:color w:val="auto"/>
          <w:szCs w:val="24"/>
        </w:rPr>
        <w:t>3、供应商应提供可承担维修职能的公司或全资分公司或办事处，并驻守多名维护技术人员，并提供地点、联系人（常驻工程师）及联系电话（服务热线），随时解答各种疑问（需提供相关证明材料）。</w:t>
      </w:r>
    </w:p>
    <w:p>
      <w:pPr>
        <w:spacing w:line="360" w:lineRule="auto"/>
        <w:ind w:firstLine="420" w:firstLineChars="200"/>
        <w:rPr>
          <w:rFonts w:hAnsi="宋体" w:cs="宋体"/>
          <w:color w:val="auto"/>
          <w:szCs w:val="24"/>
        </w:rPr>
      </w:pPr>
      <w:r>
        <w:rPr>
          <w:rFonts w:hint="eastAsia" w:hAnsi="宋体" w:cs="宋体"/>
          <w:color w:val="auto"/>
          <w:szCs w:val="24"/>
        </w:rPr>
        <w:t>4、服务方式：现场服务，</w:t>
      </w:r>
      <w:r>
        <w:rPr>
          <w:rFonts w:hint="eastAsia" w:hAnsi="宋体" w:cs="宋体"/>
          <w:color w:val="auto"/>
        </w:rPr>
        <w:t>产品按照国家三包规定执行，</w:t>
      </w:r>
      <w:r>
        <w:rPr>
          <w:rFonts w:hint="eastAsia" w:hAnsi="宋体" w:cs="宋体"/>
          <w:color w:val="auto"/>
          <w:szCs w:val="24"/>
        </w:rPr>
        <w:t>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r>
        <w:rPr>
          <w:rFonts w:hAnsi="宋体"/>
          <w:color w:val="auto"/>
          <w:szCs w:val="24"/>
        </w:rPr>
        <w:t>长期</w:t>
      </w:r>
      <w:r>
        <w:rPr>
          <w:rFonts w:hint="eastAsia" w:hAnsi="宋体"/>
          <w:color w:val="auto"/>
          <w:szCs w:val="24"/>
        </w:rPr>
        <w:t>提供</w:t>
      </w:r>
      <w:r>
        <w:rPr>
          <w:rFonts w:hAnsi="宋体"/>
          <w:color w:val="auto"/>
          <w:szCs w:val="24"/>
        </w:rPr>
        <w:t>维修</w:t>
      </w:r>
      <w:r>
        <w:rPr>
          <w:rFonts w:hint="eastAsia" w:hAnsi="宋体"/>
          <w:color w:val="auto"/>
          <w:szCs w:val="24"/>
        </w:rPr>
        <w:t>服务，并提供</w:t>
      </w:r>
      <w:r>
        <w:rPr>
          <w:rFonts w:hAnsi="宋体"/>
          <w:color w:val="auto"/>
          <w:szCs w:val="24"/>
        </w:rPr>
        <w:t>技术咨询等服务</w:t>
      </w:r>
      <w:r>
        <w:rPr>
          <w:rFonts w:hint="eastAsia" w:hAnsi="宋体"/>
          <w:color w:val="auto"/>
          <w:szCs w:val="24"/>
        </w:rPr>
        <w:t>。质保期内应无偿负责的维修和替换等工作。超出质保期只收取维修所需原设备、材料成本费用。</w:t>
      </w:r>
    </w:p>
    <w:p>
      <w:pPr>
        <w:spacing w:line="360" w:lineRule="auto"/>
        <w:ind w:firstLine="420" w:firstLineChars="200"/>
        <w:rPr>
          <w:rFonts w:hAnsi="宋体" w:cs="宋体"/>
          <w:color w:val="auto"/>
          <w:szCs w:val="24"/>
        </w:rPr>
      </w:pPr>
      <w:r>
        <w:rPr>
          <w:rFonts w:hint="eastAsia" w:hAnsi="宋体" w:cs="宋体"/>
          <w:color w:val="auto"/>
          <w:szCs w:val="24"/>
        </w:rPr>
        <w:t>5、对于存在质量问题或者短少的产品，供应商应在接到采购人的通知2个日历日内负责修复，调换、重新制作或补齐。</w:t>
      </w:r>
    </w:p>
    <w:p>
      <w:pPr>
        <w:spacing w:line="360" w:lineRule="auto"/>
        <w:ind w:firstLine="420" w:firstLineChars="200"/>
        <w:rPr>
          <w:rFonts w:hAnsi="宋体" w:cs="宋体"/>
          <w:color w:val="auto"/>
          <w:szCs w:val="24"/>
        </w:rPr>
      </w:pPr>
      <w:r>
        <w:rPr>
          <w:rFonts w:hint="eastAsia" w:hAnsi="宋体" w:cs="宋体"/>
          <w:color w:val="auto"/>
          <w:szCs w:val="24"/>
        </w:rPr>
        <w:t>6、在最终验收后的质量保证期内，供应商应对设计、工艺或材料等的缺陷而产生的故障负责（负责解决并承担全部费用）。质保期满后如出现此类问题亦应负责。</w:t>
      </w:r>
    </w:p>
    <w:p>
      <w:pPr>
        <w:spacing w:line="360" w:lineRule="auto"/>
        <w:ind w:firstLine="420" w:firstLineChars="200"/>
        <w:rPr>
          <w:rFonts w:hAnsi="宋体" w:cs="宋体"/>
          <w:color w:val="auto"/>
          <w:szCs w:val="24"/>
        </w:rPr>
      </w:pPr>
      <w:r>
        <w:rPr>
          <w:rFonts w:hint="eastAsia" w:hAnsi="宋体" w:cs="宋体"/>
          <w:color w:val="auto"/>
          <w:szCs w:val="24"/>
        </w:rPr>
        <w:t>7、供应商及所投产品的制造厂商应承诺质保期、维保期的售后服务条款（包括具体的服务内容、故障响应时间、响应方式、维修措施及时限、维护响应计划等方面），未提供任何质保期、维保期的售后服务条款或提供的内容不实的以不满足</w:t>
      </w:r>
      <w:r>
        <w:rPr>
          <w:rFonts w:hint="eastAsia" w:hAnsi="宋体" w:cs="宋体"/>
          <w:color w:val="auto"/>
        </w:rPr>
        <w:t>磋商文件</w:t>
      </w:r>
      <w:r>
        <w:rPr>
          <w:rFonts w:hint="eastAsia" w:hAnsi="宋体" w:cs="宋体"/>
          <w:color w:val="auto"/>
          <w:szCs w:val="24"/>
        </w:rPr>
        <w:t>要求对待。</w:t>
      </w:r>
    </w:p>
    <w:p>
      <w:pPr>
        <w:spacing w:line="360" w:lineRule="auto"/>
        <w:ind w:firstLine="420" w:firstLineChars="200"/>
        <w:rPr>
          <w:rFonts w:hAnsi="宋体" w:cs="宋体"/>
          <w:color w:val="auto"/>
        </w:rPr>
      </w:pPr>
      <w:r>
        <w:rPr>
          <w:rFonts w:hint="eastAsia" w:hAnsi="宋体" w:cs="宋体"/>
          <w:color w:val="auto"/>
        </w:rPr>
        <w:t>8、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spacing w:line="360" w:lineRule="auto"/>
        <w:rPr>
          <w:rFonts w:hAnsi="宋体"/>
          <w:color w:val="auto"/>
          <w:szCs w:val="24"/>
          <w:highlight w:val="red"/>
        </w:rPr>
      </w:pPr>
      <w:r>
        <w:rPr>
          <w:rFonts w:hint="eastAsia" w:hAnsi="宋体" w:cs="宋体"/>
          <w:b/>
          <w:color w:val="auto"/>
          <w:szCs w:val="24"/>
        </w:rPr>
        <w:t>十</w:t>
      </w:r>
      <w:r>
        <w:rPr>
          <w:rFonts w:hint="eastAsia" w:hAnsi="宋体" w:cs="宋体"/>
          <w:b/>
          <w:color w:val="auto"/>
          <w:szCs w:val="24"/>
          <w:lang w:val="en-US" w:eastAsia="zh-CN"/>
        </w:rPr>
        <w:t>四</w:t>
      </w:r>
      <w:r>
        <w:rPr>
          <w:rFonts w:hint="eastAsia" w:hAnsi="宋体" w:cs="宋体"/>
          <w:b/>
          <w:color w:val="auto"/>
          <w:szCs w:val="24"/>
        </w:rPr>
        <w:t>、交货及验收:</w:t>
      </w:r>
    </w:p>
    <w:p>
      <w:pPr>
        <w:spacing w:line="360" w:lineRule="auto"/>
        <w:ind w:firstLine="420" w:firstLineChars="200"/>
        <w:rPr>
          <w:rFonts w:hAnsi="宋体"/>
          <w:color w:val="auto"/>
          <w:szCs w:val="24"/>
        </w:rPr>
      </w:pPr>
      <w:r>
        <w:rPr>
          <w:rFonts w:hint="eastAsia" w:hAnsi="宋体"/>
          <w:color w:val="auto"/>
          <w:szCs w:val="24"/>
        </w:rPr>
        <w:t>1、安装完成，供应商进行自检并形成自检报告，出现的问题限期整改。自检最终通过后，供应商提出验收申请，使用单位组织相关人员进行最终验收。</w:t>
      </w:r>
    </w:p>
    <w:p>
      <w:pPr>
        <w:spacing w:line="360" w:lineRule="auto"/>
        <w:ind w:firstLine="420" w:firstLineChars="200"/>
        <w:rPr>
          <w:rFonts w:hAnsi="宋体"/>
          <w:color w:val="auto"/>
          <w:szCs w:val="24"/>
        </w:rPr>
      </w:pPr>
      <w:r>
        <w:rPr>
          <w:rFonts w:hint="eastAsia" w:hAnsi="宋体"/>
          <w:color w:val="auto"/>
          <w:szCs w:val="24"/>
        </w:rPr>
        <w:t xml:space="preserve">2、采购人接到供应商的验收通知后，采购人验收组应对其设备的原包装、产品合格证、使用说明书、装箱单等随机文件及保修手续和配置、安装、测试、运行等逐项进行验收，其中一项不合格不能验收，视为不合格。 </w:t>
      </w:r>
    </w:p>
    <w:p>
      <w:pPr>
        <w:spacing w:line="360" w:lineRule="auto"/>
        <w:ind w:firstLine="420" w:firstLineChars="200"/>
        <w:rPr>
          <w:rFonts w:hAnsi="宋体"/>
          <w:color w:val="auto"/>
          <w:szCs w:val="24"/>
        </w:rPr>
      </w:pPr>
      <w:r>
        <w:rPr>
          <w:rFonts w:hint="eastAsia" w:hAnsi="宋体"/>
          <w:color w:val="auto"/>
          <w:szCs w:val="24"/>
        </w:rPr>
        <w:t>3、设备自通过验收之日起进入质保期。</w:t>
      </w:r>
    </w:p>
    <w:p>
      <w:pPr>
        <w:spacing w:line="360" w:lineRule="auto"/>
        <w:ind w:firstLine="420" w:firstLineChars="200"/>
        <w:rPr>
          <w:rFonts w:hAnsi="宋体" w:cs="宋体"/>
          <w:color w:val="auto"/>
          <w:szCs w:val="24"/>
        </w:rPr>
      </w:pPr>
      <w:r>
        <w:rPr>
          <w:rFonts w:hint="eastAsia" w:hAnsi="宋体" w:cs="宋体"/>
          <w:color w:val="auto"/>
          <w:szCs w:val="24"/>
        </w:rPr>
        <w:t>4、所验产品的指标、性能参数通过验收达不到</w:t>
      </w:r>
      <w:r>
        <w:rPr>
          <w:rFonts w:hint="eastAsia" w:hAnsi="宋体" w:cs="宋体"/>
          <w:color w:val="auto"/>
        </w:rPr>
        <w:t>磋商文件</w:t>
      </w:r>
      <w:r>
        <w:rPr>
          <w:rFonts w:hint="eastAsia" w:hAnsi="宋体" w:cs="宋体"/>
          <w:color w:val="auto"/>
          <w:szCs w:val="24"/>
        </w:rPr>
        <w:t>要求和磋商响应文件承诺的，或在使用中发现设计缺陷等，将视为产品验收不合格，供应商应无条件免费更换或退货。</w:t>
      </w:r>
    </w:p>
    <w:p>
      <w:pPr>
        <w:spacing w:line="360" w:lineRule="auto"/>
        <w:ind w:firstLine="420" w:firstLineChars="200"/>
        <w:rPr>
          <w:rFonts w:hAnsi="宋体" w:cs="宋体"/>
          <w:color w:val="auto"/>
          <w:szCs w:val="24"/>
        </w:rPr>
      </w:pPr>
      <w:r>
        <w:rPr>
          <w:rFonts w:hint="eastAsia" w:hAnsi="宋体" w:cs="宋体"/>
          <w:color w:val="auto"/>
          <w:szCs w:val="24"/>
        </w:rPr>
        <w:t>5、若发现供应商有弄虚作假的，供应商应无条件退货，并赔偿采购人相应的损失。</w:t>
      </w:r>
    </w:p>
    <w:p>
      <w:pPr>
        <w:spacing w:line="360" w:lineRule="auto"/>
        <w:ind w:firstLine="420" w:firstLineChars="200"/>
        <w:rPr>
          <w:rFonts w:hAnsi="宋体" w:cs="宋体"/>
          <w:color w:val="auto"/>
          <w:szCs w:val="24"/>
        </w:rPr>
      </w:pPr>
      <w:r>
        <w:rPr>
          <w:rFonts w:hint="eastAsia" w:hAnsi="宋体" w:cs="宋体"/>
          <w:color w:val="auto"/>
          <w:szCs w:val="24"/>
        </w:rPr>
        <w:t>6、验收标准：按磋商文件、磋商响应文件及澄清函等技术指标进行验收。各项指标均应符合验收标准及要求。</w:t>
      </w:r>
    </w:p>
    <w:p>
      <w:pPr>
        <w:spacing w:line="360" w:lineRule="auto"/>
        <w:ind w:firstLine="420" w:firstLineChars="200"/>
        <w:rPr>
          <w:rFonts w:hAnsi="宋体" w:cs="宋体"/>
          <w:color w:val="auto"/>
          <w:szCs w:val="24"/>
        </w:rPr>
      </w:pPr>
      <w:r>
        <w:rPr>
          <w:rFonts w:hint="eastAsia" w:hAnsi="宋体" w:cs="宋体"/>
          <w:color w:val="auto"/>
          <w:szCs w:val="24"/>
        </w:rPr>
        <w:t>7、验收合格后，填写验收单，双方签字盖章后生效。</w:t>
      </w:r>
    </w:p>
    <w:p>
      <w:pPr>
        <w:spacing w:line="360" w:lineRule="auto"/>
        <w:ind w:firstLine="420" w:firstLineChars="200"/>
        <w:rPr>
          <w:rFonts w:hAnsi="宋体" w:cs="宋体"/>
          <w:color w:val="auto"/>
          <w:szCs w:val="24"/>
        </w:rPr>
      </w:pPr>
      <w:r>
        <w:rPr>
          <w:rFonts w:hint="eastAsia" w:hAnsi="宋体" w:cs="宋体"/>
          <w:color w:val="auto"/>
          <w:szCs w:val="24"/>
        </w:rPr>
        <w:t>8、验收依据：</w:t>
      </w:r>
    </w:p>
    <w:p>
      <w:pPr>
        <w:tabs>
          <w:tab w:val="left" w:pos="498"/>
        </w:tabs>
        <w:spacing w:line="360" w:lineRule="auto"/>
        <w:ind w:firstLine="420" w:firstLineChars="200"/>
        <w:rPr>
          <w:rFonts w:hAnsi="宋体" w:cs="宋体"/>
          <w:color w:val="auto"/>
          <w:szCs w:val="24"/>
        </w:rPr>
      </w:pPr>
      <w:r>
        <w:rPr>
          <w:rFonts w:hint="eastAsia" w:hAnsi="宋体" w:cs="宋体"/>
          <w:color w:val="auto"/>
          <w:szCs w:val="24"/>
        </w:rPr>
        <w:t>1）合同文本；</w:t>
      </w:r>
    </w:p>
    <w:p>
      <w:pPr>
        <w:tabs>
          <w:tab w:val="left" w:pos="498"/>
        </w:tabs>
        <w:spacing w:line="360" w:lineRule="auto"/>
        <w:ind w:firstLine="420" w:firstLineChars="200"/>
        <w:rPr>
          <w:rFonts w:hAnsi="宋体" w:cs="宋体"/>
          <w:color w:val="auto"/>
          <w:szCs w:val="24"/>
        </w:rPr>
      </w:pPr>
      <w:r>
        <w:rPr>
          <w:rFonts w:hint="eastAsia" w:hAnsi="宋体" w:cs="宋体"/>
          <w:color w:val="auto"/>
          <w:szCs w:val="24"/>
        </w:rPr>
        <w:t>2）磋商响应文件及澄清函、磋商文件；</w:t>
      </w:r>
    </w:p>
    <w:p>
      <w:pPr>
        <w:tabs>
          <w:tab w:val="left" w:pos="498"/>
        </w:tabs>
        <w:spacing w:line="360" w:lineRule="auto"/>
        <w:ind w:firstLine="420" w:firstLineChars="200"/>
        <w:rPr>
          <w:rFonts w:hAnsi="宋体" w:cs="宋体"/>
          <w:color w:val="auto"/>
          <w:szCs w:val="24"/>
        </w:rPr>
      </w:pPr>
      <w:r>
        <w:rPr>
          <w:rFonts w:hint="eastAsia" w:hAnsi="宋体" w:cs="宋体"/>
          <w:color w:val="auto"/>
          <w:szCs w:val="24"/>
        </w:rPr>
        <w:t>3）国家和行业制定的相应的标准和规范；</w:t>
      </w:r>
    </w:p>
    <w:p>
      <w:pPr>
        <w:tabs>
          <w:tab w:val="left" w:pos="498"/>
        </w:tabs>
        <w:spacing w:line="360" w:lineRule="auto"/>
        <w:ind w:firstLine="420" w:firstLineChars="200"/>
        <w:jc w:val="left"/>
        <w:rPr>
          <w:rFonts w:hAnsi="宋体" w:cs="宋体"/>
          <w:color w:val="auto"/>
          <w:szCs w:val="24"/>
        </w:rPr>
      </w:pPr>
      <w:r>
        <w:rPr>
          <w:rFonts w:hint="eastAsia" w:hAnsi="宋体" w:cs="宋体"/>
          <w:color w:val="auto"/>
          <w:szCs w:val="24"/>
        </w:rPr>
        <w:t>4)产品验收清单（注明各部件的品名、数量、规格型号和原产地或生产厂家）。</w:t>
      </w:r>
    </w:p>
    <w:p>
      <w:pPr>
        <w:spacing w:line="360" w:lineRule="auto"/>
        <w:ind w:firstLine="422" w:firstLineChars="200"/>
        <w:rPr>
          <w:rFonts w:hAnsi="宋体" w:cs="宋体"/>
          <w:b/>
          <w:color w:val="auto"/>
          <w:szCs w:val="24"/>
        </w:rPr>
      </w:pPr>
      <w:r>
        <w:rPr>
          <w:rFonts w:hint="eastAsia" w:hAnsi="宋体" w:cs="宋体"/>
          <w:b/>
          <w:color w:val="auto"/>
          <w:szCs w:val="24"/>
        </w:rPr>
        <w:t>十</w:t>
      </w:r>
      <w:r>
        <w:rPr>
          <w:rFonts w:hint="eastAsia" w:hAnsi="宋体" w:cs="宋体"/>
          <w:b/>
          <w:color w:val="auto"/>
          <w:szCs w:val="24"/>
          <w:lang w:val="en-US" w:eastAsia="zh-CN"/>
        </w:rPr>
        <w:t>五</w:t>
      </w:r>
      <w:r>
        <w:rPr>
          <w:rFonts w:hint="eastAsia" w:hAnsi="宋体" w:cs="宋体"/>
          <w:b/>
          <w:color w:val="auto"/>
          <w:szCs w:val="24"/>
        </w:rPr>
        <w:t>、保密</w:t>
      </w:r>
    </w:p>
    <w:p>
      <w:pPr>
        <w:tabs>
          <w:tab w:val="left" w:pos="1080"/>
        </w:tabs>
        <w:spacing w:line="360" w:lineRule="auto"/>
        <w:ind w:firstLine="420" w:firstLineChars="200"/>
        <w:rPr>
          <w:rFonts w:hAnsi="宋体" w:cs="宋体"/>
          <w:color w:val="auto"/>
          <w:szCs w:val="24"/>
        </w:rPr>
      </w:pPr>
      <w:r>
        <w:rPr>
          <w:rFonts w:hint="eastAsia" w:hAnsi="宋体" w:cs="宋体"/>
          <w:color w:val="auto"/>
          <w:szCs w:val="24"/>
        </w:rPr>
        <w:t>须严格保密，对工作中了解到的采购人的技术、机密等进行保密，不得向他人泄漏。本合同的解除或终止不免除供应商应承担的保密义务。</w:t>
      </w:r>
    </w:p>
    <w:p>
      <w:pPr>
        <w:spacing w:line="360" w:lineRule="auto"/>
        <w:ind w:firstLine="422" w:firstLineChars="200"/>
        <w:rPr>
          <w:rFonts w:hAnsi="宋体" w:cs="宋体"/>
          <w:b/>
          <w:color w:val="auto"/>
          <w:szCs w:val="24"/>
        </w:rPr>
      </w:pPr>
      <w:r>
        <w:rPr>
          <w:rFonts w:hint="eastAsia" w:hAnsi="宋体" w:cs="宋体"/>
          <w:b/>
          <w:color w:val="auto"/>
          <w:szCs w:val="24"/>
        </w:rPr>
        <w:t>十</w:t>
      </w:r>
      <w:r>
        <w:rPr>
          <w:rFonts w:hint="eastAsia" w:hAnsi="宋体" w:cs="宋体"/>
          <w:b/>
          <w:color w:val="auto"/>
          <w:szCs w:val="24"/>
          <w:lang w:val="en-US" w:eastAsia="zh-CN"/>
        </w:rPr>
        <w:t>六</w:t>
      </w:r>
      <w:r>
        <w:rPr>
          <w:rFonts w:hint="eastAsia" w:hAnsi="宋体" w:cs="宋体"/>
          <w:b/>
          <w:color w:val="auto"/>
          <w:szCs w:val="24"/>
        </w:rPr>
        <w:t>、知识产权</w:t>
      </w:r>
    </w:p>
    <w:p>
      <w:pPr>
        <w:spacing w:line="360" w:lineRule="auto"/>
        <w:ind w:firstLine="420" w:firstLineChars="200"/>
        <w:rPr>
          <w:rFonts w:hAnsi="宋体" w:cs="宋体"/>
          <w:color w:val="auto"/>
          <w:szCs w:val="24"/>
        </w:rPr>
      </w:pPr>
      <w:r>
        <w:rPr>
          <w:rFonts w:hint="eastAsia" w:hAnsi="宋体" w:cs="宋体"/>
          <w:color w:val="auto"/>
          <w:szCs w:val="24"/>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spacing w:line="360" w:lineRule="auto"/>
        <w:ind w:firstLine="422" w:firstLineChars="200"/>
        <w:rPr>
          <w:rFonts w:hAnsi="宋体" w:cs="宋体"/>
          <w:color w:val="auto"/>
          <w:szCs w:val="24"/>
        </w:rPr>
      </w:pPr>
      <w:r>
        <w:rPr>
          <w:rFonts w:hint="eastAsia" w:hAnsi="宋体" w:cs="宋体"/>
          <w:b/>
          <w:color w:val="auto"/>
          <w:szCs w:val="24"/>
        </w:rPr>
        <w:t>十</w:t>
      </w:r>
      <w:r>
        <w:rPr>
          <w:rFonts w:hint="eastAsia" w:hAnsi="宋体" w:cs="宋体"/>
          <w:b/>
          <w:color w:val="auto"/>
          <w:szCs w:val="24"/>
          <w:lang w:val="en-US" w:eastAsia="zh-CN"/>
        </w:rPr>
        <w:t>七</w:t>
      </w:r>
      <w:r>
        <w:rPr>
          <w:rFonts w:hint="eastAsia" w:hAnsi="宋体" w:cs="宋体"/>
          <w:b/>
          <w:color w:val="auto"/>
          <w:szCs w:val="24"/>
        </w:rPr>
        <w:t>、合同争议的解决：</w:t>
      </w:r>
      <w:r>
        <w:rPr>
          <w:rFonts w:hint="eastAsia" w:hAnsi="宋体" w:cs="宋体"/>
          <w:color w:val="auto"/>
          <w:szCs w:val="24"/>
        </w:rPr>
        <w:t>合同执行中发生争议的，当事人双方应协商解决，协商达不成一致时，可向当地行政仲裁机关申请仲裁或者向人民法院提请诉讼。</w:t>
      </w:r>
    </w:p>
    <w:p>
      <w:pPr>
        <w:spacing w:line="360" w:lineRule="auto"/>
        <w:ind w:firstLine="422" w:firstLineChars="200"/>
        <w:rPr>
          <w:rFonts w:hAnsi="宋体" w:cs="宋体"/>
          <w:color w:val="auto"/>
          <w:szCs w:val="24"/>
        </w:rPr>
      </w:pPr>
      <w:r>
        <w:rPr>
          <w:rFonts w:hint="eastAsia" w:hAnsi="宋体" w:cs="宋体"/>
          <w:b/>
          <w:color w:val="auto"/>
          <w:szCs w:val="24"/>
        </w:rPr>
        <w:t>十</w:t>
      </w:r>
      <w:r>
        <w:rPr>
          <w:rFonts w:hint="eastAsia" w:hAnsi="宋体" w:cs="宋体"/>
          <w:b/>
          <w:color w:val="auto"/>
          <w:szCs w:val="24"/>
          <w:lang w:val="en-US" w:eastAsia="zh-CN"/>
        </w:rPr>
        <w:t>八</w:t>
      </w:r>
      <w:r>
        <w:rPr>
          <w:rFonts w:hint="eastAsia" w:hAnsi="宋体" w:cs="宋体"/>
          <w:b/>
          <w:color w:val="auto"/>
          <w:szCs w:val="24"/>
        </w:rPr>
        <w:t>、</w:t>
      </w:r>
      <w:r>
        <w:rPr>
          <w:rFonts w:hint="eastAsia" w:hAnsi="宋体" w:cs="宋体"/>
          <w:color w:val="auto"/>
          <w:szCs w:val="24"/>
        </w:rPr>
        <w:t xml:space="preserve">不可抗力情况下的免责约定，双方约定不可抗力情况包括：五级以上地震、大风、大雨、大雪。  </w:t>
      </w:r>
    </w:p>
    <w:p>
      <w:pPr>
        <w:spacing w:line="360" w:lineRule="auto"/>
        <w:ind w:firstLine="422" w:firstLineChars="200"/>
        <w:rPr>
          <w:rFonts w:hAnsi="宋体" w:cs="宋体"/>
          <w:color w:val="auto"/>
          <w:szCs w:val="24"/>
        </w:rPr>
      </w:pPr>
      <w:r>
        <w:rPr>
          <w:rFonts w:hint="eastAsia" w:hAnsi="宋体" w:cs="宋体"/>
          <w:b/>
          <w:color w:val="auto"/>
          <w:szCs w:val="24"/>
          <w:lang w:val="en-US" w:eastAsia="zh-CN"/>
        </w:rPr>
        <w:t>十九</w:t>
      </w:r>
      <w:r>
        <w:rPr>
          <w:rFonts w:hint="eastAsia" w:hAnsi="宋体" w:cs="宋体"/>
          <w:b/>
          <w:color w:val="auto"/>
          <w:szCs w:val="24"/>
        </w:rPr>
        <w:t>、</w:t>
      </w:r>
      <w:r>
        <w:rPr>
          <w:rFonts w:hint="eastAsia" w:hAnsi="宋体" w:cs="宋体"/>
          <w:color w:val="auto"/>
          <w:szCs w:val="24"/>
        </w:rPr>
        <w:t>合同执行中发生争议的，当事人双方应协商解决，协商达不成一致时，双方同意向西安市仲裁委员会申请仲裁。</w:t>
      </w:r>
    </w:p>
    <w:p>
      <w:pPr>
        <w:spacing w:line="360" w:lineRule="auto"/>
        <w:ind w:firstLine="422" w:firstLineChars="200"/>
        <w:rPr>
          <w:rFonts w:hAnsi="宋体" w:cs="宋体"/>
          <w:color w:val="auto"/>
          <w:szCs w:val="24"/>
        </w:rPr>
      </w:pPr>
      <w:r>
        <w:rPr>
          <w:rFonts w:hint="eastAsia" w:hAnsi="宋体" w:cs="宋体"/>
          <w:b/>
          <w:color w:val="auto"/>
          <w:szCs w:val="24"/>
        </w:rPr>
        <w:t>二十、违约责任：</w:t>
      </w:r>
      <w:r>
        <w:rPr>
          <w:rFonts w:hint="eastAsia" w:hAnsi="宋体" w:cs="宋体"/>
          <w:color w:val="auto"/>
          <w:szCs w:val="24"/>
        </w:rPr>
        <w:t>依据《中华人民共和国合同法》、《中华人民共和国政府采购法》的相关条款和本合同约定，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spacing w:line="360" w:lineRule="auto"/>
        <w:ind w:firstLine="422" w:firstLineChars="200"/>
        <w:rPr>
          <w:rFonts w:hAnsi="宋体" w:cs="宋体"/>
          <w:color w:val="auto"/>
          <w:szCs w:val="24"/>
        </w:rPr>
      </w:pPr>
      <w:r>
        <w:rPr>
          <w:rFonts w:hint="eastAsia" w:hAnsi="宋体" w:cs="宋体"/>
          <w:b/>
          <w:color w:val="auto"/>
          <w:szCs w:val="24"/>
        </w:rPr>
        <w:t>二十</w:t>
      </w:r>
      <w:r>
        <w:rPr>
          <w:rFonts w:hint="eastAsia" w:hAnsi="宋体" w:cs="宋体"/>
          <w:b/>
          <w:color w:val="auto"/>
          <w:szCs w:val="24"/>
          <w:lang w:val="en-US" w:eastAsia="zh-CN"/>
        </w:rPr>
        <w:t>一</w:t>
      </w:r>
      <w:r>
        <w:rPr>
          <w:rFonts w:hint="eastAsia" w:hAnsi="宋体" w:cs="宋体"/>
          <w:b/>
          <w:color w:val="auto"/>
          <w:szCs w:val="24"/>
        </w:rPr>
        <w:t>、其他（</w:t>
      </w:r>
      <w:r>
        <w:rPr>
          <w:rFonts w:hint="eastAsia" w:hAnsi="宋体" w:cs="宋体"/>
          <w:color w:val="auto"/>
          <w:szCs w:val="24"/>
        </w:rPr>
        <w:t>在合同中具体明确）</w:t>
      </w:r>
    </w:p>
    <w:p>
      <w:pPr>
        <w:spacing w:line="360" w:lineRule="auto"/>
        <w:ind w:firstLine="422" w:firstLineChars="200"/>
        <w:rPr>
          <w:rFonts w:hAnsi="宋体" w:cs="宋体"/>
          <w:b/>
          <w:color w:val="auto"/>
        </w:rPr>
      </w:pPr>
      <w:r>
        <w:rPr>
          <w:rFonts w:hint="eastAsia" w:hAnsi="宋体" w:cs="宋体"/>
          <w:b/>
          <w:color w:val="auto"/>
        </w:rPr>
        <w:t>二十</w:t>
      </w:r>
      <w:r>
        <w:rPr>
          <w:rFonts w:hint="eastAsia" w:hAnsi="宋体" w:cs="宋体"/>
          <w:b/>
          <w:color w:val="auto"/>
          <w:lang w:val="en-US" w:eastAsia="zh-CN"/>
        </w:rPr>
        <w:t>二</w:t>
      </w:r>
      <w:r>
        <w:rPr>
          <w:rFonts w:hint="eastAsia" w:hAnsi="宋体" w:cs="宋体"/>
          <w:b/>
          <w:color w:val="auto"/>
        </w:rPr>
        <w:t>、合同订立</w:t>
      </w:r>
    </w:p>
    <w:p>
      <w:pPr>
        <w:adjustRightInd w:val="0"/>
        <w:snapToGrid w:val="0"/>
        <w:spacing w:line="360" w:lineRule="auto"/>
        <w:ind w:firstLine="420" w:firstLineChars="200"/>
        <w:rPr>
          <w:rFonts w:hAnsi="宋体" w:cs="宋体"/>
          <w:color w:val="auto"/>
        </w:rPr>
      </w:pPr>
      <w:r>
        <w:rPr>
          <w:rFonts w:hint="eastAsia" w:hAnsi="宋体" w:cs="宋体"/>
          <w:color w:val="auto"/>
        </w:rPr>
        <w:t>1. 订立时间：</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pPr>
        <w:adjustRightInd w:val="0"/>
        <w:snapToGrid w:val="0"/>
        <w:spacing w:line="360" w:lineRule="auto"/>
        <w:ind w:firstLine="420" w:firstLineChars="200"/>
        <w:rPr>
          <w:rFonts w:hAnsi="宋体" w:cs="宋体"/>
          <w:color w:val="auto"/>
        </w:rPr>
      </w:pPr>
      <w:r>
        <w:rPr>
          <w:rFonts w:hint="eastAsia" w:hAnsi="宋体" w:cs="宋体"/>
          <w:color w:val="auto"/>
        </w:rPr>
        <w:t>2. 订立地点：</w:t>
      </w:r>
      <w:r>
        <w:rPr>
          <w:rFonts w:hint="eastAsia" w:hAnsi="宋体" w:cs="宋体"/>
          <w:color w:val="auto"/>
          <w:u w:val="single"/>
        </w:rPr>
        <w:t xml:space="preserve">                                 </w:t>
      </w:r>
      <w:r>
        <w:rPr>
          <w:rFonts w:hint="eastAsia" w:hAnsi="宋体" w:cs="宋体"/>
          <w:color w:val="auto"/>
        </w:rPr>
        <w:t>。</w:t>
      </w:r>
    </w:p>
    <w:p>
      <w:pPr>
        <w:tabs>
          <w:tab w:val="left" w:pos="980"/>
        </w:tabs>
        <w:kinsoku w:val="0"/>
        <w:spacing w:line="360" w:lineRule="auto"/>
        <w:ind w:firstLine="420" w:firstLineChars="200"/>
        <w:rPr>
          <w:rFonts w:hAnsi="宋体" w:cs="宋体"/>
          <w:color w:val="auto"/>
        </w:rPr>
      </w:pPr>
      <w:r>
        <w:rPr>
          <w:rFonts w:hint="eastAsia" w:hAnsi="宋体" w:cs="宋体"/>
          <w:color w:val="auto"/>
        </w:rPr>
        <w:t xml:space="preserve">3. </w:t>
      </w:r>
      <w:r>
        <w:rPr>
          <w:rFonts w:hint="eastAsia" w:hAnsi="宋体" w:cs="宋体"/>
          <w:color w:val="auto"/>
          <w:szCs w:val="24"/>
        </w:rPr>
        <w:t>本合同一式</w:t>
      </w:r>
      <w:r>
        <w:rPr>
          <w:rFonts w:hint="eastAsia" w:hAnsi="宋体" w:cs="宋体"/>
          <w:color w:val="auto"/>
          <w:szCs w:val="24"/>
          <w:u w:val="single"/>
        </w:rPr>
        <w:t>陆</w:t>
      </w:r>
      <w:r>
        <w:rPr>
          <w:rFonts w:hint="eastAsia" w:hAnsi="宋体" w:cs="宋体"/>
          <w:color w:val="auto"/>
          <w:szCs w:val="24"/>
        </w:rPr>
        <w:t>份，其中，合同</w:t>
      </w:r>
      <w:r>
        <w:rPr>
          <w:rFonts w:hint="eastAsia" w:hAnsi="宋体" w:cs="宋体"/>
          <w:color w:val="auto"/>
          <w:szCs w:val="24"/>
          <w:u w:val="single"/>
        </w:rPr>
        <w:t>正本一式贰份</w:t>
      </w:r>
      <w:r>
        <w:rPr>
          <w:rFonts w:hint="eastAsia" w:hAnsi="宋体" w:cs="宋体"/>
          <w:color w:val="auto"/>
          <w:szCs w:val="24"/>
        </w:rPr>
        <w:t>，</w:t>
      </w:r>
      <w:r>
        <w:rPr>
          <w:rFonts w:hint="eastAsia" w:hAnsi="宋体" w:cs="宋体"/>
          <w:color w:val="auto"/>
          <w:szCs w:val="24"/>
          <w:u w:val="single"/>
        </w:rPr>
        <w:t>副本一式肆份</w:t>
      </w:r>
      <w:r>
        <w:rPr>
          <w:rFonts w:hint="eastAsia" w:hAnsi="宋体" w:cs="宋体"/>
          <w:color w:val="auto"/>
          <w:szCs w:val="24"/>
        </w:rPr>
        <w:t>，具有同等法律效力，正副本不一致，以正本为准。采供双方各执正本壹份副本壹份，监管部门备案副本壹份、采购代理机构存档副本壹份。各方签字盖章后生效，合同执行完毕自动失效。（合同的服务承诺则长期有效）。</w:t>
      </w:r>
    </w:p>
    <w:p>
      <w:pPr>
        <w:tabs>
          <w:tab w:val="left" w:pos="980"/>
        </w:tabs>
        <w:kinsoku w:val="0"/>
        <w:spacing w:line="360" w:lineRule="auto"/>
        <w:ind w:firstLine="420" w:firstLineChars="200"/>
        <w:rPr>
          <w:rFonts w:hAnsi="宋体"/>
          <w:color w:val="auto"/>
          <w:szCs w:val="24"/>
        </w:rPr>
      </w:pPr>
    </w:p>
    <w:p>
      <w:pPr>
        <w:adjustRightInd w:val="0"/>
        <w:snapToGrid w:val="0"/>
        <w:spacing w:line="360" w:lineRule="auto"/>
        <w:ind w:firstLine="415" w:firstLineChars="198"/>
        <w:rPr>
          <w:rFonts w:hAnsi="宋体"/>
          <w:color w:val="auto"/>
          <w:szCs w:val="24"/>
        </w:rPr>
      </w:pPr>
      <w:r>
        <w:rPr>
          <w:rFonts w:hint="eastAsia" w:hAnsi="宋体"/>
          <w:color w:val="auto"/>
          <w:szCs w:val="24"/>
        </w:rPr>
        <w:t>采购人：</w:t>
      </w:r>
      <w:r>
        <w:rPr>
          <w:rFonts w:hint="eastAsia" w:hAnsi="宋体"/>
          <w:color w:val="auto"/>
          <w:szCs w:val="24"/>
          <w:u w:val="single"/>
        </w:rPr>
        <w:t xml:space="preserve">   （盖章）        </w:t>
      </w:r>
      <w:r>
        <w:rPr>
          <w:rFonts w:hint="eastAsia" w:hAnsi="宋体"/>
          <w:color w:val="auto"/>
          <w:szCs w:val="24"/>
        </w:rPr>
        <w:t xml:space="preserve">       供应商：</w:t>
      </w:r>
      <w:r>
        <w:rPr>
          <w:rFonts w:hint="eastAsia" w:hAnsi="宋体"/>
          <w:color w:val="auto"/>
          <w:szCs w:val="24"/>
          <w:u w:val="single"/>
        </w:rPr>
        <w:t xml:space="preserve">   （盖章）         </w:t>
      </w:r>
    </w:p>
    <w:p>
      <w:pPr>
        <w:adjustRightInd w:val="0"/>
        <w:snapToGrid w:val="0"/>
        <w:spacing w:line="360" w:lineRule="auto"/>
        <w:ind w:firstLine="415" w:firstLineChars="198"/>
        <w:rPr>
          <w:rFonts w:hAnsi="宋体"/>
          <w:color w:val="auto"/>
          <w:szCs w:val="24"/>
        </w:rPr>
      </w:pPr>
      <w:r>
        <w:rPr>
          <w:rFonts w:hint="eastAsia" w:hAnsi="宋体"/>
          <w:color w:val="auto"/>
          <w:szCs w:val="24"/>
        </w:rPr>
        <w:t xml:space="preserve">地址： </w:t>
      </w:r>
      <w:r>
        <w:rPr>
          <w:rFonts w:hint="eastAsia" w:hAnsi="宋体"/>
          <w:color w:val="auto"/>
          <w:szCs w:val="24"/>
          <w:u w:val="single"/>
        </w:rPr>
        <w:t xml:space="preserve">                     </w:t>
      </w:r>
      <w:r>
        <w:rPr>
          <w:rFonts w:hint="eastAsia" w:hAnsi="宋体"/>
          <w:color w:val="auto"/>
          <w:szCs w:val="24"/>
        </w:rPr>
        <w:t xml:space="preserve">      地址： </w:t>
      </w:r>
      <w:r>
        <w:rPr>
          <w:rFonts w:hint="eastAsia" w:hAnsi="宋体"/>
          <w:color w:val="auto"/>
          <w:szCs w:val="24"/>
          <w:u w:val="single"/>
        </w:rPr>
        <w:t xml:space="preserve">                      </w:t>
      </w:r>
    </w:p>
    <w:p>
      <w:pPr>
        <w:adjustRightInd w:val="0"/>
        <w:snapToGrid w:val="0"/>
        <w:spacing w:line="360" w:lineRule="auto"/>
        <w:ind w:firstLine="420" w:firstLineChars="200"/>
        <w:rPr>
          <w:rFonts w:hAnsi="宋体"/>
          <w:color w:val="auto"/>
          <w:szCs w:val="24"/>
        </w:rPr>
      </w:pPr>
      <w:r>
        <w:rPr>
          <w:rFonts w:hint="eastAsia" w:hAnsi="宋体"/>
          <w:color w:val="auto"/>
          <w:szCs w:val="24"/>
        </w:rPr>
        <w:t>邮政编码：</w:t>
      </w:r>
      <w:r>
        <w:rPr>
          <w:rFonts w:hint="eastAsia" w:hAnsi="宋体"/>
          <w:color w:val="auto"/>
          <w:szCs w:val="24"/>
          <w:u w:val="single"/>
        </w:rPr>
        <w:t xml:space="preserve">                  </w:t>
      </w:r>
      <w:r>
        <w:rPr>
          <w:rFonts w:hint="eastAsia" w:hAnsi="宋体"/>
          <w:color w:val="auto"/>
          <w:szCs w:val="24"/>
        </w:rPr>
        <w:t xml:space="preserve">      邮政编码：</w:t>
      </w:r>
      <w:r>
        <w:rPr>
          <w:rFonts w:hint="eastAsia" w:hAnsi="宋体"/>
          <w:color w:val="auto"/>
          <w:szCs w:val="24"/>
          <w:u w:val="single"/>
        </w:rPr>
        <w:t xml:space="preserve">                  </w:t>
      </w:r>
    </w:p>
    <w:p>
      <w:pPr>
        <w:adjustRightInd w:val="0"/>
        <w:snapToGrid w:val="0"/>
        <w:spacing w:line="360" w:lineRule="auto"/>
        <w:ind w:firstLine="415" w:firstLineChars="198"/>
        <w:rPr>
          <w:rFonts w:hAnsi="宋体"/>
          <w:color w:val="auto"/>
          <w:szCs w:val="24"/>
        </w:rPr>
      </w:pPr>
      <w:r>
        <w:rPr>
          <w:rFonts w:hint="eastAsia" w:hAnsi="宋体"/>
          <w:color w:val="auto"/>
          <w:szCs w:val="24"/>
        </w:rPr>
        <w:t>法定代表人或其授权                法定代表人或其授权</w:t>
      </w:r>
    </w:p>
    <w:p>
      <w:pPr>
        <w:adjustRightInd w:val="0"/>
        <w:snapToGrid w:val="0"/>
        <w:spacing w:line="360" w:lineRule="auto"/>
        <w:ind w:firstLine="415" w:firstLineChars="198"/>
        <w:rPr>
          <w:rFonts w:hAnsi="宋体"/>
          <w:color w:val="auto"/>
          <w:szCs w:val="24"/>
        </w:rPr>
      </w:pPr>
      <w:r>
        <w:rPr>
          <w:rFonts w:hint="eastAsia" w:hAnsi="宋体"/>
          <w:color w:val="auto"/>
          <w:szCs w:val="24"/>
        </w:rPr>
        <w:t>的代理人：</w:t>
      </w:r>
      <w:r>
        <w:rPr>
          <w:rFonts w:hint="eastAsia" w:hAnsi="宋体"/>
          <w:color w:val="auto"/>
          <w:szCs w:val="24"/>
          <w:u w:val="single"/>
        </w:rPr>
        <w:t xml:space="preserve">（签字）      </w:t>
      </w:r>
      <w:r>
        <w:rPr>
          <w:rFonts w:hint="eastAsia" w:hAnsi="宋体"/>
          <w:color w:val="auto"/>
          <w:szCs w:val="24"/>
        </w:rPr>
        <w:t xml:space="preserve">           的代理人：</w:t>
      </w:r>
      <w:r>
        <w:rPr>
          <w:rFonts w:hint="eastAsia" w:hAnsi="宋体"/>
          <w:color w:val="auto"/>
          <w:szCs w:val="24"/>
          <w:u w:val="single"/>
        </w:rPr>
        <w:t xml:space="preserve">（签字）          </w:t>
      </w:r>
    </w:p>
    <w:p>
      <w:pPr>
        <w:adjustRightInd w:val="0"/>
        <w:snapToGrid w:val="0"/>
        <w:spacing w:line="360" w:lineRule="auto"/>
        <w:ind w:firstLine="415" w:firstLineChars="198"/>
        <w:rPr>
          <w:rFonts w:hAnsi="宋体"/>
          <w:color w:val="auto"/>
          <w:szCs w:val="24"/>
        </w:rPr>
      </w:pPr>
      <w:r>
        <w:rPr>
          <w:rFonts w:hint="eastAsia" w:hAnsi="宋体"/>
          <w:color w:val="auto"/>
          <w:szCs w:val="24"/>
        </w:rPr>
        <w:t>开户银行：</w:t>
      </w:r>
      <w:r>
        <w:rPr>
          <w:rFonts w:hint="eastAsia" w:hAnsi="宋体"/>
          <w:color w:val="auto"/>
          <w:szCs w:val="24"/>
          <w:u w:val="single"/>
        </w:rPr>
        <w:t xml:space="preserve">                 </w:t>
      </w:r>
      <w:r>
        <w:rPr>
          <w:rFonts w:hint="eastAsia" w:hAnsi="宋体"/>
          <w:color w:val="auto"/>
          <w:szCs w:val="24"/>
        </w:rPr>
        <w:t xml:space="preserve">        开户银行：</w:t>
      </w:r>
      <w:r>
        <w:rPr>
          <w:rFonts w:hint="eastAsia" w:hAnsi="宋体"/>
          <w:color w:val="auto"/>
          <w:szCs w:val="24"/>
          <w:u w:val="single"/>
        </w:rPr>
        <w:t xml:space="preserve">                  </w:t>
      </w:r>
    </w:p>
    <w:p>
      <w:pPr>
        <w:adjustRightInd w:val="0"/>
        <w:snapToGrid w:val="0"/>
        <w:spacing w:line="360" w:lineRule="auto"/>
        <w:ind w:firstLine="415" w:firstLineChars="198"/>
        <w:rPr>
          <w:rFonts w:hAnsi="宋体"/>
          <w:color w:val="auto"/>
          <w:szCs w:val="24"/>
        </w:rPr>
      </w:pPr>
      <w:r>
        <w:rPr>
          <w:rFonts w:hint="eastAsia" w:hAnsi="宋体"/>
          <w:color w:val="auto"/>
          <w:szCs w:val="24"/>
        </w:rPr>
        <w:t>账号：</w:t>
      </w:r>
      <w:r>
        <w:rPr>
          <w:rFonts w:hint="eastAsia" w:hAnsi="宋体"/>
          <w:color w:val="auto"/>
          <w:szCs w:val="24"/>
          <w:u w:val="single"/>
        </w:rPr>
        <w:t xml:space="preserve">                      </w:t>
      </w:r>
      <w:r>
        <w:rPr>
          <w:rFonts w:hint="eastAsia" w:hAnsi="宋体"/>
          <w:color w:val="auto"/>
          <w:szCs w:val="24"/>
        </w:rPr>
        <w:t xml:space="preserve">       账号：</w:t>
      </w:r>
      <w:r>
        <w:rPr>
          <w:rFonts w:hint="eastAsia" w:hAnsi="宋体"/>
          <w:color w:val="auto"/>
          <w:szCs w:val="24"/>
          <w:u w:val="single"/>
        </w:rPr>
        <w:t xml:space="preserve">                       </w:t>
      </w:r>
    </w:p>
    <w:p>
      <w:pPr>
        <w:adjustRightInd w:val="0"/>
        <w:snapToGrid w:val="0"/>
        <w:spacing w:line="360" w:lineRule="auto"/>
        <w:ind w:firstLine="415" w:firstLineChars="198"/>
        <w:rPr>
          <w:rFonts w:hAnsi="宋体"/>
          <w:color w:val="auto"/>
          <w:szCs w:val="24"/>
        </w:rPr>
      </w:pPr>
      <w:r>
        <w:rPr>
          <w:rFonts w:hint="eastAsia" w:hAnsi="宋体"/>
          <w:color w:val="auto"/>
          <w:szCs w:val="24"/>
        </w:rPr>
        <w:t>电话：</w:t>
      </w:r>
      <w:r>
        <w:rPr>
          <w:rFonts w:hint="eastAsia" w:hAnsi="宋体"/>
          <w:color w:val="auto"/>
          <w:szCs w:val="24"/>
          <w:u w:val="single"/>
        </w:rPr>
        <w:t xml:space="preserve">                      </w:t>
      </w:r>
      <w:r>
        <w:rPr>
          <w:rFonts w:hint="eastAsia" w:hAnsi="宋体"/>
          <w:color w:val="auto"/>
          <w:szCs w:val="24"/>
        </w:rPr>
        <w:t xml:space="preserve">       电话：</w:t>
      </w:r>
      <w:r>
        <w:rPr>
          <w:rFonts w:hint="eastAsia" w:hAnsi="宋体"/>
          <w:color w:val="auto"/>
          <w:szCs w:val="24"/>
          <w:u w:val="single"/>
        </w:rPr>
        <w:t xml:space="preserve">                       </w:t>
      </w:r>
    </w:p>
    <w:p>
      <w:pPr>
        <w:adjustRightInd w:val="0"/>
        <w:snapToGrid w:val="0"/>
        <w:spacing w:line="360" w:lineRule="auto"/>
        <w:ind w:firstLine="415" w:firstLineChars="198"/>
        <w:rPr>
          <w:rFonts w:hAnsi="宋体"/>
          <w:color w:val="auto"/>
          <w:szCs w:val="24"/>
        </w:rPr>
      </w:pPr>
      <w:r>
        <w:rPr>
          <w:rFonts w:hint="eastAsia" w:hAnsi="宋体"/>
          <w:color w:val="auto"/>
          <w:szCs w:val="24"/>
        </w:rPr>
        <w:t>传真：</w:t>
      </w:r>
      <w:r>
        <w:rPr>
          <w:rFonts w:hint="eastAsia" w:hAnsi="宋体"/>
          <w:color w:val="auto"/>
          <w:szCs w:val="24"/>
          <w:u w:val="single"/>
        </w:rPr>
        <w:t xml:space="preserve">                      </w:t>
      </w:r>
      <w:r>
        <w:rPr>
          <w:rFonts w:hint="eastAsia" w:hAnsi="宋体"/>
          <w:color w:val="auto"/>
          <w:szCs w:val="24"/>
        </w:rPr>
        <w:t xml:space="preserve">       传真：</w:t>
      </w:r>
      <w:r>
        <w:rPr>
          <w:rFonts w:hint="eastAsia" w:hAnsi="宋体"/>
          <w:color w:val="auto"/>
          <w:szCs w:val="24"/>
          <w:u w:val="single"/>
        </w:rPr>
        <w:t xml:space="preserve">                       </w:t>
      </w:r>
    </w:p>
    <w:p>
      <w:pPr>
        <w:adjustRightInd w:val="0"/>
        <w:snapToGrid w:val="0"/>
        <w:spacing w:line="360" w:lineRule="auto"/>
        <w:ind w:firstLine="415" w:firstLineChars="198"/>
        <w:rPr>
          <w:rFonts w:hAnsi="宋体"/>
          <w:color w:val="auto"/>
          <w:szCs w:val="24"/>
          <w:u w:val="single"/>
        </w:rPr>
      </w:pPr>
      <w:r>
        <w:rPr>
          <w:rFonts w:hint="eastAsia" w:hAnsi="宋体"/>
          <w:color w:val="auto"/>
          <w:szCs w:val="24"/>
        </w:rPr>
        <w:t>电子邮箱：</w:t>
      </w:r>
      <w:r>
        <w:rPr>
          <w:rFonts w:hint="eastAsia" w:hAnsi="宋体"/>
          <w:color w:val="auto"/>
          <w:szCs w:val="24"/>
          <w:u w:val="single"/>
        </w:rPr>
        <w:t xml:space="preserve">                 </w:t>
      </w:r>
      <w:r>
        <w:rPr>
          <w:rFonts w:hint="eastAsia" w:hAnsi="宋体"/>
          <w:color w:val="auto"/>
          <w:szCs w:val="24"/>
        </w:rPr>
        <w:t xml:space="preserve">        电子邮箱：</w:t>
      </w:r>
      <w:r>
        <w:rPr>
          <w:rFonts w:hint="eastAsia" w:hAnsi="宋体"/>
          <w:color w:val="auto"/>
          <w:szCs w:val="24"/>
          <w:u w:val="single"/>
        </w:rPr>
        <w:t xml:space="preserve">                  </w:t>
      </w:r>
    </w:p>
    <w:p>
      <w:pPr>
        <w:pStyle w:val="4"/>
        <w:rPr>
          <w:rFonts w:hint="eastAsia"/>
        </w:rPr>
      </w:pPr>
    </w:p>
    <w:p>
      <w:pPr>
        <w:rPr>
          <w:rFonts w:hint="eastAsia"/>
        </w:rPr>
      </w:pPr>
      <w:r>
        <w:rPr>
          <w:rFonts w:hint="eastAsia"/>
        </w:rPr>
        <w:br w:type="page"/>
      </w:r>
    </w:p>
    <w:p>
      <w:pPr>
        <w:pStyle w:val="3"/>
        <w:rPr>
          <w:rFonts w:hint="eastAsia"/>
        </w:rPr>
      </w:pPr>
    </w:p>
    <w:p>
      <w:pPr>
        <w:pStyle w:val="6"/>
        <w:spacing w:line="240" w:lineRule="auto"/>
        <w:jc w:val="center"/>
        <w:outlineLvl w:val="0"/>
        <w:rPr>
          <w:rFonts w:ascii="宋体" w:hAnsi="宋体" w:cs="宋体"/>
          <w:b w:val="0"/>
          <w:sz w:val="40"/>
          <w:szCs w:val="40"/>
        </w:rPr>
      </w:pPr>
      <w:bookmarkStart w:id="451" w:name="_Toc16501"/>
      <w:r>
        <w:rPr>
          <w:rFonts w:hint="eastAsia" w:ascii="宋体" w:hAnsi="宋体" w:cs="宋体"/>
          <w:sz w:val="40"/>
          <w:szCs w:val="40"/>
        </w:rPr>
        <w:t>第</w:t>
      </w:r>
      <w:r>
        <w:rPr>
          <w:rFonts w:hint="eastAsia" w:ascii="宋体" w:hAnsi="宋体" w:cs="宋体"/>
          <w:sz w:val="40"/>
          <w:szCs w:val="40"/>
          <w:lang w:val="en-US" w:eastAsia="zh-CN"/>
        </w:rPr>
        <w:t>七</w:t>
      </w:r>
      <w:r>
        <w:rPr>
          <w:rFonts w:hint="eastAsia" w:ascii="宋体" w:hAnsi="宋体" w:cs="宋体"/>
          <w:sz w:val="40"/>
          <w:szCs w:val="40"/>
        </w:rPr>
        <w:t>部分  响应文件格式</w:t>
      </w:r>
      <w:bookmarkEnd w:id="432"/>
      <w:bookmarkEnd w:id="451"/>
    </w:p>
    <w:p>
      <w:pPr>
        <w:pStyle w:val="2"/>
        <w:rPr>
          <w:rFonts w:ascii="宋体" w:hAnsi="宋体" w:cs="宋体"/>
          <w:b w:val="0"/>
          <w:sz w:val="24"/>
        </w:rPr>
      </w:pPr>
    </w:p>
    <w:p>
      <w:pPr>
        <w:spacing w:line="360" w:lineRule="auto"/>
        <w:jc w:val="left"/>
        <w:rPr>
          <w:rFonts w:ascii="宋体" w:hAnsi="宋体" w:cs="宋体"/>
          <w:b/>
          <w:sz w:val="24"/>
        </w:rPr>
      </w:pPr>
    </w:p>
    <w:p>
      <w:pPr>
        <w:spacing w:line="360" w:lineRule="auto"/>
        <w:jc w:val="left"/>
        <w:rPr>
          <w:rFonts w:ascii="宋体" w:hAnsi="宋体" w:cs="宋体"/>
          <w:b/>
          <w:sz w:val="32"/>
        </w:rPr>
      </w:pPr>
      <w:r>
        <w:rPr>
          <w:rFonts w:hint="eastAsia" w:ascii="宋体" w:hAnsi="宋体" w:cs="宋体"/>
          <w:b/>
          <w:sz w:val="24"/>
        </w:rPr>
        <w:t xml:space="preserve">采购项目编号：                                                </w:t>
      </w:r>
      <w:r>
        <w:rPr>
          <w:rFonts w:hint="eastAsia" w:ascii="宋体" w:hAnsi="宋体" w:cs="宋体"/>
          <w:b/>
          <w:bCs/>
          <w:sz w:val="30"/>
          <w:szCs w:val="30"/>
          <w:bdr w:val="single" w:color="auto" w:sz="4" w:space="0"/>
        </w:rPr>
        <w:t>正本/副本</w:t>
      </w:r>
    </w:p>
    <w:p>
      <w:pPr>
        <w:spacing w:line="360" w:lineRule="auto"/>
        <w:jc w:val="left"/>
        <w:rPr>
          <w:rFonts w:ascii="宋体" w:hAnsi="宋体" w:cs="宋体"/>
          <w:b/>
          <w:bCs/>
          <w:sz w:val="32"/>
          <w:szCs w:val="32"/>
        </w:rPr>
      </w:pPr>
    </w:p>
    <w:p>
      <w:pPr>
        <w:spacing w:line="360" w:lineRule="auto"/>
        <w:jc w:val="left"/>
        <w:rPr>
          <w:rFonts w:ascii="宋体" w:hAnsi="宋体" w:cs="宋体"/>
          <w:b/>
          <w:bCs/>
          <w:sz w:val="32"/>
          <w:szCs w:val="32"/>
        </w:rPr>
      </w:pPr>
    </w:p>
    <w:bookmarkEnd w:id="433"/>
    <w:p>
      <w:pPr>
        <w:spacing w:line="360" w:lineRule="auto"/>
        <w:jc w:val="center"/>
        <w:outlineLvl w:val="0"/>
        <w:rPr>
          <w:rFonts w:ascii="宋体" w:hAnsi="宋体" w:cs="宋体"/>
          <w:b/>
          <w:sz w:val="56"/>
          <w:szCs w:val="56"/>
        </w:rPr>
      </w:pPr>
      <w:r>
        <w:rPr>
          <w:rFonts w:hint="eastAsia" w:ascii="宋体" w:hAnsi="宋体" w:cs="宋体"/>
          <w:b/>
          <w:sz w:val="48"/>
          <w:szCs w:val="48"/>
          <w:lang w:val="en-US" w:eastAsia="zh-CN"/>
        </w:rPr>
        <w:t>西安市高陵区船张观澜小学校园文化项目</w:t>
      </w:r>
    </w:p>
    <w:p>
      <w:pPr>
        <w:spacing w:line="360" w:lineRule="auto"/>
        <w:jc w:val="center"/>
        <w:outlineLvl w:val="9"/>
        <w:rPr>
          <w:rFonts w:hint="eastAsia" w:ascii="宋体" w:hAnsi="宋体" w:cs="宋体"/>
          <w:b/>
          <w:sz w:val="72"/>
          <w:szCs w:val="72"/>
        </w:rPr>
      </w:pPr>
      <w:bookmarkStart w:id="452" w:name="_Toc19715"/>
    </w:p>
    <w:p>
      <w:pPr>
        <w:pStyle w:val="3"/>
        <w:rPr>
          <w:rFonts w:hint="eastAsia" w:ascii="宋体" w:hAnsi="宋体" w:cs="宋体"/>
          <w:b/>
          <w:sz w:val="72"/>
          <w:szCs w:val="72"/>
        </w:rPr>
      </w:pPr>
    </w:p>
    <w:p>
      <w:pPr>
        <w:rPr>
          <w:rFonts w:hint="eastAsia"/>
        </w:rPr>
      </w:pPr>
    </w:p>
    <w:p>
      <w:pPr>
        <w:spacing w:line="360" w:lineRule="auto"/>
        <w:jc w:val="center"/>
        <w:outlineLvl w:val="0"/>
        <w:rPr>
          <w:rFonts w:ascii="宋体" w:hAnsi="宋体" w:cs="宋体"/>
          <w:sz w:val="20"/>
          <w:szCs w:val="21"/>
        </w:rPr>
      </w:pPr>
      <w:bookmarkStart w:id="453" w:name="_Toc25964"/>
      <w:bookmarkStart w:id="454" w:name="_Toc9094"/>
      <w:r>
        <w:rPr>
          <w:rFonts w:hint="eastAsia" w:ascii="宋体" w:hAnsi="宋体" w:cs="宋体"/>
          <w:b/>
          <w:sz w:val="72"/>
          <w:szCs w:val="72"/>
        </w:rPr>
        <w:t>响 应 文 件</w:t>
      </w:r>
      <w:bookmarkEnd w:id="452"/>
      <w:bookmarkEnd w:id="453"/>
      <w:bookmarkEnd w:id="454"/>
      <w:r>
        <w:rPr>
          <w:rFonts w:hint="eastAsia" w:ascii="宋体" w:hAnsi="宋体" w:cs="宋体"/>
          <w:b/>
          <w:sz w:val="72"/>
          <w:szCs w:val="48"/>
        </w:rPr>
        <w:t xml:space="preserve"> </w:t>
      </w:r>
    </w:p>
    <w:p>
      <w:pPr>
        <w:spacing w:line="360" w:lineRule="auto"/>
        <w:rPr>
          <w:rFonts w:ascii="宋体" w:hAnsi="宋体" w:cs="宋体"/>
          <w:b/>
          <w:sz w:val="32"/>
        </w:rPr>
      </w:pPr>
    </w:p>
    <w:p>
      <w:pPr>
        <w:pStyle w:val="3"/>
      </w:pPr>
    </w:p>
    <w:p>
      <w:pPr>
        <w:spacing w:line="720" w:lineRule="auto"/>
        <w:ind w:firstLine="1391" w:firstLineChars="495"/>
        <w:outlineLvl w:val="0"/>
        <w:rPr>
          <w:rFonts w:ascii="宋体" w:hAnsi="宋体"/>
          <w:b/>
          <w:sz w:val="32"/>
        </w:rPr>
      </w:pPr>
      <w:r>
        <w:rPr>
          <w:rFonts w:hint="eastAsia" w:ascii="宋体" w:hAnsi="宋体" w:cs="宋体"/>
          <w:b/>
          <w:sz w:val="28"/>
        </w:rPr>
        <w:t xml:space="preserve"> </w:t>
      </w:r>
      <w:bookmarkStart w:id="455" w:name="_Toc10951"/>
      <w:bookmarkStart w:id="456" w:name="_Toc18342"/>
      <w:bookmarkStart w:id="457" w:name="_Toc16986"/>
      <w:r>
        <w:rPr>
          <w:rFonts w:hint="eastAsia" w:ascii="宋体" w:hAnsi="宋体"/>
          <w:b/>
          <w:sz w:val="32"/>
        </w:rPr>
        <w:t>供应商</w:t>
      </w:r>
      <w:r>
        <w:rPr>
          <w:rFonts w:hint="eastAsia" w:ascii="宋体" w:hAnsi="宋体"/>
          <w:b/>
          <w:sz w:val="32"/>
          <w:lang w:val="en-US" w:eastAsia="zh-CN"/>
        </w:rPr>
        <w:t>名称</w:t>
      </w:r>
      <w:r>
        <w:rPr>
          <w:rFonts w:hint="eastAsia" w:ascii="宋体" w:hAnsi="宋体"/>
          <w:b/>
          <w:sz w:val="32"/>
        </w:rPr>
        <w:t>：</w:t>
      </w:r>
      <w:r>
        <w:rPr>
          <w:rFonts w:hint="eastAsia" w:ascii="宋体" w:hAnsi="宋体"/>
          <w:b/>
          <w:sz w:val="32"/>
          <w:u w:val="single"/>
        </w:rPr>
        <w:t xml:space="preserve">                   </w:t>
      </w:r>
      <w:r>
        <w:rPr>
          <w:rFonts w:hint="eastAsia" w:ascii="宋体" w:hAnsi="宋体"/>
          <w:b/>
          <w:sz w:val="32"/>
        </w:rPr>
        <w:t>（盖章）</w:t>
      </w:r>
      <w:bookmarkEnd w:id="455"/>
      <w:bookmarkEnd w:id="456"/>
      <w:bookmarkEnd w:id="457"/>
    </w:p>
    <w:p>
      <w:pPr>
        <w:spacing w:line="720" w:lineRule="auto"/>
        <w:ind w:firstLine="1590" w:firstLineChars="495"/>
        <w:outlineLvl w:val="0"/>
        <w:rPr>
          <w:rFonts w:ascii="宋体" w:hAnsi="宋体"/>
          <w:b/>
          <w:sz w:val="32"/>
          <w:u w:val="single"/>
        </w:rPr>
      </w:pPr>
      <w:bookmarkStart w:id="458" w:name="_Toc24158"/>
      <w:bookmarkStart w:id="459" w:name="_Toc20415"/>
      <w:bookmarkStart w:id="460" w:name="_Toc25681"/>
      <w:r>
        <w:rPr>
          <w:rFonts w:hint="eastAsia" w:ascii="宋体" w:hAnsi="宋体"/>
          <w:b/>
          <w:sz w:val="32"/>
        </w:rPr>
        <w:t>法定代表人或被授权人：</w:t>
      </w:r>
      <w:r>
        <w:rPr>
          <w:rFonts w:hint="eastAsia" w:ascii="宋体" w:hAnsi="宋体"/>
          <w:b/>
          <w:sz w:val="32"/>
          <w:u w:val="single"/>
        </w:rPr>
        <w:t xml:space="preserve">        </w:t>
      </w:r>
      <w:r>
        <w:rPr>
          <w:rFonts w:hint="eastAsia" w:ascii="宋体" w:hAnsi="宋体"/>
          <w:b/>
          <w:sz w:val="32"/>
        </w:rPr>
        <w:t>（签字或盖章）</w:t>
      </w:r>
      <w:bookmarkEnd w:id="458"/>
      <w:bookmarkEnd w:id="459"/>
      <w:bookmarkEnd w:id="460"/>
    </w:p>
    <w:p>
      <w:pPr>
        <w:spacing w:line="720" w:lineRule="auto"/>
        <w:ind w:firstLine="1590" w:firstLineChars="495"/>
        <w:jc w:val="both"/>
        <w:outlineLvl w:val="0"/>
        <w:rPr>
          <w:rFonts w:hint="eastAsia" w:ascii="宋体" w:hAnsi="宋体"/>
          <w:b/>
          <w:sz w:val="32"/>
        </w:rPr>
      </w:pPr>
      <w:bookmarkStart w:id="461" w:name="_Toc13869"/>
      <w:bookmarkStart w:id="462" w:name="_Toc2812"/>
      <w:bookmarkStart w:id="463" w:name="_Toc10772"/>
      <w:r>
        <w:rPr>
          <w:rFonts w:hint="eastAsia" w:ascii="宋体" w:hAnsi="宋体"/>
          <w:b/>
          <w:sz w:val="32"/>
        </w:rPr>
        <w:t>时    间：</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bookmarkEnd w:id="461"/>
      <w:bookmarkEnd w:id="462"/>
      <w:bookmarkEnd w:id="463"/>
      <w:bookmarkStart w:id="464" w:name="_Toc21305"/>
      <w:bookmarkStart w:id="465" w:name="_Toc357087380"/>
      <w:bookmarkStart w:id="466" w:name="_Toc26913"/>
      <w:bookmarkStart w:id="467" w:name="_Toc27897"/>
    </w:p>
    <w:bookmarkEnd w:id="434"/>
    <w:bookmarkEnd w:id="464"/>
    <w:bookmarkEnd w:id="465"/>
    <w:p>
      <w:pPr>
        <w:spacing w:line="720" w:lineRule="auto"/>
        <w:jc w:val="center"/>
        <w:outlineLvl w:val="0"/>
        <w:rPr>
          <w:rFonts w:ascii="宋体" w:hAnsi="宋体" w:cs="宋体"/>
          <w:sz w:val="24"/>
          <w:szCs w:val="24"/>
        </w:rPr>
      </w:pPr>
      <w:bookmarkStart w:id="468" w:name="_Toc5140"/>
      <w:bookmarkStart w:id="469" w:name="_Toc3031"/>
      <w:bookmarkStart w:id="470" w:name="_Toc2912"/>
      <w:bookmarkStart w:id="471" w:name="_Toc7524509"/>
      <w:bookmarkStart w:id="472" w:name="_Toc24837"/>
      <w:bookmarkStart w:id="473" w:name="_Toc19973"/>
      <w:bookmarkStart w:id="474" w:name="_Toc12482"/>
      <w:r>
        <w:rPr>
          <w:rFonts w:hint="eastAsia" w:ascii="宋体" w:hAnsi="宋体" w:cs="宋体"/>
          <w:b/>
          <w:sz w:val="30"/>
          <w:szCs w:val="30"/>
        </w:rPr>
        <w:t>目  录</w:t>
      </w:r>
      <w:bookmarkEnd w:id="468"/>
      <w:bookmarkEnd w:id="469"/>
      <w:bookmarkEnd w:id="470"/>
    </w:p>
    <w:p>
      <w:pPr>
        <w:widowControl/>
        <w:spacing w:line="360" w:lineRule="auto"/>
        <w:rPr>
          <w:rFonts w:ascii="宋体" w:hAnsi="宋体" w:cs="宋体"/>
          <w:sz w:val="22"/>
          <w:szCs w:val="22"/>
        </w:rPr>
      </w:pPr>
      <w:r>
        <w:rPr>
          <w:rFonts w:hint="eastAsia" w:ascii="宋体" w:hAnsi="宋体" w:cs="宋体"/>
          <w:sz w:val="22"/>
          <w:szCs w:val="22"/>
        </w:rPr>
        <w:t>1.磋商响应函</w:t>
      </w:r>
    </w:p>
    <w:p>
      <w:pPr>
        <w:widowControl/>
        <w:spacing w:line="360" w:lineRule="auto"/>
        <w:rPr>
          <w:rFonts w:ascii="宋体" w:hAnsi="宋体" w:cs="宋体"/>
          <w:sz w:val="22"/>
          <w:szCs w:val="22"/>
        </w:rPr>
      </w:pPr>
      <w:r>
        <w:rPr>
          <w:rFonts w:hint="eastAsia" w:ascii="宋体" w:hAnsi="宋体" w:cs="宋体"/>
          <w:sz w:val="22"/>
          <w:szCs w:val="22"/>
        </w:rPr>
        <w:t>2.法定代表人身份证明</w:t>
      </w:r>
    </w:p>
    <w:p>
      <w:pPr>
        <w:widowControl/>
        <w:spacing w:line="360" w:lineRule="auto"/>
        <w:rPr>
          <w:rFonts w:ascii="宋体" w:hAnsi="宋体" w:cs="宋体"/>
          <w:sz w:val="22"/>
          <w:szCs w:val="22"/>
        </w:rPr>
      </w:pPr>
      <w:r>
        <w:rPr>
          <w:rFonts w:hint="eastAsia" w:ascii="宋体" w:hAnsi="宋体" w:cs="宋体"/>
          <w:sz w:val="22"/>
          <w:szCs w:val="22"/>
        </w:rPr>
        <w:t>3.法定代表人授权书</w:t>
      </w:r>
    </w:p>
    <w:p>
      <w:pPr>
        <w:widowControl/>
        <w:spacing w:line="360" w:lineRule="auto"/>
        <w:rPr>
          <w:rFonts w:hint="eastAsia" w:ascii="宋体" w:hAnsi="宋体" w:eastAsia="宋体" w:cs="宋体"/>
          <w:sz w:val="22"/>
          <w:szCs w:val="22"/>
          <w:lang w:eastAsia="zh-CN"/>
        </w:rPr>
      </w:pPr>
      <w:r>
        <w:rPr>
          <w:rFonts w:hint="eastAsia" w:ascii="宋体" w:hAnsi="宋体" w:cs="宋体"/>
          <w:sz w:val="22"/>
          <w:szCs w:val="22"/>
        </w:rPr>
        <w:t>4.</w:t>
      </w:r>
      <w:r>
        <w:rPr>
          <w:rFonts w:hint="eastAsia" w:ascii="宋体" w:hAnsi="宋体" w:cs="宋体"/>
          <w:sz w:val="22"/>
          <w:szCs w:val="22"/>
          <w:lang w:val="en-US" w:eastAsia="zh-CN"/>
        </w:rPr>
        <w:t>磋商报价表</w:t>
      </w:r>
    </w:p>
    <w:p>
      <w:pPr>
        <w:widowControl/>
        <w:spacing w:line="360" w:lineRule="auto"/>
        <w:rPr>
          <w:rFonts w:ascii="宋体" w:hAnsi="宋体" w:cs="宋体"/>
          <w:sz w:val="22"/>
          <w:szCs w:val="22"/>
        </w:rPr>
      </w:pPr>
      <w:r>
        <w:rPr>
          <w:rFonts w:hint="eastAsia" w:ascii="宋体" w:hAnsi="宋体" w:cs="宋体"/>
          <w:sz w:val="22"/>
          <w:szCs w:val="22"/>
        </w:rPr>
        <w:t>5.合同主要条款响应偏差表</w:t>
      </w:r>
    </w:p>
    <w:p>
      <w:pPr>
        <w:widowControl/>
        <w:spacing w:line="360" w:lineRule="auto"/>
        <w:rPr>
          <w:rFonts w:hint="eastAsia" w:ascii="宋体" w:hAnsi="宋体" w:eastAsia="宋体" w:cs="宋体"/>
          <w:sz w:val="22"/>
          <w:szCs w:val="22"/>
          <w:lang w:val="en-US" w:eastAsia="zh-CN"/>
        </w:rPr>
      </w:pPr>
      <w:r>
        <w:rPr>
          <w:rFonts w:hint="eastAsia" w:ascii="宋体" w:hAnsi="宋体" w:cs="宋体"/>
          <w:sz w:val="22"/>
          <w:szCs w:val="22"/>
        </w:rPr>
        <w:t>6.</w:t>
      </w:r>
      <w:r>
        <w:rPr>
          <w:rFonts w:hint="eastAsia" w:ascii="宋体" w:hAnsi="宋体" w:cs="宋体"/>
          <w:sz w:val="22"/>
          <w:szCs w:val="22"/>
          <w:lang w:val="en-US" w:eastAsia="zh-CN"/>
        </w:rPr>
        <w:t>技术响应偏离表</w:t>
      </w:r>
    </w:p>
    <w:p>
      <w:pPr>
        <w:widowControl/>
        <w:spacing w:line="360" w:lineRule="auto"/>
        <w:rPr>
          <w:rFonts w:ascii="宋体" w:hAnsi="宋体" w:cs="宋体"/>
          <w:sz w:val="22"/>
          <w:szCs w:val="22"/>
        </w:rPr>
      </w:pPr>
      <w:r>
        <w:rPr>
          <w:rFonts w:hint="eastAsia" w:ascii="宋体" w:hAnsi="宋体" w:cs="宋体"/>
          <w:sz w:val="22"/>
          <w:szCs w:val="22"/>
          <w:lang w:val="en-US" w:eastAsia="zh-CN"/>
        </w:rPr>
        <w:t>7.</w:t>
      </w:r>
      <w:r>
        <w:rPr>
          <w:rFonts w:hint="eastAsia" w:ascii="宋体" w:hAnsi="宋体" w:cs="宋体"/>
          <w:sz w:val="22"/>
          <w:szCs w:val="22"/>
        </w:rPr>
        <w:t>业绩</w:t>
      </w:r>
    </w:p>
    <w:p>
      <w:pPr>
        <w:widowControl/>
        <w:spacing w:line="360" w:lineRule="auto"/>
        <w:rPr>
          <w:rFonts w:ascii="宋体" w:hAnsi="宋体" w:cs="宋体"/>
          <w:sz w:val="22"/>
          <w:szCs w:val="22"/>
        </w:rPr>
      </w:pPr>
      <w:r>
        <w:rPr>
          <w:rFonts w:hint="eastAsia" w:ascii="宋体" w:hAnsi="宋体" w:cs="宋体"/>
          <w:sz w:val="22"/>
          <w:szCs w:val="22"/>
          <w:lang w:val="en-US" w:eastAsia="zh-CN"/>
        </w:rPr>
        <w:t>8</w:t>
      </w:r>
      <w:r>
        <w:rPr>
          <w:rFonts w:hint="eastAsia" w:ascii="宋体" w:hAnsi="宋体" w:cs="宋体"/>
          <w:sz w:val="22"/>
          <w:szCs w:val="22"/>
        </w:rPr>
        <w:t>.供应商资格证明文件</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附件2：履行合同所必需的设备和专业技术能力的说明及承诺</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附件3：参加政府采购活动前3年内，在经营活动中没有重大违法记录的书面说明</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 xml:space="preserve">附件4：中小企业声明函（货物） </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附件5：残疾人福利性单位声明函</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附件6：</w:t>
      </w:r>
      <w:r>
        <w:rPr>
          <w:rFonts w:hint="eastAsia" w:ascii="宋体" w:hAnsi="宋体" w:cs="宋体"/>
          <w:sz w:val="22"/>
          <w:szCs w:val="22"/>
          <w:lang w:val="zh-CN"/>
        </w:rPr>
        <w:t>供应商监狱企业声明函</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附件7：“节能产品”、“环境标志产品”证明材料</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附件8：供应商企业关系关联承诺书</w:t>
      </w:r>
    </w:p>
    <w:p>
      <w:pPr>
        <w:widowControl/>
        <w:spacing w:line="360" w:lineRule="auto"/>
        <w:ind w:firstLine="660" w:firstLineChars="300"/>
        <w:rPr>
          <w:rFonts w:ascii="宋体" w:hAnsi="宋体" w:cs="宋体"/>
          <w:sz w:val="22"/>
          <w:szCs w:val="22"/>
        </w:rPr>
      </w:pPr>
      <w:r>
        <w:rPr>
          <w:rFonts w:hint="eastAsia" w:ascii="宋体" w:hAnsi="宋体" w:cs="宋体"/>
          <w:sz w:val="22"/>
          <w:szCs w:val="22"/>
        </w:rPr>
        <w:t>附件9：拒绝政府采购领域商业贿赂承诺书</w:t>
      </w:r>
    </w:p>
    <w:p>
      <w:pPr>
        <w:widowControl/>
        <w:spacing w:line="360" w:lineRule="auto"/>
        <w:rPr>
          <w:sz w:val="20"/>
          <w:szCs w:val="21"/>
        </w:rPr>
      </w:pPr>
      <w:r>
        <w:rPr>
          <w:rFonts w:hint="eastAsia" w:ascii="宋体" w:hAnsi="宋体" w:cs="宋体"/>
          <w:sz w:val="22"/>
          <w:szCs w:val="22"/>
          <w:lang w:val="en-US" w:eastAsia="zh-CN"/>
        </w:rPr>
        <w:t>9</w:t>
      </w:r>
      <w:r>
        <w:rPr>
          <w:rFonts w:hint="eastAsia" w:ascii="宋体" w:hAnsi="宋体" w:cs="宋体"/>
          <w:sz w:val="22"/>
          <w:szCs w:val="22"/>
        </w:rPr>
        <w:t>.技术方案</w:t>
      </w:r>
    </w:p>
    <w:p>
      <w:pPr>
        <w:widowControl/>
        <w:spacing w:line="360" w:lineRule="auto"/>
        <w:rPr>
          <w:rFonts w:ascii="宋体" w:hAnsi="宋体" w:cs="宋体"/>
          <w:sz w:val="22"/>
          <w:szCs w:val="22"/>
        </w:rPr>
      </w:pPr>
      <w:r>
        <w:rPr>
          <w:rFonts w:hint="eastAsia" w:ascii="宋体" w:hAnsi="宋体" w:cs="宋体"/>
          <w:sz w:val="22"/>
          <w:szCs w:val="22"/>
          <w:lang w:val="en-US" w:eastAsia="zh-CN"/>
        </w:rPr>
        <w:t>10</w:t>
      </w:r>
      <w:r>
        <w:rPr>
          <w:rFonts w:hint="eastAsia" w:ascii="宋体" w:hAnsi="宋体" w:cs="宋体"/>
          <w:sz w:val="22"/>
          <w:szCs w:val="22"/>
        </w:rPr>
        <w:t>.供应商认为有必要补充的其他资料</w:t>
      </w:r>
    </w:p>
    <w:p>
      <w:pPr>
        <w:widowControl/>
        <w:jc w:val="center"/>
        <w:outlineLvl w:val="0"/>
        <w:rPr>
          <w:rFonts w:ascii="宋体" w:hAnsi="宋体" w:cs="宋体"/>
        </w:rPr>
      </w:pPr>
      <w:r>
        <w:rPr>
          <w:rFonts w:hint="eastAsia" w:ascii="宋体" w:hAnsi="宋体" w:cs="宋体"/>
        </w:rPr>
        <w:br w:type="page"/>
      </w:r>
      <w:bookmarkStart w:id="475" w:name="_Toc5458"/>
      <w:bookmarkStart w:id="476" w:name="_Toc10748"/>
      <w:bookmarkStart w:id="477" w:name="_Toc11494"/>
      <w:r>
        <w:rPr>
          <w:rFonts w:hint="eastAsia" w:ascii="宋体" w:hAnsi="宋体" w:cs="宋体"/>
          <w:b/>
          <w:bCs/>
          <w:sz w:val="32"/>
          <w:szCs w:val="32"/>
        </w:rPr>
        <w:t>一、磋商响应函</w:t>
      </w:r>
      <w:bookmarkEnd w:id="466"/>
      <w:bookmarkEnd w:id="467"/>
      <w:bookmarkEnd w:id="471"/>
      <w:bookmarkEnd w:id="472"/>
      <w:bookmarkEnd w:id="473"/>
      <w:bookmarkEnd w:id="474"/>
      <w:bookmarkEnd w:id="475"/>
      <w:bookmarkEnd w:id="476"/>
      <w:bookmarkEnd w:id="477"/>
    </w:p>
    <w:p>
      <w:pPr>
        <w:spacing w:line="360" w:lineRule="auto"/>
        <w:rPr>
          <w:rFonts w:ascii="宋体" w:hAnsi="宋体" w:cs="宋体"/>
          <w:szCs w:val="21"/>
        </w:rPr>
      </w:pPr>
    </w:p>
    <w:p>
      <w:pPr>
        <w:spacing w:line="360" w:lineRule="auto"/>
        <w:rPr>
          <w:rFonts w:ascii="宋体" w:hAnsi="宋体" w:cs="宋体"/>
          <w:b/>
          <w:szCs w:val="21"/>
        </w:rPr>
      </w:pPr>
      <w:r>
        <w:rPr>
          <w:rFonts w:hint="eastAsia" w:ascii="宋体" w:hAnsi="宋体" w:cs="宋体"/>
          <w:bCs/>
          <w:szCs w:val="21"/>
          <w:u w:val="single"/>
        </w:rPr>
        <w:t>陕西迪诚项目管理有限公司</w:t>
      </w:r>
      <w:r>
        <w:rPr>
          <w:rFonts w:hint="eastAsia" w:ascii="宋体" w:hAnsi="宋体" w:cs="宋体"/>
          <w:bCs/>
          <w:szCs w:val="21"/>
        </w:rPr>
        <w:t>：</w:t>
      </w:r>
    </w:p>
    <w:p>
      <w:pPr>
        <w:spacing w:line="360" w:lineRule="auto"/>
        <w:ind w:firstLine="420" w:firstLineChars="200"/>
        <w:rPr>
          <w:rFonts w:ascii="宋体" w:hAnsi="宋体" w:cs="宋体"/>
          <w:szCs w:val="21"/>
        </w:rPr>
      </w:pPr>
      <w:r>
        <w:rPr>
          <w:rFonts w:hint="eastAsia" w:ascii="宋体" w:hAnsi="宋体" w:cs="宋体"/>
          <w:szCs w:val="21"/>
        </w:rPr>
        <w:t>我单位收到贵单位</w:t>
      </w:r>
      <w:r>
        <w:rPr>
          <w:rFonts w:hint="eastAsia" w:ascii="宋体" w:hAnsi="宋体" w:cs="宋体"/>
          <w:szCs w:val="21"/>
          <w:u w:val="single"/>
        </w:rPr>
        <w:t>（项目名称）（项目编号）</w:t>
      </w:r>
      <w:r>
        <w:rPr>
          <w:rFonts w:hint="eastAsia" w:ascii="宋体" w:hAnsi="宋体" w:cs="宋体"/>
          <w:szCs w:val="21"/>
        </w:rPr>
        <w:t>竞争性磋商文件，我们决定参加该项目磋商活动，并参与磋商会议。为此，我方郑重声明以下诸点，并负法律责任。</w:t>
      </w:r>
    </w:p>
    <w:p>
      <w:pPr>
        <w:spacing w:line="360" w:lineRule="auto"/>
        <w:ind w:firstLine="420" w:firstLineChars="200"/>
        <w:rPr>
          <w:rFonts w:ascii="宋体" w:hAnsi="宋体" w:cs="宋体"/>
          <w:szCs w:val="21"/>
        </w:rPr>
      </w:pPr>
      <w:r>
        <w:rPr>
          <w:rFonts w:hint="eastAsia" w:ascii="宋体" w:hAnsi="宋体" w:cs="宋体"/>
          <w:szCs w:val="21"/>
        </w:rPr>
        <w:t>1.愿意按照竞争性磋商文件中的一切要求，综合报价为：</w:t>
      </w:r>
    </w:p>
    <w:p>
      <w:pPr>
        <w:spacing w:line="360" w:lineRule="auto"/>
        <w:ind w:firstLine="630" w:firstLineChars="30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 xml:space="preserve">元。   </w:t>
      </w:r>
    </w:p>
    <w:p>
      <w:pPr>
        <w:spacing w:line="360" w:lineRule="auto"/>
        <w:ind w:firstLine="630" w:firstLineChars="300"/>
        <w:rPr>
          <w:rFonts w:ascii="宋体" w:hAnsi="宋体" w:cs="宋体"/>
          <w:szCs w:val="21"/>
        </w:rPr>
      </w:pPr>
      <w:r>
        <w:rPr>
          <w:rFonts w:hint="eastAsia" w:ascii="宋体" w:hAnsi="宋体" w:cs="宋体"/>
          <w:szCs w:val="21"/>
        </w:rPr>
        <w:t>质量标准：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 xml:space="preserve">    完工期</w:t>
      </w:r>
      <w:r>
        <w:rPr>
          <w:rFonts w:hint="eastAsia" w:ascii="宋体" w:hAnsi="宋体" w:cs="宋体"/>
          <w:szCs w:val="21"/>
        </w:rPr>
        <w:t>：</w:t>
      </w:r>
      <w:r>
        <w:rPr>
          <w:rFonts w:hint="eastAsia" w:ascii="宋体" w:hAnsi="宋体" w:cs="宋体"/>
          <w:szCs w:val="21"/>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2.我方提交的竞争性磋商响应文件，正本</w:t>
      </w:r>
      <w:r>
        <w:rPr>
          <w:rFonts w:hint="eastAsia" w:ascii="宋体" w:hAnsi="宋体" w:cs="宋体"/>
          <w:szCs w:val="21"/>
          <w:u w:val="single"/>
        </w:rPr>
        <w:t xml:space="preserve">     </w:t>
      </w:r>
      <w:r>
        <w:rPr>
          <w:rFonts w:hint="eastAsia" w:ascii="宋体" w:hAnsi="宋体" w:cs="宋体"/>
          <w:szCs w:val="21"/>
        </w:rPr>
        <w:t>份，副本</w:t>
      </w:r>
      <w:r>
        <w:rPr>
          <w:rFonts w:hint="eastAsia" w:ascii="宋体" w:hAnsi="宋体" w:cs="宋体"/>
          <w:szCs w:val="21"/>
          <w:u w:val="single"/>
        </w:rPr>
        <w:t xml:space="preserve">     </w:t>
      </w:r>
      <w:r>
        <w:rPr>
          <w:rFonts w:hint="eastAsia" w:ascii="宋体" w:hAnsi="宋体" w:cs="宋体"/>
          <w:szCs w:val="21"/>
        </w:rPr>
        <w:t>份，电子文件</w:t>
      </w:r>
      <w:r>
        <w:rPr>
          <w:rFonts w:hint="eastAsia" w:ascii="宋体" w:hAnsi="宋体" w:cs="宋体"/>
          <w:szCs w:val="21"/>
          <w:u w:val="single"/>
        </w:rPr>
        <w:t xml:space="preserve">     </w:t>
      </w:r>
      <w:r>
        <w:rPr>
          <w:rFonts w:hint="eastAsia" w:ascii="宋体" w:hAnsi="宋体" w:cs="宋体"/>
          <w:szCs w:val="21"/>
        </w:rPr>
        <w:t>份。</w:t>
      </w:r>
    </w:p>
    <w:p>
      <w:pPr>
        <w:spacing w:line="360" w:lineRule="auto"/>
        <w:ind w:firstLine="420" w:firstLineChars="200"/>
        <w:rPr>
          <w:rFonts w:ascii="宋体" w:hAnsi="宋体" w:cs="宋体"/>
          <w:szCs w:val="21"/>
        </w:rPr>
      </w:pPr>
      <w:r>
        <w:rPr>
          <w:rFonts w:hint="eastAsia" w:ascii="宋体" w:hAnsi="宋体" w:cs="宋体"/>
          <w:szCs w:val="21"/>
        </w:rPr>
        <w:t>3.如果我们竞争性磋商响应文件被接受，我们将履行竞争性磋商文件中规定的每一项要求，按期、按质、按量完成任务。</w:t>
      </w:r>
    </w:p>
    <w:p>
      <w:pPr>
        <w:spacing w:line="360" w:lineRule="auto"/>
        <w:ind w:firstLine="420" w:firstLineChars="200"/>
        <w:rPr>
          <w:rFonts w:ascii="宋体" w:hAnsi="宋体" w:cs="宋体"/>
          <w:szCs w:val="21"/>
        </w:rPr>
      </w:pPr>
      <w:r>
        <w:rPr>
          <w:rFonts w:hint="eastAsia" w:ascii="宋体" w:hAnsi="宋体" w:cs="宋体"/>
          <w:szCs w:val="21"/>
        </w:rPr>
        <w:t>4.我们理解，最低报价不是成交的唯一条件，你们有选择磋商人的权力。</w:t>
      </w:r>
    </w:p>
    <w:p>
      <w:pPr>
        <w:spacing w:line="360" w:lineRule="auto"/>
        <w:ind w:firstLine="420" w:firstLineChars="200"/>
        <w:rPr>
          <w:rFonts w:ascii="宋体" w:hAnsi="宋体" w:cs="宋体"/>
          <w:szCs w:val="21"/>
        </w:rPr>
      </w:pPr>
      <w:r>
        <w:rPr>
          <w:rFonts w:hint="eastAsia" w:ascii="宋体" w:hAnsi="宋体" w:cs="宋体"/>
          <w:szCs w:val="21"/>
        </w:rPr>
        <w:t>5.我们愿按</w:t>
      </w:r>
      <w:r>
        <w:rPr>
          <w:rFonts w:hint="eastAsia" w:ascii="宋体" w:hAnsi="宋体" w:cs="宋体"/>
          <w:color w:val="000000"/>
          <w:spacing w:val="-4"/>
          <w:szCs w:val="21"/>
        </w:rPr>
        <w:t>《</w:t>
      </w:r>
      <w:r>
        <w:rPr>
          <w:rFonts w:hint="eastAsia" w:ascii="宋体" w:hAnsi="宋体" w:cs="宋体"/>
          <w:color w:val="000000"/>
          <w:spacing w:val="-5"/>
          <w:szCs w:val="21"/>
        </w:rPr>
        <w:t>中华</w:t>
      </w:r>
      <w:r>
        <w:rPr>
          <w:rFonts w:hint="eastAsia" w:ascii="宋体" w:hAnsi="宋体" w:cs="宋体"/>
          <w:color w:val="000000"/>
          <w:spacing w:val="-3"/>
          <w:szCs w:val="21"/>
        </w:rPr>
        <w:t>人民</w:t>
      </w:r>
      <w:r>
        <w:rPr>
          <w:rFonts w:hint="eastAsia" w:ascii="宋体" w:hAnsi="宋体" w:cs="宋体"/>
          <w:color w:val="000000"/>
          <w:spacing w:val="-4"/>
          <w:szCs w:val="21"/>
        </w:rPr>
        <w:t>共和国政府采购法》、</w:t>
      </w:r>
      <w:r>
        <w:rPr>
          <w:rFonts w:hint="eastAsia" w:ascii="宋体" w:hAnsi="宋体" w:cs="宋体"/>
          <w:color w:val="000000"/>
          <w:spacing w:val="-5"/>
          <w:szCs w:val="21"/>
        </w:rPr>
        <w:t>《中华人民共和国政府采购法实施条例</w:t>
      </w:r>
      <w:r>
        <w:rPr>
          <w:rFonts w:hint="eastAsia" w:ascii="宋体" w:hAnsi="宋体" w:cs="宋体"/>
          <w:color w:val="000000"/>
          <w:spacing w:val="-3"/>
          <w:szCs w:val="21"/>
        </w:rPr>
        <w:t>》等法律法规及政府采购相关规定</w:t>
      </w:r>
      <w:r>
        <w:rPr>
          <w:rFonts w:hint="eastAsia" w:ascii="宋体" w:hAnsi="宋体" w:cs="宋体"/>
          <w:szCs w:val="21"/>
        </w:rPr>
        <w:t>履行自己的全部责任。</w:t>
      </w:r>
    </w:p>
    <w:p>
      <w:pPr>
        <w:spacing w:line="360" w:lineRule="auto"/>
        <w:ind w:firstLine="420" w:firstLineChars="200"/>
        <w:rPr>
          <w:rFonts w:ascii="宋体" w:hAnsi="宋体" w:cs="宋体"/>
          <w:szCs w:val="21"/>
        </w:rPr>
      </w:pPr>
      <w:r>
        <w:rPr>
          <w:rFonts w:hint="eastAsia" w:ascii="宋体" w:hAnsi="宋体" w:cs="宋体"/>
          <w:szCs w:val="21"/>
        </w:rPr>
        <w:t>6.我们同意按竞争性磋商文件规定，遵守贵公司有关规定和收费标准。</w:t>
      </w:r>
    </w:p>
    <w:p>
      <w:pPr>
        <w:spacing w:line="360" w:lineRule="auto"/>
        <w:ind w:firstLine="420" w:firstLineChars="200"/>
        <w:rPr>
          <w:rFonts w:ascii="宋体" w:hAnsi="宋体" w:cs="宋体"/>
          <w:szCs w:val="21"/>
        </w:rPr>
      </w:pPr>
      <w:r>
        <w:rPr>
          <w:rFonts w:hint="eastAsia" w:ascii="宋体" w:hAnsi="宋体" w:cs="宋体"/>
          <w:szCs w:val="21"/>
        </w:rPr>
        <w:t>7.我方的竞争性磋商响应文件有效期为竞争性磋商响应文件递交截止之日起</w:t>
      </w:r>
      <w:r>
        <w:rPr>
          <w:rFonts w:hint="eastAsia" w:ascii="宋体" w:hAnsi="宋体" w:cs="宋体"/>
          <w:szCs w:val="21"/>
          <w:u w:val="single"/>
        </w:rPr>
        <w:t xml:space="preserve">    </w:t>
      </w:r>
      <w:r>
        <w:rPr>
          <w:rFonts w:hint="eastAsia" w:ascii="宋体" w:hAnsi="宋体" w:cs="宋体"/>
          <w:szCs w:val="21"/>
        </w:rPr>
        <w:t>日历</w:t>
      </w:r>
      <w:r>
        <w:rPr>
          <w:rFonts w:hint="eastAsia" w:ascii="宋体" w:hAnsi="宋体" w:cs="宋体"/>
          <w:szCs w:val="21"/>
          <w:lang w:val="en-US" w:eastAsia="zh-CN"/>
        </w:rPr>
        <w:t>日</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8.所有关于本竞争性磋商响应文件的函电，请按下列地址联系。</w:t>
      </w:r>
    </w:p>
    <w:p>
      <w:pPr>
        <w:spacing w:line="360" w:lineRule="auto"/>
        <w:ind w:firstLine="211"/>
        <w:rPr>
          <w:rFonts w:ascii="宋体" w:hAnsi="宋体" w:cs="宋体"/>
          <w:szCs w:val="21"/>
        </w:rPr>
      </w:pPr>
    </w:p>
    <w:p>
      <w:pPr>
        <w:spacing w:line="360" w:lineRule="auto"/>
        <w:ind w:firstLine="840"/>
        <w:rPr>
          <w:rFonts w:ascii="宋体" w:hAnsi="宋体" w:cs="宋体"/>
          <w:szCs w:val="21"/>
          <w:u w:val="single"/>
        </w:rPr>
      </w:pPr>
      <w:r>
        <w:rPr>
          <w:rFonts w:hint="eastAsia" w:ascii="宋体" w:hAnsi="宋体" w:cs="宋体"/>
          <w:szCs w:val="21"/>
        </w:rPr>
        <w:t>供应商</w:t>
      </w:r>
      <w:r>
        <w:rPr>
          <w:rFonts w:hint="eastAsia" w:ascii="宋体" w:hAnsi="宋体" w:cs="宋体"/>
          <w:szCs w:val="21"/>
          <w:lang w:val="en-US" w:eastAsia="zh-CN"/>
        </w:rPr>
        <w:t>名</w:t>
      </w:r>
      <w:r>
        <w:rPr>
          <w:rFonts w:hint="eastAsia" w:ascii="宋体" w:hAnsi="宋体" w:cs="宋体"/>
          <w:szCs w:val="21"/>
        </w:rPr>
        <w:t>称（盖章）：</w:t>
      </w:r>
    </w:p>
    <w:p>
      <w:pPr>
        <w:spacing w:line="360" w:lineRule="auto"/>
        <w:ind w:firstLine="840"/>
        <w:rPr>
          <w:rFonts w:ascii="宋体" w:hAnsi="宋体" w:cs="宋体"/>
          <w:szCs w:val="21"/>
          <w:u w:val="single"/>
        </w:rPr>
      </w:pPr>
      <w:r>
        <w:rPr>
          <w:rFonts w:hint="eastAsia" w:ascii="宋体" w:hAnsi="宋体" w:cs="宋体"/>
          <w:szCs w:val="21"/>
        </w:rPr>
        <w:t>地    址：</w:t>
      </w:r>
    </w:p>
    <w:p>
      <w:pPr>
        <w:spacing w:line="360" w:lineRule="auto"/>
        <w:ind w:firstLine="840"/>
        <w:rPr>
          <w:rFonts w:ascii="宋体" w:hAnsi="宋体" w:cs="宋体"/>
          <w:szCs w:val="21"/>
          <w:u w:val="single"/>
        </w:rPr>
      </w:pPr>
      <w:r>
        <w:rPr>
          <w:rFonts w:hint="eastAsia" w:ascii="宋体" w:hAnsi="宋体" w:cs="宋体"/>
          <w:szCs w:val="21"/>
        </w:rPr>
        <w:t>开 户 行：</w:t>
      </w:r>
    </w:p>
    <w:p>
      <w:pPr>
        <w:spacing w:line="360" w:lineRule="auto"/>
        <w:ind w:firstLine="840"/>
        <w:rPr>
          <w:rFonts w:ascii="宋体" w:hAnsi="宋体" w:cs="宋体"/>
          <w:szCs w:val="21"/>
        </w:rPr>
      </w:pPr>
      <w:r>
        <w:rPr>
          <w:rFonts w:hint="eastAsia" w:ascii="宋体" w:hAnsi="宋体" w:cs="宋体"/>
          <w:szCs w:val="21"/>
        </w:rPr>
        <w:t>账    号：</w:t>
      </w:r>
    </w:p>
    <w:p>
      <w:pPr>
        <w:spacing w:line="360" w:lineRule="auto"/>
        <w:ind w:firstLine="840"/>
        <w:rPr>
          <w:rFonts w:ascii="宋体" w:hAnsi="宋体" w:cs="宋体"/>
          <w:szCs w:val="21"/>
        </w:rPr>
      </w:pPr>
      <w:r>
        <w:rPr>
          <w:rFonts w:hint="eastAsia" w:ascii="宋体" w:hAnsi="宋体" w:cs="宋体"/>
          <w:szCs w:val="21"/>
        </w:rPr>
        <w:t>电    话：</w:t>
      </w:r>
    </w:p>
    <w:p>
      <w:pPr>
        <w:spacing w:line="360" w:lineRule="auto"/>
        <w:ind w:firstLine="840"/>
        <w:rPr>
          <w:rFonts w:ascii="宋体" w:hAnsi="宋体" w:cs="宋体"/>
          <w:szCs w:val="21"/>
        </w:rPr>
      </w:pPr>
      <w:r>
        <w:rPr>
          <w:rFonts w:hint="eastAsia" w:ascii="宋体" w:hAnsi="宋体" w:cs="宋体"/>
          <w:szCs w:val="21"/>
        </w:rPr>
        <w:t>传    真：</w:t>
      </w:r>
    </w:p>
    <w:p>
      <w:pPr>
        <w:spacing w:line="360" w:lineRule="auto"/>
        <w:ind w:firstLine="840"/>
        <w:rPr>
          <w:rFonts w:ascii="宋体" w:hAnsi="宋体" w:cs="宋体"/>
          <w:szCs w:val="21"/>
          <w:u w:val="single"/>
        </w:rPr>
      </w:pPr>
      <w:r>
        <w:rPr>
          <w:rFonts w:hint="eastAsia" w:ascii="宋体" w:hAnsi="宋体" w:cs="宋体"/>
          <w:szCs w:val="21"/>
        </w:rPr>
        <w:t xml:space="preserve">邮    编： </w:t>
      </w:r>
    </w:p>
    <w:p>
      <w:pPr>
        <w:spacing w:line="360" w:lineRule="auto"/>
        <w:ind w:firstLine="840"/>
        <w:jc w:val="left"/>
        <w:rPr>
          <w:rFonts w:ascii="宋体" w:hAnsi="宋体" w:cs="宋体"/>
          <w:szCs w:val="21"/>
        </w:rPr>
      </w:pPr>
      <w:r>
        <w:rPr>
          <w:rFonts w:hint="eastAsia" w:ascii="宋体" w:hAnsi="宋体" w:cs="宋体"/>
          <w:szCs w:val="21"/>
        </w:rPr>
        <w:t>法定代表人或被授权人（签字或盖章）：</w:t>
      </w:r>
    </w:p>
    <w:p>
      <w:pPr>
        <w:spacing w:line="360" w:lineRule="auto"/>
        <w:ind w:firstLine="840"/>
        <w:jc w:val="left"/>
        <w:rPr>
          <w:rFonts w:ascii="宋体" w:hAnsi="宋体" w:cs="宋体"/>
          <w:szCs w:val="21"/>
        </w:rPr>
      </w:pPr>
    </w:p>
    <w:p>
      <w:pPr>
        <w:spacing w:line="360" w:lineRule="auto"/>
        <w:ind w:firstLine="6510" w:firstLineChars="3100"/>
        <w:jc w:val="left"/>
        <w:rPr>
          <w:rFonts w:ascii="宋体" w:hAnsi="宋体" w:cs="宋体"/>
          <w:b/>
          <w:bCs/>
          <w:szCs w:val="21"/>
        </w:rPr>
      </w:pPr>
      <w:r>
        <w:rPr>
          <w:rFonts w:hint="eastAsia" w:ascii="宋体" w:hAnsi="宋体" w:cs="宋体"/>
          <w:szCs w:val="21"/>
        </w:rPr>
        <w:t>年     月     日</w:t>
      </w:r>
    </w:p>
    <w:p>
      <w:pPr>
        <w:pStyle w:val="50"/>
        <w:spacing w:line="360" w:lineRule="auto"/>
        <w:ind w:left="240" w:firstLine="211" w:firstLineChars="100"/>
        <w:jc w:val="center"/>
        <w:rPr>
          <w:rFonts w:ascii="宋体" w:hAnsi="宋体" w:cs="宋体"/>
          <w:b/>
          <w:bCs/>
          <w:sz w:val="21"/>
          <w:szCs w:val="21"/>
        </w:rPr>
      </w:pPr>
    </w:p>
    <w:p>
      <w:pPr>
        <w:pStyle w:val="3"/>
      </w:pPr>
    </w:p>
    <w:bookmarkEnd w:id="435"/>
    <w:bookmarkEnd w:id="436"/>
    <w:p>
      <w:pPr>
        <w:pStyle w:val="50"/>
        <w:spacing w:line="480" w:lineRule="exact"/>
        <w:ind w:left="240" w:firstLine="200" w:firstLineChars="100"/>
        <w:jc w:val="center"/>
        <w:outlineLvl w:val="0"/>
        <w:rPr>
          <w:rFonts w:ascii="宋体" w:hAnsi="宋体" w:cs="宋体"/>
          <w:b/>
          <w:bCs/>
          <w:kern w:val="2"/>
          <w:sz w:val="32"/>
          <w:szCs w:val="32"/>
        </w:rPr>
      </w:pPr>
      <w:bookmarkStart w:id="478" w:name="_Toc19796"/>
      <w:bookmarkStart w:id="479" w:name="_Toc2494"/>
      <w:bookmarkStart w:id="480" w:name="_Toc19170"/>
      <w:bookmarkStart w:id="481" w:name="_Toc7524510"/>
      <w:r>
        <w:rPr>
          <w:rFonts w:hint="eastAsia" w:ascii="宋体" w:hAnsi="宋体" w:cs="宋体"/>
        </w:rPr>
        <w:br w:type="page"/>
      </w:r>
      <w:bookmarkStart w:id="482" w:name="_Toc1006"/>
      <w:bookmarkStart w:id="483" w:name="_Toc15496"/>
      <w:bookmarkStart w:id="484" w:name="_Toc1052"/>
      <w:bookmarkStart w:id="485" w:name="_Toc12153"/>
      <w:bookmarkStart w:id="486" w:name="_Toc2993"/>
      <w:r>
        <w:rPr>
          <w:rFonts w:hint="eastAsia" w:ascii="宋体" w:hAnsi="宋体" w:cs="宋体"/>
          <w:b/>
          <w:bCs/>
          <w:kern w:val="2"/>
          <w:sz w:val="32"/>
          <w:szCs w:val="32"/>
        </w:rPr>
        <w:t>二、法定代表人身份证明</w:t>
      </w:r>
      <w:bookmarkEnd w:id="482"/>
      <w:bookmarkEnd w:id="483"/>
      <w:bookmarkEnd w:id="484"/>
    </w:p>
    <w:p>
      <w:pPr>
        <w:pStyle w:val="50"/>
        <w:spacing w:line="480" w:lineRule="exact"/>
        <w:ind w:left="240" w:firstLine="281" w:firstLineChars="100"/>
        <w:jc w:val="center"/>
        <w:rPr>
          <w:rFonts w:ascii="宋体" w:hAnsi="宋体" w:cs="宋体"/>
          <w:b/>
          <w:kern w:val="2"/>
          <w:sz w:val="28"/>
          <w:szCs w:val="28"/>
        </w:rPr>
      </w:pPr>
    </w:p>
    <w:bookmarkEnd w:id="478"/>
    <w:bookmarkEnd w:id="479"/>
    <w:bookmarkEnd w:id="480"/>
    <w:bookmarkEnd w:id="481"/>
    <w:bookmarkEnd w:id="485"/>
    <w:bookmarkEnd w:id="486"/>
    <w:p>
      <w:pPr>
        <w:autoSpaceDE w:val="0"/>
        <w:autoSpaceDN w:val="0"/>
        <w:adjustRightInd w:val="0"/>
        <w:snapToGrid w:val="0"/>
        <w:spacing w:before="120" w:beforeLines="50" w:line="360" w:lineRule="auto"/>
        <w:jc w:val="left"/>
        <w:rPr>
          <w:rFonts w:ascii="宋体" w:hAnsi="宋体" w:cs="宋体"/>
          <w:szCs w:val="21"/>
        </w:rPr>
      </w:pPr>
      <w:bookmarkStart w:id="487" w:name="_Toc16097"/>
      <w:bookmarkStart w:id="488" w:name="_Toc19075"/>
      <w:bookmarkStart w:id="489" w:name="_Toc4867"/>
      <w:bookmarkStart w:id="490" w:name="_Toc25348"/>
      <w:bookmarkStart w:id="491" w:name="_Toc426457701"/>
      <w:bookmarkStart w:id="492" w:name="_Toc403077649"/>
      <w:bookmarkStart w:id="493" w:name="_Toc363474028"/>
      <w:bookmarkStart w:id="494" w:name="_Toc30210"/>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 xml:space="preserve"> </w:t>
      </w:r>
    </w:p>
    <w:p>
      <w:pPr>
        <w:autoSpaceDE w:val="0"/>
        <w:autoSpaceDN w:val="0"/>
        <w:adjustRightInd w:val="0"/>
        <w:snapToGrid w:val="0"/>
        <w:spacing w:before="120" w:beforeLines="50" w:line="360" w:lineRule="auto"/>
        <w:jc w:val="left"/>
        <w:rPr>
          <w:rFonts w:ascii="宋体" w:hAnsi="宋体" w:cs="宋体"/>
          <w:szCs w:val="21"/>
        </w:rPr>
      </w:pPr>
      <w:r>
        <w:rPr>
          <w:rFonts w:hint="eastAsia" w:ascii="宋体" w:hAnsi="宋体" w:cs="宋体"/>
          <w:szCs w:val="21"/>
        </w:rPr>
        <w:t>统一社会信用代码：</w:t>
      </w:r>
      <w:r>
        <w:rPr>
          <w:rFonts w:hint="eastAsia" w:ascii="宋体" w:hAnsi="宋体" w:cs="宋体"/>
          <w:szCs w:val="21"/>
          <w:u w:val="single"/>
        </w:rPr>
        <w:t xml:space="preserve">                </w:t>
      </w:r>
    </w:p>
    <w:p>
      <w:pPr>
        <w:autoSpaceDE w:val="0"/>
        <w:autoSpaceDN w:val="0"/>
        <w:adjustRightInd w:val="0"/>
        <w:snapToGrid w:val="0"/>
        <w:spacing w:before="120" w:beforeLines="50" w:line="360" w:lineRule="auto"/>
        <w:jc w:val="left"/>
        <w:rPr>
          <w:rFonts w:ascii="宋体" w:hAnsi="宋体" w:cs="宋体"/>
          <w:szCs w:val="21"/>
        </w:rPr>
      </w:pPr>
      <w:r>
        <w:rPr>
          <w:rFonts w:hint="eastAsia" w:ascii="宋体" w:hAnsi="宋体" w:cs="宋体"/>
          <w:szCs w:val="21"/>
        </w:rPr>
        <w:t>注册地址：</w:t>
      </w:r>
      <w:r>
        <w:rPr>
          <w:rFonts w:hint="eastAsia" w:ascii="宋体" w:hAnsi="宋体" w:cs="宋体"/>
          <w:szCs w:val="21"/>
          <w:u w:val="single"/>
        </w:rPr>
        <w:t xml:space="preserve">                        </w:t>
      </w:r>
    </w:p>
    <w:p>
      <w:pPr>
        <w:autoSpaceDE w:val="0"/>
        <w:autoSpaceDN w:val="0"/>
        <w:adjustRightInd w:val="0"/>
        <w:snapToGrid w:val="0"/>
        <w:spacing w:before="120" w:beforeLines="50" w:line="360" w:lineRule="auto"/>
        <w:jc w:val="lef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autoSpaceDE w:val="0"/>
        <w:autoSpaceDN w:val="0"/>
        <w:adjustRightInd w:val="0"/>
        <w:snapToGrid w:val="0"/>
        <w:spacing w:before="120" w:beforeLines="50" w:line="360" w:lineRule="auto"/>
        <w:jc w:val="lef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系</w:t>
      </w:r>
      <w:r>
        <w:rPr>
          <w:rFonts w:hint="eastAsia" w:ascii="宋体" w:hAnsi="宋体" w:cs="宋体"/>
          <w:szCs w:val="21"/>
          <w:u w:val="single"/>
        </w:rPr>
        <w:t xml:space="preserve">            </w:t>
      </w:r>
      <w:r>
        <w:rPr>
          <w:rFonts w:hint="eastAsia" w:ascii="宋体" w:hAnsi="宋体" w:cs="宋体"/>
          <w:szCs w:val="21"/>
        </w:rPr>
        <w:t>（供应商名称）的法定代表人。</w:t>
      </w:r>
    </w:p>
    <w:p>
      <w:pPr>
        <w:autoSpaceDE w:val="0"/>
        <w:autoSpaceDN w:val="0"/>
        <w:adjustRightInd w:val="0"/>
        <w:snapToGrid w:val="0"/>
        <w:spacing w:before="120" w:beforeLines="50" w:line="360" w:lineRule="auto"/>
        <w:jc w:val="left"/>
        <w:rPr>
          <w:rFonts w:ascii="宋体" w:hAnsi="宋体" w:cs="宋体"/>
          <w:szCs w:val="21"/>
        </w:rPr>
      </w:pPr>
      <w:r>
        <w:rPr>
          <w:rFonts w:hint="eastAsia" w:ascii="宋体" w:hAnsi="宋体" w:cs="宋体"/>
          <w:szCs w:val="21"/>
        </w:rPr>
        <w:t>特此证明。</w:t>
      </w:r>
    </w:p>
    <w:p>
      <w:pPr>
        <w:autoSpaceDE w:val="0"/>
        <w:autoSpaceDN w:val="0"/>
        <w:adjustRightInd w:val="0"/>
        <w:snapToGrid w:val="0"/>
        <w:spacing w:before="120" w:beforeLines="50" w:line="360" w:lineRule="auto"/>
        <w:jc w:val="left"/>
        <w:rPr>
          <w:rFonts w:ascii="宋体" w:hAnsi="宋体" w:cs="宋体"/>
          <w:szCs w:val="21"/>
        </w:rPr>
      </w:pPr>
      <w:r>
        <w:rPr>
          <w:rFonts w:hint="eastAsia" w:ascii="宋体" w:hAnsi="宋体" w:cs="宋体"/>
          <w:szCs w:val="21"/>
        </w:rPr>
        <w:t>附：法定代表人身份证复印件</w:t>
      </w:r>
    </w:p>
    <w:tbl>
      <w:tblPr>
        <w:tblStyle w:val="2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ascii="宋体" w:hAnsi="宋体" w:cs="宋体"/>
                <w:szCs w:val="21"/>
              </w:rPr>
            </w:pPr>
          </w:p>
          <w:p>
            <w:pPr>
              <w:snapToGrid w:val="0"/>
              <w:spacing w:line="480" w:lineRule="auto"/>
              <w:jc w:val="center"/>
              <w:rPr>
                <w:rFonts w:ascii="宋体" w:hAnsi="宋体" w:cs="宋体"/>
                <w:szCs w:val="21"/>
              </w:rPr>
            </w:pPr>
          </w:p>
          <w:p>
            <w:pPr>
              <w:autoSpaceDE w:val="0"/>
              <w:autoSpaceDN w:val="0"/>
              <w:adjustRightInd w:val="0"/>
              <w:snapToGrid w:val="0"/>
              <w:spacing w:before="120" w:beforeLines="50" w:line="360" w:lineRule="auto"/>
              <w:jc w:val="center"/>
              <w:rPr>
                <w:rFonts w:ascii="宋体" w:hAnsi="宋体" w:cs="宋体"/>
                <w:szCs w:val="21"/>
              </w:rPr>
            </w:pPr>
            <w:r>
              <w:rPr>
                <w:rFonts w:hint="eastAsia" w:ascii="宋体" w:hAnsi="宋体" w:cs="宋体"/>
                <w:szCs w:val="21"/>
              </w:rPr>
              <w:t>法定代表人身份证复印件粘贴处</w:t>
            </w:r>
          </w:p>
          <w:p>
            <w:pPr>
              <w:pStyle w:val="3"/>
              <w:jc w:val="center"/>
              <w:rPr>
                <w:rFonts w:ascii="宋体" w:hAnsi="宋体" w:cs="宋体"/>
                <w:sz w:val="21"/>
                <w:szCs w:val="21"/>
              </w:rPr>
            </w:pPr>
            <w:r>
              <w:rPr>
                <w:rFonts w:hint="eastAsia" w:ascii="宋体" w:hAnsi="宋体" w:cs="宋体"/>
                <w:sz w:val="21"/>
                <w:szCs w:val="21"/>
              </w:rPr>
              <w:t>（正反面）</w:t>
            </w:r>
          </w:p>
          <w:p>
            <w:pPr>
              <w:snapToGrid w:val="0"/>
              <w:spacing w:line="480" w:lineRule="auto"/>
              <w:jc w:val="center"/>
              <w:rPr>
                <w:rFonts w:ascii="宋体" w:hAnsi="宋体" w:cs="宋体"/>
                <w:szCs w:val="21"/>
              </w:rPr>
            </w:pPr>
          </w:p>
          <w:p>
            <w:pPr>
              <w:snapToGrid w:val="0"/>
              <w:spacing w:line="480" w:lineRule="auto"/>
              <w:jc w:val="center"/>
              <w:rPr>
                <w:rFonts w:ascii="宋体" w:hAnsi="宋体" w:cs="宋体"/>
                <w:szCs w:val="21"/>
              </w:rPr>
            </w:pPr>
          </w:p>
        </w:tc>
      </w:tr>
    </w:tbl>
    <w:p>
      <w:pPr>
        <w:snapToGrid w:val="0"/>
        <w:spacing w:line="480" w:lineRule="auto"/>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pStyle w:val="2"/>
        <w:rPr>
          <w:rFonts w:ascii="宋体" w:hAnsi="宋体" w:cs="宋体"/>
          <w:sz w:val="21"/>
          <w:szCs w:val="21"/>
        </w:rPr>
      </w:pPr>
    </w:p>
    <w:p>
      <w:pPr>
        <w:pStyle w:val="4"/>
        <w:ind w:firstLine="640"/>
      </w:pPr>
    </w:p>
    <w:p>
      <w:pPr>
        <w:adjustRightInd w:val="0"/>
        <w:snapToGrid w:val="0"/>
        <w:spacing w:line="360" w:lineRule="auto"/>
        <w:ind w:right="420"/>
        <w:rPr>
          <w:rFonts w:ascii="宋体" w:hAnsi="宋体" w:cs="宋体"/>
          <w:szCs w:val="21"/>
        </w:rPr>
      </w:pPr>
      <w:r>
        <w:rPr>
          <w:rFonts w:hint="eastAsia" w:ascii="宋体" w:hAnsi="宋体" w:cs="宋体"/>
          <w:szCs w:val="21"/>
        </w:rPr>
        <w:t>供应商名称（公章）：</w:t>
      </w:r>
    </w:p>
    <w:p>
      <w:pPr>
        <w:adjustRightInd w:val="0"/>
        <w:snapToGrid w:val="0"/>
        <w:spacing w:line="360" w:lineRule="auto"/>
        <w:ind w:right="420"/>
        <w:rPr>
          <w:rFonts w:ascii="宋体" w:hAnsi="宋体" w:cs="宋体"/>
          <w:szCs w:val="21"/>
        </w:rPr>
      </w:pPr>
      <w:r>
        <w:rPr>
          <w:rFonts w:hint="eastAsia" w:ascii="宋体" w:hAnsi="宋体" w:cs="宋体"/>
          <w:szCs w:val="21"/>
        </w:rPr>
        <w:t>日期：    年  月  日</w:t>
      </w:r>
    </w:p>
    <w:p>
      <w:pPr>
        <w:adjustRightInd w:val="0"/>
        <w:snapToGrid w:val="0"/>
        <w:spacing w:line="360" w:lineRule="auto"/>
        <w:ind w:right="420"/>
        <w:rPr>
          <w:rFonts w:ascii="宋体" w:hAnsi="宋体" w:cs="宋体"/>
          <w:szCs w:val="21"/>
        </w:rPr>
      </w:pPr>
    </w:p>
    <w:p>
      <w:pPr>
        <w:pStyle w:val="2"/>
        <w:rPr>
          <w:rFonts w:ascii="宋体" w:hAnsi="宋体" w:cs="宋体"/>
          <w:sz w:val="21"/>
          <w:szCs w:val="21"/>
        </w:rPr>
      </w:pPr>
    </w:p>
    <w:p>
      <w:pPr>
        <w:pStyle w:val="4"/>
        <w:rPr>
          <w:rFonts w:ascii="宋体" w:hAnsi="宋体" w:cs="宋体"/>
          <w:sz w:val="21"/>
          <w:szCs w:val="21"/>
        </w:rPr>
      </w:pPr>
    </w:p>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说明：仅限法定代表人参加投标时提供。</w:t>
      </w:r>
    </w:p>
    <w:bookmarkEnd w:id="487"/>
    <w:bookmarkEnd w:id="488"/>
    <w:bookmarkEnd w:id="489"/>
    <w:bookmarkEnd w:id="490"/>
    <w:bookmarkEnd w:id="491"/>
    <w:bookmarkEnd w:id="492"/>
    <w:bookmarkEnd w:id="493"/>
    <w:bookmarkEnd w:id="494"/>
    <w:p>
      <w:pPr>
        <w:rPr>
          <w:rFonts w:ascii="楷体" w:hAnsi="楷体" w:eastAsia="楷体" w:cs="楷体"/>
          <w:b/>
          <w:bCs/>
          <w:szCs w:val="32"/>
        </w:rPr>
      </w:pPr>
      <w:r>
        <w:rPr>
          <w:rFonts w:hint="eastAsia" w:ascii="楷体" w:hAnsi="楷体" w:eastAsia="楷体" w:cs="楷体"/>
        </w:rPr>
        <w:t xml:space="preserve">      </w:t>
      </w:r>
      <w:r>
        <w:rPr>
          <w:rFonts w:hint="eastAsia" w:ascii="楷体" w:hAnsi="楷体" w:eastAsia="楷体" w:cs="楷体"/>
          <w:szCs w:val="32"/>
        </w:rPr>
        <w:t xml:space="preserve"> </w:t>
      </w:r>
    </w:p>
    <w:p>
      <w:pPr>
        <w:tabs>
          <w:tab w:val="left" w:pos="8820"/>
        </w:tabs>
        <w:spacing w:line="360" w:lineRule="auto"/>
        <w:ind w:firstLine="570"/>
        <w:rPr>
          <w:rFonts w:ascii="宋体" w:hAnsi="宋体" w:cs="宋体"/>
          <w:sz w:val="24"/>
        </w:rPr>
      </w:pPr>
    </w:p>
    <w:p>
      <w:pPr>
        <w:tabs>
          <w:tab w:val="left" w:pos="8820"/>
        </w:tabs>
        <w:spacing w:line="360" w:lineRule="auto"/>
        <w:ind w:firstLine="570"/>
        <w:rPr>
          <w:rFonts w:ascii="宋体" w:hAnsi="宋体" w:cs="宋体"/>
          <w:sz w:val="24"/>
        </w:rPr>
      </w:pPr>
    </w:p>
    <w:p>
      <w:pPr>
        <w:tabs>
          <w:tab w:val="left" w:pos="8820"/>
        </w:tabs>
        <w:spacing w:line="360" w:lineRule="auto"/>
        <w:rPr>
          <w:rFonts w:ascii="宋体" w:hAnsi="宋体" w:cs="宋体"/>
          <w:sz w:val="24"/>
        </w:rPr>
      </w:pPr>
    </w:p>
    <w:p>
      <w:pPr>
        <w:pStyle w:val="50"/>
        <w:spacing w:line="480" w:lineRule="exact"/>
        <w:ind w:firstLine="0" w:firstLineChars="0"/>
        <w:jc w:val="center"/>
        <w:outlineLvl w:val="0"/>
        <w:rPr>
          <w:rFonts w:ascii="宋体" w:hAnsi="宋体" w:cs="宋体"/>
          <w:b/>
          <w:bCs/>
          <w:kern w:val="2"/>
          <w:sz w:val="32"/>
          <w:szCs w:val="32"/>
        </w:rPr>
      </w:pPr>
      <w:bookmarkStart w:id="495" w:name="_Toc26764"/>
      <w:bookmarkStart w:id="496" w:name="_Toc21507"/>
      <w:bookmarkStart w:id="497" w:name="_Toc4792"/>
      <w:bookmarkStart w:id="498" w:name="_Toc28154"/>
      <w:bookmarkStart w:id="499" w:name="_Toc7524511"/>
      <w:bookmarkStart w:id="500" w:name="_Toc4330"/>
      <w:bookmarkStart w:id="501" w:name="_Toc27197"/>
      <w:bookmarkStart w:id="502" w:name="_Toc4416"/>
      <w:bookmarkStart w:id="503" w:name="_Toc17116"/>
      <w:r>
        <w:rPr>
          <w:rFonts w:hint="eastAsia" w:ascii="宋体" w:hAnsi="宋体" w:cs="宋体"/>
          <w:b/>
          <w:bCs/>
          <w:kern w:val="2"/>
          <w:sz w:val="32"/>
          <w:szCs w:val="32"/>
        </w:rPr>
        <w:t>三、法定代表人授权书</w:t>
      </w:r>
      <w:bookmarkEnd w:id="495"/>
      <w:bookmarkEnd w:id="496"/>
      <w:bookmarkEnd w:id="497"/>
    </w:p>
    <w:p>
      <w:pPr>
        <w:spacing w:line="360" w:lineRule="auto"/>
        <w:rPr>
          <w:rFonts w:ascii="宋体" w:hAnsi="宋体" w:cs="宋体"/>
          <w:bCs/>
          <w:sz w:val="24"/>
        </w:rPr>
      </w:pPr>
    </w:p>
    <w:p>
      <w:pPr>
        <w:spacing w:line="360" w:lineRule="auto"/>
        <w:rPr>
          <w:rFonts w:ascii="宋体" w:hAnsi="宋体" w:cs="宋体"/>
          <w:b/>
          <w:szCs w:val="21"/>
        </w:rPr>
      </w:pPr>
      <w:r>
        <w:rPr>
          <w:rFonts w:hint="eastAsia" w:ascii="宋体" w:hAnsi="宋体" w:cs="宋体"/>
          <w:bCs/>
          <w:szCs w:val="21"/>
        </w:rPr>
        <w:t>致：</w:t>
      </w:r>
      <w:r>
        <w:rPr>
          <w:rFonts w:hint="eastAsia" w:ascii="宋体" w:hAnsi="宋体" w:cs="宋体"/>
          <w:bCs/>
          <w:szCs w:val="21"/>
          <w:u w:val="single"/>
        </w:rPr>
        <w:t>陕西迪诚项目管理有限公司</w:t>
      </w:r>
    </w:p>
    <w:p>
      <w:pPr>
        <w:pStyle w:val="14"/>
        <w:spacing w:line="360" w:lineRule="auto"/>
        <w:ind w:left="-120" w:leftChars="-57" w:firstLine="525" w:firstLineChars="250"/>
        <w:rPr>
          <w:rFonts w:hAnsi="宋体" w:cs="宋体"/>
        </w:rPr>
      </w:pPr>
      <w:r>
        <w:rPr>
          <w:rFonts w:hint="eastAsia" w:hAnsi="宋体" w:cs="宋体"/>
        </w:rPr>
        <w:t>本授权书声明：注册于（</w:t>
      </w:r>
      <w:r>
        <w:rPr>
          <w:rFonts w:hint="eastAsia" w:hAnsi="宋体" w:cs="宋体"/>
          <w:u w:val="single"/>
        </w:rPr>
        <w:t>工商行政管理局名称）之（委托单位全称）</w:t>
      </w:r>
      <w:r>
        <w:rPr>
          <w:rFonts w:hint="eastAsia" w:hAnsi="宋体" w:cs="宋体"/>
        </w:rPr>
        <w:t>的法定代表人</w:t>
      </w:r>
      <w:r>
        <w:rPr>
          <w:rFonts w:hint="eastAsia" w:hAnsi="宋体" w:cs="宋体"/>
          <w:u w:val="single"/>
        </w:rPr>
        <w:t>（姓名、性别）</w:t>
      </w:r>
      <w:r>
        <w:rPr>
          <w:rFonts w:hint="eastAsia" w:hAnsi="宋体" w:cs="宋体"/>
        </w:rPr>
        <w:t>授权</w:t>
      </w:r>
      <w:r>
        <w:rPr>
          <w:rFonts w:hint="eastAsia" w:hAnsi="宋体" w:cs="宋体"/>
          <w:u w:val="single"/>
        </w:rPr>
        <w:t>（被授权人姓名、性别、职务）</w:t>
      </w:r>
      <w:r>
        <w:rPr>
          <w:rFonts w:hint="eastAsia" w:hAnsi="宋体" w:cs="宋体"/>
        </w:rPr>
        <w:t>为本公司合法代理人，就贵方组织的有关</w:t>
      </w:r>
      <w:r>
        <w:rPr>
          <w:rFonts w:hint="eastAsia" w:hAnsi="宋体" w:cs="宋体"/>
          <w:u w:val="single"/>
        </w:rPr>
        <w:t>（项目名称）</w:t>
      </w:r>
      <w:r>
        <w:rPr>
          <w:rFonts w:hint="eastAsia" w:hAnsi="宋体" w:cs="宋体"/>
        </w:rPr>
        <w:t>（项目编号：</w:t>
      </w:r>
      <w:r>
        <w:rPr>
          <w:rFonts w:hint="eastAsia" w:hAnsi="宋体" w:cs="宋体"/>
          <w:u w:val="single"/>
        </w:rPr>
        <w:t xml:space="preserve">             </w:t>
      </w:r>
      <w:r>
        <w:rPr>
          <w:rFonts w:hint="eastAsia" w:hAnsi="宋体" w:cs="宋体"/>
        </w:rPr>
        <w:t>）的磋商、洽谈、执行等具体事务，签署全部有关文件、文书、协议、合同，本公司对被授权人在本项目中的签名承担全部法律责任。本授权书自提交磋商响应文件截止之日起计算有效期为</w:t>
      </w:r>
      <w:r>
        <w:rPr>
          <w:rFonts w:hint="eastAsia" w:hAnsi="宋体" w:cs="宋体"/>
          <w:u w:val="single"/>
        </w:rPr>
        <w:t xml:space="preserve">    </w:t>
      </w:r>
      <w:r>
        <w:rPr>
          <w:rFonts w:hint="eastAsia" w:hAnsi="宋体" w:cs="宋体"/>
        </w:rPr>
        <w:t>。</w:t>
      </w:r>
    </w:p>
    <w:p>
      <w:pPr>
        <w:pStyle w:val="14"/>
        <w:spacing w:line="360" w:lineRule="auto"/>
        <w:ind w:firstLine="420" w:firstLineChars="200"/>
        <w:jc w:val="left"/>
        <w:rPr>
          <w:rFonts w:hAnsi="宋体" w:cs="宋体"/>
        </w:rPr>
      </w:pPr>
      <w:r>
        <w:rPr>
          <w:rFonts w:hint="eastAsia" w:hAnsi="宋体" w:cs="宋体"/>
        </w:rPr>
        <w:t>供应商名称（公章）：</w:t>
      </w:r>
    </w:p>
    <w:p>
      <w:pPr>
        <w:pStyle w:val="14"/>
        <w:spacing w:line="360" w:lineRule="auto"/>
        <w:ind w:firstLine="210" w:firstLineChars="100"/>
        <w:jc w:val="left"/>
        <w:rPr>
          <w:rFonts w:hAnsi="宋体" w:cs="宋体"/>
          <w:u w:val="single"/>
        </w:rPr>
      </w:pPr>
      <w:r>
        <w:rPr>
          <w:rFonts w:hint="eastAsia" w:hAnsi="宋体" w:cs="宋体"/>
        </w:rPr>
        <w:t xml:space="preserve">  法定代表人（签字或盖章）：</w:t>
      </w:r>
    </w:p>
    <w:p>
      <w:pPr>
        <w:pStyle w:val="14"/>
        <w:spacing w:line="360" w:lineRule="auto"/>
        <w:ind w:firstLine="420" w:firstLineChars="200"/>
        <w:jc w:val="left"/>
        <w:rPr>
          <w:rFonts w:hAnsi="宋体" w:cs="宋体"/>
        </w:rPr>
      </w:pPr>
      <w:r>
        <w:rPr>
          <w:rFonts w:hint="eastAsia" w:hAnsi="宋体" w:cs="宋体"/>
        </w:rPr>
        <w:t>授权日期：    年    月    日</w:t>
      </w:r>
    </w:p>
    <w:p>
      <w:pPr>
        <w:pStyle w:val="14"/>
        <w:spacing w:line="360" w:lineRule="auto"/>
        <w:ind w:firstLine="420" w:firstLineChars="200"/>
        <w:jc w:val="left"/>
        <w:rPr>
          <w:rFonts w:hAnsi="宋体" w:cs="宋体"/>
        </w:rPr>
      </w:pPr>
      <w:r>
        <w:rPr>
          <w:rFonts w:hint="eastAsia" w:hAnsi="宋体" w:cs="宋体"/>
        </w:rPr>
        <w:t xml:space="preserve">被授权人姓名（签字或盖章）：      </w:t>
      </w:r>
    </w:p>
    <w:p>
      <w:pPr>
        <w:pStyle w:val="14"/>
        <w:spacing w:line="360" w:lineRule="auto"/>
        <w:ind w:firstLine="420" w:firstLineChars="200"/>
        <w:jc w:val="left"/>
        <w:rPr>
          <w:rFonts w:hAnsi="宋体" w:cs="宋体"/>
        </w:rPr>
      </w:pPr>
      <w:r>
        <w:rPr>
          <w:rFonts w:hint="eastAsia" w:hAnsi="宋体" w:cs="宋体"/>
        </w:rPr>
        <w:t xml:space="preserve">性别：       </w:t>
      </w:r>
    </w:p>
    <w:p>
      <w:pPr>
        <w:pStyle w:val="14"/>
        <w:spacing w:line="360" w:lineRule="auto"/>
        <w:ind w:firstLine="420" w:firstLineChars="200"/>
        <w:jc w:val="left"/>
        <w:rPr>
          <w:rFonts w:hAnsi="宋体" w:cs="宋体"/>
          <w:u w:val="single"/>
        </w:rPr>
      </w:pPr>
      <w:r>
        <w:rPr>
          <w:rFonts w:hint="eastAsia" w:hAnsi="宋体" w:cs="宋体"/>
        </w:rPr>
        <w:t>职务：</w:t>
      </w:r>
    </w:p>
    <w:p>
      <w:pPr>
        <w:pStyle w:val="14"/>
        <w:spacing w:line="360" w:lineRule="auto"/>
        <w:ind w:firstLine="420" w:firstLineChars="200"/>
        <w:jc w:val="left"/>
        <w:rPr>
          <w:rFonts w:hAnsi="宋体" w:cs="宋体"/>
          <w:u w:val="single"/>
        </w:rPr>
      </w:pPr>
      <w:r>
        <w:rPr>
          <w:rFonts w:hint="eastAsia" w:hAnsi="宋体" w:cs="宋体"/>
        </w:rPr>
        <w:t>联系地址：</w:t>
      </w:r>
    </w:p>
    <w:p>
      <w:pPr>
        <w:pStyle w:val="14"/>
        <w:spacing w:line="360" w:lineRule="auto"/>
        <w:ind w:firstLine="420" w:firstLineChars="200"/>
        <w:jc w:val="left"/>
        <w:rPr>
          <w:rFonts w:hAnsi="宋体" w:cs="宋体"/>
        </w:rPr>
      </w:pPr>
      <w:r>
        <w:rPr>
          <w:rFonts w:hint="eastAsia" w:hAnsi="宋体" w:cs="宋体"/>
        </w:rPr>
        <w:t>联系电话：</w:t>
      </w:r>
    </w:p>
    <w:p>
      <w:pPr>
        <w:pStyle w:val="14"/>
        <w:spacing w:line="360" w:lineRule="auto"/>
        <w:ind w:firstLine="420" w:firstLineChars="200"/>
        <w:jc w:val="left"/>
        <w:rPr>
          <w:rFonts w:hAnsi="宋体" w:cs="宋体"/>
          <w:u w:val="single"/>
        </w:rPr>
      </w:pPr>
      <w:r>
        <w:rPr>
          <w:rFonts w:hint="eastAsia" w:hAnsi="宋体" w:cs="宋体"/>
        </w:rPr>
        <w:t>传真：</w:t>
      </w:r>
    </w:p>
    <w:p>
      <w:pPr>
        <w:pStyle w:val="14"/>
        <w:spacing w:line="360" w:lineRule="auto"/>
        <w:ind w:firstLine="420" w:firstLineChars="200"/>
        <w:jc w:val="left"/>
        <w:rPr>
          <w:rFonts w:hAnsi="宋体" w:cs="宋体"/>
        </w:rPr>
      </w:pPr>
      <w:r>
        <w:rPr>
          <w:rFonts w:hint="eastAsia" w:hAnsi="宋体" w:cs="宋体"/>
        </w:rPr>
        <w:t>附：法定代表人、被授权人身份证复印件</w:t>
      </w:r>
    </w:p>
    <w:tbl>
      <w:tblPr>
        <w:tblStyle w:val="27"/>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jc w:val="center"/>
        </w:trPr>
        <w:tc>
          <w:tcPr>
            <w:tcW w:w="4652"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4"/>
              <w:spacing w:line="360" w:lineRule="auto"/>
              <w:jc w:val="center"/>
              <w:rPr>
                <w:rFonts w:hAnsi="宋体" w:cs="宋体"/>
                <w:shd w:val="clear" w:color="FFFFFF" w:fill="D9D9D9"/>
              </w:rPr>
            </w:pPr>
            <w:r>
              <w:rPr>
                <w:rFonts w:hint="eastAsia" w:hAnsi="宋体" w:cs="宋体"/>
                <w:shd w:val="clear" w:color="FFFFFF" w:fill="D9D9D9"/>
              </w:rPr>
              <w:t>法定代表人身份证复印件（正面）</w:t>
            </w:r>
          </w:p>
        </w:tc>
        <w:tc>
          <w:tcPr>
            <w:tcW w:w="4388"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4"/>
              <w:spacing w:line="360" w:lineRule="auto"/>
              <w:jc w:val="center"/>
              <w:rPr>
                <w:rFonts w:hAnsi="宋体" w:cs="宋体"/>
                <w:shd w:val="clear" w:color="FFFFFF" w:fill="D9D9D9"/>
              </w:rPr>
            </w:pPr>
            <w:r>
              <w:rPr>
                <w:rFonts w:hint="eastAsia" w:hAnsi="宋体" w:cs="宋体"/>
                <w:shd w:val="clear" w:color="FFFFFF" w:fill="D9D9D9"/>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9" w:hRule="atLeast"/>
          <w:jc w:val="center"/>
        </w:trPr>
        <w:tc>
          <w:tcPr>
            <w:tcW w:w="4652" w:type="dxa"/>
            <w:tcBorders>
              <w:top w:val="single" w:color="auto" w:sz="4" w:space="0"/>
              <w:left w:val="single" w:color="auto" w:sz="4" w:space="0"/>
              <w:right w:val="single" w:color="auto" w:sz="4" w:space="0"/>
            </w:tcBorders>
            <w:shd w:val="clear" w:color="auto" w:fill="D9D9D9"/>
            <w:noWrap/>
            <w:vAlign w:val="center"/>
          </w:tcPr>
          <w:p>
            <w:pPr>
              <w:pStyle w:val="14"/>
              <w:spacing w:line="360" w:lineRule="auto"/>
              <w:jc w:val="center"/>
              <w:rPr>
                <w:rFonts w:hAnsi="宋体" w:cs="宋体"/>
                <w:shd w:val="clear" w:color="FFFFFF" w:fill="D9D9D9"/>
              </w:rPr>
            </w:pPr>
            <w:r>
              <w:rPr>
                <w:rFonts w:hint="eastAsia" w:hAnsi="宋体" w:cs="宋体"/>
                <w:shd w:val="clear" w:color="FFFFFF" w:fill="D9D9D9"/>
              </w:rPr>
              <w:t>法定代表人身份证复印件（反面）</w:t>
            </w:r>
          </w:p>
        </w:tc>
        <w:tc>
          <w:tcPr>
            <w:tcW w:w="4388" w:type="dxa"/>
            <w:tcBorders>
              <w:top w:val="single" w:color="auto" w:sz="4" w:space="0"/>
              <w:left w:val="single" w:color="auto" w:sz="4" w:space="0"/>
              <w:bottom w:val="single" w:color="auto" w:sz="4" w:space="0"/>
              <w:right w:val="single" w:color="auto" w:sz="4" w:space="0"/>
            </w:tcBorders>
            <w:shd w:val="clear" w:color="auto" w:fill="D9D9D9"/>
            <w:noWrap/>
            <w:vAlign w:val="center"/>
          </w:tcPr>
          <w:p>
            <w:pPr>
              <w:pStyle w:val="14"/>
              <w:spacing w:line="360" w:lineRule="auto"/>
              <w:jc w:val="center"/>
              <w:rPr>
                <w:rFonts w:hAnsi="宋体" w:cs="宋体"/>
                <w:shd w:val="clear" w:color="FFFFFF" w:fill="D9D9D9"/>
              </w:rPr>
            </w:pPr>
            <w:r>
              <w:rPr>
                <w:rFonts w:hint="eastAsia" w:hAnsi="宋体" w:cs="宋体"/>
                <w:shd w:val="clear" w:color="FFFFFF" w:fill="D9D9D9"/>
              </w:rPr>
              <w:t>被授权人身份证复印件（反面）</w:t>
            </w:r>
          </w:p>
        </w:tc>
      </w:tr>
    </w:tbl>
    <w:p>
      <w:pPr>
        <w:pStyle w:val="14"/>
        <w:spacing w:line="360" w:lineRule="auto"/>
        <w:jc w:val="left"/>
        <w:rPr>
          <w:rFonts w:hAnsi="宋体" w:cs="宋体"/>
          <w:b/>
          <w:bCs/>
        </w:rPr>
      </w:pP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（注：身份证复印件加盖单位公章）</w:t>
      </w: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说明：</w:t>
      </w: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1.本授权书有效期自竞争性磋商响应文件递交截止之日起计算不得少于90个日历日。</w:t>
      </w: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2．授权书内容填写要明确，文字要工整清楚，涂改无效。</w:t>
      </w:r>
    </w:p>
    <w:p>
      <w:pPr>
        <w:pStyle w:val="7"/>
        <w:adjustRightInd w:val="0"/>
        <w:spacing w:line="360" w:lineRule="auto"/>
        <w:jc w:val="center"/>
        <w:textAlignment w:val="baseline"/>
        <w:outlineLvl w:val="0"/>
        <w:rPr>
          <w:rFonts w:hint="eastAsia" w:ascii="宋体" w:hAnsi="宋体" w:eastAsia="宋体" w:cs="宋体"/>
          <w:lang w:eastAsia="zh-CN"/>
        </w:rPr>
      </w:pPr>
      <w:bookmarkStart w:id="504" w:name="_Toc7136"/>
      <w:bookmarkStart w:id="505" w:name="_Toc30357"/>
      <w:bookmarkStart w:id="506" w:name="_Toc5549"/>
      <w:bookmarkStart w:id="507" w:name="_Toc21248"/>
      <w:r>
        <w:rPr>
          <w:rFonts w:hint="eastAsia" w:ascii="宋体" w:hAnsi="宋体" w:eastAsia="宋体" w:cs="宋体"/>
        </w:rPr>
        <w:t>四、</w:t>
      </w:r>
      <w:bookmarkEnd w:id="498"/>
      <w:bookmarkEnd w:id="499"/>
      <w:bookmarkEnd w:id="500"/>
      <w:bookmarkEnd w:id="501"/>
      <w:bookmarkEnd w:id="502"/>
      <w:bookmarkEnd w:id="503"/>
      <w:bookmarkEnd w:id="504"/>
      <w:bookmarkEnd w:id="505"/>
      <w:r>
        <w:rPr>
          <w:rFonts w:hint="eastAsia" w:ascii="宋体" w:hAnsi="宋体" w:eastAsia="宋体" w:cs="宋体"/>
          <w:lang w:val="en-US" w:eastAsia="zh-CN"/>
        </w:rPr>
        <w:t>磋商报价表</w:t>
      </w:r>
      <w:bookmarkEnd w:id="506"/>
      <w:bookmarkEnd w:id="507"/>
    </w:p>
    <w:p>
      <w:pPr>
        <w:pStyle w:val="3"/>
        <w:rPr>
          <w:rFonts w:ascii="宋体" w:hAnsi="宋体" w:cs="宋体"/>
        </w:rPr>
      </w:pPr>
    </w:p>
    <w:tbl>
      <w:tblPr>
        <w:tblStyle w:val="27"/>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5"/>
        <w:gridCol w:w="605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2885" w:type="dxa"/>
            <w:tcBorders>
              <w:bottom w:val="single" w:color="auto" w:sz="4" w:space="0"/>
            </w:tcBorders>
            <w:vAlign w:val="center"/>
          </w:tcPr>
          <w:p>
            <w:pPr>
              <w:spacing w:line="360" w:lineRule="auto"/>
              <w:jc w:val="center"/>
              <w:rPr>
                <w:rFonts w:ascii="宋体" w:hAnsi="宋体" w:cs="宋体"/>
                <w:caps/>
                <w:szCs w:val="21"/>
              </w:rPr>
            </w:pPr>
            <w:r>
              <w:rPr>
                <w:rFonts w:hint="eastAsia" w:ascii="宋体" w:hAnsi="宋体" w:cs="宋体"/>
                <w:szCs w:val="21"/>
              </w:rPr>
              <w:t>采购项目名称</w:t>
            </w:r>
          </w:p>
        </w:tc>
        <w:tc>
          <w:tcPr>
            <w:tcW w:w="6054" w:type="dxa"/>
            <w:vAlign w:val="center"/>
          </w:tcPr>
          <w:p>
            <w:pPr>
              <w:spacing w:line="360" w:lineRule="auto"/>
              <w:jc w:val="center"/>
              <w:rPr>
                <w:rFonts w:ascii="宋体" w:hAnsi="宋体" w:cs="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4" w:hRule="atLeast"/>
        </w:trPr>
        <w:tc>
          <w:tcPr>
            <w:tcW w:w="2885"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采购项目编号</w:t>
            </w:r>
          </w:p>
        </w:tc>
        <w:tc>
          <w:tcPr>
            <w:tcW w:w="6054" w:type="dxa"/>
            <w:tcBorders>
              <w:bottom w:val="single" w:color="auto" w:sz="4" w:space="0"/>
            </w:tcBorders>
            <w:vAlign w:val="center"/>
          </w:tcPr>
          <w:p>
            <w:pPr>
              <w:spacing w:line="360" w:lineRule="auto"/>
              <w:rPr>
                <w:rFonts w:ascii="宋体" w:hAnsi="宋体" w:cs="宋体"/>
                <w:caps/>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04" w:hRule="atLeast"/>
        </w:trPr>
        <w:tc>
          <w:tcPr>
            <w:tcW w:w="2885" w:type="dxa"/>
            <w:vAlign w:val="center"/>
          </w:tcPr>
          <w:p>
            <w:pPr>
              <w:spacing w:line="360" w:lineRule="auto"/>
              <w:jc w:val="center"/>
              <w:rPr>
                <w:rFonts w:ascii="宋体" w:hAnsi="宋体" w:cs="宋体"/>
                <w:szCs w:val="21"/>
              </w:rPr>
            </w:pPr>
            <w:r>
              <w:rPr>
                <w:rFonts w:hint="eastAsia" w:ascii="宋体" w:hAnsi="宋体" w:cs="宋体"/>
                <w:szCs w:val="21"/>
              </w:rPr>
              <w:t>供应商名称</w:t>
            </w:r>
          </w:p>
        </w:tc>
        <w:tc>
          <w:tcPr>
            <w:tcW w:w="6054" w:type="dxa"/>
            <w:vAlign w:val="center"/>
          </w:tcPr>
          <w:p>
            <w:pPr>
              <w:spacing w:line="360" w:lineRule="auto"/>
              <w:rPr>
                <w:rFonts w:ascii="宋体" w:hAnsi="宋体" w:cs="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14" w:hRule="atLeast"/>
        </w:trPr>
        <w:tc>
          <w:tcPr>
            <w:tcW w:w="2885" w:type="dxa"/>
            <w:vAlign w:val="center"/>
          </w:tcPr>
          <w:p>
            <w:pPr>
              <w:spacing w:line="360" w:lineRule="auto"/>
              <w:jc w:val="center"/>
              <w:rPr>
                <w:rFonts w:ascii="宋体" w:hAnsi="宋体" w:cs="宋体"/>
                <w:szCs w:val="21"/>
              </w:rPr>
            </w:pPr>
            <w:r>
              <w:rPr>
                <w:rFonts w:hint="eastAsia" w:ascii="宋体" w:hAnsi="宋体" w:cs="宋体"/>
                <w:szCs w:val="21"/>
              </w:rPr>
              <w:t>磋商报价</w:t>
            </w:r>
          </w:p>
          <w:p>
            <w:pPr>
              <w:spacing w:line="360" w:lineRule="auto"/>
              <w:jc w:val="center"/>
              <w:rPr>
                <w:rFonts w:ascii="宋体" w:hAnsi="宋体" w:cs="宋体"/>
                <w:szCs w:val="21"/>
              </w:rPr>
            </w:pPr>
            <w:r>
              <w:rPr>
                <w:rFonts w:hint="eastAsia" w:ascii="宋体" w:hAnsi="宋体" w:cs="宋体"/>
                <w:szCs w:val="21"/>
              </w:rPr>
              <w:t>（元）</w:t>
            </w:r>
          </w:p>
        </w:tc>
        <w:tc>
          <w:tcPr>
            <w:tcW w:w="6054" w:type="dxa"/>
            <w:vAlign w:val="center"/>
          </w:tcPr>
          <w:p>
            <w:pPr>
              <w:spacing w:line="360" w:lineRule="auto"/>
              <w:rPr>
                <w:rFonts w:ascii="宋体" w:hAnsi="宋体" w:cs="宋体"/>
                <w:szCs w:val="21"/>
              </w:rPr>
            </w:pPr>
            <w:r>
              <w:rPr>
                <w:rFonts w:hint="eastAsia" w:ascii="宋体" w:hAnsi="宋体" w:cs="宋体"/>
                <w:szCs w:val="21"/>
              </w:rPr>
              <w:t>小写金额：￥</w:t>
            </w:r>
            <w:r>
              <w:rPr>
                <w:rFonts w:hint="eastAsia" w:ascii="宋体" w:hAnsi="宋体" w:cs="宋体"/>
                <w:szCs w:val="21"/>
                <w:u w:val="single"/>
              </w:rPr>
              <w:t xml:space="preserve">              </w:t>
            </w:r>
            <w:r>
              <w:rPr>
                <w:rFonts w:hint="eastAsia" w:ascii="宋体" w:hAnsi="宋体" w:cs="宋体"/>
                <w:szCs w:val="21"/>
              </w:rPr>
              <w:t>元</w:t>
            </w:r>
          </w:p>
          <w:p>
            <w:pPr>
              <w:spacing w:line="360" w:lineRule="auto"/>
              <w:rPr>
                <w:rFonts w:ascii="宋体" w:hAnsi="宋体" w:cs="宋体"/>
                <w:szCs w:val="21"/>
              </w:rPr>
            </w:pPr>
            <w:r>
              <w:rPr>
                <w:rFonts w:hint="eastAsia" w:ascii="宋体" w:hAnsi="宋体" w:cs="宋体"/>
                <w:szCs w:val="21"/>
              </w:rPr>
              <w:t>大写金额：</w:t>
            </w:r>
            <w:r>
              <w:rPr>
                <w:rFonts w:hint="eastAsia" w:ascii="宋体" w:hAnsi="宋体" w:cs="宋体"/>
                <w:szCs w:val="21"/>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93" w:hRule="atLeast"/>
        </w:trPr>
        <w:tc>
          <w:tcPr>
            <w:tcW w:w="2885"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完工期</w:t>
            </w:r>
          </w:p>
        </w:tc>
        <w:tc>
          <w:tcPr>
            <w:tcW w:w="6054" w:type="dxa"/>
            <w:vAlign w:val="center"/>
          </w:tcPr>
          <w:p>
            <w:pPr>
              <w:spacing w:line="360" w:lineRule="auto"/>
              <w:rPr>
                <w:rFonts w:ascii="宋体" w:hAnsi="宋体" w:cs="宋体"/>
                <w:szCs w:val="21"/>
                <w:u w:val="singl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trPr>
        <w:tc>
          <w:tcPr>
            <w:tcW w:w="2885" w:type="dxa"/>
            <w:vAlign w:val="center"/>
          </w:tcPr>
          <w:p>
            <w:pPr>
              <w:spacing w:line="360" w:lineRule="auto"/>
              <w:jc w:val="center"/>
              <w:rPr>
                <w:rFonts w:ascii="宋体" w:hAnsi="宋体" w:cs="宋体"/>
                <w:szCs w:val="21"/>
              </w:rPr>
            </w:pPr>
            <w:r>
              <w:rPr>
                <w:rFonts w:hint="eastAsia" w:ascii="宋体" w:hAnsi="宋体" w:cs="宋体"/>
                <w:szCs w:val="21"/>
              </w:rPr>
              <w:t>质量标准</w:t>
            </w:r>
          </w:p>
        </w:tc>
        <w:tc>
          <w:tcPr>
            <w:tcW w:w="6054" w:type="dxa"/>
            <w:vAlign w:val="center"/>
          </w:tcPr>
          <w:p>
            <w:pPr>
              <w:spacing w:line="360" w:lineRule="auto"/>
              <w:rPr>
                <w:rFonts w:ascii="宋体" w:hAnsi="宋体" w:cs="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trPr>
        <w:tc>
          <w:tcPr>
            <w:tcW w:w="2885" w:type="dxa"/>
            <w:vAlign w:val="center"/>
          </w:tcPr>
          <w:p>
            <w:pPr>
              <w:spacing w:line="360" w:lineRule="auto"/>
              <w:jc w:val="center"/>
              <w:rPr>
                <w:rFonts w:ascii="宋体" w:hAnsi="宋体" w:cs="宋体"/>
                <w:szCs w:val="21"/>
              </w:rPr>
            </w:pPr>
            <w:r>
              <w:rPr>
                <w:rFonts w:hint="eastAsia" w:ascii="宋体" w:hAnsi="宋体" w:cs="宋体"/>
                <w:szCs w:val="21"/>
              </w:rPr>
              <w:t>备注</w:t>
            </w:r>
          </w:p>
        </w:tc>
        <w:tc>
          <w:tcPr>
            <w:tcW w:w="6054" w:type="dxa"/>
            <w:vAlign w:val="center"/>
          </w:tcPr>
          <w:p>
            <w:pPr>
              <w:spacing w:line="360" w:lineRule="auto"/>
              <w:rPr>
                <w:rFonts w:hint="eastAsia" w:ascii="宋体" w:hAnsi="宋体" w:eastAsia="宋体" w:cs="宋体"/>
                <w:szCs w:val="21"/>
                <w:lang w:eastAsia="zh-CN"/>
              </w:rPr>
            </w:pPr>
            <w:r>
              <w:rPr>
                <w:rFonts w:hint="eastAsia"/>
                <w:szCs w:val="21"/>
                <w:lang w:val="en-US" w:eastAsia="zh-CN"/>
              </w:rPr>
              <w:t>/</w:t>
            </w:r>
          </w:p>
        </w:tc>
      </w:tr>
    </w:tbl>
    <w:p>
      <w:pPr>
        <w:rPr>
          <w:rFonts w:ascii="宋体" w:hAnsi="宋体" w:cs="宋体"/>
        </w:rPr>
      </w:pPr>
    </w:p>
    <w:p>
      <w:pPr>
        <w:rPr>
          <w:rFonts w:ascii="宋体" w:hAnsi="宋体" w:cs="宋体"/>
          <w:b/>
          <w:bCs/>
          <w:sz w:val="18"/>
          <w:szCs w:val="18"/>
        </w:rPr>
      </w:pPr>
    </w:p>
    <w:p>
      <w:pPr>
        <w:rPr>
          <w:rFonts w:ascii="宋体" w:hAnsi="宋体" w:cs="宋体"/>
          <w:b/>
          <w:bCs/>
          <w:sz w:val="18"/>
          <w:szCs w:val="18"/>
        </w:rPr>
      </w:pP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说明：</w:t>
      </w: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1、总报价精确到元，小数点后保留两位小数。</w:t>
      </w:r>
    </w:p>
    <w:p>
      <w:pPr>
        <w:pStyle w:val="14"/>
        <w:ind w:firstLine="90" w:firstLineChars="5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2、报价精确到小数点后两位，第三位四舍五入。</w:t>
      </w:r>
    </w:p>
    <w:bookmarkEnd w:id="437"/>
    <w:bookmarkEnd w:id="438"/>
    <w:bookmarkEnd w:id="439"/>
    <w:bookmarkEnd w:id="440"/>
    <w:bookmarkEnd w:id="441"/>
    <w:bookmarkEnd w:id="442"/>
    <w:bookmarkEnd w:id="443"/>
    <w:p>
      <w:pPr>
        <w:pStyle w:val="14"/>
        <w:ind w:firstLine="105" w:firstLineChars="50"/>
        <w:jc w:val="left"/>
        <w:rPr>
          <w:rFonts w:hint="eastAsia" w:ascii="宋体" w:hAnsi="宋体" w:eastAsia="宋体" w:cs="宋体"/>
          <w:b/>
          <w:bCs/>
          <w:kern w:val="2"/>
          <w:sz w:val="21"/>
          <w:szCs w:val="24"/>
          <w:lang w:val="en-US" w:eastAsia="zh-CN" w:bidi="ar-SA"/>
        </w:rPr>
      </w:pPr>
      <w:bookmarkStart w:id="508" w:name="_Toc423025063"/>
      <w:bookmarkStart w:id="509" w:name="_Toc7524512"/>
      <w:bookmarkStart w:id="510" w:name="_Toc3660"/>
      <w:bookmarkStart w:id="511" w:name="_Toc9933"/>
      <w:bookmarkStart w:id="512" w:name="_Toc17941"/>
      <w:bookmarkStart w:id="513" w:name="_Toc497546930"/>
      <w:bookmarkStart w:id="514" w:name="_Toc497551832"/>
      <w:bookmarkStart w:id="515" w:name="_Toc497711597"/>
      <w:bookmarkStart w:id="516" w:name="_Toc497712145"/>
      <w:bookmarkStart w:id="517" w:name="_Toc492955471"/>
      <w:bookmarkStart w:id="518" w:name="_Toc454790732"/>
      <w:bookmarkStart w:id="519" w:name="_Toc454306452"/>
    </w:p>
    <w:p>
      <w:pPr>
        <w:pStyle w:val="4"/>
        <w:ind w:firstLine="640"/>
      </w:pPr>
    </w:p>
    <w:p>
      <w:pPr>
        <w:spacing w:line="600" w:lineRule="auto"/>
        <w:ind w:firstLine="3780" w:firstLineChars="1800"/>
        <w:jc w:val="left"/>
        <w:rPr>
          <w:rFonts w:ascii="宋体" w:hAnsi="宋体" w:cs="宋体"/>
          <w:szCs w:val="21"/>
        </w:rPr>
      </w:pPr>
      <w:r>
        <w:rPr>
          <w:rFonts w:hint="eastAsia" w:ascii="宋体" w:hAnsi="宋体" w:cs="宋体"/>
          <w:szCs w:val="21"/>
        </w:rPr>
        <w:t>供应商名称：（盖章）</w:t>
      </w:r>
    </w:p>
    <w:p>
      <w:pPr>
        <w:spacing w:line="600" w:lineRule="auto"/>
        <w:ind w:firstLine="3780" w:firstLineChars="1800"/>
        <w:jc w:val="left"/>
        <w:rPr>
          <w:rFonts w:ascii="宋体" w:hAnsi="宋体" w:cs="宋体"/>
          <w:szCs w:val="21"/>
        </w:rPr>
      </w:pPr>
      <w:r>
        <w:rPr>
          <w:rFonts w:hint="eastAsia" w:ascii="宋体" w:hAnsi="宋体" w:cs="宋体"/>
          <w:szCs w:val="21"/>
        </w:rPr>
        <w:t>法定代表人或被授权人：(签字或盖章)</w:t>
      </w:r>
    </w:p>
    <w:p>
      <w:pPr>
        <w:spacing w:line="600" w:lineRule="auto"/>
        <w:ind w:firstLine="3780" w:firstLineChars="1800"/>
        <w:jc w:val="left"/>
        <w:rPr>
          <w:rFonts w:ascii="宋体" w:hAnsi="宋体" w:cs="宋体"/>
          <w:szCs w:val="21"/>
        </w:rPr>
      </w:pPr>
      <w:r>
        <w:rPr>
          <w:rFonts w:hint="eastAsia" w:ascii="宋体" w:hAnsi="宋体" w:cs="宋体"/>
          <w:szCs w:val="21"/>
        </w:rPr>
        <w:t>日      期：  年   月     日</w:t>
      </w:r>
      <w:bookmarkStart w:id="520" w:name="_Toc32382"/>
      <w:bookmarkStart w:id="521" w:name="_Toc15065"/>
      <w:bookmarkStart w:id="522" w:name="_Toc9185"/>
    </w:p>
    <w:p>
      <w:pPr>
        <w:jc w:val="center"/>
        <w:rPr>
          <w:rFonts w:ascii="宋体" w:hAnsi="宋体" w:cs="宋体"/>
          <w:b/>
          <w:sz w:val="30"/>
          <w:szCs w:val="30"/>
        </w:rPr>
      </w:pPr>
    </w:p>
    <w:p>
      <w:pPr>
        <w:rPr>
          <w:rFonts w:hint="eastAsia" w:ascii="宋体" w:hAnsi="宋体" w:cs="宋体"/>
          <w:b/>
          <w:sz w:val="30"/>
          <w:szCs w:val="30"/>
        </w:rPr>
      </w:pPr>
      <w:r>
        <w:rPr>
          <w:rFonts w:hint="eastAsia" w:ascii="宋体" w:hAnsi="宋体" w:cs="宋体"/>
          <w:b/>
          <w:sz w:val="30"/>
          <w:szCs w:val="30"/>
        </w:rPr>
        <w:br w:type="page"/>
      </w:r>
    </w:p>
    <w:bookmarkEnd w:id="508"/>
    <w:bookmarkEnd w:id="509"/>
    <w:bookmarkEnd w:id="510"/>
    <w:bookmarkEnd w:id="511"/>
    <w:bookmarkEnd w:id="512"/>
    <w:bookmarkEnd w:id="520"/>
    <w:bookmarkEnd w:id="521"/>
    <w:bookmarkEnd w:id="522"/>
    <w:p>
      <w:pPr>
        <w:pStyle w:val="7"/>
        <w:numPr>
          <w:ilvl w:val="0"/>
          <w:numId w:val="5"/>
        </w:numPr>
        <w:adjustRightInd w:val="0"/>
        <w:spacing w:before="0" w:after="0" w:line="360" w:lineRule="auto"/>
        <w:textAlignment w:val="baseline"/>
        <w:outlineLvl w:val="0"/>
        <w:rPr>
          <w:rFonts w:ascii="宋体" w:hAnsi="宋体" w:eastAsia="宋体" w:cs="宋体"/>
        </w:rPr>
      </w:pPr>
      <w:bookmarkStart w:id="523" w:name="_Toc6142"/>
      <w:bookmarkStart w:id="524" w:name="_Toc2671"/>
      <w:bookmarkStart w:id="525" w:name="_Toc20394"/>
      <w:bookmarkStart w:id="526" w:name="_Toc9570"/>
      <w:bookmarkStart w:id="527" w:name="_Toc491509446"/>
      <w:bookmarkStart w:id="528" w:name="_Toc423025064"/>
      <w:bookmarkStart w:id="529" w:name="_Toc12429"/>
      <w:bookmarkStart w:id="530" w:name="_Toc5443"/>
      <w:bookmarkStart w:id="531" w:name="_Toc4359"/>
      <w:r>
        <w:rPr>
          <w:rFonts w:hint="eastAsia" w:ascii="宋体" w:hAnsi="宋体" w:eastAsia="宋体" w:cs="宋体"/>
        </w:rPr>
        <w:t>合同主要条款响应偏差表</w:t>
      </w:r>
      <w:bookmarkEnd w:id="523"/>
      <w:bookmarkEnd w:id="524"/>
      <w:bookmarkEnd w:id="525"/>
    </w:p>
    <w:p>
      <w:pPr>
        <w:ind w:left="2409"/>
      </w:pPr>
    </w:p>
    <w:p>
      <w:pPr>
        <w:spacing w:line="360" w:lineRule="auto"/>
        <w:rPr>
          <w:rFonts w:ascii="宋体" w:hAnsi="宋体" w:cs="宋体"/>
          <w:szCs w:val="21"/>
          <w:u w:val="single"/>
        </w:rPr>
      </w:pPr>
      <w:r>
        <w:rPr>
          <w:rFonts w:hint="eastAsia" w:ascii="宋体" w:hAnsi="宋体" w:cs="宋体"/>
          <w:sz w:val="24"/>
        </w:rPr>
        <w:t>供</w:t>
      </w:r>
      <w:r>
        <w:rPr>
          <w:rFonts w:hint="eastAsia" w:ascii="宋体" w:hAnsi="宋体" w:cs="宋体"/>
          <w:szCs w:val="21"/>
        </w:rPr>
        <w:t>应商名称：</w:t>
      </w:r>
      <w:r>
        <w:rPr>
          <w:rFonts w:hint="eastAsia" w:ascii="宋体" w:hAnsi="宋体" w:cs="宋体"/>
          <w:szCs w:val="21"/>
          <w:u w:val="single"/>
        </w:rPr>
        <w:t xml:space="preserve">                   </w:t>
      </w:r>
      <w:r>
        <w:rPr>
          <w:rFonts w:hint="eastAsia" w:ascii="宋体" w:hAnsi="宋体" w:cs="宋体"/>
          <w:szCs w:val="21"/>
        </w:rPr>
        <w:t xml:space="preserve">                采购项目编号：</w:t>
      </w:r>
      <w:r>
        <w:rPr>
          <w:rFonts w:hint="eastAsia" w:ascii="宋体" w:hAnsi="宋体" w:cs="宋体"/>
          <w:szCs w:val="21"/>
          <w:u w:val="single"/>
        </w:rPr>
        <w:t xml:space="preserve">                      </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6"/>
        <w:gridCol w:w="2775"/>
        <w:gridCol w:w="2264"/>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46"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2775" w:type="dxa"/>
            <w:vAlign w:val="center"/>
          </w:tcPr>
          <w:p>
            <w:pPr>
              <w:spacing w:line="360" w:lineRule="auto"/>
              <w:jc w:val="center"/>
              <w:rPr>
                <w:rFonts w:ascii="宋体" w:hAnsi="宋体" w:cs="宋体"/>
                <w:b/>
                <w:bCs/>
                <w:szCs w:val="21"/>
              </w:rPr>
            </w:pPr>
            <w:r>
              <w:rPr>
                <w:rFonts w:hint="eastAsia" w:ascii="宋体" w:hAnsi="宋体" w:cs="宋体"/>
                <w:b/>
                <w:bCs/>
                <w:szCs w:val="21"/>
              </w:rPr>
              <w:t>磋商文件</w:t>
            </w:r>
          </w:p>
          <w:p>
            <w:pPr>
              <w:spacing w:line="360" w:lineRule="auto"/>
              <w:jc w:val="center"/>
              <w:rPr>
                <w:rFonts w:ascii="宋体" w:hAnsi="宋体" w:cs="宋体"/>
                <w:b/>
                <w:bCs/>
                <w:szCs w:val="21"/>
              </w:rPr>
            </w:pPr>
            <w:r>
              <w:rPr>
                <w:rFonts w:hint="eastAsia" w:ascii="宋体" w:hAnsi="宋体" w:cs="宋体"/>
                <w:b/>
                <w:bCs/>
                <w:szCs w:val="21"/>
              </w:rPr>
              <w:t>合同主要条款要求</w:t>
            </w:r>
          </w:p>
        </w:tc>
        <w:tc>
          <w:tcPr>
            <w:tcW w:w="2264" w:type="dxa"/>
            <w:vAlign w:val="center"/>
          </w:tcPr>
          <w:p>
            <w:pPr>
              <w:spacing w:line="360" w:lineRule="auto"/>
              <w:jc w:val="center"/>
              <w:rPr>
                <w:rFonts w:ascii="宋体" w:hAnsi="宋体" w:cs="宋体"/>
                <w:b/>
                <w:bCs/>
                <w:szCs w:val="21"/>
              </w:rPr>
            </w:pPr>
            <w:r>
              <w:rPr>
                <w:rFonts w:hint="eastAsia" w:ascii="宋体" w:hAnsi="宋体" w:cs="宋体"/>
                <w:b/>
                <w:bCs/>
                <w:szCs w:val="21"/>
              </w:rPr>
              <w:t>响应文件</w:t>
            </w:r>
          </w:p>
          <w:p>
            <w:pPr>
              <w:spacing w:line="360" w:lineRule="auto"/>
              <w:jc w:val="center"/>
              <w:rPr>
                <w:rFonts w:ascii="宋体" w:hAnsi="宋体" w:cs="宋体"/>
                <w:b/>
                <w:bCs/>
                <w:szCs w:val="21"/>
              </w:rPr>
            </w:pPr>
            <w:r>
              <w:rPr>
                <w:rFonts w:hint="eastAsia" w:ascii="宋体" w:hAnsi="宋体" w:cs="宋体"/>
                <w:b/>
                <w:bCs/>
                <w:szCs w:val="21"/>
              </w:rPr>
              <w:t>合同主要条款响应</w:t>
            </w:r>
          </w:p>
        </w:tc>
        <w:tc>
          <w:tcPr>
            <w:tcW w:w="1367" w:type="dxa"/>
            <w:vAlign w:val="center"/>
          </w:tcPr>
          <w:p>
            <w:pPr>
              <w:spacing w:line="360" w:lineRule="auto"/>
              <w:jc w:val="center"/>
              <w:rPr>
                <w:rFonts w:ascii="宋体" w:hAnsi="宋体" w:cs="宋体"/>
                <w:b/>
                <w:bCs/>
                <w:szCs w:val="21"/>
              </w:rPr>
            </w:pPr>
            <w:r>
              <w:rPr>
                <w:rFonts w:hint="eastAsia" w:ascii="宋体" w:hAnsi="宋体" w:cs="宋体"/>
                <w:b/>
                <w:bCs/>
                <w:szCs w:val="21"/>
              </w:rPr>
              <w:t>偏离</w:t>
            </w:r>
          </w:p>
        </w:tc>
        <w:tc>
          <w:tcPr>
            <w:tcW w:w="1440" w:type="dxa"/>
            <w:vAlign w:val="center"/>
          </w:tcPr>
          <w:p>
            <w:pPr>
              <w:spacing w:line="360" w:lineRule="auto"/>
              <w:jc w:val="center"/>
              <w:rPr>
                <w:rFonts w:ascii="宋体" w:hAnsi="宋体" w:cs="宋体"/>
                <w:b/>
                <w:bCs/>
                <w:szCs w:val="21"/>
              </w:rPr>
            </w:pPr>
            <w:r>
              <w:rPr>
                <w:rFonts w:hint="eastAsia" w:ascii="宋体" w:hAnsi="宋体" w:cs="宋体"/>
                <w:b/>
                <w:bCs/>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bl>
    <w:p>
      <w:pPr>
        <w:rPr>
          <w:rFonts w:ascii="宋体" w:hAnsi="宋体" w:cs="宋体"/>
        </w:rPr>
      </w:pPr>
    </w:p>
    <w:p>
      <w:pPr>
        <w:ind w:left="360" w:right="-197" w:rightChars="-94" w:hanging="360" w:hangingChars="200"/>
        <w:jc w:val="left"/>
        <w:rPr>
          <w:rFonts w:ascii="宋体" w:hAnsi="宋体"/>
          <w:sz w:val="18"/>
          <w:szCs w:val="18"/>
        </w:rPr>
      </w:pPr>
      <w:r>
        <w:rPr>
          <w:rFonts w:hint="eastAsia" w:ascii="宋体" w:hAnsi="宋体"/>
          <w:sz w:val="18"/>
          <w:szCs w:val="18"/>
        </w:rPr>
        <w:t>注：1.本表只填写磋商响应文件中与磋商文件有偏离（包括正偏离和负偏离）的内容，磋商响应文件中合同主要条款响应与磋商文件要求完全一致的，不用在此表中列出，但必须提交空白表。</w:t>
      </w:r>
    </w:p>
    <w:p>
      <w:pPr>
        <w:tabs>
          <w:tab w:val="left" w:pos="7665"/>
        </w:tabs>
        <w:ind w:right="-197" w:rightChars="-94" w:firstLine="360" w:firstLineChars="200"/>
        <w:jc w:val="left"/>
        <w:rPr>
          <w:rFonts w:ascii="宋体" w:hAnsi="宋体"/>
          <w:sz w:val="18"/>
          <w:szCs w:val="18"/>
        </w:rPr>
      </w:pPr>
      <w:r>
        <w:rPr>
          <w:rFonts w:hint="eastAsia" w:ascii="宋体" w:hAnsi="宋体"/>
          <w:sz w:val="18"/>
          <w:szCs w:val="18"/>
        </w:rPr>
        <w:t>2.供应商必须据实填写，不得虚假响应，否则将取消其磋商或成交资格，并按有关规定进处罚。</w:t>
      </w:r>
    </w:p>
    <w:p>
      <w:pPr>
        <w:pStyle w:val="3"/>
        <w:rPr>
          <w:rFonts w:ascii="宋体" w:hAnsi="宋体" w:cs="宋体"/>
        </w:rPr>
      </w:pPr>
    </w:p>
    <w:p>
      <w:pPr>
        <w:rPr>
          <w:rFonts w:ascii="宋体" w:hAnsi="宋体" w:cs="宋体"/>
        </w:rPr>
      </w:pPr>
    </w:p>
    <w:p>
      <w:pPr>
        <w:pStyle w:val="3"/>
        <w:rPr>
          <w:rFonts w:ascii="宋体" w:hAnsi="宋体" w:cs="宋体"/>
        </w:rPr>
      </w:pPr>
    </w:p>
    <w:p>
      <w:pPr>
        <w:rPr>
          <w:rFonts w:ascii="宋体" w:hAnsi="宋体" w:cs="宋体"/>
        </w:rPr>
      </w:pPr>
    </w:p>
    <w:p>
      <w:pPr>
        <w:spacing w:line="600" w:lineRule="auto"/>
        <w:ind w:firstLine="3780" w:firstLineChars="1800"/>
        <w:jc w:val="left"/>
        <w:rPr>
          <w:rFonts w:ascii="宋体" w:hAnsi="宋体" w:cs="宋体"/>
          <w:szCs w:val="21"/>
        </w:rPr>
      </w:pPr>
      <w:r>
        <w:rPr>
          <w:rFonts w:hint="eastAsia" w:ascii="宋体" w:hAnsi="宋体" w:cs="宋体"/>
          <w:szCs w:val="21"/>
        </w:rPr>
        <w:t>供应商名称：（盖章）</w:t>
      </w:r>
    </w:p>
    <w:p>
      <w:pPr>
        <w:spacing w:line="600" w:lineRule="auto"/>
        <w:ind w:firstLine="3780" w:firstLineChars="1800"/>
        <w:jc w:val="left"/>
        <w:rPr>
          <w:rFonts w:ascii="宋体" w:hAnsi="宋体" w:cs="宋体"/>
          <w:szCs w:val="21"/>
        </w:rPr>
      </w:pPr>
      <w:r>
        <w:rPr>
          <w:rFonts w:hint="eastAsia" w:ascii="宋体" w:hAnsi="宋体" w:cs="宋体"/>
          <w:szCs w:val="21"/>
        </w:rPr>
        <w:t>法定代表人或被授权人：(签字或盖章)</w:t>
      </w:r>
    </w:p>
    <w:p>
      <w:pPr>
        <w:spacing w:line="600" w:lineRule="auto"/>
        <w:ind w:firstLine="3780" w:firstLineChars="1800"/>
        <w:jc w:val="left"/>
        <w:rPr>
          <w:rFonts w:ascii="宋体" w:hAnsi="宋体" w:cs="宋体"/>
          <w:szCs w:val="21"/>
        </w:rPr>
      </w:pPr>
      <w:r>
        <w:rPr>
          <w:rFonts w:hint="eastAsia" w:ascii="宋体" w:hAnsi="宋体" w:cs="宋体"/>
          <w:szCs w:val="21"/>
        </w:rPr>
        <w:t>日      期：  年   月     日</w:t>
      </w:r>
    </w:p>
    <w:p>
      <w:pPr>
        <w:pStyle w:val="3"/>
        <w:rPr>
          <w:rFonts w:ascii="宋体" w:hAnsi="宋体" w:cs="宋体"/>
        </w:rPr>
      </w:pPr>
    </w:p>
    <w:p>
      <w:pPr>
        <w:rPr>
          <w:rFonts w:ascii="宋体" w:hAnsi="宋体" w:cs="宋体"/>
        </w:rPr>
      </w:pPr>
    </w:p>
    <w:p>
      <w:pPr>
        <w:pStyle w:val="3"/>
        <w:rPr>
          <w:rFonts w:ascii="宋体" w:hAnsi="宋体" w:cs="宋体"/>
        </w:rPr>
      </w:pPr>
    </w:p>
    <w:p>
      <w:pPr>
        <w:pStyle w:val="7"/>
        <w:spacing w:before="0" w:after="0" w:line="416" w:lineRule="auto"/>
        <w:jc w:val="center"/>
        <w:outlineLvl w:val="0"/>
        <w:rPr>
          <w:rFonts w:hint="default" w:ascii="宋体" w:hAnsi="宋体" w:eastAsia="黑体" w:cs="宋体"/>
          <w:color w:val="000000"/>
          <w:lang w:val="en-US" w:eastAsia="zh-CN"/>
        </w:rPr>
      </w:pPr>
      <w:bookmarkStart w:id="532" w:name="_Toc1716"/>
      <w:bookmarkStart w:id="533" w:name="_Toc29943"/>
      <w:bookmarkStart w:id="534" w:name="_Toc29587"/>
      <w:bookmarkStart w:id="535" w:name="_Toc7524514"/>
      <w:r>
        <w:rPr>
          <w:rFonts w:hint="eastAsia" w:ascii="宋体" w:hAnsi="宋体" w:cs="宋体"/>
          <w:color w:val="000000"/>
        </w:rPr>
        <w:br w:type="page"/>
      </w:r>
      <w:bookmarkEnd w:id="526"/>
      <w:bookmarkEnd w:id="527"/>
      <w:bookmarkEnd w:id="528"/>
      <w:bookmarkEnd w:id="529"/>
      <w:bookmarkEnd w:id="530"/>
      <w:bookmarkEnd w:id="531"/>
      <w:bookmarkEnd w:id="532"/>
      <w:bookmarkEnd w:id="533"/>
      <w:bookmarkEnd w:id="534"/>
      <w:bookmarkEnd w:id="535"/>
      <w:bookmarkStart w:id="536" w:name="_Toc174"/>
      <w:bookmarkStart w:id="537" w:name="_Toc14807"/>
      <w:bookmarkStart w:id="538" w:name="_Toc12086"/>
      <w:bookmarkStart w:id="539" w:name="_Toc30532"/>
      <w:bookmarkStart w:id="540" w:name="_Toc17101"/>
      <w:bookmarkStart w:id="541" w:name="_Toc29702"/>
      <w:bookmarkStart w:id="542" w:name="_Toc66"/>
      <w:bookmarkStart w:id="543" w:name="_Toc25033"/>
      <w:bookmarkStart w:id="544" w:name="_Toc17274"/>
      <w:bookmarkStart w:id="545" w:name="_Toc26829"/>
      <w:bookmarkStart w:id="546" w:name="_Toc612"/>
      <w:bookmarkStart w:id="547" w:name="_Toc1983"/>
      <w:bookmarkStart w:id="548" w:name="_Toc491509449"/>
      <w:bookmarkStart w:id="549" w:name="_Toc17682"/>
      <w:bookmarkStart w:id="550" w:name="_Toc19680"/>
      <w:r>
        <w:rPr>
          <w:rFonts w:hint="eastAsia" w:ascii="宋体" w:hAnsi="宋体" w:cs="宋体"/>
          <w:color w:val="000000"/>
        </w:rPr>
        <w:t>六、</w:t>
      </w:r>
      <w:r>
        <w:rPr>
          <w:rFonts w:hint="eastAsia" w:ascii="宋体" w:hAnsi="宋体" w:cs="宋体"/>
          <w:color w:val="000000"/>
          <w:lang w:val="en-US" w:eastAsia="zh-CN"/>
        </w:rPr>
        <w:t>技术响应偏离表</w:t>
      </w:r>
    </w:p>
    <w:p>
      <w:pPr>
        <w:spacing w:line="360" w:lineRule="auto"/>
        <w:rPr>
          <w:rFonts w:ascii="宋体" w:hAnsi="宋体" w:cs="宋体"/>
          <w:szCs w:val="21"/>
          <w:u w:val="single"/>
        </w:rPr>
      </w:pPr>
      <w:r>
        <w:rPr>
          <w:rFonts w:hint="eastAsia" w:ascii="宋体" w:hAnsi="宋体" w:cs="宋体"/>
          <w:sz w:val="24"/>
        </w:rPr>
        <w:t>供</w:t>
      </w:r>
      <w:r>
        <w:rPr>
          <w:rFonts w:hint="eastAsia" w:ascii="宋体" w:hAnsi="宋体" w:cs="宋体"/>
          <w:szCs w:val="21"/>
        </w:rPr>
        <w:t>应商名称：</w:t>
      </w:r>
      <w:r>
        <w:rPr>
          <w:rFonts w:hint="eastAsia" w:ascii="宋体" w:hAnsi="宋体" w:cs="宋体"/>
          <w:szCs w:val="21"/>
          <w:u w:val="single"/>
        </w:rPr>
        <w:t xml:space="preserve">                   </w:t>
      </w:r>
      <w:r>
        <w:rPr>
          <w:rFonts w:hint="eastAsia" w:ascii="宋体" w:hAnsi="宋体" w:cs="宋体"/>
          <w:szCs w:val="21"/>
        </w:rPr>
        <w:t xml:space="preserve">                采购项目编号：</w:t>
      </w:r>
      <w:r>
        <w:rPr>
          <w:rFonts w:hint="eastAsia" w:ascii="宋体" w:hAnsi="宋体" w:cs="宋体"/>
          <w:szCs w:val="21"/>
          <w:u w:val="single"/>
        </w:rPr>
        <w:t xml:space="preserve">                      </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6"/>
        <w:gridCol w:w="2775"/>
        <w:gridCol w:w="2264"/>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46"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2775" w:type="dxa"/>
            <w:vAlign w:val="center"/>
          </w:tcPr>
          <w:p>
            <w:pPr>
              <w:spacing w:line="360" w:lineRule="auto"/>
              <w:jc w:val="center"/>
              <w:rPr>
                <w:rFonts w:ascii="宋体" w:hAnsi="宋体" w:cs="宋体"/>
                <w:b/>
                <w:bCs/>
                <w:szCs w:val="21"/>
              </w:rPr>
            </w:pPr>
            <w:r>
              <w:rPr>
                <w:rFonts w:hint="eastAsia" w:ascii="宋体" w:hAnsi="宋体" w:cs="宋体"/>
                <w:b/>
                <w:bCs/>
                <w:szCs w:val="21"/>
              </w:rPr>
              <w:t>磋商文件</w:t>
            </w:r>
          </w:p>
          <w:p>
            <w:pPr>
              <w:spacing w:line="360" w:lineRule="auto"/>
              <w:jc w:val="center"/>
              <w:rPr>
                <w:rFonts w:ascii="宋体" w:hAnsi="宋体" w:cs="宋体"/>
                <w:b/>
                <w:bCs/>
                <w:szCs w:val="21"/>
              </w:rPr>
            </w:pPr>
            <w:r>
              <w:rPr>
                <w:rFonts w:hint="eastAsia" w:ascii="宋体" w:hAnsi="宋体" w:cs="宋体"/>
                <w:b/>
                <w:bCs/>
                <w:szCs w:val="21"/>
                <w:lang w:val="en-US" w:eastAsia="zh-CN"/>
              </w:rPr>
              <w:t>技术</w:t>
            </w:r>
            <w:r>
              <w:rPr>
                <w:rFonts w:hint="eastAsia" w:ascii="宋体" w:hAnsi="宋体" w:cs="宋体"/>
                <w:b/>
                <w:bCs/>
                <w:szCs w:val="21"/>
              </w:rPr>
              <w:t>条款要求</w:t>
            </w:r>
          </w:p>
        </w:tc>
        <w:tc>
          <w:tcPr>
            <w:tcW w:w="2264" w:type="dxa"/>
            <w:vAlign w:val="center"/>
          </w:tcPr>
          <w:p>
            <w:pPr>
              <w:spacing w:line="360" w:lineRule="auto"/>
              <w:jc w:val="center"/>
              <w:rPr>
                <w:rFonts w:ascii="宋体" w:hAnsi="宋体" w:cs="宋体"/>
                <w:b/>
                <w:bCs/>
                <w:szCs w:val="21"/>
              </w:rPr>
            </w:pPr>
            <w:r>
              <w:rPr>
                <w:rFonts w:hint="eastAsia" w:ascii="宋体" w:hAnsi="宋体" w:cs="宋体"/>
                <w:b/>
                <w:bCs/>
                <w:szCs w:val="21"/>
              </w:rPr>
              <w:t>响应文件</w:t>
            </w:r>
          </w:p>
          <w:p>
            <w:pPr>
              <w:spacing w:line="360" w:lineRule="auto"/>
              <w:jc w:val="center"/>
              <w:rPr>
                <w:rFonts w:ascii="宋体" w:hAnsi="宋体" w:cs="宋体"/>
                <w:b/>
                <w:bCs/>
                <w:szCs w:val="21"/>
              </w:rPr>
            </w:pPr>
            <w:r>
              <w:rPr>
                <w:rFonts w:hint="eastAsia" w:ascii="宋体" w:hAnsi="宋体" w:cs="宋体"/>
                <w:b/>
                <w:bCs/>
                <w:szCs w:val="21"/>
                <w:lang w:val="en-US" w:eastAsia="zh-CN"/>
              </w:rPr>
              <w:t>技术</w:t>
            </w:r>
            <w:r>
              <w:rPr>
                <w:rFonts w:hint="eastAsia" w:ascii="宋体" w:hAnsi="宋体" w:cs="宋体"/>
                <w:b/>
                <w:bCs/>
                <w:szCs w:val="21"/>
              </w:rPr>
              <w:t>条款响应</w:t>
            </w:r>
          </w:p>
        </w:tc>
        <w:tc>
          <w:tcPr>
            <w:tcW w:w="1367" w:type="dxa"/>
            <w:vAlign w:val="center"/>
          </w:tcPr>
          <w:p>
            <w:pPr>
              <w:spacing w:line="360" w:lineRule="auto"/>
              <w:jc w:val="center"/>
              <w:rPr>
                <w:rFonts w:ascii="宋体" w:hAnsi="宋体" w:cs="宋体"/>
                <w:b/>
                <w:bCs/>
                <w:szCs w:val="21"/>
              </w:rPr>
            </w:pPr>
            <w:r>
              <w:rPr>
                <w:rFonts w:hint="eastAsia" w:ascii="宋体" w:hAnsi="宋体" w:cs="宋体"/>
                <w:b/>
                <w:bCs/>
                <w:szCs w:val="21"/>
              </w:rPr>
              <w:t>偏离</w:t>
            </w:r>
          </w:p>
        </w:tc>
        <w:tc>
          <w:tcPr>
            <w:tcW w:w="1440" w:type="dxa"/>
            <w:vAlign w:val="center"/>
          </w:tcPr>
          <w:p>
            <w:pPr>
              <w:spacing w:line="360" w:lineRule="auto"/>
              <w:jc w:val="center"/>
              <w:rPr>
                <w:rFonts w:ascii="宋体" w:hAnsi="宋体" w:cs="宋体"/>
                <w:b/>
                <w:bCs/>
                <w:szCs w:val="21"/>
              </w:rPr>
            </w:pPr>
            <w:r>
              <w:rPr>
                <w:rFonts w:hint="eastAsia" w:ascii="宋体" w:hAnsi="宋体" w:cs="宋体"/>
                <w:b/>
                <w:bCs/>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6" w:type="dxa"/>
            <w:vAlign w:val="center"/>
          </w:tcPr>
          <w:p>
            <w:pPr>
              <w:spacing w:line="360" w:lineRule="auto"/>
              <w:jc w:val="center"/>
              <w:rPr>
                <w:rFonts w:ascii="宋体" w:hAnsi="宋体" w:cs="宋体"/>
                <w:szCs w:val="21"/>
              </w:rPr>
            </w:pPr>
          </w:p>
        </w:tc>
        <w:tc>
          <w:tcPr>
            <w:tcW w:w="2775" w:type="dxa"/>
            <w:vAlign w:val="center"/>
          </w:tcPr>
          <w:p>
            <w:pPr>
              <w:spacing w:line="360" w:lineRule="auto"/>
              <w:jc w:val="center"/>
              <w:rPr>
                <w:rFonts w:ascii="宋体" w:hAnsi="宋体" w:cs="宋体"/>
                <w:szCs w:val="21"/>
              </w:rPr>
            </w:pPr>
          </w:p>
        </w:tc>
        <w:tc>
          <w:tcPr>
            <w:tcW w:w="2264" w:type="dxa"/>
            <w:vAlign w:val="center"/>
          </w:tcPr>
          <w:p>
            <w:pPr>
              <w:spacing w:line="360" w:lineRule="auto"/>
              <w:jc w:val="center"/>
              <w:rPr>
                <w:rFonts w:ascii="宋体" w:hAnsi="宋体" w:cs="宋体"/>
                <w:szCs w:val="21"/>
              </w:rPr>
            </w:pPr>
          </w:p>
        </w:tc>
        <w:tc>
          <w:tcPr>
            <w:tcW w:w="1367" w:type="dxa"/>
            <w:vAlign w:val="center"/>
          </w:tcPr>
          <w:p>
            <w:pPr>
              <w:spacing w:line="360" w:lineRule="auto"/>
              <w:jc w:val="center"/>
              <w:rPr>
                <w:rFonts w:ascii="宋体" w:hAnsi="宋体" w:cs="宋体"/>
                <w:szCs w:val="21"/>
              </w:rPr>
            </w:pPr>
          </w:p>
        </w:tc>
        <w:tc>
          <w:tcPr>
            <w:tcW w:w="1440" w:type="dxa"/>
            <w:vAlign w:val="center"/>
          </w:tcPr>
          <w:p>
            <w:pPr>
              <w:spacing w:line="360" w:lineRule="auto"/>
              <w:jc w:val="center"/>
              <w:rPr>
                <w:rFonts w:ascii="宋体" w:hAnsi="宋体" w:cs="宋体"/>
                <w:szCs w:val="21"/>
              </w:rPr>
            </w:pPr>
          </w:p>
        </w:tc>
      </w:tr>
    </w:tbl>
    <w:p>
      <w:pPr>
        <w:rPr>
          <w:rFonts w:ascii="宋体" w:hAnsi="宋体" w:cs="宋体"/>
        </w:rPr>
      </w:pPr>
    </w:p>
    <w:p>
      <w:pPr>
        <w:ind w:left="360" w:right="-197" w:rightChars="-94" w:hanging="360" w:hangingChars="200"/>
        <w:jc w:val="left"/>
        <w:rPr>
          <w:rFonts w:ascii="宋体" w:hAnsi="宋体"/>
          <w:sz w:val="18"/>
          <w:szCs w:val="18"/>
        </w:rPr>
      </w:pPr>
      <w:r>
        <w:rPr>
          <w:rFonts w:hint="eastAsia" w:ascii="宋体" w:hAnsi="宋体"/>
          <w:sz w:val="18"/>
          <w:szCs w:val="18"/>
        </w:rPr>
        <w:t>注：1.本表只填写磋商响应文件中与磋商文件有偏离（包括正偏离和负偏离）的内容，磋商响应文件中合同主要条款响应与磋商文件要求完全一致的，不用在此表中列出，但必须提交空白表。</w:t>
      </w:r>
    </w:p>
    <w:p>
      <w:pPr>
        <w:tabs>
          <w:tab w:val="left" w:pos="7665"/>
        </w:tabs>
        <w:ind w:right="-197" w:rightChars="-94" w:firstLine="360" w:firstLineChars="200"/>
        <w:jc w:val="left"/>
        <w:rPr>
          <w:rFonts w:ascii="宋体" w:hAnsi="宋体"/>
          <w:sz w:val="18"/>
          <w:szCs w:val="18"/>
        </w:rPr>
      </w:pPr>
      <w:r>
        <w:rPr>
          <w:rFonts w:hint="eastAsia" w:ascii="宋体" w:hAnsi="宋体"/>
          <w:sz w:val="18"/>
          <w:szCs w:val="18"/>
        </w:rPr>
        <w:t>2.供应商必须据实填写，不得虚假响应，否则将取消其磋商或成交资格，并按有关规定进处罚。</w:t>
      </w:r>
    </w:p>
    <w:p>
      <w:pPr>
        <w:pStyle w:val="3"/>
        <w:rPr>
          <w:rFonts w:ascii="宋体" w:hAnsi="宋体" w:cs="宋体"/>
        </w:rPr>
      </w:pPr>
    </w:p>
    <w:p>
      <w:pPr>
        <w:rPr>
          <w:rFonts w:ascii="宋体" w:hAnsi="宋体" w:cs="宋体"/>
        </w:rPr>
      </w:pPr>
    </w:p>
    <w:p>
      <w:pPr>
        <w:pStyle w:val="3"/>
        <w:rPr>
          <w:rFonts w:ascii="宋体" w:hAnsi="宋体" w:cs="宋体"/>
        </w:rPr>
      </w:pPr>
    </w:p>
    <w:p>
      <w:pPr>
        <w:rPr>
          <w:rFonts w:ascii="宋体" w:hAnsi="宋体" w:cs="宋体"/>
        </w:rPr>
      </w:pPr>
    </w:p>
    <w:p>
      <w:pPr>
        <w:spacing w:line="600" w:lineRule="auto"/>
        <w:ind w:firstLine="3780" w:firstLineChars="1800"/>
        <w:jc w:val="left"/>
        <w:rPr>
          <w:rFonts w:ascii="宋体" w:hAnsi="宋体" w:cs="宋体"/>
          <w:szCs w:val="21"/>
        </w:rPr>
      </w:pPr>
      <w:r>
        <w:rPr>
          <w:rFonts w:hint="eastAsia" w:ascii="宋体" w:hAnsi="宋体" w:cs="宋体"/>
          <w:szCs w:val="21"/>
        </w:rPr>
        <w:t>供应商名称：（盖章）</w:t>
      </w:r>
    </w:p>
    <w:p>
      <w:pPr>
        <w:spacing w:line="600" w:lineRule="auto"/>
        <w:ind w:firstLine="3780" w:firstLineChars="1800"/>
        <w:jc w:val="left"/>
        <w:rPr>
          <w:rFonts w:ascii="宋体" w:hAnsi="宋体" w:cs="宋体"/>
          <w:szCs w:val="21"/>
        </w:rPr>
      </w:pPr>
      <w:r>
        <w:rPr>
          <w:rFonts w:hint="eastAsia" w:ascii="宋体" w:hAnsi="宋体" w:cs="宋体"/>
          <w:szCs w:val="21"/>
        </w:rPr>
        <w:t>法定代表人或被授权人：(签字或盖章)</w:t>
      </w:r>
    </w:p>
    <w:p>
      <w:pPr>
        <w:spacing w:line="600" w:lineRule="auto"/>
        <w:ind w:firstLine="3780" w:firstLineChars="1800"/>
        <w:jc w:val="left"/>
        <w:rPr>
          <w:rFonts w:ascii="宋体" w:hAnsi="宋体" w:cs="宋体"/>
          <w:szCs w:val="21"/>
        </w:rPr>
      </w:pPr>
      <w:r>
        <w:rPr>
          <w:rFonts w:hint="eastAsia" w:ascii="宋体" w:hAnsi="宋体" w:cs="宋体"/>
          <w:szCs w:val="21"/>
        </w:rPr>
        <w:t>日      期：  年   月     日</w:t>
      </w:r>
    </w:p>
    <w:p>
      <w:pPr>
        <w:rPr>
          <w:rFonts w:hint="eastAsia" w:ascii="宋体" w:hAnsi="宋体" w:cs="宋体"/>
          <w:color w:val="000000"/>
        </w:rPr>
      </w:pPr>
      <w:r>
        <w:rPr>
          <w:rFonts w:hint="eastAsia" w:ascii="宋体" w:hAnsi="宋体" w:cs="宋体"/>
          <w:color w:val="000000"/>
        </w:rPr>
        <w:br w:type="page"/>
      </w:r>
    </w:p>
    <w:p>
      <w:pPr>
        <w:pStyle w:val="7"/>
        <w:spacing w:before="0" w:after="0" w:line="416" w:lineRule="auto"/>
        <w:ind w:left="3803"/>
        <w:jc w:val="left"/>
        <w:outlineLvl w:val="0"/>
        <w:rPr>
          <w:rFonts w:ascii="宋体" w:hAnsi="宋体" w:eastAsia="宋体" w:cs="宋体"/>
        </w:rPr>
      </w:pPr>
      <w:r>
        <w:rPr>
          <w:rFonts w:hint="eastAsia" w:ascii="宋体" w:hAnsi="宋体" w:eastAsia="宋体" w:cs="宋体"/>
          <w:lang w:val="en-US" w:eastAsia="zh-CN"/>
        </w:rPr>
        <w:t>七、</w:t>
      </w:r>
      <w:r>
        <w:rPr>
          <w:rFonts w:hint="eastAsia" w:ascii="宋体" w:hAnsi="宋体" w:eastAsia="宋体" w:cs="宋体"/>
        </w:rPr>
        <w:t>业绩</w:t>
      </w:r>
      <w:bookmarkEnd w:id="536"/>
      <w:bookmarkEnd w:id="537"/>
      <w:bookmarkEnd w:id="538"/>
      <w:bookmarkEnd w:id="539"/>
      <w:bookmarkEnd w:id="540"/>
      <w:bookmarkEnd w:id="541"/>
      <w:bookmarkEnd w:id="542"/>
      <w:bookmarkEnd w:id="543"/>
      <w:bookmarkEnd w:id="544"/>
      <w:bookmarkEnd w:id="545"/>
      <w:bookmarkEnd w:id="546"/>
    </w:p>
    <w:p>
      <w:pPr>
        <w:ind w:firstLine="1807" w:firstLineChars="600"/>
        <w:jc w:val="left"/>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（根据</w:t>
      </w:r>
      <w:r>
        <w:rPr>
          <w:rFonts w:hint="eastAsia" w:asciiTheme="majorEastAsia" w:hAnsiTheme="majorEastAsia" w:eastAsiaTheme="majorEastAsia" w:cstheme="majorEastAsia"/>
          <w:b/>
          <w:bCs/>
          <w:sz w:val="30"/>
          <w:szCs w:val="30"/>
          <w:lang w:eastAsia="zh-CN"/>
        </w:rPr>
        <w:t>磋商文件</w:t>
      </w:r>
      <w:r>
        <w:rPr>
          <w:rFonts w:hint="eastAsia" w:asciiTheme="majorEastAsia" w:hAnsiTheme="majorEastAsia" w:eastAsiaTheme="majorEastAsia" w:cstheme="majorEastAsia"/>
          <w:b/>
          <w:bCs/>
          <w:sz w:val="30"/>
          <w:szCs w:val="30"/>
        </w:rPr>
        <w:t>要求编制，格式自拟）</w:t>
      </w:r>
      <w:bookmarkEnd w:id="547"/>
      <w:bookmarkEnd w:id="548"/>
      <w:bookmarkEnd w:id="549"/>
      <w:bookmarkEnd w:id="550"/>
      <w:bookmarkStart w:id="551" w:name="_Toc283240500"/>
      <w:bookmarkStart w:id="552" w:name="_Toc311415661"/>
      <w:bookmarkStart w:id="553" w:name="_Toc3067"/>
      <w:bookmarkStart w:id="554" w:name="_Toc332874432"/>
      <w:bookmarkStart w:id="555" w:name="_Toc448264259"/>
      <w:bookmarkStart w:id="556" w:name="_Toc7524516"/>
      <w:bookmarkStart w:id="557" w:name="_Toc20213"/>
      <w:bookmarkStart w:id="558" w:name="_Toc4021"/>
      <w:bookmarkStart w:id="559" w:name="_Toc19399"/>
      <w:bookmarkStart w:id="560" w:name="_Toc491509452"/>
      <w:bookmarkStart w:id="561" w:name="_Toc32095"/>
    </w:p>
    <w:p>
      <w:r>
        <w:rPr>
          <w:rFonts w:hint="eastAsia" w:asciiTheme="majorEastAsia" w:hAnsiTheme="majorEastAsia" w:eastAsiaTheme="majorEastAsia" w:cstheme="majorEastAsia"/>
          <w:b/>
          <w:bCs/>
          <w:sz w:val="30"/>
          <w:szCs w:val="30"/>
        </w:rPr>
        <w:br w:type="page"/>
      </w:r>
    </w:p>
    <w:bookmarkEnd w:id="551"/>
    <w:bookmarkEnd w:id="552"/>
    <w:bookmarkEnd w:id="553"/>
    <w:bookmarkEnd w:id="554"/>
    <w:bookmarkEnd w:id="555"/>
    <w:p>
      <w:pPr>
        <w:pStyle w:val="7"/>
        <w:spacing w:before="0" w:after="0" w:line="416" w:lineRule="auto"/>
        <w:jc w:val="center"/>
        <w:outlineLvl w:val="0"/>
        <w:rPr>
          <w:rFonts w:ascii="宋体" w:hAnsi="宋体" w:eastAsia="宋体" w:cs="宋体"/>
          <w:highlight w:val="none"/>
        </w:rPr>
      </w:pPr>
      <w:bookmarkStart w:id="562" w:name="_Toc9673"/>
      <w:bookmarkStart w:id="563" w:name="_Toc26113"/>
      <w:bookmarkStart w:id="564" w:name="_Toc1403"/>
      <w:bookmarkStart w:id="565" w:name="_Toc22014"/>
      <w:bookmarkStart w:id="566" w:name="_Toc12110"/>
      <w:bookmarkStart w:id="567" w:name="_Toc22787"/>
      <w:bookmarkStart w:id="568" w:name="_Toc9741"/>
      <w:r>
        <w:rPr>
          <w:rFonts w:hint="eastAsia" w:ascii="宋体" w:hAnsi="宋体" w:eastAsia="宋体" w:cs="宋体"/>
          <w:highlight w:val="none"/>
          <w:lang w:val="en-US" w:eastAsia="zh-CN"/>
        </w:rPr>
        <w:t>八</w:t>
      </w:r>
      <w:r>
        <w:rPr>
          <w:rFonts w:hint="eastAsia" w:ascii="宋体" w:hAnsi="宋体" w:eastAsia="宋体" w:cs="宋体"/>
          <w:highlight w:val="none"/>
        </w:rPr>
        <w:t>、供应商资格证明文件</w:t>
      </w:r>
      <w:bookmarkEnd w:id="556"/>
      <w:bookmarkEnd w:id="562"/>
      <w:bookmarkEnd w:id="563"/>
      <w:bookmarkEnd w:id="564"/>
      <w:bookmarkEnd w:id="565"/>
      <w:bookmarkEnd w:id="566"/>
      <w:bookmarkEnd w:id="567"/>
      <w:bookmarkEnd w:id="568"/>
    </w:p>
    <w:bookmarkEnd w:id="513"/>
    <w:bookmarkEnd w:id="514"/>
    <w:bookmarkEnd w:id="515"/>
    <w:bookmarkEnd w:id="516"/>
    <w:bookmarkEnd w:id="517"/>
    <w:bookmarkEnd w:id="557"/>
    <w:bookmarkEnd w:id="558"/>
    <w:bookmarkEnd w:id="559"/>
    <w:bookmarkEnd w:id="560"/>
    <w:bookmarkEnd w:id="561"/>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(2)提供2021年度经审计的财务报告，或磋商前三个月内公司存款账户开户银行出具的资信证明，或信用担保机构出具的投标担保函（以上三种形式的资料提供任何一种即可）；</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(3)提供2021年1月至今任意一个月已缴纳完税凭证或税务机关开具的完税证明（任意税种）；依法免税的应提供相关文件证明；</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(4)提供2021年1月至今任意一个月已缴纳的社会保障资金缴存单据或社保机构开具的社会保险参保缴费情况证明；依法不需要缴纳社会保障资金的应提供相关文件证明；</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(5)具备履行合同所必需的设备和专业技术能力的证明材料(由供应商根据项目需求提供说明材料或者承诺)；</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(6)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(7)参加政府采购活动前3年内，在经营活动中没有重大违法记录；</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(8)代理机构将通过“信用中国”网站（www.creditchina.gov.cn）和中国政府采购网（www.ccgp.gov.cn）查询供应商信用记录，被列入失信被执行人、重大税收违法案件当事人名单、政府采购严重违法失信行为记录名单的单位将被拒绝参与本项目投标；</w:t>
      </w:r>
    </w:p>
    <w:p>
      <w:pPr>
        <w:pStyle w:val="14"/>
        <w:spacing w:line="360" w:lineRule="auto"/>
        <w:ind w:firstLine="420" w:firstLineChars="200"/>
        <w:jc w:val="left"/>
        <w:rPr>
          <w:rFonts w:hint="default" w:hAnsi="宋体" w:cs="宋体"/>
          <w:color w:val="000000"/>
          <w:highlight w:val="none"/>
          <w:lang w:val="en-US" w:eastAsia="zh-CN"/>
        </w:rPr>
      </w:pPr>
      <w:r>
        <w:rPr>
          <w:rFonts w:hint="default" w:hAnsi="宋体" w:cs="宋体"/>
          <w:color w:val="000000"/>
          <w:highlight w:val="none"/>
          <w:lang w:val="en-US" w:eastAsia="zh-CN"/>
        </w:rPr>
        <w:t>(9)本项目不接受联合体磋商。单位负责人为同一人或者存在控股、管理关系的不同供应商不得参加同一合同项下政府采购活动；与采购人存在利害关系可能影响磋商公正性的法人、其他组织或者个人不得参加同一合同项下政府采购活动。</w:t>
      </w:r>
    </w:p>
    <w:p>
      <w:pPr>
        <w:ind w:firstLine="361" w:firstLineChars="200"/>
        <w:rPr>
          <w:rFonts w:ascii="宋体" w:hAnsi="宋体" w:cs="宋体"/>
          <w:b/>
          <w:bCs/>
          <w:sz w:val="18"/>
          <w:szCs w:val="18"/>
        </w:rPr>
      </w:pPr>
    </w:p>
    <w:p>
      <w:pPr>
        <w:spacing w:line="360" w:lineRule="auto"/>
        <w:ind w:firstLine="361" w:firstLineChars="200"/>
        <w:rPr>
          <w:rFonts w:ascii="宋体" w:hAnsi="宋体" w:cs="宋体"/>
          <w:sz w:val="18"/>
          <w:szCs w:val="18"/>
        </w:rPr>
      </w:pPr>
      <w:r>
        <w:rPr>
          <w:rFonts w:hint="eastAsia" w:ascii="宋体" w:hAnsi="宋体" w:cs="宋体"/>
          <w:b/>
          <w:bCs/>
          <w:sz w:val="18"/>
          <w:szCs w:val="18"/>
        </w:rPr>
        <w:t>备注：以上均为必备资格，响应文件的正本和全部副本必须各附一套加盖单位红色公章的复印件（其中正本中的法定代表人授权书为原件）。缺少其中一项或某项达不到磋商文件要求，均视为无效。</w:t>
      </w:r>
    </w:p>
    <w:p>
      <w:pPr>
        <w:pStyle w:val="7"/>
        <w:adjustRightInd w:val="0"/>
        <w:spacing w:before="0" w:after="0" w:line="416" w:lineRule="atLeast"/>
        <w:textAlignment w:val="baseline"/>
        <w:outlineLvl w:val="0"/>
        <w:rPr>
          <w:rFonts w:ascii="宋体" w:hAnsi="宋体" w:eastAsia="宋体" w:cs="宋体"/>
        </w:rPr>
      </w:pPr>
      <w:bookmarkStart w:id="569" w:name="_Toc32302"/>
      <w:bookmarkStart w:id="570" w:name="_Toc53"/>
      <w:bookmarkStart w:id="571" w:name="_Toc28068"/>
      <w:bookmarkStart w:id="572" w:name="_Toc28950"/>
      <w:r>
        <w:rPr>
          <w:rFonts w:hint="eastAsia" w:ascii="宋体" w:hAnsi="宋体" w:eastAsia="宋体" w:cs="宋体"/>
        </w:rPr>
        <w:br w:type="page"/>
      </w:r>
      <w:bookmarkEnd w:id="569"/>
      <w:bookmarkEnd w:id="570"/>
      <w:bookmarkEnd w:id="571"/>
      <w:bookmarkStart w:id="573" w:name="_Toc29671"/>
      <w:bookmarkStart w:id="574" w:name="_Toc20104"/>
      <w:bookmarkStart w:id="575" w:name="_Toc7395"/>
      <w:bookmarkStart w:id="576" w:name="_Toc6826"/>
      <w:bookmarkStart w:id="577" w:name="_Toc31213"/>
      <w:bookmarkStart w:id="578" w:name="_Toc28938"/>
      <w:bookmarkStart w:id="579" w:name="_Toc18670"/>
      <w:bookmarkStart w:id="580" w:name="_Toc8016"/>
      <w:bookmarkStart w:id="581" w:name="_Toc31350"/>
      <w:bookmarkStart w:id="582" w:name="_Toc5031"/>
      <w:bookmarkStart w:id="583" w:name="_Toc21154"/>
      <w:bookmarkStart w:id="584" w:name="_Toc22371"/>
      <w:bookmarkStart w:id="585" w:name="_Toc25774"/>
      <w:bookmarkStart w:id="586" w:name="_Toc7524517"/>
      <w:r>
        <w:rPr>
          <w:rFonts w:hint="eastAsia" w:ascii="宋体" w:hAnsi="宋体" w:eastAsia="宋体" w:cs="宋体"/>
          <w:sz w:val="28"/>
          <w:szCs w:val="28"/>
        </w:rPr>
        <w:t>附件1：   履行合同所必需的设备和专业技术能力的说明及承诺</w:t>
      </w:r>
      <w:bookmarkEnd w:id="573"/>
      <w:bookmarkEnd w:id="574"/>
      <w:bookmarkEnd w:id="575"/>
      <w:bookmarkEnd w:id="576"/>
      <w:bookmarkEnd w:id="577"/>
      <w:bookmarkEnd w:id="578"/>
      <w:bookmarkEnd w:id="579"/>
      <w:bookmarkEnd w:id="580"/>
      <w:bookmarkEnd w:id="581"/>
      <w:bookmarkEnd w:id="582"/>
    </w:p>
    <w:p>
      <w:pPr>
        <w:numPr>
          <w:ins w:id="0" w:author="admin" w:date="2018-08-17T19:18:00Z"/>
        </w:numPr>
        <w:spacing w:line="360" w:lineRule="auto"/>
        <w:rPr>
          <w:rFonts w:ascii="宋体" w:hAnsi="宋体" w:cs="宋体"/>
        </w:rPr>
      </w:pPr>
    </w:p>
    <w:p>
      <w:pPr>
        <w:numPr>
          <w:ins w:id="1" w:author="admin" w:date="1901-01-01T00:00:00Z"/>
        </w:numPr>
        <w:spacing w:line="480" w:lineRule="auto"/>
        <w:rPr>
          <w:rFonts w:ascii="宋体" w:hAnsi="宋体" w:cs="宋体"/>
          <w:spacing w:val="4"/>
          <w:szCs w:val="21"/>
          <w:u w:val="single"/>
        </w:rPr>
      </w:pPr>
      <w:r>
        <w:rPr>
          <w:rFonts w:hint="eastAsia" w:ascii="宋体" w:hAnsi="宋体" w:cs="宋体"/>
          <w:spacing w:val="4"/>
          <w:szCs w:val="21"/>
          <w:u w:val="single"/>
        </w:rPr>
        <w:t xml:space="preserve">   （采购人名称）    ：</w:t>
      </w:r>
    </w:p>
    <w:p>
      <w:pPr>
        <w:numPr>
          <w:ins w:id="2" w:author="admin" w:date="1901-01-01T00:00:00Z"/>
        </w:numPr>
        <w:spacing w:before="240" w:beforeLines="100" w:after="120" w:afterLines="50" w:line="480" w:lineRule="auto"/>
        <w:ind w:firstLine="545" w:firstLineChars="250"/>
        <w:rPr>
          <w:rFonts w:ascii="宋体" w:hAnsi="宋体" w:cs="宋体"/>
          <w:spacing w:val="4"/>
          <w:szCs w:val="21"/>
        </w:rPr>
      </w:pPr>
      <w:r>
        <w:rPr>
          <w:rFonts w:hint="eastAsia" w:ascii="宋体" w:hAnsi="宋体" w:cs="宋体"/>
          <w:spacing w:val="4"/>
          <w:szCs w:val="21"/>
          <w:u w:val="single"/>
        </w:rPr>
        <w:t xml:space="preserve">   （供应商名称）    </w:t>
      </w:r>
      <w:r>
        <w:rPr>
          <w:rFonts w:hint="eastAsia" w:ascii="宋体" w:hAnsi="宋体" w:cs="宋体"/>
          <w:spacing w:val="4"/>
          <w:szCs w:val="21"/>
        </w:rPr>
        <w:t xml:space="preserve"> 于</w:t>
      </w:r>
      <w:r>
        <w:rPr>
          <w:rFonts w:hint="eastAsia" w:ascii="宋体" w:hAnsi="宋体" w:cs="宋体"/>
          <w:spacing w:val="4"/>
          <w:szCs w:val="21"/>
          <w:u w:val="single"/>
        </w:rPr>
        <w:t xml:space="preserve">     </w:t>
      </w:r>
      <w:r>
        <w:rPr>
          <w:rFonts w:hint="eastAsia" w:ascii="宋体" w:hAnsi="宋体" w:cs="宋体"/>
          <w:spacing w:val="4"/>
          <w:szCs w:val="21"/>
        </w:rPr>
        <w:t>年</w:t>
      </w:r>
      <w:r>
        <w:rPr>
          <w:rFonts w:hint="eastAsia" w:ascii="宋体" w:hAnsi="宋体" w:cs="宋体"/>
          <w:spacing w:val="4"/>
          <w:szCs w:val="21"/>
          <w:u w:val="single"/>
        </w:rPr>
        <w:t xml:space="preserve">    </w:t>
      </w:r>
      <w:r>
        <w:rPr>
          <w:rFonts w:hint="eastAsia" w:ascii="宋体" w:hAnsi="宋体" w:cs="宋体"/>
          <w:spacing w:val="4"/>
          <w:szCs w:val="21"/>
        </w:rPr>
        <w:t>月</w:t>
      </w:r>
      <w:r>
        <w:rPr>
          <w:rFonts w:hint="eastAsia" w:ascii="宋体" w:hAnsi="宋体" w:cs="宋体"/>
          <w:spacing w:val="4"/>
          <w:szCs w:val="21"/>
          <w:u w:val="single"/>
        </w:rPr>
        <w:t xml:space="preserve">   </w:t>
      </w:r>
      <w:r>
        <w:rPr>
          <w:rFonts w:hint="eastAsia" w:ascii="宋体" w:hAnsi="宋体" w:cs="宋体"/>
          <w:spacing w:val="4"/>
          <w:szCs w:val="21"/>
        </w:rPr>
        <w:t>日在中华人民共和国境内</w:t>
      </w:r>
      <w:r>
        <w:rPr>
          <w:rFonts w:hint="eastAsia" w:ascii="宋体" w:hAnsi="宋体" w:cs="宋体"/>
          <w:spacing w:val="4"/>
          <w:szCs w:val="21"/>
          <w:u w:val="single"/>
        </w:rPr>
        <w:t xml:space="preserve">               （详细注册地址）     </w:t>
      </w:r>
      <w:r>
        <w:rPr>
          <w:rFonts w:hint="eastAsia" w:ascii="宋体" w:hAnsi="宋体" w:cs="宋体"/>
          <w:spacing w:val="4"/>
          <w:szCs w:val="21"/>
        </w:rPr>
        <w:t>合法注册并经营，公司主营业务为</w:t>
      </w:r>
      <w:r>
        <w:rPr>
          <w:rFonts w:hint="eastAsia" w:ascii="宋体" w:hAnsi="宋体" w:cs="宋体"/>
          <w:spacing w:val="4"/>
          <w:szCs w:val="21"/>
          <w:u w:val="single"/>
        </w:rPr>
        <w:t xml:space="preserve">                          </w:t>
      </w:r>
      <w:r>
        <w:rPr>
          <w:rFonts w:hint="eastAsia" w:ascii="宋体" w:hAnsi="宋体" w:cs="宋体"/>
          <w:spacing w:val="4"/>
          <w:szCs w:val="21"/>
        </w:rPr>
        <w:t>，营业（生产经营）面积为</w:t>
      </w:r>
      <w:r>
        <w:rPr>
          <w:rFonts w:hint="eastAsia" w:ascii="宋体" w:hAnsi="宋体" w:cs="宋体"/>
          <w:spacing w:val="4"/>
          <w:szCs w:val="21"/>
          <w:u w:val="single"/>
        </w:rPr>
        <w:t xml:space="preserve">             </w:t>
      </w:r>
      <w:r>
        <w:rPr>
          <w:rFonts w:hint="eastAsia" w:ascii="宋体" w:hAnsi="宋体" w:cs="宋体"/>
          <w:spacing w:val="4"/>
          <w:szCs w:val="21"/>
        </w:rPr>
        <w:t xml:space="preserve"> ，现有员工数量为</w:t>
      </w:r>
      <w:r>
        <w:rPr>
          <w:rFonts w:hint="eastAsia" w:ascii="宋体" w:hAnsi="宋体" w:cs="宋体"/>
          <w:spacing w:val="4"/>
          <w:szCs w:val="21"/>
          <w:u w:val="single"/>
        </w:rPr>
        <w:t xml:space="preserve">         </w:t>
      </w:r>
      <w:r>
        <w:rPr>
          <w:rFonts w:hint="eastAsia" w:ascii="宋体" w:hAnsi="宋体" w:cs="宋体"/>
          <w:spacing w:val="4"/>
          <w:szCs w:val="21"/>
        </w:rPr>
        <w:t>，其中与履行本合同相关的专业技术人员有（</w:t>
      </w:r>
      <w:r>
        <w:rPr>
          <w:rFonts w:hint="eastAsia" w:ascii="宋体" w:hAnsi="宋体" w:cs="宋体"/>
          <w:spacing w:val="4"/>
          <w:szCs w:val="21"/>
          <w:u w:val="single"/>
        </w:rPr>
        <w:t xml:space="preserve">             专业能力、数量</w:t>
      </w:r>
      <w:r>
        <w:rPr>
          <w:rFonts w:hint="eastAsia" w:ascii="宋体" w:hAnsi="宋体" w:cs="宋体"/>
          <w:spacing w:val="4"/>
          <w:szCs w:val="21"/>
        </w:rPr>
        <w:t>），本公司郑重承诺，具有履行本合同所必需的设备和专业技术能力。</w:t>
      </w:r>
    </w:p>
    <w:p>
      <w:pPr>
        <w:rPr>
          <w:rFonts w:ascii="宋体" w:hAnsi="宋体" w:cs="宋体"/>
        </w:rPr>
      </w:pPr>
    </w:p>
    <w:p>
      <w:pPr>
        <w:pStyle w:val="20"/>
        <w:rPr>
          <w:rFonts w:ascii="宋体" w:hAnsi="宋体" w:cs="宋体"/>
        </w:rPr>
      </w:pPr>
    </w:p>
    <w:p>
      <w:pPr>
        <w:spacing w:line="600" w:lineRule="auto"/>
        <w:ind w:firstLine="3780" w:firstLineChars="1800"/>
        <w:jc w:val="left"/>
        <w:rPr>
          <w:rFonts w:ascii="宋体" w:hAnsi="宋体" w:cs="宋体"/>
          <w:szCs w:val="21"/>
        </w:rPr>
      </w:pPr>
    </w:p>
    <w:p>
      <w:pPr>
        <w:spacing w:line="600" w:lineRule="auto"/>
        <w:ind w:firstLine="3780" w:firstLineChars="1800"/>
        <w:jc w:val="left"/>
        <w:rPr>
          <w:rFonts w:ascii="宋体" w:hAnsi="宋体" w:cs="宋体"/>
          <w:szCs w:val="21"/>
        </w:rPr>
      </w:pPr>
    </w:p>
    <w:p>
      <w:pPr>
        <w:spacing w:line="600" w:lineRule="auto"/>
        <w:ind w:firstLine="3780" w:firstLineChars="1800"/>
        <w:jc w:val="left"/>
        <w:rPr>
          <w:rFonts w:ascii="宋体" w:hAnsi="宋体" w:cs="宋体"/>
          <w:szCs w:val="21"/>
        </w:rPr>
      </w:pPr>
      <w:r>
        <w:rPr>
          <w:rFonts w:hint="eastAsia" w:ascii="宋体" w:hAnsi="宋体" w:cs="宋体"/>
          <w:szCs w:val="21"/>
        </w:rPr>
        <w:t>供应商名称：（盖章）</w:t>
      </w:r>
    </w:p>
    <w:p>
      <w:pPr>
        <w:spacing w:line="600" w:lineRule="auto"/>
        <w:ind w:firstLine="3780" w:firstLineChars="1800"/>
        <w:jc w:val="left"/>
        <w:rPr>
          <w:rFonts w:ascii="宋体" w:hAnsi="宋体" w:cs="宋体"/>
          <w:szCs w:val="21"/>
        </w:rPr>
      </w:pPr>
      <w:r>
        <w:rPr>
          <w:rFonts w:hint="eastAsia" w:ascii="宋体" w:hAnsi="宋体" w:cs="宋体"/>
          <w:szCs w:val="21"/>
        </w:rPr>
        <w:t>法定代表人或被授权人：(签字或盖章)</w:t>
      </w:r>
    </w:p>
    <w:p>
      <w:pPr>
        <w:spacing w:line="600" w:lineRule="auto"/>
        <w:ind w:firstLine="3780" w:firstLineChars="1800"/>
        <w:jc w:val="left"/>
        <w:rPr>
          <w:rFonts w:ascii="宋体" w:hAnsi="宋体" w:cs="宋体"/>
          <w:szCs w:val="21"/>
        </w:rPr>
      </w:pPr>
      <w:r>
        <w:rPr>
          <w:rFonts w:hint="eastAsia" w:ascii="宋体" w:hAnsi="宋体" w:cs="宋体"/>
          <w:szCs w:val="21"/>
        </w:rPr>
        <w:t>日      期：  年   月     日</w:t>
      </w:r>
    </w:p>
    <w:p>
      <w:pPr>
        <w:pStyle w:val="3"/>
        <w:rPr>
          <w:rFonts w:ascii="宋体" w:hAnsi="宋体" w:cs="宋体"/>
        </w:rPr>
      </w:pPr>
    </w:p>
    <w:p>
      <w:pPr>
        <w:rPr>
          <w:rFonts w:ascii="宋体" w:hAnsi="宋体" w:cs="宋体"/>
        </w:rPr>
      </w:pPr>
    </w:p>
    <w:p>
      <w:pPr>
        <w:pStyle w:val="7"/>
        <w:adjustRightInd w:val="0"/>
        <w:spacing w:before="0" w:after="0" w:line="416" w:lineRule="atLeast"/>
        <w:jc w:val="left"/>
        <w:textAlignment w:val="baseline"/>
        <w:outlineLvl w:val="0"/>
        <w:rPr>
          <w:rFonts w:ascii="宋体" w:hAnsi="宋体" w:eastAsia="宋体" w:cs="宋体"/>
        </w:rPr>
      </w:pPr>
      <w:r>
        <w:rPr>
          <w:rFonts w:hint="eastAsia" w:ascii="宋体" w:hAnsi="宋体" w:eastAsia="宋体" w:cs="宋体"/>
        </w:rPr>
        <w:br w:type="page"/>
      </w:r>
      <w:bookmarkStart w:id="587" w:name="_Toc16203"/>
      <w:bookmarkStart w:id="588" w:name="_Toc19874"/>
      <w:bookmarkStart w:id="589" w:name="_Toc22939"/>
      <w:bookmarkStart w:id="590" w:name="_Toc24381"/>
      <w:bookmarkStart w:id="591" w:name="_Toc16522"/>
      <w:bookmarkStart w:id="592" w:name="_Toc17109"/>
      <w:bookmarkStart w:id="593" w:name="_Toc25778"/>
      <w:bookmarkStart w:id="594" w:name="_Toc12215"/>
      <w:bookmarkStart w:id="595" w:name="_Toc18224"/>
      <w:bookmarkStart w:id="596" w:name="_Toc20975"/>
      <w:r>
        <w:rPr>
          <w:rFonts w:hint="eastAsia" w:ascii="宋体" w:hAnsi="宋体" w:eastAsia="宋体" w:cs="宋体"/>
          <w:sz w:val="24"/>
          <w:szCs w:val="24"/>
        </w:rPr>
        <w:t>附件</w:t>
      </w:r>
      <w:bookmarkEnd w:id="587"/>
      <w:bookmarkEnd w:id="588"/>
      <w:bookmarkEnd w:id="589"/>
      <w:bookmarkEnd w:id="590"/>
      <w:bookmarkEnd w:id="591"/>
      <w:bookmarkEnd w:id="592"/>
      <w:bookmarkEnd w:id="593"/>
      <w:r>
        <w:rPr>
          <w:rFonts w:hint="eastAsia" w:ascii="宋体" w:hAnsi="宋体" w:eastAsia="宋体" w:cs="宋体"/>
          <w:sz w:val="24"/>
          <w:szCs w:val="24"/>
        </w:rPr>
        <w:t>2：</w:t>
      </w:r>
      <w:r>
        <w:rPr>
          <w:rFonts w:hint="eastAsia" w:ascii="宋体" w:hAnsi="宋体" w:eastAsia="宋体"/>
          <w:color w:val="333333"/>
          <w:sz w:val="24"/>
        </w:rPr>
        <w:t>参加政府采购活动前3年内，在经营活动中没有重大违法记录的书面说明</w:t>
      </w:r>
      <w:bookmarkEnd w:id="594"/>
      <w:bookmarkEnd w:id="595"/>
      <w:bookmarkEnd w:id="596"/>
    </w:p>
    <w:p>
      <w:pPr>
        <w:rPr>
          <w:rFonts w:ascii="宋体" w:hAnsi="宋体" w:cs="宋体"/>
        </w:rPr>
      </w:pPr>
    </w:p>
    <w:p>
      <w:pPr>
        <w:spacing w:line="480" w:lineRule="auto"/>
        <w:rPr>
          <w:rFonts w:ascii="宋体" w:hAnsi="宋体" w:cs="宋体"/>
          <w:spacing w:val="4"/>
          <w:szCs w:val="21"/>
          <w:u w:val="single"/>
        </w:rPr>
      </w:pPr>
      <w:r>
        <w:rPr>
          <w:rFonts w:hint="eastAsia" w:ascii="宋体" w:hAnsi="宋体" w:cs="宋体"/>
          <w:spacing w:val="4"/>
          <w:szCs w:val="21"/>
        </w:rPr>
        <w:t>致：</w:t>
      </w:r>
      <w:r>
        <w:rPr>
          <w:rFonts w:hint="eastAsia" w:ascii="宋体" w:hAnsi="宋体" w:cs="宋体"/>
          <w:spacing w:val="4"/>
          <w:szCs w:val="21"/>
          <w:u w:val="single"/>
        </w:rPr>
        <w:t xml:space="preserve">   （采购人名称）    </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我方作为</w:t>
      </w:r>
      <w:r>
        <w:rPr>
          <w:rFonts w:hint="eastAsia" w:ascii="宋体" w:hAnsi="宋体" w:cs="宋体"/>
          <w:kern w:val="0"/>
          <w:szCs w:val="21"/>
          <w:u w:val="single"/>
        </w:rPr>
        <w:t xml:space="preserve">                 项目名称</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rPr>
        <w:t>）的</w:t>
      </w:r>
      <w:r>
        <w:rPr>
          <w:rFonts w:hint="eastAsia" w:ascii="宋体" w:hAnsi="宋体" w:cs="宋体"/>
          <w:szCs w:val="21"/>
        </w:rPr>
        <w:t>供应商</w:t>
      </w:r>
      <w:r>
        <w:rPr>
          <w:rFonts w:hint="eastAsia" w:ascii="宋体" w:hAnsi="宋体" w:cs="宋体"/>
          <w:kern w:val="0"/>
          <w:szCs w:val="21"/>
        </w:rPr>
        <w:t>，在此郑重声明：</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1、在参加本次政府采购活动前3年内的经营活动中</w:t>
      </w:r>
      <w:r>
        <w:rPr>
          <w:rFonts w:hint="eastAsia" w:ascii="宋体" w:hAnsi="宋体" w:cs="宋体"/>
          <w:kern w:val="0"/>
          <w:szCs w:val="21"/>
          <w:u w:val="single"/>
        </w:rPr>
        <w:t xml:space="preserve">      </w:t>
      </w:r>
      <w:r>
        <w:rPr>
          <w:rFonts w:hint="eastAsia" w:ascii="宋体" w:hAnsi="宋体" w:cs="宋体"/>
          <w:kern w:val="0"/>
          <w:szCs w:val="21"/>
        </w:rPr>
        <w:t>（填“没有”或“有”）重大违法记录。</w:t>
      </w:r>
      <w:r>
        <w:rPr>
          <w:rFonts w:hint="eastAsia" w:ascii="宋体" w:hAnsi="宋体" w:cs="宋体"/>
          <w:b/>
          <w:bCs/>
          <w:szCs w:val="21"/>
        </w:rPr>
        <w:t>供应商</w:t>
      </w:r>
      <w:r>
        <w:rPr>
          <w:rFonts w:hint="eastAsia" w:ascii="宋体" w:hAnsi="宋体" w:cs="宋体"/>
          <w:b/>
          <w:bCs/>
          <w:kern w:val="0"/>
          <w:szCs w:val="21"/>
        </w:rPr>
        <w:t>在参加政府采购活动前3年内因违法经营被禁止在一定期限内参加政府采购活动，期限届满的，可以参加政府采购活动，但应提供期限届满的证明材料。</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2、我方</w:t>
      </w:r>
      <w:r>
        <w:rPr>
          <w:rFonts w:hint="eastAsia" w:ascii="宋体" w:hAnsi="宋体" w:cs="宋体"/>
          <w:kern w:val="0"/>
          <w:szCs w:val="21"/>
          <w:u w:val="single"/>
        </w:rPr>
        <w:t xml:space="preserve">      </w:t>
      </w:r>
      <w:r>
        <w:rPr>
          <w:rFonts w:hint="eastAsia" w:ascii="宋体" w:hAnsi="宋体" w:cs="宋体"/>
          <w:kern w:val="0"/>
          <w:szCs w:val="21"/>
        </w:rPr>
        <w:t>（填“未被列入”或“被列入”）失信被执行人名单。</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3、我方</w:t>
      </w:r>
      <w:r>
        <w:rPr>
          <w:rFonts w:hint="eastAsia" w:ascii="宋体" w:hAnsi="宋体" w:cs="宋体"/>
          <w:kern w:val="0"/>
          <w:szCs w:val="21"/>
          <w:u w:val="single"/>
        </w:rPr>
        <w:t xml:space="preserve">      </w:t>
      </w:r>
      <w:r>
        <w:rPr>
          <w:rFonts w:hint="eastAsia" w:ascii="宋体" w:hAnsi="宋体" w:cs="宋体"/>
          <w:kern w:val="0"/>
          <w:szCs w:val="21"/>
        </w:rPr>
        <w:t>（填“未被列入”或“被列入”）重大税收违法案件当事人名单。</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4、我方</w:t>
      </w:r>
      <w:r>
        <w:rPr>
          <w:rFonts w:hint="eastAsia" w:ascii="宋体" w:hAnsi="宋体" w:cs="宋体"/>
          <w:kern w:val="0"/>
          <w:szCs w:val="21"/>
          <w:u w:val="single"/>
        </w:rPr>
        <w:t xml:space="preserve">      </w:t>
      </w:r>
      <w:r>
        <w:rPr>
          <w:rFonts w:hint="eastAsia" w:ascii="宋体" w:hAnsi="宋体" w:cs="宋体"/>
          <w:kern w:val="0"/>
          <w:szCs w:val="21"/>
        </w:rPr>
        <w:t>（填“未被列入”或“被列入”）政府采购严重违法失信行为记录名单。</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如有不实，我方将无条件地退出本项目的采购活动，并遵照</w:t>
      </w:r>
      <w:r>
        <w:rPr>
          <w:rFonts w:hint="eastAsia" w:ascii="宋体" w:hAnsi="宋体" w:cs="宋体"/>
          <w:szCs w:val="21"/>
        </w:rPr>
        <w:t>《中华人民共和国政府采购法》和《中华人民共和国政府采购法实施条例》</w:t>
      </w:r>
      <w:r>
        <w:rPr>
          <w:rFonts w:hint="eastAsia" w:ascii="宋体" w:hAnsi="宋体" w:cs="宋体"/>
          <w:kern w:val="0"/>
          <w:szCs w:val="21"/>
        </w:rPr>
        <w:t>有关“提供虚假材料的规定”接受处罚。</w:t>
      </w:r>
    </w:p>
    <w:p>
      <w:pPr>
        <w:widowControl/>
        <w:spacing w:line="480" w:lineRule="auto"/>
        <w:ind w:firstLine="420" w:firstLineChars="200"/>
        <w:rPr>
          <w:rFonts w:ascii="宋体" w:hAnsi="宋体" w:cs="宋体"/>
          <w:kern w:val="0"/>
          <w:szCs w:val="21"/>
        </w:rPr>
      </w:pPr>
      <w:r>
        <w:rPr>
          <w:rFonts w:hint="eastAsia" w:ascii="宋体" w:hAnsi="宋体" w:cs="宋体"/>
          <w:kern w:val="0"/>
          <w:szCs w:val="21"/>
        </w:rPr>
        <w:t>特此声明。</w:t>
      </w:r>
    </w:p>
    <w:p>
      <w:pPr>
        <w:spacing w:line="360" w:lineRule="auto"/>
        <w:ind w:firstLine="420" w:firstLineChars="200"/>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600" w:lineRule="auto"/>
        <w:ind w:firstLine="3780" w:firstLineChars="1800"/>
        <w:jc w:val="left"/>
        <w:rPr>
          <w:rFonts w:ascii="宋体" w:hAnsi="宋体" w:cs="宋体"/>
          <w:szCs w:val="21"/>
        </w:rPr>
      </w:pPr>
    </w:p>
    <w:p>
      <w:pPr>
        <w:spacing w:line="600" w:lineRule="auto"/>
        <w:ind w:firstLine="3780" w:firstLineChars="1800"/>
        <w:jc w:val="left"/>
        <w:rPr>
          <w:rFonts w:ascii="宋体" w:hAnsi="宋体" w:cs="宋体"/>
          <w:szCs w:val="21"/>
        </w:rPr>
      </w:pPr>
      <w:r>
        <w:rPr>
          <w:rFonts w:hint="eastAsia" w:ascii="宋体" w:hAnsi="宋体" w:cs="宋体"/>
          <w:szCs w:val="21"/>
        </w:rPr>
        <w:t>供应商名称：（盖章）</w:t>
      </w:r>
    </w:p>
    <w:p>
      <w:pPr>
        <w:spacing w:line="600" w:lineRule="auto"/>
        <w:ind w:firstLine="3780" w:firstLineChars="1800"/>
        <w:jc w:val="left"/>
        <w:rPr>
          <w:rFonts w:ascii="宋体" w:hAnsi="宋体" w:cs="宋体"/>
          <w:szCs w:val="21"/>
        </w:rPr>
      </w:pPr>
      <w:r>
        <w:rPr>
          <w:rFonts w:hint="eastAsia" w:ascii="宋体" w:hAnsi="宋体" w:cs="宋体"/>
          <w:szCs w:val="21"/>
        </w:rPr>
        <w:t>法定代表人或被授权人：(签字或盖章)</w:t>
      </w:r>
    </w:p>
    <w:p>
      <w:pPr>
        <w:spacing w:line="600" w:lineRule="auto"/>
        <w:ind w:firstLine="3780" w:firstLineChars="1800"/>
        <w:jc w:val="left"/>
        <w:rPr>
          <w:rFonts w:ascii="宋体" w:hAnsi="宋体" w:cs="宋体"/>
          <w:szCs w:val="21"/>
        </w:rPr>
      </w:pPr>
      <w:r>
        <w:rPr>
          <w:rFonts w:hint="eastAsia" w:ascii="宋体" w:hAnsi="宋体" w:cs="宋体"/>
          <w:szCs w:val="21"/>
        </w:rPr>
        <w:t>日      期：  年   月     日</w:t>
      </w:r>
    </w:p>
    <w:p>
      <w:pPr>
        <w:spacing w:line="360" w:lineRule="auto"/>
        <w:rPr>
          <w:rFonts w:ascii="宋体" w:hAnsi="宋体" w:cs="宋体"/>
          <w:color w:val="000000"/>
          <w:szCs w:val="21"/>
        </w:rPr>
      </w:pPr>
    </w:p>
    <w:p>
      <w:pPr>
        <w:rPr>
          <w:rFonts w:ascii="宋体" w:hAnsi="宋体" w:cs="宋体"/>
          <w:color w:val="000000"/>
        </w:rPr>
      </w:pPr>
    </w:p>
    <w:p>
      <w:pPr>
        <w:rPr>
          <w:rFonts w:ascii="宋体" w:hAnsi="宋体" w:cs="宋体"/>
          <w:color w:val="000000"/>
        </w:rPr>
      </w:pPr>
    </w:p>
    <w:p>
      <w:pPr>
        <w:pStyle w:val="20"/>
        <w:rPr>
          <w:rFonts w:ascii="宋体" w:hAnsi="宋体" w:cs="宋体"/>
        </w:rPr>
      </w:pPr>
    </w:p>
    <w:p>
      <w:pPr>
        <w:rPr>
          <w:rFonts w:ascii="宋体" w:hAnsi="宋体" w:cs="宋体"/>
        </w:rPr>
      </w:pPr>
    </w:p>
    <w:p>
      <w:pPr>
        <w:pStyle w:val="2"/>
      </w:pPr>
    </w:p>
    <w:p>
      <w:pPr>
        <w:rPr>
          <w:rFonts w:ascii="宋体" w:hAnsi="宋体" w:cs="宋体"/>
        </w:rPr>
      </w:pPr>
    </w:p>
    <w:p>
      <w:pPr>
        <w:pStyle w:val="2"/>
      </w:pPr>
    </w:p>
    <w:p>
      <w:pPr>
        <w:pStyle w:val="2"/>
      </w:pPr>
    </w:p>
    <w:p>
      <w:pPr>
        <w:widowControl/>
        <w:spacing w:line="360" w:lineRule="auto"/>
        <w:jc w:val="left"/>
        <w:outlineLvl w:val="0"/>
        <w:rPr>
          <w:rFonts w:ascii="宋体" w:hAnsi="宋体"/>
          <w:b/>
          <w:color w:val="333333"/>
          <w:kern w:val="0"/>
          <w:sz w:val="24"/>
          <w:szCs w:val="20"/>
        </w:rPr>
      </w:pPr>
      <w:bookmarkStart w:id="597" w:name="_Toc30675"/>
      <w:bookmarkStart w:id="598" w:name="_Toc13285"/>
      <w:r>
        <w:rPr>
          <w:rFonts w:hint="eastAsia" w:ascii="宋体" w:hAnsi="宋体"/>
          <w:b/>
          <w:color w:val="333333"/>
          <w:kern w:val="0"/>
          <w:sz w:val="24"/>
          <w:szCs w:val="20"/>
        </w:rPr>
        <w:t>附件3：                    中小企业声明函（工程）</w:t>
      </w:r>
      <w:bookmarkEnd w:id="597"/>
      <w:bookmarkEnd w:id="598"/>
      <w:r>
        <w:rPr>
          <w:rFonts w:hint="eastAsia" w:ascii="宋体" w:hAnsi="宋体"/>
          <w:b/>
          <w:color w:val="333333"/>
          <w:kern w:val="0"/>
          <w:sz w:val="24"/>
          <w:szCs w:val="20"/>
        </w:rPr>
        <w:t xml:space="preserve"> </w:t>
      </w:r>
    </w:p>
    <w:p>
      <w:pPr>
        <w:widowControl/>
        <w:spacing w:line="360" w:lineRule="auto"/>
        <w:ind w:firstLine="480" w:firstLineChars="200"/>
        <w:jc w:val="left"/>
        <w:rPr>
          <w:rFonts w:ascii="宋体" w:hAnsi="宋体" w:cs="宋体"/>
          <w:color w:val="000000"/>
          <w:kern w:val="0"/>
          <w:sz w:val="24"/>
          <w:szCs w:val="24"/>
          <w:lang w:bidi="ar"/>
        </w:rPr>
      </w:pP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lang w:bidi="ar"/>
        </w:rPr>
        <w:t>本公司（联合体）郑重声明，根据《政府采购促进中小企业发展管理办法》（财库﹝2020﹞46 号）的规定，本公司（联合体）参加</w:t>
      </w:r>
      <w:r>
        <w:rPr>
          <w:rFonts w:hint="eastAsia" w:ascii="宋体" w:hAnsi="宋体" w:cs="宋体"/>
          <w:color w:val="000000"/>
          <w:kern w:val="0"/>
          <w:szCs w:val="21"/>
          <w:u w:val="single"/>
          <w:lang w:bidi="ar"/>
        </w:rPr>
        <w:t xml:space="preserve">（单位名称）    </w:t>
      </w:r>
      <w:r>
        <w:rPr>
          <w:rFonts w:hint="eastAsia" w:ascii="宋体" w:hAnsi="宋体" w:cs="宋体"/>
          <w:color w:val="000000"/>
          <w:kern w:val="0"/>
          <w:szCs w:val="21"/>
          <w:lang w:bidi="ar"/>
        </w:rPr>
        <w:t>的</w:t>
      </w:r>
      <w:r>
        <w:rPr>
          <w:rFonts w:hint="eastAsia" w:ascii="宋体" w:hAnsi="宋体" w:cs="宋体"/>
          <w:color w:val="000000"/>
          <w:kern w:val="0"/>
          <w:szCs w:val="21"/>
          <w:u w:val="single"/>
          <w:lang w:bidi="ar"/>
        </w:rPr>
        <w:t>（项目名称）</w:t>
      </w:r>
      <w:r>
        <w:rPr>
          <w:rFonts w:hint="eastAsia" w:ascii="宋体" w:hAnsi="宋体" w:cs="宋体"/>
          <w:color w:val="000000"/>
          <w:kern w:val="0"/>
          <w:szCs w:val="21"/>
          <w:lang w:bidi="ar"/>
        </w:rPr>
        <w:t xml:space="preserve">采购活动，提供的货物全部由符合政策要求的中小企业制造。相关企业（含联合体中的中小企业、签订分包意向协议的中小企业）的具体情况如下： </w:t>
      </w:r>
    </w:p>
    <w:p>
      <w:pPr>
        <w:widowControl/>
        <w:spacing w:line="360" w:lineRule="auto"/>
        <w:jc w:val="left"/>
        <w:rPr>
          <w:rFonts w:ascii="宋体" w:hAnsi="宋体" w:cs="宋体"/>
          <w:szCs w:val="21"/>
        </w:rPr>
      </w:pPr>
      <w:r>
        <w:rPr>
          <w:rFonts w:hint="eastAsia" w:ascii="宋体" w:hAnsi="宋体" w:cs="宋体"/>
          <w:color w:val="000000"/>
          <w:kern w:val="0"/>
          <w:szCs w:val="21"/>
          <w:lang w:bidi="ar"/>
        </w:rPr>
        <w:t>1.</w:t>
      </w:r>
      <w:r>
        <w:rPr>
          <w:rFonts w:hint="eastAsia" w:ascii="宋体" w:hAnsi="宋体" w:cs="宋体"/>
          <w:color w:val="000000"/>
          <w:kern w:val="0"/>
          <w:szCs w:val="21"/>
          <w:u w:val="single"/>
          <w:lang w:bidi="ar"/>
        </w:rPr>
        <w:t xml:space="preserve"> （标的名称）    </w:t>
      </w:r>
      <w:r>
        <w:rPr>
          <w:rFonts w:hint="eastAsia" w:ascii="宋体" w:hAnsi="宋体" w:cs="宋体"/>
          <w:color w:val="000000"/>
          <w:kern w:val="0"/>
          <w:szCs w:val="21"/>
          <w:lang w:bidi="ar"/>
        </w:rPr>
        <w:t>，属于</w:t>
      </w:r>
      <w:r>
        <w:rPr>
          <w:rFonts w:hint="eastAsia" w:ascii="宋体" w:hAnsi="宋体" w:cs="宋体"/>
          <w:color w:val="000000"/>
          <w:kern w:val="0"/>
          <w:szCs w:val="21"/>
          <w:u w:val="single"/>
          <w:lang w:bidi="ar"/>
        </w:rPr>
        <w:t>（采购文件中明确的所属行业）行业</w:t>
      </w:r>
      <w:r>
        <w:rPr>
          <w:rFonts w:hint="eastAsia" w:ascii="宋体" w:hAnsi="宋体" w:cs="宋体"/>
          <w:color w:val="000000"/>
          <w:kern w:val="0"/>
          <w:szCs w:val="21"/>
          <w:lang w:bidi="ar"/>
        </w:rPr>
        <w:t>；制造商为</w:t>
      </w:r>
      <w:r>
        <w:rPr>
          <w:rFonts w:hint="eastAsia" w:ascii="宋体" w:hAnsi="宋体" w:cs="宋体"/>
          <w:color w:val="000000"/>
          <w:kern w:val="0"/>
          <w:szCs w:val="21"/>
          <w:u w:val="single"/>
          <w:lang w:bidi="ar"/>
        </w:rPr>
        <w:t xml:space="preserve">（企业名称）  </w:t>
      </w:r>
      <w:r>
        <w:rPr>
          <w:rFonts w:hint="eastAsia" w:ascii="宋体" w:hAnsi="宋体" w:cs="宋体"/>
          <w:color w:val="000000"/>
          <w:kern w:val="0"/>
          <w:szCs w:val="21"/>
          <w:lang w:bidi="ar"/>
        </w:rPr>
        <w:t>，从业人员</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人，营业收入为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万元，资产总额为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万元，属于</w:t>
      </w:r>
      <w:r>
        <w:rPr>
          <w:rFonts w:hint="eastAsia" w:ascii="宋体" w:hAnsi="宋体" w:cs="宋体"/>
          <w:color w:val="000000"/>
          <w:kern w:val="0"/>
          <w:szCs w:val="21"/>
          <w:u w:val="single"/>
          <w:lang w:bidi="ar"/>
        </w:rPr>
        <w:t>（中型企业、小型企业、微型企业）</w:t>
      </w:r>
      <w:r>
        <w:rPr>
          <w:rFonts w:hint="eastAsia" w:ascii="宋体" w:hAnsi="宋体" w:cs="宋体"/>
          <w:color w:val="000000"/>
          <w:kern w:val="0"/>
          <w:szCs w:val="21"/>
          <w:lang w:bidi="ar"/>
        </w:rPr>
        <w:t xml:space="preserve">； </w:t>
      </w:r>
    </w:p>
    <w:p>
      <w:pPr>
        <w:widowControl/>
        <w:spacing w:line="360" w:lineRule="auto"/>
        <w:jc w:val="left"/>
        <w:rPr>
          <w:rFonts w:ascii="宋体" w:hAnsi="宋体" w:cs="宋体"/>
          <w:szCs w:val="21"/>
        </w:rPr>
      </w:pPr>
      <w:r>
        <w:rPr>
          <w:rFonts w:hint="eastAsia" w:ascii="宋体" w:hAnsi="宋体" w:cs="宋体"/>
          <w:color w:val="000000"/>
          <w:kern w:val="0"/>
          <w:szCs w:val="21"/>
          <w:lang w:bidi="ar"/>
        </w:rPr>
        <w:t>2.</w:t>
      </w:r>
      <w:r>
        <w:rPr>
          <w:rFonts w:hint="eastAsia" w:ascii="宋体" w:hAnsi="宋体" w:cs="宋体"/>
          <w:color w:val="000000"/>
          <w:kern w:val="0"/>
          <w:szCs w:val="21"/>
          <w:u w:val="single"/>
          <w:lang w:bidi="ar"/>
        </w:rPr>
        <w:t xml:space="preserve"> （标的名称）    </w:t>
      </w:r>
      <w:r>
        <w:rPr>
          <w:rFonts w:hint="eastAsia" w:ascii="宋体" w:hAnsi="宋体" w:cs="宋体"/>
          <w:color w:val="000000"/>
          <w:kern w:val="0"/>
          <w:szCs w:val="21"/>
          <w:lang w:bidi="ar"/>
        </w:rPr>
        <w:t>，属于</w:t>
      </w:r>
      <w:r>
        <w:rPr>
          <w:rFonts w:hint="eastAsia" w:ascii="宋体" w:hAnsi="宋体" w:cs="宋体"/>
          <w:color w:val="000000"/>
          <w:kern w:val="0"/>
          <w:szCs w:val="21"/>
          <w:u w:val="single"/>
          <w:lang w:bidi="ar"/>
        </w:rPr>
        <w:t>（采购文件中明确的所属行业）行业</w:t>
      </w:r>
      <w:r>
        <w:rPr>
          <w:rFonts w:hint="eastAsia" w:ascii="宋体" w:hAnsi="宋体" w:cs="宋体"/>
          <w:color w:val="000000"/>
          <w:kern w:val="0"/>
          <w:szCs w:val="21"/>
          <w:lang w:bidi="ar"/>
        </w:rPr>
        <w:t>；制造商为</w:t>
      </w:r>
      <w:r>
        <w:rPr>
          <w:rFonts w:hint="eastAsia" w:ascii="宋体" w:hAnsi="宋体" w:cs="宋体"/>
          <w:color w:val="000000"/>
          <w:kern w:val="0"/>
          <w:szCs w:val="21"/>
          <w:u w:val="single"/>
          <w:lang w:bidi="ar"/>
        </w:rPr>
        <w:t xml:space="preserve">（企业名称）  </w:t>
      </w:r>
      <w:r>
        <w:rPr>
          <w:rFonts w:hint="eastAsia" w:ascii="宋体" w:hAnsi="宋体" w:cs="宋体"/>
          <w:color w:val="000000"/>
          <w:kern w:val="0"/>
          <w:szCs w:val="21"/>
          <w:lang w:bidi="ar"/>
        </w:rPr>
        <w:t>，从业人员</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人，营业收入为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万元，资产总额为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万元，属于</w:t>
      </w:r>
      <w:r>
        <w:rPr>
          <w:rFonts w:hint="eastAsia" w:ascii="宋体" w:hAnsi="宋体" w:cs="宋体"/>
          <w:color w:val="000000"/>
          <w:kern w:val="0"/>
          <w:szCs w:val="21"/>
          <w:u w:val="single"/>
          <w:lang w:bidi="ar"/>
        </w:rPr>
        <w:t>（中型企业、小型 企业、微型企业）</w:t>
      </w:r>
      <w:r>
        <w:rPr>
          <w:rFonts w:hint="eastAsia" w:ascii="宋体" w:hAnsi="宋体" w:cs="宋体"/>
          <w:color w:val="000000"/>
          <w:kern w:val="0"/>
          <w:szCs w:val="21"/>
          <w:lang w:bidi="ar"/>
        </w:rPr>
        <w:t xml:space="preserve">； </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lang w:bidi="ar"/>
        </w:rPr>
        <w:t>……</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lang w:bidi="ar"/>
        </w:rPr>
        <w:t xml:space="preserve">本企业对上述声明内容的真实性负责。如有虚假，将依法承担相应责任。 </w:t>
      </w:r>
    </w:p>
    <w:p>
      <w:pPr>
        <w:tabs>
          <w:tab w:val="left" w:pos="4860"/>
        </w:tabs>
        <w:spacing w:line="360" w:lineRule="auto"/>
        <w:ind w:right="1560" w:firstLine="444" w:firstLineChars="200"/>
        <w:jc w:val="center"/>
        <w:rPr>
          <w:rFonts w:ascii="宋体" w:hAnsi="宋体"/>
          <w:spacing w:val="6"/>
          <w:szCs w:val="21"/>
        </w:rPr>
      </w:pPr>
    </w:p>
    <w:p>
      <w:pPr>
        <w:tabs>
          <w:tab w:val="left" w:pos="4860"/>
        </w:tabs>
        <w:spacing w:line="360" w:lineRule="auto"/>
        <w:ind w:right="1560" w:firstLine="444" w:firstLineChars="200"/>
        <w:jc w:val="center"/>
        <w:rPr>
          <w:rFonts w:ascii="宋体" w:hAnsi="宋体"/>
          <w:spacing w:val="6"/>
          <w:szCs w:val="21"/>
        </w:rPr>
      </w:pPr>
    </w:p>
    <w:p>
      <w:pPr>
        <w:tabs>
          <w:tab w:val="left" w:pos="4860"/>
        </w:tabs>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w:t>
      </w:r>
      <w:r>
        <w:rPr>
          <w:rFonts w:hint="eastAsia" w:ascii="宋体" w:hAnsi="宋体" w:cs="宋体"/>
          <w:szCs w:val="21"/>
        </w:rPr>
        <w:t>供应商名称</w:t>
      </w:r>
      <w:r>
        <w:rPr>
          <w:rFonts w:hint="eastAsia" w:ascii="宋体" w:hAnsi="宋体"/>
          <w:spacing w:val="6"/>
          <w:szCs w:val="21"/>
        </w:rPr>
        <w:t>（盖章）：</w:t>
      </w:r>
    </w:p>
    <w:p>
      <w:pPr>
        <w:tabs>
          <w:tab w:val="left" w:pos="4860"/>
        </w:tabs>
        <w:spacing w:line="360" w:lineRule="auto"/>
        <w:ind w:right="1560" w:firstLine="444" w:firstLineChars="200"/>
        <w:jc w:val="center"/>
        <w:rPr>
          <w:rFonts w:ascii="宋体" w:hAnsi="宋体"/>
          <w:szCs w:val="21"/>
        </w:rPr>
      </w:pPr>
      <w:r>
        <w:rPr>
          <w:rFonts w:ascii="宋体" w:hAnsi="宋体"/>
          <w:spacing w:val="6"/>
          <w:szCs w:val="21"/>
        </w:rPr>
        <w:t xml:space="preserve">       </w:t>
      </w:r>
      <w:r>
        <w:rPr>
          <w:rFonts w:hint="eastAsia" w:ascii="宋体" w:hAnsi="宋体"/>
          <w:spacing w:val="6"/>
          <w:szCs w:val="21"/>
        </w:rPr>
        <w:t>日</w:t>
      </w:r>
      <w:r>
        <w:rPr>
          <w:rFonts w:ascii="宋体" w:hAnsi="宋体"/>
          <w:spacing w:val="6"/>
          <w:szCs w:val="21"/>
        </w:rPr>
        <w:t xml:space="preserve">  </w:t>
      </w:r>
      <w:r>
        <w:rPr>
          <w:rFonts w:hint="eastAsia" w:ascii="宋体" w:hAnsi="宋体"/>
          <w:spacing w:val="6"/>
          <w:szCs w:val="21"/>
        </w:rPr>
        <w:t>期：</w:t>
      </w: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pStyle w:val="2"/>
        <w:rPr>
          <w:rFonts w:ascii="宋体" w:hAnsi="宋体" w:cs="宋体"/>
          <w:color w:val="000000"/>
          <w:sz w:val="24"/>
          <w:szCs w:val="24"/>
          <w:lang w:bidi="ar"/>
        </w:rPr>
      </w:pPr>
    </w:p>
    <w:p>
      <w:pPr>
        <w:adjustRightInd w:val="0"/>
        <w:snapToGrid w:val="0"/>
        <w:ind w:firstLine="360" w:firstLineChars="200"/>
        <w:rPr>
          <w:rFonts w:ascii="宋体" w:hAnsi="宋体"/>
          <w:bCs/>
          <w:sz w:val="18"/>
          <w:szCs w:val="18"/>
        </w:rPr>
      </w:pPr>
      <w:r>
        <w:rPr>
          <w:rFonts w:hint="eastAsia" w:ascii="宋体" w:hAnsi="宋体"/>
          <w:bCs/>
          <w:sz w:val="18"/>
          <w:szCs w:val="18"/>
        </w:rPr>
        <w:t>注：1.从业人员、营业收入、资产总额填报上一年度数据，无上一年度数据的新成立企业可不填报。</w:t>
      </w:r>
    </w:p>
    <w:p>
      <w:pPr>
        <w:adjustRightInd w:val="0"/>
        <w:snapToGrid w:val="0"/>
        <w:ind w:firstLine="720" w:firstLineChars="400"/>
        <w:rPr>
          <w:rFonts w:ascii="宋体" w:hAnsi="宋体"/>
          <w:bCs/>
          <w:sz w:val="18"/>
          <w:szCs w:val="18"/>
        </w:rPr>
      </w:pPr>
      <w:r>
        <w:rPr>
          <w:rFonts w:hint="eastAsia" w:ascii="宋体" w:hAnsi="宋体"/>
          <w:bCs/>
          <w:sz w:val="18"/>
          <w:szCs w:val="18"/>
        </w:rPr>
        <w:t>2.未按上述要求提供、填写的，评审时不予以考虑。</w:t>
      </w:r>
    </w:p>
    <w:p>
      <w:pPr>
        <w:pStyle w:val="14"/>
        <w:adjustRightInd w:val="0"/>
        <w:snapToGrid w:val="0"/>
        <w:spacing w:before="120" w:beforeLines="50" w:line="360" w:lineRule="auto"/>
        <w:rPr>
          <w:rFonts w:hAnsi="宋体"/>
          <w:b/>
          <w:sz w:val="24"/>
          <w:szCs w:val="24"/>
        </w:rPr>
      </w:pPr>
    </w:p>
    <w:p>
      <w:pPr>
        <w:pStyle w:val="14"/>
        <w:adjustRightInd w:val="0"/>
        <w:snapToGrid w:val="0"/>
        <w:spacing w:before="120" w:beforeLines="50" w:line="360" w:lineRule="auto"/>
        <w:outlineLvl w:val="0"/>
        <w:rPr>
          <w:rFonts w:hAnsi="宋体"/>
          <w:b/>
          <w:sz w:val="24"/>
          <w:szCs w:val="24"/>
        </w:rPr>
      </w:pPr>
      <w:bookmarkStart w:id="599" w:name="_Toc875"/>
      <w:bookmarkStart w:id="600" w:name="_Toc23023"/>
      <w:r>
        <w:rPr>
          <w:rFonts w:hint="eastAsia" w:hAnsi="宋体"/>
          <w:b/>
          <w:sz w:val="24"/>
          <w:szCs w:val="24"/>
        </w:rPr>
        <w:t>附件</w:t>
      </w:r>
      <w:bookmarkStart w:id="601" w:name="OLE_LINK14"/>
      <w:bookmarkStart w:id="602" w:name="OLE_LINK13"/>
      <w:r>
        <w:rPr>
          <w:rFonts w:hint="eastAsia" w:hAnsi="宋体"/>
          <w:b/>
          <w:sz w:val="24"/>
          <w:szCs w:val="24"/>
        </w:rPr>
        <w:t>4：                残疾人福利性单位声明函</w:t>
      </w:r>
      <w:bookmarkEnd w:id="599"/>
      <w:bookmarkEnd w:id="600"/>
    </w:p>
    <w:bookmarkEnd w:id="601"/>
    <w:bookmarkEnd w:id="602"/>
    <w:p>
      <w:pPr>
        <w:spacing w:line="588" w:lineRule="exact"/>
        <w:rPr>
          <w:rFonts w:ascii="宋体" w:hAnsi="宋体"/>
          <w:b/>
          <w:spacing w:val="6"/>
          <w:sz w:val="30"/>
          <w:szCs w:val="30"/>
        </w:rPr>
      </w:pPr>
    </w:p>
    <w:p>
      <w:pPr>
        <w:spacing w:line="360" w:lineRule="auto"/>
        <w:ind w:firstLine="444" w:firstLineChars="200"/>
        <w:rPr>
          <w:rFonts w:ascii="宋体" w:hAnsi="宋体"/>
          <w:spacing w:val="6"/>
          <w:szCs w:val="21"/>
        </w:rPr>
      </w:pPr>
      <w:r>
        <w:rPr>
          <w:rFonts w:hint="eastAsia" w:ascii="宋体" w:hAnsi="宋体"/>
          <w:spacing w:val="6"/>
          <w:szCs w:val="21"/>
        </w:rPr>
        <w:t>本单位郑重声明，根据《财政部</w:t>
      </w:r>
      <w:r>
        <w:rPr>
          <w:rFonts w:ascii="宋体" w:hAnsi="宋体"/>
          <w:spacing w:val="6"/>
          <w:szCs w:val="21"/>
        </w:rPr>
        <w:t xml:space="preserve"> </w:t>
      </w:r>
      <w:r>
        <w:rPr>
          <w:rFonts w:hint="eastAsia" w:ascii="宋体" w:hAnsi="宋体"/>
          <w:spacing w:val="6"/>
          <w:szCs w:val="21"/>
        </w:rPr>
        <w:t>民政部</w:t>
      </w:r>
      <w:r>
        <w:rPr>
          <w:rFonts w:ascii="宋体" w:hAnsi="宋体"/>
          <w:spacing w:val="6"/>
          <w:szCs w:val="21"/>
        </w:rPr>
        <w:t xml:space="preserve"> </w:t>
      </w:r>
      <w:r>
        <w:rPr>
          <w:rFonts w:hint="eastAsia" w:ascii="宋体" w:hAnsi="宋体"/>
          <w:spacing w:val="6"/>
          <w:szCs w:val="21"/>
        </w:rPr>
        <w:t>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 xml:space="preserve"> 141</w:t>
      </w:r>
      <w:r>
        <w:rPr>
          <w:rFonts w:hint="eastAsia" w:ascii="宋体" w:hAnsi="宋体"/>
          <w:spacing w:val="6"/>
          <w:szCs w:val="21"/>
        </w:rPr>
        <w:t>号）的规定，本单位为符合条件的残疾人福利性单位，且本单位参加</w:t>
      </w:r>
      <w:r>
        <w:rPr>
          <w:rFonts w:hint="eastAsia" w:ascii="宋体" w:hAnsi="宋体"/>
          <w:spacing w:val="6"/>
          <w:szCs w:val="21"/>
          <w:u w:val="single"/>
        </w:rPr>
        <w:t xml:space="preserve">      </w:t>
      </w:r>
      <w:r>
        <w:rPr>
          <w:rFonts w:hint="eastAsia" w:ascii="宋体" w:hAnsi="宋体"/>
          <w:spacing w:val="6"/>
          <w:szCs w:val="21"/>
        </w:rPr>
        <w:t>单位的</w:t>
      </w:r>
      <w:r>
        <w:rPr>
          <w:rFonts w:hint="eastAsia" w:ascii="宋体" w:hAnsi="宋体"/>
          <w:spacing w:val="6"/>
          <w:szCs w:val="21"/>
          <w:u w:val="single"/>
        </w:rPr>
        <w:t xml:space="preserve">     </w:t>
      </w:r>
      <w:r>
        <w:rPr>
          <w:rFonts w:hint="eastAsia" w:ascii="宋体" w:hAnsi="宋体"/>
          <w:spacing w:val="6"/>
          <w:szCs w:val="21"/>
        </w:rPr>
        <w:t>项目采购活动提供本单位制造的货物（由本单位承担工程</w:t>
      </w:r>
      <w:r>
        <w:rPr>
          <w:rFonts w:ascii="宋体" w:hAnsi="宋体"/>
          <w:spacing w:val="6"/>
          <w:szCs w:val="21"/>
        </w:rPr>
        <w:t>/</w:t>
      </w:r>
      <w:r>
        <w:rPr>
          <w:rFonts w:hint="eastAsia" w:ascii="宋体" w:hAnsi="宋体"/>
          <w:spacing w:val="6"/>
          <w:szCs w:val="21"/>
        </w:rPr>
        <w:t>提供服务），或者提供其他残疾人福利性单位制造的货物（不包括使用非残疾人福利性单位注册商标的货物）。</w:t>
      </w:r>
    </w:p>
    <w:p>
      <w:pPr>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spacing w:line="360" w:lineRule="auto"/>
        <w:ind w:firstLine="444" w:firstLineChars="200"/>
        <w:rPr>
          <w:rFonts w:ascii="宋体" w:hAnsi="宋体"/>
          <w:spacing w:val="6"/>
          <w:szCs w:val="21"/>
        </w:rPr>
      </w:pPr>
    </w:p>
    <w:p>
      <w:pPr>
        <w:spacing w:line="360" w:lineRule="auto"/>
        <w:ind w:firstLine="444" w:firstLineChars="200"/>
        <w:rPr>
          <w:rFonts w:ascii="宋体" w:hAnsi="宋体"/>
          <w:spacing w:val="6"/>
          <w:szCs w:val="21"/>
        </w:rPr>
      </w:pPr>
    </w:p>
    <w:p>
      <w:pPr>
        <w:tabs>
          <w:tab w:val="left" w:pos="4860"/>
        </w:tabs>
        <w:spacing w:line="360" w:lineRule="auto"/>
        <w:ind w:right="1560" w:firstLine="444" w:firstLineChars="200"/>
        <w:jc w:val="center"/>
        <w:rPr>
          <w:rFonts w:ascii="宋体" w:hAnsi="宋体"/>
          <w:spacing w:val="6"/>
          <w:szCs w:val="21"/>
        </w:rPr>
      </w:pPr>
      <w:r>
        <w:rPr>
          <w:rFonts w:ascii="宋体" w:hAnsi="宋体"/>
          <w:spacing w:val="6"/>
          <w:szCs w:val="21"/>
        </w:rPr>
        <w:t xml:space="preserve">               </w:t>
      </w:r>
      <w:r>
        <w:rPr>
          <w:rFonts w:hint="eastAsia" w:ascii="宋体" w:hAnsi="宋体"/>
          <w:spacing w:val="6"/>
          <w:szCs w:val="21"/>
        </w:rPr>
        <w:t xml:space="preserve"> </w:t>
      </w:r>
      <w:r>
        <w:rPr>
          <w:rFonts w:hint="eastAsia" w:ascii="宋体" w:hAnsi="宋体" w:cs="宋体"/>
          <w:szCs w:val="21"/>
        </w:rPr>
        <w:t>供应商名称</w:t>
      </w:r>
      <w:r>
        <w:rPr>
          <w:rFonts w:hint="eastAsia" w:ascii="宋体" w:hAnsi="宋体"/>
          <w:spacing w:val="6"/>
          <w:szCs w:val="21"/>
        </w:rPr>
        <w:t>（盖章）：</w:t>
      </w:r>
    </w:p>
    <w:p>
      <w:pPr>
        <w:tabs>
          <w:tab w:val="left" w:pos="4860"/>
        </w:tabs>
        <w:spacing w:line="360" w:lineRule="auto"/>
        <w:ind w:right="1560" w:firstLine="444" w:firstLineChars="200"/>
        <w:jc w:val="center"/>
        <w:rPr>
          <w:rFonts w:ascii="宋体" w:hAnsi="宋体"/>
          <w:szCs w:val="21"/>
        </w:rPr>
      </w:pPr>
      <w:r>
        <w:rPr>
          <w:rFonts w:ascii="宋体" w:hAnsi="宋体"/>
          <w:spacing w:val="6"/>
          <w:szCs w:val="21"/>
        </w:rPr>
        <w:t xml:space="preserve">       </w:t>
      </w:r>
      <w:r>
        <w:rPr>
          <w:rFonts w:hint="eastAsia" w:ascii="宋体" w:hAnsi="宋体"/>
          <w:spacing w:val="6"/>
          <w:szCs w:val="21"/>
        </w:rPr>
        <w:t>日</w:t>
      </w:r>
      <w:r>
        <w:rPr>
          <w:rFonts w:ascii="宋体" w:hAnsi="宋体"/>
          <w:spacing w:val="6"/>
          <w:szCs w:val="21"/>
        </w:rPr>
        <w:t xml:space="preserve">  </w:t>
      </w:r>
      <w:r>
        <w:rPr>
          <w:rFonts w:hint="eastAsia" w:ascii="宋体" w:hAnsi="宋体"/>
          <w:spacing w:val="6"/>
          <w:szCs w:val="21"/>
        </w:rPr>
        <w:t>期：</w:t>
      </w:r>
    </w:p>
    <w:p>
      <w:pPr>
        <w:autoSpaceDE w:val="0"/>
        <w:autoSpaceDN w:val="0"/>
        <w:adjustRightInd w:val="0"/>
        <w:spacing w:line="360" w:lineRule="auto"/>
        <w:outlineLvl w:val="0"/>
        <w:rPr>
          <w:rFonts w:ascii="宋体" w:hAnsi="宋体" w:cs="Courier New"/>
          <w:b/>
          <w:spacing w:val="6"/>
          <w:sz w:val="24"/>
          <w:szCs w:val="24"/>
          <w:lang w:val="zh-CN"/>
        </w:rPr>
      </w:pPr>
      <w:r>
        <w:rPr>
          <w:rFonts w:ascii="宋体" w:hAnsi="宋体"/>
          <w:sz w:val="24"/>
        </w:rPr>
        <w:br w:type="page"/>
      </w:r>
      <w:bookmarkStart w:id="603" w:name="_Toc31620"/>
      <w:bookmarkStart w:id="604" w:name="_Toc8784"/>
      <w:bookmarkStart w:id="605" w:name="_Toc20660417"/>
      <w:bookmarkStart w:id="606" w:name="_Toc532473512"/>
      <w:r>
        <w:rPr>
          <w:rFonts w:hint="eastAsia" w:ascii="宋体" w:hAnsi="宋体" w:cs="宋体"/>
          <w:b/>
          <w:sz w:val="24"/>
          <w:szCs w:val="24"/>
        </w:rPr>
        <w:t>附件5：</w:t>
      </w:r>
      <w:r>
        <w:rPr>
          <w:rFonts w:hint="eastAsia" w:hAnsi="宋体"/>
          <w:b/>
          <w:sz w:val="24"/>
          <w:szCs w:val="24"/>
        </w:rPr>
        <w:t xml:space="preserve">                   </w:t>
      </w:r>
      <w:r>
        <w:rPr>
          <w:rFonts w:hint="eastAsia" w:ascii="宋体" w:hAnsi="宋体" w:cs="Courier New"/>
          <w:b/>
          <w:spacing w:val="6"/>
          <w:sz w:val="24"/>
          <w:szCs w:val="24"/>
          <w:lang w:val="zh-CN"/>
        </w:rPr>
        <w:t>供应商监狱企业声明函</w:t>
      </w:r>
      <w:bookmarkEnd w:id="603"/>
      <w:bookmarkEnd w:id="604"/>
    </w:p>
    <w:bookmarkEnd w:id="605"/>
    <w:bookmarkEnd w:id="606"/>
    <w:p>
      <w:pPr>
        <w:spacing w:line="360" w:lineRule="auto"/>
        <w:rPr>
          <w:rFonts w:ascii="宋体" w:hAnsi="宋体"/>
          <w:b/>
          <w:kern w:val="0"/>
          <w:sz w:val="24"/>
        </w:rPr>
      </w:pPr>
    </w:p>
    <w:p>
      <w:pPr>
        <w:widowControl/>
        <w:snapToGrid w:val="0"/>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单位</w:t>
      </w:r>
      <w:r>
        <w:rPr>
          <w:rFonts w:ascii="宋体" w:hAnsi="宋体" w:cs="宋体"/>
          <w:kern w:val="0"/>
          <w:szCs w:val="21"/>
        </w:rPr>
        <w:t>郑重声明下</w:t>
      </w:r>
      <w:r>
        <w:rPr>
          <w:rFonts w:hint="eastAsia" w:ascii="宋体" w:hAnsi="宋体" w:cs="宋体"/>
          <w:kern w:val="0"/>
          <w:szCs w:val="21"/>
        </w:rPr>
        <w:t>列事项（按照</w:t>
      </w:r>
      <w:r>
        <w:rPr>
          <w:rFonts w:ascii="宋体" w:hAnsi="宋体" w:cs="宋体"/>
          <w:kern w:val="0"/>
          <w:szCs w:val="21"/>
        </w:rPr>
        <w:t>实际情况勾选或</w:t>
      </w:r>
      <w:r>
        <w:rPr>
          <w:rFonts w:hint="eastAsia" w:ascii="宋体" w:hAnsi="宋体" w:cs="宋体"/>
          <w:kern w:val="0"/>
          <w:szCs w:val="21"/>
        </w:rPr>
        <w:t>填空）：</w:t>
      </w:r>
    </w:p>
    <w:p>
      <w:pPr>
        <w:widowControl/>
        <w:snapToGrid w:val="0"/>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单位为直接供应商</w:t>
      </w:r>
      <w:r>
        <w:rPr>
          <w:rFonts w:ascii="宋体" w:hAnsi="宋体" w:cs="宋体"/>
          <w:kern w:val="0"/>
          <w:szCs w:val="21"/>
        </w:rPr>
        <w:t>提供本</w:t>
      </w:r>
      <w:r>
        <w:rPr>
          <w:rFonts w:hint="eastAsia" w:ascii="宋体" w:hAnsi="宋体" w:cs="宋体"/>
          <w:kern w:val="0"/>
          <w:szCs w:val="21"/>
        </w:rPr>
        <w:t>单位</w:t>
      </w:r>
      <w:r>
        <w:rPr>
          <w:rFonts w:ascii="宋体" w:hAnsi="宋体" w:cs="宋体"/>
          <w:kern w:val="0"/>
          <w:szCs w:val="21"/>
        </w:rPr>
        <w:t>制造的货物</w:t>
      </w:r>
      <w:r>
        <w:rPr>
          <w:rFonts w:hint="eastAsia" w:ascii="宋体" w:hAnsi="宋体" w:cs="宋体"/>
          <w:kern w:val="0"/>
          <w:szCs w:val="21"/>
        </w:rPr>
        <w:t>。</w:t>
      </w:r>
    </w:p>
    <w:p>
      <w:pPr>
        <w:widowControl/>
        <w:snapToGrid w:val="0"/>
        <w:spacing w:before="100" w:beforeAutospacing="1" w:after="100" w:afterAutospacing="1" w:line="360" w:lineRule="auto"/>
        <w:ind w:firstLine="315" w:firstLineChars="15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）监狱企业。</w:t>
      </w:r>
      <w:r>
        <w:rPr>
          <w:rFonts w:hint="eastAsia" w:ascii="宋体" w:hAnsi="宋体" w:cs="宋体"/>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w:t>
      </w:r>
      <w:r>
        <w:rPr>
          <w:rFonts w:hint="eastAsia" w:ascii="宋体" w:hAnsi="宋体" w:cs="宋体"/>
          <w:kern w:val="0"/>
          <w:szCs w:val="21"/>
        </w:rPr>
        <w:t>为联合体一方，</w:t>
      </w:r>
      <w:r>
        <w:rPr>
          <w:rFonts w:ascii="宋体" w:hAnsi="宋体" w:cs="宋体"/>
          <w:kern w:val="0"/>
          <w:szCs w:val="21"/>
        </w:rPr>
        <w:t>提供本企业</w:t>
      </w:r>
      <w:r>
        <w:rPr>
          <w:rFonts w:hint="eastAsia" w:ascii="宋体" w:hAnsi="宋体" w:cs="宋体"/>
          <w:kern w:val="0"/>
          <w:szCs w:val="21"/>
        </w:rPr>
        <w:t>（单位）</w:t>
      </w:r>
      <w:r>
        <w:rPr>
          <w:rFonts w:ascii="宋体" w:hAnsi="宋体" w:cs="宋体"/>
          <w:kern w:val="0"/>
          <w:szCs w:val="21"/>
        </w:rPr>
        <w:t>制造的货物，由本企业</w:t>
      </w:r>
      <w:r>
        <w:rPr>
          <w:rFonts w:hint="eastAsia" w:ascii="宋体" w:hAnsi="宋体" w:cs="宋体"/>
          <w:kern w:val="0"/>
          <w:szCs w:val="21"/>
        </w:rPr>
        <w:t>（单位）</w:t>
      </w:r>
      <w:r>
        <w:rPr>
          <w:rFonts w:ascii="宋体" w:hAnsi="宋体" w:cs="宋体"/>
          <w:kern w:val="0"/>
          <w:szCs w:val="21"/>
        </w:rPr>
        <w:t>承担工程、提供服务</w:t>
      </w: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w:t>
      </w:r>
      <w:r>
        <w:rPr>
          <w:rFonts w:hint="eastAsia" w:ascii="宋体" w:hAnsi="宋体" w:cs="宋体"/>
          <w:kern w:val="0"/>
          <w:szCs w:val="21"/>
        </w:rPr>
        <w:t>提供</w:t>
      </w:r>
      <w:r>
        <w:rPr>
          <w:rFonts w:ascii="宋体" w:hAnsi="宋体" w:cs="宋体"/>
          <w:kern w:val="0"/>
          <w:szCs w:val="21"/>
        </w:rPr>
        <w:t>协议合同金额占到</w:t>
      </w:r>
      <w:r>
        <w:rPr>
          <w:rFonts w:hint="eastAsia" w:ascii="宋体" w:hAnsi="宋体" w:cs="宋体"/>
          <w:kern w:val="0"/>
          <w:szCs w:val="21"/>
        </w:rPr>
        <w:t>共同磋商</w:t>
      </w:r>
      <w:r>
        <w:rPr>
          <w:rFonts w:ascii="宋体" w:hAnsi="宋体" w:cs="宋体"/>
          <w:kern w:val="0"/>
          <w:szCs w:val="21"/>
        </w:rPr>
        <w:t>协议合同总金额</w:t>
      </w:r>
      <w:r>
        <w:rPr>
          <w:rFonts w:hint="eastAsia" w:ascii="宋体" w:hAnsi="宋体" w:cs="宋体"/>
          <w:kern w:val="0"/>
          <w:szCs w:val="21"/>
        </w:rPr>
        <w:t>的比例为</w:t>
      </w:r>
      <w:r>
        <w:rPr>
          <w:rFonts w:hint="eastAsia" w:ascii="宋体" w:hAnsi="宋体" w:cs="宋体"/>
          <w:kern w:val="0"/>
          <w:szCs w:val="21"/>
          <w:u w:val="single"/>
        </w:rPr>
        <w:t xml:space="preserve">       </w:t>
      </w:r>
      <w:r>
        <w:rPr>
          <w:rFonts w:hint="eastAsia" w:ascii="宋体" w:hAnsi="宋体" w:cs="宋体"/>
          <w:kern w:val="0"/>
          <w:szCs w:val="21"/>
        </w:rPr>
        <w:t>。</w:t>
      </w:r>
    </w:p>
    <w:p>
      <w:pPr>
        <w:widowControl/>
        <w:snapToGrid w:val="0"/>
        <w:spacing w:before="100" w:beforeAutospacing="1" w:after="100" w:afterAutospacing="1" w:line="360" w:lineRule="auto"/>
        <w:jc w:val="left"/>
        <w:rPr>
          <w:rFonts w:ascii="宋体" w:hAnsi="宋体" w:cs="宋体"/>
          <w:kern w:val="0"/>
          <w:szCs w:val="21"/>
        </w:rPr>
      </w:pPr>
      <w:r>
        <w:rPr>
          <w:rFonts w:ascii="宋体" w:hAnsi="宋体" w:cs="宋体"/>
          <w:kern w:val="0"/>
          <w:szCs w:val="21"/>
        </w:rPr>
        <w:t>　　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napToGrid w:val="0"/>
        <w:spacing w:before="100" w:beforeAutospacing="1" w:after="100" w:afterAutospacing="1" w:line="360" w:lineRule="auto"/>
        <w:jc w:val="left"/>
        <w:rPr>
          <w:rFonts w:ascii="宋体" w:hAnsi="宋体"/>
          <w:b/>
          <w:kern w:val="0"/>
          <w:szCs w:val="21"/>
        </w:rPr>
      </w:pPr>
      <w:r>
        <w:rPr>
          <w:rFonts w:ascii="宋体" w:hAnsi="宋体" w:cs="宋体"/>
          <w:kern w:val="0"/>
          <w:szCs w:val="21"/>
        </w:rPr>
        <w:t>　　</w:t>
      </w:r>
      <w:r>
        <w:rPr>
          <w:rFonts w:ascii="宋体" w:hAnsi="宋体"/>
          <w:b/>
          <w:kern w:val="0"/>
          <w:szCs w:val="21"/>
        </w:rPr>
        <w:t>　</w:t>
      </w:r>
    </w:p>
    <w:p>
      <w:pPr>
        <w:snapToGrid w:val="0"/>
        <w:spacing w:line="360" w:lineRule="auto"/>
        <w:rPr>
          <w:rFonts w:ascii="宋体" w:hAnsi="宋体"/>
          <w:b/>
          <w:szCs w:val="21"/>
        </w:rPr>
      </w:pPr>
    </w:p>
    <w:p>
      <w:pPr>
        <w:spacing w:line="360" w:lineRule="auto"/>
        <w:ind w:firstLine="2520" w:firstLineChars="1200"/>
        <w:rPr>
          <w:rFonts w:ascii="宋体" w:hAnsi="宋体"/>
          <w:szCs w:val="21"/>
          <w:u w:val="single"/>
        </w:rPr>
      </w:pPr>
      <w:r>
        <w:rPr>
          <w:rFonts w:hint="eastAsia" w:ascii="宋体" w:hAnsi="宋体"/>
          <w:szCs w:val="21"/>
        </w:rPr>
        <w:t>供应商</w:t>
      </w:r>
      <w:r>
        <w:rPr>
          <w:rFonts w:hint="eastAsia" w:ascii="宋体" w:hAnsi="宋体"/>
          <w:szCs w:val="21"/>
          <w:lang w:val="en-US" w:eastAsia="zh-CN"/>
        </w:rPr>
        <w:t>名称</w:t>
      </w:r>
      <w:r>
        <w:rPr>
          <w:rFonts w:hint="eastAsia" w:ascii="宋体" w:hAnsi="宋体"/>
          <w:szCs w:val="21"/>
        </w:rPr>
        <w:t xml:space="preserve">（公章）： </w:t>
      </w:r>
      <w:r>
        <w:rPr>
          <w:rFonts w:hint="eastAsia" w:ascii="宋体" w:hAnsi="宋体"/>
          <w:szCs w:val="21"/>
          <w:u w:val="single"/>
        </w:rPr>
        <w:t xml:space="preserve">                              </w:t>
      </w:r>
    </w:p>
    <w:p>
      <w:pPr>
        <w:spacing w:line="360" w:lineRule="auto"/>
        <w:ind w:firstLine="2520" w:firstLineChars="120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ind w:firstLine="2520" w:firstLineChars="1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p>
    <w:p>
      <w:pPr>
        <w:pStyle w:val="2"/>
        <w:rPr>
          <w:rFonts w:ascii="宋体" w:hAnsi="宋体"/>
          <w:sz w:val="24"/>
        </w:rPr>
      </w:pPr>
    </w:p>
    <w:p>
      <w:pPr>
        <w:pStyle w:val="2"/>
        <w:ind w:firstLine="0"/>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adjustRightInd w:val="0"/>
        <w:snapToGrid w:val="0"/>
        <w:spacing w:line="360" w:lineRule="auto"/>
        <w:outlineLvl w:val="0"/>
        <w:rPr>
          <w:rFonts w:ascii="宋体" w:hAnsi="宋体"/>
          <w:b/>
          <w:sz w:val="24"/>
          <w:szCs w:val="24"/>
        </w:rPr>
      </w:pPr>
      <w:bookmarkStart w:id="607" w:name="_Toc6489"/>
      <w:bookmarkStart w:id="608" w:name="_Toc29190"/>
      <w:r>
        <w:rPr>
          <w:rFonts w:hint="eastAsia" w:ascii="宋体" w:hAnsi="宋体"/>
          <w:b/>
          <w:sz w:val="24"/>
          <w:szCs w:val="24"/>
        </w:rPr>
        <w:t>附件6：         “节能</w:t>
      </w:r>
      <w:r>
        <w:rPr>
          <w:rFonts w:hint="eastAsia" w:ascii="宋体" w:hAnsi="宋体"/>
          <w:b/>
          <w:bCs/>
          <w:sz w:val="24"/>
          <w:szCs w:val="24"/>
        </w:rPr>
        <w:t>产品</w:t>
      </w:r>
      <w:r>
        <w:rPr>
          <w:rFonts w:hint="eastAsia" w:ascii="宋体" w:hAnsi="宋体"/>
          <w:b/>
          <w:sz w:val="24"/>
          <w:szCs w:val="24"/>
        </w:rPr>
        <w:t>”、“环境标志</w:t>
      </w:r>
      <w:r>
        <w:rPr>
          <w:rFonts w:hint="eastAsia" w:ascii="宋体" w:hAnsi="宋体"/>
          <w:b/>
          <w:bCs/>
          <w:sz w:val="24"/>
          <w:szCs w:val="24"/>
        </w:rPr>
        <w:t>产品</w:t>
      </w:r>
      <w:r>
        <w:rPr>
          <w:rFonts w:hint="eastAsia" w:ascii="宋体" w:hAnsi="宋体"/>
          <w:b/>
          <w:sz w:val="24"/>
          <w:szCs w:val="24"/>
        </w:rPr>
        <w:t>”证明材料</w:t>
      </w:r>
      <w:bookmarkEnd w:id="607"/>
      <w:bookmarkEnd w:id="608"/>
    </w:p>
    <w:p>
      <w:pPr>
        <w:spacing w:line="360" w:lineRule="auto"/>
        <w:rPr>
          <w:rFonts w:ascii="宋体" w:hAnsi="宋体"/>
          <w:sz w:val="24"/>
        </w:rPr>
      </w:pPr>
    </w:p>
    <w:p>
      <w:pPr>
        <w:adjustRightInd w:val="0"/>
        <w:snapToGrid w:val="0"/>
        <w:spacing w:line="480" w:lineRule="auto"/>
        <w:rPr>
          <w:rFonts w:ascii="宋体" w:hAnsi="宋体"/>
          <w:b/>
          <w:bCs/>
          <w:szCs w:val="21"/>
          <w:highlight w:val="none"/>
        </w:rPr>
      </w:pPr>
      <w:r>
        <w:rPr>
          <w:rFonts w:hint="eastAsia" w:ascii="宋体" w:hAnsi="宋体"/>
          <w:b/>
          <w:bCs/>
          <w:szCs w:val="21"/>
        </w:rPr>
        <w:t>说明：</w:t>
      </w:r>
    </w:p>
    <w:p>
      <w:pPr>
        <w:adjustRightInd w:val="0"/>
        <w:snapToGrid w:val="0"/>
        <w:spacing w:line="480" w:lineRule="auto"/>
        <w:ind w:firstLine="420" w:firstLineChars="200"/>
        <w:rPr>
          <w:rFonts w:ascii="宋体" w:hAnsi="宋体"/>
          <w:szCs w:val="21"/>
        </w:rPr>
      </w:pPr>
      <w:r>
        <w:rPr>
          <w:rFonts w:hint="eastAsia" w:ascii="宋体" w:hAnsi="宋体"/>
          <w:bCs/>
          <w:szCs w:val="21"/>
          <w:highlight w:val="none"/>
        </w:rPr>
        <w:t>1、</w:t>
      </w:r>
      <w:r>
        <w:rPr>
          <w:rFonts w:hint="eastAsia" w:ascii="宋体" w:hAnsi="宋体"/>
          <w:szCs w:val="21"/>
          <w:highlight w:val="none"/>
        </w:rPr>
        <w:t>供应商提供的产品</w:t>
      </w:r>
      <w:r>
        <w:rPr>
          <w:rFonts w:hint="eastAsia" w:ascii="宋体" w:hAnsi="宋体"/>
          <w:bCs/>
          <w:szCs w:val="21"/>
          <w:highlight w:val="none"/>
        </w:rPr>
        <w:t>属于</w:t>
      </w:r>
      <w:r>
        <w:rPr>
          <w:rFonts w:hint="eastAsia" w:ascii="宋体" w:hAnsi="宋体"/>
          <w:szCs w:val="21"/>
          <w:highlight w:val="none"/>
        </w:rPr>
        <w:t>下列情形，应按第</w:t>
      </w:r>
      <w:r>
        <w:rPr>
          <w:rFonts w:hint="eastAsia" w:ascii="宋体" w:hAnsi="宋体"/>
          <w:szCs w:val="21"/>
          <w:highlight w:val="none"/>
          <w:lang w:val="en-US" w:eastAsia="zh-CN"/>
        </w:rPr>
        <w:t>三</w:t>
      </w:r>
      <w:r>
        <w:rPr>
          <w:rFonts w:hint="eastAsia" w:ascii="宋体" w:hAnsi="宋体"/>
          <w:szCs w:val="21"/>
          <w:highlight w:val="none"/>
        </w:rPr>
        <w:t>章</w:t>
      </w:r>
      <w:r>
        <w:rPr>
          <w:rFonts w:hint="eastAsia" w:ascii="宋体" w:hAnsi="宋体"/>
          <w:szCs w:val="21"/>
          <w:highlight w:val="none"/>
          <w:lang w:val="en-US" w:eastAsia="zh-CN"/>
        </w:rPr>
        <w:t>供应商</w:t>
      </w:r>
      <w:r>
        <w:rPr>
          <w:rFonts w:hint="eastAsia" w:ascii="宋体" w:hAnsi="宋体"/>
          <w:szCs w:val="21"/>
          <w:highlight w:val="none"/>
        </w:rPr>
        <w:t>须知第</w:t>
      </w:r>
      <w:r>
        <w:rPr>
          <w:rFonts w:hint="eastAsia" w:ascii="宋体" w:hAnsi="宋体"/>
          <w:szCs w:val="21"/>
          <w:highlight w:val="none"/>
          <w:lang w:val="en-US" w:eastAsia="zh-CN"/>
        </w:rPr>
        <w:t>24.4</w:t>
      </w:r>
      <w:r>
        <w:rPr>
          <w:rFonts w:hint="eastAsia" w:ascii="宋体" w:hAnsi="宋体" w:cs="宋体"/>
          <w:kern w:val="0"/>
          <w:szCs w:val="21"/>
          <w:highlight w:val="none"/>
          <w:lang w:val="zh-CN"/>
        </w:rPr>
        <w:t>款</w:t>
      </w:r>
      <w:r>
        <w:rPr>
          <w:rFonts w:hint="eastAsia" w:ascii="宋体" w:hAnsi="宋体" w:cs="宋体"/>
          <w:kern w:val="0"/>
          <w:szCs w:val="21"/>
          <w:highlight w:val="none"/>
          <w:lang w:val="en-US" w:eastAsia="zh-CN"/>
        </w:rPr>
        <w:t>其中对产</w:t>
      </w:r>
      <w:r>
        <w:rPr>
          <w:rFonts w:hint="eastAsia" w:ascii="宋体" w:hAnsi="宋体" w:cs="宋体"/>
          <w:kern w:val="0"/>
          <w:szCs w:val="21"/>
          <w:lang w:val="en-US" w:eastAsia="zh-CN"/>
        </w:rPr>
        <w:t>品的</w:t>
      </w:r>
      <w:r>
        <w:rPr>
          <w:rFonts w:hint="eastAsia" w:ascii="宋体" w:hAnsi="宋体"/>
          <w:szCs w:val="21"/>
        </w:rPr>
        <w:t>规定提供相关证明材料(</w:t>
      </w:r>
      <w:r>
        <w:rPr>
          <w:rFonts w:hint="eastAsia" w:ascii="宋体" w:hAnsi="宋体"/>
          <w:bCs/>
          <w:szCs w:val="21"/>
        </w:rPr>
        <w:t>清单或目录所在页复印件</w:t>
      </w:r>
      <w:r>
        <w:rPr>
          <w:rFonts w:hint="eastAsia" w:ascii="宋体" w:hAnsi="宋体"/>
          <w:szCs w:val="21"/>
        </w:rPr>
        <w:t>)，并在《</w:t>
      </w:r>
      <w:r>
        <w:rPr>
          <w:rFonts w:hint="eastAsia" w:ascii="宋体" w:hAnsi="宋体"/>
          <w:bCs/>
          <w:szCs w:val="21"/>
        </w:rPr>
        <w:t>初次</w:t>
      </w:r>
      <w:r>
        <w:rPr>
          <w:rFonts w:hint="eastAsia" w:ascii="宋体" w:hAnsi="宋体"/>
          <w:szCs w:val="21"/>
        </w:rPr>
        <w:t>产品分项报价表》中提供相应数据。</w:t>
      </w:r>
    </w:p>
    <w:p>
      <w:pPr>
        <w:adjustRightInd w:val="0"/>
        <w:snapToGrid w:val="0"/>
        <w:spacing w:line="480" w:lineRule="auto"/>
        <w:ind w:firstLine="525" w:firstLineChars="250"/>
        <w:rPr>
          <w:rFonts w:ascii="宋体" w:hAnsi="宋体"/>
          <w:bCs/>
          <w:szCs w:val="21"/>
        </w:rPr>
      </w:pPr>
      <w:r>
        <w:rPr>
          <w:rFonts w:hint="eastAsia" w:ascii="宋体" w:hAnsi="宋体"/>
          <w:bCs/>
          <w:szCs w:val="21"/>
        </w:rPr>
        <w:t>(1)符合</w:t>
      </w:r>
      <w:r>
        <w:rPr>
          <w:rFonts w:hint="eastAsia" w:ascii="宋体" w:hAnsi="宋体"/>
          <w:szCs w:val="21"/>
        </w:rPr>
        <w:t>政府采购强制采购政策的(《节能产品政府采购清单》中标记★符号节能产品及其他强制采购产品)；</w:t>
      </w:r>
    </w:p>
    <w:p>
      <w:pPr>
        <w:adjustRightInd w:val="0"/>
        <w:snapToGrid w:val="0"/>
        <w:spacing w:line="480" w:lineRule="auto"/>
        <w:ind w:firstLine="525" w:firstLineChars="250"/>
        <w:rPr>
          <w:rFonts w:ascii="宋体" w:hAnsi="宋体"/>
          <w:bCs/>
          <w:szCs w:val="21"/>
        </w:rPr>
      </w:pPr>
      <w:r>
        <w:rPr>
          <w:rFonts w:hint="eastAsia" w:ascii="宋体" w:hAnsi="宋体"/>
          <w:bCs/>
          <w:szCs w:val="21"/>
        </w:rPr>
        <w:t>(2)符合</w:t>
      </w:r>
      <w:r>
        <w:rPr>
          <w:rFonts w:hint="eastAsia" w:ascii="宋体" w:hAnsi="宋体"/>
          <w:szCs w:val="21"/>
        </w:rPr>
        <w:t>政府采购优先采购政策的(《节能产品政府采购清单》中非标记★符号节能产品，《环境标志产品政府采购清单》中环境标志</w:t>
      </w:r>
      <w:r>
        <w:rPr>
          <w:rFonts w:hint="eastAsia" w:ascii="宋体" w:hAnsi="宋体"/>
          <w:bCs/>
          <w:szCs w:val="21"/>
        </w:rPr>
        <w:t>产品</w:t>
      </w:r>
      <w:r>
        <w:rPr>
          <w:rFonts w:hint="eastAsia" w:ascii="宋体" w:hAnsi="宋体"/>
          <w:szCs w:val="21"/>
        </w:rPr>
        <w:t>。</w:t>
      </w:r>
    </w:p>
    <w:p>
      <w:pPr>
        <w:adjustRightInd w:val="0"/>
        <w:snapToGrid w:val="0"/>
        <w:spacing w:line="480" w:lineRule="auto"/>
        <w:ind w:firstLine="420" w:firstLineChars="200"/>
        <w:rPr>
          <w:rFonts w:ascii="宋体" w:hAnsi="宋体"/>
          <w:bCs/>
          <w:szCs w:val="21"/>
        </w:rPr>
      </w:pPr>
      <w:r>
        <w:rPr>
          <w:rFonts w:hint="eastAsia" w:ascii="宋体" w:hAnsi="宋体"/>
          <w:bCs/>
          <w:szCs w:val="21"/>
        </w:rPr>
        <w:t>2、未按上述要求提供的，评审时不予以考虑。</w:t>
      </w: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line="360" w:lineRule="auto"/>
        <w:ind w:firstLine="525" w:firstLineChars="250"/>
        <w:rPr>
          <w:rFonts w:ascii="宋体" w:hAnsi="宋体"/>
          <w:bCs/>
          <w:szCs w:val="21"/>
        </w:rPr>
      </w:pPr>
    </w:p>
    <w:p>
      <w:pPr>
        <w:adjustRightInd w:val="0"/>
        <w:snapToGrid w:val="0"/>
        <w:spacing w:after="120" w:afterLines="50" w:line="360" w:lineRule="auto"/>
        <w:rPr>
          <w:rFonts w:ascii="宋体" w:hAnsi="宋体"/>
          <w:b/>
          <w:bCs/>
          <w:sz w:val="36"/>
          <w:szCs w:val="36"/>
        </w:rPr>
        <w:sectPr>
          <w:headerReference r:id="rId11" w:type="default"/>
          <w:footerReference r:id="rId12"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bCs/>
          <w:sz w:val="24"/>
        </w:rPr>
        <w:t xml:space="preserve">     </w:t>
      </w:r>
    </w:p>
    <w:p>
      <w:pPr>
        <w:autoSpaceDE w:val="0"/>
        <w:autoSpaceDN w:val="0"/>
        <w:adjustRightInd w:val="0"/>
        <w:snapToGrid w:val="0"/>
        <w:outlineLvl w:val="0"/>
        <w:rPr>
          <w:rFonts w:ascii="宋体" w:hAnsi="宋体"/>
          <w:b/>
          <w:sz w:val="36"/>
          <w:szCs w:val="36"/>
        </w:rPr>
      </w:pPr>
      <w:bookmarkStart w:id="609" w:name="_Toc26975"/>
      <w:bookmarkStart w:id="610" w:name="_Toc16139"/>
      <w:r>
        <w:rPr>
          <w:rFonts w:hint="eastAsia" w:ascii="宋体" w:hAnsi="宋体"/>
          <w:b/>
          <w:sz w:val="24"/>
        </w:rPr>
        <w:t>附件7：                   供应商企业关系关联承诺书</w:t>
      </w:r>
      <w:bookmarkEnd w:id="609"/>
      <w:bookmarkEnd w:id="610"/>
    </w:p>
    <w:p>
      <w:pPr>
        <w:autoSpaceDE w:val="0"/>
        <w:autoSpaceDN w:val="0"/>
        <w:adjustRightInd w:val="0"/>
        <w:spacing w:line="360" w:lineRule="auto"/>
        <w:ind w:firstLine="480" w:firstLineChars="200"/>
        <w:rPr>
          <w:rFonts w:ascii="宋体" w:hAnsi="宋体" w:cs="仿宋"/>
          <w:sz w:val="24"/>
        </w:rPr>
      </w:pP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一、供应商股东及股权证明(提供相关证明材料)。</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二、供应商在本项目磋商中，不存在与其它供应商负责人为同一人，有控股、管理等关联关系承诺。</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1.管理关系说明：</w:t>
      </w:r>
    </w:p>
    <w:p>
      <w:pPr>
        <w:autoSpaceDE w:val="0"/>
        <w:autoSpaceDN w:val="0"/>
        <w:adjustRightInd w:val="0"/>
        <w:spacing w:line="360" w:lineRule="auto"/>
        <w:ind w:firstLine="420" w:firstLineChars="200"/>
        <w:rPr>
          <w:rFonts w:ascii="宋体" w:hAnsi="宋体" w:cs="仿宋"/>
          <w:szCs w:val="21"/>
          <w:u w:val="single"/>
        </w:rPr>
      </w:pPr>
      <w:r>
        <w:rPr>
          <w:rFonts w:hint="eastAsia" w:ascii="宋体" w:hAnsi="宋体" w:cs="仿宋"/>
          <w:szCs w:val="21"/>
        </w:rPr>
        <w:t>我单位管理的具有独立法人的下属单位：</w:t>
      </w:r>
      <w:r>
        <w:rPr>
          <w:rFonts w:hint="eastAsia" w:ascii="宋体" w:hAnsi="宋体" w:cs="仿宋"/>
          <w:szCs w:val="21"/>
          <w:u w:val="single"/>
        </w:rPr>
        <w:t xml:space="preserve">      </w:t>
      </w:r>
      <w:r>
        <w:rPr>
          <w:rFonts w:hint="eastAsia" w:ascii="宋体" w:hAnsi="宋体" w:cs="仿宋"/>
          <w:szCs w:val="21"/>
        </w:rPr>
        <w:t>(没有填无)。</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 xml:space="preserve">我单位的上级管理单位 </w:t>
      </w:r>
      <w:r>
        <w:rPr>
          <w:rFonts w:hint="eastAsia" w:ascii="宋体" w:hAnsi="宋体" w:cs="仿宋"/>
          <w:szCs w:val="21"/>
          <w:u w:val="single"/>
        </w:rPr>
        <w:t xml:space="preserve">            </w:t>
      </w:r>
      <w:r>
        <w:rPr>
          <w:rFonts w:hint="eastAsia" w:ascii="宋体" w:hAnsi="宋体" w:cs="仿宋"/>
          <w:szCs w:val="21"/>
        </w:rPr>
        <w:t xml:space="preserve"> (没有填无)。</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2.股权关系说明：</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我单位控股的单位</w:t>
      </w:r>
      <w:r>
        <w:rPr>
          <w:rFonts w:hint="eastAsia" w:ascii="宋体" w:hAnsi="宋体" w:cs="仿宋"/>
          <w:szCs w:val="21"/>
          <w:u w:val="single"/>
        </w:rPr>
        <w:t xml:space="preserve">          </w:t>
      </w:r>
      <w:r>
        <w:rPr>
          <w:rFonts w:hint="eastAsia" w:ascii="宋体" w:hAnsi="宋体" w:cs="仿宋"/>
          <w:szCs w:val="21"/>
        </w:rPr>
        <w:t>(没有填无) 。</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我单位</w:t>
      </w:r>
      <w:r>
        <w:rPr>
          <w:rFonts w:hint="eastAsia" w:ascii="宋体" w:hAnsi="宋体" w:cs="仿宋"/>
          <w:szCs w:val="21"/>
          <w:u w:val="single"/>
        </w:rPr>
        <w:t xml:space="preserve">      </w:t>
      </w:r>
      <w:r>
        <w:rPr>
          <w:rFonts w:hint="eastAsia" w:ascii="宋体" w:hAnsi="宋体" w:cs="仿宋"/>
          <w:szCs w:val="21"/>
        </w:rPr>
        <w:t>(没有填无)被</w:t>
      </w:r>
      <w:r>
        <w:rPr>
          <w:rFonts w:hint="eastAsia" w:ascii="宋体" w:hAnsi="宋体" w:cs="仿宋"/>
          <w:szCs w:val="21"/>
          <w:u w:val="single"/>
        </w:rPr>
        <w:t xml:space="preserve">   （控股单位全称）  </w:t>
      </w:r>
      <w:r>
        <w:rPr>
          <w:rFonts w:hint="eastAsia" w:ascii="宋体" w:hAnsi="宋体" w:cs="仿宋"/>
          <w:szCs w:val="21"/>
        </w:rPr>
        <w:t>单位控股。</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3.单位负责人：</w:t>
      </w:r>
      <w:r>
        <w:rPr>
          <w:rFonts w:hint="eastAsia" w:ascii="宋体" w:hAnsi="宋体" w:cs="仿宋"/>
          <w:szCs w:val="21"/>
          <w:u w:val="single"/>
        </w:rPr>
        <w:t xml:space="preserve">        </w:t>
      </w:r>
      <w:r>
        <w:rPr>
          <w:rFonts w:hint="eastAsia" w:ascii="宋体" w:hAnsi="宋体" w:cs="仿宋"/>
          <w:szCs w:val="21"/>
        </w:rPr>
        <w:t xml:space="preserve"> (没有填无)。</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三、我单位</w:t>
      </w:r>
      <w:r>
        <w:rPr>
          <w:rFonts w:hint="eastAsia" w:ascii="宋体" w:hAnsi="宋体" w:cs="仿宋"/>
          <w:szCs w:val="21"/>
          <w:u w:val="single"/>
        </w:rPr>
        <w:t xml:space="preserve">          </w:t>
      </w:r>
      <w:r>
        <w:rPr>
          <w:rFonts w:hint="eastAsia" w:ascii="宋体" w:hAnsi="宋体" w:cs="仿宋"/>
          <w:szCs w:val="21"/>
        </w:rPr>
        <w:t>（是或否） 为本采购项目提供过整体设计、规范编制或者项目管理、监理、检测等服务的供应商。</w:t>
      </w:r>
    </w:p>
    <w:p>
      <w:pPr>
        <w:autoSpaceDE w:val="0"/>
        <w:autoSpaceDN w:val="0"/>
        <w:adjustRightInd w:val="0"/>
        <w:spacing w:line="360" w:lineRule="auto"/>
        <w:ind w:firstLine="420" w:firstLineChars="200"/>
        <w:rPr>
          <w:rFonts w:ascii="宋体" w:hAnsi="宋体" w:cs="仿宋"/>
          <w:szCs w:val="21"/>
        </w:rPr>
      </w:pPr>
      <w:r>
        <w:rPr>
          <w:rFonts w:hint="eastAsia" w:ascii="宋体" w:hAnsi="宋体" w:cs="仿宋"/>
          <w:szCs w:val="21"/>
        </w:rPr>
        <w:t>四、其他与本项目有关的利害关系说明。</w:t>
      </w:r>
    </w:p>
    <w:p>
      <w:pPr>
        <w:autoSpaceDE w:val="0"/>
        <w:autoSpaceDN w:val="0"/>
        <w:adjustRightInd w:val="0"/>
        <w:spacing w:line="360" w:lineRule="auto"/>
        <w:ind w:firstLine="420" w:firstLineChars="200"/>
        <w:rPr>
          <w:rFonts w:ascii="宋体" w:hAnsi="宋体"/>
          <w:szCs w:val="21"/>
        </w:rPr>
      </w:pPr>
      <w:r>
        <w:rPr>
          <w:rFonts w:hint="eastAsia" w:ascii="宋体" w:hAnsi="宋体" w:cs="仿宋"/>
          <w:szCs w:val="21"/>
        </w:rPr>
        <w:t>我单位承诺以上说明真实有效，无虚假内容或隐瞒。</w:t>
      </w:r>
    </w:p>
    <w:p>
      <w:pPr>
        <w:spacing w:line="360" w:lineRule="auto"/>
        <w:ind w:firstLine="1920" w:firstLineChars="800"/>
        <w:rPr>
          <w:rFonts w:ascii="宋体" w:hAnsi="宋体"/>
          <w:sz w:val="24"/>
        </w:rPr>
      </w:pPr>
    </w:p>
    <w:p>
      <w:pPr>
        <w:spacing w:line="360" w:lineRule="auto"/>
        <w:ind w:firstLine="1920" w:firstLineChars="800"/>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ind w:firstLine="0"/>
        <w:rPr>
          <w:rFonts w:ascii="宋体" w:hAnsi="宋体"/>
          <w:sz w:val="24"/>
        </w:rPr>
      </w:pPr>
    </w:p>
    <w:p>
      <w:pPr>
        <w:snapToGrid w:val="0"/>
        <w:spacing w:line="360" w:lineRule="auto"/>
        <w:rPr>
          <w:rFonts w:ascii="宋体" w:hAnsi="宋体"/>
          <w:b/>
          <w:szCs w:val="21"/>
        </w:rPr>
      </w:pPr>
    </w:p>
    <w:p>
      <w:pPr>
        <w:spacing w:line="360" w:lineRule="auto"/>
        <w:ind w:firstLine="3360" w:firstLineChars="1600"/>
        <w:rPr>
          <w:rFonts w:ascii="宋体" w:hAnsi="宋体"/>
          <w:szCs w:val="21"/>
          <w:u w:val="single"/>
        </w:rPr>
      </w:pPr>
      <w:r>
        <w:rPr>
          <w:rFonts w:hint="eastAsia" w:ascii="宋体" w:hAnsi="宋体"/>
          <w:szCs w:val="21"/>
        </w:rPr>
        <w:t>供应商</w:t>
      </w:r>
      <w:r>
        <w:rPr>
          <w:rFonts w:hint="eastAsia" w:ascii="宋体" w:hAnsi="宋体"/>
          <w:szCs w:val="21"/>
          <w:lang w:val="en-US" w:eastAsia="zh-CN"/>
        </w:rPr>
        <w:t>名称</w:t>
      </w:r>
      <w:r>
        <w:rPr>
          <w:rFonts w:hint="eastAsia" w:ascii="宋体" w:hAnsi="宋体"/>
          <w:szCs w:val="21"/>
        </w:rPr>
        <w:t xml:space="preserve">（公章）： </w:t>
      </w:r>
      <w:r>
        <w:rPr>
          <w:rFonts w:hint="eastAsia" w:ascii="宋体" w:hAnsi="宋体"/>
          <w:szCs w:val="21"/>
          <w:u w:val="single"/>
        </w:rPr>
        <w:t xml:space="preserve">                              </w:t>
      </w:r>
    </w:p>
    <w:p>
      <w:pPr>
        <w:spacing w:line="360" w:lineRule="auto"/>
        <w:ind w:firstLine="3360" w:firstLineChars="160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ind w:firstLine="3360" w:firstLineChars="16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rPr>
          <w:rFonts w:ascii="宋体" w:hAnsi="宋体"/>
          <w:sz w:val="21"/>
          <w:szCs w:val="21"/>
          <w:u w:val="single"/>
        </w:rPr>
      </w:pPr>
    </w:p>
    <w:p>
      <w:pPr>
        <w:pStyle w:val="2"/>
        <w:ind w:firstLine="0"/>
        <w:rPr>
          <w:rFonts w:ascii="宋体" w:hAnsi="宋体"/>
          <w:sz w:val="21"/>
          <w:szCs w:val="21"/>
          <w:u w:val="single"/>
        </w:rPr>
      </w:pPr>
    </w:p>
    <w:p>
      <w:pPr>
        <w:adjustRightInd w:val="0"/>
        <w:snapToGrid w:val="0"/>
        <w:spacing w:line="360" w:lineRule="auto"/>
        <w:outlineLvl w:val="0"/>
        <w:rPr>
          <w:rFonts w:ascii="宋体" w:hAnsi="宋体"/>
          <w:b/>
          <w:sz w:val="24"/>
          <w:szCs w:val="24"/>
        </w:rPr>
      </w:pPr>
      <w:bookmarkStart w:id="611" w:name="_Toc31635"/>
      <w:bookmarkStart w:id="612" w:name="_Toc19670"/>
      <w:r>
        <w:rPr>
          <w:rFonts w:hint="eastAsia" w:ascii="宋体" w:hAnsi="宋体"/>
          <w:b/>
          <w:sz w:val="24"/>
        </w:rPr>
        <w:t xml:space="preserve">附件8：      </w:t>
      </w:r>
      <w:r>
        <w:rPr>
          <w:rFonts w:hint="eastAsia" w:ascii="宋体" w:hAnsi="宋体"/>
          <w:b/>
          <w:sz w:val="24"/>
          <w:szCs w:val="24"/>
        </w:rPr>
        <w:t xml:space="preserve">         </w:t>
      </w:r>
      <w:r>
        <w:rPr>
          <w:rFonts w:ascii="宋体" w:hAnsi="宋体"/>
          <w:b/>
          <w:sz w:val="24"/>
          <w:szCs w:val="24"/>
        </w:rPr>
        <w:t>拒绝政府采购领域商业贿赂承诺书</w:t>
      </w:r>
      <w:bookmarkEnd w:id="611"/>
      <w:bookmarkEnd w:id="612"/>
    </w:p>
    <w:p>
      <w:pPr>
        <w:pStyle w:val="2"/>
      </w:pP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为响应党中央、国务院关于治理政府采购领域商业贿赂行为的号召，我公司在此庄严承诺：</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一、在参与政府采购活动中遵纪守法、诚信经营、公平竞标。</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二、不向政府采购人、采购代理机构和政府采购评审专家进行任何形式的商业贿赂以谋取交易机会。</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三、不向政府采购代理机构和采购人提供虚假资质证明文件或采用虚假应标方式参与政府采购市场竞争并谋取中标、成交。</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四、不采取“围标、陪标”等商业欺诈手段获得政府采购订单。</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五、不采取不正当手段诋毁、排挤其他供应商。</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六、不在提供货物和服务时“偷梁换柱、以次充好”损害采购人的合法权益。</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七、不与采购人、采购代理机构、政府采购评审专家或其它供应商恶意串通，进行质疑和投诉，维护政府采购市场秩序。</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八、尊重和接受政府采购监督管理部门的监督和政府采购代理机构招标采购要求，承担因违约行为给采购人造成的损失。</w:t>
      </w:r>
    </w:p>
    <w:p>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 xml:space="preserve">    九、不发生其他有悖于政府采购公开、公平、公正和诚信原则的行为</w:t>
      </w:r>
      <w:r>
        <w:rPr>
          <w:rFonts w:ascii="宋体" w:hAnsi="宋体"/>
          <w:szCs w:val="21"/>
          <w:lang w:val="zh-CN"/>
        </w:rPr>
        <w:t>。</w:t>
      </w:r>
      <w:r>
        <w:rPr>
          <w:rFonts w:hint="eastAsia" w:ascii="宋体" w:hAnsi="宋体"/>
          <w:szCs w:val="21"/>
          <w:lang w:val="zh-CN"/>
        </w:rPr>
        <w:t xml:space="preserve">                                    </w:t>
      </w:r>
    </w:p>
    <w:p>
      <w:pPr>
        <w:autoSpaceDE w:val="0"/>
        <w:autoSpaceDN w:val="0"/>
        <w:adjustRightInd w:val="0"/>
        <w:spacing w:line="560" w:lineRule="exact"/>
        <w:ind w:firstLine="480" w:firstLineChars="200"/>
        <w:rPr>
          <w:rFonts w:ascii="宋体" w:hAnsi="宋体"/>
          <w:sz w:val="24"/>
          <w:lang w:val="zh-CN"/>
        </w:rPr>
      </w:pPr>
    </w:p>
    <w:p>
      <w:pPr>
        <w:pStyle w:val="2"/>
        <w:rPr>
          <w:lang w:val="zh-CN"/>
        </w:rPr>
      </w:pPr>
    </w:p>
    <w:p>
      <w:pPr>
        <w:autoSpaceDE w:val="0"/>
        <w:autoSpaceDN w:val="0"/>
        <w:adjustRightInd w:val="0"/>
        <w:spacing w:line="560" w:lineRule="exact"/>
        <w:ind w:firstLine="480" w:firstLineChars="200"/>
        <w:rPr>
          <w:rFonts w:ascii="宋体" w:hAnsi="宋体"/>
          <w:sz w:val="24"/>
          <w:lang w:val="zh-CN"/>
        </w:rPr>
      </w:pPr>
    </w:p>
    <w:p>
      <w:pPr>
        <w:spacing w:line="360" w:lineRule="auto"/>
        <w:ind w:firstLine="3360" w:firstLineChars="1600"/>
        <w:rPr>
          <w:rFonts w:ascii="宋体" w:hAnsi="宋体"/>
          <w:szCs w:val="21"/>
          <w:u w:val="single"/>
        </w:rPr>
      </w:pPr>
      <w:r>
        <w:rPr>
          <w:rFonts w:hint="eastAsia" w:ascii="宋体" w:hAnsi="宋体"/>
          <w:szCs w:val="21"/>
        </w:rPr>
        <w:t>供应商</w:t>
      </w:r>
      <w:r>
        <w:rPr>
          <w:rFonts w:hint="eastAsia" w:ascii="宋体" w:hAnsi="宋体"/>
          <w:szCs w:val="21"/>
          <w:lang w:val="en-US" w:eastAsia="zh-CN"/>
        </w:rPr>
        <w:t>名称</w:t>
      </w:r>
      <w:r>
        <w:rPr>
          <w:rFonts w:hint="eastAsia" w:ascii="宋体" w:hAnsi="宋体"/>
          <w:szCs w:val="21"/>
        </w:rPr>
        <w:t xml:space="preserve">（公章）： </w:t>
      </w:r>
      <w:r>
        <w:rPr>
          <w:rFonts w:hint="eastAsia" w:ascii="宋体" w:hAnsi="宋体"/>
          <w:szCs w:val="21"/>
          <w:u w:val="single"/>
        </w:rPr>
        <w:t xml:space="preserve">                              </w:t>
      </w:r>
    </w:p>
    <w:p>
      <w:pPr>
        <w:spacing w:line="360" w:lineRule="auto"/>
        <w:ind w:firstLine="3360" w:firstLineChars="160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ind w:firstLine="3360" w:firstLineChars="16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pPr>
        <w:adjustRightInd w:val="0"/>
        <w:snapToGrid w:val="0"/>
        <w:jc w:val="center"/>
        <w:rPr>
          <w:rFonts w:ascii="宋体" w:hAnsi="宋体"/>
          <w:sz w:val="24"/>
          <w:u w:val="single"/>
        </w:rPr>
      </w:pPr>
    </w:p>
    <w:p>
      <w:pPr>
        <w:adjustRightInd w:val="0"/>
        <w:snapToGrid w:val="0"/>
        <w:jc w:val="center"/>
        <w:rPr>
          <w:rFonts w:ascii="宋体" w:hAnsi="宋体"/>
          <w:sz w:val="24"/>
          <w:u w:val="single"/>
        </w:rPr>
      </w:pPr>
    </w:p>
    <w:p>
      <w:pPr>
        <w:adjustRightInd w:val="0"/>
        <w:snapToGrid w:val="0"/>
        <w:jc w:val="center"/>
        <w:rPr>
          <w:rFonts w:ascii="宋体" w:hAnsi="宋体"/>
          <w:sz w:val="24"/>
          <w:u w:val="single"/>
        </w:rPr>
      </w:pPr>
    </w:p>
    <w:p>
      <w:pPr>
        <w:adjustRightInd w:val="0"/>
        <w:snapToGrid w:val="0"/>
        <w:jc w:val="center"/>
        <w:rPr>
          <w:rFonts w:ascii="宋体" w:hAnsi="宋体"/>
          <w:sz w:val="24"/>
          <w:u w:val="single"/>
        </w:rPr>
      </w:pPr>
    </w:p>
    <w:p>
      <w:pPr>
        <w:adjustRightInd w:val="0"/>
        <w:snapToGrid w:val="0"/>
        <w:jc w:val="center"/>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adjustRightInd w:val="0"/>
        <w:snapToGrid w:val="0"/>
        <w:jc w:val="center"/>
        <w:rPr>
          <w:rFonts w:ascii="宋体" w:hAnsi="宋体"/>
          <w:sz w:val="24"/>
          <w:u w:val="single"/>
        </w:rPr>
      </w:pPr>
    </w:p>
    <w:p>
      <w:pPr>
        <w:pStyle w:val="7"/>
        <w:adjustRightInd w:val="0"/>
        <w:spacing w:line="416" w:lineRule="atLeast"/>
        <w:textAlignment w:val="baseline"/>
        <w:outlineLvl w:val="9"/>
        <w:rPr>
          <w:rFonts w:ascii="宋体" w:hAnsi="宋体" w:eastAsia="宋体" w:cs="宋体"/>
        </w:rPr>
      </w:pPr>
    </w:p>
    <w:bookmarkEnd w:id="583"/>
    <w:bookmarkEnd w:id="584"/>
    <w:bookmarkEnd w:id="585"/>
    <w:bookmarkEnd w:id="586"/>
    <w:p>
      <w:pPr>
        <w:rPr>
          <w:rFonts w:ascii="宋体" w:hAnsi="宋体" w:cs="宋体"/>
        </w:rPr>
      </w:pPr>
    </w:p>
    <w:p>
      <w:pPr>
        <w:rPr>
          <w:rFonts w:ascii="宋体" w:hAnsi="宋体" w:cs="宋体"/>
        </w:rPr>
      </w:pPr>
    </w:p>
    <w:p>
      <w:pPr>
        <w:pStyle w:val="7"/>
        <w:adjustRightInd w:val="0"/>
        <w:spacing w:line="416" w:lineRule="atLeast"/>
        <w:jc w:val="center"/>
        <w:textAlignment w:val="baseline"/>
        <w:outlineLvl w:val="0"/>
        <w:rPr>
          <w:rFonts w:ascii="宋体" w:hAnsi="宋体" w:eastAsia="宋体"/>
          <w:kern w:val="2"/>
          <w:sz w:val="24"/>
          <w:szCs w:val="24"/>
        </w:rPr>
      </w:pPr>
      <w:bookmarkStart w:id="613" w:name="_Toc10282"/>
      <w:bookmarkStart w:id="614" w:name="_Toc31637"/>
      <w:bookmarkStart w:id="615" w:name="_Toc12445"/>
      <w:bookmarkStart w:id="616" w:name="_Toc3871"/>
      <w:r>
        <w:rPr>
          <w:rFonts w:hint="eastAsia" w:ascii="宋体" w:hAnsi="宋体" w:eastAsia="宋体" w:cs="宋体"/>
          <w:lang w:val="en-US" w:eastAsia="zh-CN"/>
        </w:rPr>
        <w:t>九</w:t>
      </w:r>
      <w:r>
        <w:rPr>
          <w:rFonts w:hint="eastAsia" w:ascii="宋体" w:hAnsi="宋体" w:eastAsia="宋体" w:cs="宋体"/>
          <w:szCs w:val="32"/>
        </w:rPr>
        <w:t>、</w:t>
      </w:r>
      <w:bookmarkEnd w:id="613"/>
      <w:r>
        <w:rPr>
          <w:rFonts w:hint="eastAsia" w:ascii="宋体" w:hAnsi="宋体" w:eastAsia="宋体"/>
          <w:kern w:val="2"/>
          <w:szCs w:val="32"/>
        </w:rPr>
        <w:t>技术方案</w:t>
      </w:r>
      <w:bookmarkEnd w:id="614"/>
      <w:bookmarkEnd w:id="615"/>
      <w:bookmarkEnd w:id="616"/>
    </w:p>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（供应商根据办法自行编制，格式自拟）</w:t>
      </w:r>
    </w:p>
    <w:p>
      <w:pPr>
        <w:adjustRightInd w:val="0"/>
        <w:snapToGrid w:val="0"/>
        <w:spacing w:line="360" w:lineRule="auto"/>
        <w:rPr>
          <w:rFonts w:ascii="宋体" w:hAnsi="宋体" w:cs="宋体"/>
          <w:sz w:val="24"/>
        </w:rPr>
      </w:pPr>
    </w:p>
    <w:p>
      <w:pPr>
        <w:rPr>
          <w:rFonts w:ascii="宋体" w:hAnsi="宋体" w:cs="宋体"/>
        </w:rPr>
      </w:pPr>
    </w:p>
    <w:p>
      <w:pPr>
        <w:pStyle w:val="3"/>
        <w:rPr>
          <w:rFonts w:ascii="宋体" w:hAnsi="宋体" w:cs="宋体"/>
        </w:rPr>
      </w:pPr>
    </w:p>
    <w:p>
      <w:pPr>
        <w:rPr>
          <w:rFonts w:ascii="宋体" w:hAnsi="宋体" w:cs="宋体"/>
        </w:rPr>
      </w:pPr>
    </w:p>
    <w:p>
      <w:pPr>
        <w:pStyle w:val="3"/>
        <w:rPr>
          <w:rFonts w:ascii="宋体" w:hAnsi="宋体" w:cs="宋体"/>
        </w:rPr>
      </w:pPr>
    </w:p>
    <w:p>
      <w:pPr>
        <w:rPr>
          <w:rFonts w:ascii="宋体" w:hAnsi="宋体" w:cs="宋体"/>
        </w:rPr>
      </w:pPr>
    </w:p>
    <w:p>
      <w:pPr>
        <w:rPr>
          <w:rFonts w:ascii="宋体" w:hAnsi="宋体" w:cs="宋体"/>
        </w:rPr>
      </w:pPr>
    </w:p>
    <w:p>
      <w:pPr>
        <w:pStyle w:val="7"/>
        <w:adjustRightInd w:val="0"/>
        <w:spacing w:line="416" w:lineRule="atLeast"/>
        <w:textAlignment w:val="baseline"/>
        <w:outlineLvl w:val="9"/>
        <w:rPr>
          <w:rFonts w:ascii="宋体" w:hAnsi="宋体" w:eastAsia="宋体" w:cs="宋体"/>
        </w:rPr>
        <w:sectPr>
          <w:footerReference r:id="rId13" w:type="default"/>
          <w:pgSz w:w="11906" w:h="16838"/>
          <w:pgMar w:top="1440" w:right="1385" w:bottom="1219" w:left="1701" w:header="720" w:footer="720" w:gutter="0"/>
          <w:pgBorders>
            <w:top w:val="none" w:sz="0" w:space="0"/>
            <w:left w:val="none" w:sz="0" w:space="0"/>
            <w:bottom w:val="none" w:sz="0" w:space="0"/>
            <w:right w:val="none" w:sz="0" w:space="0"/>
          </w:pgBorders>
          <w:pgNumType w:fmt="decimal"/>
          <w:cols w:space="720" w:num="1"/>
          <w:docGrid w:linePitch="312" w:charSpace="0"/>
        </w:sectPr>
      </w:pPr>
      <w:bookmarkStart w:id="617" w:name="_Toc454350617"/>
      <w:bookmarkStart w:id="618" w:name="_Toc7468"/>
      <w:bookmarkStart w:id="619" w:name="_Toc25131"/>
      <w:bookmarkStart w:id="620" w:name="_Toc16513"/>
    </w:p>
    <w:p>
      <w:pPr>
        <w:jc w:val="center"/>
        <w:outlineLvl w:val="0"/>
        <w:rPr>
          <w:rFonts w:ascii="宋体" w:hAnsi="宋体" w:cs="宋体"/>
          <w:bCs/>
          <w:color w:val="000000"/>
        </w:rPr>
      </w:pPr>
      <w:bookmarkStart w:id="621" w:name="_Toc9756"/>
      <w:bookmarkStart w:id="622" w:name="_Toc29691"/>
      <w:bookmarkStart w:id="623" w:name="_Toc24033"/>
      <w:bookmarkStart w:id="624" w:name="_Toc22211"/>
      <w:bookmarkStart w:id="625" w:name="_Toc3614"/>
      <w:bookmarkStart w:id="626" w:name="_Toc30712"/>
      <w:bookmarkStart w:id="627" w:name="_Toc30033"/>
      <w:bookmarkStart w:id="628" w:name="_Toc23136"/>
      <w:bookmarkStart w:id="629" w:name="_Toc24435"/>
      <w:bookmarkStart w:id="630" w:name="_Toc26282"/>
      <w:bookmarkStart w:id="631" w:name="_Toc31207"/>
      <w:bookmarkStart w:id="632" w:name="_Toc7524518"/>
      <w:r>
        <w:rPr>
          <w:rFonts w:hint="eastAsia" w:ascii="宋体" w:hAnsi="宋体" w:cs="宋体"/>
          <w:b/>
          <w:kern w:val="0"/>
          <w:sz w:val="32"/>
          <w:szCs w:val="20"/>
          <w:lang w:val="en-US" w:eastAsia="zh-CN"/>
        </w:rPr>
        <w:t>十</w:t>
      </w:r>
      <w:r>
        <w:rPr>
          <w:rFonts w:hint="eastAsia" w:ascii="宋体" w:hAnsi="宋体" w:cs="宋体"/>
          <w:b/>
          <w:kern w:val="0"/>
          <w:sz w:val="32"/>
          <w:szCs w:val="20"/>
        </w:rPr>
        <w:t>、供应商认为</w:t>
      </w:r>
      <w:bookmarkEnd w:id="621"/>
      <w:bookmarkEnd w:id="622"/>
      <w:bookmarkEnd w:id="623"/>
      <w:bookmarkEnd w:id="624"/>
      <w:bookmarkEnd w:id="625"/>
      <w:bookmarkEnd w:id="626"/>
      <w:bookmarkEnd w:id="627"/>
      <w:bookmarkEnd w:id="628"/>
      <w:r>
        <w:rPr>
          <w:rFonts w:hint="eastAsia" w:ascii="宋体" w:hAnsi="宋体" w:cs="宋体"/>
          <w:b/>
          <w:kern w:val="0"/>
          <w:sz w:val="32"/>
          <w:szCs w:val="20"/>
        </w:rPr>
        <w:t>有必要补充的其他资料</w:t>
      </w:r>
      <w:bookmarkEnd w:id="629"/>
      <w:bookmarkEnd w:id="630"/>
      <w:bookmarkEnd w:id="631"/>
    </w:p>
    <w:p>
      <w:pPr>
        <w:rPr>
          <w:rFonts w:ascii="宋体" w:hAnsi="宋体" w:cs="宋体"/>
          <w:bCs/>
          <w:color w:val="000000"/>
        </w:rPr>
      </w:pPr>
    </w:p>
    <w:p>
      <w:pPr>
        <w:pStyle w:val="3"/>
        <w:rPr>
          <w:rFonts w:ascii="宋体" w:hAnsi="宋体" w:cs="宋体"/>
        </w:rPr>
      </w:pPr>
    </w:p>
    <w:p>
      <w:pPr>
        <w:spacing w:line="360" w:lineRule="auto"/>
        <w:jc w:val="center"/>
        <w:rPr>
          <w:rFonts w:ascii="宋体" w:hAnsi="宋体" w:cs="宋体"/>
          <w:sz w:val="24"/>
          <w:szCs w:val="24"/>
        </w:rPr>
      </w:pPr>
    </w:p>
    <w:p>
      <w:pPr>
        <w:spacing w:line="360" w:lineRule="auto"/>
        <w:jc w:val="center"/>
        <w:rPr>
          <w:rFonts w:hint="eastAsia" w:eastAsia="宋体"/>
          <w:lang w:eastAsia="zh-CN"/>
        </w:rPr>
      </w:pPr>
      <w:r>
        <w:rPr>
          <w:rFonts w:hint="eastAsia" w:ascii="宋体" w:hAnsi="宋体" w:cs="宋体"/>
          <w:sz w:val="24"/>
          <w:szCs w:val="24"/>
        </w:rPr>
        <w:t xml:space="preserve"> （供应商认为对其中标有利的其它书面证明材料，格式自定</w:t>
      </w:r>
      <w:r>
        <w:rPr>
          <w:rFonts w:hint="eastAsia" w:ascii="宋体" w:hAnsi="宋体" w:cs="宋体"/>
          <w:sz w:val="24"/>
          <w:szCs w:val="24"/>
          <w:lang w:eastAsia="zh-CN"/>
        </w:rPr>
        <w:t>）</w:t>
      </w:r>
      <w:bookmarkEnd w:id="518"/>
      <w:bookmarkEnd w:id="519"/>
      <w:bookmarkEnd w:id="572"/>
      <w:bookmarkEnd w:id="617"/>
      <w:bookmarkEnd w:id="618"/>
      <w:bookmarkEnd w:id="619"/>
      <w:bookmarkEnd w:id="620"/>
      <w:bookmarkEnd w:id="632"/>
    </w:p>
    <w:sectPr>
      <w:pgSz w:w="11910" w:h="16840"/>
      <w:pgMar w:top="1389" w:right="1970" w:bottom="1389" w:left="90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dobe 仿宋 Std R">
    <w:altName w:val="仿宋"/>
    <w:panose1 w:val="02020400000000000000"/>
    <w:charset w:val="86"/>
    <w:family w:val="roman"/>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76" w:lineRule="auto"/>
      <w:jc w:val="center"/>
      <w:rPr>
        <w:rFonts w:ascii="宋体" w:hAnsi="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9525">
                        <a:noFill/>
                      </a:ln>
                      <a:effectLst/>
                    </wps:spPr>
                    <wps:txbx>
                      <w:txbxContent>
                        <w:p>
                          <w:pPr>
                            <w:pStyle w:val="17"/>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KkUuzQAAAAAwEAAA8AAAAAAAAAAQAgAAAAIgAAAGRy&#10;cy9kb3ducmV2LnhtbFBLAQIUABQAAAAIAIdO4kA/O+1o1AEAAKIDAAAOAAAAAAAAAAEAIAAAAB8B&#10;AABkcnMvZTJvRG9jLnhtbFBLBQYAAAAABgAGAFkBAABl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rPr>
        <w:rStyle w:val="41"/>
        <w:sz w:val="28"/>
        <w:szCs w:val="2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r>
      <w:rPr>
        <w:rFonts w:hint="eastAsia" w:ascii="宋体" w:hAnsi="宋体" w:cs="宋体"/>
        <w:bCs/>
        <w:color w:val="000000"/>
        <w:sz w:val="21"/>
        <w:szCs w:val="21"/>
      </w:rPr>
      <w:t xml:space="preserve">                                       </w:t>
    </w:r>
  </w:p>
  <w:p>
    <w:pPr>
      <w:ind w:right="360" w:firstLine="216" w:firstLineChars="120"/>
      <w:rPr>
        <w:rFonts w:ascii="宋体" w:hAnsi="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9240"/>
        <w:tab w:val="clear" w:pos="8306"/>
      </w:tabs>
      <w:ind w:right="19"/>
      <w:jc w:val="center"/>
      <w:rPr>
        <w:rFonts w:ascii="仿宋_GB2312" w:hAnsi="宋体" w:eastAsia="仿宋_GB2312"/>
        <w:kern w:val="0"/>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r>
      <w:rPr>
        <w:rFonts w:hint="eastAsia" w:ascii="仿宋_GB2312" w:hAnsi="宋体" w:eastAsia="仿宋_GB2312"/>
        <w:kern w:val="0"/>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sz w:val="21"/>
        <w:szCs w:val="21"/>
        <w:lang w:eastAsia="zh-CN"/>
      </w:rPr>
      <w:t>西安市高陵区通远街道办事处关于全省发展新型农村集体经济现场会项目广告景观制作</w:t>
    </w:r>
    <w:r>
      <w:rPr>
        <w:rFonts w:hint="eastAsia"/>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F2A1F"/>
    <w:multiLevelType w:val="singleLevel"/>
    <w:tmpl w:val="FADF2A1F"/>
    <w:lvl w:ilvl="0" w:tentative="0">
      <w:start w:val="1"/>
      <w:numFmt w:val="decimal"/>
      <w:lvlText w:val="%1."/>
      <w:lvlJc w:val="left"/>
      <w:pPr>
        <w:tabs>
          <w:tab w:val="left" w:pos="312"/>
        </w:tabs>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10"/>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48195927"/>
    <w:multiLevelType w:val="singleLevel"/>
    <w:tmpl w:val="48195927"/>
    <w:lvl w:ilvl="0" w:tentative="0">
      <w:start w:val="5"/>
      <w:numFmt w:val="chineseCounting"/>
      <w:suff w:val="nothing"/>
      <w:lvlText w:val="%1、"/>
      <w:lvlJc w:val="left"/>
      <w:pPr>
        <w:ind w:left="2409" w:firstLine="0"/>
      </w:pPr>
      <w:rPr>
        <w:rFonts w:hint="eastAsia"/>
      </w:rPr>
    </w:lvl>
  </w:abstractNum>
  <w:abstractNum w:abstractNumId="3">
    <w:nsid w:val="59CF0981"/>
    <w:multiLevelType w:val="singleLevel"/>
    <w:tmpl w:val="59CF0981"/>
    <w:lvl w:ilvl="0" w:tentative="0">
      <w:start w:val="1"/>
      <w:numFmt w:val="decimal"/>
      <w:suff w:val="nothing"/>
      <w:lvlText w:val="%1、"/>
      <w:lvlJc w:val="left"/>
    </w:lvl>
  </w:abstractNum>
  <w:abstractNum w:abstractNumId="4">
    <w:nsid w:val="74EA0679"/>
    <w:multiLevelType w:val="multilevel"/>
    <w:tmpl w:val="74EA0679"/>
    <w:lvl w:ilvl="0" w:tentative="0">
      <w:start w:val="1"/>
      <w:numFmt w:val="decimal"/>
      <w:lvlText w:val="%1"/>
      <w:lvlJc w:val="left"/>
      <w:pPr>
        <w:tabs>
          <w:tab w:val="left" w:pos="420"/>
        </w:tabs>
        <w:ind w:left="420" w:hanging="25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DF"/>
    <w:rsid w:val="000215CB"/>
    <w:rsid w:val="000329BE"/>
    <w:rsid w:val="00054DCB"/>
    <w:rsid w:val="000B72C9"/>
    <w:rsid w:val="000C0F09"/>
    <w:rsid w:val="00155291"/>
    <w:rsid w:val="001644D9"/>
    <w:rsid w:val="001743FB"/>
    <w:rsid w:val="00196EBF"/>
    <w:rsid w:val="001A04D1"/>
    <w:rsid w:val="001A31E7"/>
    <w:rsid w:val="001B0665"/>
    <w:rsid w:val="001B068F"/>
    <w:rsid w:val="001F11C4"/>
    <w:rsid w:val="00203DE8"/>
    <w:rsid w:val="0021322E"/>
    <w:rsid w:val="002206FA"/>
    <w:rsid w:val="002375B9"/>
    <w:rsid w:val="00254DC6"/>
    <w:rsid w:val="00267889"/>
    <w:rsid w:val="0028243A"/>
    <w:rsid w:val="002B3627"/>
    <w:rsid w:val="002E06BD"/>
    <w:rsid w:val="002E5840"/>
    <w:rsid w:val="002F3700"/>
    <w:rsid w:val="003146CF"/>
    <w:rsid w:val="003269B4"/>
    <w:rsid w:val="00334646"/>
    <w:rsid w:val="0034213D"/>
    <w:rsid w:val="00342B27"/>
    <w:rsid w:val="003608C8"/>
    <w:rsid w:val="00360991"/>
    <w:rsid w:val="003638DA"/>
    <w:rsid w:val="003913DA"/>
    <w:rsid w:val="003A70E1"/>
    <w:rsid w:val="003B0B0E"/>
    <w:rsid w:val="003C30EF"/>
    <w:rsid w:val="003F3261"/>
    <w:rsid w:val="003F544A"/>
    <w:rsid w:val="00406DBF"/>
    <w:rsid w:val="00456178"/>
    <w:rsid w:val="0046698F"/>
    <w:rsid w:val="00490907"/>
    <w:rsid w:val="00490AD2"/>
    <w:rsid w:val="00491957"/>
    <w:rsid w:val="004C5C0F"/>
    <w:rsid w:val="004C5C60"/>
    <w:rsid w:val="004D09DC"/>
    <w:rsid w:val="004E0776"/>
    <w:rsid w:val="004E5AB9"/>
    <w:rsid w:val="004E63E8"/>
    <w:rsid w:val="004E7F70"/>
    <w:rsid w:val="004F3EE5"/>
    <w:rsid w:val="00510CF3"/>
    <w:rsid w:val="0051205E"/>
    <w:rsid w:val="00534A16"/>
    <w:rsid w:val="005511B5"/>
    <w:rsid w:val="005779C5"/>
    <w:rsid w:val="005A07BF"/>
    <w:rsid w:val="005D3B8B"/>
    <w:rsid w:val="005E2AAC"/>
    <w:rsid w:val="005F64D7"/>
    <w:rsid w:val="0060422A"/>
    <w:rsid w:val="00606D83"/>
    <w:rsid w:val="00612A15"/>
    <w:rsid w:val="00617DA2"/>
    <w:rsid w:val="0064579B"/>
    <w:rsid w:val="0064771B"/>
    <w:rsid w:val="00661B90"/>
    <w:rsid w:val="00666D93"/>
    <w:rsid w:val="00667EC3"/>
    <w:rsid w:val="00680A7D"/>
    <w:rsid w:val="006826D6"/>
    <w:rsid w:val="00687F45"/>
    <w:rsid w:val="006914A1"/>
    <w:rsid w:val="006B6F5A"/>
    <w:rsid w:val="006C2E6B"/>
    <w:rsid w:val="006C313D"/>
    <w:rsid w:val="006E5EE6"/>
    <w:rsid w:val="006F48FF"/>
    <w:rsid w:val="00703FA6"/>
    <w:rsid w:val="00722907"/>
    <w:rsid w:val="00730EDC"/>
    <w:rsid w:val="007A1A40"/>
    <w:rsid w:val="007B3409"/>
    <w:rsid w:val="007E2339"/>
    <w:rsid w:val="007E3BE9"/>
    <w:rsid w:val="007E6093"/>
    <w:rsid w:val="008332CD"/>
    <w:rsid w:val="00851E80"/>
    <w:rsid w:val="00857D9D"/>
    <w:rsid w:val="00861DAB"/>
    <w:rsid w:val="008F5B4C"/>
    <w:rsid w:val="009110B9"/>
    <w:rsid w:val="00913B5A"/>
    <w:rsid w:val="009309F0"/>
    <w:rsid w:val="00930BCA"/>
    <w:rsid w:val="0093567A"/>
    <w:rsid w:val="009443B0"/>
    <w:rsid w:val="009567D9"/>
    <w:rsid w:val="00975D9C"/>
    <w:rsid w:val="00987C71"/>
    <w:rsid w:val="009B04C9"/>
    <w:rsid w:val="009B6715"/>
    <w:rsid w:val="009C2043"/>
    <w:rsid w:val="009D5B34"/>
    <w:rsid w:val="009E07FE"/>
    <w:rsid w:val="009F4528"/>
    <w:rsid w:val="00A05522"/>
    <w:rsid w:val="00A3756F"/>
    <w:rsid w:val="00A40FBC"/>
    <w:rsid w:val="00A439DB"/>
    <w:rsid w:val="00A64CE7"/>
    <w:rsid w:val="00A82C71"/>
    <w:rsid w:val="00AA632B"/>
    <w:rsid w:val="00AC76F9"/>
    <w:rsid w:val="00AD4FE1"/>
    <w:rsid w:val="00AE1177"/>
    <w:rsid w:val="00B30DDF"/>
    <w:rsid w:val="00B30F2F"/>
    <w:rsid w:val="00B82CE5"/>
    <w:rsid w:val="00B84661"/>
    <w:rsid w:val="00BB2D2F"/>
    <w:rsid w:val="00BC1864"/>
    <w:rsid w:val="00BD28DC"/>
    <w:rsid w:val="00BD648D"/>
    <w:rsid w:val="00BF19FE"/>
    <w:rsid w:val="00BF4EBD"/>
    <w:rsid w:val="00C04570"/>
    <w:rsid w:val="00C1086E"/>
    <w:rsid w:val="00C11463"/>
    <w:rsid w:val="00C327D8"/>
    <w:rsid w:val="00C45D46"/>
    <w:rsid w:val="00C502EE"/>
    <w:rsid w:val="00C719E8"/>
    <w:rsid w:val="00C7336F"/>
    <w:rsid w:val="00C91520"/>
    <w:rsid w:val="00C9739A"/>
    <w:rsid w:val="00CA1A93"/>
    <w:rsid w:val="00CC4F3D"/>
    <w:rsid w:val="00D10A49"/>
    <w:rsid w:val="00D139CC"/>
    <w:rsid w:val="00D51FB8"/>
    <w:rsid w:val="00D53403"/>
    <w:rsid w:val="00D5528E"/>
    <w:rsid w:val="00D6354D"/>
    <w:rsid w:val="00D71DF9"/>
    <w:rsid w:val="00D83A62"/>
    <w:rsid w:val="00D9534A"/>
    <w:rsid w:val="00D97927"/>
    <w:rsid w:val="00DB3030"/>
    <w:rsid w:val="00E01F19"/>
    <w:rsid w:val="00E415FC"/>
    <w:rsid w:val="00E52536"/>
    <w:rsid w:val="00E65C69"/>
    <w:rsid w:val="00E71B7F"/>
    <w:rsid w:val="00E90BF1"/>
    <w:rsid w:val="00E9569D"/>
    <w:rsid w:val="00EA3317"/>
    <w:rsid w:val="00EB22DA"/>
    <w:rsid w:val="00EB7D7E"/>
    <w:rsid w:val="00EC3016"/>
    <w:rsid w:val="00EC3F79"/>
    <w:rsid w:val="00EC4C02"/>
    <w:rsid w:val="00EF2A0C"/>
    <w:rsid w:val="00F03215"/>
    <w:rsid w:val="00F06CCF"/>
    <w:rsid w:val="00F20828"/>
    <w:rsid w:val="00F36508"/>
    <w:rsid w:val="00F40289"/>
    <w:rsid w:val="00F550CC"/>
    <w:rsid w:val="00F60035"/>
    <w:rsid w:val="00F70323"/>
    <w:rsid w:val="00F7361C"/>
    <w:rsid w:val="00F75264"/>
    <w:rsid w:val="00F9561D"/>
    <w:rsid w:val="00FA2943"/>
    <w:rsid w:val="00FD2F66"/>
    <w:rsid w:val="00FF25EC"/>
    <w:rsid w:val="00FF4B0F"/>
    <w:rsid w:val="011253ED"/>
    <w:rsid w:val="019B7FEE"/>
    <w:rsid w:val="01BB3CD7"/>
    <w:rsid w:val="01BD3027"/>
    <w:rsid w:val="01C41C90"/>
    <w:rsid w:val="01D01A30"/>
    <w:rsid w:val="01F02A30"/>
    <w:rsid w:val="020F1725"/>
    <w:rsid w:val="022A3DFA"/>
    <w:rsid w:val="0241242E"/>
    <w:rsid w:val="024B5649"/>
    <w:rsid w:val="02983A55"/>
    <w:rsid w:val="02D345FA"/>
    <w:rsid w:val="02FA6327"/>
    <w:rsid w:val="030D1671"/>
    <w:rsid w:val="030D31C4"/>
    <w:rsid w:val="03163C1F"/>
    <w:rsid w:val="032819B5"/>
    <w:rsid w:val="03307751"/>
    <w:rsid w:val="03451752"/>
    <w:rsid w:val="03636809"/>
    <w:rsid w:val="037338FF"/>
    <w:rsid w:val="037873E2"/>
    <w:rsid w:val="03886B3B"/>
    <w:rsid w:val="03977D42"/>
    <w:rsid w:val="03C139EE"/>
    <w:rsid w:val="03FF7F71"/>
    <w:rsid w:val="043D65FF"/>
    <w:rsid w:val="044342BC"/>
    <w:rsid w:val="04447FB3"/>
    <w:rsid w:val="044E7E7F"/>
    <w:rsid w:val="04954F05"/>
    <w:rsid w:val="04A310BB"/>
    <w:rsid w:val="04C81BA3"/>
    <w:rsid w:val="04D47F8A"/>
    <w:rsid w:val="04D50A9F"/>
    <w:rsid w:val="04D8222F"/>
    <w:rsid w:val="04F0173B"/>
    <w:rsid w:val="054916DA"/>
    <w:rsid w:val="057D4484"/>
    <w:rsid w:val="05814011"/>
    <w:rsid w:val="05845B39"/>
    <w:rsid w:val="059457D6"/>
    <w:rsid w:val="0602712F"/>
    <w:rsid w:val="061D4516"/>
    <w:rsid w:val="065E03B4"/>
    <w:rsid w:val="066B56C6"/>
    <w:rsid w:val="06854C04"/>
    <w:rsid w:val="069E32DE"/>
    <w:rsid w:val="06AD4BD3"/>
    <w:rsid w:val="071A149F"/>
    <w:rsid w:val="07544EB2"/>
    <w:rsid w:val="077B7C96"/>
    <w:rsid w:val="078D4B30"/>
    <w:rsid w:val="079E3A70"/>
    <w:rsid w:val="07A24700"/>
    <w:rsid w:val="07A62D33"/>
    <w:rsid w:val="07D7515D"/>
    <w:rsid w:val="08193505"/>
    <w:rsid w:val="082214D9"/>
    <w:rsid w:val="082D2C7C"/>
    <w:rsid w:val="08742E98"/>
    <w:rsid w:val="08D46F64"/>
    <w:rsid w:val="09002B80"/>
    <w:rsid w:val="09201FFA"/>
    <w:rsid w:val="0923791F"/>
    <w:rsid w:val="093644C2"/>
    <w:rsid w:val="09432110"/>
    <w:rsid w:val="09524037"/>
    <w:rsid w:val="09650B7D"/>
    <w:rsid w:val="09722ECD"/>
    <w:rsid w:val="09A06324"/>
    <w:rsid w:val="09A75E07"/>
    <w:rsid w:val="09C71903"/>
    <w:rsid w:val="09CC1EA0"/>
    <w:rsid w:val="09D879BF"/>
    <w:rsid w:val="09F333FE"/>
    <w:rsid w:val="0A002ABE"/>
    <w:rsid w:val="0A073DA1"/>
    <w:rsid w:val="0A18381F"/>
    <w:rsid w:val="0A2E01ED"/>
    <w:rsid w:val="0A8B0C62"/>
    <w:rsid w:val="0AC466F6"/>
    <w:rsid w:val="0AF943F6"/>
    <w:rsid w:val="0B372620"/>
    <w:rsid w:val="0B501B52"/>
    <w:rsid w:val="0B7E59FF"/>
    <w:rsid w:val="0B9D32E3"/>
    <w:rsid w:val="0BAD423B"/>
    <w:rsid w:val="0BB1488C"/>
    <w:rsid w:val="0C111568"/>
    <w:rsid w:val="0C1411DF"/>
    <w:rsid w:val="0C4557AD"/>
    <w:rsid w:val="0C4930C3"/>
    <w:rsid w:val="0C7F13D1"/>
    <w:rsid w:val="0C8E11F2"/>
    <w:rsid w:val="0C9A339F"/>
    <w:rsid w:val="0CB438F4"/>
    <w:rsid w:val="0CDA1981"/>
    <w:rsid w:val="0CE41CE4"/>
    <w:rsid w:val="0D3B4331"/>
    <w:rsid w:val="0D4D6D7B"/>
    <w:rsid w:val="0D817FB6"/>
    <w:rsid w:val="0DB61538"/>
    <w:rsid w:val="0DCD65A6"/>
    <w:rsid w:val="0DD00F16"/>
    <w:rsid w:val="0DDB37E3"/>
    <w:rsid w:val="0DEE259A"/>
    <w:rsid w:val="0DF341DE"/>
    <w:rsid w:val="0E0024DA"/>
    <w:rsid w:val="0E2B547C"/>
    <w:rsid w:val="0E347777"/>
    <w:rsid w:val="0E7223BA"/>
    <w:rsid w:val="0E92328E"/>
    <w:rsid w:val="0E946F24"/>
    <w:rsid w:val="0EC03D2D"/>
    <w:rsid w:val="0F1107A7"/>
    <w:rsid w:val="0F1304ED"/>
    <w:rsid w:val="0F681BD8"/>
    <w:rsid w:val="0F945FE5"/>
    <w:rsid w:val="0F9D2C6D"/>
    <w:rsid w:val="0FEE0962"/>
    <w:rsid w:val="0FF52206"/>
    <w:rsid w:val="10421A3F"/>
    <w:rsid w:val="10667F4D"/>
    <w:rsid w:val="10747D8D"/>
    <w:rsid w:val="10A84984"/>
    <w:rsid w:val="10BE596F"/>
    <w:rsid w:val="10C04E65"/>
    <w:rsid w:val="10D56CD7"/>
    <w:rsid w:val="10EC0788"/>
    <w:rsid w:val="111B01C0"/>
    <w:rsid w:val="1139330C"/>
    <w:rsid w:val="11752028"/>
    <w:rsid w:val="11BD13A5"/>
    <w:rsid w:val="11F32D8F"/>
    <w:rsid w:val="12030C1B"/>
    <w:rsid w:val="125A00EB"/>
    <w:rsid w:val="125F4873"/>
    <w:rsid w:val="12A52565"/>
    <w:rsid w:val="12B33A72"/>
    <w:rsid w:val="12C04372"/>
    <w:rsid w:val="12CA3120"/>
    <w:rsid w:val="12DB3A36"/>
    <w:rsid w:val="12DF032D"/>
    <w:rsid w:val="12E91DB0"/>
    <w:rsid w:val="13245463"/>
    <w:rsid w:val="13290E2D"/>
    <w:rsid w:val="13360B0D"/>
    <w:rsid w:val="133F68E2"/>
    <w:rsid w:val="13482810"/>
    <w:rsid w:val="135D4A69"/>
    <w:rsid w:val="135F0861"/>
    <w:rsid w:val="1363567D"/>
    <w:rsid w:val="1384674A"/>
    <w:rsid w:val="13935518"/>
    <w:rsid w:val="13BD743A"/>
    <w:rsid w:val="13BE6C2E"/>
    <w:rsid w:val="13C955A1"/>
    <w:rsid w:val="13D94EEA"/>
    <w:rsid w:val="13F72049"/>
    <w:rsid w:val="14272CEA"/>
    <w:rsid w:val="142A3E56"/>
    <w:rsid w:val="142E0969"/>
    <w:rsid w:val="1434611E"/>
    <w:rsid w:val="1461794D"/>
    <w:rsid w:val="14626FAD"/>
    <w:rsid w:val="148C5685"/>
    <w:rsid w:val="14AF7490"/>
    <w:rsid w:val="14B41EB6"/>
    <w:rsid w:val="14E43D12"/>
    <w:rsid w:val="150C7DB1"/>
    <w:rsid w:val="1540439B"/>
    <w:rsid w:val="15431364"/>
    <w:rsid w:val="154D7BEC"/>
    <w:rsid w:val="1586084D"/>
    <w:rsid w:val="158C2857"/>
    <w:rsid w:val="15BE6F50"/>
    <w:rsid w:val="15DA4C01"/>
    <w:rsid w:val="15DF5D8E"/>
    <w:rsid w:val="15E11176"/>
    <w:rsid w:val="15E24963"/>
    <w:rsid w:val="162E2B4C"/>
    <w:rsid w:val="1647157C"/>
    <w:rsid w:val="16505B6E"/>
    <w:rsid w:val="165A66AD"/>
    <w:rsid w:val="167800AD"/>
    <w:rsid w:val="16A2565E"/>
    <w:rsid w:val="16A334E5"/>
    <w:rsid w:val="16A95FFC"/>
    <w:rsid w:val="16B226FA"/>
    <w:rsid w:val="16C72A2E"/>
    <w:rsid w:val="16DB4164"/>
    <w:rsid w:val="16F65AFD"/>
    <w:rsid w:val="1700507C"/>
    <w:rsid w:val="171D3EC4"/>
    <w:rsid w:val="172E05E6"/>
    <w:rsid w:val="17400409"/>
    <w:rsid w:val="17524B3F"/>
    <w:rsid w:val="17636EC6"/>
    <w:rsid w:val="177644D0"/>
    <w:rsid w:val="17AD78A1"/>
    <w:rsid w:val="17CD4AA1"/>
    <w:rsid w:val="17D46FBA"/>
    <w:rsid w:val="17D53D7B"/>
    <w:rsid w:val="17F40B51"/>
    <w:rsid w:val="17F56F08"/>
    <w:rsid w:val="18435D58"/>
    <w:rsid w:val="185D0F7C"/>
    <w:rsid w:val="18BA2CC9"/>
    <w:rsid w:val="18EC10A4"/>
    <w:rsid w:val="195C565F"/>
    <w:rsid w:val="19696772"/>
    <w:rsid w:val="196B16E7"/>
    <w:rsid w:val="199631D1"/>
    <w:rsid w:val="199750EF"/>
    <w:rsid w:val="19A77EE6"/>
    <w:rsid w:val="19B816DD"/>
    <w:rsid w:val="19E7173D"/>
    <w:rsid w:val="1A1E49AB"/>
    <w:rsid w:val="1A4D121E"/>
    <w:rsid w:val="1A9C424D"/>
    <w:rsid w:val="1AA933F2"/>
    <w:rsid w:val="1AC177CC"/>
    <w:rsid w:val="1AC17A3C"/>
    <w:rsid w:val="1AC95D02"/>
    <w:rsid w:val="1AE12687"/>
    <w:rsid w:val="1AEF2EEF"/>
    <w:rsid w:val="1AFC172C"/>
    <w:rsid w:val="1B010AA5"/>
    <w:rsid w:val="1B2956EA"/>
    <w:rsid w:val="1B35004B"/>
    <w:rsid w:val="1B4026E4"/>
    <w:rsid w:val="1B7F346C"/>
    <w:rsid w:val="1B8C6A79"/>
    <w:rsid w:val="1B9F7A39"/>
    <w:rsid w:val="1BC51F7D"/>
    <w:rsid w:val="1BE31FFB"/>
    <w:rsid w:val="1C23090E"/>
    <w:rsid w:val="1C266978"/>
    <w:rsid w:val="1C2B5D42"/>
    <w:rsid w:val="1C2E0CDB"/>
    <w:rsid w:val="1C5E043C"/>
    <w:rsid w:val="1C651546"/>
    <w:rsid w:val="1C771A3D"/>
    <w:rsid w:val="1C80439C"/>
    <w:rsid w:val="1C8054A9"/>
    <w:rsid w:val="1CBE01AD"/>
    <w:rsid w:val="1CEB5E20"/>
    <w:rsid w:val="1D102EEB"/>
    <w:rsid w:val="1D217713"/>
    <w:rsid w:val="1D2C321A"/>
    <w:rsid w:val="1D3E0E8F"/>
    <w:rsid w:val="1D653CE0"/>
    <w:rsid w:val="1D6D1BA7"/>
    <w:rsid w:val="1D880AB9"/>
    <w:rsid w:val="1D8C3E13"/>
    <w:rsid w:val="1D98512D"/>
    <w:rsid w:val="1D9D7212"/>
    <w:rsid w:val="1DB45A5C"/>
    <w:rsid w:val="1DB5493C"/>
    <w:rsid w:val="1DC862CD"/>
    <w:rsid w:val="1DCA1128"/>
    <w:rsid w:val="1E4A2212"/>
    <w:rsid w:val="1E4C5F8A"/>
    <w:rsid w:val="1E73071A"/>
    <w:rsid w:val="1E7C758D"/>
    <w:rsid w:val="1EA60D9A"/>
    <w:rsid w:val="1EEE3FE2"/>
    <w:rsid w:val="1F2B5BA0"/>
    <w:rsid w:val="1F444EB4"/>
    <w:rsid w:val="1F9C08A8"/>
    <w:rsid w:val="1F9E45C4"/>
    <w:rsid w:val="1FC17DFB"/>
    <w:rsid w:val="1FE34999"/>
    <w:rsid w:val="1FEA7809"/>
    <w:rsid w:val="20277FAC"/>
    <w:rsid w:val="203A6980"/>
    <w:rsid w:val="20494B16"/>
    <w:rsid w:val="20531523"/>
    <w:rsid w:val="20AC7A81"/>
    <w:rsid w:val="20AF2A01"/>
    <w:rsid w:val="20F93229"/>
    <w:rsid w:val="20FD35BC"/>
    <w:rsid w:val="210F0B9B"/>
    <w:rsid w:val="211419BA"/>
    <w:rsid w:val="213344C9"/>
    <w:rsid w:val="213D07C6"/>
    <w:rsid w:val="2196292C"/>
    <w:rsid w:val="21AB746C"/>
    <w:rsid w:val="21B354AF"/>
    <w:rsid w:val="21FC7960"/>
    <w:rsid w:val="220E675D"/>
    <w:rsid w:val="225D1EA8"/>
    <w:rsid w:val="22637B89"/>
    <w:rsid w:val="22694933"/>
    <w:rsid w:val="2273176F"/>
    <w:rsid w:val="22917B64"/>
    <w:rsid w:val="22951F3C"/>
    <w:rsid w:val="22D07C80"/>
    <w:rsid w:val="22F23CA6"/>
    <w:rsid w:val="22F26121"/>
    <w:rsid w:val="2309153F"/>
    <w:rsid w:val="234617FD"/>
    <w:rsid w:val="23631B45"/>
    <w:rsid w:val="237F61C5"/>
    <w:rsid w:val="23874892"/>
    <w:rsid w:val="238774E3"/>
    <w:rsid w:val="23AA4443"/>
    <w:rsid w:val="2406156E"/>
    <w:rsid w:val="24104774"/>
    <w:rsid w:val="241237D2"/>
    <w:rsid w:val="243F6E24"/>
    <w:rsid w:val="244A4061"/>
    <w:rsid w:val="24694CF1"/>
    <w:rsid w:val="24780E1D"/>
    <w:rsid w:val="249C27BD"/>
    <w:rsid w:val="24AE7A55"/>
    <w:rsid w:val="24B11DC7"/>
    <w:rsid w:val="24BA6907"/>
    <w:rsid w:val="24D6043E"/>
    <w:rsid w:val="24FC53F4"/>
    <w:rsid w:val="2516013E"/>
    <w:rsid w:val="253A1A4A"/>
    <w:rsid w:val="25572EB9"/>
    <w:rsid w:val="256B6AEF"/>
    <w:rsid w:val="25AB0FC5"/>
    <w:rsid w:val="25B576DC"/>
    <w:rsid w:val="25B6744F"/>
    <w:rsid w:val="25BB06F3"/>
    <w:rsid w:val="25BC57A4"/>
    <w:rsid w:val="25C02240"/>
    <w:rsid w:val="25C24D84"/>
    <w:rsid w:val="25C96113"/>
    <w:rsid w:val="25CA21FC"/>
    <w:rsid w:val="25F42C21"/>
    <w:rsid w:val="25FE181E"/>
    <w:rsid w:val="2602466D"/>
    <w:rsid w:val="262002B8"/>
    <w:rsid w:val="26280EA1"/>
    <w:rsid w:val="265D16CC"/>
    <w:rsid w:val="268A710A"/>
    <w:rsid w:val="26A26EFD"/>
    <w:rsid w:val="26A96587"/>
    <w:rsid w:val="26D52450"/>
    <w:rsid w:val="270A0791"/>
    <w:rsid w:val="2713505C"/>
    <w:rsid w:val="27327F10"/>
    <w:rsid w:val="27604855"/>
    <w:rsid w:val="277A3B68"/>
    <w:rsid w:val="27CB35B1"/>
    <w:rsid w:val="27E531D1"/>
    <w:rsid w:val="27FE6683"/>
    <w:rsid w:val="28176A69"/>
    <w:rsid w:val="28285372"/>
    <w:rsid w:val="282B54A2"/>
    <w:rsid w:val="283A5D87"/>
    <w:rsid w:val="285253E8"/>
    <w:rsid w:val="28605842"/>
    <w:rsid w:val="28613334"/>
    <w:rsid w:val="286948B1"/>
    <w:rsid w:val="286A6433"/>
    <w:rsid w:val="2898797A"/>
    <w:rsid w:val="28DC7470"/>
    <w:rsid w:val="28EC032D"/>
    <w:rsid w:val="28F80E0A"/>
    <w:rsid w:val="28FD3924"/>
    <w:rsid w:val="29714A8A"/>
    <w:rsid w:val="297B4085"/>
    <w:rsid w:val="297E129F"/>
    <w:rsid w:val="29816AC2"/>
    <w:rsid w:val="29C405E2"/>
    <w:rsid w:val="29C56B40"/>
    <w:rsid w:val="29DB30CD"/>
    <w:rsid w:val="29F00D5E"/>
    <w:rsid w:val="29F536C6"/>
    <w:rsid w:val="2A0468AE"/>
    <w:rsid w:val="2A216E2F"/>
    <w:rsid w:val="2A531298"/>
    <w:rsid w:val="2A7242F0"/>
    <w:rsid w:val="2A82173A"/>
    <w:rsid w:val="2A824FF4"/>
    <w:rsid w:val="2A82543D"/>
    <w:rsid w:val="2AAE130D"/>
    <w:rsid w:val="2ABC72F8"/>
    <w:rsid w:val="2ACA5D9A"/>
    <w:rsid w:val="2AD31A2C"/>
    <w:rsid w:val="2ADB28A8"/>
    <w:rsid w:val="2AE324AE"/>
    <w:rsid w:val="2B2D0CA5"/>
    <w:rsid w:val="2B387E6F"/>
    <w:rsid w:val="2B3F4B43"/>
    <w:rsid w:val="2B4C06AD"/>
    <w:rsid w:val="2B536EF0"/>
    <w:rsid w:val="2B6466DE"/>
    <w:rsid w:val="2B787C29"/>
    <w:rsid w:val="2BC1278D"/>
    <w:rsid w:val="2BD628ED"/>
    <w:rsid w:val="2C027C88"/>
    <w:rsid w:val="2C2643CF"/>
    <w:rsid w:val="2C520FD0"/>
    <w:rsid w:val="2C5D167F"/>
    <w:rsid w:val="2C654103"/>
    <w:rsid w:val="2C7D071F"/>
    <w:rsid w:val="2C860DD0"/>
    <w:rsid w:val="2C9E07B4"/>
    <w:rsid w:val="2CD2679D"/>
    <w:rsid w:val="2CD726E3"/>
    <w:rsid w:val="2CF22BFA"/>
    <w:rsid w:val="2D03015C"/>
    <w:rsid w:val="2D0751CD"/>
    <w:rsid w:val="2D0A3299"/>
    <w:rsid w:val="2D161939"/>
    <w:rsid w:val="2D195ABF"/>
    <w:rsid w:val="2D223BBE"/>
    <w:rsid w:val="2D2422DE"/>
    <w:rsid w:val="2D30371F"/>
    <w:rsid w:val="2D4C20DD"/>
    <w:rsid w:val="2D4C5B8A"/>
    <w:rsid w:val="2D961699"/>
    <w:rsid w:val="2DB10612"/>
    <w:rsid w:val="2DC759C4"/>
    <w:rsid w:val="2DCE5627"/>
    <w:rsid w:val="2DE118A6"/>
    <w:rsid w:val="2DF81320"/>
    <w:rsid w:val="2E327717"/>
    <w:rsid w:val="2E390286"/>
    <w:rsid w:val="2E422B73"/>
    <w:rsid w:val="2E457D4B"/>
    <w:rsid w:val="2E514570"/>
    <w:rsid w:val="2EAB2088"/>
    <w:rsid w:val="2EB6694F"/>
    <w:rsid w:val="2EEA2BD8"/>
    <w:rsid w:val="2EFB6306"/>
    <w:rsid w:val="2F3C5001"/>
    <w:rsid w:val="2F4D6CAC"/>
    <w:rsid w:val="2F506B0A"/>
    <w:rsid w:val="2F5225F8"/>
    <w:rsid w:val="2F575B54"/>
    <w:rsid w:val="2F717212"/>
    <w:rsid w:val="2F7D2448"/>
    <w:rsid w:val="2F7E2884"/>
    <w:rsid w:val="2F804B57"/>
    <w:rsid w:val="2F8E2ED3"/>
    <w:rsid w:val="2FCA1CF5"/>
    <w:rsid w:val="2FD656B4"/>
    <w:rsid w:val="2FD727E2"/>
    <w:rsid w:val="300F6DD5"/>
    <w:rsid w:val="30397275"/>
    <w:rsid w:val="30710974"/>
    <w:rsid w:val="30817D16"/>
    <w:rsid w:val="30C406E8"/>
    <w:rsid w:val="30D103A6"/>
    <w:rsid w:val="30E475B2"/>
    <w:rsid w:val="30E72DFC"/>
    <w:rsid w:val="30F051E5"/>
    <w:rsid w:val="31005E6C"/>
    <w:rsid w:val="314D38BF"/>
    <w:rsid w:val="314E571E"/>
    <w:rsid w:val="31A14280"/>
    <w:rsid w:val="31A1656F"/>
    <w:rsid w:val="31B9528D"/>
    <w:rsid w:val="31E12D53"/>
    <w:rsid w:val="31EE4EF3"/>
    <w:rsid w:val="31F6028F"/>
    <w:rsid w:val="31FD1AA1"/>
    <w:rsid w:val="321808A5"/>
    <w:rsid w:val="321A3559"/>
    <w:rsid w:val="328D0C9C"/>
    <w:rsid w:val="329F595F"/>
    <w:rsid w:val="32A001FB"/>
    <w:rsid w:val="32A54938"/>
    <w:rsid w:val="32A643C2"/>
    <w:rsid w:val="32BD7030"/>
    <w:rsid w:val="32CA4F06"/>
    <w:rsid w:val="32E30195"/>
    <w:rsid w:val="331E1F92"/>
    <w:rsid w:val="33565762"/>
    <w:rsid w:val="338B0EAB"/>
    <w:rsid w:val="344D2E2E"/>
    <w:rsid w:val="344E5572"/>
    <w:rsid w:val="3454491C"/>
    <w:rsid w:val="34671B5F"/>
    <w:rsid w:val="3469221C"/>
    <w:rsid w:val="34692F9B"/>
    <w:rsid w:val="346D1192"/>
    <w:rsid w:val="34AF41FD"/>
    <w:rsid w:val="34B13AA3"/>
    <w:rsid w:val="34C31B5B"/>
    <w:rsid w:val="34FA5C1F"/>
    <w:rsid w:val="3509402E"/>
    <w:rsid w:val="3589664E"/>
    <w:rsid w:val="35AD4098"/>
    <w:rsid w:val="362206A4"/>
    <w:rsid w:val="36511F38"/>
    <w:rsid w:val="36552BBE"/>
    <w:rsid w:val="366232A4"/>
    <w:rsid w:val="368D0691"/>
    <w:rsid w:val="369D517D"/>
    <w:rsid w:val="36B51936"/>
    <w:rsid w:val="36C25CAA"/>
    <w:rsid w:val="36C4095C"/>
    <w:rsid w:val="36C82A76"/>
    <w:rsid w:val="36D01AEF"/>
    <w:rsid w:val="36D545FC"/>
    <w:rsid w:val="36E27034"/>
    <w:rsid w:val="36FC5979"/>
    <w:rsid w:val="370113AA"/>
    <w:rsid w:val="37072CF5"/>
    <w:rsid w:val="370A4EF3"/>
    <w:rsid w:val="37117EB5"/>
    <w:rsid w:val="37763133"/>
    <w:rsid w:val="37845F15"/>
    <w:rsid w:val="37A64880"/>
    <w:rsid w:val="37FE7049"/>
    <w:rsid w:val="380C1E91"/>
    <w:rsid w:val="387E4C2D"/>
    <w:rsid w:val="388A5F3B"/>
    <w:rsid w:val="389D5FE2"/>
    <w:rsid w:val="38DE382B"/>
    <w:rsid w:val="38E07AE6"/>
    <w:rsid w:val="38ED54AF"/>
    <w:rsid w:val="39132D13"/>
    <w:rsid w:val="391B314C"/>
    <w:rsid w:val="391F5117"/>
    <w:rsid w:val="3954207C"/>
    <w:rsid w:val="395E31CF"/>
    <w:rsid w:val="397D7D44"/>
    <w:rsid w:val="39A50E76"/>
    <w:rsid w:val="39DD5D39"/>
    <w:rsid w:val="3A132112"/>
    <w:rsid w:val="3A2B2F33"/>
    <w:rsid w:val="3A3433D8"/>
    <w:rsid w:val="3A53708B"/>
    <w:rsid w:val="3A8A2FAA"/>
    <w:rsid w:val="3AAF7534"/>
    <w:rsid w:val="3ACC2746"/>
    <w:rsid w:val="3AE53707"/>
    <w:rsid w:val="3AF21FD1"/>
    <w:rsid w:val="3AFB0D13"/>
    <w:rsid w:val="3B0F1CCA"/>
    <w:rsid w:val="3B101E55"/>
    <w:rsid w:val="3B22077B"/>
    <w:rsid w:val="3B2616EB"/>
    <w:rsid w:val="3B561D9F"/>
    <w:rsid w:val="3B576461"/>
    <w:rsid w:val="3B5A363D"/>
    <w:rsid w:val="3B8264B1"/>
    <w:rsid w:val="3B8E251B"/>
    <w:rsid w:val="3B9347B0"/>
    <w:rsid w:val="3BC31615"/>
    <w:rsid w:val="3BC902DC"/>
    <w:rsid w:val="3BDE4D6B"/>
    <w:rsid w:val="3BEE2C31"/>
    <w:rsid w:val="3C07196D"/>
    <w:rsid w:val="3C073099"/>
    <w:rsid w:val="3C086A46"/>
    <w:rsid w:val="3C1057D6"/>
    <w:rsid w:val="3C16263D"/>
    <w:rsid w:val="3C220DAE"/>
    <w:rsid w:val="3C31609A"/>
    <w:rsid w:val="3C5634C6"/>
    <w:rsid w:val="3C61373A"/>
    <w:rsid w:val="3C6E2041"/>
    <w:rsid w:val="3C6E6457"/>
    <w:rsid w:val="3C8303D2"/>
    <w:rsid w:val="3C950053"/>
    <w:rsid w:val="3CC52471"/>
    <w:rsid w:val="3CCD42E3"/>
    <w:rsid w:val="3D163594"/>
    <w:rsid w:val="3D205B1B"/>
    <w:rsid w:val="3D3A5DA8"/>
    <w:rsid w:val="3D4A5E62"/>
    <w:rsid w:val="3D5E7475"/>
    <w:rsid w:val="3D962C86"/>
    <w:rsid w:val="3DC764C6"/>
    <w:rsid w:val="3DD563EC"/>
    <w:rsid w:val="3DDA4841"/>
    <w:rsid w:val="3E277B9D"/>
    <w:rsid w:val="3E3415C1"/>
    <w:rsid w:val="3E3502E8"/>
    <w:rsid w:val="3E5848D7"/>
    <w:rsid w:val="3ED82C40"/>
    <w:rsid w:val="3EE87668"/>
    <w:rsid w:val="3EF71BC7"/>
    <w:rsid w:val="3F0475ED"/>
    <w:rsid w:val="3F373E74"/>
    <w:rsid w:val="3F6469EE"/>
    <w:rsid w:val="3F7831C5"/>
    <w:rsid w:val="3F9065C2"/>
    <w:rsid w:val="3FAD1AA8"/>
    <w:rsid w:val="3FB065B0"/>
    <w:rsid w:val="3FBC52EF"/>
    <w:rsid w:val="3FBF380B"/>
    <w:rsid w:val="3FD002A4"/>
    <w:rsid w:val="40010780"/>
    <w:rsid w:val="401E6FC9"/>
    <w:rsid w:val="402832DD"/>
    <w:rsid w:val="402D36A8"/>
    <w:rsid w:val="40443D54"/>
    <w:rsid w:val="404F3758"/>
    <w:rsid w:val="406D332D"/>
    <w:rsid w:val="4096157E"/>
    <w:rsid w:val="409B5C5B"/>
    <w:rsid w:val="40A628CB"/>
    <w:rsid w:val="40C424AA"/>
    <w:rsid w:val="40D40BC4"/>
    <w:rsid w:val="40F0243C"/>
    <w:rsid w:val="40F65A5A"/>
    <w:rsid w:val="41171FD0"/>
    <w:rsid w:val="412A1D04"/>
    <w:rsid w:val="414A5F02"/>
    <w:rsid w:val="415B6DF5"/>
    <w:rsid w:val="4173532D"/>
    <w:rsid w:val="41C5022E"/>
    <w:rsid w:val="42082B52"/>
    <w:rsid w:val="421C4BE2"/>
    <w:rsid w:val="42236939"/>
    <w:rsid w:val="424634BA"/>
    <w:rsid w:val="425A7365"/>
    <w:rsid w:val="426B1C74"/>
    <w:rsid w:val="428448B3"/>
    <w:rsid w:val="42A3689F"/>
    <w:rsid w:val="42B4413C"/>
    <w:rsid w:val="42E27942"/>
    <w:rsid w:val="43020311"/>
    <w:rsid w:val="430568D6"/>
    <w:rsid w:val="431B4A01"/>
    <w:rsid w:val="4343677E"/>
    <w:rsid w:val="43841107"/>
    <w:rsid w:val="438425A4"/>
    <w:rsid w:val="43A22025"/>
    <w:rsid w:val="43A23A34"/>
    <w:rsid w:val="43A856B0"/>
    <w:rsid w:val="43D1318F"/>
    <w:rsid w:val="43DB4400"/>
    <w:rsid w:val="43E629B9"/>
    <w:rsid w:val="43E67DEA"/>
    <w:rsid w:val="442B517C"/>
    <w:rsid w:val="444975D1"/>
    <w:rsid w:val="444C40B0"/>
    <w:rsid w:val="445645F5"/>
    <w:rsid w:val="44707DE2"/>
    <w:rsid w:val="4478089E"/>
    <w:rsid w:val="44A872B5"/>
    <w:rsid w:val="44AC205E"/>
    <w:rsid w:val="44B944E0"/>
    <w:rsid w:val="44BC2C73"/>
    <w:rsid w:val="44C10289"/>
    <w:rsid w:val="44C153D1"/>
    <w:rsid w:val="44C24E62"/>
    <w:rsid w:val="451A6584"/>
    <w:rsid w:val="454D0C2C"/>
    <w:rsid w:val="455507EC"/>
    <w:rsid w:val="45651FC1"/>
    <w:rsid w:val="45871607"/>
    <w:rsid w:val="458B373D"/>
    <w:rsid w:val="45AE4F23"/>
    <w:rsid w:val="45F5110D"/>
    <w:rsid w:val="45F7648C"/>
    <w:rsid w:val="45F94796"/>
    <w:rsid w:val="45FD30EB"/>
    <w:rsid w:val="46081223"/>
    <w:rsid w:val="46344815"/>
    <w:rsid w:val="46654F58"/>
    <w:rsid w:val="4675027A"/>
    <w:rsid w:val="467B6B5D"/>
    <w:rsid w:val="469577DD"/>
    <w:rsid w:val="469E7515"/>
    <w:rsid w:val="46BB2D74"/>
    <w:rsid w:val="46C509DB"/>
    <w:rsid w:val="46CE611A"/>
    <w:rsid w:val="46E51534"/>
    <w:rsid w:val="47114D62"/>
    <w:rsid w:val="471A3163"/>
    <w:rsid w:val="475314A5"/>
    <w:rsid w:val="477A66FF"/>
    <w:rsid w:val="477C03F5"/>
    <w:rsid w:val="47AC5FB1"/>
    <w:rsid w:val="47B54E10"/>
    <w:rsid w:val="47C85DD2"/>
    <w:rsid w:val="47CC198F"/>
    <w:rsid w:val="47D95A3E"/>
    <w:rsid w:val="480C03E8"/>
    <w:rsid w:val="48714E5B"/>
    <w:rsid w:val="48A76FFC"/>
    <w:rsid w:val="48BB76E5"/>
    <w:rsid w:val="48BC29C0"/>
    <w:rsid w:val="48CB4EB5"/>
    <w:rsid w:val="492D0AFE"/>
    <w:rsid w:val="494E0559"/>
    <w:rsid w:val="495C6C5B"/>
    <w:rsid w:val="49650E67"/>
    <w:rsid w:val="497E29FD"/>
    <w:rsid w:val="498B0436"/>
    <w:rsid w:val="49A45DC5"/>
    <w:rsid w:val="49AD34D2"/>
    <w:rsid w:val="49CF7585"/>
    <w:rsid w:val="49D11CB0"/>
    <w:rsid w:val="49DD4BDC"/>
    <w:rsid w:val="49F516F6"/>
    <w:rsid w:val="4A081A7E"/>
    <w:rsid w:val="4A155F1A"/>
    <w:rsid w:val="4A273C8C"/>
    <w:rsid w:val="4A40786E"/>
    <w:rsid w:val="4A73588D"/>
    <w:rsid w:val="4A804BD9"/>
    <w:rsid w:val="4A8E6E5F"/>
    <w:rsid w:val="4AA649DE"/>
    <w:rsid w:val="4ACC645F"/>
    <w:rsid w:val="4B012CAC"/>
    <w:rsid w:val="4B157C58"/>
    <w:rsid w:val="4B2940BE"/>
    <w:rsid w:val="4B3903F1"/>
    <w:rsid w:val="4B461CB8"/>
    <w:rsid w:val="4B645171"/>
    <w:rsid w:val="4B6F6954"/>
    <w:rsid w:val="4B8B3721"/>
    <w:rsid w:val="4B8F08A5"/>
    <w:rsid w:val="4BA32D07"/>
    <w:rsid w:val="4BB04B45"/>
    <w:rsid w:val="4C3A68A9"/>
    <w:rsid w:val="4C912C37"/>
    <w:rsid w:val="4CBD1C7E"/>
    <w:rsid w:val="4CC63AC2"/>
    <w:rsid w:val="4D0E488C"/>
    <w:rsid w:val="4D205EE7"/>
    <w:rsid w:val="4D3B0DC5"/>
    <w:rsid w:val="4D546A9B"/>
    <w:rsid w:val="4D61225C"/>
    <w:rsid w:val="4D747361"/>
    <w:rsid w:val="4D852491"/>
    <w:rsid w:val="4D9116C8"/>
    <w:rsid w:val="4DB27018"/>
    <w:rsid w:val="4DC27901"/>
    <w:rsid w:val="4DD07279"/>
    <w:rsid w:val="4DE81C8B"/>
    <w:rsid w:val="4E016BBA"/>
    <w:rsid w:val="4E192BDB"/>
    <w:rsid w:val="4E5F3833"/>
    <w:rsid w:val="4E604215"/>
    <w:rsid w:val="4E636BF9"/>
    <w:rsid w:val="4E6525D7"/>
    <w:rsid w:val="4E82673B"/>
    <w:rsid w:val="4E96197E"/>
    <w:rsid w:val="4EA441EE"/>
    <w:rsid w:val="4EBA39F8"/>
    <w:rsid w:val="4EE42EEF"/>
    <w:rsid w:val="4F2D63D4"/>
    <w:rsid w:val="4F4671A0"/>
    <w:rsid w:val="4F6637CE"/>
    <w:rsid w:val="4F692B9B"/>
    <w:rsid w:val="4F6D3366"/>
    <w:rsid w:val="4F7B197C"/>
    <w:rsid w:val="4FA361C5"/>
    <w:rsid w:val="4FB67E18"/>
    <w:rsid w:val="4FC535A6"/>
    <w:rsid w:val="4FCE5F50"/>
    <w:rsid w:val="4FD867AC"/>
    <w:rsid w:val="4FEC3616"/>
    <w:rsid w:val="504D766E"/>
    <w:rsid w:val="507C258F"/>
    <w:rsid w:val="50A0567D"/>
    <w:rsid w:val="50BE2DE5"/>
    <w:rsid w:val="50CD6207"/>
    <w:rsid w:val="50D73BCF"/>
    <w:rsid w:val="50FB3AC5"/>
    <w:rsid w:val="50FF2274"/>
    <w:rsid w:val="51267A66"/>
    <w:rsid w:val="51326001"/>
    <w:rsid w:val="51397F8B"/>
    <w:rsid w:val="51522B6F"/>
    <w:rsid w:val="5166782C"/>
    <w:rsid w:val="51804376"/>
    <w:rsid w:val="51991501"/>
    <w:rsid w:val="51A227D3"/>
    <w:rsid w:val="51AA321A"/>
    <w:rsid w:val="51C33DDD"/>
    <w:rsid w:val="51E91964"/>
    <w:rsid w:val="51EB0086"/>
    <w:rsid w:val="51F8510A"/>
    <w:rsid w:val="527C67FA"/>
    <w:rsid w:val="527C6A61"/>
    <w:rsid w:val="527D2CA2"/>
    <w:rsid w:val="529606E1"/>
    <w:rsid w:val="5299130F"/>
    <w:rsid w:val="52A15B9E"/>
    <w:rsid w:val="52BC6534"/>
    <w:rsid w:val="52BF7CF5"/>
    <w:rsid w:val="52C822FD"/>
    <w:rsid w:val="533D579B"/>
    <w:rsid w:val="533E7543"/>
    <w:rsid w:val="5347239E"/>
    <w:rsid w:val="534A2CCA"/>
    <w:rsid w:val="535836F2"/>
    <w:rsid w:val="536C1E58"/>
    <w:rsid w:val="537A40FC"/>
    <w:rsid w:val="53934341"/>
    <w:rsid w:val="539E0AE9"/>
    <w:rsid w:val="539F334A"/>
    <w:rsid w:val="53A165EA"/>
    <w:rsid w:val="53A17E57"/>
    <w:rsid w:val="53B266BB"/>
    <w:rsid w:val="54034AD1"/>
    <w:rsid w:val="54134AF7"/>
    <w:rsid w:val="543615CA"/>
    <w:rsid w:val="543872A6"/>
    <w:rsid w:val="548D0188"/>
    <w:rsid w:val="54921CD7"/>
    <w:rsid w:val="549B7596"/>
    <w:rsid w:val="54BD78F6"/>
    <w:rsid w:val="54C15852"/>
    <w:rsid w:val="54DD0381"/>
    <w:rsid w:val="54FB1363"/>
    <w:rsid w:val="551345CF"/>
    <w:rsid w:val="55197426"/>
    <w:rsid w:val="552F4275"/>
    <w:rsid w:val="55690B5F"/>
    <w:rsid w:val="556B30A1"/>
    <w:rsid w:val="55A97B5B"/>
    <w:rsid w:val="55C12D9B"/>
    <w:rsid w:val="56367A19"/>
    <w:rsid w:val="565948C0"/>
    <w:rsid w:val="56707D61"/>
    <w:rsid w:val="5686138C"/>
    <w:rsid w:val="569A151F"/>
    <w:rsid w:val="56B92F38"/>
    <w:rsid w:val="56F11E0B"/>
    <w:rsid w:val="571D061A"/>
    <w:rsid w:val="572C00CD"/>
    <w:rsid w:val="572F69AC"/>
    <w:rsid w:val="574C371D"/>
    <w:rsid w:val="576943F1"/>
    <w:rsid w:val="576F5974"/>
    <w:rsid w:val="578235C7"/>
    <w:rsid w:val="579757D8"/>
    <w:rsid w:val="57A97D34"/>
    <w:rsid w:val="57B54C86"/>
    <w:rsid w:val="57CA4C7D"/>
    <w:rsid w:val="57FA36C2"/>
    <w:rsid w:val="58070E22"/>
    <w:rsid w:val="580F0E1B"/>
    <w:rsid w:val="58134838"/>
    <w:rsid w:val="58201313"/>
    <w:rsid w:val="583A0FA6"/>
    <w:rsid w:val="583B4F6A"/>
    <w:rsid w:val="583E20F6"/>
    <w:rsid w:val="58402A0C"/>
    <w:rsid w:val="584E0A33"/>
    <w:rsid w:val="586506B8"/>
    <w:rsid w:val="586B6A64"/>
    <w:rsid w:val="586C212F"/>
    <w:rsid w:val="588F3ABD"/>
    <w:rsid w:val="589968B4"/>
    <w:rsid w:val="589C4100"/>
    <w:rsid w:val="58AE14C4"/>
    <w:rsid w:val="58BE7CE8"/>
    <w:rsid w:val="58C2244D"/>
    <w:rsid w:val="590C00AD"/>
    <w:rsid w:val="59314FCC"/>
    <w:rsid w:val="595930C5"/>
    <w:rsid w:val="595C0EAB"/>
    <w:rsid w:val="596D0588"/>
    <w:rsid w:val="596E461C"/>
    <w:rsid w:val="59846C4F"/>
    <w:rsid w:val="59A553EB"/>
    <w:rsid w:val="59AE5B50"/>
    <w:rsid w:val="59B26500"/>
    <w:rsid w:val="59B81BBF"/>
    <w:rsid w:val="59C56D3D"/>
    <w:rsid w:val="59D444D3"/>
    <w:rsid w:val="59EB6C64"/>
    <w:rsid w:val="5A2E2649"/>
    <w:rsid w:val="5A2F3A8F"/>
    <w:rsid w:val="5A390778"/>
    <w:rsid w:val="5A5411E3"/>
    <w:rsid w:val="5A782C1D"/>
    <w:rsid w:val="5A8B33BB"/>
    <w:rsid w:val="5A95722D"/>
    <w:rsid w:val="5AB332BE"/>
    <w:rsid w:val="5AF52745"/>
    <w:rsid w:val="5B1C1B7D"/>
    <w:rsid w:val="5B476DC6"/>
    <w:rsid w:val="5B522DB1"/>
    <w:rsid w:val="5B752265"/>
    <w:rsid w:val="5B807217"/>
    <w:rsid w:val="5BAC72A6"/>
    <w:rsid w:val="5BE31CC4"/>
    <w:rsid w:val="5BE80630"/>
    <w:rsid w:val="5C1333C8"/>
    <w:rsid w:val="5C196014"/>
    <w:rsid w:val="5C5B670A"/>
    <w:rsid w:val="5C8252F4"/>
    <w:rsid w:val="5D000436"/>
    <w:rsid w:val="5D053080"/>
    <w:rsid w:val="5D291F94"/>
    <w:rsid w:val="5D7927BA"/>
    <w:rsid w:val="5DA125BC"/>
    <w:rsid w:val="5DAE6608"/>
    <w:rsid w:val="5DBC7E1E"/>
    <w:rsid w:val="5DD15AAB"/>
    <w:rsid w:val="5DEA3ED6"/>
    <w:rsid w:val="5DF310FC"/>
    <w:rsid w:val="5E256958"/>
    <w:rsid w:val="5E2D7290"/>
    <w:rsid w:val="5E3C1812"/>
    <w:rsid w:val="5E457EAE"/>
    <w:rsid w:val="5E4F73EF"/>
    <w:rsid w:val="5E5139C2"/>
    <w:rsid w:val="5E5D11D1"/>
    <w:rsid w:val="5E6F4FF4"/>
    <w:rsid w:val="5E7222E5"/>
    <w:rsid w:val="5E8B4FE8"/>
    <w:rsid w:val="5E8D3253"/>
    <w:rsid w:val="5E986FA3"/>
    <w:rsid w:val="5EB84ECC"/>
    <w:rsid w:val="5EBD5B0D"/>
    <w:rsid w:val="5EC2575F"/>
    <w:rsid w:val="5EE75A4E"/>
    <w:rsid w:val="5EF837AA"/>
    <w:rsid w:val="5EFD415C"/>
    <w:rsid w:val="5F092B01"/>
    <w:rsid w:val="5F095A63"/>
    <w:rsid w:val="5F364DD7"/>
    <w:rsid w:val="5F636EA8"/>
    <w:rsid w:val="5F6E6A9D"/>
    <w:rsid w:val="5F892A17"/>
    <w:rsid w:val="5F8A2A08"/>
    <w:rsid w:val="5FB54247"/>
    <w:rsid w:val="5FD6725E"/>
    <w:rsid w:val="5FD86B03"/>
    <w:rsid w:val="5FF76DFD"/>
    <w:rsid w:val="5FFB713E"/>
    <w:rsid w:val="5FFE5E56"/>
    <w:rsid w:val="601E4DF0"/>
    <w:rsid w:val="603B3C53"/>
    <w:rsid w:val="605756F7"/>
    <w:rsid w:val="605A7058"/>
    <w:rsid w:val="606862FA"/>
    <w:rsid w:val="60AA7150"/>
    <w:rsid w:val="60B91F51"/>
    <w:rsid w:val="60D72A5E"/>
    <w:rsid w:val="61314591"/>
    <w:rsid w:val="613B3B8F"/>
    <w:rsid w:val="6142679E"/>
    <w:rsid w:val="614829A8"/>
    <w:rsid w:val="6165246A"/>
    <w:rsid w:val="618A45E8"/>
    <w:rsid w:val="619F7440"/>
    <w:rsid w:val="61B22806"/>
    <w:rsid w:val="61D1762B"/>
    <w:rsid w:val="61E928D9"/>
    <w:rsid w:val="61ED6B55"/>
    <w:rsid w:val="61F23319"/>
    <w:rsid w:val="622752D0"/>
    <w:rsid w:val="625D45F4"/>
    <w:rsid w:val="627C183B"/>
    <w:rsid w:val="6286153A"/>
    <w:rsid w:val="62C43DE3"/>
    <w:rsid w:val="63042232"/>
    <w:rsid w:val="638F0DC9"/>
    <w:rsid w:val="63991B0B"/>
    <w:rsid w:val="63D97837"/>
    <w:rsid w:val="6409448D"/>
    <w:rsid w:val="640C59EC"/>
    <w:rsid w:val="64322AF9"/>
    <w:rsid w:val="644251DF"/>
    <w:rsid w:val="64B15547"/>
    <w:rsid w:val="64B51B15"/>
    <w:rsid w:val="64F309C5"/>
    <w:rsid w:val="650F4BE9"/>
    <w:rsid w:val="651D2BEB"/>
    <w:rsid w:val="6554601E"/>
    <w:rsid w:val="65A86BDC"/>
    <w:rsid w:val="65F620E8"/>
    <w:rsid w:val="6609771D"/>
    <w:rsid w:val="66151C7D"/>
    <w:rsid w:val="662B60E9"/>
    <w:rsid w:val="663A0714"/>
    <w:rsid w:val="663E141F"/>
    <w:rsid w:val="66410AAB"/>
    <w:rsid w:val="664518D4"/>
    <w:rsid w:val="66576F8D"/>
    <w:rsid w:val="665D5660"/>
    <w:rsid w:val="667E21A1"/>
    <w:rsid w:val="668976F9"/>
    <w:rsid w:val="66A650D9"/>
    <w:rsid w:val="66A66612"/>
    <w:rsid w:val="66B3617C"/>
    <w:rsid w:val="66C8127C"/>
    <w:rsid w:val="66DD58E6"/>
    <w:rsid w:val="679709B6"/>
    <w:rsid w:val="67A2115E"/>
    <w:rsid w:val="67D50535"/>
    <w:rsid w:val="67DD16AD"/>
    <w:rsid w:val="67F433B6"/>
    <w:rsid w:val="68044466"/>
    <w:rsid w:val="680D6A35"/>
    <w:rsid w:val="682417D3"/>
    <w:rsid w:val="68284055"/>
    <w:rsid w:val="682974A0"/>
    <w:rsid w:val="682C41D7"/>
    <w:rsid w:val="68312247"/>
    <w:rsid w:val="683E2946"/>
    <w:rsid w:val="684F5B05"/>
    <w:rsid w:val="68B14248"/>
    <w:rsid w:val="68B8530F"/>
    <w:rsid w:val="68BA56B2"/>
    <w:rsid w:val="68C22435"/>
    <w:rsid w:val="68E14BED"/>
    <w:rsid w:val="68EF0FB9"/>
    <w:rsid w:val="69026F3E"/>
    <w:rsid w:val="696A6892"/>
    <w:rsid w:val="696E3558"/>
    <w:rsid w:val="69B31A14"/>
    <w:rsid w:val="69B77582"/>
    <w:rsid w:val="69D11D18"/>
    <w:rsid w:val="69FB2643"/>
    <w:rsid w:val="6A1C70CC"/>
    <w:rsid w:val="6A232B33"/>
    <w:rsid w:val="6A883344"/>
    <w:rsid w:val="6AA83EB2"/>
    <w:rsid w:val="6AC27BB2"/>
    <w:rsid w:val="6AF00B2D"/>
    <w:rsid w:val="6B1270D8"/>
    <w:rsid w:val="6B204E1B"/>
    <w:rsid w:val="6B296A87"/>
    <w:rsid w:val="6B4876B4"/>
    <w:rsid w:val="6B510059"/>
    <w:rsid w:val="6B69712C"/>
    <w:rsid w:val="6B7B4D86"/>
    <w:rsid w:val="6B8425EF"/>
    <w:rsid w:val="6BCC0DA5"/>
    <w:rsid w:val="6BE4292B"/>
    <w:rsid w:val="6BEE4EA8"/>
    <w:rsid w:val="6BFE5A4E"/>
    <w:rsid w:val="6BFF17BC"/>
    <w:rsid w:val="6C102CA2"/>
    <w:rsid w:val="6C3038AF"/>
    <w:rsid w:val="6C320C8F"/>
    <w:rsid w:val="6C405E5C"/>
    <w:rsid w:val="6C705496"/>
    <w:rsid w:val="6C756079"/>
    <w:rsid w:val="6C8E375A"/>
    <w:rsid w:val="6C8F326E"/>
    <w:rsid w:val="6CB15163"/>
    <w:rsid w:val="6CC20984"/>
    <w:rsid w:val="6CC60283"/>
    <w:rsid w:val="6CD3474E"/>
    <w:rsid w:val="6D0F26D2"/>
    <w:rsid w:val="6D183BC4"/>
    <w:rsid w:val="6D27463E"/>
    <w:rsid w:val="6D291239"/>
    <w:rsid w:val="6D664D6B"/>
    <w:rsid w:val="6D72193B"/>
    <w:rsid w:val="6D7908EF"/>
    <w:rsid w:val="6D9965E5"/>
    <w:rsid w:val="6DAC5000"/>
    <w:rsid w:val="6DC54131"/>
    <w:rsid w:val="6E19155E"/>
    <w:rsid w:val="6E2755D4"/>
    <w:rsid w:val="6E4468D9"/>
    <w:rsid w:val="6E6F24D7"/>
    <w:rsid w:val="6E711397"/>
    <w:rsid w:val="6E7F693B"/>
    <w:rsid w:val="6E95688D"/>
    <w:rsid w:val="6E9D2F45"/>
    <w:rsid w:val="6ED560FE"/>
    <w:rsid w:val="6F2416D5"/>
    <w:rsid w:val="6F462008"/>
    <w:rsid w:val="6F4E5687"/>
    <w:rsid w:val="6F5536EE"/>
    <w:rsid w:val="6F667AFB"/>
    <w:rsid w:val="6FBB48A0"/>
    <w:rsid w:val="6FE00973"/>
    <w:rsid w:val="6FE02AF4"/>
    <w:rsid w:val="6FE14C9F"/>
    <w:rsid w:val="6FEF53BF"/>
    <w:rsid w:val="70075EF5"/>
    <w:rsid w:val="70136AE8"/>
    <w:rsid w:val="701D1A84"/>
    <w:rsid w:val="70377DC4"/>
    <w:rsid w:val="705F104E"/>
    <w:rsid w:val="706202C3"/>
    <w:rsid w:val="709417BF"/>
    <w:rsid w:val="70A037BE"/>
    <w:rsid w:val="70AA5DA8"/>
    <w:rsid w:val="70B328CC"/>
    <w:rsid w:val="70BF5D0F"/>
    <w:rsid w:val="70E62CA2"/>
    <w:rsid w:val="70EE45D8"/>
    <w:rsid w:val="70FA2C10"/>
    <w:rsid w:val="7157618C"/>
    <w:rsid w:val="71583116"/>
    <w:rsid w:val="716F066F"/>
    <w:rsid w:val="71C42099"/>
    <w:rsid w:val="71D22C05"/>
    <w:rsid w:val="71F419DF"/>
    <w:rsid w:val="723A0367"/>
    <w:rsid w:val="724B3023"/>
    <w:rsid w:val="7293745D"/>
    <w:rsid w:val="729A3FBE"/>
    <w:rsid w:val="72A94067"/>
    <w:rsid w:val="72CC34DC"/>
    <w:rsid w:val="72CF12EB"/>
    <w:rsid w:val="72E651DB"/>
    <w:rsid w:val="72EA251B"/>
    <w:rsid w:val="72FA0C86"/>
    <w:rsid w:val="732E1CC1"/>
    <w:rsid w:val="733C3537"/>
    <w:rsid w:val="7345216B"/>
    <w:rsid w:val="734C5731"/>
    <w:rsid w:val="7359285B"/>
    <w:rsid w:val="736A582D"/>
    <w:rsid w:val="737111B5"/>
    <w:rsid w:val="7373596D"/>
    <w:rsid w:val="73B452D9"/>
    <w:rsid w:val="73B67E04"/>
    <w:rsid w:val="73D706A9"/>
    <w:rsid w:val="73EA731A"/>
    <w:rsid w:val="7439758C"/>
    <w:rsid w:val="746E5B37"/>
    <w:rsid w:val="74882BAF"/>
    <w:rsid w:val="748F2502"/>
    <w:rsid w:val="749701FA"/>
    <w:rsid w:val="749E4500"/>
    <w:rsid w:val="74C66F87"/>
    <w:rsid w:val="75052781"/>
    <w:rsid w:val="752347FE"/>
    <w:rsid w:val="7561643A"/>
    <w:rsid w:val="757B56BD"/>
    <w:rsid w:val="75A71C6D"/>
    <w:rsid w:val="75AE4C58"/>
    <w:rsid w:val="75DE488F"/>
    <w:rsid w:val="75E24ACA"/>
    <w:rsid w:val="75F05C4A"/>
    <w:rsid w:val="75F060B9"/>
    <w:rsid w:val="75FF63BE"/>
    <w:rsid w:val="76073E1E"/>
    <w:rsid w:val="76300F25"/>
    <w:rsid w:val="76393F47"/>
    <w:rsid w:val="764A1253"/>
    <w:rsid w:val="76541DC7"/>
    <w:rsid w:val="7674529E"/>
    <w:rsid w:val="76953535"/>
    <w:rsid w:val="76E01124"/>
    <w:rsid w:val="76F23402"/>
    <w:rsid w:val="775C5609"/>
    <w:rsid w:val="776C0A8B"/>
    <w:rsid w:val="776D515C"/>
    <w:rsid w:val="77714AEE"/>
    <w:rsid w:val="77C85A01"/>
    <w:rsid w:val="78000AED"/>
    <w:rsid w:val="78250553"/>
    <w:rsid w:val="78A5600D"/>
    <w:rsid w:val="78AD2FD7"/>
    <w:rsid w:val="78AE157E"/>
    <w:rsid w:val="78D07806"/>
    <w:rsid w:val="791C4546"/>
    <w:rsid w:val="793B289E"/>
    <w:rsid w:val="794744F9"/>
    <w:rsid w:val="794E111B"/>
    <w:rsid w:val="796736E9"/>
    <w:rsid w:val="797404B1"/>
    <w:rsid w:val="798012D8"/>
    <w:rsid w:val="79825D74"/>
    <w:rsid w:val="7987227D"/>
    <w:rsid w:val="79D93207"/>
    <w:rsid w:val="79FF133B"/>
    <w:rsid w:val="7A464429"/>
    <w:rsid w:val="7A4778C6"/>
    <w:rsid w:val="7AC8396A"/>
    <w:rsid w:val="7AD21D3A"/>
    <w:rsid w:val="7AF8434E"/>
    <w:rsid w:val="7B024B7C"/>
    <w:rsid w:val="7B2D1FCC"/>
    <w:rsid w:val="7B317065"/>
    <w:rsid w:val="7B34053A"/>
    <w:rsid w:val="7B5A6BAC"/>
    <w:rsid w:val="7B895B91"/>
    <w:rsid w:val="7BB35FE5"/>
    <w:rsid w:val="7BC30561"/>
    <w:rsid w:val="7BD00D2E"/>
    <w:rsid w:val="7BE13048"/>
    <w:rsid w:val="7BF7683F"/>
    <w:rsid w:val="7C17442C"/>
    <w:rsid w:val="7C4A0457"/>
    <w:rsid w:val="7C5D4E79"/>
    <w:rsid w:val="7CA6131C"/>
    <w:rsid w:val="7CB76B1C"/>
    <w:rsid w:val="7CB80FE6"/>
    <w:rsid w:val="7CC95A3B"/>
    <w:rsid w:val="7CD52061"/>
    <w:rsid w:val="7CE6202E"/>
    <w:rsid w:val="7D036C57"/>
    <w:rsid w:val="7D4567F4"/>
    <w:rsid w:val="7D5612E7"/>
    <w:rsid w:val="7D5D078F"/>
    <w:rsid w:val="7D61004C"/>
    <w:rsid w:val="7D867B26"/>
    <w:rsid w:val="7DBF225C"/>
    <w:rsid w:val="7DDA262C"/>
    <w:rsid w:val="7E01111B"/>
    <w:rsid w:val="7E207966"/>
    <w:rsid w:val="7E307319"/>
    <w:rsid w:val="7E3C22CA"/>
    <w:rsid w:val="7E460AC2"/>
    <w:rsid w:val="7E5807E8"/>
    <w:rsid w:val="7E61786A"/>
    <w:rsid w:val="7E7A52F7"/>
    <w:rsid w:val="7EC81888"/>
    <w:rsid w:val="7ED80E98"/>
    <w:rsid w:val="7F2635FF"/>
    <w:rsid w:val="7F2E467C"/>
    <w:rsid w:val="7F5007DF"/>
    <w:rsid w:val="7F5965ED"/>
    <w:rsid w:val="7F663693"/>
    <w:rsid w:val="7F6D152C"/>
    <w:rsid w:val="7F912005"/>
    <w:rsid w:val="7FD14B1D"/>
    <w:rsid w:val="7FDA245F"/>
    <w:rsid w:val="7FEC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41"/>
    <w:qFormat/>
    <w:uiPriority w:val="0"/>
    <w:pPr>
      <w:keepNext/>
      <w:keepLines/>
      <w:spacing w:before="340" w:after="330" w:line="576" w:lineRule="auto"/>
      <w:outlineLvl w:val="0"/>
    </w:pPr>
    <w:rPr>
      <w:rFonts w:ascii="Times New Roman" w:hAnsi="Times New Roman"/>
      <w:b/>
      <w:bCs/>
      <w:sz w:val="24"/>
      <w:szCs w:val="20"/>
    </w:rPr>
  </w:style>
  <w:style w:type="paragraph" w:styleId="7">
    <w:name w:val="heading 2"/>
    <w:basedOn w:val="1"/>
    <w:next w:val="1"/>
    <w:qFormat/>
    <w:uiPriority w:val="0"/>
    <w:pPr>
      <w:keepNext/>
      <w:keepLines/>
      <w:spacing w:before="260" w:after="260" w:line="415" w:lineRule="auto"/>
      <w:outlineLvl w:val="1"/>
    </w:pPr>
    <w:rPr>
      <w:rFonts w:ascii="Arial" w:hAnsi="Arial" w:eastAsia="黑体"/>
      <w:b/>
      <w:kern w:val="0"/>
      <w:sz w:val="32"/>
      <w:szCs w:val="20"/>
    </w:rPr>
  </w:style>
  <w:style w:type="paragraph" w:styleId="8">
    <w:name w:val="heading 3"/>
    <w:basedOn w:val="1"/>
    <w:next w:val="1"/>
    <w:qFormat/>
    <w:uiPriority w:val="0"/>
    <w:pPr>
      <w:keepNext/>
      <w:keepLines/>
      <w:spacing w:before="260" w:after="260" w:line="415" w:lineRule="auto"/>
      <w:outlineLvl w:val="2"/>
    </w:pPr>
    <w:rPr>
      <w:b/>
      <w:sz w:val="32"/>
    </w:rPr>
  </w:style>
  <w:style w:type="paragraph" w:styleId="9">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10">
    <w:name w:val="heading 5"/>
    <w:basedOn w:val="1"/>
    <w:next w:val="11"/>
    <w:qFormat/>
    <w:uiPriority w:val="0"/>
    <w:pPr>
      <w:keepNext/>
      <w:keepLines/>
      <w:numPr>
        <w:ilvl w:val="4"/>
        <w:numId w:val="1"/>
      </w:numPr>
      <w:spacing w:before="280" w:after="290" w:line="372" w:lineRule="auto"/>
      <w:outlineLvl w:val="4"/>
    </w:pPr>
    <w:rPr>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djustRightInd w:val="0"/>
      <w:ind w:firstLine="420"/>
      <w:jc w:val="left"/>
      <w:textAlignment w:val="baseline"/>
    </w:pPr>
    <w:rPr>
      <w:kern w:val="0"/>
    </w:rPr>
  </w:style>
  <w:style w:type="paragraph" w:styleId="3">
    <w:name w:val="Body Text"/>
    <w:basedOn w:val="1"/>
    <w:next w:val="1"/>
    <w:qFormat/>
    <w:uiPriority w:val="0"/>
    <w:rPr>
      <w:b/>
      <w:sz w:val="28"/>
    </w:rPr>
  </w:style>
  <w:style w:type="paragraph" w:styleId="4">
    <w:name w:val="Body Text First Indent 2"/>
    <w:basedOn w:val="5"/>
    <w:next w:val="1"/>
    <w:qFormat/>
    <w:uiPriority w:val="0"/>
    <w:pPr>
      <w:ind w:firstLine="420" w:firstLineChars="200"/>
    </w:pPr>
  </w:style>
  <w:style w:type="paragraph" w:styleId="5">
    <w:name w:val="Body Text Indent"/>
    <w:basedOn w:val="1"/>
    <w:next w:val="4"/>
    <w:qFormat/>
    <w:uiPriority w:val="0"/>
    <w:pPr>
      <w:ind w:firstLine="630"/>
    </w:pPr>
    <w:rPr>
      <w:sz w:val="32"/>
      <w:szCs w:val="20"/>
    </w:rPr>
  </w:style>
  <w:style w:type="paragraph" w:styleId="11">
    <w:name w:val="Normal Indent"/>
    <w:basedOn w:val="1"/>
    <w:qFormat/>
    <w:uiPriority w:val="0"/>
    <w:pPr>
      <w:ind w:firstLine="420"/>
    </w:pPr>
    <w:rPr>
      <w:szCs w:val="20"/>
    </w:rPr>
  </w:style>
  <w:style w:type="paragraph" w:styleId="12">
    <w:name w:val="annotation text"/>
    <w:basedOn w:val="1"/>
    <w:link w:val="42"/>
    <w:qFormat/>
    <w:uiPriority w:val="0"/>
    <w:pPr>
      <w:jc w:val="left"/>
    </w:pPr>
  </w:style>
  <w:style w:type="paragraph" w:styleId="13">
    <w:name w:val="toc 3"/>
    <w:basedOn w:val="1"/>
    <w:next w:val="1"/>
    <w:qFormat/>
    <w:uiPriority w:val="0"/>
    <w:pPr>
      <w:ind w:left="420"/>
      <w:jc w:val="left"/>
    </w:pPr>
    <w:rPr>
      <w:i/>
      <w:iCs/>
      <w:sz w:val="20"/>
    </w:rPr>
  </w:style>
  <w:style w:type="paragraph" w:styleId="14">
    <w:name w:val="Plain Text"/>
    <w:basedOn w:val="1"/>
    <w:qFormat/>
    <w:uiPriority w:val="99"/>
    <w:rPr>
      <w:rFonts w:ascii="宋体" w:hAnsi="Courier New"/>
      <w:szCs w:val="21"/>
    </w:rPr>
  </w:style>
  <w:style w:type="paragraph" w:styleId="15">
    <w:name w:val="Body Text Indent 2"/>
    <w:basedOn w:val="1"/>
    <w:qFormat/>
    <w:uiPriority w:val="0"/>
    <w:pPr>
      <w:ind w:firstLine="630"/>
    </w:pPr>
    <w:rPr>
      <w:sz w:val="32"/>
      <w:szCs w:val="20"/>
    </w:rPr>
  </w:style>
  <w:style w:type="paragraph" w:styleId="16">
    <w:name w:val="Balloon Text"/>
    <w:basedOn w:val="1"/>
    <w:link w:val="43"/>
    <w:qFormat/>
    <w:uiPriority w:val="0"/>
    <w:rPr>
      <w:sz w:val="18"/>
      <w:szCs w:val="18"/>
    </w:rPr>
  </w:style>
  <w:style w:type="paragraph" w:styleId="17">
    <w:name w:val="footer"/>
    <w:basedOn w:val="1"/>
    <w:next w:val="3"/>
    <w:qFormat/>
    <w:uiPriority w:val="0"/>
    <w:pPr>
      <w:tabs>
        <w:tab w:val="center" w:pos="4153"/>
        <w:tab w:val="right" w:pos="8306"/>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rPr>
  </w:style>
  <w:style w:type="paragraph" w:styleId="21">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2">
    <w:name w:val="toc 2"/>
    <w:basedOn w:val="1"/>
    <w:next w:val="1"/>
    <w:qFormat/>
    <w:uiPriority w:val="0"/>
    <w:pPr>
      <w:ind w:left="210"/>
      <w:jc w:val="left"/>
    </w:pPr>
    <w:rPr>
      <w:smallCaps/>
      <w:sz w:val="20"/>
    </w:rPr>
  </w:style>
  <w:style w:type="paragraph" w:styleId="23">
    <w:name w:val="Body Text 2"/>
    <w:basedOn w:val="1"/>
    <w:unhideWhenUsed/>
    <w:qFormat/>
    <w:uiPriority w:val="0"/>
    <w:pPr>
      <w:adjustRightInd w:val="0"/>
      <w:snapToGrid w:val="0"/>
      <w:spacing w:line="480" w:lineRule="atLeast"/>
    </w:pPr>
    <w:rPr>
      <w:rFonts w:ascii="宋体" w:hAnsi="宋体"/>
      <w:sz w:val="28"/>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index 1"/>
    <w:basedOn w:val="1"/>
    <w:next w:val="1"/>
    <w:qFormat/>
    <w:uiPriority w:val="0"/>
  </w:style>
  <w:style w:type="paragraph" w:styleId="26">
    <w:name w:val="annotation subject"/>
    <w:basedOn w:val="12"/>
    <w:next w:val="12"/>
    <w:link w:val="45"/>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333333"/>
      <w:u w:val="none"/>
    </w:rPr>
  </w:style>
  <w:style w:type="character" w:styleId="33">
    <w:name w:val="Emphasis"/>
    <w:basedOn w:val="29"/>
    <w:qFormat/>
    <w:uiPriority w:val="0"/>
  </w:style>
  <w:style w:type="character" w:styleId="34">
    <w:name w:val="HTML Definition"/>
    <w:basedOn w:val="29"/>
    <w:qFormat/>
    <w:uiPriority w:val="0"/>
    <w:rPr>
      <w:i/>
      <w:iCs/>
    </w:rPr>
  </w:style>
  <w:style w:type="character" w:styleId="35">
    <w:name w:val="Hyperlink"/>
    <w:basedOn w:val="29"/>
    <w:qFormat/>
    <w:uiPriority w:val="0"/>
    <w:rPr>
      <w:color w:val="000000"/>
      <w:u w:val="none"/>
    </w:rPr>
  </w:style>
  <w:style w:type="character" w:styleId="36">
    <w:name w:val="HTML Code"/>
    <w:basedOn w:val="29"/>
    <w:qFormat/>
    <w:uiPriority w:val="0"/>
    <w:rPr>
      <w:rFonts w:hint="default" w:ascii="Consolas" w:hAnsi="Consolas" w:eastAsia="Consolas" w:cs="Consolas"/>
      <w:color w:val="C7254E"/>
      <w:sz w:val="21"/>
      <w:szCs w:val="21"/>
      <w:shd w:val="clear" w:color="auto" w:fill="F9F2F4"/>
    </w:rPr>
  </w:style>
  <w:style w:type="character" w:styleId="37">
    <w:name w:val="annotation reference"/>
    <w:qFormat/>
    <w:uiPriority w:val="0"/>
    <w:rPr>
      <w:sz w:val="21"/>
      <w:szCs w:val="21"/>
    </w:rPr>
  </w:style>
  <w:style w:type="character" w:styleId="38">
    <w:name w:val="HTML Keyboard"/>
    <w:basedOn w:val="29"/>
    <w:qFormat/>
    <w:uiPriority w:val="0"/>
    <w:rPr>
      <w:rFonts w:hint="default" w:ascii="Consolas" w:hAnsi="Consolas" w:eastAsia="Consolas" w:cs="Consolas"/>
      <w:color w:val="FFFFFF"/>
      <w:sz w:val="21"/>
      <w:szCs w:val="21"/>
      <w:bdr w:val="single" w:color="CCCCCC" w:sz="6" w:space="0"/>
      <w:shd w:val="clear" w:color="auto" w:fill="333333"/>
    </w:rPr>
  </w:style>
  <w:style w:type="character" w:styleId="39">
    <w:name w:val="HTML Sample"/>
    <w:basedOn w:val="29"/>
    <w:qFormat/>
    <w:uiPriority w:val="0"/>
    <w:rPr>
      <w:rFonts w:ascii="Consolas" w:hAnsi="Consolas" w:eastAsia="Consolas" w:cs="Consolas"/>
      <w:sz w:val="21"/>
      <w:szCs w:val="21"/>
    </w:rPr>
  </w:style>
  <w:style w:type="paragraph" w:customStyle="1" w:styleId="40">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character" w:customStyle="1" w:styleId="41">
    <w:name w:val="标题 1 Char1"/>
    <w:link w:val="6"/>
    <w:qFormat/>
    <w:uiPriority w:val="0"/>
    <w:rPr>
      <w:rFonts w:eastAsia="宋体"/>
      <w:b/>
      <w:bCs/>
      <w:kern w:val="2"/>
      <w:sz w:val="24"/>
      <w:lang w:val="en-US" w:eastAsia="zh-CN" w:bidi="ar-SA"/>
    </w:rPr>
  </w:style>
  <w:style w:type="character" w:customStyle="1" w:styleId="42">
    <w:name w:val="批注文字 Char"/>
    <w:link w:val="12"/>
    <w:qFormat/>
    <w:uiPriority w:val="0"/>
    <w:rPr>
      <w:rFonts w:ascii="Calibri" w:hAnsi="Calibri"/>
      <w:kern w:val="2"/>
      <w:sz w:val="21"/>
      <w:szCs w:val="22"/>
    </w:rPr>
  </w:style>
  <w:style w:type="character" w:customStyle="1" w:styleId="43">
    <w:name w:val="批注框文本 Char"/>
    <w:link w:val="16"/>
    <w:qFormat/>
    <w:uiPriority w:val="0"/>
    <w:rPr>
      <w:rFonts w:ascii="Calibri" w:hAnsi="Calibri"/>
      <w:kern w:val="2"/>
      <w:sz w:val="18"/>
      <w:szCs w:val="18"/>
    </w:rPr>
  </w:style>
  <w:style w:type="character" w:customStyle="1" w:styleId="44">
    <w:name w:val="页眉 Char"/>
    <w:link w:val="19"/>
    <w:qFormat/>
    <w:uiPriority w:val="0"/>
    <w:rPr>
      <w:rFonts w:ascii="Calibri" w:hAnsi="Calibri"/>
      <w:kern w:val="2"/>
      <w:sz w:val="18"/>
      <w:szCs w:val="18"/>
    </w:rPr>
  </w:style>
  <w:style w:type="character" w:customStyle="1" w:styleId="45">
    <w:name w:val="批注主题 Char"/>
    <w:link w:val="26"/>
    <w:qFormat/>
    <w:uiPriority w:val="0"/>
    <w:rPr>
      <w:rFonts w:ascii="Calibri" w:hAnsi="Calibri"/>
      <w:b/>
      <w:bCs/>
      <w:kern w:val="2"/>
      <w:sz w:val="21"/>
      <w:szCs w:val="22"/>
    </w:rPr>
  </w:style>
  <w:style w:type="character" w:customStyle="1" w:styleId="46">
    <w:name w:val="标题 1 Char"/>
    <w:qFormat/>
    <w:uiPriority w:val="0"/>
    <w:rPr>
      <w:rFonts w:ascii="Times New Roman" w:hAnsi="Times New Roman"/>
      <w:b/>
      <w:kern w:val="44"/>
      <w:sz w:val="44"/>
      <w:szCs w:val="20"/>
    </w:rPr>
  </w:style>
  <w:style w:type="paragraph" w:customStyle="1" w:styleId="47">
    <w:name w:val="Default22"/>
    <w:qFormat/>
    <w:uiPriority w:val="99"/>
    <w:pPr>
      <w:widowControl w:val="0"/>
      <w:autoSpaceDE w:val="0"/>
      <w:autoSpaceDN w:val="0"/>
      <w:adjustRightInd w:val="0"/>
    </w:pPr>
    <w:rPr>
      <w:rFonts w:ascii="黑体" w:hAnsi="Calibri" w:eastAsia="黑体" w:cs="Times New Roman"/>
      <w:sz w:val="21"/>
      <w:szCs w:val="22"/>
      <w:lang w:val="en-US" w:eastAsia="zh-CN" w:bidi="ar-SA"/>
    </w:rPr>
  </w:style>
  <w:style w:type="paragraph" w:customStyle="1" w:styleId="48">
    <w:name w:val="列出段落2"/>
    <w:basedOn w:val="1"/>
    <w:qFormat/>
    <w:uiPriority w:val="99"/>
    <w:pPr>
      <w:ind w:firstLine="420" w:firstLineChars="200"/>
    </w:pPr>
  </w:style>
  <w:style w:type="paragraph" w:customStyle="1" w:styleId="49">
    <w:name w:val="p15"/>
    <w:basedOn w:val="1"/>
    <w:qFormat/>
    <w:uiPriority w:val="0"/>
    <w:pPr>
      <w:widowControl/>
      <w:spacing w:line="360" w:lineRule="auto"/>
      <w:jc w:val="left"/>
    </w:pPr>
    <w:rPr>
      <w:kern w:val="0"/>
      <w:sz w:val="24"/>
    </w:rPr>
  </w:style>
  <w:style w:type="paragraph" w:styleId="50">
    <w:name w:val="List Paragraph"/>
    <w:basedOn w:val="1"/>
    <w:qFormat/>
    <w:uiPriority w:val="0"/>
    <w:pPr>
      <w:ind w:firstLine="420" w:firstLineChars="200"/>
    </w:pPr>
    <w:rPr>
      <w:kern w:val="0"/>
      <w:sz w:val="20"/>
    </w:rPr>
  </w:style>
  <w:style w:type="paragraph" w:customStyle="1" w:styleId="51">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52">
    <w:name w:val="hover3"/>
    <w:basedOn w:val="29"/>
    <w:qFormat/>
    <w:uiPriority w:val="0"/>
    <w:rPr>
      <w:shd w:val="clear" w:color="auto" w:fill="EEEEEE"/>
    </w:rPr>
  </w:style>
  <w:style w:type="character" w:customStyle="1" w:styleId="53">
    <w:name w:val="tmpztreemove_arrow"/>
    <w:basedOn w:val="29"/>
    <w:qFormat/>
    <w:uiPriority w:val="0"/>
    <w:rPr>
      <w:shd w:val="clear" w:color="auto" w:fill="FFFFFF"/>
    </w:rPr>
  </w:style>
  <w:style w:type="character" w:customStyle="1" w:styleId="54">
    <w:name w:val="button"/>
    <w:basedOn w:val="29"/>
    <w:qFormat/>
    <w:uiPriority w:val="0"/>
  </w:style>
  <w:style w:type="character" w:customStyle="1" w:styleId="55">
    <w:name w:val="indent"/>
    <w:basedOn w:val="29"/>
    <w:qFormat/>
    <w:uiPriority w:val="0"/>
  </w:style>
  <w:style w:type="character" w:customStyle="1" w:styleId="56">
    <w:name w:val="hour_am"/>
    <w:basedOn w:val="29"/>
    <w:qFormat/>
    <w:uiPriority w:val="0"/>
  </w:style>
  <w:style w:type="character" w:customStyle="1" w:styleId="57">
    <w:name w:val="hour_pm"/>
    <w:basedOn w:val="29"/>
    <w:qFormat/>
    <w:uiPriority w:val="0"/>
  </w:style>
  <w:style w:type="character" w:customStyle="1" w:styleId="58">
    <w:name w:val="old"/>
    <w:basedOn w:val="29"/>
    <w:qFormat/>
    <w:uiPriority w:val="0"/>
    <w:rPr>
      <w:color w:val="999999"/>
    </w:rPr>
  </w:style>
  <w:style w:type="character" w:customStyle="1" w:styleId="59">
    <w:name w:val="glyphicon4"/>
    <w:basedOn w:val="29"/>
    <w:qFormat/>
    <w:uiPriority w:val="0"/>
  </w:style>
  <w:style w:type="paragraph" w:customStyle="1" w:styleId="60">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60</Pages>
  <Words>31527</Words>
  <Characters>33928</Characters>
  <Lines>260</Lines>
  <Paragraphs>73</Paragraphs>
  <TotalTime>94</TotalTime>
  <ScaleCrop>false</ScaleCrop>
  <LinksUpToDate>false</LinksUpToDate>
  <CharactersWithSpaces>36233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WPS_496287145</cp:lastModifiedBy>
  <cp:lastPrinted>2021-07-07T01:28:00Z</cp:lastPrinted>
  <dcterms:modified xsi:type="dcterms:W3CDTF">2022-04-18T08:09:22Z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F4586D3474EE40379B9775893C82FC4C</vt:lpwstr>
  </property>
</Properties>
</file>