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hint="default" w:ascii="宋体" w:hAnsi="宋体" w:eastAsia="宋体" w:cs="宋体"/>
          <w:b/>
          <w:sz w:val="28"/>
          <w:highlight w:val="none"/>
          <w:lang w:val="en-US" w:eastAsia="zh-CN"/>
        </w:rPr>
      </w:pPr>
      <w:r>
        <w:rPr>
          <w:rFonts w:hint="eastAsia" w:ascii="宋体" w:hAnsi="宋体" w:cs="宋体"/>
          <w:b/>
          <w:sz w:val="28"/>
          <w:highlight w:val="none"/>
        </w:rPr>
        <w:t>采购项目编号：</w:t>
      </w:r>
      <w:r>
        <w:rPr>
          <w:rFonts w:hint="eastAsia" w:ascii="宋体" w:hAnsi="宋体" w:cs="宋体"/>
          <w:b/>
          <w:sz w:val="28"/>
          <w:highlight w:val="none"/>
          <w:lang w:eastAsia="zh-CN"/>
        </w:rPr>
        <w:t>SXDC2022-ZB-</w:t>
      </w:r>
      <w:r>
        <w:rPr>
          <w:rFonts w:hint="eastAsia" w:ascii="宋体" w:hAnsi="宋体" w:cs="宋体"/>
          <w:b/>
          <w:sz w:val="28"/>
          <w:highlight w:val="none"/>
          <w:lang w:val="en-US" w:eastAsia="zh-CN"/>
        </w:rPr>
        <w:t>51</w:t>
      </w:r>
    </w:p>
    <w:p>
      <w:pPr>
        <w:pStyle w:val="2"/>
        <w:ind w:left="0" w:leftChars="0" w:firstLine="0" w:firstLineChars="0"/>
        <w:rPr>
          <w:rFonts w:ascii="宋体" w:hAnsi="宋体" w:cs="宋体"/>
          <w:bCs/>
          <w:spacing w:val="20"/>
          <w:sz w:val="72"/>
          <w:szCs w:val="72"/>
          <w:highlight w:val="none"/>
        </w:rPr>
      </w:pPr>
    </w:p>
    <w:p>
      <w:pPr>
        <w:spacing w:line="1000" w:lineRule="exact"/>
        <w:jc w:val="center"/>
        <w:rPr>
          <w:rFonts w:hint="default" w:ascii="宋体" w:hAnsi="宋体" w:cs="宋体"/>
          <w:b/>
          <w:bCs/>
          <w:spacing w:val="20"/>
          <w:kern w:val="0"/>
          <w:sz w:val="56"/>
          <w:szCs w:val="56"/>
          <w:highlight w:val="none"/>
          <w:lang w:val="en-US"/>
        </w:rPr>
      </w:pPr>
      <w:bookmarkStart w:id="0" w:name="_Toc6752"/>
      <w:r>
        <w:rPr>
          <w:rFonts w:hint="eastAsia" w:ascii="宋体" w:hAnsi="宋体" w:cs="宋体"/>
          <w:b/>
          <w:bCs/>
          <w:spacing w:val="20"/>
          <w:kern w:val="0"/>
          <w:sz w:val="56"/>
          <w:szCs w:val="56"/>
          <w:highlight w:val="none"/>
          <w:lang w:val="en-US" w:eastAsia="zh-CN"/>
        </w:rPr>
        <w:t>泾康园党群服务中心装修施工项目</w:t>
      </w:r>
    </w:p>
    <w:p>
      <w:pPr>
        <w:spacing w:line="1000" w:lineRule="exact"/>
        <w:jc w:val="center"/>
        <w:rPr>
          <w:rFonts w:hint="eastAsia" w:ascii="宋体" w:hAnsi="宋体" w:cs="宋体"/>
          <w:b/>
          <w:bCs/>
          <w:spacing w:val="20"/>
          <w:kern w:val="0"/>
          <w:sz w:val="56"/>
          <w:szCs w:val="56"/>
          <w:highlight w:val="none"/>
        </w:rPr>
      </w:pPr>
    </w:p>
    <w:p>
      <w:pPr>
        <w:spacing w:line="1000" w:lineRule="exact"/>
        <w:jc w:val="center"/>
        <w:rPr>
          <w:rFonts w:ascii="宋体" w:hAnsi="宋体" w:cs="宋体"/>
          <w:sz w:val="20"/>
          <w:szCs w:val="20"/>
          <w:highlight w:val="none"/>
        </w:rPr>
      </w:pPr>
      <w:r>
        <w:rPr>
          <w:rFonts w:hint="eastAsia" w:ascii="宋体" w:hAnsi="宋体" w:cs="宋体"/>
          <w:b/>
          <w:bCs/>
          <w:spacing w:val="20"/>
          <w:kern w:val="0"/>
          <w:sz w:val="56"/>
          <w:szCs w:val="56"/>
          <w:highlight w:val="none"/>
        </w:rPr>
        <w:t>竞争性磋商文件</w:t>
      </w:r>
      <w:bookmarkEnd w:id="0"/>
    </w:p>
    <w:p>
      <w:pPr>
        <w:spacing w:line="220" w:lineRule="atLeast"/>
        <w:rPr>
          <w:rFonts w:ascii="宋体" w:hAnsi="宋体" w:cs="宋体"/>
          <w:szCs w:val="21"/>
          <w:highlight w:val="none"/>
        </w:rPr>
      </w:pPr>
      <w:r>
        <w:rPr>
          <w:rFonts w:hint="eastAsia" w:ascii="仿宋_GB2312" w:hAnsi="Adobe 仿宋 Std R"/>
          <w:color w:val="000000"/>
          <w:highlight w:val="none"/>
        </w:rPr>
        <w:drawing>
          <wp:anchor distT="0" distB="0" distL="114300" distR="114300" simplePos="0" relativeHeight="251660288" behindDoc="0" locked="0" layoutInCell="1" allowOverlap="1">
            <wp:simplePos x="0" y="0"/>
            <wp:positionH relativeFrom="column">
              <wp:posOffset>1494155</wp:posOffset>
            </wp:positionH>
            <wp:positionV relativeFrom="paragraph">
              <wp:posOffset>134620</wp:posOffset>
            </wp:positionV>
            <wp:extent cx="3107055" cy="3230245"/>
            <wp:effectExtent l="0" t="0" r="17145" b="8255"/>
            <wp:wrapSquare wrapText="bothSides"/>
            <wp:docPr id="20" name="图片 2" descr="a2313229c71d71211533fb2afd26f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 descr="a2313229c71d71211533fb2afd26fe7"/>
                    <pic:cNvPicPr>
                      <a:picLocks noChangeAspect="1"/>
                    </pic:cNvPicPr>
                  </pic:nvPicPr>
                  <pic:blipFill>
                    <a:blip r:embed="rId14"/>
                    <a:stretch>
                      <a:fillRect/>
                    </a:stretch>
                  </pic:blipFill>
                  <pic:spPr>
                    <a:xfrm>
                      <a:off x="0" y="0"/>
                      <a:ext cx="3107055" cy="3230245"/>
                    </a:xfrm>
                    <a:prstGeom prst="rect">
                      <a:avLst/>
                    </a:prstGeom>
                    <a:noFill/>
                    <a:ln>
                      <a:noFill/>
                    </a:ln>
                  </pic:spPr>
                </pic:pic>
              </a:graphicData>
            </a:graphic>
          </wp:anchor>
        </w:drawing>
      </w:r>
    </w:p>
    <w:p>
      <w:pPr>
        <w:pStyle w:val="2"/>
        <w:ind w:left="0" w:leftChars="0" w:firstLine="0" w:firstLineChars="0"/>
        <w:rPr>
          <w:rFonts w:ascii="宋体" w:hAnsi="宋体" w:cs="宋体"/>
          <w:highlight w:val="none"/>
        </w:rPr>
      </w:pPr>
    </w:p>
    <w:p/>
    <w:p>
      <w:pPr>
        <w:spacing w:line="220" w:lineRule="atLeast"/>
        <w:rPr>
          <w:rFonts w:ascii="宋体" w:hAnsi="宋体" w:cs="宋体"/>
          <w:szCs w:val="21"/>
          <w:highlight w:val="none"/>
        </w:rPr>
      </w:pPr>
    </w:p>
    <w:p>
      <w:pPr>
        <w:spacing w:line="220" w:lineRule="atLeast"/>
        <w:rPr>
          <w:rFonts w:ascii="宋体" w:hAnsi="宋体" w:cs="宋体"/>
          <w:szCs w:val="21"/>
          <w:highlight w:val="none"/>
        </w:rPr>
      </w:pPr>
    </w:p>
    <w:p>
      <w:pPr>
        <w:spacing w:line="220" w:lineRule="atLeast"/>
        <w:rPr>
          <w:rFonts w:ascii="宋体" w:hAnsi="宋体" w:cs="宋体"/>
          <w:szCs w:val="21"/>
          <w:highlight w:val="none"/>
        </w:rPr>
      </w:pPr>
    </w:p>
    <w:p>
      <w:pPr>
        <w:spacing w:line="220" w:lineRule="atLeast"/>
        <w:rPr>
          <w:rFonts w:ascii="宋体" w:hAnsi="宋体" w:cs="宋体"/>
          <w:szCs w:val="21"/>
          <w:highlight w:val="none"/>
        </w:rPr>
      </w:pPr>
    </w:p>
    <w:p>
      <w:pPr>
        <w:spacing w:line="220" w:lineRule="atLeast"/>
        <w:rPr>
          <w:rFonts w:ascii="宋体" w:hAnsi="宋体" w:cs="宋体"/>
          <w:szCs w:val="21"/>
          <w:highlight w:val="none"/>
        </w:rPr>
      </w:pPr>
    </w:p>
    <w:p>
      <w:pPr>
        <w:spacing w:line="220" w:lineRule="atLeast"/>
        <w:rPr>
          <w:rFonts w:ascii="宋体" w:hAnsi="宋体" w:cs="宋体"/>
          <w:szCs w:val="21"/>
          <w:highlight w:val="none"/>
        </w:rPr>
      </w:pPr>
    </w:p>
    <w:p>
      <w:pPr>
        <w:spacing w:line="220" w:lineRule="atLeast"/>
        <w:rPr>
          <w:rFonts w:ascii="宋体" w:hAnsi="宋体" w:cs="宋体"/>
          <w:szCs w:val="21"/>
          <w:highlight w:val="none"/>
        </w:rPr>
      </w:pPr>
    </w:p>
    <w:p>
      <w:pPr>
        <w:pStyle w:val="2"/>
        <w:ind w:firstLine="0"/>
        <w:rPr>
          <w:rFonts w:ascii="宋体" w:hAnsi="宋体" w:cs="宋体"/>
          <w:highlight w:val="none"/>
        </w:rPr>
      </w:pPr>
    </w:p>
    <w:p>
      <w:pPr>
        <w:pStyle w:val="2"/>
        <w:ind w:firstLine="0"/>
        <w:rPr>
          <w:rFonts w:ascii="宋体" w:hAnsi="宋体" w:cs="宋体"/>
          <w:highlight w:val="none"/>
        </w:rPr>
      </w:pPr>
    </w:p>
    <w:p>
      <w:pPr>
        <w:spacing w:line="360" w:lineRule="auto"/>
        <w:jc w:val="both"/>
        <w:rPr>
          <w:rFonts w:hint="eastAsia" w:ascii="宋体" w:hAnsi="宋体" w:cs="宋体"/>
          <w:b/>
          <w:sz w:val="32"/>
          <w:szCs w:val="32"/>
          <w:highlight w:val="none"/>
        </w:rPr>
      </w:pPr>
    </w:p>
    <w:p>
      <w:pPr>
        <w:spacing w:line="360" w:lineRule="auto"/>
        <w:jc w:val="both"/>
        <w:rPr>
          <w:rFonts w:hint="eastAsia" w:ascii="宋体" w:hAnsi="宋体" w:cs="宋体"/>
          <w:b/>
          <w:sz w:val="32"/>
          <w:szCs w:val="32"/>
          <w:highlight w:val="none"/>
        </w:rPr>
      </w:pPr>
    </w:p>
    <w:p>
      <w:pPr>
        <w:spacing w:line="360" w:lineRule="auto"/>
        <w:jc w:val="both"/>
        <w:rPr>
          <w:rFonts w:hint="eastAsia" w:ascii="宋体" w:hAnsi="宋体" w:cs="宋体"/>
          <w:b/>
          <w:sz w:val="32"/>
          <w:szCs w:val="32"/>
          <w:highlight w:val="none"/>
        </w:rPr>
      </w:pPr>
    </w:p>
    <w:p>
      <w:pPr>
        <w:spacing w:line="360" w:lineRule="auto"/>
        <w:jc w:val="both"/>
        <w:rPr>
          <w:rFonts w:hint="eastAsia" w:ascii="宋体" w:hAnsi="宋体" w:cs="宋体"/>
          <w:b/>
          <w:sz w:val="32"/>
          <w:szCs w:val="32"/>
          <w:highlight w:val="none"/>
        </w:rPr>
      </w:pPr>
    </w:p>
    <w:p>
      <w:pPr>
        <w:spacing w:line="360" w:lineRule="auto"/>
        <w:ind w:firstLine="2891" w:firstLineChars="900"/>
        <w:jc w:val="both"/>
        <w:rPr>
          <w:rFonts w:hint="eastAsia" w:ascii="宋体" w:hAnsi="宋体" w:cs="宋体"/>
          <w:b/>
          <w:sz w:val="32"/>
          <w:szCs w:val="32"/>
          <w:highlight w:val="none"/>
        </w:rPr>
      </w:pPr>
    </w:p>
    <w:p>
      <w:pPr>
        <w:spacing w:line="360" w:lineRule="auto"/>
        <w:ind w:firstLine="2891" w:firstLineChars="900"/>
        <w:jc w:val="both"/>
        <w:rPr>
          <w:rFonts w:ascii="宋体" w:hAnsi="宋体" w:cs="宋体"/>
          <w:b/>
          <w:sz w:val="32"/>
          <w:szCs w:val="32"/>
          <w:highlight w:val="none"/>
        </w:rPr>
      </w:pPr>
      <w:r>
        <w:rPr>
          <w:rFonts w:hint="eastAsia" w:ascii="宋体" w:hAnsi="宋体" w:cs="宋体"/>
          <w:b/>
          <w:sz w:val="32"/>
          <w:szCs w:val="32"/>
          <w:highlight w:val="none"/>
        </w:rPr>
        <w:t>陕西迪诚项目管理有限公司</w:t>
      </w:r>
    </w:p>
    <w:p>
      <w:pPr>
        <w:spacing w:line="360" w:lineRule="auto"/>
        <w:ind w:firstLine="3213" w:firstLineChars="1000"/>
        <w:jc w:val="both"/>
        <w:rPr>
          <w:rFonts w:ascii="宋体" w:hAnsi="宋体" w:cs="宋体"/>
          <w:b/>
          <w:bCs/>
          <w:sz w:val="32"/>
          <w:szCs w:val="32"/>
          <w:highlight w:val="none"/>
        </w:rPr>
      </w:pPr>
      <w:r>
        <w:rPr>
          <w:rFonts w:hint="eastAsia" w:ascii="宋体" w:hAnsi="宋体" w:cs="宋体"/>
          <w:b/>
          <w:bCs/>
          <w:sz w:val="32"/>
          <w:szCs w:val="32"/>
          <w:highlight w:val="none"/>
        </w:rPr>
        <w:t>二〇二</w:t>
      </w:r>
      <w:r>
        <w:rPr>
          <w:rFonts w:hint="eastAsia" w:ascii="宋体" w:hAnsi="宋体" w:cs="宋体"/>
          <w:b/>
          <w:bCs/>
          <w:sz w:val="32"/>
          <w:szCs w:val="32"/>
          <w:highlight w:val="none"/>
          <w:lang w:val="en-US" w:eastAsia="zh-CN"/>
        </w:rPr>
        <w:t>二</w:t>
      </w:r>
      <w:r>
        <w:rPr>
          <w:rFonts w:hint="eastAsia" w:ascii="宋体" w:hAnsi="宋体" w:cs="宋体"/>
          <w:b/>
          <w:bCs/>
          <w:sz w:val="32"/>
          <w:szCs w:val="32"/>
          <w:highlight w:val="none"/>
        </w:rPr>
        <w:t>年</w:t>
      </w:r>
      <w:r>
        <w:rPr>
          <w:rFonts w:hint="eastAsia" w:ascii="宋体" w:hAnsi="宋体" w:cs="宋体"/>
          <w:b/>
          <w:bCs/>
          <w:sz w:val="32"/>
          <w:szCs w:val="32"/>
          <w:highlight w:val="none"/>
          <w:lang w:val="en-US" w:eastAsia="zh-CN"/>
        </w:rPr>
        <w:t>四</w:t>
      </w:r>
      <w:r>
        <w:rPr>
          <w:rFonts w:hint="eastAsia" w:ascii="宋体" w:hAnsi="宋体" w:cs="宋体"/>
          <w:b/>
          <w:bCs/>
          <w:sz w:val="32"/>
          <w:szCs w:val="32"/>
          <w:highlight w:val="none"/>
        </w:rPr>
        <w:t>月</w:t>
      </w:r>
    </w:p>
    <w:p>
      <w:pPr>
        <w:spacing w:line="276" w:lineRule="auto"/>
        <w:jc w:val="center"/>
        <w:rPr>
          <w:rFonts w:ascii="宋体" w:hAnsi="宋体" w:cs="宋体"/>
          <w:b/>
          <w:bCs/>
          <w:color w:val="000000"/>
          <w:sz w:val="38"/>
          <w:szCs w:val="36"/>
          <w:highlight w:val="none"/>
          <w:lang w:val="zh-CN"/>
        </w:rPr>
        <w:sectPr>
          <w:headerReference r:id="rId3" w:type="first"/>
          <w:footerReference r:id="rId5" w:type="first"/>
          <w:footerReference r:id="rId4" w:type="default"/>
          <w:pgSz w:w="11907" w:h="16840"/>
          <w:pgMar w:top="1440" w:right="1080" w:bottom="1440" w:left="1080" w:header="907" w:footer="2413" w:gutter="0"/>
          <w:pgNumType w:start="1"/>
          <w:cols w:space="720" w:num="1"/>
          <w:rtlGutter w:val="1"/>
          <w:docGrid w:linePitch="326" w:charSpace="0"/>
        </w:sectPr>
      </w:pPr>
    </w:p>
    <w:p>
      <w:pPr>
        <w:spacing w:line="276" w:lineRule="auto"/>
        <w:jc w:val="center"/>
        <w:rPr>
          <w:rFonts w:ascii="宋体" w:hAnsi="宋体" w:cs="宋体"/>
          <w:b/>
          <w:bCs/>
          <w:color w:val="000000"/>
          <w:sz w:val="38"/>
          <w:szCs w:val="36"/>
          <w:highlight w:val="none"/>
          <w:lang w:val="zh-CN"/>
        </w:rPr>
      </w:pPr>
      <w:r>
        <w:rPr>
          <w:rFonts w:hint="eastAsia" w:ascii="宋体" w:hAnsi="宋体" w:cs="宋体"/>
          <w:b/>
          <w:bCs/>
          <w:color w:val="000000"/>
          <w:sz w:val="38"/>
          <w:szCs w:val="36"/>
          <w:highlight w:val="none"/>
          <w:lang w:val="zh-CN"/>
        </w:rPr>
        <w:t>温馨提示</w:t>
      </w:r>
    </w:p>
    <w:p>
      <w:pPr>
        <w:pStyle w:val="2"/>
        <w:ind w:firstLine="210"/>
        <w:rPr>
          <w:highlight w:val="none"/>
          <w:lang w:val="zh-CN"/>
        </w:rPr>
      </w:pPr>
    </w:p>
    <w:p>
      <w:pPr>
        <w:spacing w:line="360" w:lineRule="auto"/>
        <w:ind w:firstLine="560" w:firstLineChars="200"/>
        <w:rPr>
          <w:rFonts w:ascii="宋体" w:hAnsi="宋体" w:cs="宋体"/>
          <w:bCs/>
          <w:color w:val="000000"/>
          <w:sz w:val="28"/>
          <w:szCs w:val="28"/>
          <w:highlight w:val="none"/>
          <w:lang w:val="zh-CN"/>
        </w:rPr>
      </w:pPr>
      <w:r>
        <w:rPr>
          <w:rFonts w:hint="eastAsia" w:ascii="宋体" w:hAnsi="宋体" w:cs="宋体"/>
          <w:bCs/>
          <w:color w:val="000000"/>
          <w:sz w:val="28"/>
          <w:szCs w:val="28"/>
          <w:highlight w:val="none"/>
          <w:lang w:val="zh-CN"/>
        </w:rPr>
        <w:t>购买磋商文件后，请仔细阅读，特别注意粗体部分，如有疑问，请来电咨询。</w:t>
      </w:r>
    </w:p>
    <w:p>
      <w:pPr>
        <w:spacing w:line="360" w:lineRule="auto"/>
        <w:ind w:firstLine="565" w:firstLineChars="202"/>
        <w:rPr>
          <w:rFonts w:hint="eastAsia" w:ascii="宋体" w:hAnsi="宋体" w:eastAsia="宋体" w:cs="宋体"/>
          <w:bCs/>
          <w:color w:val="000000"/>
          <w:sz w:val="28"/>
          <w:szCs w:val="28"/>
          <w:highlight w:val="none"/>
          <w:lang w:eastAsia="zh-CN"/>
        </w:rPr>
      </w:pPr>
      <w:r>
        <w:rPr>
          <w:rFonts w:hint="eastAsia" w:ascii="宋体" w:hAnsi="宋体" w:cs="宋体"/>
          <w:bCs/>
          <w:color w:val="000000"/>
          <w:sz w:val="28"/>
          <w:szCs w:val="28"/>
          <w:highlight w:val="none"/>
          <w:lang w:val="zh-CN"/>
        </w:rPr>
        <w:t>招标代理部电话：</w:t>
      </w:r>
      <w:r>
        <w:rPr>
          <w:rFonts w:hint="eastAsia" w:ascii="宋体" w:hAnsi="宋体" w:cs="宋体"/>
          <w:bCs/>
          <w:color w:val="000000"/>
          <w:sz w:val="28"/>
          <w:szCs w:val="28"/>
          <w:highlight w:val="none"/>
          <w:lang w:eastAsia="zh-CN"/>
        </w:rPr>
        <w:t>15702935667</w:t>
      </w:r>
    </w:p>
    <w:p>
      <w:pPr>
        <w:pStyle w:val="2"/>
        <w:ind w:firstLine="210"/>
        <w:rPr>
          <w:highlight w:val="none"/>
          <w:lang w:val="zh-CN"/>
        </w:rPr>
      </w:pPr>
    </w:p>
    <w:tbl>
      <w:tblPr>
        <w:tblStyle w:val="2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69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777" w:hRule="atLeast"/>
          <w:jc w:val="center"/>
        </w:trPr>
        <w:tc>
          <w:tcPr>
            <w:tcW w:w="9693" w:type="dxa"/>
          </w:tcPr>
          <w:p>
            <w:pPr>
              <w:spacing w:line="360" w:lineRule="auto"/>
              <w:ind w:firstLine="562" w:firstLineChars="200"/>
              <w:rPr>
                <w:rFonts w:ascii="宋体" w:hAnsi="宋体" w:cs="宋体"/>
                <w:b/>
                <w:bCs/>
                <w:color w:val="000000"/>
                <w:sz w:val="28"/>
                <w:szCs w:val="28"/>
                <w:highlight w:val="none"/>
                <w:lang w:val="zh-CN"/>
              </w:rPr>
            </w:pPr>
            <w:r>
              <w:rPr>
                <w:rFonts w:hint="eastAsia" w:ascii="宋体" w:hAnsi="宋体" w:cs="宋体"/>
                <w:b/>
                <w:bCs/>
                <w:color w:val="000000"/>
                <w:sz w:val="28"/>
                <w:szCs w:val="28"/>
                <w:highlight w:val="none"/>
                <w:lang w:val="zh-CN"/>
              </w:rPr>
              <w:t>请将代理服务费汇至下列指定账户：</w:t>
            </w:r>
          </w:p>
          <w:p>
            <w:pPr>
              <w:spacing w:line="360" w:lineRule="auto"/>
              <w:ind w:firstLine="562" w:firstLineChars="200"/>
              <w:jc w:val="left"/>
              <w:rPr>
                <w:rFonts w:ascii="宋体" w:hAnsi="宋体" w:cs="宋体"/>
                <w:b/>
                <w:bCs/>
                <w:sz w:val="28"/>
                <w:szCs w:val="28"/>
                <w:highlight w:val="none"/>
              </w:rPr>
            </w:pPr>
            <w:r>
              <w:rPr>
                <w:rFonts w:hint="eastAsia" w:ascii="宋体" w:hAnsi="宋体" w:cs="宋体"/>
                <w:b/>
                <w:bCs/>
                <w:sz w:val="28"/>
                <w:szCs w:val="28"/>
                <w:highlight w:val="none"/>
              </w:rPr>
              <w:t>开户名称：陕西迪诚项目管理有限公司</w:t>
            </w:r>
          </w:p>
          <w:p>
            <w:pPr>
              <w:spacing w:line="360" w:lineRule="auto"/>
              <w:ind w:firstLine="562" w:firstLineChars="200"/>
              <w:jc w:val="left"/>
              <w:rPr>
                <w:rFonts w:ascii="宋体" w:hAnsi="宋体" w:cs="宋体"/>
                <w:b/>
                <w:bCs/>
                <w:sz w:val="28"/>
                <w:szCs w:val="28"/>
                <w:highlight w:val="none"/>
              </w:rPr>
            </w:pPr>
            <w:r>
              <w:rPr>
                <w:rFonts w:hint="eastAsia" w:ascii="宋体" w:hAnsi="宋体" w:cs="宋体"/>
                <w:b/>
                <w:bCs/>
                <w:sz w:val="28"/>
                <w:szCs w:val="28"/>
                <w:highlight w:val="none"/>
              </w:rPr>
              <w:t>开户银行：中国建设银行股份有限公司西安世融嘉城支行</w:t>
            </w:r>
          </w:p>
          <w:p>
            <w:pPr>
              <w:pStyle w:val="15"/>
              <w:adjustRightInd w:val="0"/>
              <w:snapToGrid w:val="0"/>
              <w:spacing w:line="360" w:lineRule="auto"/>
              <w:ind w:firstLine="562" w:firstLineChars="200"/>
              <w:rPr>
                <w:rFonts w:hAnsi="宋体" w:cs="宋体"/>
                <w:sz w:val="28"/>
                <w:szCs w:val="28"/>
                <w:highlight w:val="none"/>
              </w:rPr>
            </w:pPr>
            <w:r>
              <w:rPr>
                <w:rFonts w:hint="eastAsia" w:hAnsi="宋体" w:cs="宋体"/>
                <w:b/>
                <w:bCs/>
                <w:sz w:val="28"/>
                <w:szCs w:val="28"/>
                <w:highlight w:val="none"/>
              </w:rPr>
              <w:t>账 号：61050175540000000417</w:t>
            </w:r>
            <w:r>
              <w:rPr>
                <w:rFonts w:hint="eastAsia" w:hAnsi="宋体" w:cs="宋体"/>
                <w:sz w:val="28"/>
                <w:szCs w:val="28"/>
                <w:highlight w:val="none"/>
              </w:rPr>
              <w:t xml:space="preserve"> </w:t>
            </w:r>
          </w:p>
          <w:p>
            <w:pPr>
              <w:pStyle w:val="15"/>
              <w:adjustRightInd w:val="0"/>
              <w:snapToGrid w:val="0"/>
              <w:spacing w:line="360" w:lineRule="auto"/>
              <w:ind w:firstLine="562" w:firstLineChars="200"/>
              <w:rPr>
                <w:rFonts w:hAnsi="宋体" w:cs="宋体"/>
                <w:b/>
                <w:bCs/>
                <w:color w:val="000000"/>
                <w:sz w:val="28"/>
                <w:szCs w:val="28"/>
                <w:highlight w:val="none"/>
                <w:lang w:val="zh-CN"/>
              </w:rPr>
            </w:pPr>
            <w:r>
              <w:rPr>
                <w:rFonts w:hint="eastAsia" w:hAnsi="宋体" w:cs="宋体"/>
                <w:b/>
                <w:bCs/>
                <w:color w:val="000000"/>
                <w:sz w:val="28"/>
                <w:szCs w:val="28"/>
                <w:highlight w:val="none"/>
                <w:lang w:val="zh-CN"/>
              </w:rPr>
              <w:t>汇款备注：</w:t>
            </w:r>
            <w:r>
              <w:rPr>
                <w:rFonts w:hint="eastAsia" w:hAnsi="宋体" w:cs="宋体"/>
                <w:b/>
                <w:bCs/>
                <w:color w:val="000000"/>
                <w:sz w:val="28"/>
                <w:szCs w:val="28"/>
                <w:highlight w:val="none"/>
                <w:lang w:val="zh-CN" w:eastAsia="zh-CN"/>
              </w:rPr>
              <w:t>泾康园党群服务中心装修施工项目</w:t>
            </w:r>
            <w:r>
              <w:rPr>
                <w:rFonts w:hint="eastAsia" w:hAnsi="宋体" w:cs="宋体"/>
                <w:b/>
                <w:bCs/>
                <w:color w:val="000000"/>
                <w:sz w:val="28"/>
                <w:szCs w:val="28"/>
                <w:highlight w:val="none"/>
              </w:rPr>
              <w:t>（可简写）</w:t>
            </w:r>
          </w:p>
        </w:tc>
      </w:tr>
    </w:tbl>
    <w:p>
      <w:pPr>
        <w:jc w:val="center"/>
        <w:rPr>
          <w:rFonts w:ascii="宋体" w:hAnsi="宋体" w:cs="宋体"/>
          <w:b/>
          <w:sz w:val="36"/>
          <w:szCs w:val="36"/>
          <w:highlight w:val="none"/>
        </w:rPr>
      </w:pPr>
    </w:p>
    <w:p>
      <w:pPr>
        <w:jc w:val="center"/>
        <w:rPr>
          <w:rFonts w:ascii="宋体" w:hAnsi="宋体" w:cs="宋体"/>
          <w:b/>
          <w:sz w:val="36"/>
          <w:szCs w:val="36"/>
          <w:highlight w:val="none"/>
        </w:rPr>
      </w:pPr>
    </w:p>
    <w:p>
      <w:pPr>
        <w:spacing w:line="360" w:lineRule="auto"/>
        <w:jc w:val="center"/>
        <w:rPr>
          <w:rFonts w:ascii="宋体" w:hAnsi="宋体" w:cs="宋体"/>
          <w:b/>
          <w:sz w:val="44"/>
          <w:szCs w:val="44"/>
          <w:highlight w:val="none"/>
        </w:rPr>
      </w:pPr>
    </w:p>
    <w:p>
      <w:pPr>
        <w:spacing w:line="360" w:lineRule="auto"/>
        <w:jc w:val="center"/>
        <w:rPr>
          <w:rFonts w:ascii="宋体" w:hAnsi="宋体" w:cs="宋体"/>
          <w:b/>
          <w:sz w:val="44"/>
          <w:szCs w:val="44"/>
          <w:highlight w:val="none"/>
        </w:rPr>
      </w:pPr>
    </w:p>
    <w:p>
      <w:pPr>
        <w:spacing w:line="360" w:lineRule="auto"/>
        <w:jc w:val="center"/>
        <w:rPr>
          <w:rFonts w:ascii="宋体" w:hAnsi="宋体" w:cs="宋体"/>
          <w:b/>
          <w:sz w:val="44"/>
          <w:szCs w:val="44"/>
          <w:highlight w:val="none"/>
        </w:rPr>
      </w:pPr>
    </w:p>
    <w:p>
      <w:pPr>
        <w:spacing w:line="360" w:lineRule="auto"/>
        <w:jc w:val="center"/>
        <w:rPr>
          <w:rFonts w:ascii="宋体" w:hAnsi="宋体" w:cs="宋体"/>
          <w:b/>
          <w:sz w:val="44"/>
          <w:szCs w:val="44"/>
          <w:highlight w:val="none"/>
        </w:rPr>
      </w:pPr>
    </w:p>
    <w:p>
      <w:pPr>
        <w:spacing w:line="360" w:lineRule="auto"/>
        <w:jc w:val="center"/>
        <w:rPr>
          <w:rFonts w:ascii="宋体" w:hAnsi="宋体" w:cs="宋体"/>
          <w:b/>
          <w:sz w:val="44"/>
          <w:szCs w:val="44"/>
          <w:highlight w:val="none"/>
        </w:rPr>
      </w:pPr>
    </w:p>
    <w:p>
      <w:pPr>
        <w:spacing w:line="360" w:lineRule="auto"/>
        <w:jc w:val="center"/>
        <w:rPr>
          <w:rFonts w:ascii="宋体" w:hAnsi="宋体" w:cs="宋体"/>
          <w:b/>
          <w:sz w:val="44"/>
          <w:szCs w:val="44"/>
          <w:highlight w:val="none"/>
        </w:rPr>
      </w:pPr>
    </w:p>
    <w:p>
      <w:pPr>
        <w:pStyle w:val="3"/>
      </w:pPr>
    </w:p>
    <w:p>
      <w:pPr>
        <w:pStyle w:val="3"/>
        <w:rPr>
          <w:rFonts w:ascii="宋体" w:hAnsi="宋体" w:cs="宋体"/>
          <w:b w:val="0"/>
          <w:sz w:val="44"/>
          <w:szCs w:val="44"/>
          <w:highlight w:val="none"/>
        </w:rPr>
      </w:pPr>
    </w:p>
    <w:p>
      <w:pPr>
        <w:spacing w:after="166" w:afterLines="50"/>
        <w:jc w:val="center"/>
        <w:rPr>
          <w:rFonts w:hint="eastAsia" w:ascii="宋体" w:hAnsi="宋体" w:eastAsia="宋体" w:cs="宋体"/>
          <w:b/>
          <w:bCs/>
          <w:color w:val="000000" w:themeColor="text1"/>
          <w:sz w:val="36"/>
          <w:szCs w:val="36"/>
          <w:highlight w:val="none"/>
          <w14:textFill>
            <w14:solidFill>
              <w14:schemeClr w14:val="tx1"/>
            </w14:solidFill>
          </w14:textFill>
        </w:rPr>
      </w:pPr>
      <w:r>
        <w:rPr>
          <w:rFonts w:hint="eastAsia" w:ascii="宋体" w:hAnsi="宋体" w:eastAsia="宋体" w:cs="宋体"/>
          <w:b/>
          <w:bCs/>
          <w:color w:val="000000" w:themeColor="text1"/>
          <w:sz w:val="36"/>
          <w:szCs w:val="36"/>
          <w:highlight w:val="none"/>
          <w14:textFill>
            <w14:solidFill>
              <w14:schemeClr w14:val="tx1"/>
            </w14:solidFill>
          </w14:textFill>
        </w:rPr>
        <w:t>特别提示</w:t>
      </w:r>
    </w:p>
    <w:p>
      <w:pPr>
        <w:spacing w:line="480" w:lineRule="exac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各供应商，在此我们特别提醒您注意以下事项：</w:t>
      </w:r>
    </w:p>
    <w:p>
      <w:pPr>
        <w:spacing w:line="480" w:lineRule="exact"/>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一、有关</w:t>
      </w:r>
      <w:r>
        <w:rPr>
          <w:rFonts w:hint="eastAsia" w:ascii="宋体" w:hAnsi="宋体" w:eastAsia="宋体" w:cs="宋体"/>
          <w:b/>
          <w:bCs/>
          <w:color w:val="000000" w:themeColor="text1"/>
          <w:sz w:val="22"/>
          <w:szCs w:val="22"/>
          <w:highlight w:val="none"/>
          <w:lang w:eastAsia="zh-CN"/>
          <w14:textFill>
            <w14:solidFill>
              <w14:schemeClr w14:val="tx1"/>
            </w14:solidFill>
          </w14:textFill>
        </w:rPr>
        <w:t>磋商文件</w:t>
      </w:r>
      <w:r>
        <w:rPr>
          <w:rFonts w:hint="eastAsia" w:ascii="宋体" w:hAnsi="宋体" w:eastAsia="宋体" w:cs="宋体"/>
          <w:b/>
          <w:bCs/>
          <w:color w:val="000000" w:themeColor="text1"/>
          <w:sz w:val="22"/>
          <w:szCs w:val="22"/>
          <w:highlight w:val="none"/>
          <w14:textFill>
            <w14:solidFill>
              <w14:schemeClr w14:val="tx1"/>
            </w14:solidFill>
          </w14:textFill>
        </w:rPr>
        <w:t>：</w:t>
      </w:r>
    </w:p>
    <w:p>
      <w:pPr>
        <w:spacing w:line="48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1、请仔细阅读</w:t>
      </w:r>
      <w:r>
        <w:rPr>
          <w:rFonts w:hint="eastAsia" w:ascii="宋体" w:hAnsi="宋体" w:eastAsia="宋体" w:cs="宋体"/>
          <w:color w:val="000000" w:themeColor="text1"/>
          <w:sz w:val="22"/>
          <w:szCs w:val="22"/>
          <w:highlight w:val="none"/>
          <w:lang w:eastAsia="zh-CN"/>
          <w14:textFill>
            <w14:solidFill>
              <w14:schemeClr w14:val="tx1"/>
            </w14:solidFill>
          </w14:textFill>
        </w:rPr>
        <w:t>磋商文件</w:t>
      </w:r>
      <w:r>
        <w:rPr>
          <w:rFonts w:hint="eastAsia" w:ascii="宋体" w:hAnsi="宋体" w:eastAsia="宋体" w:cs="宋体"/>
          <w:color w:val="000000" w:themeColor="text1"/>
          <w:sz w:val="22"/>
          <w:szCs w:val="22"/>
          <w:highlight w:val="none"/>
          <w14:textFill>
            <w14:solidFill>
              <w14:schemeClr w14:val="tx1"/>
            </w14:solidFill>
          </w14:textFill>
        </w:rPr>
        <w:t>并正确理解</w:t>
      </w:r>
      <w:r>
        <w:rPr>
          <w:rFonts w:hint="eastAsia" w:ascii="宋体" w:hAnsi="宋体" w:eastAsia="宋体" w:cs="宋体"/>
          <w:color w:val="000000" w:themeColor="text1"/>
          <w:sz w:val="22"/>
          <w:szCs w:val="22"/>
          <w:highlight w:val="none"/>
          <w:lang w:eastAsia="zh-CN"/>
          <w14:textFill>
            <w14:solidFill>
              <w14:schemeClr w14:val="tx1"/>
            </w14:solidFill>
          </w14:textFill>
        </w:rPr>
        <w:t>磋商文件</w:t>
      </w:r>
      <w:r>
        <w:rPr>
          <w:rFonts w:hint="eastAsia" w:ascii="宋体" w:hAnsi="宋体" w:eastAsia="宋体" w:cs="宋体"/>
          <w:color w:val="000000" w:themeColor="text1"/>
          <w:sz w:val="22"/>
          <w:szCs w:val="22"/>
          <w:highlight w:val="none"/>
          <w14:textFill>
            <w14:solidFill>
              <w14:schemeClr w14:val="tx1"/>
            </w14:solidFill>
          </w14:textFill>
        </w:rPr>
        <w:t>中各项具体要求。如对</w:t>
      </w:r>
      <w:r>
        <w:rPr>
          <w:rFonts w:hint="eastAsia" w:ascii="宋体" w:hAnsi="宋体" w:eastAsia="宋体" w:cs="宋体"/>
          <w:color w:val="000000" w:themeColor="text1"/>
          <w:sz w:val="22"/>
          <w:szCs w:val="22"/>
          <w:highlight w:val="none"/>
          <w:lang w:eastAsia="zh-CN"/>
          <w14:textFill>
            <w14:solidFill>
              <w14:schemeClr w14:val="tx1"/>
            </w14:solidFill>
          </w14:textFill>
        </w:rPr>
        <w:t>磋商文件</w:t>
      </w:r>
      <w:r>
        <w:rPr>
          <w:rFonts w:hint="eastAsia" w:ascii="宋体" w:hAnsi="宋体" w:eastAsia="宋体" w:cs="宋体"/>
          <w:color w:val="000000" w:themeColor="text1"/>
          <w:sz w:val="22"/>
          <w:szCs w:val="22"/>
          <w:highlight w:val="none"/>
          <w14:textFill>
            <w14:solidFill>
              <w14:schemeClr w14:val="tx1"/>
            </w14:solidFill>
          </w14:textFill>
        </w:rPr>
        <w:t>有疑问，请在</w:t>
      </w:r>
      <w:r>
        <w:rPr>
          <w:rFonts w:hint="eastAsia" w:ascii="宋体" w:hAnsi="宋体" w:eastAsia="宋体" w:cs="宋体"/>
          <w:color w:val="000000" w:themeColor="text1"/>
          <w:sz w:val="22"/>
          <w:szCs w:val="22"/>
          <w:highlight w:val="none"/>
          <w:lang w:eastAsia="zh-CN"/>
          <w14:textFill>
            <w14:solidFill>
              <w14:schemeClr w14:val="tx1"/>
            </w14:solidFill>
          </w14:textFill>
        </w:rPr>
        <w:t>磋商文件</w:t>
      </w:r>
      <w:r>
        <w:rPr>
          <w:rFonts w:hint="eastAsia" w:ascii="宋体" w:hAnsi="宋体" w:eastAsia="宋体" w:cs="宋体"/>
          <w:color w:val="000000" w:themeColor="text1"/>
          <w:sz w:val="22"/>
          <w:szCs w:val="22"/>
          <w:highlight w:val="none"/>
          <w14:textFill>
            <w14:solidFill>
              <w14:schemeClr w14:val="tx1"/>
            </w14:solidFill>
          </w14:textFill>
        </w:rPr>
        <w:t>规定的时间内以书面形式提出，逾期将被拒绝受理。</w:t>
      </w:r>
    </w:p>
    <w:p>
      <w:pPr>
        <w:spacing w:line="48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2、请严格按照</w:t>
      </w:r>
      <w:r>
        <w:rPr>
          <w:rFonts w:hint="eastAsia" w:ascii="宋体" w:hAnsi="宋体" w:eastAsia="宋体" w:cs="宋体"/>
          <w:color w:val="000000" w:themeColor="text1"/>
          <w:sz w:val="22"/>
          <w:szCs w:val="22"/>
          <w:highlight w:val="none"/>
          <w:lang w:eastAsia="zh-CN"/>
          <w14:textFill>
            <w14:solidFill>
              <w14:schemeClr w14:val="tx1"/>
            </w14:solidFill>
          </w14:textFill>
        </w:rPr>
        <w:t>磋商文件</w:t>
      </w:r>
      <w:r>
        <w:rPr>
          <w:rFonts w:hint="eastAsia" w:ascii="宋体" w:hAnsi="宋体" w:eastAsia="宋体" w:cs="宋体"/>
          <w:color w:val="000000" w:themeColor="text1"/>
          <w:sz w:val="22"/>
          <w:szCs w:val="22"/>
          <w:highlight w:val="none"/>
          <w14:textFill>
            <w14:solidFill>
              <w14:schemeClr w14:val="tx1"/>
            </w14:solidFill>
          </w14:textFill>
        </w:rPr>
        <w:t>载明的</w:t>
      </w:r>
      <w:r>
        <w:rPr>
          <w:rFonts w:hint="eastAsia" w:ascii="宋体" w:hAnsi="宋体" w:eastAsia="宋体" w:cs="宋体"/>
          <w:color w:val="000000" w:themeColor="text1"/>
          <w:sz w:val="22"/>
          <w:szCs w:val="22"/>
          <w:highlight w:val="none"/>
          <w:lang w:eastAsia="zh-CN"/>
          <w14:textFill>
            <w14:solidFill>
              <w14:schemeClr w14:val="tx1"/>
            </w14:solidFill>
          </w14:textFill>
        </w:rPr>
        <w:t>磋商响应文件</w:t>
      </w:r>
      <w:r>
        <w:rPr>
          <w:rFonts w:hint="eastAsia" w:ascii="宋体" w:hAnsi="宋体" w:eastAsia="宋体" w:cs="宋体"/>
          <w:color w:val="000000" w:themeColor="text1"/>
          <w:sz w:val="22"/>
          <w:szCs w:val="22"/>
          <w:highlight w:val="none"/>
          <w14:textFill>
            <w14:solidFill>
              <w14:schemeClr w14:val="tx1"/>
            </w14:solidFill>
          </w14:textFill>
        </w:rPr>
        <w:t>的格式要求编制</w:t>
      </w:r>
      <w:r>
        <w:rPr>
          <w:rFonts w:hint="eastAsia" w:ascii="宋体" w:hAnsi="宋体" w:eastAsia="宋体" w:cs="宋体"/>
          <w:color w:val="000000" w:themeColor="text1"/>
          <w:sz w:val="22"/>
          <w:szCs w:val="22"/>
          <w:highlight w:val="none"/>
          <w:lang w:eastAsia="zh-CN"/>
          <w14:textFill>
            <w14:solidFill>
              <w14:schemeClr w14:val="tx1"/>
            </w14:solidFill>
          </w14:textFill>
        </w:rPr>
        <w:t>磋商响应文件</w:t>
      </w:r>
      <w:r>
        <w:rPr>
          <w:rFonts w:hint="eastAsia" w:ascii="宋体" w:hAnsi="宋体" w:eastAsia="宋体" w:cs="宋体"/>
          <w:color w:val="000000" w:themeColor="text1"/>
          <w:sz w:val="22"/>
          <w:szCs w:val="22"/>
          <w:highlight w:val="none"/>
          <w14:textFill>
            <w14:solidFill>
              <w14:schemeClr w14:val="tx1"/>
            </w14:solidFill>
          </w14:textFill>
        </w:rPr>
        <w:t>，</w:t>
      </w:r>
      <w:r>
        <w:rPr>
          <w:rFonts w:hint="eastAsia" w:ascii="宋体" w:hAnsi="宋体" w:eastAsia="宋体" w:cs="宋体"/>
          <w:color w:val="000000" w:themeColor="text1"/>
          <w:sz w:val="22"/>
          <w:szCs w:val="22"/>
          <w:highlight w:val="none"/>
          <w:lang w:eastAsia="zh-CN"/>
          <w14:textFill>
            <w14:solidFill>
              <w14:schemeClr w14:val="tx1"/>
            </w14:solidFill>
          </w14:textFill>
        </w:rPr>
        <w:t>磋商响应文件</w:t>
      </w:r>
      <w:r>
        <w:rPr>
          <w:rFonts w:hint="eastAsia" w:ascii="宋体" w:hAnsi="宋体" w:eastAsia="宋体" w:cs="宋体"/>
          <w:color w:val="000000" w:themeColor="text1"/>
          <w:sz w:val="22"/>
          <w:szCs w:val="22"/>
          <w:highlight w:val="none"/>
          <w14:textFill>
            <w14:solidFill>
              <w14:schemeClr w14:val="tx1"/>
            </w14:solidFill>
          </w14:textFill>
        </w:rPr>
        <w:t>须胶装成册。</w:t>
      </w:r>
    </w:p>
    <w:p>
      <w:pPr>
        <w:spacing w:line="48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3、请仔细核对</w:t>
      </w:r>
      <w:r>
        <w:rPr>
          <w:rFonts w:hint="eastAsia" w:ascii="宋体" w:hAnsi="宋体" w:eastAsia="宋体" w:cs="宋体"/>
          <w:color w:val="000000" w:themeColor="text1"/>
          <w:sz w:val="22"/>
          <w:szCs w:val="22"/>
          <w:highlight w:val="none"/>
          <w:lang w:eastAsia="zh-CN"/>
          <w14:textFill>
            <w14:solidFill>
              <w14:schemeClr w14:val="tx1"/>
            </w14:solidFill>
          </w14:textFill>
        </w:rPr>
        <w:t>磋商响应文件</w:t>
      </w:r>
      <w:r>
        <w:rPr>
          <w:rFonts w:hint="eastAsia" w:ascii="宋体" w:hAnsi="宋体" w:eastAsia="宋体" w:cs="宋体"/>
          <w:color w:val="000000" w:themeColor="text1"/>
          <w:sz w:val="22"/>
          <w:szCs w:val="22"/>
          <w:highlight w:val="none"/>
          <w14:textFill>
            <w14:solidFill>
              <w14:schemeClr w14:val="tx1"/>
            </w14:solidFill>
          </w14:textFill>
        </w:rPr>
        <w:t>是否已按照</w:t>
      </w:r>
      <w:r>
        <w:rPr>
          <w:rFonts w:hint="eastAsia" w:ascii="宋体" w:hAnsi="宋体" w:eastAsia="宋体" w:cs="宋体"/>
          <w:color w:val="000000" w:themeColor="text1"/>
          <w:sz w:val="22"/>
          <w:szCs w:val="22"/>
          <w:highlight w:val="none"/>
          <w:lang w:eastAsia="zh-CN"/>
          <w14:textFill>
            <w14:solidFill>
              <w14:schemeClr w14:val="tx1"/>
            </w14:solidFill>
          </w14:textFill>
        </w:rPr>
        <w:t>磋商文件</w:t>
      </w:r>
      <w:r>
        <w:rPr>
          <w:rFonts w:hint="eastAsia" w:ascii="宋体" w:hAnsi="宋体" w:eastAsia="宋体" w:cs="宋体"/>
          <w:color w:val="000000" w:themeColor="text1"/>
          <w:sz w:val="22"/>
          <w:szCs w:val="22"/>
          <w:highlight w:val="none"/>
          <w14:textFill>
            <w14:solidFill>
              <w14:schemeClr w14:val="tx1"/>
            </w14:solidFill>
          </w14:textFill>
        </w:rPr>
        <w:t>的要求签字、签章和加盖单位公章，实质性条款是否满足</w:t>
      </w:r>
      <w:r>
        <w:rPr>
          <w:rFonts w:hint="eastAsia" w:ascii="宋体" w:hAnsi="宋体" w:eastAsia="宋体" w:cs="宋体"/>
          <w:color w:val="000000" w:themeColor="text1"/>
          <w:sz w:val="22"/>
          <w:szCs w:val="22"/>
          <w:highlight w:val="none"/>
          <w:lang w:eastAsia="zh-CN"/>
          <w14:textFill>
            <w14:solidFill>
              <w14:schemeClr w14:val="tx1"/>
            </w14:solidFill>
          </w14:textFill>
        </w:rPr>
        <w:t>磋商文件</w:t>
      </w:r>
      <w:r>
        <w:rPr>
          <w:rFonts w:hint="eastAsia" w:ascii="宋体" w:hAnsi="宋体" w:eastAsia="宋体" w:cs="宋体"/>
          <w:color w:val="000000" w:themeColor="text1"/>
          <w:sz w:val="22"/>
          <w:szCs w:val="22"/>
          <w:highlight w:val="none"/>
          <w14:textFill>
            <w14:solidFill>
              <w14:schemeClr w14:val="tx1"/>
            </w14:solidFill>
          </w14:textFill>
        </w:rPr>
        <w:t>要求，</w:t>
      </w:r>
      <w:r>
        <w:rPr>
          <w:rFonts w:hint="eastAsia" w:ascii="宋体" w:hAnsi="宋体" w:eastAsia="宋体" w:cs="宋体"/>
          <w:color w:val="000000" w:themeColor="text1"/>
          <w:sz w:val="22"/>
          <w:szCs w:val="22"/>
          <w:highlight w:val="none"/>
          <w:lang w:eastAsia="zh-CN"/>
          <w14:textFill>
            <w14:solidFill>
              <w14:schemeClr w14:val="tx1"/>
            </w14:solidFill>
          </w14:textFill>
        </w:rPr>
        <w:t>磋商响应文件</w:t>
      </w:r>
      <w:r>
        <w:rPr>
          <w:rFonts w:hint="eastAsia" w:ascii="宋体" w:hAnsi="宋体" w:eastAsia="宋体" w:cs="宋体"/>
          <w:color w:val="000000" w:themeColor="text1"/>
          <w:sz w:val="22"/>
          <w:szCs w:val="22"/>
          <w:highlight w:val="none"/>
          <w14:textFill>
            <w14:solidFill>
              <w14:schemeClr w14:val="tx1"/>
            </w14:solidFill>
          </w14:textFill>
        </w:rPr>
        <w:t>中所附资格证明等资料是否齐全、有效且是否满足</w:t>
      </w:r>
      <w:r>
        <w:rPr>
          <w:rFonts w:hint="eastAsia" w:ascii="宋体" w:hAnsi="宋体" w:eastAsia="宋体" w:cs="宋体"/>
          <w:color w:val="000000" w:themeColor="text1"/>
          <w:sz w:val="22"/>
          <w:szCs w:val="22"/>
          <w:highlight w:val="none"/>
          <w:lang w:eastAsia="zh-CN"/>
          <w14:textFill>
            <w14:solidFill>
              <w14:schemeClr w14:val="tx1"/>
            </w14:solidFill>
          </w14:textFill>
        </w:rPr>
        <w:t>磋商文件</w:t>
      </w:r>
      <w:r>
        <w:rPr>
          <w:rFonts w:hint="eastAsia" w:ascii="宋体" w:hAnsi="宋体" w:eastAsia="宋体" w:cs="宋体"/>
          <w:color w:val="000000" w:themeColor="text1"/>
          <w:sz w:val="22"/>
          <w:szCs w:val="22"/>
          <w:highlight w:val="none"/>
          <w14:textFill>
            <w14:solidFill>
              <w14:schemeClr w14:val="tx1"/>
            </w14:solidFill>
          </w14:textFill>
        </w:rPr>
        <w:t>要求。</w:t>
      </w:r>
    </w:p>
    <w:p>
      <w:pPr>
        <w:spacing w:line="48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4、请按照</w:t>
      </w:r>
      <w:r>
        <w:rPr>
          <w:rFonts w:hint="eastAsia" w:ascii="宋体" w:hAnsi="宋体" w:eastAsia="宋体" w:cs="宋体"/>
          <w:color w:val="000000" w:themeColor="text1"/>
          <w:sz w:val="22"/>
          <w:szCs w:val="22"/>
          <w:highlight w:val="none"/>
          <w:lang w:eastAsia="zh-CN"/>
          <w14:textFill>
            <w14:solidFill>
              <w14:schemeClr w14:val="tx1"/>
            </w14:solidFill>
          </w14:textFill>
        </w:rPr>
        <w:t>磋商文件</w:t>
      </w:r>
      <w:r>
        <w:rPr>
          <w:rFonts w:hint="eastAsia" w:ascii="宋体" w:hAnsi="宋体" w:eastAsia="宋体" w:cs="宋体"/>
          <w:color w:val="000000" w:themeColor="text1"/>
          <w:sz w:val="22"/>
          <w:szCs w:val="22"/>
          <w:highlight w:val="none"/>
          <w14:textFill>
            <w14:solidFill>
              <w14:schemeClr w14:val="tx1"/>
            </w14:solidFill>
          </w14:textFill>
        </w:rPr>
        <w:t>要求密封</w:t>
      </w:r>
      <w:r>
        <w:rPr>
          <w:rFonts w:hint="eastAsia" w:ascii="宋体" w:hAnsi="宋体" w:eastAsia="宋体" w:cs="宋体"/>
          <w:color w:val="000000" w:themeColor="text1"/>
          <w:sz w:val="22"/>
          <w:szCs w:val="22"/>
          <w:highlight w:val="none"/>
          <w:lang w:eastAsia="zh-CN"/>
          <w14:textFill>
            <w14:solidFill>
              <w14:schemeClr w14:val="tx1"/>
            </w14:solidFill>
          </w14:textFill>
        </w:rPr>
        <w:t>磋商响应文件</w:t>
      </w:r>
      <w:r>
        <w:rPr>
          <w:rFonts w:hint="eastAsia" w:ascii="宋体" w:hAnsi="宋体" w:eastAsia="宋体" w:cs="宋体"/>
          <w:color w:val="000000" w:themeColor="text1"/>
          <w:sz w:val="22"/>
          <w:szCs w:val="22"/>
          <w:highlight w:val="none"/>
          <w14:textFill>
            <w14:solidFill>
              <w14:schemeClr w14:val="tx1"/>
            </w14:solidFill>
          </w14:textFill>
        </w:rPr>
        <w:t>，并正确标记。</w:t>
      </w:r>
    </w:p>
    <w:p>
      <w:pPr>
        <w:spacing w:line="48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提示：</w:t>
      </w:r>
      <w:r>
        <w:rPr>
          <w:rFonts w:hint="eastAsia" w:ascii="宋体" w:hAnsi="宋体" w:eastAsia="宋体" w:cs="宋体"/>
          <w:color w:val="000000" w:themeColor="text1"/>
          <w:sz w:val="22"/>
          <w:szCs w:val="22"/>
          <w:highlight w:val="none"/>
          <w:lang w:eastAsia="zh-CN"/>
          <w14:textFill>
            <w14:solidFill>
              <w14:schemeClr w14:val="tx1"/>
            </w14:solidFill>
          </w14:textFill>
        </w:rPr>
        <w:t>磋商响应文件</w:t>
      </w:r>
      <w:r>
        <w:rPr>
          <w:rFonts w:hint="eastAsia" w:ascii="宋体" w:hAnsi="宋体" w:eastAsia="宋体" w:cs="宋体"/>
          <w:color w:val="000000" w:themeColor="text1"/>
          <w:sz w:val="22"/>
          <w:szCs w:val="22"/>
          <w:highlight w:val="none"/>
          <w14:textFill>
            <w14:solidFill>
              <w14:schemeClr w14:val="tx1"/>
            </w14:solidFill>
          </w14:textFill>
        </w:rPr>
        <w:t>若不满足以上条件将有被否决的风险。</w:t>
      </w:r>
    </w:p>
    <w:p>
      <w:pPr>
        <w:spacing w:line="480" w:lineRule="exact"/>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二、有关谈判：</w:t>
      </w:r>
    </w:p>
    <w:p>
      <w:pPr>
        <w:spacing w:line="48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1、除</w:t>
      </w:r>
      <w:r>
        <w:rPr>
          <w:rFonts w:hint="eastAsia" w:ascii="宋体" w:hAnsi="宋体" w:eastAsia="宋体" w:cs="宋体"/>
          <w:color w:val="000000" w:themeColor="text1"/>
          <w:sz w:val="22"/>
          <w:szCs w:val="22"/>
          <w:highlight w:val="none"/>
          <w:lang w:eastAsia="zh-CN"/>
          <w14:textFill>
            <w14:solidFill>
              <w14:schemeClr w14:val="tx1"/>
            </w14:solidFill>
          </w14:textFill>
        </w:rPr>
        <w:t>磋商文件</w:t>
      </w:r>
      <w:r>
        <w:rPr>
          <w:rFonts w:hint="eastAsia" w:ascii="宋体" w:hAnsi="宋体" w:eastAsia="宋体" w:cs="宋体"/>
          <w:color w:val="000000" w:themeColor="text1"/>
          <w:sz w:val="22"/>
          <w:szCs w:val="22"/>
          <w:highlight w:val="none"/>
          <w14:textFill>
            <w14:solidFill>
              <w14:schemeClr w14:val="tx1"/>
            </w14:solidFill>
          </w14:textFill>
        </w:rPr>
        <w:t>要求递交的文件和资料外，请随身携带</w:t>
      </w:r>
      <w:r>
        <w:rPr>
          <w:rFonts w:hint="eastAsia" w:ascii="宋体" w:hAnsi="宋体" w:eastAsia="宋体" w:cs="宋体"/>
          <w:color w:val="000000" w:themeColor="text1"/>
          <w:sz w:val="22"/>
          <w:szCs w:val="22"/>
          <w:highlight w:val="none"/>
          <w:lang w:eastAsia="zh-CN"/>
          <w14:textFill>
            <w14:solidFill>
              <w14:schemeClr w14:val="tx1"/>
            </w14:solidFill>
          </w14:textFill>
        </w:rPr>
        <w:t>磋商文件</w:t>
      </w:r>
      <w:r>
        <w:rPr>
          <w:rFonts w:hint="eastAsia" w:ascii="宋体" w:hAnsi="宋体" w:eastAsia="宋体" w:cs="宋体"/>
          <w:color w:val="000000" w:themeColor="text1"/>
          <w:sz w:val="22"/>
          <w:szCs w:val="22"/>
          <w:highlight w:val="none"/>
          <w14:textFill>
            <w14:solidFill>
              <w14:schemeClr w14:val="tx1"/>
            </w14:solidFill>
          </w14:textFill>
        </w:rPr>
        <w:t>要求提供的其他备查文件原件。</w:t>
      </w:r>
    </w:p>
    <w:p>
      <w:pPr>
        <w:spacing w:line="48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2、请务必考虑天气情况、交通情况以及您对开标地址的路线熟悉等情况于</w:t>
      </w:r>
      <w:r>
        <w:rPr>
          <w:rFonts w:hint="eastAsia" w:ascii="宋体" w:hAnsi="宋体" w:eastAsia="宋体" w:cs="宋体"/>
          <w:color w:val="000000" w:themeColor="text1"/>
          <w:sz w:val="22"/>
          <w:szCs w:val="22"/>
          <w:highlight w:val="none"/>
          <w:lang w:val="en-US" w:eastAsia="zh-CN"/>
          <w14:textFill>
            <w14:solidFill>
              <w14:schemeClr w14:val="tx1"/>
            </w14:solidFill>
          </w14:textFill>
        </w:rPr>
        <w:t>磋商</w:t>
      </w:r>
      <w:r>
        <w:rPr>
          <w:rFonts w:hint="eastAsia" w:ascii="宋体" w:hAnsi="宋体" w:eastAsia="宋体" w:cs="宋体"/>
          <w:color w:val="000000" w:themeColor="text1"/>
          <w:sz w:val="22"/>
          <w:szCs w:val="22"/>
          <w:highlight w:val="none"/>
          <w14:textFill>
            <w14:solidFill>
              <w14:schemeClr w14:val="tx1"/>
            </w14:solidFill>
          </w14:textFill>
        </w:rPr>
        <w:t>公告规定的时间和地点递交</w:t>
      </w:r>
      <w:r>
        <w:rPr>
          <w:rFonts w:hint="eastAsia" w:ascii="宋体" w:hAnsi="宋体" w:eastAsia="宋体" w:cs="宋体"/>
          <w:color w:val="000000" w:themeColor="text1"/>
          <w:sz w:val="22"/>
          <w:szCs w:val="22"/>
          <w:highlight w:val="none"/>
          <w:lang w:eastAsia="zh-CN"/>
          <w14:textFill>
            <w14:solidFill>
              <w14:schemeClr w14:val="tx1"/>
            </w14:solidFill>
          </w14:textFill>
        </w:rPr>
        <w:t>磋商响应文件</w:t>
      </w:r>
      <w:r>
        <w:rPr>
          <w:rFonts w:hint="eastAsia" w:ascii="宋体" w:hAnsi="宋体" w:eastAsia="宋体" w:cs="宋体"/>
          <w:color w:val="000000" w:themeColor="text1"/>
          <w:sz w:val="22"/>
          <w:szCs w:val="22"/>
          <w:highlight w:val="none"/>
          <w14:textFill>
            <w14:solidFill>
              <w14:schemeClr w14:val="tx1"/>
            </w14:solidFill>
          </w14:textFill>
        </w:rPr>
        <w:t>，</w:t>
      </w:r>
      <w:r>
        <w:rPr>
          <w:rFonts w:hint="eastAsia" w:ascii="宋体" w:hAnsi="宋体" w:eastAsia="宋体" w:cs="宋体"/>
          <w:color w:val="000000" w:themeColor="text1"/>
          <w:sz w:val="22"/>
          <w:szCs w:val="22"/>
          <w:highlight w:val="none"/>
          <w:lang w:eastAsia="zh-CN"/>
          <w14:textFill>
            <w14:solidFill>
              <w14:schemeClr w14:val="tx1"/>
            </w14:solidFill>
          </w14:textFill>
        </w:rPr>
        <w:t>磋商响应文件</w:t>
      </w:r>
      <w:r>
        <w:rPr>
          <w:rFonts w:hint="eastAsia" w:ascii="宋体" w:hAnsi="宋体" w:eastAsia="宋体" w:cs="宋体"/>
          <w:color w:val="000000" w:themeColor="text1"/>
          <w:sz w:val="22"/>
          <w:szCs w:val="22"/>
          <w:highlight w:val="none"/>
          <w14:textFill>
            <w14:solidFill>
              <w14:schemeClr w14:val="tx1"/>
            </w14:solidFill>
          </w14:textFill>
        </w:rPr>
        <w:t>逾期到达，将被拒绝接收。</w:t>
      </w:r>
    </w:p>
    <w:p>
      <w:pPr>
        <w:spacing w:line="48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3、请到达文件递交地点后及时到</w:t>
      </w:r>
      <w:r>
        <w:rPr>
          <w:rFonts w:hint="eastAsia" w:ascii="宋体" w:hAnsi="宋体" w:eastAsia="宋体" w:cs="宋体"/>
          <w:color w:val="000000" w:themeColor="text1"/>
          <w:sz w:val="22"/>
          <w:szCs w:val="22"/>
          <w:highlight w:val="none"/>
          <w:lang w:eastAsia="zh-CN"/>
          <w14:textFill>
            <w14:solidFill>
              <w14:schemeClr w14:val="tx1"/>
            </w14:solidFill>
          </w14:textFill>
        </w:rPr>
        <w:t>磋商响应文件</w:t>
      </w:r>
      <w:r>
        <w:rPr>
          <w:rFonts w:hint="eastAsia" w:ascii="宋体" w:hAnsi="宋体" w:eastAsia="宋体" w:cs="宋体"/>
          <w:color w:val="000000" w:themeColor="text1"/>
          <w:sz w:val="22"/>
          <w:szCs w:val="22"/>
          <w:highlight w:val="none"/>
          <w14:textFill>
            <w14:solidFill>
              <w14:schemeClr w14:val="tx1"/>
            </w14:solidFill>
          </w14:textFill>
        </w:rPr>
        <w:t>接收处签字登记。</w:t>
      </w:r>
    </w:p>
    <w:p>
      <w:pPr>
        <w:spacing w:line="480" w:lineRule="exact"/>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三、关于弃标的说明</w:t>
      </w:r>
    </w:p>
    <w:p>
      <w:pPr>
        <w:spacing w:line="48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若因为一些特殊原因不能参加本次</w:t>
      </w:r>
      <w:r>
        <w:rPr>
          <w:rFonts w:hint="eastAsia" w:ascii="宋体" w:hAnsi="宋体" w:eastAsia="宋体" w:cs="宋体"/>
          <w:color w:val="000000" w:themeColor="text1"/>
          <w:sz w:val="22"/>
          <w:szCs w:val="22"/>
          <w:highlight w:val="none"/>
          <w:lang w:val="en-US" w:eastAsia="zh-CN"/>
          <w14:textFill>
            <w14:solidFill>
              <w14:schemeClr w14:val="tx1"/>
            </w14:solidFill>
          </w14:textFill>
        </w:rPr>
        <w:t>磋商</w:t>
      </w:r>
      <w:r>
        <w:rPr>
          <w:rFonts w:hint="eastAsia" w:ascii="宋体" w:hAnsi="宋体" w:eastAsia="宋体" w:cs="宋体"/>
          <w:color w:val="000000" w:themeColor="text1"/>
          <w:sz w:val="22"/>
          <w:szCs w:val="22"/>
          <w:highlight w:val="none"/>
          <w14:textFill>
            <w14:solidFill>
              <w14:schemeClr w14:val="tx1"/>
            </w14:solidFill>
          </w14:textFill>
        </w:rPr>
        <w:t>活动的，请务必以书面形式告知我们，以便我们正常开展后期工作，同时也避免再次打扰您，感谢您的配合。</w:t>
      </w:r>
    </w:p>
    <w:p>
      <w:pPr>
        <w:spacing w:line="500" w:lineRule="exact"/>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四、关于供应商注册登记提醒：</w:t>
      </w:r>
    </w:p>
    <w:p>
      <w:pPr>
        <w:spacing w:line="480" w:lineRule="exact"/>
        <w:ind w:firstLine="442" w:firstLineChars="200"/>
        <w:rPr>
          <w:rFonts w:hint="eastAsia" w:ascii="宋体" w:hAnsi="宋体" w:eastAsia="宋体" w:cs="宋体"/>
          <w:b/>
          <w:sz w:val="40"/>
          <w:szCs w:val="40"/>
          <w:highlight w:val="none"/>
        </w:rPr>
        <w:sectPr>
          <w:headerReference r:id="rId7" w:type="first"/>
          <w:footerReference r:id="rId8" w:type="first"/>
          <w:headerReference r:id="rId6" w:type="default"/>
          <w:pgSz w:w="11906" w:h="16838"/>
          <w:pgMar w:top="1417" w:right="1134" w:bottom="1417" w:left="1417" w:header="1134" w:footer="992" w:gutter="0"/>
          <w:pgNumType w:start="1"/>
          <w:cols w:space="720" w:num="1"/>
          <w:titlePg/>
          <w:docGrid w:type="lines" w:linePitch="333" w:charSpace="0"/>
        </w:sectPr>
      </w:pPr>
      <w:r>
        <w:rPr>
          <w:rFonts w:hint="eastAsia" w:ascii="宋体" w:hAnsi="宋体" w:eastAsia="宋体" w:cs="宋体"/>
          <w:b/>
          <w:bCs/>
          <w:color w:val="000000" w:themeColor="text1"/>
          <w:sz w:val="22"/>
          <w:szCs w:val="22"/>
          <w:highlight w:val="none"/>
          <w14:textFill>
            <w14:solidFill>
              <w14:schemeClr w14:val="tx1"/>
            </w14:solidFill>
          </w14:textFill>
        </w:rPr>
        <w:t>请各供应商仔细阅读上述提示。如需帮助，请您与我们的工作人员联系，我们将非常高兴地为您服务。</w:t>
      </w:r>
    </w:p>
    <w:p>
      <w:pPr>
        <w:spacing w:line="360" w:lineRule="auto"/>
        <w:rPr>
          <w:rFonts w:ascii="宋体" w:hAnsi="宋体" w:cs="宋体"/>
          <w:b/>
          <w:sz w:val="44"/>
          <w:szCs w:val="44"/>
          <w:highlight w:val="none"/>
        </w:rPr>
      </w:pPr>
    </w:p>
    <w:p>
      <w:pPr>
        <w:spacing w:line="360" w:lineRule="auto"/>
        <w:jc w:val="center"/>
        <w:rPr>
          <w:rFonts w:hint="eastAsia" w:ascii="宋体" w:hAnsi="宋体" w:cs="宋体"/>
          <w:b/>
          <w:sz w:val="44"/>
          <w:szCs w:val="44"/>
          <w:highlight w:val="none"/>
        </w:rPr>
      </w:pPr>
      <w:r>
        <w:rPr>
          <w:rFonts w:hint="eastAsia" w:ascii="宋体" w:hAnsi="宋体" w:cs="宋体"/>
          <w:b/>
          <w:sz w:val="44"/>
          <w:szCs w:val="44"/>
          <w:highlight w:val="none"/>
        </w:rPr>
        <w:t>目    录</w:t>
      </w:r>
    </w:p>
    <w:p>
      <w:pPr>
        <w:pStyle w:val="2"/>
        <w:rPr>
          <w:highlight w:val="none"/>
        </w:rPr>
      </w:pPr>
    </w:p>
    <w:sdt>
      <w:sdtPr>
        <w:rPr>
          <w:rFonts w:ascii="宋体" w:hAnsi="宋体" w:eastAsia="宋体" w:cs="Times New Roman"/>
          <w:kern w:val="2"/>
          <w:sz w:val="21"/>
          <w:szCs w:val="22"/>
          <w:highlight w:val="none"/>
          <w:lang w:val="en-US" w:eastAsia="zh-CN" w:bidi="ar-SA"/>
        </w:rPr>
        <w:id w:val="147470094"/>
        <w15:color w:val="DBDBDB"/>
        <w:docPartObj>
          <w:docPartGallery w:val="Table of Contents"/>
          <w:docPartUnique/>
        </w:docPartObj>
      </w:sdtPr>
      <w:sdtEndPr>
        <w:rPr>
          <w:rFonts w:ascii="宋体" w:hAnsi="宋体" w:eastAsia="宋体" w:cs="宋体"/>
          <w:b/>
          <w:bCs/>
          <w:caps w:val="0"/>
          <w:kern w:val="2"/>
          <w:sz w:val="20"/>
          <w:szCs w:val="24"/>
          <w:highlight w:val="none"/>
          <w:lang w:val="en-US" w:eastAsia="zh-CN" w:bidi="ar-SA"/>
        </w:rPr>
      </w:sdtEndPr>
      <w:sdtContent>
        <w:p>
          <w:pPr>
            <w:spacing w:before="0" w:beforeLines="0" w:after="0" w:afterLines="0" w:line="240" w:lineRule="auto"/>
            <w:ind w:left="0" w:leftChars="0" w:right="0" w:rightChars="0" w:firstLine="0" w:firstLineChars="0"/>
            <w:jc w:val="center"/>
            <w:rPr>
              <w:highlight w:val="none"/>
            </w:rPr>
          </w:pPr>
          <w:bookmarkStart w:id="1" w:name="_Toc193702467"/>
          <w:bookmarkStart w:id="2" w:name="_Toc246928891"/>
        </w:p>
        <w:p>
          <w:pPr>
            <w:pStyle w:val="62"/>
            <w:tabs>
              <w:tab w:val="right" w:leader="dot" w:pos="8839"/>
            </w:tabs>
            <w:spacing w:line="600" w:lineRule="auto"/>
            <w:rPr>
              <w:rFonts w:hint="eastAsia" w:ascii="宋体" w:hAnsi="宋体" w:eastAsia="宋体" w:cs="宋体"/>
              <w:sz w:val="28"/>
              <w:szCs w:val="28"/>
              <w:highlight w:val="none"/>
            </w:rPr>
          </w:pPr>
          <w:r>
            <w:rPr>
              <w:rFonts w:ascii="宋体" w:hAnsi="宋体" w:cs="宋体"/>
              <w:b w:val="0"/>
              <w:caps w:val="0"/>
              <w:sz w:val="24"/>
              <w:szCs w:val="24"/>
              <w:highlight w:val="none"/>
            </w:rPr>
            <w:fldChar w:fldCharType="begin"/>
          </w:r>
          <w:r>
            <w:rPr>
              <w:rFonts w:ascii="宋体" w:hAnsi="宋体" w:cs="宋体"/>
              <w:b w:val="0"/>
              <w:caps w:val="0"/>
              <w:sz w:val="24"/>
              <w:szCs w:val="24"/>
              <w:highlight w:val="none"/>
            </w:rPr>
            <w:instrText xml:space="preserve">TOC \o "1-1" \h \u </w:instrText>
          </w:r>
          <w:r>
            <w:rPr>
              <w:rFonts w:ascii="宋体" w:hAnsi="宋体" w:cs="宋体"/>
              <w:b w:val="0"/>
              <w:caps w:val="0"/>
              <w:sz w:val="24"/>
              <w:szCs w:val="24"/>
              <w:highlight w:val="none"/>
            </w:rPr>
            <w:fldChar w:fldCharType="separate"/>
          </w:r>
          <w:r>
            <w:rPr>
              <w:rFonts w:hint="eastAsia" w:ascii="宋体" w:hAnsi="宋体" w:eastAsia="宋体" w:cs="宋体"/>
              <w:caps w:val="0"/>
              <w:sz w:val="28"/>
              <w:szCs w:val="28"/>
              <w:highlight w:val="none"/>
            </w:rPr>
            <w:fldChar w:fldCharType="begin"/>
          </w:r>
          <w:r>
            <w:rPr>
              <w:rFonts w:hint="eastAsia" w:ascii="宋体" w:hAnsi="宋体" w:eastAsia="宋体" w:cs="宋体"/>
              <w:caps w:val="0"/>
              <w:sz w:val="28"/>
              <w:szCs w:val="28"/>
              <w:highlight w:val="none"/>
            </w:rPr>
            <w:instrText xml:space="preserve"> HYPERLINK \l _Toc28260 </w:instrText>
          </w:r>
          <w:r>
            <w:rPr>
              <w:rFonts w:hint="eastAsia" w:ascii="宋体" w:hAnsi="宋体" w:eastAsia="宋体" w:cs="宋体"/>
              <w:caps w:val="0"/>
              <w:sz w:val="28"/>
              <w:szCs w:val="28"/>
              <w:highlight w:val="none"/>
            </w:rPr>
            <w:fldChar w:fldCharType="separate"/>
          </w:r>
          <w:r>
            <w:rPr>
              <w:rFonts w:hint="eastAsia" w:ascii="宋体" w:hAnsi="宋体" w:eastAsia="宋体" w:cs="宋体"/>
              <w:sz w:val="28"/>
              <w:szCs w:val="28"/>
              <w:highlight w:val="none"/>
            </w:rPr>
            <w:t>第一部分  采购公告</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_Toc28260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1</w:t>
          </w:r>
          <w:r>
            <w:rPr>
              <w:rFonts w:hint="eastAsia" w:ascii="宋体" w:hAnsi="宋体" w:eastAsia="宋体" w:cs="宋体"/>
              <w:sz w:val="28"/>
              <w:szCs w:val="28"/>
              <w:highlight w:val="none"/>
            </w:rPr>
            <w:fldChar w:fldCharType="end"/>
          </w:r>
          <w:r>
            <w:rPr>
              <w:rFonts w:hint="eastAsia" w:ascii="宋体" w:hAnsi="宋体" w:eastAsia="宋体" w:cs="宋体"/>
              <w:caps w:val="0"/>
              <w:sz w:val="28"/>
              <w:szCs w:val="28"/>
              <w:highlight w:val="none"/>
            </w:rPr>
            <w:fldChar w:fldCharType="end"/>
          </w:r>
        </w:p>
        <w:p>
          <w:pPr>
            <w:pStyle w:val="62"/>
            <w:tabs>
              <w:tab w:val="right" w:leader="dot" w:pos="8839"/>
            </w:tabs>
            <w:spacing w:line="600" w:lineRule="auto"/>
            <w:rPr>
              <w:rFonts w:hint="eastAsia" w:ascii="宋体" w:hAnsi="宋体" w:eastAsia="宋体" w:cs="宋体"/>
              <w:sz w:val="28"/>
              <w:szCs w:val="28"/>
              <w:highlight w:val="none"/>
            </w:rPr>
          </w:pPr>
          <w:r>
            <w:rPr>
              <w:rFonts w:hint="eastAsia" w:ascii="宋体" w:hAnsi="宋体" w:eastAsia="宋体" w:cs="宋体"/>
              <w:caps w:val="0"/>
              <w:sz w:val="28"/>
              <w:szCs w:val="28"/>
              <w:highlight w:val="none"/>
            </w:rPr>
            <w:fldChar w:fldCharType="begin"/>
          </w:r>
          <w:r>
            <w:rPr>
              <w:rFonts w:hint="eastAsia" w:ascii="宋体" w:hAnsi="宋体" w:eastAsia="宋体" w:cs="宋体"/>
              <w:caps w:val="0"/>
              <w:sz w:val="28"/>
              <w:szCs w:val="28"/>
              <w:highlight w:val="none"/>
            </w:rPr>
            <w:instrText xml:space="preserve"> HYPERLINK \l _Toc5719 </w:instrText>
          </w:r>
          <w:r>
            <w:rPr>
              <w:rFonts w:hint="eastAsia" w:ascii="宋体" w:hAnsi="宋体" w:eastAsia="宋体" w:cs="宋体"/>
              <w:caps w:val="0"/>
              <w:sz w:val="28"/>
              <w:szCs w:val="28"/>
              <w:highlight w:val="none"/>
            </w:rPr>
            <w:fldChar w:fldCharType="separate"/>
          </w:r>
          <w:r>
            <w:rPr>
              <w:rFonts w:hint="eastAsia" w:ascii="宋体" w:hAnsi="宋体" w:eastAsia="宋体" w:cs="宋体"/>
              <w:sz w:val="28"/>
              <w:szCs w:val="28"/>
              <w:highlight w:val="none"/>
            </w:rPr>
            <w:t>第二部分  供应商须知前附表</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_Toc5719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4</w:t>
          </w:r>
          <w:r>
            <w:rPr>
              <w:rFonts w:hint="eastAsia" w:ascii="宋体" w:hAnsi="宋体" w:eastAsia="宋体" w:cs="宋体"/>
              <w:sz w:val="28"/>
              <w:szCs w:val="28"/>
              <w:highlight w:val="none"/>
            </w:rPr>
            <w:fldChar w:fldCharType="end"/>
          </w:r>
          <w:r>
            <w:rPr>
              <w:rFonts w:hint="eastAsia" w:ascii="宋体" w:hAnsi="宋体" w:eastAsia="宋体" w:cs="宋体"/>
              <w:caps w:val="0"/>
              <w:sz w:val="28"/>
              <w:szCs w:val="28"/>
              <w:highlight w:val="none"/>
            </w:rPr>
            <w:fldChar w:fldCharType="end"/>
          </w:r>
        </w:p>
        <w:p>
          <w:pPr>
            <w:pStyle w:val="62"/>
            <w:tabs>
              <w:tab w:val="right" w:leader="dot" w:pos="8839"/>
            </w:tabs>
            <w:spacing w:line="600" w:lineRule="auto"/>
            <w:rPr>
              <w:rFonts w:hint="eastAsia" w:ascii="宋体" w:hAnsi="宋体" w:eastAsia="宋体" w:cs="宋体"/>
              <w:sz w:val="28"/>
              <w:szCs w:val="28"/>
              <w:highlight w:val="none"/>
            </w:rPr>
          </w:pPr>
          <w:r>
            <w:rPr>
              <w:rFonts w:hint="eastAsia" w:ascii="宋体" w:hAnsi="宋体" w:eastAsia="宋体" w:cs="宋体"/>
              <w:caps w:val="0"/>
              <w:sz w:val="28"/>
              <w:szCs w:val="28"/>
              <w:highlight w:val="none"/>
            </w:rPr>
            <w:fldChar w:fldCharType="begin"/>
          </w:r>
          <w:r>
            <w:rPr>
              <w:rFonts w:hint="eastAsia" w:ascii="宋体" w:hAnsi="宋体" w:eastAsia="宋体" w:cs="宋体"/>
              <w:caps w:val="0"/>
              <w:sz w:val="28"/>
              <w:szCs w:val="28"/>
              <w:highlight w:val="none"/>
            </w:rPr>
            <w:instrText xml:space="preserve"> HYPERLINK \l _Toc8811 </w:instrText>
          </w:r>
          <w:r>
            <w:rPr>
              <w:rFonts w:hint="eastAsia" w:ascii="宋体" w:hAnsi="宋体" w:eastAsia="宋体" w:cs="宋体"/>
              <w:caps w:val="0"/>
              <w:sz w:val="28"/>
              <w:szCs w:val="28"/>
              <w:highlight w:val="none"/>
            </w:rPr>
            <w:fldChar w:fldCharType="separate"/>
          </w:r>
          <w:r>
            <w:rPr>
              <w:rFonts w:hint="eastAsia" w:ascii="宋体" w:hAnsi="宋体" w:eastAsia="宋体" w:cs="宋体"/>
              <w:sz w:val="28"/>
              <w:szCs w:val="28"/>
              <w:highlight w:val="none"/>
            </w:rPr>
            <w:t>第三部分  供应商须知</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_Toc8811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7</w:t>
          </w:r>
          <w:r>
            <w:rPr>
              <w:rFonts w:hint="eastAsia" w:ascii="宋体" w:hAnsi="宋体" w:eastAsia="宋体" w:cs="宋体"/>
              <w:sz w:val="28"/>
              <w:szCs w:val="28"/>
              <w:highlight w:val="none"/>
            </w:rPr>
            <w:fldChar w:fldCharType="end"/>
          </w:r>
          <w:r>
            <w:rPr>
              <w:rFonts w:hint="eastAsia" w:ascii="宋体" w:hAnsi="宋体" w:eastAsia="宋体" w:cs="宋体"/>
              <w:caps w:val="0"/>
              <w:sz w:val="28"/>
              <w:szCs w:val="28"/>
              <w:highlight w:val="none"/>
            </w:rPr>
            <w:fldChar w:fldCharType="end"/>
          </w:r>
        </w:p>
        <w:p>
          <w:pPr>
            <w:pStyle w:val="62"/>
            <w:tabs>
              <w:tab w:val="right" w:leader="dot" w:pos="8839"/>
            </w:tabs>
            <w:spacing w:line="600" w:lineRule="auto"/>
            <w:rPr>
              <w:rFonts w:hint="eastAsia" w:ascii="宋体" w:hAnsi="宋体" w:eastAsia="宋体" w:cs="宋体"/>
              <w:sz w:val="28"/>
              <w:szCs w:val="28"/>
              <w:highlight w:val="none"/>
            </w:rPr>
          </w:pPr>
          <w:r>
            <w:rPr>
              <w:rFonts w:hint="eastAsia" w:ascii="宋体" w:hAnsi="宋体" w:eastAsia="宋体" w:cs="宋体"/>
              <w:caps w:val="0"/>
              <w:sz w:val="28"/>
              <w:szCs w:val="28"/>
              <w:highlight w:val="none"/>
            </w:rPr>
            <w:fldChar w:fldCharType="begin"/>
          </w:r>
          <w:r>
            <w:rPr>
              <w:rFonts w:hint="eastAsia" w:ascii="宋体" w:hAnsi="宋体" w:eastAsia="宋体" w:cs="宋体"/>
              <w:caps w:val="0"/>
              <w:sz w:val="28"/>
              <w:szCs w:val="28"/>
              <w:highlight w:val="none"/>
            </w:rPr>
            <w:instrText xml:space="preserve"> HYPERLINK \l _Toc28889 </w:instrText>
          </w:r>
          <w:r>
            <w:rPr>
              <w:rFonts w:hint="eastAsia" w:ascii="宋体" w:hAnsi="宋体" w:eastAsia="宋体" w:cs="宋体"/>
              <w:caps w:val="0"/>
              <w:sz w:val="28"/>
              <w:szCs w:val="28"/>
              <w:highlight w:val="none"/>
            </w:rPr>
            <w:fldChar w:fldCharType="separate"/>
          </w:r>
          <w:r>
            <w:rPr>
              <w:rFonts w:hint="eastAsia" w:ascii="宋体" w:hAnsi="宋体" w:eastAsia="宋体" w:cs="宋体"/>
              <w:sz w:val="28"/>
              <w:szCs w:val="28"/>
              <w:highlight w:val="none"/>
            </w:rPr>
            <w:t>第四部分  评标办法及标准</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_Toc28889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21</w:t>
          </w:r>
          <w:r>
            <w:rPr>
              <w:rFonts w:hint="eastAsia" w:ascii="宋体" w:hAnsi="宋体" w:eastAsia="宋体" w:cs="宋体"/>
              <w:sz w:val="28"/>
              <w:szCs w:val="28"/>
              <w:highlight w:val="none"/>
            </w:rPr>
            <w:fldChar w:fldCharType="end"/>
          </w:r>
          <w:r>
            <w:rPr>
              <w:rFonts w:hint="eastAsia" w:ascii="宋体" w:hAnsi="宋体" w:eastAsia="宋体" w:cs="宋体"/>
              <w:caps w:val="0"/>
              <w:sz w:val="28"/>
              <w:szCs w:val="28"/>
              <w:highlight w:val="none"/>
            </w:rPr>
            <w:fldChar w:fldCharType="end"/>
          </w:r>
        </w:p>
        <w:p>
          <w:pPr>
            <w:pStyle w:val="62"/>
            <w:tabs>
              <w:tab w:val="right" w:leader="dot" w:pos="8839"/>
            </w:tabs>
            <w:spacing w:line="600" w:lineRule="auto"/>
            <w:rPr>
              <w:rFonts w:hint="eastAsia" w:ascii="宋体" w:hAnsi="宋体" w:eastAsia="宋体" w:cs="宋体"/>
              <w:sz w:val="28"/>
              <w:szCs w:val="28"/>
              <w:highlight w:val="none"/>
            </w:rPr>
          </w:pPr>
          <w:r>
            <w:rPr>
              <w:rFonts w:hint="eastAsia" w:ascii="宋体" w:hAnsi="宋体" w:eastAsia="宋体" w:cs="宋体"/>
              <w:caps w:val="0"/>
              <w:sz w:val="28"/>
              <w:szCs w:val="28"/>
              <w:highlight w:val="none"/>
            </w:rPr>
            <w:fldChar w:fldCharType="begin"/>
          </w:r>
          <w:r>
            <w:rPr>
              <w:rFonts w:hint="eastAsia" w:ascii="宋体" w:hAnsi="宋体" w:eastAsia="宋体" w:cs="宋体"/>
              <w:caps w:val="0"/>
              <w:sz w:val="28"/>
              <w:szCs w:val="28"/>
              <w:highlight w:val="none"/>
            </w:rPr>
            <w:instrText xml:space="preserve"> HYPERLINK \l _Toc27726 </w:instrText>
          </w:r>
          <w:r>
            <w:rPr>
              <w:rFonts w:hint="eastAsia" w:ascii="宋体" w:hAnsi="宋体" w:eastAsia="宋体" w:cs="宋体"/>
              <w:caps w:val="0"/>
              <w:sz w:val="28"/>
              <w:szCs w:val="28"/>
              <w:highlight w:val="none"/>
            </w:rPr>
            <w:fldChar w:fldCharType="separate"/>
          </w:r>
          <w:r>
            <w:rPr>
              <w:rFonts w:hint="eastAsia" w:ascii="宋体" w:hAnsi="宋体" w:eastAsia="宋体" w:cs="宋体"/>
              <w:sz w:val="28"/>
              <w:szCs w:val="28"/>
              <w:highlight w:val="none"/>
            </w:rPr>
            <w:t xml:space="preserve">第五部分  </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采购内容及要求</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_Toc27726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24</w:t>
          </w:r>
          <w:r>
            <w:rPr>
              <w:rFonts w:hint="eastAsia" w:ascii="宋体" w:hAnsi="宋体" w:eastAsia="宋体" w:cs="宋体"/>
              <w:sz w:val="28"/>
              <w:szCs w:val="28"/>
              <w:highlight w:val="none"/>
            </w:rPr>
            <w:fldChar w:fldCharType="end"/>
          </w:r>
          <w:r>
            <w:rPr>
              <w:rFonts w:hint="eastAsia" w:ascii="宋体" w:hAnsi="宋体" w:eastAsia="宋体" w:cs="宋体"/>
              <w:caps w:val="0"/>
              <w:sz w:val="28"/>
              <w:szCs w:val="28"/>
              <w:highlight w:val="none"/>
            </w:rPr>
            <w:fldChar w:fldCharType="end"/>
          </w:r>
        </w:p>
        <w:p>
          <w:pPr>
            <w:pStyle w:val="62"/>
            <w:tabs>
              <w:tab w:val="right" w:leader="dot" w:pos="8839"/>
            </w:tabs>
            <w:spacing w:line="600" w:lineRule="auto"/>
            <w:rPr>
              <w:rFonts w:hint="eastAsia" w:ascii="宋体" w:hAnsi="宋体" w:eastAsia="宋体" w:cs="宋体"/>
              <w:sz w:val="28"/>
              <w:szCs w:val="28"/>
              <w:highlight w:val="none"/>
            </w:rPr>
          </w:pPr>
          <w:r>
            <w:rPr>
              <w:rFonts w:hint="eastAsia" w:ascii="宋体" w:hAnsi="宋体" w:eastAsia="宋体" w:cs="宋体"/>
              <w:caps w:val="0"/>
              <w:sz w:val="28"/>
              <w:szCs w:val="28"/>
              <w:highlight w:val="none"/>
            </w:rPr>
            <w:fldChar w:fldCharType="begin"/>
          </w:r>
          <w:r>
            <w:rPr>
              <w:rFonts w:hint="eastAsia" w:ascii="宋体" w:hAnsi="宋体" w:eastAsia="宋体" w:cs="宋体"/>
              <w:caps w:val="0"/>
              <w:sz w:val="28"/>
              <w:szCs w:val="28"/>
              <w:highlight w:val="none"/>
            </w:rPr>
            <w:instrText xml:space="preserve"> HYPERLINK \l _Toc13701 </w:instrText>
          </w:r>
          <w:r>
            <w:rPr>
              <w:rFonts w:hint="eastAsia" w:ascii="宋体" w:hAnsi="宋体" w:eastAsia="宋体" w:cs="宋体"/>
              <w:caps w:val="0"/>
              <w:sz w:val="28"/>
              <w:szCs w:val="28"/>
              <w:highlight w:val="none"/>
            </w:rPr>
            <w:fldChar w:fldCharType="separate"/>
          </w:r>
          <w:r>
            <w:rPr>
              <w:rFonts w:hint="eastAsia" w:ascii="宋体" w:hAnsi="宋体" w:eastAsia="宋体" w:cs="宋体"/>
              <w:sz w:val="28"/>
              <w:szCs w:val="28"/>
              <w:highlight w:val="none"/>
            </w:rPr>
            <w:t>第六部分  合同主要条款</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_Toc13701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26</w:t>
          </w:r>
          <w:r>
            <w:rPr>
              <w:rFonts w:hint="eastAsia" w:ascii="宋体" w:hAnsi="宋体" w:eastAsia="宋体" w:cs="宋体"/>
              <w:sz w:val="28"/>
              <w:szCs w:val="28"/>
              <w:highlight w:val="none"/>
            </w:rPr>
            <w:fldChar w:fldCharType="end"/>
          </w:r>
          <w:r>
            <w:rPr>
              <w:rFonts w:hint="eastAsia" w:ascii="宋体" w:hAnsi="宋体" w:eastAsia="宋体" w:cs="宋体"/>
              <w:caps w:val="0"/>
              <w:sz w:val="28"/>
              <w:szCs w:val="28"/>
              <w:highlight w:val="none"/>
            </w:rPr>
            <w:fldChar w:fldCharType="end"/>
          </w:r>
        </w:p>
        <w:p>
          <w:pPr>
            <w:pStyle w:val="62"/>
            <w:tabs>
              <w:tab w:val="right" w:leader="dot" w:pos="8839"/>
            </w:tabs>
            <w:spacing w:line="600" w:lineRule="auto"/>
            <w:rPr>
              <w:highlight w:val="none"/>
            </w:rPr>
          </w:pPr>
          <w:r>
            <w:rPr>
              <w:rFonts w:hint="eastAsia" w:ascii="宋体" w:hAnsi="宋体" w:eastAsia="宋体" w:cs="宋体"/>
              <w:caps w:val="0"/>
              <w:sz w:val="28"/>
              <w:szCs w:val="28"/>
              <w:highlight w:val="none"/>
            </w:rPr>
            <w:fldChar w:fldCharType="begin"/>
          </w:r>
          <w:r>
            <w:rPr>
              <w:rFonts w:hint="eastAsia" w:ascii="宋体" w:hAnsi="宋体" w:eastAsia="宋体" w:cs="宋体"/>
              <w:caps w:val="0"/>
              <w:sz w:val="28"/>
              <w:szCs w:val="28"/>
              <w:highlight w:val="none"/>
            </w:rPr>
            <w:instrText xml:space="preserve"> HYPERLINK \l _Toc3617 </w:instrText>
          </w:r>
          <w:r>
            <w:rPr>
              <w:rFonts w:hint="eastAsia" w:ascii="宋体" w:hAnsi="宋体" w:eastAsia="宋体" w:cs="宋体"/>
              <w:caps w:val="0"/>
              <w:sz w:val="28"/>
              <w:szCs w:val="28"/>
              <w:highlight w:val="none"/>
            </w:rPr>
            <w:fldChar w:fldCharType="separate"/>
          </w:r>
          <w:r>
            <w:rPr>
              <w:rFonts w:hint="eastAsia" w:ascii="宋体" w:hAnsi="宋体" w:eastAsia="宋体" w:cs="宋体"/>
              <w:sz w:val="28"/>
              <w:szCs w:val="28"/>
              <w:highlight w:val="none"/>
            </w:rPr>
            <w:t>第七部分  响应文件格式</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_Toc3617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69</w:t>
          </w:r>
          <w:r>
            <w:rPr>
              <w:rFonts w:hint="eastAsia" w:ascii="宋体" w:hAnsi="宋体" w:eastAsia="宋体" w:cs="宋体"/>
              <w:sz w:val="28"/>
              <w:szCs w:val="28"/>
              <w:highlight w:val="none"/>
            </w:rPr>
            <w:fldChar w:fldCharType="end"/>
          </w:r>
          <w:r>
            <w:rPr>
              <w:rFonts w:hint="eastAsia" w:ascii="宋体" w:hAnsi="宋体" w:eastAsia="宋体" w:cs="宋体"/>
              <w:caps w:val="0"/>
              <w:sz w:val="28"/>
              <w:szCs w:val="28"/>
              <w:highlight w:val="none"/>
            </w:rPr>
            <w:fldChar w:fldCharType="end"/>
          </w:r>
        </w:p>
        <w:p>
          <w:pPr>
            <w:pStyle w:val="62"/>
            <w:tabs>
              <w:tab w:val="right" w:leader="dot" w:pos="8839"/>
            </w:tabs>
            <w:rPr>
              <w:highlight w:val="none"/>
            </w:rPr>
          </w:pPr>
        </w:p>
        <w:p>
          <w:pPr>
            <w:pStyle w:val="21"/>
            <w:tabs>
              <w:tab w:val="right" w:leader="dot" w:pos="8829"/>
            </w:tabs>
            <w:spacing w:line="720" w:lineRule="auto"/>
            <w:rPr>
              <w:rFonts w:ascii="宋体" w:hAnsi="宋体" w:cs="宋体"/>
              <w:b w:val="0"/>
              <w:caps w:val="0"/>
              <w:sz w:val="24"/>
              <w:szCs w:val="24"/>
              <w:highlight w:val="none"/>
            </w:rPr>
            <w:sectPr>
              <w:headerReference r:id="rId9" w:type="default"/>
              <w:footerReference r:id="rId10" w:type="default"/>
              <w:footnotePr>
                <w:pos w:val="beneathText"/>
              </w:footnotePr>
              <w:pgSz w:w="11906" w:h="16838"/>
              <w:pgMar w:top="1491" w:right="1423" w:bottom="1219" w:left="1644" w:header="851" w:footer="992" w:gutter="0"/>
              <w:pgNumType w:start="1"/>
              <w:cols w:space="720" w:num="1"/>
              <w:docGrid w:linePitch="312" w:charSpace="0"/>
            </w:sectPr>
          </w:pPr>
          <w:r>
            <w:rPr>
              <w:rFonts w:ascii="宋体" w:hAnsi="宋体" w:cs="宋体"/>
              <w:caps w:val="0"/>
              <w:szCs w:val="24"/>
              <w:highlight w:val="none"/>
            </w:rPr>
            <w:fldChar w:fldCharType="end"/>
          </w:r>
        </w:p>
      </w:sdtContent>
    </w:sdt>
    <w:p>
      <w:pPr>
        <w:pStyle w:val="6"/>
        <w:spacing w:before="0" w:after="0" w:line="360" w:lineRule="auto"/>
        <w:jc w:val="center"/>
        <w:outlineLvl w:val="0"/>
        <w:rPr>
          <w:rFonts w:ascii="宋体" w:hAnsi="宋体" w:cs="宋体"/>
          <w:sz w:val="36"/>
          <w:highlight w:val="none"/>
        </w:rPr>
      </w:pPr>
      <w:bookmarkStart w:id="3" w:name="_Toc24389"/>
      <w:bookmarkStart w:id="4" w:name="_Toc727"/>
      <w:bookmarkStart w:id="5" w:name="_Toc7524467"/>
      <w:bookmarkStart w:id="6" w:name="_Toc20825"/>
      <w:bookmarkStart w:id="7" w:name="_Toc22601"/>
      <w:bookmarkStart w:id="8" w:name="_Toc7737"/>
      <w:bookmarkStart w:id="9" w:name="_Toc28260"/>
      <w:r>
        <w:rPr>
          <w:rFonts w:hint="eastAsia" w:ascii="宋体" w:hAnsi="宋体" w:cs="宋体"/>
          <w:sz w:val="36"/>
          <w:highlight w:val="none"/>
        </w:rPr>
        <w:t>第一部分</w:t>
      </w:r>
      <w:bookmarkEnd w:id="1"/>
      <w:r>
        <w:rPr>
          <w:rFonts w:hint="eastAsia" w:ascii="宋体" w:hAnsi="宋体" w:cs="宋体"/>
          <w:sz w:val="36"/>
          <w:highlight w:val="none"/>
        </w:rPr>
        <w:t xml:space="preserve">  采购公告</w:t>
      </w:r>
      <w:bookmarkEnd w:id="2"/>
      <w:bookmarkEnd w:id="3"/>
      <w:bookmarkEnd w:id="4"/>
      <w:bookmarkEnd w:id="5"/>
      <w:bookmarkEnd w:id="6"/>
      <w:bookmarkEnd w:id="7"/>
      <w:bookmarkEnd w:id="8"/>
      <w:bookmarkEnd w:id="9"/>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242" w:beforeAutospacing="0" w:after="120" w:afterAutospacing="0" w:line="360" w:lineRule="auto"/>
        <w:ind w:left="120" w:right="120" w:firstLine="592" w:firstLineChars="282"/>
        <w:jc w:val="left"/>
        <w:rPr>
          <w:rFonts w:hint="eastAsia" w:ascii="宋体" w:hAnsi="宋体" w:eastAsia="宋体" w:cs="宋体"/>
          <w:color w:val="auto"/>
          <w:sz w:val="21"/>
          <w:szCs w:val="21"/>
        </w:rPr>
      </w:pPr>
      <w:bookmarkStart w:id="10" w:name="_Toc28694"/>
      <w:bookmarkStart w:id="11" w:name="_Toc7524468"/>
      <w:bookmarkStart w:id="12" w:name="_Toc246928893"/>
      <w:bookmarkStart w:id="13" w:name="_Toc23402"/>
      <w:bookmarkStart w:id="14" w:name="_Toc17554"/>
      <w:r>
        <w:rPr>
          <w:rFonts w:hint="eastAsia" w:ascii="宋体" w:hAnsi="宋体" w:eastAsia="宋体" w:cs="宋体"/>
          <w:i w:val="0"/>
          <w:iCs w:val="0"/>
          <w:caps w:val="0"/>
          <w:color w:val="auto"/>
          <w:spacing w:val="0"/>
          <w:sz w:val="21"/>
          <w:szCs w:val="21"/>
          <w:shd w:val="clear" w:fill="FFFFFF"/>
          <w:lang w:val="zh-CN" w:eastAsia="zh-CN"/>
        </w:rPr>
        <w:t>泾康园党群服务中心装修施工项目</w:t>
      </w:r>
      <w:r>
        <w:rPr>
          <w:rFonts w:hint="eastAsia" w:ascii="宋体" w:hAnsi="宋体" w:eastAsia="宋体" w:cs="宋体"/>
          <w:i w:val="0"/>
          <w:iCs w:val="0"/>
          <w:caps w:val="0"/>
          <w:color w:val="auto"/>
          <w:spacing w:val="0"/>
          <w:sz w:val="21"/>
          <w:szCs w:val="21"/>
          <w:shd w:val="clear" w:fill="FFFFFF"/>
        </w:rPr>
        <w:t>的潜在供应商应在西安市未央区凤城四路世融国际中心805获取采购文件</w:t>
      </w:r>
      <w:r>
        <w:rPr>
          <w:rFonts w:hint="eastAsia" w:ascii="宋体" w:hAnsi="宋体" w:eastAsia="宋体" w:cs="宋体"/>
          <w:i w:val="0"/>
          <w:iCs w:val="0"/>
          <w:caps w:val="0"/>
          <w:color w:val="auto"/>
          <w:spacing w:val="0"/>
          <w:sz w:val="21"/>
          <w:szCs w:val="21"/>
          <w:highlight w:val="none"/>
          <w:shd w:val="clear" w:fill="FFFFFF"/>
        </w:rPr>
        <w:t>，并于2022年05月</w:t>
      </w:r>
      <w:r>
        <w:rPr>
          <w:rFonts w:hint="eastAsia" w:cs="宋体"/>
          <w:i w:val="0"/>
          <w:iCs w:val="0"/>
          <w:caps w:val="0"/>
          <w:color w:val="auto"/>
          <w:spacing w:val="0"/>
          <w:sz w:val="21"/>
          <w:szCs w:val="21"/>
          <w:highlight w:val="none"/>
          <w:shd w:val="clear" w:fill="FFFFFF"/>
          <w:lang w:val="en-US" w:eastAsia="zh-CN"/>
        </w:rPr>
        <w:t>10</w:t>
      </w:r>
      <w:r>
        <w:rPr>
          <w:rFonts w:hint="eastAsia" w:ascii="宋体" w:hAnsi="宋体" w:eastAsia="宋体" w:cs="宋体"/>
          <w:i w:val="0"/>
          <w:iCs w:val="0"/>
          <w:caps w:val="0"/>
          <w:color w:val="auto"/>
          <w:spacing w:val="0"/>
          <w:sz w:val="21"/>
          <w:szCs w:val="21"/>
          <w:highlight w:val="none"/>
          <w:shd w:val="clear" w:fill="FFFFFF"/>
        </w:rPr>
        <w:t>日14时00分（北京</w:t>
      </w:r>
      <w:r>
        <w:rPr>
          <w:rFonts w:hint="eastAsia" w:ascii="宋体" w:hAnsi="宋体" w:eastAsia="宋体" w:cs="宋体"/>
          <w:i w:val="0"/>
          <w:iCs w:val="0"/>
          <w:caps w:val="0"/>
          <w:color w:val="auto"/>
          <w:spacing w:val="0"/>
          <w:sz w:val="21"/>
          <w:szCs w:val="21"/>
          <w:shd w:val="clear" w:fill="FFFFFF"/>
        </w:rPr>
        <w:t>时间）前提交响应文件。</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242" w:beforeAutospacing="0" w:after="0" w:afterAutospacing="0" w:line="360" w:lineRule="auto"/>
        <w:ind w:left="120" w:right="120"/>
        <w:jc w:val="left"/>
        <w:rPr>
          <w:rFonts w:hint="eastAsia" w:ascii="宋体" w:hAnsi="宋体" w:eastAsia="宋体" w:cs="宋体"/>
          <w:b w:val="0"/>
          <w:bCs w:val="0"/>
          <w:color w:val="auto"/>
          <w:sz w:val="21"/>
          <w:szCs w:val="21"/>
        </w:rPr>
      </w:pPr>
      <w:r>
        <w:rPr>
          <w:rStyle w:val="31"/>
          <w:rFonts w:hint="eastAsia" w:ascii="宋体" w:hAnsi="宋体" w:eastAsia="宋体" w:cs="宋体"/>
          <w:b/>
          <w:bCs/>
          <w:i w:val="0"/>
          <w:iCs w:val="0"/>
          <w:caps w:val="0"/>
          <w:color w:val="auto"/>
          <w:spacing w:val="0"/>
          <w:sz w:val="21"/>
          <w:szCs w:val="21"/>
          <w:shd w:val="clear" w:fill="FFFFFF"/>
        </w:rPr>
        <w:t>一、项目基本情况</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360" w:lineRule="auto"/>
        <w:ind w:left="120" w:right="120" w:firstLine="384"/>
        <w:jc w:val="left"/>
        <w:rPr>
          <w:rFonts w:hint="default" w:ascii="宋体" w:hAnsi="宋体" w:eastAsia="宋体" w:cs="宋体"/>
          <w:color w:val="auto"/>
          <w:sz w:val="21"/>
          <w:szCs w:val="21"/>
          <w:lang w:val="en-US" w:eastAsia="zh-CN"/>
        </w:rPr>
      </w:pPr>
      <w:r>
        <w:rPr>
          <w:rFonts w:hint="eastAsia" w:ascii="宋体" w:hAnsi="宋体" w:eastAsia="宋体" w:cs="宋体"/>
          <w:i w:val="0"/>
          <w:iCs w:val="0"/>
          <w:caps w:val="0"/>
          <w:color w:val="auto"/>
          <w:spacing w:val="0"/>
          <w:sz w:val="21"/>
          <w:szCs w:val="21"/>
          <w:shd w:val="clear" w:fill="FFFFFF"/>
        </w:rPr>
        <w:t>项目编号：SXDC2022-ZB-</w:t>
      </w:r>
      <w:r>
        <w:rPr>
          <w:rFonts w:hint="eastAsia" w:cs="宋体"/>
          <w:i w:val="0"/>
          <w:iCs w:val="0"/>
          <w:caps w:val="0"/>
          <w:color w:val="auto"/>
          <w:spacing w:val="0"/>
          <w:sz w:val="21"/>
          <w:szCs w:val="21"/>
          <w:shd w:val="clear" w:fill="FFFFFF"/>
          <w:lang w:val="en-US" w:eastAsia="zh-CN"/>
        </w:rPr>
        <w:t>51</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360" w:lineRule="auto"/>
        <w:ind w:left="120" w:right="120" w:firstLine="384"/>
        <w:jc w:val="left"/>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项目名称：</w:t>
      </w:r>
      <w:r>
        <w:rPr>
          <w:rFonts w:hint="eastAsia" w:ascii="宋体" w:hAnsi="宋体" w:eastAsia="宋体" w:cs="宋体"/>
          <w:i w:val="0"/>
          <w:iCs w:val="0"/>
          <w:caps w:val="0"/>
          <w:color w:val="auto"/>
          <w:spacing w:val="0"/>
          <w:sz w:val="21"/>
          <w:szCs w:val="21"/>
          <w:shd w:val="clear" w:fill="FFFFFF"/>
          <w:lang w:val="zh-CN" w:eastAsia="zh-CN"/>
        </w:rPr>
        <w:t>泾康园党群服务中心装修施工项目</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360" w:lineRule="auto"/>
        <w:ind w:left="120" w:right="120" w:firstLine="384"/>
        <w:jc w:val="left"/>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采购方式：竞争性磋商</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360" w:lineRule="auto"/>
        <w:ind w:left="120" w:right="120" w:firstLine="384"/>
        <w:jc w:val="left"/>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预算金额：</w:t>
      </w:r>
      <w:r>
        <w:rPr>
          <w:rFonts w:hint="eastAsia" w:cs="宋体"/>
          <w:i w:val="0"/>
          <w:iCs w:val="0"/>
          <w:caps w:val="0"/>
          <w:color w:val="auto"/>
          <w:spacing w:val="0"/>
          <w:sz w:val="21"/>
          <w:szCs w:val="21"/>
          <w:shd w:val="clear" w:fill="FFFFFF"/>
          <w:lang w:val="en-US" w:eastAsia="zh-CN"/>
        </w:rPr>
        <w:t>1019600.00</w:t>
      </w:r>
      <w:r>
        <w:rPr>
          <w:rFonts w:hint="eastAsia" w:ascii="宋体" w:hAnsi="宋体" w:eastAsia="宋体" w:cs="宋体"/>
          <w:i w:val="0"/>
          <w:iCs w:val="0"/>
          <w:caps w:val="0"/>
          <w:color w:val="auto"/>
          <w:spacing w:val="0"/>
          <w:sz w:val="21"/>
          <w:szCs w:val="21"/>
          <w:shd w:val="clear" w:fill="FFFFFF"/>
        </w:rPr>
        <w:t>元</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360" w:lineRule="auto"/>
        <w:ind w:left="120" w:right="120" w:firstLine="384"/>
        <w:jc w:val="left"/>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采购需求：</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120" w:right="120" w:firstLine="384"/>
        <w:jc w:val="left"/>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合同包1(</w:t>
      </w:r>
      <w:r>
        <w:rPr>
          <w:rFonts w:hint="eastAsia" w:ascii="宋体" w:hAnsi="宋体" w:eastAsia="宋体" w:cs="宋体"/>
          <w:i w:val="0"/>
          <w:iCs w:val="0"/>
          <w:caps w:val="0"/>
          <w:color w:val="auto"/>
          <w:spacing w:val="0"/>
          <w:sz w:val="21"/>
          <w:szCs w:val="21"/>
          <w:shd w:val="clear" w:fill="FFFFFF"/>
          <w:lang w:val="zh-CN" w:eastAsia="zh-CN"/>
        </w:rPr>
        <w:t>泾康园党群服务中心装修施工项目</w:t>
      </w:r>
      <w:r>
        <w:rPr>
          <w:rFonts w:hint="eastAsia" w:ascii="宋体" w:hAnsi="宋体" w:eastAsia="宋体" w:cs="宋体"/>
          <w:i w:val="0"/>
          <w:iCs w:val="0"/>
          <w:caps w:val="0"/>
          <w:color w:val="auto"/>
          <w:spacing w:val="0"/>
          <w:sz w:val="21"/>
          <w:szCs w:val="21"/>
          <w:shd w:val="clear" w:fill="FFFFFF"/>
        </w:rPr>
        <w:t>):</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120" w:right="120" w:firstLine="384"/>
        <w:jc w:val="left"/>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合同包预算金额：</w:t>
      </w:r>
      <w:r>
        <w:rPr>
          <w:rFonts w:hint="eastAsia" w:cs="宋体"/>
          <w:i w:val="0"/>
          <w:iCs w:val="0"/>
          <w:caps w:val="0"/>
          <w:color w:val="auto"/>
          <w:spacing w:val="0"/>
          <w:sz w:val="21"/>
          <w:szCs w:val="21"/>
          <w:shd w:val="clear" w:fill="FFFFFF"/>
          <w:lang w:val="en-US" w:eastAsia="zh-CN"/>
        </w:rPr>
        <w:t>1019600.00</w:t>
      </w:r>
      <w:r>
        <w:rPr>
          <w:rFonts w:hint="eastAsia" w:ascii="宋体" w:hAnsi="宋体" w:eastAsia="宋体" w:cs="宋体"/>
          <w:i w:val="0"/>
          <w:iCs w:val="0"/>
          <w:caps w:val="0"/>
          <w:color w:val="auto"/>
          <w:spacing w:val="0"/>
          <w:sz w:val="21"/>
          <w:szCs w:val="21"/>
          <w:shd w:val="clear" w:fill="FFFFFF"/>
        </w:rPr>
        <w:t>元</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360" w:lineRule="auto"/>
        <w:ind w:right="12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shd w:val="clear" w:fill="FFFFFF"/>
        </w:rPr>
        <w:t>合同包最高限价：</w:t>
      </w:r>
      <w:r>
        <w:rPr>
          <w:rFonts w:hint="eastAsia" w:ascii="宋体" w:hAnsi="宋体" w:eastAsia="宋体" w:cs="宋体"/>
          <w:i w:val="0"/>
          <w:iCs w:val="0"/>
          <w:caps w:val="0"/>
          <w:color w:val="auto"/>
          <w:spacing w:val="0"/>
          <w:sz w:val="21"/>
          <w:szCs w:val="21"/>
          <w:highlight w:val="none"/>
          <w:shd w:val="clear" w:fill="FFFFFF"/>
          <w:lang w:val="en-US" w:eastAsia="zh-CN"/>
        </w:rPr>
        <w:t>1019600.00</w:t>
      </w:r>
      <w:r>
        <w:rPr>
          <w:rFonts w:hint="eastAsia" w:ascii="宋体" w:hAnsi="宋体" w:eastAsia="宋体" w:cs="宋体"/>
          <w:i w:val="0"/>
          <w:iCs w:val="0"/>
          <w:caps w:val="0"/>
          <w:color w:val="auto"/>
          <w:spacing w:val="0"/>
          <w:sz w:val="21"/>
          <w:szCs w:val="21"/>
          <w:highlight w:val="none"/>
          <w:shd w:val="clear" w:fill="FFFFFF"/>
        </w:rPr>
        <w:t>元</w:t>
      </w:r>
    </w:p>
    <w:tbl>
      <w:tblPr>
        <w:tblStyle w:val="28"/>
        <w:tblpPr w:leftFromText="180" w:rightFromText="180" w:vertAnchor="text" w:horzAnchor="page" w:tblpX="1565" w:tblpY="410"/>
        <w:tblOverlap w:val="never"/>
        <w:tblW w:w="9033"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83"/>
        <w:gridCol w:w="1167"/>
        <w:gridCol w:w="1283"/>
        <w:gridCol w:w="1235"/>
        <w:gridCol w:w="1587"/>
        <w:gridCol w:w="1415"/>
        <w:gridCol w:w="146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020" w:hRule="atLeast"/>
          <w:tblHeader/>
        </w:trPr>
        <w:tc>
          <w:tcPr>
            <w:tcW w:w="883"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品目号</w:t>
            </w:r>
          </w:p>
        </w:tc>
        <w:tc>
          <w:tcPr>
            <w:tcW w:w="1167"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品目名称</w:t>
            </w:r>
          </w:p>
        </w:tc>
        <w:tc>
          <w:tcPr>
            <w:tcW w:w="1283"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采购标的</w:t>
            </w:r>
          </w:p>
        </w:tc>
        <w:tc>
          <w:tcPr>
            <w:tcW w:w="1235"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数量（单位）</w:t>
            </w:r>
          </w:p>
        </w:tc>
        <w:tc>
          <w:tcPr>
            <w:tcW w:w="1587"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技术规格、参数及要求</w:t>
            </w:r>
          </w:p>
        </w:tc>
        <w:tc>
          <w:tcPr>
            <w:tcW w:w="1415"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品目预算(元)</w:t>
            </w:r>
          </w:p>
        </w:tc>
        <w:tc>
          <w:tcPr>
            <w:tcW w:w="1463"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364" w:hRule="atLeast"/>
        </w:trPr>
        <w:tc>
          <w:tcPr>
            <w:tcW w:w="883"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1-1</w:t>
            </w:r>
          </w:p>
        </w:tc>
        <w:tc>
          <w:tcPr>
            <w:tcW w:w="1167"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cs="宋体"/>
                <w:color w:val="auto"/>
                <w:kern w:val="0"/>
                <w:sz w:val="21"/>
                <w:szCs w:val="21"/>
                <w:highlight w:val="none"/>
                <w:lang w:val="en-US" w:eastAsia="zh-CN" w:bidi="ar"/>
              </w:rPr>
              <w:t>装修工程</w:t>
            </w:r>
          </w:p>
        </w:tc>
        <w:tc>
          <w:tcPr>
            <w:tcW w:w="1283"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1019600.00</w:t>
            </w:r>
          </w:p>
        </w:tc>
        <w:tc>
          <w:tcPr>
            <w:tcW w:w="1235"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1(项)</w:t>
            </w:r>
          </w:p>
        </w:tc>
        <w:tc>
          <w:tcPr>
            <w:tcW w:w="1587"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详见采购文件</w:t>
            </w:r>
          </w:p>
        </w:tc>
        <w:tc>
          <w:tcPr>
            <w:tcW w:w="1415"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1019600.00</w:t>
            </w:r>
          </w:p>
        </w:tc>
        <w:tc>
          <w:tcPr>
            <w:tcW w:w="1463"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1019600.00</w:t>
            </w:r>
          </w:p>
        </w:tc>
      </w:tr>
    </w:tbl>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360" w:lineRule="auto"/>
        <w:ind w:left="120" w:right="120" w:firstLine="504"/>
        <w:jc w:val="left"/>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本合同包不接受联合体投标</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360" w:lineRule="auto"/>
        <w:ind w:left="120" w:right="120" w:firstLine="504"/>
        <w:jc w:val="left"/>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shd w:val="clear" w:fill="FFFFFF"/>
        </w:rPr>
        <w:t>合同履行期限：2022-05-</w:t>
      </w:r>
      <w:r>
        <w:rPr>
          <w:rFonts w:hint="eastAsia" w:cs="宋体"/>
          <w:i w:val="0"/>
          <w:iCs w:val="0"/>
          <w:caps w:val="0"/>
          <w:color w:val="auto"/>
          <w:spacing w:val="0"/>
          <w:sz w:val="21"/>
          <w:szCs w:val="21"/>
          <w:highlight w:val="none"/>
          <w:shd w:val="clear" w:fill="FFFFFF"/>
          <w:lang w:val="en-US" w:eastAsia="zh-CN"/>
        </w:rPr>
        <w:t>20</w:t>
      </w:r>
      <w:r>
        <w:rPr>
          <w:rFonts w:hint="eastAsia" w:ascii="宋体" w:hAnsi="宋体" w:eastAsia="宋体" w:cs="宋体"/>
          <w:i w:val="0"/>
          <w:iCs w:val="0"/>
          <w:caps w:val="0"/>
          <w:color w:val="auto"/>
          <w:spacing w:val="0"/>
          <w:sz w:val="21"/>
          <w:szCs w:val="21"/>
          <w:highlight w:val="none"/>
          <w:shd w:val="clear" w:fill="FFFFFF"/>
        </w:rPr>
        <w:t xml:space="preserve"> 08:00:00 至 2022-06 -</w:t>
      </w:r>
      <w:r>
        <w:rPr>
          <w:rFonts w:hint="eastAsia" w:cs="宋体"/>
          <w:i w:val="0"/>
          <w:iCs w:val="0"/>
          <w:caps w:val="0"/>
          <w:color w:val="auto"/>
          <w:spacing w:val="0"/>
          <w:sz w:val="21"/>
          <w:szCs w:val="21"/>
          <w:highlight w:val="none"/>
          <w:shd w:val="clear" w:fill="FFFFFF"/>
          <w:lang w:val="en-US" w:eastAsia="zh-CN"/>
        </w:rPr>
        <w:t>13</w:t>
      </w:r>
      <w:r>
        <w:rPr>
          <w:rFonts w:hint="eastAsia" w:ascii="宋体" w:hAnsi="宋体" w:eastAsia="宋体" w:cs="宋体"/>
          <w:i w:val="0"/>
          <w:iCs w:val="0"/>
          <w:caps w:val="0"/>
          <w:color w:val="auto"/>
          <w:spacing w:val="0"/>
          <w:sz w:val="21"/>
          <w:szCs w:val="21"/>
          <w:highlight w:val="none"/>
          <w:shd w:val="clear" w:fill="FFFFFF"/>
        </w:rPr>
        <w:t xml:space="preserve"> 18:00:00（具体服务起止日期可随合同签订时间相应顺延）</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242" w:beforeAutospacing="0" w:after="0" w:afterAutospacing="0" w:line="360" w:lineRule="auto"/>
        <w:ind w:left="120" w:right="120"/>
        <w:jc w:val="left"/>
        <w:rPr>
          <w:rFonts w:hint="eastAsia" w:ascii="宋体" w:hAnsi="宋体" w:eastAsia="宋体" w:cs="宋体"/>
          <w:b w:val="0"/>
          <w:bCs w:val="0"/>
          <w:color w:val="auto"/>
          <w:sz w:val="21"/>
          <w:szCs w:val="21"/>
        </w:rPr>
      </w:pPr>
      <w:r>
        <w:rPr>
          <w:rStyle w:val="31"/>
          <w:rFonts w:hint="eastAsia" w:ascii="宋体" w:hAnsi="宋体" w:eastAsia="宋体" w:cs="宋体"/>
          <w:b/>
          <w:bCs/>
          <w:i w:val="0"/>
          <w:iCs w:val="0"/>
          <w:caps w:val="0"/>
          <w:color w:val="auto"/>
          <w:spacing w:val="0"/>
          <w:sz w:val="21"/>
          <w:szCs w:val="21"/>
          <w:shd w:val="clear" w:fill="FFFFFF"/>
        </w:rPr>
        <w:t>二、申请人的资格要求：</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360" w:lineRule="auto"/>
        <w:ind w:left="120" w:right="120" w:firstLine="384"/>
        <w:jc w:val="left"/>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1.满足《中华人民共和国政府采购法》第二十二条规定;</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360" w:lineRule="auto"/>
        <w:ind w:left="120" w:right="120" w:firstLine="384"/>
        <w:jc w:val="left"/>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2.落实政府采购政策需满足的资格要求：</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360" w:lineRule="auto"/>
        <w:ind w:left="120" w:right="120" w:firstLine="384"/>
        <w:jc w:val="left"/>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合同包1(</w:t>
      </w:r>
      <w:r>
        <w:rPr>
          <w:rFonts w:hint="eastAsia" w:ascii="宋体" w:hAnsi="宋体" w:eastAsia="宋体" w:cs="宋体"/>
          <w:i w:val="0"/>
          <w:iCs w:val="0"/>
          <w:caps w:val="0"/>
          <w:color w:val="auto"/>
          <w:spacing w:val="0"/>
          <w:sz w:val="21"/>
          <w:szCs w:val="21"/>
          <w:shd w:val="clear" w:fill="FFFFFF"/>
          <w:lang w:val="zh-CN" w:eastAsia="zh-CN"/>
        </w:rPr>
        <w:t>泾康园党群服务中心装修施工项目</w:t>
      </w:r>
      <w:r>
        <w:rPr>
          <w:rFonts w:hint="eastAsia" w:ascii="宋体" w:hAnsi="宋体" w:eastAsia="宋体" w:cs="宋体"/>
          <w:i w:val="0"/>
          <w:iCs w:val="0"/>
          <w:caps w:val="0"/>
          <w:color w:val="auto"/>
          <w:spacing w:val="0"/>
          <w:sz w:val="21"/>
          <w:szCs w:val="21"/>
          <w:shd w:val="clear" w:fill="FFFFFF"/>
        </w:rPr>
        <w:t>)落实政府采购政策需满足的资格要求如下:</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506" w:right="120" w:firstLine="0"/>
        <w:jc w:val="left"/>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1）《财政部国家发展改革委关于印发〈节能产品政府采购实施意见〉的通知》（财库〔2004〕185号）；（2）《国务院办公厅关于建立政府强制采购节能产品制度的通知》（国办发〔2007〕51号）；（3）《关于环境标志产品政府采购实施的意见》（财库〔2006〕90号）；（4）《关于印发〈政府采购促进中小企业发展管理办法〉的通知》（财库〔2020〕46号）；（5）《财政部司法部关于政府采购支持监狱企业发展有关问题的通知》（财库〔2014〕68号）；（6）《关于促进残疾人就业政府采购政策的通知》（财库〔2017〕141号）；（7）《财政部发展改革委生态环境部市场监管总局关于调整优化节能产品、环境标志产品政府采购执行机制的通知》（财库〔2019〕9号）；（8）《关于运用政府采购政策支持脱贫攻坚的通知》（财库〔2019〕27号）；（9）《陕西省中小企业政府采购信用融资办法》（陕财办采〔2018〕23号）。</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360" w:lineRule="auto"/>
        <w:ind w:left="120" w:right="120" w:firstLine="384"/>
        <w:jc w:val="left"/>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3.本项目的特定资格要求：</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360" w:lineRule="auto"/>
        <w:ind w:left="120" w:right="120" w:firstLine="384"/>
        <w:jc w:val="left"/>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合同包1(</w:t>
      </w:r>
      <w:r>
        <w:rPr>
          <w:rFonts w:hint="eastAsia" w:ascii="宋体" w:hAnsi="宋体" w:eastAsia="宋体" w:cs="宋体"/>
          <w:i w:val="0"/>
          <w:iCs w:val="0"/>
          <w:caps w:val="0"/>
          <w:color w:val="auto"/>
          <w:spacing w:val="0"/>
          <w:sz w:val="21"/>
          <w:szCs w:val="21"/>
          <w:shd w:val="clear" w:fill="FFFFFF"/>
          <w:lang w:val="zh-CN" w:eastAsia="zh-CN"/>
        </w:rPr>
        <w:t>泾康园党群服务中心装修施工项目</w:t>
      </w:r>
      <w:r>
        <w:rPr>
          <w:rFonts w:hint="eastAsia" w:ascii="宋体" w:hAnsi="宋体" w:eastAsia="宋体" w:cs="宋体"/>
          <w:i w:val="0"/>
          <w:iCs w:val="0"/>
          <w:caps w:val="0"/>
          <w:color w:val="auto"/>
          <w:spacing w:val="0"/>
          <w:sz w:val="21"/>
          <w:szCs w:val="21"/>
          <w:shd w:val="clear" w:fill="FFFFFF"/>
        </w:rPr>
        <w:t>)特定资格要求如下:</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506" w:right="120" w:firstLine="0"/>
        <w:jc w:val="left"/>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1、供应商具有合格有效的企业法人营业执照、税务登记证、组织机构代码证（或三证合一营业执照）；2、供应商应授权合法的人员参加磋商全过程，其中法定代表人直接参加磋商的，须出具法人身份证，并与营业执照上信息一致。法定代表人授权代表参加磋商的，须出具法定代表人授权书及授权代表身份证；3、供应商须具备建设行政主管部门颁发的建筑工程施工总承包三级及以上资质；且具备合格有效的安全生产许可证；4、拟派项目经理具备建筑工程二级及以上注册建造师证及安全生产考核合格证（建安B证）及无在建工程承诺书（复印件加盖公章）；5、税收缴纳证明：提供供应商2021年1月至今已缴纳任意一个月完税凭证或税务机关开具的完税证明（任意税种）；依法免税的应提供相关文件证明；6、社会保障资金缴纳证明：提供供应商2021年1月至今已缴存的任意一个月的社会保障资金缴存证明或社保机构开具的社会保险参保缴费情况证明；依法不需要缴纳社会保障资金的应提供相关文件证明；7、财务状况报告：提供供应商2020年或2021年任一年经审计的财务报告，或开标前三个月内开户银行开具的资信证明；8、供应商负责人为同一人或者存在控股、管理关系的不同单位，不得参加同一项目的投标；9、出具参加本次政府采购活动前三年内在经营活动中没有重大违法记录的书面声明；10、供应商不得为“信用中国”网站（www.creditchina.gov.cn）、“中国执行信息公开网站”（http://zxgk.court.gov.cn/shixin/）和中国政府采购网（www.ccgp.gov.cn）中被列为重大税收违法案件当事人名单、失信被执行人、政府采购严重违法失信行为记录名单的单位。11、本项目不接受联合体磋商。</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242" w:beforeAutospacing="0" w:after="0" w:afterAutospacing="0" w:line="360" w:lineRule="auto"/>
        <w:ind w:left="120" w:right="120"/>
        <w:jc w:val="left"/>
        <w:rPr>
          <w:rFonts w:hint="eastAsia" w:ascii="宋体" w:hAnsi="宋体" w:eastAsia="宋体" w:cs="宋体"/>
          <w:b w:val="0"/>
          <w:bCs w:val="0"/>
          <w:color w:val="auto"/>
          <w:sz w:val="21"/>
          <w:szCs w:val="21"/>
        </w:rPr>
      </w:pPr>
      <w:r>
        <w:rPr>
          <w:rStyle w:val="31"/>
          <w:rFonts w:hint="eastAsia" w:ascii="宋体" w:hAnsi="宋体" w:eastAsia="宋体" w:cs="宋体"/>
          <w:b/>
          <w:bCs/>
          <w:i w:val="0"/>
          <w:iCs w:val="0"/>
          <w:caps w:val="0"/>
          <w:color w:val="auto"/>
          <w:spacing w:val="0"/>
          <w:sz w:val="21"/>
          <w:szCs w:val="21"/>
          <w:shd w:val="clear" w:fill="FFFFFF"/>
        </w:rPr>
        <w:t>三、获取采购文件</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360" w:lineRule="auto"/>
        <w:ind w:left="120" w:right="120" w:firstLine="384"/>
        <w:jc w:val="left"/>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shd w:val="clear" w:fill="FFFFFF"/>
        </w:rPr>
        <w:t>时间：2022年04月</w:t>
      </w:r>
      <w:r>
        <w:rPr>
          <w:rFonts w:hint="eastAsia" w:cs="宋体"/>
          <w:i w:val="0"/>
          <w:iCs w:val="0"/>
          <w:caps w:val="0"/>
          <w:color w:val="auto"/>
          <w:spacing w:val="0"/>
          <w:sz w:val="21"/>
          <w:szCs w:val="21"/>
          <w:highlight w:val="none"/>
          <w:shd w:val="clear" w:fill="FFFFFF"/>
          <w:lang w:val="en-US" w:eastAsia="zh-CN"/>
        </w:rPr>
        <w:t>25</w:t>
      </w:r>
      <w:r>
        <w:rPr>
          <w:rFonts w:hint="eastAsia" w:ascii="宋体" w:hAnsi="宋体" w:eastAsia="宋体" w:cs="宋体"/>
          <w:i w:val="0"/>
          <w:iCs w:val="0"/>
          <w:caps w:val="0"/>
          <w:color w:val="auto"/>
          <w:spacing w:val="0"/>
          <w:sz w:val="21"/>
          <w:szCs w:val="21"/>
          <w:highlight w:val="none"/>
          <w:shd w:val="clear" w:fill="FFFFFF"/>
        </w:rPr>
        <w:t>日至2022年0</w:t>
      </w:r>
      <w:r>
        <w:rPr>
          <w:rFonts w:hint="eastAsia" w:cs="宋体"/>
          <w:i w:val="0"/>
          <w:iCs w:val="0"/>
          <w:caps w:val="0"/>
          <w:color w:val="auto"/>
          <w:spacing w:val="0"/>
          <w:sz w:val="21"/>
          <w:szCs w:val="21"/>
          <w:highlight w:val="none"/>
          <w:shd w:val="clear" w:fill="FFFFFF"/>
          <w:lang w:val="en-US" w:eastAsia="zh-CN"/>
        </w:rPr>
        <w:t>5</w:t>
      </w:r>
      <w:r>
        <w:rPr>
          <w:rFonts w:hint="eastAsia" w:ascii="宋体" w:hAnsi="宋体" w:eastAsia="宋体" w:cs="宋体"/>
          <w:i w:val="0"/>
          <w:iCs w:val="0"/>
          <w:caps w:val="0"/>
          <w:color w:val="auto"/>
          <w:spacing w:val="0"/>
          <w:sz w:val="21"/>
          <w:szCs w:val="21"/>
          <w:highlight w:val="none"/>
          <w:shd w:val="clear" w:fill="FFFFFF"/>
        </w:rPr>
        <w:t>月</w:t>
      </w:r>
      <w:r>
        <w:rPr>
          <w:rFonts w:hint="eastAsia" w:cs="宋体"/>
          <w:i w:val="0"/>
          <w:iCs w:val="0"/>
          <w:caps w:val="0"/>
          <w:color w:val="auto"/>
          <w:spacing w:val="0"/>
          <w:sz w:val="21"/>
          <w:szCs w:val="21"/>
          <w:highlight w:val="none"/>
          <w:shd w:val="clear" w:fill="FFFFFF"/>
          <w:lang w:val="en-US" w:eastAsia="zh-CN"/>
        </w:rPr>
        <w:t>05</w:t>
      </w:r>
      <w:r>
        <w:rPr>
          <w:rFonts w:hint="eastAsia" w:ascii="宋体" w:hAnsi="宋体" w:eastAsia="宋体" w:cs="宋体"/>
          <w:i w:val="0"/>
          <w:iCs w:val="0"/>
          <w:caps w:val="0"/>
          <w:color w:val="auto"/>
          <w:spacing w:val="0"/>
          <w:sz w:val="21"/>
          <w:szCs w:val="21"/>
          <w:highlight w:val="none"/>
          <w:shd w:val="clear" w:fill="FFFFFF"/>
        </w:rPr>
        <w:t>日，每天上午09:00:00至12:00:00，下午1</w:t>
      </w:r>
      <w:r>
        <w:rPr>
          <w:rFonts w:hint="eastAsia" w:cs="宋体"/>
          <w:i w:val="0"/>
          <w:iCs w:val="0"/>
          <w:caps w:val="0"/>
          <w:color w:val="auto"/>
          <w:spacing w:val="0"/>
          <w:sz w:val="21"/>
          <w:szCs w:val="21"/>
          <w:highlight w:val="none"/>
          <w:shd w:val="clear" w:fill="FFFFFF"/>
          <w:lang w:val="en-US" w:eastAsia="zh-CN"/>
        </w:rPr>
        <w:t>4</w:t>
      </w:r>
      <w:r>
        <w:rPr>
          <w:rFonts w:hint="eastAsia" w:ascii="宋体" w:hAnsi="宋体" w:eastAsia="宋体" w:cs="宋体"/>
          <w:i w:val="0"/>
          <w:iCs w:val="0"/>
          <w:caps w:val="0"/>
          <w:color w:val="auto"/>
          <w:spacing w:val="0"/>
          <w:sz w:val="21"/>
          <w:szCs w:val="21"/>
          <w:highlight w:val="none"/>
          <w:shd w:val="clear" w:fill="FFFFFF"/>
        </w:rPr>
        <w:t>:00:00至17:00:00（北京时间,法定节假日除外）</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360" w:lineRule="auto"/>
        <w:ind w:left="120" w:right="120" w:firstLine="384"/>
        <w:jc w:val="left"/>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shd w:val="clear" w:fill="FFFFFF"/>
        </w:rPr>
        <w:t>地点：西安市未央区凤城四路世融国际中心805</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360" w:lineRule="auto"/>
        <w:ind w:left="120" w:right="120" w:firstLine="384"/>
        <w:jc w:val="left"/>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shd w:val="clear" w:fill="FFFFFF"/>
        </w:rPr>
        <w:t>方式：现场获取</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360" w:lineRule="auto"/>
        <w:ind w:left="120" w:right="120" w:firstLine="384"/>
        <w:jc w:val="left"/>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shd w:val="clear" w:fill="FFFFFF"/>
        </w:rPr>
        <w:t>售价：免费获取</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242" w:beforeAutospacing="0" w:after="0" w:afterAutospacing="0" w:line="360" w:lineRule="auto"/>
        <w:ind w:left="120" w:right="120"/>
        <w:jc w:val="left"/>
        <w:rPr>
          <w:rFonts w:hint="eastAsia" w:ascii="宋体" w:hAnsi="宋体" w:eastAsia="宋体" w:cs="宋体"/>
          <w:b w:val="0"/>
          <w:bCs w:val="0"/>
          <w:color w:val="auto"/>
          <w:sz w:val="21"/>
          <w:szCs w:val="21"/>
          <w:highlight w:val="none"/>
        </w:rPr>
      </w:pPr>
      <w:r>
        <w:rPr>
          <w:rStyle w:val="31"/>
          <w:rFonts w:hint="eastAsia" w:ascii="宋体" w:hAnsi="宋体" w:eastAsia="宋体" w:cs="宋体"/>
          <w:b/>
          <w:bCs/>
          <w:i w:val="0"/>
          <w:iCs w:val="0"/>
          <w:caps w:val="0"/>
          <w:color w:val="auto"/>
          <w:spacing w:val="0"/>
          <w:sz w:val="21"/>
          <w:szCs w:val="21"/>
          <w:highlight w:val="none"/>
          <w:shd w:val="clear" w:fill="FFFFFF"/>
        </w:rPr>
        <w:t>四、响应文件提交</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360" w:lineRule="auto"/>
        <w:ind w:left="120" w:right="120" w:firstLine="384"/>
        <w:jc w:val="left"/>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shd w:val="clear" w:fill="FFFFFF"/>
        </w:rPr>
        <w:t>截止时间：2022年05月</w:t>
      </w:r>
      <w:r>
        <w:rPr>
          <w:rFonts w:hint="eastAsia" w:cs="宋体"/>
          <w:i w:val="0"/>
          <w:iCs w:val="0"/>
          <w:caps w:val="0"/>
          <w:color w:val="auto"/>
          <w:spacing w:val="0"/>
          <w:sz w:val="21"/>
          <w:szCs w:val="21"/>
          <w:highlight w:val="none"/>
          <w:shd w:val="clear" w:fill="FFFFFF"/>
          <w:lang w:val="en-US" w:eastAsia="zh-CN"/>
        </w:rPr>
        <w:t>10</w:t>
      </w:r>
      <w:r>
        <w:rPr>
          <w:rFonts w:hint="eastAsia" w:ascii="宋体" w:hAnsi="宋体" w:eastAsia="宋体" w:cs="宋体"/>
          <w:i w:val="0"/>
          <w:iCs w:val="0"/>
          <w:caps w:val="0"/>
          <w:color w:val="auto"/>
          <w:spacing w:val="0"/>
          <w:sz w:val="21"/>
          <w:szCs w:val="21"/>
          <w:highlight w:val="none"/>
          <w:shd w:val="clear" w:fill="FFFFFF"/>
        </w:rPr>
        <w:t>日14时00分00秒（北京时间）</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360" w:lineRule="auto"/>
        <w:ind w:left="120" w:right="120" w:firstLine="384"/>
        <w:jc w:val="left"/>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shd w:val="clear" w:fill="FFFFFF"/>
        </w:rPr>
        <w:t>地点：西安市未央区凤城四路世融国际中心805室</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242" w:beforeAutospacing="0" w:after="0" w:afterAutospacing="0" w:line="360" w:lineRule="auto"/>
        <w:ind w:left="120" w:right="120"/>
        <w:jc w:val="left"/>
        <w:rPr>
          <w:rFonts w:hint="eastAsia" w:ascii="宋体" w:hAnsi="宋体" w:eastAsia="宋体" w:cs="宋体"/>
          <w:b w:val="0"/>
          <w:bCs w:val="0"/>
          <w:color w:val="auto"/>
          <w:sz w:val="21"/>
          <w:szCs w:val="21"/>
          <w:highlight w:val="none"/>
        </w:rPr>
      </w:pPr>
      <w:r>
        <w:rPr>
          <w:rStyle w:val="31"/>
          <w:rFonts w:hint="eastAsia" w:ascii="宋体" w:hAnsi="宋体" w:eastAsia="宋体" w:cs="宋体"/>
          <w:b/>
          <w:bCs/>
          <w:i w:val="0"/>
          <w:iCs w:val="0"/>
          <w:caps w:val="0"/>
          <w:color w:val="auto"/>
          <w:spacing w:val="0"/>
          <w:sz w:val="21"/>
          <w:szCs w:val="21"/>
          <w:highlight w:val="none"/>
          <w:shd w:val="clear" w:fill="FFFFFF"/>
        </w:rPr>
        <w:t>五、开启</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360" w:lineRule="auto"/>
        <w:ind w:left="120" w:right="120" w:firstLine="384"/>
        <w:jc w:val="left"/>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shd w:val="clear" w:fill="FFFFFF"/>
        </w:rPr>
        <w:t>时间：2022年05月</w:t>
      </w:r>
      <w:r>
        <w:rPr>
          <w:rFonts w:hint="eastAsia" w:cs="宋体"/>
          <w:i w:val="0"/>
          <w:iCs w:val="0"/>
          <w:caps w:val="0"/>
          <w:color w:val="auto"/>
          <w:spacing w:val="0"/>
          <w:sz w:val="21"/>
          <w:szCs w:val="21"/>
          <w:highlight w:val="none"/>
          <w:shd w:val="clear" w:fill="FFFFFF"/>
          <w:lang w:val="en-US" w:eastAsia="zh-CN"/>
        </w:rPr>
        <w:t>10</w:t>
      </w:r>
      <w:r>
        <w:rPr>
          <w:rFonts w:hint="eastAsia" w:ascii="宋体" w:hAnsi="宋体" w:eastAsia="宋体" w:cs="宋体"/>
          <w:i w:val="0"/>
          <w:iCs w:val="0"/>
          <w:caps w:val="0"/>
          <w:color w:val="auto"/>
          <w:spacing w:val="0"/>
          <w:sz w:val="21"/>
          <w:szCs w:val="21"/>
          <w:highlight w:val="none"/>
          <w:shd w:val="clear" w:fill="FFFFFF"/>
        </w:rPr>
        <w:t>日 14时00分00秒（北京时间）</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360" w:lineRule="auto"/>
        <w:ind w:left="120" w:right="120" w:firstLine="384"/>
        <w:jc w:val="left"/>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地点：西安市未央区凤城四路世融国际中心805室</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242" w:beforeAutospacing="0" w:after="0" w:afterAutospacing="0" w:line="360" w:lineRule="auto"/>
        <w:ind w:left="120" w:right="120"/>
        <w:jc w:val="left"/>
        <w:rPr>
          <w:rFonts w:hint="eastAsia" w:ascii="宋体" w:hAnsi="宋体" w:eastAsia="宋体" w:cs="宋体"/>
          <w:b w:val="0"/>
          <w:bCs w:val="0"/>
          <w:color w:val="auto"/>
          <w:sz w:val="21"/>
          <w:szCs w:val="21"/>
        </w:rPr>
      </w:pPr>
      <w:r>
        <w:rPr>
          <w:rStyle w:val="31"/>
          <w:rFonts w:hint="eastAsia" w:ascii="宋体" w:hAnsi="宋体" w:eastAsia="宋体" w:cs="宋体"/>
          <w:b/>
          <w:bCs/>
          <w:i w:val="0"/>
          <w:iCs w:val="0"/>
          <w:caps w:val="0"/>
          <w:color w:val="auto"/>
          <w:spacing w:val="0"/>
          <w:sz w:val="21"/>
          <w:szCs w:val="21"/>
          <w:shd w:val="clear" w:fill="FFFFFF"/>
        </w:rPr>
        <w:t>六、公告期限</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360" w:lineRule="auto"/>
        <w:ind w:left="120" w:right="120" w:firstLine="384"/>
        <w:jc w:val="left"/>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自本公告发布之日起3个工作日。</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242" w:beforeAutospacing="0" w:after="0" w:afterAutospacing="0" w:line="360" w:lineRule="auto"/>
        <w:ind w:left="120" w:right="120"/>
        <w:jc w:val="left"/>
        <w:rPr>
          <w:rFonts w:hint="eastAsia" w:ascii="宋体" w:hAnsi="宋体" w:eastAsia="宋体" w:cs="宋体"/>
          <w:b w:val="0"/>
          <w:bCs w:val="0"/>
          <w:color w:val="auto"/>
          <w:sz w:val="21"/>
          <w:szCs w:val="21"/>
        </w:rPr>
      </w:pPr>
      <w:r>
        <w:rPr>
          <w:rStyle w:val="31"/>
          <w:rFonts w:hint="eastAsia" w:ascii="宋体" w:hAnsi="宋体" w:eastAsia="宋体" w:cs="宋体"/>
          <w:b/>
          <w:bCs/>
          <w:i w:val="0"/>
          <w:iCs w:val="0"/>
          <w:caps w:val="0"/>
          <w:color w:val="auto"/>
          <w:spacing w:val="0"/>
          <w:sz w:val="21"/>
          <w:szCs w:val="21"/>
          <w:shd w:val="clear" w:fill="FFFFFF"/>
        </w:rPr>
        <w:t>七、其他补充事宜</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120" w:right="120" w:firstLine="384"/>
        <w:jc w:val="left"/>
        <w:rPr>
          <w:rFonts w:hint="eastAsia" w:ascii="宋体" w:hAnsi="宋体" w:eastAsia="宋体" w:cs="宋体"/>
          <w:color w:val="auto"/>
          <w:sz w:val="21"/>
          <w:szCs w:val="21"/>
        </w:rPr>
      </w:pPr>
      <w:r>
        <w:rPr>
          <w:rStyle w:val="31"/>
          <w:rFonts w:hint="eastAsia" w:ascii="宋体" w:hAnsi="宋体" w:eastAsia="宋体" w:cs="宋体"/>
          <w:b/>
          <w:bCs/>
          <w:i w:val="0"/>
          <w:iCs w:val="0"/>
          <w:caps w:val="0"/>
          <w:color w:val="auto"/>
          <w:spacing w:val="0"/>
          <w:sz w:val="21"/>
          <w:szCs w:val="21"/>
          <w:shd w:val="clear" w:fill="FFFFFF"/>
        </w:rPr>
        <w:t>（1）领取</w:t>
      </w:r>
      <w:r>
        <w:rPr>
          <w:rStyle w:val="31"/>
          <w:rFonts w:hint="eastAsia" w:ascii="宋体" w:hAnsi="宋体" w:eastAsia="宋体" w:cs="宋体"/>
          <w:b/>
          <w:bCs/>
          <w:i w:val="0"/>
          <w:iCs w:val="0"/>
          <w:caps w:val="0"/>
          <w:color w:val="auto"/>
          <w:spacing w:val="0"/>
          <w:sz w:val="21"/>
          <w:szCs w:val="21"/>
          <w:shd w:val="clear" w:fill="FFFFFF"/>
          <w:lang w:val="en-US" w:eastAsia="zh-CN"/>
        </w:rPr>
        <w:t>磋商</w:t>
      </w:r>
      <w:r>
        <w:rPr>
          <w:rStyle w:val="31"/>
          <w:rFonts w:hint="eastAsia" w:ascii="宋体" w:hAnsi="宋体" w:eastAsia="宋体" w:cs="宋体"/>
          <w:b/>
          <w:bCs/>
          <w:i w:val="0"/>
          <w:iCs w:val="0"/>
          <w:caps w:val="0"/>
          <w:color w:val="auto"/>
          <w:spacing w:val="0"/>
          <w:sz w:val="21"/>
          <w:szCs w:val="21"/>
          <w:shd w:val="clear" w:fill="FFFFFF"/>
        </w:rPr>
        <w:t>文件请携带单位介绍信和经办人身份证原件及加盖</w:t>
      </w:r>
      <w:r>
        <w:rPr>
          <w:rStyle w:val="31"/>
          <w:rFonts w:hint="eastAsia" w:ascii="宋体" w:hAnsi="宋体" w:eastAsia="宋体" w:cs="宋体"/>
          <w:b/>
          <w:bCs/>
          <w:i w:val="0"/>
          <w:iCs w:val="0"/>
          <w:caps w:val="0"/>
          <w:color w:val="auto"/>
          <w:spacing w:val="0"/>
          <w:sz w:val="21"/>
          <w:szCs w:val="21"/>
          <w:shd w:val="clear" w:fill="FFFFFF"/>
          <w:lang w:val="en-US" w:eastAsia="zh-CN"/>
        </w:rPr>
        <w:t>供应商</w:t>
      </w:r>
      <w:r>
        <w:rPr>
          <w:rStyle w:val="31"/>
          <w:rFonts w:hint="eastAsia" w:ascii="宋体" w:hAnsi="宋体" w:eastAsia="宋体" w:cs="宋体"/>
          <w:b/>
          <w:bCs/>
          <w:i w:val="0"/>
          <w:iCs w:val="0"/>
          <w:caps w:val="0"/>
          <w:color w:val="auto"/>
          <w:spacing w:val="0"/>
          <w:sz w:val="21"/>
          <w:szCs w:val="21"/>
          <w:shd w:val="clear" w:fill="FFFFFF"/>
        </w:rPr>
        <w:t>公章的复印件（</w:t>
      </w:r>
      <w:r>
        <w:rPr>
          <w:rFonts w:hint="eastAsia" w:ascii="宋体" w:hAnsi="宋体" w:eastAsia="宋体" w:cs="宋体"/>
          <w:i w:val="0"/>
          <w:iCs w:val="0"/>
          <w:caps w:val="0"/>
          <w:color w:val="auto"/>
          <w:spacing w:val="0"/>
          <w:sz w:val="21"/>
          <w:szCs w:val="21"/>
          <w:shd w:val="clear" w:fill="FFFFFF"/>
        </w:rPr>
        <w:t>法人领取</w:t>
      </w:r>
      <w:r>
        <w:rPr>
          <w:rFonts w:hint="eastAsia" w:ascii="宋体" w:hAnsi="宋体" w:eastAsia="宋体" w:cs="宋体"/>
          <w:i w:val="0"/>
          <w:iCs w:val="0"/>
          <w:caps w:val="0"/>
          <w:color w:val="auto"/>
          <w:spacing w:val="0"/>
          <w:sz w:val="21"/>
          <w:szCs w:val="21"/>
          <w:shd w:val="clear" w:fill="FFFFFF"/>
          <w:lang w:val="en-US" w:eastAsia="zh-CN"/>
        </w:rPr>
        <w:t>磋商</w:t>
      </w:r>
      <w:r>
        <w:rPr>
          <w:rFonts w:hint="eastAsia" w:ascii="宋体" w:hAnsi="宋体" w:eastAsia="宋体" w:cs="宋体"/>
          <w:i w:val="0"/>
          <w:iCs w:val="0"/>
          <w:caps w:val="0"/>
          <w:color w:val="auto"/>
          <w:spacing w:val="0"/>
          <w:sz w:val="21"/>
          <w:szCs w:val="21"/>
          <w:shd w:val="clear" w:fill="FFFFFF"/>
        </w:rPr>
        <w:t>文件请携带营业执照复印件和身份证原件及加盖</w:t>
      </w:r>
      <w:r>
        <w:rPr>
          <w:rFonts w:hint="eastAsia" w:ascii="宋体" w:hAnsi="宋体" w:eastAsia="宋体" w:cs="宋体"/>
          <w:i w:val="0"/>
          <w:iCs w:val="0"/>
          <w:caps w:val="0"/>
          <w:color w:val="auto"/>
          <w:spacing w:val="0"/>
          <w:sz w:val="21"/>
          <w:szCs w:val="21"/>
          <w:shd w:val="clear" w:fill="FFFFFF"/>
          <w:lang w:val="en-US" w:eastAsia="zh-CN"/>
        </w:rPr>
        <w:t>供应商</w:t>
      </w:r>
      <w:r>
        <w:rPr>
          <w:rFonts w:hint="eastAsia" w:ascii="宋体" w:hAnsi="宋体" w:eastAsia="宋体" w:cs="宋体"/>
          <w:i w:val="0"/>
          <w:iCs w:val="0"/>
          <w:caps w:val="0"/>
          <w:color w:val="auto"/>
          <w:spacing w:val="0"/>
          <w:sz w:val="21"/>
          <w:szCs w:val="21"/>
          <w:shd w:val="clear" w:fill="FFFFFF"/>
        </w:rPr>
        <w:t>公章的复印件</w:t>
      </w:r>
      <w:r>
        <w:rPr>
          <w:rStyle w:val="31"/>
          <w:rFonts w:hint="eastAsia" w:ascii="宋体" w:hAnsi="宋体" w:eastAsia="宋体" w:cs="宋体"/>
          <w:b/>
          <w:bCs/>
          <w:i w:val="0"/>
          <w:iCs w:val="0"/>
          <w:caps w:val="0"/>
          <w:color w:val="auto"/>
          <w:spacing w:val="0"/>
          <w:sz w:val="21"/>
          <w:szCs w:val="21"/>
          <w:shd w:val="clear" w:fill="FFFFFF"/>
        </w:rPr>
        <w:t>）；（2）</w:t>
      </w:r>
      <w:r>
        <w:rPr>
          <w:rFonts w:hint="eastAsia" w:ascii="宋体" w:hAnsi="宋体" w:eastAsia="宋体" w:cs="宋体"/>
          <w:i w:val="0"/>
          <w:iCs w:val="0"/>
          <w:caps w:val="0"/>
          <w:color w:val="auto"/>
          <w:spacing w:val="0"/>
          <w:sz w:val="21"/>
          <w:szCs w:val="21"/>
          <w:shd w:val="clear" w:fill="FFFFFF"/>
        </w:rPr>
        <w:t>根据陕西省财政厅关于政府采购</w:t>
      </w:r>
      <w:r>
        <w:rPr>
          <w:rFonts w:hint="eastAsia" w:ascii="宋体" w:hAnsi="宋体" w:eastAsia="宋体" w:cs="宋体"/>
          <w:i w:val="0"/>
          <w:iCs w:val="0"/>
          <w:caps w:val="0"/>
          <w:color w:val="auto"/>
          <w:spacing w:val="0"/>
          <w:sz w:val="21"/>
          <w:szCs w:val="21"/>
          <w:shd w:val="clear" w:fill="FFFFFF"/>
          <w:lang w:val="en-US" w:eastAsia="zh-CN"/>
        </w:rPr>
        <w:t>供应商</w:t>
      </w:r>
      <w:r>
        <w:rPr>
          <w:rFonts w:hint="eastAsia" w:ascii="宋体" w:hAnsi="宋体" w:eastAsia="宋体" w:cs="宋体"/>
          <w:i w:val="0"/>
          <w:iCs w:val="0"/>
          <w:caps w:val="0"/>
          <w:color w:val="auto"/>
          <w:spacing w:val="0"/>
          <w:sz w:val="21"/>
          <w:szCs w:val="21"/>
          <w:shd w:val="clear" w:fill="FFFFFF"/>
        </w:rPr>
        <w:t>注册登记有关事项的通知，如所投本项目的</w:t>
      </w:r>
      <w:r>
        <w:rPr>
          <w:rFonts w:hint="eastAsia" w:ascii="宋体" w:hAnsi="宋体" w:eastAsia="宋体" w:cs="宋体"/>
          <w:i w:val="0"/>
          <w:iCs w:val="0"/>
          <w:caps w:val="0"/>
          <w:color w:val="auto"/>
          <w:spacing w:val="0"/>
          <w:sz w:val="21"/>
          <w:szCs w:val="21"/>
          <w:shd w:val="clear" w:fill="FFFFFF"/>
          <w:lang w:val="en-US" w:eastAsia="zh-CN"/>
        </w:rPr>
        <w:t>供应商</w:t>
      </w:r>
      <w:r>
        <w:rPr>
          <w:rFonts w:hint="eastAsia" w:ascii="宋体" w:hAnsi="宋体" w:eastAsia="宋体" w:cs="宋体"/>
          <w:i w:val="0"/>
          <w:iCs w:val="0"/>
          <w:caps w:val="0"/>
          <w:color w:val="auto"/>
          <w:spacing w:val="0"/>
          <w:sz w:val="21"/>
          <w:szCs w:val="21"/>
          <w:shd w:val="clear" w:fill="FFFFFF"/>
        </w:rPr>
        <w:t>未在陕西省政府采购网（http://www.ccgp-shaanxi.gov.cn/）注册登记加入陕西省政府采购</w:t>
      </w:r>
      <w:r>
        <w:rPr>
          <w:rFonts w:hint="eastAsia" w:ascii="宋体" w:hAnsi="宋体" w:eastAsia="宋体" w:cs="宋体"/>
          <w:i w:val="0"/>
          <w:iCs w:val="0"/>
          <w:caps w:val="0"/>
          <w:color w:val="auto"/>
          <w:spacing w:val="0"/>
          <w:sz w:val="21"/>
          <w:szCs w:val="21"/>
          <w:shd w:val="clear" w:fill="FFFFFF"/>
          <w:lang w:val="en-US" w:eastAsia="zh-CN"/>
        </w:rPr>
        <w:t>供应商</w:t>
      </w:r>
      <w:r>
        <w:rPr>
          <w:rFonts w:hint="eastAsia" w:ascii="宋体" w:hAnsi="宋体" w:eastAsia="宋体" w:cs="宋体"/>
          <w:i w:val="0"/>
          <w:iCs w:val="0"/>
          <w:caps w:val="0"/>
          <w:color w:val="auto"/>
          <w:spacing w:val="0"/>
          <w:sz w:val="21"/>
          <w:szCs w:val="21"/>
          <w:shd w:val="clear" w:fill="FFFFFF"/>
        </w:rPr>
        <w:t>库的，应按要求及时办理注册登记，并接受财政部门监督管理。</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242" w:beforeAutospacing="0" w:after="0" w:afterAutospacing="0" w:line="360" w:lineRule="auto"/>
        <w:ind w:left="120" w:right="120"/>
        <w:jc w:val="left"/>
        <w:rPr>
          <w:rFonts w:hint="eastAsia" w:ascii="宋体" w:hAnsi="宋体" w:eastAsia="宋体" w:cs="宋体"/>
          <w:b w:val="0"/>
          <w:bCs w:val="0"/>
          <w:color w:val="auto"/>
          <w:sz w:val="21"/>
          <w:szCs w:val="21"/>
        </w:rPr>
      </w:pPr>
      <w:r>
        <w:rPr>
          <w:rStyle w:val="31"/>
          <w:rFonts w:hint="eastAsia" w:ascii="宋体" w:hAnsi="宋体" w:eastAsia="宋体" w:cs="宋体"/>
          <w:b/>
          <w:bCs/>
          <w:i w:val="0"/>
          <w:iCs w:val="0"/>
          <w:caps w:val="0"/>
          <w:color w:val="auto"/>
          <w:spacing w:val="0"/>
          <w:sz w:val="21"/>
          <w:szCs w:val="21"/>
          <w:shd w:val="clear" w:fill="FFFFFF"/>
        </w:rPr>
        <w:t>八、凡对本次采购提出询问，请按以下方式联系。</w:t>
      </w:r>
    </w:p>
    <w:p>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360" w:lineRule="auto"/>
        <w:ind w:left="120" w:right="120"/>
        <w:jc w:val="left"/>
        <w:rPr>
          <w:rFonts w:hint="eastAsia" w:ascii="宋体" w:hAnsi="宋体" w:eastAsia="宋体" w:cs="宋体"/>
          <w:b w:val="0"/>
          <w:bCs w:val="0"/>
          <w:color w:val="auto"/>
          <w:sz w:val="21"/>
          <w:szCs w:val="21"/>
        </w:rPr>
      </w:pPr>
      <w:r>
        <w:rPr>
          <w:rFonts w:hint="eastAsia" w:ascii="宋体" w:hAnsi="宋体" w:eastAsia="宋体" w:cs="宋体"/>
          <w:b w:val="0"/>
          <w:bCs w:val="0"/>
          <w:i w:val="0"/>
          <w:iCs w:val="0"/>
          <w:caps w:val="0"/>
          <w:color w:val="auto"/>
          <w:spacing w:val="0"/>
          <w:sz w:val="21"/>
          <w:szCs w:val="21"/>
          <w:shd w:val="clear" w:fill="FFFFFF"/>
        </w:rPr>
        <w:t>1.采购人信息</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360" w:lineRule="auto"/>
        <w:ind w:left="120" w:right="120" w:firstLine="384"/>
        <w:jc w:val="left"/>
        <w:rPr>
          <w:rFonts w:hint="eastAsia" w:ascii="宋体" w:hAnsi="宋体" w:eastAsia="宋体" w:cs="宋体"/>
          <w:color w:val="auto"/>
          <w:sz w:val="21"/>
          <w:szCs w:val="21"/>
          <w:lang w:eastAsia="zh-CN"/>
        </w:rPr>
      </w:pPr>
      <w:r>
        <w:rPr>
          <w:rFonts w:hint="eastAsia" w:ascii="宋体" w:hAnsi="宋体" w:eastAsia="宋体" w:cs="宋体"/>
          <w:i w:val="0"/>
          <w:iCs w:val="0"/>
          <w:caps w:val="0"/>
          <w:color w:val="auto"/>
          <w:spacing w:val="0"/>
          <w:sz w:val="21"/>
          <w:szCs w:val="21"/>
          <w:shd w:val="clear" w:fill="FFFFFF"/>
        </w:rPr>
        <w:t>名称：</w:t>
      </w:r>
      <w:r>
        <w:rPr>
          <w:rFonts w:hint="eastAsia" w:ascii="宋体" w:hAnsi="宋体" w:eastAsia="宋体" w:cs="宋体"/>
          <w:i w:val="0"/>
          <w:iCs w:val="0"/>
          <w:caps w:val="0"/>
          <w:color w:val="auto"/>
          <w:spacing w:val="0"/>
          <w:sz w:val="21"/>
          <w:szCs w:val="21"/>
          <w:shd w:val="clear" w:fill="FFFFFF"/>
          <w:lang w:val="en-US" w:eastAsia="zh-CN"/>
        </w:rPr>
        <w:t>西安市高陵区崇皇街道办事处</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360" w:lineRule="auto"/>
        <w:ind w:left="120" w:right="120" w:firstLine="384"/>
        <w:jc w:val="left"/>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shd w:val="clear" w:fill="FFFFFF"/>
        </w:rPr>
        <w:t>地址：西安市高陵区高茹路崇皇段-10号</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360" w:lineRule="auto"/>
        <w:ind w:left="120" w:right="120" w:firstLine="384"/>
        <w:jc w:val="left"/>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shd w:val="clear" w:fill="FFFFFF"/>
        </w:rPr>
        <w:t>联系方式：029-86040511</w:t>
      </w:r>
    </w:p>
    <w:p>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360" w:lineRule="auto"/>
        <w:ind w:left="120" w:right="120"/>
        <w:jc w:val="left"/>
        <w:rPr>
          <w:rFonts w:hint="eastAsia" w:ascii="宋体" w:hAnsi="宋体" w:eastAsia="宋体" w:cs="宋体"/>
          <w:b w:val="0"/>
          <w:bCs w:val="0"/>
          <w:color w:val="auto"/>
          <w:sz w:val="21"/>
          <w:szCs w:val="21"/>
        </w:rPr>
      </w:pPr>
      <w:r>
        <w:rPr>
          <w:rFonts w:hint="eastAsia" w:ascii="宋体" w:hAnsi="宋体" w:eastAsia="宋体" w:cs="宋体"/>
          <w:b w:val="0"/>
          <w:bCs w:val="0"/>
          <w:i w:val="0"/>
          <w:iCs w:val="0"/>
          <w:caps w:val="0"/>
          <w:color w:val="auto"/>
          <w:spacing w:val="0"/>
          <w:sz w:val="21"/>
          <w:szCs w:val="21"/>
          <w:shd w:val="clear" w:fill="FFFFFF"/>
        </w:rPr>
        <w:t>2.采购代理机构信息</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360" w:lineRule="auto"/>
        <w:ind w:left="120" w:right="120" w:firstLine="384"/>
        <w:jc w:val="left"/>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名称：陕西迪诚项目管理有限公司</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360" w:lineRule="auto"/>
        <w:ind w:left="120" w:right="120" w:firstLine="384"/>
        <w:jc w:val="left"/>
        <w:rPr>
          <w:rFonts w:hint="default" w:ascii="宋体" w:hAnsi="宋体" w:eastAsia="宋体" w:cs="宋体"/>
          <w:color w:val="auto"/>
          <w:sz w:val="21"/>
          <w:szCs w:val="21"/>
          <w:lang w:val="en-US" w:eastAsia="zh-CN"/>
        </w:rPr>
      </w:pPr>
      <w:r>
        <w:rPr>
          <w:rFonts w:hint="eastAsia" w:ascii="宋体" w:hAnsi="宋体" w:eastAsia="宋体" w:cs="宋体"/>
          <w:i w:val="0"/>
          <w:iCs w:val="0"/>
          <w:caps w:val="0"/>
          <w:color w:val="auto"/>
          <w:spacing w:val="0"/>
          <w:sz w:val="21"/>
          <w:szCs w:val="21"/>
          <w:shd w:val="clear" w:fill="FFFFFF"/>
        </w:rPr>
        <w:t>地址：</w:t>
      </w:r>
      <w:r>
        <w:rPr>
          <w:rFonts w:hint="eastAsia" w:cs="宋体"/>
          <w:i w:val="0"/>
          <w:iCs w:val="0"/>
          <w:caps w:val="0"/>
          <w:color w:val="auto"/>
          <w:spacing w:val="0"/>
          <w:sz w:val="21"/>
          <w:szCs w:val="21"/>
          <w:shd w:val="clear" w:fill="FFFFFF"/>
          <w:lang w:val="en-US" w:eastAsia="zh-CN"/>
        </w:rPr>
        <w:t>杨工</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360" w:lineRule="auto"/>
        <w:ind w:left="120" w:right="120" w:firstLine="384"/>
        <w:jc w:val="left"/>
        <w:rPr>
          <w:rFonts w:hint="default" w:ascii="宋体" w:hAnsi="宋体" w:eastAsia="宋体" w:cs="宋体"/>
          <w:color w:val="auto"/>
          <w:sz w:val="21"/>
          <w:szCs w:val="21"/>
          <w:lang w:val="en-US" w:eastAsia="zh-CN"/>
        </w:rPr>
      </w:pPr>
      <w:r>
        <w:rPr>
          <w:rFonts w:hint="eastAsia" w:ascii="宋体" w:hAnsi="宋体" w:eastAsia="宋体" w:cs="宋体"/>
          <w:i w:val="0"/>
          <w:iCs w:val="0"/>
          <w:caps w:val="0"/>
          <w:color w:val="auto"/>
          <w:spacing w:val="0"/>
          <w:sz w:val="21"/>
          <w:szCs w:val="21"/>
          <w:shd w:val="clear" w:fill="FFFFFF"/>
        </w:rPr>
        <w:t>联系方式：</w:t>
      </w:r>
      <w:r>
        <w:rPr>
          <w:rFonts w:hint="eastAsia" w:cs="宋体"/>
          <w:i w:val="0"/>
          <w:iCs w:val="0"/>
          <w:caps w:val="0"/>
          <w:color w:val="auto"/>
          <w:spacing w:val="0"/>
          <w:sz w:val="21"/>
          <w:szCs w:val="21"/>
          <w:shd w:val="clear" w:fill="FFFFFF"/>
          <w:lang w:val="en-US" w:eastAsia="zh-CN"/>
        </w:rPr>
        <w:t>18710384099</w:t>
      </w:r>
    </w:p>
    <w:p>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360" w:lineRule="auto"/>
        <w:ind w:left="120" w:right="120"/>
        <w:jc w:val="left"/>
        <w:rPr>
          <w:rFonts w:hint="eastAsia" w:ascii="宋体" w:hAnsi="宋体" w:eastAsia="宋体" w:cs="宋体"/>
          <w:b w:val="0"/>
          <w:bCs w:val="0"/>
          <w:color w:val="auto"/>
          <w:sz w:val="21"/>
          <w:szCs w:val="21"/>
        </w:rPr>
      </w:pPr>
      <w:r>
        <w:rPr>
          <w:rFonts w:hint="eastAsia" w:ascii="宋体" w:hAnsi="宋体" w:eastAsia="宋体" w:cs="宋体"/>
          <w:b w:val="0"/>
          <w:bCs w:val="0"/>
          <w:i w:val="0"/>
          <w:iCs w:val="0"/>
          <w:caps w:val="0"/>
          <w:color w:val="auto"/>
          <w:spacing w:val="0"/>
          <w:sz w:val="21"/>
          <w:szCs w:val="21"/>
          <w:shd w:val="clear" w:fill="FFFFFF"/>
        </w:rPr>
        <w:t>3.项目联系方式</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360" w:lineRule="auto"/>
        <w:ind w:left="120" w:right="120" w:firstLine="384"/>
        <w:jc w:val="left"/>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项目联系人：</w:t>
      </w:r>
      <w:r>
        <w:rPr>
          <w:rFonts w:hint="eastAsia" w:cs="宋体"/>
          <w:i w:val="0"/>
          <w:iCs w:val="0"/>
          <w:caps w:val="0"/>
          <w:color w:val="auto"/>
          <w:spacing w:val="0"/>
          <w:sz w:val="21"/>
          <w:szCs w:val="21"/>
          <w:shd w:val="clear" w:fill="FFFFFF"/>
          <w:lang w:val="en-US" w:eastAsia="zh-CN"/>
        </w:rPr>
        <w:t>杨</w:t>
      </w:r>
      <w:r>
        <w:rPr>
          <w:rFonts w:hint="eastAsia" w:ascii="宋体" w:hAnsi="宋体" w:eastAsia="宋体" w:cs="宋体"/>
          <w:i w:val="0"/>
          <w:iCs w:val="0"/>
          <w:caps w:val="0"/>
          <w:color w:val="auto"/>
          <w:spacing w:val="0"/>
          <w:sz w:val="21"/>
          <w:szCs w:val="21"/>
          <w:shd w:val="clear" w:fill="FFFFFF"/>
        </w:rPr>
        <w:t>工</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360" w:lineRule="auto"/>
        <w:ind w:left="120" w:right="120" w:firstLine="384"/>
        <w:jc w:val="left"/>
        <w:rPr>
          <w:rFonts w:hint="default" w:ascii="宋体" w:hAnsi="宋体" w:eastAsia="宋体" w:cs="宋体"/>
          <w:color w:val="auto"/>
          <w:sz w:val="21"/>
          <w:szCs w:val="21"/>
          <w:lang w:val="en-US" w:eastAsia="zh-CN"/>
        </w:rPr>
      </w:pPr>
      <w:r>
        <w:rPr>
          <w:rFonts w:hint="eastAsia" w:ascii="宋体" w:hAnsi="宋体" w:eastAsia="宋体" w:cs="宋体"/>
          <w:i w:val="0"/>
          <w:iCs w:val="0"/>
          <w:caps w:val="0"/>
          <w:color w:val="auto"/>
          <w:spacing w:val="0"/>
          <w:sz w:val="21"/>
          <w:szCs w:val="21"/>
          <w:shd w:val="clear" w:fill="FFFFFF"/>
        </w:rPr>
        <w:t>电话：</w:t>
      </w:r>
      <w:r>
        <w:rPr>
          <w:rFonts w:hint="eastAsia" w:cs="宋体"/>
          <w:i w:val="0"/>
          <w:iCs w:val="0"/>
          <w:caps w:val="0"/>
          <w:color w:val="auto"/>
          <w:spacing w:val="0"/>
          <w:sz w:val="21"/>
          <w:szCs w:val="21"/>
          <w:shd w:val="clear" w:fill="FFFFFF"/>
          <w:lang w:val="en-US" w:eastAsia="zh-CN"/>
        </w:rPr>
        <w:t>18710384099</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spacing w:before="120" w:beforeAutospacing="0" w:after="0" w:afterAutospacing="0" w:line="360" w:lineRule="auto"/>
        <w:ind w:left="120" w:right="120" w:firstLine="384"/>
        <w:jc w:val="left"/>
        <w:rPr>
          <w:rFonts w:hAnsi="宋体" w:cs="宋体"/>
          <w:color w:val="000000" w:themeColor="text1"/>
          <w:highlight w:val="none"/>
          <w14:textFill>
            <w14:solidFill>
              <w14:schemeClr w14:val="tx1"/>
            </w14:solidFill>
          </w14:textFill>
        </w:rPr>
      </w:pPr>
      <w:r>
        <w:rPr>
          <w:rFonts w:hint="eastAsia" w:ascii="宋体" w:hAnsi="宋体" w:eastAsia="宋体" w:cs="宋体"/>
          <w:i w:val="0"/>
          <w:iCs w:val="0"/>
          <w:caps w:val="0"/>
          <w:color w:val="auto"/>
          <w:spacing w:val="0"/>
          <w:sz w:val="21"/>
          <w:szCs w:val="21"/>
          <w:shd w:val="clear" w:fill="FFFFFF"/>
        </w:rPr>
        <w:t>陕西迪诚项目管理有限公司</w:t>
      </w:r>
    </w:p>
    <w:p>
      <w:pPr>
        <w:pStyle w:val="15"/>
        <w:spacing w:line="360" w:lineRule="auto"/>
        <w:jc w:val="center"/>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lang w:val="en-US" w:eastAsia="zh-CN"/>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陕西迪诚项目管理有限公司</w:t>
      </w:r>
    </w:p>
    <w:p>
      <w:pPr>
        <w:pStyle w:val="15"/>
        <w:spacing w:line="360" w:lineRule="auto"/>
        <w:jc w:val="center"/>
        <w:rPr>
          <w:rFonts w:ascii="宋体" w:hAnsi="宋体" w:cs="宋体"/>
          <w:color w:val="000000" w:themeColor="text1"/>
          <w:sz w:val="36"/>
          <w:highlight w:val="none"/>
          <w14:textFill>
            <w14:solidFill>
              <w14:schemeClr w14:val="tx1"/>
            </w14:solidFill>
          </w14:textFill>
        </w:rPr>
      </w:pPr>
      <w:r>
        <w:rPr>
          <w:rFonts w:hint="eastAsia" w:hAnsi="宋体" w:cs="宋体"/>
          <w:color w:val="000000" w:themeColor="text1"/>
          <w:highlight w:val="none"/>
          <w:lang w:val="en-US" w:eastAsia="zh-CN"/>
          <w14:textFill>
            <w14:solidFill>
              <w14:schemeClr w14:val="tx1"/>
            </w14:solidFill>
          </w14:textFill>
        </w:rPr>
        <w:t xml:space="preserve">                                                     </w:t>
      </w:r>
      <w:r>
        <w:rPr>
          <w:rFonts w:hAnsi="宋体" w:cs="宋体"/>
          <w:color w:val="000000" w:themeColor="text1"/>
          <w:highlight w:val="none"/>
          <w14:textFill>
            <w14:solidFill>
              <w14:schemeClr w14:val="tx1"/>
            </w14:solidFill>
          </w14:textFill>
        </w:rPr>
        <w:t>202</w:t>
      </w:r>
      <w:r>
        <w:rPr>
          <w:rFonts w:hint="eastAsia" w:hAnsi="宋体" w:cs="宋体"/>
          <w:color w:val="000000" w:themeColor="text1"/>
          <w:highlight w:val="none"/>
          <w:lang w:val="en-US" w:eastAsia="zh-CN"/>
          <w14:textFill>
            <w14:solidFill>
              <w14:schemeClr w14:val="tx1"/>
            </w14:solidFill>
          </w14:textFill>
        </w:rPr>
        <w:t>2</w:t>
      </w:r>
      <w:r>
        <w:rPr>
          <w:rFonts w:hAnsi="宋体" w:cs="宋体"/>
          <w:color w:val="000000" w:themeColor="text1"/>
          <w:highlight w:val="none"/>
          <w14:textFill>
            <w14:solidFill>
              <w14:schemeClr w14:val="tx1"/>
            </w14:solidFill>
          </w14:textFill>
        </w:rPr>
        <w:t>年</w:t>
      </w:r>
      <w:r>
        <w:rPr>
          <w:rFonts w:hint="eastAsia" w:hAnsi="宋体" w:cs="宋体"/>
          <w:color w:val="000000" w:themeColor="text1"/>
          <w:highlight w:val="none"/>
          <w:lang w:val="en-US" w:eastAsia="zh-CN"/>
          <w14:textFill>
            <w14:solidFill>
              <w14:schemeClr w14:val="tx1"/>
            </w14:solidFill>
          </w14:textFill>
        </w:rPr>
        <w:t>04</w:t>
      </w:r>
      <w:r>
        <w:rPr>
          <w:rFonts w:hAnsi="宋体" w:cs="宋体"/>
          <w:color w:val="000000" w:themeColor="text1"/>
          <w:highlight w:val="none"/>
          <w14:textFill>
            <w14:solidFill>
              <w14:schemeClr w14:val="tx1"/>
            </w14:solidFill>
          </w14:textFill>
        </w:rPr>
        <w:t>月</w:t>
      </w:r>
      <w:r>
        <w:rPr>
          <w:rFonts w:hint="eastAsia" w:hAnsi="宋体" w:cs="宋体"/>
          <w:color w:val="000000" w:themeColor="text1"/>
          <w:highlight w:val="none"/>
          <w:lang w:val="en-US" w:eastAsia="zh-CN"/>
          <w14:textFill>
            <w14:solidFill>
              <w14:schemeClr w14:val="tx1"/>
            </w14:solidFill>
          </w14:textFill>
        </w:rPr>
        <w:t>25</w:t>
      </w:r>
      <w:r>
        <w:rPr>
          <w:rFonts w:hAnsi="宋体" w:cs="宋体"/>
          <w:color w:val="000000" w:themeColor="text1"/>
          <w:highlight w:val="none"/>
          <w14:textFill>
            <w14:solidFill>
              <w14:schemeClr w14:val="tx1"/>
            </w14:solidFill>
          </w14:textFill>
        </w:rPr>
        <w:t>日</w:t>
      </w:r>
      <w:bookmarkStart w:id="15" w:name="_Toc3371"/>
      <w:r>
        <w:rPr>
          <w:rFonts w:hint="eastAsia" w:ascii="宋体" w:hAnsi="宋体" w:cs="宋体"/>
          <w:color w:val="000000" w:themeColor="text1"/>
          <w:sz w:val="36"/>
          <w:highlight w:val="none"/>
          <w14:textFill>
            <w14:solidFill>
              <w14:schemeClr w14:val="tx1"/>
            </w14:solidFill>
          </w14:textFill>
        </w:rPr>
        <w:br w:type="page"/>
      </w:r>
      <w:bookmarkStart w:id="16" w:name="_Toc5719"/>
      <w:bookmarkStart w:id="17" w:name="_Toc22439"/>
      <w:r>
        <w:rPr>
          <w:rFonts w:hint="eastAsia" w:ascii="宋体" w:hAnsi="宋体" w:cs="宋体"/>
          <w:color w:val="000000" w:themeColor="text1"/>
          <w:sz w:val="36"/>
          <w:highlight w:val="none"/>
          <w14:textFill>
            <w14:solidFill>
              <w14:schemeClr w14:val="tx1"/>
            </w14:solidFill>
          </w14:textFill>
        </w:rPr>
        <w:t>第二部分  供应商须知前附表</w:t>
      </w:r>
      <w:bookmarkEnd w:id="10"/>
      <w:bookmarkEnd w:id="11"/>
      <w:bookmarkEnd w:id="12"/>
      <w:bookmarkEnd w:id="13"/>
      <w:bookmarkEnd w:id="14"/>
      <w:bookmarkEnd w:id="15"/>
      <w:bookmarkEnd w:id="16"/>
      <w:bookmarkEnd w:id="17"/>
      <w:bookmarkStart w:id="18" w:name="_Toc246928894"/>
    </w:p>
    <w:tbl>
      <w:tblPr>
        <w:tblStyle w:val="28"/>
        <w:tblW w:w="89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658"/>
        <w:gridCol w:w="6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63" w:type="dxa"/>
            <w:vAlign w:val="center"/>
          </w:tcPr>
          <w:p>
            <w:pPr>
              <w:spacing w:line="360" w:lineRule="auto"/>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序号</w:t>
            </w:r>
          </w:p>
        </w:tc>
        <w:tc>
          <w:tcPr>
            <w:tcW w:w="1658" w:type="dxa"/>
            <w:vAlign w:val="center"/>
          </w:tcPr>
          <w:p>
            <w:pPr>
              <w:spacing w:line="360" w:lineRule="auto"/>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内容</w:t>
            </w:r>
          </w:p>
        </w:tc>
        <w:tc>
          <w:tcPr>
            <w:tcW w:w="6564" w:type="dxa"/>
            <w:vAlign w:val="center"/>
          </w:tcPr>
          <w:p>
            <w:pPr>
              <w:spacing w:line="360" w:lineRule="auto"/>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dxa"/>
            <w:vAlign w:val="center"/>
          </w:tcPr>
          <w:p>
            <w:pPr>
              <w:numPr>
                <w:ilvl w:val="0"/>
                <w:numId w:val="2"/>
              </w:numPr>
              <w:spacing w:line="360" w:lineRule="auto"/>
              <w:jc w:val="center"/>
              <w:rPr>
                <w:rFonts w:ascii="宋体" w:hAnsi="宋体" w:cs="宋体"/>
                <w:color w:val="000000" w:themeColor="text1"/>
                <w:szCs w:val="21"/>
                <w:highlight w:val="none"/>
                <w14:textFill>
                  <w14:solidFill>
                    <w14:schemeClr w14:val="tx1"/>
                  </w14:solidFill>
                </w14:textFill>
              </w:rPr>
            </w:pPr>
          </w:p>
        </w:tc>
        <w:tc>
          <w:tcPr>
            <w:tcW w:w="1658" w:type="dxa"/>
            <w:vAlign w:val="center"/>
          </w:tcPr>
          <w:p>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采购人</w:t>
            </w:r>
          </w:p>
        </w:tc>
        <w:tc>
          <w:tcPr>
            <w:tcW w:w="6564" w:type="dxa"/>
            <w:vAlign w:val="center"/>
          </w:tcPr>
          <w:p>
            <w:pPr>
              <w:pStyle w:val="15"/>
              <w:spacing w:line="360" w:lineRule="auto"/>
              <w:jc w:val="left"/>
              <w:rPr>
                <w:rFonts w:hint="default" w:hAnsi="宋体" w:eastAsia="宋体" w:cs="宋体"/>
                <w:color w:val="000000" w:themeColor="text1"/>
                <w:highlight w:val="none"/>
                <w:lang w:val="en-US" w:eastAsia="zh-CN"/>
                <w14:textFill>
                  <w14:solidFill>
                    <w14:schemeClr w14:val="tx1"/>
                  </w14:solidFill>
                </w14:textFill>
              </w:rPr>
            </w:pPr>
            <w:r>
              <w:rPr>
                <w:rFonts w:hint="eastAsia" w:hAnsi="宋体" w:cs="宋体"/>
                <w:color w:val="000000" w:themeColor="text1"/>
                <w:highlight w:val="none"/>
                <w14:textFill>
                  <w14:solidFill>
                    <w14:schemeClr w14:val="tx1"/>
                  </w14:solidFill>
                </w14:textFill>
              </w:rPr>
              <w:t>单位名称：</w:t>
            </w:r>
            <w:r>
              <w:rPr>
                <w:rFonts w:hint="eastAsia" w:hAnsi="宋体" w:cs="宋体"/>
                <w:color w:val="000000" w:themeColor="text1"/>
                <w:highlight w:val="none"/>
                <w:lang w:val="en-US" w:eastAsia="zh-CN"/>
                <w14:textFill>
                  <w14:solidFill>
                    <w14:schemeClr w14:val="tx1"/>
                  </w14:solidFill>
                </w14:textFill>
              </w:rPr>
              <w:t>西安市高陵区崇皇街道办事处</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360" w:lineRule="auto"/>
              <w:ind w:right="120"/>
              <w:jc w:val="left"/>
              <w:rPr>
                <w:rFonts w:hint="eastAsia" w:hAnsi="宋体" w:eastAsia="宋体" w:cs="宋体"/>
                <w:color w:val="000000" w:themeColor="text1"/>
                <w:highlight w:val="none"/>
                <w:lang w:eastAsia="zh-CN"/>
                <w14:textFill>
                  <w14:solidFill>
                    <w14:schemeClr w14:val="tx1"/>
                  </w14:solidFill>
                </w14:textFill>
              </w:rPr>
            </w:pPr>
            <w:r>
              <w:rPr>
                <w:rFonts w:hAnsi="宋体" w:cs="宋体"/>
                <w:color w:val="000000" w:themeColor="text1"/>
                <w:highlight w:val="none"/>
                <w14:textFill>
                  <w14:solidFill>
                    <w14:schemeClr w14:val="tx1"/>
                  </w14:solidFill>
                </w14:textFill>
              </w:rPr>
              <w:t>地址：</w:t>
            </w:r>
            <w:r>
              <w:rPr>
                <w:rFonts w:hint="eastAsia" w:ascii="宋体" w:hAnsi="宋体" w:eastAsia="宋体" w:cs="宋体"/>
                <w:i w:val="0"/>
                <w:iCs w:val="0"/>
                <w:caps w:val="0"/>
                <w:color w:val="auto"/>
                <w:spacing w:val="0"/>
                <w:sz w:val="21"/>
                <w:szCs w:val="21"/>
                <w:highlight w:val="none"/>
                <w:shd w:val="clear" w:fill="FFFFFF"/>
              </w:rPr>
              <w:t>西安市高陵区高茹路崇皇段-10号</w:t>
            </w:r>
          </w:p>
          <w:p>
            <w:pPr>
              <w:pStyle w:val="15"/>
              <w:spacing w:line="360" w:lineRule="auto"/>
              <w:jc w:val="left"/>
              <w:rPr>
                <w:rFonts w:hint="default" w:hAnsi="宋体" w:eastAsia="宋体" w:cs="宋体"/>
                <w:color w:val="000000" w:themeColor="text1"/>
                <w:highlight w:val="none"/>
                <w:lang w:val="en-US" w:eastAsia="zh-CN"/>
                <w14:textFill>
                  <w14:solidFill>
                    <w14:schemeClr w14:val="tx1"/>
                  </w14:solidFill>
                </w14:textFill>
              </w:rPr>
            </w:pPr>
            <w:r>
              <w:rPr>
                <w:rFonts w:hAnsi="宋体" w:cs="宋体"/>
                <w:color w:val="000000" w:themeColor="text1"/>
                <w:highlight w:val="none"/>
                <w14:textFill>
                  <w14:solidFill>
                    <w14:schemeClr w14:val="tx1"/>
                  </w14:solidFill>
                </w14:textFill>
              </w:rPr>
              <w:t>联系人：</w:t>
            </w:r>
            <w:r>
              <w:rPr>
                <w:rFonts w:hint="eastAsia" w:hAnsi="宋体" w:cs="宋体"/>
                <w:color w:val="000000" w:themeColor="text1"/>
                <w:highlight w:val="none"/>
                <w:lang w:val="en-US" w:eastAsia="zh-CN"/>
                <w14:textFill>
                  <w14:solidFill>
                    <w14:schemeClr w14:val="tx1"/>
                  </w14:solidFill>
                </w14:textFill>
              </w:rPr>
              <w:t>张主任</w:t>
            </w:r>
          </w:p>
          <w:p>
            <w:pPr>
              <w:pStyle w:val="15"/>
              <w:spacing w:line="360" w:lineRule="auto"/>
              <w:jc w:val="left"/>
              <w:rPr>
                <w:rFonts w:hint="eastAsia" w:hAnsi="宋体" w:eastAsia="宋体" w:cs="宋体"/>
                <w:color w:val="000000" w:themeColor="text1"/>
                <w:highlight w:val="none"/>
                <w:lang w:eastAsia="zh-CN"/>
                <w14:textFill>
                  <w14:solidFill>
                    <w14:schemeClr w14:val="tx1"/>
                  </w14:solidFill>
                </w14:textFill>
              </w:rPr>
            </w:pPr>
            <w:r>
              <w:rPr>
                <w:rFonts w:hAnsi="宋体" w:cs="宋体"/>
                <w:color w:val="000000" w:themeColor="text1"/>
                <w:highlight w:val="none"/>
                <w14:textFill>
                  <w14:solidFill>
                    <w14:schemeClr w14:val="tx1"/>
                  </w14:solidFill>
                </w14:textFill>
              </w:rPr>
              <w:t>电话：</w:t>
            </w:r>
            <w:r>
              <w:rPr>
                <w:rFonts w:hint="eastAsia" w:ascii="宋体" w:hAnsi="宋体" w:eastAsia="宋体" w:cs="宋体"/>
                <w:i w:val="0"/>
                <w:iCs w:val="0"/>
                <w:caps w:val="0"/>
                <w:color w:val="auto"/>
                <w:spacing w:val="0"/>
                <w:sz w:val="21"/>
                <w:szCs w:val="21"/>
                <w:highlight w:val="none"/>
                <w:shd w:val="clear" w:fill="FFFFFF"/>
              </w:rPr>
              <w:t>029-86040511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dxa"/>
            <w:vAlign w:val="center"/>
          </w:tcPr>
          <w:p>
            <w:pPr>
              <w:numPr>
                <w:ilvl w:val="0"/>
                <w:numId w:val="2"/>
              </w:numPr>
              <w:spacing w:line="360" w:lineRule="auto"/>
              <w:jc w:val="center"/>
              <w:rPr>
                <w:rFonts w:ascii="宋体" w:hAnsi="宋体" w:cs="宋体"/>
                <w:color w:val="000000" w:themeColor="text1"/>
                <w:szCs w:val="21"/>
                <w:highlight w:val="none"/>
                <w14:textFill>
                  <w14:solidFill>
                    <w14:schemeClr w14:val="tx1"/>
                  </w14:solidFill>
                </w14:textFill>
              </w:rPr>
            </w:pPr>
          </w:p>
        </w:tc>
        <w:tc>
          <w:tcPr>
            <w:tcW w:w="1658" w:type="dxa"/>
            <w:vAlign w:val="center"/>
          </w:tcPr>
          <w:p>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采购代理机构</w:t>
            </w:r>
          </w:p>
        </w:tc>
        <w:tc>
          <w:tcPr>
            <w:tcW w:w="6564" w:type="dxa"/>
            <w:vAlign w:val="center"/>
          </w:tcPr>
          <w:p>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代理机构：陕西迪诚项目管理有限公司</w:t>
            </w:r>
          </w:p>
          <w:p>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地址：陕西省西安市未央区凤城四路世融国际中心805室</w:t>
            </w:r>
          </w:p>
          <w:p>
            <w:pPr>
              <w:spacing w:line="360" w:lineRule="auto"/>
              <w:jc w:val="lef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联系人：</w:t>
            </w:r>
            <w:r>
              <w:rPr>
                <w:rFonts w:hint="eastAsia" w:ascii="宋体" w:hAnsi="宋体" w:cs="宋体"/>
                <w:color w:val="000000" w:themeColor="text1"/>
                <w:szCs w:val="21"/>
                <w:highlight w:val="none"/>
                <w:lang w:val="en-US" w:eastAsia="zh-CN"/>
                <w14:textFill>
                  <w14:solidFill>
                    <w14:schemeClr w14:val="tx1"/>
                  </w14:solidFill>
                </w14:textFill>
              </w:rPr>
              <w:t>杨</w:t>
            </w:r>
            <w:r>
              <w:rPr>
                <w:rFonts w:hint="eastAsia" w:ascii="宋体" w:hAnsi="宋体" w:cs="宋体"/>
                <w:color w:val="000000" w:themeColor="text1"/>
                <w:szCs w:val="21"/>
                <w:highlight w:val="none"/>
                <w:lang w:eastAsia="zh-CN"/>
                <w14:textFill>
                  <w14:solidFill>
                    <w14:schemeClr w14:val="tx1"/>
                  </w14:solidFill>
                </w14:textFill>
              </w:rPr>
              <w:t>工</w:t>
            </w:r>
          </w:p>
          <w:p>
            <w:pPr>
              <w:spacing w:line="360" w:lineRule="auto"/>
              <w:jc w:val="left"/>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电话号码：</w:t>
            </w:r>
            <w:r>
              <w:rPr>
                <w:rFonts w:hint="eastAsia" w:ascii="宋体" w:hAnsi="宋体" w:cs="宋体"/>
                <w:color w:val="000000" w:themeColor="text1"/>
                <w:szCs w:val="21"/>
                <w:highlight w:val="none"/>
                <w:lang w:val="en-US" w:eastAsia="zh-CN"/>
                <w14:textFill>
                  <w14:solidFill>
                    <w14:schemeClr w14:val="tx1"/>
                  </w14:solidFill>
                </w14:textFill>
              </w:rPr>
              <w:t>18710384099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dxa"/>
            <w:vAlign w:val="center"/>
          </w:tcPr>
          <w:p>
            <w:pPr>
              <w:numPr>
                <w:ilvl w:val="0"/>
                <w:numId w:val="2"/>
              </w:numPr>
              <w:spacing w:line="360" w:lineRule="auto"/>
              <w:jc w:val="center"/>
              <w:rPr>
                <w:rFonts w:ascii="宋体" w:hAnsi="宋体" w:cs="宋体"/>
                <w:color w:val="000000" w:themeColor="text1"/>
                <w:szCs w:val="21"/>
                <w:highlight w:val="none"/>
                <w14:textFill>
                  <w14:solidFill>
                    <w14:schemeClr w14:val="tx1"/>
                  </w14:solidFill>
                </w14:textFill>
              </w:rPr>
            </w:pPr>
          </w:p>
        </w:tc>
        <w:tc>
          <w:tcPr>
            <w:tcW w:w="1658" w:type="dxa"/>
            <w:vAlign w:val="center"/>
          </w:tcPr>
          <w:p>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项目名称</w:t>
            </w:r>
          </w:p>
        </w:tc>
        <w:tc>
          <w:tcPr>
            <w:tcW w:w="6564" w:type="dxa"/>
            <w:vAlign w:val="center"/>
          </w:tcPr>
          <w:p>
            <w:pPr>
              <w:spacing w:line="360" w:lineRule="auto"/>
              <w:jc w:val="lef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i w:val="0"/>
                <w:iCs w:val="0"/>
                <w:caps w:val="0"/>
                <w:color w:val="auto"/>
                <w:spacing w:val="0"/>
                <w:sz w:val="21"/>
                <w:szCs w:val="21"/>
                <w:shd w:val="clear" w:fill="FFFFFF"/>
                <w:lang w:val="zh-CN" w:eastAsia="zh-CN"/>
              </w:rPr>
              <w:t>泾康园党群服务中心装修施工项目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dxa"/>
            <w:vAlign w:val="center"/>
          </w:tcPr>
          <w:p>
            <w:pPr>
              <w:numPr>
                <w:ilvl w:val="0"/>
                <w:numId w:val="2"/>
              </w:numPr>
              <w:spacing w:line="360" w:lineRule="auto"/>
              <w:jc w:val="center"/>
              <w:rPr>
                <w:rFonts w:ascii="宋体" w:hAnsi="宋体" w:cs="宋体"/>
                <w:color w:val="000000" w:themeColor="text1"/>
                <w:szCs w:val="21"/>
                <w:highlight w:val="none"/>
                <w14:textFill>
                  <w14:solidFill>
                    <w14:schemeClr w14:val="tx1"/>
                  </w14:solidFill>
                </w14:textFill>
              </w:rPr>
            </w:pPr>
          </w:p>
        </w:tc>
        <w:tc>
          <w:tcPr>
            <w:tcW w:w="1658" w:type="dxa"/>
            <w:vAlign w:val="center"/>
          </w:tcPr>
          <w:p>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项目编号</w:t>
            </w:r>
          </w:p>
        </w:tc>
        <w:tc>
          <w:tcPr>
            <w:tcW w:w="6564" w:type="dxa"/>
            <w:vAlign w:val="center"/>
          </w:tcPr>
          <w:p>
            <w:pPr>
              <w:spacing w:line="360" w:lineRule="auto"/>
              <w:jc w:val="left"/>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SXDC2022-ZB-</w:t>
            </w:r>
            <w:r>
              <w:rPr>
                <w:rFonts w:hint="eastAsia" w:ascii="宋体" w:hAnsi="宋体" w:cs="宋体"/>
                <w:color w:val="000000" w:themeColor="text1"/>
                <w:szCs w:val="21"/>
                <w:highlight w:val="none"/>
                <w:lang w:val="en-US" w:eastAsia="zh-CN"/>
                <w14:textFill>
                  <w14:solidFill>
                    <w14:schemeClr w14:val="tx1"/>
                  </w14:solidFill>
                </w14:textFill>
              </w:rPr>
              <w:t>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dxa"/>
            <w:vAlign w:val="center"/>
          </w:tcPr>
          <w:p>
            <w:pPr>
              <w:numPr>
                <w:ilvl w:val="0"/>
                <w:numId w:val="2"/>
              </w:numPr>
              <w:spacing w:line="360" w:lineRule="auto"/>
              <w:jc w:val="center"/>
              <w:rPr>
                <w:rFonts w:ascii="宋体" w:hAnsi="宋体" w:cs="宋体"/>
                <w:color w:val="000000" w:themeColor="text1"/>
                <w:szCs w:val="21"/>
                <w:highlight w:val="none"/>
                <w14:textFill>
                  <w14:solidFill>
                    <w14:schemeClr w14:val="tx1"/>
                  </w14:solidFill>
                </w14:textFill>
              </w:rPr>
            </w:pPr>
          </w:p>
        </w:tc>
        <w:tc>
          <w:tcPr>
            <w:tcW w:w="1658" w:type="dxa"/>
            <w:vAlign w:val="center"/>
          </w:tcPr>
          <w:p>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采购内容</w:t>
            </w:r>
          </w:p>
        </w:tc>
        <w:tc>
          <w:tcPr>
            <w:tcW w:w="6564" w:type="dxa"/>
            <w:vAlign w:val="center"/>
          </w:tcPr>
          <w:p>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eastAsia="宋体" w:cs="宋体"/>
                <w:i w:val="0"/>
                <w:iCs w:val="0"/>
                <w:caps w:val="0"/>
                <w:color w:val="auto"/>
                <w:spacing w:val="0"/>
                <w:sz w:val="21"/>
                <w:szCs w:val="21"/>
                <w:shd w:val="clear" w:fill="FFFFFF"/>
                <w:lang w:val="zh-CN" w:eastAsia="zh-CN"/>
              </w:rPr>
              <w:t>泾康园党群服务中心装修施工项目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dxa"/>
            <w:vAlign w:val="center"/>
          </w:tcPr>
          <w:p>
            <w:pPr>
              <w:numPr>
                <w:ilvl w:val="0"/>
                <w:numId w:val="2"/>
              </w:numPr>
              <w:spacing w:line="360" w:lineRule="auto"/>
              <w:jc w:val="center"/>
              <w:rPr>
                <w:rFonts w:ascii="宋体" w:hAnsi="宋体" w:cs="宋体"/>
                <w:color w:val="000000" w:themeColor="text1"/>
                <w:szCs w:val="21"/>
                <w:highlight w:val="none"/>
                <w14:textFill>
                  <w14:solidFill>
                    <w14:schemeClr w14:val="tx1"/>
                  </w14:solidFill>
                </w14:textFill>
              </w:rPr>
            </w:pPr>
          </w:p>
        </w:tc>
        <w:tc>
          <w:tcPr>
            <w:tcW w:w="1658" w:type="dxa"/>
            <w:vAlign w:val="center"/>
          </w:tcPr>
          <w:p>
            <w:pPr>
              <w:widowControl/>
              <w:tabs>
                <w:tab w:val="left" w:pos="1620"/>
              </w:tabs>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采购预算</w:t>
            </w:r>
          </w:p>
        </w:tc>
        <w:tc>
          <w:tcPr>
            <w:tcW w:w="6564" w:type="dxa"/>
            <w:vAlign w:val="center"/>
          </w:tcPr>
          <w:p>
            <w:pPr>
              <w:widowControl/>
              <w:tabs>
                <w:tab w:val="left" w:pos="1620"/>
              </w:tabs>
              <w:spacing w:line="360" w:lineRule="auto"/>
              <w:jc w:val="left"/>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人民币</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1019600.00</w:t>
            </w:r>
            <w:r>
              <w:rPr>
                <w:rFonts w:hint="eastAsia" w:ascii="宋体" w:hAnsi="宋体" w:cs="宋体"/>
                <w:color w:val="000000" w:themeColor="text1"/>
                <w:szCs w:val="21"/>
                <w:highlight w:val="none"/>
                <w:lang w:eastAsia="zh-CN"/>
                <w14:textFill>
                  <w14:solidFill>
                    <w14:schemeClr w14:val="tx1"/>
                  </w14:solidFill>
                </w14:textFill>
              </w:rPr>
              <w:t>元</w:t>
            </w:r>
            <w:r>
              <w:rPr>
                <w:rFonts w:hint="eastAsia" w:ascii="宋体" w:hAnsi="宋体" w:cs="宋体"/>
                <w:b/>
                <w:color w:val="000000" w:themeColor="text1"/>
                <w:szCs w:val="21"/>
                <w:highlight w:val="none"/>
                <w14:textFill>
                  <w14:solidFill>
                    <w14:schemeClr w14:val="tx1"/>
                  </w14:solidFill>
                </w14:textFill>
              </w:rPr>
              <w:t>。</w:t>
            </w:r>
            <w:r>
              <w:rPr>
                <w:rFonts w:hint="eastAsia" w:ascii="宋体" w:hAnsi="宋体" w:cs="宋体"/>
                <w:b/>
                <w:color w:val="000000" w:themeColor="text1"/>
                <w:szCs w:val="21"/>
                <w:highlight w:val="none"/>
                <w:lang w:val="en-US" w:eastAsia="zh-CN"/>
                <w14:textFill>
                  <w14:solidFill>
                    <w14:schemeClr w14:val="tx1"/>
                  </w14:solidFill>
                </w14:textFill>
              </w:rPr>
              <w:t>最高限价：</w:t>
            </w:r>
            <w:r>
              <w:rPr>
                <w:rFonts w:hint="eastAsia" w:ascii="宋体" w:hAnsi="宋体" w:cs="宋体"/>
                <w:b w:val="0"/>
                <w:bCs/>
                <w:color w:val="000000" w:themeColor="text1"/>
                <w:szCs w:val="21"/>
                <w:highlight w:val="none"/>
                <w:lang w:val="en-US" w:eastAsia="zh-CN"/>
                <w14:textFill>
                  <w14:solidFill>
                    <w14:schemeClr w14:val="tx1"/>
                  </w14:solidFill>
                </w14:textFill>
              </w:rPr>
              <w:t>1019600.00元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dxa"/>
            <w:vAlign w:val="center"/>
          </w:tcPr>
          <w:p>
            <w:pPr>
              <w:numPr>
                <w:ilvl w:val="0"/>
                <w:numId w:val="2"/>
              </w:numPr>
              <w:spacing w:line="360" w:lineRule="auto"/>
              <w:jc w:val="center"/>
              <w:rPr>
                <w:rFonts w:ascii="宋体" w:hAnsi="宋体" w:cs="宋体"/>
                <w:color w:val="000000" w:themeColor="text1"/>
                <w:szCs w:val="21"/>
                <w:highlight w:val="none"/>
                <w14:textFill>
                  <w14:solidFill>
                    <w14:schemeClr w14:val="tx1"/>
                  </w14:solidFill>
                </w14:textFill>
              </w:rPr>
            </w:pPr>
          </w:p>
        </w:tc>
        <w:tc>
          <w:tcPr>
            <w:tcW w:w="1658" w:type="dxa"/>
            <w:vAlign w:val="center"/>
          </w:tcPr>
          <w:p>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采购地点</w:t>
            </w:r>
          </w:p>
        </w:tc>
        <w:tc>
          <w:tcPr>
            <w:tcW w:w="6564" w:type="dxa"/>
            <w:vAlign w:val="center"/>
          </w:tcPr>
          <w:p>
            <w:pPr>
              <w:widowControl/>
              <w:spacing w:line="360" w:lineRule="auto"/>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dxa"/>
            <w:vAlign w:val="center"/>
          </w:tcPr>
          <w:p>
            <w:pPr>
              <w:numPr>
                <w:ilvl w:val="0"/>
                <w:numId w:val="2"/>
              </w:numPr>
              <w:spacing w:line="360" w:lineRule="auto"/>
              <w:jc w:val="center"/>
              <w:rPr>
                <w:rFonts w:ascii="宋体" w:hAnsi="宋体" w:cs="宋体"/>
                <w:color w:val="000000" w:themeColor="text1"/>
                <w:szCs w:val="21"/>
                <w:highlight w:val="none"/>
                <w14:textFill>
                  <w14:solidFill>
                    <w14:schemeClr w14:val="tx1"/>
                  </w14:solidFill>
                </w14:textFill>
              </w:rPr>
            </w:pPr>
          </w:p>
        </w:tc>
        <w:tc>
          <w:tcPr>
            <w:tcW w:w="1658" w:type="dxa"/>
            <w:vAlign w:val="center"/>
          </w:tcPr>
          <w:p>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工期</w:t>
            </w:r>
          </w:p>
        </w:tc>
        <w:tc>
          <w:tcPr>
            <w:tcW w:w="6564" w:type="dxa"/>
            <w:vAlign w:val="center"/>
          </w:tcPr>
          <w:p>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合同签订后21</w:t>
            </w:r>
            <w:r>
              <w:rPr>
                <w:rFonts w:hint="eastAsia" w:ascii="宋体" w:hAnsi="宋体" w:cs="宋体"/>
                <w:color w:val="000000" w:themeColor="text1"/>
                <w:szCs w:val="21"/>
                <w:highlight w:val="none"/>
                <w14:textFill>
                  <w14:solidFill>
                    <w14:schemeClr w14:val="tx1"/>
                  </w14:solidFill>
                </w14:textFill>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63" w:type="dxa"/>
            <w:vAlign w:val="center"/>
          </w:tcPr>
          <w:p>
            <w:pPr>
              <w:numPr>
                <w:ilvl w:val="0"/>
                <w:numId w:val="2"/>
              </w:numPr>
              <w:spacing w:line="360" w:lineRule="auto"/>
              <w:jc w:val="center"/>
              <w:rPr>
                <w:rFonts w:ascii="宋体" w:hAnsi="宋体" w:cs="宋体"/>
                <w:color w:val="000000" w:themeColor="text1"/>
                <w:szCs w:val="21"/>
                <w:highlight w:val="none"/>
                <w14:textFill>
                  <w14:solidFill>
                    <w14:schemeClr w14:val="tx1"/>
                  </w14:solidFill>
                </w14:textFill>
              </w:rPr>
            </w:pPr>
          </w:p>
        </w:tc>
        <w:tc>
          <w:tcPr>
            <w:tcW w:w="1658" w:type="dxa"/>
            <w:vAlign w:val="center"/>
          </w:tcPr>
          <w:p>
            <w:pPr>
              <w:spacing w:line="360" w:lineRule="auto"/>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质保期</w:t>
            </w:r>
          </w:p>
        </w:tc>
        <w:tc>
          <w:tcPr>
            <w:tcW w:w="6564" w:type="dxa"/>
            <w:vAlign w:val="center"/>
          </w:tcPr>
          <w:p>
            <w:pPr>
              <w:spacing w:line="360" w:lineRule="auto"/>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dxa"/>
            <w:vAlign w:val="center"/>
          </w:tcPr>
          <w:p>
            <w:pPr>
              <w:numPr>
                <w:ilvl w:val="0"/>
                <w:numId w:val="2"/>
              </w:numPr>
              <w:spacing w:line="360" w:lineRule="auto"/>
              <w:jc w:val="center"/>
              <w:rPr>
                <w:rFonts w:ascii="宋体" w:hAnsi="宋体" w:cs="宋体"/>
                <w:color w:val="000000" w:themeColor="text1"/>
                <w:szCs w:val="21"/>
                <w:highlight w:val="none"/>
                <w14:textFill>
                  <w14:solidFill>
                    <w14:schemeClr w14:val="tx1"/>
                  </w14:solidFill>
                </w14:textFill>
              </w:rPr>
            </w:pPr>
          </w:p>
        </w:tc>
        <w:tc>
          <w:tcPr>
            <w:tcW w:w="1658" w:type="dxa"/>
            <w:vAlign w:val="center"/>
          </w:tcPr>
          <w:p>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质量标准</w:t>
            </w:r>
          </w:p>
        </w:tc>
        <w:tc>
          <w:tcPr>
            <w:tcW w:w="6564" w:type="dxa"/>
            <w:vAlign w:val="center"/>
          </w:tcPr>
          <w:p>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按国家及省市相关建设工程质量标准的规定，达到“合格”要求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763" w:type="dxa"/>
            <w:vAlign w:val="center"/>
          </w:tcPr>
          <w:p>
            <w:pPr>
              <w:numPr>
                <w:ilvl w:val="0"/>
                <w:numId w:val="2"/>
              </w:numPr>
              <w:spacing w:line="360" w:lineRule="auto"/>
              <w:jc w:val="center"/>
              <w:rPr>
                <w:rFonts w:ascii="宋体" w:hAnsi="宋体" w:cs="宋体"/>
                <w:color w:val="000000" w:themeColor="text1"/>
                <w:szCs w:val="21"/>
                <w:highlight w:val="none"/>
                <w14:textFill>
                  <w14:solidFill>
                    <w14:schemeClr w14:val="tx1"/>
                  </w14:solidFill>
                </w14:textFill>
              </w:rPr>
            </w:pPr>
          </w:p>
        </w:tc>
        <w:tc>
          <w:tcPr>
            <w:tcW w:w="1658" w:type="dxa"/>
            <w:vAlign w:val="center"/>
          </w:tcPr>
          <w:p>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付款方式</w:t>
            </w:r>
          </w:p>
        </w:tc>
        <w:tc>
          <w:tcPr>
            <w:tcW w:w="6564" w:type="dxa"/>
            <w:vAlign w:val="center"/>
          </w:tcPr>
          <w:p>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项目完工且通过</w:t>
            </w:r>
            <w:r>
              <w:rPr>
                <w:rFonts w:hint="eastAsia" w:ascii="宋体" w:hAnsi="宋体" w:cs="宋体"/>
                <w:color w:val="000000" w:themeColor="text1"/>
                <w:szCs w:val="21"/>
                <w:highlight w:val="none"/>
                <w14:textFill>
                  <w14:solidFill>
                    <w14:schemeClr w14:val="tx1"/>
                  </w14:solidFill>
                </w14:textFill>
              </w:rPr>
              <w:t>甲方</w:t>
            </w:r>
            <w:r>
              <w:rPr>
                <w:rFonts w:hint="eastAsia" w:ascii="宋体" w:hAnsi="宋体" w:cs="宋体"/>
                <w:color w:val="000000" w:themeColor="text1"/>
                <w:szCs w:val="21"/>
                <w:highlight w:val="none"/>
                <w:lang w:val="en-US" w:eastAsia="zh-CN"/>
                <w14:textFill>
                  <w14:solidFill>
                    <w14:schemeClr w14:val="tx1"/>
                  </w14:solidFill>
                </w14:textFill>
              </w:rPr>
              <w:t>审计</w:t>
            </w:r>
            <w:r>
              <w:rPr>
                <w:rFonts w:hint="eastAsia" w:ascii="宋体" w:hAnsi="宋体" w:cs="宋体"/>
                <w:color w:val="000000" w:themeColor="text1"/>
                <w:szCs w:val="21"/>
                <w:highlight w:val="none"/>
                <w14:textFill>
                  <w14:solidFill>
                    <w14:schemeClr w14:val="tx1"/>
                  </w14:solidFill>
                </w14:textFill>
              </w:rPr>
              <w:t>验收合格后</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甲方向乙方一次性支付合同款的100%。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dxa"/>
            <w:vAlign w:val="center"/>
          </w:tcPr>
          <w:p>
            <w:pPr>
              <w:numPr>
                <w:ilvl w:val="0"/>
                <w:numId w:val="2"/>
              </w:numPr>
              <w:spacing w:line="360" w:lineRule="auto"/>
              <w:jc w:val="center"/>
              <w:rPr>
                <w:rFonts w:ascii="宋体" w:hAnsi="宋体" w:cs="宋体"/>
                <w:color w:val="000000" w:themeColor="text1"/>
                <w:szCs w:val="21"/>
                <w:highlight w:val="none"/>
                <w14:textFill>
                  <w14:solidFill>
                    <w14:schemeClr w14:val="tx1"/>
                  </w14:solidFill>
                </w14:textFill>
              </w:rPr>
            </w:pPr>
          </w:p>
        </w:tc>
        <w:tc>
          <w:tcPr>
            <w:tcW w:w="1658" w:type="dxa"/>
            <w:vAlign w:val="center"/>
          </w:tcPr>
          <w:p>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磋商文件发售</w:t>
            </w:r>
          </w:p>
        </w:tc>
        <w:tc>
          <w:tcPr>
            <w:tcW w:w="6564" w:type="dxa"/>
            <w:vAlign w:val="center"/>
          </w:tcPr>
          <w:p>
            <w:pPr>
              <w:pStyle w:val="50"/>
              <w:jc w:val="both"/>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发售时间：202</w:t>
            </w:r>
            <w:r>
              <w:rPr>
                <w:rFonts w:hint="eastAsia" w:ascii="宋体" w:hAnsi="宋体" w:cs="宋体"/>
                <w:color w:val="000000" w:themeColor="text1"/>
                <w:sz w:val="21"/>
                <w:szCs w:val="21"/>
                <w:highlight w:val="none"/>
                <w:lang w:val="en-US" w:eastAsia="zh-CN"/>
                <w14:textFill>
                  <w14:solidFill>
                    <w14:schemeClr w14:val="tx1"/>
                  </w14:solidFill>
                </w14:textFill>
              </w:rPr>
              <w:t>2</w:t>
            </w:r>
            <w:r>
              <w:rPr>
                <w:rFonts w:hint="eastAsia" w:ascii="宋体" w:hAnsi="宋体" w:cs="宋体"/>
                <w:color w:val="000000" w:themeColor="text1"/>
                <w:sz w:val="21"/>
                <w:szCs w:val="21"/>
                <w:highlight w:val="none"/>
                <w14:textFill>
                  <w14:solidFill>
                    <w14:schemeClr w14:val="tx1"/>
                  </w14:solidFill>
                </w14:textFill>
              </w:rPr>
              <w:t>年</w:t>
            </w:r>
            <w:r>
              <w:rPr>
                <w:rFonts w:hint="eastAsia" w:ascii="宋体" w:hAnsi="宋体" w:cs="宋体"/>
                <w:color w:val="000000" w:themeColor="text1"/>
                <w:sz w:val="21"/>
                <w:szCs w:val="21"/>
                <w:highlight w:val="none"/>
                <w:lang w:val="en-US" w:eastAsia="zh-CN"/>
                <w14:textFill>
                  <w14:solidFill>
                    <w14:schemeClr w14:val="tx1"/>
                  </w14:solidFill>
                </w14:textFill>
              </w:rPr>
              <w:t>4</w:t>
            </w:r>
            <w:r>
              <w:rPr>
                <w:rFonts w:hint="eastAsia" w:ascii="宋体" w:hAnsi="宋体" w:cs="宋体"/>
                <w:color w:val="000000" w:themeColor="text1"/>
                <w:sz w:val="21"/>
                <w:szCs w:val="21"/>
                <w:highlight w:val="none"/>
                <w14:textFill>
                  <w14:solidFill>
                    <w14:schemeClr w14:val="tx1"/>
                  </w14:solidFill>
                </w14:textFill>
              </w:rPr>
              <w:t>月</w:t>
            </w:r>
            <w:r>
              <w:rPr>
                <w:rFonts w:hint="eastAsia" w:ascii="宋体" w:hAnsi="宋体" w:cs="宋体"/>
                <w:color w:val="000000" w:themeColor="text1"/>
                <w:sz w:val="21"/>
                <w:szCs w:val="21"/>
                <w:highlight w:val="none"/>
                <w:lang w:val="en-US" w:eastAsia="zh-CN"/>
                <w14:textFill>
                  <w14:solidFill>
                    <w14:schemeClr w14:val="tx1"/>
                  </w14:solidFill>
                </w14:textFill>
              </w:rPr>
              <w:t xml:space="preserve"> 25</w:t>
            </w:r>
            <w:r>
              <w:rPr>
                <w:rFonts w:hint="eastAsia" w:ascii="宋体" w:hAnsi="宋体" w:cs="宋体"/>
                <w:color w:val="000000" w:themeColor="text1"/>
                <w:sz w:val="21"/>
                <w:szCs w:val="21"/>
                <w:highlight w:val="none"/>
                <w14:textFill>
                  <w14:solidFill>
                    <w14:schemeClr w14:val="tx1"/>
                  </w14:solidFill>
                </w14:textFill>
              </w:rPr>
              <w:t>日至202</w:t>
            </w:r>
            <w:r>
              <w:rPr>
                <w:rFonts w:hint="eastAsia" w:ascii="宋体" w:hAnsi="宋体" w:cs="宋体"/>
                <w:color w:val="000000" w:themeColor="text1"/>
                <w:sz w:val="21"/>
                <w:szCs w:val="21"/>
                <w:highlight w:val="none"/>
                <w:lang w:val="en-US" w:eastAsia="zh-CN"/>
                <w14:textFill>
                  <w14:solidFill>
                    <w14:schemeClr w14:val="tx1"/>
                  </w14:solidFill>
                </w14:textFill>
              </w:rPr>
              <w:t>2</w:t>
            </w:r>
            <w:r>
              <w:rPr>
                <w:rFonts w:hint="eastAsia" w:ascii="宋体" w:hAnsi="宋体" w:cs="宋体"/>
                <w:color w:val="000000" w:themeColor="text1"/>
                <w:sz w:val="21"/>
                <w:szCs w:val="21"/>
                <w:highlight w:val="none"/>
                <w14:textFill>
                  <w14:solidFill>
                    <w14:schemeClr w14:val="tx1"/>
                  </w14:solidFill>
                </w14:textFill>
              </w:rPr>
              <w:t>年</w:t>
            </w: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cs="宋体"/>
                <w:color w:val="000000" w:themeColor="text1"/>
                <w:sz w:val="21"/>
                <w:szCs w:val="21"/>
                <w:highlight w:val="none"/>
                <w14:textFill>
                  <w14:solidFill>
                    <w14:schemeClr w14:val="tx1"/>
                  </w14:solidFill>
                </w14:textFill>
              </w:rPr>
              <w:t>月</w:t>
            </w: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cs="宋体"/>
                <w:color w:val="000000" w:themeColor="text1"/>
                <w:sz w:val="21"/>
                <w:szCs w:val="21"/>
                <w:highlight w:val="none"/>
                <w14:textFill>
                  <w14:solidFill>
                    <w14:schemeClr w14:val="tx1"/>
                  </w14:solidFill>
                </w14:textFill>
              </w:rPr>
              <w:t>日（上午9：00-12:00，下午14:00-17:00）。</w:t>
            </w:r>
          </w:p>
          <w:p>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发售地点：陕西省西安市未央区凤城四路世融国际中心805室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dxa"/>
            <w:vAlign w:val="center"/>
          </w:tcPr>
          <w:p>
            <w:pPr>
              <w:numPr>
                <w:ilvl w:val="0"/>
                <w:numId w:val="2"/>
              </w:numPr>
              <w:spacing w:line="360" w:lineRule="auto"/>
              <w:jc w:val="center"/>
              <w:rPr>
                <w:rFonts w:ascii="宋体" w:hAnsi="宋体" w:cs="宋体"/>
                <w:szCs w:val="21"/>
                <w:highlight w:val="none"/>
              </w:rPr>
            </w:pPr>
          </w:p>
        </w:tc>
        <w:tc>
          <w:tcPr>
            <w:tcW w:w="1658" w:type="dxa"/>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联合体磋商</w:t>
            </w:r>
          </w:p>
        </w:tc>
        <w:tc>
          <w:tcPr>
            <w:tcW w:w="6564" w:type="dxa"/>
            <w:vAlign w:val="center"/>
          </w:tcPr>
          <w:p>
            <w:pPr>
              <w:spacing w:line="360" w:lineRule="auto"/>
              <w:rPr>
                <w:rFonts w:ascii="宋体" w:hAnsi="宋体" w:cs="宋体"/>
                <w:szCs w:val="21"/>
                <w:highlight w:val="none"/>
              </w:rPr>
            </w:pPr>
            <w:r>
              <w:rPr>
                <w:rFonts w:hint="eastAsia" w:ascii="宋体" w:hAnsi="宋体" w:cs="宋体"/>
                <w:szCs w:val="21"/>
                <w:highlight w:val="none"/>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dxa"/>
            <w:vAlign w:val="center"/>
          </w:tcPr>
          <w:p>
            <w:pPr>
              <w:numPr>
                <w:ilvl w:val="0"/>
                <w:numId w:val="2"/>
              </w:numPr>
              <w:spacing w:line="360" w:lineRule="auto"/>
              <w:jc w:val="center"/>
              <w:rPr>
                <w:rFonts w:ascii="宋体" w:hAnsi="宋体" w:cs="宋体"/>
                <w:szCs w:val="21"/>
                <w:highlight w:val="none"/>
              </w:rPr>
            </w:pPr>
          </w:p>
        </w:tc>
        <w:tc>
          <w:tcPr>
            <w:tcW w:w="1658" w:type="dxa"/>
            <w:vAlign w:val="center"/>
          </w:tcPr>
          <w:p>
            <w:pPr>
              <w:wordWrap w:val="0"/>
              <w:spacing w:line="360" w:lineRule="auto"/>
              <w:jc w:val="center"/>
              <w:rPr>
                <w:rFonts w:ascii="宋体" w:hAnsi="宋体" w:cs="宋体"/>
                <w:color w:val="000000"/>
                <w:szCs w:val="21"/>
                <w:highlight w:val="none"/>
              </w:rPr>
            </w:pPr>
            <w:r>
              <w:rPr>
                <w:rFonts w:hint="eastAsia" w:ascii="宋体" w:hAnsi="宋体" w:cs="宋体"/>
                <w:color w:val="000000"/>
                <w:kern w:val="0"/>
                <w:szCs w:val="21"/>
                <w:highlight w:val="none"/>
              </w:rPr>
              <w:t>踏勘现场</w:t>
            </w:r>
          </w:p>
        </w:tc>
        <w:tc>
          <w:tcPr>
            <w:tcW w:w="6564" w:type="dxa"/>
            <w:vAlign w:val="center"/>
          </w:tcPr>
          <w:p>
            <w:pPr>
              <w:wordWrap w:val="0"/>
              <w:spacing w:line="360" w:lineRule="auto"/>
              <w:jc w:val="left"/>
              <w:rPr>
                <w:rFonts w:ascii="宋体" w:hAnsi="宋体" w:cs="宋体"/>
                <w:szCs w:val="21"/>
                <w:highlight w:val="none"/>
              </w:rPr>
            </w:pPr>
            <w:r>
              <w:rPr>
                <w:rFonts w:hint="eastAsia" w:ascii="宋体" w:hAnsi="宋体" w:cs="宋体"/>
                <w:color w:val="000000"/>
                <w:szCs w:val="21"/>
                <w:highlight w:val="none"/>
              </w:rPr>
              <w:t>不组织统一踏勘现场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dxa"/>
            <w:vAlign w:val="center"/>
          </w:tcPr>
          <w:p>
            <w:pPr>
              <w:numPr>
                <w:ilvl w:val="0"/>
                <w:numId w:val="2"/>
              </w:numPr>
              <w:spacing w:line="360" w:lineRule="auto"/>
              <w:jc w:val="center"/>
              <w:rPr>
                <w:rFonts w:ascii="宋体" w:hAnsi="宋体" w:cs="宋体"/>
                <w:szCs w:val="21"/>
                <w:highlight w:val="none"/>
              </w:rPr>
            </w:pPr>
          </w:p>
        </w:tc>
        <w:tc>
          <w:tcPr>
            <w:tcW w:w="1658" w:type="dxa"/>
            <w:vAlign w:val="center"/>
          </w:tcPr>
          <w:p>
            <w:pPr>
              <w:spacing w:line="360" w:lineRule="auto"/>
              <w:jc w:val="center"/>
              <w:rPr>
                <w:rFonts w:ascii="宋体" w:hAnsi="宋体" w:cs="宋体"/>
                <w:color w:val="000000"/>
                <w:kern w:val="0"/>
                <w:szCs w:val="21"/>
                <w:highlight w:val="none"/>
              </w:rPr>
            </w:pPr>
            <w:r>
              <w:rPr>
                <w:rFonts w:hint="eastAsia" w:ascii="宋体" w:hAnsi="宋体" w:cs="宋体"/>
                <w:szCs w:val="21"/>
                <w:highlight w:val="none"/>
              </w:rPr>
              <w:t>供应商对磋商文件提出问题的截止时间</w:t>
            </w:r>
          </w:p>
        </w:tc>
        <w:tc>
          <w:tcPr>
            <w:tcW w:w="6564" w:type="dxa"/>
            <w:vAlign w:val="center"/>
          </w:tcPr>
          <w:p>
            <w:pPr>
              <w:spacing w:line="360" w:lineRule="auto"/>
              <w:rPr>
                <w:rFonts w:ascii="宋体" w:hAnsi="宋体" w:cs="宋体"/>
                <w:color w:val="000000"/>
                <w:szCs w:val="21"/>
                <w:highlight w:val="none"/>
              </w:rPr>
            </w:pPr>
            <w:r>
              <w:rPr>
                <w:rFonts w:hint="eastAsia" w:ascii="宋体" w:hAnsi="宋体" w:cs="宋体"/>
                <w:szCs w:val="21"/>
                <w:highlight w:val="none"/>
              </w:rPr>
              <w:t>磋商文件递交截止时间3日前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dxa"/>
            <w:vAlign w:val="center"/>
          </w:tcPr>
          <w:p>
            <w:pPr>
              <w:numPr>
                <w:ilvl w:val="0"/>
                <w:numId w:val="2"/>
              </w:numPr>
              <w:spacing w:line="360" w:lineRule="auto"/>
              <w:jc w:val="center"/>
              <w:rPr>
                <w:rFonts w:ascii="宋体" w:hAnsi="宋体" w:cs="宋体"/>
                <w:szCs w:val="21"/>
                <w:highlight w:val="none"/>
              </w:rPr>
            </w:pPr>
          </w:p>
        </w:tc>
        <w:tc>
          <w:tcPr>
            <w:tcW w:w="1658" w:type="dxa"/>
            <w:vAlign w:val="center"/>
          </w:tcPr>
          <w:p>
            <w:pPr>
              <w:spacing w:line="360" w:lineRule="auto"/>
              <w:jc w:val="center"/>
              <w:rPr>
                <w:rFonts w:ascii="宋体" w:hAnsi="宋体" w:cs="宋体"/>
                <w:color w:val="000000"/>
                <w:kern w:val="0"/>
                <w:szCs w:val="21"/>
                <w:highlight w:val="none"/>
              </w:rPr>
            </w:pPr>
            <w:r>
              <w:rPr>
                <w:rFonts w:hint="eastAsia" w:ascii="宋体" w:hAnsi="宋体" w:cs="宋体"/>
                <w:szCs w:val="21"/>
                <w:highlight w:val="none"/>
              </w:rPr>
              <w:t>采购代理机构答疑的时间</w:t>
            </w:r>
          </w:p>
        </w:tc>
        <w:tc>
          <w:tcPr>
            <w:tcW w:w="6564" w:type="dxa"/>
            <w:vAlign w:val="center"/>
          </w:tcPr>
          <w:p>
            <w:pPr>
              <w:spacing w:line="360" w:lineRule="auto"/>
              <w:rPr>
                <w:rFonts w:ascii="宋体" w:hAnsi="宋体" w:cs="宋体"/>
                <w:color w:val="000000"/>
                <w:szCs w:val="21"/>
                <w:highlight w:val="none"/>
              </w:rPr>
            </w:pPr>
            <w:r>
              <w:rPr>
                <w:rFonts w:hint="eastAsia" w:ascii="宋体" w:hAnsi="宋体" w:cs="宋体"/>
                <w:szCs w:val="21"/>
                <w:highlight w:val="none"/>
              </w:rPr>
              <w:t>自收到供应商疑问2日内答疑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763" w:type="dxa"/>
            <w:vAlign w:val="center"/>
          </w:tcPr>
          <w:p>
            <w:pPr>
              <w:numPr>
                <w:ilvl w:val="0"/>
                <w:numId w:val="2"/>
              </w:numPr>
              <w:spacing w:line="360" w:lineRule="auto"/>
              <w:jc w:val="center"/>
              <w:rPr>
                <w:rFonts w:ascii="宋体" w:hAnsi="宋体" w:cs="宋体"/>
                <w:color w:val="000000" w:themeColor="text1"/>
                <w:szCs w:val="21"/>
                <w:highlight w:val="none"/>
                <w14:textFill>
                  <w14:solidFill>
                    <w14:schemeClr w14:val="tx1"/>
                  </w14:solidFill>
                </w14:textFill>
              </w:rPr>
            </w:pPr>
          </w:p>
        </w:tc>
        <w:tc>
          <w:tcPr>
            <w:tcW w:w="1658" w:type="dxa"/>
            <w:vAlign w:val="center"/>
          </w:tcPr>
          <w:p>
            <w:pPr>
              <w:tabs>
                <w:tab w:val="left" w:pos="1845"/>
                <w:tab w:val="right" w:pos="9014"/>
              </w:tabs>
              <w:spacing w:line="360" w:lineRule="auto"/>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构成磋商文件的其他文件</w:t>
            </w:r>
          </w:p>
        </w:tc>
        <w:tc>
          <w:tcPr>
            <w:tcW w:w="6564" w:type="dxa"/>
            <w:vAlign w:val="center"/>
          </w:tcPr>
          <w:p>
            <w:pPr>
              <w:tabs>
                <w:tab w:val="left" w:pos="1845"/>
                <w:tab w:val="right" w:pos="9014"/>
              </w:tabs>
              <w:spacing w:line="360" w:lineRule="auto"/>
              <w:rPr>
                <w:rFonts w:ascii="宋体" w:hAnsi="宋体" w:cs="宋体"/>
                <w:kern w:val="0"/>
                <w:szCs w:val="21"/>
                <w:highlight w:val="none"/>
              </w:rPr>
            </w:pPr>
            <w:r>
              <w:rPr>
                <w:rFonts w:hint="eastAsia" w:ascii="宋体" w:hAnsi="宋体" w:cs="宋体"/>
                <w:kern w:val="0"/>
                <w:szCs w:val="21"/>
                <w:highlight w:val="none"/>
              </w:rPr>
              <w:t>磋商文件的澄清、修改书及有关补充通知为磋商文件的有效组成部分。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dxa"/>
            <w:vAlign w:val="center"/>
          </w:tcPr>
          <w:p>
            <w:pPr>
              <w:numPr>
                <w:ilvl w:val="0"/>
                <w:numId w:val="2"/>
              </w:numPr>
              <w:spacing w:line="360" w:lineRule="auto"/>
              <w:jc w:val="center"/>
              <w:rPr>
                <w:rFonts w:ascii="宋体" w:hAnsi="宋体" w:cs="宋体"/>
                <w:color w:val="000000" w:themeColor="text1"/>
                <w:szCs w:val="21"/>
                <w:highlight w:val="none"/>
                <w14:textFill>
                  <w14:solidFill>
                    <w14:schemeClr w14:val="tx1"/>
                  </w14:solidFill>
                </w14:textFill>
              </w:rPr>
            </w:pPr>
          </w:p>
        </w:tc>
        <w:tc>
          <w:tcPr>
            <w:tcW w:w="1658" w:type="dxa"/>
            <w:vAlign w:val="center"/>
          </w:tcPr>
          <w:p>
            <w:pPr>
              <w:pStyle w:val="50"/>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磋商文件递交截止时间和地点</w:t>
            </w:r>
          </w:p>
        </w:tc>
        <w:tc>
          <w:tcPr>
            <w:tcW w:w="6564" w:type="dxa"/>
            <w:vAlign w:val="center"/>
          </w:tcPr>
          <w:p>
            <w:pPr>
              <w:spacing w:line="360" w:lineRule="auto"/>
              <w:rPr>
                <w:rFonts w:ascii="宋体" w:hAnsi="宋体" w:cs="宋体"/>
                <w:color w:val="000000"/>
                <w:kern w:val="0"/>
                <w:szCs w:val="21"/>
                <w:highlight w:val="none"/>
              </w:rPr>
            </w:pPr>
            <w:r>
              <w:rPr>
                <w:rFonts w:hint="eastAsia" w:ascii="宋体" w:hAnsi="宋体" w:cs="宋体"/>
                <w:kern w:val="0"/>
                <w:szCs w:val="21"/>
                <w:highlight w:val="none"/>
              </w:rPr>
              <w:t>1.磋商文件截止时</w:t>
            </w:r>
            <w:r>
              <w:rPr>
                <w:rFonts w:hint="eastAsia" w:ascii="宋体" w:hAnsi="宋体" w:cs="宋体"/>
                <w:color w:val="000000"/>
                <w:kern w:val="0"/>
                <w:szCs w:val="21"/>
                <w:highlight w:val="none"/>
              </w:rPr>
              <w:t>间：202</w:t>
            </w:r>
            <w:r>
              <w:rPr>
                <w:rFonts w:hint="eastAsia" w:ascii="宋体" w:hAnsi="宋体" w:cs="宋体"/>
                <w:color w:val="000000"/>
                <w:kern w:val="0"/>
                <w:szCs w:val="21"/>
                <w:highlight w:val="none"/>
                <w:lang w:val="en-US" w:eastAsia="zh-CN"/>
              </w:rPr>
              <w:t>2</w:t>
            </w:r>
            <w:r>
              <w:rPr>
                <w:rFonts w:hint="eastAsia" w:ascii="宋体" w:hAnsi="宋体" w:cs="宋体"/>
                <w:color w:val="000000"/>
                <w:kern w:val="0"/>
                <w:szCs w:val="21"/>
                <w:highlight w:val="none"/>
              </w:rPr>
              <w:t>年</w:t>
            </w:r>
            <w:r>
              <w:rPr>
                <w:rFonts w:hint="eastAsia" w:ascii="宋体" w:hAnsi="宋体" w:cs="宋体"/>
                <w:color w:val="000000"/>
                <w:kern w:val="0"/>
                <w:szCs w:val="21"/>
                <w:highlight w:val="none"/>
                <w:lang w:val="en-US" w:eastAsia="zh-CN"/>
              </w:rPr>
              <w:t>5</w:t>
            </w:r>
            <w:r>
              <w:rPr>
                <w:rFonts w:hint="eastAsia" w:ascii="宋体" w:hAnsi="宋体" w:cs="宋体"/>
                <w:color w:val="000000"/>
                <w:kern w:val="0"/>
                <w:szCs w:val="21"/>
                <w:highlight w:val="none"/>
              </w:rPr>
              <w:t>月</w:t>
            </w:r>
            <w:r>
              <w:rPr>
                <w:rFonts w:hint="eastAsia" w:ascii="宋体" w:hAnsi="宋体" w:cs="宋体"/>
                <w:color w:val="000000"/>
                <w:kern w:val="0"/>
                <w:szCs w:val="21"/>
                <w:highlight w:val="none"/>
                <w:lang w:val="en-US" w:eastAsia="zh-CN"/>
              </w:rPr>
              <w:t>10</w:t>
            </w:r>
            <w:r>
              <w:rPr>
                <w:rFonts w:hint="eastAsia" w:ascii="宋体" w:hAnsi="宋体" w:cs="宋体"/>
                <w:color w:val="000000"/>
                <w:kern w:val="0"/>
                <w:szCs w:val="21"/>
                <w:highlight w:val="none"/>
              </w:rPr>
              <w:t>日1</w:t>
            </w:r>
            <w:r>
              <w:rPr>
                <w:rFonts w:hint="eastAsia" w:ascii="宋体" w:hAnsi="宋体" w:cs="宋体"/>
                <w:color w:val="000000"/>
                <w:kern w:val="0"/>
                <w:szCs w:val="21"/>
                <w:highlight w:val="none"/>
                <w:lang w:val="en-US" w:eastAsia="zh-CN"/>
              </w:rPr>
              <w:t>4</w:t>
            </w:r>
            <w:r>
              <w:rPr>
                <w:rFonts w:hint="eastAsia" w:ascii="宋体" w:hAnsi="宋体" w:cs="宋体"/>
                <w:color w:val="000000"/>
                <w:kern w:val="0"/>
                <w:szCs w:val="21"/>
                <w:highlight w:val="none"/>
              </w:rPr>
              <w:t>:</w:t>
            </w:r>
            <w:r>
              <w:rPr>
                <w:rFonts w:hint="eastAsia" w:ascii="宋体" w:hAnsi="宋体" w:cs="宋体"/>
                <w:color w:val="000000"/>
                <w:kern w:val="0"/>
                <w:szCs w:val="21"/>
                <w:highlight w:val="none"/>
                <w:lang w:val="en-US" w:eastAsia="zh-CN"/>
              </w:rPr>
              <w:t>0</w:t>
            </w:r>
            <w:r>
              <w:rPr>
                <w:rFonts w:hint="eastAsia" w:ascii="宋体" w:hAnsi="宋体" w:cs="宋体"/>
                <w:color w:val="000000"/>
                <w:kern w:val="0"/>
                <w:szCs w:val="21"/>
                <w:highlight w:val="none"/>
              </w:rPr>
              <w:t>0（北京时间）</w:t>
            </w:r>
          </w:p>
          <w:p>
            <w:pPr>
              <w:spacing w:line="360" w:lineRule="auto"/>
              <w:rPr>
                <w:rFonts w:ascii="宋体" w:hAnsi="宋体" w:cs="宋体"/>
                <w:kern w:val="0"/>
                <w:szCs w:val="21"/>
                <w:highlight w:val="none"/>
              </w:rPr>
            </w:pPr>
            <w:r>
              <w:rPr>
                <w:rFonts w:hint="eastAsia" w:ascii="宋体" w:hAnsi="宋体" w:cs="宋体"/>
                <w:color w:val="000000"/>
                <w:kern w:val="0"/>
                <w:szCs w:val="21"/>
                <w:highlight w:val="none"/>
              </w:rPr>
              <w:t>2.磋商时间：202</w:t>
            </w:r>
            <w:r>
              <w:rPr>
                <w:rFonts w:hint="eastAsia" w:ascii="宋体" w:hAnsi="宋体" w:cs="宋体"/>
                <w:color w:val="000000"/>
                <w:kern w:val="0"/>
                <w:szCs w:val="21"/>
                <w:highlight w:val="none"/>
                <w:lang w:val="en-US" w:eastAsia="zh-CN"/>
              </w:rPr>
              <w:t>2</w:t>
            </w:r>
            <w:r>
              <w:rPr>
                <w:rFonts w:hint="eastAsia" w:ascii="宋体" w:hAnsi="宋体" w:cs="宋体"/>
                <w:color w:val="000000"/>
                <w:kern w:val="0"/>
                <w:szCs w:val="21"/>
                <w:highlight w:val="none"/>
              </w:rPr>
              <w:t>年</w:t>
            </w:r>
            <w:r>
              <w:rPr>
                <w:rFonts w:hint="eastAsia" w:ascii="宋体" w:hAnsi="宋体" w:cs="宋体"/>
                <w:color w:val="000000"/>
                <w:kern w:val="0"/>
                <w:szCs w:val="21"/>
                <w:highlight w:val="none"/>
                <w:lang w:val="en-US" w:eastAsia="zh-CN"/>
              </w:rPr>
              <w:t>5</w:t>
            </w:r>
            <w:r>
              <w:rPr>
                <w:rFonts w:hint="eastAsia" w:ascii="宋体" w:hAnsi="宋体" w:cs="宋体"/>
                <w:color w:val="000000"/>
                <w:kern w:val="0"/>
                <w:szCs w:val="21"/>
                <w:highlight w:val="none"/>
              </w:rPr>
              <w:t>月</w:t>
            </w:r>
            <w:r>
              <w:rPr>
                <w:rFonts w:hint="eastAsia" w:ascii="宋体" w:hAnsi="宋体" w:cs="宋体"/>
                <w:color w:val="000000"/>
                <w:kern w:val="0"/>
                <w:szCs w:val="21"/>
                <w:highlight w:val="none"/>
                <w:lang w:val="en-US" w:eastAsia="zh-CN"/>
              </w:rPr>
              <w:t>10</w:t>
            </w:r>
            <w:r>
              <w:rPr>
                <w:rFonts w:hint="eastAsia" w:ascii="宋体" w:hAnsi="宋体" w:cs="宋体"/>
                <w:color w:val="000000"/>
                <w:kern w:val="0"/>
                <w:szCs w:val="21"/>
                <w:highlight w:val="none"/>
              </w:rPr>
              <w:t>日1</w:t>
            </w:r>
            <w:r>
              <w:rPr>
                <w:rFonts w:hint="eastAsia" w:ascii="宋体" w:hAnsi="宋体" w:cs="宋体"/>
                <w:color w:val="000000"/>
                <w:kern w:val="0"/>
                <w:szCs w:val="21"/>
                <w:highlight w:val="none"/>
                <w:lang w:val="en-US" w:eastAsia="zh-CN"/>
              </w:rPr>
              <w:t>4</w:t>
            </w:r>
            <w:r>
              <w:rPr>
                <w:rFonts w:hint="eastAsia" w:ascii="宋体" w:hAnsi="宋体" w:cs="宋体"/>
                <w:color w:val="000000"/>
                <w:kern w:val="0"/>
                <w:szCs w:val="21"/>
                <w:highlight w:val="none"/>
              </w:rPr>
              <w:t>:</w:t>
            </w:r>
            <w:r>
              <w:rPr>
                <w:rFonts w:hint="eastAsia" w:ascii="宋体" w:hAnsi="宋体" w:cs="宋体"/>
                <w:color w:val="000000"/>
                <w:kern w:val="0"/>
                <w:szCs w:val="21"/>
                <w:highlight w:val="none"/>
                <w:lang w:val="en-US" w:eastAsia="zh-CN"/>
              </w:rPr>
              <w:t>0</w:t>
            </w:r>
            <w:r>
              <w:rPr>
                <w:rFonts w:hint="eastAsia" w:ascii="宋体" w:hAnsi="宋体" w:cs="宋体"/>
                <w:color w:val="000000"/>
                <w:kern w:val="0"/>
                <w:szCs w:val="21"/>
                <w:highlight w:val="none"/>
              </w:rPr>
              <w:t>0（（北京时间</w:t>
            </w:r>
            <w:r>
              <w:rPr>
                <w:rFonts w:hint="eastAsia" w:ascii="宋体" w:hAnsi="宋体" w:cs="宋体"/>
                <w:kern w:val="0"/>
                <w:szCs w:val="21"/>
                <w:highlight w:val="none"/>
              </w:rPr>
              <w:t>）</w:t>
            </w:r>
          </w:p>
          <w:p>
            <w:pPr>
              <w:spacing w:line="360" w:lineRule="auto"/>
              <w:rPr>
                <w:rFonts w:ascii="宋体" w:hAnsi="宋体" w:cs="宋体"/>
                <w:kern w:val="0"/>
                <w:szCs w:val="21"/>
                <w:highlight w:val="none"/>
              </w:rPr>
            </w:pPr>
            <w:r>
              <w:rPr>
                <w:rFonts w:hint="eastAsia" w:ascii="宋体" w:hAnsi="宋体" w:cs="宋体"/>
                <w:kern w:val="0"/>
                <w:szCs w:val="21"/>
                <w:highlight w:val="none"/>
              </w:rPr>
              <w:t>3.磋商地点：陕西省西安市未央区凤城四路世融国际中心805室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dxa"/>
            <w:vAlign w:val="center"/>
          </w:tcPr>
          <w:p>
            <w:pPr>
              <w:numPr>
                <w:ilvl w:val="0"/>
                <w:numId w:val="2"/>
              </w:numPr>
              <w:spacing w:line="360" w:lineRule="auto"/>
              <w:jc w:val="center"/>
              <w:rPr>
                <w:rFonts w:ascii="宋体" w:hAnsi="宋体" w:cs="宋体"/>
                <w:szCs w:val="21"/>
                <w:highlight w:val="none"/>
              </w:rPr>
            </w:pPr>
          </w:p>
        </w:tc>
        <w:tc>
          <w:tcPr>
            <w:tcW w:w="1658" w:type="dxa"/>
            <w:vAlign w:val="center"/>
          </w:tcPr>
          <w:p>
            <w:pPr>
              <w:pStyle w:val="50"/>
              <w:jc w:val="center"/>
              <w:rPr>
                <w:rFonts w:ascii="宋体" w:hAnsi="宋体" w:cs="宋体"/>
                <w:color w:val="000000"/>
                <w:sz w:val="21"/>
                <w:szCs w:val="21"/>
                <w:highlight w:val="none"/>
              </w:rPr>
            </w:pPr>
            <w:r>
              <w:rPr>
                <w:rFonts w:hint="eastAsia" w:ascii="宋体" w:hAnsi="宋体" w:cs="宋体"/>
                <w:color w:val="000000"/>
                <w:sz w:val="21"/>
                <w:szCs w:val="21"/>
                <w:highlight w:val="none"/>
              </w:rPr>
              <w:t>磋商小组的组建</w:t>
            </w:r>
          </w:p>
        </w:tc>
        <w:tc>
          <w:tcPr>
            <w:tcW w:w="6564" w:type="dxa"/>
            <w:vAlign w:val="center"/>
          </w:tcPr>
          <w:p>
            <w:pPr>
              <w:tabs>
                <w:tab w:val="left" w:pos="1845"/>
                <w:tab w:val="right" w:pos="9014"/>
              </w:tabs>
              <w:spacing w:line="360" w:lineRule="auto"/>
              <w:rPr>
                <w:rFonts w:ascii="宋体" w:hAnsi="宋体" w:cs="宋体"/>
                <w:kern w:val="0"/>
                <w:szCs w:val="21"/>
                <w:highlight w:val="none"/>
              </w:rPr>
            </w:pPr>
            <w:r>
              <w:rPr>
                <w:rFonts w:hint="eastAsia" w:ascii="宋体" w:hAnsi="宋体" w:cs="宋体"/>
                <w:kern w:val="0"/>
                <w:szCs w:val="21"/>
                <w:highlight w:val="none"/>
              </w:rPr>
              <w:t>磋商小组构成：3人，其中采购人代表1人，专家2人；专家名单在陕西省财政厅政府采购专家库中随机抽取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dxa"/>
            <w:vAlign w:val="center"/>
          </w:tcPr>
          <w:p>
            <w:pPr>
              <w:numPr>
                <w:ilvl w:val="0"/>
                <w:numId w:val="2"/>
              </w:numPr>
              <w:spacing w:line="360" w:lineRule="auto"/>
              <w:jc w:val="center"/>
              <w:rPr>
                <w:rFonts w:ascii="宋体" w:hAnsi="宋体" w:cs="宋体"/>
                <w:bCs/>
                <w:szCs w:val="21"/>
                <w:highlight w:val="none"/>
              </w:rPr>
            </w:pPr>
          </w:p>
        </w:tc>
        <w:tc>
          <w:tcPr>
            <w:tcW w:w="1658" w:type="dxa"/>
            <w:vAlign w:val="center"/>
          </w:tcPr>
          <w:p>
            <w:pPr>
              <w:spacing w:line="360" w:lineRule="auto"/>
              <w:jc w:val="center"/>
              <w:rPr>
                <w:rFonts w:ascii="宋体" w:hAnsi="宋体" w:cs="宋体"/>
                <w:bCs/>
                <w:color w:val="000000"/>
                <w:szCs w:val="21"/>
                <w:highlight w:val="none"/>
              </w:rPr>
            </w:pPr>
            <w:r>
              <w:rPr>
                <w:rFonts w:hint="eastAsia" w:ascii="宋体" w:hAnsi="宋体" w:cs="宋体"/>
                <w:color w:val="000000"/>
                <w:szCs w:val="21"/>
                <w:highlight w:val="none"/>
              </w:rPr>
              <w:t>磋商保证金</w:t>
            </w:r>
          </w:p>
        </w:tc>
        <w:tc>
          <w:tcPr>
            <w:tcW w:w="6564" w:type="dxa"/>
            <w:vAlign w:val="center"/>
          </w:tcPr>
          <w:p>
            <w:pPr>
              <w:spacing w:line="360" w:lineRule="auto"/>
              <w:rPr>
                <w:rFonts w:ascii="宋体" w:hAnsi="宋体" w:cs="宋体"/>
                <w:bCs/>
                <w:szCs w:val="21"/>
                <w:highlight w:val="none"/>
              </w:rPr>
            </w:pPr>
            <w:r>
              <w:rPr>
                <w:rFonts w:hint="eastAsia" w:ascii="宋体" w:hAnsi="宋体" w:cs="宋体"/>
                <w:szCs w:val="21"/>
                <w:highlight w:val="none"/>
              </w:rPr>
              <w:t>本项目不收取磋商保证金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dxa"/>
            <w:vAlign w:val="center"/>
          </w:tcPr>
          <w:p>
            <w:pPr>
              <w:numPr>
                <w:ilvl w:val="0"/>
                <w:numId w:val="2"/>
              </w:numPr>
              <w:spacing w:line="360" w:lineRule="auto"/>
              <w:jc w:val="center"/>
              <w:rPr>
                <w:rFonts w:ascii="宋体" w:hAnsi="宋体" w:cs="宋体"/>
                <w:bCs/>
                <w:szCs w:val="21"/>
                <w:highlight w:val="none"/>
              </w:rPr>
            </w:pPr>
          </w:p>
        </w:tc>
        <w:tc>
          <w:tcPr>
            <w:tcW w:w="1658" w:type="dxa"/>
            <w:vAlign w:val="center"/>
          </w:tcPr>
          <w:p>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履约保证金</w:t>
            </w:r>
          </w:p>
        </w:tc>
        <w:tc>
          <w:tcPr>
            <w:tcW w:w="6564" w:type="dxa"/>
            <w:vAlign w:val="center"/>
          </w:tcPr>
          <w:p>
            <w:pPr>
              <w:spacing w:line="360" w:lineRule="exact"/>
              <w:jc w:val="left"/>
              <w:rPr>
                <w:rFonts w:ascii="宋体" w:hAnsi="宋体" w:cs="宋体"/>
                <w:szCs w:val="21"/>
                <w:highlight w:val="none"/>
              </w:rPr>
            </w:pPr>
            <w:r>
              <w:rPr>
                <w:rFonts w:hint="eastAsia" w:ascii="宋体" w:hAnsi="宋体" w:cs="宋体"/>
                <w:szCs w:val="21"/>
                <w:highlight w:val="none"/>
              </w:rPr>
              <w:t>本项目不收取履约保证金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dxa"/>
            <w:vAlign w:val="center"/>
          </w:tcPr>
          <w:p>
            <w:pPr>
              <w:numPr>
                <w:ilvl w:val="0"/>
                <w:numId w:val="2"/>
              </w:numPr>
              <w:spacing w:line="360" w:lineRule="auto"/>
              <w:jc w:val="center"/>
              <w:rPr>
                <w:rFonts w:ascii="宋体" w:hAnsi="宋体" w:cs="宋体"/>
                <w:bCs/>
                <w:szCs w:val="21"/>
                <w:highlight w:val="none"/>
              </w:rPr>
            </w:pPr>
          </w:p>
        </w:tc>
        <w:tc>
          <w:tcPr>
            <w:tcW w:w="1658" w:type="dxa"/>
            <w:vAlign w:val="center"/>
          </w:tcPr>
          <w:p>
            <w:pPr>
              <w:spacing w:line="360" w:lineRule="auto"/>
              <w:jc w:val="center"/>
              <w:rPr>
                <w:rFonts w:ascii="宋体" w:hAnsi="宋体" w:cs="宋体"/>
                <w:bCs/>
                <w:color w:val="0000FF"/>
                <w:szCs w:val="21"/>
                <w:highlight w:val="none"/>
              </w:rPr>
            </w:pPr>
            <w:r>
              <w:rPr>
                <w:rFonts w:hint="eastAsia" w:ascii="宋体" w:hAnsi="宋体" w:cs="宋体"/>
                <w:bCs/>
                <w:color w:val="000000" w:themeColor="text1"/>
                <w:szCs w:val="21"/>
                <w:highlight w:val="none"/>
                <w14:textFill>
                  <w14:solidFill>
                    <w14:schemeClr w14:val="tx1"/>
                  </w14:solidFill>
                </w14:textFill>
              </w:rPr>
              <w:t>磋商报价</w:t>
            </w:r>
          </w:p>
        </w:tc>
        <w:tc>
          <w:tcPr>
            <w:tcW w:w="6564" w:type="dxa"/>
            <w:vAlign w:val="center"/>
          </w:tcPr>
          <w:p>
            <w:pPr>
              <w:spacing w:line="360" w:lineRule="auto"/>
              <w:rPr>
                <w:rFonts w:ascii="宋体" w:hAnsi="宋体" w:cs="宋体"/>
                <w:bCs/>
                <w:color w:val="0000FF"/>
                <w:szCs w:val="21"/>
                <w:highlight w:val="none"/>
              </w:rPr>
            </w:pPr>
            <w:r>
              <w:rPr>
                <w:rFonts w:hint="eastAsia" w:ascii="宋体" w:hAnsi="宋体" w:cs="宋体"/>
                <w:bCs/>
                <w:color w:val="auto"/>
                <w:szCs w:val="21"/>
                <w:highlight w:val="none"/>
              </w:rPr>
              <w:t>磋商报价是竞争性磋商文件所确定的磋商范围内的全部工作内容的价格体现，应包括材料费、施工费、运杂费（含保险）、仓储保管费、税金等其他一切相关费用，以及采购人在磋商前以及合同明示或暗示的所有风险、责任和义务。供应商成交后，总价将不作任何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dxa"/>
            <w:vAlign w:val="center"/>
          </w:tcPr>
          <w:p>
            <w:pPr>
              <w:numPr>
                <w:ilvl w:val="0"/>
                <w:numId w:val="2"/>
              </w:numPr>
              <w:spacing w:line="360" w:lineRule="auto"/>
              <w:jc w:val="center"/>
              <w:rPr>
                <w:rFonts w:ascii="宋体" w:hAnsi="宋体" w:cs="宋体"/>
                <w:szCs w:val="21"/>
                <w:highlight w:val="none"/>
              </w:rPr>
            </w:pPr>
          </w:p>
        </w:tc>
        <w:tc>
          <w:tcPr>
            <w:tcW w:w="1658" w:type="dxa"/>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磋商有效期</w:t>
            </w:r>
          </w:p>
        </w:tc>
        <w:tc>
          <w:tcPr>
            <w:tcW w:w="6564" w:type="dxa"/>
            <w:vAlign w:val="center"/>
          </w:tcPr>
          <w:p>
            <w:pPr>
              <w:spacing w:line="360" w:lineRule="auto"/>
              <w:rPr>
                <w:rFonts w:ascii="宋体" w:hAnsi="宋体" w:cs="宋体"/>
                <w:szCs w:val="21"/>
                <w:highlight w:val="none"/>
              </w:rPr>
            </w:pPr>
            <w:r>
              <w:rPr>
                <w:rFonts w:hint="eastAsia" w:ascii="宋体" w:hAnsi="宋体" w:cs="宋体"/>
                <w:szCs w:val="21"/>
                <w:highlight w:val="none"/>
              </w:rPr>
              <w:t>从磋商截止之日起90日历天。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dxa"/>
            <w:vAlign w:val="center"/>
          </w:tcPr>
          <w:p>
            <w:pPr>
              <w:numPr>
                <w:ilvl w:val="0"/>
                <w:numId w:val="2"/>
              </w:numPr>
              <w:spacing w:line="360" w:lineRule="auto"/>
              <w:jc w:val="center"/>
              <w:rPr>
                <w:rFonts w:ascii="宋体" w:hAnsi="宋体" w:cs="宋体"/>
                <w:szCs w:val="21"/>
                <w:highlight w:val="none"/>
              </w:rPr>
            </w:pPr>
          </w:p>
        </w:tc>
        <w:tc>
          <w:tcPr>
            <w:tcW w:w="1658" w:type="dxa"/>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磋商响应文件的装订、数量</w:t>
            </w:r>
          </w:p>
        </w:tc>
        <w:tc>
          <w:tcPr>
            <w:tcW w:w="6564" w:type="dxa"/>
            <w:vAlign w:val="center"/>
          </w:tcPr>
          <w:p>
            <w:pPr>
              <w:spacing w:line="360" w:lineRule="auto"/>
              <w:jc w:val="left"/>
              <w:rPr>
                <w:rFonts w:ascii="宋体" w:hAnsi="宋体" w:cs="宋体"/>
                <w:szCs w:val="21"/>
                <w:highlight w:val="none"/>
              </w:rPr>
            </w:pPr>
            <w:r>
              <w:rPr>
                <w:rFonts w:hint="eastAsia" w:ascii="宋体" w:hAnsi="宋体" w:cs="宋体"/>
                <w:szCs w:val="21"/>
                <w:highlight w:val="none"/>
              </w:rPr>
              <w:t>磋商响应文件一律采用书籍（胶装）方式装订。</w:t>
            </w:r>
            <w:r>
              <w:rPr>
                <w:rFonts w:hint="eastAsia" w:ascii="宋体" w:hAnsi="宋体" w:cs="宋体"/>
                <w:b/>
                <w:bCs/>
                <w:szCs w:val="21"/>
                <w:highlight w:val="none"/>
              </w:rPr>
              <w:t>磋商响应文件正本壹份、副本贰份，电子版贰份（U盘，电子文档应为PDF与WORD格式）（注明供应商名称）。</w:t>
            </w:r>
            <w:r>
              <w:rPr>
                <w:rFonts w:hint="eastAsia" w:ascii="宋体" w:hAnsi="宋体" w:cs="宋体"/>
                <w:szCs w:val="21"/>
                <w:highlight w:val="none"/>
              </w:rPr>
              <w:t>供应商应将响应文件的正本、所有副本和电子版文件，用单独的封袋分装密封（封袋不得有破损），在封袋上标明“正本”、“副本”或“电子版”字样，封袋封口处应加贴封条。</w:t>
            </w:r>
          </w:p>
          <w:p>
            <w:pPr>
              <w:tabs>
                <w:tab w:val="left" w:pos="7013"/>
              </w:tabs>
              <w:spacing w:line="360" w:lineRule="auto"/>
              <w:rPr>
                <w:rFonts w:ascii="宋体" w:hAnsi="宋体" w:cs="宋体"/>
                <w:szCs w:val="21"/>
                <w:highlight w:val="none"/>
              </w:rPr>
            </w:pPr>
            <w:r>
              <w:rPr>
                <w:rFonts w:hint="eastAsia" w:ascii="宋体" w:hAnsi="宋体" w:cs="宋体"/>
                <w:b/>
                <w:szCs w:val="21"/>
                <w:highlight w:val="none"/>
              </w:rPr>
              <w:t>对未按磋商文件要求方式装订和递交的磋商响应文件，将作为无效文件处理。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dxa"/>
            <w:vAlign w:val="center"/>
          </w:tcPr>
          <w:p>
            <w:pPr>
              <w:numPr>
                <w:ilvl w:val="0"/>
                <w:numId w:val="2"/>
              </w:numPr>
              <w:spacing w:line="360" w:lineRule="auto"/>
              <w:jc w:val="center"/>
              <w:rPr>
                <w:rFonts w:ascii="宋体" w:hAnsi="宋体" w:cs="宋体"/>
                <w:szCs w:val="21"/>
                <w:highlight w:val="none"/>
              </w:rPr>
            </w:pPr>
          </w:p>
        </w:tc>
        <w:tc>
          <w:tcPr>
            <w:tcW w:w="1658" w:type="dxa"/>
            <w:vAlign w:val="center"/>
          </w:tcPr>
          <w:p>
            <w:pPr>
              <w:jc w:val="center"/>
              <w:rPr>
                <w:rFonts w:ascii="宋体" w:hAnsi="宋体" w:cs="宋体"/>
                <w:color w:val="000000"/>
                <w:szCs w:val="21"/>
                <w:highlight w:val="none"/>
              </w:rPr>
            </w:pPr>
            <w:r>
              <w:rPr>
                <w:rFonts w:hint="eastAsia" w:ascii="宋体" w:hAnsi="宋体" w:cs="宋体"/>
                <w:color w:val="000000"/>
                <w:szCs w:val="21"/>
                <w:highlight w:val="none"/>
              </w:rPr>
              <w:t>磋商现场</w:t>
            </w:r>
          </w:p>
          <w:p>
            <w:pPr>
              <w:jc w:val="center"/>
              <w:rPr>
                <w:rFonts w:ascii="宋体" w:hAnsi="宋体" w:cs="宋体"/>
                <w:color w:val="000000"/>
                <w:szCs w:val="21"/>
                <w:highlight w:val="none"/>
              </w:rPr>
            </w:pPr>
            <w:r>
              <w:rPr>
                <w:rFonts w:hint="eastAsia" w:ascii="宋体" w:hAnsi="宋体" w:cs="宋体"/>
                <w:color w:val="000000"/>
                <w:szCs w:val="21"/>
                <w:highlight w:val="none"/>
              </w:rPr>
              <w:t>须携带的资料</w:t>
            </w:r>
          </w:p>
        </w:tc>
        <w:tc>
          <w:tcPr>
            <w:tcW w:w="6564" w:type="dxa"/>
            <w:vAlign w:val="center"/>
          </w:tcPr>
          <w:p>
            <w:pPr>
              <w:overflowPunct w:val="0"/>
              <w:adjustRightInd w:val="0"/>
              <w:snapToGrid w:val="0"/>
              <w:spacing w:line="360" w:lineRule="auto"/>
              <w:ind w:left="-2" w:leftChars="0" w:firstLine="0" w:firstLineChars="0"/>
              <w:rPr>
                <w:rFonts w:ascii="宋体" w:hAnsi="宋体" w:cs="宋体"/>
                <w:b/>
                <w:szCs w:val="21"/>
                <w:highlight w:val="none"/>
              </w:rPr>
            </w:pPr>
            <w:r>
              <w:rPr>
                <w:rFonts w:hint="eastAsia" w:ascii="宋体" w:hAnsi="宋体" w:eastAsia="宋体" w:cs="宋体"/>
                <w:szCs w:val="21"/>
                <w:highlight w:val="none"/>
              </w:rPr>
              <w:t>供应商被授权人</w:t>
            </w:r>
            <w:r>
              <w:rPr>
                <w:rFonts w:hint="eastAsia" w:ascii="宋体" w:hAnsi="宋体" w:eastAsia="宋体" w:cs="宋体"/>
                <w:szCs w:val="21"/>
                <w:highlight w:val="none"/>
                <w:lang w:val="en-US" w:eastAsia="zh-CN"/>
              </w:rPr>
              <w:t>参加磋商会的</w:t>
            </w:r>
            <w:r>
              <w:rPr>
                <w:rFonts w:hint="eastAsia" w:ascii="宋体" w:hAnsi="宋体" w:eastAsia="宋体" w:cs="宋体"/>
                <w:szCs w:val="21"/>
                <w:highlight w:val="none"/>
              </w:rPr>
              <w:t>须手持法定代表人授权委托书及被授权人身份证件原件（法定代表人直接参加时，只须出示法定代表人身份证明）。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dxa"/>
            <w:vAlign w:val="center"/>
          </w:tcPr>
          <w:p>
            <w:pPr>
              <w:numPr>
                <w:ilvl w:val="0"/>
                <w:numId w:val="2"/>
              </w:numPr>
              <w:spacing w:line="360" w:lineRule="auto"/>
              <w:jc w:val="center"/>
              <w:rPr>
                <w:rFonts w:ascii="宋体" w:hAnsi="宋体" w:cs="宋体"/>
                <w:szCs w:val="21"/>
                <w:highlight w:val="none"/>
              </w:rPr>
            </w:pPr>
          </w:p>
        </w:tc>
        <w:tc>
          <w:tcPr>
            <w:tcW w:w="1658" w:type="dxa"/>
            <w:vAlign w:val="center"/>
          </w:tcPr>
          <w:p>
            <w:pPr>
              <w:spacing w:line="360" w:lineRule="auto"/>
              <w:jc w:val="center"/>
              <w:rPr>
                <w:rFonts w:ascii="宋体" w:hAnsi="宋体" w:cs="宋体"/>
                <w:szCs w:val="21"/>
                <w:highlight w:val="none"/>
              </w:rPr>
            </w:pPr>
            <w:r>
              <w:rPr>
                <w:rFonts w:hint="eastAsia" w:ascii="宋体" w:hAnsi="宋体" w:cs="宋体"/>
                <w:szCs w:val="21"/>
                <w:highlight w:val="none"/>
              </w:rPr>
              <w:t>封套上写明</w:t>
            </w:r>
          </w:p>
        </w:tc>
        <w:tc>
          <w:tcPr>
            <w:tcW w:w="6564" w:type="dxa"/>
            <w:vAlign w:val="center"/>
          </w:tcPr>
          <w:p>
            <w:pPr>
              <w:pStyle w:val="50"/>
              <w:jc w:val="both"/>
              <w:rPr>
                <w:rFonts w:ascii="宋体" w:hAnsi="宋体" w:cs="宋体"/>
                <w:sz w:val="21"/>
                <w:szCs w:val="21"/>
                <w:highlight w:val="none"/>
              </w:rPr>
            </w:pPr>
            <w:r>
              <w:rPr>
                <w:rFonts w:hint="eastAsia" w:ascii="宋体" w:hAnsi="宋体" w:cs="宋体"/>
                <w:sz w:val="21"/>
                <w:szCs w:val="21"/>
                <w:highlight w:val="none"/>
              </w:rPr>
              <w:t>项目名称：</w:t>
            </w:r>
          </w:p>
          <w:p>
            <w:pPr>
              <w:pStyle w:val="50"/>
              <w:jc w:val="both"/>
              <w:rPr>
                <w:rFonts w:ascii="宋体" w:hAnsi="宋体" w:cs="宋体"/>
                <w:sz w:val="21"/>
                <w:szCs w:val="21"/>
                <w:highlight w:val="none"/>
              </w:rPr>
            </w:pPr>
            <w:r>
              <w:rPr>
                <w:rFonts w:hint="eastAsia" w:ascii="宋体" w:hAnsi="宋体" w:cs="宋体"/>
                <w:sz w:val="21"/>
                <w:szCs w:val="21"/>
                <w:highlight w:val="none"/>
              </w:rPr>
              <w:t>项目编号：</w:t>
            </w:r>
          </w:p>
          <w:p>
            <w:pPr>
              <w:pStyle w:val="50"/>
              <w:jc w:val="both"/>
              <w:rPr>
                <w:rFonts w:ascii="宋体" w:hAnsi="宋体" w:cs="宋体"/>
                <w:sz w:val="21"/>
                <w:szCs w:val="21"/>
                <w:highlight w:val="none"/>
              </w:rPr>
            </w:pPr>
            <w:r>
              <w:rPr>
                <w:rFonts w:hint="eastAsia" w:ascii="宋体" w:hAnsi="宋体" w:cs="宋体"/>
                <w:sz w:val="21"/>
                <w:szCs w:val="21"/>
                <w:highlight w:val="none"/>
              </w:rPr>
              <w:t>供应商名称：</w:t>
            </w:r>
          </w:p>
          <w:p>
            <w:pPr>
              <w:pStyle w:val="50"/>
              <w:jc w:val="both"/>
              <w:rPr>
                <w:rFonts w:ascii="宋体" w:hAnsi="宋体" w:cs="宋体"/>
                <w:b/>
                <w:sz w:val="21"/>
                <w:szCs w:val="21"/>
                <w:highlight w:val="none"/>
              </w:rPr>
            </w:pPr>
            <w:r>
              <w:rPr>
                <w:rFonts w:hint="eastAsia" w:ascii="宋体" w:hAnsi="宋体" w:cs="宋体"/>
                <w:sz w:val="21"/>
                <w:szCs w:val="21"/>
                <w:highlight w:val="none"/>
              </w:rPr>
              <w:t>磋商响应文件在202</w:t>
            </w:r>
            <w:r>
              <w:rPr>
                <w:rFonts w:hint="eastAsia" w:ascii="宋体" w:hAnsi="宋体" w:cs="宋体"/>
                <w:sz w:val="21"/>
                <w:szCs w:val="21"/>
                <w:highlight w:val="none"/>
                <w:lang w:val="en-US" w:eastAsia="zh-CN"/>
              </w:rPr>
              <w:t>2</w:t>
            </w:r>
            <w:r>
              <w:rPr>
                <w:rFonts w:hint="eastAsia" w:ascii="宋体" w:hAnsi="宋体" w:cs="宋体"/>
                <w:sz w:val="21"/>
                <w:szCs w:val="21"/>
                <w:highlight w:val="none"/>
              </w:rPr>
              <w:t>年</w:t>
            </w:r>
            <w:r>
              <w:rPr>
                <w:rFonts w:hint="eastAsia" w:ascii="宋体" w:hAnsi="宋体" w:cs="宋体"/>
                <w:sz w:val="21"/>
                <w:szCs w:val="21"/>
                <w:highlight w:val="none"/>
                <w:u w:val="single"/>
              </w:rPr>
              <w:t xml:space="preserve">  </w:t>
            </w:r>
            <w:r>
              <w:rPr>
                <w:rFonts w:hint="eastAsia" w:ascii="宋体" w:hAnsi="宋体" w:cs="宋体"/>
                <w:sz w:val="21"/>
                <w:szCs w:val="21"/>
                <w:highlight w:val="none"/>
              </w:rPr>
              <w:t>月</w:t>
            </w:r>
            <w:r>
              <w:rPr>
                <w:rFonts w:hint="eastAsia" w:ascii="宋体" w:hAnsi="宋体" w:cs="宋体"/>
                <w:sz w:val="21"/>
                <w:szCs w:val="21"/>
                <w:highlight w:val="none"/>
                <w:u w:val="single"/>
              </w:rPr>
              <w:t xml:space="preserve">  </w:t>
            </w:r>
            <w:r>
              <w:rPr>
                <w:rFonts w:hint="eastAsia" w:ascii="宋体" w:hAnsi="宋体" w:cs="宋体"/>
                <w:sz w:val="21"/>
                <w:szCs w:val="21"/>
                <w:highlight w:val="none"/>
              </w:rPr>
              <w:t>日</w:t>
            </w:r>
            <w:r>
              <w:rPr>
                <w:rFonts w:hint="eastAsia" w:ascii="宋体" w:hAnsi="宋体" w:cs="宋体"/>
                <w:sz w:val="21"/>
                <w:szCs w:val="21"/>
                <w:highlight w:val="none"/>
                <w:u w:val="single"/>
              </w:rPr>
              <w:t xml:space="preserve">  </w:t>
            </w:r>
            <w:r>
              <w:rPr>
                <w:rFonts w:hint="eastAsia" w:ascii="宋体" w:hAnsi="宋体" w:cs="宋体"/>
                <w:sz w:val="21"/>
                <w:szCs w:val="21"/>
                <w:highlight w:val="none"/>
              </w:rPr>
              <w:t>时</w:t>
            </w:r>
            <w:r>
              <w:rPr>
                <w:rFonts w:hint="eastAsia" w:ascii="宋体" w:hAnsi="宋体" w:cs="宋体"/>
                <w:sz w:val="21"/>
                <w:szCs w:val="21"/>
                <w:highlight w:val="none"/>
                <w:u w:val="single"/>
              </w:rPr>
              <w:t xml:space="preserve">  </w:t>
            </w:r>
            <w:r>
              <w:rPr>
                <w:rFonts w:hint="eastAsia" w:ascii="宋体" w:hAnsi="宋体" w:cs="宋体"/>
                <w:sz w:val="21"/>
                <w:szCs w:val="21"/>
                <w:highlight w:val="none"/>
              </w:rPr>
              <w:t>分前“不得开启”字样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dxa"/>
            <w:vAlign w:val="center"/>
          </w:tcPr>
          <w:p>
            <w:pPr>
              <w:numPr>
                <w:ilvl w:val="0"/>
                <w:numId w:val="2"/>
              </w:numPr>
              <w:spacing w:line="360" w:lineRule="auto"/>
              <w:jc w:val="center"/>
              <w:rPr>
                <w:rFonts w:ascii="宋体" w:hAnsi="宋体" w:cs="宋体"/>
                <w:szCs w:val="21"/>
                <w:highlight w:val="none"/>
              </w:rPr>
            </w:pPr>
          </w:p>
        </w:tc>
        <w:tc>
          <w:tcPr>
            <w:tcW w:w="1658" w:type="dxa"/>
            <w:vAlign w:val="center"/>
          </w:tcPr>
          <w:p>
            <w:pPr>
              <w:spacing w:line="360" w:lineRule="auto"/>
              <w:jc w:val="center"/>
              <w:rPr>
                <w:rFonts w:ascii="宋体" w:hAnsi="宋体" w:cs="宋体"/>
                <w:szCs w:val="21"/>
                <w:highlight w:val="none"/>
              </w:rPr>
            </w:pPr>
            <w:r>
              <w:rPr>
                <w:rFonts w:hint="eastAsia" w:ascii="宋体" w:hAnsi="宋体" w:cs="宋体"/>
                <w:color w:val="000000"/>
                <w:szCs w:val="21"/>
                <w:highlight w:val="none"/>
              </w:rPr>
              <w:t>供应商资格要求</w:t>
            </w:r>
          </w:p>
        </w:tc>
        <w:tc>
          <w:tcPr>
            <w:tcW w:w="6564" w:type="dxa"/>
            <w:vAlign w:val="center"/>
          </w:tcPr>
          <w:p>
            <w:pPr>
              <w:spacing w:line="360" w:lineRule="auto"/>
              <w:rPr>
                <w:rFonts w:ascii="宋体" w:hAnsi="宋体" w:cs="宋体"/>
                <w:szCs w:val="21"/>
                <w:highlight w:val="none"/>
              </w:rPr>
            </w:pPr>
            <w:r>
              <w:rPr>
                <w:rFonts w:hint="eastAsia" w:ascii="宋体" w:hAnsi="宋体" w:cs="宋体"/>
                <w:szCs w:val="21"/>
                <w:highlight w:val="none"/>
              </w:rPr>
              <w:t>1、满足《中华人民共和国政府采购法》第二十二条规定</w:t>
            </w:r>
          </w:p>
          <w:p>
            <w:pPr>
              <w:pStyle w:val="15"/>
              <w:spacing w:line="360" w:lineRule="auto"/>
              <w:jc w:val="left"/>
              <w:rPr>
                <w:rFonts w:hAnsi="宋体" w:cs="宋体"/>
                <w:color w:val="000000" w:themeColor="text1"/>
                <w:highlight w:val="none"/>
                <w14:textFill>
                  <w14:solidFill>
                    <w14:schemeClr w14:val="tx1"/>
                  </w14:solidFill>
                </w14:textFill>
              </w:rPr>
            </w:pPr>
            <w:r>
              <w:rPr>
                <w:rFonts w:hint="eastAsia" w:ascii="宋体" w:hAnsi="宋体" w:cs="宋体"/>
                <w:szCs w:val="21"/>
                <w:highlight w:val="none"/>
              </w:rPr>
              <w:t>2、本项目的特定资格要求：</w:t>
            </w:r>
            <w:r>
              <w:rPr>
                <w:rFonts w:hint="eastAsia" w:hAnsi="宋体" w:cs="宋体"/>
                <w:color w:val="000000" w:themeColor="text1"/>
                <w:highlight w:val="none"/>
                <w14:textFill>
                  <w14:solidFill>
                    <w14:schemeClr w14:val="tx1"/>
                  </w14:solidFill>
                </w14:textFill>
              </w:rPr>
              <w:t>1、</w:t>
            </w:r>
            <w:r>
              <w:rPr>
                <w:rFonts w:hint="eastAsia" w:hAnsi="宋体" w:cs="宋体"/>
                <w:color w:val="000000" w:themeColor="text1"/>
                <w:highlight w:val="none"/>
                <w:lang w:eastAsia="zh-CN"/>
                <w14:textFill>
                  <w14:solidFill>
                    <w14:schemeClr w14:val="tx1"/>
                  </w14:solidFill>
                </w14:textFill>
              </w:rPr>
              <w:t>供应商</w:t>
            </w:r>
            <w:r>
              <w:rPr>
                <w:rFonts w:hint="eastAsia" w:hAnsi="宋体" w:cs="宋体"/>
                <w:color w:val="000000" w:themeColor="text1"/>
                <w:highlight w:val="none"/>
                <w14:textFill>
                  <w14:solidFill>
                    <w14:schemeClr w14:val="tx1"/>
                  </w14:solidFill>
                </w14:textFill>
              </w:rPr>
              <w:t>具有合格有效的企业法人营业执照、税务登记证、组织机构代码证（或三证合一营业执照）； 2、</w:t>
            </w:r>
            <w:r>
              <w:rPr>
                <w:rFonts w:hint="eastAsia" w:hAnsi="宋体" w:cs="宋体"/>
                <w:color w:val="000000" w:themeColor="text1"/>
                <w:highlight w:val="none"/>
                <w:lang w:eastAsia="zh-CN"/>
                <w14:textFill>
                  <w14:solidFill>
                    <w14:schemeClr w14:val="tx1"/>
                  </w14:solidFill>
                </w14:textFill>
              </w:rPr>
              <w:t>供应商</w:t>
            </w:r>
            <w:r>
              <w:rPr>
                <w:rFonts w:hint="eastAsia" w:hAnsi="宋体" w:cs="宋体"/>
                <w:color w:val="000000" w:themeColor="text1"/>
                <w:highlight w:val="none"/>
                <w14:textFill>
                  <w14:solidFill>
                    <w14:schemeClr w14:val="tx1"/>
                  </w14:solidFill>
                </w14:textFill>
              </w:rPr>
              <w:t>应授权合法的人员参加磋商全过程，其中法定代表人直接参加磋商的，须出具法人身份证，并与营业执照上信息一致。法定代表人授权代表参加磋商的，须出具法定代表人授权书及授权代表身份证； 3、供应商须具备建设行政主管部门颁发的建筑工程施工总承包三级及以上资质；且具备合格有效的安全生产许可证； 4、拟派项目经理具备建筑工程二级及以上注册建造师证及安全生产考核合格证（建安B证）及无在建工程承诺书（复印件加盖公章）； 5、税收缴纳证明：提供</w:t>
            </w:r>
            <w:r>
              <w:rPr>
                <w:rFonts w:hint="eastAsia" w:hAnsi="宋体" w:cs="宋体"/>
                <w:color w:val="000000" w:themeColor="text1"/>
                <w:highlight w:val="none"/>
                <w:lang w:eastAsia="zh-CN"/>
                <w14:textFill>
                  <w14:solidFill>
                    <w14:schemeClr w14:val="tx1"/>
                  </w14:solidFill>
                </w14:textFill>
              </w:rPr>
              <w:t>供应商</w:t>
            </w:r>
            <w:r>
              <w:rPr>
                <w:rFonts w:hint="eastAsia" w:hAnsi="宋体" w:cs="宋体"/>
                <w:color w:val="000000" w:themeColor="text1"/>
                <w:highlight w:val="none"/>
                <w14:textFill>
                  <w14:solidFill>
                    <w14:schemeClr w14:val="tx1"/>
                  </w14:solidFill>
                </w14:textFill>
              </w:rPr>
              <w:t>2021年1月至今已缴纳任意一个月完税凭证或税务机关开具的完税证明（任意税种）；依法免税的应提供相关文件证明； 6、社会保障资金缴纳证明：提供</w:t>
            </w:r>
            <w:r>
              <w:rPr>
                <w:rFonts w:hint="eastAsia" w:hAnsi="宋体" w:cs="宋体"/>
                <w:color w:val="000000" w:themeColor="text1"/>
                <w:highlight w:val="none"/>
                <w:lang w:eastAsia="zh-CN"/>
                <w14:textFill>
                  <w14:solidFill>
                    <w14:schemeClr w14:val="tx1"/>
                  </w14:solidFill>
                </w14:textFill>
              </w:rPr>
              <w:t>供应商</w:t>
            </w:r>
            <w:r>
              <w:rPr>
                <w:rFonts w:hint="eastAsia" w:hAnsi="宋体" w:cs="宋体"/>
                <w:color w:val="000000" w:themeColor="text1"/>
                <w:highlight w:val="none"/>
                <w14:textFill>
                  <w14:solidFill>
                    <w14:schemeClr w14:val="tx1"/>
                  </w14:solidFill>
                </w14:textFill>
              </w:rPr>
              <w:t>2021年1月至今已缴存的任意一个月的社会保障资金缴存证明或社保机构开具的社会保险参保缴费情况证明；依法不需要缴纳社会保障资金的应提供相关文件证明； 7、财务状况报告：提供供应商20</w:t>
            </w:r>
            <w:r>
              <w:rPr>
                <w:rFonts w:hint="eastAsia" w:hAnsi="宋体" w:cs="宋体"/>
                <w:color w:val="000000" w:themeColor="text1"/>
                <w:highlight w:val="none"/>
                <w:lang w:val="en-US" w:eastAsia="zh-CN"/>
                <w14:textFill>
                  <w14:solidFill>
                    <w14:schemeClr w14:val="tx1"/>
                  </w14:solidFill>
                </w14:textFill>
              </w:rPr>
              <w:t>20</w:t>
            </w:r>
            <w:r>
              <w:rPr>
                <w:rFonts w:hint="eastAsia" w:hAnsi="宋体" w:cs="宋体"/>
                <w:color w:val="000000" w:themeColor="text1"/>
                <w:highlight w:val="none"/>
                <w14:textFill>
                  <w14:solidFill>
                    <w14:schemeClr w14:val="tx1"/>
                  </w14:solidFill>
                </w14:textFill>
              </w:rPr>
              <w:t>年或202</w:t>
            </w:r>
            <w:r>
              <w:rPr>
                <w:rFonts w:hint="eastAsia" w:hAnsi="宋体" w:cs="宋体"/>
                <w:color w:val="000000" w:themeColor="text1"/>
                <w:highlight w:val="none"/>
                <w:lang w:val="en-US" w:eastAsia="zh-CN"/>
                <w14:textFill>
                  <w14:solidFill>
                    <w14:schemeClr w14:val="tx1"/>
                  </w14:solidFill>
                </w14:textFill>
              </w:rPr>
              <w:t>1</w:t>
            </w:r>
            <w:r>
              <w:rPr>
                <w:rFonts w:hint="eastAsia" w:hAnsi="宋体" w:cs="宋体"/>
                <w:color w:val="000000" w:themeColor="text1"/>
                <w:highlight w:val="none"/>
                <w14:textFill>
                  <w14:solidFill>
                    <w14:schemeClr w14:val="tx1"/>
                  </w14:solidFill>
                </w14:textFill>
              </w:rPr>
              <w:t>年任一年经审计的财务报告，或开标前三个月内开户银行开具的资信证明； 8、供应商负责人为同一人或者存在控股、管理关系的不同单位，不得参加同一项目的投标； 9、出具参加本次政府采购活动前三年内在经营活动中没有重大违法记录的书面声明； 10、</w:t>
            </w:r>
            <w:r>
              <w:rPr>
                <w:rFonts w:hint="eastAsia" w:hAnsi="宋体" w:cs="宋体"/>
                <w:color w:val="000000" w:themeColor="text1"/>
                <w:highlight w:val="none"/>
                <w:lang w:eastAsia="zh-CN"/>
                <w14:textFill>
                  <w14:solidFill>
                    <w14:schemeClr w14:val="tx1"/>
                  </w14:solidFill>
                </w14:textFill>
              </w:rPr>
              <w:t>供应商</w:t>
            </w:r>
            <w:r>
              <w:rPr>
                <w:rFonts w:hint="eastAsia" w:hAnsi="宋体" w:cs="宋体"/>
                <w:color w:val="000000" w:themeColor="text1"/>
                <w:highlight w:val="none"/>
                <w14:textFill>
                  <w14:solidFill>
                    <w14:schemeClr w14:val="tx1"/>
                  </w14:solidFill>
                </w14:textFill>
              </w:rPr>
              <w:t>不得为“信用中国”网站（www.creditchina.gov.cn）</w:t>
            </w:r>
            <w:r>
              <w:rPr>
                <w:rFonts w:hint="eastAsia" w:hAnsi="宋体" w:cs="宋体"/>
                <w:color w:val="000000" w:themeColor="text1"/>
                <w:highlight w:val="none"/>
                <w:lang w:eastAsia="zh-CN"/>
                <w14:textFill>
                  <w14:solidFill>
                    <w14:schemeClr w14:val="tx1"/>
                  </w14:solidFill>
                </w14:textFill>
              </w:rPr>
              <w:t>、</w:t>
            </w:r>
            <w:r>
              <w:rPr>
                <w:rFonts w:hint="eastAsia" w:hAnsi="宋体" w:cs="宋体"/>
                <w:color w:val="000000" w:themeColor="text1"/>
                <w:highlight w:val="none"/>
                <w14:textFill>
                  <w14:solidFill>
                    <w14:schemeClr w14:val="tx1"/>
                  </w14:solidFill>
                </w14:textFill>
              </w:rPr>
              <w:t>“中国执行信息公开网站”（http://zxgk.court.gov.cn/shixin/）和中国政府采购网（www.ccgp.gov.cn）中被</w:t>
            </w:r>
            <w:r>
              <w:rPr>
                <w:rFonts w:hint="eastAsia" w:hAnsi="宋体" w:cs="宋体"/>
                <w:color w:val="000000" w:themeColor="text1"/>
                <w:highlight w:val="none"/>
                <w:lang w:val="en-US" w:eastAsia="zh-CN"/>
                <w14:textFill>
                  <w14:solidFill>
                    <w14:schemeClr w14:val="tx1"/>
                  </w14:solidFill>
                </w14:textFill>
              </w:rPr>
              <w:t>列为</w:t>
            </w:r>
            <w:r>
              <w:rPr>
                <w:rFonts w:hint="eastAsia" w:hAnsi="宋体" w:cs="宋体"/>
                <w:color w:val="000000" w:themeColor="text1"/>
                <w:highlight w:val="none"/>
                <w14:textFill>
                  <w14:solidFill>
                    <w14:schemeClr w14:val="tx1"/>
                  </w14:solidFill>
                </w14:textFill>
              </w:rPr>
              <w:t>重大税收违法案件当事人名单、</w:t>
            </w:r>
            <w:r>
              <w:rPr>
                <w:rFonts w:hint="eastAsia" w:hAnsi="宋体" w:cs="宋体"/>
                <w:color w:val="000000" w:themeColor="text1"/>
                <w:highlight w:val="none"/>
                <w:lang w:val="en-US" w:eastAsia="zh-CN"/>
                <w14:textFill>
                  <w14:solidFill>
                    <w14:schemeClr w14:val="tx1"/>
                  </w14:solidFill>
                </w14:textFill>
              </w:rPr>
              <w:t>失信被执行人、</w:t>
            </w:r>
            <w:r>
              <w:rPr>
                <w:rFonts w:hint="eastAsia" w:hAnsi="宋体" w:cs="宋体"/>
                <w:color w:val="000000" w:themeColor="text1"/>
                <w:highlight w:val="none"/>
                <w14:textFill>
                  <w14:solidFill>
                    <w14:schemeClr w14:val="tx1"/>
                  </w14:solidFill>
                </w14:textFill>
              </w:rPr>
              <w:t>政府采购严重违法失信行为记录名单的单位。 11、本项目不接受联合体磋商。</w:t>
            </w:r>
          </w:p>
          <w:p>
            <w:pPr>
              <w:spacing w:line="360" w:lineRule="auto"/>
              <w:rPr>
                <w:rFonts w:ascii="宋体" w:hAnsi="宋体" w:cs="宋体"/>
                <w:szCs w:val="21"/>
                <w:highlight w:val="none"/>
              </w:rPr>
            </w:pPr>
            <w:r>
              <w:rPr>
                <w:rFonts w:hint="eastAsia" w:ascii="宋体" w:hAnsi="宋体" w:cs="宋体"/>
                <w:b/>
                <w:bCs/>
                <w:szCs w:val="21"/>
                <w:highlight w:val="none"/>
                <w:lang w:bidi="ar"/>
              </w:rPr>
              <w:t>注：以上资格要求均为必备资格，缺少其中任何一项，其磋商文件视为无效文件。磋商文件正本中的法定代表人授权委托书或法定代表人身份证明必须附原件，其他资格证明文件提供复印件并加盖供应商公章（原件自带，以备查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dxa"/>
            <w:vAlign w:val="center"/>
          </w:tcPr>
          <w:p>
            <w:pPr>
              <w:numPr>
                <w:ilvl w:val="0"/>
                <w:numId w:val="2"/>
              </w:numPr>
              <w:spacing w:line="360" w:lineRule="auto"/>
              <w:jc w:val="center"/>
              <w:rPr>
                <w:rFonts w:ascii="宋体" w:hAnsi="宋体" w:cs="宋体"/>
                <w:szCs w:val="21"/>
                <w:highlight w:val="none"/>
              </w:rPr>
            </w:pPr>
          </w:p>
        </w:tc>
        <w:tc>
          <w:tcPr>
            <w:tcW w:w="1658" w:type="dxa"/>
            <w:vAlign w:val="center"/>
          </w:tcPr>
          <w:p>
            <w:pPr>
              <w:spacing w:line="360" w:lineRule="auto"/>
              <w:jc w:val="center"/>
              <w:rPr>
                <w:rFonts w:hint="default" w:ascii="宋体" w:hAnsi="宋体" w:eastAsia="宋体" w:cs="宋体"/>
                <w:szCs w:val="21"/>
                <w:highlight w:val="none"/>
                <w:lang w:val="en-US" w:eastAsia="zh-CN"/>
              </w:rPr>
            </w:pPr>
            <w:r>
              <w:rPr>
                <w:rFonts w:hint="eastAsia" w:ascii="宋体" w:hAnsi="宋体" w:cs="宋体"/>
                <w:szCs w:val="21"/>
                <w:highlight w:val="none"/>
              </w:rPr>
              <w:t>招标代理服务费</w:t>
            </w:r>
            <w:r>
              <w:rPr>
                <w:rFonts w:hint="eastAsia" w:ascii="宋体" w:hAnsi="宋体" w:cs="宋体"/>
                <w:szCs w:val="21"/>
                <w:highlight w:val="none"/>
                <w:lang w:val="en-US" w:eastAsia="zh-CN"/>
              </w:rPr>
              <w:t>及限价编制费</w:t>
            </w:r>
          </w:p>
        </w:tc>
        <w:tc>
          <w:tcPr>
            <w:tcW w:w="6564" w:type="dxa"/>
            <w:vAlign w:val="center"/>
          </w:tcPr>
          <w:p>
            <w:pPr>
              <w:numPr>
                <w:ilvl w:val="0"/>
                <w:numId w:val="3"/>
              </w:numPr>
              <w:spacing w:line="360" w:lineRule="auto"/>
              <w:jc w:val="left"/>
            </w:pPr>
            <w:r>
              <w:rPr>
                <w:rFonts w:hint="eastAsia"/>
              </w:rPr>
              <w:t>成交服务费按约定由成交供应商支付，领取成交通知书前，由成交单位向采购代理机构缴纳成交服务费，一次性付清。</w:t>
            </w:r>
          </w:p>
          <w:p>
            <w:pPr>
              <w:numPr>
                <w:ilvl w:val="0"/>
                <w:numId w:val="3"/>
              </w:numPr>
              <w:spacing w:line="360" w:lineRule="auto"/>
              <w:jc w:val="left"/>
              <w:rPr>
                <w:rFonts w:hint="eastAsia" w:eastAsia="宋体"/>
                <w:lang w:val="en-US" w:eastAsia="zh-CN"/>
              </w:rPr>
            </w:pPr>
            <w:r>
              <w:rPr>
                <w:rFonts w:hint="eastAsia"/>
              </w:rPr>
              <w:t>成交服务费按国家发展与改革委员会 《招标代理服务收费暂行办法》（计价格[2002]1980号）文件规定标准计取，招标代理服务收费按差额定率累进法计算。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dxa"/>
            <w:vAlign w:val="center"/>
          </w:tcPr>
          <w:p>
            <w:pPr>
              <w:numPr>
                <w:ilvl w:val="0"/>
                <w:numId w:val="2"/>
              </w:numPr>
              <w:spacing w:line="360" w:lineRule="auto"/>
              <w:jc w:val="center"/>
              <w:rPr>
                <w:rFonts w:ascii="宋体" w:hAnsi="宋体" w:cs="宋体"/>
                <w:szCs w:val="21"/>
                <w:highlight w:val="none"/>
              </w:rPr>
            </w:pPr>
          </w:p>
        </w:tc>
        <w:tc>
          <w:tcPr>
            <w:tcW w:w="1658" w:type="dxa"/>
            <w:vAlign w:val="center"/>
          </w:tcPr>
          <w:p>
            <w:pPr>
              <w:spacing w:line="360" w:lineRule="exact"/>
              <w:jc w:val="center"/>
              <w:rPr>
                <w:rFonts w:ascii="宋体" w:hAnsi="宋体" w:cs="宋体"/>
                <w:szCs w:val="21"/>
                <w:highlight w:val="none"/>
              </w:rPr>
            </w:pPr>
            <w:r>
              <w:rPr>
                <w:rFonts w:hint="eastAsia" w:ascii="宋体" w:hAnsi="宋体" w:cs="宋体"/>
                <w:szCs w:val="21"/>
                <w:highlight w:val="none"/>
              </w:rPr>
              <w:t>其他</w:t>
            </w:r>
          </w:p>
        </w:tc>
        <w:tc>
          <w:tcPr>
            <w:tcW w:w="6564" w:type="dxa"/>
            <w:vAlign w:val="center"/>
          </w:tcPr>
          <w:p>
            <w:pPr>
              <w:tabs>
                <w:tab w:val="left" w:pos="360"/>
              </w:tabs>
              <w:snapToGrid w:val="0"/>
              <w:spacing w:line="360" w:lineRule="exact"/>
              <w:rPr>
                <w:rFonts w:ascii="宋体" w:hAnsi="宋体" w:cs="宋体"/>
                <w:highlight w:val="none"/>
              </w:rPr>
            </w:pPr>
            <w:r>
              <w:rPr>
                <w:rFonts w:hint="eastAsia" w:ascii="宋体" w:hAnsi="宋体" w:cs="宋体"/>
                <w:highlight w:val="none"/>
              </w:rPr>
              <w:t>本前附表所列内容与</w:t>
            </w:r>
            <w:r>
              <w:rPr>
                <w:rFonts w:hint="eastAsia" w:ascii="宋体" w:hAnsi="宋体" w:cs="宋体"/>
                <w:highlight w:val="none"/>
                <w:lang w:eastAsia="zh-CN"/>
              </w:rPr>
              <w:t>供应商</w:t>
            </w:r>
            <w:r>
              <w:rPr>
                <w:rFonts w:hint="eastAsia" w:ascii="宋体" w:hAnsi="宋体" w:cs="宋体"/>
                <w:highlight w:val="none"/>
              </w:rPr>
              <w:t>须知内容不一致时，以前附表内容为准。</w:t>
            </w:r>
          </w:p>
        </w:tc>
      </w:tr>
    </w:tbl>
    <w:p>
      <w:pPr>
        <w:pStyle w:val="3"/>
        <w:rPr>
          <w:rFonts w:ascii="宋体" w:hAnsi="宋体" w:cs="宋体"/>
          <w:highlight w:val="none"/>
        </w:rPr>
      </w:pPr>
    </w:p>
    <w:p>
      <w:pPr>
        <w:rPr>
          <w:rFonts w:ascii="宋体" w:hAnsi="宋体" w:cs="宋体"/>
          <w:highlight w:val="none"/>
        </w:rPr>
      </w:pPr>
    </w:p>
    <w:p>
      <w:pPr>
        <w:pStyle w:val="6"/>
        <w:spacing w:before="0" w:after="0" w:line="360" w:lineRule="auto"/>
        <w:jc w:val="center"/>
        <w:outlineLvl w:val="0"/>
        <w:rPr>
          <w:rFonts w:ascii="宋体" w:hAnsi="宋体" w:cs="宋体"/>
          <w:sz w:val="36"/>
          <w:highlight w:val="none"/>
        </w:rPr>
      </w:pPr>
      <w:bookmarkStart w:id="19" w:name="_Toc21828"/>
      <w:bookmarkStart w:id="20" w:name="_Toc3545"/>
      <w:bookmarkStart w:id="21" w:name="_Toc7524469"/>
      <w:bookmarkStart w:id="22" w:name="_Toc8811"/>
      <w:bookmarkStart w:id="23" w:name="_Toc1804"/>
      <w:bookmarkStart w:id="24" w:name="_Toc8813"/>
      <w:bookmarkStart w:id="25" w:name="_Toc7098"/>
      <w:r>
        <w:rPr>
          <w:rFonts w:hint="eastAsia" w:ascii="宋体" w:hAnsi="宋体" w:cs="宋体"/>
          <w:sz w:val="36"/>
          <w:highlight w:val="none"/>
        </w:rPr>
        <w:t>第三部分  供应商须知</w:t>
      </w:r>
      <w:bookmarkEnd w:id="18"/>
      <w:bookmarkEnd w:id="19"/>
      <w:bookmarkEnd w:id="20"/>
      <w:bookmarkEnd w:id="21"/>
      <w:bookmarkEnd w:id="22"/>
      <w:bookmarkEnd w:id="23"/>
      <w:bookmarkEnd w:id="24"/>
      <w:bookmarkEnd w:id="25"/>
    </w:p>
    <w:p>
      <w:pPr>
        <w:pStyle w:val="7"/>
        <w:spacing w:before="0" w:after="0" w:line="360" w:lineRule="auto"/>
        <w:jc w:val="center"/>
        <w:rPr>
          <w:rFonts w:ascii="宋体" w:hAnsi="宋体" w:eastAsia="宋体" w:cs="宋体"/>
          <w:bCs/>
          <w:sz w:val="28"/>
          <w:szCs w:val="28"/>
          <w:highlight w:val="none"/>
        </w:rPr>
      </w:pPr>
      <w:bookmarkStart w:id="26" w:name="_Toc21877"/>
      <w:bookmarkStart w:id="27" w:name="_Toc360"/>
      <w:bookmarkStart w:id="28" w:name="_Toc10349"/>
      <w:bookmarkStart w:id="29" w:name="_Toc19486"/>
      <w:bookmarkStart w:id="30" w:name="_Toc7524470"/>
      <w:bookmarkStart w:id="31" w:name="_Toc1260"/>
      <w:bookmarkStart w:id="32" w:name="_Toc246928895"/>
      <w:bookmarkStart w:id="33" w:name="_Toc12532"/>
      <w:r>
        <w:rPr>
          <w:rFonts w:hint="eastAsia" w:ascii="宋体" w:hAnsi="宋体" w:eastAsia="宋体" w:cs="宋体"/>
          <w:bCs/>
          <w:sz w:val="28"/>
          <w:szCs w:val="28"/>
          <w:highlight w:val="none"/>
        </w:rPr>
        <w:t>A 总则</w:t>
      </w:r>
      <w:bookmarkEnd w:id="26"/>
      <w:bookmarkEnd w:id="27"/>
      <w:bookmarkEnd w:id="28"/>
      <w:bookmarkEnd w:id="29"/>
      <w:bookmarkEnd w:id="30"/>
      <w:bookmarkEnd w:id="31"/>
      <w:bookmarkEnd w:id="32"/>
      <w:bookmarkEnd w:id="33"/>
    </w:p>
    <w:p>
      <w:pPr>
        <w:pStyle w:val="8"/>
        <w:spacing w:before="0" w:after="0" w:line="360" w:lineRule="auto"/>
        <w:rPr>
          <w:rFonts w:ascii="宋体" w:hAnsi="宋体" w:cs="宋体"/>
          <w:b w:val="0"/>
          <w:sz w:val="21"/>
          <w:szCs w:val="21"/>
          <w:highlight w:val="none"/>
        </w:rPr>
      </w:pPr>
      <w:bookmarkStart w:id="34" w:name="_Toc23978"/>
      <w:bookmarkStart w:id="35" w:name="_Toc23548"/>
      <w:bookmarkStart w:id="36" w:name="_Toc27020"/>
      <w:bookmarkStart w:id="37" w:name="_Toc7524471"/>
      <w:bookmarkStart w:id="38" w:name="_Toc21259"/>
      <w:bookmarkStart w:id="39" w:name="_Toc19222"/>
      <w:bookmarkStart w:id="40" w:name="_Toc2433"/>
      <w:bookmarkStart w:id="41" w:name="_Toc246928896"/>
      <w:r>
        <w:rPr>
          <w:rFonts w:hint="eastAsia" w:ascii="宋体" w:hAnsi="宋体" w:cs="宋体"/>
          <w:bCs/>
          <w:sz w:val="21"/>
          <w:szCs w:val="21"/>
          <w:highlight w:val="none"/>
        </w:rPr>
        <w:t>1 适用范围</w:t>
      </w:r>
      <w:bookmarkEnd w:id="34"/>
      <w:bookmarkEnd w:id="35"/>
      <w:bookmarkEnd w:id="36"/>
      <w:bookmarkEnd w:id="37"/>
      <w:bookmarkEnd w:id="38"/>
      <w:bookmarkEnd w:id="39"/>
      <w:bookmarkEnd w:id="40"/>
      <w:bookmarkEnd w:id="41"/>
    </w:p>
    <w:p>
      <w:pPr>
        <w:spacing w:line="360" w:lineRule="auto"/>
        <w:rPr>
          <w:rFonts w:ascii="宋体" w:hAnsi="宋体" w:cs="宋体"/>
          <w:szCs w:val="21"/>
          <w:highlight w:val="none"/>
        </w:rPr>
      </w:pPr>
      <w:r>
        <w:rPr>
          <w:rFonts w:hint="eastAsia" w:ascii="宋体" w:hAnsi="宋体" w:cs="宋体"/>
          <w:szCs w:val="21"/>
          <w:highlight w:val="none"/>
        </w:rPr>
        <w:t>1.1本磋商文件仅适用于本采购公告中所叙述项目的货物及服务采购。</w:t>
      </w:r>
    </w:p>
    <w:p>
      <w:pPr>
        <w:spacing w:line="360" w:lineRule="auto"/>
        <w:rPr>
          <w:rFonts w:ascii="宋体" w:hAnsi="宋体" w:cs="宋体"/>
          <w:szCs w:val="21"/>
          <w:highlight w:val="none"/>
        </w:rPr>
      </w:pPr>
      <w:r>
        <w:rPr>
          <w:rFonts w:hint="eastAsia" w:ascii="宋体" w:hAnsi="宋体" w:cs="宋体"/>
          <w:szCs w:val="21"/>
          <w:highlight w:val="none"/>
        </w:rPr>
        <w:t>1.2本次采购属服务类政府采购，采购人，采购代理机构、供应商、磋商小组的相关行为均受《中华人民共和国政府采购法》、财政部规章及政府采购项目所在地有关法规、规章的约束，其权利受到上述法律法规的保护。</w:t>
      </w:r>
    </w:p>
    <w:p>
      <w:pPr>
        <w:pStyle w:val="8"/>
        <w:spacing w:before="0" w:after="0" w:line="360" w:lineRule="auto"/>
        <w:rPr>
          <w:rFonts w:ascii="宋体" w:hAnsi="宋体" w:cs="宋体"/>
          <w:bCs/>
          <w:sz w:val="21"/>
          <w:szCs w:val="21"/>
          <w:highlight w:val="none"/>
        </w:rPr>
      </w:pPr>
      <w:bookmarkStart w:id="42" w:name="_Toc2365"/>
      <w:bookmarkStart w:id="43" w:name="_Toc8604"/>
      <w:bookmarkStart w:id="44" w:name="_Toc15930"/>
      <w:bookmarkStart w:id="45" w:name="_Toc246928897"/>
      <w:bookmarkStart w:id="46" w:name="_Toc2369"/>
      <w:bookmarkStart w:id="47" w:name="_Toc27986"/>
      <w:bookmarkStart w:id="48" w:name="_Toc7524472"/>
      <w:bookmarkStart w:id="49" w:name="_Toc13929"/>
      <w:r>
        <w:rPr>
          <w:rFonts w:hint="eastAsia" w:ascii="宋体" w:hAnsi="宋体" w:cs="宋体"/>
          <w:bCs/>
          <w:sz w:val="21"/>
          <w:szCs w:val="21"/>
          <w:highlight w:val="none"/>
        </w:rPr>
        <w:t>2 定义</w:t>
      </w:r>
      <w:bookmarkEnd w:id="42"/>
      <w:bookmarkEnd w:id="43"/>
      <w:bookmarkEnd w:id="44"/>
      <w:bookmarkEnd w:id="45"/>
      <w:bookmarkEnd w:id="46"/>
      <w:bookmarkEnd w:id="47"/>
      <w:bookmarkEnd w:id="48"/>
      <w:bookmarkEnd w:id="49"/>
      <w:r>
        <w:rPr>
          <w:rFonts w:hint="eastAsia" w:ascii="宋体" w:hAnsi="宋体" w:cs="宋体"/>
          <w:bCs/>
          <w:sz w:val="21"/>
          <w:szCs w:val="21"/>
          <w:highlight w:val="none"/>
        </w:rPr>
        <w:t xml:space="preserve"> </w:t>
      </w:r>
    </w:p>
    <w:p>
      <w:pPr>
        <w:tabs>
          <w:tab w:val="left" w:pos="7665"/>
        </w:tabs>
        <w:spacing w:line="510" w:lineRule="exact"/>
        <w:rPr>
          <w:rFonts w:ascii="宋体" w:hAnsi="宋体" w:cs="宋体"/>
          <w:szCs w:val="21"/>
          <w:highlight w:val="none"/>
        </w:rPr>
      </w:pPr>
      <w:r>
        <w:rPr>
          <w:rFonts w:hint="eastAsia" w:ascii="宋体" w:hAnsi="宋体" w:cs="宋体"/>
          <w:szCs w:val="21"/>
          <w:highlight w:val="none"/>
        </w:rPr>
        <w:t>2.1 “采购人”系指</w:t>
      </w:r>
      <w:r>
        <w:rPr>
          <w:rFonts w:hint="eastAsia" w:hAnsi="宋体" w:cs="宋体"/>
          <w:color w:val="000000" w:themeColor="text1"/>
          <w:highlight w:val="none"/>
          <w:lang w:val="en-US" w:eastAsia="zh-CN"/>
          <w14:textFill>
            <w14:solidFill>
              <w14:schemeClr w14:val="tx1"/>
            </w14:solidFill>
          </w14:textFill>
        </w:rPr>
        <w:t>西安市高陵区崇皇街道办事处</w:t>
      </w:r>
      <w:r>
        <w:rPr>
          <w:rFonts w:hint="eastAsia" w:ascii="宋体" w:hAnsi="宋体" w:cs="宋体"/>
          <w:szCs w:val="21"/>
          <w:highlight w:val="none"/>
        </w:rPr>
        <w:t>；</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“采购代理机构”系指陕西迪诚项目管理有限公司。</w:t>
      </w:r>
    </w:p>
    <w:p>
      <w:pPr>
        <w:spacing w:line="360" w:lineRule="auto"/>
        <w:rPr>
          <w:rFonts w:ascii="宋体" w:hAnsi="宋体" w:cs="宋体"/>
          <w:szCs w:val="21"/>
          <w:highlight w:val="none"/>
        </w:rPr>
      </w:pPr>
      <w:bookmarkStart w:id="50" w:name="_Toc9289"/>
      <w:bookmarkStart w:id="51" w:name="_Toc26557"/>
      <w:bookmarkStart w:id="52" w:name="_Toc246928898"/>
      <w:r>
        <w:rPr>
          <w:rFonts w:hint="eastAsia" w:ascii="宋体" w:hAnsi="宋体" w:cs="宋体"/>
          <w:szCs w:val="21"/>
          <w:highlight w:val="none"/>
        </w:rPr>
        <w:t>2.2 “供应商”系指响应采购人要求提交响应文件的供应商。</w:t>
      </w:r>
    </w:p>
    <w:p>
      <w:pPr>
        <w:spacing w:line="360" w:lineRule="auto"/>
        <w:rPr>
          <w:rFonts w:ascii="宋体" w:hAnsi="宋体" w:cs="宋体"/>
          <w:szCs w:val="21"/>
          <w:highlight w:val="none"/>
        </w:rPr>
      </w:pPr>
      <w:r>
        <w:rPr>
          <w:rFonts w:hint="eastAsia" w:ascii="宋体" w:hAnsi="宋体" w:cs="宋体"/>
          <w:szCs w:val="21"/>
          <w:highlight w:val="none"/>
        </w:rPr>
        <w:t>2.3 “货物”系指供应商按磋商文件规定，须向买方提供的产品及其它有关技术资料和材料。</w:t>
      </w:r>
    </w:p>
    <w:p>
      <w:pPr>
        <w:spacing w:line="360" w:lineRule="auto"/>
        <w:rPr>
          <w:rFonts w:ascii="宋体" w:hAnsi="宋体" w:cs="宋体"/>
          <w:szCs w:val="21"/>
          <w:highlight w:val="none"/>
        </w:rPr>
      </w:pPr>
      <w:r>
        <w:rPr>
          <w:rFonts w:hint="eastAsia" w:ascii="宋体" w:hAnsi="宋体" w:cs="宋体"/>
          <w:szCs w:val="21"/>
          <w:highlight w:val="none"/>
        </w:rPr>
        <w:t>2.4 “服务”系指磋商文件规定供应商须承担的运输、安装、检验、售后服务以及其他类似的义务。</w:t>
      </w:r>
    </w:p>
    <w:p>
      <w:pPr>
        <w:pStyle w:val="8"/>
        <w:spacing w:before="0" w:after="0" w:line="360" w:lineRule="auto"/>
        <w:rPr>
          <w:rFonts w:ascii="宋体" w:hAnsi="宋体" w:cs="宋体"/>
          <w:bCs/>
          <w:sz w:val="21"/>
          <w:szCs w:val="21"/>
          <w:highlight w:val="none"/>
        </w:rPr>
      </w:pPr>
      <w:bookmarkStart w:id="53" w:name="_Toc4015"/>
      <w:bookmarkStart w:id="54" w:name="_Toc30175"/>
      <w:bookmarkStart w:id="55" w:name="_Toc28302"/>
      <w:bookmarkStart w:id="56" w:name="_Toc6199"/>
      <w:bookmarkStart w:id="57" w:name="_Toc7524473"/>
      <w:r>
        <w:rPr>
          <w:rFonts w:hint="eastAsia" w:ascii="宋体" w:hAnsi="宋体" w:cs="宋体"/>
          <w:bCs/>
          <w:sz w:val="21"/>
          <w:szCs w:val="21"/>
          <w:highlight w:val="none"/>
        </w:rPr>
        <w:t>3 合格的供应商</w:t>
      </w:r>
      <w:bookmarkEnd w:id="50"/>
      <w:bookmarkEnd w:id="51"/>
      <w:bookmarkEnd w:id="52"/>
      <w:bookmarkEnd w:id="53"/>
      <w:bookmarkEnd w:id="54"/>
      <w:bookmarkEnd w:id="55"/>
      <w:bookmarkEnd w:id="56"/>
      <w:bookmarkEnd w:id="57"/>
    </w:p>
    <w:p>
      <w:pPr>
        <w:overflowPunct w:val="0"/>
        <w:adjustRightInd w:val="0"/>
        <w:snapToGrid w:val="0"/>
        <w:spacing w:line="360" w:lineRule="auto"/>
        <w:rPr>
          <w:rFonts w:ascii="宋体" w:hAnsi="宋体" w:cs="宋体"/>
          <w:szCs w:val="21"/>
          <w:highlight w:val="none"/>
        </w:rPr>
      </w:pPr>
      <w:r>
        <w:rPr>
          <w:rFonts w:hint="eastAsia" w:ascii="宋体" w:hAnsi="宋体" w:cs="宋体"/>
          <w:szCs w:val="21"/>
          <w:highlight w:val="none"/>
        </w:rPr>
        <w:t>3.1 凡符合供应商资格要求且有能力提供采购服务的供应商均可参加采购活动。</w:t>
      </w:r>
    </w:p>
    <w:p>
      <w:pPr>
        <w:overflowPunct w:val="0"/>
        <w:adjustRightInd w:val="0"/>
        <w:snapToGrid w:val="0"/>
        <w:spacing w:line="360" w:lineRule="auto"/>
        <w:rPr>
          <w:rFonts w:ascii="宋体" w:hAnsi="宋体" w:cs="宋体"/>
          <w:szCs w:val="21"/>
          <w:highlight w:val="none"/>
        </w:rPr>
      </w:pPr>
      <w:r>
        <w:rPr>
          <w:rFonts w:hint="eastAsia" w:ascii="宋体" w:hAnsi="宋体" w:cs="宋体"/>
          <w:szCs w:val="21"/>
          <w:highlight w:val="none"/>
        </w:rPr>
        <w:t>3.2 供应商必须在采购公告载明的地点购买磋商文件并登记备案，未经购买磋商文件并登记备案的潜在供应商均无资格参加本次磋商报价。</w:t>
      </w:r>
    </w:p>
    <w:p>
      <w:pPr>
        <w:overflowPunct w:val="0"/>
        <w:adjustRightInd w:val="0"/>
        <w:snapToGrid w:val="0"/>
        <w:spacing w:line="360" w:lineRule="auto"/>
        <w:rPr>
          <w:rFonts w:ascii="宋体" w:hAnsi="宋体" w:cs="宋体"/>
          <w:szCs w:val="21"/>
          <w:highlight w:val="none"/>
        </w:rPr>
      </w:pPr>
      <w:r>
        <w:rPr>
          <w:rFonts w:hint="eastAsia" w:ascii="宋体" w:hAnsi="宋体" w:cs="宋体"/>
          <w:szCs w:val="21"/>
          <w:highlight w:val="none"/>
        </w:rPr>
        <w:t>3.3 供应商应参照《中华人民共和国政府采购法》及其它有关的中国法律和法规。</w:t>
      </w:r>
    </w:p>
    <w:p>
      <w:pPr>
        <w:overflowPunct w:val="0"/>
        <w:adjustRightInd w:val="0"/>
        <w:snapToGrid w:val="0"/>
        <w:spacing w:line="360" w:lineRule="auto"/>
        <w:rPr>
          <w:rFonts w:ascii="宋体" w:hAnsi="宋体" w:cs="宋体"/>
          <w:szCs w:val="21"/>
          <w:highlight w:val="none"/>
        </w:rPr>
      </w:pPr>
      <w:r>
        <w:rPr>
          <w:rFonts w:hint="eastAsia" w:ascii="宋体" w:hAnsi="宋体" w:cs="宋体"/>
          <w:szCs w:val="21"/>
          <w:highlight w:val="none"/>
        </w:rPr>
        <w:t>3.4 只有在法律上和财务上独立，合法运作，并独立于采购代理机构和采购人的供货人才能参加磋商。</w:t>
      </w:r>
    </w:p>
    <w:p>
      <w:pPr>
        <w:pStyle w:val="8"/>
        <w:spacing w:before="0" w:after="0" w:line="360" w:lineRule="auto"/>
        <w:rPr>
          <w:rFonts w:ascii="宋体" w:hAnsi="宋体" w:cs="宋体"/>
          <w:bCs/>
          <w:sz w:val="21"/>
          <w:szCs w:val="21"/>
          <w:highlight w:val="none"/>
        </w:rPr>
      </w:pPr>
      <w:bookmarkStart w:id="58" w:name="_Toc23736"/>
      <w:bookmarkStart w:id="59" w:name="_Toc7524474"/>
      <w:bookmarkStart w:id="60" w:name="_Toc28249"/>
      <w:bookmarkStart w:id="61" w:name="_Toc392236616"/>
      <w:bookmarkStart w:id="62" w:name="_Toc2150"/>
      <w:bookmarkStart w:id="63" w:name="_Toc18950"/>
      <w:bookmarkStart w:id="64" w:name="_Toc30136"/>
      <w:bookmarkStart w:id="65" w:name="_Toc5241"/>
      <w:bookmarkStart w:id="66" w:name="_Toc9093"/>
      <w:bookmarkStart w:id="67" w:name="_Toc386965827"/>
      <w:r>
        <w:rPr>
          <w:rFonts w:hint="eastAsia" w:ascii="宋体" w:hAnsi="宋体" w:cs="宋体"/>
          <w:bCs/>
          <w:sz w:val="21"/>
          <w:szCs w:val="21"/>
          <w:highlight w:val="none"/>
        </w:rPr>
        <w:t>4</w:t>
      </w:r>
      <w:bookmarkStart w:id="68" w:name="_Toc311415574"/>
      <w:r>
        <w:rPr>
          <w:rFonts w:hint="eastAsia" w:ascii="宋体" w:hAnsi="宋体" w:cs="宋体"/>
          <w:bCs/>
          <w:sz w:val="21"/>
          <w:szCs w:val="21"/>
          <w:highlight w:val="none"/>
        </w:rPr>
        <w:t>合格的服务</w:t>
      </w:r>
      <w:bookmarkEnd w:id="58"/>
      <w:bookmarkEnd w:id="59"/>
      <w:bookmarkEnd w:id="60"/>
      <w:bookmarkEnd w:id="61"/>
      <w:bookmarkEnd w:id="62"/>
      <w:bookmarkEnd w:id="63"/>
      <w:bookmarkEnd w:id="64"/>
      <w:bookmarkEnd w:id="65"/>
      <w:bookmarkEnd w:id="66"/>
      <w:bookmarkEnd w:id="67"/>
      <w:bookmarkEnd w:id="68"/>
    </w:p>
    <w:p>
      <w:pPr>
        <w:spacing w:line="360" w:lineRule="auto"/>
        <w:ind w:firstLine="420" w:firstLineChars="200"/>
        <w:rPr>
          <w:rFonts w:ascii="宋体" w:hAnsi="宋体" w:cs="宋体"/>
          <w:szCs w:val="21"/>
          <w:highlight w:val="none"/>
        </w:rPr>
      </w:pPr>
      <w:bookmarkStart w:id="69" w:name="_Toc386965828"/>
      <w:bookmarkStart w:id="70" w:name="_Toc233435921"/>
      <w:r>
        <w:rPr>
          <w:rFonts w:hint="eastAsia" w:ascii="宋体" w:hAnsi="宋体" w:cs="宋体"/>
          <w:szCs w:val="21"/>
          <w:highlight w:val="none"/>
        </w:rPr>
        <w:t>满足采购人需求并符合相关法律法规的规定。</w:t>
      </w:r>
    </w:p>
    <w:p>
      <w:pPr>
        <w:pStyle w:val="8"/>
        <w:spacing w:before="0" w:after="0" w:line="360" w:lineRule="auto"/>
        <w:rPr>
          <w:rFonts w:ascii="宋体" w:hAnsi="宋体" w:cs="宋体"/>
          <w:bCs/>
          <w:sz w:val="21"/>
          <w:szCs w:val="21"/>
          <w:highlight w:val="none"/>
        </w:rPr>
      </w:pPr>
      <w:bookmarkStart w:id="71" w:name="_Toc19545"/>
      <w:bookmarkStart w:id="72" w:name="_Toc25393"/>
      <w:bookmarkStart w:id="73" w:name="_Toc3689"/>
      <w:bookmarkStart w:id="74" w:name="_Toc7524475"/>
      <w:bookmarkStart w:id="75" w:name="_Toc392236617"/>
      <w:bookmarkStart w:id="76" w:name="_Toc1559"/>
      <w:bookmarkStart w:id="77" w:name="_Toc16334"/>
      <w:bookmarkStart w:id="78" w:name="_Toc7025"/>
      <w:bookmarkStart w:id="79" w:name="_Toc31298"/>
      <w:r>
        <w:rPr>
          <w:rFonts w:hint="eastAsia" w:ascii="宋体" w:hAnsi="宋体" w:cs="宋体"/>
          <w:bCs/>
          <w:sz w:val="21"/>
          <w:szCs w:val="21"/>
          <w:highlight w:val="none"/>
        </w:rPr>
        <w:t>5 费用</w:t>
      </w:r>
      <w:bookmarkEnd w:id="69"/>
      <w:bookmarkEnd w:id="70"/>
      <w:bookmarkEnd w:id="71"/>
      <w:bookmarkEnd w:id="72"/>
      <w:bookmarkEnd w:id="73"/>
      <w:bookmarkEnd w:id="74"/>
      <w:bookmarkEnd w:id="75"/>
      <w:bookmarkEnd w:id="76"/>
      <w:bookmarkEnd w:id="77"/>
      <w:bookmarkEnd w:id="78"/>
      <w:bookmarkEnd w:id="79"/>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供应商应承担所有与编写和提交响应文件有关的费用，无论磋商过程中的做法和结果如何，采购人及采购代理机构在任何情况下均无义务和责任承担这些费用。</w:t>
      </w:r>
    </w:p>
    <w:p>
      <w:pPr>
        <w:pStyle w:val="7"/>
        <w:spacing w:before="0" w:after="0" w:line="360" w:lineRule="auto"/>
        <w:jc w:val="center"/>
        <w:rPr>
          <w:rFonts w:ascii="宋体" w:hAnsi="宋体" w:eastAsia="宋体" w:cs="宋体"/>
          <w:bCs/>
          <w:sz w:val="28"/>
          <w:szCs w:val="28"/>
          <w:highlight w:val="none"/>
        </w:rPr>
      </w:pPr>
      <w:bookmarkStart w:id="80" w:name="_Toc4410"/>
      <w:bookmarkStart w:id="81" w:name="_Toc31883"/>
      <w:bookmarkStart w:id="82" w:name="_Toc6191"/>
      <w:bookmarkStart w:id="83" w:name="_Toc8046"/>
      <w:bookmarkStart w:id="84" w:name="_Toc392236618"/>
      <w:bookmarkStart w:id="85" w:name="_Toc233435922"/>
      <w:bookmarkStart w:id="86" w:name="_Toc386965829"/>
      <w:bookmarkStart w:id="87" w:name="_Toc26828"/>
      <w:bookmarkStart w:id="88" w:name="_Toc7524476"/>
      <w:bookmarkStart w:id="89" w:name="_Toc11660"/>
      <w:bookmarkStart w:id="90" w:name="_Toc30310"/>
      <w:r>
        <w:rPr>
          <w:rFonts w:hint="eastAsia" w:ascii="宋体" w:hAnsi="宋体" w:eastAsia="宋体" w:cs="宋体"/>
          <w:bCs/>
          <w:sz w:val="28"/>
          <w:szCs w:val="28"/>
          <w:highlight w:val="none"/>
        </w:rPr>
        <w:t>B 磋商文件说明</w:t>
      </w:r>
      <w:bookmarkEnd w:id="80"/>
      <w:bookmarkEnd w:id="81"/>
      <w:bookmarkEnd w:id="82"/>
      <w:bookmarkEnd w:id="83"/>
      <w:bookmarkEnd w:id="84"/>
      <w:bookmarkEnd w:id="85"/>
      <w:bookmarkEnd w:id="86"/>
      <w:bookmarkEnd w:id="87"/>
      <w:bookmarkEnd w:id="88"/>
      <w:bookmarkEnd w:id="89"/>
      <w:bookmarkEnd w:id="90"/>
    </w:p>
    <w:p>
      <w:pPr>
        <w:pStyle w:val="8"/>
        <w:spacing w:before="0" w:after="0" w:line="360" w:lineRule="auto"/>
        <w:rPr>
          <w:rFonts w:ascii="宋体" w:hAnsi="宋体" w:cs="宋体"/>
          <w:bCs/>
          <w:sz w:val="21"/>
          <w:szCs w:val="21"/>
          <w:highlight w:val="none"/>
        </w:rPr>
      </w:pPr>
      <w:bookmarkStart w:id="91" w:name="_Toc29319"/>
      <w:bookmarkStart w:id="92" w:name="_Toc23503"/>
      <w:bookmarkStart w:id="93" w:name="_Toc26978"/>
      <w:bookmarkStart w:id="94" w:name="_Toc28360"/>
      <w:bookmarkStart w:id="95" w:name="_Toc32641"/>
      <w:bookmarkStart w:id="96" w:name="_Toc386965830"/>
      <w:bookmarkStart w:id="97" w:name="_Toc233435923"/>
      <w:bookmarkStart w:id="98" w:name="_Toc2632"/>
      <w:bookmarkStart w:id="99" w:name="_Toc392236619"/>
      <w:bookmarkStart w:id="100" w:name="_Toc22734"/>
      <w:bookmarkStart w:id="101" w:name="_Toc7524477"/>
      <w:r>
        <w:rPr>
          <w:rFonts w:hint="eastAsia" w:ascii="宋体" w:hAnsi="宋体" w:cs="宋体"/>
          <w:bCs/>
          <w:sz w:val="21"/>
          <w:szCs w:val="21"/>
          <w:highlight w:val="none"/>
        </w:rPr>
        <w:t>6 磋商文件的构成</w:t>
      </w:r>
      <w:bookmarkEnd w:id="91"/>
      <w:bookmarkEnd w:id="92"/>
      <w:bookmarkEnd w:id="93"/>
      <w:bookmarkEnd w:id="94"/>
      <w:bookmarkEnd w:id="95"/>
      <w:bookmarkEnd w:id="96"/>
      <w:bookmarkEnd w:id="97"/>
      <w:bookmarkEnd w:id="98"/>
      <w:bookmarkEnd w:id="99"/>
      <w:bookmarkEnd w:id="100"/>
      <w:bookmarkEnd w:id="101"/>
    </w:p>
    <w:p>
      <w:pPr>
        <w:spacing w:line="360" w:lineRule="auto"/>
        <w:rPr>
          <w:rFonts w:ascii="宋体" w:hAnsi="宋体" w:cs="宋体"/>
          <w:szCs w:val="21"/>
          <w:highlight w:val="none"/>
        </w:rPr>
      </w:pPr>
      <w:r>
        <w:rPr>
          <w:rFonts w:hint="eastAsia" w:ascii="宋体" w:hAnsi="宋体" w:cs="宋体"/>
          <w:szCs w:val="21"/>
          <w:highlight w:val="none"/>
        </w:rPr>
        <w:t>6.1  磋商文件用以阐明所需提供的服务、采购、磋商报价程序和合同条件。磋商文件包括：</w:t>
      </w:r>
    </w:p>
    <w:p>
      <w:pPr>
        <w:spacing w:line="360" w:lineRule="auto"/>
        <w:rPr>
          <w:rFonts w:ascii="宋体" w:hAnsi="宋体" w:cs="宋体"/>
          <w:szCs w:val="21"/>
          <w:highlight w:val="none"/>
        </w:rPr>
      </w:pPr>
      <w:r>
        <w:rPr>
          <w:rFonts w:hint="eastAsia" w:ascii="宋体" w:hAnsi="宋体" w:cs="宋体"/>
          <w:szCs w:val="21"/>
          <w:highlight w:val="none"/>
        </w:rPr>
        <w:t>6.1.1采购公告</w:t>
      </w:r>
    </w:p>
    <w:p>
      <w:pPr>
        <w:spacing w:line="360" w:lineRule="auto"/>
        <w:rPr>
          <w:rFonts w:ascii="宋体" w:hAnsi="宋体" w:cs="宋体"/>
          <w:szCs w:val="21"/>
          <w:highlight w:val="none"/>
        </w:rPr>
      </w:pPr>
      <w:r>
        <w:rPr>
          <w:rFonts w:hint="eastAsia" w:ascii="宋体" w:hAnsi="宋体" w:cs="宋体"/>
          <w:szCs w:val="21"/>
          <w:highlight w:val="none"/>
        </w:rPr>
        <w:t>6.1.2供应商须知前附表</w:t>
      </w:r>
    </w:p>
    <w:p>
      <w:pPr>
        <w:spacing w:line="360" w:lineRule="auto"/>
        <w:rPr>
          <w:rFonts w:ascii="宋体" w:hAnsi="宋体" w:cs="宋体"/>
          <w:szCs w:val="21"/>
          <w:highlight w:val="none"/>
        </w:rPr>
      </w:pPr>
      <w:r>
        <w:rPr>
          <w:rFonts w:hint="eastAsia" w:ascii="宋体" w:hAnsi="宋体" w:cs="宋体"/>
          <w:szCs w:val="21"/>
          <w:highlight w:val="none"/>
        </w:rPr>
        <w:t>6.1.3供应商须知</w:t>
      </w:r>
    </w:p>
    <w:p>
      <w:pPr>
        <w:spacing w:line="360" w:lineRule="auto"/>
        <w:rPr>
          <w:rFonts w:ascii="宋体" w:hAnsi="宋体" w:cs="宋体"/>
          <w:szCs w:val="21"/>
          <w:highlight w:val="none"/>
        </w:rPr>
      </w:pPr>
      <w:r>
        <w:rPr>
          <w:rFonts w:hint="eastAsia" w:ascii="宋体" w:hAnsi="宋体" w:cs="宋体"/>
          <w:szCs w:val="21"/>
          <w:highlight w:val="none"/>
        </w:rPr>
        <w:t>6.1.4评标办法及标准</w:t>
      </w:r>
    </w:p>
    <w:p>
      <w:pPr>
        <w:spacing w:line="360" w:lineRule="auto"/>
        <w:rPr>
          <w:rFonts w:ascii="宋体" w:hAnsi="宋体" w:cs="宋体"/>
          <w:szCs w:val="21"/>
          <w:highlight w:val="none"/>
        </w:rPr>
      </w:pPr>
      <w:r>
        <w:rPr>
          <w:rFonts w:hint="eastAsia" w:ascii="宋体" w:hAnsi="宋体" w:cs="宋体"/>
          <w:szCs w:val="21"/>
          <w:highlight w:val="none"/>
        </w:rPr>
        <w:t>6.1.5采购内容及要求</w:t>
      </w:r>
    </w:p>
    <w:p>
      <w:pPr>
        <w:spacing w:line="360" w:lineRule="auto"/>
        <w:rPr>
          <w:rFonts w:ascii="宋体" w:hAnsi="宋体" w:cs="宋体"/>
          <w:szCs w:val="21"/>
          <w:highlight w:val="none"/>
        </w:rPr>
      </w:pPr>
      <w:r>
        <w:rPr>
          <w:rFonts w:hint="eastAsia" w:ascii="宋体" w:hAnsi="宋体" w:cs="宋体"/>
          <w:szCs w:val="21"/>
          <w:highlight w:val="none"/>
        </w:rPr>
        <w:t>6.1.6合同主要条款</w:t>
      </w:r>
    </w:p>
    <w:p>
      <w:pPr>
        <w:spacing w:line="360" w:lineRule="auto"/>
        <w:rPr>
          <w:rFonts w:ascii="宋体" w:hAnsi="宋体" w:cs="宋体"/>
          <w:szCs w:val="21"/>
          <w:highlight w:val="none"/>
        </w:rPr>
      </w:pPr>
      <w:r>
        <w:rPr>
          <w:rFonts w:hint="eastAsia" w:ascii="宋体" w:hAnsi="宋体" w:cs="宋体"/>
          <w:szCs w:val="21"/>
          <w:highlight w:val="none"/>
        </w:rPr>
        <w:t>6.1.7响应文件格式</w:t>
      </w:r>
    </w:p>
    <w:p>
      <w:pPr>
        <w:spacing w:line="360" w:lineRule="auto"/>
        <w:jc w:val="left"/>
        <w:rPr>
          <w:rFonts w:ascii="宋体" w:hAnsi="宋体" w:cs="宋体"/>
          <w:szCs w:val="21"/>
          <w:highlight w:val="none"/>
        </w:rPr>
      </w:pPr>
      <w:r>
        <w:rPr>
          <w:rFonts w:hint="eastAsia" w:ascii="宋体" w:hAnsi="宋体" w:cs="宋体"/>
          <w:szCs w:val="21"/>
          <w:highlight w:val="none"/>
        </w:rPr>
        <w:t>6.2  供应商应认真阅读磋商文件中所有的事项、格式条款和规范要求等。供应商没有对磋商文件全面做出实质性响应是供应商的风险。磋商小组有权拒绝没有对磋商文件要求做出实质性响应的磋商。</w:t>
      </w:r>
      <w:bookmarkStart w:id="102" w:name="_Toc7524478"/>
      <w:bookmarkStart w:id="103" w:name="_Toc5606"/>
      <w:bookmarkStart w:id="104" w:name="_Toc3766"/>
      <w:bookmarkStart w:id="105" w:name="_Toc22714"/>
      <w:bookmarkStart w:id="106" w:name="_Toc233435924"/>
      <w:bookmarkStart w:id="107" w:name="_Toc13977"/>
      <w:bookmarkStart w:id="108" w:name="_Toc14698"/>
      <w:bookmarkStart w:id="109" w:name="_Toc386965831"/>
      <w:bookmarkStart w:id="110" w:name="_Toc25965"/>
      <w:bookmarkStart w:id="111" w:name="_Toc455"/>
      <w:bookmarkStart w:id="112" w:name="_Toc392236620"/>
    </w:p>
    <w:p>
      <w:pPr>
        <w:pStyle w:val="8"/>
        <w:spacing w:before="0" w:after="0" w:line="360" w:lineRule="auto"/>
        <w:rPr>
          <w:rFonts w:ascii="宋体" w:hAnsi="宋体" w:cs="宋体"/>
          <w:bCs/>
          <w:sz w:val="21"/>
          <w:szCs w:val="21"/>
          <w:highlight w:val="none"/>
        </w:rPr>
      </w:pPr>
      <w:r>
        <w:rPr>
          <w:rFonts w:hint="eastAsia" w:ascii="宋体" w:hAnsi="宋体" w:cs="宋体"/>
          <w:bCs/>
          <w:sz w:val="21"/>
          <w:szCs w:val="21"/>
          <w:highlight w:val="none"/>
        </w:rPr>
        <w:t>7 磋商文件的澄清</w:t>
      </w:r>
      <w:bookmarkEnd w:id="102"/>
      <w:bookmarkEnd w:id="103"/>
      <w:bookmarkEnd w:id="104"/>
      <w:bookmarkEnd w:id="105"/>
      <w:bookmarkEnd w:id="106"/>
      <w:bookmarkEnd w:id="107"/>
      <w:bookmarkEnd w:id="108"/>
      <w:bookmarkEnd w:id="109"/>
      <w:bookmarkEnd w:id="110"/>
      <w:bookmarkEnd w:id="111"/>
      <w:bookmarkEnd w:id="112"/>
      <w:bookmarkStart w:id="113" w:name="_Toc25307"/>
    </w:p>
    <w:p>
      <w:pPr>
        <w:spacing w:line="360" w:lineRule="auto"/>
        <w:ind w:firstLine="420" w:firstLineChars="200"/>
        <w:jc w:val="left"/>
        <w:rPr>
          <w:rFonts w:ascii="宋体" w:hAnsi="宋体" w:cs="宋体"/>
          <w:bCs/>
          <w:szCs w:val="21"/>
          <w:highlight w:val="none"/>
        </w:rPr>
      </w:pPr>
      <w:r>
        <w:rPr>
          <w:rFonts w:hint="eastAsia" w:ascii="宋体" w:hAnsi="宋体" w:cs="宋体"/>
          <w:bCs/>
          <w:szCs w:val="21"/>
          <w:highlight w:val="none"/>
        </w:rPr>
        <w:t>任何供应商对磋商文件（除质疑外）需要询问或澄清的，或认为有必要与采购代理机构进行技术交流的，均应在磋商截止时间3日前按磋商文件中的联系方式，以书面形式向采购代理机构提出，采购代理机构应当在2日内，以书面形式予以答复（答复中不包括问题的来源），或认为有必要召开答疑会。超过该时间收到的需要询问或澄清的内容，采购代理机构有权不予答复。</w:t>
      </w:r>
      <w:bookmarkEnd w:id="113"/>
      <w:bookmarkStart w:id="114" w:name="_Toc7524479"/>
      <w:bookmarkStart w:id="115" w:name="_Toc15094"/>
      <w:bookmarkStart w:id="116" w:name="_Toc22085"/>
      <w:bookmarkStart w:id="117" w:name="_Toc8702"/>
      <w:bookmarkStart w:id="118" w:name="_Toc386965832"/>
      <w:bookmarkStart w:id="119" w:name="_Toc15550"/>
      <w:bookmarkStart w:id="120" w:name="_Toc233435925"/>
      <w:bookmarkStart w:id="121" w:name="_Toc8521"/>
      <w:bookmarkStart w:id="122" w:name="_Toc392236621"/>
      <w:bookmarkStart w:id="123" w:name="_Toc25911"/>
      <w:bookmarkStart w:id="124" w:name="_Toc16399"/>
    </w:p>
    <w:p>
      <w:pPr>
        <w:spacing w:line="360" w:lineRule="auto"/>
        <w:ind w:firstLine="420" w:firstLineChars="200"/>
        <w:jc w:val="left"/>
        <w:rPr>
          <w:rFonts w:ascii="宋体" w:hAnsi="宋体" w:cs="宋体"/>
          <w:bCs/>
          <w:szCs w:val="21"/>
          <w:highlight w:val="none"/>
        </w:rPr>
      </w:pPr>
      <w:r>
        <w:rPr>
          <w:rFonts w:hint="eastAsia" w:ascii="宋体" w:hAnsi="宋体" w:cs="宋体"/>
          <w:bCs/>
          <w:szCs w:val="21"/>
          <w:highlight w:val="none"/>
        </w:rPr>
        <w:t>8 磋商文件的修改</w:t>
      </w:r>
      <w:bookmarkEnd w:id="114"/>
      <w:bookmarkEnd w:id="115"/>
      <w:bookmarkEnd w:id="116"/>
      <w:bookmarkEnd w:id="117"/>
      <w:bookmarkEnd w:id="118"/>
      <w:bookmarkEnd w:id="119"/>
      <w:bookmarkEnd w:id="120"/>
      <w:bookmarkEnd w:id="121"/>
      <w:bookmarkEnd w:id="122"/>
      <w:bookmarkEnd w:id="123"/>
      <w:bookmarkEnd w:id="124"/>
    </w:p>
    <w:p>
      <w:pPr>
        <w:spacing w:line="360" w:lineRule="auto"/>
        <w:ind w:firstLine="420" w:firstLineChars="200"/>
        <w:jc w:val="left"/>
        <w:rPr>
          <w:rFonts w:ascii="宋体" w:hAnsi="宋体" w:cs="宋体"/>
          <w:bCs/>
          <w:szCs w:val="21"/>
          <w:highlight w:val="none"/>
        </w:rPr>
      </w:pPr>
      <w:r>
        <w:rPr>
          <w:rFonts w:hint="eastAsia" w:ascii="宋体" w:hAnsi="宋体" w:cs="宋体"/>
          <w:bCs/>
          <w:szCs w:val="21"/>
          <w:highlight w:val="none"/>
        </w:rPr>
        <w:t>8.1  在磋商响应文件首次递交截止时间前，采购代理机构无论出于何种原因，可以对已发出竞争性磋商文件进行必要的澄清或者修改，但不得修改采购标的和资格条件。</w:t>
      </w:r>
    </w:p>
    <w:p>
      <w:pPr>
        <w:spacing w:line="360" w:lineRule="auto"/>
        <w:ind w:firstLine="420" w:firstLineChars="200"/>
        <w:jc w:val="left"/>
        <w:rPr>
          <w:rFonts w:ascii="宋体" w:hAnsi="宋体" w:cs="宋体"/>
          <w:bCs/>
          <w:szCs w:val="21"/>
          <w:highlight w:val="none"/>
        </w:rPr>
      </w:pPr>
      <w:r>
        <w:rPr>
          <w:rFonts w:hint="eastAsia" w:ascii="宋体" w:hAnsi="宋体" w:cs="宋体"/>
          <w:bCs/>
          <w:szCs w:val="21"/>
          <w:highlight w:val="none"/>
        </w:rPr>
        <w:t>8.2 采购人或采购代理机构对已发出的竞争性磋商文件进行必要的澄清或者修改，澄清或修改的内容可能影响竞争性磋商响应文件编制的，应当在首次递交竞争性磋商响应文件截止时间至少5日前，以书面形式将澄清或者修改的内容通知所有获取竞争性磋商文件的潜在供应商。供应商在收到上述通知后，应立即以书面形式向采购代理机构确认。不足5日，将相应顺延磋商响应文件截止时间。</w:t>
      </w:r>
    </w:p>
    <w:p>
      <w:pPr>
        <w:spacing w:line="360" w:lineRule="auto"/>
        <w:ind w:firstLine="420" w:firstLineChars="200"/>
        <w:jc w:val="left"/>
        <w:rPr>
          <w:rFonts w:ascii="宋体" w:hAnsi="宋体" w:cs="宋体"/>
          <w:bCs/>
          <w:szCs w:val="21"/>
          <w:highlight w:val="none"/>
        </w:rPr>
      </w:pPr>
      <w:r>
        <w:rPr>
          <w:rFonts w:hint="eastAsia" w:ascii="宋体" w:hAnsi="宋体" w:cs="宋体"/>
          <w:bCs/>
          <w:szCs w:val="21"/>
          <w:highlight w:val="none"/>
        </w:rPr>
        <w:t>8.3供应商应仔细阅读和检查竞争性磋商文件的全部内容。如发现缺页或附件不全，应及时向采购代理机构提出，以便补齐。如需要询问或澄清的（除质疑外），或认为有必要与采购代理机构进行技术交流的，均应在磋商响应文件递交截止时间3天前按竞争性磋商文件中的通讯地址以书面形式递交代理机构，采购代理机构应当以书面形式予以答复，必要时召开答疑会。超过该时间收到的需要询问或澄清的内容，采购代理机构有权不予答复。</w:t>
      </w:r>
    </w:p>
    <w:p>
      <w:pPr>
        <w:spacing w:line="360" w:lineRule="auto"/>
        <w:ind w:firstLine="420" w:firstLineChars="200"/>
        <w:jc w:val="left"/>
        <w:rPr>
          <w:rFonts w:hint="eastAsia" w:ascii="宋体" w:hAnsi="宋体" w:cs="宋体"/>
          <w:bCs/>
          <w:szCs w:val="21"/>
          <w:highlight w:val="none"/>
        </w:rPr>
      </w:pPr>
      <w:r>
        <w:rPr>
          <w:rFonts w:hint="eastAsia" w:ascii="宋体" w:hAnsi="宋体" w:cs="宋体"/>
          <w:bCs/>
          <w:szCs w:val="21"/>
          <w:highlight w:val="none"/>
        </w:rPr>
        <w:t>8.4 在磋商响应文件递交截止时间前，采购代理机构可以视采购具体情况，延长磋商响应文件截止时间和磋商时间，并在竞争性磋商文件要求提交竞争性磋商响应文件的截止时间前，将变更时间以书面形式通知所有获取竞争性磋商文件的潜在供应商，同时在原信息发布媒体上发布变更公告。</w:t>
      </w:r>
    </w:p>
    <w:p>
      <w:pPr>
        <w:pStyle w:val="8"/>
        <w:spacing w:before="0" w:after="0" w:line="360" w:lineRule="auto"/>
        <w:ind w:firstLine="420" w:firstLineChars="200"/>
        <w:rPr>
          <w:rFonts w:ascii="宋体" w:hAnsi="宋体" w:cs="宋体"/>
          <w:szCs w:val="21"/>
          <w:highlight w:val="none"/>
        </w:rPr>
      </w:pPr>
      <w:r>
        <w:rPr>
          <w:rFonts w:hint="eastAsia" w:ascii="宋体" w:hAnsi="宋体" w:cs="宋体"/>
          <w:b w:val="0"/>
          <w:bCs/>
          <w:sz w:val="21"/>
          <w:szCs w:val="21"/>
          <w:highlight w:val="none"/>
        </w:rPr>
        <w:t>8.5 竞争性磋商文件澄清、答复、修改或补充的内容为竞争性磋商文件的组成部分。当竞争性磋商文件澄清、答复、修改或补充通知与竞争性磋商文件就同一内容表述不一致时，以最后发出的书面文件内容为准。</w:t>
      </w:r>
    </w:p>
    <w:p>
      <w:pPr>
        <w:pStyle w:val="7"/>
        <w:tabs>
          <w:tab w:val="left" w:pos="576"/>
        </w:tabs>
        <w:spacing w:before="0" w:after="0" w:line="360" w:lineRule="auto"/>
        <w:jc w:val="center"/>
        <w:rPr>
          <w:rFonts w:ascii="宋体" w:hAnsi="宋体" w:eastAsia="宋体" w:cs="宋体"/>
          <w:b w:val="0"/>
          <w:sz w:val="21"/>
          <w:szCs w:val="21"/>
          <w:highlight w:val="none"/>
        </w:rPr>
      </w:pPr>
      <w:bookmarkStart w:id="125" w:name="_Toc31898"/>
      <w:bookmarkStart w:id="126" w:name="_Toc392236622"/>
      <w:bookmarkStart w:id="127" w:name="_Toc386965833"/>
      <w:bookmarkStart w:id="128" w:name="_Toc17244"/>
      <w:bookmarkStart w:id="129" w:name="_Toc13194"/>
      <w:bookmarkStart w:id="130" w:name="_Toc31475"/>
      <w:bookmarkStart w:id="131" w:name="_Toc7524480"/>
      <w:bookmarkStart w:id="132" w:name="_Toc233435926"/>
      <w:bookmarkStart w:id="133" w:name="_Toc32329"/>
      <w:bookmarkStart w:id="134" w:name="_Toc6921"/>
      <w:bookmarkStart w:id="135" w:name="_Toc4214"/>
      <w:r>
        <w:rPr>
          <w:rFonts w:hint="eastAsia" w:ascii="宋体" w:hAnsi="宋体" w:eastAsia="宋体" w:cs="宋体"/>
          <w:bCs/>
          <w:sz w:val="28"/>
          <w:szCs w:val="28"/>
          <w:highlight w:val="none"/>
        </w:rPr>
        <w:t>C 响应文件的编写</w:t>
      </w:r>
      <w:bookmarkEnd w:id="125"/>
      <w:bookmarkEnd w:id="126"/>
      <w:bookmarkEnd w:id="127"/>
      <w:bookmarkEnd w:id="128"/>
      <w:bookmarkEnd w:id="129"/>
      <w:bookmarkEnd w:id="130"/>
      <w:bookmarkEnd w:id="131"/>
      <w:bookmarkEnd w:id="132"/>
      <w:bookmarkEnd w:id="133"/>
      <w:bookmarkEnd w:id="134"/>
      <w:bookmarkEnd w:id="135"/>
    </w:p>
    <w:p>
      <w:pPr>
        <w:pStyle w:val="8"/>
        <w:spacing w:before="0" w:after="0" w:line="360" w:lineRule="auto"/>
        <w:rPr>
          <w:rFonts w:ascii="宋体" w:hAnsi="宋体" w:cs="宋体"/>
          <w:bCs/>
          <w:sz w:val="21"/>
          <w:szCs w:val="21"/>
          <w:highlight w:val="none"/>
        </w:rPr>
      </w:pPr>
      <w:bookmarkStart w:id="136" w:name="_Toc7524481"/>
      <w:bookmarkStart w:id="137" w:name="_Toc392236623"/>
      <w:bookmarkStart w:id="138" w:name="_Toc12930"/>
      <w:bookmarkStart w:id="139" w:name="_Toc32421"/>
      <w:bookmarkStart w:id="140" w:name="_Toc23961"/>
      <w:bookmarkStart w:id="141" w:name="_Toc386965834"/>
      <w:bookmarkStart w:id="142" w:name="_Toc29182"/>
      <w:bookmarkStart w:id="143" w:name="_Toc30982"/>
      <w:bookmarkStart w:id="144" w:name="_Toc13036"/>
      <w:bookmarkStart w:id="145" w:name="_Toc18644"/>
      <w:bookmarkStart w:id="146" w:name="_Toc233435927"/>
      <w:r>
        <w:rPr>
          <w:rFonts w:hint="eastAsia" w:ascii="宋体" w:hAnsi="宋体" w:cs="宋体"/>
          <w:bCs/>
          <w:sz w:val="21"/>
          <w:szCs w:val="21"/>
          <w:highlight w:val="none"/>
        </w:rPr>
        <w:t>9 响应文件编制的原则</w:t>
      </w:r>
      <w:bookmarkEnd w:id="136"/>
      <w:bookmarkEnd w:id="137"/>
      <w:bookmarkEnd w:id="138"/>
      <w:bookmarkEnd w:id="139"/>
      <w:bookmarkEnd w:id="140"/>
      <w:bookmarkEnd w:id="141"/>
      <w:bookmarkEnd w:id="142"/>
      <w:bookmarkEnd w:id="143"/>
      <w:bookmarkEnd w:id="144"/>
      <w:bookmarkEnd w:id="145"/>
    </w:p>
    <w:p>
      <w:pPr>
        <w:overflowPunct w:val="0"/>
        <w:adjustRightInd w:val="0"/>
        <w:snapToGrid w:val="0"/>
        <w:spacing w:line="360" w:lineRule="auto"/>
        <w:rPr>
          <w:rFonts w:ascii="宋体" w:hAnsi="宋体" w:cs="宋体"/>
          <w:szCs w:val="21"/>
          <w:highlight w:val="none"/>
        </w:rPr>
      </w:pPr>
      <w:r>
        <w:rPr>
          <w:rFonts w:hint="eastAsia" w:ascii="宋体" w:hAnsi="宋体" w:cs="宋体"/>
          <w:szCs w:val="21"/>
          <w:highlight w:val="none"/>
        </w:rPr>
        <w:t>9.1 供应商应在认真阅读磋商文件所有内容的基础上，按照磋商文件的要求编制完整的响应文件。磋商文件中对响应文件格式有要求的，应按格式逐项填写内容，不准有空项；无相应内容可填的项应填写“无”、“没有相应指标”等明确的回答文字。响应文件中留有空项的，将被视为不完整响应的响应文件，其投标将有可能被拒绝。</w:t>
      </w:r>
    </w:p>
    <w:p>
      <w:pPr>
        <w:overflowPunct w:val="0"/>
        <w:adjustRightInd w:val="0"/>
        <w:snapToGrid w:val="0"/>
        <w:spacing w:line="360" w:lineRule="auto"/>
        <w:rPr>
          <w:rFonts w:ascii="宋体" w:hAnsi="宋体" w:cs="宋体"/>
          <w:szCs w:val="21"/>
          <w:highlight w:val="none"/>
        </w:rPr>
      </w:pPr>
      <w:r>
        <w:rPr>
          <w:rFonts w:hint="eastAsia" w:ascii="宋体" w:hAnsi="宋体" w:cs="宋体"/>
          <w:szCs w:val="21"/>
          <w:highlight w:val="none"/>
        </w:rPr>
        <w:t>9.2 供应商必须保证响应文件所提供的全部资料真实可靠，并接受对其中任何资料进一步审查的要求。</w:t>
      </w:r>
    </w:p>
    <w:p>
      <w:pPr>
        <w:spacing w:line="360" w:lineRule="auto"/>
        <w:rPr>
          <w:rFonts w:ascii="宋体" w:hAnsi="宋体" w:cs="宋体"/>
          <w:szCs w:val="21"/>
          <w:highlight w:val="none"/>
        </w:rPr>
      </w:pPr>
      <w:r>
        <w:rPr>
          <w:rFonts w:hint="eastAsia" w:ascii="宋体" w:hAnsi="宋体" w:cs="宋体"/>
          <w:szCs w:val="21"/>
          <w:highlight w:val="none"/>
        </w:rPr>
        <w:t>9.3 响应文件须对磋商文件中的内容做出实质性和完整的响应，否则其投标将被拒绝。</w:t>
      </w:r>
    </w:p>
    <w:p>
      <w:pPr>
        <w:pStyle w:val="8"/>
        <w:spacing w:before="0" w:after="0" w:line="360" w:lineRule="auto"/>
        <w:rPr>
          <w:rFonts w:ascii="宋体" w:hAnsi="宋体" w:cs="宋体"/>
          <w:bCs/>
          <w:sz w:val="21"/>
          <w:szCs w:val="21"/>
          <w:highlight w:val="none"/>
        </w:rPr>
      </w:pPr>
      <w:bookmarkStart w:id="147" w:name="_Toc282"/>
      <w:bookmarkStart w:id="148" w:name="_Toc4812"/>
      <w:bookmarkStart w:id="149" w:name="_Toc13586"/>
      <w:bookmarkStart w:id="150" w:name="_Toc7779"/>
      <w:bookmarkStart w:id="151" w:name="_Toc6773"/>
      <w:bookmarkStart w:id="152" w:name="_Toc386965835"/>
      <w:bookmarkStart w:id="153" w:name="_Toc7524482"/>
      <w:bookmarkStart w:id="154" w:name="_Toc392236624"/>
      <w:bookmarkStart w:id="155" w:name="_Toc4389"/>
      <w:bookmarkStart w:id="156" w:name="_Toc18760"/>
      <w:r>
        <w:rPr>
          <w:rFonts w:hint="eastAsia" w:ascii="宋体" w:hAnsi="宋体" w:cs="宋体"/>
          <w:bCs/>
          <w:sz w:val="21"/>
          <w:szCs w:val="21"/>
          <w:highlight w:val="none"/>
        </w:rPr>
        <w:t>10 响应文件语言</w:t>
      </w:r>
      <w:bookmarkEnd w:id="146"/>
      <w:bookmarkEnd w:id="147"/>
      <w:bookmarkEnd w:id="148"/>
      <w:bookmarkEnd w:id="149"/>
      <w:bookmarkEnd w:id="150"/>
      <w:bookmarkEnd w:id="151"/>
      <w:bookmarkEnd w:id="152"/>
      <w:bookmarkEnd w:id="153"/>
      <w:bookmarkEnd w:id="154"/>
      <w:bookmarkEnd w:id="155"/>
      <w:bookmarkEnd w:id="156"/>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由供应商编写的响应文件和往来信件应以中文书写。</w:t>
      </w:r>
    </w:p>
    <w:p>
      <w:pPr>
        <w:pStyle w:val="8"/>
        <w:spacing w:before="0" w:after="0" w:line="360" w:lineRule="auto"/>
        <w:rPr>
          <w:rFonts w:ascii="宋体" w:hAnsi="宋体" w:cs="宋体"/>
          <w:bCs/>
          <w:sz w:val="21"/>
          <w:szCs w:val="21"/>
          <w:highlight w:val="none"/>
        </w:rPr>
      </w:pPr>
      <w:bookmarkStart w:id="157" w:name="_Toc10766"/>
      <w:bookmarkStart w:id="158" w:name="_Toc12695"/>
      <w:bookmarkStart w:id="159" w:name="_Toc30526"/>
      <w:bookmarkStart w:id="160" w:name="_Toc7524483"/>
      <w:bookmarkStart w:id="161" w:name="_Toc29945"/>
      <w:bookmarkStart w:id="162" w:name="_Toc233435928"/>
      <w:bookmarkStart w:id="163" w:name="_Toc29832"/>
      <w:bookmarkStart w:id="164" w:name="_Toc1406"/>
      <w:bookmarkStart w:id="165" w:name="_Toc6388"/>
      <w:bookmarkStart w:id="166" w:name="_Toc392236625"/>
      <w:bookmarkStart w:id="167" w:name="_Toc386965836"/>
      <w:r>
        <w:rPr>
          <w:rFonts w:hint="eastAsia" w:ascii="宋体" w:hAnsi="宋体" w:cs="宋体"/>
          <w:bCs/>
          <w:sz w:val="21"/>
          <w:szCs w:val="21"/>
          <w:highlight w:val="none"/>
        </w:rPr>
        <w:t>11 计量单位</w:t>
      </w:r>
      <w:bookmarkEnd w:id="157"/>
      <w:bookmarkEnd w:id="158"/>
      <w:bookmarkEnd w:id="159"/>
      <w:bookmarkEnd w:id="160"/>
      <w:bookmarkEnd w:id="161"/>
      <w:bookmarkEnd w:id="162"/>
      <w:bookmarkEnd w:id="163"/>
      <w:bookmarkEnd w:id="164"/>
      <w:bookmarkEnd w:id="165"/>
      <w:bookmarkEnd w:id="166"/>
      <w:bookmarkEnd w:id="167"/>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除在磋商文件的技术规格中另有规定外，计量单位应使用中华人民共和国法定计量单位。</w:t>
      </w:r>
    </w:p>
    <w:p>
      <w:pPr>
        <w:pStyle w:val="8"/>
        <w:spacing w:before="0" w:after="0" w:line="360" w:lineRule="auto"/>
        <w:rPr>
          <w:rFonts w:ascii="宋体" w:hAnsi="宋体" w:cs="宋体"/>
          <w:bCs/>
          <w:sz w:val="21"/>
          <w:szCs w:val="21"/>
          <w:highlight w:val="none"/>
        </w:rPr>
      </w:pPr>
      <w:bookmarkStart w:id="168" w:name="_Toc23526"/>
      <w:bookmarkStart w:id="169" w:name="_Toc11139"/>
      <w:bookmarkStart w:id="170" w:name="_Toc7524484"/>
      <w:bookmarkStart w:id="171" w:name="_Toc386965837"/>
      <w:bookmarkStart w:id="172" w:name="_Toc32019"/>
      <w:bookmarkStart w:id="173" w:name="_Toc233435929"/>
      <w:bookmarkStart w:id="174" w:name="_Toc392236626"/>
      <w:bookmarkStart w:id="175" w:name="_Toc14538"/>
      <w:bookmarkStart w:id="176" w:name="_Toc5332"/>
      <w:bookmarkStart w:id="177" w:name="_Toc27637"/>
      <w:bookmarkStart w:id="178" w:name="_Toc15625"/>
      <w:r>
        <w:rPr>
          <w:rFonts w:hint="eastAsia" w:ascii="宋体" w:hAnsi="宋体" w:cs="宋体"/>
          <w:bCs/>
          <w:sz w:val="21"/>
          <w:szCs w:val="21"/>
          <w:highlight w:val="none"/>
        </w:rPr>
        <w:t>12 响应文件的组成</w:t>
      </w:r>
      <w:bookmarkEnd w:id="168"/>
      <w:bookmarkEnd w:id="169"/>
      <w:bookmarkEnd w:id="170"/>
      <w:bookmarkEnd w:id="171"/>
      <w:bookmarkEnd w:id="172"/>
      <w:bookmarkEnd w:id="173"/>
      <w:bookmarkEnd w:id="174"/>
      <w:bookmarkEnd w:id="175"/>
      <w:bookmarkEnd w:id="176"/>
      <w:bookmarkEnd w:id="177"/>
      <w:bookmarkEnd w:id="178"/>
    </w:p>
    <w:p>
      <w:pPr>
        <w:spacing w:line="360" w:lineRule="auto"/>
        <w:ind w:firstLine="420" w:firstLineChars="200"/>
        <w:rPr>
          <w:rFonts w:hint="eastAsia" w:ascii="宋体" w:hAnsi="宋体" w:cs="宋体"/>
          <w:b w:val="0"/>
          <w:sz w:val="21"/>
          <w:szCs w:val="21"/>
          <w:highlight w:val="none"/>
        </w:rPr>
      </w:pPr>
      <w:bookmarkStart w:id="179" w:name="_Toc386965838"/>
      <w:bookmarkStart w:id="180" w:name="_Toc32337"/>
      <w:bookmarkStart w:id="181" w:name="_Toc233435930"/>
      <w:bookmarkStart w:id="182" w:name="_Toc14594"/>
      <w:bookmarkStart w:id="183" w:name="_Toc392236627"/>
      <w:bookmarkStart w:id="184" w:name="_Toc7524485"/>
      <w:bookmarkStart w:id="185" w:name="_Toc19960"/>
      <w:bookmarkStart w:id="186" w:name="_Toc21364"/>
      <w:bookmarkStart w:id="187" w:name="_Toc4760"/>
      <w:r>
        <w:rPr>
          <w:rFonts w:hint="eastAsia" w:ascii="宋体" w:hAnsi="宋体" w:cs="宋体"/>
          <w:szCs w:val="21"/>
          <w:highlight w:val="none"/>
        </w:rPr>
        <w:t>响应文件必须根据磋商文件提供的内容及格式编制，并对磋商文件做出实质性响应。具体内容包括：</w:t>
      </w:r>
      <w:bookmarkStart w:id="188" w:name="_Toc32272"/>
      <w:bookmarkStart w:id="189" w:name="_Toc17945"/>
      <w:r>
        <w:rPr>
          <w:rFonts w:hint="eastAsia" w:ascii="宋体" w:hAnsi="宋体" w:cs="宋体"/>
          <w:b w:val="0"/>
          <w:sz w:val="21"/>
          <w:szCs w:val="21"/>
          <w:highlight w:val="none"/>
        </w:rPr>
        <w:t>（1）磋商响应函</w:t>
      </w:r>
    </w:p>
    <w:p>
      <w:pPr>
        <w:numPr>
          <w:ilvl w:val="0"/>
          <w:numId w:val="4"/>
        </w:numPr>
        <w:spacing w:line="360" w:lineRule="auto"/>
        <w:rPr>
          <w:rFonts w:hint="eastAsia" w:ascii="宋体" w:hAnsi="宋体" w:cs="宋体"/>
          <w:b w:val="0"/>
          <w:sz w:val="21"/>
          <w:szCs w:val="21"/>
          <w:highlight w:val="none"/>
        </w:rPr>
      </w:pPr>
      <w:r>
        <w:rPr>
          <w:rFonts w:hint="eastAsia" w:ascii="宋体" w:hAnsi="宋体" w:cs="宋体"/>
          <w:b w:val="0"/>
          <w:sz w:val="21"/>
          <w:szCs w:val="21"/>
          <w:highlight w:val="none"/>
        </w:rPr>
        <w:t>法定代表人身份证明</w:t>
      </w:r>
    </w:p>
    <w:p>
      <w:pPr>
        <w:numPr>
          <w:ilvl w:val="0"/>
          <w:numId w:val="4"/>
        </w:numPr>
        <w:spacing w:line="360" w:lineRule="auto"/>
        <w:ind w:left="0" w:leftChars="0" w:firstLine="0" w:firstLineChars="0"/>
        <w:rPr>
          <w:rFonts w:hint="eastAsia" w:ascii="宋体" w:hAnsi="宋体" w:cs="宋体"/>
          <w:b w:val="0"/>
          <w:sz w:val="21"/>
          <w:szCs w:val="21"/>
          <w:highlight w:val="none"/>
        </w:rPr>
      </w:pPr>
      <w:r>
        <w:rPr>
          <w:rFonts w:hint="eastAsia" w:ascii="宋体" w:hAnsi="宋体" w:cs="宋体"/>
          <w:b w:val="0"/>
          <w:sz w:val="21"/>
          <w:szCs w:val="21"/>
          <w:highlight w:val="none"/>
        </w:rPr>
        <w:t>法定代表人授权书</w:t>
      </w:r>
    </w:p>
    <w:p>
      <w:pPr>
        <w:numPr>
          <w:ilvl w:val="0"/>
          <w:numId w:val="4"/>
        </w:numPr>
        <w:spacing w:line="360" w:lineRule="auto"/>
        <w:ind w:left="0" w:leftChars="0" w:firstLine="0" w:firstLineChars="0"/>
        <w:rPr>
          <w:rFonts w:hint="eastAsia" w:ascii="宋体" w:hAnsi="宋体" w:cs="宋体"/>
          <w:b w:val="0"/>
          <w:sz w:val="21"/>
          <w:szCs w:val="21"/>
          <w:highlight w:val="none"/>
        </w:rPr>
      </w:pPr>
      <w:r>
        <w:rPr>
          <w:rFonts w:hint="eastAsia" w:ascii="宋体" w:hAnsi="宋体" w:cs="宋体"/>
          <w:b w:val="0"/>
          <w:sz w:val="21"/>
          <w:szCs w:val="21"/>
          <w:highlight w:val="none"/>
        </w:rPr>
        <w:t>开标一览表</w:t>
      </w:r>
    </w:p>
    <w:p>
      <w:pPr>
        <w:numPr>
          <w:ilvl w:val="0"/>
          <w:numId w:val="4"/>
        </w:numPr>
        <w:spacing w:line="360" w:lineRule="auto"/>
        <w:ind w:left="0" w:leftChars="0" w:firstLine="0" w:firstLineChars="0"/>
        <w:rPr>
          <w:rFonts w:hint="eastAsia" w:ascii="宋体" w:hAnsi="宋体" w:cs="宋体"/>
          <w:b w:val="0"/>
          <w:sz w:val="21"/>
          <w:szCs w:val="21"/>
          <w:highlight w:val="none"/>
        </w:rPr>
      </w:pPr>
      <w:r>
        <w:rPr>
          <w:rFonts w:hint="eastAsia" w:ascii="宋体" w:hAnsi="宋体" w:cs="宋体"/>
          <w:b w:val="0"/>
          <w:sz w:val="21"/>
          <w:szCs w:val="21"/>
          <w:highlight w:val="none"/>
        </w:rPr>
        <w:t>合同主要条款响应偏差表</w:t>
      </w:r>
    </w:p>
    <w:p>
      <w:pPr>
        <w:numPr>
          <w:ilvl w:val="0"/>
          <w:numId w:val="4"/>
        </w:numPr>
        <w:spacing w:line="360" w:lineRule="auto"/>
        <w:ind w:left="0" w:leftChars="0" w:firstLine="0" w:firstLineChars="0"/>
        <w:rPr>
          <w:rFonts w:hint="eastAsia" w:ascii="宋体" w:hAnsi="宋体" w:cs="宋体"/>
          <w:b w:val="0"/>
          <w:sz w:val="21"/>
          <w:szCs w:val="21"/>
          <w:highlight w:val="none"/>
        </w:rPr>
      </w:pPr>
      <w:r>
        <w:rPr>
          <w:rFonts w:hint="eastAsia" w:ascii="宋体" w:hAnsi="宋体" w:cs="宋体"/>
          <w:b w:val="0"/>
          <w:sz w:val="21"/>
          <w:szCs w:val="21"/>
          <w:highlight w:val="none"/>
        </w:rPr>
        <w:t>业绩</w:t>
      </w:r>
    </w:p>
    <w:p>
      <w:pPr>
        <w:numPr>
          <w:ilvl w:val="0"/>
          <w:numId w:val="4"/>
        </w:numPr>
        <w:spacing w:line="360" w:lineRule="auto"/>
        <w:ind w:left="0" w:leftChars="0" w:firstLine="0" w:firstLineChars="0"/>
        <w:rPr>
          <w:rFonts w:hint="eastAsia" w:ascii="宋体" w:hAnsi="宋体" w:cs="宋体"/>
          <w:b w:val="0"/>
          <w:sz w:val="21"/>
          <w:szCs w:val="21"/>
          <w:highlight w:val="none"/>
        </w:rPr>
      </w:pPr>
      <w:r>
        <w:rPr>
          <w:rFonts w:hint="eastAsia" w:ascii="宋体" w:hAnsi="宋体" w:cs="宋体"/>
          <w:b w:val="0"/>
          <w:sz w:val="21"/>
          <w:szCs w:val="21"/>
          <w:highlight w:val="none"/>
        </w:rPr>
        <w:t>供应商资格证明文件</w:t>
      </w:r>
    </w:p>
    <w:p>
      <w:pPr>
        <w:numPr>
          <w:ilvl w:val="0"/>
          <w:numId w:val="4"/>
        </w:numPr>
        <w:spacing w:line="360" w:lineRule="auto"/>
        <w:ind w:left="0" w:leftChars="0" w:firstLine="0" w:firstLineChars="0"/>
        <w:rPr>
          <w:rFonts w:hint="eastAsia" w:ascii="宋体" w:hAnsi="宋体" w:cs="宋体"/>
          <w:b w:val="0"/>
          <w:sz w:val="21"/>
          <w:szCs w:val="21"/>
          <w:highlight w:val="none"/>
        </w:rPr>
      </w:pPr>
      <w:r>
        <w:rPr>
          <w:rFonts w:hint="eastAsia" w:ascii="宋体" w:hAnsi="宋体" w:cs="宋体"/>
          <w:b w:val="0"/>
          <w:sz w:val="21"/>
          <w:szCs w:val="21"/>
          <w:highlight w:val="none"/>
        </w:rPr>
        <w:t>技术方案</w:t>
      </w:r>
    </w:p>
    <w:p>
      <w:pPr>
        <w:numPr>
          <w:ilvl w:val="0"/>
          <w:numId w:val="0"/>
        </w:numPr>
        <w:spacing w:line="360" w:lineRule="auto"/>
        <w:ind w:leftChars="0"/>
        <w:rPr>
          <w:rFonts w:ascii="宋体" w:hAnsi="宋体" w:cs="宋体"/>
          <w:b w:val="0"/>
          <w:sz w:val="21"/>
          <w:szCs w:val="21"/>
          <w:highlight w:val="none"/>
        </w:rPr>
      </w:pPr>
      <w:r>
        <w:rPr>
          <w:rFonts w:hint="eastAsia" w:ascii="宋体" w:hAnsi="宋体" w:cs="宋体"/>
          <w:b w:val="0"/>
          <w:sz w:val="21"/>
          <w:szCs w:val="21"/>
          <w:highlight w:val="none"/>
        </w:rPr>
        <w:t>（9）供应商认为有必要补充的其他资料</w:t>
      </w:r>
    </w:p>
    <w:p>
      <w:pPr>
        <w:pStyle w:val="8"/>
        <w:spacing w:before="0" w:after="0" w:line="360" w:lineRule="auto"/>
        <w:rPr>
          <w:rFonts w:ascii="宋体" w:hAnsi="宋体" w:cs="宋体"/>
          <w:bCs/>
          <w:sz w:val="21"/>
          <w:szCs w:val="21"/>
          <w:highlight w:val="none"/>
        </w:rPr>
      </w:pPr>
      <w:r>
        <w:rPr>
          <w:rFonts w:hint="eastAsia" w:ascii="宋体" w:hAnsi="宋体" w:cs="宋体"/>
          <w:bCs/>
          <w:sz w:val="21"/>
          <w:szCs w:val="21"/>
          <w:highlight w:val="none"/>
        </w:rPr>
        <w:t>13 响应文件格式</w:t>
      </w:r>
      <w:bookmarkEnd w:id="179"/>
      <w:bookmarkEnd w:id="180"/>
      <w:bookmarkEnd w:id="181"/>
      <w:bookmarkEnd w:id="182"/>
      <w:bookmarkEnd w:id="183"/>
      <w:bookmarkEnd w:id="184"/>
      <w:bookmarkEnd w:id="185"/>
      <w:bookmarkEnd w:id="186"/>
      <w:bookmarkEnd w:id="187"/>
      <w:bookmarkEnd w:id="188"/>
      <w:bookmarkEnd w:id="189"/>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供应商应按磋商文件中提供的响应文件格式填写“磋商响应函”、“开标一览表”以及其他附件格式。</w:t>
      </w:r>
    </w:p>
    <w:p>
      <w:pPr>
        <w:pStyle w:val="8"/>
        <w:spacing w:before="0" w:after="0" w:line="360" w:lineRule="auto"/>
        <w:rPr>
          <w:rFonts w:ascii="宋体" w:hAnsi="宋体" w:cs="宋体"/>
          <w:bCs/>
          <w:sz w:val="21"/>
          <w:szCs w:val="21"/>
          <w:highlight w:val="none"/>
        </w:rPr>
      </w:pPr>
      <w:bookmarkStart w:id="190" w:name="_Toc233435931"/>
      <w:bookmarkStart w:id="191" w:name="_Toc501"/>
      <w:bookmarkStart w:id="192" w:name="_Toc25019"/>
      <w:bookmarkStart w:id="193" w:name="_Toc8452"/>
      <w:bookmarkStart w:id="194" w:name="_Toc386965839"/>
      <w:bookmarkStart w:id="195" w:name="_Toc29149"/>
      <w:bookmarkStart w:id="196" w:name="_Toc21201"/>
      <w:bookmarkStart w:id="197" w:name="_Toc392236628"/>
      <w:bookmarkStart w:id="198" w:name="_Toc7524486"/>
      <w:bookmarkStart w:id="199" w:name="_Toc2716"/>
      <w:bookmarkStart w:id="200" w:name="_Toc28880"/>
      <w:r>
        <w:rPr>
          <w:rFonts w:hint="eastAsia" w:ascii="宋体" w:hAnsi="宋体" w:cs="宋体"/>
          <w:bCs/>
          <w:sz w:val="21"/>
          <w:szCs w:val="21"/>
          <w:highlight w:val="none"/>
        </w:rPr>
        <w:t>14 磋商</w:t>
      </w:r>
      <w:bookmarkEnd w:id="190"/>
      <w:r>
        <w:rPr>
          <w:rFonts w:hint="eastAsia" w:ascii="宋体" w:hAnsi="宋体" w:cs="宋体"/>
          <w:bCs/>
          <w:sz w:val="21"/>
          <w:szCs w:val="21"/>
          <w:highlight w:val="none"/>
        </w:rPr>
        <w:t>报价</w:t>
      </w:r>
      <w:bookmarkEnd w:id="191"/>
      <w:bookmarkEnd w:id="192"/>
      <w:bookmarkEnd w:id="193"/>
      <w:bookmarkEnd w:id="194"/>
      <w:bookmarkEnd w:id="195"/>
      <w:bookmarkEnd w:id="196"/>
      <w:bookmarkEnd w:id="197"/>
      <w:bookmarkEnd w:id="198"/>
      <w:bookmarkEnd w:id="199"/>
      <w:bookmarkEnd w:id="200"/>
    </w:p>
    <w:p>
      <w:pPr>
        <w:snapToGrid w:val="0"/>
        <w:spacing w:line="360" w:lineRule="auto"/>
        <w:rPr>
          <w:rFonts w:ascii="宋体" w:hAnsi="宋体" w:cs="宋体"/>
          <w:szCs w:val="21"/>
          <w:highlight w:val="none"/>
        </w:rPr>
      </w:pPr>
      <w:bookmarkStart w:id="201" w:name="_Toc233435932"/>
      <w:bookmarkStart w:id="202" w:name="_Toc386965840"/>
      <w:r>
        <w:rPr>
          <w:rFonts w:hint="eastAsia" w:ascii="宋体" w:hAnsi="宋体" w:cs="宋体"/>
          <w:szCs w:val="21"/>
          <w:highlight w:val="none"/>
        </w:rPr>
        <w:t>14.1本项目的磋商报价采用本须知磋商须知前附表所规定的方式进行报价。</w:t>
      </w:r>
    </w:p>
    <w:p>
      <w:pPr>
        <w:snapToGrid w:val="0"/>
        <w:spacing w:line="360" w:lineRule="auto"/>
        <w:ind w:left="525" w:hanging="525" w:hangingChars="250"/>
        <w:rPr>
          <w:rFonts w:ascii="宋体" w:hAnsi="宋体" w:cs="宋体"/>
          <w:szCs w:val="21"/>
          <w:highlight w:val="none"/>
        </w:rPr>
      </w:pPr>
      <w:r>
        <w:rPr>
          <w:rFonts w:hint="eastAsia" w:ascii="宋体" w:hAnsi="宋体" w:cs="宋体"/>
          <w:szCs w:val="21"/>
          <w:highlight w:val="none"/>
        </w:rPr>
        <w:t>14.2凡因供应商对磋商文件阅读不深、理解不透、误解、疏漏，或因市场行情了解不清，造成的后果和风险由供应商自负。</w:t>
      </w:r>
    </w:p>
    <w:p>
      <w:pPr>
        <w:pStyle w:val="8"/>
        <w:spacing w:before="0" w:after="0" w:line="360" w:lineRule="auto"/>
        <w:rPr>
          <w:rFonts w:ascii="宋体" w:hAnsi="宋体" w:cs="宋体"/>
          <w:bCs/>
          <w:sz w:val="21"/>
          <w:szCs w:val="21"/>
          <w:highlight w:val="none"/>
        </w:rPr>
      </w:pPr>
      <w:bookmarkStart w:id="203" w:name="_Toc17301"/>
      <w:bookmarkStart w:id="204" w:name="_Toc29939"/>
      <w:bookmarkStart w:id="205" w:name="_Toc31116"/>
      <w:bookmarkStart w:id="206" w:name="_Toc7524487"/>
      <w:bookmarkStart w:id="207" w:name="_Toc1742"/>
      <w:bookmarkStart w:id="208" w:name="_Toc392236629"/>
      <w:bookmarkStart w:id="209" w:name="_Toc26416"/>
      <w:bookmarkStart w:id="210" w:name="_Toc25680"/>
      <w:bookmarkStart w:id="211" w:name="_Toc5538"/>
      <w:r>
        <w:rPr>
          <w:rFonts w:hint="eastAsia" w:ascii="宋体" w:hAnsi="宋体" w:cs="宋体"/>
          <w:bCs/>
          <w:sz w:val="21"/>
          <w:szCs w:val="21"/>
          <w:highlight w:val="none"/>
        </w:rPr>
        <w:t>15 磋商货币</w:t>
      </w:r>
      <w:bookmarkEnd w:id="201"/>
      <w:bookmarkEnd w:id="202"/>
      <w:bookmarkEnd w:id="203"/>
      <w:bookmarkEnd w:id="204"/>
      <w:bookmarkEnd w:id="205"/>
      <w:bookmarkEnd w:id="206"/>
      <w:bookmarkEnd w:id="207"/>
      <w:bookmarkEnd w:id="208"/>
      <w:bookmarkEnd w:id="209"/>
      <w:bookmarkEnd w:id="210"/>
      <w:bookmarkEnd w:id="211"/>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采购人只接受人民币作为唯一磋商报价货币。</w:t>
      </w:r>
    </w:p>
    <w:p>
      <w:pPr>
        <w:pStyle w:val="8"/>
        <w:spacing w:before="0" w:after="0" w:line="360" w:lineRule="auto"/>
        <w:rPr>
          <w:rFonts w:ascii="宋体" w:hAnsi="宋体" w:cs="宋体"/>
          <w:bCs/>
          <w:sz w:val="21"/>
          <w:szCs w:val="21"/>
          <w:highlight w:val="none"/>
        </w:rPr>
      </w:pPr>
      <w:bookmarkStart w:id="212" w:name="_Toc7524488"/>
      <w:bookmarkStart w:id="213" w:name="_Toc13351"/>
      <w:bookmarkStart w:id="214" w:name="_Toc26590"/>
      <w:bookmarkStart w:id="215" w:name="_Toc233435935"/>
      <w:bookmarkStart w:id="216" w:name="_Toc386965843"/>
      <w:bookmarkStart w:id="217" w:name="_Toc392236630"/>
      <w:bookmarkStart w:id="218" w:name="_Toc30041"/>
      <w:bookmarkStart w:id="219" w:name="_Toc29036"/>
      <w:bookmarkStart w:id="220" w:name="_Toc13822"/>
      <w:bookmarkStart w:id="221" w:name="_Toc13461"/>
      <w:bookmarkStart w:id="222" w:name="_Toc28725"/>
      <w:r>
        <w:rPr>
          <w:rFonts w:hint="eastAsia" w:ascii="宋体" w:hAnsi="宋体" w:cs="宋体"/>
          <w:bCs/>
          <w:sz w:val="21"/>
          <w:szCs w:val="21"/>
          <w:highlight w:val="none"/>
        </w:rPr>
        <w:t>16 磋商保证金</w:t>
      </w:r>
      <w:bookmarkEnd w:id="212"/>
      <w:bookmarkEnd w:id="213"/>
      <w:bookmarkEnd w:id="214"/>
      <w:bookmarkEnd w:id="215"/>
      <w:bookmarkEnd w:id="216"/>
      <w:bookmarkEnd w:id="217"/>
      <w:bookmarkEnd w:id="218"/>
      <w:bookmarkEnd w:id="219"/>
      <w:bookmarkEnd w:id="220"/>
      <w:bookmarkEnd w:id="221"/>
      <w:bookmarkEnd w:id="222"/>
    </w:p>
    <w:p>
      <w:pPr>
        <w:snapToGrid w:val="0"/>
        <w:spacing w:line="360" w:lineRule="auto"/>
        <w:ind w:left="525" w:hanging="525" w:hangingChars="250"/>
        <w:rPr>
          <w:rFonts w:ascii="宋体" w:hAnsi="宋体" w:cs="宋体"/>
          <w:szCs w:val="21"/>
          <w:highlight w:val="none"/>
        </w:rPr>
      </w:pPr>
      <w:bookmarkStart w:id="223" w:name="_Toc9548"/>
      <w:bookmarkStart w:id="224" w:name="_Toc24956"/>
      <w:bookmarkStart w:id="225" w:name="_Toc7524489"/>
      <w:bookmarkStart w:id="226" w:name="_Toc386965844"/>
      <w:bookmarkStart w:id="227" w:name="_Toc18375"/>
      <w:bookmarkStart w:id="228" w:name="_Toc392236631"/>
      <w:bookmarkStart w:id="229" w:name="_Toc233435936"/>
      <w:bookmarkStart w:id="230" w:name="_Toc23040"/>
      <w:r>
        <w:rPr>
          <w:rFonts w:hint="eastAsia" w:ascii="宋体" w:hAnsi="宋体" w:cs="宋体"/>
          <w:szCs w:val="21"/>
          <w:highlight w:val="none"/>
        </w:rPr>
        <w:t>16.1根据《西安市财政局关于促进政府采购公平竞争优化营商环境》（市财函【2020】617号文），本项目无需缴纳投标保证金。</w:t>
      </w:r>
    </w:p>
    <w:p>
      <w:pPr>
        <w:pStyle w:val="8"/>
        <w:spacing w:before="0" w:after="0" w:line="360" w:lineRule="auto"/>
        <w:rPr>
          <w:rFonts w:ascii="宋体" w:hAnsi="宋体" w:cs="宋体"/>
          <w:bCs/>
          <w:sz w:val="21"/>
          <w:szCs w:val="21"/>
          <w:highlight w:val="none"/>
        </w:rPr>
      </w:pPr>
      <w:bookmarkStart w:id="231" w:name="_Toc7149"/>
      <w:bookmarkStart w:id="232" w:name="_Toc27117"/>
      <w:bookmarkStart w:id="233" w:name="_Toc21313"/>
      <w:r>
        <w:rPr>
          <w:rFonts w:hint="eastAsia" w:ascii="宋体" w:hAnsi="宋体" w:cs="宋体"/>
          <w:bCs/>
          <w:sz w:val="21"/>
          <w:szCs w:val="21"/>
          <w:highlight w:val="none"/>
        </w:rPr>
        <w:t>17 磋商有效期</w:t>
      </w:r>
      <w:bookmarkEnd w:id="223"/>
      <w:bookmarkEnd w:id="224"/>
      <w:bookmarkEnd w:id="225"/>
      <w:bookmarkEnd w:id="226"/>
      <w:bookmarkEnd w:id="227"/>
      <w:bookmarkEnd w:id="228"/>
      <w:bookmarkEnd w:id="229"/>
      <w:bookmarkEnd w:id="230"/>
      <w:bookmarkEnd w:id="231"/>
      <w:bookmarkEnd w:id="232"/>
      <w:bookmarkEnd w:id="233"/>
    </w:p>
    <w:p>
      <w:pPr>
        <w:spacing w:line="360" w:lineRule="auto"/>
        <w:rPr>
          <w:rFonts w:ascii="宋体" w:hAnsi="宋体" w:cs="宋体"/>
          <w:szCs w:val="21"/>
          <w:highlight w:val="none"/>
          <w:u w:val="single"/>
        </w:rPr>
      </w:pPr>
      <w:r>
        <w:rPr>
          <w:rFonts w:hint="eastAsia" w:ascii="宋体" w:hAnsi="宋体" w:cs="宋体"/>
          <w:szCs w:val="21"/>
          <w:highlight w:val="none"/>
        </w:rPr>
        <w:t>17.1  响应文件自开标之日起，磋商有效期为90日历天。响应文件的有效期比本须知规定的有效期短的，将被视为非响应磋商，采购人有权拒绝。</w:t>
      </w:r>
    </w:p>
    <w:p>
      <w:pPr>
        <w:spacing w:line="360" w:lineRule="auto"/>
        <w:rPr>
          <w:rFonts w:ascii="宋体" w:hAnsi="宋体" w:cs="宋体"/>
          <w:szCs w:val="21"/>
          <w:highlight w:val="none"/>
        </w:rPr>
      </w:pPr>
      <w:r>
        <w:rPr>
          <w:rFonts w:hint="eastAsia" w:ascii="宋体" w:hAnsi="宋体" w:cs="宋体"/>
          <w:szCs w:val="21"/>
          <w:highlight w:val="none"/>
        </w:rPr>
        <w:t xml:space="preserve">17.2  </w:t>
      </w:r>
      <w:r>
        <w:rPr>
          <w:rFonts w:hint="eastAsia" w:ascii="宋体" w:hAnsi="宋体" w:cs="宋体"/>
          <w:color w:val="000000"/>
          <w:szCs w:val="21"/>
          <w:highlight w:val="none"/>
        </w:rPr>
        <w:t>特殊情况下，采购人可于投标有效期满之前要求供应商同意延长有效期，要求与答复均应为书面形式。</w:t>
      </w:r>
    </w:p>
    <w:p>
      <w:pPr>
        <w:pStyle w:val="8"/>
        <w:spacing w:before="0" w:after="0" w:line="360" w:lineRule="auto"/>
        <w:rPr>
          <w:rFonts w:ascii="宋体" w:hAnsi="宋体" w:cs="宋体"/>
          <w:bCs/>
          <w:sz w:val="21"/>
          <w:szCs w:val="21"/>
          <w:highlight w:val="none"/>
        </w:rPr>
      </w:pPr>
      <w:bookmarkStart w:id="234" w:name="_Toc233435937"/>
      <w:bookmarkStart w:id="235" w:name="_Toc386965845"/>
      <w:bookmarkStart w:id="236" w:name="_Toc5896"/>
      <w:bookmarkStart w:id="237" w:name="_Toc1070"/>
      <w:bookmarkStart w:id="238" w:name="_Toc392236632"/>
      <w:bookmarkStart w:id="239" w:name="_Toc22570"/>
      <w:bookmarkStart w:id="240" w:name="_Toc22540"/>
      <w:bookmarkStart w:id="241" w:name="_Toc6693"/>
      <w:bookmarkStart w:id="242" w:name="_Toc7524490"/>
      <w:bookmarkStart w:id="243" w:name="_Toc16835"/>
      <w:bookmarkStart w:id="244" w:name="_Toc14575"/>
      <w:r>
        <w:rPr>
          <w:rFonts w:hint="eastAsia" w:ascii="宋体" w:hAnsi="宋体" w:cs="宋体"/>
          <w:bCs/>
          <w:sz w:val="21"/>
          <w:szCs w:val="21"/>
          <w:highlight w:val="none"/>
        </w:rPr>
        <w:t>18 响应文件的签署及格式</w:t>
      </w:r>
      <w:bookmarkEnd w:id="234"/>
      <w:bookmarkEnd w:id="235"/>
      <w:bookmarkEnd w:id="236"/>
      <w:bookmarkEnd w:id="237"/>
      <w:bookmarkEnd w:id="238"/>
      <w:bookmarkEnd w:id="239"/>
      <w:bookmarkEnd w:id="240"/>
      <w:bookmarkEnd w:id="241"/>
      <w:bookmarkEnd w:id="242"/>
      <w:bookmarkEnd w:id="243"/>
      <w:bookmarkEnd w:id="244"/>
    </w:p>
    <w:p>
      <w:pPr>
        <w:spacing w:line="360" w:lineRule="auto"/>
        <w:rPr>
          <w:rFonts w:ascii="宋体" w:hAnsi="宋体" w:cs="宋体"/>
          <w:szCs w:val="21"/>
          <w:highlight w:val="none"/>
        </w:rPr>
      </w:pPr>
      <w:r>
        <w:rPr>
          <w:rFonts w:hint="eastAsia" w:ascii="宋体" w:hAnsi="宋体" w:cs="宋体"/>
          <w:szCs w:val="21"/>
          <w:highlight w:val="none"/>
        </w:rPr>
        <w:t>18.1响应文件的正本和副本均需打印或使用墨水笔书写。响应文件应由供应商法定代表人或经法定代表人正式授权的供应商代表在“磋商文件”要求的地方签字并加盖供应商公章。一旦正本和副本有差异，以正本为准。</w:t>
      </w:r>
    </w:p>
    <w:p>
      <w:pPr>
        <w:spacing w:line="360" w:lineRule="auto"/>
        <w:rPr>
          <w:rFonts w:ascii="宋体" w:hAnsi="宋体" w:cs="宋体"/>
          <w:szCs w:val="21"/>
          <w:highlight w:val="none"/>
        </w:rPr>
      </w:pPr>
      <w:r>
        <w:rPr>
          <w:rFonts w:hint="eastAsia" w:ascii="宋体" w:hAnsi="宋体" w:cs="宋体"/>
          <w:szCs w:val="21"/>
          <w:highlight w:val="none"/>
        </w:rPr>
        <w:t>18.2除供应商对错处作必要修改外，响应文件中不许有加行、涂抹或改写。若有修改须由签署响应文件的人在旁边签字才有效。</w:t>
      </w:r>
    </w:p>
    <w:p>
      <w:pPr>
        <w:pStyle w:val="7"/>
        <w:tabs>
          <w:tab w:val="left" w:pos="576"/>
        </w:tabs>
        <w:spacing w:before="0" w:after="0" w:line="360" w:lineRule="auto"/>
        <w:jc w:val="center"/>
        <w:rPr>
          <w:rFonts w:ascii="宋体" w:hAnsi="宋体" w:eastAsia="宋体" w:cs="宋体"/>
          <w:bCs/>
          <w:sz w:val="28"/>
          <w:szCs w:val="28"/>
          <w:highlight w:val="none"/>
        </w:rPr>
      </w:pPr>
      <w:bookmarkStart w:id="245" w:name="_Toc5363"/>
      <w:bookmarkStart w:id="246" w:name="_Toc13486"/>
      <w:bookmarkStart w:id="247" w:name="_Toc233435938"/>
      <w:bookmarkStart w:id="248" w:name="_Toc7524491"/>
      <w:bookmarkStart w:id="249" w:name="_Toc392236633"/>
      <w:bookmarkStart w:id="250" w:name="_Toc17826"/>
      <w:bookmarkStart w:id="251" w:name="_Toc22633"/>
      <w:bookmarkStart w:id="252" w:name="_Toc23618"/>
      <w:bookmarkStart w:id="253" w:name="_Toc386965846"/>
      <w:bookmarkStart w:id="254" w:name="_Toc29488"/>
      <w:bookmarkStart w:id="255" w:name="_Toc10117"/>
      <w:r>
        <w:rPr>
          <w:rFonts w:hint="eastAsia" w:ascii="宋体" w:hAnsi="宋体" w:eastAsia="宋体" w:cs="宋体"/>
          <w:bCs/>
          <w:sz w:val="28"/>
          <w:szCs w:val="28"/>
          <w:highlight w:val="none"/>
        </w:rPr>
        <w:t>D 响应文件的递交</w:t>
      </w:r>
      <w:bookmarkEnd w:id="245"/>
      <w:bookmarkEnd w:id="246"/>
      <w:bookmarkEnd w:id="247"/>
      <w:bookmarkEnd w:id="248"/>
      <w:bookmarkEnd w:id="249"/>
      <w:bookmarkEnd w:id="250"/>
      <w:bookmarkEnd w:id="251"/>
      <w:bookmarkEnd w:id="252"/>
      <w:bookmarkEnd w:id="253"/>
      <w:bookmarkEnd w:id="254"/>
      <w:bookmarkEnd w:id="255"/>
    </w:p>
    <w:p>
      <w:pPr>
        <w:pStyle w:val="8"/>
        <w:spacing w:before="0" w:after="0" w:line="360" w:lineRule="auto"/>
        <w:rPr>
          <w:rFonts w:ascii="宋体" w:hAnsi="宋体" w:cs="宋体"/>
          <w:bCs/>
          <w:sz w:val="21"/>
          <w:szCs w:val="21"/>
          <w:highlight w:val="none"/>
        </w:rPr>
      </w:pPr>
      <w:bookmarkStart w:id="256" w:name="_Toc14779"/>
      <w:bookmarkStart w:id="257" w:name="_Toc18243"/>
      <w:bookmarkStart w:id="258" w:name="_Toc4582"/>
      <w:bookmarkStart w:id="259" w:name="_Toc25154"/>
      <w:bookmarkStart w:id="260" w:name="_Toc392236634"/>
      <w:bookmarkStart w:id="261" w:name="_Toc20024"/>
      <w:bookmarkStart w:id="262" w:name="_Toc26837"/>
      <w:bookmarkStart w:id="263" w:name="_Toc233435939"/>
      <w:bookmarkStart w:id="264" w:name="_Toc386965847"/>
      <w:bookmarkStart w:id="265" w:name="_Toc14424"/>
      <w:bookmarkStart w:id="266" w:name="_Toc7524492"/>
      <w:r>
        <w:rPr>
          <w:rFonts w:hint="eastAsia" w:ascii="宋体" w:hAnsi="宋体" w:cs="宋体"/>
          <w:bCs/>
          <w:sz w:val="21"/>
          <w:szCs w:val="21"/>
          <w:highlight w:val="none"/>
        </w:rPr>
        <w:t>19 响应文件的数量、包装和标记</w:t>
      </w:r>
      <w:bookmarkEnd w:id="256"/>
      <w:bookmarkEnd w:id="257"/>
      <w:bookmarkEnd w:id="258"/>
      <w:bookmarkEnd w:id="259"/>
      <w:bookmarkEnd w:id="260"/>
      <w:bookmarkEnd w:id="261"/>
      <w:bookmarkEnd w:id="262"/>
      <w:bookmarkEnd w:id="263"/>
      <w:bookmarkEnd w:id="264"/>
      <w:bookmarkEnd w:id="265"/>
      <w:bookmarkEnd w:id="266"/>
    </w:p>
    <w:p>
      <w:pPr>
        <w:spacing w:line="360" w:lineRule="auto"/>
        <w:rPr>
          <w:rFonts w:ascii="宋体" w:hAnsi="宋体" w:cs="宋体"/>
          <w:szCs w:val="21"/>
          <w:highlight w:val="none"/>
        </w:rPr>
      </w:pPr>
      <w:r>
        <w:rPr>
          <w:rFonts w:hint="eastAsia" w:ascii="宋体" w:hAnsi="宋体" w:cs="宋体"/>
          <w:szCs w:val="21"/>
          <w:highlight w:val="none"/>
        </w:rPr>
        <w:t>19.1响应文件数量见供应商须知前附表。一旦正本与副本不符，以正本为准。</w:t>
      </w:r>
    </w:p>
    <w:p>
      <w:pPr>
        <w:spacing w:line="360" w:lineRule="auto"/>
        <w:rPr>
          <w:rFonts w:ascii="宋体" w:hAnsi="宋体" w:cs="宋体"/>
          <w:szCs w:val="21"/>
          <w:highlight w:val="none"/>
        </w:rPr>
      </w:pPr>
      <w:r>
        <w:rPr>
          <w:rFonts w:hint="eastAsia" w:ascii="宋体" w:hAnsi="宋体" w:cs="宋体"/>
          <w:szCs w:val="21"/>
          <w:highlight w:val="none"/>
        </w:rPr>
        <w:t>19.2供应商应在响应文件密封文件袋封面加盖供应商公章以保证文件密封性完整。</w:t>
      </w:r>
    </w:p>
    <w:p>
      <w:pPr>
        <w:spacing w:line="360" w:lineRule="auto"/>
        <w:rPr>
          <w:rFonts w:ascii="宋体" w:hAnsi="宋体" w:cs="宋体"/>
          <w:szCs w:val="21"/>
          <w:highlight w:val="none"/>
        </w:rPr>
      </w:pPr>
      <w:r>
        <w:rPr>
          <w:rFonts w:hint="eastAsia" w:ascii="宋体" w:hAnsi="宋体" w:cs="宋体"/>
          <w:szCs w:val="21"/>
          <w:highlight w:val="none"/>
        </w:rPr>
        <w:t>19.3响应文件必须密封递交。对封装材料及样式不作特别规定，但供应商应当保证其封装的可靠性，不致因搬运、堆放等原因散开。所有密封袋/箱和响应文件封面须标明项目名称、采购项目编号、供应商名称及“正本”、“副本”字样。</w:t>
      </w:r>
    </w:p>
    <w:p>
      <w:pPr>
        <w:spacing w:line="360" w:lineRule="auto"/>
        <w:rPr>
          <w:rFonts w:ascii="宋体" w:hAnsi="宋体" w:cs="宋体"/>
          <w:szCs w:val="21"/>
          <w:highlight w:val="none"/>
        </w:rPr>
      </w:pPr>
      <w:r>
        <w:rPr>
          <w:rFonts w:hint="eastAsia" w:ascii="宋体" w:hAnsi="宋体" w:cs="宋体"/>
          <w:szCs w:val="21"/>
          <w:highlight w:val="none"/>
        </w:rPr>
        <w:t>19.4如果未按上述规定进行密封和标记，采购人有权拒绝供应商的响应文件。</w:t>
      </w:r>
    </w:p>
    <w:p>
      <w:pPr>
        <w:pStyle w:val="8"/>
        <w:spacing w:before="0" w:after="0" w:line="360" w:lineRule="auto"/>
        <w:rPr>
          <w:rFonts w:ascii="宋体" w:hAnsi="宋体" w:cs="宋体"/>
          <w:bCs/>
          <w:sz w:val="21"/>
          <w:szCs w:val="21"/>
          <w:highlight w:val="none"/>
        </w:rPr>
      </w:pPr>
      <w:bookmarkStart w:id="267" w:name="_Toc233435940"/>
      <w:bookmarkStart w:id="268" w:name="_Toc16728"/>
      <w:bookmarkStart w:id="269" w:name="_Toc11659"/>
      <w:bookmarkStart w:id="270" w:name="_Toc31397"/>
      <w:bookmarkStart w:id="271" w:name="_Toc386965848"/>
      <w:bookmarkStart w:id="272" w:name="_Toc392236635"/>
      <w:bookmarkStart w:id="273" w:name="_Toc7524493"/>
      <w:bookmarkStart w:id="274" w:name="_Toc19141"/>
      <w:bookmarkStart w:id="275" w:name="_Toc23296"/>
      <w:bookmarkStart w:id="276" w:name="_Toc4265"/>
      <w:bookmarkStart w:id="277" w:name="_Toc285"/>
      <w:r>
        <w:rPr>
          <w:rFonts w:hint="eastAsia" w:ascii="宋体" w:hAnsi="宋体" w:cs="宋体"/>
          <w:bCs/>
          <w:sz w:val="21"/>
          <w:szCs w:val="21"/>
          <w:highlight w:val="none"/>
        </w:rPr>
        <w:t>20 投标截止时间</w:t>
      </w:r>
      <w:bookmarkEnd w:id="267"/>
      <w:bookmarkEnd w:id="268"/>
      <w:bookmarkEnd w:id="269"/>
      <w:bookmarkEnd w:id="270"/>
      <w:bookmarkEnd w:id="271"/>
      <w:bookmarkEnd w:id="272"/>
      <w:bookmarkEnd w:id="273"/>
      <w:bookmarkEnd w:id="274"/>
      <w:bookmarkEnd w:id="275"/>
      <w:bookmarkEnd w:id="276"/>
      <w:bookmarkEnd w:id="277"/>
    </w:p>
    <w:p>
      <w:pPr>
        <w:spacing w:line="360" w:lineRule="auto"/>
        <w:rPr>
          <w:rFonts w:ascii="宋体" w:hAnsi="宋体" w:cs="宋体"/>
          <w:szCs w:val="21"/>
          <w:highlight w:val="none"/>
        </w:rPr>
      </w:pPr>
      <w:r>
        <w:rPr>
          <w:rFonts w:hint="eastAsia" w:ascii="宋体" w:hAnsi="宋体" w:cs="宋体"/>
          <w:szCs w:val="21"/>
          <w:highlight w:val="none"/>
        </w:rPr>
        <w:t>20.1  所有响应文件都必须按“采购公告”中规定的统一递交响应文件时间送达“采购公告”中规定的递交地址。</w:t>
      </w:r>
    </w:p>
    <w:p>
      <w:pPr>
        <w:spacing w:line="360" w:lineRule="auto"/>
        <w:rPr>
          <w:rFonts w:ascii="宋体" w:hAnsi="宋体" w:cs="宋体"/>
          <w:szCs w:val="21"/>
          <w:highlight w:val="none"/>
        </w:rPr>
      </w:pPr>
      <w:r>
        <w:rPr>
          <w:rFonts w:hint="eastAsia" w:ascii="宋体" w:hAnsi="宋体" w:cs="宋体"/>
          <w:szCs w:val="21"/>
          <w:highlight w:val="none"/>
        </w:rPr>
        <w:t>20.2  出现因磋商文件的修改推迟投标截止日期时，则按修改通知规定的时间递交。</w:t>
      </w:r>
    </w:p>
    <w:p>
      <w:pPr>
        <w:spacing w:line="360" w:lineRule="auto"/>
        <w:rPr>
          <w:rFonts w:ascii="宋体" w:hAnsi="宋体" w:cs="宋体"/>
          <w:szCs w:val="21"/>
          <w:highlight w:val="none"/>
        </w:rPr>
      </w:pPr>
      <w:r>
        <w:rPr>
          <w:rFonts w:hint="eastAsia" w:ascii="宋体" w:hAnsi="宋体" w:cs="宋体"/>
          <w:szCs w:val="21"/>
          <w:highlight w:val="none"/>
        </w:rPr>
        <w:t>20.3  在响应文件递交截止时间之后递交的任何响应文件及资料将被拒绝接收。</w:t>
      </w:r>
    </w:p>
    <w:p>
      <w:pPr>
        <w:spacing w:line="360" w:lineRule="auto"/>
        <w:rPr>
          <w:rFonts w:ascii="宋体" w:hAnsi="宋体" w:cs="宋体"/>
          <w:szCs w:val="21"/>
          <w:highlight w:val="none"/>
        </w:rPr>
      </w:pPr>
      <w:r>
        <w:rPr>
          <w:rFonts w:hint="eastAsia" w:ascii="宋体" w:hAnsi="宋体" w:cs="宋体"/>
          <w:szCs w:val="21"/>
          <w:highlight w:val="none"/>
        </w:rPr>
        <w:t>20.4  拒绝接受以电报、电话、传真、电子邮件形式的投标。</w:t>
      </w:r>
    </w:p>
    <w:p>
      <w:pPr>
        <w:pStyle w:val="8"/>
        <w:spacing w:before="0" w:after="0" w:line="360" w:lineRule="auto"/>
        <w:rPr>
          <w:rFonts w:ascii="宋体" w:hAnsi="宋体" w:cs="宋体"/>
          <w:bCs/>
          <w:sz w:val="21"/>
          <w:szCs w:val="21"/>
          <w:highlight w:val="none"/>
        </w:rPr>
      </w:pPr>
      <w:bookmarkStart w:id="278" w:name="_Toc7515"/>
      <w:bookmarkStart w:id="279" w:name="_Toc7524494"/>
      <w:bookmarkStart w:id="280" w:name="_Toc392236636"/>
      <w:bookmarkStart w:id="281" w:name="_Toc3340"/>
      <w:bookmarkStart w:id="282" w:name="_Toc9923"/>
      <w:bookmarkStart w:id="283" w:name="_Toc13250"/>
      <w:bookmarkStart w:id="284" w:name="_Toc25590"/>
      <w:bookmarkStart w:id="285" w:name="_Toc6986"/>
      <w:bookmarkStart w:id="286" w:name="_Toc386965849"/>
      <w:bookmarkStart w:id="287" w:name="_Toc18581"/>
      <w:r>
        <w:rPr>
          <w:rFonts w:hint="eastAsia" w:ascii="宋体" w:hAnsi="宋体" w:cs="宋体"/>
          <w:bCs/>
          <w:sz w:val="21"/>
          <w:szCs w:val="21"/>
          <w:highlight w:val="none"/>
        </w:rPr>
        <w:t>21 响应文件的修改与撤回</w:t>
      </w:r>
      <w:bookmarkEnd w:id="278"/>
      <w:bookmarkEnd w:id="279"/>
      <w:bookmarkEnd w:id="280"/>
      <w:bookmarkEnd w:id="281"/>
      <w:bookmarkEnd w:id="282"/>
      <w:bookmarkEnd w:id="283"/>
      <w:bookmarkEnd w:id="284"/>
      <w:bookmarkEnd w:id="285"/>
      <w:bookmarkEnd w:id="286"/>
      <w:bookmarkEnd w:id="287"/>
    </w:p>
    <w:p>
      <w:pPr>
        <w:overflowPunct w:val="0"/>
        <w:adjustRightInd w:val="0"/>
        <w:snapToGrid w:val="0"/>
        <w:spacing w:line="360" w:lineRule="auto"/>
        <w:rPr>
          <w:rFonts w:ascii="宋体" w:hAnsi="宋体" w:cs="宋体"/>
          <w:szCs w:val="21"/>
          <w:highlight w:val="none"/>
        </w:rPr>
      </w:pPr>
      <w:r>
        <w:rPr>
          <w:rFonts w:hint="eastAsia" w:ascii="宋体" w:hAnsi="宋体" w:cs="宋体"/>
          <w:szCs w:val="21"/>
          <w:highlight w:val="none"/>
        </w:rPr>
        <w:t>21.1 供应商在递交响应文件后，可以修改或撤回其投标，但采购代理机构必须在规定的投标截止期之前，收到修改或撤回的书面通知。</w:t>
      </w:r>
    </w:p>
    <w:p>
      <w:pPr>
        <w:overflowPunct w:val="0"/>
        <w:adjustRightInd w:val="0"/>
        <w:snapToGrid w:val="0"/>
        <w:spacing w:line="360" w:lineRule="auto"/>
        <w:rPr>
          <w:rFonts w:ascii="宋体" w:hAnsi="宋体" w:cs="宋体"/>
          <w:szCs w:val="21"/>
          <w:highlight w:val="none"/>
        </w:rPr>
      </w:pPr>
      <w:r>
        <w:rPr>
          <w:rFonts w:hint="eastAsia" w:ascii="宋体" w:hAnsi="宋体" w:cs="宋体"/>
          <w:szCs w:val="21"/>
          <w:highlight w:val="none"/>
        </w:rPr>
        <w:t>21.2 供应商的修改或撤回通知应按规定编制、密封、标记和发送。撤回通知书也可以用传真传递，但随后要用经过签字的信件确认，其送达时间不得迟于投标截止时间。</w:t>
      </w:r>
    </w:p>
    <w:p>
      <w:pPr>
        <w:overflowPunct w:val="0"/>
        <w:adjustRightInd w:val="0"/>
        <w:snapToGrid w:val="0"/>
        <w:spacing w:line="360" w:lineRule="auto"/>
        <w:rPr>
          <w:rFonts w:ascii="宋体" w:hAnsi="宋体" w:cs="宋体"/>
          <w:szCs w:val="21"/>
          <w:highlight w:val="none"/>
        </w:rPr>
      </w:pPr>
      <w:r>
        <w:rPr>
          <w:rFonts w:hint="eastAsia" w:ascii="宋体" w:hAnsi="宋体" w:cs="宋体"/>
          <w:szCs w:val="21"/>
          <w:highlight w:val="none"/>
        </w:rPr>
        <w:t>21.3 在投标截止期之后，供应商不得对其投标做任何修改。</w:t>
      </w:r>
    </w:p>
    <w:p>
      <w:pPr>
        <w:spacing w:line="360" w:lineRule="auto"/>
        <w:rPr>
          <w:rFonts w:ascii="宋体" w:hAnsi="宋体" w:cs="宋体"/>
          <w:szCs w:val="21"/>
          <w:highlight w:val="none"/>
        </w:rPr>
      </w:pPr>
      <w:r>
        <w:rPr>
          <w:rFonts w:hint="eastAsia" w:ascii="宋体" w:hAnsi="宋体" w:cs="宋体"/>
          <w:szCs w:val="21"/>
          <w:highlight w:val="none"/>
        </w:rPr>
        <w:t>21.4 从投标截止期至供应商在磋商响应函格式中确定的投标有效期之间的这段时间内，供应商不得撤回其投标。</w:t>
      </w:r>
    </w:p>
    <w:p>
      <w:pPr>
        <w:pStyle w:val="7"/>
        <w:tabs>
          <w:tab w:val="left" w:pos="576"/>
        </w:tabs>
        <w:spacing w:before="0" w:after="0" w:line="360" w:lineRule="auto"/>
        <w:jc w:val="center"/>
        <w:rPr>
          <w:rFonts w:ascii="宋体" w:hAnsi="宋体" w:eastAsia="宋体" w:cs="宋体"/>
          <w:bCs/>
          <w:sz w:val="28"/>
          <w:szCs w:val="28"/>
          <w:highlight w:val="none"/>
        </w:rPr>
      </w:pPr>
      <w:bookmarkStart w:id="288" w:name="_Toc233435941"/>
      <w:bookmarkStart w:id="289" w:name="_Toc29445"/>
      <w:bookmarkStart w:id="290" w:name="_Toc24457"/>
      <w:bookmarkStart w:id="291" w:name="_Toc23344"/>
      <w:bookmarkStart w:id="292" w:name="_Toc19557"/>
      <w:bookmarkStart w:id="293" w:name="_Toc7524495"/>
      <w:bookmarkStart w:id="294" w:name="_Toc4567"/>
      <w:bookmarkStart w:id="295" w:name="_Toc392236637"/>
      <w:bookmarkStart w:id="296" w:name="_Toc19000"/>
      <w:bookmarkStart w:id="297" w:name="_Toc386965850"/>
      <w:bookmarkStart w:id="298" w:name="_Toc11140"/>
      <w:r>
        <w:rPr>
          <w:rFonts w:hint="eastAsia" w:ascii="宋体" w:hAnsi="宋体" w:eastAsia="宋体" w:cs="宋体"/>
          <w:bCs/>
          <w:sz w:val="28"/>
          <w:szCs w:val="28"/>
          <w:highlight w:val="none"/>
        </w:rPr>
        <w:t>E 磋商和</w:t>
      </w:r>
      <w:bookmarkEnd w:id="288"/>
      <w:r>
        <w:rPr>
          <w:rFonts w:hint="eastAsia" w:ascii="宋体" w:hAnsi="宋体" w:eastAsia="宋体" w:cs="宋体"/>
          <w:bCs/>
          <w:sz w:val="28"/>
          <w:szCs w:val="28"/>
          <w:highlight w:val="none"/>
        </w:rPr>
        <w:t>评审</w:t>
      </w:r>
      <w:bookmarkEnd w:id="289"/>
      <w:bookmarkEnd w:id="290"/>
      <w:bookmarkEnd w:id="291"/>
      <w:bookmarkEnd w:id="292"/>
      <w:bookmarkEnd w:id="293"/>
      <w:bookmarkEnd w:id="294"/>
      <w:bookmarkEnd w:id="295"/>
      <w:bookmarkEnd w:id="296"/>
      <w:bookmarkEnd w:id="297"/>
      <w:bookmarkEnd w:id="298"/>
    </w:p>
    <w:p>
      <w:pPr>
        <w:pStyle w:val="8"/>
        <w:spacing w:before="0" w:after="0" w:line="360" w:lineRule="auto"/>
        <w:rPr>
          <w:rFonts w:ascii="宋体" w:hAnsi="宋体" w:cs="宋体"/>
          <w:bCs/>
          <w:sz w:val="21"/>
          <w:szCs w:val="21"/>
          <w:highlight w:val="none"/>
        </w:rPr>
      </w:pPr>
      <w:bookmarkStart w:id="299" w:name="_Toc7524496"/>
      <w:bookmarkStart w:id="300" w:name="_Toc17012"/>
      <w:bookmarkStart w:id="301" w:name="_Toc27161"/>
      <w:bookmarkStart w:id="302" w:name="_Toc233435942"/>
      <w:bookmarkStart w:id="303" w:name="_Toc8977"/>
      <w:bookmarkStart w:id="304" w:name="_Toc19324"/>
      <w:bookmarkStart w:id="305" w:name="_Toc386965851"/>
      <w:bookmarkStart w:id="306" w:name="_Toc16373"/>
      <w:bookmarkStart w:id="307" w:name="_Toc20614"/>
      <w:bookmarkStart w:id="308" w:name="_Toc392236638"/>
      <w:bookmarkStart w:id="309" w:name="_Toc15314"/>
      <w:r>
        <w:rPr>
          <w:rFonts w:hint="eastAsia" w:ascii="宋体" w:hAnsi="宋体" w:cs="宋体"/>
          <w:bCs/>
          <w:sz w:val="21"/>
          <w:szCs w:val="21"/>
          <w:highlight w:val="none"/>
        </w:rPr>
        <w:t xml:space="preserve">22 </w:t>
      </w:r>
      <w:bookmarkEnd w:id="299"/>
      <w:bookmarkEnd w:id="300"/>
      <w:bookmarkEnd w:id="301"/>
      <w:bookmarkEnd w:id="302"/>
      <w:bookmarkEnd w:id="303"/>
      <w:bookmarkEnd w:id="304"/>
      <w:bookmarkEnd w:id="305"/>
      <w:bookmarkEnd w:id="306"/>
      <w:bookmarkEnd w:id="307"/>
      <w:bookmarkEnd w:id="308"/>
      <w:bookmarkEnd w:id="309"/>
      <w:r>
        <w:rPr>
          <w:rFonts w:hint="eastAsia" w:ascii="宋体" w:hAnsi="宋体" w:cs="宋体"/>
          <w:bCs/>
          <w:sz w:val="21"/>
          <w:szCs w:val="21"/>
          <w:highlight w:val="none"/>
        </w:rPr>
        <w:t>磋商会议</w:t>
      </w:r>
    </w:p>
    <w:p>
      <w:pPr>
        <w:overflowPunct w:val="0"/>
        <w:adjustRightInd w:val="0"/>
        <w:snapToGrid w:val="0"/>
        <w:spacing w:line="360" w:lineRule="auto"/>
        <w:ind w:left="420" w:hanging="420" w:hangingChars="200"/>
        <w:rPr>
          <w:rFonts w:ascii="宋体" w:hAnsi="宋体" w:cs="宋体"/>
          <w:szCs w:val="21"/>
          <w:highlight w:val="none"/>
        </w:rPr>
      </w:pPr>
      <w:r>
        <w:rPr>
          <w:rFonts w:hint="eastAsia" w:ascii="宋体" w:hAnsi="宋体" w:cs="宋体"/>
          <w:szCs w:val="21"/>
          <w:highlight w:val="none"/>
        </w:rPr>
        <w:t>22.1 采购代理机构按供应商须知前附表规定的时间、地点进行磋商。</w:t>
      </w:r>
    </w:p>
    <w:p>
      <w:pPr>
        <w:overflowPunct w:val="0"/>
        <w:adjustRightInd w:val="0"/>
        <w:snapToGrid w:val="0"/>
        <w:spacing w:line="360" w:lineRule="auto"/>
        <w:ind w:left="420" w:hanging="420" w:hangingChars="200"/>
        <w:rPr>
          <w:rFonts w:ascii="宋体" w:hAnsi="宋体" w:cs="宋体"/>
          <w:szCs w:val="21"/>
          <w:highlight w:val="none"/>
        </w:rPr>
      </w:pPr>
      <w:r>
        <w:rPr>
          <w:rFonts w:hint="eastAsia" w:ascii="宋体" w:hAnsi="宋体" w:cs="宋体"/>
          <w:szCs w:val="21"/>
          <w:highlight w:val="none"/>
        </w:rPr>
        <w:t>22.2供应商应派法定代表人或者被授权人出席磋商会。参加磋商的代表应签名报到，以证明其出席。供应商的法定代表人或被授权人未出席磋商会的，视为其认同磋商结果。</w:t>
      </w:r>
    </w:p>
    <w:p>
      <w:pPr>
        <w:overflowPunct w:val="0"/>
        <w:adjustRightInd w:val="0"/>
        <w:snapToGrid w:val="0"/>
        <w:spacing w:line="360" w:lineRule="auto"/>
        <w:ind w:left="420" w:hanging="420" w:hangingChars="200"/>
        <w:rPr>
          <w:rFonts w:ascii="宋体" w:hAnsi="宋体" w:cs="宋体"/>
          <w:szCs w:val="21"/>
          <w:highlight w:val="none"/>
        </w:rPr>
      </w:pPr>
      <w:r>
        <w:rPr>
          <w:rFonts w:hint="eastAsia" w:ascii="宋体" w:hAnsi="宋体" w:cs="宋体"/>
          <w:szCs w:val="21"/>
          <w:highlight w:val="none"/>
        </w:rPr>
        <w:t>22.3磋商仪式由采购代理机构主持，主持人宣读磋商会议开始，宣读会场纪律，宣布参加会议的供应商名单。</w:t>
      </w:r>
    </w:p>
    <w:p>
      <w:pPr>
        <w:overflowPunct w:val="0"/>
        <w:adjustRightInd w:val="0"/>
        <w:snapToGrid w:val="0"/>
        <w:spacing w:line="360" w:lineRule="auto"/>
        <w:ind w:left="420" w:hanging="420" w:hangingChars="200"/>
        <w:rPr>
          <w:rFonts w:ascii="宋体" w:hAnsi="宋体" w:cs="宋体"/>
          <w:szCs w:val="21"/>
          <w:highlight w:val="none"/>
        </w:rPr>
      </w:pPr>
      <w:r>
        <w:rPr>
          <w:rFonts w:hint="eastAsia" w:ascii="宋体" w:hAnsi="宋体" w:cs="宋体"/>
          <w:szCs w:val="21"/>
          <w:highlight w:val="none"/>
        </w:rPr>
        <w:t>22.4为保证参会供应商身份的真实性，磋商时采购人对供应商的身份进行核查确认。</w:t>
      </w:r>
      <w:r>
        <w:rPr>
          <w:rFonts w:hint="eastAsia" w:ascii="宋体" w:hAnsi="宋体" w:cs="宋体"/>
          <w:b/>
          <w:bCs/>
          <w:szCs w:val="21"/>
          <w:highlight w:val="none"/>
        </w:rPr>
        <w:t>各供应商被授权人须另手持法定代表人授权委托书及被授权人身份证件原件（法定代表人直接参加时，只须出示法定代表人身份证明）接受核对审查</w:t>
      </w:r>
      <w:r>
        <w:rPr>
          <w:rFonts w:hint="eastAsia" w:ascii="宋体" w:hAnsi="宋体" w:cs="宋体"/>
          <w:szCs w:val="21"/>
          <w:highlight w:val="none"/>
        </w:rPr>
        <w:t>。</w:t>
      </w:r>
    </w:p>
    <w:p>
      <w:pPr>
        <w:overflowPunct w:val="0"/>
        <w:adjustRightInd w:val="0"/>
        <w:snapToGrid w:val="0"/>
        <w:spacing w:line="360" w:lineRule="auto"/>
        <w:ind w:left="420" w:hanging="420" w:hangingChars="200"/>
        <w:rPr>
          <w:rFonts w:ascii="宋体" w:hAnsi="宋体" w:cs="宋体"/>
          <w:szCs w:val="21"/>
          <w:highlight w:val="none"/>
        </w:rPr>
      </w:pPr>
      <w:r>
        <w:rPr>
          <w:rFonts w:hint="eastAsia" w:ascii="宋体" w:hAnsi="宋体" w:cs="宋体"/>
          <w:szCs w:val="21"/>
          <w:highlight w:val="none"/>
        </w:rPr>
        <w:t>22.5供应商的法定代表人或被授权人与监标人当众检查所有竞争性磋商响应文件的密封情况，签字确认并宣读检查结果。未通过核查的按无效文件处理。</w:t>
      </w:r>
    </w:p>
    <w:p>
      <w:pPr>
        <w:overflowPunct w:val="0"/>
        <w:adjustRightInd w:val="0"/>
        <w:snapToGrid w:val="0"/>
        <w:spacing w:line="360" w:lineRule="auto"/>
        <w:ind w:left="420" w:hanging="420" w:hangingChars="200"/>
        <w:rPr>
          <w:rFonts w:ascii="宋体" w:hAnsi="宋体" w:cs="宋体"/>
          <w:szCs w:val="21"/>
          <w:highlight w:val="none"/>
        </w:rPr>
      </w:pPr>
      <w:r>
        <w:rPr>
          <w:rFonts w:hint="eastAsia" w:ascii="宋体" w:hAnsi="宋体" w:cs="宋体"/>
          <w:szCs w:val="21"/>
          <w:highlight w:val="none"/>
        </w:rPr>
        <w:t>22.6采购代理机构工作人员随机开启各供应商的竞争性磋商响应文件，在公开唱读供应商名称、递交文件份数后，由记录人在监标人的监督下录入。</w:t>
      </w:r>
    </w:p>
    <w:p>
      <w:pPr>
        <w:overflowPunct w:val="0"/>
        <w:adjustRightInd w:val="0"/>
        <w:snapToGrid w:val="0"/>
        <w:spacing w:line="360" w:lineRule="auto"/>
        <w:ind w:left="420" w:hanging="420" w:hangingChars="200"/>
        <w:rPr>
          <w:rFonts w:ascii="宋体" w:hAnsi="宋体" w:cs="宋体"/>
          <w:szCs w:val="21"/>
          <w:highlight w:val="none"/>
        </w:rPr>
      </w:pPr>
      <w:r>
        <w:rPr>
          <w:rFonts w:hint="eastAsia" w:ascii="宋体" w:hAnsi="宋体" w:cs="宋体"/>
          <w:szCs w:val="21"/>
          <w:highlight w:val="none"/>
        </w:rPr>
        <w:t>22.7采购代理机构对磋商过程进行录音录像，并存档备查。</w:t>
      </w:r>
    </w:p>
    <w:p>
      <w:pPr>
        <w:overflowPunct w:val="0"/>
        <w:adjustRightInd w:val="0"/>
        <w:snapToGrid w:val="0"/>
        <w:spacing w:line="360" w:lineRule="auto"/>
        <w:ind w:left="420" w:hanging="420" w:hangingChars="200"/>
        <w:rPr>
          <w:rFonts w:ascii="宋体" w:hAnsi="宋体" w:cs="宋体"/>
          <w:szCs w:val="21"/>
          <w:highlight w:val="none"/>
        </w:rPr>
      </w:pPr>
      <w:r>
        <w:rPr>
          <w:rFonts w:hint="eastAsia" w:ascii="宋体" w:hAnsi="宋体" w:cs="宋体"/>
          <w:szCs w:val="21"/>
          <w:highlight w:val="none"/>
        </w:rPr>
        <w:t>22.8供应商代表对磋商过程有异议的，以及认为采购人、采购代理机构相关工作人员有需要回避的情形的，应当场提出询问或回避申请。</w:t>
      </w:r>
    </w:p>
    <w:p>
      <w:pPr>
        <w:overflowPunct w:val="0"/>
        <w:adjustRightInd w:val="0"/>
        <w:snapToGrid w:val="0"/>
        <w:spacing w:line="360" w:lineRule="auto"/>
        <w:ind w:left="420" w:hanging="420" w:hangingChars="200"/>
        <w:rPr>
          <w:rFonts w:ascii="宋体" w:hAnsi="宋体" w:cs="宋体"/>
          <w:szCs w:val="21"/>
          <w:highlight w:val="none"/>
        </w:rPr>
      </w:pPr>
      <w:r>
        <w:rPr>
          <w:rFonts w:hint="eastAsia" w:ascii="宋体" w:hAnsi="宋体" w:cs="宋体"/>
          <w:szCs w:val="21"/>
          <w:highlight w:val="none"/>
        </w:rPr>
        <w:t>22.9磋商纪律要求</w:t>
      </w:r>
    </w:p>
    <w:p>
      <w:pPr>
        <w:overflowPunct w:val="0"/>
        <w:adjustRightInd w:val="0"/>
        <w:snapToGrid w:val="0"/>
        <w:spacing w:line="360" w:lineRule="auto"/>
        <w:ind w:left="420" w:hanging="420" w:hangingChars="200"/>
        <w:rPr>
          <w:rFonts w:ascii="宋体" w:hAnsi="宋体" w:cs="宋体"/>
          <w:szCs w:val="21"/>
          <w:highlight w:val="none"/>
        </w:rPr>
      </w:pPr>
      <w:r>
        <w:rPr>
          <w:rFonts w:hint="eastAsia" w:ascii="宋体" w:hAnsi="宋体" w:cs="宋体"/>
          <w:szCs w:val="21"/>
          <w:highlight w:val="none"/>
        </w:rPr>
        <w:t>22.9.1供应商参加磋商时不得有下列情形：</w:t>
      </w:r>
    </w:p>
    <w:p>
      <w:pPr>
        <w:overflowPunct w:val="0"/>
        <w:adjustRightInd w:val="0"/>
        <w:snapToGrid w:val="0"/>
        <w:spacing w:line="360" w:lineRule="auto"/>
        <w:ind w:left="420" w:hanging="420" w:hangingChars="200"/>
        <w:rPr>
          <w:rFonts w:ascii="宋体" w:hAnsi="宋体" w:cs="宋体"/>
          <w:szCs w:val="21"/>
          <w:highlight w:val="none"/>
        </w:rPr>
      </w:pPr>
      <w:r>
        <w:rPr>
          <w:rFonts w:hint="eastAsia" w:ascii="宋体" w:hAnsi="宋体" w:cs="宋体"/>
          <w:szCs w:val="21"/>
          <w:highlight w:val="none"/>
        </w:rPr>
        <w:t>（1）提供虚假材料谋取成交资格；</w:t>
      </w:r>
    </w:p>
    <w:p>
      <w:pPr>
        <w:overflowPunct w:val="0"/>
        <w:adjustRightInd w:val="0"/>
        <w:snapToGrid w:val="0"/>
        <w:spacing w:line="360" w:lineRule="auto"/>
        <w:ind w:left="420" w:hanging="420" w:hangingChars="200"/>
        <w:rPr>
          <w:rFonts w:ascii="宋体" w:hAnsi="宋体" w:cs="宋体"/>
          <w:szCs w:val="21"/>
          <w:highlight w:val="none"/>
        </w:rPr>
      </w:pPr>
      <w:r>
        <w:rPr>
          <w:rFonts w:hint="eastAsia" w:ascii="宋体" w:hAnsi="宋体" w:cs="宋体"/>
          <w:szCs w:val="21"/>
          <w:highlight w:val="none"/>
        </w:rPr>
        <w:t>（2）采用不正当手段诋毁、排挤其他供应商；</w:t>
      </w:r>
    </w:p>
    <w:p>
      <w:pPr>
        <w:overflowPunct w:val="0"/>
        <w:adjustRightInd w:val="0"/>
        <w:snapToGrid w:val="0"/>
        <w:spacing w:line="360" w:lineRule="auto"/>
        <w:ind w:left="420" w:hanging="420" w:hangingChars="200"/>
        <w:rPr>
          <w:rFonts w:ascii="宋体" w:hAnsi="宋体" w:cs="宋体"/>
          <w:szCs w:val="21"/>
          <w:highlight w:val="none"/>
        </w:rPr>
      </w:pPr>
      <w:r>
        <w:rPr>
          <w:rFonts w:hint="eastAsia" w:ascii="宋体" w:hAnsi="宋体" w:cs="宋体"/>
          <w:szCs w:val="21"/>
          <w:highlight w:val="none"/>
        </w:rPr>
        <w:t>（3）与采购人、采购代理机构、其他供应商恶意串通；</w:t>
      </w:r>
    </w:p>
    <w:p>
      <w:pPr>
        <w:overflowPunct w:val="0"/>
        <w:adjustRightInd w:val="0"/>
        <w:snapToGrid w:val="0"/>
        <w:spacing w:line="360" w:lineRule="auto"/>
        <w:ind w:left="420" w:hanging="420" w:hangingChars="200"/>
        <w:rPr>
          <w:rFonts w:ascii="宋体" w:hAnsi="宋体" w:cs="宋体"/>
          <w:szCs w:val="21"/>
          <w:highlight w:val="none"/>
        </w:rPr>
      </w:pPr>
      <w:r>
        <w:rPr>
          <w:rFonts w:hint="eastAsia" w:ascii="宋体" w:hAnsi="宋体" w:cs="宋体"/>
          <w:szCs w:val="21"/>
          <w:highlight w:val="none"/>
        </w:rPr>
        <w:t>（4）向采购人、采购代理机构、磋商小组行贿或提供其他不正当利益的；</w:t>
      </w:r>
    </w:p>
    <w:p>
      <w:pPr>
        <w:overflowPunct w:val="0"/>
        <w:adjustRightInd w:val="0"/>
        <w:snapToGrid w:val="0"/>
        <w:spacing w:line="360" w:lineRule="auto"/>
        <w:ind w:left="420" w:hanging="420" w:hangingChars="200"/>
        <w:rPr>
          <w:rFonts w:ascii="宋体" w:hAnsi="宋体" w:cs="宋体"/>
          <w:szCs w:val="21"/>
          <w:highlight w:val="none"/>
        </w:rPr>
      </w:pPr>
      <w:r>
        <w:rPr>
          <w:rFonts w:hint="eastAsia" w:ascii="宋体" w:hAnsi="宋体" w:cs="宋体"/>
          <w:szCs w:val="21"/>
          <w:highlight w:val="none"/>
        </w:rPr>
        <w:t>（5）拒绝有关部门的监督检查或向监督检查部门提供虚假情况的；</w:t>
      </w:r>
    </w:p>
    <w:p>
      <w:pPr>
        <w:overflowPunct w:val="0"/>
        <w:adjustRightInd w:val="0"/>
        <w:snapToGrid w:val="0"/>
        <w:spacing w:line="360" w:lineRule="auto"/>
        <w:ind w:left="420" w:hanging="420" w:hangingChars="200"/>
        <w:rPr>
          <w:rFonts w:ascii="宋体" w:hAnsi="宋体" w:cs="宋体"/>
          <w:szCs w:val="21"/>
          <w:highlight w:val="none"/>
        </w:rPr>
      </w:pPr>
      <w:r>
        <w:rPr>
          <w:rFonts w:hint="eastAsia" w:ascii="宋体" w:hAnsi="宋体" w:cs="宋体"/>
          <w:szCs w:val="21"/>
          <w:highlight w:val="none"/>
        </w:rPr>
        <w:t>供应商若有上述情形之一的，属于不合格供应商，其竞争性磋商响应文件按无效文件处理，已取得成交资格的其资格将被取消。</w:t>
      </w:r>
    </w:p>
    <w:p>
      <w:pPr>
        <w:overflowPunct w:val="0"/>
        <w:adjustRightInd w:val="0"/>
        <w:snapToGrid w:val="0"/>
        <w:spacing w:line="360" w:lineRule="auto"/>
        <w:ind w:left="420" w:hanging="420" w:hangingChars="200"/>
        <w:rPr>
          <w:rFonts w:ascii="宋体" w:hAnsi="宋体" w:cs="宋体"/>
          <w:szCs w:val="21"/>
          <w:highlight w:val="none"/>
        </w:rPr>
      </w:pPr>
      <w:r>
        <w:rPr>
          <w:rFonts w:hint="eastAsia" w:ascii="宋体" w:hAnsi="宋体" w:cs="宋体"/>
          <w:szCs w:val="21"/>
          <w:highlight w:val="none"/>
        </w:rPr>
        <w:t>22.9.2供应商有下列情形之一的，视为供应商相互恶意串通磋商，其竞争性磋商响应文件按无效文件处理：</w:t>
      </w:r>
    </w:p>
    <w:p>
      <w:pPr>
        <w:overflowPunct w:val="0"/>
        <w:adjustRightInd w:val="0"/>
        <w:snapToGrid w:val="0"/>
        <w:spacing w:line="360" w:lineRule="auto"/>
        <w:ind w:left="420" w:hanging="420" w:hangingChars="200"/>
        <w:rPr>
          <w:rFonts w:ascii="宋体" w:hAnsi="宋体" w:cs="宋体"/>
          <w:szCs w:val="21"/>
          <w:highlight w:val="none"/>
        </w:rPr>
      </w:pPr>
      <w:r>
        <w:rPr>
          <w:rFonts w:hint="eastAsia" w:ascii="宋体" w:hAnsi="宋体" w:cs="宋体"/>
          <w:szCs w:val="21"/>
          <w:highlight w:val="none"/>
        </w:rPr>
        <w:t>（1）不同供应商的竞争性磋商响应文件由同一单位或者个人编制；</w:t>
      </w:r>
    </w:p>
    <w:p>
      <w:pPr>
        <w:overflowPunct w:val="0"/>
        <w:adjustRightInd w:val="0"/>
        <w:snapToGrid w:val="0"/>
        <w:spacing w:line="360" w:lineRule="auto"/>
        <w:ind w:left="420" w:hanging="420" w:hangingChars="200"/>
        <w:rPr>
          <w:rFonts w:ascii="宋体" w:hAnsi="宋体" w:cs="宋体"/>
          <w:szCs w:val="21"/>
          <w:highlight w:val="none"/>
        </w:rPr>
      </w:pPr>
      <w:r>
        <w:rPr>
          <w:rFonts w:hint="eastAsia" w:ascii="宋体" w:hAnsi="宋体" w:cs="宋体"/>
          <w:szCs w:val="21"/>
          <w:highlight w:val="none"/>
        </w:rPr>
        <w:t>（2）不同供应商委托同一单位或者个人办理磋商事宜；</w:t>
      </w:r>
    </w:p>
    <w:p>
      <w:pPr>
        <w:overflowPunct w:val="0"/>
        <w:adjustRightInd w:val="0"/>
        <w:snapToGrid w:val="0"/>
        <w:spacing w:line="360" w:lineRule="auto"/>
        <w:ind w:left="420" w:hanging="420" w:hangingChars="200"/>
        <w:rPr>
          <w:rFonts w:ascii="宋体" w:hAnsi="宋体" w:cs="宋体"/>
          <w:szCs w:val="21"/>
          <w:highlight w:val="none"/>
        </w:rPr>
      </w:pPr>
      <w:r>
        <w:rPr>
          <w:rFonts w:hint="eastAsia" w:ascii="宋体" w:hAnsi="宋体" w:cs="宋体"/>
          <w:szCs w:val="21"/>
          <w:highlight w:val="none"/>
        </w:rPr>
        <w:t>（3）不同供应商的竞争性磋商响应文件载明的项目管理成员或者联系人员为同一人；</w:t>
      </w:r>
    </w:p>
    <w:p>
      <w:pPr>
        <w:overflowPunct w:val="0"/>
        <w:adjustRightInd w:val="0"/>
        <w:snapToGrid w:val="0"/>
        <w:spacing w:line="360" w:lineRule="auto"/>
        <w:ind w:left="420" w:hanging="420" w:hangingChars="200"/>
        <w:rPr>
          <w:rFonts w:hint="eastAsia" w:ascii="宋体" w:hAnsi="宋体" w:cs="宋体"/>
          <w:szCs w:val="21"/>
          <w:highlight w:val="none"/>
        </w:rPr>
      </w:pPr>
      <w:r>
        <w:rPr>
          <w:rFonts w:hint="eastAsia" w:ascii="宋体" w:hAnsi="宋体" w:cs="宋体"/>
          <w:szCs w:val="21"/>
          <w:highlight w:val="none"/>
        </w:rPr>
        <w:t>（4）不同供应商的竞争性磋商响应文件异常一致或者</w:t>
      </w:r>
    </w:p>
    <w:p>
      <w:pPr>
        <w:overflowPunct w:val="0"/>
        <w:adjustRightInd w:val="0"/>
        <w:snapToGrid w:val="0"/>
        <w:spacing w:line="360" w:lineRule="auto"/>
        <w:ind w:left="420" w:hanging="420" w:hangingChars="200"/>
        <w:rPr>
          <w:rFonts w:ascii="宋体" w:hAnsi="宋体" w:cs="宋体"/>
          <w:szCs w:val="21"/>
          <w:highlight w:val="none"/>
        </w:rPr>
      </w:pPr>
      <w:r>
        <w:rPr>
          <w:rFonts w:hint="eastAsia" w:ascii="宋体" w:hAnsi="宋体" w:cs="宋体"/>
          <w:szCs w:val="21"/>
          <w:highlight w:val="none"/>
        </w:rPr>
        <w:t>呈规律性差异；</w:t>
      </w:r>
    </w:p>
    <w:p>
      <w:pPr>
        <w:overflowPunct w:val="0"/>
        <w:adjustRightInd w:val="0"/>
        <w:snapToGrid w:val="0"/>
        <w:spacing w:line="360" w:lineRule="auto"/>
        <w:ind w:left="420" w:hanging="420" w:hangingChars="200"/>
        <w:rPr>
          <w:rFonts w:ascii="宋体" w:hAnsi="宋体" w:cs="宋体"/>
          <w:szCs w:val="21"/>
          <w:highlight w:val="none"/>
        </w:rPr>
      </w:pPr>
      <w:r>
        <w:rPr>
          <w:rFonts w:hint="eastAsia" w:ascii="宋体" w:hAnsi="宋体" w:cs="宋体"/>
          <w:szCs w:val="21"/>
          <w:highlight w:val="none"/>
        </w:rPr>
        <w:t>（5）不同供应商的竞争性磋商响应文件相互混装；</w:t>
      </w:r>
    </w:p>
    <w:p>
      <w:pPr>
        <w:pStyle w:val="8"/>
        <w:spacing w:before="0" w:after="0" w:line="360" w:lineRule="auto"/>
        <w:rPr>
          <w:rFonts w:ascii="宋体" w:hAnsi="宋体" w:cs="宋体"/>
          <w:bCs/>
          <w:sz w:val="21"/>
          <w:szCs w:val="21"/>
          <w:highlight w:val="none"/>
        </w:rPr>
      </w:pPr>
      <w:bookmarkStart w:id="310" w:name="_Toc233435943"/>
      <w:bookmarkStart w:id="311" w:name="_Toc10840"/>
      <w:bookmarkStart w:id="312" w:name="_Toc27532"/>
      <w:bookmarkStart w:id="313" w:name="_Toc7524497"/>
      <w:bookmarkStart w:id="314" w:name="_Toc17025"/>
      <w:bookmarkStart w:id="315" w:name="_Toc392236639"/>
      <w:bookmarkStart w:id="316" w:name="_Toc32258"/>
      <w:bookmarkStart w:id="317" w:name="_Toc10052"/>
      <w:bookmarkStart w:id="318" w:name="_Toc15653"/>
      <w:bookmarkStart w:id="319" w:name="_Toc386965852"/>
      <w:bookmarkStart w:id="320" w:name="_Toc10292"/>
      <w:r>
        <w:rPr>
          <w:rFonts w:hint="eastAsia" w:ascii="宋体" w:hAnsi="宋体" w:cs="宋体"/>
          <w:bCs/>
          <w:sz w:val="21"/>
          <w:szCs w:val="21"/>
          <w:highlight w:val="none"/>
        </w:rPr>
        <w:t xml:space="preserve">23 </w:t>
      </w:r>
      <w:bookmarkEnd w:id="310"/>
      <w:r>
        <w:rPr>
          <w:rFonts w:hint="eastAsia" w:ascii="宋体" w:hAnsi="宋体" w:cs="宋体"/>
          <w:bCs/>
          <w:sz w:val="21"/>
          <w:szCs w:val="21"/>
          <w:highlight w:val="none"/>
        </w:rPr>
        <w:t>磋商小组</w:t>
      </w:r>
      <w:bookmarkEnd w:id="311"/>
      <w:bookmarkEnd w:id="312"/>
      <w:bookmarkEnd w:id="313"/>
      <w:bookmarkEnd w:id="314"/>
      <w:bookmarkEnd w:id="315"/>
      <w:bookmarkEnd w:id="316"/>
      <w:bookmarkEnd w:id="317"/>
      <w:bookmarkEnd w:id="318"/>
      <w:bookmarkEnd w:id="319"/>
      <w:bookmarkEnd w:id="320"/>
    </w:p>
    <w:p>
      <w:pPr>
        <w:overflowPunct w:val="0"/>
        <w:adjustRightInd w:val="0"/>
        <w:snapToGrid w:val="0"/>
        <w:spacing w:line="360" w:lineRule="auto"/>
        <w:ind w:left="420" w:hanging="420" w:hangingChars="200"/>
        <w:rPr>
          <w:rFonts w:ascii="宋体" w:hAnsi="宋体" w:cs="宋体"/>
          <w:szCs w:val="21"/>
          <w:highlight w:val="none"/>
        </w:rPr>
      </w:pPr>
      <w:bookmarkStart w:id="321" w:name="_Toc386965853"/>
      <w:bookmarkStart w:id="322" w:name="_Toc27824"/>
      <w:bookmarkStart w:id="323" w:name="_Toc392236640"/>
      <w:bookmarkStart w:id="324" w:name="_Toc233435944"/>
      <w:r>
        <w:rPr>
          <w:rFonts w:hint="eastAsia" w:ascii="宋体" w:hAnsi="宋体" w:cs="宋体"/>
          <w:szCs w:val="21"/>
          <w:highlight w:val="none"/>
        </w:rPr>
        <w:t>23.1 采购人将根据本次采购项目的特点，参照《中华人民共和国政府采购法》等有关规定组建磋商小组。</w:t>
      </w:r>
    </w:p>
    <w:p>
      <w:pPr>
        <w:overflowPunct w:val="0"/>
        <w:adjustRightInd w:val="0"/>
        <w:snapToGrid w:val="0"/>
        <w:spacing w:line="360" w:lineRule="auto"/>
        <w:ind w:left="420" w:hanging="420" w:hangingChars="200"/>
        <w:rPr>
          <w:rFonts w:ascii="宋体" w:hAnsi="宋体" w:cs="宋体"/>
          <w:szCs w:val="21"/>
          <w:highlight w:val="none"/>
        </w:rPr>
      </w:pPr>
      <w:r>
        <w:rPr>
          <w:rFonts w:hint="eastAsia" w:ascii="宋体" w:hAnsi="宋体" w:cs="宋体"/>
          <w:szCs w:val="21"/>
          <w:highlight w:val="none"/>
        </w:rPr>
        <w:t>23.2 磋商小组成员由采购人及有关技术、经济等方面的专家组成，负责评审活动。</w:t>
      </w:r>
    </w:p>
    <w:p>
      <w:pPr>
        <w:overflowPunct w:val="0"/>
        <w:adjustRightInd w:val="0"/>
        <w:snapToGrid w:val="0"/>
        <w:spacing w:line="360" w:lineRule="auto"/>
        <w:ind w:left="420" w:hanging="420" w:hangingChars="200"/>
        <w:rPr>
          <w:rFonts w:ascii="宋体" w:hAnsi="宋体" w:cs="宋体"/>
          <w:szCs w:val="21"/>
          <w:highlight w:val="none"/>
        </w:rPr>
      </w:pPr>
      <w:r>
        <w:rPr>
          <w:rFonts w:hint="eastAsia" w:ascii="宋体" w:hAnsi="宋体" w:cs="宋体"/>
          <w:szCs w:val="21"/>
          <w:highlight w:val="none"/>
        </w:rPr>
        <w:t>23.3 磋商小组成员对各供应商响应文件进行审查、质疑、评估和比较，并推荐出成交候选人。</w:t>
      </w:r>
    </w:p>
    <w:p>
      <w:pPr>
        <w:overflowPunct w:val="0"/>
        <w:adjustRightInd w:val="0"/>
        <w:snapToGrid w:val="0"/>
        <w:spacing w:line="360" w:lineRule="auto"/>
        <w:ind w:left="420" w:hanging="420" w:hangingChars="200"/>
        <w:rPr>
          <w:rFonts w:ascii="宋体" w:hAnsi="宋体" w:cs="宋体"/>
          <w:szCs w:val="21"/>
          <w:highlight w:val="none"/>
        </w:rPr>
      </w:pPr>
      <w:r>
        <w:rPr>
          <w:rFonts w:hint="eastAsia" w:ascii="宋体" w:hAnsi="宋体" w:cs="宋体"/>
          <w:szCs w:val="21"/>
          <w:highlight w:val="none"/>
        </w:rPr>
        <w:t>23.4 磋商小组负责具体评审事务，并独立履行下列职责：</w:t>
      </w:r>
    </w:p>
    <w:p>
      <w:pPr>
        <w:overflowPunct w:val="0"/>
        <w:adjustRightInd w:val="0"/>
        <w:snapToGrid w:val="0"/>
        <w:spacing w:line="360" w:lineRule="auto"/>
        <w:ind w:left="53" w:hanging="52" w:hangingChars="25"/>
        <w:rPr>
          <w:rFonts w:ascii="宋体" w:hAnsi="宋体" w:cs="宋体"/>
          <w:szCs w:val="21"/>
          <w:highlight w:val="none"/>
        </w:rPr>
      </w:pPr>
      <w:r>
        <w:rPr>
          <w:rFonts w:hint="eastAsia" w:ascii="宋体" w:hAnsi="宋体" w:cs="宋体"/>
          <w:szCs w:val="21"/>
          <w:highlight w:val="none"/>
        </w:rPr>
        <w:t>1）审查、评价响应文件是否符合磋商文件的商务、技术等实质性要求；</w:t>
      </w:r>
    </w:p>
    <w:p>
      <w:pPr>
        <w:overflowPunct w:val="0"/>
        <w:adjustRightInd w:val="0"/>
        <w:snapToGrid w:val="0"/>
        <w:spacing w:line="360" w:lineRule="auto"/>
        <w:ind w:left="53" w:hanging="52" w:hangingChars="25"/>
        <w:rPr>
          <w:rFonts w:ascii="宋体" w:hAnsi="宋体" w:cs="宋体"/>
          <w:szCs w:val="21"/>
          <w:highlight w:val="none"/>
        </w:rPr>
      </w:pPr>
      <w:r>
        <w:rPr>
          <w:rFonts w:hint="eastAsia" w:ascii="宋体" w:hAnsi="宋体" w:cs="宋体"/>
          <w:szCs w:val="21"/>
          <w:highlight w:val="none"/>
        </w:rPr>
        <w:t>2）要求供应商对响应文件有关事项做出澄清或者说明；</w:t>
      </w:r>
    </w:p>
    <w:p>
      <w:pPr>
        <w:overflowPunct w:val="0"/>
        <w:adjustRightInd w:val="0"/>
        <w:snapToGrid w:val="0"/>
        <w:spacing w:line="360" w:lineRule="auto"/>
        <w:ind w:left="53" w:hanging="52" w:hangingChars="25"/>
        <w:rPr>
          <w:rFonts w:ascii="宋体" w:hAnsi="宋体" w:cs="宋体"/>
          <w:szCs w:val="21"/>
          <w:highlight w:val="none"/>
        </w:rPr>
      </w:pPr>
      <w:r>
        <w:rPr>
          <w:rFonts w:hint="eastAsia" w:ascii="宋体" w:hAnsi="宋体" w:cs="宋体"/>
          <w:szCs w:val="21"/>
          <w:highlight w:val="none"/>
        </w:rPr>
        <w:t>3）对响应文件进行比较和评价；</w:t>
      </w:r>
    </w:p>
    <w:p>
      <w:pPr>
        <w:overflowPunct w:val="0"/>
        <w:adjustRightInd w:val="0"/>
        <w:snapToGrid w:val="0"/>
        <w:spacing w:line="360" w:lineRule="auto"/>
        <w:ind w:left="53" w:hanging="52" w:hangingChars="25"/>
        <w:rPr>
          <w:rFonts w:ascii="宋体" w:hAnsi="宋体" w:cs="宋体"/>
          <w:szCs w:val="21"/>
          <w:highlight w:val="none"/>
        </w:rPr>
      </w:pPr>
      <w:r>
        <w:rPr>
          <w:rFonts w:hint="eastAsia" w:ascii="宋体" w:hAnsi="宋体" w:cs="宋体"/>
          <w:szCs w:val="21"/>
          <w:highlight w:val="none"/>
        </w:rPr>
        <w:t>4）确定成交候选人名单，以及根据采购人委托直接确定成交人；</w:t>
      </w:r>
    </w:p>
    <w:p>
      <w:pPr>
        <w:overflowPunct w:val="0"/>
        <w:adjustRightInd w:val="0"/>
        <w:snapToGrid w:val="0"/>
        <w:spacing w:line="360" w:lineRule="auto"/>
        <w:ind w:left="53" w:hanging="52" w:hangingChars="25"/>
        <w:rPr>
          <w:rFonts w:ascii="宋体" w:hAnsi="宋体" w:cs="宋体"/>
          <w:szCs w:val="21"/>
          <w:highlight w:val="none"/>
        </w:rPr>
      </w:pPr>
      <w:r>
        <w:rPr>
          <w:rFonts w:hint="eastAsia" w:ascii="宋体" w:hAnsi="宋体" w:cs="宋体"/>
          <w:szCs w:val="21"/>
          <w:highlight w:val="none"/>
        </w:rPr>
        <w:t>5）向采购人、采购代理机构或者有关部门报告评审中发现的违法行为。</w:t>
      </w:r>
    </w:p>
    <w:p>
      <w:pPr>
        <w:overflowPunct w:val="0"/>
        <w:adjustRightInd w:val="0"/>
        <w:snapToGrid w:val="0"/>
        <w:spacing w:line="360" w:lineRule="auto"/>
        <w:ind w:left="420" w:hanging="420" w:hangingChars="200"/>
        <w:rPr>
          <w:rFonts w:ascii="宋体" w:hAnsi="宋体" w:cs="宋体"/>
          <w:szCs w:val="21"/>
          <w:highlight w:val="none"/>
        </w:rPr>
      </w:pPr>
      <w:r>
        <w:rPr>
          <w:rFonts w:hint="eastAsia" w:ascii="宋体" w:hAnsi="宋体" w:cs="宋体"/>
          <w:szCs w:val="21"/>
          <w:highlight w:val="none"/>
        </w:rPr>
        <w:t>23.5 磋商小组及其成员不得有下列行为：</w:t>
      </w:r>
    </w:p>
    <w:p>
      <w:pPr>
        <w:overflowPunct w:val="0"/>
        <w:adjustRightInd w:val="0"/>
        <w:snapToGrid w:val="0"/>
        <w:spacing w:line="360" w:lineRule="auto"/>
        <w:ind w:left="53" w:hanging="52" w:hangingChars="25"/>
        <w:rPr>
          <w:rFonts w:ascii="宋体" w:hAnsi="宋体" w:cs="宋体"/>
          <w:szCs w:val="21"/>
          <w:highlight w:val="none"/>
        </w:rPr>
      </w:pPr>
      <w:r>
        <w:rPr>
          <w:rFonts w:hint="eastAsia" w:ascii="宋体" w:hAnsi="宋体" w:cs="宋体"/>
          <w:szCs w:val="21"/>
          <w:highlight w:val="none"/>
        </w:rPr>
        <w:t>1）确定参与评审至评审结束前私自接触供应商；</w:t>
      </w:r>
    </w:p>
    <w:p>
      <w:pPr>
        <w:overflowPunct w:val="0"/>
        <w:adjustRightInd w:val="0"/>
        <w:snapToGrid w:val="0"/>
        <w:spacing w:line="360" w:lineRule="auto"/>
        <w:ind w:left="53" w:hanging="52" w:hangingChars="25"/>
        <w:rPr>
          <w:rFonts w:ascii="宋体" w:hAnsi="宋体" w:cs="宋体"/>
          <w:szCs w:val="21"/>
          <w:highlight w:val="none"/>
        </w:rPr>
      </w:pPr>
      <w:r>
        <w:rPr>
          <w:rFonts w:hint="eastAsia" w:ascii="宋体" w:hAnsi="宋体" w:cs="宋体"/>
          <w:szCs w:val="21"/>
          <w:highlight w:val="none"/>
        </w:rPr>
        <w:t>2）接受供应商提出的与响应文件不一致的澄清或者说明，财政部第87号令第五十一条规定的情形除外；</w:t>
      </w:r>
    </w:p>
    <w:p>
      <w:pPr>
        <w:overflowPunct w:val="0"/>
        <w:adjustRightInd w:val="0"/>
        <w:snapToGrid w:val="0"/>
        <w:spacing w:line="360" w:lineRule="auto"/>
        <w:ind w:left="53" w:hanging="52" w:hangingChars="25"/>
        <w:rPr>
          <w:rFonts w:ascii="宋体" w:hAnsi="宋体" w:cs="宋体"/>
          <w:szCs w:val="21"/>
          <w:highlight w:val="none"/>
        </w:rPr>
      </w:pPr>
      <w:r>
        <w:rPr>
          <w:rFonts w:hint="eastAsia" w:ascii="宋体" w:hAnsi="宋体" w:cs="宋体"/>
          <w:szCs w:val="21"/>
          <w:highlight w:val="none"/>
        </w:rPr>
        <w:t>3）违反评审纪律发表倾向性意见或者征询采购人的倾向性意见；</w:t>
      </w:r>
    </w:p>
    <w:p>
      <w:pPr>
        <w:overflowPunct w:val="0"/>
        <w:adjustRightInd w:val="0"/>
        <w:snapToGrid w:val="0"/>
        <w:spacing w:line="360" w:lineRule="auto"/>
        <w:ind w:left="53" w:hanging="52" w:hangingChars="25"/>
        <w:rPr>
          <w:rFonts w:ascii="宋体" w:hAnsi="宋体" w:cs="宋体"/>
          <w:szCs w:val="21"/>
          <w:highlight w:val="none"/>
        </w:rPr>
      </w:pPr>
      <w:r>
        <w:rPr>
          <w:rFonts w:hint="eastAsia" w:ascii="宋体" w:hAnsi="宋体" w:cs="宋体"/>
          <w:szCs w:val="21"/>
          <w:highlight w:val="none"/>
        </w:rPr>
        <w:t>4）对需要专业判断的主观评审因素协商评分；</w:t>
      </w:r>
    </w:p>
    <w:p>
      <w:pPr>
        <w:overflowPunct w:val="0"/>
        <w:adjustRightInd w:val="0"/>
        <w:snapToGrid w:val="0"/>
        <w:spacing w:line="360" w:lineRule="auto"/>
        <w:ind w:left="53" w:hanging="52" w:hangingChars="25"/>
        <w:rPr>
          <w:rFonts w:ascii="宋体" w:hAnsi="宋体" w:cs="宋体"/>
          <w:szCs w:val="21"/>
          <w:highlight w:val="none"/>
        </w:rPr>
      </w:pPr>
      <w:r>
        <w:rPr>
          <w:rFonts w:hint="eastAsia" w:ascii="宋体" w:hAnsi="宋体" w:cs="宋体"/>
          <w:szCs w:val="21"/>
          <w:highlight w:val="none"/>
        </w:rPr>
        <w:t>5）在评审过程中擅离职守，影响评审程序正常进行的；</w:t>
      </w:r>
    </w:p>
    <w:p>
      <w:pPr>
        <w:overflowPunct w:val="0"/>
        <w:adjustRightInd w:val="0"/>
        <w:snapToGrid w:val="0"/>
        <w:spacing w:line="360" w:lineRule="auto"/>
        <w:ind w:left="53" w:hanging="52" w:hangingChars="25"/>
        <w:rPr>
          <w:rFonts w:ascii="宋体" w:hAnsi="宋体" w:cs="宋体"/>
          <w:szCs w:val="21"/>
          <w:highlight w:val="none"/>
        </w:rPr>
      </w:pPr>
      <w:r>
        <w:rPr>
          <w:rFonts w:hint="eastAsia" w:ascii="宋体" w:hAnsi="宋体" w:cs="宋体"/>
          <w:szCs w:val="21"/>
          <w:highlight w:val="none"/>
        </w:rPr>
        <w:t>6）记录、复制或者带走任何评审资料；</w:t>
      </w:r>
    </w:p>
    <w:p>
      <w:pPr>
        <w:overflowPunct w:val="0"/>
        <w:adjustRightInd w:val="0"/>
        <w:snapToGrid w:val="0"/>
        <w:spacing w:line="360" w:lineRule="auto"/>
        <w:ind w:left="53" w:hanging="52" w:hangingChars="25"/>
        <w:rPr>
          <w:rFonts w:ascii="宋体" w:hAnsi="宋体" w:cs="宋体"/>
          <w:szCs w:val="21"/>
          <w:highlight w:val="none"/>
        </w:rPr>
      </w:pPr>
      <w:r>
        <w:rPr>
          <w:rFonts w:hint="eastAsia" w:ascii="宋体" w:hAnsi="宋体" w:cs="宋体"/>
          <w:szCs w:val="21"/>
          <w:highlight w:val="none"/>
        </w:rPr>
        <w:t>7）其他不遵守评审纪律的行为。</w:t>
      </w:r>
    </w:p>
    <w:p>
      <w:pPr>
        <w:overflowPunct w:val="0"/>
        <w:adjustRightInd w:val="0"/>
        <w:snapToGrid w:val="0"/>
        <w:spacing w:line="360" w:lineRule="auto"/>
        <w:ind w:firstLine="367" w:firstLineChars="175"/>
        <w:rPr>
          <w:rFonts w:ascii="宋体" w:hAnsi="宋体" w:cs="宋体"/>
          <w:szCs w:val="21"/>
          <w:highlight w:val="none"/>
        </w:rPr>
      </w:pPr>
      <w:r>
        <w:rPr>
          <w:rFonts w:hint="eastAsia" w:ascii="宋体" w:hAnsi="宋体" w:cs="宋体"/>
          <w:szCs w:val="21"/>
          <w:highlight w:val="none"/>
        </w:rPr>
        <w:t>磋商小组成员有前五项行为之一的，其评审意见无效，并不得获取评审劳务报酬和报销异地评审差旅费。</w:t>
      </w:r>
    </w:p>
    <w:p>
      <w:pPr>
        <w:pStyle w:val="8"/>
        <w:spacing w:before="0" w:after="0" w:line="360" w:lineRule="auto"/>
        <w:rPr>
          <w:rFonts w:ascii="宋体" w:hAnsi="宋体" w:cs="宋体"/>
          <w:bCs/>
          <w:sz w:val="21"/>
          <w:szCs w:val="21"/>
          <w:highlight w:val="none"/>
        </w:rPr>
      </w:pPr>
      <w:bookmarkStart w:id="325" w:name="_Toc7524498"/>
      <w:bookmarkStart w:id="326" w:name="_Toc30139"/>
      <w:bookmarkStart w:id="327" w:name="_Toc23662"/>
      <w:bookmarkStart w:id="328" w:name="_Toc3113"/>
      <w:bookmarkStart w:id="329" w:name="_Toc28861"/>
      <w:bookmarkStart w:id="330" w:name="_Toc26737"/>
      <w:bookmarkStart w:id="331" w:name="_Toc26629"/>
      <w:r>
        <w:rPr>
          <w:rFonts w:hint="eastAsia" w:ascii="宋体" w:hAnsi="宋体" w:cs="宋体"/>
          <w:bCs/>
          <w:sz w:val="21"/>
          <w:szCs w:val="21"/>
          <w:highlight w:val="none"/>
        </w:rPr>
        <w:t>24 响应文件的初审</w:t>
      </w:r>
      <w:bookmarkEnd w:id="321"/>
      <w:bookmarkEnd w:id="322"/>
      <w:bookmarkEnd w:id="323"/>
      <w:bookmarkEnd w:id="324"/>
      <w:bookmarkEnd w:id="325"/>
      <w:bookmarkEnd w:id="326"/>
      <w:bookmarkEnd w:id="327"/>
      <w:bookmarkEnd w:id="328"/>
      <w:bookmarkEnd w:id="329"/>
      <w:bookmarkEnd w:id="330"/>
      <w:bookmarkEnd w:id="331"/>
    </w:p>
    <w:p>
      <w:pPr>
        <w:overflowPunct w:val="0"/>
        <w:adjustRightInd w:val="0"/>
        <w:snapToGrid w:val="0"/>
        <w:spacing w:line="360" w:lineRule="auto"/>
        <w:rPr>
          <w:rFonts w:ascii="宋体" w:hAnsi="宋体" w:cs="宋体"/>
          <w:szCs w:val="21"/>
          <w:highlight w:val="none"/>
        </w:rPr>
      </w:pPr>
      <w:r>
        <w:rPr>
          <w:rFonts w:hint="eastAsia" w:ascii="宋体" w:hAnsi="宋体" w:cs="宋体"/>
          <w:szCs w:val="21"/>
          <w:highlight w:val="none"/>
        </w:rPr>
        <w:t>24.1响应文件资格性审查：采购人或采购代理机构应当依法对供应商的资格进行审查。合格供应商不足3家的，不得评审。</w:t>
      </w:r>
    </w:p>
    <w:p>
      <w:pPr>
        <w:overflowPunct w:val="0"/>
        <w:adjustRightInd w:val="0"/>
        <w:snapToGrid w:val="0"/>
        <w:spacing w:line="360" w:lineRule="auto"/>
        <w:rPr>
          <w:rFonts w:ascii="宋体" w:hAnsi="宋体" w:cs="宋体"/>
          <w:szCs w:val="21"/>
          <w:highlight w:val="none"/>
        </w:rPr>
      </w:pPr>
      <w:r>
        <w:rPr>
          <w:rFonts w:hint="eastAsia" w:ascii="宋体" w:hAnsi="宋体" w:cs="宋体"/>
          <w:szCs w:val="21"/>
          <w:highlight w:val="none"/>
        </w:rPr>
        <w:t>24.2响应文件符合性审查：磋商小组依据磋商文件的规定，从响应文件的有效性、完整性和对磋商文件的响应程度进行审查，以确定是否响应磋商文件的实质性内容。具体符合性审查内容如下：</w:t>
      </w:r>
    </w:p>
    <w:p>
      <w:pPr>
        <w:overflowPunct w:val="0"/>
        <w:adjustRightInd w:val="0"/>
        <w:snapToGrid w:val="0"/>
        <w:spacing w:line="360" w:lineRule="auto"/>
        <w:rPr>
          <w:rFonts w:ascii="宋体" w:hAnsi="宋体" w:cs="宋体"/>
          <w:szCs w:val="21"/>
          <w:highlight w:val="none"/>
        </w:rPr>
      </w:pPr>
      <w:r>
        <w:rPr>
          <w:rFonts w:hint="eastAsia" w:ascii="宋体" w:hAnsi="宋体" w:cs="宋体"/>
          <w:szCs w:val="21"/>
          <w:highlight w:val="none"/>
        </w:rPr>
        <w:t>24.2.1</w:t>
      </w:r>
      <w:r>
        <w:rPr>
          <w:rFonts w:hint="eastAsia" w:ascii="宋体" w:hAnsi="宋体" w:cs="宋体"/>
          <w:szCs w:val="21"/>
          <w:highlight w:val="none"/>
          <w:lang w:val="en-US" w:eastAsia="zh-CN"/>
        </w:rPr>
        <w:t>工期</w:t>
      </w:r>
      <w:r>
        <w:rPr>
          <w:rFonts w:hint="eastAsia" w:ascii="宋体" w:hAnsi="宋体" w:cs="宋体"/>
          <w:szCs w:val="21"/>
          <w:highlight w:val="none"/>
        </w:rPr>
        <w:t>是否响应；</w:t>
      </w:r>
    </w:p>
    <w:p>
      <w:pPr>
        <w:overflowPunct w:val="0"/>
        <w:adjustRightInd w:val="0"/>
        <w:snapToGrid w:val="0"/>
        <w:spacing w:line="360" w:lineRule="auto"/>
        <w:rPr>
          <w:rFonts w:ascii="宋体" w:hAnsi="宋体" w:cs="宋体"/>
          <w:szCs w:val="21"/>
          <w:highlight w:val="none"/>
        </w:rPr>
      </w:pPr>
      <w:r>
        <w:rPr>
          <w:rFonts w:hint="eastAsia" w:ascii="宋体" w:hAnsi="宋体" w:cs="宋体"/>
          <w:szCs w:val="21"/>
          <w:highlight w:val="none"/>
        </w:rPr>
        <w:t>24.2.2</w:t>
      </w:r>
      <w:r>
        <w:rPr>
          <w:rFonts w:hint="eastAsia" w:ascii="宋体" w:hAnsi="宋体"/>
          <w:szCs w:val="24"/>
          <w:highlight w:val="none"/>
        </w:rPr>
        <w:t>磋商报价</w:t>
      </w:r>
      <w:r>
        <w:rPr>
          <w:rFonts w:hint="eastAsia" w:ascii="宋体" w:hAnsi="宋体" w:cs="宋体"/>
          <w:color w:val="000000"/>
          <w:szCs w:val="21"/>
          <w:highlight w:val="none"/>
        </w:rPr>
        <w:t>是否响应</w:t>
      </w:r>
      <w:r>
        <w:rPr>
          <w:rFonts w:hint="eastAsia" w:ascii="宋体" w:hAnsi="宋体" w:cs="宋体"/>
          <w:szCs w:val="21"/>
          <w:highlight w:val="none"/>
        </w:rPr>
        <w:t>；</w:t>
      </w:r>
    </w:p>
    <w:p>
      <w:pPr>
        <w:overflowPunct w:val="0"/>
        <w:adjustRightInd w:val="0"/>
        <w:snapToGrid w:val="0"/>
        <w:spacing w:line="360" w:lineRule="auto"/>
        <w:rPr>
          <w:rFonts w:ascii="宋体" w:hAnsi="宋体" w:cs="宋体"/>
          <w:szCs w:val="21"/>
          <w:highlight w:val="none"/>
        </w:rPr>
      </w:pPr>
      <w:r>
        <w:rPr>
          <w:rFonts w:hint="eastAsia" w:ascii="宋体" w:hAnsi="宋体" w:cs="宋体"/>
          <w:szCs w:val="21"/>
          <w:highlight w:val="none"/>
        </w:rPr>
        <w:t>24.2.3响应文件的数量是否合格；</w:t>
      </w:r>
    </w:p>
    <w:p>
      <w:pPr>
        <w:overflowPunct w:val="0"/>
        <w:adjustRightInd w:val="0"/>
        <w:snapToGrid w:val="0"/>
        <w:spacing w:line="360" w:lineRule="auto"/>
        <w:rPr>
          <w:rFonts w:ascii="宋体" w:hAnsi="宋体" w:cs="宋体"/>
          <w:szCs w:val="21"/>
          <w:highlight w:val="none"/>
        </w:rPr>
      </w:pPr>
      <w:r>
        <w:rPr>
          <w:rFonts w:hint="eastAsia" w:ascii="宋体" w:hAnsi="宋体" w:cs="宋体"/>
          <w:szCs w:val="21"/>
          <w:highlight w:val="none"/>
        </w:rPr>
        <w:t>24.2.4响应文件有效期是否合格；</w:t>
      </w:r>
    </w:p>
    <w:p>
      <w:pPr>
        <w:overflowPunct w:val="0"/>
        <w:adjustRightInd w:val="0"/>
        <w:snapToGrid w:val="0"/>
        <w:spacing w:line="360" w:lineRule="auto"/>
        <w:rPr>
          <w:rFonts w:ascii="宋体" w:hAnsi="宋体" w:cs="宋体"/>
          <w:szCs w:val="21"/>
          <w:highlight w:val="none"/>
        </w:rPr>
      </w:pPr>
      <w:r>
        <w:rPr>
          <w:rFonts w:hint="eastAsia" w:ascii="宋体" w:hAnsi="宋体" w:cs="宋体"/>
          <w:szCs w:val="21"/>
          <w:highlight w:val="none"/>
        </w:rPr>
        <w:t>24.2.5响应文件的签字盖章是否合格。</w:t>
      </w:r>
    </w:p>
    <w:p>
      <w:pPr>
        <w:overflowPunct w:val="0"/>
        <w:adjustRightInd w:val="0"/>
        <w:snapToGrid w:val="0"/>
        <w:spacing w:line="360" w:lineRule="auto"/>
        <w:rPr>
          <w:rFonts w:ascii="宋体" w:hAnsi="宋体" w:cs="宋体"/>
          <w:szCs w:val="21"/>
          <w:highlight w:val="none"/>
        </w:rPr>
      </w:pPr>
      <w:r>
        <w:rPr>
          <w:rFonts w:hint="eastAsia" w:ascii="宋体" w:hAnsi="宋体" w:cs="宋体"/>
          <w:szCs w:val="21"/>
          <w:highlight w:val="none"/>
        </w:rPr>
        <w:t>24.3经过对供应商及响应文件的资格性和符合性审查，出现下列情况者（但不限于），按无效投标处理。</w:t>
      </w:r>
    </w:p>
    <w:p>
      <w:pPr>
        <w:overflowPunct w:val="0"/>
        <w:adjustRightInd w:val="0"/>
        <w:snapToGrid w:val="0"/>
        <w:spacing w:line="360" w:lineRule="auto"/>
        <w:rPr>
          <w:rFonts w:ascii="宋体" w:hAnsi="宋体" w:cs="宋体"/>
          <w:szCs w:val="21"/>
          <w:highlight w:val="none"/>
        </w:rPr>
      </w:pPr>
      <w:r>
        <w:rPr>
          <w:rFonts w:hint="eastAsia" w:ascii="宋体" w:hAnsi="宋体" w:cs="宋体"/>
          <w:szCs w:val="21"/>
          <w:highlight w:val="none"/>
        </w:rPr>
        <w:t>24.3.1供应商没有经过正常渠道购买磋商文件或供应商的名称与登记领取磋商文件单位的名称不符；</w:t>
      </w:r>
    </w:p>
    <w:p>
      <w:pPr>
        <w:overflowPunct w:val="0"/>
        <w:adjustRightInd w:val="0"/>
        <w:snapToGrid w:val="0"/>
        <w:spacing w:line="360" w:lineRule="auto"/>
        <w:rPr>
          <w:rFonts w:ascii="宋体" w:hAnsi="宋体" w:cs="宋体"/>
          <w:szCs w:val="21"/>
          <w:highlight w:val="none"/>
        </w:rPr>
      </w:pPr>
      <w:r>
        <w:rPr>
          <w:rFonts w:hint="eastAsia" w:ascii="宋体" w:hAnsi="宋体" w:cs="宋体"/>
          <w:szCs w:val="21"/>
          <w:highlight w:val="none"/>
        </w:rPr>
        <w:t>24.3.2响应文件没有法定代表人授权书（法定代表人直接磋商除外）或授权书的合法性或有效性不符合磋商文件规定；</w:t>
      </w:r>
    </w:p>
    <w:p>
      <w:pPr>
        <w:overflowPunct w:val="0"/>
        <w:adjustRightInd w:val="0"/>
        <w:snapToGrid w:val="0"/>
        <w:spacing w:line="360" w:lineRule="auto"/>
        <w:rPr>
          <w:rFonts w:ascii="宋体" w:hAnsi="宋体" w:cs="宋体"/>
          <w:szCs w:val="21"/>
          <w:highlight w:val="none"/>
        </w:rPr>
      </w:pPr>
      <w:r>
        <w:rPr>
          <w:rFonts w:hint="eastAsia" w:ascii="宋体" w:hAnsi="宋体" w:cs="宋体"/>
          <w:szCs w:val="21"/>
          <w:highlight w:val="none"/>
        </w:rPr>
        <w:t>24.3.3供应商资质的有效性或符合性不符合要求的；</w:t>
      </w:r>
    </w:p>
    <w:p>
      <w:pPr>
        <w:overflowPunct w:val="0"/>
        <w:adjustRightInd w:val="0"/>
        <w:snapToGrid w:val="0"/>
        <w:spacing w:line="360" w:lineRule="auto"/>
        <w:rPr>
          <w:rFonts w:ascii="宋体" w:hAnsi="宋体" w:cs="宋体"/>
          <w:szCs w:val="21"/>
          <w:highlight w:val="none"/>
        </w:rPr>
      </w:pPr>
      <w:r>
        <w:rPr>
          <w:rFonts w:hint="eastAsia" w:ascii="宋体" w:hAnsi="宋体" w:cs="宋体"/>
          <w:szCs w:val="21"/>
          <w:highlight w:val="none"/>
        </w:rPr>
        <w:t>24.3.4响应文件的数量不足或关键内容字迹模糊、无法辨认的；</w:t>
      </w:r>
    </w:p>
    <w:p>
      <w:pPr>
        <w:overflowPunct w:val="0"/>
        <w:adjustRightInd w:val="0"/>
        <w:snapToGrid w:val="0"/>
        <w:spacing w:line="360" w:lineRule="auto"/>
        <w:rPr>
          <w:rFonts w:ascii="宋体" w:hAnsi="宋体" w:cs="宋体"/>
          <w:szCs w:val="21"/>
          <w:highlight w:val="none"/>
        </w:rPr>
      </w:pPr>
      <w:r>
        <w:rPr>
          <w:rFonts w:hint="eastAsia" w:ascii="宋体" w:hAnsi="宋体" w:cs="宋体"/>
          <w:szCs w:val="21"/>
          <w:highlight w:val="none"/>
        </w:rPr>
        <w:t>24.3.5超出经营范围投标的；</w:t>
      </w:r>
    </w:p>
    <w:p>
      <w:pPr>
        <w:overflowPunct w:val="0"/>
        <w:adjustRightInd w:val="0"/>
        <w:snapToGrid w:val="0"/>
        <w:spacing w:line="360" w:lineRule="auto"/>
        <w:rPr>
          <w:rFonts w:ascii="宋体" w:hAnsi="宋体" w:cs="宋体"/>
          <w:szCs w:val="21"/>
          <w:highlight w:val="none"/>
        </w:rPr>
      </w:pPr>
      <w:r>
        <w:rPr>
          <w:rFonts w:hint="eastAsia" w:ascii="宋体" w:hAnsi="宋体" w:cs="宋体"/>
          <w:szCs w:val="21"/>
          <w:highlight w:val="none"/>
        </w:rPr>
        <w:t>24.3.6响应文件未按磋商文件规定有效签字和盖章的；或由供应商授权代表签字的,但未随响应文件一起提交有效的“授权委托书”原件的；</w:t>
      </w:r>
    </w:p>
    <w:p>
      <w:pPr>
        <w:overflowPunct w:val="0"/>
        <w:adjustRightInd w:val="0"/>
        <w:snapToGrid w:val="0"/>
        <w:spacing w:line="360" w:lineRule="auto"/>
        <w:rPr>
          <w:rFonts w:ascii="宋体" w:hAnsi="宋体" w:cs="宋体"/>
          <w:szCs w:val="21"/>
          <w:highlight w:val="none"/>
        </w:rPr>
      </w:pPr>
      <w:r>
        <w:rPr>
          <w:rFonts w:hint="eastAsia" w:ascii="宋体" w:hAnsi="宋体" w:cs="宋体"/>
          <w:szCs w:val="21"/>
          <w:highlight w:val="none"/>
        </w:rPr>
        <w:t>24.3.7磋商有效期不足的；</w:t>
      </w:r>
    </w:p>
    <w:p>
      <w:pPr>
        <w:overflowPunct w:val="0"/>
        <w:adjustRightInd w:val="0"/>
        <w:snapToGrid w:val="0"/>
        <w:spacing w:line="360" w:lineRule="auto"/>
        <w:rPr>
          <w:rFonts w:ascii="宋体" w:hAnsi="宋体" w:cs="宋体"/>
          <w:szCs w:val="21"/>
          <w:highlight w:val="none"/>
        </w:rPr>
      </w:pPr>
      <w:r>
        <w:rPr>
          <w:rFonts w:hint="eastAsia" w:ascii="宋体" w:hAnsi="宋体" w:cs="宋体"/>
          <w:szCs w:val="21"/>
          <w:highlight w:val="none"/>
        </w:rPr>
        <w:t>24.3.8磋商报价超过采购预算或最高限价的；</w:t>
      </w:r>
    </w:p>
    <w:p>
      <w:pPr>
        <w:overflowPunct w:val="0"/>
        <w:adjustRightInd w:val="0"/>
        <w:snapToGrid w:val="0"/>
        <w:spacing w:line="360" w:lineRule="auto"/>
        <w:rPr>
          <w:rFonts w:ascii="宋体" w:hAnsi="宋体" w:cs="宋体"/>
          <w:szCs w:val="21"/>
          <w:highlight w:val="none"/>
        </w:rPr>
      </w:pPr>
      <w:r>
        <w:rPr>
          <w:rFonts w:hint="eastAsia" w:ascii="宋体" w:hAnsi="宋体" w:cs="宋体"/>
          <w:szCs w:val="21"/>
          <w:highlight w:val="none"/>
        </w:rPr>
        <w:t>24.3.9磋商报价与市场价偏离较大，低于成本，形成不正当竞争；</w:t>
      </w:r>
    </w:p>
    <w:p>
      <w:pPr>
        <w:overflowPunct w:val="0"/>
        <w:adjustRightInd w:val="0"/>
        <w:snapToGrid w:val="0"/>
        <w:spacing w:line="360" w:lineRule="auto"/>
        <w:rPr>
          <w:rFonts w:ascii="宋体" w:hAnsi="宋体" w:cs="宋体"/>
          <w:szCs w:val="21"/>
          <w:highlight w:val="none"/>
        </w:rPr>
      </w:pPr>
      <w:r>
        <w:rPr>
          <w:rFonts w:hint="eastAsia" w:ascii="宋体" w:hAnsi="宋体" w:cs="宋体"/>
          <w:szCs w:val="21"/>
          <w:highlight w:val="none"/>
        </w:rPr>
        <w:t>24.3.10磋商内容出现漏项或数量与要求不符，出现重大负偏差；</w:t>
      </w:r>
    </w:p>
    <w:p>
      <w:pPr>
        <w:overflowPunct w:val="0"/>
        <w:adjustRightInd w:val="0"/>
        <w:snapToGrid w:val="0"/>
        <w:spacing w:line="360" w:lineRule="auto"/>
        <w:rPr>
          <w:rFonts w:ascii="宋体" w:hAnsi="宋体" w:cs="宋体"/>
          <w:szCs w:val="21"/>
          <w:highlight w:val="none"/>
        </w:rPr>
      </w:pPr>
      <w:r>
        <w:rPr>
          <w:rFonts w:hint="eastAsia" w:ascii="宋体" w:hAnsi="宋体" w:cs="宋体"/>
          <w:szCs w:val="21"/>
          <w:highlight w:val="none"/>
        </w:rPr>
        <w:t>24.3.11响应文件附加了采购人难以接受的条件；</w:t>
      </w:r>
    </w:p>
    <w:p>
      <w:pPr>
        <w:overflowPunct w:val="0"/>
        <w:adjustRightInd w:val="0"/>
        <w:snapToGrid w:val="0"/>
        <w:spacing w:line="360" w:lineRule="auto"/>
        <w:rPr>
          <w:rFonts w:ascii="宋体" w:hAnsi="宋体" w:cs="宋体"/>
          <w:szCs w:val="21"/>
          <w:highlight w:val="none"/>
        </w:rPr>
      </w:pPr>
      <w:r>
        <w:rPr>
          <w:rFonts w:hint="eastAsia" w:ascii="宋体" w:hAnsi="宋体" w:cs="宋体"/>
          <w:szCs w:val="21"/>
          <w:highlight w:val="none"/>
        </w:rPr>
        <w:t>24.3.12提供虚假证明，开具虚假资质，出现虚假应答，除按无效标处理外，还进行相应的处罚；</w:t>
      </w:r>
    </w:p>
    <w:p>
      <w:pPr>
        <w:overflowPunct w:val="0"/>
        <w:adjustRightInd w:val="0"/>
        <w:snapToGrid w:val="0"/>
        <w:spacing w:line="360" w:lineRule="auto"/>
        <w:rPr>
          <w:rFonts w:ascii="宋体" w:hAnsi="宋体" w:cs="宋体"/>
          <w:szCs w:val="21"/>
          <w:highlight w:val="none"/>
        </w:rPr>
      </w:pPr>
      <w:r>
        <w:rPr>
          <w:rFonts w:hint="eastAsia" w:ascii="宋体" w:hAnsi="宋体" w:cs="宋体"/>
          <w:szCs w:val="21"/>
          <w:highlight w:val="none"/>
        </w:rPr>
        <w:t>24.3.13供应商有违法违规行为的；</w:t>
      </w:r>
    </w:p>
    <w:p>
      <w:pPr>
        <w:overflowPunct w:val="0"/>
        <w:adjustRightInd w:val="0"/>
        <w:snapToGrid w:val="0"/>
        <w:spacing w:line="360" w:lineRule="auto"/>
        <w:rPr>
          <w:rFonts w:ascii="宋体" w:hAnsi="宋体" w:cs="宋体"/>
          <w:szCs w:val="21"/>
          <w:highlight w:val="none"/>
        </w:rPr>
      </w:pPr>
      <w:r>
        <w:rPr>
          <w:rFonts w:hint="eastAsia" w:ascii="宋体" w:hAnsi="宋体" w:cs="宋体"/>
          <w:szCs w:val="21"/>
          <w:highlight w:val="none"/>
        </w:rPr>
        <w:t>24.3.14未按照磋商文件给定的后附表格式提供响应文件的；</w:t>
      </w:r>
    </w:p>
    <w:p>
      <w:pPr>
        <w:pStyle w:val="8"/>
        <w:spacing w:before="0" w:after="0" w:line="360" w:lineRule="auto"/>
        <w:rPr>
          <w:rFonts w:ascii="宋体" w:hAnsi="宋体" w:cs="宋体"/>
          <w:bCs/>
          <w:sz w:val="21"/>
          <w:szCs w:val="21"/>
          <w:highlight w:val="none"/>
        </w:rPr>
      </w:pPr>
      <w:bookmarkStart w:id="332" w:name="_Toc354"/>
      <w:bookmarkStart w:id="333" w:name="_Toc386965854"/>
      <w:bookmarkStart w:id="334" w:name="_Toc3544"/>
      <w:bookmarkStart w:id="335" w:name="_Toc233435945"/>
      <w:bookmarkStart w:id="336" w:name="_Toc20840"/>
      <w:bookmarkStart w:id="337" w:name="_Toc32721"/>
      <w:bookmarkStart w:id="338" w:name="_Toc29913"/>
      <w:bookmarkStart w:id="339" w:name="_Toc25176"/>
      <w:bookmarkStart w:id="340" w:name="_Toc392236641"/>
      <w:bookmarkStart w:id="341" w:name="_Toc28921"/>
      <w:bookmarkStart w:id="342" w:name="_Toc7524499"/>
      <w:r>
        <w:rPr>
          <w:rFonts w:hint="eastAsia" w:ascii="宋体" w:hAnsi="宋体" w:cs="宋体"/>
          <w:bCs/>
          <w:sz w:val="21"/>
          <w:szCs w:val="21"/>
          <w:highlight w:val="none"/>
        </w:rPr>
        <w:t>25 响应文件的澄清</w:t>
      </w:r>
      <w:bookmarkEnd w:id="332"/>
      <w:bookmarkEnd w:id="333"/>
      <w:bookmarkEnd w:id="334"/>
      <w:bookmarkEnd w:id="335"/>
      <w:bookmarkEnd w:id="336"/>
      <w:bookmarkEnd w:id="337"/>
      <w:bookmarkEnd w:id="338"/>
      <w:bookmarkEnd w:id="339"/>
      <w:bookmarkEnd w:id="340"/>
      <w:bookmarkEnd w:id="341"/>
      <w:bookmarkEnd w:id="342"/>
    </w:p>
    <w:p>
      <w:pPr>
        <w:overflowPunct w:val="0"/>
        <w:adjustRightInd w:val="0"/>
        <w:snapToGrid w:val="0"/>
        <w:spacing w:line="360" w:lineRule="auto"/>
        <w:rPr>
          <w:rFonts w:ascii="宋体" w:hAnsi="宋体" w:cs="宋体"/>
          <w:szCs w:val="21"/>
          <w:highlight w:val="none"/>
        </w:rPr>
      </w:pPr>
      <w:r>
        <w:rPr>
          <w:rFonts w:hint="eastAsia" w:ascii="宋体" w:hAnsi="宋体" w:cs="宋体"/>
          <w:szCs w:val="21"/>
          <w:highlight w:val="none"/>
        </w:rPr>
        <w:t>25.1 在评审期间,根据磋商小组的需要，要求供应商对其响应文件进行澄清，有关澄清的要求和答复应以书面形式提交，但不得寻求、提供或允许对磋商价格等实质性内容做任何更改。</w:t>
      </w:r>
    </w:p>
    <w:p>
      <w:pPr>
        <w:spacing w:line="360" w:lineRule="auto"/>
        <w:rPr>
          <w:rFonts w:ascii="宋体" w:hAnsi="宋体" w:cs="宋体"/>
          <w:szCs w:val="21"/>
          <w:highlight w:val="none"/>
        </w:rPr>
      </w:pPr>
      <w:r>
        <w:rPr>
          <w:rFonts w:hint="eastAsia" w:ascii="宋体" w:hAnsi="宋体" w:cs="宋体"/>
          <w:szCs w:val="21"/>
          <w:highlight w:val="none"/>
        </w:rPr>
        <w:t>25.2供应商应采用书面形式进行澄清或说明，但不得超出响应文件的范围或改变响应文件的实质性内容。</w:t>
      </w:r>
    </w:p>
    <w:p>
      <w:pPr>
        <w:pStyle w:val="8"/>
        <w:spacing w:before="0" w:after="0" w:line="360" w:lineRule="auto"/>
        <w:rPr>
          <w:rFonts w:ascii="宋体" w:hAnsi="宋体" w:cs="宋体"/>
          <w:bCs/>
          <w:sz w:val="21"/>
          <w:szCs w:val="21"/>
          <w:highlight w:val="none"/>
        </w:rPr>
      </w:pPr>
      <w:bookmarkStart w:id="343" w:name="_Toc7785"/>
      <w:bookmarkStart w:id="344" w:name="_Toc233435946"/>
      <w:bookmarkStart w:id="345" w:name="_Toc7524500"/>
      <w:bookmarkStart w:id="346" w:name="_Toc392236642"/>
      <w:bookmarkStart w:id="347" w:name="_Toc386965855"/>
      <w:bookmarkStart w:id="348" w:name="_Toc21218"/>
      <w:bookmarkStart w:id="349" w:name="_Toc24509"/>
      <w:bookmarkStart w:id="350" w:name="_Toc13239"/>
      <w:bookmarkStart w:id="351" w:name="_Toc4390"/>
      <w:bookmarkStart w:id="352" w:name="_Toc13985"/>
      <w:bookmarkStart w:id="353" w:name="_Toc23694"/>
      <w:r>
        <w:rPr>
          <w:rFonts w:hint="eastAsia" w:ascii="宋体" w:hAnsi="宋体" w:cs="宋体"/>
          <w:bCs/>
          <w:sz w:val="21"/>
          <w:szCs w:val="21"/>
          <w:highlight w:val="none"/>
        </w:rPr>
        <w:t>26 响应文件的比较和评价</w:t>
      </w:r>
      <w:bookmarkEnd w:id="343"/>
      <w:bookmarkEnd w:id="344"/>
      <w:bookmarkEnd w:id="345"/>
      <w:bookmarkEnd w:id="346"/>
      <w:bookmarkEnd w:id="347"/>
      <w:bookmarkEnd w:id="348"/>
      <w:bookmarkEnd w:id="349"/>
      <w:bookmarkEnd w:id="350"/>
      <w:bookmarkEnd w:id="351"/>
      <w:bookmarkEnd w:id="352"/>
      <w:bookmarkEnd w:id="353"/>
    </w:p>
    <w:p>
      <w:pPr>
        <w:spacing w:line="360" w:lineRule="auto"/>
        <w:rPr>
          <w:rFonts w:ascii="宋体" w:hAnsi="宋体" w:cs="宋体"/>
          <w:szCs w:val="21"/>
          <w:highlight w:val="none"/>
        </w:rPr>
      </w:pPr>
      <w:r>
        <w:rPr>
          <w:rFonts w:hint="eastAsia" w:ascii="宋体" w:hAnsi="宋体" w:cs="宋体"/>
          <w:szCs w:val="21"/>
          <w:highlight w:val="none"/>
        </w:rPr>
        <w:t>26.1磋商小组在评审过程中，发现响应文件出现下列情况之一者，按以下原则修正：</w:t>
      </w:r>
    </w:p>
    <w:p>
      <w:pPr>
        <w:snapToGrid w:val="0"/>
        <w:spacing w:line="360" w:lineRule="auto"/>
        <w:rPr>
          <w:rFonts w:ascii="宋体" w:hAnsi="宋体" w:cs="宋体"/>
          <w:szCs w:val="21"/>
          <w:highlight w:val="none"/>
        </w:rPr>
      </w:pPr>
      <w:r>
        <w:rPr>
          <w:rFonts w:hint="eastAsia" w:ascii="宋体" w:hAnsi="宋体" w:cs="宋体"/>
          <w:szCs w:val="21"/>
          <w:highlight w:val="none"/>
        </w:rPr>
        <w:t>26.1.1对所有实质性响应磋商文件要求的响应文件，磋商小组将遵循公平、公正、科学和择优的原则，采用综合评审的方法确定成交候选单位。</w:t>
      </w:r>
    </w:p>
    <w:p>
      <w:pPr>
        <w:overflowPunct w:val="0"/>
        <w:adjustRightInd w:val="0"/>
        <w:snapToGrid w:val="0"/>
        <w:spacing w:line="360" w:lineRule="auto"/>
        <w:rPr>
          <w:rFonts w:ascii="宋体" w:hAnsi="宋体" w:cs="宋体"/>
          <w:szCs w:val="21"/>
          <w:highlight w:val="none"/>
        </w:rPr>
      </w:pPr>
      <w:r>
        <w:rPr>
          <w:rFonts w:hint="eastAsia" w:ascii="宋体" w:hAnsi="宋体" w:cs="宋体"/>
          <w:szCs w:val="21"/>
          <w:highlight w:val="none"/>
        </w:rPr>
        <w:t>26.1.2如果用文字表示的数值与用数字表示的数值不一致，以文字表示的值为准。</w:t>
      </w:r>
    </w:p>
    <w:p>
      <w:pPr>
        <w:overflowPunct w:val="0"/>
        <w:adjustRightInd w:val="0"/>
        <w:snapToGrid w:val="0"/>
        <w:spacing w:line="360" w:lineRule="auto"/>
        <w:rPr>
          <w:rFonts w:ascii="宋体" w:hAnsi="宋体" w:cs="宋体"/>
          <w:szCs w:val="21"/>
          <w:highlight w:val="none"/>
        </w:rPr>
      </w:pPr>
      <w:r>
        <w:rPr>
          <w:rFonts w:hint="eastAsia" w:ascii="宋体" w:hAnsi="宋体" w:cs="宋体"/>
          <w:szCs w:val="21"/>
          <w:highlight w:val="none"/>
        </w:rPr>
        <w:t>26.1.3对不同文字文本响应文件的解释发生异议的，以中文文本为准；</w:t>
      </w:r>
    </w:p>
    <w:p>
      <w:pPr>
        <w:overflowPunct w:val="0"/>
        <w:adjustRightInd w:val="0"/>
        <w:snapToGrid w:val="0"/>
        <w:spacing w:line="360" w:lineRule="auto"/>
        <w:rPr>
          <w:rFonts w:ascii="宋体" w:hAnsi="宋体" w:cs="宋体"/>
          <w:szCs w:val="21"/>
          <w:highlight w:val="none"/>
        </w:rPr>
      </w:pPr>
      <w:r>
        <w:rPr>
          <w:rFonts w:hint="eastAsia" w:ascii="宋体" w:hAnsi="宋体" w:cs="宋体"/>
          <w:szCs w:val="21"/>
          <w:highlight w:val="none"/>
        </w:rPr>
        <w:t>26.1.4正本与副本不一致的，以正本为准；</w:t>
      </w:r>
    </w:p>
    <w:p>
      <w:pPr>
        <w:overflowPunct w:val="0"/>
        <w:adjustRightInd w:val="0"/>
        <w:snapToGrid w:val="0"/>
        <w:spacing w:line="360" w:lineRule="auto"/>
        <w:rPr>
          <w:rFonts w:ascii="宋体" w:hAnsi="宋体" w:cs="宋体"/>
          <w:szCs w:val="21"/>
          <w:highlight w:val="none"/>
        </w:rPr>
      </w:pPr>
      <w:r>
        <w:rPr>
          <w:rFonts w:hint="eastAsia" w:ascii="宋体" w:hAnsi="宋体" w:cs="宋体"/>
          <w:szCs w:val="21"/>
          <w:highlight w:val="none"/>
        </w:rPr>
        <w:t>26.2 对于响应文件中不构成实质性偏差的小的不正规、不一致或不规则，采购人可以接受，但这种接受不能损害或影响任何供应商的相对排序。</w:t>
      </w:r>
    </w:p>
    <w:p>
      <w:pPr>
        <w:overflowPunct w:val="0"/>
        <w:adjustRightInd w:val="0"/>
        <w:snapToGrid w:val="0"/>
        <w:spacing w:line="360" w:lineRule="auto"/>
        <w:rPr>
          <w:rFonts w:ascii="宋体" w:hAnsi="宋体" w:cs="宋体"/>
          <w:szCs w:val="21"/>
          <w:highlight w:val="none"/>
        </w:rPr>
      </w:pPr>
      <w:r>
        <w:rPr>
          <w:rFonts w:hint="eastAsia" w:ascii="宋体" w:hAnsi="宋体" w:cs="宋体"/>
          <w:szCs w:val="21"/>
          <w:highlight w:val="none"/>
        </w:rPr>
        <w:t>26.3按照磋商文件规定的评审方法和标准，对资格性审查和符合性审查合格的文件进行商务和技术评审，综合比较和评价，最低报价不做为成交的唯一条件。</w:t>
      </w:r>
    </w:p>
    <w:p>
      <w:pPr>
        <w:overflowPunct w:val="0"/>
        <w:adjustRightInd w:val="0"/>
        <w:snapToGrid w:val="0"/>
        <w:spacing w:line="360" w:lineRule="auto"/>
        <w:rPr>
          <w:rFonts w:ascii="宋体" w:hAnsi="宋体" w:cs="宋体"/>
          <w:szCs w:val="21"/>
          <w:highlight w:val="none"/>
        </w:rPr>
      </w:pPr>
      <w:r>
        <w:rPr>
          <w:rFonts w:hint="eastAsia" w:ascii="宋体" w:hAnsi="宋体" w:cs="宋体"/>
          <w:szCs w:val="21"/>
          <w:highlight w:val="none"/>
        </w:rPr>
        <w:t>26.4 如果投标实质上没有响应磋商文件的要求，其投标将被拒绝，供应商不得通过修正或撤消不合要求的偏离或保留从而使其投标成为实质上响应的投标。</w:t>
      </w:r>
    </w:p>
    <w:p>
      <w:pPr>
        <w:spacing w:line="360" w:lineRule="auto"/>
        <w:rPr>
          <w:rFonts w:ascii="宋体" w:hAnsi="宋体" w:cs="宋体"/>
          <w:szCs w:val="21"/>
          <w:highlight w:val="none"/>
        </w:rPr>
      </w:pPr>
      <w:r>
        <w:rPr>
          <w:rFonts w:hint="eastAsia" w:ascii="宋体" w:hAnsi="宋体" w:cs="宋体"/>
          <w:szCs w:val="21"/>
          <w:highlight w:val="none"/>
        </w:rPr>
        <w:t>26.5评审程序：采取逐项分步评审方式，每一步评审不符合者，不进入下一步评审，全部评审合格的供应商进行最后的综合评审和打分，按最后得分由高向低排序，推荐成交候选单位。</w:t>
      </w:r>
    </w:p>
    <w:p>
      <w:pPr>
        <w:pStyle w:val="8"/>
        <w:spacing w:before="0" w:after="0" w:line="360" w:lineRule="auto"/>
        <w:rPr>
          <w:rFonts w:ascii="宋体" w:hAnsi="宋体" w:cs="宋体"/>
          <w:bCs/>
          <w:sz w:val="21"/>
          <w:szCs w:val="21"/>
          <w:highlight w:val="none"/>
        </w:rPr>
      </w:pPr>
      <w:bookmarkStart w:id="354" w:name="_Toc392236643"/>
      <w:bookmarkStart w:id="355" w:name="_Toc11465"/>
      <w:bookmarkStart w:id="356" w:name="_Toc311415604"/>
      <w:bookmarkStart w:id="357" w:name="_Toc26242"/>
      <w:bookmarkStart w:id="358" w:name="_Toc9312"/>
      <w:bookmarkStart w:id="359" w:name="_Toc28295"/>
      <w:bookmarkStart w:id="360" w:name="_Toc7524501"/>
      <w:bookmarkStart w:id="361" w:name="_Toc25219"/>
      <w:bookmarkStart w:id="362" w:name="_Toc28359"/>
      <w:bookmarkStart w:id="363" w:name="_Toc386965856"/>
      <w:bookmarkStart w:id="364" w:name="_Toc4288"/>
      <w:r>
        <w:rPr>
          <w:rFonts w:hint="eastAsia" w:ascii="宋体" w:hAnsi="宋体" w:cs="宋体"/>
          <w:bCs/>
          <w:sz w:val="21"/>
          <w:szCs w:val="21"/>
          <w:highlight w:val="none"/>
        </w:rPr>
        <w:t>27 评审原则及主要方法</w:t>
      </w:r>
      <w:bookmarkEnd w:id="354"/>
      <w:bookmarkEnd w:id="355"/>
      <w:bookmarkEnd w:id="356"/>
      <w:bookmarkEnd w:id="357"/>
      <w:bookmarkEnd w:id="358"/>
      <w:bookmarkEnd w:id="359"/>
      <w:bookmarkEnd w:id="360"/>
      <w:bookmarkEnd w:id="361"/>
      <w:bookmarkEnd w:id="362"/>
      <w:bookmarkEnd w:id="363"/>
      <w:bookmarkEnd w:id="364"/>
    </w:p>
    <w:p>
      <w:pPr>
        <w:overflowPunct w:val="0"/>
        <w:adjustRightInd w:val="0"/>
        <w:snapToGrid w:val="0"/>
        <w:spacing w:line="360" w:lineRule="auto"/>
        <w:rPr>
          <w:rFonts w:ascii="宋体" w:hAnsi="宋体" w:cs="宋体"/>
          <w:szCs w:val="21"/>
          <w:highlight w:val="none"/>
        </w:rPr>
      </w:pPr>
      <w:r>
        <w:rPr>
          <w:rFonts w:hint="eastAsia" w:ascii="宋体" w:hAnsi="宋体" w:cs="宋体"/>
          <w:szCs w:val="21"/>
          <w:highlight w:val="none"/>
        </w:rPr>
        <w:t>27.1 磋商小组将遵循公开、公平、公正和择优的原则，对所有供应商的响应文件评审，都采用相同的程序和标准。</w:t>
      </w:r>
    </w:p>
    <w:p>
      <w:pPr>
        <w:overflowPunct w:val="0"/>
        <w:adjustRightInd w:val="0"/>
        <w:snapToGrid w:val="0"/>
        <w:spacing w:line="360" w:lineRule="auto"/>
        <w:rPr>
          <w:rFonts w:ascii="宋体" w:hAnsi="宋体" w:cs="宋体"/>
          <w:szCs w:val="21"/>
          <w:highlight w:val="none"/>
        </w:rPr>
      </w:pPr>
      <w:r>
        <w:rPr>
          <w:rFonts w:hint="eastAsia" w:ascii="宋体" w:hAnsi="宋体" w:cs="宋体"/>
          <w:szCs w:val="21"/>
          <w:highlight w:val="none"/>
        </w:rPr>
        <w:t>27.2 评审过程的保密：在响应文件的评审、比较、成交候选单位推荐以及授予合同的过程中，供应商向采购人和磋商小组施加影响的任何行为，都将会导致其报价被拒绝。</w:t>
      </w:r>
    </w:p>
    <w:p>
      <w:pPr>
        <w:overflowPunct w:val="0"/>
        <w:adjustRightInd w:val="0"/>
        <w:snapToGrid w:val="0"/>
        <w:spacing w:line="360" w:lineRule="auto"/>
        <w:rPr>
          <w:rFonts w:ascii="宋体" w:hAnsi="宋体" w:cs="宋体"/>
          <w:szCs w:val="21"/>
          <w:highlight w:val="none"/>
        </w:rPr>
      </w:pPr>
      <w:r>
        <w:rPr>
          <w:rFonts w:hint="eastAsia" w:ascii="宋体" w:hAnsi="宋体" w:cs="宋体"/>
          <w:szCs w:val="21"/>
          <w:highlight w:val="none"/>
        </w:rPr>
        <w:t>27.3评审原则和办法：</w:t>
      </w:r>
    </w:p>
    <w:p>
      <w:pPr>
        <w:spacing w:line="360" w:lineRule="auto"/>
        <w:jc w:val="left"/>
        <w:rPr>
          <w:rFonts w:ascii="宋体" w:hAnsi="宋体" w:cs="宋体"/>
          <w:szCs w:val="21"/>
          <w:highlight w:val="none"/>
        </w:rPr>
      </w:pPr>
      <w:r>
        <w:rPr>
          <w:rFonts w:hint="eastAsia" w:ascii="宋体" w:hAnsi="宋体" w:cs="宋体"/>
          <w:szCs w:val="21"/>
          <w:highlight w:val="none"/>
        </w:rPr>
        <w:t>27.3.1综合评分法：即在最大限度地满足磋商文件实质性要求前提下，按照磋商文件中规定的各项因素进行综合评审后，以评审总得分顺序推荐成交候选单位。具体评分办法见磋商文件第六部分评审办法。</w:t>
      </w:r>
    </w:p>
    <w:p>
      <w:pPr>
        <w:adjustRightInd w:val="0"/>
        <w:snapToGrid w:val="0"/>
        <w:spacing w:line="360" w:lineRule="auto"/>
        <w:rPr>
          <w:rFonts w:ascii="宋体" w:hAnsi="宋体" w:cs="宋体"/>
          <w:szCs w:val="21"/>
          <w:highlight w:val="none"/>
        </w:rPr>
      </w:pPr>
      <w:r>
        <w:rPr>
          <w:rFonts w:hint="eastAsia" w:ascii="宋体" w:hAnsi="宋体" w:cs="宋体"/>
          <w:szCs w:val="21"/>
          <w:highlight w:val="none"/>
        </w:rPr>
        <w:t>27.3.2磋商小组各专家独立评分，按评审后综合得分由高到低顺序排列，推荐成交候选单位。得分相同的，按磋商报价由低到高顺序排列，得分且磋商报价相同的，比较技术指标得分，此技术得分高者排在前。</w:t>
      </w:r>
    </w:p>
    <w:p>
      <w:pPr>
        <w:spacing w:line="360" w:lineRule="auto"/>
        <w:jc w:val="left"/>
        <w:rPr>
          <w:rFonts w:ascii="宋体" w:hAnsi="宋体" w:cs="宋体"/>
          <w:szCs w:val="21"/>
          <w:highlight w:val="none"/>
        </w:rPr>
      </w:pPr>
      <w:r>
        <w:rPr>
          <w:rFonts w:hint="eastAsia" w:ascii="宋体" w:hAnsi="宋体" w:cs="宋体"/>
          <w:szCs w:val="21"/>
          <w:highlight w:val="none"/>
        </w:rPr>
        <w:t>27.3.3 专家评分超过得分界限或未按照本办法规定时，该专家的该项评分作废，不计入汇总；计算采用插入法，数字均保留二位小数，第三位“四舍五入”；评审过程中，若出现本办法以外的特殊情况时，将暂停评审，有关情况待磋商小组确定后，再行评定。</w:t>
      </w:r>
    </w:p>
    <w:p>
      <w:pPr>
        <w:overflowPunct w:val="0"/>
        <w:adjustRightInd w:val="0"/>
        <w:snapToGrid w:val="0"/>
        <w:spacing w:line="360" w:lineRule="auto"/>
        <w:rPr>
          <w:rFonts w:ascii="宋体" w:hAnsi="宋体" w:cs="宋体"/>
          <w:szCs w:val="21"/>
          <w:highlight w:val="none"/>
        </w:rPr>
      </w:pPr>
      <w:r>
        <w:rPr>
          <w:rFonts w:hint="eastAsia" w:ascii="宋体" w:hAnsi="宋体" w:cs="宋体"/>
          <w:szCs w:val="21"/>
          <w:highlight w:val="none"/>
        </w:rPr>
        <w:t>27.4需要落实的政府采购政策</w:t>
      </w:r>
    </w:p>
    <w:p>
      <w:pPr>
        <w:overflowPunct w:val="0"/>
        <w:adjustRightInd w:val="0"/>
        <w:snapToGrid w:val="0"/>
        <w:spacing w:line="360" w:lineRule="auto"/>
        <w:rPr>
          <w:rFonts w:ascii="宋体" w:hAnsi="宋体" w:cs="宋体"/>
          <w:szCs w:val="21"/>
          <w:highlight w:val="none"/>
        </w:rPr>
      </w:pPr>
      <w:r>
        <w:rPr>
          <w:rFonts w:hint="eastAsia" w:ascii="宋体" w:hAnsi="宋体" w:cs="宋体"/>
          <w:szCs w:val="21"/>
          <w:highlight w:val="none"/>
        </w:rPr>
        <w:t xml:space="preserve">27.4.1《财政部国家发展改革委关于印发〈节能产品政府采购实施意见〉的通知》（财库〔2004〕185号）； </w:t>
      </w:r>
    </w:p>
    <w:p>
      <w:pPr>
        <w:overflowPunct w:val="0"/>
        <w:adjustRightInd w:val="0"/>
        <w:snapToGrid w:val="0"/>
        <w:spacing w:line="360" w:lineRule="auto"/>
        <w:rPr>
          <w:rFonts w:ascii="宋体" w:hAnsi="宋体" w:cs="宋体"/>
          <w:szCs w:val="21"/>
          <w:highlight w:val="none"/>
        </w:rPr>
      </w:pPr>
      <w:r>
        <w:rPr>
          <w:rFonts w:hint="eastAsia" w:ascii="宋体" w:hAnsi="宋体" w:cs="宋体"/>
          <w:szCs w:val="21"/>
          <w:highlight w:val="none"/>
        </w:rPr>
        <w:t xml:space="preserve">27.4.2《国务院办公厅关于建立政府强制采购节能产品制度的通知》（国办发〔2007〕51号）； </w:t>
      </w:r>
    </w:p>
    <w:p>
      <w:pPr>
        <w:overflowPunct w:val="0"/>
        <w:adjustRightInd w:val="0"/>
        <w:snapToGrid w:val="0"/>
        <w:spacing w:line="360" w:lineRule="auto"/>
        <w:rPr>
          <w:rFonts w:ascii="宋体" w:hAnsi="宋体" w:cs="宋体"/>
          <w:szCs w:val="21"/>
          <w:highlight w:val="none"/>
        </w:rPr>
      </w:pPr>
      <w:r>
        <w:rPr>
          <w:rFonts w:hint="eastAsia" w:ascii="宋体" w:hAnsi="宋体" w:cs="宋体"/>
          <w:szCs w:val="21"/>
          <w:highlight w:val="none"/>
        </w:rPr>
        <w:t>27.4.3《关于环境标志产品政府采购实施的意见》（财库〔2006〕90号）；</w:t>
      </w:r>
    </w:p>
    <w:p>
      <w:pPr>
        <w:overflowPunct w:val="0"/>
        <w:adjustRightInd w:val="0"/>
        <w:snapToGrid w:val="0"/>
        <w:spacing w:line="360" w:lineRule="auto"/>
        <w:rPr>
          <w:rFonts w:ascii="宋体" w:hAnsi="宋体" w:cs="宋体"/>
          <w:szCs w:val="21"/>
          <w:highlight w:val="none"/>
        </w:rPr>
      </w:pPr>
      <w:r>
        <w:rPr>
          <w:rFonts w:hint="eastAsia" w:ascii="宋体" w:hAnsi="宋体" w:cs="宋体"/>
          <w:szCs w:val="21"/>
          <w:highlight w:val="none"/>
        </w:rPr>
        <w:t>27.4.4《关于印发〈政府采购促进中小企业发展管理办法〉的通知》（财库〔2020〕46号）；</w:t>
      </w:r>
    </w:p>
    <w:p>
      <w:pPr>
        <w:overflowPunct w:val="0"/>
        <w:adjustRightInd w:val="0"/>
        <w:snapToGrid w:val="0"/>
        <w:spacing w:line="360" w:lineRule="auto"/>
        <w:rPr>
          <w:rFonts w:ascii="宋体" w:hAnsi="宋体" w:cs="宋体"/>
          <w:szCs w:val="21"/>
          <w:highlight w:val="none"/>
        </w:rPr>
      </w:pPr>
      <w:r>
        <w:rPr>
          <w:rFonts w:hint="eastAsia" w:ascii="宋体" w:hAnsi="宋体" w:cs="宋体"/>
          <w:szCs w:val="21"/>
          <w:highlight w:val="none"/>
        </w:rPr>
        <w:t>27.4.5《财政部司法部关于政府采购支持监狱企业发展有关问题的通知》（财库〔2014〕68号）；</w:t>
      </w:r>
    </w:p>
    <w:p>
      <w:pPr>
        <w:overflowPunct w:val="0"/>
        <w:adjustRightInd w:val="0"/>
        <w:snapToGrid w:val="0"/>
        <w:spacing w:line="360" w:lineRule="auto"/>
        <w:rPr>
          <w:rFonts w:ascii="宋体" w:hAnsi="宋体" w:cs="宋体"/>
          <w:szCs w:val="21"/>
          <w:highlight w:val="none"/>
        </w:rPr>
      </w:pPr>
      <w:r>
        <w:rPr>
          <w:rFonts w:hint="eastAsia" w:ascii="宋体" w:hAnsi="宋体" w:cs="宋体"/>
          <w:szCs w:val="21"/>
          <w:highlight w:val="none"/>
        </w:rPr>
        <w:t>27.4.6《关于促进残疾人就业政府采购政策的通知》（财库〔2017〕141号）；</w:t>
      </w:r>
    </w:p>
    <w:p>
      <w:pPr>
        <w:overflowPunct w:val="0"/>
        <w:adjustRightInd w:val="0"/>
        <w:snapToGrid w:val="0"/>
        <w:spacing w:line="360" w:lineRule="auto"/>
        <w:rPr>
          <w:rFonts w:ascii="宋体" w:hAnsi="宋体" w:cs="宋体"/>
          <w:szCs w:val="21"/>
          <w:highlight w:val="none"/>
        </w:rPr>
      </w:pPr>
      <w:r>
        <w:rPr>
          <w:rFonts w:hint="eastAsia" w:ascii="宋体" w:hAnsi="宋体" w:cs="宋体"/>
          <w:szCs w:val="21"/>
          <w:highlight w:val="none"/>
        </w:rPr>
        <w:t>27.4.7《财政部发展改革委生态环境部市场监管总局关于调整优化节能产品、环境标志产品政府采购执行机制的通知》（财库〔2019〕9号）；</w:t>
      </w:r>
    </w:p>
    <w:p>
      <w:pPr>
        <w:overflowPunct w:val="0"/>
        <w:adjustRightInd w:val="0"/>
        <w:snapToGrid w:val="0"/>
        <w:spacing w:line="360" w:lineRule="auto"/>
        <w:rPr>
          <w:rFonts w:ascii="宋体" w:hAnsi="宋体" w:cs="宋体"/>
          <w:szCs w:val="21"/>
          <w:highlight w:val="none"/>
        </w:rPr>
      </w:pPr>
      <w:r>
        <w:rPr>
          <w:rFonts w:hint="eastAsia" w:ascii="宋体" w:hAnsi="宋体" w:cs="宋体"/>
          <w:szCs w:val="21"/>
          <w:highlight w:val="none"/>
        </w:rPr>
        <w:t>27.4.8《关于运用政府采购政策支持脱贫攻坚的通知》（财库〔2019〕27号）；</w:t>
      </w:r>
    </w:p>
    <w:p>
      <w:pPr>
        <w:overflowPunct w:val="0"/>
        <w:adjustRightInd w:val="0"/>
        <w:snapToGrid w:val="0"/>
        <w:spacing w:line="360" w:lineRule="auto"/>
        <w:rPr>
          <w:rFonts w:ascii="宋体" w:hAnsi="宋体" w:cs="宋体"/>
          <w:szCs w:val="21"/>
          <w:highlight w:val="none"/>
        </w:rPr>
      </w:pPr>
      <w:r>
        <w:rPr>
          <w:rFonts w:hint="eastAsia" w:ascii="宋体" w:hAnsi="宋体" w:cs="宋体"/>
          <w:szCs w:val="21"/>
          <w:highlight w:val="none"/>
        </w:rPr>
        <w:t>27.4.9《陕西省中小企业政府采购信用融资办法》（陕财办采〔2018〕23号）。</w:t>
      </w:r>
    </w:p>
    <w:p>
      <w:pPr>
        <w:overflowPunct w:val="0"/>
        <w:adjustRightInd w:val="0"/>
        <w:snapToGrid w:val="0"/>
        <w:spacing w:line="360" w:lineRule="auto"/>
        <w:rPr>
          <w:rFonts w:ascii="宋体" w:hAnsi="宋体" w:cs="宋体"/>
          <w:szCs w:val="21"/>
          <w:highlight w:val="none"/>
        </w:rPr>
      </w:pPr>
      <w:r>
        <w:rPr>
          <w:rFonts w:hint="eastAsia" w:ascii="宋体" w:hAnsi="宋体" w:cs="宋体"/>
          <w:szCs w:val="21"/>
          <w:highlight w:val="none"/>
        </w:rPr>
        <w:t>27.4.1.1中小企业落实政府采购政策</w:t>
      </w:r>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a.中小企业是指在中华人民共和国境内依法设立，依据国务院批准的中小企业划分标准确定的中型企业、小型企业和微型企业，但与大企业的负责人为同一人，或者与大企业存在直接控股、管理关系的除外。本项目不专门面向中小企业或小微型企业采购。在本次采购活动中，对符合《关于印发〈政府采购促进中小企业发展管理办法〉的通知》（财库〔2020〕46号）规定的小微企业报价给予 6%—10%（工程项目为3%—5%）的扣除，用扣除后的价格参加评审。中小企业参加政府采购活动，应当出具《中小企业声明函》，否则不得享受相关中小企业扶持政策。</w:t>
      </w:r>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b.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adjustRightInd w:val="0"/>
        <w:snapToGrid w:val="0"/>
        <w:spacing w:line="360" w:lineRule="auto"/>
        <w:ind w:firstLine="210" w:firstLineChars="100"/>
        <w:rPr>
          <w:rFonts w:ascii="宋体" w:hAnsi="宋体" w:cs="宋体"/>
          <w:szCs w:val="21"/>
          <w:highlight w:val="none"/>
        </w:rPr>
      </w:pPr>
      <w:r>
        <w:rPr>
          <w:rFonts w:hint="eastAsia" w:ascii="宋体" w:hAnsi="宋体" w:cs="宋体"/>
          <w:szCs w:val="21"/>
          <w:highlight w:val="none"/>
        </w:rPr>
        <w:t>c.残疾人福利性单位是指符合《关于促进残疾人就业政府采购政策的通知》（财库〔2017〕141号）规定条件的单位。</w:t>
      </w:r>
    </w:p>
    <w:p>
      <w:pPr>
        <w:adjustRightInd w:val="0"/>
        <w:snapToGrid w:val="0"/>
        <w:spacing w:line="360" w:lineRule="auto"/>
        <w:rPr>
          <w:rFonts w:ascii="宋体" w:hAnsi="宋体" w:cs="宋体"/>
          <w:szCs w:val="21"/>
          <w:highlight w:val="none"/>
        </w:rPr>
      </w:pPr>
      <w:r>
        <w:rPr>
          <w:rFonts w:hint="eastAsia" w:ascii="宋体" w:hAnsi="宋体" w:cs="宋体"/>
          <w:szCs w:val="21"/>
          <w:highlight w:val="none"/>
        </w:rPr>
        <w:t>27.4.2投标产品政府采购政策</w:t>
      </w:r>
    </w:p>
    <w:p>
      <w:pPr>
        <w:adjustRightInd w:val="0"/>
        <w:snapToGrid w:val="0"/>
        <w:spacing w:line="360" w:lineRule="auto"/>
        <w:rPr>
          <w:rFonts w:ascii="宋体" w:hAnsi="宋体" w:cs="宋体"/>
          <w:szCs w:val="21"/>
          <w:highlight w:val="none"/>
        </w:rPr>
      </w:pPr>
      <w:r>
        <w:rPr>
          <w:rFonts w:hint="eastAsia" w:ascii="宋体" w:hAnsi="宋体" w:cs="宋体"/>
          <w:szCs w:val="21"/>
          <w:highlight w:val="none"/>
        </w:rPr>
        <w:t>27.4.2.1节能产品根据《国务院办公厅关于建立政府强制采购节能产品制度的通知》（国办发〔2007〕51号）的规定，以财库〔2019〕9号为准。</w:t>
      </w:r>
    </w:p>
    <w:p>
      <w:pPr>
        <w:adjustRightInd w:val="0"/>
        <w:snapToGrid w:val="0"/>
        <w:spacing w:line="360" w:lineRule="auto"/>
        <w:rPr>
          <w:rFonts w:ascii="宋体" w:hAnsi="宋体" w:cs="宋体"/>
          <w:szCs w:val="21"/>
          <w:highlight w:val="none"/>
        </w:rPr>
      </w:pPr>
      <w:r>
        <w:rPr>
          <w:rFonts w:hint="eastAsia" w:ascii="宋体" w:hAnsi="宋体" w:cs="宋体"/>
          <w:szCs w:val="21"/>
          <w:highlight w:val="none"/>
        </w:rPr>
        <w:t>27.4.2.2环境标志产品根据《财政部发展改革委生态环境部市场监管总局关于调整优化节能产品、环境标志产品政府采购执行机制的通知》（财库〔2019〕9号）文件规定为准。</w:t>
      </w:r>
    </w:p>
    <w:p>
      <w:pPr>
        <w:adjustRightInd w:val="0"/>
        <w:snapToGrid w:val="0"/>
        <w:spacing w:line="360" w:lineRule="auto"/>
        <w:rPr>
          <w:rFonts w:ascii="宋体" w:hAnsi="宋体" w:cs="宋体"/>
          <w:szCs w:val="21"/>
          <w:highlight w:val="none"/>
        </w:rPr>
      </w:pPr>
      <w:r>
        <w:rPr>
          <w:rFonts w:hint="eastAsia" w:ascii="宋体" w:hAnsi="宋体" w:cs="宋体"/>
          <w:szCs w:val="21"/>
          <w:highlight w:val="none"/>
        </w:rPr>
        <w:t>27.4.2.3</w:t>
      </w:r>
      <w:r>
        <w:rPr>
          <w:rFonts w:hint="eastAsia" w:ascii="宋体" w:hAnsi="宋体" w:cs="宋体"/>
          <w:szCs w:val="21"/>
          <w:highlight w:val="none"/>
          <w:lang w:val="zh-CN"/>
        </w:rPr>
        <w:t>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r>
        <w:rPr>
          <w:rFonts w:hint="eastAsia" w:ascii="宋体" w:hAnsi="宋体" w:cs="宋体"/>
          <w:szCs w:val="21"/>
          <w:highlight w:val="none"/>
        </w:rPr>
        <w:t> </w:t>
      </w:r>
    </w:p>
    <w:p>
      <w:pPr>
        <w:adjustRightInd w:val="0"/>
        <w:snapToGrid w:val="0"/>
        <w:spacing w:line="360" w:lineRule="auto"/>
        <w:rPr>
          <w:rFonts w:ascii="宋体" w:hAnsi="宋体" w:cs="宋体"/>
          <w:szCs w:val="21"/>
          <w:highlight w:val="none"/>
        </w:rPr>
      </w:pPr>
      <w:r>
        <w:rPr>
          <w:rFonts w:hint="eastAsia" w:ascii="宋体" w:hAnsi="宋体" w:cs="宋体"/>
          <w:szCs w:val="21"/>
          <w:highlight w:val="none"/>
        </w:rPr>
        <w:t>27.4.2.4</w:t>
      </w:r>
      <w:r>
        <w:rPr>
          <w:rFonts w:hint="eastAsia" w:ascii="宋体" w:hAnsi="宋体" w:cs="宋体"/>
          <w:szCs w:val="21"/>
          <w:highlight w:val="none"/>
          <w:lang w:val="zh-CN"/>
        </w:rPr>
        <w:t>节能产品、环境标志产品认证机构应当建立健全数据共享机制，及时向认证结果信息发布平台提供相关信息。中国政府采购网（www.ccgp.gov.cn）建立与认证结果信息发布平台的链接，方便采购人和采购代理机构查询、了解认证机构和获证产品相关情况。</w:t>
      </w:r>
    </w:p>
    <w:p>
      <w:pPr>
        <w:adjustRightInd w:val="0"/>
        <w:snapToGrid w:val="0"/>
        <w:spacing w:line="360" w:lineRule="auto"/>
        <w:rPr>
          <w:rFonts w:ascii="宋体" w:hAnsi="宋体" w:cs="宋体"/>
          <w:szCs w:val="21"/>
          <w:highlight w:val="none"/>
        </w:rPr>
      </w:pPr>
      <w:r>
        <w:rPr>
          <w:rFonts w:hint="eastAsia" w:ascii="宋体" w:hAnsi="宋体" w:cs="宋体"/>
          <w:szCs w:val="21"/>
          <w:highlight w:val="none"/>
        </w:rPr>
        <w:t>27.4.2.5 </w:t>
      </w:r>
      <w:r>
        <w:rPr>
          <w:rFonts w:hint="eastAsia" w:ascii="宋体" w:hAnsi="宋体" w:cs="宋体"/>
          <w:szCs w:val="21"/>
          <w:highlight w:val="none"/>
          <w:lang w:val="zh-CN"/>
        </w:rPr>
        <w:t>同一包的节能、环保、环境标志产品部分计分只对属于清单内的非强制类产品进行计分，强制类产品不给予计分。 </w:t>
      </w:r>
    </w:p>
    <w:p>
      <w:pPr>
        <w:adjustRightInd w:val="0"/>
        <w:snapToGrid w:val="0"/>
        <w:spacing w:line="360" w:lineRule="auto"/>
        <w:rPr>
          <w:rFonts w:ascii="宋体" w:hAnsi="宋体" w:cs="宋体"/>
          <w:szCs w:val="21"/>
          <w:highlight w:val="none"/>
        </w:rPr>
      </w:pPr>
      <w:r>
        <w:rPr>
          <w:rFonts w:hint="eastAsia" w:ascii="宋体" w:hAnsi="宋体" w:cs="宋体"/>
          <w:szCs w:val="21"/>
          <w:highlight w:val="none"/>
        </w:rPr>
        <w:t>27.4.2.6节能、环保、环境标志产品不重复计分；同时列入国家级清单和省级清单的产品不重复计分。</w:t>
      </w:r>
    </w:p>
    <w:p>
      <w:pPr>
        <w:adjustRightInd w:val="0"/>
        <w:snapToGrid w:val="0"/>
        <w:spacing w:line="360" w:lineRule="auto"/>
        <w:rPr>
          <w:rFonts w:ascii="宋体" w:hAnsi="宋体" w:cs="宋体"/>
          <w:szCs w:val="21"/>
          <w:highlight w:val="none"/>
          <w:lang w:val="zh-CN"/>
        </w:rPr>
      </w:pPr>
      <w:r>
        <w:rPr>
          <w:rFonts w:hint="eastAsia" w:ascii="宋体" w:hAnsi="宋体" w:cs="宋体"/>
          <w:szCs w:val="21"/>
          <w:highlight w:val="none"/>
        </w:rPr>
        <w:t>27.4.2.7</w:t>
      </w:r>
      <w:r>
        <w:rPr>
          <w:rFonts w:hint="eastAsia" w:ascii="宋体" w:hAnsi="宋体" w:cs="宋体"/>
          <w:szCs w:val="21"/>
          <w:highlight w:val="none"/>
          <w:lang w:val="zh-CN"/>
        </w:rPr>
        <w:t>节能、环保、环境标志产品不重复计分。</w:t>
      </w:r>
      <w:r>
        <w:rPr>
          <w:rFonts w:hint="eastAsia" w:ascii="宋体" w:hAnsi="宋体" w:cs="宋体"/>
          <w:szCs w:val="21"/>
          <w:highlight w:val="none"/>
        </w:rPr>
        <w:t>对符合要求的单位给予6%的价格扣除，用扣除后的价格参与评审。</w:t>
      </w:r>
      <w:r>
        <w:rPr>
          <w:rFonts w:hint="eastAsia" w:ascii="宋体" w:hAnsi="宋体" w:cs="宋体"/>
          <w:szCs w:val="21"/>
          <w:highlight w:val="none"/>
          <w:lang w:val="zh-CN"/>
        </w:rPr>
        <w:t>获得上述认证的产品在磋商时应提供有效证明材料。以上所有证明文件复印件须加盖供应商公章并注明“与原件一致”，否则不予计分。</w:t>
      </w:r>
    </w:p>
    <w:p>
      <w:pPr>
        <w:pStyle w:val="3"/>
        <w:rPr>
          <w:highlight w:val="none"/>
          <w:lang w:val="zh-CN"/>
        </w:rPr>
      </w:pPr>
      <w:r>
        <w:rPr>
          <w:rFonts w:hint="eastAsia" w:ascii="宋体" w:hAnsi="宋体" w:cs="宋体"/>
          <w:b w:val="0"/>
          <w:sz w:val="21"/>
          <w:szCs w:val="21"/>
          <w:highlight w:val="none"/>
        </w:rPr>
        <w:t>27.4.2.8</w:t>
      </w:r>
      <w:r>
        <w:rPr>
          <w:rFonts w:hint="eastAsia" w:ascii="宋体" w:hAnsi="宋体" w:cs="宋体"/>
          <w:b w:val="0"/>
          <w:sz w:val="21"/>
          <w:szCs w:val="21"/>
          <w:highlight w:val="none"/>
          <w:lang w:val="zh-CN"/>
        </w:rPr>
        <w:t>鼓励采用优先采购、预留采购份额方式采购贫困地区农副产品。鼓励优先采购聘用建档立卡贫困人员物业公司提供的物业服务</w:t>
      </w:r>
    </w:p>
    <w:p>
      <w:pPr>
        <w:adjustRightInd w:val="0"/>
        <w:snapToGrid w:val="0"/>
        <w:spacing w:line="360" w:lineRule="auto"/>
        <w:rPr>
          <w:rFonts w:ascii="宋体" w:hAnsi="宋体" w:cs="宋体"/>
          <w:szCs w:val="21"/>
          <w:highlight w:val="none"/>
          <w:lang w:val="zh-CN"/>
        </w:rPr>
      </w:pPr>
      <w:r>
        <w:rPr>
          <w:rFonts w:hint="eastAsia" w:ascii="宋体" w:hAnsi="宋体" w:cs="宋体"/>
          <w:szCs w:val="21"/>
          <w:highlight w:val="none"/>
        </w:rPr>
        <w:t>27.4.2.9</w:t>
      </w:r>
      <w:r>
        <w:rPr>
          <w:rFonts w:hint="eastAsia" w:ascii="宋体" w:hAnsi="宋体" w:cs="宋体"/>
          <w:szCs w:val="21"/>
          <w:highlight w:val="none"/>
          <w:lang w:val="zh-CN"/>
        </w:rPr>
        <w:t>各银行可自主决定是否提供政府采购信用融资以及融资额度，并与供应商签订融资协议；各供应商也可自行决定是否参加政府采购信用融资，并自愿选择合适的融资银行及在该银行开设银行账户。任何单位和个人均不得干预银企双方开展政府采购信用融资业务。</w:t>
      </w:r>
    </w:p>
    <w:p>
      <w:pPr>
        <w:adjustRightInd w:val="0"/>
        <w:snapToGrid w:val="0"/>
        <w:spacing w:line="360" w:lineRule="auto"/>
        <w:rPr>
          <w:highlight w:val="none"/>
        </w:rPr>
      </w:pPr>
      <w:r>
        <w:rPr>
          <w:rFonts w:hint="eastAsia" w:ascii="宋体" w:hAnsi="宋体" w:cs="宋体"/>
          <w:szCs w:val="21"/>
          <w:highlight w:val="none"/>
          <w:lang w:val="zh-CN"/>
        </w:rPr>
        <w:t>中小企业可根据各银行提供的方案，自行选择符合自身情况的金融产品，并根据方案中列明的联系方式和要求向相关银行提出信用融资申请。银行根据中小企业的申请开展尽职调查，合理确定融资授信额度。中小企业获得政府采购合同后，凭政府采购合同向银行提出融资申请。</w:t>
      </w:r>
    </w:p>
    <w:p>
      <w:pPr>
        <w:pStyle w:val="8"/>
        <w:spacing w:before="0" w:after="0" w:line="360" w:lineRule="auto"/>
        <w:rPr>
          <w:rFonts w:ascii="宋体" w:hAnsi="宋体" w:cs="宋体"/>
          <w:bCs/>
          <w:sz w:val="21"/>
          <w:szCs w:val="21"/>
          <w:highlight w:val="none"/>
        </w:rPr>
      </w:pPr>
      <w:bookmarkStart w:id="365" w:name="_Toc8783"/>
      <w:bookmarkStart w:id="366" w:name="_Toc392236644"/>
      <w:bookmarkStart w:id="367" w:name="_Toc5369"/>
      <w:bookmarkStart w:id="368" w:name="_Toc4399"/>
      <w:bookmarkStart w:id="369" w:name="_Toc23524"/>
      <w:bookmarkStart w:id="370" w:name="_Toc386965857"/>
      <w:bookmarkStart w:id="371" w:name="_Toc7524502"/>
      <w:bookmarkStart w:id="372" w:name="_Toc311415605"/>
      <w:bookmarkStart w:id="373" w:name="_Toc12469"/>
      <w:bookmarkStart w:id="374" w:name="_Toc11711"/>
      <w:bookmarkStart w:id="375" w:name="_Toc24985"/>
      <w:r>
        <w:rPr>
          <w:rFonts w:hint="eastAsia" w:ascii="宋体" w:hAnsi="宋体" w:cs="宋体"/>
          <w:bCs/>
          <w:sz w:val="21"/>
          <w:szCs w:val="21"/>
          <w:highlight w:val="none"/>
        </w:rPr>
        <w:t>28 与采购人、采购代理机构和磋商小组接触</w:t>
      </w:r>
      <w:bookmarkEnd w:id="365"/>
      <w:bookmarkEnd w:id="366"/>
      <w:bookmarkEnd w:id="367"/>
      <w:bookmarkEnd w:id="368"/>
      <w:bookmarkEnd w:id="369"/>
      <w:bookmarkEnd w:id="370"/>
      <w:bookmarkEnd w:id="371"/>
      <w:bookmarkEnd w:id="372"/>
      <w:bookmarkEnd w:id="373"/>
      <w:bookmarkEnd w:id="374"/>
      <w:bookmarkEnd w:id="375"/>
    </w:p>
    <w:p>
      <w:pPr>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供应商试图对采购人、采购代理机构和磋商小组的评审、比较或授予合同的决定进行影响，都可能导致其磋商被拒绝。</w:t>
      </w:r>
    </w:p>
    <w:p>
      <w:pPr>
        <w:pStyle w:val="7"/>
        <w:tabs>
          <w:tab w:val="left" w:pos="576"/>
        </w:tabs>
        <w:spacing w:before="0" w:after="0" w:line="360" w:lineRule="auto"/>
        <w:jc w:val="center"/>
        <w:rPr>
          <w:rFonts w:ascii="宋体" w:hAnsi="宋体" w:eastAsia="宋体" w:cs="宋体"/>
          <w:bCs/>
          <w:sz w:val="28"/>
          <w:szCs w:val="28"/>
          <w:highlight w:val="none"/>
        </w:rPr>
      </w:pPr>
      <w:bookmarkStart w:id="376" w:name="_Toc392236645"/>
      <w:bookmarkStart w:id="377" w:name="_Toc2781"/>
      <w:bookmarkStart w:id="378" w:name="_Toc5977"/>
      <w:bookmarkStart w:id="379" w:name="_Toc386965858"/>
      <w:bookmarkStart w:id="380" w:name="_Toc29664"/>
      <w:bookmarkStart w:id="381" w:name="_Toc26534"/>
      <w:bookmarkStart w:id="382" w:name="_Toc7524503"/>
      <w:bookmarkStart w:id="383" w:name="_Toc2468"/>
      <w:bookmarkStart w:id="384" w:name="_Toc24411"/>
      <w:bookmarkStart w:id="385" w:name="_Toc27212"/>
      <w:bookmarkStart w:id="386" w:name="_Toc233435947"/>
      <w:r>
        <w:rPr>
          <w:rFonts w:hint="eastAsia" w:ascii="宋体" w:hAnsi="宋体" w:eastAsia="宋体" w:cs="宋体"/>
          <w:bCs/>
          <w:sz w:val="28"/>
          <w:szCs w:val="28"/>
          <w:highlight w:val="none"/>
        </w:rPr>
        <w:t>F</w:t>
      </w:r>
      <w:bookmarkStart w:id="387" w:name="_Hlt491765714"/>
      <w:bookmarkEnd w:id="387"/>
      <w:r>
        <w:rPr>
          <w:rFonts w:hint="eastAsia" w:ascii="宋体" w:hAnsi="宋体" w:eastAsia="宋体" w:cs="宋体"/>
          <w:bCs/>
          <w:sz w:val="28"/>
          <w:szCs w:val="28"/>
          <w:highlight w:val="none"/>
        </w:rPr>
        <w:t xml:space="preserve"> </w:t>
      </w:r>
      <w:bookmarkStart w:id="388" w:name="_Hlt497547134"/>
      <w:bookmarkEnd w:id="388"/>
      <w:r>
        <w:rPr>
          <w:rFonts w:hint="eastAsia" w:ascii="宋体" w:hAnsi="宋体" w:eastAsia="宋体" w:cs="宋体"/>
          <w:bCs/>
          <w:sz w:val="28"/>
          <w:szCs w:val="28"/>
          <w:highlight w:val="none"/>
        </w:rPr>
        <w:t>授予合同</w:t>
      </w:r>
      <w:bookmarkEnd w:id="376"/>
      <w:bookmarkEnd w:id="377"/>
      <w:bookmarkEnd w:id="378"/>
      <w:bookmarkEnd w:id="379"/>
      <w:bookmarkEnd w:id="380"/>
      <w:bookmarkEnd w:id="381"/>
      <w:bookmarkEnd w:id="382"/>
      <w:bookmarkEnd w:id="383"/>
      <w:bookmarkEnd w:id="384"/>
      <w:bookmarkEnd w:id="385"/>
      <w:bookmarkEnd w:id="386"/>
    </w:p>
    <w:p>
      <w:pPr>
        <w:pStyle w:val="8"/>
        <w:spacing w:before="0" w:after="0" w:line="360" w:lineRule="auto"/>
        <w:rPr>
          <w:rFonts w:ascii="宋体" w:hAnsi="宋体" w:cs="宋体"/>
          <w:bCs/>
          <w:sz w:val="21"/>
          <w:szCs w:val="21"/>
          <w:highlight w:val="none"/>
        </w:rPr>
      </w:pPr>
      <w:bookmarkStart w:id="389" w:name="_Toc389620200"/>
      <w:bookmarkStart w:id="390" w:name="_Toc233435948"/>
      <w:bookmarkStart w:id="391" w:name="_Toc385992361"/>
      <w:bookmarkStart w:id="392" w:name="_Toc15022"/>
      <w:bookmarkStart w:id="393" w:name="_Toc19293"/>
      <w:bookmarkStart w:id="394" w:name="_Toc18182"/>
      <w:bookmarkStart w:id="395" w:name="_Toc386965859"/>
      <w:bookmarkStart w:id="396" w:name="_Toc675"/>
      <w:bookmarkStart w:id="397" w:name="_Toc20651"/>
      <w:bookmarkStart w:id="398" w:name="_Toc392236646"/>
      <w:bookmarkStart w:id="399" w:name="_Toc9372"/>
      <w:bookmarkStart w:id="400" w:name="_Toc7524504"/>
      <w:bookmarkStart w:id="401" w:name="_Toc14488"/>
      <w:r>
        <w:rPr>
          <w:rFonts w:hint="eastAsia" w:ascii="宋体" w:hAnsi="宋体" w:cs="宋体"/>
          <w:bCs/>
          <w:sz w:val="21"/>
          <w:szCs w:val="21"/>
          <w:highlight w:val="none"/>
        </w:rPr>
        <w:t xml:space="preserve">29 </w:t>
      </w:r>
      <w:bookmarkEnd w:id="389"/>
      <w:bookmarkEnd w:id="390"/>
      <w:bookmarkEnd w:id="391"/>
      <w:r>
        <w:rPr>
          <w:rFonts w:hint="eastAsia" w:ascii="宋体" w:hAnsi="宋体" w:cs="宋体"/>
          <w:bCs/>
          <w:sz w:val="21"/>
          <w:szCs w:val="21"/>
          <w:highlight w:val="none"/>
        </w:rPr>
        <w:t>定标及合同授予</w:t>
      </w:r>
      <w:bookmarkEnd w:id="392"/>
      <w:bookmarkEnd w:id="393"/>
      <w:bookmarkEnd w:id="394"/>
      <w:bookmarkEnd w:id="395"/>
      <w:bookmarkEnd w:id="396"/>
      <w:bookmarkEnd w:id="397"/>
      <w:bookmarkEnd w:id="398"/>
      <w:bookmarkEnd w:id="399"/>
      <w:bookmarkEnd w:id="400"/>
      <w:bookmarkEnd w:id="401"/>
    </w:p>
    <w:p>
      <w:pPr>
        <w:adjustRightInd w:val="0"/>
        <w:snapToGrid w:val="0"/>
        <w:spacing w:line="360" w:lineRule="auto"/>
        <w:rPr>
          <w:rFonts w:ascii="宋体" w:hAnsi="宋体" w:cs="宋体"/>
          <w:szCs w:val="21"/>
          <w:highlight w:val="none"/>
        </w:rPr>
      </w:pPr>
      <w:bookmarkStart w:id="402" w:name="_Toc385992364"/>
      <w:bookmarkStart w:id="403" w:name="_Toc389620203"/>
      <w:r>
        <w:rPr>
          <w:rFonts w:hint="eastAsia" w:ascii="宋体" w:hAnsi="宋体" w:cs="宋体"/>
          <w:szCs w:val="21"/>
          <w:highlight w:val="none"/>
        </w:rPr>
        <w:t>29.1采购代理机构应在评审结束后一个工作日内，将评审报告送采购人定标。</w:t>
      </w:r>
    </w:p>
    <w:p>
      <w:pPr>
        <w:adjustRightInd w:val="0"/>
        <w:snapToGrid w:val="0"/>
        <w:spacing w:line="360" w:lineRule="auto"/>
        <w:rPr>
          <w:rFonts w:ascii="宋体" w:hAnsi="宋体" w:cs="宋体"/>
          <w:szCs w:val="21"/>
          <w:highlight w:val="none"/>
        </w:rPr>
      </w:pPr>
      <w:r>
        <w:rPr>
          <w:rFonts w:hint="eastAsia" w:ascii="宋体" w:hAnsi="宋体" w:cs="宋体"/>
          <w:szCs w:val="21"/>
          <w:highlight w:val="none"/>
        </w:rPr>
        <w:t>29.2采购人在收到评审报告后四个工作日内，根据评审报告对评审过程及结果进行严格审核后确定成交单位，复函采购代理机构。</w:t>
      </w:r>
    </w:p>
    <w:p>
      <w:pPr>
        <w:adjustRightInd w:val="0"/>
        <w:snapToGrid w:val="0"/>
        <w:spacing w:line="360" w:lineRule="auto"/>
        <w:rPr>
          <w:rFonts w:ascii="宋体" w:hAnsi="宋体" w:cs="宋体"/>
          <w:szCs w:val="21"/>
          <w:highlight w:val="none"/>
        </w:rPr>
      </w:pPr>
      <w:r>
        <w:rPr>
          <w:rFonts w:hint="eastAsia" w:ascii="宋体" w:hAnsi="宋体" w:cs="宋体"/>
          <w:szCs w:val="21"/>
          <w:highlight w:val="none"/>
        </w:rPr>
        <w:t>29.3采购代理机构在接到采购人的定标复函后，在财政部门指定的政府采购信息发布媒体上公告，并向成交单位发《成交通知书》。</w:t>
      </w:r>
    </w:p>
    <w:p>
      <w:pPr>
        <w:adjustRightInd w:val="0"/>
        <w:snapToGrid w:val="0"/>
        <w:spacing w:line="360" w:lineRule="auto"/>
        <w:rPr>
          <w:rFonts w:ascii="宋体" w:hAnsi="宋体" w:cs="宋体"/>
          <w:szCs w:val="21"/>
          <w:highlight w:val="none"/>
        </w:rPr>
      </w:pPr>
      <w:r>
        <w:rPr>
          <w:rFonts w:hint="eastAsia" w:ascii="宋体" w:hAnsi="宋体" w:cs="宋体"/>
          <w:szCs w:val="21"/>
          <w:highlight w:val="none"/>
        </w:rPr>
        <w:t>29.4《成交通知书》将作为签订合同的依据，磋商文件、成交单位的响应文件和补充文件（如澄清、承诺等）等，均为有法律约束力的经济合同组成的一部分。</w:t>
      </w:r>
    </w:p>
    <w:p>
      <w:pPr>
        <w:adjustRightInd w:val="0"/>
        <w:snapToGrid w:val="0"/>
        <w:spacing w:line="360" w:lineRule="auto"/>
        <w:rPr>
          <w:rFonts w:ascii="宋体" w:hAnsi="宋体" w:cs="宋体"/>
          <w:szCs w:val="21"/>
          <w:highlight w:val="none"/>
        </w:rPr>
      </w:pPr>
      <w:r>
        <w:rPr>
          <w:rFonts w:hint="eastAsia" w:ascii="宋体" w:hAnsi="宋体" w:cs="宋体"/>
          <w:szCs w:val="21"/>
          <w:highlight w:val="none"/>
        </w:rPr>
        <w:t>29.5《成交通知书》发出30天内，如果已成交的供应商不能按响应文件，包括补充文件（如澄清、承诺等）中承诺的条件履行签约行为，采购人有权取消其成交资格。</w:t>
      </w:r>
      <w:bookmarkEnd w:id="402"/>
      <w:bookmarkEnd w:id="403"/>
      <w:bookmarkStart w:id="404" w:name="_Toc311415613"/>
      <w:bookmarkStart w:id="405" w:name="_Toc386965860"/>
      <w:bookmarkStart w:id="406" w:name="_Toc12320"/>
      <w:bookmarkStart w:id="407" w:name="_Toc392236647"/>
    </w:p>
    <w:p>
      <w:pPr>
        <w:pStyle w:val="8"/>
        <w:spacing w:before="0" w:after="0" w:line="360" w:lineRule="auto"/>
        <w:rPr>
          <w:rFonts w:ascii="宋体" w:hAnsi="宋体" w:cs="宋体"/>
          <w:b w:val="0"/>
          <w:sz w:val="21"/>
          <w:szCs w:val="21"/>
          <w:highlight w:val="none"/>
        </w:rPr>
      </w:pPr>
      <w:bookmarkStart w:id="408" w:name="_Toc21179"/>
      <w:bookmarkStart w:id="409" w:name="_Toc8411"/>
      <w:bookmarkStart w:id="410" w:name="_Toc9530"/>
      <w:bookmarkStart w:id="411" w:name="_Toc11905"/>
      <w:bookmarkStart w:id="412" w:name="_Toc7524505"/>
      <w:bookmarkStart w:id="413" w:name="_Toc30632"/>
      <w:bookmarkStart w:id="414" w:name="_Toc4146"/>
      <w:r>
        <w:rPr>
          <w:rFonts w:hint="eastAsia" w:ascii="宋体" w:hAnsi="宋体" w:cs="宋体"/>
          <w:b w:val="0"/>
          <w:sz w:val="21"/>
          <w:szCs w:val="21"/>
          <w:highlight w:val="none"/>
        </w:rPr>
        <w:t>30 腐败和欺诈行为</w:t>
      </w:r>
      <w:bookmarkEnd w:id="404"/>
      <w:bookmarkEnd w:id="405"/>
      <w:bookmarkEnd w:id="406"/>
      <w:bookmarkEnd w:id="407"/>
      <w:bookmarkEnd w:id="408"/>
      <w:bookmarkEnd w:id="409"/>
      <w:bookmarkEnd w:id="410"/>
      <w:bookmarkEnd w:id="411"/>
      <w:bookmarkEnd w:id="412"/>
      <w:bookmarkEnd w:id="413"/>
      <w:bookmarkEnd w:id="414"/>
    </w:p>
    <w:p>
      <w:pPr>
        <w:adjustRightInd w:val="0"/>
        <w:snapToGrid w:val="0"/>
        <w:spacing w:line="360" w:lineRule="auto"/>
        <w:rPr>
          <w:rFonts w:ascii="宋体" w:hAnsi="宋体" w:cs="宋体"/>
          <w:b/>
          <w:bCs/>
          <w:szCs w:val="21"/>
          <w:highlight w:val="none"/>
        </w:rPr>
      </w:pPr>
      <w:r>
        <w:rPr>
          <w:rFonts w:hint="eastAsia" w:ascii="宋体" w:hAnsi="宋体" w:cs="宋体"/>
          <w:b/>
          <w:bCs/>
          <w:szCs w:val="21"/>
          <w:highlight w:val="none"/>
        </w:rPr>
        <w:t>30.1 定义</w:t>
      </w:r>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a. “腐败行为”是指提供给予接受或索取任何有价值的东西来影响采购代理机构和/或采购人在采购过程或合同实施过程中的行为。</w:t>
      </w:r>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b. “欺诈行为”是指为了影响采购过程或合同实施过程而谎报事实，损害采购代理机构和/或采购人的利益，包括供应商之间串通投标（递交响应文件之前和之后），人为地使投标丧失竞争性，剥夺采购人从自由公开竞争所能获得的权益。</w:t>
      </w:r>
    </w:p>
    <w:p>
      <w:pPr>
        <w:adjustRightInd w:val="0"/>
        <w:snapToGrid w:val="0"/>
        <w:spacing w:line="360" w:lineRule="auto"/>
        <w:rPr>
          <w:rFonts w:ascii="宋体" w:hAnsi="宋体" w:cs="宋体"/>
          <w:szCs w:val="21"/>
          <w:highlight w:val="none"/>
        </w:rPr>
      </w:pPr>
      <w:r>
        <w:rPr>
          <w:rFonts w:hint="eastAsia" w:ascii="宋体" w:hAnsi="宋体" w:cs="宋体"/>
          <w:szCs w:val="21"/>
          <w:highlight w:val="none"/>
        </w:rPr>
        <w:t>30.2如果采购代理机构和采购人认为供应商在本项目的竞争中有腐败或欺诈行为，其投标将被拒绝。</w:t>
      </w:r>
    </w:p>
    <w:p>
      <w:pPr>
        <w:widowControl/>
        <w:spacing w:line="360" w:lineRule="auto"/>
        <w:outlineLvl w:val="2"/>
        <w:rPr>
          <w:rFonts w:ascii="宋体" w:hAnsi="宋体" w:cs="宋体"/>
          <w:b/>
          <w:bCs/>
          <w:kern w:val="0"/>
          <w:szCs w:val="21"/>
          <w:highlight w:val="none"/>
        </w:rPr>
      </w:pPr>
      <w:bookmarkStart w:id="415" w:name="_Toc22869"/>
      <w:bookmarkStart w:id="416" w:name="_Toc9305"/>
      <w:bookmarkStart w:id="417" w:name="_Toc358364351"/>
      <w:bookmarkStart w:id="418" w:name="_Toc26277"/>
      <w:bookmarkStart w:id="419" w:name="_Toc380336757"/>
      <w:bookmarkStart w:id="420" w:name="_Toc7524506"/>
      <w:bookmarkStart w:id="421" w:name="_Toc24285"/>
      <w:bookmarkStart w:id="422" w:name="_Toc29469"/>
      <w:r>
        <w:rPr>
          <w:rFonts w:hint="eastAsia" w:ascii="宋体" w:hAnsi="宋体" w:cs="宋体"/>
          <w:b/>
          <w:bCs/>
          <w:kern w:val="0"/>
          <w:szCs w:val="21"/>
          <w:highlight w:val="none"/>
        </w:rPr>
        <w:t xml:space="preserve">31 </w:t>
      </w:r>
      <w:bookmarkEnd w:id="415"/>
      <w:bookmarkEnd w:id="416"/>
      <w:bookmarkEnd w:id="417"/>
      <w:bookmarkEnd w:id="418"/>
      <w:bookmarkEnd w:id="419"/>
      <w:bookmarkEnd w:id="420"/>
      <w:bookmarkEnd w:id="421"/>
      <w:r>
        <w:rPr>
          <w:rFonts w:hint="eastAsia" w:ascii="宋体" w:hAnsi="宋体" w:cs="宋体"/>
          <w:b/>
          <w:bCs/>
          <w:kern w:val="0"/>
          <w:szCs w:val="21"/>
          <w:highlight w:val="none"/>
        </w:rPr>
        <w:t>成交服务费</w:t>
      </w:r>
      <w:bookmarkEnd w:id="422"/>
      <w:r>
        <w:rPr>
          <w:rFonts w:hint="eastAsia" w:ascii="宋体" w:hAnsi="宋体" w:cs="宋体"/>
          <w:b/>
          <w:bCs/>
          <w:kern w:val="0"/>
          <w:szCs w:val="21"/>
          <w:highlight w:val="none"/>
        </w:rPr>
        <w:t xml:space="preserve"> </w:t>
      </w:r>
    </w:p>
    <w:p>
      <w:pPr>
        <w:adjustRightInd w:val="0"/>
        <w:snapToGrid w:val="0"/>
        <w:spacing w:line="360" w:lineRule="auto"/>
        <w:rPr>
          <w:rFonts w:hint="eastAsia" w:ascii="宋体" w:hAnsi="宋体" w:eastAsia="宋体" w:cs="宋体"/>
          <w:szCs w:val="21"/>
          <w:highlight w:val="none"/>
          <w:lang w:eastAsia="zh-CN"/>
        </w:rPr>
      </w:pPr>
      <w:bookmarkStart w:id="423" w:name="_Toc497546918"/>
      <w:bookmarkStart w:id="424" w:name="_Toc93800308"/>
      <w:bookmarkStart w:id="425" w:name="_Toc497551820"/>
      <w:bookmarkStart w:id="426" w:name="_Toc246928930"/>
      <w:bookmarkStart w:id="427" w:name="_Toc497712133"/>
      <w:bookmarkStart w:id="428" w:name="_Toc492955459"/>
      <w:bookmarkStart w:id="429" w:name="_Toc497711585"/>
      <w:r>
        <w:rPr>
          <w:rFonts w:hint="eastAsia" w:ascii="宋体" w:hAnsi="宋体" w:cs="宋体"/>
          <w:szCs w:val="21"/>
          <w:highlight w:val="none"/>
        </w:rPr>
        <w:t>31.1</w:t>
      </w:r>
      <w:r>
        <w:rPr>
          <w:rFonts w:hint="eastAsia" w:ascii="宋体" w:hAnsi="宋体" w:cs="宋体"/>
          <w:b/>
          <w:bCs/>
          <w:szCs w:val="21"/>
          <w:highlight w:val="none"/>
        </w:rPr>
        <w:t>成交服务费</w:t>
      </w:r>
      <w:r>
        <w:rPr>
          <w:rFonts w:hint="eastAsia" w:ascii="宋体" w:hAnsi="宋体" w:cs="宋体"/>
          <w:b/>
          <w:bCs/>
          <w:szCs w:val="21"/>
          <w:highlight w:val="none"/>
          <w:lang w:val="en-US" w:eastAsia="zh-CN"/>
        </w:rPr>
        <w:t>及限价编制费</w:t>
      </w:r>
      <w:r>
        <w:rPr>
          <w:rFonts w:hint="eastAsia" w:ascii="宋体" w:hAnsi="宋体" w:cs="宋体"/>
          <w:b/>
          <w:bCs/>
          <w:szCs w:val="21"/>
          <w:highlight w:val="none"/>
        </w:rPr>
        <w:t>按约定由成交供应商支付，领取成交通知书前，由成交单位向采购代理机构</w:t>
      </w:r>
      <w:r>
        <w:rPr>
          <w:rFonts w:hint="eastAsia" w:ascii="宋体" w:hAnsi="宋体" w:cs="宋体"/>
          <w:b/>
          <w:bCs/>
          <w:szCs w:val="21"/>
          <w:highlight w:val="none"/>
          <w:lang w:val="en-US" w:eastAsia="zh-CN"/>
        </w:rPr>
        <w:t>一次性</w:t>
      </w:r>
      <w:r>
        <w:rPr>
          <w:rFonts w:hint="eastAsia" w:ascii="宋体" w:hAnsi="宋体" w:cs="宋体"/>
          <w:b/>
          <w:bCs/>
          <w:szCs w:val="21"/>
          <w:highlight w:val="none"/>
        </w:rPr>
        <w:t>缴纳</w:t>
      </w:r>
      <w:r>
        <w:rPr>
          <w:rFonts w:hint="eastAsia" w:ascii="宋体" w:hAnsi="宋体" w:cs="宋体"/>
          <w:b/>
          <w:bCs/>
          <w:szCs w:val="21"/>
          <w:highlight w:val="none"/>
          <w:lang w:eastAsia="zh-CN"/>
        </w:rPr>
        <w:t>。</w:t>
      </w:r>
    </w:p>
    <w:p>
      <w:pPr>
        <w:adjustRightInd w:val="0"/>
        <w:snapToGrid w:val="0"/>
        <w:spacing w:line="360" w:lineRule="auto"/>
        <w:rPr>
          <w:rFonts w:hint="eastAsia" w:ascii="宋体" w:hAnsi="宋体" w:cs="宋体"/>
          <w:szCs w:val="21"/>
          <w:highlight w:val="none"/>
        </w:rPr>
      </w:pPr>
      <w:r>
        <w:rPr>
          <w:rFonts w:hint="eastAsia" w:ascii="宋体" w:hAnsi="宋体" w:cs="宋体"/>
          <w:szCs w:val="21"/>
          <w:highlight w:val="none"/>
        </w:rPr>
        <w:t>31.2成交服务费按国家发展与改革委员会《招标代理服务收费暂行办法》（计价格[2002]1980号）文件规定标准计取，招标代理服务收费按差额定率累进法计算。</w:t>
      </w:r>
    </w:p>
    <w:p>
      <w:pPr>
        <w:adjustRightInd w:val="0"/>
        <w:snapToGrid w:val="0"/>
        <w:spacing w:line="360" w:lineRule="auto"/>
        <w:rPr>
          <w:rFonts w:ascii="宋体" w:hAnsi="宋体" w:cs="宋体"/>
          <w:szCs w:val="21"/>
          <w:highlight w:val="none"/>
        </w:rPr>
      </w:pPr>
      <w:r>
        <w:rPr>
          <w:rFonts w:hint="eastAsia" w:ascii="宋体" w:hAnsi="宋体" w:cs="宋体"/>
          <w:szCs w:val="21"/>
          <w:highlight w:val="none"/>
        </w:rPr>
        <w:t>31.</w:t>
      </w:r>
      <w:r>
        <w:rPr>
          <w:rFonts w:hint="eastAsia" w:ascii="宋体" w:hAnsi="宋体" w:cs="宋体"/>
          <w:szCs w:val="21"/>
          <w:highlight w:val="none"/>
          <w:lang w:val="en-US" w:eastAsia="zh-CN"/>
        </w:rPr>
        <w:t>3</w:t>
      </w:r>
      <w:r>
        <w:rPr>
          <w:rFonts w:hint="eastAsia" w:ascii="宋体" w:hAnsi="宋体" w:cs="宋体"/>
          <w:szCs w:val="21"/>
          <w:highlight w:val="none"/>
        </w:rPr>
        <w:t>招标代理服务费交纳信息</w:t>
      </w:r>
    </w:p>
    <w:p>
      <w:pPr>
        <w:adjustRightInd w:val="0"/>
        <w:snapToGrid w:val="0"/>
        <w:spacing w:line="360" w:lineRule="auto"/>
        <w:rPr>
          <w:rFonts w:ascii="宋体" w:hAnsi="宋体" w:cs="宋体"/>
          <w:szCs w:val="21"/>
          <w:highlight w:val="none"/>
        </w:rPr>
      </w:pPr>
      <w:r>
        <w:rPr>
          <w:rFonts w:hint="eastAsia" w:ascii="宋体" w:hAnsi="宋体" w:cs="宋体"/>
          <w:szCs w:val="21"/>
          <w:highlight w:val="none"/>
        </w:rPr>
        <w:t>开户名称：陕西迪诚项目管理有限公司</w:t>
      </w:r>
    </w:p>
    <w:p>
      <w:pPr>
        <w:adjustRightInd w:val="0"/>
        <w:snapToGrid w:val="0"/>
        <w:spacing w:line="360" w:lineRule="auto"/>
        <w:rPr>
          <w:rFonts w:ascii="宋体" w:hAnsi="宋体" w:cs="宋体"/>
          <w:szCs w:val="21"/>
          <w:highlight w:val="none"/>
        </w:rPr>
      </w:pPr>
      <w:r>
        <w:rPr>
          <w:rFonts w:hint="eastAsia" w:ascii="宋体" w:hAnsi="宋体" w:cs="宋体"/>
          <w:szCs w:val="21"/>
          <w:highlight w:val="none"/>
        </w:rPr>
        <w:t>开户银行：中国建设银行股份有限公司西安世融嘉城支行</w:t>
      </w:r>
    </w:p>
    <w:p>
      <w:pPr>
        <w:adjustRightInd w:val="0"/>
        <w:snapToGrid w:val="0"/>
        <w:spacing w:line="360" w:lineRule="auto"/>
        <w:rPr>
          <w:rFonts w:ascii="宋体" w:hAnsi="宋体" w:cs="宋体"/>
          <w:szCs w:val="21"/>
          <w:highlight w:val="none"/>
        </w:rPr>
      </w:pPr>
      <w:r>
        <w:rPr>
          <w:rFonts w:hint="eastAsia" w:ascii="宋体" w:hAnsi="宋体" w:cs="宋体"/>
          <w:szCs w:val="21"/>
          <w:highlight w:val="none"/>
        </w:rPr>
        <w:t>账 号：61050175540000000417</w:t>
      </w:r>
    </w:p>
    <w:p>
      <w:pPr>
        <w:adjustRightInd w:val="0"/>
        <w:snapToGrid w:val="0"/>
        <w:spacing w:line="360" w:lineRule="auto"/>
        <w:rPr>
          <w:rFonts w:ascii="宋体" w:hAnsi="宋体" w:cs="宋体"/>
          <w:b/>
          <w:bCs/>
          <w:szCs w:val="21"/>
          <w:highlight w:val="none"/>
        </w:rPr>
      </w:pPr>
      <w:r>
        <w:rPr>
          <w:rFonts w:hint="eastAsia" w:ascii="楷体" w:hAnsi="楷体" w:eastAsia="楷体" w:cs="楷体"/>
          <w:b/>
          <w:bCs/>
          <w:szCs w:val="24"/>
          <w:highlight w:val="none"/>
        </w:rPr>
        <w:t xml:space="preserve"> </w:t>
      </w:r>
      <w:r>
        <w:rPr>
          <w:rFonts w:hint="eastAsia" w:ascii="宋体" w:hAnsi="宋体" w:cs="宋体"/>
          <w:b/>
          <w:bCs/>
          <w:szCs w:val="21"/>
          <w:highlight w:val="none"/>
        </w:rPr>
        <w:t>32质疑</w:t>
      </w:r>
    </w:p>
    <w:p>
      <w:pPr>
        <w:pStyle w:val="2"/>
        <w:spacing w:line="360" w:lineRule="auto"/>
        <w:ind w:firstLine="0"/>
        <w:rPr>
          <w:rFonts w:ascii="宋体" w:hAnsi="宋体" w:cs="宋体"/>
          <w:b w:val="0"/>
          <w:bCs/>
          <w:sz w:val="21"/>
          <w:szCs w:val="21"/>
          <w:highlight w:val="none"/>
        </w:rPr>
      </w:pPr>
      <w:r>
        <w:rPr>
          <w:rFonts w:hint="eastAsia" w:ascii="宋体" w:hAnsi="宋体" w:cs="宋体"/>
          <w:b w:val="0"/>
          <w:bCs/>
          <w:sz w:val="21"/>
          <w:szCs w:val="21"/>
          <w:highlight w:val="none"/>
        </w:rPr>
        <w:t>32.1供应商对本次采购活动有疑问的，按照《中华人民共和国政府采购法》《中华人民共和国政府采购法实施条例》和《政府采购质疑和投诉办法》（财政部94号令）的规定办理。</w:t>
      </w:r>
    </w:p>
    <w:p>
      <w:pPr>
        <w:adjustRightInd w:val="0"/>
        <w:snapToGrid w:val="0"/>
        <w:spacing w:line="360" w:lineRule="auto"/>
        <w:rPr>
          <w:rFonts w:ascii="宋体" w:hAnsi="宋体" w:cs="宋体"/>
          <w:szCs w:val="21"/>
          <w:highlight w:val="none"/>
        </w:rPr>
      </w:pPr>
      <w:r>
        <w:rPr>
          <w:rFonts w:hint="eastAsia" w:ascii="宋体" w:hAnsi="宋体" w:cs="宋体"/>
          <w:szCs w:val="21"/>
          <w:highlight w:val="none"/>
        </w:rPr>
        <w:t>32.2供应商对采购文件、采购过程或中标结果使自身的合法权益受到损害，应当在法定期限内，按照质疑函范本格式要求以书面形式向采购代理机构或采购人提出质疑。</w:t>
      </w:r>
    </w:p>
    <w:p>
      <w:pPr>
        <w:adjustRightInd w:val="0"/>
        <w:snapToGrid w:val="0"/>
        <w:spacing w:line="360" w:lineRule="auto"/>
        <w:rPr>
          <w:rFonts w:ascii="宋体" w:hAnsi="宋体" w:cs="宋体"/>
          <w:szCs w:val="21"/>
          <w:highlight w:val="none"/>
        </w:rPr>
      </w:pPr>
      <w:r>
        <w:rPr>
          <w:rFonts w:hint="eastAsia" w:ascii="宋体" w:hAnsi="宋体" w:cs="宋体"/>
          <w:szCs w:val="21"/>
          <w:highlight w:val="none"/>
        </w:rPr>
        <w:t>（1）质疑书应当包括以下主要内容：被质疑项目名称、项目编号、标段/包号、采购文件获取日期、质疑事项、证据及来源线索、法律依据（具体条款）、招标采购活动中自己权益受到侵害的实质内容、质疑人有效联系方式等。</w:t>
      </w:r>
    </w:p>
    <w:p>
      <w:pPr>
        <w:adjustRightInd w:val="0"/>
        <w:snapToGrid w:val="0"/>
        <w:spacing w:line="360" w:lineRule="auto"/>
        <w:rPr>
          <w:rFonts w:ascii="宋体" w:hAnsi="宋体" w:cs="宋体"/>
          <w:szCs w:val="21"/>
          <w:highlight w:val="none"/>
        </w:rPr>
      </w:pPr>
      <w:r>
        <w:rPr>
          <w:rFonts w:hint="eastAsia" w:ascii="宋体" w:hAnsi="宋体" w:cs="宋体"/>
          <w:szCs w:val="21"/>
          <w:highlight w:val="none"/>
        </w:rPr>
        <w:t>（2）质疑书应当由法定代表人或授权代表签字或盖章，并加盖单位公章，公章不得以合同章或其他印章代替，并附法人身份证明。</w:t>
      </w:r>
    </w:p>
    <w:p>
      <w:pPr>
        <w:adjustRightInd w:val="0"/>
        <w:snapToGrid w:val="0"/>
        <w:spacing w:line="360" w:lineRule="auto"/>
        <w:rPr>
          <w:rFonts w:ascii="宋体" w:hAnsi="宋体" w:cs="宋体"/>
          <w:szCs w:val="21"/>
          <w:highlight w:val="none"/>
        </w:rPr>
      </w:pPr>
      <w:r>
        <w:rPr>
          <w:rFonts w:hint="eastAsia" w:ascii="宋体" w:hAnsi="宋体" w:cs="宋体"/>
          <w:szCs w:val="21"/>
          <w:highlight w:val="none"/>
        </w:rPr>
        <w:t>（3）质疑人可以委托代理人办理质疑事项，代理人办理质疑事项时，除提交质疑书外，还应当提交质疑人的授权委托书及代理人的有效身份证明，授权委托书应当载明委托代理的具体权限和事项。</w:t>
      </w:r>
    </w:p>
    <w:p>
      <w:pPr>
        <w:adjustRightInd w:val="0"/>
        <w:snapToGrid w:val="0"/>
        <w:spacing w:line="360" w:lineRule="auto"/>
        <w:rPr>
          <w:rFonts w:ascii="宋体" w:hAnsi="宋体" w:cs="宋体"/>
          <w:szCs w:val="21"/>
          <w:highlight w:val="none"/>
        </w:rPr>
      </w:pPr>
      <w:r>
        <w:rPr>
          <w:rFonts w:hint="eastAsia" w:ascii="宋体" w:hAnsi="宋体" w:cs="宋体"/>
          <w:szCs w:val="21"/>
          <w:highlight w:val="none"/>
        </w:rPr>
        <w:t>（4）质疑函范本格式在中国政府采购网站（http://www.ccgp.gov.cn/）自行下载。</w:t>
      </w:r>
    </w:p>
    <w:p>
      <w:pPr>
        <w:adjustRightInd w:val="0"/>
        <w:snapToGrid w:val="0"/>
        <w:spacing w:line="360" w:lineRule="auto"/>
        <w:rPr>
          <w:rFonts w:ascii="宋体" w:hAnsi="宋体" w:cs="宋体"/>
          <w:szCs w:val="21"/>
          <w:highlight w:val="none"/>
        </w:rPr>
      </w:pPr>
      <w:r>
        <w:rPr>
          <w:rFonts w:hint="eastAsia" w:ascii="宋体" w:hAnsi="宋体" w:cs="宋体"/>
          <w:szCs w:val="21"/>
          <w:highlight w:val="none"/>
        </w:rPr>
        <w:t>（5）接收质疑函的联系部门、联系电话和通讯地址同采购公告。</w:t>
      </w:r>
    </w:p>
    <w:p>
      <w:pPr>
        <w:adjustRightInd w:val="0"/>
        <w:snapToGrid w:val="0"/>
        <w:spacing w:line="360" w:lineRule="auto"/>
        <w:rPr>
          <w:rFonts w:ascii="宋体" w:hAnsi="宋体" w:cs="宋体"/>
          <w:szCs w:val="21"/>
          <w:highlight w:val="none"/>
        </w:rPr>
      </w:pPr>
      <w:r>
        <w:rPr>
          <w:rFonts w:hint="eastAsia" w:ascii="宋体" w:hAnsi="宋体" w:cs="宋体"/>
          <w:szCs w:val="21"/>
          <w:highlight w:val="none"/>
        </w:rPr>
        <w:t>32.3 有下列情形之一的，属于无效质疑，采购代理机构和采购人不予受理：</w:t>
      </w:r>
    </w:p>
    <w:p>
      <w:pPr>
        <w:adjustRightInd w:val="0"/>
        <w:snapToGrid w:val="0"/>
        <w:spacing w:line="360" w:lineRule="auto"/>
        <w:rPr>
          <w:rFonts w:ascii="宋体" w:hAnsi="宋体" w:cs="宋体"/>
          <w:szCs w:val="21"/>
          <w:highlight w:val="none"/>
        </w:rPr>
      </w:pPr>
      <w:r>
        <w:rPr>
          <w:rFonts w:hint="eastAsia" w:ascii="宋体" w:hAnsi="宋体" w:cs="宋体"/>
          <w:szCs w:val="21"/>
          <w:highlight w:val="none"/>
        </w:rPr>
        <w:t>（1）质疑人不是参与本次政府采购项目的供应商；</w:t>
      </w:r>
    </w:p>
    <w:p>
      <w:pPr>
        <w:adjustRightInd w:val="0"/>
        <w:snapToGrid w:val="0"/>
        <w:spacing w:line="360" w:lineRule="auto"/>
        <w:rPr>
          <w:rFonts w:ascii="宋体" w:hAnsi="宋体" w:cs="宋体"/>
          <w:szCs w:val="21"/>
          <w:highlight w:val="none"/>
        </w:rPr>
      </w:pPr>
      <w:r>
        <w:rPr>
          <w:rFonts w:hint="eastAsia" w:ascii="宋体" w:hAnsi="宋体" w:cs="宋体"/>
          <w:szCs w:val="21"/>
          <w:highlight w:val="none"/>
        </w:rPr>
        <w:t>（2）质疑人与质疑事项不存在利害关系的；</w:t>
      </w:r>
    </w:p>
    <w:p>
      <w:pPr>
        <w:adjustRightInd w:val="0"/>
        <w:snapToGrid w:val="0"/>
        <w:spacing w:line="360" w:lineRule="auto"/>
        <w:rPr>
          <w:rFonts w:ascii="宋体" w:hAnsi="宋体" w:cs="宋体"/>
          <w:szCs w:val="21"/>
          <w:highlight w:val="none"/>
        </w:rPr>
      </w:pPr>
      <w:r>
        <w:rPr>
          <w:rFonts w:hint="eastAsia" w:ascii="宋体" w:hAnsi="宋体" w:cs="宋体"/>
          <w:szCs w:val="21"/>
          <w:highlight w:val="none"/>
        </w:rPr>
        <w:t>（3）未在法定期限内提出质疑的；</w:t>
      </w:r>
    </w:p>
    <w:p>
      <w:pPr>
        <w:adjustRightInd w:val="0"/>
        <w:snapToGrid w:val="0"/>
        <w:spacing w:line="360" w:lineRule="auto"/>
        <w:rPr>
          <w:rFonts w:ascii="宋体" w:hAnsi="宋体" w:cs="宋体"/>
          <w:szCs w:val="21"/>
          <w:highlight w:val="none"/>
        </w:rPr>
      </w:pPr>
      <w:r>
        <w:rPr>
          <w:rFonts w:hint="eastAsia" w:ascii="宋体" w:hAnsi="宋体" w:cs="宋体"/>
          <w:szCs w:val="21"/>
          <w:highlight w:val="none"/>
        </w:rPr>
        <w:t>（4）质疑未以书面形式提出，以传真、电子邮件、移动通信等形式即时收悉提交的质疑材料；</w:t>
      </w:r>
    </w:p>
    <w:p>
      <w:pPr>
        <w:adjustRightInd w:val="0"/>
        <w:snapToGrid w:val="0"/>
        <w:spacing w:line="360" w:lineRule="auto"/>
        <w:rPr>
          <w:rFonts w:ascii="宋体" w:hAnsi="宋体" w:cs="宋体"/>
          <w:szCs w:val="21"/>
          <w:highlight w:val="none"/>
        </w:rPr>
      </w:pPr>
      <w:r>
        <w:rPr>
          <w:rFonts w:hint="eastAsia" w:ascii="宋体" w:hAnsi="宋体" w:cs="宋体"/>
          <w:szCs w:val="21"/>
          <w:highlight w:val="none"/>
        </w:rPr>
        <w:t>（5）质疑未按质疑函范本格式提出的；</w:t>
      </w:r>
    </w:p>
    <w:p>
      <w:pPr>
        <w:adjustRightInd w:val="0"/>
        <w:snapToGrid w:val="0"/>
        <w:spacing w:line="360" w:lineRule="auto"/>
        <w:rPr>
          <w:rFonts w:ascii="宋体" w:hAnsi="宋体" w:cs="宋体"/>
          <w:szCs w:val="21"/>
          <w:highlight w:val="none"/>
        </w:rPr>
      </w:pPr>
      <w:r>
        <w:rPr>
          <w:rFonts w:hint="eastAsia" w:ascii="宋体" w:hAnsi="宋体" w:cs="宋体"/>
          <w:szCs w:val="21"/>
          <w:highlight w:val="none"/>
        </w:rPr>
        <w:t>（6）质疑书主要内容构成不完整的；</w:t>
      </w:r>
    </w:p>
    <w:p>
      <w:pPr>
        <w:adjustRightInd w:val="0"/>
        <w:snapToGrid w:val="0"/>
        <w:spacing w:line="360" w:lineRule="auto"/>
        <w:rPr>
          <w:rFonts w:ascii="宋体" w:hAnsi="宋体" w:cs="宋体"/>
          <w:szCs w:val="21"/>
          <w:highlight w:val="none"/>
        </w:rPr>
      </w:pPr>
      <w:r>
        <w:rPr>
          <w:rFonts w:hint="eastAsia" w:ascii="宋体" w:hAnsi="宋体" w:cs="宋体"/>
          <w:szCs w:val="21"/>
          <w:highlight w:val="none"/>
        </w:rPr>
        <w:t>（7）质疑书没有合法有效的签字、盖章或授权的；</w:t>
      </w:r>
    </w:p>
    <w:p>
      <w:pPr>
        <w:adjustRightInd w:val="0"/>
        <w:snapToGrid w:val="0"/>
        <w:spacing w:line="360" w:lineRule="auto"/>
        <w:rPr>
          <w:rFonts w:ascii="宋体" w:hAnsi="宋体" w:cs="宋体"/>
          <w:szCs w:val="21"/>
          <w:highlight w:val="none"/>
        </w:rPr>
      </w:pPr>
      <w:r>
        <w:rPr>
          <w:rFonts w:hint="eastAsia" w:ascii="宋体" w:hAnsi="宋体" w:cs="宋体"/>
          <w:szCs w:val="21"/>
          <w:highlight w:val="none"/>
        </w:rPr>
        <w:t>（8）以非法手段取得证据、材料的；</w:t>
      </w:r>
    </w:p>
    <w:p>
      <w:pPr>
        <w:adjustRightInd w:val="0"/>
        <w:snapToGrid w:val="0"/>
        <w:spacing w:line="360" w:lineRule="auto"/>
        <w:rPr>
          <w:rFonts w:ascii="宋体" w:hAnsi="宋体" w:cs="宋体"/>
          <w:szCs w:val="21"/>
          <w:highlight w:val="none"/>
        </w:rPr>
      </w:pPr>
      <w:r>
        <w:rPr>
          <w:rFonts w:hint="eastAsia" w:ascii="宋体" w:hAnsi="宋体" w:cs="宋体"/>
          <w:szCs w:val="21"/>
          <w:highlight w:val="none"/>
        </w:rPr>
        <w:t>（9）质疑答复后，同一质疑人就同一事项再次提出质疑的；</w:t>
      </w:r>
    </w:p>
    <w:p>
      <w:pPr>
        <w:adjustRightInd w:val="0"/>
        <w:snapToGrid w:val="0"/>
        <w:spacing w:line="360" w:lineRule="auto"/>
        <w:rPr>
          <w:rFonts w:ascii="宋体" w:hAnsi="宋体" w:cs="宋体"/>
          <w:szCs w:val="21"/>
          <w:highlight w:val="none"/>
        </w:rPr>
      </w:pPr>
      <w:r>
        <w:rPr>
          <w:rFonts w:hint="eastAsia" w:ascii="宋体" w:hAnsi="宋体" w:cs="宋体"/>
          <w:szCs w:val="21"/>
          <w:highlight w:val="none"/>
        </w:rPr>
        <w:t>（10）不符合法律、法规、规章和政府采购监管机构规定的其他条件的。</w:t>
      </w:r>
    </w:p>
    <w:p>
      <w:pPr>
        <w:adjustRightInd w:val="0"/>
        <w:snapToGrid w:val="0"/>
        <w:spacing w:line="360" w:lineRule="auto"/>
        <w:rPr>
          <w:rFonts w:ascii="宋体" w:hAnsi="宋体" w:cs="宋体"/>
          <w:szCs w:val="21"/>
          <w:highlight w:val="none"/>
        </w:rPr>
      </w:pPr>
      <w:r>
        <w:rPr>
          <w:rFonts w:hint="eastAsia" w:ascii="宋体" w:hAnsi="宋体" w:cs="宋体"/>
          <w:szCs w:val="21"/>
          <w:highlight w:val="none"/>
        </w:rPr>
        <w:t>32.4采购代理机构或采购人将在收到书面质疑后7个工作日内做出答复，并以书面形式通知质疑人和其他有关供应商。</w:t>
      </w:r>
    </w:p>
    <w:p>
      <w:pPr>
        <w:spacing w:line="360" w:lineRule="auto"/>
        <w:jc w:val="left"/>
        <w:rPr>
          <w:rFonts w:ascii="宋体" w:hAnsi="宋体" w:cs="宋体"/>
          <w:b/>
          <w:bCs/>
          <w:kern w:val="0"/>
          <w:szCs w:val="21"/>
          <w:highlight w:val="none"/>
        </w:rPr>
      </w:pPr>
      <w:r>
        <w:rPr>
          <w:rFonts w:hint="eastAsia" w:ascii="宋体" w:hAnsi="宋体" w:cs="宋体"/>
          <w:b/>
          <w:bCs/>
          <w:kern w:val="0"/>
          <w:szCs w:val="21"/>
          <w:highlight w:val="none"/>
        </w:rPr>
        <w:t>33.投诉</w:t>
      </w:r>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供应商和其他利害关系人认为本次招标采购活动违反法律、法规和规章规定的，有权向有关行政监督机构投诉。</w:t>
      </w:r>
    </w:p>
    <w:p>
      <w:pPr>
        <w:adjustRightInd w:val="0"/>
        <w:snapToGrid w:val="0"/>
        <w:spacing w:line="360" w:lineRule="auto"/>
        <w:rPr>
          <w:rFonts w:ascii="宋体" w:hAnsi="宋体" w:cs="宋体"/>
          <w:szCs w:val="21"/>
          <w:highlight w:val="none"/>
        </w:rPr>
      </w:pPr>
      <w:r>
        <w:rPr>
          <w:rFonts w:hint="eastAsia" w:ascii="宋体" w:hAnsi="宋体" w:cs="宋体"/>
          <w:szCs w:val="21"/>
          <w:highlight w:val="none"/>
        </w:rPr>
        <w:t>（1）质疑人对采购代理机构或采购人的答复不满意，以及采购代理机构或采购人未在规定时间内做出答复的，可以在答复期满后15个工作日内向政府采购监管机构提出投诉。</w:t>
      </w:r>
    </w:p>
    <w:p>
      <w:pPr>
        <w:adjustRightInd w:val="0"/>
        <w:snapToGrid w:val="0"/>
        <w:spacing w:line="360" w:lineRule="auto"/>
        <w:rPr>
          <w:rFonts w:ascii="宋体" w:hAnsi="宋体" w:cs="宋体"/>
          <w:szCs w:val="21"/>
          <w:highlight w:val="none"/>
        </w:rPr>
      </w:pPr>
      <w:r>
        <w:rPr>
          <w:rFonts w:hint="eastAsia" w:ascii="宋体" w:hAnsi="宋体" w:cs="宋体"/>
          <w:szCs w:val="21"/>
          <w:highlight w:val="none"/>
        </w:rPr>
        <w:t>（2）供应商投诉的事项不得超出已质疑事项的范围。</w:t>
      </w:r>
    </w:p>
    <w:p>
      <w:pPr>
        <w:adjustRightInd w:val="0"/>
        <w:snapToGrid w:val="0"/>
        <w:spacing w:line="360" w:lineRule="auto"/>
        <w:rPr>
          <w:rFonts w:ascii="宋体" w:hAnsi="宋体" w:cs="宋体"/>
          <w:szCs w:val="21"/>
          <w:highlight w:val="none"/>
        </w:rPr>
      </w:pPr>
      <w:r>
        <w:rPr>
          <w:rFonts w:hint="eastAsia" w:ascii="宋体" w:hAnsi="宋体" w:cs="宋体"/>
          <w:szCs w:val="21"/>
          <w:highlight w:val="none"/>
        </w:rPr>
        <w:t>（3）投诉书范本格式在中国政府采购网站（http://www.ccgp.gov.cn/）自行下载。</w:t>
      </w:r>
    </w:p>
    <w:p>
      <w:pPr>
        <w:spacing w:line="360" w:lineRule="auto"/>
        <w:jc w:val="left"/>
        <w:rPr>
          <w:rFonts w:ascii="宋体" w:hAnsi="宋体" w:cs="宋体"/>
          <w:b/>
          <w:bCs/>
          <w:kern w:val="0"/>
          <w:szCs w:val="21"/>
          <w:highlight w:val="none"/>
        </w:rPr>
      </w:pPr>
      <w:r>
        <w:rPr>
          <w:rFonts w:hint="eastAsia" w:ascii="宋体" w:hAnsi="宋体" w:cs="宋体"/>
          <w:b/>
          <w:bCs/>
          <w:kern w:val="0"/>
          <w:szCs w:val="21"/>
          <w:highlight w:val="none"/>
        </w:rPr>
        <w:t>34.其他</w:t>
      </w:r>
    </w:p>
    <w:p>
      <w:pPr>
        <w:adjustRightInd w:val="0"/>
        <w:snapToGrid w:val="0"/>
        <w:spacing w:line="360" w:lineRule="auto"/>
        <w:rPr>
          <w:rFonts w:ascii="宋体" w:hAnsi="宋体" w:cs="宋体"/>
          <w:szCs w:val="21"/>
          <w:highlight w:val="none"/>
        </w:rPr>
      </w:pPr>
      <w:r>
        <w:rPr>
          <w:rFonts w:hint="eastAsia" w:ascii="宋体" w:hAnsi="宋体" w:cs="宋体"/>
          <w:szCs w:val="21"/>
          <w:highlight w:val="none"/>
        </w:rPr>
        <w:t>34.1成交供应商确定后，成交供应商无正当理由拖延或拒签合同的，采购人有权取消其成交资格，并按评审顺序重新确定成交供应商。同时报请监督机构予以通报，禁止其进入政府采购市场。给采购人造成损失的，还应当予以赔偿，并依法承担相应法律责任。</w:t>
      </w:r>
    </w:p>
    <w:p>
      <w:pPr>
        <w:adjustRightInd w:val="0"/>
        <w:snapToGrid w:val="0"/>
        <w:spacing w:line="360" w:lineRule="auto"/>
        <w:rPr>
          <w:rFonts w:ascii="宋体" w:hAnsi="宋体" w:cs="宋体"/>
          <w:szCs w:val="21"/>
          <w:highlight w:val="none"/>
        </w:rPr>
      </w:pPr>
      <w:r>
        <w:rPr>
          <w:rFonts w:hint="eastAsia" w:ascii="宋体" w:hAnsi="宋体" w:cs="宋体"/>
          <w:szCs w:val="21"/>
          <w:highlight w:val="none"/>
        </w:rPr>
        <w:t>34.2 磋商后，如果发生有效供应商不足三家(财库〔2015〕124号规定的情形、陕财办采资〔2018〕26号规定的特殊情形处理除外)或所有供应商的报价均超过采购预算，采购人不能支付的情况，可决定废标或选用其它采购方式进行采购。</w:t>
      </w:r>
    </w:p>
    <w:p>
      <w:pPr>
        <w:adjustRightInd w:val="0"/>
        <w:snapToGrid w:val="0"/>
        <w:spacing w:line="360" w:lineRule="auto"/>
        <w:rPr>
          <w:highlight w:val="none"/>
        </w:rPr>
      </w:pPr>
      <w:r>
        <w:rPr>
          <w:rFonts w:hint="eastAsia" w:ascii="宋体" w:hAnsi="宋体" w:cs="宋体"/>
          <w:szCs w:val="21"/>
          <w:highlight w:val="none"/>
        </w:rPr>
        <w:t>34.3成交供应商应在签订的服务合同中注明是否将该合同用于申请信用融资，若需要，乙方须提供融资银行名称及在该银行开设的收款账号信息。若成交供应商弄虚作假或以伪造政府采购服务合同等方式违规获取政府采购信用融资，或无故不及时还款的，或出现其他违反法律法规的行为，除按融资合同约定承担违约责任外，同级财政部门应当将其行为按“不良行为”记入供应商诚信档案；情节严重的，应记入供应商“黑名单”；涉嫌犯罪的，移送司法机关处理。</w:t>
      </w:r>
    </w:p>
    <w:p>
      <w:pPr>
        <w:pStyle w:val="18"/>
        <w:rPr>
          <w:rFonts w:hint="eastAsia" w:ascii="宋体" w:hAnsi="宋体" w:cs="宋体"/>
          <w:b/>
          <w:bCs/>
          <w:kern w:val="0"/>
          <w:sz w:val="24"/>
          <w:szCs w:val="24"/>
          <w:highlight w:val="none"/>
        </w:rPr>
      </w:pPr>
      <w:bookmarkStart w:id="430" w:name="_Toc29928"/>
      <w:bookmarkStart w:id="431" w:name="_Toc7524522"/>
      <w:bookmarkStart w:id="432" w:name="_Toc3272"/>
      <w:bookmarkStart w:id="433" w:name="_Toc2149"/>
      <w:bookmarkStart w:id="434" w:name="_Toc28831"/>
      <w:bookmarkStart w:id="435" w:name="_Toc18916"/>
      <w:bookmarkStart w:id="436" w:name="_Toc7524507"/>
      <w:bookmarkStart w:id="437" w:name="_Toc18980"/>
      <w:bookmarkStart w:id="438" w:name="_Toc9569"/>
    </w:p>
    <w:p>
      <w:pPr>
        <w:pStyle w:val="18"/>
        <w:rPr>
          <w:rFonts w:ascii="宋体" w:hAnsi="宋体" w:cs="宋体"/>
          <w:b/>
          <w:bCs/>
          <w:kern w:val="0"/>
          <w:sz w:val="24"/>
          <w:szCs w:val="24"/>
          <w:highlight w:val="none"/>
        </w:rPr>
      </w:pPr>
      <w:r>
        <w:rPr>
          <w:rFonts w:hint="eastAsia" w:ascii="宋体" w:hAnsi="宋体" w:cs="宋体"/>
          <w:b/>
          <w:bCs/>
          <w:kern w:val="0"/>
          <w:sz w:val="24"/>
          <w:szCs w:val="24"/>
          <w:highlight w:val="none"/>
        </w:rPr>
        <w:t>附件一：西安市政府采购信用担保及信用融资合作机构联系名单</w:t>
      </w:r>
    </w:p>
    <w:tbl>
      <w:tblPr>
        <w:tblStyle w:val="28"/>
        <w:tblW w:w="9195" w:type="dxa"/>
        <w:tblInd w:w="93" w:type="dxa"/>
        <w:tblLayout w:type="fixed"/>
        <w:tblCellMar>
          <w:top w:w="0" w:type="dxa"/>
          <w:left w:w="108" w:type="dxa"/>
          <w:bottom w:w="0" w:type="dxa"/>
          <w:right w:w="108" w:type="dxa"/>
        </w:tblCellMar>
      </w:tblPr>
      <w:tblGrid>
        <w:gridCol w:w="670"/>
        <w:gridCol w:w="1918"/>
        <w:gridCol w:w="1357"/>
        <w:gridCol w:w="979"/>
        <w:gridCol w:w="914"/>
        <w:gridCol w:w="2500"/>
        <w:gridCol w:w="857"/>
      </w:tblGrid>
      <w:tr>
        <w:tblPrEx>
          <w:tblCellMar>
            <w:top w:w="0" w:type="dxa"/>
            <w:left w:w="108" w:type="dxa"/>
            <w:bottom w:w="0" w:type="dxa"/>
            <w:right w:w="108" w:type="dxa"/>
          </w:tblCellMar>
        </w:tblPrEx>
        <w:trPr>
          <w:trHeight w:val="979" w:hRule="atLeast"/>
        </w:trPr>
        <w:tc>
          <w:tcPr>
            <w:tcW w:w="670"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ascii="宋体" w:hAnsi="宋体" w:cs="宋体"/>
                <w:b/>
                <w:bCs/>
                <w:kern w:val="0"/>
                <w:szCs w:val="21"/>
                <w:highlight w:val="none"/>
              </w:rPr>
            </w:pPr>
            <w:r>
              <w:rPr>
                <w:rFonts w:hint="eastAsia" w:ascii="宋体" w:hAnsi="宋体" w:cs="宋体"/>
                <w:b/>
                <w:bCs/>
                <w:kern w:val="0"/>
                <w:szCs w:val="21"/>
                <w:highlight w:val="none"/>
              </w:rPr>
              <w:t>序号</w:t>
            </w:r>
          </w:p>
        </w:tc>
        <w:tc>
          <w:tcPr>
            <w:tcW w:w="1918"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ascii="宋体" w:hAnsi="宋体" w:cs="宋体"/>
                <w:b/>
                <w:bCs/>
                <w:kern w:val="0"/>
                <w:szCs w:val="21"/>
                <w:highlight w:val="none"/>
              </w:rPr>
            </w:pPr>
            <w:r>
              <w:rPr>
                <w:rFonts w:hint="eastAsia" w:ascii="宋体" w:hAnsi="宋体" w:cs="宋体"/>
                <w:b/>
                <w:bCs/>
                <w:kern w:val="0"/>
                <w:szCs w:val="21"/>
                <w:highlight w:val="none"/>
              </w:rPr>
              <w:t>合作单位名称</w:t>
            </w:r>
          </w:p>
        </w:tc>
        <w:tc>
          <w:tcPr>
            <w:tcW w:w="1357"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ascii="宋体" w:hAnsi="宋体" w:cs="宋体"/>
                <w:b/>
                <w:bCs/>
                <w:kern w:val="0"/>
                <w:szCs w:val="21"/>
                <w:highlight w:val="none"/>
              </w:rPr>
            </w:pPr>
            <w:r>
              <w:rPr>
                <w:rFonts w:hint="eastAsia" w:ascii="宋体" w:hAnsi="宋体" w:cs="宋体"/>
                <w:b/>
                <w:bCs/>
                <w:kern w:val="0"/>
                <w:szCs w:val="21"/>
                <w:highlight w:val="none"/>
              </w:rPr>
              <w:t>主办单位名称</w:t>
            </w:r>
          </w:p>
        </w:tc>
        <w:tc>
          <w:tcPr>
            <w:tcW w:w="979"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ascii="宋体" w:hAnsi="宋体" w:cs="宋体"/>
                <w:b/>
                <w:bCs/>
                <w:kern w:val="0"/>
                <w:szCs w:val="21"/>
                <w:highlight w:val="none"/>
              </w:rPr>
            </w:pPr>
            <w:r>
              <w:rPr>
                <w:rFonts w:hint="eastAsia" w:ascii="宋体" w:hAnsi="宋体" w:cs="宋体"/>
                <w:b/>
                <w:bCs/>
                <w:kern w:val="0"/>
                <w:szCs w:val="21"/>
                <w:highlight w:val="none"/>
              </w:rPr>
              <w:t>联系部门</w:t>
            </w:r>
          </w:p>
        </w:tc>
        <w:tc>
          <w:tcPr>
            <w:tcW w:w="91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ascii="宋体" w:hAnsi="宋体" w:cs="宋体"/>
                <w:b/>
                <w:bCs/>
                <w:kern w:val="0"/>
                <w:szCs w:val="21"/>
                <w:highlight w:val="none"/>
              </w:rPr>
            </w:pPr>
            <w:r>
              <w:rPr>
                <w:rFonts w:hint="eastAsia" w:ascii="宋体" w:hAnsi="宋体" w:cs="宋体"/>
                <w:b/>
                <w:bCs/>
                <w:kern w:val="0"/>
                <w:szCs w:val="21"/>
                <w:highlight w:val="none"/>
              </w:rPr>
              <w:t>联系</w:t>
            </w:r>
          </w:p>
          <w:p>
            <w:pPr>
              <w:spacing w:line="360" w:lineRule="auto"/>
              <w:jc w:val="left"/>
              <w:rPr>
                <w:rFonts w:ascii="宋体" w:hAnsi="宋体" w:cs="宋体"/>
                <w:b/>
                <w:bCs/>
                <w:kern w:val="0"/>
                <w:szCs w:val="21"/>
                <w:highlight w:val="none"/>
              </w:rPr>
            </w:pPr>
            <w:r>
              <w:rPr>
                <w:rFonts w:hint="eastAsia" w:ascii="宋体" w:hAnsi="宋体" w:cs="宋体"/>
                <w:b/>
                <w:bCs/>
                <w:kern w:val="0"/>
                <w:szCs w:val="21"/>
                <w:highlight w:val="none"/>
              </w:rPr>
              <w:t>人员</w:t>
            </w:r>
          </w:p>
        </w:tc>
        <w:tc>
          <w:tcPr>
            <w:tcW w:w="2500"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ascii="宋体" w:hAnsi="宋体" w:cs="宋体"/>
                <w:b/>
                <w:bCs/>
                <w:kern w:val="0"/>
                <w:szCs w:val="21"/>
                <w:highlight w:val="none"/>
              </w:rPr>
            </w:pPr>
            <w:r>
              <w:rPr>
                <w:rFonts w:hint="eastAsia" w:ascii="宋体" w:hAnsi="宋体" w:cs="宋体"/>
                <w:b/>
                <w:bCs/>
                <w:kern w:val="0"/>
                <w:szCs w:val="21"/>
                <w:highlight w:val="none"/>
              </w:rPr>
              <w:t>联系电话</w:t>
            </w:r>
          </w:p>
        </w:tc>
        <w:tc>
          <w:tcPr>
            <w:tcW w:w="857"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ascii="宋体" w:hAnsi="宋体" w:cs="宋体"/>
                <w:b/>
                <w:bCs/>
                <w:kern w:val="0"/>
                <w:szCs w:val="21"/>
                <w:highlight w:val="none"/>
              </w:rPr>
            </w:pPr>
            <w:r>
              <w:rPr>
                <w:rFonts w:hint="eastAsia" w:ascii="宋体" w:hAnsi="宋体" w:cs="宋体"/>
                <w:b/>
                <w:bCs/>
                <w:kern w:val="0"/>
                <w:szCs w:val="21"/>
                <w:highlight w:val="none"/>
              </w:rPr>
              <w:t>备注</w:t>
            </w:r>
          </w:p>
        </w:tc>
      </w:tr>
      <w:tr>
        <w:tblPrEx>
          <w:tblCellMar>
            <w:top w:w="0" w:type="dxa"/>
            <w:left w:w="108" w:type="dxa"/>
            <w:bottom w:w="0" w:type="dxa"/>
            <w:right w:w="108" w:type="dxa"/>
          </w:tblCellMar>
        </w:tblPrEx>
        <w:trPr>
          <w:trHeight w:val="1279" w:hRule="atLeast"/>
        </w:trPr>
        <w:tc>
          <w:tcPr>
            <w:tcW w:w="670"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auto"/>
              <w:rPr>
                <w:rFonts w:ascii="宋体" w:hAnsi="宋体" w:cs="宋体"/>
                <w:szCs w:val="21"/>
                <w:highlight w:val="none"/>
              </w:rPr>
            </w:pPr>
            <w:r>
              <w:rPr>
                <w:rFonts w:hint="eastAsia" w:ascii="宋体" w:hAnsi="宋体" w:cs="宋体"/>
                <w:szCs w:val="21"/>
                <w:highlight w:val="none"/>
              </w:rPr>
              <w:t>1</w:t>
            </w:r>
          </w:p>
        </w:tc>
        <w:tc>
          <w:tcPr>
            <w:tcW w:w="1918"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auto"/>
              <w:rPr>
                <w:rFonts w:ascii="宋体" w:hAnsi="宋体" w:cs="宋体"/>
                <w:szCs w:val="21"/>
                <w:highlight w:val="none"/>
              </w:rPr>
            </w:pPr>
            <w:r>
              <w:rPr>
                <w:rFonts w:hint="eastAsia" w:ascii="宋体" w:hAnsi="宋体" w:cs="宋体"/>
                <w:szCs w:val="21"/>
                <w:highlight w:val="none"/>
              </w:rPr>
              <w:t>西安投融资担保有限公司</w:t>
            </w:r>
          </w:p>
        </w:tc>
        <w:tc>
          <w:tcPr>
            <w:tcW w:w="1357"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auto"/>
              <w:rPr>
                <w:rFonts w:ascii="宋体" w:hAnsi="宋体" w:cs="宋体"/>
                <w:szCs w:val="21"/>
                <w:highlight w:val="none"/>
              </w:rPr>
            </w:pPr>
            <w:r>
              <w:rPr>
                <w:rFonts w:hint="eastAsia" w:ascii="宋体" w:hAnsi="宋体" w:cs="宋体"/>
                <w:szCs w:val="21"/>
                <w:highlight w:val="none"/>
              </w:rPr>
              <w:t>西安投融资担保有限公司</w:t>
            </w:r>
          </w:p>
        </w:tc>
        <w:tc>
          <w:tcPr>
            <w:tcW w:w="979"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auto"/>
              <w:rPr>
                <w:rFonts w:ascii="宋体" w:hAnsi="宋体" w:cs="宋体"/>
                <w:szCs w:val="21"/>
                <w:highlight w:val="none"/>
              </w:rPr>
            </w:pPr>
            <w:r>
              <w:rPr>
                <w:rFonts w:hint="eastAsia" w:ascii="宋体" w:hAnsi="宋体" w:cs="宋体"/>
                <w:szCs w:val="21"/>
                <w:highlight w:val="none"/>
              </w:rPr>
              <w:t>业务五部</w:t>
            </w:r>
          </w:p>
        </w:tc>
        <w:tc>
          <w:tcPr>
            <w:tcW w:w="9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rPr>
                <w:rFonts w:ascii="宋体" w:hAnsi="宋体" w:cs="宋体"/>
                <w:szCs w:val="21"/>
                <w:highlight w:val="none"/>
              </w:rPr>
            </w:pPr>
            <w:r>
              <w:rPr>
                <w:rFonts w:hint="eastAsia" w:ascii="宋体" w:hAnsi="宋体" w:cs="宋体"/>
                <w:szCs w:val="21"/>
                <w:highlight w:val="none"/>
              </w:rPr>
              <w:t>李晓</w:t>
            </w:r>
          </w:p>
          <w:p>
            <w:pPr>
              <w:adjustRightInd w:val="0"/>
              <w:snapToGrid w:val="0"/>
              <w:spacing w:line="360" w:lineRule="auto"/>
              <w:rPr>
                <w:rFonts w:ascii="宋体" w:hAnsi="宋体" w:cs="宋体"/>
                <w:szCs w:val="21"/>
                <w:highlight w:val="none"/>
              </w:rPr>
            </w:pPr>
            <w:r>
              <w:rPr>
                <w:rFonts w:hint="eastAsia" w:ascii="宋体" w:hAnsi="宋体" w:cs="宋体"/>
                <w:szCs w:val="21"/>
                <w:highlight w:val="none"/>
              </w:rPr>
              <w:t>何彦君</w:t>
            </w:r>
          </w:p>
          <w:p>
            <w:pPr>
              <w:adjustRightInd w:val="0"/>
              <w:snapToGrid w:val="0"/>
              <w:spacing w:line="360" w:lineRule="auto"/>
              <w:rPr>
                <w:rFonts w:ascii="宋体" w:hAnsi="宋体" w:cs="宋体"/>
                <w:szCs w:val="21"/>
                <w:highlight w:val="none"/>
              </w:rPr>
            </w:pPr>
            <w:r>
              <w:rPr>
                <w:rFonts w:hint="eastAsia" w:ascii="宋体" w:hAnsi="宋体" w:cs="宋体"/>
                <w:szCs w:val="21"/>
                <w:highlight w:val="none"/>
              </w:rPr>
              <w:t>张华</w:t>
            </w:r>
          </w:p>
        </w:tc>
        <w:tc>
          <w:tcPr>
            <w:tcW w:w="250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rPr>
                <w:rFonts w:ascii="宋体" w:hAnsi="宋体" w:cs="宋体"/>
                <w:szCs w:val="21"/>
                <w:highlight w:val="none"/>
              </w:rPr>
            </w:pPr>
            <w:r>
              <w:rPr>
                <w:rFonts w:hint="eastAsia" w:ascii="宋体" w:hAnsi="宋体" w:cs="宋体"/>
                <w:szCs w:val="21"/>
                <w:highlight w:val="none"/>
              </w:rPr>
              <w:t>88499422 13572821281</w:t>
            </w:r>
          </w:p>
          <w:p>
            <w:pPr>
              <w:adjustRightInd w:val="0"/>
              <w:snapToGrid w:val="0"/>
              <w:spacing w:line="360" w:lineRule="auto"/>
              <w:rPr>
                <w:rFonts w:ascii="宋体" w:hAnsi="宋体" w:cs="宋体"/>
                <w:szCs w:val="21"/>
                <w:highlight w:val="none"/>
              </w:rPr>
            </w:pPr>
            <w:r>
              <w:rPr>
                <w:rFonts w:hint="eastAsia" w:ascii="宋体" w:hAnsi="宋体" w:cs="宋体"/>
                <w:szCs w:val="21"/>
                <w:highlight w:val="none"/>
              </w:rPr>
              <w:t>88499422 13679255205</w:t>
            </w:r>
          </w:p>
          <w:p>
            <w:pPr>
              <w:adjustRightInd w:val="0"/>
              <w:snapToGrid w:val="0"/>
              <w:spacing w:line="360" w:lineRule="auto"/>
              <w:rPr>
                <w:rFonts w:ascii="宋体" w:hAnsi="宋体" w:cs="宋体"/>
                <w:szCs w:val="21"/>
                <w:highlight w:val="none"/>
              </w:rPr>
            </w:pPr>
            <w:r>
              <w:rPr>
                <w:rFonts w:hint="eastAsia" w:ascii="宋体" w:hAnsi="宋体" w:cs="宋体"/>
                <w:szCs w:val="21"/>
                <w:highlight w:val="none"/>
              </w:rPr>
              <w:t>88499422 18220823060</w:t>
            </w:r>
          </w:p>
        </w:tc>
        <w:tc>
          <w:tcPr>
            <w:tcW w:w="857"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auto"/>
              <w:rPr>
                <w:rFonts w:ascii="宋体" w:hAnsi="宋体" w:cs="宋体"/>
                <w:szCs w:val="21"/>
                <w:highlight w:val="none"/>
              </w:rPr>
            </w:pPr>
            <w:r>
              <w:rPr>
                <w:rFonts w:hint="eastAsia" w:ascii="宋体" w:hAnsi="宋体" w:cs="宋体"/>
                <w:szCs w:val="21"/>
                <w:highlight w:val="none"/>
              </w:rPr>
              <w:t>信用担保</w:t>
            </w:r>
          </w:p>
        </w:tc>
      </w:tr>
      <w:tr>
        <w:tblPrEx>
          <w:tblCellMar>
            <w:top w:w="0" w:type="dxa"/>
            <w:left w:w="108" w:type="dxa"/>
            <w:bottom w:w="0" w:type="dxa"/>
            <w:right w:w="108" w:type="dxa"/>
          </w:tblCellMar>
        </w:tblPrEx>
        <w:trPr>
          <w:trHeight w:val="1337" w:hRule="atLeast"/>
        </w:trPr>
        <w:tc>
          <w:tcPr>
            <w:tcW w:w="670"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auto"/>
              <w:rPr>
                <w:rFonts w:ascii="宋体" w:hAnsi="宋体" w:cs="宋体"/>
                <w:szCs w:val="21"/>
                <w:highlight w:val="none"/>
              </w:rPr>
            </w:pPr>
            <w:r>
              <w:rPr>
                <w:rFonts w:hint="eastAsia" w:ascii="宋体" w:hAnsi="宋体" w:cs="宋体"/>
                <w:szCs w:val="21"/>
                <w:highlight w:val="none"/>
              </w:rPr>
              <w:t>2</w:t>
            </w:r>
          </w:p>
        </w:tc>
        <w:tc>
          <w:tcPr>
            <w:tcW w:w="191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rPr>
                <w:rFonts w:ascii="宋体" w:hAnsi="宋体" w:cs="宋体"/>
                <w:szCs w:val="21"/>
                <w:highlight w:val="none"/>
              </w:rPr>
            </w:pPr>
            <w:r>
              <w:rPr>
                <w:rFonts w:hint="eastAsia" w:ascii="宋体" w:hAnsi="宋体" w:cs="宋体"/>
                <w:szCs w:val="21"/>
                <w:highlight w:val="none"/>
              </w:rPr>
              <w:t>陕西省信用再担保有限责任公司</w:t>
            </w:r>
          </w:p>
        </w:tc>
        <w:tc>
          <w:tcPr>
            <w:tcW w:w="135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rPr>
                <w:rFonts w:ascii="宋体" w:hAnsi="宋体" w:cs="宋体"/>
                <w:szCs w:val="21"/>
                <w:highlight w:val="none"/>
              </w:rPr>
            </w:pPr>
            <w:r>
              <w:rPr>
                <w:rFonts w:hint="eastAsia" w:ascii="宋体" w:hAnsi="宋体" w:cs="宋体"/>
                <w:szCs w:val="21"/>
                <w:highlight w:val="none"/>
              </w:rPr>
              <w:t>陕西省信用再担保有限责任公司</w:t>
            </w:r>
          </w:p>
        </w:tc>
        <w:tc>
          <w:tcPr>
            <w:tcW w:w="979"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auto"/>
              <w:rPr>
                <w:rFonts w:ascii="宋体" w:hAnsi="宋体" w:cs="宋体"/>
                <w:szCs w:val="21"/>
                <w:highlight w:val="none"/>
              </w:rPr>
            </w:pPr>
            <w:r>
              <w:rPr>
                <w:rFonts w:hint="eastAsia" w:ascii="宋体" w:hAnsi="宋体" w:cs="宋体"/>
                <w:szCs w:val="21"/>
                <w:highlight w:val="none"/>
              </w:rPr>
              <w:t>业务三部</w:t>
            </w:r>
          </w:p>
        </w:tc>
        <w:tc>
          <w:tcPr>
            <w:tcW w:w="9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rPr>
                <w:rFonts w:ascii="宋体" w:hAnsi="宋体" w:cs="宋体"/>
                <w:szCs w:val="21"/>
                <w:highlight w:val="none"/>
              </w:rPr>
            </w:pPr>
            <w:r>
              <w:rPr>
                <w:rFonts w:hint="eastAsia" w:ascii="宋体" w:hAnsi="宋体" w:cs="宋体"/>
                <w:szCs w:val="21"/>
                <w:highlight w:val="none"/>
              </w:rPr>
              <w:t>夏靖颜</w:t>
            </w:r>
          </w:p>
          <w:p>
            <w:pPr>
              <w:adjustRightInd w:val="0"/>
              <w:snapToGrid w:val="0"/>
              <w:spacing w:line="360" w:lineRule="auto"/>
              <w:rPr>
                <w:rFonts w:ascii="宋体" w:hAnsi="宋体" w:cs="宋体"/>
                <w:szCs w:val="21"/>
                <w:highlight w:val="none"/>
              </w:rPr>
            </w:pPr>
            <w:r>
              <w:rPr>
                <w:rFonts w:hint="eastAsia" w:ascii="宋体" w:hAnsi="宋体" w:cs="宋体"/>
                <w:szCs w:val="21"/>
                <w:highlight w:val="none"/>
              </w:rPr>
              <w:t>朱筠祥</w:t>
            </w:r>
          </w:p>
        </w:tc>
        <w:tc>
          <w:tcPr>
            <w:tcW w:w="250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rPr>
                <w:rFonts w:ascii="宋体" w:hAnsi="宋体" w:cs="宋体"/>
                <w:szCs w:val="21"/>
                <w:highlight w:val="none"/>
              </w:rPr>
            </w:pPr>
            <w:r>
              <w:rPr>
                <w:rFonts w:hint="eastAsia" w:ascii="宋体" w:hAnsi="宋体" w:cs="宋体"/>
                <w:szCs w:val="21"/>
                <w:highlight w:val="none"/>
              </w:rPr>
              <w:t>88606038-6027</w:t>
            </w:r>
          </w:p>
          <w:p>
            <w:pPr>
              <w:adjustRightInd w:val="0"/>
              <w:snapToGrid w:val="0"/>
              <w:spacing w:line="360" w:lineRule="auto"/>
              <w:rPr>
                <w:rFonts w:ascii="宋体" w:hAnsi="宋体" w:cs="宋体"/>
                <w:szCs w:val="21"/>
                <w:highlight w:val="none"/>
              </w:rPr>
            </w:pPr>
            <w:r>
              <w:rPr>
                <w:rFonts w:hint="eastAsia" w:ascii="宋体" w:hAnsi="宋体" w:cs="宋体"/>
                <w:szCs w:val="21"/>
                <w:highlight w:val="none"/>
              </w:rPr>
              <w:t>18591406320</w:t>
            </w:r>
          </w:p>
          <w:p>
            <w:pPr>
              <w:adjustRightInd w:val="0"/>
              <w:snapToGrid w:val="0"/>
              <w:spacing w:line="360" w:lineRule="auto"/>
              <w:rPr>
                <w:rFonts w:ascii="宋体" w:hAnsi="宋体" w:cs="宋体"/>
                <w:szCs w:val="21"/>
                <w:highlight w:val="none"/>
              </w:rPr>
            </w:pPr>
            <w:r>
              <w:rPr>
                <w:rFonts w:hint="eastAsia" w:ascii="宋体" w:hAnsi="宋体" w:cs="宋体"/>
                <w:szCs w:val="21"/>
                <w:highlight w:val="none"/>
              </w:rPr>
              <w:t>18629282228</w:t>
            </w:r>
          </w:p>
        </w:tc>
        <w:tc>
          <w:tcPr>
            <w:tcW w:w="857"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auto"/>
              <w:rPr>
                <w:rFonts w:ascii="宋体" w:hAnsi="宋体" w:cs="宋体"/>
                <w:szCs w:val="21"/>
                <w:highlight w:val="none"/>
              </w:rPr>
            </w:pPr>
            <w:r>
              <w:rPr>
                <w:rFonts w:hint="eastAsia" w:ascii="宋体" w:hAnsi="宋体" w:cs="宋体"/>
                <w:szCs w:val="21"/>
                <w:highlight w:val="none"/>
              </w:rPr>
              <w:t>信用担保</w:t>
            </w:r>
          </w:p>
        </w:tc>
      </w:tr>
      <w:tr>
        <w:tblPrEx>
          <w:tblCellMar>
            <w:top w:w="0" w:type="dxa"/>
            <w:left w:w="108" w:type="dxa"/>
            <w:bottom w:w="0" w:type="dxa"/>
            <w:right w:w="108" w:type="dxa"/>
          </w:tblCellMar>
        </w:tblPrEx>
        <w:trPr>
          <w:trHeight w:val="1279" w:hRule="atLeast"/>
        </w:trPr>
        <w:tc>
          <w:tcPr>
            <w:tcW w:w="670"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auto"/>
              <w:rPr>
                <w:rFonts w:ascii="宋体" w:hAnsi="宋体" w:cs="宋体"/>
                <w:szCs w:val="21"/>
                <w:highlight w:val="none"/>
              </w:rPr>
            </w:pPr>
            <w:r>
              <w:rPr>
                <w:rFonts w:hint="eastAsia" w:ascii="宋体" w:hAnsi="宋体" w:cs="宋体"/>
                <w:szCs w:val="21"/>
                <w:highlight w:val="none"/>
              </w:rPr>
              <w:t>3</w:t>
            </w:r>
          </w:p>
        </w:tc>
        <w:tc>
          <w:tcPr>
            <w:tcW w:w="191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rPr>
                <w:rFonts w:ascii="宋体" w:hAnsi="宋体" w:cs="宋体"/>
                <w:szCs w:val="21"/>
                <w:highlight w:val="none"/>
              </w:rPr>
            </w:pPr>
            <w:r>
              <w:rPr>
                <w:rFonts w:hint="eastAsia" w:ascii="宋体" w:hAnsi="宋体" w:cs="宋体"/>
                <w:szCs w:val="21"/>
                <w:highlight w:val="none"/>
              </w:rPr>
              <w:t>中国银行股份有限公司陕西省分行</w:t>
            </w:r>
          </w:p>
        </w:tc>
        <w:tc>
          <w:tcPr>
            <w:tcW w:w="1357"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auto"/>
              <w:rPr>
                <w:rFonts w:ascii="宋体" w:hAnsi="宋体" w:cs="宋体"/>
                <w:szCs w:val="21"/>
                <w:highlight w:val="none"/>
              </w:rPr>
            </w:pPr>
            <w:r>
              <w:rPr>
                <w:rFonts w:hint="eastAsia" w:ascii="宋体" w:hAnsi="宋体" w:cs="宋体"/>
                <w:szCs w:val="21"/>
                <w:highlight w:val="none"/>
              </w:rPr>
              <w:t>中国银行西安二环世纪星支行</w:t>
            </w:r>
          </w:p>
        </w:tc>
        <w:tc>
          <w:tcPr>
            <w:tcW w:w="979"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auto"/>
              <w:rPr>
                <w:rFonts w:ascii="宋体" w:hAnsi="宋体" w:cs="宋体"/>
                <w:szCs w:val="21"/>
                <w:highlight w:val="none"/>
              </w:rPr>
            </w:pPr>
            <w:r>
              <w:rPr>
                <w:rFonts w:hint="eastAsia" w:ascii="宋体" w:hAnsi="宋体" w:cs="宋体"/>
                <w:szCs w:val="21"/>
                <w:highlight w:val="none"/>
              </w:rPr>
              <w:t>公司业务部</w:t>
            </w:r>
          </w:p>
        </w:tc>
        <w:tc>
          <w:tcPr>
            <w:tcW w:w="9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rPr>
                <w:rFonts w:ascii="宋体" w:hAnsi="宋体" w:cs="宋体"/>
                <w:szCs w:val="21"/>
                <w:highlight w:val="none"/>
              </w:rPr>
            </w:pPr>
            <w:r>
              <w:rPr>
                <w:rFonts w:hint="eastAsia" w:ascii="宋体" w:hAnsi="宋体" w:cs="宋体"/>
                <w:szCs w:val="21"/>
                <w:highlight w:val="none"/>
              </w:rPr>
              <w:t xml:space="preserve">胡涛 </w:t>
            </w:r>
          </w:p>
          <w:p>
            <w:pPr>
              <w:adjustRightInd w:val="0"/>
              <w:snapToGrid w:val="0"/>
              <w:spacing w:line="360" w:lineRule="auto"/>
              <w:rPr>
                <w:rFonts w:ascii="宋体" w:hAnsi="宋体" w:cs="宋体"/>
                <w:szCs w:val="21"/>
                <w:highlight w:val="none"/>
              </w:rPr>
            </w:pPr>
            <w:r>
              <w:rPr>
                <w:rFonts w:hint="eastAsia" w:ascii="宋体" w:hAnsi="宋体" w:cs="宋体"/>
                <w:szCs w:val="21"/>
                <w:highlight w:val="none"/>
              </w:rPr>
              <w:t>叶楚沙</w:t>
            </w:r>
          </w:p>
        </w:tc>
        <w:tc>
          <w:tcPr>
            <w:tcW w:w="250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rPr>
                <w:rFonts w:ascii="宋体" w:hAnsi="宋体" w:cs="宋体"/>
                <w:szCs w:val="21"/>
                <w:highlight w:val="none"/>
              </w:rPr>
            </w:pPr>
            <w:r>
              <w:rPr>
                <w:rFonts w:hint="eastAsia" w:ascii="宋体" w:hAnsi="宋体" w:cs="宋体"/>
                <w:szCs w:val="21"/>
                <w:highlight w:val="none"/>
              </w:rPr>
              <w:t>88360743 18629048822</w:t>
            </w:r>
          </w:p>
          <w:p>
            <w:pPr>
              <w:adjustRightInd w:val="0"/>
              <w:snapToGrid w:val="0"/>
              <w:spacing w:line="360" w:lineRule="auto"/>
              <w:rPr>
                <w:rFonts w:ascii="宋体" w:hAnsi="宋体" w:cs="宋体"/>
                <w:szCs w:val="21"/>
                <w:highlight w:val="none"/>
              </w:rPr>
            </w:pPr>
            <w:r>
              <w:rPr>
                <w:rFonts w:hint="eastAsia" w:ascii="宋体" w:hAnsi="宋体" w:cs="宋体"/>
                <w:szCs w:val="21"/>
                <w:highlight w:val="none"/>
              </w:rPr>
              <w:t>88360749 13772153612</w:t>
            </w:r>
          </w:p>
        </w:tc>
        <w:tc>
          <w:tcPr>
            <w:tcW w:w="857"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auto"/>
              <w:rPr>
                <w:rFonts w:ascii="宋体" w:hAnsi="宋体" w:cs="宋体"/>
                <w:szCs w:val="21"/>
                <w:highlight w:val="none"/>
              </w:rPr>
            </w:pPr>
            <w:r>
              <w:rPr>
                <w:rFonts w:hint="eastAsia" w:ascii="宋体" w:hAnsi="宋体" w:cs="宋体"/>
                <w:szCs w:val="21"/>
                <w:highlight w:val="none"/>
              </w:rPr>
              <w:t>信用融资</w:t>
            </w:r>
          </w:p>
        </w:tc>
      </w:tr>
      <w:tr>
        <w:tblPrEx>
          <w:tblCellMar>
            <w:top w:w="0" w:type="dxa"/>
            <w:left w:w="108" w:type="dxa"/>
            <w:bottom w:w="0" w:type="dxa"/>
            <w:right w:w="108" w:type="dxa"/>
          </w:tblCellMar>
        </w:tblPrEx>
        <w:trPr>
          <w:trHeight w:val="1279" w:hRule="atLeast"/>
        </w:trPr>
        <w:tc>
          <w:tcPr>
            <w:tcW w:w="670"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auto"/>
              <w:rPr>
                <w:rFonts w:ascii="宋体" w:hAnsi="宋体" w:cs="宋体"/>
                <w:szCs w:val="21"/>
                <w:highlight w:val="none"/>
              </w:rPr>
            </w:pPr>
            <w:r>
              <w:rPr>
                <w:rFonts w:hint="eastAsia" w:ascii="宋体" w:hAnsi="宋体" w:cs="宋体"/>
                <w:szCs w:val="21"/>
                <w:highlight w:val="none"/>
              </w:rPr>
              <w:t>4</w:t>
            </w:r>
          </w:p>
        </w:tc>
        <w:tc>
          <w:tcPr>
            <w:tcW w:w="191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rPr>
                <w:rFonts w:ascii="宋体" w:hAnsi="宋体" w:cs="宋体"/>
                <w:szCs w:val="21"/>
                <w:highlight w:val="none"/>
              </w:rPr>
            </w:pPr>
            <w:r>
              <w:rPr>
                <w:rFonts w:hint="eastAsia" w:ascii="宋体" w:hAnsi="宋体" w:cs="宋体"/>
                <w:szCs w:val="21"/>
                <w:highlight w:val="none"/>
              </w:rPr>
              <w:t>中国建设银行股份有限公司陕西省分行</w:t>
            </w:r>
          </w:p>
        </w:tc>
        <w:tc>
          <w:tcPr>
            <w:tcW w:w="1357"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auto"/>
              <w:rPr>
                <w:rFonts w:ascii="宋体" w:hAnsi="宋体" w:cs="宋体"/>
                <w:szCs w:val="21"/>
                <w:highlight w:val="none"/>
              </w:rPr>
            </w:pPr>
            <w:r>
              <w:rPr>
                <w:rFonts w:hint="eastAsia" w:ascii="宋体" w:hAnsi="宋体" w:cs="宋体"/>
                <w:szCs w:val="21"/>
                <w:highlight w:val="none"/>
              </w:rPr>
              <w:t>建设银行西安市南大街支行</w:t>
            </w:r>
          </w:p>
        </w:tc>
        <w:tc>
          <w:tcPr>
            <w:tcW w:w="979"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auto"/>
              <w:rPr>
                <w:rFonts w:ascii="宋体" w:hAnsi="宋体" w:cs="宋体"/>
                <w:szCs w:val="21"/>
                <w:highlight w:val="none"/>
              </w:rPr>
            </w:pPr>
            <w:r>
              <w:rPr>
                <w:rFonts w:hint="eastAsia" w:ascii="宋体" w:hAnsi="宋体" w:cs="宋体"/>
                <w:szCs w:val="21"/>
                <w:highlight w:val="none"/>
              </w:rPr>
              <w:t>公司部</w:t>
            </w:r>
          </w:p>
        </w:tc>
        <w:tc>
          <w:tcPr>
            <w:tcW w:w="9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rPr>
                <w:rFonts w:ascii="宋体" w:hAnsi="宋体" w:cs="宋体"/>
                <w:szCs w:val="21"/>
                <w:highlight w:val="none"/>
              </w:rPr>
            </w:pPr>
            <w:r>
              <w:rPr>
                <w:rFonts w:hint="eastAsia" w:ascii="宋体" w:hAnsi="宋体" w:cs="宋体"/>
                <w:szCs w:val="21"/>
                <w:highlight w:val="none"/>
              </w:rPr>
              <w:t>杨向晖</w:t>
            </w:r>
          </w:p>
        </w:tc>
        <w:tc>
          <w:tcPr>
            <w:tcW w:w="250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rPr>
                <w:rFonts w:ascii="宋体" w:hAnsi="宋体" w:cs="宋体"/>
                <w:szCs w:val="21"/>
                <w:highlight w:val="none"/>
              </w:rPr>
            </w:pPr>
            <w:r>
              <w:rPr>
                <w:rFonts w:hint="eastAsia" w:ascii="宋体" w:hAnsi="宋体" w:cs="宋体"/>
                <w:szCs w:val="21"/>
                <w:highlight w:val="none"/>
              </w:rPr>
              <w:t>87281468</w:t>
            </w:r>
          </w:p>
          <w:p>
            <w:pPr>
              <w:adjustRightInd w:val="0"/>
              <w:snapToGrid w:val="0"/>
              <w:spacing w:line="360" w:lineRule="auto"/>
              <w:rPr>
                <w:rFonts w:ascii="宋体" w:hAnsi="宋体" w:cs="宋体"/>
                <w:szCs w:val="21"/>
                <w:highlight w:val="none"/>
              </w:rPr>
            </w:pPr>
            <w:r>
              <w:rPr>
                <w:rFonts w:hint="eastAsia" w:ascii="宋体" w:hAnsi="宋体" w:cs="宋体"/>
                <w:szCs w:val="21"/>
                <w:highlight w:val="none"/>
              </w:rPr>
              <w:t>13379229383</w:t>
            </w:r>
          </w:p>
        </w:tc>
        <w:tc>
          <w:tcPr>
            <w:tcW w:w="857"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auto"/>
              <w:rPr>
                <w:rFonts w:ascii="宋体" w:hAnsi="宋体" w:cs="宋体"/>
                <w:szCs w:val="21"/>
                <w:highlight w:val="none"/>
              </w:rPr>
            </w:pPr>
            <w:r>
              <w:rPr>
                <w:rFonts w:hint="eastAsia" w:ascii="宋体" w:hAnsi="宋体" w:cs="宋体"/>
                <w:szCs w:val="21"/>
                <w:highlight w:val="none"/>
              </w:rPr>
              <w:t>信用融资</w:t>
            </w:r>
          </w:p>
        </w:tc>
      </w:tr>
      <w:tr>
        <w:tblPrEx>
          <w:tblCellMar>
            <w:top w:w="0" w:type="dxa"/>
            <w:left w:w="108" w:type="dxa"/>
            <w:bottom w:w="0" w:type="dxa"/>
            <w:right w:w="108" w:type="dxa"/>
          </w:tblCellMar>
        </w:tblPrEx>
        <w:trPr>
          <w:trHeight w:val="1279" w:hRule="atLeast"/>
        </w:trPr>
        <w:tc>
          <w:tcPr>
            <w:tcW w:w="670"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auto"/>
              <w:rPr>
                <w:rFonts w:ascii="宋体" w:hAnsi="宋体" w:cs="宋体"/>
                <w:szCs w:val="21"/>
                <w:highlight w:val="none"/>
              </w:rPr>
            </w:pPr>
            <w:r>
              <w:rPr>
                <w:rFonts w:hint="eastAsia" w:ascii="宋体" w:hAnsi="宋体" w:cs="宋体"/>
                <w:szCs w:val="21"/>
                <w:highlight w:val="none"/>
              </w:rPr>
              <w:t>5</w:t>
            </w:r>
          </w:p>
        </w:tc>
        <w:tc>
          <w:tcPr>
            <w:tcW w:w="191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rPr>
                <w:rFonts w:ascii="宋体" w:hAnsi="宋体" w:cs="宋体"/>
                <w:szCs w:val="21"/>
                <w:highlight w:val="none"/>
              </w:rPr>
            </w:pPr>
            <w:r>
              <w:rPr>
                <w:rFonts w:hint="eastAsia" w:ascii="宋体" w:hAnsi="宋体" w:cs="宋体"/>
                <w:szCs w:val="21"/>
                <w:highlight w:val="none"/>
              </w:rPr>
              <w:t>中国工商银行股份有限公司陕西省分行营业部</w:t>
            </w:r>
          </w:p>
        </w:tc>
        <w:tc>
          <w:tcPr>
            <w:tcW w:w="1357"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auto"/>
              <w:rPr>
                <w:rFonts w:ascii="宋体" w:hAnsi="宋体" w:cs="宋体"/>
                <w:szCs w:val="21"/>
                <w:highlight w:val="none"/>
              </w:rPr>
            </w:pPr>
            <w:r>
              <w:rPr>
                <w:rFonts w:hint="eastAsia" w:ascii="宋体" w:hAnsi="宋体" w:cs="宋体"/>
                <w:szCs w:val="21"/>
                <w:highlight w:val="none"/>
              </w:rPr>
              <w:t>工商银行陕西分行营业部</w:t>
            </w:r>
          </w:p>
        </w:tc>
        <w:tc>
          <w:tcPr>
            <w:tcW w:w="979"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auto"/>
              <w:rPr>
                <w:rFonts w:ascii="宋体" w:hAnsi="宋体" w:cs="宋体"/>
                <w:szCs w:val="21"/>
                <w:highlight w:val="none"/>
              </w:rPr>
            </w:pPr>
            <w:r>
              <w:rPr>
                <w:rFonts w:hint="eastAsia" w:ascii="宋体" w:hAnsi="宋体" w:cs="宋体"/>
                <w:szCs w:val="21"/>
                <w:highlight w:val="none"/>
              </w:rPr>
              <w:t>小企业金融业务部</w:t>
            </w:r>
          </w:p>
        </w:tc>
        <w:tc>
          <w:tcPr>
            <w:tcW w:w="9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rPr>
                <w:rFonts w:ascii="宋体" w:hAnsi="宋体" w:cs="宋体"/>
                <w:szCs w:val="21"/>
                <w:highlight w:val="none"/>
              </w:rPr>
            </w:pPr>
            <w:r>
              <w:rPr>
                <w:rFonts w:hint="eastAsia" w:ascii="宋体" w:hAnsi="宋体" w:cs="宋体"/>
                <w:szCs w:val="21"/>
                <w:highlight w:val="none"/>
              </w:rPr>
              <w:t>牛国群</w:t>
            </w:r>
          </w:p>
          <w:p>
            <w:pPr>
              <w:adjustRightInd w:val="0"/>
              <w:snapToGrid w:val="0"/>
              <w:spacing w:line="360" w:lineRule="auto"/>
              <w:rPr>
                <w:rFonts w:ascii="宋体" w:hAnsi="宋体" w:cs="宋体"/>
                <w:szCs w:val="21"/>
                <w:highlight w:val="none"/>
              </w:rPr>
            </w:pPr>
            <w:r>
              <w:rPr>
                <w:rFonts w:hint="eastAsia" w:ascii="宋体" w:hAnsi="宋体" w:cs="宋体"/>
                <w:szCs w:val="21"/>
                <w:highlight w:val="none"/>
              </w:rPr>
              <w:t>张航</w:t>
            </w:r>
          </w:p>
        </w:tc>
        <w:tc>
          <w:tcPr>
            <w:tcW w:w="250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rPr>
                <w:rFonts w:ascii="宋体" w:hAnsi="宋体" w:cs="宋体"/>
                <w:szCs w:val="21"/>
                <w:highlight w:val="none"/>
              </w:rPr>
            </w:pPr>
            <w:r>
              <w:rPr>
                <w:rFonts w:hint="eastAsia" w:ascii="宋体" w:hAnsi="宋体" w:cs="宋体"/>
                <w:szCs w:val="21"/>
                <w:highlight w:val="none"/>
              </w:rPr>
              <w:t>87609569 18992851811</w:t>
            </w:r>
          </w:p>
          <w:p>
            <w:pPr>
              <w:adjustRightInd w:val="0"/>
              <w:snapToGrid w:val="0"/>
              <w:spacing w:line="360" w:lineRule="auto"/>
              <w:rPr>
                <w:rFonts w:ascii="宋体" w:hAnsi="宋体" w:cs="宋体"/>
                <w:szCs w:val="21"/>
                <w:highlight w:val="none"/>
              </w:rPr>
            </w:pPr>
            <w:r>
              <w:rPr>
                <w:rFonts w:hint="eastAsia" w:ascii="宋体" w:hAnsi="宋体" w:cs="宋体"/>
                <w:szCs w:val="21"/>
                <w:highlight w:val="none"/>
              </w:rPr>
              <w:t>87609761 13891883334</w:t>
            </w:r>
          </w:p>
        </w:tc>
        <w:tc>
          <w:tcPr>
            <w:tcW w:w="857"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auto"/>
              <w:rPr>
                <w:rFonts w:ascii="宋体" w:hAnsi="宋体" w:cs="宋体"/>
                <w:szCs w:val="21"/>
                <w:highlight w:val="none"/>
              </w:rPr>
            </w:pPr>
            <w:r>
              <w:rPr>
                <w:rFonts w:hint="eastAsia" w:ascii="宋体" w:hAnsi="宋体" w:cs="宋体"/>
                <w:szCs w:val="21"/>
                <w:highlight w:val="none"/>
              </w:rPr>
              <w:t>信用融资</w:t>
            </w:r>
          </w:p>
        </w:tc>
      </w:tr>
      <w:tr>
        <w:tblPrEx>
          <w:tblCellMar>
            <w:top w:w="0" w:type="dxa"/>
            <w:left w:w="108" w:type="dxa"/>
            <w:bottom w:w="0" w:type="dxa"/>
            <w:right w:w="108" w:type="dxa"/>
          </w:tblCellMar>
        </w:tblPrEx>
        <w:trPr>
          <w:trHeight w:val="1279" w:hRule="atLeast"/>
        </w:trPr>
        <w:tc>
          <w:tcPr>
            <w:tcW w:w="670"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auto"/>
              <w:rPr>
                <w:rFonts w:ascii="宋体" w:hAnsi="宋体" w:cs="宋体"/>
                <w:szCs w:val="21"/>
                <w:highlight w:val="none"/>
              </w:rPr>
            </w:pPr>
            <w:r>
              <w:rPr>
                <w:rFonts w:hint="eastAsia" w:ascii="宋体" w:hAnsi="宋体" w:cs="宋体"/>
                <w:szCs w:val="21"/>
                <w:highlight w:val="none"/>
              </w:rPr>
              <w:t>6</w:t>
            </w:r>
          </w:p>
        </w:tc>
        <w:tc>
          <w:tcPr>
            <w:tcW w:w="191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rPr>
                <w:rFonts w:ascii="宋体" w:hAnsi="宋体" w:cs="宋体"/>
                <w:szCs w:val="21"/>
                <w:highlight w:val="none"/>
              </w:rPr>
            </w:pPr>
            <w:r>
              <w:rPr>
                <w:rFonts w:hint="eastAsia" w:ascii="宋体" w:hAnsi="宋体" w:cs="宋体"/>
                <w:szCs w:val="21"/>
                <w:highlight w:val="none"/>
              </w:rPr>
              <w:t>中国农业银行股份有限公司陕西省分行营业部</w:t>
            </w:r>
          </w:p>
        </w:tc>
        <w:tc>
          <w:tcPr>
            <w:tcW w:w="1357"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auto"/>
              <w:rPr>
                <w:rFonts w:ascii="宋体" w:hAnsi="宋体" w:cs="宋体"/>
                <w:szCs w:val="21"/>
                <w:highlight w:val="none"/>
              </w:rPr>
            </w:pPr>
            <w:r>
              <w:rPr>
                <w:rFonts w:hint="eastAsia" w:ascii="宋体" w:hAnsi="宋体" w:cs="宋体"/>
                <w:szCs w:val="21"/>
                <w:highlight w:val="none"/>
              </w:rPr>
              <w:t>农业银行西安西大街支行</w:t>
            </w:r>
          </w:p>
        </w:tc>
        <w:tc>
          <w:tcPr>
            <w:tcW w:w="979"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auto"/>
              <w:rPr>
                <w:rFonts w:ascii="宋体" w:hAnsi="宋体" w:cs="宋体"/>
                <w:szCs w:val="21"/>
                <w:highlight w:val="none"/>
              </w:rPr>
            </w:pPr>
            <w:r>
              <w:rPr>
                <w:rFonts w:hint="eastAsia" w:ascii="宋体" w:hAnsi="宋体" w:cs="宋体"/>
                <w:szCs w:val="21"/>
                <w:highlight w:val="none"/>
              </w:rPr>
              <w:t>公司业务部</w:t>
            </w:r>
          </w:p>
        </w:tc>
        <w:tc>
          <w:tcPr>
            <w:tcW w:w="9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rPr>
                <w:rFonts w:ascii="宋体" w:hAnsi="宋体" w:cs="宋体"/>
                <w:szCs w:val="21"/>
                <w:highlight w:val="none"/>
              </w:rPr>
            </w:pPr>
            <w:r>
              <w:rPr>
                <w:rFonts w:hint="eastAsia" w:ascii="宋体" w:hAnsi="宋体" w:cs="宋体"/>
                <w:szCs w:val="21"/>
                <w:highlight w:val="none"/>
              </w:rPr>
              <w:t>贾珊</w:t>
            </w:r>
          </w:p>
          <w:p>
            <w:pPr>
              <w:adjustRightInd w:val="0"/>
              <w:snapToGrid w:val="0"/>
              <w:spacing w:line="360" w:lineRule="auto"/>
              <w:rPr>
                <w:rFonts w:ascii="宋体" w:hAnsi="宋体" w:cs="宋体"/>
                <w:szCs w:val="21"/>
                <w:highlight w:val="none"/>
              </w:rPr>
            </w:pPr>
            <w:r>
              <w:rPr>
                <w:rFonts w:hint="eastAsia" w:ascii="宋体" w:hAnsi="宋体" w:cs="宋体"/>
                <w:szCs w:val="21"/>
                <w:highlight w:val="none"/>
              </w:rPr>
              <w:t>高雅</w:t>
            </w:r>
          </w:p>
        </w:tc>
        <w:tc>
          <w:tcPr>
            <w:tcW w:w="250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rPr>
                <w:rFonts w:ascii="宋体" w:hAnsi="宋体" w:cs="宋体"/>
                <w:szCs w:val="21"/>
                <w:highlight w:val="none"/>
              </w:rPr>
            </w:pPr>
            <w:r>
              <w:rPr>
                <w:rFonts w:hint="eastAsia" w:ascii="宋体" w:hAnsi="宋体" w:cs="宋体"/>
                <w:szCs w:val="21"/>
                <w:highlight w:val="none"/>
              </w:rPr>
              <w:t>87617245 13891957123</w:t>
            </w:r>
          </w:p>
          <w:p>
            <w:pPr>
              <w:adjustRightInd w:val="0"/>
              <w:snapToGrid w:val="0"/>
              <w:spacing w:line="360" w:lineRule="auto"/>
              <w:rPr>
                <w:rFonts w:ascii="宋体" w:hAnsi="宋体" w:cs="宋体"/>
                <w:szCs w:val="21"/>
                <w:highlight w:val="none"/>
              </w:rPr>
            </w:pPr>
            <w:r>
              <w:rPr>
                <w:rFonts w:hint="eastAsia" w:ascii="宋体" w:hAnsi="宋体" w:cs="宋体"/>
                <w:szCs w:val="21"/>
                <w:highlight w:val="none"/>
              </w:rPr>
              <w:t>87613444 13659192425</w:t>
            </w:r>
          </w:p>
        </w:tc>
        <w:tc>
          <w:tcPr>
            <w:tcW w:w="857"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auto"/>
              <w:rPr>
                <w:rFonts w:ascii="宋体" w:hAnsi="宋体" w:cs="宋体"/>
                <w:szCs w:val="21"/>
                <w:highlight w:val="none"/>
              </w:rPr>
            </w:pPr>
            <w:r>
              <w:rPr>
                <w:rFonts w:hint="eastAsia" w:ascii="宋体" w:hAnsi="宋体" w:cs="宋体"/>
                <w:szCs w:val="21"/>
                <w:highlight w:val="none"/>
              </w:rPr>
              <w:t>信用融资</w:t>
            </w:r>
          </w:p>
        </w:tc>
      </w:tr>
      <w:tr>
        <w:tblPrEx>
          <w:tblCellMar>
            <w:top w:w="0" w:type="dxa"/>
            <w:left w:w="108" w:type="dxa"/>
            <w:bottom w:w="0" w:type="dxa"/>
            <w:right w:w="108" w:type="dxa"/>
          </w:tblCellMar>
        </w:tblPrEx>
        <w:trPr>
          <w:trHeight w:val="1279" w:hRule="atLeast"/>
        </w:trPr>
        <w:tc>
          <w:tcPr>
            <w:tcW w:w="670"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auto"/>
              <w:rPr>
                <w:rFonts w:ascii="宋体" w:hAnsi="宋体" w:cs="宋体"/>
                <w:szCs w:val="21"/>
                <w:highlight w:val="none"/>
              </w:rPr>
            </w:pPr>
            <w:r>
              <w:rPr>
                <w:rFonts w:hint="eastAsia" w:ascii="宋体" w:hAnsi="宋体" w:cs="宋体"/>
                <w:szCs w:val="21"/>
                <w:highlight w:val="none"/>
              </w:rPr>
              <w:t>7</w:t>
            </w:r>
          </w:p>
        </w:tc>
        <w:tc>
          <w:tcPr>
            <w:tcW w:w="191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rPr>
                <w:rFonts w:ascii="宋体" w:hAnsi="宋体" w:cs="宋体"/>
                <w:szCs w:val="21"/>
                <w:highlight w:val="none"/>
              </w:rPr>
            </w:pPr>
            <w:r>
              <w:rPr>
                <w:rFonts w:hint="eastAsia" w:ascii="宋体" w:hAnsi="宋体" w:cs="宋体"/>
                <w:szCs w:val="21"/>
                <w:highlight w:val="none"/>
              </w:rPr>
              <w:t>交通银行股份有限公司陕西省分行</w:t>
            </w:r>
          </w:p>
        </w:tc>
        <w:tc>
          <w:tcPr>
            <w:tcW w:w="1357"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auto"/>
              <w:rPr>
                <w:rFonts w:ascii="宋体" w:hAnsi="宋体" w:cs="宋体"/>
                <w:szCs w:val="21"/>
                <w:highlight w:val="none"/>
              </w:rPr>
            </w:pPr>
            <w:r>
              <w:rPr>
                <w:rFonts w:hint="eastAsia" w:ascii="宋体" w:hAnsi="宋体" w:cs="宋体"/>
                <w:szCs w:val="21"/>
                <w:highlight w:val="none"/>
              </w:rPr>
              <w:t>交通银行西安西五路支行</w:t>
            </w:r>
          </w:p>
        </w:tc>
        <w:tc>
          <w:tcPr>
            <w:tcW w:w="979"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auto"/>
              <w:rPr>
                <w:rFonts w:ascii="宋体" w:hAnsi="宋体" w:cs="宋体"/>
                <w:szCs w:val="21"/>
                <w:highlight w:val="none"/>
              </w:rPr>
            </w:pPr>
            <w:r>
              <w:rPr>
                <w:rFonts w:hint="eastAsia" w:ascii="宋体" w:hAnsi="宋体" w:cs="宋体"/>
                <w:szCs w:val="21"/>
                <w:highlight w:val="none"/>
              </w:rPr>
              <w:t>个人贷款中心</w:t>
            </w:r>
          </w:p>
        </w:tc>
        <w:tc>
          <w:tcPr>
            <w:tcW w:w="9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rPr>
                <w:rFonts w:ascii="宋体" w:hAnsi="宋体" w:cs="宋体"/>
                <w:szCs w:val="21"/>
                <w:highlight w:val="none"/>
              </w:rPr>
            </w:pPr>
            <w:r>
              <w:rPr>
                <w:rFonts w:hint="eastAsia" w:ascii="宋体" w:hAnsi="宋体" w:cs="宋体"/>
                <w:szCs w:val="21"/>
                <w:highlight w:val="none"/>
              </w:rPr>
              <w:t>李卫公</w:t>
            </w:r>
          </w:p>
          <w:p>
            <w:pPr>
              <w:adjustRightInd w:val="0"/>
              <w:snapToGrid w:val="0"/>
              <w:spacing w:line="360" w:lineRule="auto"/>
              <w:rPr>
                <w:rFonts w:ascii="宋体" w:hAnsi="宋体" w:cs="宋体"/>
                <w:szCs w:val="21"/>
                <w:highlight w:val="none"/>
              </w:rPr>
            </w:pPr>
            <w:r>
              <w:rPr>
                <w:rFonts w:hint="eastAsia" w:ascii="宋体" w:hAnsi="宋体" w:cs="宋体"/>
                <w:szCs w:val="21"/>
                <w:highlight w:val="none"/>
              </w:rPr>
              <w:t>雷强</w:t>
            </w:r>
          </w:p>
        </w:tc>
        <w:tc>
          <w:tcPr>
            <w:tcW w:w="250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rPr>
                <w:rFonts w:ascii="宋体" w:hAnsi="宋体" w:cs="宋体"/>
                <w:szCs w:val="21"/>
                <w:highlight w:val="none"/>
              </w:rPr>
            </w:pPr>
            <w:r>
              <w:rPr>
                <w:rFonts w:hint="eastAsia" w:ascii="宋体" w:hAnsi="宋体" w:cs="宋体"/>
                <w:szCs w:val="21"/>
                <w:highlight w:val="none"/>
              </w:rPr>
              <w:t>87297632 13991290525</w:t>
            </w:r>
          </w:p>
          <w:p>
            <w:pPr>
              <w:adjustRightInd w:val="0"/>
              <w:snapToGrid w:val="0"/>
              <w:spacing w:line="360" w:lineRule="auto"/>
              <w:rPr>
                <w:rFonts w:ascii="宋体" w:hAnsi="宋体" w:cs="宋体"/>
                <w:szCs w:val="21"/>
                <w:highlight w:val="none"/>
              </w:rPr>
            </w:pPr>
            <w:r>
              <w:rPr>
                <w:rFonts w:hint="eastAsia" w:ascii="宋体" w:hAnsi="宋体" w:cs="宋体"/>
                <w:szCs w:val="21"/>
                <w:highlight w:val="none"/>
              </w:rPr>
              <w:t>87272444 18629362690</w:t>
            </w:r>
          </w:p>
        </w:tc>
        <w:tc>
          <w:tcPr>
            <w:tcW w:w="857"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auto"/>
              <w:rPr>
                <w:rFonts w:ascii="宋体" w:hAnsi="宋体" w:cs="宋体"/>
                <w:szCs w:val="21"/>
                <w:highlight w:val="none"/>
              </w:rPr>
            </w:pPr>
            <w:r>
              <w:rPr>
                <w:rFonts w:hint="eastAsia" w:ascii="宋体" w:hAnsi="宋体" w:cs="宋体"/>
                <w:szCs w:val="21"/>
                <w:highlight w:val="none"/>
              </w:rPr>
              <w:t>信用融资</w:t>
            </w:r>
          </w:p>
        </w:tc>
      </w:tr>
      <w:tr>
        <w:tblPrEx>
          <w:tblCellMar>
            <w:top w:w="0" w:type="dxa"/>
            <w:left w:w="108" w:type="dxa"/>
            <w:bottom w:w="0" w:type="dxa"/>
            <w:right w:w="108" w:type="dxa"/>
          </w:tblCellMar>
        </w:tblPrEx>
        <w:trPr>
          <w:trHeight w:val="1279" w:hRule="atLeast"/>
        </w:trPr>
        <w:tc>
          <w:tcPr>
            <w:tcW w:w="670"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auto"/>
              <w:rPr>
                <w:rFonts w:ascii="宋体" w:hAnsi="宋体" w:cs="宋体"/>
                <w:szCs w:val="21"/>
                <w:highlight w:val="none"/>
              </w:rPr>
            </w:pPr>
            <w:r>
              <w:rPr>
                <w:rFonts w:hint="eastAsia" w:ascii="宋体" w:hAnsi="宋体" w:cs="宋体"/>
                <w:szCs w:val="21"/>
                <w:highlight w:val="none"/>
              </w:rPr>
              <w:t>8</w:t>
            </w:r>
          </w:p>
        </w:tc>
        <w:tc>
          <w:tcPr>
            <w:tcW w:w="191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rPr>
                <w:rFonts w:ascii="宋体" w:hAnsi="宋体" w:cs="宋体"/>
                <w:szCs w:val="21"/>
                <w:highlight w:val="none"/>
              </w:rPr>
            </w:pPr>
            <w:r>
              <w:rPr>
                <w:rFonts w:hint="eastAsia" w:ascii="宋体" w:hAnsi="宋体" w:cs="宋体"/>
                <w:szCs w:val="21"/>
                <w:highlight w:val="none"/>
              </w:rPr>
              <w:t>招商银行股份有限公司西安分行</w:t>
            </w:r>
          </w:p>
        </w:tc>
        <w:tc>
          <w:tcPr>
            <w:tcW w:w="1357"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auto"/>
              <w:rPr>
                <w:rFonts w:ascii="宋体" w:hAnsi="宋体" w:cs="宋体"/>
                <w:szCs w:val="21"/>
                <w:highlight w:val="none"/>
              </w:rPr>
            </w:pPr>
            <w:r>
              <w:rPr>
                <w:rFonts w:hint="eastAsia" w:ascii="宋体" w:hAnsi="宋体" w:cs="宋体"/>
                <w:szCs w:val="21"/>
                <w:highlight w:val="none"/>
              </w:rPr>
              <w:t>招商银行西安未央路支行</w:t>
            </w:r>
          </w:p>
        </w:tc>
        <w:tc>
          <w:tcPr>
            <w:tcW w:w="979"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auto"/>
              <w:rPr>
                <w:rFonts w:ascii="宋体" w:hAnsi="宋体" w:cs="宋体"/>
                <w:szCs w:val="21"/>
                <w:highlight w:val="none"/>
              </w:rPr>
            </w:pPr>
            <w:r>
              <w:rPr>
                <w:rFonts w:hint="eastAsia" w:ascii="宋体" w:hAnsi="宋体" w:cs="宋体"/>
                <w:szCs w:val="21"/>
                <w:highlight w:val="none"/>
              </w:rPr>
              <w:t>公司银行部</w:t>
            </w:r>
          </w:p>
        </w:tc>
        <w:tc>
          <w:tcPr>
            <w:tcW w:w="9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rPr>
                <w:rFonts w:ascii="宋体" w:hAnsi="宋体" w:cs="宋体"/>
                <w:szCs w:val="21"/>
                <w:highlight w:val="none"/>
              </w:rPr>
            </w:pPr>
            <w:r>
              <w:rPr>
                <w:rFonts w:hint="eastAsia" w:ascii="宋体" w:hAnsi="宋体" w:cs="宋体"/>
                <w:szCs w:val="21"/>
                <w:highlight w:val="none"/>
              </w:rPr>
              <w:t>杨皓</w:t>
            </w:r>
          </w:p>
          <w:p>
            <w:pPr>
              <w:adjustRightInd w:val="0"/>
              <w:snapToGrid w:val="0"/>
              <w:spacing w:line="360" w:lineRule="auto"/>
              <w:rPr>
                <w:rFonts w:ascii="宋体" w:hAnsi="宋体" w:cs="宋体"/>
                <w:szCs w:val="21"/>
                <w:highlight w:val="none"/>
              </w:rPr>
            </w:pPr>
            <w:r>
              <w:rPr>
                <w:rFonts w:hint="eastAsia" w:ascii="宋体" w:hAnsi="宋体" w:cs="宋体"/>
                <w:szCs w:val="21"/>
                <w:highlight w:val="none"/>
              </w:rPr>
              <w:t>马秦香</w:t>
            </w:r>
          </w:p>
        </w:tc>
        <w:tc>
          <w:tcPr>
            <w:tcW w:w="250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rPr>
                <w:rFonts w:ascii="宋体" w:hAnsi="宋体" w:cs="宋体"/>
                <w:szCs w:val="21"/>
                <w:highlight w:val="none"/>
              </w:rPr>
            </w:pPr>
            <w:r>
              <w:rPr>
                <w:rFonts w:hint="eastAsia" w:ascii="宋体" w:hAnsi="宋体" w:cs="宋体"/>
                <w:szCs w:val="21"/>
                <w:highlight w:val="none"/>
              </w:rPr>
              <w:t>62811553 15002905553</w:t>
            </w:r>
          </w:p>
          <w:p>
            <w:pPr>
              <w:adjustRightInd w:val="0"/>
              <w:snapToGrid w:val="0"/>
              <w:spacing w:line="360" w:lineRule="auto"/>
              <w:rPr>
                <w:rFonts w:ascii="宋体" w:hAnsi="宋体" w:cs="宋体"/>
                <w:szCs w:val="21"/>
                <w:highlight w:val="none"/>
              </w:rPr>
            </w:pPr>
            <w:r>
              <w:rPr>
                <w:rFonts w:hint="eastAsia" w:ascii="宋体" w:hAnsi="宋体" w:cs="宋体"/>
                <w:szCs w:val="21"/>
                <w:highlight w:val="none"/>
              </w:rPr>
              <w:t>62811553 13609183259</w:t>
            </w:r>
          </w:p>
        </w:tc>
        <w:tc>
          <w:tcPr>
            <w:tcW w:w="857"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auto"/>
              <w:rPr>
                <w:rFonts w:ascii="宋体" w:hAnsi="宋体" w:cs="宋体"/>
                <w:szCs w:val="21"/>
                <w:highlight w:val="none"/>
              </w:rPr>
            </w:pPr>
            <w:r>
              <w:rPr>
                <w:rFonts w:hint="eastAsia" w:ascii="宋体" w:hAnsi="宋体" w:cs="宋体"/>
                <w:szCs w:val="21"/>
                <w:highlight w:val="none"/>
              </w:rPr>
              <w:t>信用融资</w:t>
            </w:r>
          </w:p>
        </w:tc>
      </w:tr>
      <w:tr>
        <w:tblPrEx>
          <w:tblCellMar>
            <w:top w:w="0" w:type="dxa"/>
            <w:left w:w="108" w:type="dxa"/>
            <w:bottom w:w="0" w:type="dxa"/>
            <w:right w:w="108" w:type="dxa"/>
          </w:tblCellMar>
        </w:tblPrEx>
        <w:trPr>
          <w:trHeight w:val="1279" w:hRule="atLeast"/>
        </w:trPr>
        <w:tc>
          <w:tcPr>
            <w:tcW w:w="670"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auto"/>
              <w:rPr>
                <w:rFonts w:ascii="宋体" w:hAnsi="宋体" w:cs="宋体"/>
                <w:szCs w:val="21"/>
                <w:highlight w:val="none"/>
              </w:rPr>
            </w:pPr>
            <w:r>
              <w:rPr>
                <w:rFonts w:hint="eastAsia" w:ascii="宋体" w:hAnsi="宋体" w:cs="宋体"/>
                <w:szCs w:val="21"/>
                <w:highlight w:val="none"/>
              </w:rPr>
              <w:t>9</w:t>
            </w:r>
          </w:p>
        </w:tc>
        <w:tc>
          <w:tcPr>
            <w:tcW w:w="191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rPr>
                <w:rFonts w:ascii="宋体" w:hAnsi="宋体" w:cs="宋体"/>
                <w:szCs w:val="21"/>
                <w:highlight w:val="none"/>
              </w:rPr>
            </w:pPr>
            <w:r>
              <w:rPr>
                <w:rFonts w:hint="eastAsia" w:ascii="宋体" w:hAnsi="宋体" w:cs="宋体"/>
                <w:szCs w:val="21"/>
                <w:highlight w:val="none"/>
              </w:rPr>
              <w:t>中国民生银行股份有限公司西安分行</w:t>
            </w:r>
          </w:p>
        </w:tc>
        <w:tc>
          <w:tcPr>
            <w:tcW w:w="1357"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auto"/>
              <w:rPr>
                <w:rFonts w:ascii="宋体" w:hAnsi="宋体" w:cs="宋体"/>
                <w:szCs w:val="21"/>
                <w:highlight w:val="none"/>
              </w:rPr>
            </w:pPr>
            <w:r>
              <w:rPr>
                <w:rFonts w:hint="eastAsia" w:ascii="宋体" w:hAnsi="宋体" w:cs="宋体"/>
                <w:szCs w:val="21"/>
                <w:highlight w:val="none"/>
              </w:rPr>
              <w:t>民生银行西安分行</w:t>
            </w:r>
          </w:p>
        </w:tc>
        <w:tc>
          <w:tcPr>
            <w:tcW w:w="979"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auto"/>
              <w:rPr>
                <w:rFonts w:ascii="宋体" w:hAnsi="宋体" w:cs="宋体"/>
                <w:szCs w:val="21"/>
                <w:highlight w:val="none"/>
              </w:rPr>
            </w:pPr>
            <w:r>
              <w:rPr>
                <w:rFonts w:hint="eastAsia" w:ascii="宋体" w:hAnsi="宋体" w:cs="宋体"/>
                <w:szCs w:val="21"/>
                <w:highlight w:val="none"/>
              </w:rPr>
              <w:t>城建金融部</w:t>
            </w:r>
          </w:p>
        </w:tc>
        <w:tc>
          <w:tcPr>
            <w:tcW w:w="9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rPr>
                <w:rFonts w:ascii="宋体" w:hAnsi="宋体" w:cs="宋体"/>
                <w:szCs w:val="21"/>
                <w:highlight w:val="none"/>
              </w:rPr>
            </w:pPr>
            <w:r>
              <w:rPr>
                <w:rFonts w:hint="eastAsia" w:ascii="宋体" w:hAnsi="宋体" w:cs="宋体"/>
                <w:szCs w:val="21"/>
                <w:highlight w:val="none"/>
              </w:rPr>
              <w:t>李楠</w:t>
            </w:r>
          </w:p>
        </w:tc>
        <w:tc>
          <w:tcPr>
            <w:tcW w:w="250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rPr>
                <w:rFonts w:ascii="宋体" w:hAnsi="宋体" w:cs="宋体"/>
                <w:szCs w:val="21"/>
                <w:highlight w:val="none"/>
              </w:rPr>
            </w:pPr>
            <w:r>
              <w:rPr>
                <w:rFonts w:hint="eastAsia" w:ascii="宋体" w:hAnsi="宋体" w:cs="宋体"/>
                <w:szCs w:val="21"/>
                <w:highlight w:val="none"/>
              </w:rPr>
              <w:t>88266088-8450</w:t>
            </w:r>
          </w:p>
          <w:p>
            <w:pPr>
              <w:adjustRightInd w:val="0"/>
              <w:snapToGrid w:val="0"/>
              <w:spacing w:line="360" w:lineRule="auto"/>
              <w:rPr>
                <w:rFonts w:ascii="宋体" w:hAnsi="宋体" w:cs="宋体"/>
                <w:szCs w:val="21"/>
                <w:highlight w:val="none"/>
              </w:rPr>
            </w:pPr>
            <w:r>
              <w:rPr>
                <w:rFonts w:hint="eastAsia" w:ascii="宋体" w:hAnsi="宋体" w:cs="宋体"/>
                <w:szCs w:val="21"/>
                <w:highlight w:val="none"/>
              </w:rPr>
              <w:t>13572058213</w:t>
            </w:r>
          </w:p>
        </w:tc>
        <w:tc>
          <w:tcPr>
            <w:tcW w:w="857"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auto"/>
              <w:rPr>
                <w:rFonts w:ascii="宋体" w:hAnsi="宋体" w:cs="宋体"/>
                <w:szCs w:val="21"/>
                <w:highlight w:val="none"/>
              </w:rPr>
            </w:pPr>
            <w:r>
              <w:rPr>
                <w:rFonts w:hint="eastAsia" w:ascii="宋体" w:hAnsi="宋体" w:cs="宋体"/>
                <w:szCs w:val="21"/>
                <w:highlight w:val="none"/>
              </w:rPr>
              <w:t>信用融资</w:t>
            </w:r>
          </w:p>
        </w:tc>
      </w:tr>
      <w:tr>
        <w:tblPrEx>
          <w:tblCellMar>
            <w:top w:w="0" w:type="dxa"/>
            <w:left w:w="108" w:type="dxa"/>
            <w:bottom w:w="0" w:type="dxa"/>
            <w:right w:w="108" w:type="dxa"/>
          </w:tblCellMar>
        </w:tblPrEx>
        <w:trPr>
          <w:trHeight w:val="1279" w:hRule="atLeast"/>
        </w:trPr>
        <w:tc>
          <w:tcPr>
            <w:tcW w:w="670"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auto"/>
              <w:rPr>
                <w:rFonts w:ascii="宋体" w:hAnsi="宋体" w:cs="宋体"/>
                <w:szCs w:val="21"/>
                <w:highlight w:val="none"/>
              </w:rPr>
            </w:pPr>
            <w:r>
              <w:rPr>
                <w:rFonts w:hint="eastAsia" w:ascii="宋体" w:hAnsi="宋体" w:cs="宋体"/>
                <w:szCs w:val="21"/>
                <w:highlight w:val="none"/>
              </w:rPr>
              <w:t>10</w:t>
            </w:r>
          </w:p>
        </w:tc>
        <w:tc>
          <w:tcPr>
            <w:tcW w:w="191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rPr>
                <w:rFonts w:ascii="宋体" w:hAnsi="宋体" w:cs="宋体"/>
                <w:szCs w:val="21"/>
                <w:highlight w:val="none"/>
              </w:rPr>
            </w:pPr>
            <w:r>
              <w:rPr>
                <w:rFonts w:hint="eastAsia" w:ascii="宋体" w:hAnsi="宋体" w:cs="宋体"/>
                <w:szCs w:val="21"/>
                <w:highlight w:val="none"/>
              </w:rPr>
              <w:t>中国光大银行股份有限公司西安分行</w:t>
            </w:r>
          </w:p>
        </w:tc>
        <w:tc>
          <w:tcPr>
            <w:tcW w:w="1357"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auto"/>
              <w:rPr>
                <w:rFonts w:ascii="宋体" w:hAnsi="宋体" w:cs="宋体"/>
                <w:szCs w:val="21"/>
                <w:highlight w:val="none"/>
              </w:rPr>
            </w:pPr>
            <w:r>
              <w:rPr>
                <w:rFonts w:hint="eastAsia" w:ascii="宋体" w:hAnsi="宋体" w:cs="宋体"/>
                <w:szCs w:val="21"/>
                <w:highlight w:val="none"/>
              </w:rPr>
              <w:t>光大银行经济技术开发区支行</w:t>
            </w:r>
          </w:p>
        </w:tc>
        <w:tc>
          <w:tcPr>
            <w:tcW w:w="979"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auto"/>
              <w:rPr>
                <w:rFonts w:ascii="宋体" w:hAnsi="宋体" w:cs="宋体"/>
                <w:szCs w:val="21"/>
                <w:highlight w:val="none"/>
              </w:rPr>
            </w:pPr>
            <w:r>
              <w:rPr>
                <w:rFonts w:hint="eastAsia" w:ascii="宋体" w:hAnsi="宋体" w:cs="宋体"/>
                <w:szCs w:val="21"/>
                <w:highlight w:val="none"/>
              </w:rPr>
              <w:t>对公客户经理部</w:t>
            </w:r>
          </w:p>
        </w:tc>
        <w:tc>
          <w:tcPr>
            <w:tcW w:w="9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rPr>
                <w:rFonts w:ascii="宋体" w:hAnsi="宋体" w:cs="宋体"/>
                <w:szCs w:val="21"/>
                <w:highlight w:val="none"/>
              </w:rPr>
            </w:pPr>
            <w:r>
              <w:rPr>
                <w:rFonts w:hint="eastAsia" w:ascii="宋体" w:hAnsi="宋体" w:cs="宋体"/>
                <w:szCs w:val="21"/>
                <w:highlight w:val="none"/>
              </w:rPr>
              <w:t>高艺瑄</w:t>
            </w:r>
          </w:p>
        </w:tc>
        <w:tc>
          <w:tcPr>
            <w:tcW w:w="250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rPr>
                <w:rFonts w:ascii="宋体" w:hAnsi="宋体" w:cs="宋体"/>
                <w:szCs w:val="21"/>
                <w:highlight w:val="none"/>
              </w:rPr>
            </w:pPr>
            <w:r>
              <w:rPr>
                <w:rFonts w:hint="eastAsia" w:ascii="宋体" w:hAnsi="宋体" w:cs="宋体"/>
                <w:szCs w:val="21"/>
                <w:highlight w:val="none"/>
              </w:rPr>
              <w:t>15619006186</w:t>
            </w:r>
          </w:p>
        </w:tc>
        <w:tc>
          <w:tcPr>
            <w:tcW w:w="857"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auto"/>
              <w:rPr>
                <w:rFonts w:ascii="宋体" w:hAnsi="宋体" w:cs="宋体"/>
                <w:szCs w:val="21"/>
                <w:highlight w:val="none"/>
              </w:rPr>
            </w:pPr>
            <w:r>
              <w:rPr>
                <w:rFonts w:hint="eastAsia" w:ascii="宋体" w:hAnsi="宋体" w:cs="宋体"/>
                <w:szCs w:val="21"/>
                <w:highlight w:val="none"/>
              </w:rPr>
              <w:t>信用融资</w:t>
            </w:r>
          </w:p>
        </w:tc>
      </w:tr>
      <w:tr>
        <w:tblPrEx>
          <w:tblCellMar>
            <w:top w:w="0" w:type="dxa"/>
            <w:left w:w="108" w:type="dxa"/>
            <w:bottom w:w="0" w:type="dxa"/>
            <w:right w:w="108" w:type="dxa"/>
          </w:tblCellMar>
        </w:tblPrEx>
        <w:trPr>
          <w:trHeight w:val="856" w:hRule="atLeast"/>
        </w:trPr>
        <w:tc>
          <w:tcPr>
            <w:tcW w:w="670"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auto"/>
              <w:rPr>
                <w:rFonts w:ascii="宋体" w:hAnsi="宋体" w:cs="宋体"/>
                <w:szCs w:val="21"/>
                <w:highlight w:val="none"/>
              </w:rPr>
            </w:pPr>
            <w:r>
              <w:rPr>
                <w:rFonts w:hint="eastAsia" w:ascii="宋体" w:hAnsi="宋体" w:cs="宋体"/>
                <w:szCs w:val="21"/>
                <w:highlight w:val="none"/>
              </w:rPr>
              <w:t>11</w:t>
            </w:r>
          </w:p>
        </w:tc>
        <w:tc>
          <w:tcPr>
            <w:tcW w:w="191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rPr>
                <w:rFonts w:ascii="宋体" w:hAnsi="宋体" w:cs="宋体"/>
                <w:szCs w:val="21"/>
                <w:highlight w:val="none"/>
              </w:rPr>
            </w:pPr>
            <w:r>
              <w:rPr>
                <w:rFonts w:hint="eastAsia" w:ascii="宋体" w:hAnsi="宋体" w:cs="宋体"/>
                <w:szCs w:val="21"/>
                <w:highlight w:val="none"/>
              </w:rPr>
              <w:t>昆仑银行股份有限公司西安分行</w:t>
            </w:r>
          </w:p>
        </w:tc>
        <w:tc>
          <w:tcPr>
            <w:tcW w:w="1357"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auto"/>
              <w:rPr>
                <w:rFonts w:ascii="宋体" w:hAnsi="宋体" w:cs="宋体"/>
                <w:szCs w:val="21"/>
                <w:highlight w:val="none"/>
              </w:rPr>
            </w:pPr>
            <w:r>
              <w:rPr>
                <w:rFonts w:hint="eastAsia" w:ascii="宋体" w:hAnsi="宋体" w:cs="宋体"/>
                <w:szCs w:val="21"/>
                <w:highlight w:val="none"/>
              </w:rPr>
              <w:t>昆仑银行西安分行</w:t>
            </w:r>
          </w:p>
        </w:tc>
        <w:tc>
          <w:tcPr>
            <w:tcW w:w="979"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auto"/>
              <w:rPr>
                <w:rFonts w:ascii="宋体" w:hAnsi="宋体" w:cs="宋体"/>
                <w:szCs w:val="21"/>
                <w:highlight w:val="none"/>
              </w:rPr>
            </w:pPr>
            <w:r>
              <w:rPr>
                <w:rFonts w:hint="eastAsia" w:ascii="宋体" w:hAnsi="宋体" w:cs="宋体"/>
                <w:szCs w:val="21"/>
                <w:highlight w:val="none"/>
              </w:rPr>
              <w:t>机构投行部</w:t>
            </w:r>
          </w:p>
        </w:tc>
        <w:tc>
          <w:tcPr>
            <w:tcW w:w="9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rPr>
                <w:rFonts w:ascii="宋体" w:hAnsi="宋体" w:cs="宋体"/>
                <w:szCs w:val="21"/>
                <w:highlight w:val="none"/>
              </w:rPr>
            </w:pPr>
            <w:r>
              <w:rPr>
                <w:rFonts w:hint="eastAsia" w:ascii="宋体" w:hAnsi="宋体" w:cs="宋体"/>
                <w:szCs w:val="21"/>
                <w:highlight w:val="none"/>
              </w:rPr>
              <w:t>韩天清</w:t>
            </w:r>
          </w:p>
        </w:tc>
        <w:tc>
          <w:tcPr>
            <w:tcW w:w="250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rPr>
                <w:rFonts w:ascii="宋体" w:hAnsi="宋体" w:cs="宋体"/>
                <w:szCs w:val="21"/>
                <w:highlight w:val="none"/>
              </w:rPr>
            </w:pPr>
            <w:r>
              <w:rPr>
                <w:rFonts w:hint="eastAsia" w:ascii="宋体" w:hAnsi="宋体" w:cs="宋体"/>
                <w:szCs w:val="21"/>
                <w:highlight w:val="none"/>
              </w:rPr>
              <w:t>86978975</w:t>
            </w:r>
          </w:p>
          <w:p>
            <w:pPr>
              <w:adjustRightInd w:val="0"/>
              <w:snapToGrid w:val="0"/>
              <w:spacing w:line="360" w:lineRule="auto"/>
              <w:rPr>
                <w:rFonts w:ascii="宋体" w:hAnsi="宋体" w:cs="宋体"/>
                <w:szCs w:val="21"/>
                <w:highlight w:val="none"/>
              </w:rPr>
            </w:pPr>
            <w:r>
              <w:rPr>
                <w:rFonts w:hint="eastAsia" w:ascii="宋体" w:hAnsi="宋体" w:cs="宋体"/>
                <w:szCs w:val="21"/>
                <w:highlight w:val="none"/>
              </w:rPr>
              <w:t>15609108028</w:t>
            </w:r>
          </w:p>
        </w:tc>
        <w:tc>
          <w:tcPr>
            <w:tcW w:w="857"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auto"/>
              <w:rPr>
                <w:rFonts w:ascii="宋体" w:hAnsi="宋体" w:cs="宋体"/>
                <w:szCs w:val="21"/>
                <w:highlight w:val="none"/>
              </w:rPr>
            </w:pPr>
            <w:r>
              <w:rPr>
                <w:rFonts w:hint="eastAsia" w:ascii="宋体" w:hAnsi="宋体" w:cs="宋体"/>
                <w:szCs w:val="21"/>
                <w:highlight w:val="none"/>
              </w:rPr>
              <w:t>信用融资</w:t>
            </w:r>
          </w:p>
        </w:tc>
      </w:tr>
      <w:tr>
        <w:tblPrEx>
          <w:tblCellMar>
            <w:top w:w="0" w:type="dxa"/>
            <w:left w:w="108" w:type="dxa"/>
            <w:bottom w:w="0" w:type="dxa"/>
            <w:right w:w="108" w:type="dxa"/>
          </w:tblCellMar>
        </w:tblPrEx>
        <w:trPr>
          <w:trHeight w:val="856" w:hRule="atLeast"/>
        </w:trPr>
        <w:tc>
          <w:tcPr>
            <w:tcW w:w="670"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auto"/>
              <w:rPr>
                <w:rFonts w:ascii="宋体" w:hAnsi="宋体" w:cs="宋体"/>
                <w:szCs w:val="21"/>
                <w:highlight w:val="none"/>
              </w:rPr>
            </w:pPr>
            <w:r>
              <w:rPr>
                <w:rFonts w:hint="eastAsia" w:ascii="宋体" w:hAnsi="宋体" w:cs="宋体"/>
                <w:szCs w:val="21"/>
                <w:highlight w:val="none"/>
              </w:rPr>
              <w:t>12</w:t>
            </w:r>
          </w:p>
        </w:tc>
        <w:tc>
          <w:tcPr>
            <w:tcW w:w="191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rPr>
                <w:rFonts w:ascii="宋体" w:hAnsi="宋体" w:cs="宋体"/>
                <w:szCs w:val="21"/>
                <w:highlight w:val="none"/>
              </w:rPr>
            </w:pPr>
            <w:r>
              <w:rPr>
                <w:rFonts w:hint="eastAsia" w:ascii="宋体" w:hAnsi="宋体" w:cs="宋体"/>
                <w:szCs w:val="21"/>
                <w:highlight w:val="none"/>
              </w:rPr>
              <w:t>平安银行股份有限公司西安分行</w:t>
            </w:r>
          </w:p>
        </w:tc>
        <w:tc>
          <w:tcPr>
            <w:tcW w:w="1357"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auto"/>
              <w:rPr>
                <w:rFonts w:ascii="宋体" w:hAnsi="宋体" w:cs="宋体"/>
                <w:szCs w:val="21"/>
                <w:highlight w:val="none"/>
              </w:rPr>
            </w:pPr>
            <w:r>
              <w:rPr>
                <w:rFonts w:hint="eastAsia" w:ascii="宋体" w:hAnsi="宋体" w:cs="宋体"/>
                <w:szCs w:val="21"/>
                <w:highlight w:val="none"/>
              </w:rPr>
              <w:t>平安银行西安分行</w:t>
            </w:r>
          </w:p>
        </w:tc>
        <w:tc>
          <w:tcPr>
            <w:tcW w:w="979"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auto"/>
              <w:rPr>
                <w:rFonts w:ascii="宋体" w:hAnsi="宋体" w:cs="宋体"/>
                <w:szCs w:val="21"/>
                <w:highlight w:val="none"/>
              </w:rPr>
            </w:pPr>
            <w:r>
              <w:rPr>
                <w:rFonts w:hint="eastAsia" w:ascii="宋体" w:hAnsi="宋体" w:cs="宋体"/>
                <w:szCs w:val="21"/>
                <w:highlight w:val="none"/>
              </w:rPr>
              <w:t>业务发展七部</w:t>
            </w:r>
          </w:p>
        </w:tc>
        <w:tc>
          <w:tcPr>
            <w:tcW w:w="9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rPr>
                <w:rFonts w:ascii="宋体" w:hAnsi="宋体" w:cs="宋体"/>
                <w:szCs w:val="21"/>
                <w:highlight w:val="none"/>
              </w:rPr>
            </w:pPr>
            <w:r>
              <w:rPr>
                <w:rFonts w:hint="eastAsia" w:ascii="宋体" w:hAnsi="宋体" w:cs="宋体"/>
                <w:szCs w:val="21"/>
                <w:highlight w:val="none"/>
              </w:rPr>
              <w:t>祝捷</w:t>
            </w:r>
          </w:p>
          <w:p>
            <w:pPr>
              <w:adjustRightInd w:val="0"/>
              <w:snapToGrid w:val="0"/>
              <w:spacing w:line="360" w:lineRule="auto"/>
              <w:rPr>
                <w:rFonts w:ascii="宋体" w:hAnsi="宋体" w:cs="宋体"/>
                <w:szCs w:val="21"/>
                <w:highlight w:val="none"/>
              </w:rPr>
            </w:pPr>
            <w:r>
              <w:rPr>
                <w:rFonts w:hint="eastAsia" w:ascii="宋体" w:hAnsi="宋体" w:cs="宋体"/>
                <w:szCs w:val="21"/>
                <w:highlight w:val="none"/>
              </w:rPr>
              <w:t>王尧</w:t>
            </w:r>
          </w:p>
        </w:tc>
        <w:tc>
          <w:tcPr>
            <w:tcW w:w="250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rPr>
                <w:rFonts w:ascii="宋体" w:hAnsi="宋体" w:cs="宋体"/>
                <w:szCs w:val="21"/>
                <w:highlight w:val="none"/>
              </w:rPr>
            </w:pPr>
            <w:r>
              <w:rPr>
                <w:rFonts w:hint="eastAsia" w:ascii="宋体" w:hAnsi="宋体" w:cs="宋体"/>
                <w:szCs w:val="21"/>
                <w:highlight w:val="none"/>
              </w:rPr>
              <w:t>18629505188</w:t>
            </w:r>
          </w:p>
          <w:p>
            <w:pPr>
              <w:adjustRightInd w:val="0"/>
              <w:snapToGrid w:val="0"/>
              <w:spacing w:line="360" w:lineRule="auto"/>
              <w:rPr>
                <w:rFonts w:ascii="宋体" w:hAnsi="宋体" w:cs="宋体"/>
                <w:szCs w:val="21"/>
                <w:highlight w:val="none"/>
              </w:rPr>
            </w:pPr>
            <w:r>
              <w:rPr>
                <w:rFonts w:hint="eastAsia" w:ascii="宋体" w:hAnsi="宋体" w:cs="宋体"/>
                <w:szCs w:val="21"/>
                <w:highlight w:val="none"/>
              </w:rPr>
              <w:t>18591767577</w:t>
            </w:r>
          </w:p>
        </w:tc>
        <w:tc>
          <w:tcPr>
            <w:tcW w:w="857"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auto"/>
              <w:rPr>
                <w:rFonts w:ascii="宋体" w:hAnsi="宋体" w:cs="宋体"/>
                <w:szCs w:val="21"/>
                <w:highlight w:val="none"/>
              </w:rPr>
            </w:pPr>
            <w:r>
              <w:rPr>
                <w:rFonts w:hint="eastAsia" w:ascii="宋体" w:hAnsi="宋体" w:cs="宋体"/>
                <w:szCs w:val="21"/>
                <w:highlight w:val="none"/>
              </w:rPr>
              <w:t>信用融资</w:t>
            </w:r>
          </w:p>
        </w:tc>
      </w:tr>
      <w:tr>
        <w:tblPrEx>
          <w:tblCellMar>
            <w:top w:w="0" w:type="dxa"/>
            <w:left w:w="108" w:type="dxa"/>
            <w:bottom w:w="0" w:type="dxa"/>
            <w:right w:w="108" w:type="dxa"/>
          </w:tblCellMar>
        </w:tblPrEx>
        <w:trPr>
          <w:trHeight w:val="856" w:hRule="atLeast"/>
        </w:trPr>
        <w:tc>
          <w:tcPr>
            <w:tcW w:w="670"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auto"/>
              <w:rPr>
                <w:rFonts w:ascii="宋体" w:hAnsi="宋体" w:cs="宋体"/>
                <w:szCs w:val="21"/>
                <w:highlight w:val="none"/>
              </w:rPr>
            </w:pPr>
            <w:r>
              <w:rPr>
                <w:rFonts w:hint="eastAsia" w:ascii="宋体" w:hAnsi="宋体" w:cs="宋体"/>
                <w:szCs w:val="21"/>
                <w:highlight w:val="none"/>
              </w:rPr>
              <w:t>13</w:t>
            </w:r>
          </w:p>
        </w:tc>
        <w:tc>
          <w:tcPr>
            <w:tcW w:w="191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rPr>
                <w:rFonts w:ascii="宋体" w:hAnsi="宋体" w:cs="宋体"/>
                <w:szCs w:val="21"/>
                <w:highlight w:val="none"/>
              </w:rPr>
            </w:pPr>
            <w:r>
              <w:rPr>
                <w:rFonts w:hint="eastAsia" w:ascii="宋体" w:hAnsi="宋体" w:cs="宋体"/>
                <w:szCs w:val="21"/>
                <w:highlight w:val="none"/>
              </w:rPr>
              <w:t>北京银行股份有限公司西安分行</w:t>
            </w:r>
          </w:p>
        </w:tc>
        <w:tc>
          <w:tcPr>
            <w:tcW w:w="1357"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auto"/>
              <w:rPr>
                <w:rFonts w:ascii="宋体" w:hAnsi="宋体" w:cs="宋体"/>
                <w:szCs w:val="21"/>
                <w:highlight w:val="none"/>
              </w:rPr>
            </w:pPr>
            <w:r>
              <w:rPr>
                <w:rFonts w:hint="eastAsia" w:ascii="宋体" w:hAnsi="宋体" w:cs="宋体"/>
                <w:szCs w:val="21"/>
                <w:highlight w:val="none"/>
              </w:rPr>
              <w:t>北京银行西安分行</w:t>
            </w:r>
          </w:p>
        </w:tc>
        <w:tc>
          <w:tcPr>
            <w:tcW w:w="979"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auto"/>
              <w:rPr>
                <w:rFonts w:ascii="宋体" w:hAnsi="宋体" w:cs="宋体"/>
                <w:szCs w:val="21"/>
                <w:highlight w:val="none"/>
              </w:rPr>
            </w:pPr>
            <w:r>
              <w:rPr>
                <w:rFonts w:hint="eastAsia" w:ascii="宋体" w:hAnsi="宋体" w:cs="宋体"/>
                <w:szCs w:val="21"/>
                <w:highlight w:val="none"/>
              </w:rPr>
              <w:t>营业部</w:t>
            </w:r>
          </w:p>
        </w:tc>
        <w:tc>
          <w:tcPr>
            <w:tcW w:w="9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rPr>
                <w:rFonts w:ascii="宋体" w:hAnsi="宋体" w:cs="宋体"/>
                <w:szCs w:val="21"/>
                <w:highlight w:val="none"/>
              </w:rPr>
            </w:pPr>
            <w:r>
              <w:rPr>
                <w:rFonts w:hint="eastAsia" w:ascii="宋体" w:hAnsi="宋体" w:cs="宋体"/>
                <w:szCs w:val="21"/>
                <w:highlight w:val="none"/>
              </w:rPr>
              <w:t>范诗阳</w:t>
            </w:r>
          </w:p>
          <w:p>
            <w:pPr>
              <w:adjustRightInd w:val="0"/>
              <w:snapToGrid w:val="0"/>
              <w:spacing w:line="360" w:lineRule="auto"/>
              <w:rPr>
                <w:rFonts w:ascii="宋体" w:hAnsi="宋体" w:cs="宋体"/>
                <w:szCs w:val="21"/>
                <w:highlight w:val="none"/>
              </w:rPr>
            </w:pPr>
            <w:r>
              <w:rPr>
                <w:rFonts w:hint="eastAsia" w:ascii="宋体" w:hAnsi="宋体" w:cs="宋体"/>
                <w:szCs w:val="21"/>
                <w:highlight w:val="none"/>
              </w:rPr>
              <w:t>曹英</w:t>
            </w:r>
          </w:p>
        </w:tc>
        <w:tc>
          <w:tcPr>
            <w:tcW w:w="250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rPr>
                <w:rFonts w:ascii="宋体" w:hAnsi="宋体" w:cs="宋体"/>
                <w:szCs w:val="21"/>
                <w:highlight w:val="none"/>
              </w:rPr>
            </w:pPr>
            <w:r>
              <w:rPr>
                <w:rFonts w:hint="eastAsia" w:ascii="宋体" w:hAnsi="宋体" w:cs="宋体"/>
                <w:szCs w:val="21"/>
                <w:highlight w:val="none"/>
              </w:rPr>
              <w:t>13991945764</w:t>
            </w:r>
          </w:p>
          <w:p>
            <w:pPr>
              <w:adjustRightInd w:val="0"/>
              <w:snapToGrid w:val="0"/>
              <w:spacing w:line="360" w:lineRule="auto"/>
              <w:rPr>
                <w:rFonts w:ascii="宋体" w:hAnsi="宋体" w:cs="宋体"/>
                <w:szCs w:val="21"/>
                <w:highlight w:val="none"/>
              </w:rPr>
            </w:pPr>
            <w:r>
              <w:rPr>
                <w:rFonts w:hint="eastAsia" w:ascii="宋体" w:hAnsi="宋体" w:cs="宋体"/>
                <w:szCs w:val="21"/>
                <w:highlight w:val="none"/>
              </w:rPr>
              <w:t>18691892195</w:t>
            </w:r>
          </w:p>
        </w:tc>
        <w:tc>
          <w:tcPr>
            <w:tcW w:w="857"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auto"/>
              <w:rPr>
                <w:rFonts w:ascii="宋体" w:hAnsi="宋体" w:cs="宋体"/>
                <w:szCs w:val="21"/>
                <w:highlight w:val="none"/>
              </w:rPr>
            </w:pPr>
            <w:r>
              <w:rPr>
                <w:rFonts w:hint="eastAsia" w:ascii="宋体" w:hAnsi="宋体" w:cs="宋体"/>
                <w:szCs w:val="21"/>
                <w:highlight w:val="none"/>
              </w:rPr>
              <w:t>信用融资</w:t>
            </w:r>
          </w:p>
        </w:tc>
      </w:tr>
      <w:tr>
        <w:tblPrEx>
          <w:tblCellMar>
            <w:top w:w="0" w:type="dxa"/>
            <w:left w:w="108" w:type="dxa"/>
            <w:bottom w:w="0" w:type="dxa"/>
            <w:right w:w="108" w:type="dxa"/>
          </w:tblCellMar>
        </w:tblPrEx>
        <w:trPr>
          <w:trHeight w:val="867" w:hRule="atLeast"/>
        </w:trPr>
        <w:tc>
          <w:tcPr>
            <w:tcW w:w="670"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auto"/>
              <w:rPr>
                <w:rFonts w:ascii="宋体" w:hAnsi="宋体" w:cs="宋体"/>
                <w:szCs w:val="21"/>
                <w:highlight w:val="none"/>
              </w:rPr>
            </w:pPr>
            <w:r>
              <w:rPr>
                <w:rFonts w:hint="eastAsia" w:ascii="宋体" w:hAnsi="宋体" w:cs="宋体"/>
                <w:szCs w:val="21"/>
                <w:highlight w:val="none"/>
              </w:rPr>
              <w:t>14</w:t>
            </w:r>
          </w:p>
        </w:tc>
        <w:tc>
          <w:tcPr>
            <w:tcW w:w="191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rPr>
                <w:rFonts w:ascii="宋体" w:hAnsi="宋体" w:cs="宋体"/>
                <w:szCs w:val="21"/>
                <w:highlight w:val="none"/>
              </w:rPr>
            </w:pPr>
            <w:r>
              <w:rPr>
                <w:rFonts w:hint="eastAsia" w:ascii="宋体" w:hAnsi="宋体" w:cs="宋体"/>
                <w:szCs w:val="21"/>
                <w:highlight w:val="none"/>
              </w:rPr>
              <w:t>兴业银行股份有限公司西安分行</w:t>
            </w:r>
          </w:p>
        </w:tc>
        <w:tc>
          <w:tcPr>
            <w:tcW w:w="1357"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auto"/>
              <w:rPr>
                <w:rFonts w:ascii="宋体" w:hAnsi="宋体" w:cs="宋体"/>
                <w:szCs w:val="21"/>
                <w:highlight w:val="none"/>
              </w:rPr>
            </w:pPr>
            <w:r>
              <w:rPr>
                <w:rFonts w:hint="eastAsia" w:ascii="宋体" w:hAnsi="宋体" w:cs="宋体"/>
                <w:szCs w:val="21"/>
                <w:highlight w:val="none"/>
              </w:rPr>
              <w:t>兴业银行西安分行</w:t>
            </w:r>
          </w:p>
        </w:tc>
        <w:tc>
          <w:tcPr>
            <w:tcW w:w="979"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auto"/>
              <w:rPr>
                <w:rFonts w:ascii="宋体" w:hAnsi="宋体" w:cs="宋体"/>
                <w:szCs w:val="21"/>
                <w:highlight w:val="none"/>
              </w:rPr>
            </w:pPr>
            <w:r>
              <w:rPr>
                <w:rFonts w:hint="eastAsia" w:ascii="宋体" w:hAnsi="宋体" w:cs="宋体"/>
                <w:szCs w:val="21"/>
                <w:highlight w:val="none"/>
              </w:rPr>
              <w:t>新城业务总部</w:t>
            </w:r>
          </w:p>
        </w:tc>
        <w:tc>
          <w:tcPr>
            <w:tcW w:w="9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rPr>
                <w:rFonts w:ascii="宋体" w:hAnsi="宋体" w:cs="宋体"/>
                <w:szCs w:val="21"/>
                <w:highlight w:val="none"/>
              </w:rPr>
            </w:pPr>
            <w:r>
              <w:rPr>
                <w:rFonts w:hint="eastAsia" w:ascii="宋体" w:hAnsi="宋体" w:cs="宋体"/>
                <w:szCs w:val="21"/>
                <w:highlight w:val="none"/>
              </w:rPr>
              <w:t>徐常磊</w:t>
            </w:r>
          </w:p>
          <w:p>
            <w:pPr>
              <w:adjustRightInd w:val="0"/>
              <w:snapToGrid w:val="0"/>
              <w:spacing w:line="360" w:lineRule="auto"/>
              <w:rPr>
                <w:rFonts w:ascii="宋体" w:hAnsi="宋体" w:cs="宋体"/>
                <w:szCs w:val="21"/>
                <w:highlight w:val="none"/>
              </w:rPr>
            </w:pPr>
            <w:r>
              <w:rPr>
                <w:rFonts w:hint="eastAsia" w:ascii="宋体" w:hAnsi="宋体" w:cs="宋体"/>
                <w:szCs w:val="21"/>
                <w:highlight w:val="none"/>
              </w:rPr>
              <w:t>鲁旸</w:t>
            </w:r>
          </w:p>
        </w:tc>
        <w:tc>
          <w:tcPr>
            <w:tcW w:w="250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rPr>
                <w:rFonts w:ascii="宋体" w:hAnsi="宋体" w:cs="宋体"/>
                <w:szCs w:val="21"/>
                <w:highlight w:val="none"/>
              </w:rPr>
            </w:pPr>
            <w:r>
              <w:rPr>
                <w:rFonts w:hint="eastAsia" w:ascii="宋体" w:hAnsi="宋体" w:cs="宋体"/>
                <w:szCs w:val="21"/>
                <w:highlight w:val="none"/>
              </w:rPr>
              <w:t>15991623666</w:t>
            </w:r>
          </w:p>
          <w:p>
            <w:pPr>
              <w:adjustRightInd w:val="0"/>
              <w:snapToGrid w:val="0"/>
              <w:spacing w:line="360" w:lineRule="auto"/>
              <w:rPr>
                <w:rFonts w:ascii="宋体" w:hAnsi="宋体" w:cs="宋体"/>
                <w:szCs w:val="21"/>
                <w:highlight w:val="none"/>
              </w:rPr>
            </w:pPr>
            <w:r>
              <w:rPr>
                <w:rFonts w:hint="eastAsia" w:ascii="宋体" w:hAnsi="宋体" w:cs="宋体"/>
                <w:szCs w:val="21"/>
                <w:highlight w:val="none"/>
              </w:rPr>
              <w:t>15389081886</w:t>
            </w:r>
          </w:p>
        </w:tc>
        <w:tc>
          <w:tcPr>
            <w:tcW w:w="857"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auto"/>
              <w:rPr>
                <w:rFonts w:ascii="宋体" w:hAnsi="宋体" w:cs="宋体"/>
                <w:szCs w:val="21"/>
                <w:highlight w:val="none"/>
              </w:rPr>
            </w:pPr>
            <w:r>
              <w:rPr>
                <w:rFonts w:hint="eastAsia" w:ascii="宋体" w:hAnsi="宋体" w:cs="宋体"/>
                <w:szCs w:val="21"/>
                <w:highlight w:val="none"/>
              </w:rPr>
              <w:t>信用融资</w:t>
            </w:r>
          </w:p>
        </w:tc>
      </w:tr>
    </w:tbl>
    <w:p>
      <w:pPr>
        <w:pStyle w:val="6"/>
        <w:spacing w:before="0" w:after="0" w:line="360" w:lineRule="auto"/>
        <w:jc w:val="center"/>
        <w:outlineLvl w:val="0"/>
        <w:rPr>
          <w:rFonts w:ascii="宋体" w:hAnsi="宋体" w:cs="宋体"/>
          <w:sz w:val="36"/>
          <w:highlight w:val="none"/>
        </w:rPr>
      </w:pPr>
      <w:r>
        <w:rPr>
          <w:rFonts w:hint="eastAsia" w:ascii="宋体" w:hAnsi="宋体" w:cs="宋体"/>
          <w:sz w:val="36"/>
          <w:szCs w:val="36"/>
          <w:highlight w:val="none"/>
        </w:rPr>
        <w:br w:type="page"/>
      </w:r>
      <w:bookmarkStart w:id="439" w:name="_Toc28889"/>
      <w:bookmarkStart w:id="440" w:name="_Toc5087"/>
      <w:r>
        <w:rPr>
          <w:rFonts w:hint="eastAsia" w:ascii="宋体" w:hAnsi="宋体" w:cs="宋体"/>
          <w:sz w:val="36"/>
          <w:szCs w:val="36"/>
          <w:highlight w:val="none"/>
        </w:rPr>
        <w:t xml:space="preserve">第四部分  </w:t>
      </w:r>
      <w:bookmarkEnd w:id="430"/>
      <w:bookmarkEnd w:id="431"/>
      <w:bookmarkEnd w:id="432"/>
      <w:bookmarkEnd w:id="433"/>
      <w:r>
        <w:rPr>
          <w:rFonts w:hint="eastAsia" w:ascii="宋体" w:hAnsi="宋体" w:cs="宋体"/>
          <w:sz w:val="36"/>
          <w:szCs w:val="36"/>
          <w:highlight w:val="none"/>
        </w:rPr>
        <w:t>评标办法及标准</w:t>
      </w:r>
      <w:bookmarkEnd w:id="434"/>
      <w:bookmarkEnd w:id="439"/>
      <w:bookmarkEnd w:id="440"/>
    </w:p>
    <w:p>
      <w:pPr>
        <w:spacing w:line="480" w:lineRule="exact"/>
        <w:rPr>
          <w:b/>
          <w:szCs w:val="24"/>
        </w:rPr>
      </w:pPr>
      <w:r>
        <w:rPr>
          <w:rFonts w:hint="eastAsia"/>
          <w:b/>
          <w:szCs w:val="24"/>
        </w:rPr>
        <w:t>一．评审方法：</w:t>
      </w:r>
    </w:p>
    <w:p>
      <w:pPr>
        <w:spacing w:line="480" w:lineRule="exact"/>
        <w:ind w:firstLine="455" w:firstLineChars="217"/>
        <w:rPr>
          <w:rFonts w:hint="eastAsia" w:hAnsi="宋体"/>
          <w:spacing w:val="4"/>
          <w:szCs w:val="24"/>
        </w:rPr>
      </w:pPr>
      <w:r>
        <w:rPr>
          <w:rFonts w:hAnsi="宋体"/>
          <w:szCs w:val="24"/>
        </w:rPr>
        <w:t>按照《中华人民共和国政府采购法》</w:t>
      </w:r>
      <w:r>
        <w:rPr>
          <w:rFonts w:hint="eastAsia" w:hAnsi="宋体"/>
          <w:szCs w:val="24"/>
        </w:rPr>
        <w:t>及实施条例和</w:t>
      </w:r>
      <w:r>
        <w:rPr>
          <w:rFonts w:hAnsi="宋体"/>
          <w:szCs w:val="24"/>
        </w:rPr>
        <w:t>关于印发《政府采购竞争性磋商采购方式管理暂行办法》的通知</w:t>
      </w:r>
      <w:r>
        <w:rPr>
          <w:rFonts w:hint="eastAsia" w:hAnsi="宋体"/>
          <w:szCs w:val="24"/>
        </w:rPr>
        <w:t>（</w:t>
      </w:r>
      <w:r>
        <w:rPr>
          <w:rFonts w:hAnsi="宋体"/>
          <w:szCs w:val="24"/>
        </w:rPr>
        <w:t>财库【2014】214号</w:t>
      </w:r>
      <w:r>
        <w:rPr>
          <w:rFonts w:hint="eastAsia" w:hAnsi="宋体"/>
          <w:szCs w:val="24"/>
        </w:rPr>
        <w:t>）</w:t>
      </w:r>
      <w:r>
        <w:rPr>
          <w:rFonts w:hint="eastAsia" w:hAnsi="宋体"/>
          <w:spacing w:val="4"/>
          <w:szCs w:val="24"/>
        </w:rPr>
        <w:t>的规定，本次评标采用综合评分法，即在最大限度地满足竞争性磋商文件实质性要求前提下，按照竞争性磋商文件中规定的各项因素和相应的权重分值进行综合评审后，以总得分最高的供应商作为成交候选人并依次排序（最低报价不是成交的唯一标准）。</w:t>
      </w:r>
    </w:p>
    <w:p>
      <w:pPr>
        <w:spacing w:line="480" w:lineRule="exact"/>
        <w:rPr>
          <w:rFonts w:hint="eastAsia" w:hAnsi="宋体" w:cs="宋体"/>
          <w:b/>
          <w:sz w:val="28"/>
          <w:szCs w:val="28"/>
        </w:rPr>
      </w:pPr>
      <w:r>
        <w:rPr>
          <w:rFonts w:hint="eastAsia" w:hAnsi="宋体" w:cs="宋体"/>
          <w:b/>
          <w:sz w:val="28"/>
          <w:szCs w:val="28"/>
        </w:rPr>
        <w:t>二、评审标准</w:t>
      </w:r>
    </w:p>
    <w:p>
      <w:pPr>
        <w:tabs>
          <w:tab w:val="left" w:pos="0"/>
        </w:tabs>
        <w:adjustRightInd w:val="0"/>
        <w:snapToGrid w:val="0"/>
        <w:spacing w:line="480" w:lineRule="exact"/>
        <w:ind w:firstLine="413" w:firstLineChars="196"/>
        <w:rPr>
          <w:rFonts w:hint="eastAsia" w:hAnsi="宋体" w:cs="宋体"/>
          <w:b/>
          <w:color w:val="000000"/>
        </w:rPr>
      </w:pPr>
      <w:r>
        <w:rPr>
          <w:rFonts w:hint="eastAsia" w:hAnsi="宋体" w:cs="宋体"/>
          <w:b/>
          <w:color w:val="000000"/>
        </w:rPr>
        <w:t>2.1初步评审标准</w:t>
      </w:r>
    </w:p>
    <w:p>
      <w:pPr>
        <w:tabs>
          <w:tab w:val="left" w:pos="0"/>
        </w:tabs>
        <w:adjustRightInd w:val="0"/>
        <w:snapToGrid w:val="0"/>
        <w:spacing w:line="480" w:lineRule="exact"/>
        <w:ind w:firstLine="411" w:firstLineChars="196"/>
        <w:rPr>
          <w:rFonts w:hint="eastAsia" w:hAnsi="宋体" w:cs="宋体"/>
          <w:color w:val="000000"/>
        </w:rPr>
      </w:pPr>
      <w:r>
        <w:rPr>
          <w:rFonts w:hint="eastAsia" w:hAnsi="宋体" w:cs="宋体"/>
          <w:color w:val="000000"/>
        </w:rPr>
        <w:t>2.1.1资格性审查标准：见附件1初步审查要素表</w:t>
      </w:r>
    </w:p>
    <w:p>
      <w:pPr>
        <w:tabs>
          <w:tab w:val="left" w:pos="0"/>
        </w:tabs>
        <w:adjustRightInd w:val="0"/>
        <w:snapToGrid w:val="0"/>
        <w:spacing w:line="480" w:lineRule="exact"/>
        <w:ind w:firstLine="411" w:firstLineChars="196"/>
        <w:rPr>
          <w:rFonts w:hint="eastAsia" w:hAnsi="宋体" w:cs="宋体"/>
          <w:color w:val="000000"/>
        </w:rPr>
      </w:pPr>
      <w:r>
        <w:rPr>
          <w:rFonts w:hint="eastAsia" w:hAnsi="宋体" w:cs="宋体"/>
          <w:color w:val="000000"/>
        </w:rPr>
        <w:t>2.1.2符合性审查标准：见附件</w:t>
      </w:r>
      <w:r>
        <w:rPr>
          <w:rFonts w:hint="eastAsia" w:hAnsi="宋体" w:cs="宋体"/>
          <w:color w:val="000000"/>
          <w:lang w:val="en-US" w:eastAsia="zh-CN"/>
        </w:rPr>
        <w:t>2</w:t>
      </w:r>
      <w:r>
        <w:rPr>
          <w:rFonts w:hint="eastAsia" w:hAnsi="宋体" w:cs="宋体"/>
          <w:color w:val="000000"/>
        </w:rPr>
        <w:t>初步审查要素表</w:t>
      </w:r>
    </w:p>
    <w:p>
      <w:pPr>
        <w:tabs>
          <w:tab w:val="left" w:pos="0"/>
        </w:tabs>
        <w:adjustRightInd w:val="0"/>
        <w:snapToGrid w:val="0"/>
        <w:spacing w:line="480" w:lineRule="exact"/>
        <w:ind w:firstLine="413" w:firstLineChars="196"/>
        <w:rPr>
          <w:rFonts w:hint="eastAsia" w:hAnsi="宋体" w:cs="宋体"/>
          <w:b/>
          <w:color w:val="000000"/>
          <w:szCs w:val="22"/>
        </w:rPr>
      </w:pPr>
      <w:r>
        <w:rPr>
          <w:rFonts w:hint="eastAsia" w:hAnsi="宋体" w:cs="宋体"/>
          <w:b/>
          <w:color w:val="000000"/>
          <w:szCs w:val="22"/>
        </w:rPr>
        <w:t>2.2分值构成与评分标准</w:t>
      </w:r>
    </w:p>
    <w:p>
      <w:pPr>
        <w:tabs>
          <w:tab w:val="left" w:pos="0"/>
        </w:tabs>
        <w:adjustRightInd w:val="0"/>
        <w:snapToGrid w:val="0"/>
        <w:spacing w:line="480" w:lineRule="exact"/>
        <w:ind w:firstLine="411" w:firstLineChars="196"/>
        <w:rPr>
          <w:rFonts w:hint="eastAsia" w:hAnsi="宋体"/>
          <w:b/>
          <w:spacing w:val="4"/>
          <w:szCs w:val="24"/>
        </w:rPr>
      </w:pPr>
      <w:r>
        <w:rPr>
          <w:rFonts w:hint="eastAsia" w:hAnsi="宋体" w:cs="宋体"/>
          <w:bCs/>
          <w:color w:val="000000"/>
          <w:szCs w:val="22"/>
        </w:rPr>
        <w:t>2.2.1 分值构成：见附件</w:t>
      </w:r>
      <w:r>
        <w:rPr>
          <w:rFonts w:hint="eastAsia" w:hAnsi="宋体" w:cs="宋体"/>
          <w:bCs/>
          <w:color w:val="000000"/>
          <w:szCs w:val="22"/>
          <w:lang w:val="en-US" w:eastAsia="zh-CN"/>
        </w:rPr>
        <w:t>3综合评分明细表</w:t>
      </w:r>
    </w:p>
    <w:p>
      <w:pPr>
        <w:spacing w:line="480" w:lineRule="exact"/>
        <w:rPr>
          <w:rFonts w:hint="eastAsia" w:hAnsi="宋体"/>
          <w:b/>
          <w:spacing w:val="4"/>
          <w:szCs w:val="24"/>
        </w:rPr>
      </w:pPr>
      <w:r>
        <w:rPr>
          <w:rFonts w:hint="eastAsia" w:hAnsi="宋体"/>
          <w:b/>
          <w:spacing w:val="4"/>
          <w:szCs w:val="24"/>
        </w:rPr>
        <w:t>三、评审程序：</w:t>
      </w:r>
    </w:p>
    <w:p>
      <w:pPr>
        <w:pStyle w:val="22"/>
        <w:spacing w:line="480" w:lineRule="exact"/>
        <w:ind w:left="0" w:leftChars="0" w:firstLine="420" w:firstLineChars="200"/>
        <w:rPr>
          <w:rFonts w:hint="eastAsia"/>
          <w:sz w:val="24"/>
          <w:szCs w:val="24"/>
        </w:rPr>
      </w:pPr>
      <w:r>
        <w:rPr>
          <w:rFonts w:hint="eastAsia" w:ascii="Calibri" w:hAnsi="宋体" w:eastAsia="宋体" w:cs="宋体"/>
          <w:bCs/>
          <w:color w:val="000000"/>
          <w:kern w:val="2"/>
          <w:sz w:val="21"/>
          <w:szCs w:val="22"/>
          <w:lang w:val="en-US" w:eastAsia="zh-CN" w:bidi="ar-SA"/>
        </w:rPr>
        <w:t>按照竞争性磋商响应文件初审、澄清有关问题、分别磋商、二次报价、比较与评审、推荐成交候选人名单。在上一步评审中被认定为无效磋商者，不进入下一步的评审。</w:t>
      </w:r>
    </w:p>
    <w:p>
      <w:pPr>
        <w:numPr>
          <w:ilvl w:val="0"/>
          <w:numId w:val="5"/>
        </w:numPr>
        <w:spacing w:line="480" w:lineRule="exact"/>
        <w:ind w:firstLine="438" w:firstLineChars="200"/>
        <w:rPr>
          <w:rFonts w:hint="eastAsia" w:hAnsi="宋体"/>
          <w:b/>
          <w:bCs/>
          <w:spacing w:val="4"/>
          <w:szCs w:val="24"/>
        </w:rPr>
      </w:pPr>
      <w:r>
        <w:rPr>
          <w:rFonts w:hint="eastAsia" w:hAnsi="宋体"/>
          <w:b/>
          <w:bCs/>
          <w:spacing w:val="4"/>
          <w:szCs w:val="24"/>
        </w:rPr>
        <w:t>对磋商响应文件的初审：</w:t>
      </w:r>
    </w:p>
    <w:p>
      <w:pPr>
        <w:tabs>
          <w:tab w:val="left" w:pos="0"/>
        </w:tabs>
        <w:adjustRightInd w:val="0"/>
        <w:snapToGrid w:val="0"/>
        <w:spacing w:line="480" w:lineRule="exact"/>
        <w:ind w:firstLine="413" w:firstLineChars="196"/>
        <w:rPr>
          <w:b/>
          <w:bCs/>
          <w:color w:val="000000"/>
        </w:rPr>
      </w:pPr>
      <w:r>
        <w:rPr>
          <w:rFonts w:hint="eastAsia"/>
          <w:b/>
          <w:bCs/>
          <w:color w:val="000000"/>
        </w:rPr>
        <w:t>1.1</w:t>
      </w:r>
      <w:r>
        <w:rPr>
          <w:b/>
          <w:bCs/>
          <w:color w:val="000000"/>
        </w:rPr>
        <w:t>资格性审查</w:t>
      </w:r>
      <w:r>
        <w:rPr>
          <w:rFonts w:hint="eastAsia"/>
          <w:b/>
          <w:bCs/>
          <w:color w:val="000000"/>
        </w:rPr>
        <w:t>：磋商小组</w:t>
      </w:r>
      <w:r>
        <w:rPr>
          <w:b/>
          <w:bCs/>
          <w:color w:val="000000"/>
        </w:rPr>
        <w:t>将依据</w:t>
      </w:r>
      <w:r>
        <w:rPr>
          <w:rFonts w:hint="eastAsia"/>
          <w:b/>
          <w:bCs/>
          <w:color w:val="000000"/>
        </w:rPr>
        <w:t>本章第 2.1.1 项规定的评审标准对磋商响应文件进行资格性审查。有一项不符合评审标准的，</w:t>
      </w:r>
      <w:r>
        <w:rPr>
          <w:b/>
          <w:bCs/>
          <w:color w:val="000000"/>
        </w:rPr>
        <w:t>将被视为未实质性响应</w:t>
      </w:r>
      <w:r>
        <w:rPr>
          <w:rFonts w:hint="eastAsia"/>
          <w:b/>
          <w:bCs/>
          <w:color w:val="000000"/>
        </w:rPr>
        <w:t>磋商</w:t>
      </w:r>
      <w:r>
        <w:rPr>
          <w:b/>
          <w:bCs/>
          <w:color w:val="000000"/>
        </w:rPr>
        <w:t>文件</w:t>
      </w:r>
      <w:r>
        <w:rPr>
          <w:rFonts w:hint="eastAsia"/>
          <w:b/>
          <w:bCs/>
          <w:color w:val="000000"/>
        </w:rPr>
        <w:t>，其磋商响应文件将按无效文件处理</w:t>
      </w:r>
      <w:r>
        <w:rPr>
          <w:b/>
          <w:bCs/>
          <w:color w:val="000000"/>
        </w:rPr>
        <w:t>。</w:t>
      </w:r>
    </w:p>
    <w:p>
      <w:pPr>
        <w:spacing w:line="480" w:lineRule="exact"/>
        <w:ind w:firstLine="422" w:firstLineChars="200"/>
        <w:rPr>
          <w:rFonts w:hint="eastAsia"/>
          <w:color w:val="000000"/>
        </w:rPr>
      </w:pPr>
      <w:r>
        <w:rPr>
          <w:rFonts w:hint="eastAsia"/>
          <w:b/>
          <w:bCs/>
          <w:color w:val="000000"/>
        </w:rPr>
        <w:t>1</w:t>
      </w:r>
      <w:r>
        <w:rPr>
          <w:b/>
          <w:bCs/>
          <w:color w:val="000000"/>
        </w:rPr>
        <w:t>.2符合性审查</w:t>
      </w:r>
      <w:r>
        <w:rPr>
          <w:rFonts w:hint="eastAsia"/>
          <w:b/>
          <w:bCs/>
          <w:color w:val="000000"/>
        </w:rPr>
        <w:t>：磋商小组根据本章第 2.1.2 项规定的评审标准对磋商响应文件进行符合性评审。有一项不符合评审标准的，将被视为未实质性响应磋商文件，其磋商响应文件将按无效文件处理。</w:t>
      </w:r>
    </w:p>
    <w:p>
      <w:pPr>
        <w:spacing w:line="480" w:lineRule="exact"/>
        <w:ind w:firstLine="422" w:firstLineChars="200"/>
        <w:rPr>
          <w:rFonts w:hint="eastAsia" w:hAnsi="宋体" w:cs="宋体"/>
          <w:b/>
          <w:bCs/>
          <w:szCs w:val="24"/>
        </w:rPr>
      </w:pPr>
      <w:r>
        <w:rPr>
          <w:rFonts w:hint="eastAsia"/>
          <w:b/>
          <w:bCs/>
          <w:color w:val="000000"/>
        </w:rPr>
        <w:t>在资格性审查阶段，不符合磋商文件要求的，不得进入符合性审查，在符合性审查时未通过的，不得进入后续评审环节。</w:t>
      </w:r>
    </w:p>
    <w:p>
      <w:pPr>
        <w:spacing w:before="156" w:beforeLines="50" w:after="156" w:afterLines="50" w:line="480" w:lineRule="exact"/>
        <w:ind w:firstLine="422" w:firstLineChars="200"/>
        <w:rPr>
          <w:rFonts w:hint="eastAsia" w:hAnsi="宋体" w:cs="宋体"/>
          <w:b/>
          <w:color w:val="000000"/>
        </w:rPr>
      </w:pPr>
      <w:r>
        <w:rPr>
          <w:rFonts w:hint="eastAsia" w:hAnsi="宋体" w:cs="宋体"/>
          <w:b/>
          <w:color w:val="000000"/>
        </w:rPr>
        <w:t>2、磋商响应文件的澄清</w:t>
      </w:r>
    </w:p>
    <w:p>
      <w:pPr>
        <w:spacing w:line="480" w:lineRule="exact"/>
        <w:ind w:firstLine="436" w:firstLineChars="200"/>
        <w:rPr>
          <w:rFonts w:hint="eastAsia" w:hAnsi="宋体" w:cs="宋体"/>
          <w:bCs/>
          <w:spacing w:val="4"/>
          <w:szCs w:val="24"/>
        </w:rPr>
      </w:pPr>
      <w:r>
        <w:rPr>
          <w:rFonts w:hint="eastAsia" w:hAnsi="宋体" w:cs="宋体"/>
          <w:bCs/>
          <w:spacing w:val="4"/>
          <w:szCs w:val="24"/>
        </w:rPr>
        <w:t>2.1磋商小组发现供应商的报价明显低于其他通过符合性审查的供应商的报价，有可能影响产品质量或者不能诚信履约的，应当要求其在磋商现场合理的时间内做出书面说明，必要时提交相关证明材料。供应商不能证明其报价合理性的，磋商小组应当将其作为无效响应处理。</w:t>
      </w:r>
    </w:p>
    <w:p>
      <w:pPr>
        <w:spacing w:line="480" w:lineRule="exact"/>
        <w:ind w:firstLine="420" w:firstLineChars="200"/>
        <w:rPr>
          <w:rFonts w:hint="eastAsia" w:hAnsi="宋体" w:cs="宋体"/>
          <w:bCs/>
          <w:spacing w:val="4"/>
          <w:szCs w:val="24"/>
        </w:rPr>
      </w:pPr>
      <w:r>
        <w:rPr>
          <w:rFonts w:hint="eastAsia" w:hAnsi="宋体" w:cs="宋体"/>
          <w:color w:val="000000"/>
          <w:szCs w:val="24"/>
        </w:rPr>
        <w:t>2.2有效的书面澄清材料，是磋商响应文件的补充材料，成为磋商响应文件的组成部分。</w:t>
      </w:r>
    </w:p>
    <w:p>
      <w:pPr>
        <w:spacing w:line="480" w:lineRule="exact"/>
        <w:ind w:firstLine="422" w:firstLineChars="200"/>
        <w:rPr>
          <w:rFonts w:hint="eastAsia" w:hAnsi="宋体"/>
          <w:szCs w:val="24"/>
        </w:rPr>
      </w:pPr>
      <w:r>
        <w:rPr>
          <w:rFonts w:hint="eastAsia" w:hAnsi="宋体"/>
          <w:b/>
          <w:bCs/>
          <w:szCs w:val="24"/>
        </w:rPr>
        <w:t>3、磋商：</w:t>
      </w:r>
      <w:r>
        <w:rPr>
          <w:rFonts w:hint="eastAsia" w:hAnsi="宋体"/>
          <w:szCs w:val="24"/>
        </w:rPr>
        <w:t>磋商小组所有成员集中与单一供应商分别进行磋商，并要求供应商在规定的时间内提交最后报价。在磋商过程中，磋商小组可以根据磋商文件和磋商情况实质性变动采购需求中的技术</w:t>
      </w:r>
      <w:r>
        <w:rPr>
          <w:rFonts w:hAnsi="宋体"/>
          <w:szCs w:val="24"/>
        </w:rPr>
        <w:t>、</w:t>
      </w:r>
      <w:r>
        <w:rPr>
          <w:rFonts w:hint="eastAsia" w:hAnsi="宋体"/>
          <w:szCs w:val="24"/>
        </w:rPr>
        <w:t>服务要求以及合同草案条款，但不得变动磋商文件中的其它内容。实质性变动的内容，需经采购人代表确认。</w:t>
      </w:r>
    </w:p>
    <w:p>
      <w:pPr>
        <w:spacing w:line="480" w:lineRule="exact"/>
        <w:ind w:firstLine="527" w:firstLineChars="250"/>
        <w:rPr>
          <w:rFonts w:hint="eastAsia" w:hAnsi="宋体"/>
          <w:szCs w:val="24"/>
        </w:rPr>
      </w:pPr>
      <w:r>
        <w:rPr>
          <w:rFonts w:hint="eastAsia" w:hAnsi="宋体"/>
          <w:b/>
          <w:bCs/>
          <w:szCs w:val="24"/>
        </w:rPr>
        <w:t>4、</w:t>
      </w:r>
      <w:r>
        <w:rPr>
          <w:rFonts w:hint="eastAsia"/>
          <w:b/>
          <w:bCs/>
          <w:szCs w:val="24"/>
        </w:rPr>
        <w:t>综合评审</w:t>
      </w:r>
      <w:r>
        <w:rPr>
          <w:rFonts w:hint="eastAsia" w:hAnsi="宋体"/>
          <w:b/>
          <w:bCs/>
          <w:szCs w:val="24"/>
        </w:rPr>
        <w:t>：</w:t>
      </w:r>
      <w:r>
        <w:rPr>
          <w:rFonts w:hint="eastAsia" w:hAnsi="宋体"/>
          <w:szCs w:val="24"/>
        </w:rPr>
        <w:t>对于经初审合格的所有供应商，</w:t>
      </w:r>
      <w:r>
        <w:rPr>
          <w:rFonts w:hint="eastAsia"/>
          <w:szCs w:val="24"/>
        </w:rPr>
        <w:t>由磋商小组各成员依据磋商响应文件和最终报价，</w:t>
      </w:r>
      <w:r>
        <w:rPr>
          <w:rFonts w:hint="eastAsia" w:hAnsi="宋体"/>
          <w:szCs w:val="24"/>
        </w:rPr>
        <w:t>按照下列《评标要素和分值分解表》规定的内容独立进行综合评价、比较打分，然后汇总每个供应商的得分，从高到低依次排序，推荐成交候选人。</w:t>
      </w:r>
    </w:p>
    <w:p>
      <w:pPr>
        <w:spacing w:line="480" w:lineRule="exact"/>
        <w:jc w:val="left"/>
        <w:rPr>
          <w:rFonts w:hint="eastAsia" w:hAnsi="宋体"/>
          <w:b/>
          <w:szCs w:val="24"/>
        </w:rPr>
      </w:pPr>
      <w:r>
        <w:rPr>
          <w:rFonts w:hint="eastAsia" w:hAnsi="宋体"/>
          <w:b/>
          <w:szCs w:val="24"/>
        </w:rPr>
        <w:t>四</w:t>
      </w:r>
      <w:r>
        <w:rPr>
          <w:rFonts w:hAnsi="宋体"/>
          <w:b/>
          <w:szCs w:val="24"/>
        </w:rPr>
        <w:t>、政策性扣减</w:t>
      </w:r>
    </w:p>
    <w:p>
      <w:pPr>
        <w:spacing w:line="480" w:lineRule="exact"/>
        <w:ind w:firstLine="422" w:firstLineChars="200"/>
        <w:jc w:val="left"/>
        <w:rPr>
          <w:rFonts w:hint="eastAsia" w:hAnsi="宋体"/>
          <w:b/>
          <w:bCs/>
          <w:szCs w:val="24"/>
        </w:rPr>
      </w:pPr>
      <w:r>
        <w:rPr>
          <w:rFonts w:hint="eastAsia" w:hAnsi="宋体"/>
          <w:b/>
          <w:bCs/>
          <w:szCs w:val="24"/>
        </w:rPr>
        <w:t>1</w:t>
      </w:r>
      <w:r>
        <w:rPr>
          <w:rFonts w:hAnsi="宋体"/>
          <w:b/>
          <w:bCs/>
          <w:szCs w:val="24"/>
        </w:rPr>
        <w:t>政策性扣减范围</w:t>
      </w:r>
    </w:p>
    <w:p>
      <w:pPr>
        <w:spacing w:line="480" w:lineRule="exact"/>
        <w:ind w:firstLine="420" w:firstLineChars="200"/>
        <w:jc w:val="left"/>
        <w:rPr>
          <w:rFonts w:hint="eastAsia" w:hAnsi="宋体"/>
          <w:szCs w:val="24"/>
        </w:rPr>
      </w:pPr>
      <w:r>
        <w:rPr>
          <w:rFonts w:hAnsi="宋体"/>
          <w:szCs w:val="24"/>
        </w:rPr>
        <w:t>1.1供应商符合小型、微型企业或监狱企业</w:t>
      </w:r>
      <w:r>
        <w:rPr>
          <w:rFonts w:hint="eastAsia" w:hAnsi="宋体"/>
          <w:szCs w:val="24"/>
        </w:rPr>
        <w:t>、残疾人福利性单位</w:t>
      </w:r>
      <w:r>
        <w:rPr>
          <w:rFonts w:hAnsi="宋体"/>
          <w:szCs w:val="24"/>
        </w:rPr>
        <w:t>条件的，其</w:t>
      </w:r>
      <w:r>
        <w:rPr>
          <w:rFonts w:hint="eastAsia" w:hAnsi="宋体"/>
          <w:szCs w:val="24"/>
        </w:rPr>
        <w:t>磋商</w:t>
      </w:r>
      <w:r>
        <w:rPr>
          <w:rFonts w:hAnsi="宋体"/>
          <w:szCs w:val="24"/>
        </w:rPr>
        <w:t>报价价格评审时将按相应比例进行扣减。</w:t>
      </w:r>
    </w:p>
    <w:p>
      <w:pPr>
        <w:spacing w:line="480" w:lineRule="exact"/>
        <w:ind w:firstLine="420" w:firstLineChars="200"/>
        <w:jc w:val="left"/>
        <w:rPr>
          <w:rFonts w:hint="eastAsia" w:hAnsi="宋体"/>
          <w:szCs w:val="24"/>
        </w:rPr>
      </w:pPr>
      <w:r>
        <w:rPr>
          <w:rFonts w:hAnsi="宋体"/>
          <w:szCs w:val="24"/>
        </w:rPr>
        <w:t>1.2依照&lt;关于印发</w:t>
      </w:r>
      <w:r>
        <w:rPr>
          <w:rFonts w:hint="default" w:hAnsi="宋体"/>
          <w:szCs w:val="24"/>
          <w:lang w:val="en-US" w:eastAsia="zh-CN"/>
        </w:rPr>
        <w:t>《关于印发〈政府采购促进中小企业发展管理办法〉的通知》（财库〔2020〕46号）</w:t>
      </w:r>
      <w:r>
        <w:rPr>
          <w:rFonts w:hAnsi="宋体"/>
          <w:szCs w:val="24"/>
        </w:rPr>
        <w:t>的规定，小型、微型企业应当同时符合以下条件：</w:t>
      </w:r>
    </w:p>
    <w:p>
      <w:pPr>
        <w:spacing w:line="480" w:lineRule="exact"/>
        <w:ind w:firstLine="420" w:firstLineChars="200"/>
        <w:jc w:val="left"/>
        <w:rPr>
          <w:rFonts w:hint="eastAsia" w:hAnsi="宋体"/>
          <w:szCs w:val="24"/>
        </w:rPr>
      </w:pPr>
      <w:r>
        <w:rPr>
          <w:rFonts w:hAnsi="宋体"/>
          <w:szCs w:val="24"/>
        </w:rPr>
        <w:t>1.2.1符合中小企业划分标准（中小企业划分标准是指国务院有关部门根据企业从业人员、营业收入、资产总额等指标制定的中小企业划型标准（工信部联企业〔2011〕300号））。</w:t>
      </w:r>
    </w:p>
    <w:p>
      <w:pPr>
        <w:spacing w:line="480" w:lineRule="exact"/>
        <w:ind w:firstLine="420" w:firstLineChars="200"/>
        <w:jc w:val="left"/>
        <w:rPr>
          <w:rFonts w:hint="eastAsia" w:hAnsi="宋体"/>
          <w:szCs w:val="24"/>
        </w:rPr>
      </w:pPr>
      <w:r>
        <w:rPr>
          <w:rFonts w:hAnsi="宋体"/>
          <w:szCs w:val="24"/>
        </w:rPr>
        <w:t>1.2.2提供本企业制造的货物、承担的工程或者服务，或者提供其他中小企业制造的货物，不包括提供或使用大型企业注册商标的货物。</w:t>
      </w:r>
    </w:p>
    <w:p>
      <w:pPr>
        <w:spacing w:line="480" w:lineRule="exact"/>
        <w:ind w:firstLine="420" w:firstLineChars="200"/>
        <w:jc w:val="left"/>
        <w:rPr>
          <w:rFonts w:hint="eastAsia" w:hAnsi="宋体"/>
          <w:szCs w:val="24"/>
        </w:rPr>
      </w:pPr>
      <w:r>
        <w:rPr>
          <w:rFonts w:hAnsi="宋体"/>
          <w:szCs w:val="24"/>
        </w:rPr>
        <w:t>1.2.3小型、微型企业提供中型企业制造的货物的，视同为中型企业；小型、微型、中型企业提供大型企业制造的货物的，视同为大型企业。</w:t>
      </w:r>
    </w:p>
    <w:p>
      <w:pPr>
        <w:spacing w:line="480" w:lineRule="exact"/>
        <w:ind w:firstLine="420" w:firstLineChars="200"/>
        <w:rPr>
          <w:rFonts w:hint="eastAsia" w:hAnsi="宋体"/>
          <w:szCs w:val="24"/>
        </w:rPr>
      </w:pPr>
      <w:r>
        <w:rPr>
          <w:rFonts w:hint="eastAsia" w:hAnsi="宋体"/>
          <w:szCs w:val="24"/>
        </w:rPr>
        <w:t>1.3采购人拟采购产品属于优先采购节能、环境标志产品范围的，应当优先采购节能、环境标志产品；拟采购产品符合政府采购强制采购政策的，实行强制采购。</w:t>
      </w:r>
    </w:p>
    <w:p>
      <w:pPr>
        <w:spacing w:line="480" w:lineRule="exact"/>
        <w:ind w:firstLine="420" w:firstLineChars="200"/>
        <w:rPr>
          <w:rFonts w:hint="eastAsia" w:hAnsi="宋体"/>
          <w:szCs w:val="24"/>
        </w:rPr>
      </w:pPr>
      <w:r>
        <w:rPr>
          <w:rFonts w:hint="eastAsia" w:hAnsi="宋体"/>
          <w:szCs w:val="24"/>
        </w:rPr>
        <w:t>1.3.1采购人依据节能产品、环境标志产品品目清单和节能、环境标志产品认证证书实施政府优先采购和强制采购。</w:t>
      </w:r>
    </w:p>
    <w:p>
      <w:pPr>
        <w:spacing w:line="480" w:lineRule="exact"/>
        <w:ind w:firstLine="420" w:firstLineChars="200"/>
        <w:rPr>
          <w:rFonts w:hAnsi="宋体"/>
          <w:szCs w:val="24"/>
        </w:rPr>
      </w:pPr>
      <w:r>
        <w:rPr>
          <w:rFonts w:hint="eastAsia" w:hAnsi="宋体"/>
          <w:szCs w:val="24"/>
        </w:rPr>
        <w:t>1.3.2采购人拟采购的产品属于品目清单范围的，采购人及其委托的采购代理机构将依据国家确定的认证机构出具的、处于有效期之内的节能、环境标志产品认证证书，对获得证书的产品实施政府优先采购或强制采购。</w:t>
      </w:r>
    </w:p>
    <w:p>
      <w:pPr>
        <w:spacing w:line="480" w:lineRule="exact"/>
        <w:ind w:firstLine="420" w:firstLineChars="200"/>
        <w:rPr>
          <w:rFonts w:hint="eastAsia" w:hAnsi="宋体"/>
          <w:color w:val="000000"/>
        </w:rPr>
      </w:pPr>
      <w:r>
        <w:rPr>
          <w:rFonts w:hint="eastAsia" w:hAnsi="宋体" w:cs="宋体"/>
          <w:szCs w:val="24"/>
        </w:rPr>
        <w:t>1.4监狱企业参加政府采购活动时，应当提供由省级以上监狱管理局、戒毒管理局(含新疆生产建设兵团)出具的属于监狱企业的证明文件。</w:t>
      </w:r>
      <w:r>
        <w:rPr>
          <w:rFonts w:hint="eastAsia" w:hAnsi="宋体"/>
          <w:color w:val="000000"/>
        </w:rPr>
        <w:t>监狱企业参加政府采购活动时，视同小型、微型企业。</w:t>
      </w:r>
    </w:p>
    <w:p>
      <w:pPr>
        <w:spacing w:line="480" w:lineRule="exact"/>
        <w:ind w:firstLine="420" w:firstLineChars="200"/>
        <w:rPr>
          <w:rFonts w:hint="eastAsia" w:hAnsi="宋体"/>
          <w:color w:val="000000"/>
        </w:rPr>
      </w:pPr>
      <w:r>
        <w:rPr>
          <w:rFonts w:hint="eastAsia" w:hAnsi="宋体" w:cs="宋体"/>
          <w:szCs w:val="24"/>
        </w:rPr>
        <w:t>1.5符合条件的残疾人福利性单位在参加政府采购活动时，应当提供本通知规定的《残疾人福利性单位声明函》，并对声明的真实性负责。残疾人福利性单位</w:t>
      </w:r>
      <w:r>
        <w:rPr>
          <w:rFonts w:hint="eastAsia" w:hAnsi="宋体"/>
          <w:color w:val="000000"/>
        </w:rPr>
        <w:t>参加政府采购活动时，视同小型、微型企业；</w:t>
      </w:r>
      <w:r>
        <w:rPr>
          <w:rFonts w:hint="eastAsia" w:hAnsi="宋体" w:cs="宋体"/>
          <w:szCs w:val="24"/>
        </w:rPr>
        <w:t>残疾人福利性单位属于小型、微型企业的，不重复享受政策。</w:t>
      </w:r>
    </w:p>
    <w:p>
      <w:pPr>
        <w:spacing w:line="480" w:lineRule="exact"/>
        <w:ind w:firstLine="422" w:firstLineChars="200"/>
        <w:jc w:val="left"/>
        <w:rPr>
          <w:rFonts w:hint="eastAsia" w:hAnsi="宋体"/>
          <w:b/>
          <w:bCs/>
          <w:szCs w:val="24"/>
        </w:rPr>
      </w:pPr>
      <w:r>
        <w:rPr>
          <w:rFonts w:hAnsi="宋体"/>
          <w:b/>
          <w:bCs/>
          <w:szCs w:val="24"/>
        </w:rPr>
        <w:t>2、政策性扣减方式：</w:t>
      </w:r>
    </w:p>
    <w:p>
      <w:pPr>
        <w:spacing w:line="480" w:lineRule="exact"/>
        <w:ind w:firstLine="420" w:firstLineChars="200"/>
        <w:jc w:val="left"/>
        <w:rPr>
          <w:rFonts w:hint="eastAsia" w:hAnsi="宋体"/>
          <w:szCs w:val="24"/>
        </w:rPr>
      </w:pPr>
      <w:r>
        <w:rPr>
          <w:rFonts w:hAnsi="宋体"/>
          <w:szCs w:val="24"/>
        </w:rPr>
        <w:t>2.1供应商为非联合体参与</w:t>
      </w:r>
      <w:r>
        <w:rPr>
          <w:rFonts w:hint="eastAsia" w:hAnsi="宋体"/>
          <w:szCs w:val="24"/>
        </w:rPr>
        <w:t>磋商</w:t>
      </w:r>
      <w:r>
        <w:rPr>
          <w:rFonts w:hAnsi="宋体"/>
          <w:szCs w:val="24"/>
        </w:rPr>
        <w:t>的情况：</w:t>
      </w:r>
    </w:p>
    <w:p>
      <w:pPr>
        <w:spacing w:line="480" w:lineRule="exact"/>
        <w:ind w:firstLine="420" w:firstLineChars="200"/>
        <w:jc w:val="left"/>
        <w:rPr>
          <w:rFonts w:hint="eastAsia" w:hAnsi="宋体"/>
          <w:szCs w:val="24"/>
        </w:rPr>
      </w:pPr>
      <w:r>
        <w:rPr>
          <w:rFonts w:hAnsi="宋体"/>
          <w:szCs w:val="24"/>
        </w:rPr>
        <w:t>在</w:t>
      </w:r>
      <w:r>
        <w:rPr>
          <w:rFonts w:hint="eastAsia" w:hAnsi="宋体"/>
          <w:szCs w:val="24"/>
        </w:rPr>
        <w:t>磋商最终</w:t>
      </w:r>
      <w:r>
        <w:rPr>
          <w:rFonts w:hAnsi="宋体"/>
          <w:szCs w:val="24"/>
        </w:rPr>
        <w:t>报价的基础上，</w:t>
      </w:r>
      <w:r>
        <w:rPr>
          <w:rFonts w:hint="eastAsia" w:hAnsi="宋体"/>
          <w:szCs w:val="24"/>
        </w:rPr>
        <w:t>对小微企业、监狱企业、残疾人福利性单位，按“磋商报价×6%”进行扣减；</w:t>
      </w:r>
    </w:p>
    <w:p>
      <w:pPr>
        <w:spacing w:line="480" w:lineRule="exact"/>
        <w:ind w:firstLine="420" w:firstLineChars="200"/>
        <w:rPr>
          <w:rFonts w:hint="eastAsia" w:hAnsi="宋体" w:cs="宋体"/>
          <w:szCs w:val="24"/>
        </w:rPr>
      </w:pPr>
      <w:r>
        <w:rPr>
          <w:rFonts w:hint="eastAsia" w:hAnsi="宋体" w:cs="宋体"/>
          <w:szCs w:val="24"/>
        </w:rPr>
        <w:t>2.2供应商为联合体参与磋商，且联合协议中约定小型或微型企业的协议合同金额占到联合体协议合同总金额30％以上的，按“磋商报价×2%”进行扣减；</w:t>
      </w:r>
    </w:p>
    <w:p>
      <w:pPr>
        <w:spacing w:line="480" w:lineRule="exact"/>
        <w:ind w:firstLine="420" w:firstLineChars="200"/>
        <w:rPr>
          <w:rFonts w:hint="eastAsia" w:hAnsi="宋体" w:cs="宋体"/>
          <w:szCs w:val="24"/>
        </w:rPr>
      </w:pPr>
      <w:r>
        <w:rPr>
          <w:rFonts w:hint="eastAsia" w:hAnsi="宋体" w:cs="宋体"/>
          <w:szCs w:val="24"/>
        </w:rPr>
        <w:t>2.3小微企业、监狱企业、残疾人福利性单位不重复享受优惠政策；</w:t>
      </w:r>
    </w:p>
    <w:p>
      <w:pPr>
        <w:spacing w:line="480" w:lineRule="exact"/>
        <w:ind w:firstLine="420" w:firstLineChars="200"/>
        <w:rPr>
          <w:rFonts w:hint="eastAsia" w:hAnsi="宋体" w:cs="宋体"/>
          <w:szCs w:val="24"/>
        </w:rPr>
      </w:pPr>
      <w:r>
        <w:rPr>
          <w:rFonts w:hint="eastAsia" w:hAnsi="宋体" w:cs="宋体"/>
          <w:szCs w:val="24"/>
        </w:rPr>
        <w:t>2.4供应商享受支持中小型企业发展政策优惠的，可以同时享受节能、环境标志产品优先采购政策。</w:t>
      </w:r>
    </w:p>
    <w:p>
      <w:pPr>
        <w:numPr>
          <w:ilvl w:val="0"/>
          <w:numId w:val="5"/>
        </w:numPr>
        <w:spacing w:line="480" w:lineRule="exact"/>
        <w:ind w:firstLine="420" w:firstLineChars="200"/>
        <w:jc w:val="left"/>
        <w:rPr>
          <w:rFonts w:hint="eastAsia" w:hAnsi="宋体" w:cs="宋体"/>
          <w:szCs w:val="24"/>
        </w:rPr>
      </w:pPr>
      <w:r>
        <w:rPr>
          <w:rFonts w:hint="eastAsia" w:hAnsi="宋体" w:cs="宋体"/>
          <w:szCs w:val="24"/>
        </w:rPr>
        <w:t>成交价格=成交供应商的有效磋商报价。</w:t>
      </w:r>
    </w:p>
    <w:p>
      <w:pPr>
        <w:pStyle w:val="22"/>
        <w:spacing w:line="480" w:lineRule="exact"/>
        <w:ind w:left="0" w:leftChars="0" w:firstLine="0" w:firstLineChars="0"/>
        <w:rPr>
          <w:b/>
          <w:sz w:val="24"/>
          <w:szCs w:val="24"/>
        </w:rPr>
      </w:pPr>
      <w:r>
        <w:rPr>
          <w:rFonts w:hint="eastAsia"/>
          <w:b/>
          <w:sz w:val="24"/>
          <w:szCs w:val="24"/>
        </w:rPr>
        <w:t>五、成交：</w:t>
      </w:r>
    </w:p>
    <w:p>
      <w:pPr>
        <w:spacing w:line="480" w:lineRule="exact"/>
        <w:ind w:firstLine="436" w:firstLineChars="200"/>
        <w:rPr>
          <w:rFonts w:hAnsi="宋体"/>
          <w:spacing w:val="4"/>
          <w:szCs w:val="24"/>
        </w:rPr>
      </w:pPr>
      <w:r>
        <w:rPr>
          <w:rFonts w:hAnsi="宋体"/>
          <w:spacing w:val="4"/>
          <w:szCs w:val="24"/>
        </w:rPr>
        <w:t>1</w:t>
      </w:r>
      <w:r>
        <w:rPr>
          <w:rFonts w:hint="eastAsia" w:hAnsi="宋体"/>
          <w:spacing w:val="4"/>
          <w:szCs w:val="24"/>
        </w:rPr>
        <w:t>、磋商结果报告由磋商小组全体成员签字确认。</w:t>
      </w:r>
    </w:p>
    <w:p>
      <w:pPr>
        <w:spacing w:line="480" w:lineRule="exact"/>
        <w:rPr>
          <w:rFonts w:hint="eastAsia" w:hAnsi="宋体"/>
          <w:spacing w:val="4"/>
          <w:szCs w:val="24"/>
        </w:rPr>
      </w:pPr>
      <w:r>
        <w:rPr>
          <w:rFonts w:hAnsi="宋体"/>
          <w:spacing w:val="4"/>
          <w:szCs w:val="24"/>
        </w:rPr>
        <w:t>2</w:t>
      </w:r>
      <w:r>
        <w:rPr>
          <w:rFonts w:hint="eastAsia" w:hAnsi="宋体"/>
          <w:spacing w:val="4"/>
          <w:szCs w:val="24"/>
        </w:rPr>
        <w:t>、采购人根据磋商结果报告中推荐的成交候选人确定成交供应商，以复函通知采购代理机构。</w:t>
      </w:r>
    </w:p>
    <w:p>
      <w:pPr>
        <w:spacing w:line="480" w:lineRule="exact"/>
        <w:rPr>
          <w:rFonts w:hint="eastAsia" w:hAnsi="宋体"/>
          <w:b/>
          <w:bCs/>
          <w:spacing w:val="4"/>
          <w:kern w:val="2"/>
          <w:szCs w:val="24"/>
        </w:rPr>
      </w:pPr>
      <w:r>
        <w:rPr>
          <w:rFonts w:hint="eastAsia" w:ascii="Arial" w:hAnsi="Arial" w:cs="Verdana"/>
          <w:b/>
          <w:szCs w:val="24"/>
        </w:rPr>
        <w:t>六、</w:t>
      </w:r>
      <w:r>
        <w:rPr>
          <w:rFonts w:hint="eastAsia" w:hAnsi="宋体"/>
          <w:b/>
          <w:bCs/>
          <w:spacing w:val="4"/>
          <w:kern w:val="2"/>
          <w:szCs w:val="24"/>
        </w:rPr>
        <w:t>特殊情况的处理</w:t>
      </w:r>
    </w:p>
    <w:p>
      <w:pPr>
        <w:pStyle w:val="19"/>
        <w:jc w:val="both"/>
        <w:rPr>
          <w:rFonts w:hint="eastAsia" w:hAnsi="宋体"/>
          <w:spacing w:val="4"/>
          <w:kern w:val="2"/>
          <w:szCs w:val="24"/>
        </w:rPr>
      </w:pPr>
      <w:r>
        <w:rPr>
          <w:rFonts w:hint="eastAsia" w:hAnsi="宋体"/>
          <w:spacing w:val="4"/>
          <w:kern w:val="2"/>
          <w:szCs w:val="24"/>
        </w:rPr>
        <w:t>磋商过程中，若出现本评审方法以外的特殊情况时，将暂停评审，待磋商小组商榷后，再进行评定。</w:t>
      </w:r>
    </w:p>
    <w:p>
      <w:pPr>
        <w:rPr>
          <w:rFonts w:hint="eastAsia" w:ascii="宋体" w:hAnsi="宋体" w:cs="宋体"/>
          <w:b/>
          <w:bCs/>
          <w:sz w:val="24"/>
          <w:szCs w:val="24"/>
        </w:rPr>
      </w:pPr>
      <w:r>
        <w:rPr>
          <w:rFonts w:hint="eastAsia" w:ascii="宋体" w:hAnsi="宋体" w:cs="宋体"/>
          <w:b/>
          <w:bCs/>
          <w:sz w:val="24"/>
          <w:szCs w:val="24"/>
        </w:rPr>
        <w:br w:type="page"/>
      </w:r>
    </w:p>
    <w:p>
      <w:pPr>
        <w:pStyle w:val="19"/>
        <w:jc w:val="left"/>
        <w:rPr>
          <w:rFonts w:ascii="宋体" w:hAnsi="宋体" w:cs="宋体"/>
          <w:b/>
          <w:bCs/>
          <w:sz w:val="24"/>
          <w:szCs w:val="24"/>
        </w:rPr>
      </w:pPr>
      <w:r>
        <w:rPr>
          <w:rFonts w:hint="eastAsia" w:ascii="宋体" w:hAnsi="宋体" w:cs="宋体"/>
          <w:b/>
          <w:bCs/>
          <w:sz w:val="24"/>
          <w:szCs w:val="24"/>
        </w:rPr>
        <w:t>附件1：</w:t>
      </w:r>
    </w:p>
    <w:tbl>
      <w:tblPr>
        <w:tblStyle w:val="28"/>
        <w:tblpPr w:leftFromText="180" w:rightFromText="180" w:vertAnchor="text" w:horzAnchor="margin" w:tblpXSpec="center" w:tblpY="167"/>
        <w:tblOverlap w:val="never"/>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19"/>
        <w:gridCol w:w="4836"/>
        <w:gridCol w:w="268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99" w:hRule="atLeast"/>
          <w:jc w:val="center"/>
        </w:trPr>
        <w:tc>
          <w:tcPr>
            <w:tcW w:w="919" w:type="dxa"/>
            <w:noWrap w:val="0"/>
            <w:vAlign w:val="center"/>
          </w:tcPr>
          <w:p>
            <w:pPr>
              <w:widowControl/>
              <w:spacing w:line="360" w:lineRule="auto"/>
              <w:jc w:val="center"/>
              <w:rPr>
                <w:rFonts w:hint="eastAsia" w:ascii="宋体" w:hAnsi="宋体"/>
                <w:b/>
                <w:sz w:val="24"/>
              </w:rPr>
            </w:pPr>
            <w:r>
              <w:rPr>
                <w:rFonts w:hint="eastAsia" w:ascii="宋体" w:hAnsi="宋体"/>
                <w:b/>
                <w:sz w:val="24"/>
              </w:rPr>
              <w:t>项目</w:t>
            </w:r>
          </w:p>
        </w:tc>
        <w:tc>
          <w:tcPr>
            <w:tcW w:w="4836" w:type="dxa"/>
            <w:noWrap w:val="0"/>
            <w:vAlign w:val="center"/>
          </w:tcPr>
          <w:p>
            <w:pPr>
              <w:widowControl/>
              <w:spacing w:line="360" w:lineRule="auto"/>
              <w:jc w:val="center"/>
              <w:rPr>
                <w:rFonts w:ascii="宋体" w:hAnsi="宋体"/>
                <w:b/>
                <w:sz w:val="24"/>
              </w:rPr>
            </w:pPr>
            <w:r>
              <w:rPr>
                <w:rFonts w:hint="eastAsia" w:ascii="宋体" w:hAnsi="宋体"/>
                <w:b/>
                <w:sz w:val="24"/>
              </w:rPr>
              <w:t>评审因素</w:t>
            </w:r>
          </w:p>
        </w:tc>
        <w:tc>
          <w:tcPr>
            <w:tcW w:w="2683" w:type="dxa"/>
            <w:noWrap w:val="0"/>
            <w:vAlign w:val="center"/>
          </w:tcPr>
          <w:p>
            <w:pPr>
              <w:widowControl/>
              <w:spacing w:line="360" w:lineRule="auto"/>
              <w:jc w:val="center"/>
              <w:rPr>
                <w:rFonts w:ascii="宋体" w:hAnsi="宋体"/>
                <w:b/>
                <w:sz w:val="24"/>
              </w:rPr>
            </w:pPr>
            <w:r>
              <w:rPr>
                <w:rFonts w:hint="eastAsia" w:ascii="宋体" w:hAnsi="宋体"/>
                <w:b/>
                <w:sz w:val="24"/>
              </w:rPr>
              <w:t>评标标准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9" w:hRule="atLeast"/>
          <w:jc w:val="center"/>
        </w:trPr>
        <w:tc>
          <w:tcPr>
            <w:tcW w:w="919" w:type="dxa"/>
            <w:vMerge w:val="restart"/>
            <w:noWrap w:val="0"/>
            <w:vAlign w:val="center"/>
          </w:tcPr>
          <w:p>
            <w:pPr>
              <w:spacing w:line="276" w:lineRule="auto"/>
              <w:jc w:val="center"/>
              <w:rPr>
                <w:rFonts w:hint="eastAsia" w:ascii="宋体" w:hAnsi="宋体" w:eastAsia="宋体"/>
                <w:szCs w:val="21"/>
                <w:lang w:eastAsia="zh-CN"/>
              </w:rPr>
            </w:pPr>
            <w:r>
              <w:rPr>
                <w:rFonts w:hint="eastAsia" w:ascii="宋体" w:hAnsi="宋体" w:cs="Times New Roman"/>
                <w:sz w:val="21"/>
                <w:szCs w:val="21"/>
              </w:rPr>
              <w:t>资格</w:t>
            </w:r>
            <w:r>
              <w:rPr>
                <w:rFonts w:hint="eastAsia" w:ascii="宋体" w:hAnsi="宋体" w:cs="Times New Roman"/>
                <w:sz w:val="21"/>
                <w:szCs w:val="21"/>
                <w:lang w:val="en-US" w:eastAsia="zh-CN"/>
              </w:rPr>
              <w:t>性</w:t>
            </w:r>
            <w:r>
              <w:rPr>
                <w:rFonts w:hint="eastAsia" w:ascii="宋体" w:hAnsi="宋体" w:cs="Times New Roman"/>
                <w:sz w:val="21"/>
                <w:szCs w:val="21"/>
              </w:rPr>
              <w:t>审查</w:t>
            </w:r>
            <w:r>
              <w:rPr>
                <w:rFonts w:hint="eastAsia" w:ascii="宋体" w:hAnsi="宋体" w:cs="Times New Roman"/>
                <w:sz w:val="21"/>
                <w:szCs w:val="21"/>
                <w:lang w:val="en-US" w:eastAsia="zh-CN"/>
              </w:rPr>
              <w:t>标准</w:t>
            </w:r>
          </w:p>
        </w:tc>
        <w:tc>
          <w:tcPr>
            <w:tcW w:w="4836" w:type="dxa"/>
            <w:noWrap w:val="0"/>
            <w:vAlign w:val="center"/>
          </w:tcPr>
          <w:p>
            <w:pPr>
              <w:spacing w:line="276" w:lineRule="auto"/>
              <w:rPr>
                <w:rFonts w:ascii="宋体" w:hAnsi="宋体"/>
                <w:sz w:val="24"/>
              </w:rPr>
            </w:pPr>
            <w:r>
              <w:rPr>
                <w:rFonts w:hint="eastAsia" w:ascii="宋体" w:hAnsi="宋体" w:cs="Times New Roman"/>
                <w:sz w:val="21"/>
                <w:szCs w:val="21"/>
                <w:lang w:val="en-US" w:eastAsia="zh-CN"/>
              </w:rPr>
              <w:t>供应商具有合格有效的企业法人营业执照、税务登记证、组织机构代码证（或三证合一营业执照）；</w:t>
            </w:r>
          </w:p>
        </w:tc>
        <w:tc>
          <w:tcPr>
            <w:tcW w:w="2683" w:type="dxa"/>
            <w:noWrap w:val="0"/>
            <w:vAlign w:val="center"/>
          </w:tcPr>
          <w:p>
            <w:pPr>
              <w:adjustRightInd w:val="0"/>
              <w:snapToGrid w:val="0"/>
              <w:spacing w:line="276" w:lineRule="auto"/>
              <w:ind w:right="-50" w:rightChars="-24"/>
              <w:jc w:val="center"/>
              <w:rPr>
                <w:rFonts w:hint="eastAsia" w:ascii="宋体" w:hAnsi="宋体" w:cs="Times New Roman"/>
                <w:sz w:val="21"/>
                <w:szCs w:val="21"/>
              </w:rPr>
            </w:pPr>
            <w:r>
              <w:rPr>
                <w:rFonts w:hint="eastAsia" w:ascii="宋体" w:hAnsi="宋体" w:cs="Times New Roman"/>
                <w:sz w:val="21"/>
                <w:szCs w:val="21"/>
              </w:rPr>
              <w:t>合法有效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549" w:hRule="atLeast"/>
          <w:jc w:val="center"/>
        </w:trPr>
        <w:tc>
          <w:tcPr>
            <w:tcW w:w="919" w:type="dxa"/>
            <w:vMerge w:val="continue"/>
            <w:noWrap w:val="0"/>
            <w:vAlign w:val="center"/>
          </w:tcPr>
          <w:p>
            <w:pPr>
              <w:widowControl/>
              <w:spacing w:line="360" w:lineRule="auto"/>
              <w:jc w:val="center"/>
              <w:rPr>
                <w:rFonts w:hint="eastAsia" w:ascii="宋体" w:hAnsi="宋体"/>
                <w:szCs w:val="21"/>
              </w:rPr>
            </w:pPr>
          </w:p>
        </w:tc>
        <w:tc>
          <w:tcPr>
            <w:tcW w:w="4836" w:type="dxa"/>
            <w:noWrap w:val="0"/>
            <w:vAlign w:val="center"/>
          </w:tcPr>
          <w:p>
            <w:pPr>
              <w:adjustRightInd w:val="0"/>
              <w:snapToGrid w:val="0"/>
              <w:spacing w:line="276" w:lineRule="auto"/>
              <w:ind w:right="-50" w:rightChars="-24"/>
              <w:rPr>
                <w:rFonts w:hint="eastAsia" w:ascii="宋体" w:hAnsi="宋体"/>
                <w:sz w:val="24"/>
              </w:rPr>
            </w:pPr>
            <w:r>
              <w:rPr>
                <w:rFonts w:hint="eastAsia" w:ascii="宋体" w:hAnsi="宋体" w:cs="Times New Roman"/>
                <w:sz w:val="21"/>
                <w:szCs w:val="21"/>
                <w:lang w:val="en-US" w:eastAsia="zh-CN"/>
              </w:rPr>
              <w:t>供应商应授权合法的人员参加磋商全过程，其中法定代表人直接参加磋商的，须出具法人身份证，并与营业执照上信息一致。法定代表人授权代表参加磋商的，须出具法定代表人授权书及授权代表身份证；</w:t>
            </w:r>
          </w:p>
        </w:tc>
        <w:tc>
          <w:tcPr>
            <w:tcW w:w="2683" w:type="dxa"/>
            <w:noWrap w:val="0"/>
            <w:vAlign w:val="center"/>
          </w:tcPr>
          <w:p>
            <w:pPr>
              <w:adjustRightInd w:val="0"/>
              <w:snapToGrid w:val="0"/>
              <w:spacing w:line="276" w:lineRule="auto"/>
              <w:ind w:right="-50" w:rightChars="-24"/>
              <w:jc w:val="center"/>
              <w:rPr>
                <w:rFonts w:hint="eastAsia" w:ascii="宋体" w:hAnsi="宋体" w:cs="Times New Roman"/>
                <w:sz w:val="21"/>
                <w:szCs w:val="21"/>
              </w:rPr>
            </w:pPr>
            <w:r>
              <w:rPr>
                <w:rFonts w:hint="eastAsia" w:ascii="宋体" w:hAnsi="宋体" w:cs="Times New Roman"/>
                <w:sz w:val="21"/>
                <w:szCs w:val="21"/>
              </w:rPr>
              <w:t>合法有效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35" w:hRule="atLeast"/>
          <w:jc w:val="center"/>
        </w:trPr>
        <w:tc>
          <w:tcPr>
            <w:tcW w:w="919" w:type="dxa"/>
            <w:vMerge w:val="continue"/>
            <w:noWrap w:val="0"/>
            <w:vAlign w:val="center"/>
          </w:tcPr>
          <w:p>
            <w:pPr>
              <w:widowControl/>
              <w:spacing w:line="360" w:lineRule="auto"/>
              <w:rPr>
                <w:rFonts w:hint="eastAsia" w:ascii="宋体" w:hAnsi="宋体"/>
                <w:szCs w:val="21"/>
              </w:rPr>
            </w:pPr>
          </w:p>
        </w:tc>
        <w:tc>
          <w:tcPr>
            <w:tcW w:w="4836" w:type="dxa"/>
            <w:noWrap w:val="0"/>
            <w:vAlign w:val="center"/>
          </w:tcPr>
          <w:p>
            <w:pPr>
              <w:adjustRightInd w:val="0"/>
              <w:snapToGrid w:val="0"/>
              <w:spacing w:line="276" w:lineRule="auto"/>
              <w:ind w:right="-50" w:rightChars="-24"/>
              <w:rPr>
                <w:rFonts w:hint="eastAsia" w:ascii="宋体" w:hAnsi="宋体" w:cs="Times New Roman"/>
                <w:sz w:val="21"/>
                <w:szCs w:val="21"/>
              </w:rPr>
            </w:pPr>
            <w:r>
              <w:rPr>
                <w:rFonts w:hint="eastAsia" w:ascii="宋体" w:hAnsi="宋体" w:cs="Times New Roman"/>
                <w:sz w:val="21"/>
                <w:szCs w:val="21"/>
                <w:lang w:val="en-US" w:eastAsia="zh-CN"/>
              </w:rPr>
              <w:t>财务状况报告：提供供应商2020年或2021年任一年经审计的财务报告，或开标前三个月内开户银行开具的资信证明；</w:t>
            </w:r>
          </w:p>
        </w:tc>
        <w:tc>
          <w:tcPr>
            <w:tcW w:w="2683" w:type="dxa"/>
            <w:noWrap w:val="0"/>
            <w:vAlign w:val="center"/>
          </w:tcPr>
          <w:p>
            <w:pPr>
              <w:adjustRightInd w:val="0"/>
              <w:snapToGrid w:val="0"/>
              <w:spacing w:line="276" w:lineRule="auto"/>
              <w:ind w:right="-50" w:rightChars="-24"/>
              <w:jc w:val="center"/>
              <w:rPr>
                <w:rFonts w:hint="eastAsia" w:ascii="宋体" w:hAnsi="宋体" w:cs="Times New Roman"/>
                <w:sz w:val="21"/>
                <w:szCs w:val="21"/>
              </w:rPr>
            </w:pPr>
            <w:r>
              <w:rPr>
                <w:rFonts w:hint="eastAsia" w:ascii="宋体" w:hAnsi="宋体" w:cs="Times New Roman"/>
                <w:sz w:val="21"/>
                <w:szCs w:val="21"/>
              </w:rPr>
              <w:t>合法有效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22" w:hRule="atLeast"/>
          <w:jc w:val="center"/>
        </w:trPr>
        <w:tc>
          <w:tcPr>
            <w:tcW w:w="919" w:type="dxa"/>
            <w:vMerge w:val="continue"/>
            <w:noWrap w:val="0"/>
            <w:vAlign w:val="center"/>
          </w:tcPr>
          <w:p>
            <w:pPr>
              <w:widowControl/>
              <w:spacing w:line="360" w:lineRule="auto"/>
              <w:rPr>
                <w:rFonts w:hint="eastAsia" w:ascii="宋体" w:hAnsi="宋体"/>
                <w:szCs w:val="21"/>
              </w:rPr>
            </w:pPr>
          </w:p>
        </w:tc>
        <w:tc>
          <w:tcPr>
            <w:tcW w:w="4836" w:type="dxa"/>
            <w:noWrap w:val="0"/>
            <w:vAlign w:val="center"/>
          </w:tcPr>
          <w:p>
            <w:pPr>
              <w:adjustRightInd w:val="0"/>
              <w:snapToGrid w:val="0"/>
              <w:spacing w:line="276" w:lineRule="auto"/>
              <w:ind w:right="-50" w:rightChars="-24"/>
              <w:rPr>
                <w:rFonts w:hint="eastAsia" w:ascii="宋体" w:hAnsi="宋体" w:cs="Times New Roman"/>
                <w:sz w:val="21"/>
                <w:szCs w:val="21"/>
              </w:rPr>
            </w:pPr>
            <w:r>
              <w:rPr>
                <w:rFonts w:hint="eastAsia" w:ascii="宋体" w:hAnsi="宋体" w:cs="Times New Roman"/>
                <w:sz w:val="21"/>
                <w:szCs w:val="21"/>
                <w:lang w:val="en-US" w:eastAsia="zh-CN"/>
              </w:rPr>
              <w:t>税收缴纳证明：提供供应商2021年1月至今已缴纳任意一个月完税凭证或税务机关开具的完税证明（任意税种）；依法免税的应提供相关文件证明；</w:t>
            </w:r>
          </w:p>
        </w:tc>
        <w:tc>
          <w:tcPr>
            <w:tcW w:w="2683" w:type="dxa"/>
            <w:noWrap w:val="0"/>
            <w:vAlign w:val="center"/>
          </w:tcPr>
          <w:p>
            <w:pPr>
              <w:adjustRightInd w:val="0"/>
              <w:snapToGrid w:val="0"/>
              <w:spacing w:line="276" w:lineRule="auto"/>
              <w:ind w:right="-50" w:rightChars="-24"/>
              <w:jc w:val="center"/>
              <w:rPr>
                <w:rFonts w:hint="eastAsia" w:ascii="宋体" w:hAnsi="宋体" w:cs="Times New Roman"/>
                <w:sz w:val="21"/>
                <w:szCs w:val="21"/>
              </w:rPr>
            </w:pPr>
            <w:r>
              <w:rPr>
                <w:rFonts w:hint="eastAsia" w:ascii="宋体" w:hAnsi="宋体" w:cs="Times New Roman"/>
                <w:sz w:val="21"/>
                <w:szCs w:val="21"/>
              </w:rPr>
              <w:t>合法有效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35" w:hRule="atLeast"/>
          <w:jc w:val="center"/>
        </w:trPr>
        <w:tc>
          <w:tcPr>
            <w:tcW w:w="919" w:type="dxa"/>
            <w:vMerge w:val="continue"/>
            <w:noWrap w:val="0"/>
            <w:vAlign w:val="center"/>
          </w:tcPr>
          <w:p>
            <w:pPr>
              <w:widowControl/>
              <w:spacing w:line="360" w:lineRule="auto"/>
              <w:rPr>
                <w:rFonts w:hint="eastAsia" w:ascii="宋体" w:hAnsi="宋体"/>
                <w:szCs w:val="21"/>
              </w:rPr>
            </w:pPr>
          </w:p>
        </w:tc>
        <w:tc>
          <w:tcPr>
            <w:tcW w:w="4836" w:type="dxa"/>
            <w:noWrap w:val="0"/>
            <w:vAlign w:val="center"/>
          </w:tcPr>
          <w:p>
            <w:pPr>
              <w:adjustRightInd w:val="0"/>
              <w:snapToGrid w:val="0"/>
              <w:spacing w:line="276" w:lineRule="auto"/>
              <w:ind w:right="-50" w:rightChars="-24"/>
              <w:rPr>
                <w:rFonts w:hint="eastAsia" w:ascii="宋体" w:hAnsi="宋体" w:cs="Times New Roman"/>
                <w:sz w:val="21"/>
                <w:szCs w:val="21"/>
                <w:lang w:val="en-US" w:eastAsia="zh-CN"/>
              </w:rPr>
            </w:pPr>
            <w:r>
              <w:rPr>
                <w:rFonts w:hint="eastAsia" w:ascii="宋体" w:hAnsi="宋体" w:cs="Times New Roman"/>
                <w:sz w:val="21"/>
                <w:szCs w:val="21"/>
                <w:lang w:val="en-US" w:eastAsia="zh-CN"/>
              </w:rPr>
              <w:t>供应商须具备建设行政主管部门颁发的建筑工程施工总承包三级及以上资质；且具备合格有效的安全生产许可证；</w:t>
            </w:r>
          </w:p>
        </w:tc>
        <w:tc>
          <w:tcPr>
            <w:tcW w:w="2683" w:type="dxa"/>
            <w:noWrap w:val="0"/>
            <w:vAlign w:val="center"/>
          </w:tcPr>
          <w:p>
            <w:pPr>
              <w:adjustRightInd w:val="0"/>
              <w:snapToGrid w:val="0"/>
              <w:spacing w:line="276" w:lineRule="auto"/>
              <w:ind w:right="-50" w:rightChars="-24"/>
              <w:jc w:val="center"/>
              <w:rPr>
                <w:rFonts w:hint="eastAsia" w:ascii="宋体" w:hAnsi="宋体" w:cs="Times New Roman"/>
                <w:sz w:val="21"/>
                <w:szCs w:val="21"/>
              </w:rPr>
            </w:pPr>
            <w:r>
              <w:rPr>
                <w:rFonts w:hint="eastAsia" w:ascii="宋体" w:hAnsi="宋体" w:cs="Times New Roman"/>
                <w:sz w:val="21"/>
                <w:szCs w:val="21"/>
              </w:rPr>
              <w:t>合法有效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35" w:hRule="atLeast"/>
          <w:jc w:val="center"/>
        </w:trPr>
        <w:tc>
          <w:tcPr>
            <w:tcW w:w="919" w:type="dxa"/>
            <w:vMerge w:val="continue"/>
            <w:noWrap w:val="0"/>
            <w:vAlign w:val="center"/>
          </w:tcPr>
          <w:p>
            <w:pPr>
              <w:widowControl/>
              <w:spacing w:line="360" w:lineRule="auto"/>
              <w:rPr>
                <w:rFonts w:hint="eastAsia" w:ascii="宋体" w:hAnsi="宋体"/>
                <w:szCs w:val="21"/>
              </w:rPr>
            </w:pPr>
          </w:p>
        </w:tc>
        <w:tc>
          <w:tcPr>
            <w:tcW w:w="4836" w:type="dxa"/>
            <w:noWrap w:val="0"/>
            <w:vAlign w:val="center"/>
          </w:tcPr>
          <w:p>
            <w:pPr>
              <w:adjustRightInd w:val="0"/>
              <w:snapToGrid w:val="0"/>
              <w:spacing w:line="276" w:lineRule="auto"/>
              <w:ind w:right="-50" w:rightChars="-24"/>
              <w:rPr>
                <w:rFonts w:hint="eastAsia" w:ascii="宋体" w:hAnsi="宋体" w:cs="Times New Roman"/>
                <w:sz w:val="21"/>
                <w:szCs w:val="21"/>
                <w:lang w:val="en-US" w:eastAsia="zh-CN"/>
              </w:rPr>
            </w:pPr>
            <w:r>
              <w:rPr>
                <w:rFonts w:hint="eastAsia" w:ascii="宋体" w:hAnsi="宋体" w:cs="Times New Roman"/>
                <w:sz w:val="21"/>
                <w:szCs w:val="21"/>
                <w:lang w:val="en-US" w:eastAsia="zh-CN"/>
              </w:rPr>
              <w:t>拟派项目经理具备建筑工程二级及以上注册建造师证及安全生产考核合格证（建安B证）及无在建工程承诺书（复印件加盖公章）；</w:t>
            </w:r>
          </w:p>
        </w:tc>
        <w:tc>
          <w:tcPr>
            <w:tcW w:w="2683" w:type="dxa"/>
            <w:noWrap w:val="0"/>
            <w:vAlign w:val="center"/>
          </w:tcPr>
          <w:p>
            <w:pPr>
              <w:adjustRightInd w:val="0"/>
              <w:snapToGrid w:val="0"/>
              <w:spacing w:line="276" w:lineRule="auto"/>
              <w:ind w:right="-50" w:rightChars="-24"/>
              <w:jc w:val="center"/>
              <w:rPr>
                <w:rFonts w:hint="eastAsia" w:ascii="宋体" w:hAnsi="宋体" w:cs="Times New Roman"/>
                <w:sz w:val="21"/>
                <w:szCs w:val="21"/>
              </w:rPr>
            </w:pPr>
            <w:r>
              <w:rPr>
                <w:rFonts w:hint="eastAsia" w:ascii="宋体" w:hAnsi="宋体" w:cs="Times New Roman"/>
                <w:sz w:val="21"/>
                <w:szCs w:val="21"/>
              </w:rPr>
              <w:t>合法有效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27" w:hRule="atLeast"/>
          <w:jc w:val="center"/>
        </w:trPr>
        <w:tc>
          <w:tcPr>
            <w:tcW w:w="919" w:type="dxa"/>
            <w:vMerge w:val="continue"/>
            <w:noWrap w:val="0"/>
            <w:vAlign w:val="center"/>
          </w:tcPr>
          <w:p>
            <w:pPr>
              <w:widowControl/>
              <w:spacing w:line="360" w:lineRule="auto"/>
              <w:rPr>
                <w:rFonts w:hint="eastAsia" w:ascii="宋体" w:hAnsi="宋体"/>
                <w:szCs w:val="21"/>
              </w:rPr>
            </w:pPr>
          </w:p>
        </w:tc>
        <w:tc>
          <w:tcPr>
            <w:tcW w:w="4836" w:type="dxa"/>
            <w:noWrap w:val="0"/>
            <w:vAlign w:val="center"/>
          </w:tcPr>
          <w:p>
            <w:pPr>
              <w:adjustRightInd w:val="0"/>
              <w:snapToGrid w:val="0"/>
              <w:spacing w:line="276" w:lineRule="auto"/>
              <w:ind w:right="-50" w:rightChars="-24"/>
              <w:rPr>
                <w:rFonts w:hint="eastAsia" w:ascii="宋体" w:hAnsi="宋体" w:cs="Times New Roman"/>
                <w:sz w:val="21"/>
                <w:szCs w:val="21"/>
              </w:rPr>
            </w:pPr>
            <w:r>
              <w:rPr>
                <w:rFonts w:hint="eastAsia" w:hAnsi="宋体" w:cs="宋体"/>
                <w:color w:val="000000" w:themeColor="text1"/>
                <w14:textFill>
                  <w14:solidFill>
                    <w14:schemeClr w14:val="tx1"/>
                  </w14:solidFill>
                </w14:textFill>
              </w:rPr>
              <w:t>社会保障资金缴纳证明：提供</w:t>
            </w:r>
            <w:r>
              <w:rPr>
                <w:rFonts w:hint="eastAsia" w:hAnsi="宋体" w:cs="宋体"/>
                <w:color w:val="000000" w:themeColor="text1"/>
                <w:lang w:eastAsia="zh-CN"/>
                <w14:textFill>
                  <w14:solidFill>
                    <w14:schemeClr w14:val="tx1"/>
                  </w14:solidFill>
                </w14:textFill>
              </w:rPr>
              <w:t>供应商</w:t>
            </w:r>
            <w:r>
              <w:rPr>
                <w:rFonts w:hint="eastAsia" w:hAnsi="宋体" w:cs="宋体"/>
                <w:color w:val="000000" w:themeColor="text1"/>
                <w14:textFill>
                  <w14:solidFill>
                    <w14:schemeClr w14:val="tx1"/>
                  </w14:solidFill>
                </w14:textFill>
              </w:rPr>
              <w:t>2021年1月至今已缴存的任意一个月的社会保障资金缴存证明或社保机构开具的社会保险参保缴费情况证明；依法不需要缴纳社会保障资金的应提供相关文件证明；</w:t>
            </w:r>
          </w:p>
        </w:tc>
        <w:tc>
          <w:tcPr>
            <w:tcW w:w="2683" w:type="dxa"/>
            <w:noWrap w:val="0"/>
            <w:vAlign w:val="center"/>
          </w:tcPr>
          <w:p>
            <w:pPr>
              <w:adjustRightInd w:val="0"/>
              <w:snapToGrid w:val="0"/>
              <w:spacing w:line="276" w:lineRule="auto"/>
              <w:ind w:right="-50" w:rightChars="-24"/>
              <w:jc w:val="center"/>
              <w:rPr>
                <w:rFonts w:hint="eastAsia" w:ascii="宋体" w:hAnsi="宋体" w:cs="Times New Roman"/>
                <w:sz w:val="21"/>
                <w:szCs w:val="21"/>
              </w:rPr>
            </w:pPr>
            <w:r>
              <w:rPr>
                <w:rFonts w:hint="eastAsia" w:ascii="宋体" w:hAnsi="宋体" w:cs="Times New Roman"/>
                <w:sz w:val="21"/>
                <w:szCs w:val="21"/>
              </w:rPr>
              <w:t>合法有效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9" w:hRule="atLeast"/>
          <w:jc w:val="center"/>
        </w:trPr>
        <w:tc>
          <w:tcPr>
            <w:tcW w:w="919" w:type="dxa"/>
            <w:vMerge w:val="continue"/>
            <w:noWrap w:val="0"/>
            <w:vAlign w:val="center"/>
          </w:tcPr>
          <w:p>
            <w:pPr>
              <w:widowControl/>
              <w:spacing w:line="360" w:lineRule="auto"/>
              <w:rPr>
                <w:rFonts w:hint="eastAsia" w:ascii="宋体" w:hAnsi="宋体"/>
                <w:szCs w:val="21"/>
              </w:rPr>
            </w:pPr>
          </w:p>
        </w:tc>
        <w:tc>
          <w:tcPr>
            <w:tcW w:w="4836" w:type="dxa"/>
            <w:noWrap w:val="0"/>
            <w:vAlign w:val="center"/>
          </w:tcPr>
          <w:p>
            <w:pPr>
              <w:adjustRightInd w:val="0"/>
              <w:snapToGrid w:val="0"/>
              <w:spacing w:line="276" w:lineRule="auto"/>
              <w:ind w:right="-50" w:rightChars="-24"/>
              <w:rPr>
                <w:rFonts w:hint="eastAsia" w:ascii="宋体" w:hAnsi="宋体" w:cs="Times New Roman"/>
                <w:sz w:val="21"/>
                <w:szCs w:val="21"/>
              </w:rPr>
            </w:pPr>
            <w:r>
              <w:rPr>
                <w:rFonts w:hint="eastAsia" w:ascii="宋体" w:hAnsi="宋体" w:cs="Times New Roman"/>
                <w:sz w:val="21"/>
                <w:szCs w:val="21"/>
              </w:rPr>
              <w:t>提供前三年内在经营活动中没有重大违法记录的声明。</w:t>
            </w:r>
          </w:p>
        </w:tc>
        <w:tc>
          <w:tcPr>
            <w:tcW w:w="2683" w:type="dxa"/>
            <w:noWrap w:val="0"/>
            <w:vAlign w:val="center"/>
          </w:tcPr>
          <w:p>
            <w:pPr>
              <w:adjustRightInd w:val="0"/>
              <w:snapToGrid w:val="0"/>
              <w:spacing w:line="276" w:lineRule="auto"/>
              <w:ind w:right="-50" w:rightChars="-24"/>
              <w:jc w:val="center"/>
              <w:rPr>
                <w:rFonts w:hint="eastAsia" w:ascii="宋体" w:hAnsi="宋体" w:cs="Times New Roman"/>
                <w:sz w:val="21"/>
                <w:szCs w:val="21"/>
              </w:rPr>
            </w:pPr>
            <w:r>
              <w:rPr>
                <w:rFonts w:hint="eastAsia" w:ascii="宋体" w:hAnsi="宋体" w:cs="Times New Roman"/>
                <w:sz w:val="21"/>
                <w:szCs w:val="21"/>
              </w:rPr>
              <w:t>合法有效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919" w:type="dxa"/>
            <w:vMerge w:val="continue"/>
            <w:noWrap w:val="0"/>
            <w:vAlign w:val="center"/>
          </w:tcPr>
          <w:p>
            <w:pPr>
              <w:widowControl/>
              <w:spacing w:line="360" w:lineRule="auto"/>
              <w:rPr>
                <w:rFonts w:hint="eastAsia" w:ascii="宋体" w:hAnsi="宋体"/>
                <w:szCs w:val="21"/>
              </w:rPr>
            </w:pPr>
          </w:p>
        </w:tc>
        <w:tc>
          <w:tcPr>
            <w:tcW w:w="4836" w:type="dxa"/>
            <w:noWrap w:val="0"/>
            <w:vAlign w:val="center"/>
          </w:tcPr>
          <w:p>
            <w:pPr>
              <w:adjustRightInd w:val="0"/>
              <w:snapToGrid w:val="0"/>
              <w:spacing w:line="276" w:lineRule="auto"/>
              <w:ind w:right="-50" w:rightChars="-24"/>
              <w:rPr>
                <w:rFonts w:hint="eastAsia" w:ascii="宋体" w:hAnsi="宋体" w:cs="Times New Roman"/>
                <w:sz w:val="21"/>
                <w:szCs w:val="21"/>
              </w:rPr>
            </w:pPr>
            <w:r>
              <w:rPr>
                <w:rFonts w:hint="eastAsia" w:ascii="宋体" w:hAnsi="宋体" w:cs="Times New Roman"/>
                <w:sz w:val="21"/>
                <w:szCs w:val="21"/>
                <w:lang w:val="en-US" w:eastAsia="zh-CN"/>
              </w:rPr>
              <w:t>供应商负责人为同一人或者存在控股、管理关系的不同单位，不得参加同一项目的投标；</w:t>
            </w:r>
          </w:p>
        </w:tc>
        <w:tc>
          <w:tcPr>
            <w:tcW w:w="2683" w:type="dxa"/>
            <w:noWrap w:val="0"/>
            <w:vAlign w:val="center"/>
          </w:tcPr>
          <w:p>
            <w:pPr>
              <w:adjustRightInd w:val="0"/>
              <w:snapToGrid w:val="0"/>
              <w:spacing w:line="276" w:lineRule="auto"/>
              <w:ind w:right="-50" w:rightChars="-24"/>
              <w:jc w:val="center"/>
              <w:rPr>
                <w:rFonts w:hint="eastAsia" w:ascii="宋体" w:hAnsi="宋体" w:cs="Times New Roman"/>
                <w:sz w:val="21"/>
                <w:szCs w:val="21"/>
              </w:rPr>
            </w:pPr>
            <w:r>
              <w:rPr>
                <w:rFonts w:hint="eastAsia" w:ascii="宋体" w:hAnsi="宋体" w:cs="Times New Roman"/>
                <w:sz w:val="21"/>
                <w:szCs w:val="21"/>
              </w:rPr>
              <w:t>合法有效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484" w:hRule="atLeast"/>
          <w:jc w:val="center"/>
        </w:trPr>
        <w:tc>
          <w:tcPr>
            <w:tcW w:w="919" w:type="dxa"/>
            <w:vMerge w:val="continue"/>
            <w:noWrap w:val="0"/>
            <w:vAlign w:val="center"/>
          </w:tcPr>
          <w:p>
            <w:pPr>
              <w:widowControl/>
              <w:spacing w:line="360" w:lineRule="auto"/>
              <w:rPr>
                <w:rFonts w:hint="eastAsia" w:ascii="宋体" w:hAnsi="宋体"/>
                <w:szCs w:val="21"/>
              </w:rPr>
            </w:pPr>
          </w:p>
        </w:tc>
        <w:tc>
          <w:tcPr>
            <w:tcW w:w="4836" w:type="dxa"/>
            <w:noWrap w:val="0"/>
            <w:vAlign w:val="center"/>
          </w:tcPr>
          <w:p>
            <w:pPr>
              <w:adjustRightInd w:val="0"/>
              <w:snapToGrid w:val="0"/>
              <w:spacing w:line="276" w:lineRule="auto"/>
              <w:ind w:right="-50" w:rightChars="-24"/>
              <w:rPr>
                <w:rFonts w:hint="eastAsia" w:ascii="宋体" w:hAnsi="宋体" w:cs="Times New Roman"/>
                <w:sz w:val="21"/>
                <w:szCs w:val="21"/>
              </w:rPr>
            </w:pPr>
            <w:r>
              <w:rPr>
                <w:rFonts w:hint="eastAsia" w:ascii="宋体" w:hAnsi="宋体" w:cs="Times New Roman"/>
                <w:sz w:val="21"/>
                <w:szCs w:val="21"/>
              </w:rPr>
              <w:t>供应商不得为“信用中国”网站（www.creditchina.gov.cn）中列入失信被 执行人和重大税收违法案件当事人名单的供应商，不得为中国政府采购网（www.ccgp.gov.cn）政府采购严重违法失信行为记录名单中被财政部门禁止参加政府采购活动的供应商；</w:t>
            </w:r>
          </w:p>
        </w:tc>
        <w:tc>
          <w:tcPr>
            <w:tcW w:w="2683" w:type="dxa"/>
            <w:noWrap w:val="0"/>
            <w:vAlign w:val="center"/>
          </w:tcPr>
          <w:p>
            <w:pPr>
              <w:adjustRightInd w:val="0"/>
              <w:snapToGrid w:val="0"/>
              <w:spacing w:line="276" w:lineRule="auto"/>
              <w:ind w:right="-50" w:rightChars="-24"/>
              <w:rPr>
                <w:rFonts w:hint="eastAsia" w:ascii="宋体" w:hAnsi="宋体" w:cs="Times New Roman"/>
                <w:sz w:val="21"/>
                <w:szCs w:val="21"/>
              </w:rPr>
            </w:pPr>
            <w:r>
              <w:rPr>
                <w:rFonts w:hint="eastAsia" w:ascii="宋体" w:hAnsi="宋体" w:cs="Times New Roman"/>
                <w:sz w:val="21"/>
                <w:szCs w:val="21"/>
              </w:rPr>
              <w:t>（开标当天采购人现场查询，若不符合要求，按无效投标处理；查询截止时间：投标截止时间后2小时内网站查询，若不符合要求，按无效投标处理；查询结果保存方式：网站截图纸质版或网站截图电子版保存。）</w:t>
            </w:r>
          </w:p>
        </w:tc>
      </w:tr>
    </w:tbl>
    <w:p>
      <w:pPr>
        <w:pStyle w:val="19"/>
        <w:jc w:val="left"/>
        <w:rPr>
          <w:rFonts w:hint="eastAsia" w:ascii="宋体" w:hAnsi="宋体" w:eastAsia="宋体" w:cs="宋体"/>
          <w:b/>
          <w:bCs/>
          <w:sz w:val="24"/>
          <w:szCs w:val="24"/>
          <w:lang w:val="en-US" w:eastAsia="zh-CN"/>
        </w:rPr>
      </w:pPr>
      <w:bookmarkStart w:id="441" w:name="_Toc27726"/>
      <w:bookmarkStart w:id="442" w:name="_Toc9478"/>
      <w:bookmarkStart w:id="443" w:name="_Toc7524523"/>
      <w:bookmarkStart w:id="444" w:name="_Toc19561"/>
      <w:r>
        <w:rPr>
          <w:rFonts w:hint="eastAsia" w:ascii="宋体" w:hAnsi="宋体" w:eastAsia="宋体" w:cs="宋体"/>
          <w:b w:val="0"/>
          <w:bCs w:val="0"/>
          <w:kern w:val="2"/>
          <w:sz w:val="21"/>
          <w:szCs w:val="21"/>
          <w:highlight w:val="none"/>
          <w:lang w:val="en-US" w:eastAsia="zh-CN" w:bidi="ar-SA"/>
        </w:rPr>
        <w:br w:type="page"/>
      </w:r>
      <w:bookmarkStart w:id="445" w:name="_Toc13970"/>
      <w:r>
        <w:rPr>
          <w:rFonts w:hint="eastAsia" w:ascii="宋体" w:hAnsi="宋体" w:cs="宋体"/>
          <w:b/>
          <w:bCs/>
          <w:sz w:val="24"/>
          <w:szCs w:val="24"/>
          <w:lang w:val="en-US" w:eastAsia="zh-CN"/>
        </w:rPr>
        <w:t>附件2：</w:t>
      </w:r>
    </w:p>
    <w:tbl>
      <w:tblPr>
        <w:tblStyle w:val="28"/>
        <w:tblpPr w:leftFromText="180" w:rightFromText="180" w:vertAnchor="text" w:horzAnchor="margin" w:tblpY="169"/>
        <w:tblOverlap w:val="never"/>
        <w:tblW w:w="9180"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78"/>
        <w:gridCol w:w="1684"/>
        <w:gridCol w:w="5343"/>
        <w:gridCol w:w="127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44" w:hRule="atLeast"/>
        </w:trPr>
        <w:tc>
          <w:tcPr>
            <w:tcW w:w="878" w:type="dxa"/>
            <w:noWrap w:val="0"/>
            <w:vAlign w:val="center"/>
          </w:tcPr>
          <w:p>
            <w:pPr>
              <w:widowControl/>
              <w:spacing w:line="360" w:lineRule="auto"/>
              <w:jc w:val="center"/>
              <w:rPr>
                <w:rFonts w:hint="eastAsia" w:ascii="宋体" w:hAnsi="宋体"/>
                <w:b/>
                <w:szCs w:val="21"/>
              </w:rPr>
            </w:pPr>
            <w:r>
              <w:rPr>
                <w:rFonts w:hint="eastAsia" w:ascii="宋体" w:hAnsi="宋体"/>
                <w:b/>
                <w:szCs w:val="21"/>
              </w:rPr>
              <w:t>项目</w:t>
            </w:r>
          </w:p>
        </w:tc>
        <w:tc>
          <w:tcPr>
            <w:tcW w:w="7027" w:type="dxa"/>
            <w:gridSpan w:val="2"/>
            <w:noWrap w:val="0"/>
            <w:vAlign w:val="center"/>
          </w:tcPr>
          <w:p>
            <w:pPr>
              <w:widowControl/>
              <w:spacing w:line="360" w:lineRule="auto"/>
              <w:jc w:val="center"/>
              <w:rPr>
                <w:rFonts w:ascii="宋体" w:hAnsi="宋体"/>
                <w:b/>
                <w:szCs w:val="21"/>
              </w:rPr>
            </w:pPr>
            <w:r>
              <w:rPr>
                <w:rFonts w:hint="eastAsia" w:ascii="宋体" w:hAnsi="宋体"/>
                <w:b/>
                <w:szCs w:val="21"/>
              </w:rPr>
              <w:t>评审因素</w:t>
            </w:r>
          </w:p>
        </w:tc>
        <w:tc>
          <w:tcPr>
            <w:tcW w:w="1275" w:type="dxa"/>
            <w:noWrap w:val="0"/>
            <w:vAlign w:val="center"/>
          </w:tcPr>
          <w:p>
            <w:pPr>
              <w:widowControl/>
              <w:spacing w:line="360" w:lineRule="auto"/>
              <w:jc w:val="center"/>
              <w:rPr>
                <w:rFonts w:ascii="宋体" w:hAnsi="宋体"/>
                <w:b/>
                <w:szCs w:val="21"/>
              </w:rPr>
            </w:pPr>
            <w:r>
              <w:rPr>
                <w:rFonts w:hint="eastAsia" w:ascii="宋体" w:hAnsi="宋体"/>
                <w:b/>
                <w:szCs w:val="21"/>
              </w:rPr>
              <w:t>评标标准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7" w:hRule="atLeast"/>
        </w:trPr>
        <w:tc>
          <w:tcPr>
            <w:tcW w:w="878" w:type="dxa"/>
            <w:vMerge w:val="restart"/>
            <w:noWrap w:val="0"/>
            <w:vAlign w:val="center"/>
          </w:tcPr>
          <w:p>
            <w:pPr>
              <w:widowControl/>
              <w:spacing w:line="360" w:lineRule="auto"/>
              <w:rPr>
                <w:rFonts w:hint="eastAsia" w:ascii="宋体" w:hAnsi="宋体" w:eastAsia="宋体"/>
                <w:sz w:val="24"/>
                <w:lang w:val="en-US" w:eastAsia="zh-CN"/>
              </w:rPr>
            </w:pPr>
            <w:r>
              <w:rPr>
                <w:rFonts w:hint="eastAsia" w:ascii="宋体" w:hAnsi="宋体" w:cs="Times New Roman"/>
                <w:sz w:val="21"/>
                <w:szCs w:val="21"/>
              </w:rPr>
              <w:t>符合性</w:t>
            </w:r>
            <w:r>
              <w:rPr>
                <w:rFonts w:hint="eastAsia" w:ascii="宋体" w:hAnsi="宋体" w:cs="Times New Roman"/>
                <w:sz w:val="21"/>
                <w:szCs w:val="21"/>
                <w:lang w:val="en-US" w:eastAsia="zh-CN"/>
              </w:rPr>
              <w:t>审查标准</w:t>
            </w:r>
          </w:p>
        </w:tc>
        <w:tc>
          <w:tcPr>
            <w:tcW w:w="1684" w:type="dxa"/>
            <w:vMerge w:val="restart"/>
            <w:tcBorders>
              <w:right w:val="single" w:color="auto" w:sz="4" w:space="0"/>
            </w:tcBorders>
            <w:noWrap w:val="0"/>
            <w:vAlign w:val="center"/>
          </w:tcPr>
          <w:p>
            <w:pPr>
              <w:adjustRightInd w:val="0"/>
              <w:snapToGrid w:val="0"/>
              <w:spacing w:line="276" w:lineRule="auto"/>
              <w:ind w:right="-50" w:rightChars="-24"/>
              <w:rPr>
                <w:rFonts w:hint="eastAsia" w:ascii="宋体" w:hAnsi="宋体" w:cs="Times New Roman"/>
                <w:sz w:val="21"/>
                <w:szCs w:val="21"/>
              </w:rPr>
            </w:pPr>
            <w:r>
              <w:rPr>
                <w:rFonts w:hint="eastAsia" w:ascii="宋体" w:hAnsi="宋体" w:cs="Times New Roman"/>
                <w:sz w:val="21"/>
                <w:szCs w:val="21"/>
              </w:rPr>
              <w:t>响应磋商文件的完整性审查</w:t>
            </w:r>
          </w:p>
        </w:tc>
        <w:tc>
          <w:tcPr>
            <w:tcW w:w="5343" w:type="dxa"/>
            <w:tcBorders>
              <w:left w:val="single" w:color="auto" w:sz="4" w:space="0"/>
            </w:tcBorders>
            <w:noWrap w:val="0"/>
            <w:vAlign w:val="center"/>
          </w:tcPr>
          <w:p>
            <w:pPr>
              <w:adjustRightInd w:val="0"/>
              <w:snapToGrid w:val="0"/>
              <w:spacing w:line="276" w:lineRule="auto"/>
              <w:ind w:right="-50" w:rightChars="-24"/>
              <w:rPr>
                <w:rFonts w:hint="eastAsia" w:ascii="宋体" w:hAnsi="宋体" w:cs="Times New Roman"/>
                <w:sz w:val="21"/>
                <w:szCs w:val="21"/>
              </w:rPr>
            </w:pPr>
            <w:r>
              <w:rPr>
                <w:rFonts w:hint="eastAsia" w:ascii="宋体" w:hAnsi="宋体" w:cs="Times New Roman"/>
                <w:sz w:val="21"/>
                <w:szCs w:val="21"/>
              </w:rPr>
              <w:t>响应磋商文件是否按照竞争性磋商文件要求的格式编写</w:t>
            </w:r>
          </w:p>
        </w:tc>
        <w:tc>
          <w:tcPr>
            <w:tcW w:w="1275" w:type="dxa"/>
            <w:noWrap w:val="0"/>
            <w:vAlign w:val="center"/>
          </w:tcPr>
          <w:p>
            <w:pPr>
              <w:adjustRightInd w:val="0"/>
              <w:snapToGrid w:val="0"/>
              <w:spacing w:line="276" w:lineRule="auto"/>
              <w:ind w:right="-50" w:rightChars="-24"/>
              <w:jc w:val="center"/>
              <w:rPr>
                <w:rFonts w:hint="eastAsia" w:ascii="宋体" w:hAnsi="宋体" w:cs="Times New Roman"/>
                <w:sz w:val="21"/>
                <w:szCs w:val="21"/>
              </w:rPr>
            </w:pPr>
            <w:r>
              <w:rPr>
                <w:rFonts w:hint="eastAsia" w:ascii="宋体" w:hAnsi="宋体" w:cs="Times New Roman"/>
                <w:sz w:val="21"/>
                <w:szCs w:val="21"/>
              </w:rPr>
              <w:t>合格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rPr>
        <w:tc>
          <w:tcPr>
            <w:tcW w:w="878" w:type="dxa"/>
            <w:vMerge w:val="continue"/>
            <w:noWrap w:val="0"/>
            <w:vAlign w:val="center"/>
          </w:tcPr>
          <w:p>
            <w:pPr>
              <w:widowControl/>
              <w:spacing w:line="360" w:lineRule="auto"/>
              <w:rPr>
                <w:rFonts w:hint="eastAsia" w:ascii="宋体" w:hAnsi="宋体"/>
                <w:sz w:val="24"/>
              </w:rPr>
            </w:pPr>
          </w:p>
        </w:tc>
        <w:tc>
          <w:tcPr>
            <w:tcW w:w="1684" w:type="dxa"/>
            <w:vMerge w:val="continue"/>
            <w:tcBorders>
              <w:right w:val="single" w:color="auto" w:sz="4" w:space="0"/>
            </w:tcBorders>
            <w:noWrap w:val="0"/>
            <w:vAlign w:val="center"/>
          </w:tcPr>
          <w:p>
            <w:pPr>
              <w:adjustRightInd w:val="0"/>
              <w:snapToGrid w:val="0"/>
              <w:spacing w:line="276" w:lineRule="auto"/>
              <w:ind w:right="-50" w:rightChars="-24"/>
              <w:rPr>
                <w:rFonts w:hint="eastAsia" w:ascii="宋体" w:hAnsi="宋体" w:cs="Times New Roman"/>
                <w:sz w:val="21"/>
                <w:szCs w:val="21"/>
              </w:rPr>
            </w:pPr>
          </w:p>
        </w:tc>
        <w:tc>
          <w:tcPr>
            <w:tcW w:w="5343" w:type="dxa"/>
            <w:tcBorders>
              <w:left w:val="single" w:color="auto" w:sz="4" w:space="0"/>
            </w:tcBorders>
            <w:noWrap w:val="0"/>
            <w:vAlign w:val="center"/>
          </w:tcPr>
          <w:p>
            <w:pPr>
              <w:adjustRightInd w:val="0"/>
              <w:snapToGrid w:val="0"/>
              <w:spacing w:line="276" w:lineRule="auto"/>
              <w:ind w:right="-50" w:rightChars="-24"/>
              <w:rPr>
                <w:rFonts w:hint="eastAsia" w:ascii="宋体" w:hAnsi="宋体" w:cs="Times New Roman"/>
                <w:sz w:val="21"/>
                <w:szCs w:val="21"/>
              </w:rPr>
            </w:pPr>
            <w:r>
              <w:rPr>
                <w:rFonts w:hint="eastAsia" w:ascii="宋体" w:hAnsi="宋体" w:cs="Times New Roman"/>
                <w:sz w:val="21"/>
                <w:szCs w:val="21"/>
              </w:rPr>
              <w:t>磋商内容是否有重大缺漏项</w:t>
            </w:r>
          </w:p>
        </w:tc>
        <w:tc>
          <w:tcPr>
            <w:tcW w:w="1275" w:type="dxa"/>
            <w:noWrap w:val="0"/>
            <w:vAlign w:val="center"/>
          </w:tcPr>
          <w:p>
            <w:pPr>
              <w:adjustRightInd w:val="0"/>
              <w:snapToGrid w:val="0"/>
              <w:spacing w:line="276" w:lineRule="auto"/>
              <w:ind w:right="-50" w:rightChars="-24"/>
              <w:jc w:val="center"/>
              <w:rPr>
                <w:rFonts w:hint="eastAsia" w:ascii="宋体" w:hAnsi="宋体" w:cs="Times New Roman"/>
                <w:sz w:val="21"/>
                <w:szCs w:val="21"/>
              </w:rPr>
            </w:pPr>
            <w:r>
              <w:rPr>
                <w:rFonts w:hint="eastAsia" w:ascii="宋体" w:hAnsi="宋体" w:cs="Times New Roman"/>
                <w:sz w:val="21"/>
                <w:szCs w:val="21"/>
              </w:rPr>
              <w:t>合格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rPr>
        <w:tc>
          <w:tcPr>
            <w:tcW w:w="878" w:type="dxa"/>
            <w:vMerge w:val="continue"/>
            <w:noWrap w:val="0"/>
            <w:vAlign w:val="center"/>
          </w:tcPr>
          <w:p>
            <w:pPr>
              <w:widowControl/>
              <w:spacing w:line="360" w:lineRule="auto"/>
              <w:rPr>
                <w:rFonts w:hint="eastAsia" w:ascii="宋体" w:hAnsi="宋体"/>
                <w:sz w:val="24"/>
              </w:rPr>
            </w:pPr>
          </w:p>
        </w:tc>
        <w:tc>
          <w:tcPr>
            <w:tcW w:w="1684" w:type="dxa"/>
            <w:vMerge w:val="restart"/>
            <w:tcBorders>
              <w:right w:val="single" w:color="auto" w:sz="4" w:space="0"/>
            </w:tcBorders>
            <w:noWrap w:val="0"/>
            <w:vAlign w:val="center"/>
          </w:tcPr>
          <w:p>
            <w:pPr>
              <w:adjustRightInd w:val="0"/>
              <w:snapToGrid w:val="0"/>
              <w:spacing w:line="276" w:lineRule="auto"/>
              <w:ind w:right="-50" w:rightChars="-24"/>
              <w:rPr>
                <w:rFonts w:hint="eastAsia" w:ascii="宋体" w:hAnsi="宋体" w:cs="Times New Roman"/>
                <w:sz w:val="21"/>
                <w:szCs w:val="21"/>
              </w:rPr>
            </w:pPr>
            <w:r>
              <w:rPr>
                <w:rFonts w:hint="eastAsia" w:ascii="宋体" w:hAnsi="宋体" w:cs="Times New Roman"/>
                <w:sz w:val="21"/>
                <w:szCs w:val="21"/>
              </w:rPr>
              <w:t>响应磋商文件的有效性审查</w:t>
            </w:r>
          </w:p>
        </w:tc>
        <w:tc>
          <w:tcPr>
            <w:tcW w:w="5343" w:type="dxa"/>
            <w:tcBorders>
              <w:left w:val="single" w:color="auto" w:sz="4" w:space="0"/>
            </w:tcBorders>
            <w:noWrap w:val="0"/>
            <w:vAlign w:val="center"/>
          </w:tcPr>
          <w:p>
            <w:pPr>
              <w:adjustRightInd w:val="0"/>
              <w:snapToGrid w:val="0"/>
              <w:spacing w:line="276" w:lineRule="auto"/>
              <w:ind w:right="-50" w:rightChars="-24"/>
              <w:rPr>
                <w:rFonts w:hint="eastAsia" w:ascii="宋体" w:hAnsi="宋体" w:cs="Times New Roman"/>
                <w:sz w:val="21"/>
                <w:szCs w:val="21"/>
              </w:rPr>
            </w:pPr>
            <w:r>
              <w:rPr>
                <w:rFonts w:hint="eastAsia" w:ascii="宋体" w:hAnsi="宋体" w:cs="Times New Roman"/>
                <w:sz w:val="21"/>
                <w:szCs w:val="21"/>
              </w:rPr>
              <w:t>响应磋商文件的签署、加盖印章是否合格、有效；提供的各种证明文件、数据、资料是否真实、有效</w:t>
            </w:r>
          </w:p>
        </w:tc>
        <w:tc>
          <w:tcPr>
            <w:tcW w:w="1275" w:type="dxa"/>
            <w:noWrap w:val="0"/>
            <w:vAlign w:val="center"/>
          </w:tcPr>
          <w:p>
            <w:pPr>
              <w:adjustRightInd w:val="0"/>
              <w:snapToGrid w:val="0"/>
              <w:spacing w:line="276" w:lineRule="auto"/>
              <w:ind w:right="-50" w:rightChars="-24"/>
              <w:jc w:val="center"/>
              <w:rPr>
                <w:rFonts w:hint="eastAsia" w:ascii="宋体" w:hAnsi="宋体" w:cs="Times New Roman"/>
                <w:sz w:val="21"/>
                <w:szCs w:val="21"/>
              </w:rPr>
            </w:pPr>
            <w:r>
              <w:rPr>
                <w:rFonts w:hint="eastAsia" w:ascii="宋体" w:hAnsi="宋体" w:cs="Times New Roman"/>
                <w:sz w:val="21"/>
                <w:szCs w:val="21"/>
              </w:rPr>
              <w:t>合格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rPr>
        <w:tc>
          <w:tcPr>
            <w:tcW w:w="878" w:type="dxa"/>
            <w:vMerge w:val="continue"/>
            <w:noWrap w:val="0"/>
            <w:vAlign w:val="center"/>
          </w:tcPr>
          <w:p>
            <w:pPr>
              <w:widowControl/>
              <w:spacing w:line="360" w:lineRule="auto"/>
              <w:rPr>
                <w:rFonts w:hint="eastAsia" w:ascii="宋体" w:hAnsi="宋体"/>
                <w:sz w:val="24"/>
              </w:rPr>
            </w:pPr>
          </w:p>
        </w:tc>
        <w:tc>
          <w:tcPr>
            <w:tcW w:w="1684" w:type="dxa"/>
            <w:vMerge w:val="continue"/>
            <w:tcBorders>
              <w:right w:val="single" w:color="auto" w:sz="4" w:space="0"/>
            </w:tcBorders>
            <w:noWrap w:val="0"/>
            <w:vAlign w:val="center"/>
          </w:tcPr>
          <w:p>
            <w:pPr>
              <w:adjustRightInd w:val="0"/>
              <w:snapToGrid w:val="0"/>
              <w:spacing w:line="276" w:lineRule="auto"/>
              <w:ind w:right="-50" w:rightChars="-24"/>
              <w:rPr>
                <w:rFonts w:hint="eastAsia" w:ascii="宋体" w:hAnsi="宋体" w:cs="Times New Roman"/>
                <w:sz w:val="21"/>
                <w:szCs w:val="21"/>
              </w:rPr>
            </w:pPr>
          </w:p>
        </w:tc>
        <w:tc>
          <w:tcPr>
            <w:tcW w:w="5343" w:type="dxa"/>
            <w:tcBorders>
              <w:left w:val="single" w:color="auto" w:sz="4" w:space="0"/>
            </w:tcBorders>
            <w:noWrap w:val="0"/>
            <w:vAlign w:val="center"/>
          </w:tcPr>
          <w:p>
            <w:pPr>
              <w:adjustRightInd w:val="0"/>
              <w:snapToGrid w:val="0"/>
              <w:spacing w:line="276" w:lineRule="auto"/>
              <w:ind w:right="-50" w:rightChars="-24"/>
              <w:rPr>
                <w:rFonts w:hint="eastAsia" w:ascii="宋体" w:hAnsi="宋体" w:eastAsia="宋体" w:cs="Times New Roman"/>
                <w:sz w:val="21"/>
                <w:szCs w:val="21"/>
                <w:lang w:eastAsia="zh-CN"/>
              </w:rPr>
            </w:pPr>
            <w:r>
              <w:rPr>
                <w:rFonts w:hint="eastAsia" w:hAnsi="宋体" w:cs="宋体"/>
                <w:bCs/>
                <w:sz w:val="21"/>
                <w:szCs w:val="21"/>
              </w:rPr>
              <w:t>报价唯一</w:t>
            </w:r>
            <w:r>
              <w:rPr>
                <w:rFonts w:hint="eastAsia" w:hAnsi="宋体" w:cs="宋体"/>
                <w:bCs/>
                <w:sz w:val="21"/>
                <w:szCs w:val="21"/>
                <w:lang w:eastAsia="zh-CN"/>
              </w:rPr>
              <w:t>（</w:t>
            </w:r>
            <w:r>
              <w:rPr>
                <w:rFonts w:hint="eastAsia" w:hAnsi="宋体" w:cs="宋体"/>
                <w:bCs/>
                <w:sz w:val="21"/>
                <w:szCs w:val="21"/>
              </w:rPr>
              <w:t>只能有一个有效报价，不得提交选择性报价</w:t>
            </w:r>
            <w:r>
              <w:rPr>
                <w:rFonts w:hint="eastAsia" w:hAnsi="宋体" w:cs="宋体"/>
                <w:bCs/>
                <w:sz w:val="21"/>
                <w:szCs w:val="21"/>
                <w:lang w:eastAsia="zh-CN"/>
              </w:rPr>
              <w:t>）</w:t>
            </w:r>
          </w:p>
        </w:tc>
        <w:tc>
          <w:tcPr>
            <w:tcW w:w="1275" w:type="dxa"/>
            <w:noWrap w:val="0"/>
            <w:vAlign w:val="center"/>
          </w:tcPr>
          <w:p>
            <w:pPr>
              <w:adjustRightInd w:val="0"/>
              <w:snapToGrid w:val="0"/>
              <w:spacing w:line="276" w:lineRule="auto"/>
              <w:ind w:right="-50" w:rightChars="-24"/>
              <w:jc w:val="center"/>
              <w:rPr>
                <w:rFonts w:hint="eastAsia" w:ascii="宋体" w:hAnsi="宋体" w:cs="Times New Roman"/>
                <w:sz w:val="21"/>
                <w:szCs w:val="21"/>
              </w:rPr>
            </w:pPr>
            <w:r>
              <w:rPr>
                <w:rFonts w:hint="eastAsia" w:ascii="宋体" w:hAnsi="宋体" w:cs="Times New Roman"/>
                <w:sz w:val="21"/>
                <w:szCs w:val="21"/>
              </w:rPr>
              <w:t>合格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rPr>
        <w:tc>
          <w:tcPr>
            <w:tcW w:w="878" w:type="dxa"/>
            <w:vMerge w:val="continue"/>
            <w:noWrap w:val="0"/>
            <w:vAlign w:val="center"/>
          </w:tcPr>
          <w:p>
            <w:pPr>
              <w:widowControl/>
              <w:spacing w:line="360" w:lineRule="auto"/>
              <w:rPr>
                <w:rFonts w:hint="eastAsia" w:ascii="宋体" w:hAnsi="宋体"/>
                <w:sz w:val="24"/>
              </w:rPr>
            </w:pPr>
          </w:p>
        </w:tc>
        <w:tc>
          <w:tcPr>
            <w:tcW w:w="1684" w:type="dxa"/>
            <w:vMerge w:val="continue"/>
            <w:tcBorders>
              <w:right w:val="single" w:color="auto" w:sz="4" w:space="0"/>
            </w:tcBorders>
            <w:noWrap w:val="0"/>
            <w:vAlign w:val="center"/>
          </w:tcPr>
          <w:p>
            <w:pPr>
              <w:adjustRightInd w:val="0"/>
              <w:snapToGrid w:val="0"/>
              <w:spacing w:line="276" w:lineRule="auto"/>
              <w:ind w:right="-50" w:rightChars="-24"/>
              <w:rPr>
                <w:rFonts w:hint="eastAsia" w:ascii="宋体" w:hAnsi="宋体" w:cs="Times New Roman"/>
                <w:sz w:val="21"/>
                <w:szCs w:val="21"/>
              </w:rPr>
            </w:pPr>
          </w:p>
        </w:tc>
        <w:tc>
          <w:tcPr>
            <w:tcW w:w="5343" w:type="dxa"/>
            <w:tcBorders>
              <w:left w:val="single" w:color="auto" w:sz="4" w:space="0"/>
            </w:tcBorders>
            <w:noWrap w:val="0"/>
            <w:vAlign w:val="center"/>
          </w:tcPr>
          <w:p>
            <w:pPr>
              <w:adjustRightInd w:val="0"/>
              <w:snapToGrid w:val="0"/>
              <w:spacing w:line="276" w:lineRule="auto"/>
              <w:ind w:right="-50" w:rightChars="-24"/>
              <w:rPr>
                <w:rFonts w:hint="eastAsia" w:ascii="宋体" w:hAnsi="宋体" w:cs="Times New Roman"/>
                <w:sz w:val="21"/>
                <w:szCs w:val="21"/>
              </w:rPr>
            </w:pPr>
            <w:r>
              <w:rPr>
                <w:rFonts w:hint="eastAsia" w:ascii="宋体" w:hAnsi="宋体" w:cs="Times New Roman"/>
                <w:sz w:val="21"/>
                <w:szCs w:val="21"/>
              </w:rPr>
              <w:t>是否提交了合格有效的本次采购特别要求的资格证明文件</w:t>
            </w:r>
          </w:p>
        </w:tc>
        <w:tc>
          <w:tcPr>
            <w:tcW w:w="1275" w:type="dxa"/>
            <w:noWrap w:val="0"/>
            <w:vAlign w:val="center"/>
          </w:tcPr>
          <w:p>
            <w:pPr>
              <w:adjustRightInd w:val="0"/>
              <w:snapToGrid w:val="0"/>
              <w:spacing w:line="276" w:lineRule="auto"/>
              <w:ind w:right="-50" w:rightChars="-24"/>
              <w:jc w:val="center"/>
              <w:rPr>
                <w:rFonts w:hint="eastAsia" w:ascii="宋体" w:hAnsi="宋体" w:cs="Times New Roman"/>
                <w:sz w:val="21"/>
                <w:szCs w:val="21"/>
              </w:rPr>
            </w:pPr>
            <w:r>
              <w:rPr>
                <w:rFonts w:hint="eastAsia" w:ascii="宋体" w:hAnsi="宋体" w:cs="Times New Roman"/>
                <w:sz w:val="21"/>
                <w:szCs w:val="21"/>
              </w:rPr>
              <w:t>合格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rPr>
        <w:tc>
          <w:tcPr>
            <w:tcW w:w="878" w:type="dxa"/>
            <w:vMerge w:val="continue"/>
            <w:noWrap w:val="0"/>
            <w:vAlign w:val="center"/>
          </w:tcPr>
          <w:p>
            <w:pPr>
              <w:widowControl/>
              <w:spacing w:line="360" w:lineRule="auto"/>
              <w:rPr>
                <w:rFonts w:hint="eastAsia" w:ascii="宋体" w:hAnsi="宋体"/>
                <w:sz w:val="24"/>
              </w:rPr>
            </w:pPr>
          </w:p>
        </w:tc>
        <w:tc>
          <w:tcPr>
            <w:tcW w:w="1684" w:type="dxa"/>
            <w:vMerge w:val="restart"/>
            <w:tcBorders>
              <w:right w:val="single" w:color="auto" w:sz="4" w:space="0"/>
            </w:tcBorders>
            <w:noWrap w:val="0"/>
            <w:vAlign w:val="center"/>
          </w:tcPr>
          <w:p>
            <w:pPr>
              <w:adjustRightInd w:val="0"/>
              <w:snapToGrid w:val="0"/>
              <w:spacing w:line="276" w:lineRule="auto"/>
              <w:ind w:right="-50" w:rightChars="-24"/>
              <w:rPr>
                <w:rFonts w:hint="eastAsia" w:ascii="宋体" w:hAnsi="宋体" w:cs="Times New Roman"/>
                <w:sz w:val="21"/>
                <w:szCs w:val="21"/>
              </w:rPr>
            </w:pPr>
            <w:r>
              <w:rPr>
                <w:rFonts w:hint="eastAsia" w:ascii="宋体" w:hAnsi="宋体" w:cs="Times New Roman"/>
                <w:sz w:val="21"/>
                <w:szCs w:val="21"/>
              </w:rPr>
              <w:t>响应磋商文件的响应性审查</w:t>
            </w:r>
          </w:p>
        </w:tc>
        <w:tc>
          <w:tcPr>
            <w:tcW w:w="5343" w:type="dxa"/>
            <w:tcBorders>
              <w:left w:val="single" w:color="auto" w:sz="4" w:space="0"/>
            </w:tcBorders>
            <w:noWrap w:val="0"/>
            <w:vAlign w:val="center"/>
          </w:tcPr>
          <w:p>
            <w:pPr>
              <w:adjustRightInd w:val="0"/>
              <w:snapToGrid w:val="0"/>
              <w:spacing w:line="276" w:lineRule="auto"/>
              <w:ind w:right="-50" w:rightChars="-24"/>
              <w:rPr>
                <w:rFonts w:hint="eastAsia" w:ascii="宋体" w:hAnsi="宋体" w:cs="Times New Roman"/>
                <w:sz w:val="21"/>
                <w:szCs w:val="21"/>
              </w:rPr>
            </w:pPr>
            <w:r>
              <w:rPr>
                <w:rFonts w:hint="eastAsia" w:ascii="宋体" w:hAnsi="宋体" w:cs="Times New Roman"/>
                <w:sz w:val="21"/>
                <w:szCs w:val="21"/>
              </w:rPr>
              <w:t>磋商报价是否超过采购预算</w:t>
            </w:r>
          </w:p>
        </w:tc>
        <w:tc>
          <w:tcPr>
            <w:tcW w:w="1275" w:type="dxa"/>
            <w:noWrap w:val="0"/>
            <w:vAlign w:val="center"/>
          </w:tcPr>
          <w:p>
            <w:pPr>
              <w:adjustRightInd w:val="0"/>
              <w:snapToGrid w:val="0"/>
              <w:spacing w:line="276" w:lineRule="auto"/>
              <w:ind w:right="-50" w:rightChars="-24"/>
              <w:jc w:val="center"/>
              <w:rPr>
                <w:rFonts w:hint="eastAsia" w:ascii="宋体" w:hAnsi="宋体" w:cs="Times New Roman"/>
                <w:sz w:val="21"/>
                <w:szCs w:val="21"/>
              </w:rPr>
            </w:pPr>
            <w:r>
              <w:rPr>
                <w:rFonts w:hint="eastAsia" w:ascii="宋体" w:hAnsi="宋体" w:cs="Times New Roman"/>
                <w:sz w:val="21"/>
                <w:szCs w:val="21"/>
              </w:rPr>
              <w:t>合格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rPr>
        <w:tc>
          <w:tcPr>
            <w:tcW w:w="878" w:type="dxa"/>
            <w:vMerge w:val="continue"/>
            <w:noWrap w:val="0"/>
            <w:vAlign w:val="center"/>
          </w:tcPr>
          <w:p>
            <w:pPr>
              <w:widowControl/>
              <w:spacing w:line="360" w:lineRule="auto"/>
              <w:rPr>
                <w:rFonts w:hint="eastAsia" w:ascii="宋体" w:hAnsi="宋体"/>
                <w:sz w:val="24"/>
              </w:rPr>
            </w:pPr>
          </w:p>
        </w:tc>
        <w:tc>
          <w:tcPr>
            <w:tcW w:w="1684" w:type="dxa"/>
            <w:vMerge w:val="continue"/>
            <w:tcBorders>
              <w:right w:val="single" w:color="auto" w:sz="4" w:space="0"/>
            </w:tcBorders>
            <w:noWrap w:val="0"/>
            <w:vAlign w:val="center"/>
          </w:tcPr>
          <w:p>
            <w:pPr>
              <w:adjustRightInd w:val="0"/>
              <w:snapToGrid w:val="0"/>
              <w:spacing w:line="276" w:lineRule="auto"/>
              <w:ind w:right="-50" w:rightChars="-24"/>
              <w:rPr>
                <w:rFonts w:hint="eastAsia" w:ascii="宋体" w:hAnsi="宋体" w:cs="Times New Roman"/>
                <w:sz w:val="21"/>
                <w:szCs w:val="21"/>
              </w:rPr>
            </w:pPr>
          </w:p>
        </w:tc>
        <w:tc>
          <w:tcPr>
            <w:tcW w:w="5343" w:type="dxa"/>
            <w:tcBorders>
              <w:left w:val="single" w:color="auto" w:sz="4" w:space="0"/>
            </w:tcBorders>
            <w:noWrap w:val="0"/>
            <w:vAlign w:val="center"/>
          </w:tcPr>
          <w:p>
            <w:pPr>
              <w:adjustRightInd w:val="0"/>
              <w:snapToGrid w:val="0"/>
              <w:spacing w:line="276" w:lineRule="auto"/>
              <w:ind w:right="-50" w:rightChars="-24"/>
              <w:rPr>
                <w:rFonts w:hint="eastAsia" w:ascii="宋体" w:hAnsi="宋体" w:cs="Times New Roman"/>
                <w:sz w:val="21"/>
                <w:szCs w:val="21"/>
              </w:rPr>
            </w:pPr>
            <w:r>
              <w:rPr>
                <w:rFonts w:hint="eastAsia" w:ascii="宋体" w:hAnsi="宋体" w:cs="Times New Roman"/>
                <w:sz w:val="21"/>
                <w:szCs w:val="21"/>
              </w:rPr>
              <w:t>响应磋商有效期是否符合竞争性磋商文件的要求</w:t>
            </w:r>
          </w:p>
        </w:tc>
        <w:tc>
          <w:tcPr>
            <w:tcW w:w="1275" w:type="dxa"/>
            <w:noWrap w:val="0"/>
            <w:vAlign w:val="center"/>
          </w:tcPr>
          <w:p>
            <w:pPr>
              <w:adjustRightInd w:val="0"/>
              <w:snapToGrid w:val="0"/>
              <w:spacing w:line="276" w:lineRule="auto"/>
              <w:ind w:right="-50" w:rightChars="-24"/>
              <w:jc w:val="center"/>
              <w:rPr>
                <w:rFonts w:hint="eastAsia" w:ascii="宋体" w:hAnsi="宋体" w:cs="Times New Roman"/>
                <w:sz w:val="21"/>
                <w:szCs w:val="21"/>
              </w:rPr>
            </w:pPr>
            <w:r>
              <w:rPr>
                <w:rFonts w:hint="eastAsia" w:ascii="宋体" w:hAnsi="宋体" w:cs="Times New Roman"/>
                <w:sz w:val="21"/>
                <w:szCs w:val="21"/>
              </w:rPr>
              <w:t>合格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rPr>
        <w:tc>
          <w:tcPr>
            <w:tcW w:w="878" w:type="dxa"/>
            <w:vMerge w:val="continue"/>
            <w:noWrap w:val="0"/>
            <w:vAlign w:val="center"/>
          </w:tcPr>
          <w:p>
            <w:pPr>
              <w:widowControl/>
              <w:spacing w:line="360" w:lineRule="auto"/>
              <w:rPr>
                <w:rFonts w:hint="eastAsia" w:ascii="宋体" w:hAnsi="宋体"/>
                <w:sz w:val="24"/>
              </w:rPr>
            </w:pPr>
          </w:p>
        </w:tc>
        <w:tc>
          <w:tcPr>
            <w:tcW w:w="1684" w:type="dxa"/>
            <w:vMerge w:val="continue"/>
            <w:tcBorders>
              <w:right w:val="single" w:color="auto" w:sz="4" w:space="0"/>
            </w:tcBorders>
            <w:noWrap w:val="0"/>
            <w:vAlign w:val="center"/>
          </w:tcPr>
          <w:p>
            <w:pPr>
              <w:adjustRightInd w:val="0"/>
              <w:snapToGrid w:val="0"/>
              <w:spacing w:line="276" w:lineRule="auto"/>
              <w:ind w:right="-50" w:rightChars="-24"/>
              <w:rPr>
                <w:rFonts w:hint="eastAsia" w:ascii="宋体" w:hAnsi="宋体" w:cs="Times New Roman"/>
                <w:sz w:val="21"/>
                <w:szCs w:val="21"/>
              </w:rPr>
            </w:pPr>
          </w:p>
        </w:tc>
        <w:tc>
          <w:tcPr>
            <w:tcW w:w="5343" w:type="dxa"/>
            <w:tcBorders>
              <w:left w:val="single" w:color="auto" w:sz="4" w:space="0"/>
            </w:tcBorders>
            <w:noWrap w:val="0"/>
            <w:vAlign w:val="center"/>
          </w:tcPr>
          <w:p>
            <w:pPr>
              <w:adjustRightInd w:val="0"/>
              <w:snapToGrid w:val="0"/>
              <w:spacing w:line="276" w:lineRule="auto"/>
              <w:ind w:right="-50" w:rightChars="-24"/>
              <w:rPr>
                <w:rFonts w:hint="eastAsia" w:ascii="宋体" w:hAnsi="宋体" w:cs="Times New Roman"/>
                <w:sz w:val="21"/>
                <w:szCs w:val="21"/>
              </w:rPr>
            </w:pPr>
            <w:r>
              <w:rPr>
                <w:rFonts w:hint="eastAsia" w:ascii="宋体" w:hAnsi="宋体" w:cs="Times New Roman"/>
                <w:sz w:val="21"/>
                <w:szCs w:val="21"/>
                <w:lang w:val="en-US" w:eastAsia="zh-CN"/>
              </w:rPr>
              <w:t>工期</w:t>
            </w:r>
            <w:r>
              <w:rPr>
                <w:rFonts w:hint="eastAsia" w:ascii="宋体" w:hAnsi="宋体" w:cs="Times New Roman"/>
                <w:sz w:val="21"/>
                <w:szCs w:val="21"/>
              </w:rPr>
              <w:t>是否符合竞争性磋商文件的要求</w:t>
            </w:r>
          </w:p>
        </w:tc>
        <w:tc>
          <w:tcPr>
            <w:tcW w:w="1275" w:type="dxa"/>
            <w:noWrap w:val="0"/>
            <w:vAlign w:val="center"/>
          </w:tcPr>
          <w:p>
            <w:pPr>
              <w:adjustRightInd w:val="0"/>
              <w:snapToGrid w:val="0"/>
              <w:spacing w:line="276" w:lineRule="auto"/>
              <w:ind w:right="-50" w:rightChars="-24"/>
              <w:jc w:val="center"/>
              <w:rPr>
                <w:rFonts w:hint="eastAsia" w:ascii="宋体" w:hAnsi="宋体" w:cs="Times New Roman"/>
                <w:sz w:val="21"/>
                <w:szCs w:val="21"/>
              </w:rPr>
            </w:pPr>
            <w:r>
              <w:rPr>
                <w:rFonts w:hint="eastAsia" w:ascii="宋体" w:hAnsi="宋体" w:cs="Times New Roman"/>
                <w:sz w:val="21"/>
                <w:szCs w:val="21"/>
              </w:rPr>
              <w:t>合格</w:t>
            </w:r>
          </w:p>
        </w:tc>
      </w:tr>
    </w:tbl>
    <w:p>
      <w:pPr>
        <w:pStyle w:val="19"/>
        <w:jc w:val="left"/>
        <w:rPr>
          <w:rFonts w:hint="eastAsia" w:ascii="宋体" w:hAnsi="宋体" w:cs="宋体"/>
          <w:b/>
          <w:bCs/>
          <w:sz w:val="24"/>
          <w:szCs w:val="24"/>
          <w:lang w:val="en-US" w:eastAsia="zh-CN"/>
        </w:rPr>
      </w:pPr>
    </w:p>
    <w:p>
      <w:pPr>
        <w:pStyle w:val="19"/>
        <w:jc w:val="left"/>
        <w:rPr>
          <w:rFonts w:hint="eastAsia" w:ascii="宋体" w:hAnsi="宋体" w:cs="宋体"/>
          <w:b/>
          <w:bCs/>
          <w:sz w:val="24"/>
          <w:szCs w:val="24"/>
          <w:lang w:val="en-US" w:eastAsia="zh-CN"/>
        </w:rPr>
      </w:pPr>
    </w:p>
    <w:p>
      <w:pPr>
        <w:pStyle w:val="19"/>
        <w:jc w:val="left"/>
        <w:rPr>
          <w:rFonts w:hint="eastAsia" w:ascii="宋体" w:hAnsi="宋体" w:cs="宋体"/>
          <w:b/>
          <w:bCs/>
          <w:sz w:val="24"/>
          <w:szCs w:val="24"/>
          <w:lang w:val="en-US" w:eastAsia="zh-CN"/>
        </w:rPr>
      </w:pPr>
    </w:p>
    <w:p>
      <w:pPr>
        <w:pStyle w:val="19"/>
        <w:jc w:val="left"/>
        <w:rPr>
          <w:rFonts w:hint="eastAsia" w:ascii="宋体" w:hAnsi="宋体" w:cs="宋体"/>
          <w:b/>
          <w:bCs/>
          <w:sz w:val="24"/>
          <w:szCs w:val="24"/>
          <w:lang w:val="en-US" w:eastAsia="zh-CN"/>
        </w:rPr>
      </w:pPr>
    </w:p>
    <w:p>
      <w:pPr>
        <w:pStyle w:val="19"/>
        <w:jc w:val="left"/>
        <w:rPr>
          <w:rFonts w:hint="eastAsia" w:ascii="宋体" w:hAnsi="宋体" w:cs="宋体"/>
          <w:b/>
          <w:bCs/>
          <w:sz w:val="24"/>
          <w:szCs w:val="24"/>
          <w:lang w:val="en-US" w:eastAsia="zh-CN"/>
        </w:rPr>
      </w:pPr>
    </w:p>
    <w:p>
      <w:pPr>
        <w:pStyle w:val="19"/>
        <w:jc w:val="left"/>
        <w:rPr>
          <w:rFonts w:hint="eastAsia" w:ascii="宋体" w:hAnsi="宋体" w:cs="宋体"/>
          <w:b/>
          <w:bCs/>
          <w:sz w:val="24"/>
          <w:szCs w:val="24"/>
          <w:lang w:val="en-US" w:eastAsia="zh-CN"/>
        </w:rPr>
      </w:pPr>
    </w:p>
    <w:p>
      <w:pPr>
        <w:pStyle w:val="19"/>
        <w:jc w:val="left"/>
        <w:rPr>
          <w:rFonts w:hint="eastAsia" w:ascii="宋体" w:hAnsi="宋体" w:cs="宋体"/>
          <w:b/>
          <w:bCs/>
          <w:sz w:val="24"/>
          <w:szCs w:val="24"/>
          <w:lang w:val="en-US" w:eastAsia="zh-CN"/>
        </w:rPr>
      </w:pPr>
    </w:p>
    <w:p>
      <w:pPr>
        <w:pStyle w:val="19"/>
        <w:jc w:val="left"/>
        <w:rPr>
          <w:rFonts w:hint="eastAsia" w:ascii="宋体" w:hAnsi="宋体" w:cs="宋体"/>
          <w:b/>
          <w:bCs/>
          <w:sz w:val="24"/>
          <w:szCs w:val="24"/>
          <w:lang w:val="en-US" w:eastAsia="zh-CN"/>
        </w:rPr>
      </w:pPr>
    </w:p>
    <w:p>
      <w:pPr>
        <w:pStyle w:val="19"/>
        <w:jc w:val="left"/>
        <w:rPr>
          <w:rFonts w:hint="eastAsia" w:ascii="宋体" w:hAnsi="宋体" w:cs="宋体"/>
          <w:b/>
          <w:bCs/>
          <w:sz w:val="24"/>
          <w:szCs w:val="24"/>
          <w:lang w:val="en-US" w:eastAsia="zh-CN"/>
        </w:rPr>
      </w:pPr>
    </w:p>
    <w:p>
      <w:pPr>
        <w:pStyle w:val="19"/>
        <w:jc w:val="left"/>
        <w:rPr>
          <w:rFonts w:hint="eastAsia" w:ascii="宋体" w:hAnsi="宋体" w:cs="宋体"/>
          <w:b/>
          <w:bCs/>
          <w:sz w:val="24"/>
          <w:szCs w:val="24"/>
          <w:lang w:val="en-US" w:eastAsia="zh-CN"/>
        </w:rPr>
      </w:pPr>
    </w:p>
    <w:p>
      <w:pPr>
        <w:pStyle w:val="19"/>
        <w:jc w:val="left"/>
        <w:rPr>
          <w:rFonts w:hint="eastAsia" w:ascii="宋体" w:hAnsi="宋体" w:cs="宋体"/>
          <w:b/>
          <w:bCs/>
          <w:sz w:val="24"/>
          <w:szCs w:val="24"/>
          <w:lang w:val="en-US" w:eastAsia="zh-CN"/>
        </w:rPr>
      </w:pPr>
    </w:p>
    <w:p>
      <w:pPr>
        <w:pStyle w:val="19"/>
        <w:jc w:val="left"/>
        <w:rPr>
          <w:rFonts w:hint="eastAsia" w:ascii="宋体" w:hAnsi="宋体" w:cs="宋体"/>
          <w:b/>
          <w:bCs/>
          <w:sz w:val="24"/>
          <w:szCs w:val="24"/>
          <w:lang w:val="en-US" w:eastAsia="zh-CN"/>
        </w:rPr>
      </w:pPr>
    </w:p>
    <w:p>
      <w:pPr>
        <w:pStyle w:val="19"/>
        <w:jc w:val="left"/>
        <w:rPr>
          <w:rFonts w:hint="eastAsia" w:ascii="宋体" w:hAnsi="宋体" w:cs="宋体"/>
          <w:b/>
          <w:bCs/>
          <w:sz w:val="24"/>
          <w:szCs w:val="24"/>
          <w:lang w:val="en-US" w:eastAsia="zh-CN"/>
        </w:rPr>
      </w:pPr>
    </w:p>
    <w:p>
      <w:pPr>
        <w:pStyle w:val="19"/>
        <w:jc w:val="left"/>
        <w:rPr>
          <w:rFonts w:hint="eastAsia" w:ascii="宋体" w:hAnsi="宋体" w:cs="宋体"/>
          <w:b/>
          <w:bCs/>
          <w:sz w:val="24"/>
          <w:szCs w:val="24"/>
          <w:lang w:val="en-US" w:eastAsia="zh-CN"/>
        </w:rPr>
      </w:pPr>
    </w:p>
    <w:p>
      <w:pPr>
        <w:pStyle w:val="19"/>
        <w:jc w:val="left"/>
        <w:rPr>
          <w:rFonts w:hint="eastAsia" w:ascii="宋体" w:hAnsi="宋体" w:cs="宋体"/>
          <w:b/>
          <w:bCs/>
          <w:sz w:val="24"/>
          <w:szCs w:val="24"/>
          <w:lang w:val="en-US" w:eastAsia="zh-CN"/>
        </w:rPr>
      </w:pPr>
    </w:p>
    <w:p>
      <w:pPr>
        <w:pStyle w:val="19"/>
        <w:jc w:val="left"/>
        <w:rPr>
          <w:rFonts w:hint="eastAsia" w:ascii="宋体" w:hAnsi="宋体" w:cs="宋体"/>
          <w:b/>
          <w:bCs/>
          <w:sz w:val="24"/>
          <w:szCs w:val="24"/>
          <w:lang w:val="en-US" w:eastAsia="zh-CN"/>
        </w:rPr>
      </w:pPr>
    </w:p>
    <w:p>
      <w:pPr>
        <w:pStyle w:val="19"/>
        <w:jc w:val="left"/>
        <w:rPr>
          <w:rFonts w:hint="eastAsia" w:ascii="宋体" w:hAnsi="宋体" w:cs="宋体"/>
          <w:b/>
          <w:bCs/>
          <w:sz w:val="24"/>
          <w:szCs w:val="24"/>
          <w:lang w:val="en-US" w:eastAsia="zh-CN"/>
        </w:rPr>
      </w:pPr>
    </w:p>
    <w:p>
      <w:pPr>
        <w:pStyle w:val="19"/>
        <w:jc w:val="left"/>
        <w:rPr>
          <w:rFonts w:hint="eastAsia" w:ascii="宋体" w:hAnsi="宋体" w:cs="宋体"/>
          <w:b/>
          <w:bCs/>
          <w:sz w:val="24"/>
          <w:szCs w:val="24"/>
          <w:lang w:val="en-US" w:eastAsia="zh-CN"/>
        </w:rPr>
      </w:pPr>
    </w:p>
    <w:p>
      <w:pPr>
        <w:pStyle w:val="19"/>
        <w:jc w:val="left"/>
        <w:rPr>
          <w:rFonts w:hint="eastAsia" w:ascii="宋体" w:hAnsi="宋体" w:cs="宋体"/>
          <w:b/>
          <w:bCs/>
          <w:sz w:val="24"/>
          <w:szCs w:val="24"/>
          <w:lang w:val="en-US" w:eastAsia="zh-CN"/>
        </w:rPr>
      </w:pPr>
      <w:r>
        <w:rPr>
          <w:rFonts w:hint="eastAsia" w:ascii="宋体" w:hAnsi="宋体" w:cs="宋体"/>
          <w:b/>
          <w:bCs/>
          <w:sz w:val="24"/>
          <w:szCs w:val="24"/>
          <w:lang w:val="en-US" w:eastAsia="zh-CN"/>
        </w:rPr>
        <w:t>附件3：</w:t>
      </w:r>
    </w:p>
    <w:p>
      <w:pPr>
        <w:pStyle w:val="19"/>
        <w:jc w:val="center"/>
        <w:rPr>
          <w:rFonts w:hint="eastAsia" w:ascii="宋体" w:hAnsi="宋体" w:cs="宋体"/>
          <w:b/>
          <w:bCs/>
          <w:sz w:val="24"/>
          <w:szCs w:val="24"/>
          <w:lang w:val="en-US" w:eastAsia="zh-CN"/>
        </w:rPr>
      </w:pPr>
      <w:r>
        <w:rPr>
          <w:rFonts w:hint="eastAsia" w:ascii="宋体" w:hAnsi="宋体" w:cs="宋体"/>
          <w:b/>
          <w:bCs/>
          <w:sz w:val="24"/>
          <w:szCs w:val="24"/>
          <w:highlight w:val="none"/>
        </w:rPr>
        <w:t>综合评分明细</w:t>
      </w:r>
      <w:r>
        <w:rPr>
          <w:rFonts w:hint="eastAsia" w:ascii="宋体" w:hAnsi="宋体" w:cs="宋体"/>
          <w:b/>
          <w:bCs/>
          <w:sz w:val="24"/>
          <w:szCs w:val="24"/>
          <w:highlight w:val="none"/>
          <w:lang w:val="en-US" w:eastAsia="zh-CN"/>
        </w:rPr>
        <w:t>表</w:t>
      </w:r>
    </w:p>
    <w:tbl>
      <w:tblPr>
        <w:tblStyle w:val="28"/>
        <w:tblpPr w:leftFromText="180" w:rightFromText="180" w:vertAnchor="text" w:horzAnchor="page" w:tblpX="1506" w:tblpY="896"/>
        <w:tblOverlap w:val="never"/>
        <w:tblW w:w="87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5"/>
        <w:gridCol w:w="1095"/>
        <w:gridCol w:w="6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155" w:type="dxa"/>
            <w:vAlign w:val="center"/>
          </w:tcPr>
          <w:p>
            <w:pPr>
              <w:tabs>
                <w:tab w:val="left" w:pos="709"/>
              </w:tabs>
              <w:adjustRightInd w:val="0"/>
              <w:snapToGrid w:val="0"/>
              <w:spacing w:line="360" w:lineRule="auto"/>
              <w:jc w:val="center"/>
              <w:textAlignment w:val="baseline"/>
              <w:rPr>
                <w:rFonts w:ascii="宋体" w:hAnsi="宋体" w:cs="宋体"/>
                <w:b/>
                <w:bCs/>
                <w:szCs w:val="21"/>
              </w:rPr>
            </w:pPr>
            <w:r>
              <w:rPr>
                <w:rFonts w:hint="eastAsia" w:ascii="宋体" w:hAnsi="宋体" w:cs="宋体"/>
                <w:b/>
                <w:bCs/>
                <w:szCs w:val="21"/>
              </w:rPr>
              <w:t>评审因素</w:t>
            </w:r>
          </w:p>
        </w:tc>
        <w:tc>
          <w:tcPr>
            <w:tcW w:w="1095" w:type="dxa"/>
            <w:vAlign w:val="center"/>
          </w:tcPr>
          <w:p>
            <w:pPr>
              <w:tabs>
                <w:tab w:val="left" w:pos="709"/>
              </w:tabs>
              <w:adjustRightInd w:val="0"/>
              <w:snapToGrid w:val="0"/>
              <w:spacing w:line="360" w:lineRule="auto"/>
              <w:jc w:val="center"/>
              <w:textAlignment w:val="baseline"/>
              <w:rPr>
                <w:rFonts w:ascii="宋体" w:hAnsi="宋体" w:cs="宋体"/>
                <w:b/>
                <w:bCs/>
                <w:szCs w:val="21"/>
              </w:rPr>
            </w:pPr>
            <w:r>
              <w:rPr>
                <w:rFonts w:hint="eastAsia" w:ascii="宋体" w:hAnsi="宋体" w:cs="宋体"/>
                <w:b/>
                <w:bCs/>
                <w:szCs w:val="21"/>
              </w:rPr>
              <w:t>分值</w:t>
            </w:r>
          </w:p>
        </w:tc>
        <w:tc>
          <w:tcPr>
            <w:tcW w:w="6535" w:type="dxa"/>
            <w:vAlign w:val="center"/>
          </w:tcPr>
          <w:p>
            <w:pPr>
              <w:tabs>
                <w:tab w:val="left" w:pos="709"/>
              </w:tabs>
              <w:adjustRightInd w:val="0"/>
              <w:snapToGrid w:val="0"/>
              <w:spacing w:line="360" w:lineRule="auto"/>
              <w:ind w:firstLine="422" w:firstLineChars="200"/>
              <w:jc w:val="center"/>
              <w:textAlignment w:val="baseline"/>
              <w:rPr>
                <w:rFonts w:ascii="宋体" w:hAnsi="宋体" w:cs="宋体"/>
                <w:b/>
                <w:bCs/>
                <w:szCs w:val="21"/>
              </w:rPr>
            </w:pPr>
            <w:r>
              <w:rPr>
                <w:rFonts w:hint="eastAsia" w:ascii="宋体" w:hAnsi="宋体" w:cs="宋体"/>
                <w:b/>
                <w:bCs/>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9" w:hRule="atLeast"/>
        </w:trPr>
        <w:tc>
          <w:tcPr>
            <w:tcW w:w="2250" w:type="dxa"/>
            <w:gridSpan w:val="2"/>
            <w:vAlign w:val="center"/>
          </w:tcPr>
          <w:p>
            <w:pPr>
              <w:tabs>
                <w:tab w:val="left" w:pos="420"/>
                <w:tab w:val="center" w:pos="4153"/>
                <w:tab w:val="right" w:pos="8306"/>
              </w:tabs>
              <w:adjustRightInd w:val="0"/>
              <w:spacing w:line="360" w:lineRule="auto"/>
              <w:jc w:val="center"/>
              <w:rPr>
                <w:rFonts w:ascii="宋体" w:hAnsi="宋体" w:cs="宋体"/>
                <w:kern w:val="0"/>
                <w:szCs w:val="21"/>
              </w:rPr>
            </w:pPr>
          </w:p>
          <w:p>
            <w:pPr>
              <w:tabs>
                <w:tab w:val="left" w:pos="420"/>
                <w:tab w:val="center" w:pos="4153"/>
                <w:tab w:val="right" w:pos="8306"/>
              </w:tabs>
              <w:adjustRightInd w:val="0"/>
              <w:spacing w:line="360" w:lineRule="auto"/>
              <w:jc w:val="center"/>
              <w:rPr>
                <w:rFonts w:ascii="宋体" w:hAnsi="宋体" w:cs="宋体"/>
                <w:kern w:val="0"/>
                <w:szCs w:val="21"/>
              </w:rPr>
            </w:pPr>
            <w:r>
              <w:rPr>
                <w:rFonts w:hint="eastAsia" w:ascii="宋体" w:hAnsi="宋体" w:cs="宋体"/>
                <w:kern w:val="0"/>
                <w:szCs w:val="21"/>
              </w:rPr>
              <w:t>磋商报价（</w:t>
            </w:r>
            <w:r>
              <w:rPr>
                <w:rFonts w:hint="eastAsia" w:ascii="宋体" w:hAnsi="宋体" w:cs="宋体"/>
                <w:bCs/>
                <w:szCs w:val="21"/>
              </w:rPr>
              <w:t>20</w:t>
            </w:r>
            <w:r>
              <w:rPr>
                <w:rFonts w:hint="eastAsia" w:ascii="宋体" w:hAnsi="宋体" w:cs="宋体"/>
                <w:szCs w:val="21"/>
              </w:rPr>
              <w:t>分）</w:t>
            </w:r>
          </w:p>
          <w:p>
            <w:pPr>
              <w:spacing w:line="360" w:lineRule="auto"/>
              <w:jc w:val="center"/>
              <w:rPr>
                <w:rFonts w:ascii="宋体" w:hAnsi="宋体" w:cs="宋体"/>
                <w:szCs w:val="21"/>
              </w:rPr>
            </w:pPr>
          </w:p>
        </w:tc>
        <w:tc>
          <w:tcPr>
            <w:tcW w:w="6535" w:type="dxa"/>
            <w:vAlign w:val="center"/>
          </w:tcPr>
          <w:p>
            <w:pPr>
              <w:spacing w:line="360" w:lineRule="auto"/>
              <w:rPr>
                <w:rFonts w:ascii="宋体" w:hAnsi="宋体" w:cs="宋体"/>
                <w:snapToGrid w:val="0"/>
                <w:kern w:val="0"/>
                <w:szCs w:val="21"/>
              </w:rPr>
            </w:pPr>
            <w:r>
              <w:rPr>
                <w:rFonts w:hint="eastAsia" w:ascii="宋体" w:hAnsi="宋体" w:cs="宋体"/>
                <w:snapToGrid w:val="0"/>
                <w:kern w:val="0"/>
                <w:szCs w:val="21"/>
              </w:rPr>
              <w:t>满足磋商文件要求且最后综合报价最低的供应商的价格为磋商基准价，其价格分为满分。其他供应商的价格分统一按照下列公式计算：</w:t>
            </w:r>
          </w:p>
          <w:p>
            <w:pPr>
              <w:snapToGrid w:val="0"/>
              <w:spacing w:line="360" w:lineRule="auto"/>
              <w:rPr>
                <w:rFonts w:ascii="宋体" w:hAnsi="宋体" w:cs="宋体"/>
                <w:snapToGrid w:val="0"/>
                <w:kern w:val="0"/>
                <w:szCs w:val="21"/>
              </w:rPr>
            </w:pPr>
            <w:r>
              <w:rPr>
                <w:rFonts w:hint="eastAsia" w:ascii="宋体" w:hAnsi="宋体" w:cs="宋体"/>
                <w:szCs w:val="21"/>
              </w:rPr>
              <w:t>磋商报价得分=</w:t>
            </w:r>
            <w:r>
              <w:rPr>
                <w:rFonts w:hint="eastAsia" w:ascii="宋体" w:hAnsi="宋体" w:cs="宋体"/>
                <w:snapToGrid w:val="0"/>
                <w:kern w:val="0"/>
                <w:szCs w:val="21"/>
              </w:rPr>
              <w:t>（磋商基准价/最后磋商报价）×价格权值（20%）×100</w:t>
            </w:r>
          </w:p>
          <w:p>
            <w:pPr>
              <w:snapToGrid w:val="0"/>
              <w:spacing w:line="360" w:lineRule="auto"/>
              <w:rPr>
                <w:rFonts w:ascii="宋体" w:hAnsi="宋体" w:cs="宋体"/>
                <w:szCs w:val="21"/>
              </w:rPr>
            </w:pPr>
            <w:r>
              <w:rPr>
                <w:rFonts w:hint="eastAsia" w:ascii="宋体" w:hAnsi="宋体" w:cs="宋体"/>
                <w:szCs w:val="21"/>
              </w:rPr>
              <w:t>符合磋商文件规定的小微企业、监狱企业、</w:t>
            </w:r>
            <w:r>
              <w:rPr>
                <w:rFonts w:hint="eastAsia" w:ascii="宋体" w:hAnsi="宋体" w:cs="宋体"/>
                <w:szCs w:val="21"/>
                <w:lang w:val="zh-CN"/>
              </w:rPr>
              <w:t>残疾人</w:t>
            </w:r>
            <w:r>
              <w:rPr>
                <w:rFonts w:hint="eastAsia" w:ascii="宋体" w:hAnsi="宋体" w:cs="宋体"/>
                <w:szCs w:val="21"/>
              </w:rPr>
              <w:t>福利企业优惠条件的供应商，价格给予6%的扣除，用扣除后的价格参与评审。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50" w:type="dxa"/>
            <w:gridSpan w:val="2"/>
            <w:vMerge w:val="restart"/>
            <w:vAlign w:val="center"/>
          </w:tcPr>
          <w:p>
            <w:pPr>
              <w:snapToGrid w:val="0"/>
              <w:spacing w:line="360" w:lineRule="auto"/>
              <w:jc w:val="center"/>
              <w:rPr>
                <w:rFonts w:ascii="宋体" w:hAnsi="宋体" w:cs="宋体"/>
                <w:szCs w:val="21"/>
                <w:lang w:val="zh-CN"/>
              </w:rPr>
            </w:pPr>
            <w:r>
              <w:rPr>
                <w:rFonts w:hint="eastAsia" w:ascii="宋体" w:hAnsi="宋体" w:cs="宋体"/>
                <w:szCs w:val="21"/>
                <w:lang w:val="zh-CN"/>
              </w:rPr>
              <w:t>技术方案</w:t>
            </w:r>
          </w:p>
          <w:p>
            <w:pPr>
              <w:snapToGrid w:val="0"/>
              <w:spacing w:line="360" w:lineRule="auto"/>
              <w:jc w:val="center"/>
              <w:rPr>
                <w:rFonts w:ascii="宋体" w:hAnsi="宋体" w:cs="宋体"/>
                <w:szCs w:val="21"/>
                <w:lang w:val="zh-CN"/>
              </w:rPr>
            </w:pPr>
            <w:r>
              <w:rPr>
                <w:rFonts w:hint="eastAsia" w:ascii="宋体" w:hAnsi="宋体" w:cs="宋体"/>
                <w:szCs w:val="21"/>
                <w:lang w:val="zh-CN"/>
              </w:rPr>
              <w:t>（</w:t>
            </w:r>
            <w:r>
              <w:rPr>
                <w:rFonts w:hint="eastAsia" w:ascii="宋体" w:hAnsi="宋体" w:cs="宋体"/>
                <w:szCs w:val="21"/>
              </w:rPr>
              <w:t>65</w:t>
            </w:r>
            <w:r>
              <w:rPr>
                <w:rFonts w:hint="eastAsia" w:ascii="宋体" w:hAnsi="宋体" w:cs="宋体"/>
                <w:szCs w:val="21"/>
                <w:lang w:val="zh-CN"/>
              </w:rPr>
              <w:t>分）</w:t>
            </w:r>
          </w:p>
        </w:tc>
        <w:tc>
          <w:tcPr>
            <w:tcW w:w="6535" w:type="dxa"/>
            <w:vAlign w:val="center"/>
          </w:tcPr>
          <w:p>
            <w:pPr>
              <w:snapToGrid w:val="0"/>
              <w:spacing w:line="360" w:lineRule="auto"/>
              <w:rPr>
                <w:rFonts w:ascii="宋体" w:hAnsi="宋体" w:cs="宋体"/>
                <w:szCs w:val="21"/>
                <w:lang w:val="zh-CN"/>
              </w:rPr>
            </w:pPr>
            <w:r>
              <w:rPr>
                <w:rFonts w:hint="eastAsia" w:ascii="宋体" w:hAnsi="宋体" w:cs="宋体"/>
                <w:szCs w:val="21"/>
              </w:rPr>
              <w:t>施工方案。（0～10分）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2250" w:type="dxa"/>
            <w:gridSpan w:val="2"/>
            <w:vMerge w:val="continue"/>
            <w:vAlign w:val="center"/>
          </w:tcPr>
          <w:p>
            <w:pPr>
              <w:snapToGrid w:val="0"/>
              <w:spacing w:line="360" w:lineRule="auto"/>
              <w:jc w:val="center"/>
              <w:rPr>
                <w:rFonts w:ascii="宋体" w:hAnsi="宋体" w:cs="宋体"/>
                <w:szCs w:val="21"/>
                <w:lang w:val="zh-CN"/>
              </w:rPr>
            </w:pPr>
          </w:p>
        </w:tc>
        <w:tc>
          <w:tcPr>
            <w:tcW w:w="6535" w:type="dxa"/>
            <w:vAlign w:val="center"/>
          </w:tcPr>
          <w:p>
            <w:pPr>
              <w:snapToGrid w:val="0"/>
              <w:spacing w:line="360" w:lineRule="auto"/>
              <w:rPr>
                <w:rFonts w:ascii="宋体" w:hAnsi="宋体" w:cs="宋体"/>
                <w:szCs w:val="21"/>
              </w:rPr>
            </w:pPr>
            <w:r>
              <w:rPr>
                <w:rFonts w:hint="eastAsia" w:ascii="宋体" w:hAnsi="宋体" w:cs="宋体"/>
                <w:szCs w:val="21"/>
              </w:rPr>
              <w:t>确保质量的技术组织措施。（0～10分）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2250" w:type="dxa"/>
            <w:gridSpan w:val="2"/>
            <w:vMerge w:val="continue"/>
            <w:vAlign w:val="center"/>
          </w:tcPr>
          <w:p>
            <w:pPr>
              <w:snapToGrid w:val="0"/>
              <w:spacing w:line="360" w:lineRule="auto"/>
              <w:jc w:val="center"/>
              <w:rPr>
                <w:rFonts w:ascii="宋体" w:hAnsi="宋体" w:cs="宋体"/>
                <w:szCs w:val="21"/>
                <w:lang w:val="zh-CN"/>
              </w:rPr>
            </w:pPr>
          </w:p>
        </w:tc>
        <w:tc>
          <w:tcPr>
            <w:tcW w:w="6535" w:type="dxa"/>
            <w:vAlign w:val="center"/>
          </w:tcPr>
          <w:p>
            <w:pPr>
              <w:snapToGrid w:val="0"/>
              <w:spacing w:line="360" w:lineRule="auto"/>
              <w:rPr>
                <w:rFonts w:ascii="宋体" w:hAnsi="宋体" w:cs="宋体"/>
                <w:szCs w:val="21"/>
              </w:rPr>
            </w:pPr>
            <w:r>
              <w:rPr>
                <w:rFonts w:hint="eastAsia" w:ascii="宋体" w:hAnsi="宋体" w:cs="宋体"/>
                <w:szCs w:val="21"/>
              </w:rPr>
              <w:t>确保安全生产的技术组织措施。（0～10分）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2250" w:type="dxa"/>
            <w:gridSpan w:val="2"/>
            <w:vMerge w:val="continue"/>
            <w:vAlign w:val="center"/>
          </w:tcPr>
          <w:p>
            <w:pPr>
              <w:snapToGrid w:val="0"/>
              <w:spacing w:line="360" w:lineRule="auto"/>
              <w:jc w:val="center"/>
              <w:rPr>
                <w:rFonts w:ascii="宋体" w:hAnsi="宋体" w:cs="宋体"/>
                <w:szCs w:val="21"/>
                <w:lang w:val="zh-CN"/>
              </w:rPr>
            </w:pPr>
          </w:p>
        </w:tc>
        <w:tc>
          <w:tcPr>
            <w:tcW w:w="6535" w:type="dxa"/>
            <w:vAlign w:val="center"/>
          </w:tcPr>
          <w:p>
            <w:pPr>
              <w:snapToGrid w:val="0"/>
              <w:spacing w:line="360" w:lineRule="auto"/>
              <w:rPr>
                <w:rFonts w:ascii="宋体" w:hAnsi="宋体" w:cs="宋体"/>
                <w:szCs w:val="21"/>
              </w:rPr>
            </w:pPr>
            <w:r>
              <w:rPr>
                <w:rFonts w:hint="eastAsia" w:ascii="宋体" w:hAnsi="宋体" w:cs="宋体"/>
                <w:szCs w:val="21"/>
              </w:rPr>
              <w:t>确保文明施工的技术组织措施。（0～10分）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2250" w:type="dxa"/>
            <w:gridSpan w:val="2"/>
            <w:vMerge w:val="continue"/>
            <w:vAlign w:val="center"/>
          </w:tcPr>
          <w:p>
            <w:pPr>
              <w:snapToGrid w:val="0"/>
              <w:spacing w:line="360" w:lineRule="auto"/>
              <w:jc w:val="center"/>
              <w:rPr>
                <w:rFonts w:ascii="宋体" w:hAnsi="宋体" w:cs="宋体"/>
                <w:szCs w:val="21"/>
                <w:lang w:val="zh-CN"/>
              </w:rPr>
            </w:pPr>
          </w:p>
        </w:tc>
        <w:tc>
          <w:tcPr>
            <w:tcW w:w="6535" w:type="dxa"/>
            <w:vAlign w:val="center"/>
          </w:tcPr>
          <w:p>
            <w:pPr>
              <w:snapToGrid w:val="0"/>
              <w:spacing w:line="360" w:lineRule="auto"/>
              <w:rPr>
                <w:rFonts w:ascii="宋体" w:hAnsi="宋体" w:cs="宋体"/>
                <w:szCs w:val="21"/>
              </w:rPr>
            </w:pPr>
            <w:r>
              <w:rPr>
                <w:rFonts w:hint="eastAsia" w:ascii="宋体" w:hAnsi="宋体" w:cs="宋体"/>
                <w:szCs w:val="21"/>
                <w:lang w:val="zh-CN"/>
              </w:rPr>
              <w:t>确保环境保护（噪音、治污减霾和防尘污染）的技术组织措施。</w:t>
            </w:r>
            <w:r>
              <w:rPr>
                <w:rFonts w:hint="eastAsia" w:ascii="宋体" w:hAnsi="宋体" w:cs="宋体"/>
                <w:szCs w:val="21"/>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2250" w:type="dxa"/>
            <w:gridSpan w:val="2"/>
            <w:vMerge w:val="continue"/>
            <w:vAlign w:val="center"/>
          </w:tcPr>
          <w:p>
            <w:pPr>
              <w:snapToGrid w:val="0"/>
              <w:spacing w:line="360" w:lineRule="auto"/>
              <w:jc w:val="center"/>
              <w:rPr>
                <w:rFonts w:ascii="宋体" w:hAnsi="宋体" w:cs="宋体"/>
                <w:szCs w:val="21"/>
                <w:lang w:val="zh-CN"/>
              </w:rPr>
            </w:pPr>
          </w:p>
        </w:tc>
        <w:tc>
          <w:tcPr>
            <w:tcW w:w="6535" w:type="dxa"/>
            <w:vAlign w:val="center"/>
          </w:tcPr>
          <w:p>
            <w:pPr>
              <w:snapToGrid w:val="0"/>
              <w:spacing w:line="360" w:lineRule="auto"/>
              <w:rPr>
                <w:rFonts w:ascii="宋体" w:hAnsi="宋体" w:cs="宋体"/>
                <w:szCs w:val="21"/>
                <w:lang w:val="zh-CN"/>
              </w:rPr>
            </w:pPr>
            <w:r>
              <w:rPr>
                <w:rFonts w:hint="eastAsia" w:ascii="宋体" w:hAnsi="宋体" w:cs="宋体"/>
                <w:szCs w:val="21"/>
                <w:lang w:val="zh-CN"/>
              </w:rPr>
              <w:t>确保工期的技术组织措施。</w:t>
            </w:r>
            <w:r>
              <w:rPr>
                <w:rFonts w:hint="eastAsia" w:ascii="宋体" w:hAnsi="宋体" w:cs="宋体"/>
                <w:szCs w:val="21"/>
              </w:rPr>
              <w:t>（0～10分）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2250" w:type="dxa"/>
            <w:gridSpan w:val="2"/>
            <w:vMerge w:val="continue"/>
            <w:vAlign w:val="center"/>
          </w:tcPr>
          <w:p>
            <w:pPr>
              <w:snapToGrid w:val="0"/>
              <w:spacing w:line="360" w:lineRule="auto"/>
              <w:jc w:val="center"/>
              <w:rPr>
                <w:rFonts w:ascii="宋体" w:hAnsi="宋体" w:cs="宋体"/>
                <w:szCs w:val="21"/>
                <w:lang w:val="zh-CN"/>
              </w:rPr>
            </w:pPr>
          </w:p>
        </w:tc>
        <w:tc>
          <w:tcPr>
            <w:tcW w:w="6535" w:type="dxa"/>
            <w:vAlign w:val="center"/>
          </w:tcPr>
          <w:p>
            <w:pPr>
              <w:snapToGrid w:val="0"/>
              <w:spacing w:line="360" w:lineRule="auto"/>
              <w:rPr>
                <w:rFonts w:ascii="宋体" w:hAnsi="宋体" w:cs="宋体"/>
                <w:szCs w:val="21"/>
                <w:lang w:val="zh-CN"/>
              </w:rPr>
            </w:pPr>
            <w:r>
              <w:rPr>
                <w:rFonts w:hint="eastAsia" w:ascii="宋体" w:hAnsi="宋体" w:cs="宋体"/>
                <w:szCs w:val="21"/>
              </w:rPr>
              <w:t>项目机具、设备拟投入计划及措施（材料、机械等）</w:t>
            </w:r>
            <w:r>
              <w:rPr>
                <w:rFonts w:hint="eastAsia" w:ascii="宋体" w:hAnsi="宋体" w:cs="宋体"/>
                <w:szCs w:val="21"/>
                <w:lang w:val="zh-CN"/>
              </w:rPr>
              <w:t>。</w:t>
            </w:r>
            <w:r>
              <w:rPr>
                <w:rFonts w:hint="eastAsia" w:ascii="宋体" w:hAnsi="宋体" w:cs="宋体"/>
                <w:szCs w:val="21"/>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250" w:type="dxa"/>
            <w:gridSpan w:val="2"/>
            <w:vMerge w:val="continue"/>
            <w:vAlign w:val="center"/>
          </w:tcPr>
          <w:p>
            <w:pPr>
              <w:snapToGrid w:val="0"/>
              <w:spacing w:line="360" w:lineRule="auto"/>
              <w:jc w:val="center"/>
              <w:rPr>
                <w:rFonts w:ascii="宋体" w:hAnsi="宋体" w:cs="宋体"/>
                <w:szCs w:val="21"/>
                <w:lang w:val="zh-CN"/>
              </w:rPr>
            </w:pPr>
          </w:p>
        </w:tc>
        <w:tc>
          <w:tcPr>
            <w:tcW w:w="6535" w:type="dxa"/>
            <w:vAlign w:val="center"/>
          </w:tcPr>
          <w:p>
            <w:pPr>
              <w:snapToGrid w:val="0"/>
              <w:spacing w:line="360" w:lineRule="auto"/>
              <w:rPr>
                <w:rFonts w:ascii="宋体" w:hAnsi="宋体" w:cs="宋体"/>
                <w:szCs w:val="21"/>
              </w:rPr>
            </w:pPr>
            <w:r>
              <w:rPr>
                <w:rFonts w:hint="eastAsia" w:ascii="宋体" w:hAnsi="宋体" w:cs="宋体"/>
                <w:szCs w:val="21"/>
                <w:lang w:val="zh-CN"/>
              </w:rPr>
              <w:t>项目</w:t>
            </w:r>
            <w:r>
              <w:rPr>
                <w:rFonts w:hint="eastAsia" w:ascii="宋体" w:hAnsi="宋体" w:cs="宋体"/>
                <w:szCs w:val="21"/>
              </w:rPr>
              <w:t>拟投入管理人员、劳动力</w:t>
            </w:r>
            <w:r>
              <w:rPr>
                <w:rFonts w:hint="eastAsia" w:ascii="宋体" w:hAnsi="宋体" w:cs="宋体"/>
                <w:szCs w:val="21"/>
                <w:lang w:val="zh-CN"/>
              </w:rPr>
              <w:t>配备</w:t>
            </w:r>
            <w:r>
              <w:rPr>
                <w:rFonts w:hint="eastAsia" w:ascii="宋体" w:hAnsi="宋体" w:cs="宋体"/>
                <w:szCs w:val="21"/>
              </w:rPr>
              <w:t>安排。（0～5分）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trPr>
        <w:tc>
          <w:tcPr>
            <w:tcW w:w="2250" w:type="dxa"/>
            <w:gridSpan w:val="2"/>
            <w:vAlign w:val="center"/>
          </w:tcPr>
          <w:p>
            <w:pPr>
              <w:snapToGrid w:val="0"/>
              <w:spacing w:line="360" w:lineRule="auto"/>
              <w:jc w:val="center"/>
              <w:rPr>
                <w:rFonts w:ascii="宋体" w:hAnsi="宋体" w:cs="宋体"/>
                <w:szCs w:val="21"/>
                <w:lang w:val="zh-CN"/>
              </w:rPr>
            </w:pPr>
            <w:r>
              <w:rPr>
                <w:rFonts w:hint="eastAsia" w:ascii="宋体" w:hAnsi="宋体" w:cs="宋体"/>
                <w:szCs w:val="21"/>
                <w:lang w:val="zh-CN"/>
              </w:rPr>
              <w:t>承诺</w:t>
            </w:r>
          </w:p>
          <w:p>
            <w:pPr>
              <w:snapToGrid w:val="0"/>
              <w:spacing w:line="360" w:lineRule="auto"/>
              <w:jc w:val="center"/>
              <w:rPr>
                <w:rFonts w:ascii="宋体" w:hAnsi="宋体" w:cs="宋体"/>
                <w:szCs w:val="21"/>
                <w:lang w:val="zh-CN"/>
              </w:rPr>
            </w:pPr>
            <w:r>
              <w:rPr>
                <w:rFonts w:hint="eastAsia" w:ascii="宋体" w:hAnsi="宋体" w:cs="宋体"/>
                <w:szCs w:val="21"/>
                <w:lang w:val="zh-CN"/>
              </w:rPr>
              <w:t>（</w:t>
            </w:r>
            <w:r>
              <w:rPr>
                <w:rFonts w:hint="eastAsia" w:ascii="宋体" w:hAnsi="宋体" w:cs="宋体"/>
                <w:szCs w:val="21"/>
              </w:rPr>
              <w:t>5</w:t>
            </w:r>
            <w:r>
              <w:rPr>
                <w:rFonts w:hint="eastAsia" w:ascii="宋体" w:hAnsi="宋体" w:cs="宋体"/>
                <w:szCs w:val="21"/>
                <w:lang w:val="zh-CN"/>
              </w:rPr>
              <w:t>分）</w:t>
            </w:r>
          </w:p>
        </w:tc>
        <w:tc>
          <w:tcPr>
            <w:tcW w:w="6535" w:type="dxa"/>
            <w:vAlign w:val="center"/>
          </w:tcPr>
          <w:p>
            <w:pPr>
              <w:numPr>
                <w:ilvl w:val="0"/>
                <w:numId w:val="6"/>
              </w:numPr>
              <w:snapToGrid w:val="0"/>
              <w:spacing w:line="360" w:lineRule="auto"/>
              <w:rPr>
                <w:rFonts w:hint="eastAsia" w:ascii="宋体" w:hAnsi="宋体" w:cs="宋体"/>
                <w:szCs w:val="21"/>
                <w:lang w:val="zh-CN"/>
              </w:rPr>
            </w:pPr>
            <w:r>
              <w:rPr>
                <w:rFonts w:hint="eastAsia" w:ascii="宋体" w:hAnsi="宋体" w:cs="宋体"/>
                <w:szCs w:val="21"/>
                <w:lang w:val="zh-CN"/>
              </w:rPr>
              <w:t>完全承诺磋商文件和合同条款，并针对本项目实际需求提供实质性承诺或合理化建议，确有利于本次招标，根据优劣程度计0-3分；</w:t>
            </w:r>
          </w:p>
          <w:p>
            <w:pPr>
              <w:numPr>
                <w:ilvl w:val="0"/>
                <w:numId w:val="0"/>
              </w:numPr>
              <w:snapToGrid w:val="0"/>
              <w:spacing w:line="360" w:lineRule="auto"/>
              <w:rPr>
                <w:rFonts w:ascii="宋体" w:hAnsi="宋体" w:cs="宋体"/>
                <w:szCs w:val="21"/>
                <w:lang w:val="zh-CN"/>
              </w:rPr>
            </w:pPr>
            <w:r>
              <w:rPr>
                <w:rFonts w:hint="eastAsia" w:ascii="宋体" w:hAnsi="宋体" w:cs="宋体"/>
                <w:szCs w:val="21"/>
                <w:lang w:val="zh-CN"/>
              </w:rPr>
              <w:t xml:space="preserve">2、服务承诺方案，计0-2分。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trPr>
        <w:tc>
          <w:tcPr>
            <w:tcW w:w="2250" w:type="dxa"/>
            <w:gridSpan w:val="2"/>
            <w:vAlign w:val="center"/>
          </w:tcPr>
          <w:p>
            <w:pPr>
              <w:snapToGrid w:val="0"/>
              <w:spacing w:line="360" w:lineRule="auto"/>
              <w:jc w:val="center"/>
              <w:rPr>
                <w:rFonts w:ascii="宋体" w:hAnsi="宋体" w:cs="宋体"/>
                <w:szCs w:val="21"/>
                <w:lang w:val="zh-CN"/>
              </w:rPr>
            </w:pPr>
            <w:r>
              <w:rPr>
                <w:rFonts w:hint="eastAsia" w:ascii="宋体" w:hAnsi="宋体" w:cs="宋体"/>
                <w:szCs w:val="21"/>
                <w:lang w:val="zh-CN"/>
              </w:rPr>
              <w:t>业绩</w:t>
            </w:r>
          </w:p>
          <w:p>
            <w:pPr>
              <w:snapToGrid w:val="0"/>
              <w:spacing w:line="360" w:lineRule="auto"/>
              <w:jc w:val="center"/>
              <w:rPr>
                <w:rFonts w:ascii="宋体" w:hAnsi="宋体" w:cs="宋体"/>
                <w:szCs w:val="21"/>
              </w:rPr>
            </w:pPr>
            <w:r>
              <w:rPr>
                <w:rFonts w:hint="eastAsia" w:ascii="宋体" w:hAnsi="宋体" w:cs="宋体"/>
                <w:szCs w:val="21"/>
                <w:lang w:val="zh-CN"/>
              </w:rPr>
              <w:t>（10分）</w:t>
            </w:r>
          </w:p>
        </w:tc>
        <w:tc>
          <w:tcPr>
            <w:tcW w:w="6535" w:type="dxa"/>
            <w:vAlign w:val="center"/>
          </w:tcPr>
          <w:p>
            <w:pPr>
              <w:snapToGrid w:val="0"/>
              <w:spacing w:line="360" w:lineRule="auto"/>
              <w:rPr>
                <w:rFonts w:ascii="宋体" w:hAnsi="宋体" w:cs="宋体"/>
                <w:szCs w:val="21"/>
              </w:rPr>
            </w:pPr>
            <w:r>
              <w:rPr>
                <w:rFonts w:hint="eastAsia" w:ascii="宋体" w:hAnsi="宋体" w:cs="宋体"/>
                <w:szCs w:val="21"/>
                <w:lang w:val="zh-CN"/>
              </w:rPr>
              <w:t>供应商提供20</w:t>
            </w:r>
            <w:r>
              <w:rPr>
                <w:rFonts w:hint="eastAsia" w:ascii="宋体" w:hAnsi="宋体" w:cs="宋体"/>
                <w:szCs w:val="21"/>
              </w:rPr>
              <w:t>1</w:t>
            </w:r>
            <w:r>
              <w:rPr>
                <w:rFonts w:hint="eastAsia" w:ascii="宋体" w:hAnsi="宋体" w:cs="宋体"/>
                <w:szCs w:val="21"/>
                <w:lang w:val="en-US" w:eastAsia="zh-CN"/>
              </w:rPr>
              <w:t>9</w:t>
            </w:r>
            <w:r>
              <w:rPr>
                <w:rFonts w:hint="eastAsia" w:ascii="宋体" w:hAnsi="宋体" w:cs="宋体"/>
                <w:szCs w:val="21"/>
                <w:lang w:val="zh-CN"/>
              </w:rPr>
              <w:t>年</w:t>
            </w:r>
            <w:r>
              <w:rPr>
                <w:rFonts w:hint="eastAsia" w:ascii="宋体" w:hAnsi="宋体" w:cs="宋体"/>
                <w:szCs w:val="21"/>
              </w:rPr>
              <w:t>1月1日</w:t>
            </w:r>
            <w:r>
              <w:rPr>
                <w:rFonts w:hint="eastAsia" w:ascii="宋体" w:hAnsi="宋体" w:cs="宋体"/>
                <w:szCs w:val="21"/>
                <w:lang w:val="zh-CN"/>
              </w:rPr>
              <w:t>至今</w:t>
            </w:r>
            <w:r>
              <w:rPr>
                <w:rFonts w:hint="eastAsia" w:ascii="宋体" w:hAnsi="宋体" w:cs="宋体"/>
                <w:szCs w:val="21"/>
              </w:rPr>
              <w:t>类似</w:t>
            </w:r>
            <w:r>
              <w:rPr>
                <w:rFonts w:hint="eastAsia" w:ascii="宋体" w:hAnsi="宋体" w:cs="宋体"/>
                <w:szCs w:val="21"/>
                <w:lang w:val="zh-CN"/>
              </w:rPr>
              <w:t>项目业绩，响应文件中附有其业绩证明材料，业绩以合同文件为依据，每提供一个得</w:t>
            </w:r>
            <w:r>
              <w:rPr>
                <w:rFonts w:hint="eastAsia" w:ascii="宋体" w:hAnsi="宋体" w:cs="宋体"/>
                <w:szCs w:val="21"/>
              </w:rPr>
              <w:t>2</w:t>
            </w:r>
            <w:r>
              <w:rPr>
                <w:rFonts w:hint="eastAsia" w:ascii="宋体" w:hAnsi="宋体" w:cs="宋体"/>
                <w:szCs w:val="21"/>
                <w:lang w:val="zh-CN"/>
              </w:rPr>
              <w:t>分，满分</w:t>
            </w:r>
            <w:r>
              <w:rPr>
                <w:rFonts w:hint="eastAsia" w:ascii="宋体" w:hAnsi="宋体" w:cs="宋体"/>
                <w:szCs w:val="21"/>
              </w:rPr>
              <w:t>10</w:t>
            </w:r>
            <w:r>
              <w:rPr>
                <w:rFonts w:hint="eastAsia" w:ascii="宋体" w:hAnsi="宋体" w:cs="宋体"/>
                <w:szCs w:val="21"/>
                <w:lang w:val="zh-CN"/>
              </w:rPr>
              <w:t>分（提供合同复印件加盖供应商公章装订于正副本中），不提供计0分</w:t>
            </w:r>
          </w:p>
        </w:tc>
      </w:tr>
    </w:tbl>
    <w:p>
      <w:pPr>
        <w:pStyle w:val="11"/>
        <w:spacing w:line="360" w:lineRule="auto"/>
        <w:ind w:firstLine="0"/>
        <w:jc w:val="left"/>
        <w:rPr>
          <w:rFonts w:hint="eastAsia" w:ascii="宋体" w:hAnsi="宋体" w:cs="宋体"/>
          <w:szCs w:val="21"/>
        </w:rPr>
      </w:pPr>
    </w:p>
    <w:p>
      <w:pPr>
        <w:pStyle w:val="11"/>
        <w:spacing w:line="360" w:lineRule="auto"/>
        <w:ind w:firstLine="0"/>
        <w:jc w:val="left"/>
        <w:rPr>
          <w:rFonts w:hint="eastAsia" w:ascii="宋体" w:hAnsi="宋体" w:cs="宋体"/>
          <w:szCs w:val="21"/>
        </w:rPr>
      </w:pPr>
    </w:p>
    <w:p>
      <w:pPr>
        <w:pStyle w:val="11"/>
        <w:spacing w:line="360" w:lineRule="auto"/>
        <w:ind w:firstLine="0"/>
        <w:jc w:val="left"/>
        <w:rPr>
          <w:rFonts w:hint="eastAsia" w:ascii="宋体" w:hAnsi="宋体" w:cs="宋体"/>
          <w:szCs w:val="21"/>
        </w:rPr>
      </w:pPr>
    </w:p>
    <w:p>
      <w:pPr>
        <w:pStyle w:val="11"/>
        <w:spacing w:line="360" w:lineRule="auto"/>
        <w:ind w:firstLine="0"/>
        <w:jc w:val="left"/>
        <w:rPr>
          <w:rFonts w:hint="eastAsia" w:ascii="宋体" w:hAnsi="宋体" w:cs="宋体"/>
          <w:szCs w:val="21"/>
        </w:rPr>
      </w:pPr>
    </w:p>
    <w:p>
      <w:pPr>
        <w:pStyle w:val="11"/>
        <w:spacing w:line="360" w:lineRule="auto"/>
        <w:ind w:firstLine="0"/>
        <w:jc w:val="left"/>
        <w:rPr>
          <w:rFonts w:hint="eastAsia" w:ascii="宋体" w:hAnsi="宋体" w:cs="宋体"/>
          <w:szCs w:val="21"/>
        </w:rPr>
      </w:pPr>
    </w:p>
    <w:p>
      <w:pPr>
        <w:pStyle w:val="11"/>
        <w:spacing w:line="360" w:lineRule="auto"/>
        <w:ind w:firstLine="0"/>
        <w:jc w:val="left"/>
        <w:rPr>
          <w:rFonts w:hint="eastAsia" w:ascii="宋体" w:hAnsi="宋体" w:cs="宋体"/>
          <w:szCs w:val="21"/>
        </w:rPr>
      </w:pPr>
    </w:p>
    <w:p>
      <w:pPr>
        <w:pStyle w:val="11"/>
        <w:spacing w:line="360" w:lineRule="auto"/>
        <w:ind w:firstLine="0"/>
        <w:jc w:val="left"/>
        <w:rPr>
          <w:rFonts w:hint="eastAsia" w:ascii="宋体" w:hAnsi="宋体" w:cs="宋体"/>
          <w:szCs w:val="21"/>
        </w:rPr>
      </w:pPr>
    </w:p>
    <w:p>
      <w:pPr>
        <w:pStyle w:val="11"/>
        <w:spacing w:line="360" w:lineRule="auto"/>
        <w:ind w:firstLine="0"/>
        <w:jc w:val="left"/>
        <w:rPr>
          <w:rFonts w:hint="eastAsia" w:ascii="宋体" w:hAnsi="宋体" w:cs="宋体"/>
          <w:szCs w:val="21"/>
        </w:rPr>
      </w:pPr>
    </w:p>
    <w:p>
      <w:pPr>
        <w:pStyle w:val="11"/>
        <w:spacing w:line="360" w:lineRule="auto"/>
        <w:ind w:firstLine="0"/>
        <w:jc w:val="left"/>
        <w:rPr>
          <w:rFonts w:hint="eastAsia" w:ascii="宋体" w:hAnsi="宋体" w:cs="宋体"/>
          <w:szCs w:val="21"/>
        </w:rPr>
      </w:pPr>
    </w:p>
    <w:p>
      <w:pPr>
        <w:pStyle w:val="11"/>
        <w:spacing w:line="360" w:lineRule="auto"/>
        <w:ind w:firstLine="0"/>
        <w:jc w:val="left"/>
        <w:rPr>
          <w:rFonts w:hint="eastAsia" w:ascii="宋体" w:hAnsi="宋体" w:cs="宋体"/>
          <w:szCs w:val="21"/>
        </w:rPr>
      </w:pPr>
    </w:p>
    <w:p>
      <w:pPr>
        <w:pStyle w:val="11"/>
        <w:spacing w:line="360" w:lineRule="auto"/>
        <w:ind w:firstLine="0"/>
        <w:jc w:val="left"/>
        <w:rPr>
          <w:rFonts w:hint="eastAsia" w:ascii="宋体" w:hAnsi="宋体" w:cs="宋体"/>
          <w:szCs w:val="21"/>
        </w:rPr>
      </w:pPr>
    </w:p>
    <w:p>
      <w:pPr>
        <w:pStyle w:val="11"/>
        <w:spacing w:line="360" w:lineRule="auto"/>
        <w:ind w:firstLine="0"/>
        <w:jc w:val="left"/>
        <w:rPr>
          <w:rFonts w:hint="eastAsia" w:ascii="宋体" w:hAnsi="宋体" w:cs="宋体"/>
          <w:szCs w:val="21"/>
        </w:rPr>
      </w:pPr>
    </w:p>
    <w:p>
      <w:pPr>
        <w:pStyle w:val="11"/>
        <w:spacing w:line="360" w:lineRule="auto"/>
        <w:ind w:firstLine="0"/>
        <w:jc w:val="left"/>
        <w:rPr>
          <w:rFonts w:hint="eastAsia" w:ascii="宋体" w:hAnsi="宋体" w:cs="宋体"/>
          <w:szCs w:val="21"/>
        </w:rPr>
      </w:pPr>
    </w:p>
    <w:p>
      <w:pPr>
        <w:pStyle w:val="11"/>
        <w:spacing w:line="360" w:lineRule="auto"/>
        <w:ind w:firstLine="0"/>
        <w:jc w:val="left"/>
        <w:rPr>
          <w:rFonts w:ascii="宋体" w:hAnsi="宋体" w:cs="宋体"/>
          <w:szCs w:val="21"/>
        </w:rPr>
      </w:pPr>
      <w:r>
        <w:rPr>
          <w:rFonts w:hint="eastAsia" w:ascii="宋体" w:hAnsi="宋体" w:cs="宋体"/>
          <w:szCs w:val="21"/>
        </w:rPr>
        <w:t>3.无效投标的认定在评审过程中，出现下列情形之一的，其磋商无效：</w:t>
      </w:r>
    </w:p>
    <w:p>
      <w:pPr>
        <w:pStyle w:val="11"/>
        <w:spacing w:line="360" w:lineRule="auto"/>
        <w:ind w:firstLine="525"/>
        <w:rPr>
          <w:rFonts w:ascii="宋体" w:hAnsi="宋体" w:cs="宋体"/>
          <w:szCs w:val="21"/>
        </w:rPr>
      </w:pPr>
      <w:r>
        <w:rPr>
          <w:rFonts w:hint="eastAsia" w:ascii="宋体" w:hAnsi="宋体" w:cs="宋体"/>
          <w:szCs w:val="21"/>
        </w:rPr>
        <w:t>（1）供应商没有经过正常渠道购买磋商文件或供应商的名称与登记领取磋商文件单位的名称不符；</w:t>
      </w:r>
    </w:p>
    <w:p>
      <w:pPr>
        <w:pStyle w:val="11"/>
        <w:spacing w:line="360" w:lineRule="auto"/>
        <w:ind w:firstLine="525"/>
        <w:rPr>
          <w:rFonts w:ascii="宋体" w:hAnsi="宋体" w:cs="宋体"/>
          <w:szCs w:val="21"/>
        </w:rPr>
      </w:pPr>
      <w:r>
        <w:rPr>
          <w:rFonts w:hint="eastAsia" w:ascii="宋体" w:hAnsi="宋体" w:cs="宋体"/>
          <w:szCs w:val="21"/>
        </w:rPr>
        <w:t>（2）不具备磋商文件中规定的资格要求，或磋商响应文件中提供的资格要求文件不符合磋商文件要求的；</w:t>
      </w:r>
    </w:p>
    <w:p>
      <w:pPr>
        <w:pStyle w:val="11"/>
        <w:spacing w:line="360" w:lineRule="auto"/>
        <w:ind w:firstLine="525"/>
        <w:rPr>
          <w:rFonts w:ascii="宋体" w:hAnsi="宋体" w:cs="宋体"/>
          <w:szCs w:val="21"/>
        </w:rPr>
      </w:pPr>
      <w:r>
        <w:rPr>
          <w:rFonts w:hint="eastAsia" w:ascii="宋体" w:hAnsi="宋体" w:cs="宋体"/>
          <w:szCs w:val="21"/>
        </w:rPr>
        <w:t>（3）未按磋商文件规定要求签署、盖章或未按照磋商文件规定的格式要求编制的；</w:t>
      </w:r>
    </w:p>
    <w:p>
      <w:pPr>
        <w:pStyle w:val="11"/>
        <w:spacing w:line="360" w:lineRule="auto"/>
        <w:ind w:firstLine="525"/>
        <w:rPr>
          <w:rFonts w:ascii="宋体" w:hAnsi="宋体" w:cs="宋体"/>
          <w:szCs w:val="21"/>
        </w:rPr>
      </w:pPr>
      <w:r>
        <w:rPr>
          <w:rFonts w:hint="eastAsia" w:ascii="宋体" w:hAnsi="宋体" w:cs="宋体"/>
          <w:szCs w:val="21"/>
        </w:rPr>
        <w:t>（4）磋商响应文件磋商有效期不符合磋商文件要求的；</w:t>
      </w:r>
    </w:p>
    <w:p>
      <w:pPr>
        <w:pStyle w:val="11"/>
        <w:spacing w:line="360" w:lineRule="auto"/>
        <w:ind w:firstLine="525"/>
        <w:rPr>
          <w:rFonts w:ascii="宋体" w:hAnsi="宋体" w:cs="宋体"/>
          <w:szCs w:val="21"/>
        </w:rPr>
      </w:pPr>
      <w:r>
        <w:rPr>
          <w:rFonts w:hint="eastAsia" w:ascii="宋体" w:hAnsi="宋体" w:cs="宋体"/>
          <w:szCs w:val="21"/>
        </w:rPr>
        <w:t>（5）磋商响应文件递交份数不满足磋商文件要求的；</w:t>
      </w:r>
    </w:p>
    <w:p>
      <w:pPr>
        <w:pStyle w:val="11"/>
        <w:spacing w:line="360" w:lineRule="auto"/>
        <w:ind w:firstLine="525"/>
        <w:rPr>
          <w:rFonts w:ascii="宋体" w:hAnsi="宋体" w:cs="宋体"/>
          <w:szCs w:val="21"/>
        </w:rPr>
      </w:pPr>
      <w:r>
        <w:rPr>
          <w:rFonts w:hint="eastAsia" w:ascii="宋体" w:hAnsi="宋体" w:cs="宋体"/>
          <w:szCs w:val="21"/>
        </w:rPr>
        <w:t>（6）磋商响应文件的商务响应不满足磋商文件商务要求（工期、付款、质保期等项）或响应的内容附有采购人不能接受的附加条件的；</w:t>
      </w:r>
    </w:p>
    <w:p>
      <w:pPr>
        <w:pStyle w:val="11"/>
        <w:spacing w:line="360" w:lineRule="auto"/>
        <w:ind w:firstLine="525"/>
        <w:rPr>
          <w:rFonts w:ascii="宋体" w:hAnsi="宋体" w:cs="宋体"/>
          <w:szCs w:val="21"/>
        </w:rPr>
      </w:pPr>
      <w:r>
        <w:rPr>
          <w:rFonts w:hint="eastAsia" w:ascii="宋体" w:hAnsi="宋体" w:cs="宋体"/>
          <w:szCs w:val="21"/>
        </w:rPr>
        <w:t>（7）供应商出现多份报价，出现选择性报价的；</w:t>
      </w:r>
    </w:p>
    <w:p>
      <w:pPr>
        <w:pStyle w:val="11"/>
        <w:spacing w:line="360" w:lineRule="auto"/>
        <w:ind w:firstLine="525"/>
        <w:rPr>
          <w:rFonts w:ascii="宋体" w:hAnsi="宋体" w:cs="宋体"/>
          <w:szCs w:val="21"/>
        </w:rPr>
      </w:pPr>
      <w:r>
        <w:rPr>
          <w:rFonts w:hint="eastAsia" w:ascii="宋体" w:hAnsi="宋体" w:cs="宋体"/>
          <w:szCs w:val="21"/>
        </w:rPr>
        <w:t>（8）磋商项目出现漏项或产品数量与要求不符，出现重大负偏差；</w:t>
      </w:r>
    </w:p>
    <w:p>
      <w:pPr>
        <w:pStyle w:val="11"/>
        <w:spacing w:line="360" w:lineRule="auto"/>
        <w:ind w:firstLine="525"/>
        <w:rPr>
          <w:rFonts w:ascii="宋体" w:hAnsi="宋体" w:cs="宋体"/>
          <w:szCs w:val="21"/>
        </w:rPr>
      </w:pPr>
      <w:r>
        <w:rPr>
          <w:rFonts w:hint="eastAsia" w:ascii="宋体" w:hAnsi="宋体" w:cs="宋体"/>
          <w:szCs w:val="21"/>
        </w:rPr>
        <w:t>（9）磋商内容特殊注明的技术指标达不到磋商文件要求，降低了服务的质量的。（如未特殊注明，忽略此条）</w:t>
      </w:r>
    </w:p>
    <w:p>
      <w:pPr>
        <w:pStyle w:val="11"/>
        <w:spacing w:line="360" w:lineRule="auto"/>
        <w:ind w:firstLine="525"/>
        <w:rPr>
          <w:rFonts w:ascii="宋体" w:hAnsi="宋体" w:cs="宋体"/>
          <w:szCs w:val="21"/>
        </w:rPr>
      </w:pPr>
      <w:r>
        <w:rPr>
          <w:rFonts w:hint="eastAsia" w:ascii="宋体" w:hAnsi="宋体" w:cs="宋体"/>
          <w:szCs w:val="21"/>
        </w:rPr>
        <w:t>（10）磋商报价与市场价偏离较大，低于成本，形成不正当竞争；</w:t>
      </w:r>
    </w:p>
    <w:p>
      <w:pPr>
        <w:pStyle w:val="11"/>
        <w:spacing w:line="360" w:lineRule="auto"/>
        <w:ind w:firstLine="525"/>
        <w:rPr>
          <w:rFonts w:ascii="宋体" w:hAnsi="宋体" w:cs="宋体"/>
          <w:szCs w:val="21"/>
        </w:rPr>
      </w:pPr>
      <w:r>
        <w:rPr>
          <w:rFonts w:hint="eastAsia" w:ascii="宋体" w:hAnsi="宋体" w:cs="宋体"/>
          <w:szCs w:val="21"/>
        </w:rPr>
        <w:t>（11）提供虚假证明，开具虚假资质，出现虚假应答，除按无效标处理外，还进行相应的处罚；</w:t>
      </w:r>
    </w:p>
    <w:p>
      <w:pPr>
        <w:pStyle w:val="11"/>
        <w:spacing w:line="360" w:lineRule="auto"/>
        <w:ind w:firstLine="525"/>
        <w:rPr>
          <w:rFonts w:ascii="宋体" w:hAnsi="宋体" w:cs="宋体"/>
          <w:szCs w:val="21"/>
        </w:rPr>
      </w:pPr>
      <w:r>
        <w:rPr>
          <w:rFonts w:hint="eastAsia" w:ascii="宋体" w:hAnsi="宋体" w:cs="宋体"/>
          <w:szCs w:val="21"/>
        </w:rPr>
        <w:t>（12）报价超过采购预算或最高限价的；</w:t>
      </w:r>
    </w:p>
    <w:p>
      <w:pPr>
        <w:pStyle w:val="11"/>
        <w:spacing w:line="360" w:lineRule="auto"/>
        <w:ind w:firstLine="472" w:firstLineChars="225"/>
        <w:rPr>
          <w:rFonts w:ascii="宋体" w:hAnsi="宋体" w:cs="宋体"/>
          <w:szCs w:val="21"/>
        </w:rPr>
      </w:pPr>
      <w:r>
        <w:rPr>
          <w:rFonts w:hint="eastAsia" w:ascii="宋体" w:hAnsi="宋体" w:cs="宋体"/>
          <w:szCs w:val="21"/>
        </w:rPr>
        <w:t>（13）磋商响应文件的关键内容字迹模糊和无法辨认的；</w:t>
      </w:r>
    </w:p>
    <w:p>
      <w:pPr>
        <w:pStyle w:val="11"/>
        <w:spacing w:line="360" w:lineRule="auto"/>
        <w:ind w:firstLine="525"/>
        <w:rPr>
          <w:rFonts w:ascii="宋体" w:hAnsi="宋体" w:cs="宋体"/>
          <w:szCs w:val="21"/>
        </w:rPr>
      </w:pPr>
      <w:r>
        <w:rPr>
          <w:rFonts w:hint="eastAsia" w:ascii="宋体" w:hAnsi="宋体" w:cs="宋体"/>
          <w:szCs w:val="21"/>
        </w:rPr>
        <w:t>（14）法律法规和磋商文件规定的其他情形的。</w:t>
      </w:r>
    </w:p>
    <w:p>
      <w:pPr>
        <w:pStyle w:val="10"/>
        <w:spacing w:before="0" w:after="0" w:line="360" w:lineRule="auto"/>
        <w:rPr>
          <w:rFonts w:ascii="宋体" w:hAnsi="宋体" w:cs="宋体"/>
          <w:sz w:val="21"/>
          <w:szCs w:val="21"/>
        </w:rPr>
      </w:pPr>
      <w:r>
        <w:rPr>
          <w:rFonts w:hint="eastAsia" w:ascii="宋体" w:hAnsi="宋体" w:cs="宋体"/>
          <w:sz w:val="21"/>
          <w:szCs w:val="21"/>
        </w:rPr>
        <w:t>4.特殊情况的处理</w:t>
      </w:r>
    </w:p>
    <w:p>
      <w:pPr>
        <w:widowControl/>
        <w:autoSpaceDE w:val="0"/>
        <w:autoSpaceDN w:val="0"/>
        <w:spacing w:line="360" w:lineRule="auto"/>
        <w:ind w:firstLine="420" w:firstLineChars="200"/>
        <w:textAlignment w:val="bottom"/>
        <w:rPr>
          <w:rFonts w:ascii="宋体" w:hAnsi="宋体" w:cs="宋体"/>
          <w:szCs w:val="21"/>
        </w:rPr>
      </w:pPr>
      <w:r>
        <w:rPr>
          <w:rFonts w:hint="eastAsia" w:ascii="宋体" w:hAnsi="宋体" w:cs="宋体"/>
          <w:szCs w:val="21"/>
        </w:rPr>
        <w:t>4.1 磋商响应文件中如果出现计算错误，可按以下原则进行修正：</w:t>
      </w:r>
    </w:p>
    <w:p>
      <w:pPr>
        <w:spacing w:line="360" w:lineRule="auto"/>
        <w:ind w:firstLine="315" w:firstLineChars="150"/>
        <w:rPr>
          <w:rFonts w:ascii="宋体" w:hAnsi="宋体" w:cs="宋体"/>
          <w:szCs w:val="21"/>
        </w:rPr>
      </w:pPr>
      <w:r>
        <w:rPr>
          <w:rFonts w:hint="eastAsia" w:ascii="宋体" w:hAnsi="宋体" w:cs="宋体"/>
          <w:szCs w:val="21"/>
        </w:rPr>
        <w:t>（1）磋商响应文件中的大写金额与小写金额不一致的，以大写金额为准；</w:t>
      </w:r>
    </w:p>
    <w:p>
      <w:pPr>
        <w:spacing w:line="360" w:lineRule="auto"/>
        <w:ind w:firstLine="315" w:firstLineChars="150"/>
        <w:rPr>
          <w:rFonts w:ascii="宋体" w:hAnsi="宋体" w:cs="宋体"/>
          <w:szCs w:val="21"/>
        </w:rPr>
      </w:pPr>
      <w:r>
        <w:rPr>
          <w:rFonts w:hint="eastAsia" w:ascii="宋体" w:hAnsi="宋体" w:cs="宋体"/>
          <w:szCs w:val="21"/>
        </w:rPr>
        <w:t>（2）磋商响应文件中的总价金额与按单价计算的汇总金额不一致的，以单价计算的汇总金额为准；</w:t>
      </w:r>
    </w:p>
    <w:p>
      <w:pPr>
        <w:spacing w:line="360" w:lineRule="auto"/>
        <w:ind w:firstLine="315" w:firstLineChars="150"/>
        <w:rPr>
          <w:rFonts w:ascii="宋体" w:hAnsi="宋体" w:cs="宋体"/>
          <w:szCs w:val="21"/>
        </w:rPr>
      </w:pPr>
      <w:r>
        <w:rPr>
          <w:rFonts w:hint="eastAsia" w:ascii="宋体" w:hAnsi="宋体" w:cs="宋体"/>
          <w:szCs w:val="21"/>
        </w:rPr>
        <w:t>（3）磋商响应文件中的单价金额有明显小数点错误的，以总价为准，并修改单价；</w:t>
      </w:r>
    </w:p>
    <w:p>
      <w:pPr>
        <w:spacing w:line="360" w:lineRule="auto"/>
        <w:ind w:firstLine="315" w:firstLineChars="150"/>
        <w:rPr>
          <w:rFonts w:ascii="宋体" w:hAnsi="宋体" w:cs="宋体"/>
          <w:szCs w:val="21"/>
        </w:rPr>
      </w:pPr>
      <w:r>
        <w:rPr>
          <w:rFonts w:hint="eastAsia" w:ascii="宋体" w:hAnsi="宋体" w:cs="宋体"/>
          <w:szCs w:val="21"/>
        </w:rPr>
        <w:t>（4）磋商响应文件中有关分项表内容与</w:t>
      </w:r>
      <w:r>
        <w:rPr>
          <w:rFonts w:hint="eastAsia" w:ascii="宋体" w:hAnsi="宋体" w:cs="宋体"/>
          <w:szCs w:val="21"/>
          <w:highlight w:val="none"/>
        </w:rPr>
        <w:t>“第一次磋商报价表”</w:t>
      </w:r>
      <w:r>
        <w:rPr>
          <w:rFonts w:hint="eastAsia" w:ascii="宋体" w:hAnsi="宋体" w:cs="宋体"/>
          <w:szCs w:val="21"/>
        </w:rPr>
        <w:t>不一致的，以“第一次磋商报价表”为准；</w:t>
      </w:r>
    </w:p>
    <w:p>
      <w:pPr>
        <w:pStyle w:val="22"/>
        <w:ind w:firstLine="315" w:firstLineChars="150"/>
        <w:rPr>
          <w:rFonts w:ascii="宋体" w:hAnsi="宋体" w:eastAsia="宋体" w:cs="宋体"/>
          <w:sz w:val="21"/>
          <w:szCs w:val="21"/>
        </w:rPr>
      </w:pPr>
      <w:r>
        <w:rPr>
          <w:rFonts w:hint="eastAsia" w:ascii="宋体" w:hAnsi="宋体" w:eastAsia="宋体" w:cs="宋体"/>
          <w:sz w:val="21"/>
          <w:szCs w:val="21"/>
        </w:rPr>
        <w:t>（5）磋商响应文件中图表与文字表述不一致的，以文字表述为准；</w:t>
      </w:r>
    </w:p>
    <w:p>
      <w:pPr>
        <w:widowControl/>
        <w:autoSpaceDE w:val="0"/>
        <w:autoSpaceDN w:val="0"/>
        <w:spacing w:line="360" w:lineRule="auto"/>
        <w:ind w:firstLine="315" w:firstLineChars="150"/>
        <w:textAlignment w:val="bottom"/>
        <w:rPr>
          <w:rFonts w:ascii="宋体" w:hAnsi="宋体" w:cs="宋体"/>
          <w:szCs w:val="21"/>
        </w:rPr>
      </w:pPr>
      <w:r>
        <w:rPr>
          <w:rFonts w:hint="eastAsia" w:ascii="宋体" w:hAnsi="宋体" w:cs="宋体"/>
          <w:szCs w:val="21"/>
        </w:rPr>
        <w:t>（6）磋商响应文件正本与副本不一致的，以正本为准；</w:t>
      </w:r>
    </w:p>
    <w:p>
      <w:pPr>
        <w:pStyle w:val="11"/>
        <w:spacing w:line="360" w:lineRule="auto"/>
        <w:ind w:firstLine="315" w:firstLineChars="150"/>
        <w:rPr>
          <w:rFonts w:ascii="宋体" w:hAnsi="宋体" w:cs="宋体"/>
          <w:szCs w:val="21"/>
        </w:rPr>
      </w:pPr>
      <w:r>
        <w:rPr>
          <w:rFonts w:hint="eastAsia" w:ascii="宋体" w:hAnsi="宋体" w:cs="宋体"/>
          <w:szCs w:val="21"/>
        </w:rPr>
        <w:t>（7）对不同文字文本磋商响应文件的解释发生异议的，以中文文本为准。</w:t>
      </w:r>
    </w:p>
    <w:p>
      <w:pPr>
        <w:widowControl/>
        <w:autoSpaceDE w:val="0"/>
        <w:autoSpaceDN w:val="0"/>
        <w:spacing w:line="360" w:lineRule="auto"/>
        <w:ind w:firstLine="422" w:firstLineChars="200"/>
        <w:textAlignment w:val="bottom"/>
        <w:rPr>
          <w:rFonts w:ascii="宋体" w:hAnsi="宋体" w:cs="宋体"/>
          <w:b/>
          <w:szCs w:val="21"/>
        </w:rPr>
      </w:pPr>
      <w:r>
        <w:rPr>
          <w:rFonts w:hint="eastAsia" w:ascii="宋体" w:hAnsi="宋体" w:cs="宋体"/>
          <w:b/>
          <w:szCs w:val="21"/>
        </w:rPr>
        <w:t>按上述修正错误的方法调整的磋商报价应对供应商具有约束力。如果供应商不接受修正后的价格，其响应文件按无效响应文件处理。</w:t>
      </w:r>
    </w:p>
    <w:p>
      <w:pPr>
        <w:widowControl/>
        <w:autoSpaceDE w:val="0"/>
        <w:autoSpaceDN w:val="0"/>
        <w:spacing w:line="360" w:lineRule="auto"/>
        <w:ind w:firstLine="420" w:firstLineChars="200"/>
        <w:textAlignment w:val="bottom"/>
        <w:rPr>
          <w:rFonts w:ascii="宋体" w:hAnsi="宋体" w:cs="宋体"/>
          <w:szCs w:val="21"/>
        </w:rPr>
      </w:pPr>
      <w:r>
        <w:rPr>
          <w:rFonts w:hint="eastAsia" w:ascii="宋体" w:hAnsi="宋体" w:cs="宋体"/>
          <w:szCs w:val="21"/>
        </w:rPr>
        <w:t>4.2 磋商响应文件中，若某项有不合理报价（或零报价、漏报价）的，经磋商小组评审后，此项得分为零，不参与磋商报价分值的计算。</w:t>
      </w:r>
    </w:p>
    <w:p>
      <w:pPr>
        <w:widowControl/>
        <w:autoSpaceDE w:val="0"/>
        <w:autoSpaceDN w:val="0"/>
        <w:spacing w:line="360" w:lineRule="auto"/>
        <w:ind w:firstLine="420" w:firstLineChars="200"/>
        <w:textAlignment w:val="bottom"/>
        <w:rPr>
          <w:rFonts w:ascii="宋体" w:hAnsi="宋体" w:cs="宋体"/>
          <w:szCs w:val="21"/>
        </w:rPr>
      </w:pPr>
      <w:r>
        <w:rPr>
          <w:rFonts w:hint="eastAsia" w:ascii="宋体" w:hAnsi="宋体" w:cs="宋体"/>
          <w:szCs w:val="21"/>
        </w:rPr>
        <w:t>4.3 评委打分超过得分界限或未按本办法赋分时，该评委的打分，按废票处理。</w:t>
      </w:r>
    </w:p>
    <w:p>
      <w:pPr>
        <w:widowControl/>
        <w:autoSpaceDE w:val="0"/>
        <w:autoSpaceDN w:val="0"/>
        <w:spacing w:line="360" w:lineRule="auto"/>
        <w:ind w:firstLine="420" w:firstLineChars="200"/>
        <w:textAlignment w:val="bottom"/>
        <w:rPr>
          <w:rFonts w:ascii="宋体" w:hAnsi="宋体" w:cs="宋体"/>
          <w:szCs w:val="21"/>
        </w:rPr>
      </w:pPr>
      <w:r>
        <w:rPr>
          <w:rFonts w:hint="eastAsia" w:ascii="宋体" w:hAnsi="宋体" w:cs="宋体"/>
          <w:szCs w:val="21"/>
        </w:rPr>
        <w:t>4.4 评审过程中，各种数字的计算结果，均保留两位小数，第三位“四舍五入”，但计算百分数时应精确到千分位，万分位“四舍五入”。</w:t>
      </w:r>
    </w:p>
    <w:p>
      <w:pPr>
        <w:pStyle w:val="52"/>
        <w:spacing w:line="360" w:lineRule="auto"/>
        <w:ind w:firstLine="413" w:firstLineChars="197"/>
        <w:rPr>
          <w:rFonts w:hAnsi="宋体" w:cs="宋体"/>
          <w:sz w:val="21"/>
          <w:szCs w:val="21"/>
        </w:rPr>
      </w:pPr>
      <w:r>
        <w:rPr>
          <w:rFonts w:hint="eastAsia" w:hAnsi="宋体" w:cs="宋体"/>
          <w:sz w:val="21"/>
          <w:szCs w:val="21"/>
        </w:rPr>
        <w:t>4.5评审过程中，若出现本评标办法以外的特殊情况时，将暂停评标，待磋商小组商榷后，再进行评定。</w:t>
      </w:r>
    </w:p>
    <w:p>
      <w:pPr>
        <w:pStyle w:val="11"/>
        <w:spacing w:line="360" w:lineRule="auto"/>
        <w:rPr>
          <w:rFonts w:ascii="宋体" w:hAnsi="宋体" w:cs="宋体"/>
          <w:szCs w:val="21"/>
        </w:rPr>
      </w:pPr>
      <w:r>
        <w:rPr>
          <w:rFonts w:hint="eastAsia" w:ascii="宋体" w:hAnsi="宋体" w:cs="宋体"/>
          <w:szCs w:val="21"/>
        </w:rPr>
        <w:t>4.6评标争议处理原则</w:t>
      </w:r>
    </w:p>
    <w:p>
      <w:pPr>
        <w:pStyle w:val="11"/>
        <w:spacing w:line="360" w:lineRule="auto"/>
        <w:ind w:firstLine="525"/>
        <w:rPr>
          <w:rFonts w:ascii="宋体" w:hAnsi="宋体" w:cs="宋体"/>
          <w:szCs w:val="21"/>
        </w:rPr>
      </w:pPr>
      <w:r>
        <w:rPr>
          <w:rFonts w:hint="eastAsia" w:ascii="宋体" w:hAnsi="宋体" w:cs="宋体"/>
          <w:szCs w:val="21"/>
        </w:rPr>
        <w:t>磋商小组在评审过程中，对磋商响应文件资格资审、符合性审查、对供应商磋商响应文件做无效响应文件处理及其他需要共同认定的事项存在争议的，应当以少数服从多数的原则做出结论，但不得违反法律法规和磋商文件的规定。有不同意见的磋商小组成员认为认定过程和结果不符合法律法规或者磋商文件规定的，应当及时向采购人书面反映，采购人收到书面反映后，应当及时向同级财政部门报告依法处理。</w:t>
      </w:r>
    </w:p>
    <w:p>
      <w:pPr>
        <w:pStyle w:val="10"/>
        <w:spacing w:before="0" w:after="0" w:line="360" w:lineRule="auto"/>
        <w:rPr>
          <w:rFonts w:ascii="宋体" w:hAnsi="宋体" w:cs="宋体"/>
          <w:sz w:val="21"/>
          <w:szCs w:val="21"/>
        </w:rPr>
      </w:pPr>
      <w:r>
        <w:rPr>
          <w:rFonts w:hint="eastAsia" w:ascii="宋体" w:hAnsi="宋体" w:cs="宋体"/>
          <w:sz w:val="21"/>
          <w:szCs w:val="21"/>
        </w:rPr>
        <w:t>5.评审专家在政府采购活动中承担以下义务</w:t>
      </w:r>
    </w:p>
    <w:p>
      <w:pPr>
        <w:widowControl/>
        <w:autoSpaceDE w:val="0"/>
        <w:autoSpaceDN w:val="0"/>
        <w:spacing w:line="360" w:lineRule="auto"/>
        <w:ind w:firstLine="420" w:firstLineChars="200"/>
        <w:textAlignment w:val="bottom"/>
        <w:rPr>
          <w:rFonts w:ascii="宋体" w:hAnsi="宋体" w:cs="宋体"/>
          <w:szCs w:val="21"/>
        </w:rPr>
      </w:pPr>
      <w:r>
        <w:rPr>
          <w:rFonts w:hint="eastAsia" w:ascii="宋体" w:hAnsi="宋体" w:cs="宋体"/>
          <w:szCs w:val="21"/>
        </w:rPr>
        <w:t>5.1 遵纪守法，客观、公正、廉洁地履行职责。</w:t>
      </w:r>
    </w:p>
    <w:p>
      <w:pPr>
        <w:widowControl/>
        <w:autoSpaceDE w:val="0"/>
        <w:autoSpaceDN w:val="0"/>
        <w:spacing w:line="360" w:lineRule="auto"/>
        <w:ind w:firstLine="420" w:firstLineChars="200"/>
        <w:textAlignment w:val="bottom"/>
        <w:rPr>
          <w:rFonts w:ascii="宋体" w:hAnsi="宋体" w:cs="宋体"/>
          <w:szCs w:val="21"/>
        </w:rPr>
      </w:pPr>
      <w:r>
        <w:rPr>
          <w:rFonts w:hint="eastAsia" w:ascii="宋体" w:hAnsi="宋体" w:cs="宋体"/>
          <w:szCs w:val="21"/>
        </w:rPr>
        <w:t>5.2 按照政府采购法律法规和采购文件的规定要求对供应商提供的产品价格、技术、商务、服务等方面严格进行评判，提供科学合理、公平公正的评审意见，参与起草评审报告，并予签字确认。</w:t>
      </w:r>
    </w:p>
    <w:p>
      <w:pPr>
        <w:widowControl/>
        <w:autoSpaceDE w:val="0"/>
        <w:autoSpaceDN w:val="0"/>
        <w:spacing w:line="360" w:lineRule="auto"/>
        <w:ind w:firstLine="420" w:firstLineChars="200"/>
        <w:textAlignment w:val="bottom"/>
        <w:rPr>
          <w:rFonts w:ascii="宋体" w:hAnsi="宋体" w:cs="宋体"/>
          <w:szCs w:val="21"/>
        </w:rPr>
      </w:pPr>
      <w:r>
        <w:rPr>
          <w:rFonts w:hint="eastAsia" w:ascii="宋体" w:hAnsi="宋体" w:cs="宋体"/>
          <w:szCs w:val="21"/>
        </w:rPr>
        <w:t>5.3 保守秘密。不得透露采购文件咨询情况，不得泄漏供应商的磋商响应文件及知悉的商业秘密，不得向供应商透露评审情况。</w:t>
      </w:r>
    </w:p>
    <w:p>
      <w:pPr>
        <w:widowControl/>
        <w:autoSpaceDE w:val="0"/>
        <w:autoSpaceDN w:val="0"/>
        <w:spacing w:line="360" w:lineRule="auto"/>
        <w:ind w:firstLine="420" w:firstLineChars="200"/>
        <w:textAlignment w:val="bottom"/>
        <w:rPr>
          <w:rFonts w:ascii="宋体" w:hAnsi="宋体" w:cs="宋体"/>
          <w:szCs w:val="21"/>
        </w:rPr>
      </w:pPr>
      <w:r>
        <w:rPr>
          <w:rFonts w:hint="eastAsia" w:ascii="宋体" w:hAnsi="宋体" w:cs="宋体"/>
          <w:szCs w:val="21"/>
        </w:rPr>
        <w:t>5.4 发现供应商在政府采购活动中有不正当竞争或恶意串通等违规行为，及时向政府采购评审工作的组织者或财政部门报告并加以制止。发现采购人、政府采购代理机构及其工作人员在政府采购活动中有干预评审、发表倾向性和歧视性言论、受贿或者接受供应商的其他好处及其他违法违规行为，及时向财政部门报告。</w:t>
      </w:r>
    </w:p>
    <w:p>
      <w:pPr>
        <w:widowControl/>
        <w:autoSpaceDE w:val="0"/>
        <w:autoSpaceDN w:val="0"/>
        <w:spacing w:line="360" w:lineRule="auto"/>
        <w:ind w:firstLine="420" w:firstLineChars="200"/>
        <w:textAlignment w:val="bottom"/>
        <w:rPr>
          <w:rFonts w:ascii="宋体" w:hAnsi="宋体" w:cs="宋体"/>
          <w:szCs w:val="21"/>
        </w:rPr>
      </w:pPr>
      <w:r>
        <w:rPr>
          <w:rFonts w:hint="eastAsia" w:ascii="宋体" w:hAnsi="宋体" w:cs="宋体"/>
          <w:szCs w:val="21"/>
        </w:rPr>
        <w:t>5.5 解答有关方面对政府采购评审工作中有关问题的询问，配合采购人或者政府采购代理机构答复供应商质疑，配合财政部门的投诉处理工作等事宜。</w:t>
      </w:r>
    </w:p>
    <w:p>
      <w:pPr>
        <w:widowControl/>
        <w:autoSpaceDE w:val="0"/>
        <w:autoSpaceDN w:val="0"/>
        <w:spacing w:line="360" w:lineRule="auto"/>
        <w:ind w:firstLine="420" w:firstLineChars="200"/>
        <w:textAlignment w:val="bottom"/>
        <w:rPr>
          <w:rFonts w:ascii="宋体" w:hAnsi="宋体" w:cs="宋体"/>
          <w:szCs w:val="21"/>
        </w:rPr>
      </w:pPr>
      <w:r>
        <w:rPr>
          <w:rFonts w:hint="eastAsia" w:ascii="宋体" w:hAnsi="宋体" w:cs="宋体"/>
          <w:szCs w:val="21"/>
        </w:rPr>
        <w:t>5.6 法律、法规和规章规定的其他义务。</w:t>
      </w:r>
    </w:p>
    <w:p>
      <w:pPr>
        <w:pStyle w:val="10"/>
        <w:spacing w:before="0" w:after="0" w:line="360" w:lineRule="auto"/>
        <w:rPr>
          <w:rFonts w:ascii="宋体" w:hAnsi="宋体" w:cs="宋体"/>
          <w:sz w:val="21"/>
          <w:szCs w:val="21"/>
        </w:rPr>
      </w:pPr>
      <w:r>
        <w:rPr>
          <w:rFonts w:hint="eastAsia" w:ascii="宋体" w:hAnsi="宋体" w:cs="宋体"/>
          <w:sz w:val="21"/>
          <w:szCs w:val="21"/>
        </w:rPr>
        <w:t>6.在评审过程中，磋商小组及其成员不得有下列行为</w:t>
      </w:r>
    </w:p>
    <w:p>
      <w:pPr>
        <w:pStyle w:val="6"/>
        <w:spacing w:before="0" w:after="0" w:line="360" w:lineRule="auto"/>
        <w:jc w:val="both"/>
        <w:outlineLvl w:val="0"/>
        <w:rPr>
          <w:rFonts w:hint="eastAsia" w:ascii="宋体" w:hAnsi="宋体" w:eastAsia="宋体" w:cs="宋体"/>
          <w:b w:val="0"/>
          <w:bCs w:val="0"/>
          <w:kern w:val="2"/>
          <w:sz w:val="21"/>
          <w:szCs w:val="21"/>
          <w:lang w:val="en-US" w:eastAsia="zh-CN" w:bidi="ar-SA"/>
        </w:rPr>
      </w:pPr>
      <w:bookmarkStart w:id="446" w:name="_Toc2435"/>
      <w:r>
        <w:rPr>
          <w:rFonts w:hint="eastAsia" w:ascii="宋体" w:hAnsi="宋体" w:eastAsia="宋体" w:cs="宋体"/>
          <w:b w:val="0"/>
          <w:bCs w:val="0"/>
          <w:kern w:val="2"/>
          <w:sz w:val="21"/>
          <w:szCs w:val="21"/>
          <w:lang w:val="en-US" w:eastAsia="zh-CN" w:bidi="ar-SA"/>
        </w:rPr>
        <w:t>（1）确定参与磋商至磋商结束前私自接触供应商；</w:t>
      </w:r>
      <w:bookmarkEnd w:id="446"/>
    </w:p>
    <w:p>
      <w:pPr>
        <w:pStyle w:val="6"/>
        <w:spacing w:before="0" w:after="0" w:line="360" w:lineRule="auto"/>
        <w:jc w:val="both"/>
        <w:outlineLvl w:val="0"/>
        <w:rPr>
          <w:rFonts w:hint="eastAsia" w:ascii="宋体" w:hAnsi="宋体" w:eastAsia="宋体" w:cs="宋体"/>
          <w:b w:val="0"/>
          <w:bCs w:val="0"/>
          <w:kern w:val="2"/>
          <w:sz w:val="21"/>
          <w:szCs w:val="21"/>
          <w:lang w:val="en-US" w:eastAsia="zh-CN" w:bidi="ar-SA"/>
        </w:rPr>
      </w:pPr>
      <w:bookmarkStart w:id="447" w:name="_Toc11089"/>
      <w:r>
        <w:rPr>
          <w:rFonts w:hint="eastAsia" w:ascii="宋体" w:hAnsi="宋体" w:eastAsia="宋体" w:cs="宋体"/>
          <w:b w:val="0"/>
          <w:bCs w:val="0"/>
          <w:kern w:val="2"/>
          <w:sz w:val="21"/>
          <w:szCs w:val="21"/>
          <w:lang w:val="en-US" w:eastAsia="zh-CN" w:bidi="ar-SA"/>
        </w:rPr>
        <w:t>（2）接受供应商提出的与磋商响应文件不一致的澄清和说明；</w:t>
      </w:r>
      <w:bookmarkEnd w:id="447"/>
    </w:p>
    <w:p>
      <w:pPr>
        <w:pStyle w:val="6"/>
        <w:spacing w:before="0" w:after="0" w:line="360" w:lineRule="auto"/>
        <w:jc w:val="both"/>
        <w:outlineLvl w:val="0"/>
        <w:rPr>
          <w:rFonts w:hint="eastAsia" w:ascii="宋体" w:hAnsi="宋体" w:eastAsia="宋体" w:cs="宋体"/>
          <w:b w:val="0"/>
          <w:bCs w:val="0"/>
          <w:kern w:val="2"/>
          <w:sz w:val="21"/>
          <w:szCs w:val="21"/>
          <w:lang w:val="en-US" w:eastAsia="zh-CN" w:bidi="ar-SA"/>
        </w:rPr>
      </w:pPr>
      <w:bookmarkStart w:id="448" w:name="_Toc32306"/>
      <w:r>
        <w:rPr>
          <w:rFonts w:hint="eastAsia" w:ascii="宋体" w:hAnsi="宋体" w:eastAsia="宋体" w:cs="宋体"/>
          <w:b w:val="0"/>
          <w:bCs w:val="0"/>
          <w:kern w:val="2"/>
          <w:sz w:val="21"/>
          <w:szCs w:val="21"/>
          <w:lang w:val="en-US" w:eastAsia="zh-CN" w:bidi="ar-SA"/>
        </w:rPr>
        <w:t>（3）征询采购人的倾向性意见；</w:t>
      </w:r>
      <w:bookmarkEnd w:id="448"/>
    </w:p>
    <w:p>
      <w:pPr>
        <w:pStyle w:val="6"/>
        <w:spacing w:before="0" w:after="0" w:line="360" w:lineRule="auto"/>
        <w:jc w:val="both"/>
        <w:outlineLvl w:val="0"/>
        <w:rPr>
          <w:rFonts w:hint="eastAsia" w:ascii="宋体" w:hAnsi="宋体" w:eastAsia="宋体" w:cs="宋体"/>
          <w:b w:val="0"/>
          <w:bCs w:val="0"/>
          <w:kern w:val="2"/>
          <w:sz w:val="21"/>
          <w:szCs w:val="21"/>
          <w:lang w:val="en-US" w:eastAsia="zh-CN" w:bidi="ar-SA"/>
        </w:rPr>
      </w:pPr>
      <w:bookmarkStart w:id="449" w:name="_Toc9246"/>
      <w:r>
        <w:rPr>
          <w:rFonts w:hint="eastAsia" w:ascii="宋体" w:hAnsi="宋体" w:eastAsia="宋体" w:cs="宋体"/>
          <w:b w:val="0"/>
          <w:bCs w:val="0"/>
          <w:kern w:val="2"/>
          <w:sz w:val="21"/>
          <w:szCs w:val="21"/>
          <w:lang w:val="en-US" w:eastAsia="zh-CN" w:bidi="ar-SA"/>
        </w:rPr>
        <w:t>（4）对主观评审因素协商评分；</w:t>
      </w:r>
      <w:bookmarkEnd w:id="449"/>
    </w:p>
    <w:p>
      <w:pPr>
        <w:pStyle w:val="6"/>
        <w:spacing w:before="0" w:after="0" w:line="360" w:lineRule="auto"/>
        <w:jc w:val="both"/>
        <w:outlineLvl w:val="0"/>
        <w:rPr>
          <w:rFonts w:hint="eastAsia" w:ascii="宋体" w:hAnsi="宋体" w:eastAsia="宋体" w:cs="宋体"/>
          <w:b w:val="0"/>
          <w:bCs w:val="0"/>
          <w:kern w:val="2"/>
          <w:sz w:val="21"/>
          <w:szCs w:val="21"/>
          <w:lang w:val="en-US" w:eastAsia="zh-CN" w:bidi="ar-SA"/>
        </w:rPr>
      </w:pPr>
      <w:bookmarkStart w:id="450" w:name="_Toc16480"/>
      <w:r>
        <w:rPr>
          <w:rFonts w:hint="eastAsia" w:ascii="宋体" w:hAnsi="宋体" w:eastAsia="宋体" w:cs="宋体"/>
          <w:b w:val="0"/>
          <w:bCs w:val="0"/>
          <w:kern w:val="2"/>
          <w:sz w:val="21"/>
          <w:szCs w:val="21"/>
          <w:lang w:val="en-US" w:eastAsia="zh-CN" w:bidi="ar-SA"/>
        </w:rPr>
        <w:t>（5）对客观评审因素评分不一致；</w:t>
      </w:r>
      <w:bookmarkEnd w:id="450"/>
    </w:p>
    <w:p>
      <w:pPr>
        <w:pStyle w:val="6"/>
        <w:spacing w:before="0" w:after="0" w:line="360" w:lineRule="auto"/>
        <w:jc w:val="both"/>
        <w:outlineLvl w:val="0"/>
        <w:rPr>
          <w:rFonts w:hint="eastAsia" w:ascii="宋体" w:hAnsi="宋体" w:eastAsia="宋体" w:cs="宋体"/>
          <w:b w:val="0"/>
          <w:bCs w:val="0"/>
          <w:kern w:val="2"/>
          <w:sz w:val="21"/>
          <w:szCs w:val="21"/>
          <w:lang w:val="en-US" w:eastAsia="zh-CN" w:bidi="ar-SA"/>
        </w:rPr>
      </w:pPr>
      <w:bookmarkStart w:id="451" w:name="_Toc17534"/>
      <w:r>
        <w:rPr>
          <w:rFonts w:hint="eastAsia" w:ascii="宋体" w:hAnsi="宋体" w:eastAsia="宋体" w:cs="宋体"/>
          <w:b w:val="0"/>
          <w:bCs w:val="0"/>
          <w:kern w:val="2"/>
          <w:sz w:val="21"/>
          <w:szCs w:val="21"/>
          <w:lang w:val="en-US" w:eastAsia="zh-CN" w:bidi="ar-SA"/>
        </w:rPr>
        <w:t>（6）在评标过程中擅离职守，影响评标程序正常进行的；</w:t>
      </w:r>
      <w:bookmarkEnd w:id="451"/>
    </w:p>
    <w:p>
      <w:pPr>
        <w:pStyle w:val="6"/>
        <w:spacing w:before="0" w:after="0" w:line="360" w:lineRule="auto"/>
        <w:jc w:val="both"/>
        <w:outlineLvl w:val="0"/>
        <w:rPr>
          <w:rFonts w:hint="eastAsia" w:ascii="宋体" w:hAnsi="宋体" w:eastAsia="宋体" w:cs="宋体"/>
          <w:b w:val="0"/>
          <w:bCs w:val="0"/>
          <w:kern w:val="2"/>
          <w:sz w:val="21"/>
          <w:szCs w:val="21"/>
          <w:lang w:val="en-US" w:eastAsia="zh-CN" w:bidi="ar-SA"/>
        </w:rPr>
      </w:pPr>
      <w:bookmarkStart w:id="452" w:name="_Toc25767"/>
      <w:r>
        <w:rPr>
          <w:rFonts w:hint="eastAsia" w:ascii="宋体" w:hAnsi="宋体" w:eastAsia="宋体" w:cs="宋体"/>
          <w:b w:val="0"/>
          <w:bCs w:val="0"/>
          <w:kern w:val="2"/>
          <w:sz w:val="21"/>
          <w:szCs w:val="21"/>
          <w:lang w:val="en-US" w:eastAsia="zh-CN" w:bidi="ar-SA"/>
        </w:rPr>
        <w:t>（7）记录、复制或带走任何评标资料；</w:t>
      </w:r>
      <w:bookmarkEnd w:id="452"/>
    </w:p>
    <w:p>
      <w:pPr>
        <w:pStyle w:val="6"/>
        <w:spacing w:before="0" w:after="0" w:line="360" w:lineRule="auto"/>
        <w:jc w:val="both"/>
        <w:outlineLvl w:val="0"/>
        <w:rPr>
          <w:rFonts w:hint="eastAsia" w:ascii="宋体" w:hAnsi="宋体" w:eastAsia="宋体" w:cs="宋体"/>
          <w:b w:val="0"/>
          <w:bCs w:val="0"/>
          <w:kern w:val="2"/>
          <w:sz w:val="21"/>
          <w:szCs w:val="21"/>
          <w:lang w:val="en-US" w:eastAsia="zh-CN" w:bidi="ar-SA"/>
        </w:rPr>
      </w:pPr>
      <w:bookmarkStart w:id="453" w:name="_Toc6416"/>
      <w:r>
        <w:rPr>
          <w:rFonts w:hint="eastAsia" w:ascii="宋体" w:hAnsi="宋体" w:eastAsia="宋体" w:cs="宋体"/>
          <w:b w:val="0"/>
          <w:bCs w:val="0"/>
          <w:kern w:val="2"/>
          <w:sz w:val="21"/>
          <w:szCs w:val="21"/>
          <w:lang w:val="en-US" w:eastAsia="zh-CN" w:bidi="ar-SA"/>
        </w:rPr>
        <w:t>（8）有关部门（机构）制定的其他评审工作纪律。</w:t>
      </w:r>
      <w:bookmarkEnd w:id="453"/>
    </w:p>
    <w:p>
      <w:pPr>
        <w:pStyle w:val="6"/>
        <w:spacing w:before="0" w:after="0" w:line="360" w:lineRule="auto"/>
        <w:jc w:val="both"/>
        <w:outlineLvl w:val="0"/>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磋商小组成员有前款第一至四项行为之一的，其评审意见无效。</w:t>
      </w:r>
    </w:p>
    <w:p>
      <w:pPr>
        <w:rPr>
          <w:rFonts w:hint="eastAsia" w:ascii="宋体" w:hAnsi="宋体" w:cs="宋体"/>
          <w:color w:val="000000" w:themeColor="text1"/>
          <w:sz w:val="36"/>
          <w:szCs w:val="36"/>
          <w:highlight w:val="none"/>
          <w14:textFill>
            <w14:solidFill>
              <w14:schemeClr w14:val="tx1"/>
            </w14:solidFill>
          </w14:textFill>
        </w:rPr>
      </w:pPr>
      <w:r>
        <w:rPr>
          <w:rFonts w:hint="eastAsia" w:ascii="宋体" w:hAnsi="宋体" w:cs="宋体"/>
          <w:color w:val="000000" w:themeColor="text1"/>
          <w:sz w:val="36"/>
          <w:szCs w:val="36"/>
          <w:highlight w:val="none"/>
          <w14:textFill>
            <w14:solidFill>
              <w14:schemeClr w14:val="tx1"/>
            </w14:solidFill>
          </w14:textFill>
        </w:rPr>
        <w:br w:type="page"/>
      </w:r>
    </w:p>
    <w:p>
      <w:pPr>
        <w:pStyle w:val="6"/>
        <w:spacing w:before="0" w:after="0" w:line="360" w:lineRule="auto"/>
        <w:jc w:val="center"/>
        <w:outlineLvl w:val="0"/>
        <w:rPr>
          <w:rFonts w:hint="eastAsia" w:ascii="宋体" w:hAnsi="宋体" w:cs="宋体"/>
          <w:color w:val="000000" w:themeColor="text1"/>
          <w:sz w:val="36"/>
          <w:szCs w:val="36"/>
          <w:highlight w:val="none"/>
          <w14:textFill>
            <w14:solidFill>
              <w14:schemeClr w14:val="tx1"/>
            </w14:solidFill>
          </w14:textFill>
        </w:rPr>
      </w:pPr>
      <w:r>
        <w:rPr>
          <w:rFonts w:hint="eastAsia" w:ascii="宋体" w:hAnsi="宋体" w:cs="宋体"/>
          <w:color w:val="000000" w:themeColor="text1"/>
          <w:sz w:val="36"/>
          <w:szCs w:val="36"/>
          <w:highlight w:val="none"/>
          <w14:textFill>
            <w14:solidFill>
              <w14:schemeClr w14:val="tx1"/>
            </w14:solidFill>
          </w14:textFill>
        </w:rPr>
        <w:t xml:space="preserve">第五部分  </w:t>
      </w:r>
      <w:r>
        <w:rPr>
          <w:rFonts w:hint="eastAsia" w:ascii="宋体" w:hAnsi="宋体" w:cs="宋体"/>
          <w:color w:val="000000" w:themeColor="text1"/>
          <w:sz w:val="36"/>
          <w:szCs w:val="36"/>
          <w:highlight w:val="none"/>
          <w:lang w:val="en-US" w:eastAsia="zh-CN"/>
          <w14:textFill>
            <w14:solidFill>
              <w14:schemeClr w14:val="tx1"/>
            </w14:solidFill>
          </w14:textFill>
        </w:rPr>
        <w:t xml:space="preserve"> </w:t>
      </w:r>
      <w:r>
        <w:rPr>
          <w:rFonts w:hint="eastAsia" w:ascii="宋体" w:hAnsi="宋体" w:cs="宋体"/>
          <w:color w:val="000000" w:themeColor="text1"/>
          <w:sz w:val="36"/>
          <w:szCs w:val="36"/>
          <w:highlight w:val="none"/>
          <w14:textFill>
            <w14:solidFill>
              <w14:schemeClr w14:val="tx1"/>
            </w14:solidFill>
          </w14:textFill>
        </w:rPr>
        <w:t>采购内容及要求</w:t>
      </w:r>
      <w:bookmarkEnd w:id="423"/>
      <w:bookmarkEnd w:id="424"/>
      <w:bookmarkEnd w:id="425"/>
      <w:bookmarkEnd w:id="426"/>
      <w:bookmarkEnd w:id="427"/>
      <w:bookmarkEnd w:id="428"/>
      <w:bookmarkEnd w:id="429"/>
      <w:bookmarkEnd w:id="435"/>
      <w:bookmarkEnd w:id="436"/>
      <w:bookmarkEnd w:id="437"/>
      <w:bookmarkEnd w:id="438"/>
      <w:bookmarkEnd w:id="441"/>
      <w:bookmarkEnd w:id="442"/>
      <w:bookmarkEnd w:id="443"/>
      <w:bookmarkEnd w:id="444"/>
      <w:bookmarkEnd w:id="445"/>
      <w:bookmarkStart w:id="454" w:name="_Toc13701"/>
      <w:bookmarkStart w:id="455" w:name="_Toc1258"/>
      <w:bookmarkStart w:id="456" w:name="_Toc30434"/>
      <w:bookmarkStart w:id="457" w:name="_Toc246928961"/>
      <w:bookmarkStart w:id="458" w:name="_Toc128557264"/>
      <w:bookmarkStart w:id="459" w:name="_Toc246928962"/>
      <w:bookmarkStart w:id="460" w:name="_Toc497711589"/>
      <w:bookmarkStart w:id="461" w:name="_Toc389620244"/>
      <w:bookmarkStart w:id="462" w:name="_Toc497551824"/>
      <w:bookmarkStart w:id="463" w:name="_Toc497712137"/>
      <w:bookmarkStart w:id="464" w:name="_Toc385992404"/>
      <w:bookmarkStart w:id="465" w:name="_Toc497546922"/>
      <w:bookmarkStart w:id="466" w:name="_Toc492955463"/>
    </w:p>
    <w:p>
      <w:pPr>
        <w:pStyle w:val="2"/>
        <w:jc w:val="center"/>
        <w:rPr>
          <w:rFonts w:hint="default"/>
          <w:b w:val="0"/>
          <w:bCs/>
          <w:sz w:val="22"/>
          <w:szCs w:val="20"/>
          <w:lang w:val="en-US" w:eastAsia="zh-CN"/>
        </w:rPr>
      </w:pPr>
      <w:r>
        <w:rPr>
          <w:rFonts w:hint="eastAsia"/>
          <w:b w:val="0"/>
          <w:bCs/>
          <w:sz w:val="22"/>
          <w:szCs w:val="20"/>
          <w:lang w:val="en-US" w:eastAsia="zh-CN"/>
        </w:rPr>
        <w:t>详见工程量清单</w:t>
      </w:r>
    </w:p>
    <w:p>
      <w:pPr>
        <w:rPr>
          <w:rStyle w:val="47"/>
          <w:rFonts w:hint="eastAsia" w:ascii="宋体" w:hAnsi="宋体" w:cs="宋体"/>
          <w:sz w:val="36"/>
          <w:szCs w:val="36"/>
          <w:highlight w:val="none"/>
        </w:rPr>
      </w:pPr>
      <w:r>
        <w:rPr>
          <w:rStyle w:val="47"/>
          <w:rFonts w:hint="eastAsia" w:ascii="宋体" w:hAnsi="宋体" w:cs="宋体"/>
          <w:sz w:val="36"/>
          <w:szCs w:val="36"/>
          <w:highlight w:val="none"/>
        </w:rPr>
        <w:br w:type="page"/>
      </w:r>
    </w:p>
    <w:p>
      <w:pPr>
        <w:spacing w:before="120" w:line="360" w:lineRule="auto"/>
        <w:ind w:firstLine="723" w:firstLineChars="200"/>
        <w:jc w:val="center"/>
        <w:outlineLvl w:val="0"/>
        <w:rPr>
          <w:rFonts w:ascii="宋体" w:hAnsi="宋体" w:cs="宋体"/>
          <w:b/>
          <w:bCs/>
          <w:sz w:val="28"/>
          <w:szCs w:val="28"/>
          <w:highlight w:val="none"/>
        </w:rPr>
      </w:pPr>
      <w:r>
        <w:rPr>
          <w:rStyle w:val="47"/>
          <w:rFonts w:hint="eastAsia" w:ascii="宋体" w:hAnsi="宋体" w:cs="宋体"/>
          <w:sz w:val="36"/>
          <w:szCs w:val="36"/>
          <w:highlight w:val="none"/>
        </w:rPr>
        <w:t>第六部分</w:t>
      </w:r>
      <w:bookmarkStart w:id="467" w:name="_Toc246928931"/>
      <w:r>
        <w:rPr>
          <w:rStyle w:val="47"/>
          <w:rFonts w:hint="eastAsia" w:ascii="宋体" w:hAnsi="宋体" w:cs="宋体"/>
          <w:sz w:val="36"/>
          <w:szCs w:val="36"/>
          <w:highlight w:val="none"/>
        </w:rPr>
        <w:t xml:space="preserve"> </w:t>
      </w:r>
      <w:bookmarkEnd w:id="467"/>
      <w:r>
        <w:rPr>
          <w:rFonts w:hint="eastAsia" w:ascii="宋体" w:hAnsi="宋体"/>
          <w:b/>
          <w:sz w:val="32"/>
          <w:szCs w:val="32"/>
          <w:highlight w:val="none"/>
        </w:rPr>
        <w:t xml:space="preserve"> 合同主要条款</w:t>
      </w:r>
      <w:bookmarkEnd w:id="454"/>
    </w:p>
    <w:p>
      <w:pPr>
        <w:rPr>
          <w:rFonts w:ascii="宋体" w:hAnsi="宋体" w:cs="宋体"/>
          <w:sz w:val="52"/>
          <w:szCs w:val="52"/>
          <w:highlight w:val="none"/>
        </w:rPr>
      </w:pPr>
    </w:p>
    <w:p>
      <w:pPr>
        <w:ind w:firstLine="1680" w:firstLineChars="700"/>
        <w:rPr>
          <w:rFonts w:ascii="宋体" w:hAnsi="宋体"/>
          <w:bCs/>
          <w:sz w:val="24"/>
          <w:highlight w:val="none"/>
        </w:rPr>
      </w:pPr>
      <w:bookmarkStart w:id="468" w:name="_Toc21438"/>
      <w:r>
        <w:rPr>
          <w:rFonts w:hint="eastAsia" w:ascii="宋体" w:hAnsi="宋体"/>
          <w:bCs/>
          <w:sz w:val="24"/>
          <w:highlight w:val="none"/>
        </w:rPr>
        <w:t>（合同模板仅供参考，具体以实际签订合同为准）</w:t>
      </w:r>
    </w:p>
    <w:p>
      <w:pPr>
        <w:pStyle w:val="3"/>
        <w:rPr>
          <w:highlight w:val="none"/>
        </w:rPr>
      </w:pPr>
    </w:p>
    <w:p>
      <w:pPr>
        <w:pStyle w:val="2"/>
        <w:rPr>
          <w:rFonts w:ascii="宋体" w:hAnsi="宋体" w:cs="宋体"/>
          <w:highlight w:val="none"/>
        </w:rPr>
      </w:pPr>
    </w:p>
    <w:bookmarkEnd w:id="468"/>
    <w:p>
      <w:pPr>
        <w:widowControl/>
        <w:jc w:val="center"/>
        <w:rPr>
          <w:rFonts w:hint="eastAsia" w:ascii="宋体" w:hAnsi="宋体"/>
          <w:b/>
          <w:bCs/>
          <w:kern w:val="0"/>
          <w:sz w:val="36"/>
          <w:szCs w:val="36"/>
          <w:highlight w:val="none"/>
        </w:rPr>
      </w:pPr>
      <w:r>
        <w:rPr>
          <w:rFonts w:hint="eastAsia" w:ascii="宋体" w:hAnsi="宋体"/>
          <w:b/>
          <w:bCs/>
          <w:kern w:val="0"/>
          <w:sz w:val="36"/>
          <w:szCs w:val="36"/>
          <w:highlight w:val="none"/>
        </w:rPr>
        <w:t>泾康园党群服务中心装修施工项目施工合同</w:t>
      </w:r>
    </w:p>
    <w:p>
      <w:pPr>
        <w:widowControl/>
        <w:jc w:val="center"/>
        <w:rPr>
          <w:rFonts w:ascii="宋体" w:hAnsi="宋体"/>
          <w:b/>
          <w:bCs/>
          <w:kern w:val="0"/>
          <w:sz w:val="36"/>
          <w:szCs w:val="36"/>
          <w:highlight w:val="none"/>
        </w:rPr>
      </w:pPr>
      <w:r>
        <w:rPr>
          <w:rFonts w:hint="eastAsia" w:ascii="宋体" w:hAnsi="宋体"/>
          <w:b/>
          <w:bCs/>
          <w:kern w:val="0"/>
          <w:sz w:val="36"/>
          <w:szCs w:val="36"/>
          <w:highlight w:val="none"/>
        </w:rPr>
        <w:t>（参考格式）</w:t>
      </w:r>
    </w:p>
    <w:p>
      <w:pPr>
        <w:widowControl/>
        <w:ind w:firstLine="200"/>
        <w:jc w:val="center"/>
        <w:rPr>
          <w:b/>
          <w:bCs/>
          <w:kern w:val="0"/>
          <w:sz w:val="44"/>
          <w:szCs w:val="44"/>
          <w:highlight w:val="none"/>
        </w:rPr>
      </w:pPr>
    </w:p>
    <w:p>
      <w:pPr>
        <w:widowControl/>
        <w:ind w:firstLine="200"/>
        <w:jc w:val="center"/>
        <w:rPr>
          <w:b/>
          <w:bCs/>
          <w:color w:val="31859C" w:themeColor="accent5" w:themeShade="BF"/>
          <w:kern w:val="0"/>
          <w:sz w:val="44"/>
          <w:szCs w:val="44"/>
          <w:highlight w:val="none"/>
        </w:rPr>
      </w:pPr>
    </w:p>
    <w:p>
      <w:pPr>
        <w:widowControl/>
        <w:ind w:firstLine="200"/>
        <w:jc w:val="center"/>
        <w:rPr>
          <w:b/>
          <w:bCs/>
          <w:color w:val="31859C" w:themeColor="accent5" w:themeShade="BF"/>
          <w:kern w:val="0"/>
          <w:sz w:val="44"/>
          <w:szCs w:val="44"/>
          <w:highlight w:val="none"/>
        </w:rPr>
      </w:pPr>
    </w:p>
    <w:p>
      <w:pPr>
        <w:widowControl/>
        <w:ind w:firstLine="200"/>
        <w:jc w:val="center"/>
        <w:rPr>
          <w:b/>
          <w:bCs/>
          <w:color w:val="31859C" w:themeColor="accent5" w:themeShade="BF"/>
          <w:kern w:val="0"/>
          <w:sz w:val="44"/>
          <w:szCs w:val="44"/>
          <w:highlight w:val="none"/>
        </w:rPr>
      </w:pPr>
    </w:p>
    <w:p>
      <w:pPr>
        <w:widowControl/>
        <w:ind w:firstLine="200"/>
        <w:jc w:val="center"/>
        <w:rPr>
          <w:b/>
          <w:bCs/>
          <w:color w:val="31859C" w:themeColor="accent5" w:themeShade="BF"/>
          <w:kern w:val="0"/>
          <w:sz w:val="44"/>
          <w:szCs w:val="44"/>
          <w:highlight w:val="none"/>
        </w:rPr>
      </w:pPr>
    </w:p>
    <w:p>
      <w:pPr>
        <w:widowControl/>
        <w:ind w:firstLine="200"/>
        <w:jc w:val="center"/>
        <w:rPr>
          <w:b/>
          <w:bCs/>
          <w:color w:val="31859C" w:themeColor="accent5" w:themeShade="BF"/>
          <w:kern w:val="0"/>
          <w:sz w:val="44"/>
          <w:szCs w:val="44"/>
          <w:highlight w:val="none"/>
        </w:rPr>
      </w:pPr>
    </w:p>
    <w:p>
      <w:pPr>
        <w:widowControl/>
        <w:ind w:firstLine="200"/>
        <w:jc w:val="center"/>
        <w:rPr>
          <w:b/>
          <w:bCs/>
          <w:color w:val="31859C" w:themeColor="accent5" w:themeShade="BF"/>
          <w:kern w:val="0"/>
          <w:sz w:val="44"/>
          <w:szCs w:val="44"/>
          <w:highlight w:val="none"/>
        </w:rPr>
      </w:pPr>
    </w:p>
    <w:p>
      <w:pPr>
        <w:pStyle w:val="2"/>
        <w:rPr>
          <w:b/>
          <w:bCs/>
          <w:color w:val="31859C" w:themeColor="accent5" w:themeShade="BF"/>
          <w:kern w:val="0"/>
          <w:sz w:val="44"/>
          <w:szCs w:val="44"/>
          <w:highlight w:val="none"/>
        </w:rPr>
      </w:pPr>
    </w:p>
    <w:p>
      <w:pPr>
        <w:pStyle w:val="4"/>
        <w:rPr>
          <w:b/>
          <w:bCs/>
          <w:color w:val="31859C" w:themeColor="accent5" w:themeShade="BF"/>
          <w:kern w:val="0"/>
          <w:sz w:val="44"/>
          <w:szCs w:val="44"/>
          <w:highlight w:val="none"/>
        </w:rPr>
      </w:pPr>
    </w:p>
    <w:p/>
    <w:p>
      <w:pPr>
        <w:widowControl/>
        <w:ind w:firstLine="200"/>
        <w:jc w:val="center"/>
        <w:rPr>
          <w:b/>
          <w:bCs/>
          <w:color w:val="31859C" w:themeColor="accent5" w:themeShade="BF"/>
          <w:kern w:val="0"/>
          <w:sz w:val="44"/>
          <w:szCs w:val="44"/>
          <w:highlight w:val="none"/>
        </w:rPr>
      </w:pPr>
      <w:r>
        <w:rPr>
          <w:rFonts w:hint="eastAsia"/>
          <w:b/>
          <w:bCs/>
          <w:color w:val="31859C" w:themeColor="accent5" w:themeShade="BF"/>
          <w:kern w:val="0"/>
          <w:sz w:val="44"/>
          <w:szCs w:val="44"/>
          <w:highlight w:val="none"/>
        </w:rPr>
        <w:t xml:space="preserve"> </w:t>
      </w:r>
    </w:p>
    <w:p>
      <w:pPr>
        <w:widowControl/>
        <w:ind w:firstLine="200"/>
        <w:jc w:val="center"/>
        <w:rPr>
          <w:b/>
          <w:bCs/>
          <w:color w:val="31859C" w:themeColor="accent5" w:themeShade="BF"/>
          <w:kern w:val="0"/>
          <w:sz w:val="44"/>
          <w:szCs w:val="44"/>
          <w:highlight w:val="none"/>
        </w:rPr>
      </w:pPr>
      <w:r>
        <w:rPr>
          <w:rFonts w:hint="eastAsia"/>
          <w:b/>
          <w:bCs/>
          <w:color w:val="31859C" w:themeColor="accent5" w:themeShade="BF"/>
          <w:kern w:val="0"/>
          <w:sz w:val="44"/>
          <w:szCs w:val="44"/>
          <w:highlight w:val="none"/>
        </w:rPr>
        <w:t xml:space="preserve">  </w:t>
      </w:r>
    </w:p>
    <w:p>
      <w:pPr>
        <w:widowControl/>
        <w:jc w:val="center"/>
        <w:rPr>
          <w:b/>
          <w:bCs/>
          <w:kern w:val="0"/>
          <w:sz w:val="32"/>
          <w:szCs w:val="32"/>
          <w:highlight w:val="none"/>
        </w:rPr>
      </w:pPr>
      <w:r>
        <w:rPr>
          <w:b/>
          <w:bCs/>
          <w:kern w:val="0"/>
          <w:sz w:val="32"/>
          <w:szCs w:val="32"/>
          <w:highlight w:val="none"/>
        </w:rPr>
        <mc:AlternateContent>
          <mc:Choice Requires="wps">
            <w:drawing>
              <wp:anchor distT="0" distB="0" distL="114300" distR="114300" simplePos="0" relativeHeight="251666432" behindDoc="0" locked="0" layoutInCell="1" allowOverlap="1">
                <wp:simplePos x="0" y="0"/>
                <wp:positionH relativeFrom="column">
                  <wp:posOffset>4000500</wp:posOffset>
                </wp:positionH>
                <wp:positionV relativeFrom="paragraph">
                  <wp:posOffset>100330</wp:posOffset>
                </wp:positionV>
                <wp:extent cx="685800" cy="594360"/>
                <wp:effectExtent l="4445" t="4445" r="14605" b="10795"/>
                <wp:wrapNone/>
                <wp:docPr id="10" name="矩形 22"/>
                <wp:cNvGraphicFramePr/>
                <a:graphic xmlns:a="http://schemas.openxmlformats.org/drawingml/2006/main">
                  <a:graphicData uri="http://schemas.microsoft.com/office/word/2010/wordprocessingShape">
                    <wps:wsp>
                      <wps:cNvSpPr/>
                      <wps:spPr>
                        <a:xfrm>
                          <a:off x="0" y="0"/>
                          <a:ext cx="685800" cy="59436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rFonts w:ascii="宋体" w:hAnsi="宋体"/>
                                <w:b/>
                                <w:sz w:val="32"/>
                                <w:szCs w:val="32"/>
                              </w:rPr>
                            </w:pPr>
                            <w:r>
                              <w:rPr>
                                <w:rFonts w:hint="eastAsia" w:ascii="宋体" w:hAnsi="宋体"/>
                                <w:b/>
                                <w:sz w:val="32"/>
                                <w:szCs w:val="32"/>
                              </w:rPr>
                              <w:t>制</w:t>
                            </w:r>
                          </w:p>
                        </w:txbxContent>
                      </wps:txbx>
                      <wps:bodyPr upright="1"/>
                    </wps:wsp>
                  </a:graphicData>
                </a:graphic>
              </wp:anchor>
            </w:drawing>
          </mc:Choice>
          <mc:Fallback>
            <w:pict>
              <v:rect id="矩形 22" o:spid="_x0000_s1026" o:spt="1" style="position:absolute;left:0pt;margin-left:315pt;margin-top:7.9pt;height:46.8pt;width:54pt;z-index:251666432;mso-width-relative:page;mso-height-relative:page;" fillcolor="#FFFFFF" filled="t" stroked="t" coordsize="21600,21600" o:gfxdata="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D982/tcAAAAKAQAADwAAAAAAAAABACAAAAAiAAAAZHJzL2Rvd25y&#10;ZXYueG1sUEsBAhQAFAAAAAgAh07iQKUXZiL/AQAAKgQAAA4AAAAAAAAAAQAgAAAAJgEAAGRycy9l&#10;Mm9Eb2MueG1sUEsFBgAAAAAGAAYAWQEAAJcFAAAAAA==&#10;">
                <v:fill on="t" focussize="0,0"/>
                <v:stroke color="#FFFFFF" joinstyle="miter"/>
                <v:imagedata o:title=""/>
                <o:lock v:ext="edit" aspectratio="f"/>
                <v:textbox>
                  <w:txbxContent>
                    <w:p>
                      <w:pPr>
                        <w:rPr>
                          <w:rFonts w:ascii="宋体" w:hAnsi="宋体"/>
                          <w:b/>
                          <w:sz w:val="32"/>
                          <w:szCs w:val="32"/>
                        </w:rPr>
                      </w:pPr>
                      <w:r>
                        <w:rPr>
                          <w:rFonts w:hint="eastAsia" w:ascii="宋体" w:hAnsi="宋体"/>
                          <w:b/>
                          <w:sz w:val="32"/>
                          <w:szCs w:val="32"/>
                        </w:rPr>
                        <w:t>制</w:t>
                      </w:r>
                    </w:p>
                  </w:txbxContent>
                </v:textbox>
              </v:rect>
            </w:pict>
          </mc:Fallback>
        </mc:AlternateContent>
      </w:r>
      <w:r>
        <w:rPr>
          <w:b/>
          <w:bCs/>
          <w:spacing w:val="95"/>
          <w:kern w:val="0"/>
          <w:sz w:val="32"/>
          <w:szCs w:val="32"/>
          <w:highlight w:val="none"/>
        </w:rPr>
        <w:t>陕西省建设</w:t>
      </w:r>
      <w:r>
        <w:rPr>
          <w:b/>
          <w:bCs/>
          <w:kern w:val="0"/>
          <w:sz w:val="32"/>
          <w:szCs w:val="32"/>
          <w:highlight w:val="none"/>
        </w:rPr>
        <w:t>厅</w:t>
      </w:r>
    </w:p>
    <w:p>
      <w:pPr>
        <w:widowControl/>
        <w:jc w:val="center"/>
        <w:rPr>
          <w:b/>
          <w:bCs/>
          <w:kern w:val="0"/>
          <w:sz w:val="32"/>
          <w:szCs w:val="32"/>
          <w:highlight w:val="none"/>
        </w:rPr>
      </w:pPr>
      <w:r>
        <w:rPr>
          <w:b/>
          <w:bCs/>
          <w:w w:val="81"/>
          <w:kern w:val="0"/>
          <w:sz w:val="32"/>
          <w:szCs w:val="32"/>
          <w:highlight w:val="none"/>
        </w:rPr>
        <w:t>陕西省工商行政管理局</w:t>
      </w:r>
    </w:p>
    <w:p>
      <w:pPr>
        <w:ind w:firstLine="3644" w:firstLineChars="1400"/>
        <w:rPr>
          <w:rFonts w:hint="eastAsia" w:ascii="宋体" w:hAnsi="宋体" w:cs="宋体"/>
          <w:b/>
          <w:szCs w:val="21"/>
          <w:highlight w:val="none"/>
        </w:rPr>
      </w:pPr>
      <w:r>
        <w:rPr>
          <w:b/>
          <w:bCs/>
          <w:w w:val="81"/>
          <w:kern w:val="0"/>
          <w:sz w:val="32"/>
          <w:szCs w:val="32"/>
          <w:highlight w:val="none"/>
        </w:rPr>
        <w:t>二零一</w:t>
      </w:r>
      <w:r>
        <w:rPr>
          <w:rFonts w:hint="eastAsia"/>
          <w:b/>
          <w:bCs/>
          <w:w w:val="81"/>
          <w:kern w:val="0"/>
          <w:sz w:val="32"/>
          <w:szCs w:val="32"/>
          <w:highlight w:val="none"/>
        </w:rPr>
        <w:t>九</w:t>
      </w:r>
      <w:r>
        <w:rPr>
          <w:b/>
          <w:bCs/>
          <w:w w:val="81"/>
          <w:kern w:val="0"/>
          <w:sz w:val="32"/>
          <w:szCs w:val="32"/>
          <w:highlight w:val="none"/>
        </w:rPr>
        <w:t>年</w:t>
      </w:r>
      <w:r>
        <w:rPr>
          <w:rFonts w:hint="eastAsia"/>
          <w:b/>
          <w:bCs/>
          <w:w w:val="81"/>
          <w:kern w:val="0"/>
          <w:sz w:val="32"/>
          <w:szCs w:val="32"/>
          <w:highlight w:val="none"/>
        </w:rPr>
        <w:t xml:space="preserve">七月 </w:t>
      </w:r>
      <w:r>
        <w:rPr>
          <w:sz w:val="24"/>
          <w:highlight w:val="none"/>
        </w:rPr>
        <w:br w:type="page"/>
      </w:r>
    </w:p>
    <w:p>
      <w:pPr>
        <w:widowControl/>
        <w:jc w:val="center"/>
        <w:rPr>
          <w:sz w:val="28"/>
          <w:szCs w:val="28"/>
          <w:highlight w:val="none"/>
        </w:rPr>
      </w:pPr>
      <w:r>
        <w:rPr>
          <w:sz w:val="28"/>
          <w:szCs w:val="28"/>
          <w:highlight w:val="none"/>
        </w:rPr>
        <w:t>第一部分  协议书</w:t>
      </w:r>
    </w:p>
    <w:p>
      <w:pPr>
        <w:widowControl/>
        <w:spacing w:line="400" w:lineRule="exact"/>
        <w:ind w:firstLine="420" w:firstLineChars="200"/>
        <w:jc w:val="left"/>
        <w:rPr>
          <w:kern w:val="0"/>
          <w:sz w:val="21"/>
          <w:szCs w:val="21"/>
          <w:highlight w:val="none"/>
          <w:u w:val="single"/>
        </w:rPr>
      </w:pPr>
      <w:r>
        <w:rPr>
          <w:kern w:val="0"/>
          <w:sz w:val="21"/>
          <w:szCs w:val="21"/>
          <w:highlight w:val="none"/>
        </w:rPr>
        <w:t>发包人（全称）：</w:t>
      </w:r>
      <w:r>
        <w:rPr>
          <w:rFonts w:hint="eastAsia"/>
          <w:kern w:val="0"/>
          <w:sz w:val="21"/>
          <w:szCs w:val="21"/>
          <w:highlight w:val="none"/>
          <w:u w:val="single"/>
          <w:lang w:val="en-US" w:eastAsia="zh-CN"/>
        </w:rPr>
        <w:t>西安市高陵区崇皇街道办事处</w:t>
      </w:r>
    </w:p>
    <w:p>
      <w:pPr>
        <w:widowControl/>
        <w:spacing w:line="400" w:lineRule="exact"/>
        <w:ind w:firstLine="420" w:firstLineChars="200"/>
        <w:jc w:val="left"/>
        <w:rPr>
          <w:b/>
          <w:kern w:val="0"/>
          <w:sz w:val="21"/>
          <w:szCs w:val="21"/>
          <w:highlight w:val="none"/>
          <w:u w:val="single"/>
        </w:rPr>
      </w:pPr>
      <w:r>
        <w:rPr>
          <w:kern w:val="0"/>
          <w:sz w:val="21"/>
          <w:szCs w:val="21"/>
          <w:highlight w:val="none"/>
        </w:rPr>
        <w:t>承包人（全称）：</w:t>
      </w:r>
      <w:r>
        <w:rPr>
          <w:rFonts w:hint="eastAsia"/>
          <w:bCs/>
          <w:kern w:val="0"/>
          <w:sz w:val="21"/>
          <w:szCs w:val="21"/>
          <w:highlight w:val="none"/>
          <w:u w:val="single"/>
        </w:rPr>
        <w:t xml:space="preserve">                </w:t>
      </w:r>
      <w:r>
        <w:rPr>
          <w:rFonts w:hint="eastAsia"/>
          <w:bCs/>
          <w:kern w:val="0"/>
          <w:sz w:val="21"/>
          <w:szCs w:val="21"/>
          <w:highlight w:val="none"/>
          <w:u w:val="single"/>
          <w:lang w:val="en-US" w:eastAsia="zh-CN"/>
        </w:rPr>
        <w:t xml:space="preserve">     </w:t>
      </w:r>
      <w:r>
        <w:rPr>
          <w:rFonts w:hint="eastAsia"/>
          <w:bCs/>
          <w:kern w:val="0"/>
          <w:sz w:val="21"/>
          <w:szCs w:val="21"/>
          <w:highlight w:val="none"/>
          <w:u w:val="single"/>
        </w:rPr>
        <w:t xml:space="preserve">     </w:t>
      </w:r>
    </w:p>
    <w:p>
      <w:pPr>
        <w:widowControl/>
        <w:spacing w:line="400" w:lineRule="exact"/>
        <w:ind w:firstLine="420" w:firstLineChars="200"/>
        <w:jc w:val="left"/>
        <w:rPr>
          <w:kern w:val="0"/>
          <w:sz w:val="21"/>
          <w:szCs w:val="21"/>
          <w:highlight w:val="none"/>
        </w:rPr>
      </w:pPr>
      <w:r>
        <w:rPr>
          <w:kern w:val="0"/>
          <w:sz w:val="21"/>
          <w:szCs w:val="21"/>
          <w:highlight w:val="none"/>
        </w:rPr>
        <w:t>依照《中华人民共和国合同法》、《中华人民共和国建筑法》及其他有关法律、行政法规，遵循平等、自愿、公平和诚实信用的原则，双方就本建设工程施工协商一致，订立本合同。</w:t>
      </w:r>
    </w:p>
    <w:p>
      <w:pPr>
        <w:widowControl/>
        <w:spacing w:line="400" w:lineRule="exact"/>
        <w:ind w:firstLine="420" w:firstLineChars="200"/>
        <w:jc w:val="left"/>
        <w:rPr>
          <w:kern w:val="0"/>
          <w:sz w:val="21"/>
          <w:szCs w:val="21"/>
          <w:highlight w:val="none"/>
        </w:rPr>
      </w:pPr>
      <w:r>
        <w:rPr>
          <w:kern w:val="0"/>
          <w:sz w:val="21"/>
          <w:szCs w:val="21"/>
          <w:highlight w:val="none"/>
        </w:rPr>
        <w:t>一、工程概况</w:t>
      </w:r>
    </w:p>
    <w:p>
      <w:pPr>
        <w:adjustRightInd w:val="0"/>
        <w:snapToGrid w:val="0"/>
        <w:spacing w:line="400" w:lineRule="exact"/>
        <w:ind w:left="1529" w:leftChars="228" w:hanging="1050" w:hangingChars="500"/>
        <w:jc w:val="left"/>
        <w:rPr>
          <w:rFonts w:hint="eastAsia" w:eastAsia="宋体"/>
          <w:kern w:val="0"/>
          <w:sz w:val="21"/>
          <w:szCs w:val="21"/>
          <w:highlight w:val="none"/>
          <w:u w:val="single"/>
          <w:lang w:eastAsia="zh-CN"/>
        </w:rPr>
      </w:pPr>
      <w:r>
        <w:rPr>
          <w:kern w:val="0"/>
          <w:sz w:val="21"/>
          <w:szCs w:val="21"/>
          <w:highlight w:val="none"/>
        </w:rPr>
        <w:t>工程名称：</w:t>
      </w:r>
      <w:r>
        <w:rPr>
          <w:rFonts w:hint="eastAsia"/>
          <w:kern w:val="0"/>
          <w:sz w:val="21"/>
          <w:szCs w:val="21"/>
          <w:highlight w:val="none"/>
          <w:lang w:val="zh-CN" w:eastAsia="zh-CN"/>
        </w:rPr>
        <w:t>泾康园党群服务中心装修施工项目</w:t>
      </w:r>
    </w:p>
    <w:p>
      <w:pPr>
        <w:widowControl/>
        <w:spacing w:line="400" w:lineRule="exact"/>
        <w:ind w:firstLine="420" w:firstLineChars="200"/>
        <w:jc w:val="left"/>
        <w:rPr>
          <w:kern w:val="0"/>
          <w:sz w:val="21"/>
          <w:szCs w:val="21"/>
          <w:highlight w:val="none"/>
          <w:u w:val="single"/>
        </w:rPr>
      </w:pPr>
      <w:r>
        <w:rPr>
          <w:kern w:val="0"/>
          <w:sz w:val="21"/>
          <w:szCs w:val="21"/>
          <w:highlight w:val="none"/>
        </w:rPr>
        <w:t>工程地点：</w:t>
      </w:r>
      <w:r>
        <w:rPr>
          <w:rFonts w:hint="eastAsia"/>
          <w:kern w:val="0"/>
          <w:sz w:val="21"/>
          <w:szCs w:val="21"/>
          <w:highlight w:val="none"/>
          <w:u w:val="single"/>
        </w:rPr>
        <w:t xml:space="preserve">                   </w:t>
      </w:r>
    </w:p>
    <w:p>
      <w:pPr>
        <w:widowControl/>
        <w:spacing w:line="400" w:lineRule="exact"/>
        <w:ind w:firstLine="420" w:firstLineChars="200"/>
        <w:jc w:val="left"/>
        <w:rPr>
          <w:kern w:val="0"/>
          <w:sz w:val="21"/>
          <w:szCs w:val="21"/>
          <w:highlight w:val="none"/>
          <w:u w:val="single"/>
        </w:rPr>
      </w:pPr>
      <w:r>
        <w:rPr>
          <w:kern w:val="0"/>
          <w:sz w:val="21"/>
          <w:szCs w:val="21"/>
          <w:highlight w:val="none"/>
        </w:rPr>
        <w:t>结构形式：</w:t>
      </w:r>
      <w:r>
        <w:rPr>
          <w:kern w:val="0"/>
          <w:sz w:val="21"/>
          <w:szCs w:val="21"/>
          <w:highlight w:val="none"/>
          <w:u w:val="single"/>
        </w:rPr>
        <w:t xml:space="preserve">  </w:t>
      </w:r>
      <w:r>
        <w:rPr>
          <w:rFonts w:hint="eastAsia"/>
          <w:kern w:val="0"/>
          <w:sz w:val="21"/>
          <w:szCs w:val="21"/>
          <w:highlight w:val="none"/>
          <w:u w:val="single"/>
        </w:rPr>
        <w:t xml:space="preserve"> </w:t>
      </w:r>
      <w:r>
        <w:rPr>
          <w:kern w:val="0"/>
          <w:sz w:val="21"/>
          <w:szCs w:val="21"/>
          <w:highlight w:val="none"/>
          <w:u w:val="single"/>
        </w:rPr>
        <w:t xml:space="preserve">    </w:t>
      </w:r>
      <w:r>
        <w:rPr>
          <w:kern w:val="0"/>
          <w:sz w:val="21"/>
          <w:szCs w:val="21"/>
          <w:highlight w:val="none"/>
        </w:rPr>
        <w:t>　　建筑面积：</w:t>
      </w:r>
      <w:r>
        <w:rPr>
          <w:kern w:val="0"/>
          <w:sz w:val="21"/>
          <w:szCs w:val="21"/>
          <w:highlight w:val="none"/>
          <w:u w:val="single"/>
        </w:rPr>
        <w:t xml:space="preserve">      </w:t>
      </w:r>
    </w:p>
    <w:p>
      <w:pPr>
        <w:widowControl/>
        <w:spacing w:line="400" w:lineRule="exact"/>
        <w:ind w:firstLine="420" w:firstLineChars="200"/>
        <w:jc w:val="left"/>
        <w:rPr>
          <w:kern w:val="0"/>
          <w:sz w:val="21"/>
          <w:szCs w:val="21"/>
          <w:highlight w:val="none"/>
        </w:rPr>
      </w:pPr>
      <w:r>
        <w:rPr>
          <w:kern w:val="0"/>
          <w:sz w:val="21"/>
          <w:szCs w:val="21"/>
          <w:highlight w:val="none"/>
        </w:rPr>
        <w:t>群体工程应附承包人承揽工程项目一览表（附件1）</w:t>
      </w:r>
    </w:p>
    <w:p>
      <w:pPr>
        <w:widowControl/>
        <w:spacing w:line="400" w:lineRule="exact"/>
        <w:ind w:firstLine="420" w:firstLineChars="200"/>
        <w:jc w:val="left"/>
        <w:rPr>
          <w:kern w:val="0"/>
          <w:sz w:val="21"/>
          <w:szCs w:val="21"/>
          <w:highlight w:val="none"/>
          <w:u w:val="single"/>
        </w:rPr>
      </w:pPr>
      <w:r>
        <w:rPr>
          <w:kern w:val="0"/>
          <w:sz w:val="21"/>
          <w:szCs w:val="21"/>
          <w:highlight w:val="none"/>
        </w:rPr>
        <w:t>工程立项文号：</w:t>
      </w:r>
    </w:p>
    <w:p>
      <w:pPr>
        <w:widowControl/>
        <w:spacing w:line="400" w:lineRule="exact"/>
        <w:ind w:firstLine="420" w:firstLineChars="200"/>
        <w:jc w:val="left"/>
        <w:rPr>
          <w:color w:val="000000" w:themeColor="text1"/>
          <w:kern w:val="0"/>
          <w:sz w:val="21"/>
          <w:szCs w:val="21"/>
          <w:highlight w:val="none"/>
          <w:u w:val="single"/>
          <w14:textFill>
            <w14:solidFill>
              <w14:schemeClr w14:val="tx1"/>
            </w14:solidFill>
          </w14:textFill>
        </w:rPr>
      </w:pPr>
      <w:r>
        <w:rPr>
          <w:color w:val="000000" w:themeColor="text1"/>
          <w:kern w:val="0"/>
          <w:sz w:val="21"/>
          <w:szCs w:val="21"/>
          <w:highlight w:val="none"/>
          <w14:textFill>
            <w14:solidFill>
              <w14:schemeClr w14:val="tx1"/>
            </w14:solidFill>
          </w14:textFill>
        </w:rPr>
        <w:t>资金来源：</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财政资金</w:t>
      </w:r>
    </w:p>
    <w:p>
      <w:pPr>
        <w:widowControl/>
        <w:spacing w:line="400" w:lineRule="exact"/>
        <w:ind w:firstLine="420" w:firstLineChars="200"/>
        <w:jc w:val="left"/>
        <w:rPr>
          <w:kern w:val="0"/>
          <w:sz w:val="21"/>
          <w:szCs w:val="21"/>
          <w:highlight w:val="none"/>
        </w:rPr>
      </w:pPr>
      <w:r>
        <w:rPr>
          <w:kern w:val="0"/>
          <w:sz w:val="21"/>
          <w:szCs w:val="21"/>
          <w:highlight w:val="none"/>
        </w:rPr>
        <w:t>二、工程承包范围</w:t>
      </w:r>
    </w:p>
    <w:p>
      <w:pPr>
        <w:pStyle w:val="24"/>
        <w:spacing w:line="500" w:lineRule="exact"/>
        <w:ind w:left="433" w:leftChars="206" w:firstLine="420" w:firstLineChars="200"/>
        <w:rPr>
          <w:rFonts w:hint="default" w:eastAsia="宋体"/>
          <w:snapToGrid w:val="0"/>
          <w:sz w:val="21"/>
          <w:szCs w:val="21"/>
          <w:highlight w:val="none"/>
          <w:u w:val="single"/>
          <w:lang w:val="en-US" w:eastAsia="zh-CN"/>
        </w:rPr>
      </w:pPr>
      <w:r>
        <w:rPr>
          <w:sz w:val="21"/>
          <w:szCs w:val="21"/>
          <w:highlight w:val="none"/>
        </w:rPr>
        <w:t>承包范围：</w:t>
      </w:r>
      <w:r>
        <w:rPr>
          <w:rFonts w:hint="eastAsia"/>
          <w:sz w:val="21"/>
          <w:szCs w:val="21"/>
          <w:highlight w:val="none"/>
          <w:u w:val="single"/>
          <w:lang w:val="en-US" w:eastAsia="zh-CN"/>
        </w:rPr>
        <w:t xml:space="preserve">                                    </w:t>
      </w:r>
    </w:p>
    <w:p>
      <w:pPr>
        <w:widowControl/>
        <w:spacing w:line="400" w:lineRule="exact"/>
        <w:ind w:firstLine="420" w:firstLineChars="200"/>
        <w:jc w:val="left"/>
        <w:rPr>
          <w:kern w:val="0"/>
          <w:sz w:val="21"/>
          <w:szCs w:val="21"/>
          <w:highlight w:val="none"/>
        </w:rPr>
      </w:pPr>
      <w:r>
        <w:rPr>
          <w:kern w:val="0"/>
          <w:sz w:val="21"/>
          <w:szCs w:val="21"/>
          <w:highlight w:val="none"/>
        </w:rPr>
        <w:t>三、合同工期：</w:t>
      </w:r>
    </w:p>
    <w:p>
      <w:pPr>
        <w:widowControl/>
        <w:spacing w:line="400" w:lineRule="exact"/>
        <w:ind w:firstLine="420" w:firstLineChars="200"/>
        <w:jc w:val="left"/>
        <w:rPr>
          <w:kern w:val="0"/>
          <w:sz w:val="21"/>
          <w:szCs w:val="21"/>
          <w:highlight w:val="none"/>
        </w:rPr>
      </w:pPr>
      <w:r>
        <w:rPr>
          <w:kern w:val="0"/>
          <w:sz w:val="21"/>
          <w:szCs w:val="21"/>
          <w:highlight w:val="none"/>
        </w:rPr>
        <w:t>总日历天数</w:t>
      </w:r>
      <w:r>
        <w:rPr>
          <w:kern w:val="0"/>
          <w:sz w:val="21"/>
          <w:szCs w:val="21"/>
          <w:highlight w:val="none"/>
          <w:u w:val="single"/>
        </w:rPr>
        <w:t xml:space="preserve"> </w:t>
      </w:r>
      <w:r>
        <w:rPr>
          <w:rFonts w:hint="eastAsia"/>
          <w:kern w:val="0"/>
          <w:sz w:val="21"/>
          <w:szCs w:val="21"/>
          <w:highlight w:val="none"/>
          <w:u w:val="single"/>
          <w:lang w:val="en-US" w:eastAsia="zh-CN"/>
        </w:rPr>
        <w:t xml:space="preserve">    </w:t>
      </w:r>
      <w:r>
        <w:rPr>
          <w:rFonts w:hint="eastAsia"/>
          <w:kern w:val="0"/>
          <w:sz w:val="21"/>
          <w:szCs w:val="21"/>
          <w:highlight w:val="none"/>
          <w:u w:val="single"/>
        </w:rPr>
        <w:t xml:space="preserve"> </w:t>
      </w:r>
      <w:r>
        <w:rPr>
          <w:kern w:val="0"/>
          <w:sz w:val="21"/>
          <w:szCs w:val="21"/>
          <w:highlight w:val="none"/>
        </w:rPr>
        <w:t>日历天</w:t>
      </w:r>
    </w:p>
    <w:p>
      <w:pPr>
        <w:widowControl/>
        <w:spacing w:line="400" w:lineRule="exact"/>
        <w:ind w:firstLine="420" w:firstLineChars="200"/>
        <w:jc w:val="left"/>
        <w:rPr>
          <w:kern w:val="0"/>
          <w:sz w:val="21"/>
          <w:szCs w:val="21"/>
          <w:highlight w:val="none"/>
        </w:rPr>
      </w:pPr>
      <w:r>
        <w:rPr>
          <w:kern w:val="0"/>
          <w:sz w:val="21"/>
          <w:szCs w:val="21"/>
          <w:highlight w:val="none"/>
        </w:rPr>
        <w:t>开工日期：</w:t>
      </w:r>
      <w:r>
        <w:rPr>
          <w:rFonts w:hint="eastAsia"/>
          <w:kern w:val="0"/>
          <w:sz w:val="21"/>
          <w:szCs w:val="21"/>
          <w:highlight w:val="none"/>
          <w:u w:val="single"/>
        </w:rPr>
        <w:t>20</w:t>
      </w:r>
      <w:r>
        <w:rPr>
          <w:rFonts w:hint="eastAsia"/>
          <w:kern w:val="0"/>
          <w:sz w:val="21"/>
          <w:szCs w:val="21"/>
          <w:highlight w:val="none"/>
          <w:u w:val="single"/>
          <w:lang w:val="en-US" w:eastAsia="zh-CN"/>
        </w:rPr>
        <w:t>22</w:t>
      </w:r>
      <w:r>
        <w:rPr>
          <w:rFonts w:hint="eastAsia"/>
          <w:kern w:val="0"/>
          <w:sz w:val="21"/>
          <w:szCs w:val="21"/>
          <w:highlight w:val="none"/>
        </w:rPr>
        <w:t>年</w:t>
      </w:r>
      <w:r>
        <w:rPr>
          <w:rFonts w:hint="eastAsia"/>
          <w:kern w:val="0"/>
          <w:sz w:val="21"/>
          <w:szCs w:val="21"/>
          <w:highlight w:val="none"/>
          <w:u w:val="single"/>
        </w:rPr>
        <w:t xml:space="preserve">    </w:t>
      </w:r>
      <w:r>
        <w:rPr>
          <w:rFonts w:hint="eastAsia"/>
          <w:kern w:val="0"/>
          <w:sz w:val="21"/>
          <w:szCs w:val="21"/>
          <w:highlight w:val="none"/>
        </w:rPr>
        <w:t>月</w:t>
      </w:r>
      <w:r>
        <w:rPr>
          <w:rFonts w:hint="eastAsia"/>
          <w:kern w:val="0"/>
          <w:sz w:val="21"/>
          <w:szCs w:val="21"/>
          <w:highlight w:val="none"/>
          <w:u w:val="single"/>
        </w:rPr>
        <w:t xml:space="preserve">    </w:t>
      </w:r>
      <w:r>
        <w:rPr>
          <w:rFonts w:hint="eastAsia"/>
          <w:kern w:val="0"/>
          <w:sz w:val="21"/>
          <w:szCs w:val="21"/>
          <w:highlight w:val="none"/>
        </w:rPr>
        <w:t>日</w:t>
      </w:r>
    </w:p>
    <w:p>
      <w:pPr>
        <w:widowControl/>
        <w:spacing w:line="400" w:lineRule="exact"/>
        <w:ind w:firstLine="420" w:firstLineChars="200"/>
        <w:jc w:val="left"/>
        <w:rPr>
          <w:kern w:val="0"/>
          <w:sz w:val="21"/>
          <w:szCs w:val="21"/>
          <w:highlight w:val="none"/>
        </w:rPr>
      </w:pPr>
      <w:r>
        <w:rPr>
          <w:kern w:val="0"/>
          <w:sz w:val="21"/>
          <w:szCs w:val="21"/>
          <w:highlight w:val="none"/>
        </w:rPr>
        <w:t>竣工日期：</w:t>
      </w:r>
      <w:r>
        <w:rPr>
          <w:rFonts w:hint="eastAsia"/>
          <w:kern w:val="0"/>
          <w:sz w:val="21"/>
          <w:szCs w:val="21"/>
          <w:highlight w:val="none"/>
          <w:u w:val="single"/>
        </w:rPr>
        <w:t>20</w:t>
      </w:r>
      <w:r>
        <w:rPr>
          <w:rFonts w:hint="eastAsia"/>
          <w:kern w:val="0"/>
          <w:sz w:val="21"/>
          <w:szCs w:val="21"/>
          <w:highlight w:val="none"/>
          <w:u w:val="single"/>
          <w:lang w:val="en-US" w:eastAsia="zh-CN"/>
        </w:rPr>
        <w:t>22</w:t>
      </w:r>
      <w:r>
        <w:rPr>
          <w:rFonts w:hint="eastAsia"/>
          <w:kern w:val="0"/>
          <w:sz w:val="21"/>
          <w:szCs w:val="21"/>
          <w:highlight w:val="none"/>
        </w:rPr>
        <w:t>年</w:t>
      </w:r>
      <w:r>
        <w:rPr>
          <w:rFonts w:hint="eastAsia"/>
          <w:kern w:val="0"/>
          <w:sz w:val="21"/>
          <w:szCs w:val="21"/>
          <w:highlight w:val="none"/>
          <w:u w:val="single"/>
        </w:rPr>
        <w:t xml:space="preserve">    </w:t>
      </w:r>
      <w:r>
        <w:rPr>
          <w:rFonts w:hint="eastAsia"/>
          <w:kern w:val="0"/>
          <w:sz w:val="21"/>
          <w:szCs w:val="21"/>
          <w:highlight w:val="none"/>
        </w:rPr>
        <w:t>月</w:t>
      </w:r>
      <w:r>
        <w:rPr>
          <w:rFonts w:hint="eastAsia"/>
          <w:kern w:val="0"/>
          <w:sz w:val="21"/>
          <w:szCs w:val="21"/>
          <w:highlight w:val="none"/>
          <w:u w:val="single"/>
        </w:rPr>
        <w:t xml:space="preserve">    </w:t>
      </w:r>
      <w:r>
        <w:rPr>
          <w:rFonts w:hint="eastAsia"/>
          <w:kern w:val="0"/>
          <w:sz w:val="21"/>
          <w:szCs w:val="21"/>
          <w:highlight w:val="none"/>
        </w:rPr>
        <w:t>日</w:t>
      </w:r>
    </w:p>
    <w:p>
      <w:pPr>
        <w:widowControl/>
        <w:spacing w:line="400" w:lineRule="exact"/>
        <w:ind w:firstLine="420" w:firstLineChars="200"/>
        <w:jc w:val="left"/>
        <w:rPr>
          <w:kern w:val="0"/>
          <w:sz w:val="21"/>
          <w:szCs w:val="21"/>
          <w:highlight w:val="none"/>
        </w:rPr>
      </w:pPr>
      <w:r>
        <w:rPr>
          <w:kern w:val="0"/>
          <w:sz w:val="21"/>
          <w:szCs w:val="21"/>
          <w:highlight w:val="none"/>
        </w:rPr>
        <w:t>四、质量标准</w:t>
      </w:r>
    </w:p>
    <w:p>
      <w:pPr>
        <w:widowControl/>
        <w:spacing w:line="400" w:lineRule="exact"/>
        <w:ind w:firstLine="420" w:firstLineChars="200"/>
        <w:jc w:val="left"/>
        <w:rPr>
          <w:kern w:val="0"/>
          <w:sz w:val="21"/>
          <w:szCs w:val="21"/>
          <w:highlight w:val="none"/>
          <w:u w:val="single"/>
        </w:rPr>
      </w:pPr>
      <w:r>
        <w:rPr>
          <w:kern w:val="0"/>
          <w:sz w:val="21"/>
          <w:szCs w:val="21"/>
          <w:highlight w:val="none"/>
        </w:rPr>
        <w:t>工程质量标准：</w:t>
      </w:r>
      <w:r>
        <w:rPr>
          <w:kern w:val="0"/>
          <w:sz w:val="21"/>
          <w:szCs w:val="21"/>
          <w:highlight w:val="none"/>
          <w:u w:val="single"/>
        </w:rPr>
        <w:t xml:space="preserve"> 合</w:t>
      </w:r>
      <w:r>
        <w:rPr>
          <w:rFonts w:hint="eastAsia"/>
          <w:kern w:val="0"/>
          <w:sz w:val="21"/>
          <w:szCs w:val="21"/>
          <w:highlight w:val="none"/>
          <w:u w:val="single"/>
        </w:rPr>
        <w:t xml:space="preserve"> </w:t>
      </w:r>
      <w:r>
        <w:rPr>
          <w:kern w:val="0"/>
          <w:sz w:val="21"/>
          <w:szCs w:val="21"/>
          <w:highlight w:val="none"/>
          <w:u w:val="single"/>
        </w:rPr>
        <w:t>格</w:t>
      </w:r>
      <w:r>
        <w:rPr>
          <w:rFonts w:hint="eastAsia"/>
          <w:kern w:val="0"/>
          <w:sz w:val="21"/>
          <w:szCs w:val="21"/>
          <w:highlight w:val="none"/>
          <w:u w:val="single"/>
        </w:rPr>
        <w:t xml:space="preserve"> </w:t>
      </w:r>
      <w:r>
        <w:rPr>
          <w:kern w:val="0"/>
          <w:sz w:val="21"/>
          <w:szCs w:val="21"/>
          <w:highlight w:val="none"/>
          <w:u w:val="single"/>
        </w:rPr>
        <w:t xml:space="preserve"> </w:t>
      </w:r>
      <w:r>
        <w:rPr>
          <w:rFonts w:hint="eastAsia"/>
          <w:kern w:val="0"/>
          <w:sz w:val="21"/>
          <w:szCs w:val="21"/>
          <w:highlight w:val="none"/>
          <w:u w:val="single"/>
        </w:rPr>
        <w:t>　　</w:t>
      </w:r>
    </w:p>
    <w:p>
      <w:pPr>
        <w:widowControl/>
        <w:spacing w:line="400" w:lineRule="exact"/>
        <w:ind w:firstLine="420" w:firstLineChars="200"/>
        <w:jc w:val="left"/>
        <w:rPr>
          <w:kern w:val="0"/>
          <w:sz w:val="21"/>
          <w:szCs w:val="21"/>
          <w:highlight w:val="none"/>
        </w:rPr>
      </w:pPr>
      <w:r>
        <w:rPr>
          <w:kern w:val="0"/>
          <w:sz w:val="21"/>
          <w:szCs w:val="21"/>
          <w:highlight w:val="none"/>
        </w:rPr>
        <w:t>五、合同价款</w:t>
      </w:r>
    </w:p>
    <w:p>
      <w:pPr>
        <w:widowControl/>
        <w:spacing w:line="400" w:lineRule="exact"/>
        <w:ind w:firstLine="420" w:firstLineChars="200"/>
        <w:jc w:val="left"/>
        <w:rPr>
          <w:kern w:val="0"/>
          <w:sz w:val="21"/>
          <w:szCs w:val="21"/>
          <w:highlight w:val="none"/>
          <w:u w:val="single"/>
        </w:rPr>
      </w:pPr>
      <w:r>
        <w:rPr>
          <w:kern w:val="0"/>
          <w:sz w:val="21"/>
          <w:szCs w:val="21"/>
          <w:highlight w:val="none"/>
        </w:rPr>
        <w:t>1、合同总价（大写）：</w:t>
      </w:r>
      <w:r>
        <w:rPr>
          <w:sz w:val="21"/>
          <w:szCs w:val="21"/>
          <w:highlight w:val="none"/>
        </w:rPr>
        <w:t>人民币</w:t>
      </w:r>
      <w:r>
        <w:rPr>
          <w:rFonts w:hint="eastAsia"/>
          <w:sz w:val="21"/>
          <w:szCs w:val="21"/>
          <w:highlight w:val="none"/>
          <w:u w:val="single"/>
        </w:rPr>
        <w:t xml:space="preserve">      </w:t>
      </w:r>
    </w:p>
    <w:p>
      <w:pPr>
        <w:widowControl/>
        <w:spacing w:line="400" w:lineRule="exact"/>
        <w:ind w:firstLine="420" w:firstLineChars="200"/>
        <w:jc w:val="left"/>
        <w:rPr>
          <w:kern w:val="0"/>
          <w:sz w:val="21"/>
          <w:szCs w:val="21"/>
          <w:highlight w:val="none"/>
        </w:rPr>
      </w:pPr>
      <w:r>
        <w:rPr>
          <w:kern w:val="0"/>
          <w:sz w:val="21"/>
          <w:szCs w:val="21"/>
          <w:highlight w:val="none"/>
          <w:u w:val="single"/>
        </w:rPr>
        <w:t>（小写）￥：</w:t>
      </w:r>
      <w:r>
        <w:rPr>
          <w:rFonts w:hint="eastAsia"/>
          <w:sz w:val="21"/>
          <w:szCs w:val="21"/>
          <w:highlight w:val="none"/>
          <w:u w:val="single"/>
        </w:rPr>
        <w:t xml:space="preserve">      </w:t>
      </w:r>
      <w:r>
        <w:rPr>
          <w:kern w:val="0"/>
          <w:sz w:val="21"/>
          <w:szCs w:val="21"/>
          <w:highlight w:val="none"/>
          <w:u w:val="single"/>
        </w:rPr>
        <w:t>元</w:t>
      </w:r>
      <w:r>
        <w:rPr>
          <w:kern w:val="0"/>
          <w:sz w:val="21"/>
          <w:szCs w:val="21"/>
          <w:highlight w:val="none"/>
        </w:rPr>
        <w:t>（其中：工程预留金</w:t>
      </w:r>
      <w:r>
        <w:rPr>
          <w:rFonts w:hint="eastAsia"/>
          <w:kern w:val="0"/>
          <w:sz w:val="21"/>
          <w:szCs w:val="21"/>
          <w:highlight w:val="none"/>
          <w:u w:val="single"/>
        </w:rPr>
        <w:t xml:space="preserve">      </w:t>
      </w:r>
      <w:r>
        <w:rPr>
          <w:kern w:val="0"/>
          <w:sz w:val="21"/>
          <w:szCs w:val="21"/>
          <w:highlight w:val="none"/>
        </w:rPr>
        <w:t>元，零星工作费</w:t>
      </w:r>
      <w:r>
        <w:rPr>
          <w:rFonts w:hint="eastAsia"/>
          <w:kern w:val="0"/>
          <w:sz w:val="21"/>
          <w:szCs w:val="21"/>
          <w:highlight w:val="none"/>
          <w:u w:val="single"/>
        </w:rPr>
        <w:t xml:space="preserve">     /      </w:t>
      </w:r>
      <w:r>
        <w:rPr>
          <w:kern w:val="0"/>
          <w:sz w:val="21"/>
          <w:szCs w:val="21"/>
          <w:highlight w:val="none"/>
        </w:rPr>
        <w:t>元，安全防护、文明施工措施费</w:t>
      </w:r>
      <w:r>
        <w:rPr>
          <w:rFonts w:hint="eastAsia"/>
          <w:kern w:val="0"/>
          <w:sz w:val="21"/>
          <w:szCs w:val="21"/>
          <w:highlight w:val="none"/>
        </w:rPr>
        <w:t xml:space="preserve"> </w:t>
      </w:r>
      <w:r>
        <w:rPr>
          <w:rFonts w:hint="eastAsia"/>
          <w:kern w:val="0"/>
          <w:sz w:val="21"/>
          <w:szCs w:val="21"/>
          <w:highlight w:val="none"/>
          <w:u w:val="single"/>
        </w:rPr>
        <w:t xml:space="preserve">        </w:t>
      </w:r>
      <w:r>
        <w:rPr>
          <w:kern w:val="0"/>
          <w:sz w:val="21"/>
          <w:szCs w:val="21"/>
          <w:highlight w:val="none"/>
        </w:rPr>
        <w:t>元，工程分包和材料购置费</w:t>
      </w:r>
      <w:r>
        <w:rPr>
          <w:rFonts w:hint="eastAsia"/>
          <w:kern w:val="0"/>
          <w:sz w:val="21"/>
          <w:szCs w:val="21"/>
          <w:highlight w:val="none"/>
          <w:u w:val="single"/>
        </w:rPr>
        <w:t xml:space="preserve">     /      </w:t>
      </w:r>
      <w:r>
        <w:rPr>
          <w:kern w:val="0"/>
          <w:sz w:val="21"/>
          <w:szCs w:val="21"/>
          <w:highlight w:val="none"/>
        </w:rPr>
        <w:t>元，</w:t>
      </w:r>
      <w:r>
        <w:rPr>
          <w:rFonts w:hint="eastAsia"/>
          <w:kern w:val="0"/>
          <w:sz w:val="21"/>
          <w:szCs w:val="21"/>
          <w:highlight w:val="none"/>
        </w:rPr>
        <w:t xml:space="preserve"> </w:t>
      </w:r>
      <w:r>
        <w:rPr>
          <w:kern w:val="0"/>
          <w:sz w:val="21"/>
          <w:szCs w:val="21"/>
          <w:highlight w:val="none"/>
        </w:rPr>
        <w:t>总承包服务费</w:t>
      </w:r>
      <w:r>
        <w:rPr>
          <w:rFonts w:hint="eastAsia"/>
          <w:kern w:val="0"/>
          <w:sz w:val="21"/>
          <w:szCs w:val="21"/>
          <w:highlight w:val="none"/>
          <w:u w:val="single"/>
        </w:rPr>
        <w:t xml:space="preserve">   /    </w:t>
      </w:r>
      <w:r>
        <w:rPr>
          <w:rFonts w:hint="eastAsia"/>
          <w:kern w:val="0"/>
          <w:sz w:val="21"/>
          <w:szCs w:val="21"/>
          <w:highlight w:val="none"/>
        </w:rPr>
        <w:t xml:space="preserve"> </w:t>
      </w:r>
      <w:r>
        <w:rPr>
          <w:kern w:val="0"/>
          <w:sz w:val="21"/>
          <w:szCs w:val="21"/>
          <w:highlight w:val="none"/>
        </w:rPr>
        <w:t>元。)</w:t>
      </w:r>
    </w:p>
    <w:p>
      <w:pPr>
        <w:widowControl/>
        <w:spacing w:line="400" w:lineRule="exact"/>
        <w:ind w:firstLine="420" w:firstLineChars="200"/>
        <w:jc w:val="left"/>
        <w:rPr>
          <w:kern w:val="0"/>
          <w:sz w:val="21"/>
          <w:szCs w:val="21"/>
          <w:highlight w:val="none"/>
        </w:rPr>
      </w:pPr>
      <w:r>
        <w:rPr>
          <w:kern w:val="0"/>
          <w:sz w:val="21"/>
          <w:szCs w:val="21"/>
          <w:highlight w:val="none"/>
        </w:rPr>
        <w:t>2、综合单价：详见承包人的报价书。</w:t>
      </w:r>
    </w:p>
    <w:p>
      <w:pPr>
        <w:widowControl/>
        <w:spacing w:line="400" w:lineRule="exact"/>
        <w:ind w:firstLine="420" w:firstLineChars="200"/>
        <w:jc w:val="left"/>
        <w:rPr>
          <w:kern w:val="0"/>
          <w:sz w:val="21"/>
          <w:szCs w:val="21"/>
          <w:highlight w:val="none"/>
        </w:rPr>
      </w:pPr>
      <w:r>
        <w:rPr>
          <w:kern w:val="0"/>
          <w:sz w:val="21"/>
          <w:szCs w:val="21"/>
          <w:highlight w:val="none"/>
        </w:rPr>
        <w:t>六、组成合同的文件</w:t>
      </w:r>
    </w:p>
    <w:p>
      <w:pPr>
        <w:widowControl/>
        <w:spacing w:line="400" w:lineRule="exact"/>
        <w:ind w:firstLine="420" w:firstLineChars="200"/>
        <w:jc w:val="left"/>
        <w:rPr>
          <w:kern w:val="0"/>
          <w:sz w:val="21"/>
          <w:szCs w:val="21"/>
          <w:highlight w:val="none"/>
        </w:rPr>
      </w:pPr>
      <w:r>
        <w:rPr>
          <w:kern w:val="0"/>
          <w:sz w:val="21"/>
          <w:szCs w:val="21"/>
          <w:highlight w:val="none"/>
        </w:rPr>
        <w:t>组成本合同的文件包括：</w:t>
      </w:r>
    </w:p>
    <w:p>
      <w:pPr>
        <w:widowControl/>
        <w:spacing w:line="400" w:lineRule="exact"/>
        <w:ind w:firstLine="420" w:firstLineChars="200"/>
        <w:jc w:val="left"/>
        <w:rPr>
          <w:kern w:val="0"/>
          <w:sz w:val="21"/>
          <w:szCs w:val="21"/>
          <w:highlight w:val="none"/>
        </w:rPr>
      </w:pPr>
      <w:r>
        <w:rPr>
          <w:kern w:val="0"/>
          <w:sz w:val="21"/>
          <w:szCs w:val="21"/>
          <w:highlight w:val="none"/>
        </w:rPr>
        <w:t>1、本合同协议书</w:t>
      </w:r>
    </w:p>
    <w:p>
      <w:pPr>
        <w:widowControl/>
        <w:spacing w:line="400" w:lineRule="exact"/>
        <w:ind w:firstLine="420" w:firstLineChars="200"/>
        <w:jc w:val="left"/>
        <w:rPr>
          <w:kern w:val="0"/>
          <w:sz w:val="21"/>
          <w:szCs w:val="21"/>
          <w:highlight w:val="none"/>
        </w:rPr>
      </w:pPr>
      <w:r>
        <w:rPr>
          <w:kern w:val="0"/>
          <w:sz w:val="21"/>
          <w:szCs w:val="21"/>
          <w:highlight w:val="none"/>
        </w:rPr>
        <w:t>2、本合同专用条款</w:t>
      </w:r>
    </w:p>
    <w:p>
      <w:pPr>
        <w:widowControl/>
        <w:spacing w:line="400" w:lineRule="exact"/>
        <w:ind w:firstLine="420" w:firstLineChars="200"/>
        <w:jc w:val="left"/>
        <w:rPr>
          <w:b/>
          <w:bCs/>
          <w:kern w:val="0"/>
          <w:sz w:val="21"/>
          <w:szCs w:val="21"/>
          <w:highlight w:val="none"/>
        </w:rPr>
      </w:pPr>
      <w:r>
        <w:rPr>
          <w:kern w:val="0"/>
          <w:sz w:val="21"/>
          <w:szCs w:val="21"/>
          <w:highlight w:val="none"/>
        </w:rPr>
        <w:t>3、本合同通用条款</w:t>
      </w:r>
    </w:p>
    <w:p>
      <w:pPr>
        <w:widowControl/>
        <w:spacing w:line="400" w:lineRule="exact"/>
        <w:ind w:firstLine="420" w:firstLineChars="200"/>
        <w:jc w:val="left"/>
        <w:rPr>
          <w:kern w:val="0"/>
          <w:sz w:val="21"/>
          <w:szCs w:val="21"/>
          <w:highlight w:val="none"/>
        </w:rPr>
      </w:pPr>
      <w:r>
        <w:rPr>
          <w:kern w:val="0"/>
          <w:sz w:val="21"/>
          <w:szCs w:val="21"/>
          <w:highlight w:val="none"/>
        </w:rPr>
        <w:t>4、中标通知书</w:t>
      </w:r>
    </w:p>
    <w:p>
      <w:pPr>
        <w:widowControl/>
        <w:spacing w:line="400" w:lineRule="exact"/>
        <w:ind w:firstLine="420" w:firstLineChars="200"/>
        <w:jc w:val="left"/>
        <w:rPr>
          <w:kern w:val="0"/>
          <w:sz w:val="21"/>
          <w:szCs w:val="21"/>
          <w:highlight w:val="none"/>
        </w:rPr>
      </w:pPr>
      <w:r>
        <w:rPr>
          <w:kern w:val="0"/>
          <w:sz w:val="21"/>
          <w:szCs w:val="21"/>
          <w:highlight w:val="none"/>
        </w:rPr>
        <w:t>5、投标书、工程报价单或预算书及其附件</w:t>
      </w:r>
    </w:p>
    <w:p>
      <w:pPr>
        <w:widowControl/>
        <w:spacing w:line="400" w:lineRule="exact"/>
        <w:ind w:firstLine="420" w:firstLineChars="200"/>
        <w:jc w:val="left"/>
        <w:rPr>
          <w:kern w:val="0"/>
          <w:sz w:val="21"/>
          <w:szCs w:val="21"/>
          <w:highlight w:val="none"/>
        </w:rPr>
      </w:pPr>
      <w:r>
        <w:rPr>
          <w:kern w:val="0"/>
          <w:sz w:val="21"/>
          <w:szCs w:val="21"/>
          <w:highlight w:val="none"/>
        </w:rPr>
        <w:t>6、招标文件、答疑纪要及工程量清单</w:t>
      </w:r>
    </w:p>
    <w:p>
      <w:pPr>
        <w:widowControl/>
        <w:spacing w:line="400" w:lineRule="exact"/>
        <w:ind w:firstLine="420" w:firstLineChars="200"/>
        <w:jc w:val="left"/>
        <w:rPr>
          <w:kern w:val="0"/>
          <w:sz w:val="21"/>
          <w:szCs w:val="21"/>
          <w:highlight w:val="none"/>
        </w:rPr>
      </w:pPr>
      <w:r>
        <w:rPr>
          <w:kern w:val="0"/>
          <w:sz w:val="21"/>
          <w:szCs w:val="21"/>
          <w:highlight w:val="none"/>
        </w:rPr>
        <w:t>7、图纸</w:t>
      </w:r>
    </w:p>
    <w:p>
      <w:pPr>
        <w:widowControl/>
        <w:spacing w:line="400" w:lineRule="exact"/>
        <w:ind w:firstLine="420" w:firstLineChars="200"/>
        <w:jc w:val="left"/>
        <w:rPr>
          <w:kern w:val="0"/>
          <w:sz w:val="21"/>
          <w:szCs w:val="21"/>
          <w:highlight w:val="none"/>
        </w:rPr>
      </w:pPr>
      <w:r>
        <w:rPr>
          <w:kern w:val="0"/>
          <w:sz w:val="21"/>
          <w:szCs w:val="21"/>
          <w:highlight w:val="none"/>
        </w:rPr>
        <w:t>8、标准、规范及有关技术文件</w:t>
      </w:r>
    </w:p>
    <w:p>
      <w:pPr>
        <w:widowControl/>
        <w:spacing w:line="400" w:lineRule="exact"/>
        <w:ind w:firstLine="420" w:firstLineChars="200"/>
        <w:jc w:val="left"/>
        <w:rPr>
          <w:kern w:val="0"/>
          <w:sz w:val="21"/>
          <w:szCs w:val="21"/>
          <w:highlight w:val="none"/>
        </w:rPr>
      </w:pPr>
      <w:r>
        <w:rPr>
          <w:kern w:val="0"/>
          <w:sz w:val="21"/>
          <w:szCs w:val="21"/>
          <w:highlight w:val="none"/>
        </w:rPr>
        <w:t>9、本工程招标期间招标人的书面澄清文件</w:t>
      </w:r>
    </w:p>
    <w:p>
      <w:pPr>
        <w:widowControl/>
        <w:spacing w:line="400" w:lineRule="exact"/>
        <w:ind w:firstLine="420" w:firstLineChars="200"/>
        <w:jc w:val="left"/>
        <w:rPr>
          <w:kern w:val="0"/>
          <w:sz w:val="21"/>
          <w:szCs w:val="21"/>
          <w:highlight w:val="none"/>
        </w:rPr>
      </w:pPr>
      <w:r>
        <w:rPr>
          <w:kern w:val="0"/>
          <w:sz w:val="21"/>
          <w:szCs w:val="21"/>
          <w:highlight w:val="none"/>
        </w:rPr>
        <w:t>双方为履行本合同的有关洽商、变更等书面协议、文件，视为本合同的组成部分。</w:t>
      </w:r>
    </w:p>
    <w:p>
      <w:pPr>
        <w:widowControl/>
        <w:spacing w:line="400" w:lineRule="exact"/>
        <w:ind w:firstLine="420" w:firstLineChars="200"/>
        <w:jc w:val="left"/>
        <w:rPr>
          <w:kern w:val="0"/>
          <w:sz w:val="21"/>
          <w:szCs w:val="21"/>
          <w:highlight w:val="none"/>
        </w:rPr>
      </w:pPr>
      <w:r>
        <w:rPr>
          <w:kern w:val="0"/>
          <w:sz w:val="21"/>
          <w:szCs w:val="21"/>
          <w:highlight w:val="none"/>
        </w:rPr>
        <w:t>七、本协议书中有关词语含义与本合同第二部分《通用条款》中赋予的定义相同。</w:t>
      </w:r>
    </w:p>
    <w:p>
      <w:pPr>
        <w:widowControl/>
        <w:spacing w:line="400" w:lineRule="exact"/>
        <w:ind w:firstLine="420" w:firstLineChars="200"/>
        <w:jc w:val="left"/>
        <w:rPr>
          <w:kern w:val="0"/>
          <w:sz w:val="21"/>
          <w:szCs w:val="21"/>
          <w:highlight w:val="none"/>
        </w:rPr>
      </w:pPr>
      <w:r>
        <w:rPr>
          <w:kern w:val="0"/>
          <w:sz w:val="21"/>
          <w:szCs w:val="21"/>
          <w:highlight w:val="none"/>
        </w:rPr>
        <w:t>八、承包人按照合同约定进行施工、竣工并在质量保修期内承担工程质量保修责任。</w:t>
      </w:r>
    </w:p>
    <w:p>
      <w:pPr>
        <w:widowControl/>
        <w:spacing w:line="400" w:lineRule="exact"/>
        <w:ind w:firstLine="420" w:firstLineChars="200"/>
        <w:jc w:val="left"/>
        <w:rPr>
          <w:kern w:val="0"/>
          <w:sz w:val="21"/>
          <w:szCs w:val="21"/>
          <w:highlight w:val="none"/>
        </w:rPr>
      </w:pPr>
      <w:r>
        <w:rPr>
          <w:kern w:val="0"/>
          <w:sz w:val="21"/>
          <w:szCs w:val="21"/>
          <w:highlight w:val="none"/>
        </w:rPr>
        <w:t>九、发包人按照合同约定的期限和方式支付合同价款及其他应当支付的款项。</w:t>
      </w:r>
    </w:p>
    <w:p>
      <w:pPr>
        <w:widowControl/>
        <w:spacing w:line="400" w:lineRule="exact"/>
        <w:ind w:firstLine="420" w:firstLineChars="200"/>
        <w:jc w:val="left"/>
        <w:rPr>
          <w:kern w:val="0"/>
          <w:sz w:val="21"/>
          <w:szCs w:val="21"/>
          <w:highlight w:val="none"/>
        </w:rPr>
      </w:pPr>
      <w:r>
        <w:rPr>
          <w:kern w:val="0"/>
          <w:sz w:val="21"/>
          <w:szCs w:val="21"/>
          <w:highlight w:val="none"/>
        </w:rPr>
        <w:t>十、合同生效</w:t>
      </w:r>
    </w:p>
    <w:p>
      <w:pPr>
        <w:widowControl/>
        <w:spacing w:line="400" w:lineRule="exact"/>
        <w:ind w:firstLine="420" w:firstLineChars="200"/>
        <w:jc w:val="left"/>
        <w:rPr>
          <w:kern w:val="0"/>
          <w:sz w:val="21"/>
          <w:szCs w:val="21"/>
          <w:highlight w:val="none"/>
        </w:rPr>
      </w:pPr>
      <w:r>
        <w:rPr>
          <w:kern w:val="0"/>
          <w:sz w:val="21"/>
          <w:szCs w:val="21"/>
          <w:highlight w:val="none"/>
        </w:rPr>
        <w:t>合同订立时间：</w:t>
      </w:r>
      <w:r>
        <w:rPr>
          <w:rFonts w:hint="eastAsia"/>
          <w:kern w:val="0"/>
          <w:sz w:val="21"/>
          <w:szCs w:val="21"/>
          <w:highlight w:val="none"/>
        </w:rPr>
        <w:t xml:space="preserve"> 20</w:t>
      </w:r>
      <w:r>
        <w:rPr>
          <w:rFonts w:hint="eastAsia"/>
          <w:kern w:val="0"/>
          <w:sz w:val="21"/>
          <w:szCs w:val="21"/>
          <w:highlight w:val="none"/>
          <w:lang w:val="en-US" w:eastAsia="zh-CN"/>
        </w:rPr>
        <w:t>22</w:t>
      </w:r>
      <w:r>
        <w:rPr>
          <w:kern w:val="0"/>
          <w:sz w:val="21"/>
          <w:szCs w:val="21"/>
          <w:highlight w:val="none"/>
        </w:rPr>
        <w:t>年</w:t>
      </w:r>
      <w:r>
        <w:rPr>
          <w:rFonts w:hint="eastAsia"/>
          <w:kern w:val="0"/>
          <w:sz w:val="21"/>
          <w:szCs w:val="21"/>
          <w:highlight w:val="none"/>
        </w:rPr>
        <w:t xml:space="preserve">     </w:t>
      </w:r>
      <w:r>
        <w:rPr>
          <w:kern w:val="0"/>
          <w:sz w:val="21"/>
          <w:szCs w:val="21"/>
          <w:highlight w:val="none"/>
        </w:rPr>
        <w:t>月</w:t>
      </w:r>
      <w:r>
        <w:rPr>
          <w:rFonts w:hint="eastAsia"/>
          <w:kern w:val="0"/>
          <w:sz w:val="21"/>
          <w:szCs w:val="21"/>
          <w:highlight w:val="none"/>
        </w:rPr>
        <w:t xml:space="preserve">    </w:t>
      </w:r>
      <w:r>
        <w:rPr>
          <w:kern w:val="0"/>
          <w:sz w:val="21"/>
          <w:szCs w:val="21"/>
          <w:highlight w:val="none"/>
        </w:rPr>
        <w:t>日</w:t>
      </w:r>
    </w:p>
    <w:p>
      <w:pPr>
        <w:widowControl/>
        <w:spacing w:line="400" w:lineRule="exact"/>
        <w:ind w:firstLine="420" w:firstLineChars="200"/>
        <w:jc w:val="left"/>
        <w:rPr>
          <w:kern w:val="0"/>
          <w:sz w:val="21"/>
          <w:szCs w:val="21"/>
          <w:highlight w:val="none"/>
        </w:rPr>
      </w:pPr>
      <w:r>
        <w:rPr>
          <w:kern w:val="0"/>
          <w:sz w:val="21"/>
          <w:szCs w:val="21"/>
          <w:highlight w:val="none"/>
        </w:rPr>
        <w:t>合同订立地点：</w:t>
      </w:r>
      <w:r>
        <w:rPr>
          <w:rFonts w:hint="eastAsia"/>
          <w:kern w:val="0"/>
          <w:sz w:val="21"/>
          <w:szCs w:val="21"/>
          <w:highlight w:val="none"/>
          <w:u w:val="single"/>
        </w:rPr>
        <w:t xml:space="preserve">     　　　　　　　　　　　</w:t>
      </w:r>
      <w:r>
        <w:rPr>
          <w:rFonts w:hint="eastAsia"/>
          <w:kern w:val="0"/>
          <w:sz w:val="21"/>
          <w:szCs w:val="21"/>
          <w:highlight w:val="none"/>
        </w:rPr>
        <w:t xml:space="preserve">             </w:t>
      </w:r>
    </w:p>
    <w:p>
      <w:pPr>
        <w:widowControl/>
        <w:spacing w:line="400" w:lineRule="exact"/>
        <w:ind w:firstLine="420" w:firstLineChars="200"/>
        <w:jc w:val="left"/>
        <w:rPr>
          <w:kern w:val="0"/>
          <w:sz w:val="21"/>
          <w:szCs w:val="21"/>
          <w:highlight w:val="none"/>
        </w:rPr>
      </w:pPr>
      <w:r>
        <w:rPr>
          <w:kern w:val="0"/>
          <w:sz w:val="21"/>
          <w:szCs w:val="21"/>
          <w:highlight w:val="none"/>
        </w:rPr>
        <w:t>本合同双方约定_</w:t>
      </w:r>
      <w:r>
        <w:rPr>
          <w:rFonts w:hint="eastAsia"/>
          <w:kern w:val="0"/>
          <w:sz w:val="21"/>
          <w:szCs w:val="21"/>
          <w:highlight w:val="none"/>
          <w:u w:val="single"/>
        </w:rPr>
        <w:t>双方法定代表人或委托代理人</w:t>
      </w:r>
      <w:r>
        <w:rPr>
          <w:rFonts w:hint="eastAsia"/>
          <w:kern w:val="0"/>
          <w:sz w:val="21"/>
          <w:szCs w:val="21"/>
          <w:highlight w:val="none"/>
        </w:rPr>
        <w:t>签字</w:t>
      </w:r>
      <w:r>
        <w:rPr>
          <w:kern w:val="0"/>
          <w:sz w:val="21"/>
          <w:szCs w:val="21"/>
          <w:highlight w:val="none"/>
        </w:rPr>
        <w:t>后生效。</w:t>
      </w:r>
    </w:p>
    <w:p>
      <w:pPr>
        <w:widowControl/>
        <w:spacing w:line="400" w:lineRule="exact"/>
        <w:ind w:firstLine="420" w:firstLineChars="200"/>
        <w:jc w:val="left"/>
        <w:rPr>
          <w:kern w:val="0"/>
          <w:sz w:val="21"/>
          <w:szCs w:val="21"/>
          <w:highlight w:val="none"/>
        </w:rPr>
      </w:pPr>
    </w:p>
    <w:p>
      <w:pPr>
        <w:widowControl/>
        <w:spacing w:line="400" w:lineRule="exact"/>
        <w:ind w:firstLine="420" w:firstLineChars="200"/>
        <w:jc w:val="left"/>
        <w:rPr>
          <w:kern w:val="0"/>
          <w:sz w:val="21"/>
          <w:szCs w:val="21"/>
          <w:highlight w:val="none"/>
        </w:rPr>
      </w:pPr>
      <w:r>
        <w:rPr>
          <w:rFonts w:hint="eastAsia"/>
          <w:kern w:val="0"/>
          <w:sz w:val="21"/>
          <w:szCs w:val="21"/>
          <w:highlight w:val="none"/>
        </w:rPr>
        <w:t>甲方</w:t>
      </w:r>
      <w:r>
        <w:rPr>
          <w:kern w:val="0"/>
          <w:sz w:val="21"/>
          <w:szCs w:val="21"/>
          <w:highlight w:val="none"/>
        </w:rPr>
        <w:t>：（公章）</w:t>
      </w:r>
      <w:r>
        <w:rPr>
          <w:rFonts w:hint="eastAsia"/>
          <w:kern w:val="0"/>
          <w:sz w:val="21"/>
          <w:szCs w:val="21"/>
          <w:highlight w:val="none"/>
          <w:u w:val="single"/>
        </w:rPr>
        <w:t xml:space="preserve">          </w:t>
      </w:r>
      <w:r>
        <w:rPr>
          <w:kern w:val="0"/>
          <w:sz w:val="21"/>
          <w:szCs w:val="21"/>
          <w:highlight w:val="none"/>
        </w:rPr>
        <w:t xml:space="preserve">     </w:t>
      </w:r>
      <w:r>
        <w:rPr>
          <w:rFonts w:hint="eastAsia"/>
          <w:kern w:val="0"/>
          <w:sz w:val="21"/>
          <w:szCs w:val="21"/>
          <w:highlight w:val="none"/>
        </w:rPr>
        <w:t xml:space="preserve"> </w:t>
      </w:r>
      <w:r>
        <w:rPr>
          <w:kern w:val="0"/>
          <w:sz w:val="21"/>
          <w:szCs w:val="21"/>
          <w:highlight w:val="none"/>
        </w:rPr>
        <w:t xml:space="preserve"> </w:t>
      </w:r>
      <w:r>
        <w:rPr>
          <w:rFonts w:hint="eastAsia"/>
          <w:kern w:val="0"/>
          <w:sz w:val="21"/>
          <w:szCs w:val="21"/>
          <w:highlight w:val="none"/>
        </w:rPr>
        <w:t xml:space="preserve">  　　　乙方</w:t>
      </w:r>
      <w:r>
        <w:rPr>
          <w:kern w:val="0"/>
          <w:sz w:val="21"/>
          <w:szCs w:val="21"/>
          <w:highlight w:val="none"/>
        </w:rPr>
        <w:t>：（公章）</w:t>
      </w:r>
      <w:r>
        <w:rPr>
          <w:rFonts w:hint="eastAsia"/>
          <w:kern w:val="0"/>
          <w:sz w:val="21"/>
          <w:szCs w:val="21"/>
          <w:highlight w:val="none"/>
          <w:u w:val="single"/>
        </w:rPr>
        <w:t xml:space="preserve">     　    </w:t>
      </w:r>
    </w:p>
    <w:p>
      <w:pPr>
        <w:autoSpaceDE w:val="0"/>
        <w:autoSpaceDN w:val="0"/>
        <w:adjustRightInd w:val="0"/>
        <w:spacing w:line="520" w:lineRule="atLeast"/>
        <w:ind w:left="4049" w:leftChars="228" w:hanging="3570" w:hangingChars="1700"/>
        <w:rPr>
          <w:kern w:val="0"/>
          <w:sz w:val="21"/>
          <w:szCs w:val="21"/>
          <w:highlight w:val="none"/>
          <w:u w:val="single"/>
        </w:rPr>
      </w:pPr>
      <w:r>
        <w:rPr>
          <w:kern w:val="0"/>
          <w:sz w:val="21"/>
          <w:szCs w:val="21"/>
          <w:highlight w:val="none"/>
        </w:rPr>
        <w:t>地址：</w:t>
      </w:r>
      <w:r>
        <w:rPr>
          <w:rFonts w:hint="eastAsia"/>
          <w:kern w:val="0"/>
          <w:sz w:val="21"/>
          <w:szCs w:val="21"/>
          <w:highlight w:val="none"/>
          <w:u w:val="single"/>
        </w:rPr>
        <w:t xml:space="preserve">　　　　　　　　  </w:t>
      </w:r>
      <w:r>
        <w:rPr>
          <w:rFonts w:hint="eastAsia"/>
          <w:kern w:val="0"/>
          <w:sz w:val="21"/>
          <w:szCs w:val="21"/>
          <w:highlight w:val="none"/>
        </w:rPr>
        <w:t xml:space="preserve">  </w:t>
      </w:r>
      <w:r>
        <w:rPr>
          <w:kern w:val="0"/>
          <w:sz w:val="21"/>
          <w:szCs w:val="21"/>
          <w:highlight w:val="none"/>
        </w:rPr>
        <w:t xml:space="preserve">      </w:t>
      </w:r>
      <w:r>
        <w:rPr>
          <w:rFonts w:hint="eastAsia"/>
          <w:kern w:val="0"/>
          <w:sz w:val="21"/>
          <w:szCs w:val="21"/>
          <w:highlight w:val="none"/>
        </w:rPr>
        <w:t xml:space="preserve"> 　　　</w:t>
      </w:r>
      <w:r>
        <w:rPr>
          <w:kern w:val="0"/>
          <w:sz w:val="21"/>
          <w:szCs w:val="21"/>
          <w:highlight w:val="none"/>
        </w:rPr>
        <w:t>地址：</w:t>
      </w:r>
      <w:r>
        <w:rPr>
          <w:rFonts w:hint="eastAsia"/>
          <w:kern w:val="0"/>
          <w:sz w:val="21"/>
          <w:szCs w:val="21"/>
          <w:highlight w:val="none"/>
          <w:u w:val="single"/>
        </w:rPr>
        <w:t xml:space="preserve">                   </w:t>
      </w:r>
    </w:p>
    <w:p>
      <w:pPr>
        <w:widowControl/>
        <w:spacing w:line="500" w:lineRule="exact"/>
        <w:ind w:firstLine="420" w:firstLineChars="200"/>
        <w:jc w:val="left"/>
        <w:rPr>
          <w:kern w:val="0"/>
          <w:sz w:val="21"/>
          <w:szCs w:val="21"/>
          <w:highlight w:val="none"/>
        </w:rPr>
      </w:pPr>
      <w:r>
        <w:rPr>
          <w:kern w:val="0"/>
          <w:sz w:val="21"/>
          <w:szCs w:val="21"/>
          <w:highlight w:val="none"/>
        </w:rPr>
        <w:t>邮政编码：</w:t>
      </w:r>
      <w:r>
        <w:rPr>
          <w:rFonts w:hint="eastAsia"/>
          <w:kern w:val="0"/>
          <w:sz w:val="21"/>
          <w:szCs w:val="21"/>
          <w:highlight w:val="none"/>
          <w:u w:val="single"/>
        </w:rPr>
        <w:t xml:space="preserve">　　　        </w:t>
      </w:r>
      <w:r>
        <w:rPr>
          <w:rFonts w:hint="eastAsia"/>
          <w:kern w:val="0"/>
          <w:sz w:val="21"/>
          <w:szCs w:val="21"/>
          <w:highlight w:val="none"/>
        </w:rPr>
        <w:t xml:space="preserve">   </w:t>
      </w:r>
      <w:r>
        <w:rPr>
          <w:kern w:val="0"/>
          <w:sz w:val="21"/>
          <w:szCs w:val="21"/>
          <w:highlight w:val="none"/>
        </w:rPr>
        <w:t xml:space="preserve">      </w:t>
      </w:r>
      <w:r>
        <w:rPr>
          <w:rFonts w:hint="eastAsia"/>
          <w:kern w:val="0"/>
          <w:sz w:val="21"/>
          <w:szCs w:val="21"/>
          <w:highlight w:val="none"/>
        </w:rPr>
        <w:t>　　　</w:t>
      </w:r>
      <w:r>
        <w:rPr>
          <w:kern w:val="0"/>
          <w:sz w:val="21"/>
          <w:szCs w:val="21"/>
          <w:highlight w:val="none"/>
        </w:rPr>
        <w:t>邮政编码：</w:t>
      </w:r>
      <w:r>
        <w:rPr>
          <w:rFonts w:hint="eastAsia"/>
          <w:kern w:val="0"/>
          <w:sz w:val="21"/>
          <w:szCs w:val="21"/>
          <w:highlight w:val="none"/>
          <w:u w:val="single"/>
        </w:rPr>
        <w:t xml:space="preserve">               </w:t>
      </w:r>
      <w:r>
        <w:rPr>
          <w:rFonts w:hint="eastAsia"/>
          <w:kern w:val="0"/>
          <w:sz w:val="21"/>
          <w:szCs w:val="21"/>
          <w:highlight w:val="none"/>
        </w:rPr>
        <w:t xml:space="preserve"> </w:t>
      </w:r>
    </w:p>
    <w:p>
      <w:pPr>
        <w:widowControl/>
        <w:spacing w:line="500" w:lineRule="exact"/>
        <w:ind w:firstLine="420" w:firstLineChars="200"/>
        <w:jc w:val="left"/>
        <w:rPr>
          <w:kern w:val="0"/>
          <w:sz w:val="21"/>
          <w:szCs w:val="21"/>
          <w:highlight w:val="none"/>
        </w:rPr>
      </w:pPr>
      <w:r>
        <w:rPr>
          <w:kern w:val="0"/>
          <w:sz w:val="21"/>
          <w:szCs w:val="21"/>
          <w:highlight w:val="none"/>
        </w:rPr>
        <w:t>法定代表人：</w:t>
      </w:r>
      <w:r>
        <w:rPr>
          <w:rFonts w:hint="eastAsia"/>
          <w:kern w:val="0"/>
          <w:sz w:val="21"/>
          <w:szCs w:val="21"/>
          <w:highlight w:val="none"/>
          <w:u w:val="single"/>
        </w:rPr>
        <w:t xml:space="preserve">            </w:t>
      </w:r>
      <w:r>
        <w:rPr>
          <w:kern w:val="0"/>
          <w:sz w:val="21"/>
          <w:szCs w:val="21"/>
          <w:highlight w:val="none"/>
        </w:rPr>
        <w:t xml:space="preserve">         </w:t>
      </w:r>
      <w:r>
        <w:rPr>
          <w:rFonts w:hint="eastAsia"/>
          <w:kern w:val="0"/>
          <w:sz w:val="21"/>
          <w:szCs w:val="21"/>
          <w:highlight w:val="none"/>
        </w:rPr>
        <w:t>　　　</w:t>
      </w:r>
      <w:r>
        <w:rPr>
          <w:kern w:val="0"/>
          <w:sz w:val="21"/>
          <w:szCs w:val="21"/>
          <w:highlight w:val="none"/>
        </w:rPr>
        <w:t>法定代表人：</w:t>
      </w:r>
      <w:r>
        <w:rPr>
          <w:rFonts w:hint="eastAsia"/>
          <w:kern w:val="0"/>
          <w:sz w:val="21"/>
          <w:szCs w:val="21"/>
          <w:highlight w:val="none"/>
          <w:u w:val="single"/>
        </w:rPr>
        <w:t xml:space="preserve">             </w:t>
      </w:r>
    </w:p>
    <w:p>
      <w:pPr>
        <w:widowControl/>
        <w:spacing w:line="500" w:lineRule="exact"/>
        <w:ind w:firstLine="420" w:firstLineChars="200"/>
        <w:jc w:val="left"/>
        <w:rPr>
          <w:kern w:val="0"/>
          <w:sz w:val="21"/>
          <w:szCs w:val="21"/>
          <w:highlight w:val="none"/>
        </w:rPr>
      </w:pPr>
      <w:r>
        <w:rPr>
          <w:kern w:val="0"/>
          <w:sz w:val="21"/>
          <w:szCs w:val="21"/>
          <w:highlight w:val="none"/>
        </w:rPr>
        <w:t>委托代理人：</w:t>
      </w:r>
      <w:r>
        <w:rPr>
          <w:rFonts w:hint="eastAsia"/>
          <w:kern w:val="0"/>
          <w:sz w:val="21"/>
          <w:szCs w:val="21"/>
          <w:highlight w:val="none"/>
          <w:u w:val="single"/>
        </w:rPr>
        <w:t xml:space="preserve">            </w:t>
      </w:r>
      <w:r>
        <w:rPr>
          <w:kern w:val="0"/>
          <w:sz w:val="21"/>
          <w:szCs w:val="21"/>
          <w:highlight w:val="none"/>
        </w:rPr>
        <w:t xml:space="preserve">       </w:t>
      </w:r>
      <w:r>
        <w:rPr>
          <w:rFonts w:hint="eastAsia"/>
          <w:kern w:val="0"/>
          <w:sz w:val="21"/>
          <w:szCs w:val="21"/>
          <w:highlight w:val="none"/>
        </w:rPr>
        <w:t>　　　　</w:t>
      </w:r>
      <w:r>
        <w:rPr>
          <w:kern w:val="0"/>
          <w:sz w:val="21"/>
          <w:szCs w:val="21"/>
          <w:highlight w:val="none"/>
        </w:rPr>
        <w:t>委托代理人：</w:t>
      </w:r>
      <w:r>
        <w:rPr>
          <w:rFonts w:hint="eastAsia"/>
          <w:kern w:val="0"/>
          <w:sz w:val="21"/>
          <w:szCs w:val="21"/>
          <w:highlight w:val="none"/>
          <w:u w:val="single"/>
        </w:rPr>
        <w:t xml:space="preserve">             </w:t>
      </w:r>
    </w:p>
    <w:p>
      <w:pPr>
        <w:widowControl/>
        <w:spacing w:line="500" w:lineRule="exact"/>
        <w:ind w:firstLine="420" w:firstLineChars="200"/>
        <w:jc w:val="left"/>
        <w:rPr>
          <w:kern w:val="0"/>
          <w:sz w:val="21"/>
          <w:szCs w:val="21"/>
          <w:highlight w:val="none"/>
        </w:rPr>
      </w:pPr>
      <w:r>
        <w:rPr>
          <w:kern w:val="0"/>
          <w:sz w:val="21"/>
          <w:szCs w:val="21"/>
          <w:highlight w:val="none"/>
        </w:rPr>
        <w:t>电话：</w:t>
      </w:r>
      <w:r>
        <w:rPr>
          <w:rFonts w:hint="eastAsia"/>
          <w:kern w:val="0"/>
          <w:sz w:val="21"/>
          <w:szCs w:val="21"/>
          <w:highlight w:val="none"/>
        </w:rPr>
        <w:t xml:space="preserve"> </w:t>
      </w:r>
      <w:r>
        <w:rPr>
          <w:rFonts w:hint="eastAsia"/>
          <w:kern w:val="0"/>
          <w:sz w:val="21"/>
          <w:szCs w:val="21"/>
          <w:highlight w:val="none"/>
          <w:u w:val="single"/>
        </w:rPr>
        <w:t xml:space="preserve">　　　　     　  </w:t>
      </w:r>
      <w:r>
        <w:rPr>
          <w:rFonts w:hint="eastAsia"/>
          <w:kern w:val="0"/>
          <w:sz w:val="21"/>
          <w:szCs w:val="21"/>
          <w:highlight w:val="none"/>
        </w:rPr>
        <w:t xml:space="preserve">   </w:t>
      </w:r>
      <w:r>
        <w:rPr>
          <w:kern w:val="0"/>
          <w:sz w:val="21"/>
          <w:szCs w:val="21"/>
          <w:highlight w:val="none"/>
        </w:rPr>
        <w:t xml:space="preserve">      </w:t>
      </w:r>
      <w:r>
        <w:rPr>
          <w:rFonts w:hint="eastAsia"/>
          <w:kern w:val="0"/>
          <w:sz w:val="21"/>
          <w:szCs w:val="21"/>
          <w:highlight w:val="none"/>
        </w:rPr>
        <w:t>　　　</w:t>
      </w:r>
      <w:r>
        <w:rPr>
          <w:kern w:val="0"/>
          <w:sz w:val="21"/>
          <w:szCs w:val="21"/>
          <w:highlight w:val="none"/>
        </w:rPr>
        <w:t>电话：</w:t>
      </w:r>
      <w:r>
        <w:rPr>
          <w:rFonts w:hint="eastAsia"/>
          <w:kern w:val="0"/>
          <w:sz w:val="21"/>
          <w:szCs w:val="21"/>
          <w:highlight w:val="none"/>
          <w:u w:val="single"/>
        </w:rPr>
        <w:t xml:space="preserve">                   </w:t>
      </w:r>
    </w:p>
    <w:p>
      <w:pPr>
        <w:widowControl/>
        <w:spacing w:line="500" w:lineRule="exact"/>
        <w:ind w:firstLine="420" w:firstLineChars="200"/>
        <w:jc w:val="left"/>
        <w:rPr>
          <w:kern w:val="0"/>
          <w:sz w:val="21"/>
          <w:szCs w:val="21"/>
          <w:highlight w:val="none"/>
        </w:rPr>
      </w:pPr>
      <w:r>
        <w:rPr>
          <w:kern w:val="0"/>
          <w:sz w:val="21"/>
          <w:szCs w:val="21"/>
          <w:highlight w:val="none"/>
        </w:rPr>
        <w:t>传真：</w:t>
      </w:r>
      <w:r>
        <w:rPr>
          <w:rFonts w:hint="eastAsia"/>
          <w:kern w:val="0"/>
          <w:sz w:val="21"/>
          <w:szCs w:val="21"/>
          <w:highlight w:val="none"/>
          <w:u w:val="single"/>
        </w:rPr>
        <w:t xml:space="preserve">            　　　</w:t>
      </w:r>
      <w:r>
        <w:rPr>
          <w:kern w:val="0"/>
          <w:sz w:val="21"/>
          <w:szCs w:val="21"/>
          <w:highlight w:val="none"/>
        </w:rPr>
        <w:t xml:space="preserve">         </w:t>
      </w:r>
      <w:r>
        <w:rPr>
          <w:rFonts w:hint="eastAsia"/>
          <w:kern w:val="0"/>
          <w:sz w:val="21"/>
          <w:szCs w:val="21"/>
          <w:highlight w:val="none"/>
        </w:rPr>
        <w:t>　　　</w:t>
      </w:r>
      <w:r>
        <w:rPr>
          <w:kern w:val="0"/>
          <w:sz w:val="21"/>
          <w:szCs w:val="21"/>
          <w:highlight w:val="none"/>
        </w:rPr>
        <w:t>传真：</w:t>
      </w:r>
      <w:r>
        <w:rPr>
          <w:rFonts w:hint="eastAsia"/>
          <w:kern w:val="0"/>
          <w:sz w:val="21"/>
          <w:szCs w:val="21"/>
          <w:highlight w:val="none"/>
          <w:u w:val="single"/>
        </w:rPr>
        <w:t xml:space="preserve">                   </w:t>
      </w:r>
    </w:p>
    <w:p>
      <w:pPr>
        <w:widowControl/>
        <w:spacing w:line="500" w:lineRule="exact"/>
        <w:ind w:left="4889" w:leftChars="228" w:hanging="4410" w:hangingChars="2100"/>
        <w:jc w:val="left"/>
        <w:rPr>
          <w:kern w:val="0"/>
          <w:sz w:val="21"/>
          <w:szCs w:val="21"/>
          <w:highlight w:val="none"/>
        </w:rPr>
      </w:pPr>
      <w:r>
        <w:rPr>
          <w:kern w:val="0"/>
          <w:sz w:val="21"/>
          <w:szCs w:val="21"/>
          <w:highlight w:val="none"/>
        </w:rPr>
        <w:t xml:space="preserve">开户银行：______________         </w:t>
      </w:r>
      <w:r>
        <w:rPr>
          <w:rFonts w:hint="eastAsia"/>
          <w:kern w:val="0"/>
          <w:sz w:val="21"/>
          <w:szCs w:val="21"/>
          <w:highlight w:val="none"/>
        </w:rPr>
        <w:t>　　　</w:t>
      </w:r>
      <w:r>
        <w:rPr>
          <w:kern w:val="0"/>
          <w:sz w:val="21"/>
          <w:szCs w:val="21"/>
          <w:highlight w:val="none"/>
        </w:rPr>
        <w:t>开户银行：</w:t>
      </w:r>
      <w:r>
        <w:rPr>
          <w:rFonts w:hint="eastAsia"/>
          <w:kern w:val="0"/>
          <w:sz w:val="21"/>
          <w:szCs w:val="21"/>
          <w:highlight w:val="none"/>
          <w:u w:val="single"/>
        </w:rPr>
        <w:t xml:space="preserve">               </w:t>
      </w:r>
    </w:p>
    <w:p>
      <w:pPr>
        <w:widowControl/>
        <w:spacing w:line="500" w:lineRule="exact"/>
        <w:ind w:firstLine="420" w:firstLineChars="200"/>
        <w:jc w:val="left"/>
        <w:rPr>
          <w:kern w:val="0"/>
          <w:sz w:val="21"/>
          <w:szCs w:val="21"/>
          <w:highlight w:val="none"/>
        </w:rPr>
      </w:pPr>
      <w:r>
        <w:rPr>
          <w:kern w:val="0"/>
          <w:sz w:val="21"/>
          <w:szCs w:val="21"/>
          <w:highlight w:val="none"/>
        </w:rPr>
        <w:t>帐号：</w:t>
      </w:r>
      <w:r>
        <w:rPr>
          <w:rFonts w:hint="eastAsia"/>
          <w:kern w:val="0"/>
          <w:sz w:val="21"/>
          <w:szCs w:val="21"/>
          <w:highlight w:val="none"/>
          <w:u w:val="single"/>
        </w:rPr>
        <w:t xml:space="preserve">            　　　</w:t>
      </w:r>
      <w:r>
        <w:rPr>
          <w:kern w:val="0"/>
          <w:sz w:val="21"/>
          <w:szCs w:val="21"/>
          <w:highlight w:val="none"/>
        </w:rPr>
        <w:t xml:space="preserve">         </w:t>
      </w:r>
      <w:r>
        <w:rPr>
          <w:rFonts w:hint="eastAsia"/>
          <w:kern w:val="0"/>
          <w:sz w:val="21"/>
          <w:szCs w:val="21"/>
          <w:highlight w:val="none"/>
        </w:rPr>
        <w:t>　　　</w:t>
      </w:r>
      <w:r>
        <w:rPr>
          <w:kern w:val="0"/>
          <w:sz w:val="21"/>
          <w:szCs w:val="21"/>
          <w:highlight w:val="none"/>
        </w:rPr>
        <w:t>帐号：</w:t>
      </w:r>
      <w:r>
        <w:rPr>
          <w:rFonts w:hint="eastAsia"/>
          <w:kern w:val="0"/>
          <w:sz w:val="21"/>
          <w:szCs w:val="21"/>
          <w:highlight w:val="none"/>
          <w:u w:val="single"/>
        </w:rPr>
        <w:t xml:space="preserve">                   </w:t>
      </w:r>
    </w:p>
    <w:p>
      <w:pPr>
        <w:widowControl/>
        <w:spacing w:line="400" w:lineRule="exact"/>
        <w:ind w:firstLine="422" w:firstLineChars="200"/>
        <w:jc w:val="center"/>
        <w:rPr>
          <w:b/>
          <w:bCs/>
          <w:kern w:val="0"/>
          <w:sz w:val="21"/>
          <w:szCs w:val="21"/>
          <w:highlight w:val="none"/>
        </w:rPr>
      </w:pPr>
    </w:p>
    <w:p>
      <w:pPr>
        <w:rPr>
          <w:rFonts w:ascii="Times New Roman" w:hAnsi="Times New Roman" w:eastAsia="宋体"/>
          <w:sz w:val="21"/>
          <w:szCs w:val="21"/>
          <w:highlight w:val="none"/>
        </w:rPr>
      </w:pPr>
      <w:bookmarkStart w:id="469" w:name="_Toc231459933"/>
      <w:r>
        <w:rPr>
          <w:rFonts w:ascii="Times New Roman" w:hAnsi="Times New Roman" w:eastAsia="宋体"/>
          <w:sz w:val="21"/>
          <w:szCs w:val="21"/>
          <w:highlight w:val="none"/>
        </w:rPr>
        <w:br w:type="page"/>
      </w:r>
    </w:p>
    <w:p>
      <w:pPr>
        <w:pStyle w:val="7"/>
        <w:spacing w:line="400" w:lineRule="exact"/>
        <w:jc w:val="center"/>
        <w:rPr>
          <w:rFonts w:ascii="Times New Roman" w:hAnsi="Times New Roman" w:eastAsia="宋体"/>
          <w:sz w:val="21"/>
          <w:szCs w:val="21"/>
          <w:highlight w:val="none"/>
        </w:rPr>
      </w:pPr>
      <w:r>
        <w:rPr>
          <w:rFonts w:ascii="Times New Roman" w:hAnsi="Times New Roman" w:eastAsia="宋体"/>
          <w:sz w:val="21"/>
          <w:szCs w:val="21"/>
          <w:highlight w:val="none"/>
        </w:rPr>
        <w:t>第二部分  通用条款</w:t>
      </w:r>
      <w:bookmarkEnd w:id="469"/>
    </w:p>
    <w:p>
      <w:pPr>
        <w:widowControl/>
        <w:spacing w:line="360" w:lineRule="auto"/>
        <w:ind w:firstLine="422" w:firstLineChars="200"/>
        <w:jc w:val="left"/>
        <w:outlineLvl w:val="0"/>
        <w:rPr>
          <w:rFonts w:asciiTheme="minorEastAsia" w:hAnsiTheme="minorEastAsia" w:eastAsiaTheme="minorEastAsia" w:cstheme="minorEastAsia"/>
          <w:b/>
          <w:kern w:val="0"/>
          <w:sz w:val="21"/>
          <w:szCs w:val="21"/>
          <w:highlight w:val="none"/>
        </w:rPr>
      </w:pPr>
      <w:bookmarkStart w:id="470" w:name="_Toc1692"/>
      <w:bookmarkStart w:id="471" w:name="_Toc1885"/>
      <w:r>
        <w:rPr>
          <w:rFonts w:hint="eastAsia" w:asciiTheme="minorEastAsia" w:hAnsiTheme="minorEastAsia" w:eastAsiaTheme="minorEastAsia" w:cstheme="minorEastAsia"/>
          <w:b/>
          <w:kern w:val="0"/>
          <w:sz w:val="21"/>
          <w:szCs w:val="21"/>
          <w:highlight w:val="none"/>
        </w:rPr>
        <w:t>一、词语定义及合同文件</w:t>
      </w:r>
      <w:bookmarkEnd w:id="470"/>
      <w:bookmarkEnd w:id="471"/>
    </w:p>
    <w:p>
      <w:pPr>
        <w:widowControl/>
        <w:spacing w:line="360" w:lineRule="auto"/>
        <w:ind w:firstLine="420" w:firstLineChars="200"/>
        <w:jc w:val="left"/>
        <w:outlineLvl w:val="0"/>
        <w:rPr>
          <w:rFonts w:asciiTheme="minorEastAsia" w:hAnsiTheme="minorEastAsia" w:eastAsiaTheme="minorEastAsia" w:cstheme="minorEastAsia"/>
          <w:kern w:val="0"/>
          <w:sz w:val="21"/>
          <w:szCs w:val="21"/>
          <w:highlight w:val="none"/>
        </w:rPr>
      </w:pPr>
      <w:bookmarkStart w:id="472" w:name="_Toc2541"/>
      <w:r>
        <w:rPr>
          <w:rFonts w:hint="eastAsia" w:asciiTheme="minorEastAsia" w:hAnsiTheme="minorEastAsia" w:eastAsiaTheme="minorEastAsia" w:cstheme="minorEastAsia"/>
          <w:kern w:val="0"/>
          <w:sz w:val="21"/>
          <w:szCs w:val="21"/>
          <w:highlight w:val="none"/>
        </w:rPr>
        <w:t>1、词语定义</w:t>
      </w:r>
      <w:bookmarkEnd w:id="472"/>
    </w:p>
    <w:p>
      <w:pPr>
        <w:widowControl/>
        <w:spacing w:line="360" w:lineRule="auto"/>
        <w:ind w:firstLine="420" w:firstLineChars="200"/>
        <w:jc w:val="left"/>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下列词语除专用条款另有约定外，应具有本条所赋予的定义：</w:t>
      </w:r>
    </w:p>
    <w:p>
      <w:pPr>
        <w:widowControl/>
        <w:spacing w:line="360" w:lineRule="auto"/>
        <w:ind w:firstLine="420" w:firstLineChars="200"/>
        <w:jc w:val="left"/>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1.1通用条款：是根据法律、行政法规规定及建设工程施工的需要订立，通用于建设工程施工的条款。</w:t>
      </w:r>
    </w:p>
    <w:p>
      <w:pPr>
        <w:widowControl/>
        <w:spacing w:line="360" w:lineRule="auto"/>
        <w:ind w:firstLine="420" w:firstLineChars="200"/>
        <w:jc w:val="left"/>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1.2专用条款：是发包人与承包人根据法律、行政法规规定，结合具体工程实际，经协商达成一致意见的条款，是对通用条款的具体化、补充或修改。</w:t>
      </w:r>
    </w:p>
    <w:p>
      <w:pPr>
        <w:widowControl/>
        <w:spacing w:line="360" w:lineRule="auto"/>
        <w:ind w:firstLine="420" w:firstLineChars="200"/>
        <w:jc w:val="left"/>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1.3发包人：指在协议书中约定，具有工程发包主体资格和支付工程价款能力的当事人以及取得该当事人资格的合法继承人。</w:t>
      </w:r>
    </w:p>
    <w:p>
      <w:pPr>
        <w:widowControl/>
        <w:spacing w:line="360" w:lineRule="auto"/>
        <w:ind w:firstLine="420" w:firstLineChars="200"/>
        <w:jc w:val="left"/>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1.4承包人：指在协议书中约定，被发包人接受的具有工程施工承包主体资格的当事人以及取得该当事人资格的合法继承人。</w:t>
      </w:r>
    </w:p>
    <w:p>
      <w:pPr>
        <w:widowControl/>
        <w:spacing w:line="360" w:lineRule="auto"/>
        <w:ind w:firstLine="420" w:firstLineChars="200"/>
        <w:jc w:val="left"/>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1.5项目经理：指承包人在专用条款中指定的具有执业资格的负责施工管理和合同履行的代表。</w:t>
      </w:r>
    </w:p>
    <w:p>
      <w:pPr>
        <w:widowControl/>
        <w:spacing w:line="360" w:lineRule="auto"/>
        <w:ind w:firstLine="420" w:firstLineChars="200"/>
        <w:jc w:val="left"/>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1.6设计单位：指发包人委托的负责本工程设计并取得相应工程设计资质等级证书的单位。</w:t>
      </w:r>
    </w:p>
    <w:p>
      <w:pPr>
        <w:widowControl/>
        <w:spacing w:line="360" w:lineRule="auto"/>
        <w:ind w:firstLine="420" w:firstLineChars="200"/>
        <w:jc w:val="left"/>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1.7监理单位：指发包人委托的负责本工程监理并取得相应工程监理资质等级证书的单位。</w:t>
      </w:r>
    </w:p>
    <w:p>
      <w:pPr>
        <w:widowControl/>
        <w:spacing w:line="360" w:lineRule="auto"/>
        <w:ind w:firstLine="420" w:firstLineChars="200"/>
        <w:jc w:val="left"/>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1.8工程师：指本工程监理单位委派的总监理工程师或发包人指定的履行本合同的代表，其具体身份和职权由发包人承包人在专用条款中约定。</w:t>
      </w:r>
    </w:p>
    <w:p>
      <w:pPr>
        <w:widowControl/>
        <w:spacing w:line="360" w:lineRule="auto"/>
        <w:ind w:firstLine="420" w:firstLineChars="200"/>
        <w:jc w:val="left"/>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1.9工程造价管理部门：指国务院有关部门、县级以上人民政府建设行政主管部门或其委托的工程造价管理机构。</w:t>
      </w:r>
    </w:p>
    <w:p>
      <w:pPr>
        <w:widowControl/>
        <w:spacing w:line="360" w:lineRule="auto"/>
        <w:ind w:firstLine="420" w:firstLineChars="200"/>
        <w:jc w:val="left"/>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1.10工程：指发包人承包人在协议书中约定的承包范围内的工程。</w:t>
      </w:r>
    </w:p>
    <w:p>
      <w:pPr>
        <w:widowControl/>
        <w:spacing w:line="360" w:lineRule="auto"/>
        <w:ind w:firstLine="420" w:firstLineChars="200"/>
        <w:jc w:val="left"/>
        <w:rPr>
          <w:rFonts w:asciiTheme="minorEastAsia" w:hAnsiTheme="minorEastAsia" w:eastAsiaTheme="minorEastAsia" w:cstheme="minorEastAsia"/>
          <w:bCs/>
          <w:kern w:val="0"/>
          <w:sz w:val="21"/>
          <w:szCs w:val="21"/>
          <w:highlight w:val="none"/>
        </w:rPr>
      </w:pPr>
      <w:r>
        <w:rPr>
          <w:rFonts w:hint="eastAsia" w:asciiTheme="minorEastAsia" w:hAnsiTheme="minorEastAsia" w:eastAsiaTheme="minorEastAsia" w:cstheme="minorEastAsia"/>
          <w:bCs/>
          <w:kern w:val="0"/>
          <w:sz w:val="21"/>
          <w:szCs w:val="21"/>
          <w:highlight w:val="none"/>
        </w:rPr>
        <w:t>1.11工程量清单：表现拟建工程的分部分项工程项目、措施项目、其他项目名称和相应数量的明细清单。</w:t>
      </w:r>
    </w:p>
    <w:p>
      <w:pPr>
        <w:widowControl/>
        <w:spacing w:line="360" w:lineRule="auto"/>
        <w:ind w:firstLine="420" w:firstLineChars="200"/>
        <w:jc w:val="left"/>
        <w:rPr>
          <w:rFonts w:asciiTheme="minorEastAsia" w:hAnsiTheme="minorEastAsia" w:eastAsiaTheme="minorEastAsia" w:cstheme="minorEastAsia"/>
          <w:bCs/>
          <w:kern w:val="0"/>
          <w:sz w:val="21"/>
          <w:szCs w:val="21"/>
          <w:highlight w:val="none"/>
        </w:rPr>
      </w:pPr>
      <w:r>
        <w:rPr>
          <w:rFonts w:hint="eastAsia" w:asciiTheme="minorEastAsia" w:hAnsiTheme="minorEastAsia" w:eastAsiaTheme="minorEastAsia" w:cstheme="minorEastAsia"/>
          <w:bCs/>
          <w:kern w:val="0"/>
          <w:sz w:val="21"/>
          <w:szCs w:val="21"/>
          <w:highlight w:val="none"/>
        </w:rPr>
        <w:t>1.12综合单价：完成工程量清单中一个规定计量单位项目所需的人工费、材料费、机械使用费、管理费和利润，并考虑风险因素。</w:t>
      </w:r>
    </w:p>
    <w:p>
      <w:pPr>
        <w:widowControl/>
        <w:spacing w:line="360" w:lineRule="auto"/>
        <w:ind w:firstLine="420" w:firstLineChars="200"/>
        <w:jc w:val="left"/>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1.13合同价款：指发包人承包人在协议书中约定，发包人用以支付承包人按照合同约定完成承包范围内全部工程并承担质量保修责任的款项。</w:t>
      </w:r>
    </w:p>
    <w:p>
      <w:pPr>
        <w:widowControl/>
        <w:spacing w:line="360" w:lineRule="auto"/>
        <w:ind w:firstLine="420" w:firstLineChars="200"/>
        <w:jc w:val="left"/>
        <w:rPr>
          <w:rFonts w:asciiTheme="minorEastAsia" w:hAnsiTheme="minorEastAsia" w:eastAsiaTheme="minorEastAsia" w:cstheme="minorEastAsia"/>
          <w:bCs/>
          <w:kern w:val="0"/>
          <w:sz w:val="21"/>
          <w:szCs w:val="21"/>
          <w:highlight w:val="none"/>
        </w:rPr>
      </w:pPr>
      <w:r>
        <w:rPr>
          <w:rFonts w:hint="eastAsia" w:asciiTheme="minorEastAsia" w:hAnsiTheme="minorEastAsia" w:eastAsiaTheme="minorEastAsia" w:cstheme="minorEastAsia"/>
          <w:bCs/>
          <w:kern w:val="0"/>
          <w:sz w:val="21"/>
          <w:szCs w:val="21"/>
          <w:highlight w:val="none"/>
        </w:rPr>
        <w:t>1.14预留金：指发包人为可能发生的工程量变更而预留的款额。</w:t>
      </w:r>
    </w:p>
    <w:p>
      <w:pPr>
        <w:widowControl/>
        <w:spacing w:line="360" w:lineRule="auto"/>
        <w:ind w:firstLine="420" w:firstLineChars="200"/>
        <w:jc w:val="left"/>
        <w:rPr>
          <w:rFonts w:asciiTheme="minorEastAsia" w:hAnsiTheme="minorEastAsia" w:eastAsiaTheme="minorEastAsia" w:cstheme="minorEastAsia"/>
          <w:bCs/>
          <w:kern w:val="0"/>
          <w:sz w:val="21"/>
          <w:szCs w:val="21"/>
          <w:highlight w:val="none"/>
        </w:rPr>
      </w:pPr>
      <w:r>
        <w:rPr>
          <w:rFonts w:hint="eastAsia" w:asciiTheme="minorEastAsia" w:hAnsiTheme="minorEastAsia" w:eastAsiaTheme="minorEastAsia" w:cstheme="minorEastAsia"/>
          <w:bCs/>
          <w:kern w:val="0"/>
          <w:sz w:val="21"/>
          <w:szCs w:val="21"/>
          <w:highlight w:val="none"/>
        </w:rPr>
        <w:t>1.15工程分包和材料购置费：指发包人将按有关规定准予分包的工作、指定分包人或指定材料磋商响应单位供应材料而预留的款额。</w:t>
      </w:r>
    </w:p>
    <w:p>
      <w:pPr>
        <w:widowControl/>
        <w:spacing w:line="360" w:lineRule="auto"/>
        <w:ind w:firstLine="420" w:firstLineChars="200"/>
        <w:jc w:val="left"/>
        <w:rPr>
          <w:rFonts w:asciiTheme="minorEastAsia" w:hAnsiTheme="minorEastAsia" w:eastAsiaTheme="minorEastAsia" w:cstheme="minorEastAsia"/>
          <w:bCs/>
          <w:kern w:val="0"/>
          <w:sz w:val="21"/>
          <w:szCs w:val="21"/>
          <w:highlight w:val="none"/>
        </w:rPr>
      </w:pPr>
      <w:r>
        <w:rPr>
          <w:rFonts w:hint="eastAsia" w:asciiTheme="minorEastAsia" w:hAnsiTheme="minorEastAsia" w:eastAsiaTheme="minorEastAsia" w:cstheme="minorEastAsia"/>
          <w:bCs/>
          <w:kern w:val="0"/>
          <w:sz w:val="21"/>
          <w:szCs w:val="21"/>
          <w:highlight w:val="none"/>
        </w:rPr>
        <w:t>1.16总承包服务费：为配合协调发包人进行的工程分包和材料采购所需的费用。</w:t>
      </w:r>
    </w:p>
    <w:p>
      <w:pPr>
        <w:widowControl/>
        <w:spacing w:line="360" w:lineRule="auto"/>
        <w:ind w:firstLine="420" w:firstLineChars="200"/>
        <w:jc w:val="left"/>
        <w:rPr>
          <w:rFonts w:asciiTheme="minorEastAsia" w:hAnsiTheme="minorEastAsia" w:eastAsiaTheme="minorEastAsia" w:cstheme="minorEastAsia"/>
          <w:bCs/>
          <w:kern w:val="0"/>
          <w:sz w:val="21"/>
          <w:szCs w:val="21"/>
          <w:highlight w:val="none"/>
        </w:rPr>
      </w:pPr>
      <w:r>
        <w:rPr>
          <w:rFonts w:hint="eastAsia" w:asciiTheme="minorEastAsia" w:hAnsiTheme="minorEastAsia" w:eastAsiaTheme="minorEastAsia" w:cstheme="minorEastAsia"/>
          <w:bCs/>
          <w:kern w:val="0"/>
          <w:sz w:val="21"/>
          <w:szCs w:val="21"/>
          <w:highlight w:val="none"/>
        </w:rPr>
        <w:t>1.17零星工作项目费：完成发包人提出的工程量暂估的零星工作所需的费用。</w:t>
      </w:r>
    </w:p>
    <w:p>
      <w:pPr>
        <w:widowControl/>
        <w:spacing w:line="360" w:lineRule="auto"/>
        <w:ind w:firstLine="420" w:firstLineChars="200"/>
        <w:jc w:val="left"/>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1.18追加合同价款：指在合同履行中发生需要增加合同价款的情况，经发包人确认后按计算合同价款的方法增加的合同价款。</w:t>
      </w:r>
    </w:p>
    <w:p>
      <w:pPr>
        <w:widowControl/>
        <w:spacing w:line="360" w:lineRule="auto"/>
        <w:ind w:firstLine="420" w:firstLineChars="200"/>
        <w:jc w:val="left"/>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1.19费用：指不包含在合同价款之内的应当由发包人或承包人承担的经济支出。</w:t>
      </w:r>
    </w:p>
    <w:p>
      <w:pPr>
        <w:widowControl/>
        <w:spacing w:line="360" w:lineRule="auto"/>
        <w:ind w:firstLine="420" w:firstLineChars="200"/>
        <w:jc w:val="left"/>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1.20工期：指发包人承包人在协议书中约定，按总日历天数（包括法定节假日）计算的承包天数。</w:t>
      </w:r>
    </w:p>
    <w:p>
      <w:pPr>
        <w:widowControl/>
        <w:spacing w:line="360" w:lineRule="auto"/>
        <w:ind w:firstLine="420" w:firstLineChars="200"/>
        <w:jc w:val="left"/>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1.21开工日期：指发包人承包人在协议书中约定，承包人开始施工的绝对或相对的日期。</w:t>
      </w:r>
    </w:p>
    <w:p>
      <w:pPr>
        <w:widowControl/>
        <w:spacing w:line="360" w:lineRule="auto"/>
        <w:ind w:firstLine="420" w:firstLineChars="200"/>
        <w:jc w:val="left"/>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1.22竣工日期：指发包人承包人在协议书中约定，承包人完成承包范围内工程的绝对或相对的日期。</w:t>
      </w:r>
    </w:p>
    <w:p>
      <w:pPr>
        <w:widowControl/>
        <w:spacing w:line="360" w:lineRule="auto"/>
        <w:ind w:firstLine="420" w:firstLineChars="200"/>
        <w:jc w:val="left"/>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1.23图纸：指由发包人提供或由承包人提供并经发包人批准，满足承包人施工需要的所有图纸（包括配套说明和有关资料）。</w:t>
      </w:r>
    </w:p>
    <w:p>
      <w:pPr>
        <w:widowControl/>
        <w:spacing w:line="360" w:lineRule="auto"/>
        <w:ind w:firstLine="420" w:firstLineChars="200"/>
        <w:jc w:val="left"/>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1.24施工场地：指由发包人提供的用于工程施工的场所以及发包人在图纸中具体指定的供施工使用的任何其他场所。</w:t>
      </w:r>
    </w:p>
    <w:p>
      <w:pPr>
        <w:widowControl/>
        <w:spacing w:line="360" w:lineRule="auto"/>
        <w:ind w:firstLine="420" w:firstLineChars="200"/>
        <w:jc w:val="left"/>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1.25书面形式：指合同书、信件和数据电文（包括电报、电传、传真、电子数据交换和电子邮件）等可以有形地表现所载内容的形式。</w:t>
      </w:r>
    </w:p>
    <w:p>
      <w:pPr>
        <w:widowControl/>
        <w:spacing w:line="360" w:lineRule="auto"/>
        <w:ind w:firstLine="420" w:firstLineChars="200"/>
        <w:jc w:val="left"/>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1.26违约责任：指合同一方不履行合同义务或履行合同义务不符合约定所应承担的责任。</w:t>
      </w:r>
    </w:p>
    <w:p>
      <w:pPr>
        <w:widowControl/>
        <w:spacing w:line="360" w:lineRule="auto"/>
        <w:ind w:firstLine="420" w:firstLineChars="200"/>
        <w:jc w:val="left"/>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1.27索赔：指在合同履行过程中，对于并非自己的过错，而是应由对方承担责任的情况造成的实际损失，向对方提出经济补偿和（或）工期顺延的要求。</w:t>
      </w:r>
    </w:p>
    <w:p>
      <w:pPr>
        <w:widowControl/>
        <w:spacing w:line="360" w:lineRule="auto"/>
        <w:ind w:firstLine="420" w:firstLineChars="200"/>
        <w:jc w:val="left"/>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1.28不可抗力：指不能预见、不能避免并不能克服的客观情况。</w:t>
      </w:r>
    </w:p>
    <w:p>
      <w:pPr>
        <w:widowControl/>
        <w:spacing w:line="360" w:lineRule="auto"/>
        <w:ind w:firstLine="420" w:firstLineChars="200"/>
        <w:jc w:val="left"/>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1.29小时或天：本合同中规定按小时计算时间的，从事件有效开始时计算（不扣除休息时间）；规定按天计算时间的，开始当天不计入，从次日开始计算。时限的最后一天是休息日或者其他法定节假日的，以节假日次日为时限的最后一天，但竣工日期除外。时限的最后一天的截止时间为当日24时。</w:t>
      </w:r>
    </w:p>
    <w:p>
      <w:pPr>
        <w:widowControl/>
        <w:spacing w:line="360" w:lineRule="auto"/>
        <w:ind w:firstLine="420" w:firstLineChars="200"/>
        <w:jc w:val="left"/>
        <w:rPr>
          <w:rFonts w:asciiTheme="minorEastAsia" w:hAnsiTheme="minorEastAsia" w:eastAsiaTheme="minorEastAsia" w:cstheme="minorEastAsia"/>
          <w:bCs/>
          <w:kern w:val="0"/>
          <w:sz w:val="21"/>
          <w:szCs w:val="21"/>
          <w:highlight w:val="none"/>
        </w:rPr>
      </w:pPr>
      <w:r>
        <w:rPr>
          <w:rFonts w:hint="eastAsia" w:asciiTheme="minorEastAsia" w:hAnsiTheme="minorEastAsia" w:eastAsiaTheme="minorEastAsia" w:cstheme="minorEastAsia"/>
          <w:bCs/>
          <w:kern w:val="0"/>
          <w:sz w:val="21"/>
          <w:szCs w:val="21"/>
          <w:highlight w:val="none"/>
        </w:rPr>
        <w:t>２、合同文件及解释顺序</w:t>
      </w:r>
    </w:p>
    <w:p>
      <w:pPr>
        <w:widowControl/>
        <w:spacing w:line="360" w:lineRule="auto"/>
        <w:ind w:firstLine="420" w:firstLineChars="200"/>
        <w:jc w:val="left"/>
        <w:rPr>
          <w:rFonts w:asciiTheme="minorEastAsia" w:hAnsiTheme="minorEastAsia" w:eastAsiaTheme="minorEastAsia" w:cstheme="minorEastAsia"/>
          <w:bCs/>
          <w:kern w:val="0"/>
          <w:sz w:val="21"/>
          <w:szCs w:val="21"/>
          <w:highlight w:val="none"/>
        </w:rPr>
      </w:pPr>
      <w:r>
        <w:rPr>
          <w:rFonts w:hint="eastAsia" w:asciiTheme="minorEastAsia" w:hAnsiTheme="minorEastAsia" w:eastAsiaTheme="minorEastAsia" w:cstheme="minorEastAsia"/>
          <w:bCs/>
          <w:kern w:val="0"/>
          <w:sz w:val="21"/>
          <w:szCs w:val="21"/>
          <w:highlight w:val="none"/>
        </w:rPr>
        <w:t>2.1合同文件应能相互解释，互为说明。除专用条款另有约定外，组成本合同的文件及优先解释顺序如下：</w:t>
      </w:r>
    </w:p>
    <w:p>
      <w:pPr>
        <w:widowControl/>
        <w:spacing w:line="360" w:lineRule="auto"/>
        <w:ind w:firstLine="420" w:firstLineChars="200"/>
        <w:jc w:val="left"/>
        <w:rPr>
          <w:rFonts w:asciiTheme="minorEastAsia" w:hAnsiTheme="minorEastAsia" w:eastAsiaTheme="minorEastAsia" w:cstheme="minorEastAsia"/>
          <w:bCs/>
          <w:kern w:val="0"/>
          <w:sz w:val="21"/>
          <w:szCs w:val="21"/>
          <w:highlight w:val="none"/>
        </w:rPr>
      </w:pPr>
      <w:r>
        <w:rPr>
          <w:rFonts w:hint="eastAsia" w:asciiTheme="minorEastAsia" w:hAnsiTheme="minorEastAsia" w:eastAsiaTheme="minorEastAsia" w:cstheme="minorEastAsia"/>
          <w:bCs/>
          <w:kern w:val="0"/>
          <w:sz w:val="21"/>
          <w:szCs w:val="21"/>
          <w:highlight w:val="none"/>
        </w:rPr>
        <w:t>2.1.1本合同协议书</w:t>
      </w:r>
    </w:p>
    <w:p>
      <w:pPr>
        <w:widowControl/>
        <w:spacing w:line="360" w:lineRule="auto"/>
        <w:ind w:firstLine="420" w:firstLineChars="200"/>
        <w:jc w:val="left"/>
        <w:rPr>
          <w:rFonts w:asciiTheme="minorEastAsia" w:hAnsiTheme="minorEastAsia" w:eastAsiaTheme="minorEastAsia" w:cstheme="minorEastAsia"/>
          <w:bCs/>
          <w:kern w:val="0"/>
          <w:sz w:val="21"/>
          <w:szCs w:val="21"/>
          <w:highlight w:val="none"/>
        </w:rPr>
      </w:pPr>
      <w:r>
        <w:rPr>
          <w:rFonts w:hint="eastAsia" w:asciiTheme="minorEastAsia" w:hAnsiTheme="minorEastAsia" w:eastAsiaTheme="minorEastAsia" w:cstheme="minorEastAsia"/>
          <w:bCs/>
          <w:kern w:val="0"/>
          <w:sz w:val="21"/>
          <w:szCs w:val="21"/>
          <w:highlight w:val="none"/>
        </w:rPr>
        <w:t>2.1.2本合同专用条款</w:t>
      </w:r>
    </w:p>
    <w:p>
      <w:pPr>
        <w:widowControl/>
        <w:spacing w:line="360" w:lineRule="auto"/>
        <w:ind w:firstLine="420" w:firstLineChars="200"/>
        <w:jc w:val="left"/>
        <w:rPr>
          <w:rFonts w:asciiTheme="minorEastAsia" w:hAnsiTheme="minorEastAsia" w:eastAsiaTheme="minorEastAsia" w:cstheme="minorEastAsia"/>
          <w:bCs/>
          <w:kern w:val="0"/>
          <w:sz w:val="21"/>
          <w:szCs w:val="21"/>
          <w:highlight w:val="none"/>
        </w:rPr>
      </w:pPr>
      <w:r>
        <w:rPr>
          <w:rFonts w:hint="eastAsia" w:asciiTheme="minorEastAsia" w:hAnsiTheme="minorEastAsia" w:eastAsiaTheme="minorEastAsia" w:cstheme="minorEastAsia"/>
          <w:bCs/>
          <w:kern w:val="0"/>
          <w:sz w:val="21"/>
          <w:szCs w:val="21"/>
          <w:highlight w:val="none"/>
        </w:rPr>
        <w:t>2.1.3本合同通用条款</w:t>
      </w:r>
    </w:p>
    <w:p>
      <w:pPr>
        <w:widowControl/>
        <w:spacing w:line="360" w:lineRule="auto"/>
        <w:ind w:firstLine="420" w:firstLineChars="200"/>
        <w:jc w:val="left"/>
        <w:rPr>
          <w:rFonts w:asciiTheme="minorEastAsia" w:hAnsiTheme="minorEastAsia" w:eastAsiaTheme="minorEastAsia" w:cstheme="minorEastAsia"/>
          <w:bCs/>
          <w:kern w:val="0"/>
          <w:sz w:val="21"/>
          <w:szCs w:val="21"/>
          <w:highlight w:val="none"/>
        </w:rPr>
      </w:pPr>
      <w:r>
        <w:rPr>
          <w:rFonts w:hint="eastAsia" w:asciiTheme="minorEastAsia" w:hAnsiTheme="minorEastAsia" w:eastAsiaTheme="minorEastAsia" w:cstheme="minorEastAsia"/>
          <w:bCs/>
          <w:kern w:val="0"/>
          <w:sz w:val="21"/>
          <w:szCs w:val="21"/>
          <w:highlight w:val="none"/>
        </w:rPr>
        <w:t>2.1.4中标通知书</w:t>
      </w:r>
    </w:p>
    <w:p>
      <w:pPr>
        <w:widowControl/>
        <w:spacing w:line="360" w:lineRule="auto"/>
        <w:ind w:firstLine="420" w:firstLineChars="200"/>
        <w:jc w:val="left"/>
        <w:rPr>
          <w:rFonts w:asciiTheme="minorEastAsia" w:hAnsiTheme="minorEastAsia" w:eastAsiaTheme="minorEastAsia" w:cstheme="minorEastAsia"/>
          <w:bCs/>
          <w:kern w:val="0"/>
          <w:sz w:val="21"/>
          <w:szCs w:val="21"/>
          <w:highlight w:val="none"/>
        </w:rPr>
      </w:pPr>
      <w:r>
        <w:rPr>
          <w:rFonts w:hint="eastAsia" w:asciiTheme="minorEastAsia" w:hAnsiTheme="minorEastAsia" w:eastAsiaTheme="minorEastAsia" w:cstheme="minorEastAsia"/>
          <w:bCs/>
          <w:kern w:val="0"/>
          <w:sz w:val="21"/>
          <w:szCs w:val="21"/>
          <w:highlight w:val="none"/>
        </w:rPr>
        <w:t>2.1.5投标书、工程报价单或预算书及其附件</w:t>
      </w:r>
    </w:p>
    <w:p>
      <w:pPr>
        <w:widowControl/>
        <w:spacing w:line="360" w:lineRule="auto"/>
        <w:ind w:firstLine="420" w:firstLineChars="200"/>
        <w:jc w:val="left"/>
        <w:rPr>
          <w:rFonts w:asciiTheme="minorEastAsia" w:hAnsiTheme="minorEastAsia" w:eastAsiaTheme="minorEastAsia" w:cstheme="minorEastAsia"/>
          <w:bCs/>
          <w:kern w:val="0"/>
          <w:sz w:val="21"/>
          <w:szCs w:val="21"/>
          <w:highlight w:val="none"/>
        </w:rPr>
      </w:pPr>
      <w:r>
        <w:rPr>
          <w:rFonts w:hint="eastAsia" w:asciiTheme="minorEastAsia" w:hAnsiTheme="minorEastAsia" w:eastAsiaTheme="minorEastAsia" w:cstheme="minorEastAsia"/>
          <w:bCs/>
          <w:kern w:val="0"/>
          <w:sz w:val="21"/>
          <w:szCs w:val="21"/>
          <w:highlight w:val="none"/>
        </w:rPr>
        <w:t>2.1.6招标文件、答疑纪要及工程量清单　</w:t>
      </w:r>
    </w:p>
    <w:p>
      <w:pPr>
        <w:widowControl/>
        <w:spacing w:line="360" w:lineRule="auto"/>
        <w:ind w:firstLine="420" w:firstLineChars="200"/>
        <w:jc w:val="left"/>
        <w:rPr>
          <w:rFonts w:asciiTheme="minorEastAsia" w:hAnsiTheme="minorEastAsia" w:eastAsiaTheme="minorEastAsia" w:cstheme="minorEastAsia"/>
          <w:bCs/>
          <w:kern w:val="0"/>
          <w:sz w:val="21"/>
          <w:szCs w:val="21"/>
          <w:highlight w:val="none"/>
        </w:rPr>
      </w:pPr>
      <w:r>
        <w:rPr>
          <w:rFonts w:hint="eastAsia" w:asciiTheme="minorEastAsia" w:hAnsiTheme="minorEastAsia" w:eastAsiaTheme="minorEastAsia" w:cstheme="minorEastAsia"/>
          <w:bCs/>
          <w:kern w:val="0"/>
          <w:sz w:val="21"/>
          <w:szCs w:val="21"/>
          <w:highlight w:val="none"/>
        </w:rPr>
        <w:t>2.1.7图纸</w:t>
      </w:r>
    </w:p>
    <w:p>
      <w:pPr>
        <w:widowControl/>
        <w:spacing w:line="360" w:lineRule="auto"/>
        <w:ind w:firstLine="420" w:firstLineChars="200"/>
        <w:jc w:val="left"/>
        <w:rPr>
          <w:rFonts w:asciiTheme="minorEastAsia" w:hAnsiTheme="minorEastAsia" w:eastAsiaTheme="minorEastAsia" w:cstheme="minorEastAsia"/>
          <w:bCs/>
          <w:kern w:val="0"/>
          <w:sz w:val="21"/>
          <w:szCs w:val="21"/>
          <w:highlight w:val="none"/>
        </w:rPr>
      </w:pPr>
      <w:r>
        <w:rPr>
          <w:rFonts w:hint="eastAsia" w:asciiTheme="minorEastAsia" w:hAnsiTheme="minorEastAsia" w:eastAsiaTheme="minorEastAsia" w:cstheme="minorEastAsia"/>
          <w:bCs/>
          <w:kern w:val="0"/>
          <w:sz w:val="21"/>
          <w:szCs w:val="21"/>
          <w:highlight w:val="none"/>
        </w:rPr>
        <w:t>2.1.8标准、规范及有关技术文件</w:t>
      </w:r>
    </w:p>
    <w:p>
      <w:pPr>
        <w:widowControl/>
        <w:spacing w:line="360" w:lineRule="auto"/>
        <w:ind w:firstLine="420" w:firstLineChars="200"/>
        <w:jc w:val="left"/>
        <w:rPr>
          <w:rFonts w:asciiTheme="minorEastAsia" w:hAnsiTheme="minorEastAsia" w:eastAsiaTheme="minorEastAsia" w:cstheme="minorEastAsia"/>
          <w:bCs/>
          <w:kern w:val="0"/>
          <w:sz w:val="21"/>
          <w:szCs w:val="21"/>
          <w:highlight w:val="none"/>
        </w:rPr>
      </w:pPr>
      <w:r>
        <w:rPr>
          <w:rFonts w:hint="eastAsia" w:asciiTheme="minorEastAsia" w:hAnsiTheme="minorEastAsia" w:eastAsiaTheme="minorEastAsia" w:cstheme="minorEastAsia"/>
          <w:bCs/>
          <w:kern w:val="0"/>
          <w:sz w:val="21"/>
          <w:szCs w:val="21"/>
          <w:highlight w:val="none"/>
        </w:rPr>
        <w:t>双方为履行本合同的有关洽商、变更等书面协议、文件，视为本合同的组成部分。</w:t>
      </w:r>
    </w:p>
    <w:p>
      <w:pPr>
        <w:widowControl/>
        <w:spacing w:line="360" w:lineRule="auto"/>
        <w:ind w:firstLine="420" w:firstLineChars="200"/>
        <w:jc w:val="left"/>
        <w:rPr>
          <w:rFonts w:asciiTheme="minorEastAsia" w:hAnsiTheme="minorEastAsia" w:eastAsiaTheme="minorEastAsia" w:cstheme="minorEastAsia"/>
          <w:bCs/>
          <w:kern w:val="0"/>
          <w:sz w:val="21"/>
          <w:szCs w:val="21"/>
          <w:highlight w:val="none"/>
        </w:rPr>
      </w:pPr>
      <w:r>
        <w:rPr>
          <w:rFonts w:hint="eastAsia" w:asciiTheme="minorEastAsia" w:hAnsiTheme="minorEastAsia" w:eastAsiaTheme="minorEastAsia" w:cstheme="minorEastAsia"/>
          <w:bCs/>
          <w:kern w:val="0"/>
          <w:sz w:val="21"/>
          <w:szCs w:val="21"/>
          <w:highlight w:val="none"/>
        </w:rPr>
        <w:t>2.2当合同文件内容含糊不清或不相一致时，在不影响工程正常进行的情况下，由发包人承包人协商解决。双方也可以提请负责监理的工程师做出解释。双方协商不成或不同意负责监理的工程师的解释时，按本通用条款第41条关于争议的约定处理。</w:t>
      </w:r>
    </w:p>
    <w:p>
      <w:pPr>
        <w:widowControl/>
        <w:spacing w:line="360" w:lineRule="auto"/>
        <w:ind w:firstLine="420" w:firstLineChars="200"/>
        <w:jc w:val="left"/>
        <w:rPr>
          <w:rFonts w:asciiTheme="minorEastAsia" w:hAnsiTheme="minorEastAsia" w:eastAsiaTheme="minorEastAsia" w:cstheme="minorEastAsia"/>
          <w:bCs/>
          <w:kern w:val="0"/>
          <w:sz w:val="21"/>
          <w:szCs w:val="21"/>
          <w:highlight w:val="none"/>
        </w:rPr>
      </w:pPr>
      <w:r>
        <w:rPr>
          <w:rFonts w:hint="eastAsia" w:asciiTheme="minorEastAsia" w:hAnsiTheme="minorEastAsia" w:eastAsiaTheme="minorEastAsia" w:cstheme="minorEastAsia"/>
          <w:bCs/>
          <w:kern w:val="0"/>
          <w:sz w:val="21"/>
          <w:szCs w:val="21"/>
          <w:highlight w:val="none"/>
        </w:rPr>
        <w:t>3、语言文字和适用法律、标准及规范</w:t>
      </w:r>
    </w:p>
    <w:p>
      <w:pPr>
        <w:widowControl/>
        <w:spacing w:line="360" w:lineRule="auto"/>
        <w:ind w:firstLine="420" w:firstLineChars="200"/>
        <w:jc w:val="left"/>
        <w:rPr>
          <w:rFonts w:asciiTheme="minorEastAsia" w:hAnsiTheme="minorEastAsia" w:eastAsiaTheme="minorEastAsia" w:cstheme="minorEastAsia"/>
          <w:bCs/>
          <w:kern w:val="0"/>
          <w:sz w:val="21"/>
          <w:szCs w:val="21"/>
          <w:highlight w:val="none"/>
        </w:rPr>
      </w:pPr>
      <w:r>
        <w:rPr>
          <w:rFonts w:hint="eastAsia" w:asciiTheme="minorEastAsia" w:hAnsiTheme="minorEastAsia" w:eastAsiaTheme="minorEastAsia" w:cstheme="minorEastAsia"/>
          <w:bCs/>
          <w:kern w:val="0"/>
          <w:sz w:val="21"/>
          <w:szCs w:val="21"/>
          <w:highlight w:val="none"/>
        </w:rPr>
        <w:t>3.1语言文字</w:t>
      </w:r>
    </w:p>
    <w:p>
      <w:pPr>
        <w:widowControl/>
        <w:spacing w:line="360" w:lineRule="auto"/>
        <w:ind w:firstLine="420" w:firstLineChars="200"/>
        <w:jc w:val="left"/>
        <w:rPr>
          <w:rFonts w:asciiTheme="minorEastAsia" w:hAnsiTheme="minorEastAsia" w:eastAsiaTheme="minorEastAsia" w:cstheme="minorEastAsia"/>
          <w:bCs/>
          <w:kern w:val="0"/>
          <w:sz w:val="21"/>
          <w:szCs w:val="21"/>
          <w:highlight w:val="none"/>
        </w:rPr>
      </w:pPr>
      <w:r>
        <w:rPr>
          <w:rFonts w:hint="eastAsia" w:asciiTheme="minorEastAsia" w:hAnsiTheme="minorEastAsia" w:eastAsiaTheme="minorEastAsia" w:cstheme="minorEastAsia"/>
          <w:bCs/>
          <w:kern w:val="0"/>
          <w:sz w:val="21"/>
          <w:szCs w:val="21"/>
          <w:highlight w:val="none"/>
        </w:rPr>
        <w:t>本合同文件使用汉语语言文字书写、解释和说明。如专用条款约定使用两种以上（含两种）语言文字时，汉语应为解释和说明本合同的标准语言文字。</w:t>
      </w:r>
    </w:p>
    <w:p>
      <w:pPr>
        <w:widowControl/>
        <w:spacing w:line="360" w:lineRule="auto"/>
        <w:ind w:firstLine="420" w:firstLineChars="200"/>
        <w:jc w:val="left"/>
        <w:rPr>
          <w:rFonts w:asciiTheme="minorEastAsia" w:hAnsiTheme="minorEastAsia" w:eastAsiaTheme="minorEastAsia" w:cstheme="minorEastAsia"/>
          <w:bCs/>
          <w:kern w:val="0"/>
          <w:sz w:val="21"/>
          <w:szCs w:val="21"/>
          <w:highlight w:val="none"/>
        </w:rPr>
      </w:pPr>
      <w:r>
        <w:rPr>
          <w:rFonts w:hint="eastAsia" w:asciiTheme="minorEastAsia" w:hAnsiTheme="minorEastAsia" w:eastAsiaTheme="minorEastAsia" w:cstheme="minorEastAsia"/>
          <w:bCs/>
          <w:kern w:val="0"/>
          <w:sz w:val="21"/>
          <w:szCs w:val="21"/>
          <w:highlight w:val="none"/>
        </w:rPr>
        <w:t>3.2适用法律和法规</w:t>
      </w:r>
    </w:p>
    <w:p>
      <w:pPr>
        <w:widowControl/>
        <w:spacing w:line="360" w:lineRule="auto"/>
        <w:ind w:firstLine="420" w:firstLineChars="200"/>
        <w:jc w:val="left"/>
        <w:rPr>
          <w:rFonts w:asciiTheme="minorEastAsia" w:hAnsiTheme="minorEastAsia" w:eastAsiaTheme="minorEastAsia" w:cstheme="minorEastAsia"/>
          <w:bCs/>
          <w:kern w:val="0"/>
          <w:sz w:val="21"/>
          <w:szCs w:val="21"/>
          <w:highlight w:val="none"/>
        </w:rPr>
      </w:pPr>
      <w:r>
        <w:rPr>
          <w:rFonts w:hint="eastAsia" w:asciiTheme="minorEastAsia" w:hAnsiTheme="minorEastAsia" w:eastAsiaTheme="minorEastAsia" w:cstheme="minorEastAsia"/>
          <w:bCs/>
          <w:kern w:val="0"/>
          <w:sz w:val="21"/>
          <w:szCs w:val="21"/>
          <w:highlight w:val="none"/>
        </w:rPr>
        <w:t>本合同文件适用国家的法律和行政法规。需要明示的法律、行政法规，由双方在专用条款中约定。</w:t>
      </w:r>
    </w:p>
    <w:p>
      <w:pPr>
        <w:widowControl/>
        <w:spacing w:line="360" w:lineRule="auto"/>
        <w:ind w:firstLine="420" w:firstLineChars="200"/>
        <w:jc w:val="left"/>
        <w:rPr>
          <w:rFonts w:asciiTheme="minorEastAsia" w:hAnsiTheme="minorEastAsia" w:eastAsiaTheme="minorEastAsia" w:cstheme="minorEastAsia"/>
          <w:bCs/>
          <w:kern w:val="0"/>
          <w:sz w:val="21"/>
          <w:szCs w:val="21"/>
          <w:highlight w:val="none"/>
        </w:rPr>
      </w:pPr>
      <w:r>
        <w:rPr>
          <w:rFonts w:hint="eastAsia" w:asciiTheme="minorEastAsia" w:hAnsiTheme="minorEastAsia" w:eastAsiaTheme="minorEastAsia" w:cstheme="minorEastAsia"/>
          <w:bCs/>
          <w:kern w:val="0"/>
          <w:sz w:val="21"/>
          <w:szCs w:val="21"/>
          <w:highlight w:val="none"/>
        </w:rPr>
        <w:t>3.3适用标准、规范</w:t>
      </w:r>
    </w:p>
    <w:p>
      <w:pPr>
        <w:widowControl/>
        <w:spacing w:line="360" w:lineRule="auto"/>
        <w:ind w:firstLine="420" w:firstLineChars="200"/>
        <w:jc w:val="left"/>
        <w:rPr>
          <w:rFonts w:asciiTheme="minorEastAsia" w:hAnsiTheme="minorEastAsia" w:eastAsiaTheme="minorEastAsia" w:cstheme="minorEastAsia"/>
          <w:bCs/>
          <w:kern w:val="0"/>
          <w:sz w:val="21"/>
          <w:szCs w:val="21"/>
          <w:highlight w:val="none"/>
        </w:rPr>
      </w:pPr>
      <w:r>
        <w:rPr>
          <w:rFonts w:hint="eastAsia" w:asciiTheme="minorEastAsia" w:hAnsiTheme="minorEastAsia" w:eastAsiaTheme="minorEastAsia" w:cstheme="minorEastAsia"/>
          <w:bCs/>
          <w:kern w:val="0"/>
          <w:sz w:val="21"/>
          <w:szCs w:val="21"/>
          <w:highlight w:val="none"/>
        </w:rPr>
        <w:t>双方在专用条款内约定适用国家标准、规范的名称；没有国家标准、规范但有行业标准、规范的，约定适用行业标准、规范的名称；没有国家和行业标准、规范的，约定适用工程所在地地方标准、规范的名称。发包人应按专用条款约定的时间向承包人提供一式两份约定的标准、规范。</w:t>
      </w:r>
    </w:p>
    <w:p>
      <w:pPr>
        <w:widowControl/>
        <w:spacing w:line="360" w:lineRule="auto"/>
        <w:ind w:firstLine="420" w:firstLineChars="200"/>
        <w:jc w:val="left"/>
        <w:rPr>
          <w:rFonts w:asciiTheme="minorEastAsia" w:hAnsiTheme="minorEastAsia" w:eastAsiaTheme="minorEastAsia" w:cstheme="minorEastAsia"/>
          <w:bCs/>
          <w:kern w:val="0"/>
          <w:sz w:val="21"/>
          <w:szCs w:val="21"/>
          <w:highlight w:val="none"/>
        </w:rPr>
      </w:pPr>
      <w:r>
        <w:rPr>
          <w:rFonts w:hint="eastAsia" w:asciiTheme="minorEastAsia" w:hAnsiTheme="minorEastAsia" w:eastAsiaTheme="minorEastAsia" w:cstheme="minorEastAsia"/>
          <w:bCs/>
          <w:kern w:val="0"/>
          <w:sz w:val="21"/>
          <w:szCs w:val="21"/>
          <w:highlight w:val="none"/>
        </w:rPr>
        <w:t>国内没有相应标准、规范的，由发包人按专用条款约定的时间向承包人提出施工技术要求，承包人按约定的时间和要求提出施工工艺，经发包人认可后执行。发包人要求使用国外标准、规范的，应负责提供中文译本。</w:t>
      </w:r>
    </w:p>
    <w:p>
      <w:pPr>
        <w:widowControl/>
        <w:spacing w:line="360" w:lineRule="auto"/>
        <w:ind w:firstLine="420" w:firstLineChars="200"/>
        <w:jc w:val="left"/>
        <w:rPr>
          <w:rFonts w:asciiTheme="minorEastAsia" w:hAnsiTheme="minorEastAsia" w:eastAsiaTheme="minorEastAsia" w:cstheme="minorEastAsia"/>
          <w:bCs/>
          <w:kern w:val="0"/>
          <w:sz w:val="21"/>
          <w:szCs w:val="21"/>
          <w:highlight w:val="none"/>
        </w:rPr>
      </w:pPr>
      <w:r>
        <w:rPr>
          <w:rFonts w:hint="eastAsia" w:asciiTheme="minorEastAsia" w:hAnsiTheme="minorEastAsia" w:eastAsiaTheme="minorEastAsia" w:cstheme="minorEastAsia"/>
          <w:bCs/>
          <w:kern w:val="0"/>
          <w:sz w:val="21"/>
          <w:szCs w:val="21"/>
          <w:highlight w:val="none"/>
        </w:rPr>
        <w:t>本条所发生的购买、翻译标准、规范或制定施工工艺的费用，由发包人承担。</w:t>
      </w:r>
    </w:p>
    <w:p>
      <w:pPr>
        <w:widowControl/>
        <w:spacing w:line="360" w:lineRule="auto"/>
        <w:ind w:firstLine="420" w:firstLineChars="200"/>
        <w:jc w:val="left"/>
        <w:rPr>
          <w:rFonts w:asciiTheme="minorEastAsia" w:hAnsiTheme="minorEastAsia" w:eastAsiaTheme="minorEastAsia" w:cstheme="minorEastAsia"/>
          <w:bCs/>
          <w:kern w:val="0"/>
          <w:sz w:val="21"/>
          <w:szCs w:val="21"/>
          <w:highlight w:val="none"/>
        </w:rPr>
      </w:pPr>
      <w:r>
        <w:rPr>
          <w:rFonts w:hint="eastAsia" w:asciiTheme="minorEastAsia" w:hAnsiTheme="minorEastAsia" w:eastAsiaTheme="minorEastAsia" w:cstheme="minorEastAsia"/>
          <w:bCs/>
          <w:kern w:val="0"/>
          <w:sz w:val="21"/>
          <w:szCs w:val="21"/>
          <w:highlight w:val="none"/>
        </w:rPr>
        <w:t>４、图纸</w:t>
      </w:r>
    </w:p>
    <w:p>
      <w:pPr>
        <w:widowControl/>
        <w:spacing w:line="360" w:lineRule="auto"/>
        <w:ind w:firstLine="420" w:firstLineChars="200"/>
        <w:jc w:val="left"/>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4.1发包人应按专用条款约定的日期和套数，向承包人提供图纸。承包人需要增加图纸套数的，发包人应代为复制，复制费用由承包人承担。发包人对工程有保密要求的，应在专用条款中提出保密要求，保密措施费用由发包人承担，承包人在约定保密期限内履行保密义务。</w:t>
      </w:r>
    </w:p>
    <w:p>
      <w:pPr>
        <w:widowControl/>
        <w:spacing w:line="360" w:lineRule="auto"/>
        <w:ind w:firstLine="420" w:firstLineChars="200"/>
        <w:jc w:val="left"/>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4.2承包人未经发包人同意，不得将本工程图纸转给第三人。工程质量保修期满后，除承包人存档需要的图纸外，应将全部图纸退还给发包人。</w:t>
      </w:r>
    </w:p>
    <w:p>
      <w:pPr>
        <w:widowControl/>
        <w:spacing w:line="360" w:lineRule="auto"/>
        <w:ind w:firstLine="420" w:firstLineChars="200"/>
        <w:jc w:val="left"/>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4.3承包人应在施工现场保留一套完整图纸，供工程师及有关人员进行工程检查时使用。</w:t>
      </w:r>
    </w:p>
    <w:p>
      <w:pPr>
        <w:widowControl/>
        <w:spacing w:line="360" w:lineRule="auto"/>
        <w:ind w:firstLine="422" w:firstLineChars="200"/>
        <w:jc w:val="left"/>
        <w:outlineLvl w:val="0"/>
        <w:rPr>
          <w:rFonts w:asciiTheme="minorEastAsia" w:hAnsiTheme="minorEastAsia" w:eastAsiaTheme="minorEastAsia" w:cstheme="minorEastAsia"/>
          <w:b/>
          <w:kern w:val="0"/>
          <w:sz w:val="21"/>
          <w:szCs w:val="21"/>
          <w:highlight w:val="none"/>
        </w:rPr>
      </w:pPr>
      <w:bookmarkStart w:id="473" w:name="_Toc8486"/>
      <w:bookmarkStart w:id="474" w:name="_Toc24662"/>
      <w:r>
        <w:rPr>
          <w:rFonts w:hint="eastAsia" w:asciiTheme="minorEastAsia" w:hAnsiTheme="minorEastAsia" w:eastAsiaTheme="minorEastAsia" w:cstheme="minorEastAsia"/>
          <w:b/>
          <w:kern w:val="0"/>
          <w:sz w:val="21"/>
          <w:szCs w:val="21"/>
          <w:highlight w:val="none"/>
        </w:rPr>
        <w:t>二、双方一般权利和义务</w:t>
      </w:r>
      <w:bookmarkEnd w:id="473"/>
      <w:bookmarkEnd w:id="474"/>
    </w:p>
    <w:p>
      <w:pPr>
        <w:widowControl/>
        <w:spacing w:line="360" w:lineRule="auto"/>
        <w:ind w:firstLine="420" w:firstLineChars="200"/>
        <w:jc w:val="left"/>
        <w:outlineLvl w:val="0"/>
        <w:rPr>
          <w:rFonts w:asciiTheme="minorEastAsia" w:hAnsiTheme="minorEastAsia" w:eastAsiaTheme="minorEastAsia" w:cstheme="minorEastAsia"/>
          <w:kern w:val="0"/>
          <w:sz w:val="21"/>
          <w:szCs w:val="21"/>
          <w:highlight w:val="none"/>
        </w:rPr>
      </w:pPr>
      <w:bookmarkStart w:id="475" w:name="_Toc26257"/>
      <w:bookmarkStart w:id="476" w:name="_Toc10546"/>
      <w:r>
        <w:rPr>
          <w:rFonts w:hint="eastAsia" w:asciiTheme="minorEastAsia" w:hAnsiTheme="minorEastAsia" w:eastAsiaTheme="minorEastAsia" w:cstheme="minorEastAsia"/>
          <w:kern w:val="0"/>
          <w:sz w:val="21"/>
          <w:szCs w:val="21"/>
          <w:highlight w:val="none"/>
        </w:rPr>
        <w:t>５、工程师</w:t>
      </w:r>
      <w:bookmarkEnd w:id="475"/>
      <w:bookmarkEnd w:id="476"/>
    </w:p>
    <w:p>
      <w:pPr>
        <w:widowControl/>
        <w:spacing w:line="360" w:lineRule="auto"/>
        <w:ind w:firstLine="420" w:firstLineChars="200"/>
        <w:jc w:val="left"/>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5.1实行工程监理的，发包人应在实施监理前将委托的监理单位名称、监理内容及监理权限以书面形式通知承包人。</w:t>
      </w:r>
    </w:p>
    <w:p>
      <w:pPr>
        <w:widowControl/>
        <w:spacing w:line="360" w:lineRule="auto"/>
        <w:ind w:firstLine="420" w:firstLineChars="200"/>
        <w:jc w:val="left"/>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5.2监理单位委派的总监理工程师在本合同中称工程师，其姓名、职务、职权由发包人承包人在专用条款内写明。工程师按合同约定行使职权，发包人在专用条款内要求工程师在行使某些职权前需要征得发包人批准的，工程师应征得发包人批准。</w:t>
      </w:r>
    </w:p>
    <w:p>
      <w:pPr>
        <w:widowControl/>
        <w:spacing w:line="360" w:lineRule="auto"/>
        <w:ind w:firstLine="420" w:firstLineChars="200"/>
        <w:jc w:val="left"/>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5.3发包人派驻施工场地履行合同的代表在本合同中也称工程师，其姓名、职务、职权由发包人在专用条款内写明，但职权不得与监理单位委派的总监理工程师职权相互交叉。双方职权发生交叉或不明确时，由发包人予以明确，并以书面形式通知承包人。</w:t>
      </w:r>
    </w:p>
    <w:p>
      <w:pPr>
        <w:widowControl/>
        <w:spacing w:line="360" w:lineRule="auto"/>
        <w:ind w:firstLine="420" w:firstLineChars="200"/>
        <w:jc w:val="left"/>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5.4合同履行中，发生影响发包人承包人双方权利或义务的事件时，负责监理的工程师应依据合同在其职权范围内客观公正地进行处理。一方对工程师的处理有异议时，按本通用条款第41条关于争议的约定处理。</w:t>
      </w:r>
    </w:p>
    <w:p>
      <w:pPr>
        <w:widowControl/>
        <w:spacing w:line="360" w:lineRule="auto"/>
        <w:ind w:firstLine="420" w:firstLineChars="200"/>
        <w:jc w:val="left"/>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5.5除合同内有明确约定或经发包人同意外，负责监理的工程师无权解除本合同约定的承包人的任何权利与义务。</w:t>
      </w:r>
    </w:p>
    <w:p>
      <w:pPr>
        <w:widowControl/>
        <w:spacing w:line="360" w:lineRule="auto"/>
        <w:ind w:firstLine="420" w:firstLineChars="200"/>
        <w:jc w:val="left"/>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5.6不实行工程监理的，本合同中工程师专指发包人派驻施工场地履行合同的代表，其具体职权由发包人在专用条款内写明。</w:t>
      </w:r>
    </w:p>
    <w:p>
      <w:pPr>
        <w:widowControl/>
        <w:spacing w:line="360" w:lineRule="auto"/>
        <w:ind w:firstLine="420" w:firstLineChars="200"/>
        <w:jc w:val="left"/>
        <w:outlineLvl w:val="0"/>
        <w:rPr>
          <w:rFonts w:asciiTheme="minorEastAsia" w:hAnsiTheme="minorEastAsia" w:eastAsiaTheme="minorEastAsia" w:cstheme="minorEastAsia"/>
          <w:kern w:val="0"/>
          <w:sz w:val="21"/>
          <w:szCs w:val="21"/>
          <w:highlight w:val="none"/>
        </w:rPr>
      </w:pPr>
      <w:bookmarkStart w:id="477" w:name="_Toc26772"/>
      <w:bookmarkStart w:id="478" w:name="_Toc30679"/>
      <w:r>
        <w:rPr>
          <w:rFonts w:hint="eastAsia" w:asciiTheme="minorEastAsia" w:hAnsiTheme="minorEastAsia" w:eastAsiaTheme="minorEastAsia" w:cstheme="minorEastAsia"/>
          <w:kern w:val="0"/>
          <w:sz w:val="21"/>
          <w:szCs w:val="21"/>
          <w:highlight w:val="none"/>
        </w:rPr>
        <w:t>６、工程师的委派和指令</w:t>
      </w:r>
      <w:bookmarkEnd w:id="477"/>
      <w:bookmarkEnd w:id="478"/>
    </w:p>
    <w:p>
      <w:pPr>
        <w:widowControl/>
        <w:spacing w:line="360" w:lineRule="auto"/>
        <w:ind w:firstLine="420" w:firstLineChars="200"/>
        <w:jc w:val="left"/>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6.1工程师可委派工程师代表，行使合同约定的自己的职权，并可在认为必要时撤回委派。委派和撤回均应提前7天以书面形式通知承包人，负责监理的工程师还应将委派和撤回通知发包人。委派书和撤回通知作为本合同附件。</w:t>
      </w:r>
    </w:p>
    <w:p>
      <w:pPr>
        <w:widowControl/>
        <w:spacing w:line="360" w:lineRule="auto"/>
        <w:ind w:firstLine="420" w:firstLineChars="200"/>
        <w:jc w:val="left"/>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工程师代表在工程师授权范围内向承包人发出的任何书面形式的函件，与工程师发出的函件具有同等效力。承包人对工程师代表向其发出的任何书面形式的函件有疑问时，可将此函件提交工程师，工程师应进行确认。工程师代表发出指令有失误时，工程师应进行纠正。</w:t>
      </w:r>
    </w:p>
    <w:p>
      <w:pPr>
        <w:widowControl/>
        <w:spacing w:line="360" w:lineRule="auto"/>
        <w:ind w:firstLine="420" w:firstLineChars="200"/>
        <w:jc w:val="left"/>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除工程师或工程师代表外，发包人派驻工地的其他人员均无权向承包人发出任何指令。</w:t>
      </w:r>
    </w:p>
    <w:p>
      <w:pPr>
        <w:widowControl/>
        <w:spacing w:line="360" w:lineRule="auto"/>
        <w:ind w:firstLine="420" w:firstLineChars="200"/>
        <w:jc w:val="left"/>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6.2工程师的指令、通知由其本人签字后，以书面形式交给项目经理，项目经理在回执上签署姓名和收到时间后生效。确有必要时，工程师可发出口头指令，并在48小时内给予书面确认，承包人对工程师的指令应予执行。工程师不能及时给予书面确认的，承包人应于工程师发出口头指令后7天内提出书面确认要求。工程师在承包人提出确认要求后48小时内不予答复的，视为口头指令已被确认。</w:t>
      </w:r>
    </w:p>
    <w:p>
      <w:pPr>
        <w:widowControl/>
        <w:spacing w:line="360" w:lineRule="auto"/>
        <w:ind w:firstLine="420" w:firstLineChars="200"/>
        <w:jc w:val="left"/>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承包人认为工程师指令不合理，应在收到指令后24小时内向工程师提出修改指令的书面报告，工程师在收到承包人报告后24小时内作出修改指令或继续执行原指令的决定，并以书面形式通知承包人。紧急情况下，工程师要求承包人立即执行的指令或承包人虽有异议，但工程师决定仍继续执行的指令，承包人应予执行。因指令错误发生的追加合同价款和给承包人造成的损失由发包人承担，延误的工期相应顺延。</w:t>
      </w:r>
    </w:p>
    <w:p>
      <w:pPr>
        <w:widowControl/>
        <w:spacing w:line="360" w:lineRule="auto"/>
        <w:ind w:firstLine="420" w:firstLineChars="200"/>
        <w:jc w:val="left"/>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本款规定同样适用于由工程师代表发出的指令、通知。</w:t>
      </w:r>
    </w:p>
    <w:p>
      <w:pPr>
        <w:widowControl/>
        <w:spacing w:line="360" w:lineRule="auto"/>
        <w:ind w:firstLine="420" w:firstLineChars="200"/>
        <w:jc w:val="left"/>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6.3工程师应按合同约定，及时向承包人提供所需指令、批准并履行约定的其他义务。由于工程师未能按合同约定履行义务造成工期延误，发包人应承担延误造成的追加合同价款，并赔偿承包人有关损失，顺延延误的工期。</w:t>
      </w:r>
    </w:p>
    <w:p>
      <w:pPr>
        <w:widowControl/>
        <w:spacing w:line="360" w:lineRule="auto"/>
        <w:ind w:firstLine="420" w:firstLineChars="200"/>
        <w:jc w:val="left"/>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6.4如需更换工程师，发包人应至少提前7天以书面形式通知承包人，后任继续行使合同文件约定的前任的职权，履行前任的义务。</w:t>
      </w:r>
    </w:p>
    <w:p>
      <w:pPr>
        <w:widowControl/>
        <w:spacing w:line="360" w:lineRule="auto"/>
        <w:ind w:firstLine="420" w:firstLineChars="200"/>
        <w:jc w:val="left"/>
        <w:outlineLvl w:val="0"/>
        <w:rPr>
          <w:rFonts w:asciiTheme="minorEastAsia" w:hAnsiTheme="minorEastAsia" w:eastAsiaTheme="minorEastAsia" w:cstheme="minorEastAsia"/>
          <w:kern w:val="0"/>
          <w:sz w:val="21"/>
          <w:szCs w:val="21"/>
          <w:highlight w:val="none"/>
        </w:rPr>
      </w:pPr>
      <w:bookmarkStart w:id="479" w:name="_Toc8651"/>
      <w:bookmarkStart w:id="480" w:name="_Toc13652"/>
      <w:r>
        <w:rPr>
          <w:rFonts w:hint="eastAsia" w:asciiTheme="minorEastAsia" w:hAnsiTheme="minorEastAsia" w:eastAsiaTheme="minorEastAsia" w:cstheme="minorEastAsia"/>
          <w:kern w:val="0"/>
          <w:sz w:val="21"/>
          <w:szCs w:val="21"/>
          <w:highlight w:val="none"/>
        </w:rPr>
        <w:t>７、项目经理</w:t>
      </w:r>
      <w:bookmarkEnd w:id="479"/>
      <w:bookmarkEnd w:id="480"/>
    </w:p>
    <w:p>
      <w:pPr>
        <w:widowControl/>
        <w:spacing w:line="360" w:lineRule="auto"/>
        <w:ind w:firstLine="420" w:firstLineChars="200"/>
        <w:jc w:val="left"/>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7.1项目经理的姓名、职务在专用条款内写明。</w:t>
      </w:r>
    </w:p>
    <w:p>
      <w:pPr>
        <w:widowControl/>
        <w:spacing w:line="360" w:lineRule="auto"/>
        <w:ind w:firstLine="420" w:firstLineChars="200"/>
        <w:jc w:val="left"/>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7.2承包人依据合同发出的通知，以书面形式由项目经理签字后送交工程师，工程师在回执上签署姓名和收到时间后生效。</w:t>
      </w:r>
    </w:p>
    <w:p>
      <w:pPr>
        <w:widowControl/>
        <w:spacing w:line="360" w:lineRule="auto"/>
        <w:ind w:firstLine="420" w:firstLineChars="200"/>
        <w:jc w:val="left"/>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7.3项目经理按发包人认可的施工组织设计（施工方案）和工程师依据合同发出的指令组织施工。在情况紧急且无法与工程师联系时，项目经理应当采取保证人员生命和工程、财产安全的紧急措施，并在采取措施后48小时内向工程师送交报告。责任在发包人或第三人，由发包人承担由此发生的追加合同价款，相应顺延工期；责任在承包人，由承包人承担费用，不顺延工期。</w:t>
      </w:r>
    </w:p>
    <w:p>
      <w:pPr>
        <w:widowControl/>
        <w:spacing w:line="360" w:lineRule="auto"/>
        <w:ind w:firstLine="420" w:firstLineChars="200"/>
        <w:jc w:val="left"/>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7.4承包人如需要更换项目经理，应至少提前7天以书面形式通知发包人，</w:t>
      </w:r>
      <w:r>
        <w:rPr>
          <w:rFonts w:hint="eastAsia" w:asciiTheme="minorEastAsia" w:hAnsiTheme="minorEastAsia" w:eastAsiaTheme="minorEastAsia" w:cstheme="minorEastAsia"/>
          <w:bCs/>
          <w:kern w:val="0"/>
          <w:sz w:val="21"/>
          <w:szCs w:val="21"/>
          <w:highlight w:val="none"/>
        </w:rPr>
        <w:t>并</w:t>
      </w:r>
      <w:r>
        <w:rPr>
          <w:rFonts w:hint="eastAsia" w:asciiTheme="minorEastAsia" w:hAnsiTheme="minorEastAsia" w:eastAsiaTheme="minorEastAsia" w:cstheme="minorEastAsia"/>
          <w:kern w:val="0"/>
          <w:sz w:val="21"/>
          <w:szCs w:val="21"/>
          <w:highlight w:val="none"/>
        </w:rPr>
        <w:t>征得发包人同意。后任继续行使合同文件约定的前任的职权，履行前任的义务。</w:t>
      </w:r>
    </w:p>
    <w:p>
      <w:pPr>
        <w:widowControl/>
        <w:spacing w:line="360" w:lineRule="auto"/>
        <w:ind w:firstLine="420" w:firstLineChars="200"/>
        <w:jc w:val="left"/>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7.5发包人可以与承包人协商，建议更换其认为不称职的项目经理。</w:t>
      </w:r>
    </w:p>
    <w:p>
      <w:pPr>
        <w:widowControl/>
        <w:spacing w:line="360" w:lineRule="auto"/>
        <w:ind w:firstLine="420" w:firstLineChars="200"/>
        <w:jc w:val="left"/>
        <w:outlineLvl w:val="0"/>
        <w:rPr>
          <w:rFonts w:asciiTheme="minorEastAsia" w:hAnsiTheme="minorEastAsia" w:eastAsiaTheme="minorEastAsia" w:cstheme="minorEastAsia"/>
          <w:kern w:val="0"/>
          <w:sz w:val="21"/>
          <w:szCs w:val="21"/>
          <w:highlight w:val="none"/>
        </w:rPr>
      </w:pPr>
      <w:bookmarkStart w:id="481" w:name="_Toc22083"/>
      <w:bookmarkStart w:id="482" w:name="_Toc20830"/>
      <w:r>
        <w:rPr>
          <w:rFonts w:hint="eastAsia" w:asciiTheme="minorEastAsia" w:hAnsiTheme="minorEastAsia" w:eastAsiaTheme="minorEastAsia" w:cstheme="minorEastAsia"/>
          <w:kern w:val="0"/>
          <w:sz w:val="21"/>
          <w:szCs w:val="21"/>
          <w:highlight w:val="none"/>
        </w:rPr>
        <w:t>８、发包人工作</w:t>
      </w:r>
      <w:bookmarkEnd w:id="481"/>
      <w:bookmarkEnd w:id="482"/>
    </w:p>
    <w:p>
      <w:pPr>
        <w:widowControl/>
        <w:spacing w:line="360" w:lineRule="auto"/>
        <w:ind w:firstLine="420" w:firstLineChars="200"/>
        <w:jc w:val="left"/>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8.1发包人按专用条款约定的内容和时间完成以下工作：</w:t>
      </w:r>
    </w:p>
    <w:p>
      <w:pPr>
        <w:widowControl/>
        <w:spacing w:line="360" w:lineRule="auto"/>
        <w:ind w:firstLine="420" w:firstLineChars="200"/>
        <w:jc w:val="left"/>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（1）办理土地征用、拆迁补偿、平整施工场地等工作，使施工场地具备施工条件，在开工后继续负责解决以上事项遗留问题；</w:t>
      </w:r>
    </w:p>
    <w:p>
      <w:pPr>
        <w:widowControl/>
        <w:spacing w:line="360" w:lineRule="auto"/>
        <w:ind w:firstLine="420" w:firstLineChars="200"/>
        <w:jc w:val="left"/>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（2）将施工所需水、电、电讯线路从施工场地外部接至专用条款约定地点，保证施工期间的需要；</w:t>
      </w:r>
    </w:p>
    <w:p>
      <w:pPr>
        <w:widowControl/>
        <w:spacing w:line="360" w:lineRule="auto"/>
        <w:ind w:firstLine="420" w:firstLineChars="200"/>
        <w:jc w:val="left"/>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（3）开通施工场地与城乡公共道路的通道，以及专用条款约定的施工场地内的主要道路，满足施工运输的需要，保证施工期间的畅通；</w:t>
      </w:r>
    </w:p>
    <w:p>
      <w:pPr>
        <w:widowControl/>
        <w:spacing w:line="360" w:lineRule="auto"/>
        <w:ind w:firstLine="420" w:firstLineChars="200"/>
        <w:jc w:val="left"/>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（4）向承包人提供施工场地的工程地质和地下管线资料，对资料的真实准确性负责；</w:t>
      </w:r>
    </w:p>
    <w:p>
      <w:pPr>
        <w:widowControl/>
        <w:spacing w:line="360" w:lineRule="auto"/>
        <w:ind w:firstLine="420" w:firstLineChars="200"/>
        <w:jc w:val="left"/>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（5）办理施工许可证及其它施工所需批件和临时用地、停水、停电、中断道路交通、爆破作业等的证件申请批准手续（证明承包人自身资质的证件除外）；</w:t>
      </w:r>
    </w:p>
    <w:p>
      <w:pPr>
        <w:widowControl/>
        <w:spacing w:line="360" w:lineRule="auto"/>
        <w:ind w:firstLine="420" w:firstLineChars="200"/>
        <w:jc w:val="left"/>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（6）确定水准点与坐标控制点，以书面形式交给承包人，进行现场交验；</w:t>
      </w:r>
    </w:p>
    <w:p>
      <w:pPr>
        <w:widowControl/>
        <w:spacing w:line="360" w:lineRule="auto"/>
        <w:ind w:firstLine="420" w:firstLineChars="200"/>
        <w:jc w:val="left"/>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（7）组织承包人和设计单位进行图纸会审和设计交底；</w:t>
      </w:r>
    </w:p>
    <w:p>
      <w:pPr>
        <w:widowControl/>
        <w:spacing w:line="360" w:lineRule="auto"/>
        <w:ind w:firstLine="420" w:firstLineChars="200"/>
        <w:jc w:val="left"/>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（8）协调处理施工场地周围地下管线和邻近建筑物、构筑物（包括文物保护建筑）、古树名木的保护工作、承担有关费用；</w:t>
      </w:r>
    </w:p>
    <w:p>
      <w:pPr>
        <w:widowControl/>
        <w:spacing w:line="360" w:lineRule="auto"/>
        <w:ind w:firstLine="420" w:firstLineChars="200"/>
        <w:jc w:val="left"/>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（9）发包人应做的其他工作，双方在专用条款内约定。</w:t>
      </w:r>
    </w:p>
    <w:p>
      <w:pPr>
        <w:widowControl/>
        <w:spacing w:line="360" w:lineRule="auto"/>
        <w:ind w:firstLine="420" w:firstLineChars="200"/>
        <w:jc w:val="left"/>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8.2发包人可以将8.1款部分工作委托承包人办理，双方在专用条款内约定，其费用由发包人承担。</w:t>
      </w:r>
    </w:p>
    <w:p>
      <w:pPr>
        <w:widowControl/>
        <w:spacing w:line="360" w:lineRule="auto"/>
        <w:ind w:firstLine="420" w:firstLineChars="200"/>
        <w:jc w:val="left"/>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8.3发包人未能履行8.1款各项义务，导致工期延误或给承包人造成损失的，发包人赔偿承包人有关损失，顺延延误的工期。</w:t>
      </w:r>
    </w:p>
    <w:p>
      <w:pPr>
        <w:widowControl/>
        <w:spacing w:line="360" w:lineRule="auto"/>
        <w:ind w:firstLine="420" w:firstLineChars="200"/>
        <w:jc w:val="left"/>
        <w:outlineLvl w:val="0"/>
        <w:rPr>
          <w:rFonts w:asciiTheme="minorEastAsia" w:hAnsiTheme="minorEastAsia" w:eastAsiaTheme="minorEastAsia" w:cstheme="minorEastAsia"/>
          <w:kern w:val="0"/>
          <w:sz w:val="21"/>
          <w:szCs w:val="21"/>
          <w:highlight w:val="none"/>
        </w:rPr>
      </w:pPr>
      <w:bookmarkStart w:id="483" w:name="_Toc18028"/>
      <w:bookmarkStart w:id="484" w:name="_Toc1524"/>
      <w:r>
        <w:rPr>
          <w:rFonts w:hint="eastAsia" w:asciiTheme="minorEastAsia" w:hAnsiTheme="minorEastAsia" w:eastAsiaTheme="minorEastAsia" w:cstheme="minorEastAsia"/>
          <w:kern w:val="0"/>
          <w:sz w:val="21"/>
          <w:szCs w:val="21"/>
          <w:highlight w:val="none"/>
        </w:rPr>
        <w:t>９、承包人工作</w:t>
      </w:r>
      <w:bookmarkEnd w:id="483"/>
      <w:bookmarkEnd w:id="484"/>
    </w:p>
    <w:p>
      <w:pPr>
        <w:widowControl/>
        <w:spacing w:line="360" w:lineRule="auto"/>
        <w:ind w:firstLine="420" w:firstLineChars="200"/>
        <w:jc w:val="left"/>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9.1承包人按专用条款约定的内容和时间完成以下工作：</w:t>
      </w:r>
    </w:p>
    <w:p>
      <w:pPr>
        <w:widowControl/>
        <w:spacing w:line="360" w:lineRule="auto"/>
        <w:ind w:firstLine="420" w:firstLineChars="200"/>
        <w:jc w:val="left"/>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（1）根据发包人委托，在其设计资质等级和业务允许的范围内，完成施工图设计或与工程配套的设计，经工程师确认后使用，发包人承担由此发生的费用；</w:t>
      </w:r>
    </w:p>
    <w:p>
      <w:pPr>
        <w:widowControl/>
        <w:spacing w:line="360" w:lineRule="auto"/>
        <w:ind w:firstLine="420" w:firstLineChars="200"/>
        <w:jc w:val="left"/>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（2）向工程师提供年、季、月度工程进度计划及相应进度统计报表；</w:t>
      </w:r>
    </w:p>
    <w:p>
      <w:pPr>
        <w:widowControl/>
        <w:spacing w:line="360" w:lineRule="auto"/>
        <w:ind w:firstLine="420" w:firstLineChars="200"/>
        <w:jc w:val="left"/>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（3）根据工程需要，提供和维修非夜间施工使用的照明、围栏设施；负责施工现场安全保卫；</w:t>
      </w:r>
    </w:p>
    <w:p>
      <w:pPr>
        <w:widowControl/>
        <w:spacing w:line="360" w:lineRule="auto"/>
        <w:ind w:firstLine="420" w:firstLineChars="200"/>
        <w:jc w:val="left"/>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（4）按专用条款约定的数量和要求，向发包人提供施工场地办公和生活的房屋及设施，发包人承担由此发生的费用；</w:t>
      </w:r>
    </w:p>
    <w:p>
      <w:pPr>
        <w:widowControl/>
        <w:spacing w:line="360" w:lineRule="auto"/>
        <w:ind w:firstLine="420" w:firstLineChars="200"/>
        <w:jc w:val="left"/>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（5）遵守政府有关主管部门对施工场地安全防护、文明施工、环境保护以及场地交通等的管理规定，按规定办理有关手续，并以书面形式通知发包人。</w:t>
      </w:r>
    </w:p>
    <w:p>
      <w:pPr>
        <w:widowControl/>
        <w:spacing w:line="360" w:lineRule="auto"/>
        <w:ind w:firstLine="420" w:firstLineChars="200"/>
        <w:jc w:val="left"/>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6）已竣工工程未交付发包人之前，承包人按专用条款约定负责已完工程的保护工作，保护期间发生损坏，承包人自费予以修复；发包人要求承包人采取特殊措施保护的工程部位和相应的追加合同价款，双方在专用条款内约定；</w:t>
      </w:r>
    </w:p>
    <w:p>
      <w:pPr>
        <w:widowControl/>
        <w:spacing w:line="360" w:lineRule="auto"/>
        <w:ind w:firstLine="420" w:firstLineChars="200"/>
        <w:jc w:val="left"/>
        <w:rPr>
          <w:rFonts w:asciiTheme="minorEastAsia" w:hAnsiTheme="minorEastAsia" w:eastAsiaTheme="minorEastAsia" w:cstheme="minorEastAsia"/>
          <w:b/>
          <w:bCs/>
          <w:kern w:val="0"/>
          <w:sz w:val="21"/>
          <w:szCs w:val="21"/>
          <w:highlight w:val="none"/>
        </w:rPr>
      </w:pPr>
      <w:r>
        <w:rPr>
          <w:rFonts w:hint="eastAsia" w:asciiTheme="minorEastAsia" w:hAnsiTheme="minorEastAsia" w:eastAsiaTheme="minorEastAsia" w:cstheme="minorEastAsia"/>
          <w:kern w:val="0"/>
          <w:sz w:val="21"/>
          <w:szCs w:val="21"/>
          <w:highlight w:val="none"/>
        </w:rPr>
        <w:t>（7）按专用条款约定做好施工场地地下管线和邻近建筑物、构筑物（包括文物保护建筑）、古树名木的保护工作</w:t>
      </w:r>
      <w:r>
        <w:rPr>
          <w:rFonts w:hint="eastAsia" w:asciiTheme="minorEastAsia" w:hAnsiTheme="minorEastAsia" w:eastAsiaTheme="minorEastAsia" w:cstheme="minorEastAsia"/>
          <w:b/>
          <w:bCs/>
          <w:kern w:val="0"/>
          <w:sz w:val="21"/>
          <w:szCs w:val="21"/>
          <w:highlight w:val="none"/>
        </w:rPr>
        <w:t>；</w:t>
      </w:r>
    </w:p>
    <w:p>
      <w:pPr>
        <w:widowControl/>
        <w:spacing w:line="360" w:lineRule="auto"/>
        <w:ind w:firstLine="420" w:firstLineChars="200"/>
        <w:jc w:val="left"/>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（8）保证施工场地清洁符合环境卫生管理的有关规定，交工前清理现场达到专用条款约定的要求，承担因自身原因违反有关规定造成的损失和罚款；</w:t>
      </w:r>
    </w:p>
    <w:p>
      <w:pPr>
        <w:widowControl/>
        <w:spacing w:line="360" w:lineRule="auto"/>
        <w:ind w:firstLine="420" w:firstLineChars="200"/>
        <w:jc w:val="left"/>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（9）承包人应做的其他工作，双方在专用条款内约定。</w:t>
      </w:r>
    </w:p>
    <w:p>
      <w:pPr>
        <w:widowControl/>
        <w:spacing w:line="360" w:lineRule="auto"/>
        <w:ind w:firstLine="420" w:firstLineChars="200"/>
        <w:jc w:val="left"/>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9.2承包人未能履行9.1款各项义务，造成发包人损失的，承包人赔偿发包人有关损失。</w:t>
      </w:r>
    </w:p>
    <w:p>
      <w:pPr>
        <w:widowControl/>
        <w:spacing w:line="360" w:lineRule="auto"/>
        <w:ind w:firstLine="422" w:firstLineChars="200"/>
        <w:jc w:val="left"/>
        <w:outlineLvl w:val="0"/>
        <w:rPr>
          <w:rFonts w:asciiTheme="minorEastAsia" w:hAnsiTheme="minorEastAsia" w:eastAsiaTheme="minorEastAsia" w:cstheme="minorEastAsia"/>
          <w:b/>
          <w:kern w:val="0"/>
          <w:sz w:val="21"/>
          <w:szCs w:val="21"/>
          <w:highlight w:val="none"/>
        </w:rPr>
      </w:pPr>
      <w:bookmarkStart w:id="485" w:name="_Toc30643"/>
      <w:bookmarkStart w:id="486" w:name="_Toc1858"/>
      <w:r>
        <w:rPr>
          <w:rFonts w:hint="eastAsia" w:asciiTheme="minorEastAsia" w:hAnsiTheme="minorEastAsia" w:eastAsiaTheme="minorEastAsia" w:cstheme="minorEastAsia"/>
          <w:b/>
          <w:kern w:val="0"/>
          <w:sz w:val="21"/>
          <w:szCs w:val="21"/>
          <w:highlight w:val="none"/>
        </w:rPr>
        <w:t>三、施工组织设计和工期</w:t>
      </w:r>
      <w:bookmarkEnd w:id="485"/>
      <w:bookmarkEnd w:id="486"/>
    </w:p>
    <w:p>
      <w:pPr>
        <w:widowControl/>
        <w:spacing w:line="360" w:lineRule="auto"/>
        <w:ind w:firstLine="420" w:firstLineChars="200"/>
        <w:jc w:val="left"/>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10、进度计划</w:t>
      </w:r>
    </w:p>
    <w:p>
      <w:pPr>
        <w:widowControl/>
        <w:spacing w:line="360" w:lineRule="auto"/>
        <w:ind w:firstLine="420" w:firstLineChars="200"/>
        <w:jc w:val="left"/>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10.1承包人应按专用条款约定的日期，将施工组织设计和工程进度计划提交工程师，工程师按专用条款约定的时间予以确认或提出修改意见，逾期不确认也不提出书面意见的，视为同意。</w:t>
      </w:r>
    </w:p>
    <w:p>
      <w:pPr>
        <w:widowControl/>
        <w:spacing w:line="360" w:lineRule="auto"/>
        <w:ind w:firstLine="420" w:firstLineChars="200"/>
        <w:jc w:val="left"/>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10.2群体工程中单位工程分期进行施工的，承包人应按照发包人提供图纸及有关资料的时间，按单位工程编制进度计划，其具体内容双方在专用条款中约定。</w:t>
      </w:r>
    </w:p>
    <w:p>
      <w:pPr>
        <w:widowControl/>
        <w:spacing w:line="360" w:lineRule="auto"/>
        <w:ind w:firstLine="420" w:firstLineChars="200"/>
        <w:jc w:val="left"/>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10.3承包人必须按工程师确认的进度计划组织施工，接受工程师对进度的检查、监督。工程实际进度与经确认的进度计划不符时，承包人应按工程师的要求提出改进措施，经工程师确认后执行。因承包人的原因导致实际进度与进度计划不符，承包人无权就改进措施提出追加合同价款。</w:t>
      </w:r>
    </w:p>
    <w:p>
      <w:pPr>
        <w:widowControl/>
        <w:spacing w:line="360" w:lineRule="auto"/>
        <w:ind w:firstLine="420" w:firstLineChars="200"/>
        <w:jc w:val="left"/>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11、开工及延期开工</w:t>
      </w:r>
    </w:p>
    <w:p>
      <w:pPr>
        <w:widowControl/>
        <w:spacing w:line="360" w:lineRule="auto"/>
        <w:ind w:firstLine="420" w:firstLineChars="200"/>
        <w:jc w:val="left"/>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11.1承包人应当按照协议书约定的开工日期开工。承包人不能按时开工，应当不迟于协议书约定的开工日期前7天，以书面形式向工程师提出延期开工的理由和要求。工程师应当在接到延期开工申请后的48小时内以书面形式答复承包人。工程师在接到延期开工申请后48小时内不答复，视为同意承包人要求，工期相应顺延。工程师不同意延期要求或承包人未在规定时间内提出延期开工要求，工期不予顺延。</w:t>
      </w:r>
    </w:p>
    <w:p>
      <w:pPr>
        <w:widowControl/>
        <w:spacing w:line="360" w:lineRule="auto"/>
        <w:ind w:firstLine="420" w:firstLineChars="200"/>
        <w:jc w:val="left"/>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11.2因发包人原因不能按照协议书约定的开工日期开工，工程师应以书面形式通知承包人，推迟开工日期。发包人赔偿承包人因延期开工造成的损失，并相应顺延工期。</w:t>
      </w:r>
    </w:p>
    <w:p>
      <w:pPr>
        <w:widowControl/>
        <w:spacing w:line="360" w:lineRule="auto"/>
        <w:ind w:firstLine="420" w:firstLineChars="200"/>
        <w:jc w:val="left"/>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12、暂停施工</w:t>
      </w:r>
    </w:p>
    <w:p>
      <w:pPr>
        <w:widowControl/>
        <w:spacing w:line="360" w:lineRule="auto"/>
        <w:ind w:firstLine="420" w:firstLineChars="200"/>
        <w:jc w:val="left"/>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工程师认为确有必要暂停施工时，应当以书面形式要求承包人暂停施工，并在提出要求后48小时内提出书面处理意见。承包人应当按工程师要求停止施工，并妥善保护已完工程。承包人实施工程师作出的处理意见后，可以书面形式提出复工要求，工程师应当在48小时内给予答复。工程师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w:t>
      </w:r>
    </w:p>
    <w:p>
      <w:pPr>
        <w:widowControl/>
        <w:spacing w:line="360" w:lineRule="auto"/>
        <w:ind w:firstLine="420" w:firstLineChars="200"/>
        <w:jc w:val="left"/>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13、工期延误</w:t>
      </w:r>
    </w:p>
    <w:p>
      <w:pPr>
        <w:widowControl/>
        <w:spacing w:line="360" w:lineRule="auto"/>
        <w:ind w:firstLine="420" w:firstLineChars="200"/>
        <w:jc w:val="left"/>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13.1因以下原因造成工期延误，经工程师确认，工期相应顺延：</w:t>
      </w:r>
    </w:p>
    <w:p>
      <w:pPr>
        <w:widowControl/>
        <w:spacing w:line="360" w:lineRule="auto"/>
        <w:ind w:firstLine="420" w:firstLineChars="200"/>
        <w:jc w:val="left"/>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（1）发包人未能按专用条款的约定提供图纸及开工条件；</w:t>
      </w:r>
    </w:p>
    <w:p>
      <w:pPr>
        <w:widowControl/>
        <w:spacing w:line="360" w:lineRule="auto"/>
        <w:ind w:firstLine="420" w:firstLineChars="200"/>
        <w:jc w:val="left"/>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（2）发包人未能按约定日期支付工程预付款、进度款，致使施工不能正常进行；</w:t>
      </w:r>
    </w:p>
    <w:p>
      <w:pPr>
        <w:widowControl/>
        <w:spacing w:line="360" w:lineRule="auto"/>
        <w:ind w:firstLine="420" w:firstLineChars="200"/>
        <w:jc w:val="left"/>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（3）工程师未按合同约定提供所需指令、批准等，致使施工不能正常进行；</w:t>
      </w:r>
    </w:p>
    <w:p>
      <w:pPr>
        <w:widowControl/>
        <w:spacing w:line="360" w:lineRule="auto"/>
        <w:ind w:firstLine="420" w:firstLineChars="200"/>
        <w:jc w:val="left"/>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（4）设计变更和工程量增加；</w:t>
      </w:r>
    </w:p>
    <w:p>
      <w:pPr>
        <w:widowControl/>
        <w:spacing w:line="360" w:lineRule="auto"/>
        <w:ind w:firstLine="420" w:firstLineChars="200"/>
        <w:jc w:val="left"/>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（5）一周内非承包人原因停水、停电、停气造成停工累计超过8小时；</w:t>
      </w:r>
    </w:p>
    <w:p>
      <w:pPr>
        <w:widowControl/>
        <w:spacing w:line="360" w:lineRule="auto"/>
        <w:ind w:firstLine="420" w:firstLineChars="200"/>
        <w:jc w:val="left"/>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（6）不可抗力；</w:t>
      </w:r>
    </w:p>
    <w:p>
      <w:pPr>
        <w:widowControl/>
        <w:spacing w:line="360" w:lineRule="auto"/>
        <w:ind w:firstLine="420" w:firstLineChars="200"/>
        <w:jc w:val="left"/>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（7）专用条款中约定或工程师同意工期顺延的其他情况。</w:t>
      </w:r>
    </w:p>
    <w:p>
      <w:pPr>
        <w:widowControl/>
        <w:spacing w:line="360" w:lineRule="auto"/>
        <w:ind w:firstLine="420" w:firstLineChars="200"/>
        <w:jc w:val="left"/>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13.2承包人在13.1款情况发生后14天内，就延误的工期以书面形式向工程师提出报告。工程师在收到报告后14天内予以确认，逾期不予确认也不提出修改意见，视为同意顺延工期。</w:t>
      </w:r>
    </w:p>
    <w:p>
      <w:pPr>
        <w:widowControl/>
        <w:spacing w:line="360" w:lineRule="auto"/>
        <w:ind w:firstLine="420" w:firstLineChars="200"/>
        <w:jc w:val="left"/>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14、工程竣工</w:t>
      </w:r>
    </w:p>
    <w:p>
      <w:pPr>
        <w:widowControl/>
        <w:spacing w:line="360" w:lineRule="auto"/>
        <w:ind w:firstLine="420" w:firstLineChars="200"/>
        <w:jc w:val="left"/>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14.1承包人必须按照协议书约定的竣工日期或工程师同意顺延的工期竣工。</w:t>
      </w:r>
    </w:p>
    <w:p>
      <w:pPr>
        <w:widowControl/>
        <w:spacing w:line="360" w:lineRule="auto"/>
        <w:ind w:firstLine="420" w:firstLineChars="200"/>
        <w:jc w:val="left"/>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14.2因承包人原因不能按照协议书约定的竣工日期或工程师同意顺延的工期竣工的，承包人承担违约责任。</w:t>
      </w:r>
    </w:p>
    <w:p>
      <w:pPr>
        <w:widowControl/>
        <w:spacing w:line="360" w:lineRule="auto"/>
        <w:ind w:firstLine="420" w:firstLineChars="200"/>
        <w:jc w:val="left"/>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14.3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p>
    <w:p>
      <w:pPr>
        <w:widowControl/>
        <w:spacing w:line="360" w:lineRule="auto"/>
        <w:ind w:firstLine="422" w:firstLineChars="200"/>
        <w:jc w:val="left"/>
        <w:outlineLvl w:val="0"/>
        <w:rPr>
          <w:rFonts w:asciiTheme="minorEastAsia" w:hAnsiTheme="minorEastAsia" w:eastAsiaTheme="minorEastAsia" w:cstheme="minorEastAsia"/>
          <w:b/>
          <w:kern w:val="0"/>
          <w:sz w:val="21"/>
          <w:szCs w:val="21"/>
          <w:highlight w:val="none"/>
        </w:rPr>
      </w:pPr>
      <w:bookmarkStart w:id="487" w:name="_Toc11961"/>
      <w:bookmarkStart w:id="488" w:name="_Toc11045"/>
      <w:r>
        <w:rPr>
          <w:rFonts w:hint="eastAsia" w:asciiTheme="minorEastAsia" w:hAnsiTheme="minorEastAsia" w:eastAsiaTheme="minorEastAsia" w:cstheme="minorEastAsia"/>
          <w:b/>
          <w:kern w:val="0"/>
          <w:sz w:val="21"/>
          <w:szCs w:val="21"/>
          <w:highlight w:val="none"/>
        </w:rPr>
        <w:t>四、质量与检验</w:t>
      </w:r>
      <w:bookmarkEnd w:id="487"/>
      <w:bookmarkEnd w:id="488"/>
    </w:p>
    <w:p>
      <w:pPr>
        <w:widowControl/>
        <w:spacing w:line="360" w:lineRule="auto"/>
        <w:ind w:firstLine="420" w:firstLineChars="200"/>
        <w:jc w:val="left"/>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15、工程质量</w:t>
      </w:r>
    </w:p>
    <w:p>
      <w:pPr>
        <w:widowControl/>
        <w:spacing w:line="360" w:lineRule="auto"/>
        <w:ind w:firstLine="420" w:firstLineChars="200"/>
        <w:jc w:val="left"/>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15.1工程质量应当达到协议书约定的质量标准，质量标准的评定以国家或行业的质量检验评定标准为依据。因承包人原因工程质量达不到约定的质量标准，承包人承担违约责任。</w:t>
      </w:r>
    </w:p>
    <w:p>
      <w:pPr>
        <w:widowControl/>
        <w:spacing w:line="360" w:lineRule="auto"/>
        <w:ind w:firstLine="420" w:firstLineChars="200"/>
        <w:jc w:val="left"/>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15.2双方对工程质量有争议，由双方同意的工程质量检测机构鉴定，所需费用及因此造成的损失，由责任方承担。双方均有责任，由双方根据其责任分别承担。</w:t>
      </w:r>
    </w:p>
    <w:p>
      <w:pPr>
        <w:widowControl/>
        <w:spacing w:line="360" w:lineRule="auto"/>
        <w:ind w:firstLine="420" w:firstLineChars="200"/>
        <w:jc w:val="left"/>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16、检查和返工</w:t>
      </w:r>
    </w:p>
    <w:p>
      <w:pPr>
        <w:widowControl/>
        <w:spacing w:line="360" w:lineRule="auto"/>
        <w:ind w:firstLine="420" w:firstLineChars="200"/>
        <w:jc w:val="left"/>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16.1承包人应认真按照标准、规范和设计图纸要求以及工程师依据合同发出的指令施工，随时接受工程师的检查检验，为检查检验提供便利条件。</w:t>
      </w:r>
    </w:p>
    <w:p>
      <w:pPr>
        <w:widowControl/>
        <w:spacing w:line="360" w:lineRule="auto"/>
        <w:ind w:firstLine="420" w:firstLineChars="200"/>
        <w:jc w:val="left"/>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16.2工程质量达不到约定标准的部分，工程师一经发现，应要求承包人拆除和重新施工，承包人应按工程师的要求拆除和重新施工，直到符合约定标准。因承包人原因达不到约定标准，由承包人承担拆除和重新施工的费用，工期不予顺延。</w:t>
      </w:r>
    </w:p>
    <w:p>
      <w:pPr>
        <w:widowControl/>
        <w:spacing w:line="360" w:lineRule="auto"/>
        <w:ind w:firstLine="420" w:firstLineChars="200"/>
        <w:jc w:val="left"/>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16.3工程师的检查检验不应影响施工正常进行。如影响施工正常进行，检查检验不合格时，影响正常施工的费用由承包人承担。除此之外影响正常施工的追加合同价款由发包人承担，相应顺延工期。</w:t>
      </w:r>
    </w:p>
    <w:p>
      <w:pPr>
        <w:widowControl/>
        <w:spacing w:line="360" w:lineRule="auto"/>
        <w:ind w:firstLine="420" w:firstLineChars="200"/>
        <w:jc w:val="left"/>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16.4因工程师指令失误或其他非承包人原因发生的追加合同价款，由发包人承担。</w:t>
      </w:r>
    </w:p>
    <w:p>
      <w:pPr>
        <w:widowControl/>
        <w:spacing w:line="360" w:lineRule="auto"/>
        <w:ind w:firstLine="420" w:firstLineChars="200"/>
        <w:jc w:val="left"/>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17、隐蔽工程和中间验收</w:t>
      </w:r>
    </w:p>
    <w:p>
      <w:pPr>
        <w:widowControl/>
        <w:spacing w:line="360" w:lineRule="auto"/>
        <w:ind w:firstLine="420" w:firstLineChars="200"/>
        <w:jc w:val="left"/>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17.1工程具备隐蔽条件或达到专用条款约定的中间验收部位，承包人进行自检，并在隐蔽或中间验收前48小时以书面形式通知工程师验收。通知包括隐蔽和中间验收的内容、验收时间和地点。承包人准备验收记录，验收合格，工程师在验收记录上签字后，承包人可进行隐蔽和继续施工。验收不合格，承包人在工程师限定的时间内修改后重新验收。</w:t>
      </w:r>
    </w:p>
    <w:p>
      <w:pPr>
        <w:widowControl/>
        <w:spacing w:line="360" w:lineRule="auto"/>
        <w:ind w:firstLine="420" w:firstLineChars="200"/>
        <w:jc w:val="left"/>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17.2工程师不能按时进行验收，应在验收前24小时以书面形式向承包人提出延期要求，延期不能超过48小时。工程师未能按以上时间提出延期要求，不进行验收，承包人可自行组织验收，工程师应承认验收记录。</w:t>
      </w:r>
    </w:p>
    <w:p>
      <w:pPr>
        <w:widowControl/>
        <w:spacing w:line="360" w:lineRule="auto"/>
        <w:ind w:firstLine="420" w:firstLineChars="200"/>
        <w:jc w:val="left"/>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17.3经工程师验收，工程质量符合标准、规范和设计图纸等要求，验收24小时后，工程师不在验收记录上签字，视为工程师已经认可验收记录，承包人可进行隐蔽或继续施工。</w:t>
      </w:r>
    </w:p>
    <w:p>
      <w:pPr>
        <w:widowControl/>
        <w:spacing w:line="360" w:lineRule="auto"/>
        <w:ind w:firstLine="420" w:firstLineChars="200"/>
        <w:jc w:val="left"/>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18、重新检验</w:t>
      </w:r>
    </w:p>
    <w:p>
      <w:pPr>
        <w:widowControl/>
        <w:spacing w:line="360" w:lineRule="auto"/>
        <w:ind w:firstLine="420" w:firstLineChars="200"/>
        <w:jc w:val="left"/>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无论工程师是否进行验收，当其要求对已经隐蔽的工程重新检验时，承包人应按要求进行剥离或开孔，并在检验后重新覆盖或修复。检验合格，发包人承担由此发生的全部追加合同价款，赔偿承包人损失，并相应顺延工期。检验不合格，承包人承担发生的全部费用，工期不予顺延。</w:t>
      </w:r>
    </w:p>
    <w:p>
      <w:pPr>
        <w:widowControl/>
        <w:spacing w:line="360" w:lineRule="auto"/>
        <w:ind w:firstLine="420" w:firstLineChars="200"/>
        <w:jc w:val="left"/>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19、工程试车</w:t>
      </w:r>
    </w:p>
    <w:p>
      <w:pPr>
        <w:widowControl/>
        <w:spacing w:line="360" w:lineRule="auto"/>
        <w:ind w:firstLine="420" w:firstLineChars="200"/>
        <w:jc w:val="left"/>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19.1双方约定需要试车的，试车内容应与承包人承包的安装范围相一致。</w:t>
      </w:r>
    </w:p>
    <w:p>
      <w:pPr>
        <w:widowControl/>
        <w:spacing w:line="360" w:lineRule="auto"/>
        <w:ind w:firstLine="420" w:firstLineChars="200"/>
        <w:jc w:val="left"/>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19.2设备安装工程具备单机无负荷试车条件，承包人组织试车，并在试车前48小时以书面形式通知工程师。通知包括试车内容、时间、地点。承包人准备试车记录，发包人根据承包人要求为试车提供必要条件。试车合格，工程师在试车记录上签字。</w:t>
      </w:r>
    </w:p>
    <w:p>
      <w:pPr>
        <w:widowControl/>
        <w:spacing w:line="360" w:lineRule="auto"/>
        <w:ind w:firstLine="420" w:firstLineChars="200"/>
        <w:jc w:val="left"/>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19.3工程师不能按时参加试车，须在开始试车前24小时以书面形式向承包人提出延期要求，延期不能超过48小时。工程师未能按以上时间提出延期要求，不参加试车，应承认试车记录。</w:t>
      </w:r>
    </w:p>
    <w:p>
      <w:pPr>
        <w:widowControl/>
        <w:spacing w:line="360" w:lineRule="auto"/>
        <w:ind w:firstLine="420" w:firstLineChars="200"/>
        <w:jc w:val="left"/>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19.4设备安装工程具备无负荷联动试车条件，发包人组织试车，并在试车前48小时以书面形式通知承包人。通知包括试车内容、时间、地点和对承包人的要求，承包人按要求做好准备工作。试车合格，双方在试车记录上签字。</w:t>
      </w:r>
    </w:p>
    <w:p>
      <w:pPr>
        <w:widowControl/>
        <w:spacing w:line="360" w:lineRule="auto"/>
        <w:ind w:firstLine="420" w:firstLineChars="200"/>
        <w:jc w:val="left"/>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19.5双方责任</w:t>
      </w:r>
    </w:p>
    <w:p>
      <w:pPr>
        <w:widowControl/>
        <w:spacing w:line="360" w:lineRule="auto"/>
        <w:ind w:firstLine="420" w:firstLineChars="200"/>
        <w:jc w:val="left"/>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（1）由于设计原因试车达不到验收要求，发包人应要求设计单位修改设计，承包人按修改后的设计重新安装。发包人承担修改设计、拆除及重新安装的全部费用和追加合同价款，工期相应顺延。</w:t>
      </w:r>
    </w:p>
    <w:p>
      <w:pPr>
        <w:widowControl/>
        <w:spacing w:line="360" w:lineRule="auto"/>
        <w:ind w:firstLine="420" w:firstLineChars="200"/>
        <w:jc w:val="left"/>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由于设备制造原因试车达不到验收要求，由该设备采购一方负责重新购置或修理，承包人负责拆除和重新安装。设备由承包人采购的，由承包人承担修理或重新购置、拆除及重新安装的费用，工期不予顺延；设备由发包人采购的或由发包人认质认价，承包人采购的，发包人承担上述各项追加合同价款，工期相应顺延。</w:t>
      </w:r>
    </w:p>
    <w:p>
      <w:pPr>
        <w:widowControl/>
        <w:spacing w:line="360" w:lineRule="auto"/>
        <w:ind w:firstLine="420" w:firstLineChars="200"/>
        <w:jc w:val="left"/>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（3）由于承包人施工原因试车达不到验收要求，承包人按工程师要求重新安装和试车，并承担重新安装和试车的费用，工期不予顺延。</w:t>
      </w:r>
    </w:p>
    <w:p>
      <w:pPr>
        <w:widowControl/>
        <w:spacing w:line="360" w:lineRule="auto"/>
        <w:ind w:firstLine="420" w:firstLineChars="200"/>
        <w:jc w:val="left"/>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（4）试车费用除已包括在合同价款之内或专用条款另有约定外，均由发包人承担。</w:t>
      </w:r>
    </w:p>
    <w:p>
      <w:pPr>
        <w:widowControl/>
        <w:spacing w:line="360" w:lineRule="auto"/>
        <w:ind w:firstLine="420" w:firstLineChars="200"/>
        <w:jc w:val="left"/>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（5）工程师在试车合格后不在试车记录上签字，试车结束24小时后，视为工程师已经认可试车记录，承包人可继续施工或办理竣工手续。</w:t>
      </w:r>
    </w:p>
    <w:p>
      <w:pPr>
        <w:widowControl/>
        <w:spacing w:line="360" w:lineRule="auto"/>
        <w:ind w:firstLine="420" w:firstLineChars="200"/>
        <w:jc w:val="left"/>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19.6投料试车应在工程竣工验收后由发包人负责，如发包人要求在工程竣工验收前进行或需要承包人配合时，应征得承包人同意，另行签订补充协议。</w:t>
      </w:r>
    </w:p>
    <w:p>
      <w:pPr>
        <w:widowControl/>
        <w:spacing w:line="360" w:lineRule="auto"/>
        <w:ind w:firstLine="422" w:firstLineChars="200"/>
        <w:jc w:val="left"/>
        <w:outlineLvl w:val="0"/>
        <w:rPr>
          <w:rFonts w:asciiTheme="minorEastAsia" w:hAnsiTheme="minorEastAsia" w:eastAsiaTheme="minorEastAsia" w:cstheme="minorEastAsia"/>
          <w:b/>
          <w:kern w:val="0"/>
          <w:sz w:val="21"/>
          <w:szCs w:val="21"/>
          <w:highlight w:val="none"/>
        </w:rPr>
      </w:pPr>
      <w:bookmarkStart w:id="489" w:name="_Toc29827"/>
      <w:bookmarkStart w:id="490" w:name="_Toc32073"/>
      <w:r>
        <w:rPr>
          <w:rFonts w:hint="eastAsia" w:asciiTheme="minorEastAsia" w:hAnsiTheme="minorEastAsia" w:eastAsiaTheme="minorEastAsia" w:cstheme="minorEastAsia"/>
          <w:b/>
          <w:kern w:val="0"/>
          <w:sz w:val="21"/>
          <w:szCs w:val="21"/>
          <w:highlight w:val="none"/>
        </w:rPr>
        <w:t>五、安全防护、文明施工</w:t>
      </w:r>
      <w:bookmarkEnd w:id="489"/>
      <w:bookmarkEnd w:id="490"/>
    </w:p>
    <w:p>
      <w:pPr>
        <w:widowControl/>
        <w:spacing w:line="360" w:lineRule="auto"/>
        <w:ind w:firstLine="420" w:firstLineChars="200"/>
        <w:jc w:val="left"/>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20、发包人责任</w:t>
      </w:r>
    </w:p>
    <w:p>
      <w:pPr>
        <w:widowControl/>
        <w:spacing w:line="360" w:lineRule="auto"/>
        <w:ind w:firstLine="420" w:firstLineChars="200"/>
        <w:jc w:val="left"/>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20．1发包人应遵守安全防护和文明施工的规定，督促承包人落实安全防护、文明施工措施，并按规定支付安全防护、文明施工措施费。</w:t>
      </w:r>
    </w:p>
    <w:p>
      <w:pPr>
        <w:widowControl/>
        <w:spacing w:line="360" w:lineRule="auto"/>
        <w:ind w:firstLine="420" w:firstLineChars="200"/>
        <w:jc w:val="left"/>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20．2发包人应对其在施工现场人员进行安全防护、文明施工教育，并对他们的安全负责。</w:t>
      </w:r>
    </w:p>
    <w:p>
      <w:pPr>
        <w:widowControl/>
        <w:spacing w:line="360" w:lineRule="auto"/>
        <w:ind w:firstLine="420" w:firstLineChars="200"/>
        <w:jc w:val="left"/>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20．3在合同工程实施、完成及保修期间，发包人不得要求承包人违反安全生产、文明施工规定和强制性标准规范进行施工；不得明示或暗示承包人购买、租赁、使用不符合安全施工要求的安全防护用具、机械设备、施工机具及配件、消防设施和器材。</w:t>
      </w:r>
    </w:p>
    <w:p>
      <w:pPr>
        <w:widowControl/>
        <w:spacing w:line="360" w:lineRule="auto"/>
        <w:ind w:firstLine="420" w:firstLineChars="200"/>
        <w:jc w:val="left"/>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20．4发包人违反上述规定或由于发包人原因导致安全事故的，由发包人承担相应责任和费用，顺延延误的工期。</w:t>
      </w:r>
    </w:p>
    <w:p>
      <w:pPr>
        <w:widowControl/>
        <w:spacing w:line="360" w:lineRule="auto"/>
        <w:ind w:firstLine="420" w:firstLineChars="200"/>
        <w:jc w:val="left"/>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21、承包人责任</w:t>
      </w:r>
    </w:p>
    <w:p>
      <w:pPr>
        <w:widowControl/>
        <w:spacing w:line="360" w:lineRule="auto"/>
        <w:ind w:firstLine="420" w:firstLineChars="200"/>
        <w:jc w:val="left"/>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21.1承包人应遵守安全防护和文明施工的规定，建立健全安全防护和文明施工的制度，对其在施工现场人员进行安全防护、文明施工教育，并对他们的安全负责。</w:t>
      </w:r>
    </w:p>
    <w:p>
      <w:pPr>
        <w:widowControl/>
        <w:spacing w:line="360" w:lineRule="auto"/>
        <w:ind w:firstLine="420" w:firstLineChars="200"/>
        <w:jc w:val="left"/>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21.2完善安全防护和文明施工条件，严格按照安全防护和文明施工的规定组织施工，采取必要的安全防护措施，消除事故隐患，自觉接受和配合依法实施的监督检查。</w:t>
      </w:r>
    </w:p>
    <w:p>
      <w:pPr>
        <w:widowControl/>
        <w:spacing w:line="360" w:lineRule="auto"/>
        <w:ind w:firstLine="420" w:firstLineChars="200"/>
        <w:jc w:val="left"/>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21.3在合同工程实施、完成及保修期间，承包人应做好施工现场的安全警示标志、道路及场地的硬化与必要的绿化、安全通道的合理布置、材料与设备的存放与保管、消防设施的齐全有效、现场垃圾的存放与清运、施工现场的照明与防护以及政府有关部门关于安全防护、文明施工规定的其它工作等。</w:t>
      </w:r>
    </w:p>
    <w:p>
      <w:pPr>
        <w:widowControl/>
        <w:spacing w:line="360" w:lineRule="auto"/>
        <w:ind w:firstLine="420" w:firstLineChars="200"/>
        <w:jc w:val="left"/>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21.4应按规定的范围使用安全文明措施费，保证专款专用，不得挪作它用。</w:t>
      </w:r>
    </w:p>
    <w:p>
      <w:pPr>
        <w:widowControl/>
        <w:spacing w:line="360" w:lineRule="auto"/>
        <w:ind w:firstLine="420" w:firstLineChars="200"/>
        <w:jc w:val="left"/>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21.5承包人对合同工程的安全施工负责，并应及时、如实报告生产安全事故。承包人违反上述规定或由于承包人原因造成的安全事故，由承包人承担相应责任和费用，工期不予顺延。</w:t>
      </w:r>
    </w:p>
    <w:p>
      <w:pPr>
        <w:widowControl/>
        <w:spacing w:line="360" w:lineRule="auto"/>
        <w:ind w:firstLine="420" w:firstLineChars="200"/>
        <w:jc w:val="left"/>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22、合同工程临近动力设备、输电线路、地下管道、密封防震车间、易燃易爆地段、建（构）筑物以及临街交通要道施工时，按有关规定应当采取防护措施的，施工开始前承包人应向工程师提出安全防护措施，经工程师认可后实施。防护措施费由发包人承担。</w:t>
      </w:r>
    </w:p>
    <w:p>
      <w:pPr>
        <w:widowControl/>
        <w:spacing w:line="360" w:lineRule="auto"/>
        <w:ind w:firstLine="420" w:firstLineChars="200"/>
        <w:jc w:val="left"/>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23、实施爆破作业，在放射、毒害性环境中施工（含储存、运输、使用）及使用毒害性、腐蚀性物品施工时，承包人应在施工前14天以书面通知工程师，并提出相应的安全防护措施，经工程师认可后实施，由发包人承担安全防护措施费用。</w:t>
      </w:r>
    </w:p>
    <w:p>
      <w:pPr>
        <w:widowControl/>
        <w:spacing w:line="360" w:lineRule="auto"/>
        <w:ind w:firstLine="420" w:firstLineChars="200"/>
        <w:jc w:val="left"/>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24、事故处理</w:t>
      </w:r>
    </w:p>
    <w:p>
      <w:pPr>
        <w:widowControl/>
        <w:spacing w:line="360" w:lineRule="auto"/>
        <w:ind w:firstLine="420" w:firstLineChars="200"/>
        <w:jc w:val="left"/>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24.1发生伤亡及其他安全事故，承包人应按有关规定立即上报有关部门并通知工程师，同时按政府有关部门要求处理，由事故责任方承担发生的费用。</w:t>
      </w:r>
    </w:p>
    <w:p>
      <w:pPr>
        <w:widowControl/>
        <w:spacing w:line="360" w:lineRule="auto"/>
        <w:ind w:firstLine="420" w:firstLineChars="200"/>
        <w:jc w:val="left"/>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24.2发包人承包人对事故责任有争议时，应按政府有关部门的认定处理。</w:t>
      </w:r>
    </w:p>
    <w:p>
      <w:pPr>
        <w:widowControl/>
        <w:spacing w:line="360" w:lineRule="auto"/>
        <w:ind w:firstLine="422" w:firstLineChars="200"/>
        <w:jc w:val="left"/>
        <w:outlineLvl w:val="0"/>
        <w:rPr>
          <w:rFonts w:asciiTheme="minorEastAsia" w:hAnsiTheme="minorEastAsia" w:eastAsiaTheme="minorEastAsia" w:cstheme="minorEastAsia"/>
          <w:b/>
          <w:kern w:val="0"/>
          <w:sz w:val="21"/>
          <w:szCs w:val="21"/>
          <w:highlight w:val="none"/>
        </w:rPr>
      </w:pPr>
      <w:bookmarkStart w:id="491" w:name="_Toc16449"/>
      <w:bookmarkStart w:id="492" w:name="_Toc28132"/>
      <w:r>
        <w:rPr>
          <w:rFonts w:hint="eastAsia" w:asciiTheme="minorEastAsia" w:hAnsiTheme="minorEastAsia" w:eastAsiaTheme="minorEastAsia" w:cstheme="minorEastAsia"/>
          <w:b/>
          <w:kern w:val="0"/>
          <w:sz w:val="21"/>
          <w:szCs w:val="21"/>
          <w:highlight w:val="none"/>
        </w:rPr>
        <w:t>六、合同价款</w:t>
      </w:r>
      <w:bookmarkEnd w:id="491"/>
      <w:bookmarkEnd w:id="492"/>
    </w:p>
    <w:p>
      <w:pPr>
        <w:widowControl/>
        <w:spacing w:line="360" w:lineRule="auto"/>
        <w:ind w:firstLine="420" w:firstLineChars="200"/>
        <w:jc w:val="left"/>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kern w:val="0"/>
          <w:sz w:val="21"/>
          <w:szCs w:val="21"/>
          <w:highlight w:val="none"/>
        </w:rPr>
        <w:t>25、工程的计量规则和计价办法以《陕西省建设工程工程量清单计价规则》及相关规定为准，工程师应按照合同约定，依据上述规定进行工程计量和计价。</w:t>
      </w:r>
    </w:p>
    <w:p>
      <w:pPr>
        <w:widowControl/>
        <w:spacing w:line="360" w:lineRule="auto"/>
        <w:ind w:firstLine="420" w:firstLineChars="200"/>
        <w:jc w:val="left"/>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26、合同价款约定</w:t>
      </w:r>
    </w:p>
    <w:p>
      <w:pPr>
        <w:widowControl/>
        <w:spacing w:line="360" w:lineRule="auto"/>
        <w:ind w:firstLine="420" w:firstLineChars="200"/>
        <w:jc w:val="left"/>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26.1招标工程的合同价款由发包人承包人依据中标通知书中的中标价格在协议书内约定。非招标工程的合同价款由发包人承包人依据双方确认的工程预算书在协议书内约定。</w:t>
      </w:r>
    </w:p>
    <w:p>
      <w:pPr>
        <w:widowControl/>
        <w:spacing w:line="360" w:lineRule="auto"/>
        <w:ind w:firstLine="420" w:firstLineChars="200"/>
        <w:jc w:val="left"/>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26.2合同价款在协议书内约定后，任何一方不得擅自改变。下列三种确定合同价款的方式，双方可在专用条款内约定采用其中一种：</w:t>
      </w:r>
    </w:p>
    <w:p>
      <w:pPr>
        <w:widowControl/>
        <w:spacing w:line="360" w:lineRule="auto"/>
        <w:ind w:firstLine="420" w:firstLineChars="200"/>
        <w:jc w:val="left"/>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（1）固定总价合同。合同工期较短且工程合同总价较低的工程，可以采用固定总价合同方式。</w:t>
      </w:r>
    </w:p>
    <w:p>
      <w:pPr>
        <w:widowControl/>
        <w:spacing w:line="360" w:lineRule="auto"/>
        <w:ind w:firstLine="420" w:firstLineChars="200"/>
        <w:jc w:val="left"/>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（2）固定综合单价合同。一般适用于工程量清单计价项目。双方在专用条款内约定综合单价包含的风险范围，在约定的风险范围内综合单价不再调整。风险范围以外的综合单价调整方法应当在专用条款内约定。</w:t>
      </w:r>
    </w:p>
    <w:p>
      <w:pPr>
        <w:widowControl/>
        <w:spacing w:line="360" w:lineRule="auto"/>
        <w:ind w:firstLine="420" w:firstLineChars="200"/>
        <w:jc w:val="left"/>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（3）可调价格合同。可调价格包括可调综合单价和措施项目费用等，双方应在专用条款内约定综合单价和措施项目费的调整方法。</w:t>
      </w:r>
    </w:p>
    <w:p>
      <w:pPr>
        <w:widowControl/>
        <w:spacing w:line="360" w:lineRule="auto"/>
        <w:ind w:firstLine="420" w:firstLineChars="200"/>
        <w:jc w:val="left"/>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27、合同价款调整</w:t>
      </w:r>
    </w:p>
    <w:p>
      <w:pPr>
        <w:widowControl/>
        <w:spacing w:line="360" w:lineRule="auto"/>
        <w:ind w:firstLine="420" w:firstLineChars="200"/>
        <w:jc w:val="left"/>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27.1价格中工程量、综合单价、措施项目费用的调整因素包括：</w:t>
      </w:r>
    </w:p>
    <w:p>
      <w:pPr>
        <w:widowControl/>
        <w:spacing w:line="360" w:lineRule="auto"/>
        <w:ind w:firstLine="420" w:firstLineChars="200"/>
        <w:jc w:val="left"/>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（1）法律、行政法规和国家有关政策变化影响合同价款；</w:t>
      </w:r>
    </w:p>
    <w:p>
      <w:pPr>
        <w:widowControl/>
        <w:spacing w:line="360" w:lineRule="auto"/>
        <w:ind w:firstLine="420" w:firstLineChars="200"/>
        <w:jc w:val="left"/>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（2）工程造价管理机构的价格调整；</w:t>
      </w:r>
    </w:p>
    <w:p>
      <w:pPr>
        <w:widowControl/>
        <w:spacing w:line="360" w:lineRule="auto"/>
        <w:ind w:firstLine="420" w:firstLineChars="200"/>
        <w:jc w:val="left"/>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（3）经批准的设计变更；</w:t>
      </w:r>
    </w:p>
    <w:p>
      <w:pPr>
        <w:widowControl/>
        <w:spacing w:line="360" w:lineRule="auto"/>
        <w:ind w:firstLine="420" w:firstLineChars="200"/>
        <w:jc w:val="left"/>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（4）发包人更改经审定批准的施工组织设计（修正错误除外）造成费用变化；</w:t>
      </w:r>
    </w:p>
    <w:p>
      <w:pPr>
        <w:widowControl/>
        <w:spacing w:line="360" w:lineRule="auto"/>
        <w:ind w:firstLine="420" w:firstLineChars="200"/>
        <w:jc w:val="left"/>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（5）工程量清单的工程数量与实际工程量不符，按实际工程量进行调整计算；</w:t>
      </w:r>
    </w:p>
    <w:p>
      <w:pPr>
        <w:widowControl/>
        <w:spacing w:line="360" w:lineRule="auto"/>
        <w:ind w:firstLine="420" w:firstLineChars="200"/>
        <w:jc w:val="left"/>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（6）费用索赔事件或发包人负责的其他情况；</w:t>
      </w:r>
    </w:p>
    <w:p>
      <w:pPr>
        <w:widowControl/>
        <w:spacing w:line="360" w:lineRule="auto"/>
        <w:ind w:firstLine="420" w:firstLineChars="200"/>
        <w:jc w:val="left"/>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（7）双方在专用条款中约定的其他因素。</w:t>
      </w:r>
    </w:p>
    <w:p>
      <w:pPr>
        <w:widowControl/>
        <w:spacing w:line="360" w:lineRule="auto"/>
        <w:ind w:firstLine="420" w:firstLineChars="200"/>
        <w:jc w:val="left"/>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27.2承包人应当在27.1款情况发生后14天内，将调整原因、金额以书面形式通知工程师，工程师确认调整金额后作为追加合同价款，与工程款同期支付。工程师收到承包人通知后14天内不予确认也不提出修改意见，视为已经同意该项调整。承包人未在规定时间内通知发包人、或者未在规定时间内提出调整报告，发包人可以根据有关资料，决定是否调整和调整的金额并书面通知承包人，承包人如有异议，且协商达不成一致时，按第41条关于争议的约定处理。</w:t>
      </w:r>
    </w:p>
    <w:p>
      <w:pPr>
        <w:widowControl/>
        <w:spacing w:line="360" w:lineRule="auto"/>
        <w:ind w:firstLine="420" w:firstLineChars="200"/>
        <w:jc w:val="left"/>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28、工程预付款</w:t>
      </w:r>
    </w:p>
    <w:p>
      <w:pPr>
        <w:widowControl/>
        <w:spacing w:line="360" w:lineRule="auto"/>
        <w:ind w:firstLine="420" w:firstLineChars="200"/>
        <w:jc w:val="left"/>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28.1双方应当在专用条款内约定发包人向承包人预付工程款的比例、时间和抵扣方式，开工后按约定的时间和比例逐次扣回。预付款的预付比例不得低于合同总价的10%，也不得高于合同总价的</w:t>
      </w:r>
      <w:r>
        <w:rPr>
          <w:rFonts w:hint="eastAsia" w:asciiTheme="minorEastAsia" w:hAnsiTheme="minorEastAsia" w:eastAsiaTheme="minorEastAsia" w:cstheme="minorEastAsia"/>
          <w:kern w:val="0"/>
          <w:sz w:val="21"/>
          <w:szCs w:val="21"/>
          <w:highlight w:val="none"/>
          <w:lang w:val="en-US" w:eastAsia="zh-CN"/>
        </w:rPr>
        <w:t>4</w:t>
      </w:r>
      <w:r>
        <w:rPr>
          <w:rFonts w:hint="eastAsia" w:asciiTheme="minorEastAsia" w:hAnsiTheme="minorEastAsia" w:eastAsiaTheme="minorEastAsia" w:cstheme="minorEastAsia"/>
          <w:kern w:val="0"/>
          <w:sz w:val="21"/>
          <w:szCs w:val="21"/>
          <w:highlight w:val="none"/>
        </w:rPr>
        <w:t>0%。预付时间应在双方签订合同后的一个月内或不迟于约定的开工日期前7天。发包人不按约定预付，承包人在约定预付时间7天后10天内向发包人发出要求预付的通知，发包人收到通知后仍不能按要求预付，承包人可在发出通知后14天后停止施工，发包人应从约定应付之日起向承包人支付应付款的贷款利息（利率按同期银行贷款利率计），并承担违约责任。</w:t>
      </w:r>
    </w:p>
    <w:p>
      <w:pPr>
        <w:widowControl/>
        <w:spacing w:line="360" w:lineRule="auto"/>
        <w:ind w:firstLine="420" w:firstLineChars="200"/>
        <w:jc w:val="left"/>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28.2安全防护和文明施工措施费应在专用条款中约定预付方式。合同工期在一年以内的，预付比例不得低于总额的70%；合同工期在一年以上的（含一年），预付比例不得低于总额的50%。</w:t>
      </w:r>
    </w:p>
    <w:p>
      <w:pPr>
        <w:widowControl/>
        <w:spacing w:line="360" w:lineRule="auto"/>
        <w:ind w:firstLine="420" w:firstLineChars="200"/>
        <w:jc w:val="left"/>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29、已完工程量确认</w:t>
      </w:r>
    </w:p>
    <w:p>
      <w:pPr>
        <w:widowControl/>
        <w:spacing w:line="360" w:lineRule="auto"/>
        <w:ind w:firstLine="420" w:firstLineChars="200"/>
        <w:jc w:val="left"/>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29.1承包人应按专用条款约定的方法和时间，向工程师提交已完工程量的报告。工程师接到报告后14天内按设计图纸核实已完工程量（以下称计量），并在计量前24小时通知承包人，承包人为计量提供便利条件并派人参加。承包人收到通知后不参加计量，计量结果有效，作为工程价款支付的依据。</w:t>
      </w:r>
    </w:p>
    <w:p>
      <w:pPr>
        <w:widowControl/>
        <w:spacing w:line="360" w:lineRule="auto"/>
        <w:ind w:firstLine="420" w:firstLineChars="200"/>
        <w:jc w:val="left"/>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29.2工程师收到承包人报告后14天内未进行计量，从第15天起，承包人报告中开列的工程量即视为被确认，作为工程价款支付的依据。工程师不按约定时间通知承包人，致使承包人未能参加计量，计量结果无效。</w:t>
      </w:r>
    </w:p>
    <w:p>
      <w:pPr>
        <w:widowControl/>
        <w:spacing w:line="360" w:lineRule="auto"/>
        <w:ind w:firstLine="420" w:firstLineChars="200"/>
        <w:jc w:val="left"/>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29.3对承包人超出设计图纸（含设计变更）范围和因承包人原因造成返工的工程量，工程师不予计量。</w:t>
      </w:r>
    </w:p>
    <w:p>
      <w:pPr>
        <w:widowControl/>
        <w:spacing w:line="360" w:lineRule="auto"/>
        <w:ind w:firstLine="420" w:firstLineChars="200"/>
        <w:jc w:val="left"/>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30、工程进度款结算与支付</w:t>
      </w:r>
    </w:p>
    <w:p>
      <w:pPr>
        <w:widowControl/>
        <w:spacing w:line="360" w:lineRule="auto"/>
        <w:ind w:firstLine="420" w:firstLineChars="200"/>
        <w:jc w:val="left"/>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30.1双方应在专用条款内约定工程进度款结算支付方式。结算支付方式分为按月结算支付与分阶段结算支付。</w:t>
      </w:r>
    </w:p>
    <w:p>
      <w:pPr>
        <w:widowControl/>
        <w:spacing w:line="360" w:lineRule="auto"/>
        <w:ind w:firstLine="420" w:firstLineChars="200"/>
        <w:jc w:val="left"/>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30.2在确认计量结果后14天内，发包人应向承包人支付不低于应付款额75%、不高于应付款额90%的工程进度款。按约定时间发包人应扣回的预付款，与工程进度款同期结算抵扣。</w:t>
      </w:r>
    </w:p>
    <w:p>
      <w:pPr>
        <w:widowControl/>
        <w:spacing w:line="360" w:lineRule="auto"/>
        <w:ind w:firstLine="420" w:firstLineChars="200"/>
        <w:jc w:val="left"/>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30.3本通用条款第27条确定调整的合同价款，第35条工程变更调整的合同价款及其他条款中约定的追加合同价款，应与工程进度款同期调整支付。</w:t>
      </w:r>
    </w:p>
    <w:p>
      <w:pPr>
        <w:widowControl/>
        <w:spacing w:line="360" w:lineRule="auto"/>
        <w:ind w:firstLine="420" w:firstLineChars="200"/>
        <w:jc w:val="left"/>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30.4发包人超过约定的支付时间不支付工程进度款，承包人应及时向发包人发出要求付款的通知，发包人收到承包人通知后仍不能按要求付款，可与承包人协商签订延期付款协议，经承包人同意后可延期支付。协议应明确延期支付的时间和从计量结果确认后第15天起计算应付款的贷款利息（利率按同期银行贷款利率计）。</w:t>
      </w:r>
    </w:p>
    <w:p>
      <w:pPr>
        <w:widowControl/>
        <w:spacing w:line="360" w:lineRule="auto"/>
        <w:ind w:firstLine="420" w:firstLineChars="200"/>
        <w:jc w:val="left"/>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30.5发包人不按合同约定支付工程进度款，双方又未达成延期付款协议，导致施工无法进行，承包人可停止施工，由发包人承担违约责任。</w:t>
      </w:r>
    </w:p>
    <w:p>
      <w:pPr>
        <w:widowControl/>
        <w:spacing w:line="360" w:lineRule="auto"/>
        <w:ind w:firstLine="422" w:firstLineChars="200"/>
        <w:outlineLvl w:val="0"/>
        <w:rPr>
          <w:rFonts w:asciiTheme="minorEastAsia" w:hAnsiTheme="minorEastAsia" w:eastAsiaTheme="minorEastAsia" w:cstheme="minorEastAsia"/>
          <w:b/>
          <w:kern w:val="0"/>
          <w:sz w:val="21"/>
          <w:szCs w:val="21"/>
          <w:highlight w:val="none"/>
        </w:rPr>
      </w:pPr>
      <w:bookmarkStart w:id="493" w:name="_Toc11424"/>
      <w:bookmarkStart w:id="494" w:name="_Toc17836"/>
      <w:r>
        <w:rPr>
          <w:rFonts w:hint="eastAsia" w:asciiTheme="minorEastAsia" w:hAnsiTheme="minorEastAsia" w:eastAsiaTheme="minorEastAsia" w:cstheme="minorEastAsia"/>
          <w:b/>
          <w:kern w:val="0"/>
          <w:sz w:val="21"/>
          <w:szCs w:val="21"/>
          <w:highlight w:val="none"/>
        </w:rPr>
        <w:t>七、材料设备供应</w:t>
      </w:r>
      <w:bookmarkEnd w:id="493"/>
      <w:bookmarkEnd w:id="494"/>
    </w:p>
    <w:p>
      <w:pPr>
        <w:widowControl/>
        <w:spacing w:line="360" w:lineRule="auto"/>
        <w:ind w:firstLine="420" w:firstLineChars="200"/>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31、发包人供应材料设备</w:t>
      </w:r>
    </w:p>
    <w:p>
      <w:pPr>
        <w:widowControl/>
        <w:spacing w:line="360" w:lineRule="auto"/>
        <w:ind w:firstLine="420" w:firstLineChars="200"/>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31.1实行发包人供应材料设备的，双方应当约定发包人供应材料设备的一览表，作为本合同附件（附件2）。一览表包括发包人供应材料设备的品种、规格、型号、数量、单价、质量等级、提供时间和地点。</w:t>
      </w:r>
    </w:p>
    <w:p>
      <w:pPr>
        <w:widowControl/>
        <w:spacing w:line="360" w:lineRule="auto"/>
        <w:ind w:firstLine="420" w:firstLineChars="200"/>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31.2发包人按一览表约定的内容提供材料设备，并向承包人提供产品合格证明，对其质量负责。发包人在所供材料设备到货前24小时，以书面形式通知承包人，由承包人派人与发包人共同清点。</w:t>
      </w:r>
    </w:p>
    <w:p>
      <w:pPr>
        <w:widowControl/>
        <w:spacing w:line="360" w:lineRule="auto"/>
        <w:ind w:firstLine="420" w:firstLineChars="200"/>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31.3发包人供应的材料设备，承包人派人参加清点后由承包人妥善保管，发包人支付相应保管费用。因承包人原因发生丢失损坏，由承包人负责赔偿。发包人未通知承包人清点，承包人不负责材料设备的保管，丢失损坏由发包人负责。</w:t>
      </w:r>
    </w:p>
    <w:p>
      <w:pPr>
        <w:widowControl/>
        <w:spacing w:line="360" w:lineRule="auto"/>
        <w:ind w:firstLine="420" w:firstLineChars="200"/>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31.4发包人供应的材料设备与一览表不符时，发包人承担有关责任。发包人应承担责任的具体内容，双方根据下列情况在专用条款内约定：</w:t>
      </w:r>
    </w:p>
    <w:p>
      <w:pPr>
        <w:widowControl/>
        <w:spacing w:line="360" w:lineRule="auto"/>
        <w:ind w:firstLine="420" w:firstLineChars="200"/>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（1）材料设备单价与一览表不符，由发包人承担所有价差；</w:t>
      </w:r>
    </w:p>
    <w:p>
      <w:pPr>
        <w:widowControl/>
        <w:spacing w:line="360" w:lineRule="auto"/>
        <w:ind w:firstLine="420" w:firstLineChars="200"/>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（2）材料设备的品种、规格、型号、质量等级与一览表不符，承包人可拒绝接收保管，由发包人运出施工场地并重新采购；</w:t>
      </w:r>
    </w:p>
    <w:p>
      <w:pPr>
        <w:widowControl/>
        <w:spacing w:line="360" w:lineRule="auto"/>
        <w:ind w:firstLine="420" w:firstLineChars="200"/>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（3）发包人供应的材料规格、型号与一览表不符，经发包人同意，承包人可代为调剂串换，由发包人承担相应费用；</w:t>
      </w:r>
    </w:p>
    <w:p>
      <w:pPr>
        <w:widowControl/>
        <w:spacing w:line="360" w:lineRule="auto"/>
        <w:ind w:firstLine="420" w:firstLineChars="200"/>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（4）到货地点与一览表不符，由发包人负责运至一览表指定地点；</w:t>
      </w:r>
    </w:p>
    <w:p>
      <w:pPr>
        <w:widowControl/>
        <w:spacing w:line="360" w:lineRule="auto"/>
        <w:ind w:firstLine="420" w:firstLineChars="200"/>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（5）供应数量少于一览表约定的数量时，由发包人补齐，多于一览表约定数量时，发包人负责将多出部分运出施工场地；</w:t>
      </w:r>
    </w:p>
    <w:p>
      <w:pPr>
        <w:widowControl/>
        <w:spacing w:line="360" w:lineRule="auto"/>
        <w:ind w:firstLine="420" w:firstLineChars="200"/>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（6）到货时间早于一览表约定时间，由发包人承担因此发生的保管费用；到货时间迟于一览表约定的供应时间，发包人赔偿由此造成的承包人损失，造成工期延误的，相应顺延工期；</w:t>
      </w:r>
    </w:p>
    <w:p>
      <w:pPr>
        <w:widowControl/>
        <w:spacing w:line="360" w:lineRule="auto"/>
        <w:ind w:firstLine="420" w:firstLineChars="200"/>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31.5发包人供应的材料设备使用前，由承包人负责检验或试验，不合格的不得使用，检验或试验费用由发包人承担。</w:t>
      </w:r>
    </w:p>
    <w:p>
      <w:pPr>
        <w:widowControl/>
        <w:spacing w:line="360" w:lineRule="auto"/>
        <w:ind w:firstLine="420" w:firstLineChars="200"/>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31.6发包人供应材料设备的结算方法，双方在专用条款内约定。</w:t>
      </w:r>
    </w:p>
    <w:p>
      <w:pPr>
        <w:widowControl/>
        <w:spacing w:line="360" w:lineRule="auto"/>
        <w:ind w:firstLine="420" w:firstLineChars="200"/>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32、承包人采购材料设备</w:t>
      </w:r>
    </w:p>
    <w:p>
      <w:pPr>
        <w:widowControl/>
        <w:spacing w:line="360" w:lineRule="auto"/>
        <w:ind w:firstLine="420" w:firstLineChars="200"/>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32.1承包人负责采购材料设备的，应按照专用条款约定及设计和有关标准要求采购，并提供产品合格证明，对材料设备质量负责。承包人在材料设备到货前24小时通知工程师清点。</w:t>
      </w:r>
    </w:p>
    <w:p>
      <w:pPr>
        <w:widowControl/>
        <w:spacing w:line="360" w:lineRule="auto"/>
        <w:ind w:firstLine="420" w:firstLineChars="200"/>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32.2承包人采购的材料设备与设计标准要求不符时，承包人应按工程师要求的时间运出施工场地，重新采购符合要求的产品，承担由此发生的费用，由此延误的工期不予顺延。</w:t>
      </w:r>
    </w:p>
    <w:p>
      <w:pPr>
        <w:widowControl/>
        <w:spacing w:line="360" w:lineRule="auto"/>
        <w:ind w:firstLine="420" w:firstLineChars="200"/>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32.3承包人采购的材料设备在使用前，承包人应按工程师的要求进行检验或试验，不合格的不得使用，检验或试验费用由承包人承担。</w:t>
      </w:r>
    </w:p>
    <w:p>
      <w:pPr>
        <w:widowControl/>
        <w:spacing w:line="360" w:lineRule="auto"/>
        <w:ind w:firstLine="420" w:firstLineChars="200"/>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32.4工程师发现承包人采购并使用不符合设计和标准要求的材料设备时，应要求承包人负责修复、拆除或重新采购，由承包人承担发生的费用，由此延误的工期不予顺延。</w:t>
      </w:r>
    </w:p>
    <w:p>
      <w:pPr>
        <w:widowControl/>
        <w:spacing w:line="360" w:lineRule="auto"/>
        <w:ind w:firstLine="420" w:firstLineChars="200"/>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32.5承包人需要使用代用材料时，应经工程师认可后才能使用，由此增减的合同价款双方以书面形式议定。</w:t>
      </w:r>
    </w:p>
    <w:p>
      <w:pPr>
        <w:widowControl/>
        <w:spacing w:line="360" w:lineRule="auto"/>
        <w:ind w:firstLine="420" w:firstLineChars="200"/>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32.6由承包人采购的材料设备，发包人不得指定生产厂或磋商响应单位。</w:t>
      </w:r>
    </w:p>
    <w:p>
      <w:pPr>
        <w:widowControl/>
        <w:spacing w:line="360" w:lineRule="auto"/>
        <w:ind w:firstLine="422" w:firstLineChars="200"/>
        <w:rPr>
          <w:rFonts w:asciiTheme="minorEastAsia" w:hAnsiTheme="minorEastAsia" w:eastAsiaTheme="minorEastAsia" w:cstheme="minorEastAsia"/>
          <w:b/>
          <w:kern w:val="0"/>
          <w:sz w:val="21"/>
          <w:szCs w:val="21"/>
          <w:highlight w:val="none"/>
        </w:rPr>
      </w:pPr>
      <w:r>
        <w:rPr>
          <w:rFonts w:hint="eastAsia" w:asciiTheme="minorEastAsia" w:hAnsiTheme="minorEastAsia" w:eastAsiaTheme="minorEastAsia" w:cstheme="minorEastAsia"/>
          <w:b/>
          <w:kern w:val="0"/>
          <w:sz w:val="21"/>
          <w:szCs w:val="21"/>
          <w:highlight w:val="none"/>
        </w:rPr>
        <w:t>八、工程变更</w:t>
      </w:r>
    </w:p>
    <w:p>
      <w:pPr>
        <w:widowControl/>
        <w:spacing w:line="360" w:lineRule="auto"/>
        <w:ind w:firstLine="420" w:firstLineChars="200"/>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33、工程设计变更</w:t>
      </w:r>
    </w:p>
    <w:p>
      <w:pPr>
        <w:widowControl/>
        <w:spacing w:line="360" w:lineRule="auto"/>
        <w:ind w:firstLine="420" w:firstLineChars="200"/>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33.1施工中发包人需对原工程设计变更，应提前14天以书面形式向承包人发出变更通知。变更超过原设计标准或批准的建设规模时，发包人应报规划管理部门和其他有关部门重新审查批准，并由原设计单位提供变更的相应图纸和说明。承包人按照工程师发出的变更通知及有关要求，进行下列需要的变更：</w:t>
      </w:r>
    </w:p>
    <w:p>
      <w:pPr>
        <w:widowControl/>
        <w:spacing w:line="360" w:lineRule="auto"/>
        <w:ind w:firstLine="420" w:firstLineChars="200"/>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（1）更改工程有关部分的标高、基线、位置和尺寸；</w:t>
      </w:r>
    </w:p>
    <w:p>
      <w:pPr>
        <w:widowControl/>
        <w:spacing w:line="360" w:lineRule="auto"/>
        <w:ind w:firstLine="420" w:firstLineChars="200"/>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（2）增减合同中约定的工程量；</w:t>
      </w:r>
    </w:p>
    <w:p>
      <w:pPr>
        <w:widowControl/>
        <w:spacing w:line="360" w:lineRule="auto"/>
        <w:ind w:firstLine="420" w:firstLineChars="200"/>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（3）改变有关工程的施工时间和顺序；</w:t>
      </w:r>
    </w:p>
    <w:p>
      <w:pPr>
        <w:widowControl/>
        <w:spacing w:line="360" w:lineRule="auto"/>
        <w:ind w:firstLine="420" w:firstLineChars="200"/>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（4）其他有关工程变更需要的附加工作。</w:t>
      </w:r>
    </w:p>
    <w:p>
      <w:pPr>
        <w:widowControl/>
        <w:spacing w:line="360" w:lineRule="auto"/>
        <w:ind w:firstLine="420" w:firstLineChars="200"/>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因变更导致合同价款的增减及造成的承包人损失，由发包人承担，延误的工期相应顺延。</w:t>
      </w:r>
    </w:p>
    <w:p>
      <w:pPr>
        <w:widowControl/>
        <w:spacing w:line="360" w:lineRule="auto"/>
        <w:ind w:firstLine="420" w:firstLineChars="200"/>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33.2施工中承包人不得对原工程设计进行变更。因承包人擅自变更设计发生的费用和由此导致发包人的直接损失，由承包人承担，延误的工期不予顺延。</w:t>
      </w:r>
    </w:p>
    <w:p>
      <w:pPr>
        <w:widowControl/>
        <w:spacing w:line="360" w:lineRule="auto"/>
        <w:ind w:firstLine="420" w:firstLineChars="200"/>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33.3承包人在施工中提出的合理化建议涉及到对设计图纸或施工组织设计的更改及对材料、设备的换用，须经工程师同意。未经同意擅自更改或换用时，承包人承担由此发生的费用，并赔偿发包人的有关损失，延误的工期不予顺延。工程师同意采用承包人合理化建议，所发生的费用和获得的收益，发包人承包人另行约定分担或分享。</w:t>
      </w:r>
    </w:p>
    <w:p>
      <w:pPr>
        <w:widowControl/>
        <w:spacing w:line="360" w:lineRule="auto"/>
        <w:ind w:firstLine="420" w:firstLineChars="200"/>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34、其他变更</w:t>
      </w:r>
    </w:p>
    <w:p>
      <w:pPr>
        <w:widowControl/>
        <w:spacing w:line="360" w:lineRule="auto"/>
        <w:ind w:firstLine="420" w:firstLineChars="200"/>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合同履行中发包人要求变更工程质量标准及发生其他实质性变更，由双方协商解决。</w:t>
      </w:r>
    </w:p>
    <w:p>
      <w:pPr>
        <w:widowControl/>
        <w:spacing w:line="360" w:lineRule="auto"/>
        <w:ind w:firstLine="420" w:firstLineChars="200"/>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35、确定变更价款</w:t>
      </w:r>
    </w:p>
    <w:p>
      <w:pPr>
        <w:widowControl/>
        <w:spacing w:line="360" w:lineRule="auto"/>
        <w:ind w:firstLine="420" w:firstLineChars="200"/>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35.1承包人在工程变更确定后14天内，提出变更工程价款的报告，经工程师确认后调整合同价款。变更合同价款按下列方法进行：</w:t>
      </w:r>
    </w:p>
    <w:p>
      <w:pPr>
        <w:widowControl/>
        <w:spacing w:line="360" w:lineRule="auto"/>
        <w:ind w:firstLine="420" w:firstLineChars="200"/>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（1）合同中已有适用于变更工程的综合单价或价格，按合同已有的综合单价或价格变更合同价款；</w:t>
      </w:r>
    </w:p>
    <w:p>
      <w:pPr>
        <w:widowControl/>
        <w:spacing w:line="360" w:lineRule="auto"/>
        <w:ind w:firstLine="420" w:firstLineChars="200"/>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（2）合同中只有类似于变更工程的综合单价或价格，可以参照类似综合单价或价格变更合同价款；</w:t>
      </w:r>
    </w:p>
    <w:p>
      <w:pPr>
        <w:widowControl/>
        <w:spacing w:line="360" w:lineRule="auto"/>
        <w:ind w:firstLine="420" w:firstLineChars="200"/>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（3）合同中没有适用或类似于变更工程的综合单价或价格，由承包人或发包人提出综合单价或价格，经双方确认后执行。</w:t>
      </w:r>
    </w:p>
    <w:p>
      <w:pPr>
        <w:widowControl/>
        <w:spacing w:line="360" w:lineRule="auto"/>
        <w:ind w:firstLine="420" w:firstLineChars="200"/>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35.2承包人在双方确定变更后14天内应向工程师提出变更工程价款报告，否则发包人可根据所掌握的资料决定是否调整合同价款和调整的具体金额，并书面通知承包人。</w:t>
      </w:r>
    </w:p>
    <w:p>
      <w:pPr>
        <w:widowControl/>
        <w:spacing w:line="360" w:lineRule="auto"/>
        <w:ind w:firstLine="420" w:firstLineChars="200"/>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35.3工程师应在收到变更工程价款报告之日起14天内予以确认，工程师无正当理由不确认也未提出协商意见时，自变更工程价款报告送达之日起14天后视为变更工程价款报告已被确认。</w:t>
      </w:r>
    </w:p>
    <w:p>
      <w:pPr>
        <w:widowControl/>
        <w:spacing w:line="360" w:lineRule="auto"/>
        <w:ind w:firstLine="420" w:firstLineChars="200"/>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35.4发承包双方对变更价款不能达成一致时，按本通用条款第41条关于争议的约定处理。</w:t>
      </w:r>
    </w:p>
    <w:p>
      <w:pPr>
        <w:widowControl/>
        <w:spacing w:line="360" w:lineRule="auto"/>
        <w:ind w:firstLine="420" w:firstLineChars="200"/>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35.5因承包人自身原因导致的工程变更，承包人无权要求追加合同价款。</w:t>
      </w:r>
    </w:p>
    <w:p>
      <w:pPr>
        <w:widowControl/>
        <w:spacing w:line="360" w:lineRule="auto"/>
        <w:ind w:firstLine="422" w:firstLineChars="200"/>
        <w:rPr>
          <w:rFonts w:asciiTheme="minorEastAsia" w:hAnsiTheme="minorEastAsia" w:eastAsiaTheme="minorEastAsia" w:cstheme="minorEastAsia"/>
          <w:b/>
          <w:kern w:val="0"/>
          <w:sz w:val="21"/>
          <w:szCs w:val="21"/>
          <w:highlight w:val="none"/>
        </w:rPr>
      </w:pPr>
      <w:r>
        <w:rPr>
          <w:rFonts w:hint="eastAsia" w:asciiTheme="minorEastAsia" w:hAnsiTheme="minorEastAsia" w:eastAsiaTheme="minorEastAsia" w:cstheme="minorEastAsia"/>
          <w:b/>
          <w:kern w:val="0"/>
          <w:sz w:val="21"/>
          <w:szCs w:val="21"/>
          <w:highlight w:val="none"/>
        </w:rPr>
        <w:t>九、竣工验收与结算</w:t>
      </w:r>
    </w:p>
    <w:p>
      <w:pPr>
        <w:widowControl/>
        <w:spacing w:line="360" w:lineRule="auto"/>
        <w:ind w:firstLine="420" w:firstLineChars="200"/>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36、竣工验收</w:t>
      </w:r>
    </w:p>
    <w:p>
      <w:pPr>
        <w:widowControl/>
        <w:spacing w:line="360" w:lineRule="auto"/>
        <w:ind w:firstLine="420" w:firstLineChars="200"/>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36.1工程具备竣工验收条件，承包人按国家工程竣工验收有关规定，向发包人提供完整竣工资料及竣工验收报告。双方约定由承包人提供竣工图的，应当在专用条款内约定提供的日期和份数。</w:t>
      </w:r>
    </w:p>
    <w:p>
      <w:pPr>
        <w:widowControl/>
        <w:spacing w:line="360" w:lineRule="auto"/>
        <w:ind w:firstLine="420" w:firstLineChars="200"/>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36.2发包人收到竣工验收报告后28天内组织有关单位验收，并在验收后14天内给予认可或提出修改意见。承包人按要求修改，并承担由自身原因造成修改的费用。</w:t>
      </w:r>
    </w:p>
    <w:p>
      <w:pPr>
        <w:widowControl/>
        <w:spacing w:line="360" w:lineRule="auto"/>
        <w:ind w:firstLine="420" w:firstLineChars="200"/>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36.3发包人收到承包人送交的竣工验收报告后28天内不组织验收，或验收后14天内不提出修改意见，视为竣工验收报告已被认可。</w:t>
      </w:r>
    </w:p>
    <w:p>
      <w:pPr>
        <w:widowControl/>
        <w:spacing w:line="360" w:lineRule="auto"/>
        <w:ind w:firstLine="420" w:firstLineChars="200"/>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36.4工程竣工验收通过，承包人送交竣工验收报告的日期为实际竣工日期。工程按发包人要求修改后通过竣工验收的，实际竣工日期为承包人修改后提请发包人验收的日期。</w:t>
      </w:r>
    </w:p>
    <w:p>
      <w:pPr>
        <w:widowControl/>
        <w:spacing w:line="360" w:lineRule="auto"/>
        <w:ind w:firstLine="420" w:firstLineChars="200"/>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36.5发包人收到承包人竣工验收报告后28天内不组织验收，从第29天起承担工程保管及一切意外责任。</w:t>
      </w:r>
    </w:p>
    <w:p>
      <w:pPr>
        <w:widowControl/>
        <w:spacing w:line="360" w:lineRule="auto"/>
        <w:ind w:firstLine="420" w:firstLineChars="200"/>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36.6中间交工工程的范围和竣工时间，双方在专用条款内约定，其验收程序按本通用条款36.1款至36.4款办理。</w:t>
      </w:r>
    </w:p>
    <w:p>
      <w:pPr>
        <w:widowControl/>
        <w:spacing w:line="360" w:lineRule="auto"/>
        <w:ind w:firstLine="420" w:firstLineChars="200"/>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36.7因特殊原因，发包人要求部分单位工程或工程部位甩项竣工的，双方另行签订甩项竣工协议，明确双方责任和工程价款的支付方法。</w:t>
      </w:r>
    </w:p>
    <w:p>
      <w:pPr>
        <w:widowControl/>
        <w:spacing w:line="360" w:lineRule="auto"/>
        <w:ind w:firstLine="420" w:firstLineChars="200"/>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36.8工程未经竣工验收或竣工验收未通过的，发包人不得使用。发包人强行使用时，由此发生的质量及其他问题，由发包人承担责任。</w:t>
      </w:r>
    </w:p>
    <w:p>
      <w:pPr>
        <w:widowControl/>
        <w:spacing w:line="360" w:lineRule="auto"/>
        <w:ind w:firstLine="420" w:firstLineChars="200"/>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37、竣工结算</w:t>
      </w:r>
    </w:p>
    <w:p>
      <w:pPr>
        <w:widowControl/>
        <w:spacing w:line="360" w:lineRule="auto"/>
        <w:ind w:firstLine="420" w:firstLineChars="200"/>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37.1工程竣工结算分为单位工程竣工结算、单项工程竣工结算和建设项目竣工总结算。</w:t>
      </w:r>
    </w:p>
    <w:p>
      <w:pPr>
        <w:widowControl/>
        <w:spacing w:line="360" w:lineRule="auto"/>
        <w:ind w:firstLine="420" w:firstLineChars="200"/>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37.2承包人应在工程通过竣工验收后，工程竣工结算报告金额在500万元以下的工程一般在20天以内、工程竣工结算报告金额在500万元以上的工程一般在60天以内向发包人递交竣工结算报告及完整的结算资料，双方按照协议书约定的合同价款及专用条款约定的合同价款调整内容，进行工程竣工结算。</w:t>
      </w:r>
    </w:p>
    <w:p>
      <w:pPr>
        <w:widowControl/>
        <w:spacing w:line="360" w:lineRule="auto"/>
        <w:ind w:firstLine="420" w:firstLineChars="200"/>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建设项目总结算在最后一个单项工程竣工结算审查确认后，一般在15天以内向发包人提交竣工结算汇总资料。</w:t>
      </w:r>
    </w:p>
    <w:p>
      <w:pPr>
        <w:widowControl/>
        <w:spacing w:line="360" w:lineRule="auto"/>
        <w:ind w:firstLine="420" w:firstLineChars="200"/>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37.3发包人收到承包人递交的单位单项工程竣工结算报告及结算资料后，工程竣工结算报告金额在500万元以下的工程一般在20天以内、工程竣工结算报告金额在500万元以上的工程一般在60天以内（合同约定有期限的，从其约定）进行审查，给予确认或者提出修改意见。发包人确认竣工结算报告后向承包人支付工程竣工结算价款。</w:t>
      </w:r>
    </w:p>
    <w:p>
      <w:pPr>
        <w:widowControl/>
        <w:spacing w:line="360" w:lineRule="auto"/>
        <w:ind w:firstLine="420" w:firstLineChars="200"/>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37.4承包人收到竣工结算价款后14天内将竣工工程交付发包人。</w:t>
      </w:r>
    </w:p>
    <w:p>
      <w:pPr>
        <w:widowControl/>
        <w:spacing w:line="360" w:lineRule="auto"/>
        <w:ind w:firstLine="420" w:firstLineChars="200"/>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37.5发包人收到承包人建设项目竣工总结算汇总资料后30天内，审查完成。</w:t>
      </w:r>
    </w:p>
    <w:p>
      <w:pPr>
        <w:widowControl/>
        <w:spacing w:line="360" w:lineRule="auto"/>
        <w:ind w:firstLine="420" w:firstLineChars="200"/>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37.6发包人收到竣工结算报告及结算资料后，在本条规定期限内对结算报告及资料没有提出意见则视同认可。</w:t>
      </w:r>
    </w:p>
    <w:p>
      <w:pPr>
        <w:widowControl/>
        <w:spacing w:line="360" w:lineRule="auto"/>
        <w:ind w:firstLine="420" w:firstLineChars="200"/>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37.7承包人如未在规定时间内提供完整的工程竣工结算资料，经发包人催促后14天内仍未提供或没有明确答复，发包人有权根据已有资料进行审查，责任由承包人自负。发包人要求交付工程的，承包人应当交付；发包人不要求交付工程的，承包人承担保管责任。</w:t>
      </w:r>
    </w:p>
    <w:p>
      <w:pPr>
        <w:widowControl/>
        <w:spacing w:line="360" w:lineRule="auto"/>
        <w:ind w:firstLine="420" w:firstLineChars="200"/>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37.8根据确认的竣工结算报告，承包人向发包人申请支付工程竣工结算款。发包人应在收到申请后15天内支付结算款，到期没有支付的应承担违约责任。承包人可以催告发包人支付结算价款，如达成延期支付协议的，发包人应按同期银行贷款利率支付拖欠工程价款的利息。如未达成延期支付协议，承包人可以与发包人协商将该工程折价或申请人民法院将该工程依法拍卖，承包人就该工程折价或者拍卖的价款优先受偿。</w:t>
      </w:r>
    </w:p>
    <w:p>
      <w:pPr>
        <w:widowControl/>
        <w:spacing w:line="360" w:lineRule="auto"/>
        <w:ind w:firstLine="420" w:firstLineChars="200"/>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37.9发包人承包人对工程竣工结算价款发生争议时，按本通用条款第41条关于争议的约定处理。</w:t>
      </w:r>
    </w:p>
    <w:p>
      <w:pPr>
        <w:widowControl/>
        <w:spacing w:line="360" w:lineRule="auto"/>
        <w:ind w:firstLine="420" w:firstLineChars="200"/>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38、质量保证</w:t>
      </w:r>
    </w:p>
    <w:p>
      <w:pPr>
        <w:widowControl/>
        <w:spacing w:line="360" w:lineRule="auto"/>
        <w:ind w:firstLine="420" w:firstLineChars="200"/>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38.1承包人应按法律、行政法规或国家关于工程质量保修的有关规定，对交付发包人使用的工程在质量保修期内承担质量保修责任。</w:t>
      </w:r>
    </w:p>
    <w:p>
      <w:pPr>
        <w:widowControl/>
        <w:spacing w:line="360" w:lineRule="auto"/>
        <w:ind w:firstLine="420" w:firstLineChars="200"/>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38.2质量保修工作的实施。承包人与发包人签订质量保修书，作为本合同附件（附件３）。发包人应明确保证金预留、返还等内容，并与承包人在合同条款中对涉及保证金的下列事项进行约定：</w:t>
      </w:r>
    </w:p>
    <w:p>
      <w:pPr>
        <w:widowControl/>
        <w:spacing w:line="360" w:lineRule="auto"/>
        <w:ind w:firstLine="420" w:firstLineChars="200"/>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（1）保证金预留、返还方式；</w:t>
      </w:r>
    </w:p>
    <w:p>
      <w:pPr>
        <w:widowControl/>
        <w:spacing w:line="360" w:lineRule="auto"/>
        <w:ind w:firstLine="420" w:firstLineChars="200"/>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（2）保证金预留比例、期限；</w:t>
      </w:r>
    </w:p>
    <w:p>
      <w:pPr>
        <w:widowControl/>
        <w:spacing w:line="360" w:lineRule="auto"/>
        <w:ind w:firstLine="420" w:firstLineChars="200"/>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（3）保证金是否计付利息，如计利息，利息的计算方式；</w:t>
      </w:r>
    </w:p>
    <w:p>
      <w:pPr>
        <w:widowControl/>
        <w:spacing w:line="360" w:lineRule="auto"/>
        <w:ind w:firstLine="420" w:firstLineChars="200"/>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（4）缺陷责任期的期限及计算方式；</w:t>
      </w:r>
    </w:p>
    <w:p>
      <w:pPr>
        <w:widowControl/>
        <w:spacing w:line="360" w:lineRule="auto"/>
        <w:ind w:firstLine="420" w:firstLineChars="200"/>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（5）保证金预留、返还及工程维修质量、费用等争议的处理程序；</w:t>
      </w:r>
    </w:p>
    <w:p>
      <w:pPr>
        <w:widowControl/>
        <w:spacing w:line="360" w:lineRule="auto"/>
        <w:ind w:firstLine="420" w:firstLineChars="200"/>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（6）缺陷责任期内出现缺陷的索赔方式。</w:t>
      </w:r>
    </w:p>
    <w:p>
      <w:pPr>
        <w:widowControl/>
        <w:spacing w:line="360" w:lineRule="auto"/>
        <w:ind w:firstLine="420" w:firstLineChars="200"/>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38.3质量保修书的主要内容包括：</w:t>
      </w:r>
    </w:p>
    <w:p>
      <w:pPr>
        <w:widowControl/>
        <w:spacing w:line="360" w:lineRule="auto"/>
        <w:ind w:firstLine="420" w:firstLineChars="200"/>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（1）质量保修项目内容及范围；</w:t>
      </w:r>
    </w:p>
    <w:p>
      <w:pPr>
        <w:widowControl/>
        <w:spacing w:line="360" w:lineRule="auto"/>
        <w:ind w:firstLine="420" w:firstLineChars="200"/>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（2）质量保修期；</w:t>
      </w:r>
    </w:p>
    <w:p>
      <w:pPr>
        <w:widowControl/>
        <w:spacing w:line="360" w:lineRule="auto"/>
        <w:ind w:firstLine="420" w:firstLineChars="200"/>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（3）质量保修责任；</w:t>
      </w:r>
    </w:p>
    <w:p>
      <w:pPr>
        <w:widowControl/>
        <w:spacing w:line="360" w:lineRule="auto"/>
        <w:ind w:firstLine="420" w:firstLineChars="200"/>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（4）质量保修金的支付方法。</w:t>
      </w:r>
    </w:p>
    <w:p>
      <w:pPr>
        <w:widowControl/>
        <w:spacing w:line="360" w:lineRule="auto"/>
        <w:ind w:firstLine="420" w:firstLineChars="200"/>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38.4质量保证金按工程价款结算总额5%以内的比例预留。</w:t>
      </w:r>
    </w:p>
    <w:p>
      <w:pPr>
        <w:widowControl/>
        <w:spacing w:line="360" w:lineRule="auto"/>
        <w:ind w:firstLine="422" w:firstLineChars="200"/>
        <w:rPr>
          <w:rFonts w:asciiTheme="minorEastAsia" w:hAnsiTheme="minorEastAsia" w:eastAsiaTheme="minorEastAsia" w:cstheme="minorEastAsia"/>
          <w:b/>
          <w:kern w:val="0"/>
          <w:sz w:val="21"/>
          <w:szCs w:val="21"/>
          <w:highlight w:val="none"/>
        </w:rPr>
      </w:pPr>
      <w:r>
        <w:rPr>
          <w:rFonts w:hint="eastAsia" w:asciiTheme="minorEastAsia" w:hAnsiTheme="minorEastAsia" w:eastAsiaTheme="minorEastAsia" w:cstheme="minorEastAsia"/>
          <w:b/>
          <w:kern w:val="0"/>
          <w:sz w:val="21"/>
          <w:szCs w:val="21"/>
          <w:highlight w:val="none"/>
        </w:rPr>
        <w:t>十、违约、索赔和争议</w:t>
      </w:r>
    </w:p>
    <w:p>
      <w:pPr>
        <w:widowControl/>
        <w:spacing w:line="360" w:lineRule="auto"/>
        <w:ind w:firstLine="420" w:firstLineChars="200"/>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39、违约</w:t>
      </w:r>
    </w:p>
    <w:p>
      <w:pPr>
        <w:widowControl/>
        <w:spacing w:line="360" w:lineRule="auto"/>
        <w:ind w:firstLine="420" w:firstLineChars="200"/>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39.1发包人违约。当发生下列情况时：</w:t>
      </w:r>
    </w:p>
    <w:p>
      <w:pPr>
        <w:widowControl/>
        <w:spacing w:line="360" w:lineRule="auto"/>
        <w:ind w:firstLine="420" w:firstLineChars="200"/>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（1）本通用条款第28.1款提到的发包人不按时支付工程预付款；</w:t>
      </w:r>
    </w:p>
    <w:p>
      <w:pPr>
        <w:widowControl/>
        <w:spacing w:line="360" w:lineRule="auto"/>
        <w:ind w:firstLine="420" w:firstLineChars="200"/>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（2）本通用条款第30.5款提到的发包人不按合同约定支付工程款，导致施工无法进行；</w:t>
      </w:r>
    </w:p>
    <w:p>
      <w:pPr>
        <w:widowControl/>
        <w:spacing w:line="360" w:lineRule="auto"/>
        <w:ind w:firstLine="420" w:firstLineChars="200"/>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（3）本通用条款第37.6款提到的发包人无正当理由不支付工程竣工结算价款；</w:t>
      </w:r>
    </w:p>
    <w:p>
      <w:pPr>
        <w:widowControl/>
        <w:spacing w:line="360" w:lineRule="auto"/>
        <w:ind w:firstLine="420" w:firstLineChars="200"/>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（4）发包人不履行合同义务或不按合同约定履行义务的其他情况。</w:t>
      </w:r>
    </w:p>
    <w:p>
      <w:pPr>
        <w:widowControl/>
        <w:spacing w:line="360" w:lineRule="auto"/>
        <w:ind w:firstLine="420" w:firstLineChars="200"/>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发包人承担违约责任，赔偿因其违约给承包人造成的经济损失，顺延延误的工期。双方在专用条款内约定发包人赔偿承包人损失的计算方法或者发包人应当支付违约金的数额和计算方法。</w:t>
      </w:r>
    </w:p>
    <w:p>
      <w:pPr>
        <w:widowControl/>
        <w:spacing w:line="360" w:lineRule="auto"/>
        <w:ind w:firstLine="420" w:firstLineChars="200"/>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39.2承包人违约。当发生下列情况时：</w:t>
      </w:r>
    </w:p>
    <w:p>
      <w:pPr>
        <w:widowControl/>
        <w:spacing w:line="360" w:lineRule="auto"/>
        <w:ind w:firstLine="420" w:firstLineChars="200"/>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（1）本通用条款第14.2款提到的因承包人原因不能按照协议书约定的竣工日期或工程师同意顺延的工期竣工；</w:t>
      </w:r>
    </w:p>
    <w:p>
      <w:pPr>
        <w:widowControl/>
        <w:spacing w:line="360" w:lineRule="auto"/>
        <w:ind w:firstLine="420" w:firstLineChars="200"/>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（2）本通用条款第15.1款提到的因承包人原因工程质量达不到协议书约定的质量标准；</w:t>
      </w:r>
    </w:p>
    <w:p>
      <w:pPr>
        <w:widowControl/>
        <w:spacing w:line="360" w:lineRule="auto"/>
        <w:ind w:firstLine="420" w:firstLineChars="200"/>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（3）承包人不履行合同义务或不按合同约定履行义务的其他情况。</w:t>
      </w:r>
    </w:p>
    <w:p>
      <w:pPr>
        <w:widowControl/>
        <w:spacing w:line="360" w:lineRule="auto"/>
        <w:ind w:firstLine="420" w:firstLineChars="200"/>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承包人承担违约责任，赔偿因其违约给发包人造成的损失。双方在专用条款内约定承包人赔偿发包人损失的计算方法或者承包人应当支付违约金的数额和计算方法。</w:t>
      </w:r>
    </w:p>
    <w:p>
      <w:pPr>
        <w:widowControl/>
        <w:spacing w:line="360" w:lineRule="auto"/>
        <w:ind w:firstLine="420" w:firstLineChars="200"/>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39.3一方违约后，另一方要求违约方继续履行合同时，违约方承担上述违约责任后仍应继续履行合同。</w:t>
      </w:r>
    </w:p>
    <w:p>
      <w:pPr>
        <w:widowControl/>
        <w:spacing w:line="360" w:lineRule="auto"/>
        <w:ind w:firstLine="420" w:firstLineChars="200"/>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40、索赔</w:t>
      </w:r>
    </w:p>
    <w:p>
      <w:pPr>
        <w:widowControl/>
        <w:spacing w:line="360" w:lineRule="auto"/>
        <w:ind w:firstLine="420" w:firstLineChars="200"/>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40.1当一方向另一方提出索赔时，要有正当索赔理由，且有索赔事件发生时的有效证据。</w:t>
      </w:r>
    </w:p>
    <w:p>
      <w:pPr>
        <w:widowControl/>
        <w:spacing w:line="360" w:lineRule="auto"/>
        <w:ind w:firstLine="420" w:firstLineChars="200"/>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40.2发包人未能按合同约定履行自己的各项义务或发生错误以及应由发包人承担责任的其他情况，造成工期延误和（或）承包人不能及时得到合同价款及承包人的其他经济损失，承包人可按下列程序以书面形式向发包人索赔：</w:t>
      </w:r>
    </w:p>
    <w:p>
      <w:pPr>
        <w:widowControl/>
        <w:spacing w:line="360" w:lineRule="auto"/>
        <w:ind w:firstLine="420" w:firstLineChars="200"/>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（1）索赔事件发生后28天内，向工程师发出索赔意向通知；</w:t>
      </w:r>
    </w:p>
    <w:p>
      <w:pPr>
        <w:widowControl/>
        <w:spacing w:line="360" w:lineRule="auto"/>
        <w:ind w:firstLine="420" w:firstLineChars="200"/>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（2）发出索赔意向通知后28天内，向工程师提出延长工期和（或）补偿经济损失的索赔报告及有关资料；</w:t>
      </w:r>
    </w:p>
    <w:p>
      <w:pPr>
        <w:widowControl/>
        <w:spacing w:line="360" w:lineRule="auto"/>
        <w:ind w:firstLine="420" w:firstLineChars="200"/>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（3）工程师在收到承包人送交的索赔报告和有关资料后，于28天内给予答复，或要求承包人进一步补充索赔理由和证据；</w:t>
      </w:r>
    </w:p>
    <w:p>
      <w:pPr>
        <w:widowControl/>
        <w:spacing w:line="360" w:lineRule="auto"/>
        <w:ind w:firstLine="420" w:firstLineChars="200"/>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（4）工程师在收到承包人送交的索赔报告和有关资料后28天内未予答复或未对承包人作进一步要求，视为该项索赔已经认可；</w:t>
      </w:r>
    </w:p>
    <w:p>
      <w:pPr>
        <w:widowControl/>
        <w:spacing w:line="360" w:lineRule="auto"/>
        <w:ind w:firstLine="420" w:firstLineChars="200"/>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（5）当该索赔事件持续进行时，承包人应当阶段性向工程师发出索赔意向，在索赔事件终了后28天内，向工程师送交索赔的有关资料和最终索赔报告。索赔答复程序与（3）、（4）规定相同。</w:t>
      </w:r>
    </w:p>
    <w:p>
      <w:pPr>
        <w:widowControl/>
        <w:spacing w:line="360" w:lineRule="auto"/>
        <w:ind w:firstLine="420" w:firstLineChars="200"/>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40.3承包人未能按合同约定履行自己的各项义务或发生错误，给发包人造成经济损失，发包人可按40.2款确定的时限向承包人提出索赔。</w:t>
      </w:r>
    </w:p>
    <w:p>
      <w:pPr>
        <w:widowControl/>
        <w:spacing w:line="360" w:lineRule="auto"/>
        <w:ind w:firstLine="420" w:firstLineChars="200"/>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41、争议</w:t>
      </w:r>
    </w:p>
    <w:p>
      <w:pPr>
        <w:widowControl/>
        <w:spacing w:line="360" w:lineRule="auto"/>
        <w:ind w:firstLine="420" w:firstLineChars="200"/>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41.1发包人承包人在履行合同时发生争议，可以协商和解或者要求有关主管部门调解。当事人不愿和解、调解或者和解、调解不成的，双方可以在专用条款内约定以下一种方式解决争议：第一种解决方式：双方达成仲裁协议，向约定的仲裁委员会申请仲裁；第二种解决方式：向有管辖权的人民法院起诉。</w:t>
      </w:r>
    </w:p>
    <w:p>
      <w:pPr>
        <w:widowControl/>
        <w:spacing w:line="360" w:lineRule="auto"/>
        <w:ind w:firstLine="420" w:firstLineChars="200"/>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41.2发生争议后，除非出现下列情况的，双方都应继续履行合同，保持施工连续，保护好已完工程：</w:t>
      </w:r>
    </w:p>
    <w:p>
      <w:pPr>
        <w:widowControl/>
        <w:spacing w:line="360" w:lineRule="auto"/>
        <w:ind w:firstLine="420" w:firstLineChars="200"/>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（1）单方违约导致合同确已无法履行，双方协议停止施工；</w:t>
      </w:r>
    </w:p>
    <w:p>
      <w:pPr>
        <w:widowControl/>
        <w:spacing w:line="360" w:lineRule="auto"/>
        <w:ind w:firstLine="420" w:firstLineChars="200"/>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（2）调解要求停止施工，且为双方接受；</w:t>
      </w:r>
    </w:p>
    <w:p>
      <w:pPr>
        <w:widowControl/>
        <w:spacing w:line="360" w:lineRule="auto"/>
        <w:ind w:firstLine="420" w:firstLineChars="200"/>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（3）仲裁机构要求停止施工；</w:t>
      </w:r>
    </w:p>
    <w:p>
      <w:pPr>
        <w:widowControl/>
        <w:spacing w:line="360" w:lineRule="auto"/>
        <w:ind w:firstLine="420" w:firstLineChars="200"/>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（4）法院要求停止施工。</w:t>
      </w:r>
    </w:p>
    <w:p>
      <w:pPr>
        <w:widowControl/>
        <w:spacing w:line="360" w:lineRule="auto"/>
        <w:ind w:firstLine="422" w:firstLineChars="200"/>
        <w:rPr>
          <w:rFonts w:asciiTheme="minorEastAsia" w:hAnsiTheme="minorEastAsia" w:eastAsiaTheme="minorEastAsia" w:cstheme="minorEastAsia"/>
          <w:b/>
          <w:kern w:val="0"/>
          <w:sz w:val="21"/>
          <w:szCs w:val="21"/>
          <w:highlight w:val="none"/>
        </w:rPr>
      </w:pPr>
      <w:r>
        <w:rPr>
          <w:rFonts w:hint="eastAsia" w:asciiTheme="minorEastAsia" w:hAnsiTheme="minorEastAsia" w:eastAsiaTheme="minorEastAsia" w:cstheme="minorEastAsia"/>
          <w:b/>
          <w:kern w:val="0"/>
          <w:sz w:val="21"/>
          <w:szCs w:val="21"/>
          <w:highlight w:val="none"/>
        </w:rPr>
        <w:t>十一、其他</w:t>
      </w:r>
    </w:p>
    <w:p>
      <w:pPr>
        <w:widowControl/>
        <w:spacing w:line="360" w:lineRule="auto"/>
        <w:ind w:firstLine="420" w:firstLineChars="200"/>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42、工程分包</w:t>
      </w:r>
    </w:p>
    <w:p>
      <w:pPr>
        <w:widowControl/>
        <w:spacing w:line="360" w:lineRule="auto"/>
        <w:ind w:firstLine="420" w:firstLineChars="200"/>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42.1承包人需要将专业工程或劳务进行分包的，应分包给具有相应资质的专业或劳务企业，并与分包企业签订分包合同。</w:t>
      </w:r>
    </w:p>
    <w:p>
      <w:pPr>
        <w:widowControl/>
        <w:spacing w:line="360" w:lineRule="auto"/>
        <w:ind w:firstLine="420" w:firstLineChars="200"/>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42.2承包人不得将其承包的工程转包给他人，也不得将其承包的工程以分包的名义转包给他人。</w:t>
      </w:r>
    </w:p>
    <w:p>
      <w:pPr>
        <w:widowControl/>
        <w:spacing w:line="360" w:lineRule="auto"/>
        <w:ind w:firstLine="420" w:firstLineChars="200"/>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42.3工程分包不能解除承包人任何责任与义务。承包人应在分包场地派驻相应管理人员，保证本合同的履行。分包单位的任何违约行为或疏忽导致工程损害或给发包人造成其他损失，承包人承担连带责任。</w:t>
      </w:r>
    </w:p>
    <w:p>
      <w:pPr>
        <w:widowControl/>
        <w:spacing w:line="360" w:lineRule="auto"/>
        <w:ind w:firstLine="420" w:firstLineChars="200"/>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42.4分包工程价款由承包人与分包单位结算。发包人未经承包人同意不得以任何形式向分包单位支付各种工程款项。</w:t>
      </w:r>
    </w:p>
    <w:p>
      <w:pPr>
        <w:widowControl/>
        <w:spacing w:line="360" w:lineRule="auto"/>
        <w:ind w:firstLine="420" w:firstLineChars="200"/>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42.5承包人应按时支付分包工程款及劳务费。若承包人不能按时支付时，发包人可将此部分款项从向承包人支付的工程款中扣出并直接支付给分包人和劳务人员。</w:t>
      </w:r>
    </w:p>
    <w:p>
      <w:pPr>
        <w:widowControl/>
        <w:spacing w:line="360" w:lineRule="auto"/>
        <w:ind w:firstLine="420" w:firstLineChars="200"/>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43、不可抗力</w:t>
      </w:r>
    </w:p>
    <w:p>
      <w:pPr>
        <w:widowControl/>
        <w:spacing w:line="360" w:lineRule="auto"/>
        <w:ind w:firstLine="420" w:firstLineChars="200"/>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43.1不可抗力包括因战争、动乱、空中飞行物体坠落或其他非发包人承包人责任造成的爆炸、火灾，以及专用条款约定的风、雨、雪、洪、震等自然灾害。</w:t>
      </w:r>
    </w:p>
    <w:p>
      <w:pPr>
        <w:widowControl/>
        <w:spacing w:line="360" w:lineRule="auto"/>
        <w:ind w:firstLine="420" w:firstLineChars="200"/>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43.2不可抗力事件发生后，承包人应立即通知工程师，双方应在力所能及的条件下迅速采取措施，尽力减少损失，发包人应协助承包人采取措施。工程师认为应当暂停施工的，承包人应暂停施工。不可抗力事件结束后48小时内承包人向工程师通报受害情况和损失情况，及预计清理和修复的费用。不可抗事件持续发生，承包人应每隔7天向工程师报告一次受害情况。不可抗力事件结束后14天内，承包人向工程师提交清理和修复费用的正式报告及有关资料。</w:t>
      </w:r>
    </w:p>
    <w:p>
      <w:pPr>
        <w:widowControl/>
        <w:spacing w:line="360" w:lineRule="auto"/>
        <w:ind w:firstLine="420" w:firstLineChars="200"/>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43.3因不可抗力事件导致的费用及延误的工期由双方按以下方法分别承担：</w:t>
      </w:r>
    </w:p>
    <w:p>
      <w:pPr>
        <w:widowControl/>
        <w:spacing w:line="360" w:lineRule="auto"/>
        <w:ind w:firstLine="420" w:firstLineChars="200"/>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（1）工程本身的损害、因工程损害导致第三人人员伤亡和财产损失以及运至施工场地用于施工的材料和待安装的设备的损害，由发包人承担；</w:t>
      </w:r>
    </w:p>
    <w:p>
      <w:pPr>
        <w:widowControl/>
        <w:spacing w:line="360" w:lineRule="auto"/>
        <w:ind w:firstLine="420" w:firstLineChars="200"/>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（2）发包人承包人人员伤亡由其所在单位负责，并承担相应费用；</w:t>
      </w:r>
    </w:p>
    <w:p>
      <w:pPr>
        <w:widowControl/>
        <w:spacing w:line="360" w:lineRule="auto"/>
        <w:ind w:firstLine="420" w:firstLineChars="200"/>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（3）承包人机械设备损坏及停工损失，由承包人承担；</w:t>
      </w:r>
    </w:p>
    <w:p>
      <w:pPr>
        <w:widowControl/>
        <w:spacing w:line="360" w:lineRule="auto"/>
        <w:ind w:firstLine="420" w:firstLineChars="200"/>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（4）停工期间，承包人应工程师要求留在施工场地的必要的管理人员及保卫人员的费用由发包人承担；</w:t>
      </w:r>
    </w:p>
    <w:p>
      <w:pPr>
        <w:widowControl/>
        <w:spacing w:line="360" w:lineRule="auto"/>
        <w:ind w:firstLine="420" w:firstLineChars="200"/>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（5）工程所需清理、修复费用，由发包人承担；</w:t>
      </w:r>
    </w:p>
    <w:p>
      <w:pPr>
        <w:widowControl/>
        <w:spacing w:line="360" w:lineRule="auto"/>
        <w:ind w:firstLine="420" w:firstLineChars="200"/>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（6）延误的工期相应顺延。</w:t>
      </w:r>
    </w:p>
    <w:p>
      <w:pPr>
        <w:widowControl/>
        <w:spacing w:line="360" w:lineRule="auto"/>
        <w:ind w:firstLine="420" w:firstLineChars="200"/>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43.4因合同一方迟延履行合同后发生不可抗力的，不能免除迟延履行方的相应责任。</w:t>
      </w:r>
    </w:p>
    <w:p>
      <w:pPr>
        <w:widowControl/>
        <w:spacing w:line="360" w:lineRule="auto"/>
        <w:ind w:firstLine="420" w:firstLineChars="200"/>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44、保险</w:t>
      </w:r>
    </w:p>
    <w:p>
      <w:pPr>
        <w:widowControl/>
        <w:spacing w:line="360" w:lineRule="auto"/>
        <w:ind w:firstLine="420" w:firstLineChars="200"/>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44.1工程开工前，发包人为建设工程和施工现场内的自有人员及第三人人员生命财产办理保险，支付保险费用。</w:t>
      </w:r>
    </w:p>
    <w:p>
      <w:pPr>
        <w:widowControl/>
        <w:spacing w:line="360" w:lineRule="auto"/>
        <w:ind w:firstLine="420" w:firstLineChars="200"/>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44.2发包人供应的运至施工场地内用于工程的材料设备，由发包人办理保险，并支付保险费用。</w:t>
      </w:r>
    </w:p>
    <w:p>
      <w:pPr>
        <w:widowControl/>
        <w:spacing w:line="360" w:lineRule="auto"/>
        <w:ind w:firstLine="420" w:firstLineChars="200"/>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44.3发包人可以将有关保险事项委托承包人办理，费用由发包人承担。</w:t>
      </w:r>
    </w:p>
    <w:p>
      <w:pPr>
        <w:widowControl/>
        <w:spacing w:line="360" w:lineRule="auto"/>
        <w:ind w:firstLine="420" w:firstLineChars="200"/>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44.4承包人必须为施工场地内施工人员办理意外伤害保险和工伤保险，并为施工场地内的施工机械设备办理财产保险，支付保险费用。</w:t>
      </w:r>
    </w:p>
    <w:p>
      <w:pPr>
        <w:widowControl/>
        <w:spacing w:line="360" w:lineRule="auto"/>
        <w:ind w:firstLine="420" w:firstLineChars="200"/>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44.5保险事故发生时，发包人承包人有责任尽力采取必要的措施，防止或者减少损失。</w:t>
      </w:r>
    </w:p>
    <w:p>
      <w:pPr>
        <w:widowControl/>
        <w:spacing w:line="360" w:lineRule="auto"/>
        <w:ind w:firstLine="420" w:firstLineChars="200"/>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44.6具体投保内容和相关责任，发包人承包人在专用条款中约定。</w:t>
      </w:r>
    </w:p>
    <w:p>
      <w:pPr>
        <w:widowControl/>
        <w:spacing w:line="360" w:lineRule="auto"/>
        <w:ind w:firstLine="420" w:firstLineChars="200"/>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45、担保</w:t>
      </w:r>
    </w:p>
    <w:p>
      <w:pPr>
        <w:widowControl/>
        <w:spacing w:line="360" w:lineRule="auto"/>
        <w:ind w:firstLine="420" w:firstLineChars="200"/>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45.1发包人承包人为了全面履行合同，应互相提供以下担保：</w:t>
      </w:r>
    </w:p>
    <w:p>
      <w:pPr>
        <w:widowControl/>
        <w:spacing w:line="360" w:lineRule="auto"/>
        <w:ind w:firstLine="420" w:firstLineChars="200"/>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（1）发包人向承包人提供支付担保，按合同约定支付工程价款及履行合同约定的其他义务。</w:t>
      </w:r>
    </w:p>
    <w:p>
      <w:pPr>
        <w:widowControl/>
        <w:spacing w:line="360" w:lineRule="auto"/>
        <w:ind w:firstLine="420" w:firstLineChars="200"/>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（2）承包人向发包人提供履约担保，按合同约定履行自己的各项义务。</w:t>
      </w:r>
    </w:p>
    <w:p>
      <w:pPr>
        <w:widowControl/>
        <w:spacing w:line="360" w:lineRule="auto"/>
        <w:ind w:firstLine="420" w:firstLineChars="200"/>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45.2一方违约后，另一方可要求提供担保的第三人承担相应责任。</w:t>
      </w:r>
    </w:p>
    <w:p>
      <w:pPr>
        <w:widowControl/>
        <w:spacing w:line="360" w:lineRule="auto"/>
        <w:ind w:firstLine="420" w:firstLineChars="200"/>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45.3提供担保的内容、方式和相关责任，发包人承包人除在专用条款中约定外，被担保方与担保方还应签订担保合同，作为本合同附件。</w:t>
      </w:r>
    </w:p>
    <w:p>
      <w:pPr>
        <w:widowControl/>
        <w:spacing w:line="360" w:lineRule="auto"/>
        <w:ind w:firstLine="420" w:firstLineChars="200"/>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46、专利技术及特殊工艺</w:t>
      </w:r>
    </w:p>
    <w:p>
      <w:pPr>
        <w:widowControl/>
        <w:spacing w:line="360" w:lineRule="auto"/>
        <w:ind w:firstLine="420" w:firstLineChars="200"/>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46.1发包人要求使用专利技术或特殊工艺，应负责办理相应的申报手续，承担申报、试验、使用等费用；承包人提出使用专利技术或特殊工艺，应取得工程师认可，承包人负责办理申报手续并承担有关费用。</w:t>
      </w:r>
    </w:p>
    <w:p>
      <w:pPr>
        <w:widowControl/>
        <w:spacing w:line="360" w:lineRule="auto"/>
        <w:ind w:firstLine="420" w:firstLineChars="200"/>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46.2擅自使用专利技术侵犯他人专利权的，责任者依法承担相应责任。</w:t>
      </w:r>
    </w:p>
    <w:p>
      <w:pPr>
        <w:widowControl/>
        <w:spacing w:line="360" w:lineRule="auto"/>
        <w:ind w:firstLine="420" w:firstLineChars="200"/>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47、文物和地下障碍物</w:t>
      </w:r>
    </w:p>
    <w:p>
      <w:pPr>
        <w:widowControl/>
        <w:spacing w:line="360" w:lineRule="auto"/>
        <w:ind w:firstLine="420" w:firstLineChars="200"/>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47.1在施工中发现古墓、古建筑遗址等文物及化石或其他有考古、地质研究等价值的物品时，承包人应立即保护好现场并于4小时内以书面形式通知工程师，工程师应于收到书面通知后24小时内报告当地文物管理部门，发包人承包人按文物管理部门的要求采取妥善保护措施。发包人承担由此发生的费用，顺延延误的工期。</w:t>
      </w:r>
    </w:p>
    <w:p>
      <w:pPr>
        <w:widowControl/>
        <w:spacing w:line="360" w:lineRule="auto"/>
        <w:ind w:firstLine="420" w:firstLineChars="200"/>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如发现后隐瞒不报，致使文物遭受破坏，责任者依法承担相应责任。</w:t>
      </w:r>
    </w:p>
    <w:p>
      <w:pPr>
        <w:widowControl/>
        <w:spacing w:line="360" w:lineRule="auto"/>
        <w:ind w:firstLine="420" w:firstLineChars="200"/>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47.2施工中发现影响施工的地下障碍物时，承包人应于8小时内以书面形式通知工程师，同时提出处置方案，工程师收到处置方案后24小时内予以认可或提出修正方案。发包人承担由此发生的费用，顺延延误的工期。</w:t>
      </w:r>
    </w:p>
    <w:p>
      <w:pPr>
        <w:widowControl/>
        <w:spacing w:line="360" w:lineRule="auto"/>
        <w:ind w:firstLine="420" w:firstLineChars="200"/>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所发现的地下障碍物有归属单位时，发包人应报请有关部门协同处置。</w:t>
      </w:r>
    </w:p>
    <w:p>
      <w:pPr>
        <w:widowControl/>
        <w:spacing w:line="360" w:lineRule="auto"/>
        <w:ind w:firstLine="420" w:firstLineChars="200"/>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48、合同解除</w:t>
      </w:r>
    </w:p>
    <w:p>
      <w:pPr>
        <w:widowControl/>
        <w:spacing w:line="360" w:lineRule="auto"/>
        <w:ind w:firstLine="420" w:firstLineChars="200"/>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48.1发包人承包人协商一致，可以解除合同。</w:t>
      </w:r>
    </w:p>
    <w:p>
      <w:pPr>
        <w:widowControl/>
        <w:spacing w:line="360" w:lineRule="auto"/>
        <w:ind w:firstLine="420" w:firstLineChars="200"/>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48.2发生本通用条款第30.5款情况，停止施工超过56天，发包人仍不支付工程款（进度款），承包人有权解除合同。</w:t>
      </w:r>
    </w:p>
    <w:p>
      <w:pPr>
        <w:widowControl/>
        <w:spacing w:line="360" w:lineRule="auto"/>
        <w:ind w:firstLine="420" w:firstLineChars="200"/>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48.3发生本通用条款第42.2款禁止的情况，发包人有权解除合同。</w:t>
      </w:r>
    </w:p>
    <w:p>
      <w:pPr>
        <w:widowControl/>
        <w:spacing w:line="360" w:lineRule="auto"/>
        <w:ind w:firstLine="420" w:firstLineChars="200"/>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48.4有下列情形之一的，发包人承包人可以解除合同：</w:t>
      </w:r>
    </w:p>
    <w:p>
      <w:pPr>
        <w:widowControl/>
        <w:spacing w:line="360" w:lineRule="auto"/>
        <w:ind w:firstLine="420" w:firstLineChars="200"/>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（1）因不可抗力致使合同无法履行；</w:t>
      </w:r>
    </w:p>
    <w:p>
      <w:pPr>
        <w:widowControl/>
        <w:spacing w:line="360" w:lineRule="auto"/>
        <w:ind w:firstLine="420" w:firstLineChars="200"/>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（2）因一方违约（包括因发包人原因造成工程停建或缓建）致使合同无法履行。</w:t>
      </w:r>
    </w:p>
    <w:p>
      <w:pPr>
        <w:widowControl/>
        <w:spacing w:line="360" w:lineRule="auto"/>
        <w:ind w:firstLine="420" w:firstLineChars="200"/>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48.5一方依据48.2、48.3、48.4款约定要求解除合同的，应以书面形式向对方发出解除合同的通知，并在发出通知前7天告知对方，通知到达对方时合同解除。对解除合同有争议的，按本通用条款第41条关于争议的约定处理。</w:t>
      </w:r>
    </w:p>
    <w:p>
      <w:pPr>
        <w:widowControl/>
        <w:spacing w:line="360" w:lineRule="auto"/>
        <w:ind w:firstLine="420" w:firstLineChars="200"/>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48.6合同解除后，承包人应妥善做好已完工程和已购材料、设备的保护和移交工作，按发包人要求将自有机械设备和人员撤出施工场地。发包人应为承包人撤出提供必要条件，支付以上所发生的费用，并按合同约定支付已完工程价款。已经订货的材料、设备由订货方负责退货或解除订货合同，不能退还的货款和因退货、解除订货合同发生的费用，由发包人承担，因未及时退货造成的损失由责任方承担。除此之外，有过错的一方应当赔偿因合同解除给对方造成的损失。</w:t>
      </w:r>
    </w:p>
    <w:p>
      <w:pPr>
        <w:widowControl/>
        <w:spacing w:line="360" w:lineRule="auto"/>
        <w:ind w:firstLine="420" w:firstLineChars="200"/>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48.7合同解除后，不影响双方在合同中约定的结算和清理条款的效力。</w:t>
      </w:r>
    </w:p>
    <w:p>
      <w:pPr>
        <w:widowControl/>
        <w:spacing w:line="360" w:lineRule="auto"/>
        <w:ind w:firstLine="420" w:firstLineChars="200"/>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49、合同生效与终止</w:t>
      </w:r>
    </w:p>
    <w:p>
      <w:pPr>
        <w:widowControl/>
        <w:spacing w:line="360" w:lineRule="auto"/>
        <w:ind w:firstLine="420" w:firstLineChars="200"/>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49.1双方在协议书中约定合同生效方式。</w:t>
      </w:r>
    </w:p>
    <w:p>
      <w:pPr>
        <w:widowControl/>
        <w:spacing w:line="360" w:lineRule="auto"/>
        <w:ind w:firstLine="420" w:firstLineChars="200"/>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49.2除本通用条款第38条外，发包人承包人履行合同全部义务，竣工结算价款支付完毕，承包人向发包人交付竣工工程后，本合同即告终止。</w:t>
      </w:r>
    </w:p>
    <w:p>
      <w:pPr>
        <w:widowControl/>
        <w:spacing w:line="360" w:lineRule="auto"/>
        <w:ind w:firstLine="420" w:firstLineChars="200"/>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49.3合同的权利义务终止后，发包人承包人应当遵循诚实信用原则，履行通知、协助、保密等义务。</w:t>
      </w:r>
    </w:p>
    <w:p>
      <w:pPr>
        <w:widowControl/>
        <w:spacing w:line="360" w:lineRule="auto"/>
        <w:ind w:firstLine="420" w:firstLineChars="200"/>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50、合同份数</w:t>
      </w:r>
    </w:p>
    <w:p>
      <w:pPr>
        <w:widowControl/>
        <w:spacing w:line="360" w:lineRule="auto"/>
        <w:ind w:firstLine="420" w:firstLineChars="200"/>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50.1本合同正本两份，具有同等效力，由发包人承包人分别保存一份。</w:t>
      </w:r>
    </w:p>
    <w:p>
      <w:pPr>
        <w:widowControl/>
        <w:spacing w:line="360" w:lineRule="auto"/>
        <w:ind w:firstLine="420" w:firstLineChars="200"/>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50.2本合同副本份数，由双方根据需要在专用条款内约定。</w:t>
      </w:r>
    </w:p>
    <w:p>
      <w:pPr>
        <w:widowControl/>
        <w:spacing w:line="360" w:lineRule="auto"/>
        <w:ind w:firstLine="420" w:firstLineChars="200"/>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51、补充条款</w:t>
      </w:r>
    </w:p>
    <w:p>
      <w:pPr>
        <w:widowControl/>
        <w:spacing w:line="360" w:lineRule="auto"/>
        <w:ind w:firstLine="420" w:firstLineChars="200"/>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双方根据有关法律、行政法规规定，结合工程实际经协商一致后，可对本通用条款内容具体化、补充或修改，在专用条款内约定。</w:t>
      </w:r>
    </w:p>
    <w:p>
      <w:pPr>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br w:type="page"/>
      </w:r>
    </w:p>
    <w:p>
      <w:pPr>
        <w:pStyle w:val="2"/>
      </w:pPr>
    </w:p>
    <w:p>
      <w:pPr>
        <w:pStyle w:val="7"/>
        <w:spacing w:line="400" w:lineRule="exact"/>
        <w:jc w:val="center"/>
        <w:rPr>
          <w:rFonts w:ascii="Times New Roman" w:hAnsi="Times New Roman" w:eastAsia="宋体"/>
          <w:sz w:val="21"/>
          <w:szCs w:val="21"/>
          <w:highlight w:val="none"/>
        </w:rPr>
      </w:pPr>
      <w:r>
        <w:rPr>
          <w:rFonts w:ascii="Times New Roman" w:hAnsi="Times New Roman" w:eastAsia="宋体"/>
          <w:sz w:val="21"/>
          <w:szCs w:val="21"/>
          <w:highlight w:val="none"/>
        </w:rPr>
        <w:t xml:space="preserve"> </w:t>
      </w:r>
      <w:bookmarkStart w:id="495" w:name="_Toc231459934"/>
      <w:r>
        <w:rPr>
          <w:rFonts w:ascii="Times New Roman" w:hAnsi="Times New Roman" w:eastAsia="宋体"/>
          <w:sz w:val="21"/>
          <w:szCs w:val="21"/>
          <w:highlight w:val="none"/>
        </w:rPr>
        <w:t>第三部分 专用条款</w:t>
      </w:r>
      <w:bookmarkEnd w:id="495"/>
    </w:p>
    <w:p>
      <w:pPr>
        <w:widowControl/>
        <w:spacing w:line="360" w:lineRule="auto"/>
        <w:ind w:firstLine="422" w:firstLineChars="200"/>
        <w:rPr>
          <w:b/>
          <w:kern w:val="0"/>
          <w:sz w:val="21"/>
          <w:szCs w:val="21"/>
          <w:highlight w:val="none"/>
        </w:rPr>
      </w:pPr>
      <w:bookmarkStart w:id="496" w:name="_Toc231459935"/>
      <w:r>
        <w:rPr>
          <w:b/>
          <w:kern w:val="0"/>
          <w:sz w:val="21"/>
          <w:szCs w:val="21"/>
          <w:highlight w:val="none"/>
        </w:rPr>
        <w:t>一、词语定义及合同文件</w:t>
      </w:r>
    </w:p>
    <w:p>
      <w:pPr>
        <w:widowControl/>
        <w:spacing w:line="360" w:lineRule="auto"/>
        <w:ind w:firstLine="420" w:firstLineChars="200"/>
        <w:rPr>
          <w:kern w:val="0"/>
          <w:sz w:val="21"/>
          <w:szCs w:val="21"/>
          <w:highlight w:val="none"/>
        </w:rPr>
      </w:pPr>
      <w:r>
        <w:rPr>
          <w:kern w:val="0"/>
          <w:sz w:val="21"/>
          <w:szCs w:val="21"/>
          <w:highlight w:val="none"/>
        </w:rPr>
        <w:t>2、合同文件及解释顺序</w:t>
      </w:r>
    </w:p>
    <w:p>
      <w:pPr>
        <w:widowControl/>
        <w:spacing w:line="360" w:lineRule="auto"/>
        <w:ind w:firstLine="420" w:firstLineChars="200"/>
        <w:rPr>
          <w:kern w:val="0"/>
          <w:sz w:val="21"/>
          <w:szCs w:val="21"/>
          <w:highlight w:val="none"/>
        </w:rPr>
      </w:pPr>
      <w:r>
        <w:rPr>
          <w:kern w:val="0"/>
          <w:sz w:val="21"/>
          <w:szCs w:val="21"/>
          <w:highlight w:val="none"/>
        </w:rPr>
        <w:t>合同文件组成及解释顺序：_</w:t>
      </w:r>
      <w:r>
        <w:rPr>
          <w:kern w:val="0"/>
          <w:sz w:val="21"/>
          <w:szCs w:val="21"/>
          <w:highlight w:val="none"/>
          <w:u w:val="single"/>
        </w:rPr>
        <w:t>本合同合同协议书、专用条款、通用条款、变更通知、中标通知书、答疑纪要、招标文件、图纸、投标书、有关技术标准、规范。</w:t>
      </w:r>
    </w:p>
    <w:p>
      <w:pPr>
        <w:widowControl/>
        <w:spacing w:line="360" w:lineRule="auto"/>
        <w:ind w:firstLine="420" w:firstLineChars="200"/>
        <w:rPr>
          <w:kern w:val="0"/>
          <w:sz w:val="21"/>
          <w:szCs w:val="21"/>
          <w:highlight w:val="none"/>
        </w:rPr>
      </w:pPr>
      <w:r>
        <w:rPr>
          <w:kern w:val="0"/>
          <w:sz w:val="21"/>
          <w:szCs w:val="21"/>
          <w:highlight w:val="none"/>
        </w:rPr>
        <w:t>3、语言文字和适用法律、标准及规范</w:t>
      </w:r>
    </w:p>
    <w:p>
      <w:pPr>
        <w:widowControl/>
        <w:spacing w:line="360" w:lineRule="auto"/>
        <w:ind w:firstLine="420" w:firstLineChars="200"/>
        <w:rPr>
          <w:kern w:val="0"/>
          <w:sz w:val="21"/>
          <w:szCs w:val="21"/>
          <w:highlight w:val="none"/>
        </w:rPr>
      </w:pPr>
      <w:r>
        <w:rPr>
          <w:kern w:val="0"/>
          <w:sz w:val="21"/>
          <w:szCs w:val="21"/>
          <w:highlight w:val="none"/>
        </w:rPr>
        <mc:AlternateContent>
          <mc:Choice Requires="wps">
            <w:drawing>
              <wp:anchor distT="0" distB="0" distL="114300" distR="114300" simplePos="0" relativeHeight="251662336" behindDoc="0" locked="0" layoutInCell="1" allowOverlap="1">
                <wp:simplePos x="0" y="0"/>
                <wp:positionH relativeFrom="column">
                  <wp:posOffset>2741930</wp:posOffset>
                </wp:positionH>
                <wp:positionV relativeFrom="paragraph">
                  <wp:posOffset>-19050</wp:posOffset>
                </wp:positionV>
                <wp:extent cx="1485900" cy="198120"/>
                <wp:effectExtent l="635" t="4445" r="18415" b="6985"/>
                <wp:wrapNone/>
                <wp:docPr id="6" name="直线 23"/>
                <wp:cNvGraphicFramePr/>
                <a:graphic xmlns:a="http://schemas.openxmlformats.org/drawingml/2006/main">
                  <a:graphicData uri="http://schemas.microsoft.com/office/word/2010/wordprocessingShape">
                    <wps:wsp>
                      <wps:cNvCnPr/>
                      <wps:spPr>
                        <a:xfrm flipV="1">
                          <a:off x="0" y="0"/>
                          <a:ext cx="1485900" cy="19812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3" o:spid="_x0000_s1026" o:spt="20" style="position:absolute;left:0pt;flip:y;margin-left:215.9pt;margin-top:-1.5pt;height:15.6pt;width:117pt;z-index:251662336;mso-width-relative:page;mso-height-relative:page;" filled="f" stroked="t" coordsize="21600,21600" o:gfxdata="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PLqYh/XAAAACQEAAA8AAAAAAAAAAQAgAAAAIgAAAGRycy9kb3ducmV2LnhtbFBL&#10;AQIUABQAAAAIAIdO4kDCIxsn9wEAAOsDAAAOAAAAAAAAAAEAIAAAACYBAABkcnMvZTJvRG9jLnht&#10;bFBLBQYAAAAABgAGAFkBAACPBQAAAAA=&#10;">
                <v:fill on="f" focussize="0,0"/>
                <v:stroke color="#000000" joinstyle="round"/>
                <v:imagedata o:title=""/>
                <o:lock v:ext="edit" aspectratio="f"/>
              </v:line>
            </w:pict>
          </mc:Fallback>
        </mc:AlternateContent>
      </w:r>
      <w:r>
        <w:rPr>
          <w:kern w:val="0"/>
          <w:sz w:val="21"/>
          <w:szCs w:val="21"/>
          <w:highlight w:val="none"/>
        </w:rPr>
        <w:t>3.1本合同除使用汉语外，还使用______________________________语言文字。</w:t>
      </w:r>
    </w:p>
    <w:p>
      <w:pPr>
        <w:widowControl/>
        <w:spacing w:line="360" w:lineRule="auto"/>
        <w:ind w:firstLine="420" w:firstLineChars="200"/>
        <w:rPr>
          <w:kern w:val="0"/>
          <w:sz w:val="21"/>
          <w:szCs w:val="21"/>
          <w:highlight w:val="none"/>
        </w:rPr>
      </w:pPr>
      <w:r>
        <w:rPr>
          <w:kern w:val="0"/>
          <w:sz w:val="21"/>
          <w:szCs w:val="21"/>
          <w:highlight w:val="none"/>
        </w:rPr>
        <w:t>3.2适用法律和法规</w:t>
      </w:r>
    </w:p>
    <w:p>
      <w:pPr>
        <w:widowControl/>
        <w:spacing w:line="360" w:lineRule="auto"/>
        <w:ind w:firstLine="420" w:firstLineChars="200"/>
        <w:rPr>
          <w:kern w:val="0"/>
          <w:sz w:val="21"/>
          <w:szCs w:val="21"/>
          <w:highlight w:val="none"/>
        </w:rPr>
      </w:pPr>
      <w:r>
        <w:rPr>
          <w:kern w:val="0"/>
          <w:sz w:val="21"/>
          <w:szCs w:val="21"/>
          <w:highlight w:val="none"/>
        </w:rPr>
        <w:t>需要明示的法律、行政法规：</w:t>
      </w:r>
      <w:r>
        <w:rPr>
          <w:kern w:val="0"/>
          <w:sz w:val="21"/>
          <w:szCs w:val="21"/>
          <w:highlight w:val="none"/>
          <w:u w:val="single"/>
        </w:rPr>
        <w:t>《中华人民共和国建筑法》、《中华人民共和国合同法》及陕西省、西安市有关建设工程质量、安全、文明施工等管理规定。</w:t>
      </w:r>
    </w:p>
    <w:p>
      <w:pPr>
        <w:widowControl/>
        <w:spacing w:line="360" w:lineRule="auto"/>
        <w:ind w:firstLine="420" w:firstLineChars="200"/>
        <w:rPr>
          <w:kern w:val="0"/>
          <w:sz w:val="21"/>
          <w:szCs w:val="21"/>
          <w:highlight w:val="none"/>
        </w:rPr>
      </w:pPr>
      <w:r>
        <w:rPr>
          <w:kern w:val="0"/>
          <w:sz w:val="21"/>
          <w:szCs w:val="21"/>
          <w:highlight w:val="none"/>
        </w:rPr>
        <w:t>3.3适用标准、规范</w:t>
      </w:r>
    </w:p>
    <w:p>
      <w:pPr>
        <w:spacing w:line="480" w:lineRule="exact"/>
        <w:ind w:firstLine="420" w:firstLineChars="200"/>
        <w:rPr>
          <w:sz w:val="21"/>
          <w:szCs w:val="21"/>
          <w:highlight w:val="none"/>
          <w:u w:val="single"/>
        </w:rPr>
      </w:pPr>
      <w:r>
        <w:rPr>
          <w:kern w:val="0"/>
          <w:sz w:val="21"/>
          <w:szCs w:val="21"/>
          <w:highlight w:val="none"/>
        </w:rPr>
        <w:t>适用标准、规范的名称：</w:t>
      </w:r>
      <w:r>
        <w:rPr>
          <w:kern w:val="0"/>
          <w:sz w:val="21"/>
          <w:szCs w:val="21"/>
          <w:highlight w:val="none"/>
          <w:u w:val="single"/>
        </w:rPr>
        <w:t xml:space="preserve"> </w:t>
      </w:r>
      <w:r>
        <w:rPr>
          <w:sz w:val="21"/>
          <w:szCs w:val="21"/>
          <w:highlight w:val="none"/>
          <w:u w:val="single"/>
        </w:rPr>
        <w:t>执行国家建筑工程施工及验收规范标准以及材料、设备所涉及的现行国家、省、市或行业的工程建设标准、规范的要求。主要标准、规范包括但不限于：</w:t>
      </w:r>
      <w:r>
        <w:rPr>
          <w:sz w:val="21"/>
          <w:szCs w:val="21"/>
          <w:highlight w:val="none"/>
        </w:rPr>
        <w:t>《建筑工程质量统一验收标准》(GBJ05300-2001)、《建筑工程施工现场供用电安全规范》(GBJ50194-93)、《</w:t>
      </w:r>
      <w:r>
        <w:rPr>
          <w:snapToGrid w:val="0"/>
          <w:sz w:val="21"/>
          <w:szCs w:val="21"/>
          <w:highlight w:val="none"/>
        </w:rPr>
        <w:t>建筑施工安全检查标准</w:t>
      </w:r>
      <w:r>
        <w:rPr>
          <w:sz w:val="21"/>
          <w:szCs w:val="21"/>
          <w:highlight w:val="none"/>
        </w:rPr>
        <w:t>》</w:t>
      </w:r>
      <w:r>
        <w:rPr>
          <w:snapToGrid w:val="0"/>
          <w:sz w:val="21"/>
          <w:szCs w:val="21"/>
          <w:highlight w:val="none"/>
        </w:rPr>
        <w:t>（JGJ59-99）、《施工现场临时用电安全技术规范》（JFJ46-88）、《建设工程文件归档整理规范》（GB/T50328-2001）。</w:t>
      </w:r>
    </w:p>
    <w:p>
      <w:pPr>
        <w:widowControl/>
        <w:spacing w:line="360" w:lineRule="auto"/>
        <w:ind w:firstLine="420" w:firstLineChars="200"/>
        <w:rPr>
          <w:kern w:val="0"/>
          <w:sz w:val="21"/>
          <w:szCs w:val="21"/>
          <w:highlight w:val="none"/>
        </w:rPr>
      </w:pPr>
      <w:r>
        <w:rPr>
          <w:kern w:val="0"/>
          <w:sz w:val="21"/>
          <w:szCs w:val="21"/>
          <w:highlight w:val="none"/>
        </w:rPr>
        <w:t>发包人提供标准、规范的时间：</w:t>
      </w:r>
      <w:r>
        <w:rPr>
          <w:sz w:val="21"/>
          <w:szCs w:val="21"/>
          <w:highlight w:val="none"/>
          <w:u w:val="single"/>
        </w:rPr>
        <w:t>发包人在招标时，已将上述标准、规范名称提供给承包人。这些标准和规范由承包人自行购买，并承担相关费用。</w:t>
      </w:r>
    </w:p>
    <w:p>
      <w:pPr>
        <w:widowControl/>
        <w:spacing w:line="360" w:lineRule="auto"/>
        <w:rPr>
          <w:kern w:val="0"/>
          <w:sz w:val="21"/>
          <w:szCs w:val="21"/>
          <w:highlight w:val="none"/>
        </w:rPr>
      </w:pPr>
      <w:r>
        <w:rPr>
          <w:rFonts w:hint="eastAsia"/>
          <w:kern w:val="0"/>
          <w:sz w:val="21"/>
          <w:szCs w:val="21"/>
          <w:highlight w:val="none"/>
        </w:rPr>
        <w:t>　　</w:t>
      </w:r>
      <w:r>
        <w:rPr>
          <w:kern w:val="0"/>
          <w:sz w:val="21"/>
          <w:szCs w:val="21"/>
          <w:highlight w:val="none"/>
        </w:rPr>
        <w:t>国内没有相应标准、规范时的约定：_</w:t>
      </w:r>
      <w:r>
        <w:rPr>
          <w:sz w:val="21"/>
          <w:szCs w:val="21"/>
          <w:highlight w:val="none"/>
          <w:u w:val="single"/>
        </w:rPr>
        <w:t>按行业通常做法或生产企业在技术监督局的备案标准、并经监理工程师和业主同意。</w:t>
      </w:r>
    </w:p>
    <w:p>
      <w:pPr>
        <w:widowControl/>
        <w:spacing w:line="360" w:lineRule="auto"/>
        <w:ind w:firstLine="420" w:firstLineChars="200"/>
        <w:rPr>
          <w:kern w:val="0"/>
          <w:sz w:val="21"/>
          <w:szCs w:val="21"/>
          <w:highlight w:val="none"/>
        </w:rPr>
      </w:pPr>
      <w:r>
        <w:rPr>
          <w:kern w:val="0"/>
          <w:sz w:val="21"/>
          <w:szCs w:val="21"/>
          <w:highlight w:val="none"/>
        </w:rPr>
        <w:t>4、图纸</w:t>
      </w:r>
    </w:p>
    <w:p>
      <w:pPr>
        <w:widowControl/>
        <w:spacing w:line="360" w:lineRule="auto"/>
        <w:ind w:firstLine="420" w:firstLineChars="200"/>
        <w:rPr>
          <w:kern w:val="0"/>
          <w:sz w:val="21"/>
          <w:szCs w:val="21"/>
          <w:highlight w:val="none"/>
        </w:rPr>
      </w:pPr>
      <w:r>
        <w:rPr>
          <w:kern w:val="0"/>
          <w:sz w:val="21"/>
          <w:szCs w:val="21"/>
          <w:highlight w:val="none"/>
        </w:rPr>
        <w:t>4.1发包人向承包人提供图纸日期和套数：_</w:t>
      </w:r>
      <w:r>
        <w:rPr>
          <w:sz w:val="21"/>
          <w:szCs w:val="21"/>
          <w:highlight w:val="none"/>
          <w:u w:val="single"/>
        </w:rPr>
        <w:t>在合同签订3天内提供</w:t>
      </w:r>
      <w:r>
        <w:rPr>
          <w:rFonts w:hint="eastAsia"/>
          <w:sz w:val="21"/>
          <w:szCs w:val="21"/>
          <w:highlight w:val="none"/>
          <w:u w:val="single"/>
        </w:rPr>
        <w:t>一</w:t>
      </w:r>
      <w:r>
        <w:rPr>
          <w:sz w:val="21"/>
          <w:szCs w:val="21"/>
          <w:highlight w:val="none"/>
          <w:u w:val="single"/>
        </w:rPr>
        <w:t>套图纸。</w:t>
      </w:r>
    </w:p>
    <w:p>
      <w:pPr>
        <w:widowControl/>
        <w:spacing w:line="360" w:lineRule="auto"/>
        <w:ind w:firstLine="420" w:firstLineChars="200"/>
        <w:rPr>
          <w:b/>
          <w:kern w:val="0"/>
          <w:sz w:val="21"/>
          <w:szCs w:val="21"/>
          <w:highlight w:val="none"/>
        </w:rPr>
      </w:pPr>
      <w:r>
        <w:rPr>
          <w:kern w:val="0"/>
          <w:sz w:val="21"/>
          <w:szCs w:val="21"/>
          <w:highlight w:val="none"/>
        </w:rPr>
        <w:t>发包人对图纸的保密要求：_</w:t>
      </w:r>
      <w:r>
        <w:rPr>
          <w:b/>
          <w:sz w:val="21"/>
          <w:szCs w:val="21"/>
          <w:highlight w:val="none"/>
          <w:u w:val="single"/>
        </w:rPr>
        <w:t>除监理和发包方外，承包方不得将本工程的设计图纸向其它方提供。</w:t>
      </w:r>
    </w:p>
    <w:p>
      <w:pPr>
        <w:widowControl/>
        <w:spacing w:line="360" w:lineRule="auto"/>
        <w:ind w:firstLine="420" w:firstLineChars="200"/>
        <w:rPr>
          <w:kern w:val="0"/>
          <w:sz w:val="21"/>
          <w:szCs w:val="21"/>
          <w:highlight w:val="none"/>
        </w:rPr>
      </w:pPr>
      <w:r>
        <w:rPr>
          <w:kern w:val="0"/>
          <w:sz w:val="21"/>
          <w:szCs w:val="21"/>
          <w:highlight w:val="none"/>
        </w:rPr>
        <w:t>使用国外图纸的要求及费用承担：_</w:t>
      </w:r>
      <w:r>
        <w:rPr>
          <w:sz w:val="21"/>
          <w:szCs w:val="21"/>
          <w:highlight w:val="none"/>
          <w:u w:val="single"/>
        </w:rPr>
        <w:t>本工程不使用国外图纸。</w:t>
      </w:r>
      <w:r>
        <w:rPr>
          <w:kern w:val="0"/>
          <w:sz w:val="21"/>
          <w:szCs w:val="21"/>
          <w:highlight w:val="none"/>
        </w:rPr>
        <w:t>_</w:t>
      </w:r>
    </w:p>
    <w:p>
      <w:pPr>
        <w:widowControl/>
        <w:spacing w:line="360" w:lineRule="auto"/>
        <w:ind w:firstLine="422" w:firstLineChars="200"/>
        <w:rPr>
          <w:b/>
          <w:kern w:val="0"/>
          <w:sz w:val="21"/>
          <w:szCs w:val="21"/>
          <w:highlight w:val="none"/>
        </w:rPr>
      </w:pPr>
      <w:r>
        <w:rPr>
          <w:b/>
          <w:kern w:val="0"/>
          <w:sz w:val="21"/>
          <w:szCs w:val="21"/>
          <w:highlight w:val="none"/>
        </w:rPr>
        <w:t>二、双方一般权利和义务</w:t>
      </w:r>
    </w:p>
    <w:p>
      <w:pPr>
        <w:widowControl/>
        <w:spacing w:line="360" w:lineRule="auto"/>
        <w:ind w:firstLine="420" w:firstLineChars="200"/>
        <w:rPr>
          <w:kern w:val="0"/>
          <w:sz w:val="21"/>
          <w:szCs w:val="21"/>
          <w:highlight w:val="none"/>
        </w:rPr>
      </w:pPr>
      <w:r>
        <w:rPr>
          <w:kern w:val="0"/>
          <w:sz w:val="21"/>
          <w:szCs w:val="21"/>
          <w:highlight w:val="none"/>
        </w:rPr>
        <w:t>5、工程师</w:t>
      </w:r>
    </w:p>
    <w:p>
      <w:pPr>
        <w:widowControl/>
        <w:spacing w:line="360" w:lineRule="auto"/>
        <w:ind w:firstLine="420" w:firstLineChars="200"/>
        <w:rPr>
          <w:kern w:val="0"/>
          <w:sz w:val="21"/>
          <w:szCs w:val="21"/>
          <w:highlight w:val="none"/>
        </w:rPr>
      </w:pPr>
      <w:r>
        <w:rPr>
          <w:kern w:val="0"/>
          <w:sz w:val="21"/>
          <w:szCs w:val="21"/>
          <w:highlight w:val="none"/>
        </w:rPr>
        <w:t>5.2监理单位委派的工程师</w:t>
      </w:r>
    </w:p>
    <w:p>
      <w:pPr>
        <w:widowControl/>
        <w:spacing w:line="360" w:lineRule="auto"/>
        <w:ind w:firstLine="420" w:firstLineChars="200"/>
        <w:rPr>
          <w:kern w:val="0"/>
          <w:sz w:val="21"/>
          <w:szCs w:val="21"/>
          <w:highlight w:val="none"/>
        </w:rPr>
      </w:pPr>
      <w:r>
        <w:rPr>
          <w:kern w:val="0"/>
          <w:sz w:val="21"/>
          <w:szCs w:val="21"/>
          <w:highlight w:val="none"/>
        </w:rPr>
        <w:t>姓名：___</w:t>
      </w:r>
      <w:r>
        <w:rPr>
          <w:rFonts w:hint="eastAsia"/>
          <w:kern w:val="0"/>
          <w:sz w:val="21"/>
          <w:szCs w:val="21"/>
          <w:highlight w:val="none"/>
          <w:u w:val="single"/>
        </w:rPr>
        <w:t xml:space="preserve">    </w:t>
      </w:r>
      <w:r>
        <w:rPr>
          <w:kern w:val="0"/>
          <w:sz w:val="21"/>
          <w:szCs w:val="21"/>
          <w:highlight w:val="none"/>
        </w:rPr>
        <w:t>_____职务：____</w:t>
      </w:r>
      <w:r>
        <w:rPr>
          <w:rFonts w:hint="eastAsia"/>
          <w:kern w:val="0"/>
          <w:sz w:val="21"/>
          <w:szCs w:val="21"/>
          <w:highlight w:val="none"/>
          <w:u w:val="single"/>
        </w:rPr>
        <w:t>监理工程师</w:t>
      </w:r>
      <w:r>
        <w:rPr>
          <w:kern w:val="0"/>
          <w:sz w:val="21"/>
          <w:szCs w:val="21"/>
          <w:highlight w:val="none"/>
        </w:rPr>
        <w:t>_____</w:t>
      </w:r>
    </w:p>
    <w:p>
      <w:pPr>
        <w:widowControl/>
        <w:spacing w:line="360" w:lineRule="auto"/>
        <w:ind w:firstLine="420" w:firstLineChars="200"/>
        <w:rPr>
          <w:kern w:val="0"/>
          <w:sz w:val="21"/>
          <w:szCs w:val="21"/>
          <w:highlight w:val="none"/>
        </w:rPr>
      </w:pPr>
      <w:r>
        <w:rPr>
          <w:kern w:val="0"/>
          <w:sz w:val="21"/>
          <w:szCs w:val="21"/>
          <w:highlight w:val="none"/>
        </w:rPr>
        <w:t>发包人委托的职权：_</w:t>
      </w:r>
      <w:r>
        <w:rPr>
          <w:sz w:val="21"/>
          <w:szCs w:val="21"/>
          <w:highlight w:val="none"/>
          <w:u w:val="single"/>
        </w:rPr>
        <w:t>按照发包方与监理单位签订的“监理合同”中约定的发包方授权和委托，对本工程施工过程的质量、安全、进度控制、合同管理和信息管理，施工中各种矛盾组织协调工作及全程监理。</w:t>
      </w:r>
    </w:p>
    <w:p>
      <w:pPr>
        <w:spacing w:line="360" w:lineRule="auto"/>
        <w:ind w:firstLine="420" w:firstLineChars="200"/>
        <w:rPr>
          <w:kern w:val="0"/>
          <w:sz w:val="21"/>
          <w:szCs w:val="21"/>
          <w:highlight w:val="none"/>
        </w:rPr>
      </w:pPr>
      <w:r>
        <w:rPr>
          <w:kern w:val="0"/>
          <w:sz w:val="21"/>
          <w:szCs w:val="21"/>
          <w:highlight w:val="none"/>
        </w:rPr>
        <w:t>需要取得发包人批准才能行使的职权：</w:t>
      </w:r>
      <w:r>
        <w:rPr>
          <w:sz w:val="21"/>
          <w:szCs w:val="21"/>
          <w:highlight w:val="none"/>
          <w:u w:val="single"/>
        </w:rPr>
        <w:t>重大工程洽商、设计变更、现场签证、发包人指定价的认质认价等在决策之前需经发包人同意。</w:t>
      </w:r>
    </w:p>
    <w:p>
      <w:pPr>
        <w:widowControl/>
        <w:spacing w:line="360" w:lineRule="auto"/>
        <w:ind w:firstLine="420" w:firstLineChars="200"/>
        <w:rPr>
          <w:kern w:val="0"/>
          <w:sz w:val="21"/>
          <w:szCs w:val="21"/>
          <w:highlight w:val="none"/>
        </w:rPr>
      </w:pPr>
      <w:r>
        <w:rPr>
          <w:kern w:val="0"/>
          <w:sz w:val="21"/>
          <w:szCs w:val="21"/>
          <w:highlight w:val="none"/>
        </w:rPr>
        <w:t>5.4发包人派驻的工程师</w:t>
      </w:r>
    </w:p>
    <w:p>
      <w:pPr>
        <w:widowControl/>
        <w:spacing w:line="360" w:lineRule="auto"/>
        <w:ind w:firstLine="420" w:firstLineChars="200"/>
        <w:rPr>
          <w:kern w:val="0"/>
          <w:sz w:val="21"/>
          <w:szCs w:val="21"/>
          <w:highlight w:val="none"/>
        </w:rPr>
      </w:pPr>
      <w:r>
        <w:rPr>
          <w:kern w:val="0"/>
          <w:sz w:val="21"/>
          <w:szCs w:val="21"/>
          <w:highlight w:val="none"/>
        </w:rPr>
        <w:t>姓名：</w:t>
      </w:r>
      <w:r>
        <w:rPr>
          <w:rFonts w:hint="eastAsia"/>
          <w:kern w:val="0"/>
          <w:sz w:val="21"/>
          <w:szCs w:val="21"/>
          <w:highlight w:val="none"/>
          <w:u w:val="single"/>
        </w:rPr>
        <w:t>　　　　</w:t>
      </w:r>
      <w:r>
        <w:rPr>
          <w:kern w:val="0"/>
          <w:sz w:val="21"/>
          <w:szCs w:val="21"/>
          <w:highlight w:val="none"/>
        </w:rPr>
        <w:t>职务：</w:t>
      </w:r>
      <w:r>
        <w:rPr>
          <w:sz w:val="21"/>
          <w:szCs w:val="21"/>
          <w:highlight w:val="none"/>
          <w:u w:val="single"/>
        </w:rPr>
        <w:t>发包人驻工地代表</w:t>
      </w:r>
    </w:p>
    <w:p>
      <w:pPr>
        <w:widowControl/>
        <w:spacing w:line="360" w:lineRule="auto"/>
        <w:ind w:firstLine="420" w:firstLineChars="200"/>
        <w:rPr>
          <w:kern w:val="0"/>
          <w:sz w:val="21"/>
          <w:szCs w:val="21"/>
          <w:highlight w:val="none"/>
        </w:rPr>
      </w:pPr>
      <w:r>
        <w:rPr>
          <w:kern w:val="0"/>
          <w:sz w:val="21"/>
          <w:szCs w:val="21"/>
          <w:highlight w:val="none"/>
        </w:rPr>
        <w:t>职权：_</w:t>
      </w:r>
      <w:r>
        <w:rPr>
          <w:sz w:val="21"/>
          <w:szCs w:val="21"/>
          <w:highlight w:val="none"/>
          <w:u w:val="single"/>
        </w:rPr>
        <w:t>负责施工全过程内、外部关系协调、处理往来文件，对工程进度、质量、造价进行监督管理。</w:t>
      </w:r>
    </w:p>
    <w:p>
      <w:pPr>
        <w:widowControl/>
        <w:spacing w:line="360" w:lineRule="auto"/>
        <w:ind w:firstLine="420" w:firstLineChars="200"/>
        <w:rPr>
          <w:kern w:val="0"/>
          <w:sz w:val="21"/>
          <w:szCs w:val="21"/>
          <w:highlight w:val="none"/>
        </w:rPr>
      </w:pPr>
      <w:r>
        <w:rPr>
          <w:kern w:val="0"/>
          <w:sz w:val="21"/>
          <w:szCs w:val="21"/>
          <w:highlight w:val="none"/>
        </w:rPr>
        <w:t>5.6不实行监理的，工程师的职权：</w:t>
      </w:r>
      <w:r>
        <w:rPr>
          <w:sz w:val="21"/>
          <w:szCs w:val="21"/>
          <w:highlight w:val="none"/>
          <w:u w:val="single"/>
        </w:rPr>
        <w:t>工程师有权反对和要求承包人从该项目上立即解除在工程师看来行为不端、不能胜任工作或玩忽职守，或工程师出于其它考虑不希望该人出现在现场，并且未经工程师同意不允许再次雇用这些人员。凡有任何人员离开，都应尽快补充。</w:t>
      </w:r>
    </w:p>
    <w:p>
      <w:pPr>
        <w:widowControl/>
        <w:spacing w:line="360" w:lineRule="auto"/>
        <w:ind w:firstLine="420" w:firstLineChars="200"/>
        <w:rPr>
          <w:kern w:val="0"/>
          <w:sz w:val="21"/>
          <w:szCs w:val="21"/>
          <w:highlight w:val="none"/>
        </w:rPr>
      </w:pPr>
      <w:r>
        <w:rPr>
          <w:kern w:val="0"/>
          <w:sz w:val="21"/>
          <w:szCs w:val="21"/>
          <w:highlight w:val="none"/>
        </w:rPr>
        <w:t>7、项目经理</w:t>
      </w:r>
    </w:p>
    <w:p>
      <w:pPr>
        <w:widowControl/>
        <w:spacing w:line="360" w:lineRule="auto"/>
        <w:ind w:firstLine="420" w:firstLineChars="200"/>
        <w:rPr>
          <w:kern w:val="0"/>
          <w:sz w:val="21"/>
          <w:szCs w:val="21"/>
          <w:highlight w:val="none"/>
          <w:u w:val="single"/>
        </w:rPr>
      </w:pPr>
      <w:r>
        <w:rPr>
          <w:kern w:val="0"/>
          <w:sz w:val="21"/>
          <w:szCs w:val="21"/>
          <w:highlight w:val="none"/>
        </w:rPr>
        <w:t>姓名：</w:t>
      </w:r>
      <w:r>
        <w:rPr>
          <w:rFonts w:hint="eastAsia"/>
          <w:kern w:val="0"/>
          <w:sz w:val="21"/>
          <w:szCs w:val="21"/>
          <w:highlight w:val="none"/>
          <w:u w:val="single"/>
        </w:rPr>
        <w:t xml:space="preserve">         </w:t>
      </w:r>
      <w:r>
        <w:rPr>
          <w:kern w:val="0"/>
          <w:sz w:val="21"/>
          <w:szCs w:val="21"/>
          <w:highlight w:val="none"/>
        </w:rPr>
        <w:t>职务：</w:t>
      </w:r>
      <w:r>
        <w:rPr>
          <w:rFonts w:hint="eastAsia"/>
          <w:kern w:val="0"/>
          <w:sz w:val="21"/>
          <w:szCs w:val="21"/>
          <w:highlight w:val="none"/>
          <w:u w:val="single"/>
        </w:rPr>
        <w:t xml:space="preserve">项目经理    </w:t>
      </w:r>
    </w:p>
    <w:p>
      <w:pPr>
        <w:widowControl/>
        <w:spacing w:line="360" w:lineRule="auto"/>
        <w:ind w:firstLine="420" w:firstLineChars="200"/>
        <w:rPr>
          <w:kern w:val="0"/>
          <w:sz w:val="21"/>
          <w:szCs w:val="21"/>
          <w:highlight w:val="none"/>
        </w:rPr>
      </w:pPr>
      <w:r>
        <w:rPr>
          <w:kern w:val="0"/>
          <w:sz w:val="21"/>
          <w:szCs w:val="21"/>
          <w:highlight w:val="none"/>
        </w:rPr>
        <w:t>8、发包人工作</w:t>
      </w:r>
    </w:p>
    <w:p>
      <w:pPr>
        <w:widowControl/>
        <w:spacing w:line="360" w:lineRule="auto"/>
        <w:ind w:firstLine="420" w:firstLineChars="200"/>
        <w:rPr>
          <w:kern w:val="0"/>
          <w:sz w:val="21"/>
          <w:szCs w:val="21"/>
          <w:highlight w:val="none"/>
        </w:rPr>
      </w:pPr>
      <w:r>
        <w:rPr>
          <w:kern w:val="0"/>
          <w:sz w:val="21"/>
          <w:szCs w:val="21"/>
          <w:highlight w:val="none"/>
        </w:rPr>
        <w:t>8.1发包人应按约定的时间和要求完成以下工作：</w:t>
      </w:r>
    </w:p>
    <w:p>
      <w:pPr>
        <w:widowControl/>
        <w:spacing w:line="360" w:lineRule="auto"/>
        <w:ind w:firstLine="420" w:firstLineChars="200"/>
        <w:rPr>
          <w:kern w:val="0"/>
          <w:sz w:val="21"/>
          <w:szCs w:val="21"/>
          <w:highlight w:val="none"/>
        </w:rPr>
      </w:pPr>
      <w:r>
        <w:rPr>
          <w:kern w:val="0"/>
          <w:sz w:val="21"/>
          <w:szCs w:val="21"/>
          <w:highlight w:val="none"/>
        </w:rPr>
        <w:t>（1）施工场地具备施工条件的要求及完成的时间：_</w:t>
      </w:r>
      <w:r>
        <w:rPr>
          <w:kern w:val="0"/>
          <w:sz w:val="21"/>
          <w:szCs w:val="21"/>
          <w:highlight w:val="none"/>
          <w:u w:val="single"/>
        </w:rPr>
        <w:t>_开工前5日内。</w:t>
      </w:r>
      <w:r>
        <w:rPr>
          <w:kern w:val="0"/>
          <w:sz w:val="21"/>
          <w:szCs w:val="21"/>
          <w:highlight w:val="none"/>
        </w:rPr>
        <w:t>____</w:t>
      </w:r>
    </w:p>
    <w:p>
      <w:pPr>
        <w:widowControl/>
        <w:spacing w:line="360" w:lineRule="auto"/>
        <w:ind w:firstLine="420" w:firstLineChars="200"/>
        <w:rPr>
          <w:kern w:val="0"/>
          <w:sz w:val="21"/>
          <w:szCs w:val="21"/>
          <w:highlight w:val="none"/>
        </w:rPr>
      </w:pPr>
      <w:r>
        <w:rPr>
          <w:kern w:val="0"/>
          <w:sz w:val="21"/>
          <w:szCs w:val="21"/>
          <w:highlight w:val="none"/>
        </w:rPr>
        <w:t>（2）将施工所需的水、电、电讯线路接至施工场地的时间、地点和供应要求：</w:t>
      </w:r>
    </w:p>
    <w:p>
      <w:pPr>
        <w:widowControl/>
        <w:spacing w:line="360" w:lineRule="auto"/>
        <w:rPr>
          <w:kern w:val="0"/>
          <w:sz w:val="21"/>
          <w:szCs w:val="21"/>
          <w:highlight w:val="none"/>
        </w:rPr>
      </w:pPr>
      <w:r>
        <w:rPr>
          <w:rFonts w:hint="eastAsia"/>
          <w:color w:val="FF0000"/>
          <w:kern w:val="0"/>
          <w:sz w:val="21"/>
          <w:szCs w:val="21"/>
          <w:highlight w:val="none"/>
        </w:rPr>
        <w:t>　　</w:t>
      </w:r>
      <w:r>
        <w:rPr>
          <w:kern w:val="0"/>
          <w:sz w:val="21"/>
          <w:szCs w:val="21"/>
          <w:highlight w:val="none"/>
        </w:rPr>
        <w:t>提供满足乙方施工的用水、用电条件。</w:t>
      </w:r>
    </w:p>
    <w:p>
      <w:pPr>
        <w:widowControl/>
        <w:spacing w:line="360" w:lineRule="auto"/>
        <w:ind w:firstLine="420" w:firstLineChars="200"/>
        <w:rPr>
          <w:kern w:val="0"/>
          <w:sz w:val="21"/>
          <w:szCs w:val="21"/>
          <w:highlight w:val="none"/>
        </w:rPr>
      </w:pPr>
      <w:r>
        <w:rPr>
          <w:kern w:val="0"/>
          <w:sz w:val="21"/>
          <w:szCs w:val="21"/>
          <w:highlight w:val="none"/>
        </w:rPr>
        <w:t>其计量和计价方法为：</w:t>
      </w:r>
      <w:r>
        <w:rPr>
          <w:kern w:val="0"/>
          <w:sz w:val="21"/>
          <w:szCs w:val="21"/>
          <w:highlight w:val="none"/>
          <w:u w:val="single"/>
        </w:rPr>
        <w:t>按相关部门的规定和计量计价方法计算</w:t>
      </w:r>
      <w:r>
        <w:rPr>
          <w:kern w:val="0"/>
          <w:sz w:val="21"/>
          <w:szCs w:val="21"/>
          <w:highlight w:val="none"/>
        </w:rPr>
        <w:t>。</w:t>
      </w:r>
    </w:p>
    <w:p>
      <w:pPr>
        <w:widowControl/>
        <w:spacing w:line="360" w:lineRule="auto"/>
        <w:ind w:firstLine="420" w:firstLineChars="200"/>
        <w:rPr>
          <w:kern w:val="0"/>
          <w:sz w:val="21"/>
          <w:szCs w:val="21"/>
          <w:highlight w:val="none"/>
        </w:rPr>
      </w:pPr>
      <w:r>
        <w:rPr>
          <w:kern w:val="0"/>
          <w:sz w:val="21"/>
          <w:szCs w:val="21"/>
          <w:highlight w:val="none"/>
        </w:rPr>
        <w:t>（3）施工场地与公共道路的通道开通时间和要求：</w:t>
      </w:r>
      <w:r>
        <w:rPr>
          <w:rFonts w:hint="eastAsia"/>
          <w:kern w:val="0"/>
          <w:sz w:val="21"/>
          <w:szCs w:val="21"/>
          <w:highlight w:val="none"/>
        </w:rPr>
        <w:t xml:space="preserve"> </w:t>
      </w:r>
      <w:r>
        <w:rPr>
          <w:sz w:val="21"/>
          <w:szCs w:val="21"/>
          <w:highlight w:val="none"/>
          <w:u w:val="single"/>
        </w:rPr>
        <w:t>工程开工前5日内。</w:t>
      </w:r>
      <w:r>
        <w:rPr>
          <w:rFonts w:hint="eastAsia"/>
          <w:kern w:val="0"/>
          <w:sz w:val="21"/>
          <w:szCs w:val="21"/>
          <w:highlight w:val="none"/>
        </w:rPr>
        <w:t xml:space="preserve"> </w:t>
      </w:r>
    </w:p>
    <w:p>
      <w:pPr>
        <w:widowControl/>
        <w:spacing w:line="360" w:lineRule="auto"/>
        <w:ind w:firstLine="420" w:firstLineChars="200"/>
        <w:rPr>
          <w:kern w:val="0"/>
          <w:sz w:val="21"/>
          <w:szCs w:val="21"/>
          <w:highlight w:val="none"/>
        </w:rPr>
      </w:pPr>
      <w:r>
        <w:rPr>
          <w:kern w:val="0"/>
          <w:sz w:val="21"/>
          <w:szCs w:val="21"/>
          <w:highlight w:val="none"/>
        </w:rPr>
        <w:t>（4）工程地质和地下管线资料的提供时间：</w:t>
      </w:r>
      <w:r>
        <w:rPr>
          <w:rFonts w:hint="eastAsia"/>
          <w:kern w:val="0"/>
          <w:sz w:val="21"/>
          <w:szCs w:val="21"/>
          <w:highlight w:val="none"/>
        </w:rPr>
        <w:t xml:space="preserve"> </w:t>
      </w:r>
      <w:r>
        <w:rPr>
          <w:sz w:val="21"/>
          <w:szCs w:val="21"/>
          <w:highlight w:val="none"/>
          <w:u w:val="single"/>
        </w:rPr>
        <w:t>工程开工前5日内。</w:t>
      </w:r>
      <w:r>
        <w:rPr>
          <w:rFonts w:hint="eastAsia"/>
          <w:kern w:val="0"/>
          <w:sz w:val="21"/>
          <w:szCs w:val="21"/>
          <w:highlight w:val="none"/>
        </w:rPr>
        <w:t xml:space="preserve"> </w:t>
      </w:r>
    </w:p>
    <w:p>
      <w:pPr>
        <w:widowControl/>
        <w:spacing w:line="360" w:lineRule="auto"/>
        <w:ind w:firstLine="420" w:firstLineChars="200"/>
        <w:rPr>
          <w:kern w:val="0"/>
          <w:sz w:val="21"/>
          <w:szCs w:val="21"/>
          <w:highlight w:val="none"/>
        </w:rPr>
      </w:pPr>
      <w:r>
        <w:rPr>
          <w:kern w:val="0"/>
          <w:sz w:val="21"/>
          <w:szCs w:val="21"/>
          <w:highlight w:val="none"/>
        </w:rPr>
        <w:t>（5）由发包人办理的施工所需证件、批件的名称和完成时间：</w:t>
      </w:r>
      <w:r>
        <w:rPr>
          <w:rFonts w:hint="eastAsia"/>
          <w:kern w:val="0"/>
          <w:sz w:val="21"/>
          <w:szCs w:val="21"/>
          <w:highlight w:val="none"/>
        </w:rPr>
        <w:t xml:space="preserve"> </w:t>
      </w:r>
      <w:r>
        <w:rPr>
          <w:sz w:val="21"/>
          <w:szCs w:val="21"/>
          <w:highlight w:val="none"/>
          <w:u w:val="single"/>
        </w:rPr>
        <w:t>工程开工前5日内。</w:t>
      </w:r>
    </w:p>
    <w:p>
      <w:pPr>
        <w:widowControl/>
        <w:spacing w:line="360" w:lineRule="auto"/>
        <w:ind w:firstLine="420" w:firstLineChars="200"/>
        <w:rPr>
          <w:kern w:val="0"/>
          <w:sz w:val="21"/>
          <w:szCs w:val="21"/>
          <w:highlight w:val="none"/>
        </w:rPr>
      </w:pPr>
      <w:r>
        <w:rPr>
          <w:kern w:val="0"/>
          <w:sz w:val="21"/>
          <w:szCs w:val="21"/>
          <w:highlight w:val="none"/>
        </w:rPr>
        <w:t>（6）水准点与坐标控制点交验要求：</w:t>
      </w:r>
      <w:r>
        <w:rPr>
          <w:rFonts w:hint="eastAsia"/>
          <w:sz w:val="21"/>
          <w:szCs w:val="21"/>
          <w:highlight w:val="none"/>
          <w:u w:val="single"/>
        </w:rPr>
        <w:t>　　　/　　　</w:t>
      </w:r>
      <w:r>
        <w:rPr>
          <w:rFonts w:hint="eastAsia"/>
          <w:kern w:val="0"/>
          <w:sz w:val="21"/>
          <w:szCs w:val="21"/>
          <w:highlight w:val="none"/>
        </w:rPr>
        <w:t xml:space="preserve"> </w:t>
      </w:r>
    </w:p>
    <w:p>
      <w:pPr>
        <w:widowControl/>
        <w:spacing w:line="360" w:lineRule="auto"/>
        <w:ind w:firstLine="420" w:firstLineChars="200"/>
        <w:rPr>
          <w:kern w:val="0"/>
          <w:sz w:val="21"/>
          <w:szCs w:val="21"/>
          <w:highlight w:val="none"/>
        </w:rPr>
      </w:pPr>
      <w:r>
        <w:rPr>
          <w:kern w:val="0"/>
          <w:sz w:val="21"/>
          <w:szCs w:val="21"/>
          <w:highlight w:val="none"/>
        </w:rPr>
        <w:t>（7）图纸会审和设计交底时间：</w:t>
      </w:r>
      <w:r>
        <w:rPr>
          <w:rFonts w:hint="eastAsia"/>
          <w:kern w:val="0"/>
          <w:sz w:val="21"/>
          <w:szCs w:val="21"/>
          <w:highlight w:val="none"/>
        </w:rPr>
        <w:t xml:space="preserve"> </w:t>
      </w:r>
      <w:r>
        <w:rPr>
          <w:sz w:val="21"/>
          <w:szCs w:val="21"/>
          <w:highlight w:val="none"/>
          <w:u w:val="single"/>
        </w:rPr>
        <w:t>工程开工前5日内。</w:t>
      </w:r>
      <w:r>
        <w:rPr>
          <w:rFonts w:hint="eastAsia"/>
          <w:kern w:val="0"/>
          <w:sz w:val="21"/>
          <w:szCs w:val="21"/>
          <w:highlight w:val="none"/>
        </w:rPr>
        <w:t xml:space="preserve"> </w:t>
      </w:r>
    </w:p>
    <w:p>
      <w:pPr>
        <w:widowControl/>
        <w:spacing w:line="360" w:lineRule="auto"/>
        <w:ind w:firstLine="420" w:firstLineChars="200"/>
        <w:rPr>
          <w:kern w:val="0"/>
          <w:sz w:val="21"/>
          <w:szCs w:val="21"/>
          <w:highlight w:val="none"/>
        </w:rPr>
      </w:pPr>
      <w:r>
        <w:rPr>
          <w:kern w:val="0"/>
          <w:sz w:val="21"/>
          <w:szCs w:val="21"/>
          <w:highlight w:val="none"/>
        </w:rPr>
        <w:t>（8）协调处理施工场地周围地下管线和邻近建筑物、构筑物（含文物保护建筑）、古树名木的保护工作：__</w:t>
      </w:r>
      <w:r>
        <w:rPr>
          <w:kern w:val="0"/>
          <w:sz w:val="21"/>
          <w:szCs w:val="21"/>
          <w:highlight w:val="none"/>
          <w:u w:val="single"/>
        </w:rPr>
        <w:t>执行《通用条款》8.1.</w:t>
      </w:r>
      <w:r>
        <w:rPr>
          <w:rFonts w:hint="eastAsia"/>
          <w:kern w:val="0"/>
          <w:sz w:val="21"/>
          <w:szCs w:val="21"/>
          <w:highlight w:val="none"/>
          <w:u w:val="single"/>
        </w:rPr>
        <w:t>（</w:t>
      </w:r>
      <w:r>
        <w:rPr>
          <w:kern w:val="0"/>
          <w:sz w:val="21"/>
          <w:szCs w:val="21"/>
          <w:highlight w:val="none"/>
          <w:u w:val="single"/>
        </w:rPr>
        <w:t>8</w:t>
      </w:r>
      <w:r>
        <w:rPr>
          <w:rFonts w:hint="eastAsia"/>
          <w:kern w:val="0"/>
          <w:sz w:val="21"/>
          <w:szCs w:val="21"/>
          <w:highlight w:val="none"/>
          <w:u w:val="single"/>
        </w:rPr>
        <w:t>）</w:t>
      </w:r>
      <w:r>
        <w:rPr>
          <w:kern w:val="0"/>
          <w:sz w:val="21"/>
          <w:szCs w:val="21"/>
          <w:highlight w:val="none"/>
          <w:u w:val="single"/>
        </w:rPr>
        <w:t>款</w:t>
      </w:r>
      <w:r>
        <w:rPr>
          <w:rFonts w:hint="eastAsia"/>
          <w:kern w:val="0"/>
          <w:sz w:val="21"/>
          <w:szCs w:val="21"/>
          <w:highlight w:val="none"/>
          <w:u w:val="single"/>
        </w:rPr>
        <w:t xml:space="preserve"> </w:t>
      </w:r>
      <w:r>
        <w:rPr>
          <w:rFonts w:hint="eastAsia"/>
          <w:kern w:val="0"/>
          <w:sz w:val="21"/>
          <w:szCs w:val="21"/>
          <w:highlight w:val="none"/>
        </w:rPr>
        <w:t xml:space="preserve"> </w:t>
      </w:r>
    </w:p>
    <w:p>
      <w:pPr>
        <w:widowControl/>
        <w:spacing w:line="360" w:lineRule="auto"/>
        <w:ind w:firstLine="420" w:firstLineChars="200"/>
        <w:rPr>
          <w:kern w:val="0"/>
          <w:sz w:val="21"/>
          <w:szCs w:val="21"/>
          <w:highlight w:val="none"/>
          <w:u w:val="single"/>
        </w:rPr>
      </w:pPr>
      <w:r>
        <w:rPr>
          <w:kern w:val="0"/>
          <w:sz w:val="21"/>
          <w:szCs w:val="21"/>
          <w:highlight w:val="none"/>
        </w:rPr>
        <w:t>（9）双方约定发包人应做的其他工作：</w:t>
      </w:r>
      <w:r>
        <w:rPr>
          <w:rFonts w:hint="eastAsia"/>
          <w:kern w:val="0"/>
          <w:sz w:val="21"/>
          <w:szCs w:val="21"/>
          <w:highlight w:val="none"/>
          <w:u w:val="single"/>
        </w:rPr>
        <w:t>　　　</w:t>
      </w:r>
      <w:r>
        <w:rPr>
          <w:rFonts w:hint="eastAsia"/>
          <w:kern w:val="0"/>
          <w:sz w:val="21"/>
          <w:szCs w:val="21"/>
          <w:highlight w:val="none"/>
          <w:u w:val="single"/>
        </w:rPr>
        <w:tab/>
      </w:r>
      <w:r>
        <w:rPr>
          <w:rFonts w:hint="eastAsia"/>
          <w:kern w:val="0"/>
          <w:sz w:val="21"/>
          <w:szCs w:val="21"/>
          <w:highlight w:val="none"/>
          <w:u w:val="single"/>
        </w:rPr>
        <w:t>无　　　　</w:t>
      </w:r>
    </w:p>
    <w:p>
      <w:pPr>
        <w:widowControl/>
        <w:spacing w:line="360" w:lineRule="auto"/>
        <w:rPr>
          <w:kern w:val="0"/>
          <w:sz w:val="21"/>
          <w:szCs w:val="21"/>
          <w:highlight w:val="none"/>
        </w:rPr>
      </w:pPr>
      <w:r>
        <w:rPr>
          <w:rFonts w:hint="eastAsia"/>
          <w:kern w:val="0"/>
          <w:sz w:val="21"/>
          <w:szCs w:val="21"/>
          <w:highlight w:val="none"/>
        </w:rPr>
        <w:t>　　</w:t>
      </w:r>
      <w:r>
        <w:rPr>
          <w:kern w:val="0"/>
          <w:sz w:val="21"/>
          <w:szCs w:val="21"/>
          <w:highlight w:val="none"/>
        </w:rPr>
        <w:t>8.2发包人委托承包人办理的工作：____</w:t>
      </w:r>
      <w:r>
        <w:rPr>
          <w:rFonts w:hint="eastAsia"/>
          <w:kern w:val="0"/>
          <w:sz w:val="21"/>
          <w:szCs w:val="21"/>
          <w:highlight w:val="none"/>
          <w:u w:val="single"/>
        </w:rPr>
        <w:t xml:space="preserve"> 　　　　　</w:t>
      </w:r>
    </w:p>
    <w:p>
      <w:pPr>
        <w:widowControl/>
        <w:spacing w:line="360" w:lineRule="auto"/>
        <w:ind w:firstLine="420" w:firstLineChars="200"/>
        <w:rPr>
          <w:kern w:val="0"/>
          <w:sz w:val="21"/>
          <w:szCs w:val="21"/>
          <w:highlight w:val="none"/>
        </w:rPr>
      </w:pPr>
      <w:r>
        <w:rPr>
          <w:kern w:val="0"/>
          <w:sz w:val="21"/>
          <w:szCs w:val="21"/>
          <w:highlight w:val="none"/>
        </w:rPr>
        <w:t>9、承包人工作</w:t>
      </w:r>
    </w:p>
    <w:p>
      <w:pPr>
        <w:widowControl/>
        <w:spacing w:line="360" w:lineRule="auto"/>
        <w:ind w:firstLine="420" w:firstLineChars="200"/>
        <w:rPr>
          <w:kern w:val="0"/>
          <w:sz w:val="21"/>
          <w:szCs w:val="21"/>
          <w:highlight w:val="none"/>
        </w:rPr>
      </w:pPr>
      <w:r>
        <w:rPr>
          <w:kern w:val="0"/>
          <w:sz w:val="21"/>
          <w:szCs w:val="21"/>
          <w:highlight w:val="none"/>
        </w:rPr>
        <w:t>9.1承包人应按约定时间和要求，完成以下工作：</w:t>
      </w:r>
    </w:p>
    <w:p>
      <w:pPr>
        <w:widowControl/>
        <w:spacing w:line="360" w:lineRule="auto"/>
        <w:ind w:firstLine="420" w:firstLineChars="200"/>
        <w:rPr>
          <w:kern w:val="0"/>
          <w:sz w:val="21"/>
          <w:szCs w:val="21"/>
          <w:highlight w:val="none"/>
        </w:rPr>
      </w:pPr>
      <w:r>
        <w:rPr>
          <w:kern w:val="0"/>
          <w:sz w:val="21"/>
          <w:szCs w:val="21"/>
          <w:highlight w:val="none"/>
        </w:rPr>
        <w:t>（1）需由设计资质等级和业务范围允许的承包人完成的设计文件提交时间：__</w:t>
      </w:r>
      <w:r>
        <w:rPr>
          <w:kern w:val="0"/>
          <w:sz w:val="21"/>
          <w:szCs w:val="21"/>
          <w:highlight w:val="none"/>
          <w:u w:val="single"/>
        </w:rPr>
        <w:t>本工程没有须由承包人完成的设计工作</w:t>
      </w:r>
      <w:r>
        <w:rPr>
          <w:kern w:val="0"/>
          <w:sz w:val="21"/>
          <w:szCs w:val="21"/>
          <w:highlight w:val="none"/>
        </w:rPr>
        <w:t>__</w:t>
      </w:r>
    </w:p>
    <w:p>
      <w:pPr>
        <w:widowControl/>
        <w:spacing w:line="360" w:lineRule="auto"/>
        <w:ind w:firstLine="420" w:firstLineChars="200"/>
        <w:rPr>
          <w:kern w:val="0"/>
          <w:sz w:val="21"/>
          <w:szCs w:val="21"/>
          <w:highlight w:val="none"/>
        </w:rPr>
      </w:pPr>
      <w:r>
        <w:rPr>
          <w:kern w:val="0"/>
          <w:sz w:val="21"/>
          <w:szCs w:val="21"/>
          <w:highlight w:val="none"/>
        </w:rPr>
        <w:t>（2）应提供计划、报表的名称及完成时间：</w:t>
      </w:r>
      <w:r>
        <w:rPr>
          <w:rFonts w:hint="eastAsia"/>
          <w:kern w:val="0"/>
          <w:sz w:val="21"/>
          <w:szCs w:val="21"/>
          <w:highlight w:val="none"/>
          <w:u w:val="single"/>
        </w:rPr>
        <w:t>　</w:t>
      </w:r>
      <w:r>
        <w:rPr>
          <w:kern w:val="0"/>
          <w:sz w:val="21"/>
          <w:szCs w:val="21"/>
          <w:highlight w:val="none"/>
          <w:u w:val="single"/>
        </w:rPr>
        <w:t>每月25日向业主、监理单位报送叁份《通用条款》9.1.（2）款规定的报表</w:t>
      </w:r>
      <w:r>
        <w:rPr>
          <w:kern w:val="0"/>
          <w:sz w:val="21"/>
          <w:szCs w:val="21"/>
          <w:highlight w:val="none"/>
        </w:rPr>
        <w:t>___</w:t>
      </w:r>
    </w:p>
    <w:p>
      <w:pPr>
        <w:widowControl/>
        <w:spacing w:line="360" w:lineRule="auto"/>
        <w:ind w:firstLine="420" w:firstLineChars="200"/>
        <w:rPr>
          <w:kern w:val="0"/>
          <w:sz w:val="21"/>
          <w:szCs w:val="21"/>
          <w:highlight w:val="none"/>
        </w:rPr>
      </w:pPr>
      <w:r>
        <w:rPr>
          <w:kern w:val="0"/>
          <w:sz w:val="21"/>
          <w:szCs w:val="21"/>
          <w:highlight w:val="none"/>
        </w:rPr>
        <w:t>（3）承担施工安全保卫工作及非夜间施工照明的的有关内容责任和要求：_</w:t>
      </w:r>
      <w:r>
        <w:rPr>
          <w:kern w:val="0"/>
          <w:sz w:val="21"/>
          <w:szCs w:val="21"/>
          <w:highlight w:val="none"/>
          <w:u w:val="single"/>
        </w:rPr>
        <w:t>执行《通用条款》9.1</w:t>
      </w:r>
      <w:r>
        <w:rPr>
          <w:rFonts w:hint="eastAsia"/>
          <w:kern w:val="0"/>
          <w:sz w:val="21"/>
          <w:szCs w:val="21"/>
          <w:highlight w:val="none"/>
          <w:u w:val="single"/>
        </w:rPr>
        <w:t>.</w:t>
      </w:r>
      <w:r>
        <w:rPr>
          <w:kern w:val="0"/>
          <w:sz w:val="21"/>
          <w:szCs w:val="21"/>
          <w:highlight w:val="none"/>
          <w:u w:val="single"/>
        </w:rPr>
        <w:t>（3）款和附件中的“安全生产责任协议书”的有关内容。</w:t>
      </w:r>
    </w:p>
    <w:p>
      <w:pPr>
        <w:widowControl/>
        <w:spacing w:line="360" w:lineRule="auto"/>
        <w:ind w:firstLine="420" w:firstLineChars="200"/>
        <w:rPr>
          <w:kern w:val="0"/>
          <w:sz w:val="21"/>
          <w:szCs w:val="21"/>
          <w:highlight w:val="none"/>
          <w:u w:val="single"/>
        </w:rPr>
      </w:pPr>
      <w:r>
        <w:rPr>
          <w:kern w:val="0"/>
          <w:sz w:val="21"/>
          <w:szCs w:val="21"/>
          <w:highlight w:val="none"/>
        </w:rPr>
        <w:t>（4）向发包人提供的办公和生活房屋及设施的要求：</w:t>
      </w:r>
      <w:r>
        <w:rPr>
          <w:rFonts w:hint="eastAsia"/>
          <w:kern w:val="0"/>
          <w:sz w:val="21"/>
          <w:szCs w:val="21"/>
          <w:highlight w:val="none"/>
          <w:u w:val="single"/>
        </w:rPr>
        <w:t>　　/　　</w:t>
      </w:r>
    </w:p>
    <w:p>
      <w:pPr>
        <w:widowControl/>
        <w:spacing w:line="360" w:lineRule="auto"/>
        <w:ind w:firstLine="420" w:firstLineChars="200"/>
        <w:rPr>
          <w:kern w:val="0"/>
          <w:sz w:val="21"/>
          <w:szCs w:val="21"/>
          <w:highlight w:val="none"/>
          <w:u w:val="single"/>
        </w:rPr>
      </w:pPr>
      <w:r>
        <w:rPr>
          <w:kern w:val="0"/>
          <w:sz w:val="21"/>
          <w:szCs w:val="21"/>
          <w:highlight w:val="none"/>
        </w:rPr>
        <w:t>（5）需承包人办理的有关施工场地交通、环卫和施工噪音管理等手续：_</w:t>
      </w:r>
      <w:r>
        <w:rPr>
          <w:kern w:val="0"/>
          <w:sz w:val="21"/>
          <w:szCs w:val="21"/>
          <w:highlight w:val="none"/>
          <w:u w:val="single"/>
        </w:rPr>
        <w:t>执行《通用条款》9.1.（5）款</w:t>
      </w:r>
    </w:p>
    <w:p>
      <w:pPr>
        <w:widowControl/>
        <w:spacing w:line="360" w:lineRule="auto"/>
        <w:ind w:firstLine="420" w:firstLineChars="200"/>
        <w:rPr>
          <w:kern w:val="0"/>
          <w:sz w:val="21"/>
          <w:szCs w:val="21"/>
          <w:highlight w:val="none"/>
        </w:rPr>
      </w:pPr>
      <w:r>
        <w:rPr>
          <w:kern w:val="0"/>
          <w:sz w:val="21"/>
          <w:szCs w:val="21"/>
          <w:highlight w:val="none"/>
        </w:rPr>
        <w:t>（6）已完工程成品保护的特殊要求及费用承担：</w:t>
      </w:r>
      <w:r>
        <w:rPr>
          <w:kern w:val="0"/>
          <w:sz w:val="21"/>
          <w:szCs w:val="21"/>
          <w:highlight w:val="none"/>
          <w:u w:val="single"/>
        </w:rPr>
        <w:t>执行《通用条款》9.1.（6）款</w:t>
      </w:r>
      <w:r>
        <w:rPr>
          <w:kern w:val="0"/>
          <w:sz w:val="21"/>
          <w:szCs w:val="21"/>
          <w:highlight w:val="none"/>
        </w:rPr>
        <w:t>__</w:t>
      </w:r>
    </w:p>
    <w:p>
      <w:pPr>
        <w:widowControl/>
        <w:spacing w:line="360" w:lineRule="auto"/>
        <w:ind w:firstLine="420" w:firstLineChars="200"/>
        <w:rPr>
          <w:kern w:val="0"/>
          <w:sz w:val="21"/>
          <w:szCs w:val="21"/>
          <w:highlight w:val="none"/>
        </w:rPr>
      </w:pPr>
      <w:r>
        <w:rPr>
          <w:kern w:val="0"/>
          <w:sz w:val="21"/>
          <w:szCs w:val="21"/>
          <w:highlight w:val="none"/>
        </w:rPr>
        <w:t>（7）施工场地周围地下管线和邻近建筑物、构筑物（含文物保护建筑）、古树名木的保护要求及费用承担：_</w:t>
      </w:r>
      <w:r>
        <w:rPr>
          <w:kern w:val="0"/>
          <w:sz w:val="21"/>
          <w:szCs w:val="21"/>
          <w:highlight w:val="none"/>
          <w:u w:val="single"/>
        </w:rPr>
        <w:t>执行《通用条款》9.1.（7）款</w:t>
      </w:r>
      <w:r>
        <w:rPr>
          <w:kern w:val="0"/>
          <w:sz w:val="21"/>
          <w:szCs w:val="21"/>
          <w:highlight w:val="none"/>
        </w:rPr>
        <w:t>___</w:t>
      </w:r>
    </w:p>
    <w:p>
      <w:pPr>
        <w:widowControl/>
        <w:spacing w:line="360" w:lineRule="auto"/>
        <w:ind w:firstLine="420" w:firstLineChars="200"/>
        <w:rPr>
          <w:kern w:val="0"/>
          <w:sz w:val="21"/>
          <w:szCs w:val="21"/>
          <w:highlight w:val="none"/>
        </w:rPr>
      </w:pPr>
      <w:r>
        <w:rPr>
          <w:kern w:val="0"/>
          <w:sz w:val="21"/>
          <w:szCs w:val="21"/>
          <w:highlight w:val="none"/>
        </w:rPr>
        <w:t>（8）施工场地清洁卫生的要求：_</w:t>
      </w:r>
      <w:r>
        <w:rPr>
          <w:kern w:val="0"/>
          <w:sz w:val="21"/>
          <w:szCs w:val="21"/>
          <w:highlight w:val="none"/>
          <w:u w:val="single"/>
        </w:rPr>
        <w:t>执行《通用条款》9.1.（8）款</w:t>
      </w:r>
      <w:r>
        <w:rPr>
          <w:kern w:val="0"/>
          <w:sz w:val="21"/>
          <w:szCs w:val="21"/>
          <w:highlight w:val="none"/>
        </w:rPr>
        <w:t>_</w:t>
      </w:r>
    </w:p>
    <w:p>
      <w:pPr>
        <w:spacing w:line="360" w:lineRule="auto"/>
        <w:ind w:firstLine="420" w:firstLineChars="200"/>
        <w:rPr>
          <w:sz w:val="21"/>
          <w:szCs w:val="21"/>
          <w:highlight w:val="none"/>
          <w:u w:val="single"/>
        </w:rPr>
      </w:pPr>
      <w:r>
        <w:rPr>
          <w:kern w:val="0"/>
          <w:sz w:val="21"/>
          <w:szCs w:val="21"/>
          <w:highlight w:val="none"/>
        </w:rPr>
        <w:t>（9）双方约定承包人应做的其他工作：__</w:t>
      </w:r>
      <w:r>
        <w:rPr>
          <w:sz w:val="21"/>
          <w:szCs w:val="21"/>
          <w:highlight w:val="none"/>
          <w:u w:val="single"/>
        </w:rPr>
        <w:t>承包人应将其在审阅合同文件及施工过程中发现的工程设计或技术规范的任何错误、遗漏、误差或其他缺陷及时通知工程师，并给发包方一份复印件。</w:t>
      </w:r>
    </w:p>
    <w:p>
      <w:pPr>
        <w:spacing w:line="360" w:lineRule="auto"/>
        <w:ind w:firstLine="420" w:firstLineChars="200"/>
        <w:rPr>
          <w:sz w:val="21"/>
          <w:szCs w:val="21"/>
          <w:highlight w:val="none"/>
          <w:u w:val="single"/>
        </w:rPr>
      </w:pPr>
      <w:r>
        <w:rPr>
          <w:sz w:val="21"/>
          <w:szCs w:val="21"/>
          <w:highlight w:val="none"/>
          <w:u w:val="single"/>
        </w:rPr>
        <w:t>承包人应对整个现场操作和施工方法的完备性、稳定性和安全性负全责。</w:t>
      </w:r>
    </w:p>
    <w:p>
      <w:pPr>
        <w:spacing w:line="360" w:lineRule="auto"/>
        <w:ind w:firstLine="420" w:firstLineChars="200"/>
        <w:rPr>
          <w:kern w:val="0"/>
          <w:sz w:val="21"/>
          <w:szCs w:val="21"/>
          <w:highlight w:val="none"/>
        </w:rPr>
      </w:pPr>
      <w:r>
        <w:rPr>
          <w:sz w:val="21"/>
          <w:szCs w:val="21"/>
          <w:highlight w:val="none"/>
          <w:u w:val="single"/>
        </w:rPr>
        <w:t>承包人应对其采用的施工工艺、施工方法等涉及到知识产权的行为的合法性负全责。</w:t>
      </w:r>
    </w:p>
    <w:p>
      <w:pPr>
        <w:widowControl/>
        <w:spacing w:line="360" w:lineRule="auto"/>
        <w:ind w:firstLine="422" w:firstLineChars="200"/>
        <w:rPr>
          <w:b/>
          <w:kern w:val="0"/>
          <w:sz w:val="21"/>
          <w:szCs w:val="21"/>
          <w:highlight w:val="none"/>
        </w:rPr>
      </w:pPr>
      <w:r>
        <w:rPr>
          <w:b/>
          <w:kern w:val="0"/>
          <w:sz w:val="21"/>
          <w:szCs w:val="21"/>
          <w:highlight w:val="none"/>
        </w:rPr>
        <w:t>三、施工组织设计和工期</w:t>
      </w:r>
    </w:p>
    <w:p>
      <w:pPr>
        <w:widowControl/>
        <w:spacing w:line="360" w:lineRule="auto"/>
        <w:ind w:firstLine="420" w:firstLineChars="200"/>
        <w:rPr>
          <w:kern w:val="0"/>
          <w:sz w:val="21"/>
          <w:szCs w:val="21"/>
          <w:highlight w:val="none"/>
        </w:rPr>
      </w:pPr>
      <w:r>
        <w:rPr>
          <w:kern w:val="0"/>
          <w:sz w:val="21"/>
          <w:szCs w:val="21"/>
          <w:highlight w:val="none"/>
        </w:rPr>
        <w:t>10、进度计划</w:t>
      </w:r>
    </w:p>
    <w:p>
      <w:pPr>
        <w:widowControl/>
        <w:spacing w:line="360" w:lineRule="auto"/>
        <w:ind w:firstLine="420" w:firstLineChars="200"/>
        <w:rPr>
          <w:kern w:val="0"/>
          <w:sz w:val="21"/>
          <w:szCs w:val="21"/>
          <w:highlight w:val="none"/>
        </w:rPr>
      </w:pPr>
      <w:r>
        <w:rPr>
          <w:kern w:val="0"/>
          <w:sz w:val="21"/>
          <w:szCs w:val="21"/>
          <w:highlight w:val="none"/>
        </w:rPr>
        <w:t>10.1承包人提供施工组织设计（施工方案）和进度计划的时间：</w:t>
      </w:r>
      <w:r>
        <w:rPr>
          <w:kern w:val="0"/>
          <w:sz w:val="21"/>
          <w:szCs w:val="21"/>
          <w:highlight w:val="none"/>
          <w:u w:val="single"/>
        </w:rPr>
        <w:t>开工前十日内</w:t>
      </w:r>
    </w:p>
    <w:p>
      <w:pPr>
        <w:widowControl/>
        <w:spacing w:line="360" w:lineRule="auto"/>
        <w:ind w:firstLine="420" w:firstLineChars="200"/>
        <w:rPr>
          <w:kern w:val="0"/>
          <w:sz w:val="21"/>
          <w:szCs w:val="21"/>
          <w:highlight w:val="none"/>
        </w:rPr>
      </w:pPr>
      <w:r>
        <w:rPr>
          <w:kern w:val="0"/>
          <w:sz w:val="21"/>
          <w:szCs w:val="21"/>
          <w:highlight w:val="none"/>
        </w:rPr>
        <w:t>工程师确认的时间：_</w:t>
      </w:r>
      <w:r>
        <w:rPr>
          <w:kern w:val="0"/>
          <w:sz w:val="21"/>
          <w:szCs w:val="21"/>
          <w:highlight w:val="none"/>
          <w:u w:val="single"/>
        </w:rPr>
        <w:t>_7日内___</w:t>
      </w:r>
    </w:p>
    <w:p>
      <w:pPr>
        <w:widowControl/>
        <w:spacing w:line="360" w:lineRule="auto"/>
        <w:ind w:firstLine="420" w:firstLineChars="200"/>
        <w:rPr>
          <w:kern w:val="0"/>
          <w:sz w:val="21"/>
          <w:szCs w:val="21"/>
          <w:highlight w:val="none"/>
        </w:rPr>
      </w:pPr>
      <w:r>
        <w:rPr>
          <w:kern w:val="0"/>
          <w:sz w:val="21"/>
          <w:szCs w:val="21"/>
          <w:highlight w:val="none"/>
        </w:rPr>
        <w:t>10.2群体工程中有关进度计划的要求： ________________________</w:t>
      </w:r>
    </w:p>
    <w:p>
      <w:pPr>
        <w:widowControl/>
        <w:spacing w:line="360" w:lineRule="auto"/>
        <w:ind w:firstLine="420" w:firstLineChars="200"/>
        <w:rPr>
          <w:kern w:val="0"/>
          <w:sz w:val="21"/>
          <w:szCs w:val="21"/>
          <w:highlight w:val="none"/>
        </w:rPr>
      </w:pPr>
      <w:r>
        <w:rPr>
          <w:kern w:val="0"/>
          <w:sz w:val="21"/>
          <w:szCs w:val="21"/>
          <w:highlight w:val="none"/>
        </w:rPr>
        <w:t>13、工期延误</w:t>
      </w:r>
    </w:p>
    <w:p>
      <w:pPr>
        <w:widowControl/>
        <w:spacing w:line="360" w:lineRule="auto"/>
        <w:ind w:firstLine="420" w:firstLineChars="200"/>
        <w:rPr>
          <w:kern w:val="0"/>
          <w:sz w:val="21"/>
          <w:szCs w:val="21"/>
          <w:highlight w:val="none"/>
        </w:rPr>
      </w:pPr>
      <w:r>
        <w:rPr>
          <w:kern w:val="0"/>
          <w:sz w:val="21"/>
          <w:szCs w:val="21"/>
          <w:highlight w:val="none"/>
        </w:rPr>
        <w:t>13.1双方约定工期顺延的其他情况：_</w:t>
      </w:r>
      <w:r>
        <w:rPr>
          <w:sz w:val="21"/>
          <w:szCs w:val="21"/>
          <w:highlight w:val="none"/>
          <w:u w:val="single"/>
        </w:rPr>
        <w:t>执行《通用条款》11条</w:t>
      </w:r>
      <w:r>
        <w:rPr>
          <w:rFonts w:hint="eastAsia"/>
          <w:sz w:val="21"/>
          <w:szCs w:val="21"/>
          <w:highlight w:val="none"/>
          <w:u w:val="single"/>
        </w:rPr>
        <w:t>：</w:t>
      </w:r>
      <w:r>
        <w:rPr>
          <w:sz w:val="21"/>
          <w:szCs w:val="21"/>
          <w:highlight w:val="none"/>
          <w:u w:val="single"/>
        </w:rPr>
        <w:t>工期提前无奖励。工期每推迟一天除按1000元处罚外,若影响到发包人使用时应赔偿由此给甲方造成的损失。</w:t>
      </w:r>
    </w:p>
    <w:p>
      <w:pPr>
        <w:widowControl/>
        <w:spacing w:line="360" w:lineRule="auto"/>
        <w:ind w:firstLine="422" w:firstLineChars="200"/>
        <w:rPr>
          <w:b/>
          <w:kern w:val="0"/>
          <w:sz w:val="21"/>
          <w:szCs w:val="21"/>
          <w:highlight w:val="none"/>
        </w:rPr>
      </w:pPr>
      <w:r>
        <w:rPr>
          <w:b/>
          <w:kern w:val="0"/>
          <w:sz w:val="21"/>
          <w:szCs w:val="21"/>
          <w:highlight w:val="none"/>
        </w:rPr>
        <w:t>四、质量与检验</w:t>
      </w:r>
    </w:p>
    <w:p>
      <w:pPr>
        <w:widowControl/>
        <w:spacing w:line="360" w:lineRule="auto"/>
        <w:ind w:firstLine="420" w:firstLineChars="200"/>
        <w:rPr>
          <w:kern w:val="0"/>
          <w:sz w:val="21"/>
          <w:szCs w:val="21"/>
          <w:highlight w:val="none"/>
        </w:rPr>
      </w:pPr>
      <w:r>
        <w:rPr>
          <w:kern w:val="0"/>
          <w:sz w:val="21"/>
          <w:szCs w:val="21"/>
          <w:highlight w:val="none"/>
        </w:rPr>
        <w:t>17、隐蔽工程和中间验收</w:t>
      </w:r>
    </w:p>
    <w:p>
      <w:pPr>
        <w:widowControl/>
        <w:spacing w:line="360" w:lineRule="auto"/>
        <w:ind w:firstLine="420" w:firstLineChars="200"/>
        <w:rPr>
          <w:kern w:val="0"/>
          <w:sz w:val="21"/>
          <w:szCs w:val="21"/>
          <w:highlight w:val="none"/>
        </w:rPr>
      </w:pPr>
      <w:r>
        <w:rPr>
          <w:kern w:val="0"/>
          <w:sz w:val="21"/>
          <w:szCs w:val="21"/>
          <w:highlight w:val="none"/>
        </w:rPr>
        <w:t>17.1双方约定中间验收部位：</w:t>
      </w:r>
      <w:r>
        <w:rPr>
          <w:kern w:val="0"/>
          <w:sz w:val="21"/>
          <w:szCs w:val="21"/>
          <w:highlight w:val="none"/>
          <w:u w:val="single"/>
        </w:rPr>
        <w:t xml:space="preserve">                </w:t>
      </w:r>
    </w:p>
    <w:p>
      <w:pPr>
        <w:widowControl/>
        <w:spacing w:line="360" w:lineRule="auto"/>
        <w:ind w:firstLine="420" w:firstLineChars="200"/>
        <w:rPr>
          <w:kern w:val="0"/>
          <w:sz w:val="21"/>
          <w:szCs w:val="21"/>
          <w:highlight w:val="none"/>
        </w:rPr>
      </w:pPr>
      <w:r>
        <w:rPr>
          <w:kern w:val="0"/>
          <w:sz w:val="21"/>
          <w:szCs w:val="21"/>
          <w:highlight w:val="none"/>
        </w:rPr>
        <w:t>19、工程试车</w:t>
      </w:r>
    </w:p>
    <w:p>
      <w:pPr>
        <w:widowControl/>
        <w:spacing w:line="360" w:lineRule="auto"/>
        <w:ind w:firstLine="420" w:firstLineChars="200"/>
        <w:rPr>
          <w:kern w:val="0"/>
          <w:sz w:val="21"/>
          <w:szCs w:val="21"/>
          <w:highlight w:val="none"/>
        </w:rPr>
      </w:pPr>
      <w:r>
        <w:rPr>
          <w:kern w:val="0"/>
          <w:sz w:val="21"/>
          <w:szCs w:val="21"/>
          <w:highlight w:val="none"/>
        </w:rPr>
        <w:t>19.1试车费用的承担：</w:t>
      </w:r>
      <w:r>
        <w:rPr>
          <w:rFonts w:hint="eastAsia"/>
          <w:sz w:val="21"/>
          <w:szCs w:val="21"/>
          <w:highlight w:val="none"/>
          <w:u w:val="single"/>
        </w:rPr>
        <w:t>　　　　　　　　　</w:t>
      </w:r>
      <w:r>
        <w:rPr>
          <w:kern w:val="0"/>
          <w:sz w:val="21"/>
          <w:szCs w:val="21"/>
          <w:highlight w:val="none"/>
        </w:rPr>
        <w:t>__</w:t>
      </w:r>
    </w:p>
    <w:p>
      <w:pPr>
        <w:widowControl/>
        <w:spacing w:line="360" w:lineRule="auto"/>
        <w:ind w:firstLine="422" w:firstLineChars="200"/>
        <w:rPr>
          <w:b/>
          <w:kern w:val="0"/>
          <w:sz w:val="21"/>
          <w:szCs w:val="21"/>
          <w:highlight w:val="none"/>
        </w:rPr>
      </w:pPr>
      <w:r>
        <w:rPr>
          <w:b/>
          <w:kern w:val="0"/>
          <w:sz w:val="21"/>
          <w:szCs w:val="21"/>
          <w:highlight w:val="none"/>
        </w:rPr>
        <w:t>五、安全防护、文明施工</w:t>
      </w:r>
    </w:p>
    <w:p>
      <w:pPr>
        <w:spacing w:line="360" w:lineRule="auto"/>
        <w:ind w:firstLine="420" w:firstLineChars="200"/>
        <w:rPr>
          <w:sz w:val="21"/>
          <w:szCs w:val="21"/>
          <w:highlight w:val="none"/>
          <w:u w:val="single"/>
        </w:rPr>
      </w:pPr>
      <w:r>
        <w:rPr>
          <w:sz w:val="21"/>
          <w:szCs w:val="21"/>
          <w:highlight w:val="none"/>
          <w:u w:val="single"/>
        </w:rPr>
        <w:t>执行《通用条款》第五条全部条款和国家、省、市关于安全文明施工的各项要求和规定。必须按照省级文明工地要求标准进行安全文明施工。制定切实可行的安全施工措施和安全管理制度，承包人承担工程施工期间的安全责任，确保本工程施工安全。因施工安全所引起发生的经济和法律责任由承包人全部负责并承担责任，其费用包含在合同价内。</w:t>
      </w:r>
    </w:p>
    <w:p>
      <w:pPr>
        <w:widowControl/>
        <w:spacing w:line="360" w:lineRule="auto"/>
        <w:ind w:firstLine="422" w:firstLineChars="200"/>
        <w:rPr>
          <w:b/>
          <w:kern w:val="0"/>
          <w:sz w:val="21"/>
          <w:szCs w:val="21"/>
          <w:highlight w:val="none"/>
        </w:rPr>
      </w:pPr>
      <w:r>
        <w:rPr>
          <w:b/>
          <w:kern w:val="0"/>
          <w:sz w:val="21"/>
          <w:szCs w:val="21"/>
          <w:highlight w:val="none"/>
        </w:rPr>
        <w:t>六、合同价款</w:t>
      </w:r>
    </w:p>
    <w:p>
      <w:pPr>
        <w:widowControl/>
        <w:spacing w:line="360" w:lineRule="auto"/>
        <w:ind w:firstLine="420" w:firstLineChars="200"/>
        <w:rPr>
          <w:kern w:val="0"/>
          <w:sz w:val="21"/>
          <w:szCs w:val="21"/>
          <w:highlight w:val="none"/>
        </w:rPr>
      </w:pPr>
      <w:r>
        <w:rPr>
          <w:kern w:val="0"/>
          <w:sz w:val="21"/>
          <w:szCs w:val="21"/>
          <w:highlight w:val="none"/>
        </w:rPr>
        <w:t>26、合同价款约定</w:t>
      </w:r>
    </w:p>
    <w:p>
      <w:pPr>
        <w:widowControl/>
        <w:spacing w:line="360" w:lineRule="auto"/>
        <w:ind w:firstLine="420" w:firstLineChars="200"/>
        <w:rPr>
          <w:kern w:val="0"/>
          <w:sz w:val="21"/>
          <w:szCs w:val="21"/>
          <w:highlight w:val="none"/>
        </w:rPr>
      </w:pPr>
      <w:r>
        <w:rPr>
          <w:kern w:val="0"/>
          <w:sz w:val="21"/>
          <w:szCs w:val="21"/>
          <w:highlight w:val="none"/>
        </w:rPr>
        <w:t>26.2本合同价款采用_</w:t>
      </w:r>
      <w:r>
        <w:rPr>
          <w:sz w:val="21"/>
          <w:szCs w:val="21"/>
          <w:highlight w:val="none"/>
          <w:u w:val="single"/>
        </w:rPr>
        <w:t>固定综合单价合同</w:t>
      </w:r>
      <w:r>
        <w:rPr>
          <w:kern w:val="0"/>
          <w:sz w:val="21"/>
          <w:szCs w:val="21"/>
          <w:highlight w:val="none"/>
        </w:rPr>
        <w:t>_方式确定。</w:t>
      </w:r>
    </w:p>
    <w:p>
      <w:pPr>
        <w:spacing w:line="360" w:lineRule="auto"/>
        <w:ind w:firstLine="420" w:firstLineChars="200"/>
        <w:rPr>
          <w:sz w:val="21"/>
          <w:szCs w:val="21"/>
          <w:highlight w:val="none"/>
        </w:rPr>
      </w:pPr>
      <w:r>
        <w:rPr>
          <w:kern w:val="0"/>
          <w:sz w:val="21"/>
          <w:szCs w:val="21"/>
          <w:highlight w:val="none"/>
        </w:rPr>
        <w:t>（1）采用固定综合单价合同，综合单价中包括的风险范围：</w:t>
      </w:r>
      <w:r>
        <w:rPr>
          <w:sz w:val="21"/>
          <w:szCs w:val="21"/>
          <w:highlight w:val="none"/>
          <w:u w:val="single"/>
        </w:rPr>
        <w:t>合同价款中包括的风险范围：人工费、材料费、机械费社会价格浮动，本合同第43条规定以外发生的自然灾害、停水、停电等引起的停窝工机械和人工费用。</w:t>
      </w:r>
    </w:p>
    <w:p>
      <w:pPr>
        <w:spacing w:line="360" w:lineRule="auto"/>
        <w:ind w:firstLine="359" w:firstLineChars="171"/>
        <w:rPr>
          <w:sz w:val="21"/>
          <w:szCs w:val="21"/>
          <w:highlight w:val="none"/>
          <w:u w:val="single"/>
        </w:rPr>
      </w:pPr>
      <w:r>
        <w:rPr>
          <w:sz w:val="21"/>
          <w:szCs w:val="21"/>
          <w:highlight w:val="none"/>
        </w:rPr>
        <w:t xml:space="preserve"> </w:t>
      </w:r>
      <w:r>
        <w:rPr>
          <w:sz w:val="21"/>
          <w:szCs w:val="21"/>
          <w:highlight w:val="none"/>
          <w:u w:val="single"/>
        </w:rPr>
        <w:t>法律、行政法规和国家有关政策变化影响合同价款时，双方协商解决。</w:t>
      </w:r>
    </w:p>
    <w:p>
      <w:pPr>
        <w:spacing w:line="360" w:lineRule="auto"/>
        <w:ind w:firstLine="315" w:firstLineChars="150"/>
        <w:rPr>
          <w:sz w:val="21"/>
          <w:szCs w:val="21"/>
          <w:highlight w:val="none"/>
        </w:rPr>
      </w:pPr>
      <w:r>
        <w:rPr>
          <w:sz w:val="21"/>
          <w:szCs w:val="21"/>
          <w:highlight w:val="none"/>
        </w:rPr>
        <w:t>（2）主要材料发包人已认质认价。</w:t>
      </w:r>
    </w:p>
    <w:p>
      <w:pPr>
        <w:spacing w:line="360" w:lineRule="auto"/>
        <w:ind w:firstLine="316" w:firstLineChars="150"/>
        <w:rPr>
          <w:b/>
          <w:bCs/>
          <w:sz w:val="21"/>
          <w:szCs w:val="21"/>
          <w:highlight w:val="none"/>
        </w:rPr>
      </w:pPr>
      <w:r>
        <w:rPr>
          <w:b/>
          <w:bCs/>
          <w:sz w:val="21"/>
          <w:szCs w:val="21"/>
          <w:highlight w:val="none"/>
        </w:rPr>
        <w:t>（3）不平衡报价：投标完成后，发包人将对承包人投标单价与拦标价对应项目进行核对，对投标单价与拦标价相差超过±15%的，将对投标单价进行修正。</w:t>
      </w:r>
    </w:p>
    <w:p>
      <w:pPr>
        <w:spacing w:line="360" w:lineRule="auto"/>
        <w:ind w:firstLine="422" w:firstLineChars="200"/>
        <w:rPr>
          <w:b/>
          <w:bCs/>
          <w:sz w:val="21"/>
          <w:szCs w:val="21"/>
          <w:highlight w:val="none"/>
        </w:rPr>
      </w:pPr>
      <w:r>
        <w:rPr>
          <w:b/>
          <w:bCs/>
          <w:sz w:val="21"/>
          <w:szCs w:val="21"/>
          <w:highlight w:val="none"/>
        </w:rPr>
        <w:t>修正办法：将拦标价中综合单价按照中标价同比例下浮后做为对应项目综合单价，差价部分费用在措施费中调整，合同总价不变。</w:t>
      </w:r>
    </w:p>
    <w:p>
      <w:pPr>
        <w:widowControl/>
        <w:spacing w:line="360" w:lineRule="auto"/>
        <w:ind w:firstLine="420" w:firstLineChars="200"/>
        <w:rPr>
          <w:kern w:val="0"/>
          <w:sz w:val="21"/>
          <w:szCs w:val="21"/>
          <w:highlight w:val="none"/>
        </w:rPr>
      </w:pPr>
      <w:r>
        <w:rPr>
          <w:kern w:val="0"/>
          <w:sz w:val="21"/>
          <w:szCs w:val="21"/>
          <w:highlight w:val="none"/>
        </w:rPr>
        <w:t>27、合同价款调整</w:t>
      </w:r>
    </w:p>
    <w:p>
      <w:pPr>
        <w:widowControl/>
        <w:spacing w:line="360" w:lineRule="auto"/>
        <w:ind w:firstLine="420" w:firstLineChars="200"/>
        <w:rPr>
          <w:kern w:val="0"/>
          <w:sz w:val="21"/>
          <w:szCs w:val="21"/>
          <w:highlight w:val="none"/>
        </w:rPr>
      </w:pPr>
      <w:r>
        <w:rPr>
          <w:kern w:val="0"/>
          <w:sz w:val="21"/>
          <w:szCs w:val="21"/>
          <w:highlight w:val="none"/>
        </w:rPr>
        <w:t>27.1双方约定合同价款的其他调整因素：</w:t>
      </w:r>
    </w:p>
    <w:p>
      <w:pPr>
        <w:autoSpaceDE w:val="0"/>
        <w:autoSpaceDN w:val="0"/>
        <w:spacing w:line="440" w:lineRule="exact"/>
        <w:ind w:firstLine="420" w:firstLineChars="200"/>
        <w:rPr>
          <w:kern w:val="0"/>
          <w:sz w:val="21"/>
          <w:szCs w:val="21"/>
          <w:highlight w:val="none"/>
          <w:u w:val="single"/>
        </w:rPr>
      </w:pPr>
      <w:r>
        <w:rPr>
          <w:kern w:val="0"/>
          <w:sz w:val="21"/>
          <w:szCs w:val="21"/>
          <w:highlight w:val="none"/>
          <w:u w:val="single"/>
        </w:rPr>
        <w:t>（1）除设计变更、现场签证情况外，分部分项工程量清单按国家有关规定调整。依据设计变更、现场签证、洽商文件、发包人认质认价单及承包人投标承诺执行本合同第35条。</w:t>
      </w:r>
    </w:p>
    <w:p>
      <w:pPr>
        <w:autoSpaceDE w:val="0"/>
        <w:autoSpaceDN w:val="0"/>
        <w:spacing w:line="440" w:lineRule="exact"/>
        <w:ind w:firstLine="420" w:firstLineChars="200"/>
        <w:rPr>
          <w:sz w:val="21"/>
          <w:szCs w:val="21"/>
          <w:highlight w:val="none"/>
          <w:u w:val="single"/>
        </w:rPr>
      </w:pPr>
      <w:r>
        <w:rPr>
          <w:kern w:val="0"/>
          <w:sz w:val="21"/>
          <w:szCs w:val="21"/>
          <w:highlight w:val="none"/>
          <w:u w:val="single"/>
        </w:rPr>
        <w:t>（2）</w:t>
      </w:r>
      <w:r>
        <w:rPr>
          <w:sz w:val="21"/>
          <w:szCs w:val="21"/>
          <w:highlight w:val="none"/>
          <w:u w:val="single"/>
        </w:rPr>
        <w:t xml:space="preserve">工程发生变更，若清单中已有适用于新工程量清单项目的价格，按已有价格结算；若清单中没有适用于新工程量清单项目的价格，按照承包人、监理和发包人共同确认的施工方案，依照招标文件、答疑纪要、设计变更、现场签证、洽商文件等执行陕西省建设工程现行计价文件，以招标上限控制价模式进行组价，然后按照承包人中标价同招标上限控制价下浮比例进行调整后作为新工程量清单项目确定的结算单价。 </w:t>
      </w:r>
    </w:p>
    <w:p>
      <w:pPr>
        <w:autoSpaceDE w:val="0"/>
        <w:autoSpaceDN w:val="0"/>
        <w:spacing w:line="440" w:lineRule="exact"/>
        <w:ind w:firstLine="420" w:firstLineChars="200"/>
        <w:rPr>
          <w:kern w:val="0"/>
          <w:sz w:val="21"/>
          <w:szCs w:val="21"/>
          <w:highlight w:val="none"/>
          <w:u w:val="single"/>
        </w:rPr>
      </w:pPr>
      <w:r>
        <w:rPr>
          <w:sz w:val="21"/>
          <w:szCs w:val="21"/>
          <w:highlight w:val="none"/>
          <w:u w:val="single"/>
        </w:rPr>
        <w:t>（3）</w:t>
      </w:r>
      <w:r>
        <w:rPr>
          <w:kern w:val="0"/>
          <w:sz w:val="21"/>
          <w:szCs w:val="21"/>
          <w:highlight w:val="none"/>
          <w:u w:val="single"/>
        </w:rPr>
        <w:t>清单工程量中零工量实际发生时，按签证量为准，但零工投标单价不变。清单量若与实际量不符时，经工程师会同双方核实签认后，以签认量进行增减并按本条款第27.1条原则办理结算。</w:t>
      </w:r>
    </w:p>
    <w:p>
      <w:pPr>
        <w:widowControl/>
        <w:spacing w:line="360" w:lineRule="auto"/>
        <w:ind w:firstLine="420" w:firstLineChars="200"/>
        <w:rPr>
          <w:kern w:val="0"/>
          <w:sz w:val="21"/>
          <w:szCs w:val="21"/>
          <w:highlight w:val="none"/>
          <w:u w:val="single"/>
        </w:rPr>
      </w:pPr>
      <w:r>
        <w:rPr>
          <w:kern w:val="0"/>
          <w:sz w:val="21"/>
          <w:szCs w:val="21"/>
          <w:highlight w:val="none"/>
          <w:u w:val="single"/>
        </w:rPr>
        <w:t>（4）</w:t>
      </w:r>
      <w:r>
        <w:rPr>
          <w:sz w:val="21"/>
          <w:szCs w:val="21"/>
          <w:highlight w:val="none"/>
          <w:u w:val="single"/>
        </w:rPr>
        <w:t>承包人中标的措施项目费为合同价款的组成部分，一般不作调整。由于</w:t>
      </w:r>
      <w:r>
        <w:rPr>
          <w:kern w:val="0"/>
          <w:sz w:val="21"/>
          <w:szCs w:val="21"/>
          <w:highlight w:val="none"/>
          <w:u w:val="single"/>
        </w:rPr>
        <w:t>工程量清单中的工程量误差及设计变更（或现场签证）引起工程量的增减部分，其分部分项工程费在合同价款0~20%之间原合同措施项目费不予调整，在此范围以外按照2009《陕西省建设工程工程量计价规则》调整此部分措施。</w:t>
      </w:r>
    </w:p>
    <w:p>
      <w:pPr>
        <w:widowControl/>
        <w:spacing w:line="360" w:lineRule="auto"/>
        <w:ind w:firstLine="420" w:firstLineChars="200"/>
        <w:rPr>
          <w:kern w:val="0"/>
          <w:sz w:val="21"/>
          <w:szCs w:val="21"/>
          <w:highlight w:val="none"/>
          <w:u w:val="single"/>
        </w:rPr>
      </w:pPr>
      <w:r>
        <w:rPr>
          <w:kern w:val="0"/>
          <w:sz w:val="21"/>
          <w:szCs w:val="21"/>
          <w:highlight w:val="none"/>
          <w:u w:val="single"/>
        </w:rPr>
        <w:t>（5）</w:t>
      </w:r>
      <w:r>
        <w:rPr>
          <w:sz w:val="21"/>
          <w:szCs w:val="21"/>
          <w:highlight w:val="none"/>
          <w:u w:val="single"/>
        </w:rPr>
        <w:t>因甲方设计变更应依照招标文件、答疑纪要、设计变更、现场签证、洽商文件、发包人认质认价单、及承包人中标下浮比例进行调整。合同价款（中标价）及因承包人漏报的项目不予调整。</w:t>
      </w:r>
    </w:p>
    <w:p>
      <w:pPr>
        <w:widowControl/>
        <w:spacing w:line="360" w:lineRule="auto"/>
        <w:ind w:firstLine="420" w:firstLineChars="200"/>
        <w:rPr>
          <w:kern w:val="0"/>
          <w:sz w:val="21"/>
          <w:szCs w:val="21"/>
          <w:highlight w:val="none"/>
        </w:rPr>
      </w:pPr>
      <w:r>
        <w:rPr>
          <w:kern w:val="0"/>
          <w:sz w:val="21"/>
          <w:szCs w:val="21"/>
          <w:highlight w:val="none"/>
        </w:rPr>
        <w:t>28、工程预付款</w:t>
      </w:r>
    </w:p>
    <w:p>
      <w:pPr>
        <w:widowControl/>
        <w:spacing w:line="360" w:lineRule="auto"/>
        <w:ind w:firstLine="420" w:firstLineChars="200"/>
        <w:rPr>
          <w:kern w:val="0"/>
          <w:sz w:val="21"/>
          <w:szCs w:val="21"/>
          <w:highlight w:val="none"/>
          <w:u w:val="single"/>
        </w:rPr>
      </w:pPr>
      <w:r>
        <w:rPr>
          <w:kern w:val="0"/>
          <w:sz w:val="21"/>
          <w:szCs w:val="21"/>
          <w:highlight w:val="none"/>
        </w:rPr>
        <w:t>发包人向承包人预付工程款的时间和金额或占合同价款总额的比例：</w:t>
      </w:r>
      <w:r>
        <w:rPr>
          <w:sz w:val="21"/>
          <w:szCs w:val="21"/>
          <w:highlight w:val="none"/>
          <w:u w:val="single"/>
        </w:rPr>
        <w:t>本工程无预付款。</w:t>
      </w:r>
    </w:p>
    <w:p>
      <w:pPr>
        <w:widowControl/>
        <w:spacing w:line="360" w:lineRule="auto"/>
        <w:ind w:firstLine="420" w:firstLineChars="200"/>
        <w:rPr>
          <w:kern w:val="0"/>
          <w:sz w:val="21"/>
          <w:szCs w:val="21"/>
          <w:highlight w:val="none"/>
        </w:rPr>
      </w:pPr>
      <w:r>
        <w:rPr>
          <w:kern w:val="0"/>
          <w:sz w:val="21"/>
          <w:szCs w:val="21"/>
          <w:highlight w:val="none"/>
        </w:rPr>
        <w:t>29.1承包人向工程师提交已完工程量报告的时间：__</w:t>
      </w:r>
      <w:r>
        <w:rPr>
          <w:kern w:val="0"/>
          <w:sz w:val="21"/>
          <w:szCs w:val="21"/>
          <w:highlight w:val="none"/>
          <w:u w:val="single"/>
        </w:rPr>
        <w:t>每月25日</w:t>
      </w:r>
    </w:p>
    <w:p>
      <w:pPr>
        <w:widowControl/>
        <w:spacing w:line="360" w:lineRule="auto"/>
        <w:ind w:firstLine="420" w:firstLineChars="200"/>
        <w:rPr>
          <w:kern w:val="0"/>
          <w:sz w:val="21"/>
          <w:szCs w:val="21"/>
          <w:highlight w:val="none"/>
        </w:rPr>
      </w:pPr>
      <w:r>
        <w:rPr>
          <w:kern w:val="0"/>
          <w:sz w:val="21"/>
          <w:szCs w:val="21"/>
          <w:highlight w:val="none"/>
        </w:rPr>
        <w:t>30、工程进度款结算与支付</w:t>
      </w:r>
    </w:p>
    <w:p>
      <w:pPr>
        <w:widowControl/>
        <w:spacing w:line="360" w:lineRule="auto"/>
        <w:ind w:firstLine="420" w:firstLineChars="200"/>
        <w:rPr>
          <w:color w:val="000000" w:themeColor="text1"/>
          <w:kern w:val="0"/>
          <w:sz w:val="21"/>
          <w:szCs w:val="21"/>
          <w:highlight w:val="none"/>
          <w:u w:val="single"/>
          <w14:textFill>
            <w14:solidFill>
              <w14:schemeClr w14:val="tx1"/>
            </w14:solidFill>
          </w14:textFill>
        </w:rPr>
      </w:pPr>
      <w:r>
        <w:rPr>
          <w:rFonts w:hint="eastAsia"/>
          <w:color w:val="000000" w:themeColor="text1"/>
          <w:sz w:val="21"/>
          <w:szCs w:val="21"/>
          <w:highlight w:val="none"/>
          <w:u w:val="single"/>
          <w14:textFill>
            <w14:solidFill>
              <w14:schemeClr w14:val="tx1"/>
            </w14:solidFill>
          </w14:textFill>
        </w:rPr>
        <w:t>工程付款采取进度付款的形式，项目施工完毕并经竣工验收合格后30天内，乙方持《竣工验收报告》原件在甲方处办理至百分之七十（70%）工程款的支付手续，待审计结束后支付剩余款项（扣除3%质保金，待合同签订质保期过后30日内无任何工程质量及纠纷办理支付手续）。</w:t>
      </w:r>
    </w:p>
    <w:p>
      <w:pPr>
        <w:widowControl/>
        <w:spacing w:line="360" w:lineRule="auto"/>
        <w:ind w:firstLine="422" w:firstLineChars="200"/>
        <w:rPr>
          <w:b/>
          <w:kern w:val="0"/>
          <w:sz w:val="21"/>
          <w:szCs w:val="21"/>
          <w:highlight w:val="none"/>
        </w:rPr>
      </w:pPr>
      <w:r>
        <w:rPr>
          <w:b/>
          <w:kern w:val="0"/>
          <w:sz w:val="21"/>
          <w:szCs w:val="21"/>
          <w:highlight w:val="none"/>
        </w:rPr>
        <w:t>七、材料设备供应</w:t>
      </w:r>
    </w:p>
    <w:p>
      <w:pPr>
        <w:widowControl/>
        <w:spacing w:line="360" w:lineRule="auto"/>
        <w:ind w:firstLine="420" w:firstLineChars="200"/>
        <w:rPr>
          <w:kern w:val="0"/>
          <w:sz w:val="21"/>
          <w:szCs w:val="21"/>
          <w:highlight w:val="none"/>
        </w:rPr>
      </w:pPr>
      <w:r>
        <w:rPr>
          <w:kern w:val="0"/>
          <w:sz w:val="21"/>
          <w:szCs w:val="21"/>
          <w:highlight w:val="none"/>
        </w:rPr>
        <w:t>31、发包人供应材料设备</w:t>
      </w:r>
    </w:p>
    <w:p>
      <w:pPr>
        <w:widowControl/>
        <w:spacing w:line="360" w:lineRule="auto"/>
        <w:ind w:firstLine="420" w:firstLineChars="200"/>
        <w:rPr>
          <w:kern w:val="0"/>
          <w:sz w:val="21"/>
          <w:szCs w:val="21"/>
          <w:highlight w:val="none"/>
        </w:rPr>
      </w:pPr>
      <w:r>
        <w:rPr>
          <w:kern w:val="0"/>
          <w:sz w:val="21"/>
          <w:szCs w:val="21"/>
          <w:highlight w:val="none"/>
        </w:rPr>
        <w:t>31.4发包人供应的材料设备与一览表不符时，双方约定发包人承担责任如下：</w:t>
      </w:r>
    </w:p>
    <w:p>
      <w:pPr>
        <w:widowControl/>
        <w:spacing w:line="360" w:lineRule="auto"/>
        <w:ind w:firstLine="420" w:firstLineChars="200"/>
        <w:rPr>
          <w:kern w:val="0"/>
          <w:sz w:val="21"/>
          <w:szCs w:val="21"/>
          <w:highlight w:val="none"/>
        </w:rPr>
      </w:pPr>
      <w:r>
        <w:rPr>
          <w:kern w:val="0"/>
          <w:sz w:val="21"/>
          <w:szCs w:val="21"/>
          <w:highlight w:val="none"/>
        </w:rPr>
        <w:t>（1）材料设备单价与一览表不符：</w:t>
      </w:r>
    </w:p>
    <w:p>
      <w:pPr>
        <w:widowControl/>
        <w:spacing w:line="360" w:lineRule="auto"/>
        <w:rPr>
          <w:kern w:val="0"/>
          <w:sz w:val="21"/>
          <w:szCs w:val="21"/>
          <w:highlight w:val="none"/>
        </w:rPr>
      </w:pPr>
      <w:r>
        <w:rPr>
          <w:kern w:val="0"/>
          <w:sz w:val="21"/>
          <w:szCs w:val="21"/>
          <w:highlight w:val="none"/>
        </w:rPr>
        <w:t>___</w:t>
      </w:r>
      <w:r>
        <w:rPr>
          <w:sz w:val="21"/>
          <w:szCs w:val="21"/>
          <w:highlight w:val="none"/>
          <w:u w:val="single"/>
        </w:rPr>
        <w:t>执行《通用条款》31.4.（1）款。</w:t>
      </w:r>
      <w:r>
        <w:rPr>
          <w:kern w:val="0"/>
          <w:sz w:val="21"/>
          <w:szCs w:val="21"/>
          <w:highlight w:val="none"/>
        </w:rPr>
        <w:t>____</w:t>
      </w:r>
    </w:p>
    <w:p>
      <w:pPr>
        <w:widowControl/>
        <w:spacing w:line="360" w:lineRule="auto"/>
        <w:ind w:firstLine="420" w:firstLineChars="200"/>
        <w:rPr>
          <w:kern w:val="0"/>
          <w:sz w:val="21"/>
          <w:szCs w:val="21"/>
          <w:highlight w:val="none"/>
        </w:rPr>
      </w:pPr>
      <w:r>
        <w:rPr>
          <w:kern w:val="0"/>
          <w:sz w:val="21"/>
          <w:szCs w:val="21"/>
          <w:highlight w:val="none"/>
        </w:rPr>
        <w:t>（2）材料设备的品种、规格、型号、质量等级与一览表不符：</w:t>
      </w:r>
    </w:p>
    <w:p>
      <w:pPr>
        <w:widowControl/>
        <w:spacing w:line="360" w:lineRule="auto"/>
        <w:rPr>
          <w:kern w:val="0"/>
          <w:sz w:val="21"/>
          <w:szCs w:val="21"/>
          <w:highlight w:val="none"/>
        </w:rPr>
      </w:pPr>
      <w:r>
        <w:rPr>
          <w:kern w:val="0"/>
          <w:sz w:val="21"/>
          <w:szCs w:val="21"/>
          <w:highlight w:val="none"/>
        </w:rPr>
        <w:t>___</w:t>
      </w:r>
      <w:r>
        <w:rPr>
          <w:sz w:val="21"/>
          <w:szCs w:val="21"/>
          <w:highlight w:val="none"/>
          <w:u w:val="single"/>
        </w:rPr>
        <w:t>执行《通用条款》31.4（2）款。</w:t>
      </w:r>
      <w:r>
        <w:rPr>
          <w:kern w:val="0"/>
          <w:sz w:val="21"/>
          <w:szCs w:val="21"/>
          <w:highlight w:val="none"/>
        </w:rPr>
        <w:t>___</w:t>
      </w:r>
    </w:p>
    <w:p>
      <w:pPr>
        <w:widowControl/>
        <w:spacing w:line="360" w:lineRule="auto"/>
        <w:ind w:firstLine="420" w:firstLineChars="200"/>
        <w:rPr>
          <w:kern w:val="0"/>
          <w:sz w:val="21"/>
          <w:szCs w:val="21"/>
          <w:highlight w:val="none"/>
        </w:rPr>
      </w:pPr>
      <w:r>
        <w:rPr>
          <w:kern w:val="0"/>
          <w:sz w:val="21"/>
          <w:szCs w:val="21"/>
          <w:highlight w:val="none"/>
        </w:rPr>
        <w:t>（3）承包人可代为调剂串换的材料：</w:t>
      </w:r>
    </w:p>
    <w:p>
      <w:pPr>
        <w:widowControl/>
        <w:spacing w:line="360" w:lineRule="auto"/>
        <w:rPr>
          <w:kern w:val="0"/>
          <w:sz w:val="21"/>
          <w:szCs w:val="21"/>
          <w:highlight w:val="none"/>
        </w:rPr>
      </w:pPr>
      <w:r>
        <w:rPr>
          <w:kern w:val="0"/>
          <w:sz w:val="21"/>
          <w:szCs w:val="21"/>
          <w:highlight w:val="none"/>
        </w:rPr>
        <w:t>___</w:t>
      </w:r>
      <w:r>
        <w:rPr>
          <w:sz w:val="21"/>
          <w:szCs w:val="21"/>
          <w:highlight w:val="none"/>
          <w:u w:val="single"/>
        </w:rPr>
        <w:t>执行《通用条款》31.4（3）款。</w:t>
      </w:r>
      <w:r>
        <w:rPr>
          <w:kern w:val="0"/>
          <w:sz w:val="21"/>
          <w:szCs w:val="21"/>
          <w:highlight w:val="none"/>
        </w:rPr>
        <w:t>____</w:t>
      </w:r>
    </w:p>
    <w:p>
      <w:pPr>
        <w:widowControl/>
        <w:spacing w:line="360" w:lineRule="auto"/>
        <w:ind w:firstLine="420" w:firstLineChars="200"/>
        <w:rPr>
          <w:kern w:val="0"/>
          <w:sz w:val="21"/>
          <w:szCs w:val="21"/>
          <w:highlight w:val="none"/>
        </w:rPr>
      </w:pPr>
      <w:r>
        <w:rPr>
          <w:kern w:val="0"/>
          <w:sz w:val="21"/>
          <w:szCs w:val="21"/>
          <w:highlight w:val="none"/>
        </w:rPr>
        <w:t>（4）到货地点与一览表不符：</w:t>
      </w:r>
    </w:p>
    <w:p>
      <w:pPr>
        <w:widowControl/>
        <w:spacing w:line="360" w:lineRule="auto"/>
        <w:rPr>
          <w:kern w:val="0"/>
          <w:sz w:val="21"/>
          <w:szCs w:val="21"/>
          <w:highlight w:val="none"/>
        </w:rPr>
      </w:pPr>
      <w:r>
        <w:rPr>
          <w:kern w:val="0"/>
          <w:sz w:val="21"/>
          <w:szCs w:val="21"/>
          <w:highlight w:val="none"/>
        </w:rPr>
        <w:t>___</w:t>
      </w:r>
      <w:r>
        <w:rPr>
          <w:sz w:val="21"/>
          <w:szCs w:val="21"/>
          <w:highlight w:val="none"/>
          <w:u w:val="single"/>
        </w:rPr>
        <w:t>执行《通用条款》31.4（4）款。</w:t>
      </w:r>
      <w:r>
        <w:rPr>
          <w:kern w:val="0"/>
          <w:sz w:val="21"/>
          <w:szCs w:val="21"/>
          <w:highlight w:val="none"/>
        </w:rPr>
        <w:t>____</w:t>
      </w:r>
    </w:p>
    <w:p>
      <w:pPr>
        <w:widowControl/>
        <w:spacing w:line="360" w:lineRule="auto"/>
        <w:ind w:firstLine="420" w:firstLineChars="200"/>
        <w:rPr>
          <w:kern w:val="0"/>
          <w:sz w:val="21"/>
          <w:szCs w:val="21"/>
          <w:highlight w:val="none"/>
        </w:rPr>
      </w:pPr>
      <w:r>
        <w:rPr>
          <w:kern w:val="0"/>
          <w:sz w:val="21"/>
          <w:szCs w:val="21"/>
          <w:highlight w:val="none"/>
        </w:rPr>
        <w:t>（5）供应数量与一览表不符：</w:t>
      </w:r>
    </w:p>
    <w:p>
      <w:pPr>
        <w:widowControl/>
        <w:spacing w:line="360" w:lineRule="auto"/>
        <w:rPr>
          <w:kern w:val="0"/>
          <w:sz w:val="21"/>
          <w:szCs w:val="21"/>
          <w:highlight w:val="none"/>
        </w:rPr>
      </w:pPr>
      <w:r>
        <w:rPr>
          <w:kern w:val="0"/>
          <w:sz w:val="21"/>
          <w:szCs w:val="21"/>
          <w:highlight w:val="none"/>
        </w:rPr>
        <w:t>___</w:t>
      </w:r>
      <w:r>
        <w:rPr>
          <w:sz w:val="21"/>
          <w:szCs w:val="21"/>
          <w:highlight w:val="none"/>
          <w:u w:val="single"/>
        </w:rPr>
        <w:t>执行《通用条款》31.4（5）款。</w:t>
      </w:r>
      <w:r>
        <w:rPr>
          <w:kern w:val="0"/>
          <w:sz w:val="21"/>
          <w:szCs w:val="21"/>
          <w:highlight w:val="none"/>
        </w:rPr>
        <w:t>_____</w:t>
      </w:r>
    </w:p>
    <w:p>
      <w:pPr>
        <w:widowControl/>
        <w:spacing w:line="360" w:lineRule="auto"/>
        <w:ind w:firstLine="420" w:firstLineChars="200"/>
        <w:rPr>
          <w:kern w:val="0"/>
          <w:sz w:val="21"/>
          <w:szCs w:val="21"/>
          <w:highlight w:val="none"/>
        </w:rPr>
      </w:pPr>
      <w:r>
        <w:rPr>
          <w:kern w:val="0"/>
          <w:sz w:val="21"/>
          <w:szCs w:val="21"/>
          <w:highlight w:val="none"/>
        </w:rPr>
        <w:t>（6）到货时间与一览表不符：</w:t>
      </w:r>
    </w:p>
    <w:p>
      <w:pPr>
        <w:widowControl/>
        <w:spacing w:line="360" w:lineRule="auto"/>
        <w:rPr>
          <w:kern w:val="0"/>
          <w:sz w:val="21"/>
          <w:szCs w:val="21"/>
          <w:highlight w:val="none"/>
        </w:rPr>
      </w:pPr>
      <w:r>
        <w:rPr>
          <w:kern w:val="0"/>
          <w:sz w:val="21"/>
          <w:szCs w:val="21"/>
          <w:highlight w:val="none"/>
        </w:rPr>
        <w:t>___</w:t>
      </w:r>
      <w:r>
        <w:rPr>
          <w:sz w:val="21"/>
          <w:szCs w:val="21"/>
          <w:highlight w:val="none"/>
          <w:u w:val="single"/>
        </w:rPr>
        <w:t>执行《通用条款》31.4（6）款。</w:t>
      </w:r>
      <w:r>
        <w:rPr>
          <w:kern w:val="0"/>
          <w:sz w:val="21"/>
          <w:szCs w:val="21"/>
          <w:highlight w:val="none"/>
        </w:rPr>
        <w:t>___</w:t>
      </w:r>
    </w:p>
    <w:p>
      <w:pPr>
        <w:widowControl/>
        <w:spacing w:line="360" w:lineRule="auto"/>
        <w:ind w:firstLine="420" w:firstLineChars="200"/>
        <w:rPr>
          <w:kern w:val="0"/>
          <w:sz w:val="21"/>
          <w:szCs w:val="21"/>
          <w:highlight w:val="none"/>
        </w:rPr>
      </w:pPr>
      <w:r>
        <w:rPr>
          <w:kern w:val="0"/>
          <w:sz w:val="21"/>
          <w:szCs w:val="21"/>
          <w:highlight w:val="none"/>
        </w:rPr>
        <w:t>31.6发包人供应材料设备的结算方法：</w:t>
      </w:r>
    </w:p>
    <w:p>
      <w:pPr>
        <w:widowControl/>
        <w:spacing w:line="360" w:lineRule="auto"/>
        <w:rPr>
          <w:kern w:val="0"/>
          <w:sz w:val="21"/>
          <w:szCs w:val="21"/>
          <w:highlight w:val="none"/>
        </w:rPr>
      </w:pPr>
      <w:r>
        <w:rPr>
          <w:kern w:val="0"/>
          <w:sz w:val="21"/>
          <w:szCs w:val="21"/>
          <w:highlight w:val="none"/>
        </w:rPr>
        <w:t>___</w:t>
      </w:r>
      <w:r>
        <w:rPr>
          <w:sz w:val="21"/>
          <w:szCs w:val="21"/>
          <w:highlight w:val="none"/>
          <w:u w:val="single"/>
        </w:rPr>
        <w:t>发包人按甲供材料表供应材料设备，并对所供材料设备的质量负责，按指定价从发包人的合同价中扣除。</w:t>
      </w:r>
    </w:p>
    <w:p>
      <w:pPr>
        <w:widowControl/>
        <w:spacing w:line="360" w:lineRule="auto"/>
        <w:ind w:firstLine="420" w:firstLineChars="200"/>
        <w:rPr>
          <w:kern w:val="0"/>
          <w:sz w:val="21"/>
          <w:szCs w:val="21"/>
          <w:highlight w:val="none"/>
        </w:rPr>
      </w:pPr>
      <w:r>
        <w:rPr>
          <w:kern w:val="0"/>
          <w:sz w:val="21"/>
          <w:szCs w:val="21"/>
          <w:highlight w:val="none"/>
        </w:rPr>
        <w:t>32、承包人采购材料设备</w:t>
      </w:r>
    </w:p>
    <w:p>
      <w:pPr>
        <w:spacing w:line="360" w:lineRule="auto"/>
        <w:ind w:firstLine="420" w:firstLineChars="200"/>
        <w:rPr>
          <w:spacing w:val="-6"/>
          <w:sz w:val="21"/>
          <w:szCs w:val="21"/>
          <w:highlight w:val="none"/>
          <w:u w:val="single"/>
        </w:rPr>
      </w:pPr>
      <w:r>
        <w:rPr>
          <w:kern w:val="0"/>
          <w:sz w:val="21"/>
          <w:szCs w:val="21"/>
          <w:highlight w:val="none"/>
        </w:rPr>
        <w:t>32.1承包人采购材料设备的约定：</w:t>
      </w:r>
      <w:r>
        <w:rPr>
          <w:spacing w:val="-6"/>
          <w:sz w:val="21"/>
          <w:szCs w:val="21"/>
          <w:highlight w:val="none"/>
          <w:u w:val="single"/>
        </w:rPr>
        <w:t>⑴发包人暂定价材料由承包人根据施工进度并充分考虑材料设备采购时间，提前60天向发包人提交材料设备供应计划，并写清材料、设备进场时间。若因此造成承包人停工待料等问题，概由承包人负责。（承包方提前60天申报所需要确定的材料设备计划，发包人提前一周认质认价或督促设备到位）。</w:t>
      </w:r>
    </w:p>
    <w:p>
      <w:pPr>
        <w:spacing w:line="360" w:lineRule="auto"/>
        <w:ind w:firstLine="411" w:firstLineChars="208"/>
        <w:rPr>
          <w:spacing w:val="-6"/>
          <w:sz w:val="21"/>
          <w:szCs w:val="21"/>
          <w:highlight w:val="none"/>
          <w:u w:val="single"/>
        </w:rPr>
      </w:pPr>
      <w:r>
        <w:rPr>
          <w:spacing w:val="-6"/>
          <w:sz w:val="21"/>
          <w:szCs w:val="21"/>
          <w:highlight w:val="none"/>
          <w:u w:val="single"/>
        </w:rPr>
        <w:t>⑵认质认价材料、设备结算方法：</w:t>
      </w:r>
      <w:r>
        <w:rPr>
          <w:b/>
          <w:spacing w:val="-6"/>
          <w:sz w:val="21"/>
          <w:szCs w:val="21"/>
          <w:highlight w:val="none"/>
          <w:u w:val="single"/>
        </w:rPr>
        <w:t>发包人招标时暂定价的主要材料设备仅为材料设备本身价格，承包人在投标报价组价时自行考虑其损耗、加工、制作、运输、安装、二次搬迁、收口收边、成活、税金、利润等其它因素所产生的费用，暂定价材料设备须经发包人认质认价确定后进货和使用。</w:t>
      </w:r>
      <w:r>
        <w:rPr>
          <w:spacing w:val="-6"/>
          <w:sz w:val="21"/>
          <w:szCs w:val="21"/>
          <w:highlight w:val="none"/>
          <w:u w:val="single"/>
        </w:rPr>
        <w:t xml:space="preserve">材料设备的认质认价若与暂定价不一致时按材料差价计入结算总价，不再计取或调整投标报价中的其他费用，（差价只计税金，其余费用不计）。 </w:t>
      </w:r>
    </w:p>
    <w:p>
      <w:pPr>
        <w:spacing w:line="360" w:lineRule="auto"/>
        <w:ind w:firstLine="411" w:firstLineChars="208"/>
        <w:rPr>
          <w:spacing w:val="-6"/>
          <w:sz w:val="21"/>
          <w:szCs w:val="21"/>
          <w:highlight w:val="none"/>
          <w:u w:val="single"/>
        </w:rPr>
      </w:pPr>
      <w:r>
        <w:rPr>
          <w:spacing w:val="-6"/>
          <w:sz w:val="21"/>
          <w:szCs w:val="21"/>
          <w:highlight w:val="none"/>
          <w:u w:val="single"/>
        </w:rPr>
        <w:t>⑶承包人采购的材料、设备均应满足设计和规范及发包人要求品牌和质量等级，并须向发包人和监理提供产品合格证和检验资料，待发包人、监理同意后采购进场，否则按不合格品处理，并拒绝支付该项费用。材料设备进场后立即向监理和发包人报验，否则发包人有权要求承包人无条件退货。因材料质量引起工程质量问题由承包人承担所造成的一切损失。如发包人或监理对该部分材料的质量有异议，有权提出停止使用或再次取样复试的要求，若若异议属实，由此发生的一切费用由承包人承担。国家规定的常规材料检验、随机抽检、见证取样检验、监理抽检和强制检验材料的检验费由承包人负责。</w:t>
      </w:r>
    </w:p>
    <w:p>
      <w:pPr>
        <w:spacing w:line="360" w:lineRule="auto"/>
        <w:ind w:firstLine="411" w:firstLineChars="208"/>
        <w:rPr>
          <w:kern w:val="0"/>
          <w:sz w:val="21"/>
          <w:szCs w:val="21"/>
          <w:highlight w:val="none"/>
        </w:rPr>
      </w:pPr>
      <w:r>
        <w:rPr>
          <w:spacing w:val="-6"/>
          <w:sz w:val="21"/>
          <w:szCs w:val="21"/>
          <w:highlight w:val="none"/>
          <w:u w:val="single"/>
        </w:rPr>
        <w:t>⑷</w:t>
      </w:r>
      <w:r>
        <w:rPr>
          <w:b/>
          <w:spacing w:val="-6"/>
          <w:sz w:val="21"/>
          <w:szCs w:val="21"/>
          <w:highlight w:val="none"/>
          <w:u w:val="single"/>
        </w:rPr>
        <w:t>本工程所用材料品牌均为中档次以上产品。</w:t>
      </w:r>
      <w:r>
        <w:rPr>
          <w:spacing w:val="-6"/>
          <w:sz w:val="21"/>
          <w:szCs w:val="21"/>
          <w:highlight w:val="none"/>
          <w:u w:val="single"/>
        </w:rPr>
        <w:t xml:space="preserve">除暂定价材料设备外，所有用于本工程的材料、设备或发包人有特别要求的材料、设备，承包人须事先向发包人及监理提供不少于三家的同档次产品资料及样品，同样发包人也可以提供资料及样品。经发包人考察筛选确定后再采购，使用或安装之前仍需履行必要的检验、检测程序。 </w:t>
      </w:r>
    </w:p>
    <w:p>
      <w:pPr>
        <w:widowControl/>
        <w:spacing w:line="360" w:lineRule="auto"/>
        <w:ind w:firstLine="480"/>
        <w:rPr>
          <w:b/>
          <w:kern w:val="0"/>
          <w:sz w:val="21"/>
          <w:szCs w:val="21"/>
          <w:highlight w:val="none"/>
        </w:rPr>
      </w:pPr>
      <w:r>
        <w:rPr>
          <w:b/>
          <w:kern w:val="0"/>
          <w:sz w:val="21"/>
          <w:szCs w:val="21"/>
          <w:highlight w:val="none"/>
        </w:rPr>
        <w:t>八、工程变更</w:t>
      </w:r>
    </w:p>
    <w:p>
      <w:pPr>
        <w:spacing w:line="360" w:lineRule="auto"/>
        <w:ind w:firstLine="436" w:firstLineChars="208"/>
        <w:rPr>
          <w:sz w:val="21"/>
          <w:szCs w:val="21"/>
          <w:highlight w:val="none"/>
          <w:u w:val="single"/>
        </w:rPr>
      </w:pPr>
      <w:r>
        <w:rPr>
          <w:sz w:val="21"/>
          <w:szCs w:val="21"/>
          <w:highlight w:val="none"/>
          <w:u w:val="single"/>
        </w:rPr>
        <w:t>33.1图纸变更项目发生时，工程量以实际签证量为准。变更合同价款按下列方法进行：合同中已有适用于变更工程的价格，按相应项目合同已确认的综合单价办理结算；合同中只有类似于变更工程的价格，只调整相应的主材费，主材单价按投标文件主材价格计算，若投标文件中无主材单价时，由发承包双方共同认质认价，主材差价只计取税金，其余费用不计；合同中没有适用或类似于工程变更的价格，按照承包人、监理和发包人共同确认的施工方案，依照招标文件、答疑纪要、设计变更、现场签证、洽商文件等执行陕西省建设工程现行计价文件，以招标上限控制价模式进行组价，然后按照承包人中标价同招标上限控制价下浮比例进行调整后作为新工程量清单项目确定的结算单价。承包人中标的措施项目费为合同价款的组成部分，一般不作调整。由于</w:t>
      </w:r>
      <w:r>
        <w:rPr>
          <w:kern w:val="0"/>
          <w:sz w:val="21"/>
          <w:szCs w:val="21"/>
          <w:highlight w:val="none"/>
          <w:u w:val="single"/>
        </w:rPr>
        <w:t>工程量清单中的工程量误差及设计变更（或现场签证）引起工程量的增减部分，其分部分项工程费在合同价款0~20%之间原合同措施项目费不予调整，在此范围以外按照2009《陕西省建设工程工程量计价规则》调整此部分措施。</w:t>
      </w:r>
    </w:p>
    <w:p>
      <w:pPr>
        <w:spacing w:line="360" w:lineRule="auto"/>
        <w:ind w:firstLine="436" w:firstLineChars="208"/>
        <w:rPr>
          <w:sz w:val="21"/>
          <w:szCs w:val="21"/>
          <w:highlight w:val="none"/>
          <w:u w:val="single"/>
        </w:rPr>
      </w:pPr>
      <w:r>
        <w:rPr>
          <w:sz w:val="21"/>
          <w:szCs w:val="21"/>
          <w:highlight w:val="none"/>
          <w:u w:val="single"/>
        </w:rPr>
        <w:t>设计变更和现场签证的工程量在进度款中暂不予计算和支付，统一在竣工结算时计算并进入总造价。其余情况执行《通用条款》第八条有关条款。</w:t>
      </w:r>
    </w:p>
    <w:p>
      <w:pPr>
        <w:spacing w:line="360" w:lineRule="auto"/>
        <w:rPr>
          <w:sz w:val="21"/>
          <w:szCs w:val="21"/>
          <w:highlight w:val="none"/>
          <w:u w:val="single"/>
        </w:rPr>
      </w:pPr>
      <w:r>
        <w:rPr>
          <w:rFonts w:hint="eastAsia"/>
          <w:sz w:val="21"/>
          <w:szCs w:val="21"/>
          <w:highlight w:val="none"/>
        </w:rPr>
        <w:t>　　</w:t>
      </w:r>
      <w:r>
        <w:rPr>
          <w:sz w:val="21"/>
          <w:szCs w:val="21"/>
          <w:highlight w:val="none"/>
          <w:u w:val="single"/>
        </w:rPr>
        <w:t>33.2承包人在施工中对设计原因造成的变更，应在未施工该分项工程前10天报告发包人代表人和监理工程师，办理设计变更，否则因此造成的一切损失均由承包人承担，延误工期不予顺延。</w:t>
      </w:r>
    </w:p>
    <w:p>
      <w:pPr>
        <w:spacing w:line="360" w:lineRule="auto"/>
        <w:ind w:firstLine="436" w:firstLineChars="208"/>
        <w:rPr>
          <w:sz w:val="21"/>
          <w:szCs w:val="21"/>
          <w:highlight w:val="none"/>
          <w:u w:val="single"/>
        </w:rPr>
      </w:pPr>
      <w:r>
        <w:rPr>
          <w:sz w:val="21"/>
          <w:szCs w:val="21"/>
          <w:highlight w:val="none"/>
          <w:u w:val="single"/>
        </w:rPr>
        <w:t>33.3施工图以外未列项目的零星工程发生时，工程量以实际签证为准，</w:t>
      </w:r>
      <w:r>
        <w:rPr>
          <w:rFonts w:hint="eastAsia"/>
          <w:sz w:val="21"/>
          <w:szCs w:val="21"/>
          <w:highlight w:val="none"/>
          <w:u w:val="single"/>
        </w:rPr>
        <w:t>若所用材料为少量，且未认质认价，材料价及零工费用以签证中各方明确的单价为准。</w:t>
      </w:r>
      <w:r>
        <w:rPr>
          <w:sz w:val="21"/>
          <w:szCs w:val="21"/>
          <w:highlight w:val="none"/>
          <w:u w:val="single"/>
        </w:rPr>
        <w:t>签证应于零星工程发生14日内完成，否则视为无效签证。</w:t>
      </w:r>
    </w:p>
    <w:p>
      <w:pPr>
        <w:spacing w:line="360" w:lineRule="auto"/>
        <w:ind w:firstLine="436" w:firstLineChars="208"/>
        <w:rPr>
          <w:sz w:val="21"/>
          <w:szCs w:val="21"/>
          <w:highlight w:val="none"/>
          <w:u w:val="single"/>
        </w:rPr>
      </w:pPr>
      <w:r>
        <w:rPr>
          <w:sz w:val="21"/>
          <w:szCs w:val="21"/>
          <w:highlight w:val="none"/>
          <w:u w:val="single"/>
        </w:rPr>
        <w:t>33.</w:t>
      </w:r>
      <w:r>
        <w:rPr>
          <w:rFonts w:hint="eastAsia"/>
          <w:sz w:val="21"/>
          <w:szCs w:val="21"/>
          <w:highlight w:val="none"/>
          <w:u w:val="single"/>
        </w:rPr>
        <w:t>4</w:t>
      </w:r>
      <w:r>
        <w:rPr>
          <w:sz w:val="21"/>
          <w:szCs w:val="21"/>
          <w:highlight w:val="none"/>
          <w:u w:val="single"/>
        </w:rPr>
        <w:t>承包人不得对原工程设计进行变更。因承包人擅自变更设计发生的费用和由此导致发包人蒙受的损失由承包人承担，延误的工期不予顺延。因承包人自身原因导致的工程变更，承包人无权要求追加合同价款。</w:t>
      </w:r>
    </w:p>
    <w:p>
      <w:pPr>
        <w:spacing w:line="360" w:lineRule="auto"/>
        <w:ind w:firstLine="436" w:firstLineChars="208"/>
        <w:rPr>
          <w:bCs/>
          <w:sz w:val="21"/>
          <w:szCs w:val="21"/>
          <w:highlight w:val="none"/>
          <w:u w:val="single"/>
        </w:rPr>
      </w:pPr>
      <w:r>
        <w:rPr>
          <w:sz w:val="21"/>
          <w:szCs w:val="21"/>
          <w:highlight w:val="none"/>
          <w:u w:val="single"/>
        </w:rPr>
        <w:t>33.</w:t>
      </w:r>
      <w:r>
        <w:rPr>
          <w:rFonts w:hint="eastAsia"/>
          <w:sz w:val="21"/>
          <w:szCs w:val="21"/>
          <w:highlight w:val="none"/>
          <w:u w:val="single"/>
        </w:rPr>
        <w:t>5变</w:t>
      </w:r>
      <w:r>
        <w:rPr>
          <w:sz w:val="21"/>
          <w:szCs w:val="21"/>
          <w:highlight w:val="none"/>
          <w:u w:val="single"/>
        </w:rPr>
        <w:t>更签证的确认程序：根据监理单位及发包人确认的变更签证，由三方现场实际核</w:t>
      </w:r>
      <w:r>
        <w:rPr>
          <w:bCs/>
          <w:sz w:val="21"/>
          <w:szCs w:val="21"/>
          <w:highlight w:val="none"/>
          <w:u w:val="single"/>
        </w:rPr>
        <w:t>对实际完成的工作内容并进行签认。变更签证必须有发包人现场负责人、总监和承包人项目经理的签字并加盖公章后方可生效。</w:t>
      </w:r>
    </w:p>
    <w:p>
      <w:pPr>
        <w:widowControl/>
        <w:spacing w:line="360" w:lineRule="auto"/>
        <w:ind w:firstLine="422" w:firstLineChars="200"/>
        <w:rPr>
          <w:b/>
          <w:kern w:val="0"/>
          <w:sz w:val="21"/>
          <w:szCs w:val="21"/>
          <w:highlight w:val="none"/>
        </w:rPr>
      </w:pPr>
      <w:r>
        <w:rPr>
          <w:b/>
          <w:kern w:val="0"/>
          <w:sz w:val="21"/>
          <w:szCs w:val="21"/>
          <w:highlight w:val="none"/>
        </w:rPr>
        <w:t>九、竣工验收与结算</w:t>
      </w:r>
    </w:p>
    <w:p>
      <w:pPr>
        <w:widowControl/>
        <w:spacing w:line="360" w:lineRule="auto"/>
        <w:ind w:firstLine="420" w:firstLineChars="200"/>
        <w:rPr>
          <w:kern w:val="0"/>
          <w:sz w:val="21"/>
          <w:szCs w:val="21"/>
          <w:highlight w:val="none"/>
        </w:rPr>
      </w:pPr>
      <w:r>
        <w:rPr>
          <w:kern w:val="0"/>
          <w:sz w:val="21"/>
          <w:szCs w:val="21"/>
          <w:highlight w:val="none"/>
        </w:rPr>
        <w:t>36、竣工验收</w:t>
      </w:r>
    </w:p>
    <w:p>
      <w:pPr>
        <w:widowControl/>
        <w:spacing w:line="360" w:lineRule="auto"/>
        <w:ind w:firstLine="420" w:firstLineChars="200"/>
        <w:rPr>
          <w:kern w:val="0"/>
          <w:sz w:val="21"/>
          <w:szCs w:val="21"/>
          <w:highlight w:val="none"/>
        </w:rPr>
      </w:pPr>
      <w:r>
        <w:rPr>
          <w:kern w:val="0"/>
          <w:sz w:val="21"/>
          <w:szCs w:val="21"/>
          <w:highlight w:val="none"/>
        </w:rPr>
        <w:t>36.1承包人提供竣工图的约定：</w:t>
      </w:r>
    </w:p>
    <w:p>
      <w:pPr>
        <w:widowControl/>
        <w:spacing w:line="360" w:lineRule="auto"/>
        <w:rPr>
          <w:kern w:val="0"/>
          <w:sz w:val="21"/>
          <w:szCs w:val="21"/>
          <w:highlight w:val="none"/>
        </w:rPr>
      </w:pPr>
      <w:r>
        <w:rPr>
          <w:kern w:val="0"/>
          <w:sz w:val="21"/>
          <w:szCs w:val="21"/>
          <w:highlight w:val="none"/>
          <w:u w:val="single"/>
        </w:rPr>
        <w:t>竣工验收后一个月内，交竣工图及资料文件肆套。</w:t>
      </w:r>
      <w:r>
        <w:rPr>
          <w:rFonts w:hint="eastAsia"/>
          <w:kern w:val="0"/>
          <w:sz w:val="21"/>
          <w:szCs w:val="21"/>
          <w:highlight w:val="none"/>
          <w:u w:val="single"/>
        </w:rPr>
        <w:t xml:space="preserve"> </w:t>
      </w:r>
    </w:p>
    <w:p>
      <w:pPr>
        <w:widowControl/>
        <w:spacing w:line="360" w:lineRule="auto"/>
        <w:ind w:firstLine="420" w:firstLineChars="200"/>
        <w:rPr>
          <w:kern w:val="0"/>
          <w:sz w:val="21"/>
          <w:szCs w:val="21"/>
          <w:highlight w:val="none"/>
        </w:rPr>
      </w:pPr>
      <w:r>
        <w:rPr>
          <w:kern w:val="0"/>
          <w:sz w:val="21"/>
          <w:szCs w:val="21"/>
          <w:highlight w:val="none"/>
        </w:rPr>
        <mc:AlternateContent>
          <mc:Choice Requires="wps">
            <w:drawing>
              <wp:anchor distT="0" distB="0" distL="114300" distR="114300" simplePos="0" relativeHeight="251663360" behindDoc="0" locked="0" layoutInCell="1" allowOverlap="1">
                <wp:simplePos x="0" y="0"/>
                <wp:positionH relativeFrom="column">
                  <wp:posOffset>2971800</wp:posOffset>
                </wp:positionH>
                <wp:positionV relativeFrom="paragraph">
                  <wp:posOffset>5080</wp:posOffset>
                </wp:positionV>
                <wp:extent cx="685800" cy="99060"/>
                <wp:effectExtent l="635" t="4445" r="18415" b="10795"/>
                <wp:wrapNone/>
                <wp:docPr id="7" name="直线 24"/>
                <wp:cNvGraphicFramePr/>
                <a:graphic xmlns:a="http://schemas.openxmlformats.org/drawingml/2006/main">
                  <a:graphicData uri="http://schemas.microsoft.com/office/word/2010/wordprocessingShape">
                    <wps:wsp>
                      <wps:cNvCnPr/>
                      <wps:spPr>
                        <a:xfrm flipV="1">
                          <a:off x="0" y="0"/>
                          <a:ext cx="685800" cy="990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4" o:spid="_x0000_s1026" o:spt="20" style="position:absolute;left:0pt;flip:y;margin-left:234pt;margin-top:0.4pt;height:7.8pt;width:54pt;z-index:251663360;mso-width-relative:page;mso-height-relative:page;" filled="f" stroked="t" coordsize="21600,21600" o:gfxdata="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08IhX1QAAAAcBAAAPAAAAAAAAAAEAIAAAACIAAABkcnMvZG93bnJldi54bWxQSwECFAAU&#10;AAAACACHTuJAcNgVvvQBAADpAwAADgAAAAAAAAABACAAAAAkAQAAZHJzL2Uyb0RvYy54bWxQSwUG&#10;AAAAAAYABgBZAQAAigUAAAAA&#10;">
                <v:fill on="f" focussize="0,0"/>
                <v:stroke color="#000000" joinstyle="round"/>
                <v:imagedata o:title=""/>
                <o:lock v:ext="edit" aspectratio="f"/>
              </v:line>
            </w:pict>
          </mc:Fallback>
        </mc:AlternateContent>
      </w:r>
      <w:r>
        <w:rPr>
          <w:kern w:val="0"/>
          <w:sz w:val="21"/>
          <w:szCs w:val="21"/>
          <w:highlight w:val="none"/>
        </w:rPr>
        <w:t>36.2中间交工工程的范围和竣工时间：____________</w:t>
      </w:r>
    </w:p>
    <w:p>
      <w:pPr>
        <w:widowControl/>
        <w:spacing w:line="360" w:lineRule="auto"/>
        <w:ind w:firstLine="420" w:firstLineChars="200"/>
        <w:rPr>
          <w:kern w:val="0"/>
          <w:sz w:val="21"/>
          <w:szCs w:val="21"/>
          <w:highlight w:val="none"/>
        </w:rPr>
      </w:pPr>
      <w:r>
        <w:rPr>
          <w:kern w:val="0"/>
          <w:sz w:val="21"/>
          <w:szCs w:val="21"/>
          <w:highlight w:val="none"/>
        </w:rPr>
        <w:t>37、竣工结算</w:t>
      </w:r>
    </w:p>
    <w:p>
      <w:pPr>
        <w:widowControl/>
        <w:spacing w:line="360" w:lineRule="auto"/>
        <w:ind w:firstLine="420" w:firstLineChars="200"/>
        <w:rPr>
          <w:kern w:val="0"/>
          <w:sz w:val="21"/>
          <w:szCs w:val="21"/>
          <w:highlight w:val="none"/>
        </w:rPr>
      </w:pPr>
      <w:r>
        <w:rPr>
          <w:kern w:val="0"/>
          <w:sz w:val="21"/>
          <w:szCs w:val="21"/>
          <w:highlight w:val="none"/>
        </w:rPr>
        <w:t>结算审查期限：</w:t>
      </w:r>
      <w:r>
        <w:rPr>
          <w:kern w:val="0"/>
          <w:sz w:val="21"/>
          <w:szCs w:val="21"/>
          <w:highlight w:val="none"/>
          <w:u w:val="single"/>
        </w:rPr>
        <w:t xml:space="preserve">  </w:t>
      </w:r>
      <w:r>
        <w:rPr>
          <w:sz w:val="21"/>
          <w:szCs w:val="21"/>
          <w:highlight w:val="none"/>
          <w:u w:val="single"/>
        </w:rPr>
        <w:t>竣工结算经发包方委托审价机构审定后，待甲方资金到位后60日内一次付清除预留审定造价3%保修金外的全部工程尾款。</w:t>
      </w:r>
      <w:r>
        <w:rPr>
          <w:kern w:val="0"/>
          <w:sz w:val="21"/>
          <w:szCs w:val="21"/>
          <w:highlight w:val="none"/>
          <w:u w:val="single"/>
        </w:rPr>
        <w:t xml:space="preserve"> </w:t>
      </w:r>
    </w:p>
    <w:p>
      <w:pPr>
        <w:widowControl/>
        <w:spacing w:line="360" w:lineRule="auto"/>
        <w:ind w:firstLine="422" w:firstLineChars="200"/>
        <w:rPr>
          <w:b/>
          <w:kern w:val="0"/>
          <w:sz w:val="21"/>
          <w:szCs w:val="21"/>
          <w:highlight w:val="none"/>
        </w:rPr>
      </w:pPr>
      <w:r>
        <w:rPr>
          <w:b/>
          <w:kern w:val="0"/>
          <w:sz w:val="21"/>
          <w:szCs w:val="21"/>
          <w:highlight w:val="none"/>
        </w:rPr>
        <w:t>十、违约、索赔和争议</w:t>
      </w:r>
    </w:p>
    <w:p>
      <w:pPr>
        <w:widowControl/>
        <w:spacing w:line="360" w:lineRule="auto"/>
        <w:ind w:firstLine="420" w:firstLineChars="200"/>
        <w:rPr>
          <w:kern w:val="0"/>
          <w:sz w:val="21"/>
          <w:szCs w:val="21"/>
          <w:highlight w:val="none"/>
        </w:rPr>
      </w:pPr>
      <w:r>
        <w:rPr>
          <w:kern w:val="0"/>
          <w:sz w:val="21"/>
          <w:szCs w:val="21"/>
          <w:highlight w:val="none"/>
        </w:rPr>
        <w:t>39、违约</w:t>
      </w:r>
    </w:p>
    <w:p>
      <w:pPr>
        <w:widowControl/>
        <w:spacing w:line="360" w:lineRule="auto"/>
        <w:ind w:firstLine="420" w:firstLineChars="200"/>
        <w:rPr>
          <w:kern w:val="0"/>
          <w:sz w:val="21"/>
          <w:szCs w:val="21"/>
          <w:highlight w:val="none"/>
        </w:rPr>
      </w:pPr>
      <w:r>
        <w:rPr>
          <w:kern w:val="0"/>
          <w:sz w:val="21"/>
          <w:szCs w:val="21"/>
          <w:highlight w:val="none"/>
        </w:rPr>
        <w:t>39.1本合同中关于发包人违约的具体责任如下：</w:t>
      </w:r>
    </w:p>
    <w:p>
      <w:pPr>
        <w:widowControl/>
        <w:spacing w:line="360" w:lineRule="auto"/>
        <w:ind w:firstLine="420" w:firstLineChars="200"/>
        <w:rPr>
          <w:kern w:val="0"/>
          <w:sz w:val="21"/>
          <w:szCs w:val="21"/>
          <w:highlight w:val="none"/>
        </w:rPr>
      </w:pPr>
      <w:r>
        <w:rPr>
          <w:kern w:val="0"/>
          <w:sz w:val="21"/>
          <w:szCs w:val="21"/>
          <w:highlight w:val="none"/>
        </w:rPr>
        <w:t>本合同通用条款第28.1条约定发包人违约应承担的违约责任：_</w:t>
      </w:r>
      <w:r>
        <w:rPr>
          <w:sz w:val="21"/>
          <w:szCs w:val="21"/>
          <w:highlight w:val="none"/>
          <w:u w:val="single"/>
        </w:rPr>
        <w:t>参照《通用条款》第39条款。</w:t>
      </w:r>
    </w:p>
    <w:p>
      <w:pPr>
        <w:widowControl/>
        <w:spacing w:line="360" w:lineRule="auto"/>
        <w:ind w:firstLine="420" w:firstLineChars="200"/>
        <w:rPr>
          <w:kern w:val="0"/>
          <w:sz w:val="21"/>
          <w:szCs w:val="21"/>
          <w:highlight w:val="none"/>
          <w:u w:val="single"/>
        </w:rPr>
      </w:pPr>
      <w:r>
        <w:rPr>
          <w:kern w:val="0"/>
          <w:sz w:val="21"/>
          <w:szCs w:val="21"/>
          <w:highlight w:val="none"/>
        </w:rPr>
        <w:t>本合同通用条款第30.5款约定发包人违约应承担的违约责任：</w:t>
      </w:r>
      <w:r>
        <w:rPr>
          <w:sz w:val="21"/>
          <w:szCs w:val="21"/>
          <w:highlight w:val="none"/>
          <w:u w:val="single"/>
        </w:rPr>
        <w:t>《通用条款》</w:t>
      </w:r>
      <w:r>
        <w:rPr>
          <w:kern w:val="0"/>
          <w:sz w:val="21"/>
          <w:szCs w:val="21"/>
          <w:highlight w:val="none"/>
          <w:u w:val="single"/>
        </w:rPr>
        <w:t>30.5</w:t>
      </w:r>
      <w:r>
        <w:rPr>
          <w:sz w:val="21"/>
          <w:szCs w:val="21"/>
          <w:highlight w:val="none"/>
          <w:u w:val="single"/>
        </w:rPr>
        <w:t>条改为：由于</w:t>
      </w:r>
      <w:r>
        <w:rPr>
          <w:kern w:val="0"/>
          <w:sz w:val="21"/>
          <w:szCs w:val="21"/>
          <w:highlight w:val="none"/>
          <w:u w:val="single"/>
        </w:rPr>
        <w:t>发包人资金原因未按合同约定支付工程进度款，</w:t>
      </w:r>
      <w:r>
        <w:rPr>
          <w:sz w:val="21"/>
          <w:szCs w:val="21"/>
          <w:highlight w:val="none"/>
          <w:u w:val="single"/>
        </w:rPr>
        <w:t>承包人不追究发包人违约责任。</w:t>
      </w:r>
    </w:p>
    <w:p>
      <w:pPr>
        <w:widowControl/>
        <w:spacing w:line="360" w:lineRule="auto"/>
        <w:ind w:firstLine="420" w:firstLineChars="200"/>
        <w:rPr>
          <w:kern w:val="0"/>
          <w:sz w:val="21"/>
          <w:szCs w:val="21"/>
          <w:highlight w:val="none"/>
        </w:rPr>
      </w:pPr>
      <w:r>
        <w:rPr>
          <w:kern w:val="0"/>
          <w:sz w:val="21"/>
          <w:szCs w:val="21"/>
          <w:highlight w:val="none"/>
        </w:rPr>
        <w:t>本合同通用条款第37.6款约定发包人违约应承担的违约责任：__</w:t>
      </w:r>
      <w:r>
        <w:rPr>
          <w:sz w:val="21"/>
          <w:szCs w:val="21"/>
          <w:highlight w:val="none"/>
          <w:u w:val="single"/>
        </w:rPr>
        <w:t>《通用条款》37.6条改为：竣工结算经有资质的审价机构核定后，支付除</w:t>
      </w:r>
      <w:r>
        <w:rPr>
          <w:rFonts w:hint="eastAsia"/>
          <w:sz w:val="21"/>
          <w:szCs w:val="21"/>
          <w:highlight w:val="none"/>
          <w:u w:val="single"/>
        </w:rPr>
        <w:t>3</w:t>
      </w:r>
      <w:r>
        <w:rPr>
          <w:sz w:val="21"/>
          <w:szCs w:val="21"/>
          <w:highlight w:val="none"/>
          <w:u w:val="single"/>
        </w:rPr>
        <w:t>%的保修金外的余款。</w:t>
      </w:r>
      <w:r>
        <w:rPr>
          <w:kern w:val="0"/>
          <w:sz w:val="21"/>
          <w:szCs w:val="21"/>
          <w:highlight w:val="none"/>
        </w:rPr>
        <w:t>_</w:t>
      </w:r>
    </w:p>
    <w:p>
      <w:pPr>
        <w:widowControl/>
        <w:spacing w:line="360" w:lineRule="auto"/>
        <w:ind w:firstLine="504" w:firstLineChars="240"/>
        <w:rPr>
          <w:kern w:val="0"/>
          <w:sz w:val="21"/>
          <w:szCs w:val="21"/>
          <w:highlight w:val="none"/>
        </w:rPr>
      </w:pPr>
      <w:r>
        <w:rPr>
          <w:kern w:val="0"/>
          <w:sz w:val="21"/>
          <w:szCs w:val="21"/>
          <w:highlight w:val="none"/>
        </w:rPr>
        <mc:AlternateContent>
          <mc:Choice Requires="wps">
            <w:drawing>
              <wp:anchor distT="0" distB="0" distL="114300" distR="114300" simplePos="0" relativeHeight="251664384" behindDoc="0" locked="0" layoutInCell="1" allowOverlap="1">
                <wp:simplePos x="0" y="0"/>
                <wp:positionH relativeFrom="column">
                  <wp:posOffset>2857500</wp:posOffset>
                </wp:positionH>
                <wp:positionV relativeFrom="paragraph">
                  <wp:posOffset>55245</wp:posOffset>
                </wp:positionV>
                <wp:extent cx="800100" cy="99060"/>
                <wp:effectExtent l="635" t="4445" r="18415" b="10795"/>
                <wp:wrapNone/>
                <wp:docPr id="8" name="直线 25"/>
                <wp:cNvGraphicFramePr/>
                <a:graphic xmlns:a="http://schemas.openxmlformats.org/drawingml/2006/main">
                  <a:graphicData uri="http://schemas.microsoft.com/office/word/2010/wordprocessingShape">
                    <wps:wsp>
                      <wps:cNvCnPr/>
                      <wps:spPr>
                        <a:xfrm flipV="1">
                          <a:off x="0" y="0"/>
                          <a:ext cx="800100" cy="990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5" o:spid="_x0000_s1026" o:spt="20" style="position:absolute;left:0pt;flip:y;margin-left:225pt;margin-top:4.35pt;height:7.8pt;width:63pt;z-index:251664384;mso-width-relative:page;mso-height-relative:page;" filled="f" stroked="t" coordsize="21600,21600" o:gfxdata="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oPZRfWAAAACAEAAA8AAAAAAAAAAQAgAAAAIgAAAGRycy9kb3ducmV2LnhtbFBLAQIUABQA&#10;AAAIAIdO4kCW7qfJ8gEAAOkDAAAOAAAAAAAAAAEAIAAAACUBAABkcnMvZTJvRG9jLnhtbFBLBQYA&#10;AAAABgAGAFkBAACJBQAAAAA=&#10;">
                <v:fill on="f" focussize="0,0"/>
                <v:stroke color="#000000" joinstyle="round"/>
                <v:imagedata o:title=""/>
                <o:lock v:ext="edit" aspectratio="f"/>
              </v:line>
            </w:pict>
          </mc:Fallback>
        </mc:AlternateContent>
      </w:r>
      <w:r>
        <w:rPr>
          <w:kern w:val="0"/>
          <w:sz w:val="21"/>
          <w:szCs w:val="21"/>
          <w:highlight w:val="none"/>
        </w:rPr>
        <w:t>双方约定的发包人其他违约责任：________________</w:t>
      </w:r>
    </w:p>
    <w:p>
      <w:pPr>
        <w:widowControl/>
        <w:spacing w:line="360" w:lineRule="auto"/>
        <w:ind w:firstLine="420" w:firstLineChars="200"/>
        <w:rPr>
          <w:kern w:val="0"/>
          <w:sz w:val="21"/>
          <w:szCs w:val="21"/>
          <w:highlight w:val="none"/>
        </w:rPr>
      </w:pPr>
      <w:r>
        <w:rPr>
          <w:kern w:val="0"/>
          <w:sz w:val="21"/>
          <w:szCs w:val="21"/>
          <w:highlight w:val="none"/>
        </w:rPr>
        <w:t>39.2本合同中关于承包人违约的具体责任如下：</w:t>
      </w:r>
      <w:r>
        <w:rPr>
          <w:kern w:val="0"/>
          <w:sz w:val="21"/>
          <w:szCs w:val="21"/>
          <w:highlight w:val="none"/>
          <w:u w:val="single"/>
        </w:rPr>
        <w:t>因乙方原因造成的工期、质量、安全、其它承诺条件达不到合同约定的标准时造成的违约，除扣履约保证金外，并保留追究由此给甲方带来的直接和间接损失的权利。</w:t>
      </w:r>
    </w:p>
    <w:p>
      <w:pPr>
        <w:widowControl/>
        <w:spacing w:line="360" w:lineRule="auto"/>
        <w:ind w:firstLine="420" w:firstLineChars="200"/>
        <w:rPr>
          <w:kern w:val="0"/>
          <w:sz w:val="21"/>
          <w:szCs w:val="21"/>
          <w:highlight w:val="none"/>
        </w:rPr>
      </w:pPr>
      <w:r>
        <w:rPr>
          <w:kern w:val="0"/>
          <w:sz w:val="21"/>
          <w:szCs w:val="21"/>
          <w:highlight w:val="none"/>
        </w:rPr>
        <w:t>双方约定的承包人其他违约责任：</w:t>
      </w:r>
      <w:r>
        <w:rPr>
          <w:sz w:val="21"/>
          <w:szCs w:val="21"/>
          <w:highlight w:val="none"/>
          <w:u w:val="single"/>
        </w:rPr>
        <w:t>如果通过竣工验收一个月后，承包人不能提供完成的竣工结算资料，每推迟一天罚2000元，累计推迟超过14天时，取消承包方下次投标资格。</w:t>
      </w:r>
    </w:p>
    <w:p>
      <w:pPr>
        <w:widowControl/>
        <w:spacing w:line="360" w:lineRule="auto"/>
        <w:ind w:firstLine="420" w:firstLineChars="200"/>
        <w:rPr>
          <w:kern w:val="0"/>
          <w:sz w:val="21"/>
          <w:szCs w:val="21"/>
          <w:highlight w:val="none"/>
        </w:rPr>
      </w:pPr>
      <w:r>
        <w:rPr>
          <w:kern w:val="0"/>
          <w:sz w:val="21"/>
          <w:szCs w:val="21"/>
          <w:highlight w:val="none"/>
        </w:rPr>
        <w:t>41、争议</w:t>
      </w:r>
    </w:p>
    <w:p>
      <w:pPr>
        <w:widowControl/>
        <w:spacing w:line="360" w:lineRule="auto"/>
        <w:ind w:firstLine="420" w:firstLineChars="200"/>
        <w:rPr>
          <w:kern w:val="0"/>
          <w:sz w:val="21"/>
          <w:szCs w:val="21"/>
          <w:highlight w:val="none"/>
        </w:rPr>
      </w:pPr>
      <w:r>
        <w:rPr>
          <w:kern w:val="0"/>
          <w:sz w:val="21"/>
          <w:szCs w:val="21"/>
          <w:highlight w:val="none"/>
        </w:rPr>
        <w:t>41.1双方当事人约定，在履行合同过程中产生争议时：</w:t>
      </w:r>
    </w:p>
    <w:p>
      <w:pPr>
        <w:widowControl/>
        <w:spacing w:line="360" w:lineRule="auto"/>
        <w:ind w:firstLine="420" w:firstLineChars="200"/>
        <w:rPr>
          <w:kern w:val="0"/>
          <w:sz w:val="21"/>
          <w:szCs w:val="21"/>
          <w:highlight w:val="none"/>
        </w:rPr>
      </w:pPr>
      <w:r>
        <w:rPr>
          <w:kern w:val="0"/>
          <w:sz w:val="21"/>
          <w:szCs w:val="21"/>
          <w:highlight w:val="none"/>
        </w:rPr>
        <w:t>（1）请</w:t>
      </w:r>
      <w:r>
        <w:rPr>
          <w:sz w:val="21"/>
          <w:szCs w:val="21"/>
          <w:highlight w:val="none"/>
          <w:u w:val="single"/>
        </w:rPr>
        <w:t>合同主管部门和造价主管部门</w:t>
      </w:r>
      <w:r>
        <w:rPr>
          <w:kern w:val="0"/>
          <w:sz w:val="21"/>
          <w:szCs w:val="21"/>
          <w:highlight w:val="none"/>
        </w:rPr>
        <w:t>_调解；</w:t>
      </w:r>
    </w:p>
    <w:p>
      <w:pPr>
        <w:widowControl/>
        <w:spacing w:line="360" w:lineRule="auto"/>
        <w:ind w:firstLine="420" w:firstLineChars="200"/>
        <w:rPr>
          <w:kern w:val="0"/>
          <w:sz w:val="21"/>
          <w:szCs w:val="21"/>
          <w:highlight w:val="none"/>
        </w:rPr>
      </w:pPr>
      <w:r>
        <w:rPr>
          <w:kern w:val="0"/>
          <w:sz w:val="21"/>
          <w:szCs w:val="21"/>
          <w:highlight w:val="none"/>
        </w:rPr>
        <w:t>（2）合同争议调解不成的，按下列第</w:t>
      </w:r>
      <w:r>
        <w:rPr>
          <w:rFonts w:hint="eastAsia"/>
          <w:kern w:val="0"/>
          <w:sz w:val="21"/>
          <w:szCs w:val="21"/>
          <w:highlight w:val="none"/>
          <w:u w:val="single"/>
        </w:rPr>
        <w:t>　一　</w:t>
      </w:r>
      <w:r>
        <w:rPr>
          <w:kern w:val="0"/>
          <w:sz w:val="21"/>
          <w:szCs w:val="21"/>
          <w:highlight w:val="none"/>
        </w:rPr>
        <w:t>种方式解决：</w:t>
      </w:r>
    </w:p>
    <w:p>
      <w:pPr>
        <w:widowControl/>
        <w:spacing w:line="360" w:lineRule="auto"/>
        <w:ind w:firstLine="630" w:firstLineChars="300"/>
        <w:rPr>
          <w:kern w:val="0"/>
          <w:sz w:val="21"/>
          <w:szCs w:val="21"/>
          <w:highlight w:val="none"/>
        </w:rPr>
      </w:pPr>
      <w:r>
        <w:rPr>
          <w:kern w:val="0"/>
          <w:sz w:val="21"/>
          <w:szCs w:val="21"/>
          <w:highlight w:val="none"/>
        </w:rPr>
        <w:t>1）提交 _</w:t>
      </w:r>
      <w:r>
        <w:rPr>
          <w:kern w:val="0"/>
          <w:sz w:val="21"/>
          <w:szCs w:val="21"/>
          <w:highlight w:val="none"/>
          <w:u w:val="single"/>
        </w:rPr>
        <w:t>西安市仲裁</w:t>
      </w:r>
      <w:r>
        <w:rPr>
          <w:kern w:val="0"/>
          <w:sz w:val="21"/>
          <w:szCs w:val="21"/>
          <w:highlight w:val="none"/>
        </w:rPr>
        <w:t>_委员会申请仲裁；</w:t>
      </w:r>
    </w:p>
    <w:p>
      <w:pPr>
        <w:widowControl/>
        <w:spacing w:line="360" w:lineRule="auto"/>
        <w:ind w:firstLine="630" w:firstLineChars="300"/>
        <w:rPr>
          <w:kern w:val="0"/>
          <w:sz w:val="21"/>
          <w:szCs w:val="21"/>
          <w:highlight w:val="none"/>
        </w:rPr>
      </w:pPr>
      <w:r>
        <w:rPr>
          <w:kern w:val="0"/>
          <w:sz w:val="21"/>
          <w:szCs w:val="21"/>
          <w:highlight w:val="none"/>
        </w:rPr>
        <w:t>2）依法向</w:t>
      </w:r>
      <w:r>
        <w:rPr>
          <w:kern w:val="0"/>
          <w:sz w:val="21"/>
          <w:szCs w:val="21"/>
          <w:highlight w:val="none"/>
          <w:u w:val="single"/>
        </w:rPr>
        <w:t>具有管辖权的</w:t>
      </w:r>
      <w:r>
        <w:rPr>
          <w:kern w:val="0"/>
          <w:sz w:val="21"/>
          <w:szCs w:val="21"/>
          <w:highlight w:val="none"/>
        </w:rPr>
        <w:t>人民法院提起诉讼。</w:t>
      </w:r>
    </w:p>
    <w:p>
      <w:pPr>
        <w:widowControl/>
        <w:spacing w:line="360" w:lineRule="auto"/>
        <w:ind w:firstLine="422" w:firstLineChars="200"/>
        <w:rPr>
          <w:b/>
          <w:kern w:val="0"/>
          <w:sz w:val="21"/>
          <w:szCs w:val="21"/>
          <w:highlight w:val="none"/>
        </w:rPr>
      </w:pPr>
      <w:r>
        <w:rPr>
          <w:b/>
          <w:kern w:val="0"/>
          <w:sz w:val="21"/>
          <w:szCs w:val="21"/>
          <w:highlight w:val="none"/>
        </w:rPr>
        <w:t>十一、其他</w:t>
      </w:r>
    </w:p>
    <w:p>
      <w:pPr>
        <w:widowControl/>
        <w:spacing w:line="360" w:lineRule="auto"/>
        <w:ind w:firstLine="420" w:firstLineChars="200"/>
        <w:rPr>
          <w:kern w:val="0"/>
          <w:sz w:val="21"/>
          <w:szCs w:val="21"/>
          <w:highlight w:val="none"/>
        </w:rPr>
      </w:pPr>
      <w:r>
        <w:rPr>
          <w:kern w:val="0"/>
          <w:sz w:val="21"/>
          <w:szCs w:val="21"/>
          <w:highlight w:val="none"/>
        </w:rPr>
        <w:t>42、工程分包</w:t>
      </w:r>
    </w:p>
    <w:p>
      <w:pPr>
        <w:widowControl/>
        <w:spacing w:line="360" w:lineRule="auto"/>
        <w:ind w:firstLine="420" w:firstLineChars="200"/>
        <w:rPr>
          <w:kern w:val="0"/>
          <w:sz w:val="21"/>
          <w:szCs w:val="21"/>
          <w:highlight w:val="none"/>
        </w:rPr>
      </w:pPr>
      <w:r>
        <w:rPr>
          <w:kern w:val="0"/>
          <w:sz w:val="21"/>
          <w:szCs w:val="21"/>
          <w:highlight w:val="none"/>
        </w:rPr>
        <w:t>42.1本工程发包人同意承包人分包的专业工程：</w:t>
      </w:r>
      <w:r>
        <w:rPr>
          <w:kern w:val="0"/>
          <w:sz w:val="21"/>
          <w:szCs w:val="21"/>
          <w:highlight w:val="none"/>
          <w:u w:val="single"/>
        </w:rPr>
        <w:t xml:space="preserve">           </w:t>
      </w:r>
    </w:p>
    <w:p>
      <w:pPr>
        <w:widowControl/>
        <w:spacing w:line="360" w:lineRule="auto"/>
        <w:rPr>
          <w:kern w:val="0"/>
          <w:sz w:val="21"/>
          <w:szCs w:val="21"/>
          <w:highlight w:val="none"/>
        </w:rPr>
      </w:pPr>
      <w:r>
        <w:rPr>
          <w:kern w:val="0"/>
          <w:sz w:val="21"/>
          <w:szCs w:val="21"/>
          <w:highlight w:val="none"/>
        </w:rPr>
        <w:t>分包施工单位为：_________________</w:t>
      </w:r>
    </w:p>
    <w:p>
      <w:pPr>
        <w:widowControl/>
        <w:spacing w:line="360" w:lineRule="auto"/>
        <w:ind w:firstLine="420" w:firstLineChars="200"/>
        <w:rPr>
          <w:kern w:val="0"/>
          <w:sz w:val="21"/>
          <w:szCs w:val="21"/>
          <w:highlight w:val="none"/>
        </w:rPr>
      </w:pPr>
      <w:r>
        <w:rPr>
          <w:kern w:val="0"/>
          <w:sz w:val="21"/>
          <w:szCs w:val="21"/>
          <w:highlight w:val="none"/>
        </w:rPr>
        <w:t>43、不可抗力</w:t>
      </w:r>
    </w:p>
    <w:p>
      <w:pPr>
        <w:widowControl/>
        <w:spacing w:line="360" w:lineRule="auto"/>
        <w:ind w:firstLine="420" w:firstLineChars="200"/>
        <w:rPr>
          <w:kern w:val="0"/>
          <w:sz w:val="21"/>
          <w:szCs w:val="21"/>
          <w:highlight w:val="none"/>
        </w:rPr>
      </w:pPr>
      <w:r>
        <w:rPr>
          <w:kern w:val="0"/>
          <w:sz w:val="21"/>
          <w:szCs w:val="21"/>
          <w:highlight w:val="none"/>
        </w:rPr>
        <w:t>43.1双方关于不可抗力的约定：</w:t>
      </w:r>
    </w:p>
    <w:p>
      <w:pPr>
        <w:widowControl/>
        <w:spacing w:line="360" w:lineRule="auto"/>
        <w:rPr>
          <w:kern w:val="0"/>
          <w:sz w:val="21"/>
          <w:szCs w:val="21"/>
          <w:highlight w:val="none"/>
        </w:rPr>
      </w:pPr>
      <w:r>
        <w:rPr>
          <w:kern w:val="0"/>
          <w:sz w:val="21"/>
          <w:szCs w:val="21"/>
          <w:highlight w:val="none"/>
        </w:rPr>
        <w:t>__</w:t>
      </w:r>
      <w:r>
        <w:rPr>
          <w:kern w:val="0"/>
          <w:sz w:val="21"/>
          <w:szCs w:val="21"/>
          <w:highlight w:val="none"/>
          <w:u w:val="single"/>
        </w:rPr>
        <w:t>执行《通用条款》第43条。</w:t>
      </w:r>
      <w:r>
        <w:rPr>
          <w:kern w:val="0"/>
          <w:sz w:val="21"/>
          <w:szCs w:val="21"/>
          <w:highlight w:val="none"/>
        </w:rPr>
        <w:t>__</w:t>
      </w:r>
    </w:p>
    <w:p>
      <w:pPr>
        <w:widowControl/>
        <w:spacing w:line="360" w:lineRule="auto"/>
        <w:ind w:firstLine="420" w:firstLineChars="200"/>
        <w:rPr>
          <w:kern w:val="0"/>
          <w:sz w:val="21"/>
          <w:szCs w:val="21"/>
          <w:highlight w:val="none"/>
        </w:rPr>
      </w:pPr>
      <w:r>
        <w:rPr>
          <w:kern w:val="0"/>
          <w:sz w:val="21"/>
          <w:szCs w:val="21"/>
          <w:highlight w:val="none"/>
        </w:rPr>
        <w:t>44、保险</w:t>
      </w:r>
    </w:p>
    <w:p>
      <w:pPr>
        <w:widowControl/>
        <w:spacing w:line="360" w:lineRule="auto"/>
        <w:ind w:firstLine="420" w:firstLineChars="200"/>
        <w:rPr>
          <w:kern w:val="0"/>
          <w:sz w:val="21"/>
          <w:szCs w:val="21"/>
          <w:highlight w:val="none"/>
        </w:rPr>
      </w:pPr>
      <w:r>
        <w:rPr>
          <w:kern w:val="0"/>
          <w:sz w:val="21"/>
          <w:szCs w:val="21"/>
          <w:highlight w:val="none"/>
        </w:rPr>
        <w:t>44.6本工程双方约定投保内容如下：</w:t>
      </w:r>
    </w:p>
    <w:p>
      <w:pPr>
        <w:widowControl/>
        <w:spacing w:line="360" w:lineRule="auto"/>
        <w:ind w:firstLine="420" w:firstLineChars="200"/>
        <w:rPr>
          <w:kern w:val="0"/>
          <w:sz w:val="21"/>
          <w:szCs w:val="21"/>
          <w:highlight w:val="none"/>
        </w:rPr>
      </w:pPr>
      <w:r>
        <w:rPr>
          <w:kern w:val="0"/>
          <w:sz w:val="21"/>
          <w:szCs w:val="21"/>
          <w:highlight w:val="none"/>
        </w:rPr>
        <w:t>（1）发包人投保内容：</w:t>
      </w:r>
      <w:r>
        <w:rPr>
          <w:kern w:val="0"/>
          <w:sz w:val="21"/>
          <w:szCs w:val="21"/>
          <w:highlight w:val="none"/>
          <w:u w:val="single"/>
        </w:rPr>
        <w:t>本合同通用条款44.1 44.2保险，发包人暂不办理。</w:t>
      </w:r>
    </w:p>
    <w:p>
      <w:pPr>
        <w:spacing w:line="360" w:lineRule="auto"/>
        <w:rPr>
          <w:sz w:val="21"/>
          <w:szCs w:val="21"/>
          <w:highlight w:val="none"/>
          <w:u w:val="single"/>
        </w:rPr>
      </w:pPr>
      <w:r>
        <w:rPr>
          <w:kern w:val="0"/>
          <w:sz w:val="21"/>
          <w:szCs w:val="21"/>
          <w:highlight w:val="none"/>
        </w:rPr>
        <w:t>发包人委托承包人办理的保险事项：__</w:t>
      </w:r>
      <w:r>
        <w:rPr>
          <w:sz w:val="21"/>
          <w:szCs w:val="21"/>
          <w:highlight w:val="none"/>
          <w:u w:val="single"/>
        </w:rPr>
        <w:t>本工程无发包人委托承包人办理的保险事宜。</w:t>
      </w:r>
    </w:p>
    <w:p>
      <w:pPr>
        <w:widowControl/>
        <w:spacing w:line="360" w:lineRule="auto"/>
        <w:rPr>
          <w:kern w:val="0"/>
          <w:sz w:val="21"/>
          <w:szCs w:val="21"/>
          <w:highlight w:val="none"/>
        </w:rPr>
      </w:pPr>
      <w:r>
        <w:rPr>
          <w:sz w:val="21"/>
          <w:szCs w:val="21"/>
          <w:highlight w:val="none"/>
        </w:rPr>
        <w:t xml:space="preserve">    </w:t>
      </w:r>
      <w:r>
        <w:rPr>
          <w:sz w:val="21"/>
          <w:szCs w:val="21"/>
          <w:highlight w:val="none"/>
          <w:u w:val="single"/>
        </w:rPr>
        <w:t>失业、医疗、工伤、残疾人就业保险，已包含在合同价款中，结算时，承包方凭参加保险票据，在标准范围内办理结算。本合同44.1、44.2保险费已由发包人委托承包人投保。保险费已包含在中标价中。</w:t>
      </w:r>
      <w:r>
        <w:rPr>
          <w:kern w:val="0"/>
          <w:sz w:val="21"/>
          <w:szCs w:val="21"/>
          <w:highlight w:val="none"/>
        </w:rPr>
        <w:t>_</w:t>
      </w:r>
    </w:p>
    <w:p>
      <w:pPr>
        <w:widowControl/>
        <w:spacing w:line="360" w:lineRule="auto"/>
        <w:ind w:firstLine="420" w:firstLineChars="200"/>
        <w:rPr>
          <w:kern w:val="0"/>
          <w:sz w:val="21"/>
          <w:szCs w:val="21"/>
          <w:highlight w:val="none"/>
        </w:rPr>
      </w:pPr>
      <w:r>
        <w:rPr>
          <w:kern w:val="0"/>
          <w:sz w:val="21"/>
          <w:szCs w:val="21"/>
          <w:highlight w:val="none"/>
        </w:rPr>
        <w:t>（2）承包人投保内容：_</w:t>
      </w:r>
      <w:r>
        <w:rPr>
          <w:sz w:val="21"/>
          <w:szCs w:val="21"/>
          <w:highlight w:val="none"/>
          <w:u w:val="single"/>
        </w:rPr>
        <w:t>具体投保内容由承包人自行决定，并承担相关责任。</w:t>
      </w:r>
    </w:p>
    <w:p>
      <w:pPr>
        <w:widowControl/>
        <w:spacing w:line="360" w:lineRule="auto"/>
        <w:ind w:firstLine="420" w:firstLineChars="200"/>
        <w:rPr>
          <w:kern w:val="0"/>
          <w:sz w:val="21"/>
          <w:szCs w:val="21"/>
          <w:highlight w:val="none"/>
        </w:rPr>
      </w:pPr>
      <w:r>
        <w:rPr>
          <w:kern w:val="0"/>
          <w:sz w:val="21"/>
          <w:szCs w:val="21"/>
          <w:highlight w:val="none"/>
        </w:rPr>
        <w:t>45、担保</w:t>
      </w:r>
    </w:p>
    <w:p>
      <w:pPr>
        <w:widowControl/>
        <w:spacing w:line="360" w:lineRule="auto"/>
        <w:ind w:firstLine="420" w:firstLineChars="200"/>
        <w:rPr>
          <w:kern w:val="0"/>
          <w:sz w:val="21"/>
          <w:szCs w:val="21"/>
          <w:highlight w:val="none"/>
        </w:rPr>
      </w:pPr>
      <w:r>
        <w:rPr>
          <w:kern w:val="0"/>
          <w:sz w:val="21"/>
          <w:szCs w:val="21"/>
          <w:highlight w:val="none"/>
        </w:rPr>
        <w:t>45.3本工程双方约定担保事项如下：</w:t>
      </w:r>
    </w:p>
    <w:p>
      <w:pPr>
        <w:widowControl/>
        <w:spacing w:line="360" w:lineRule="auto"/>
        <w:ind w:firstLine="420" w:firstLineChars="200"/>
        <w:rPr>
          <w:kern w:val="0"/>
          <w:sz w:val="21"/>
          <w:szCs w:val="21"/>
          <w:highlight w:val="none"/>
        </w:rPr>
      </w:pPr>
      <w:r>
        <w:rPr>
          <w:kern w:val="0"/>
          <w:sz w:val="21"/>
          <w:szCs w:val="21"/>
          <w:highlight w:val="none"/>
        </w:rPr>
        <w:t>（1）发包人向承包人提供支付担保，担保方式为：</w:t>
      </w:r>
      <w:r>
        <w:rPr>
          <w:sz w:val="21"/>
          <w:szCs w:val="21"/>
          <w:highlight w:val="none"/>
          <w:u w:val="single"/>
        </w:rPr>
        <w:t xml:space="preserve">   无  </w:t>
      </w:r>
      <w:r>
        <w:rPr>
          <w:kern w:val="0"/>
          <w:sz w:val="21"/>
          <w:szCs w:val="21"/>
          <w:highlight w:val="none"/>
        </w:rPr>
        <w:t>。</w:t>
      </w:r>
    </w:p>
    <w:p>
      <w:pPr>
        <w:widowControl/>
        <w:spacing w:line="360" w:lineRule="auto"/>
        <w:ind w:firstLine="420" w:firstLineChars="200"/>
        <w:rPr>
          <w:kern w:val="0"/>
          <w:sz w:val="21"/>
          <w:szCs w:val="21"/>
          <w:highlight w:val="none"/>
          <w:u w:val="single"/>
        </w:rPr>
      </w:pPr>
      <w:r>
        <w:rPr>
          <w:kern w:val="0"/>
          <w:sz w:val="21"/>
          <w:szCs w:val="21"/>
          <w:highlight w:val="none"/>
        </w:rPr>
        <mc:AlternateContent>
          <mc:Choice Requires="wps">
            <w:drawing>
              <wp:anchor distT="0" distB="0" distL="114300" distR="114300" simplePos="0" relativeHeight="251665408" behindDoc="0" locked="0" layoutInCell="1" allowOverlap="1">
                <wp:simplePos x="0" y="0"/>
                <wp:positionH relativeFrom="column">
                  <wp:posOffset>3328670</wp:posOffset>
                </wp:positionH>
                <wp:positionV relativeFrom="paragraph">
                  <wp:posOffset>58420</wp:posOffset>
                </wp:positionV>
                <wp:extent cx="800100" cy="99060"/>
                <wp:effectExtent l="635" t="4445" r="18415" b="10795"/>
                <wp:wrapNone/>
                <wp:docPr id="9" name="直线 26"/>
                <wp:cNvGraphicFramePr/>
                <a:graphic xmlns:a="http://schemas.openxmlformats.org/drawingml/2006/main">
                  <a:graphicData uri="http://schemas.microsoft.com/office/word/2010/wordprocessingShape">
                    <wps:wsp>
                      <wps:cNvCnPr/>
                      <wps:spPr>
                        <a:xfrm flipV="1">
                          <a:off x="0" y="0"/>
                          <a:ext cx="800100" cy="990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6" o:spid="_x0000_s1026" o:spt="20" style="position:absolute;left:0pt;flip:y;margin-left:262.1pt;margin-top:4.6pt;height:7.8pt;width:63pt;z-index:251665408;mso-width-relative:page;mso-height-relative:page;" filled="f" stroked="t" coordsize="21600,21600" o:gfxdata="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s4gZP1wAAAAgBAAAPAAAAAAAAAAEAIAAAACIAAABkcnMvZG93bnJldi54bWxQSwECFAAU&#10;AAAACACHTuJA+5n16fIBAADpAwAADgAAAAAAAAABACAAAAAmAQAAZHJzL2Uyb0RvYy54bWxQSwUG&#10;AAAAAAYABgBZAQAAigUAAAAA&#10;">
                <v:fill on="f" focussize="0,0"/>
                <v:stroke color="#000000" joinstyle="round"/>
                <v:imagedata o:title=""/>
                <o:lock v:ext="edit" aspectratio="f"/>
              </v:line>
            </w:pict>
          </mc:Fallback>
        </mc:AlternateContent>
      </w:r>
      <w:r>
        <w:rPr>
          <w:kern w:val="0"/>
          <w:sz w:val="21"/>
          <w:szCs w:val="21"/>
          <w:highlight w:val="none"/>
        </w:rPr>
        <w:t>（2）双方约定的其他担保事项：__________________________________</w:t>
      </w:r>
    </w:p>
    <w:p>
      <w:pPr>
        <w:widowControl/>
        <w:spacing w:line="360" w:lineRule="auto"/>
        <w:ind w:firstLine="420" w:firstLineChars="200"/>
        <w:rPr>
          <w:kern w:val="0"/>
          <w:sz w:val="21"/>
          <w:szCs w:val="21"/>
          <w:highlight w:val="none"/>
        </w:rPr>
      </w:pPr>
      <w:r>
        <w:rPr>
          <w:kern w:val="0"/>
          <w:sz w:val="21"/>
          <w:szCs w:val="21"/>
          <w:highlight w:val="none"/>
        </w:rPr>
        <w:t>50、合同份数</w:t>
      </w:r>
    </w:p>
    <w:p>
      <w:pPr>
        <w:widowControl/>
        <w:spacing w:line="360" w:lineRule="auto"/>
        <w:ind w:firstLine="420" w:firstLineChars="200"/>
        <w:rPr>
          <w:kern w:val="0"/>
          <w:sz w:val="21"/>
          <w:szCs w:val="21"/>
          <w:highlight w:val="none"/>
        </w:rPr>
      </w:pPr>
      <w:r>
        <w:rPr>
          <w:kern w:val="0"/>
          <w:sz w:val="21"/>
          <w:szCs w:val="21"/>
          <w:highlight w:val="none"/>
        </w:rPr>
        <w:t>50.2双方约定合同副本份数：_</w:t>
      </w:r>
      <w:r>
        <w:rPr>
          <w:sz w:val="21"/>
          <w:szCs w:val="21"/>
          <w:highlight w:val="none"/>
          <w:u w:val="single"/>
        </w:rPr>
        <w:t>正本</w:t>
      </w:r>
      <w:r>
        <w:rPr>
          <w:rFonts w:hint="eastAsia"/>
          <w:sz w:val="21"/>
          <w:szCs w:val="21"/>
          <w:highlight w:val="none"/>
          <w:u w:val="single"/>
        </w:rPr>
        <w:t>贰</w:t>
      </w:r>
      <w:r>
        <w:rPr>
          <w:sz w:val="21"/>
          <w:szCs w:val="21"/>
          <w:highlight w:val="none"/>
          <w:u w:val="single"/>
        </w:rPr>
        <w:t>份，副本捌份；发、承包双方各持正本壹份、副本肆份。</w:t>
      </w:r>
      <w:r>
        <w:rPr>
          <w:kern w:val="0"/>
          <w:sz w:val="21"/>
          <w:szCs w:val="21"/>
          <w:highlight w:val="none"/>
        </w:rPr>
        <w:t>_</w:t>
      </w:r>
    </w:p>
    <w:p>
      <w:pPr>
        <w:widowControl/>
        <w:spacing w:line="360" w:lineRule="auto"/>
        <w:ind w:firstLine="420" w:firstLineChars="200"/>
        <w:rPr>
          <w:kern w:val="0"/>
          <w:sz w:val="21"/>
          <w:szCs w:val="21"/>
          <w:highlight w:val="none"/>
        </w:rPr>
      </w:pPr>
      <w:r>
        <w:rPr>
          <w:kern w:val="0"/>
          <w:sz w:val="21"/>
          <w:szCs w:val="21"/>
          <w:highlight w:val="none"/>
        </w:rPr>
        <w:t>51、补充条款（注：本条款作为合同的一部分，不得更改，否则视为违约。）</w:t>
      </w:r>
    </w:p>
    <w:p>
      <w:pPr>
        <w:spacing w:line="420" w:lineRule="exact"/>
        <w:ind w:firstLine="420" w:firstLineChars="200"/>
        <w:rPr>
          <w:sz w:val="21"/>
          <w:szCs w:val="21"/>
          <w:highlight w:val="none"/>
          <w:u w:val="single"/>
        </w:rPr>
      </w:pPr>
      <w:r>
        <w:rPr>
          <w:sz w:val="21"/>
          <w:szCs w:val="21"/>
          <w:highlight w:val="none"/>
          <w:u w:val="single"/>
        </w:rPr>
        <w:t>51.1本工程竣工后，应免费将施工现场清除干净；无建筑材料、无建筑设备、无临时垃圾、无坑池渠沟、无掩埋的硬化道路和垃圾，场地整洁。否则发包人不予支付工程款。并按每延期一天罚款2000元进行处罚。</w:t>
      </w:r>
    </w:p>
    <w:p>
      <w:pPr>
        <w:spacing w:line="420" w:lineRule="exact"/>
        <w:ind w:firstLine="420" w:firstLineChars="200"/>
        <w:rPr>
          <w:sz w:val="21"/>
          <w:szCs w:val="21"/>
          <w:highlight w:val="none"/>
          <w:u w:val="single"/>
        </w:rPr>
      </w:pPr>
      <w:r>
        <w:rPr>
          <w:sz w:val="21"/>
          <w:szCs w:val="21"/>
          <w:highlight w:val="none"/>
          <w:u w:val="single"/>
        </w:rPr>
        <w:t>51.2 必须按照</w:t>
      </w:r>
      <w:r>
        <w:rPr>
          <w:kern w:val="0"/>
          <w:sz w:val="21"/>
          <w:szCs w:val="21"/>
          <w:highlight w:val="none"/>
          <w:u w:val="single"/>
        </w:rPr>
        <w:t>文明工地标准进行安全文明施工管理。</w:t>
      </w:r>
      <w:r>
        <w:rPr>
          <w:sz w:val="21"/>
          <w:szCs w:val="21"/>
          <w:highlight w:val="none"/>
          <w:u w:val="single"/>
        </w:rPr>
        <w:t xml:space="preserve">设立专用垃圾场，不得在施工区内任意堆放或乱倒垃圾，定期将建筑垃圾清理外运。施工人员必须挂牌上岗（标明姓名、年龄、职务并贴照片）。 </w:t>
      </w:r>
    </w:p>
    <w:p>
      <w:pPr>
        <w:spacing w:line="420" w:lineRule="exact"/>
        <w:ind w:firstLine="420" w:firstLineChars="200"/>
        <w:rPr>
          <w:sz w:val="21"/>
          <w:szCs w:val="21"/>
          <w:highlight w:val="none"/>
          <w:u w:val="single"/>
        </w:rPr>
      </w:pPr>
      <w:r>
        <w:rPr>
          <w:sz w:val="21"/>
          <w:szCs w:val="21"/>
          <w:highlight w:val="none"/>
          <w:u w:val="single"/>
        </w:rPr>
        <w:t>51.3施工过程中，资料和工程进度必须同步。每月发包人管理人员对施工进度和资料进行检查，出现问题限期整改，否则每次罚款1000元人民币。在工程竣工验收前，承包人要按规定将竣工资料交监理验收，由监理出据相应证明后，发包人方可组织验收。</w:t>
      </w:r>
    </w:p>
    <w:p>
      <w:pPr>
        <w:spacing w:line="420" w:lineRule="exact"/>
        <w:ind w:firstLine="420" w:firstLineChars="200"/>
        <w:rPr>
          <w:sz w:val="21"/>
          <w:szCs w:val="21"/>
          <w:highlight w:val="none"/>
          <w:u w:val="single"/>
        </w:rPr>
      </w:pPr>
      <w:r>
        <w:rPr>
          <w:sz w:val="21"/>
          <w:szCs w:val="21"/>
          <w:highlight w:val="none"/>
          <w:u w:val="single"/>
        </w:rPr>
        <w:t>51.4安全管理人员必须持证上岗，并负责检查现场和施工人员安全情况，如监理和发包人管理人员发现有不安全因素存在，经指出仍未纠正的每次罚款500元人民币；出现安全事故，施工单位自负。</w:t>
      </w:r>
    </w:p>
    <w:p>
      <w:pPr>
        <w:spacing w:line="420" w:lineRule="exact"/>
        <w:ind w:firstLine="420" w:firstLineChars="200"/>
        <w:rPr>
          <w:sz w:val="21"/>
          <w:szCs w:val="21"/>
          <w:highlight w:val="none"/>
          <w:u w:val="single"/>
        </w:rPr>
      </w:pPr>
      <w:r>
        <w:rPr>
          <w:sz w:val="21"/>
          <w:szCs w:val="21"/>
          <w:highlight w:val="none"/>
          <w:u w:val="single"/>
        </w:rPr>
        <w:t xml:space="preserve">51.5现场用电必须按照发包人要求，三相五线制，一机一闸必须带漏电保护，不许用电炉。如施工现场出现用电漏电或短路跳闸，造成停电、影响发包人用电，每次罚款2000元人民币。 </w:t>
      </w:r>
    </w:p>
    <w:p>
      <w:pPr>
        <w:spacing w:line="420" w:lineRule="exact"/>
        <w:ind w:firstLine="396" w:firstLineChars="200"/>
        <w:rPr>
          <w:spacing w:val="-6"/>
          <w:sz w:val="21"/>
          <w:szCs w:val="21"/>
          <w:highlight w:val="none"/>
          <w:u w:val="single"/>
        </w:rPr>
      </w:pPr>
      <w:r>
        <w:rPr>
          <w:spacing w:val="-6"/>
          <w:sz w:val="21"/>
          <w:szCs w:val="21"/>
          <w:highlight w:val="none"/>
          <w:u w:val="single"/>
        </w:rPr>
        <w:t>51.6承包人必须严格执行规章制度和工程施工管理办法。承包人必须执行发包人现场管理人员和监理的指令，服从管理，否则发包人有权更换相关人员。</w:t>
      </w:r>
    </w:p>
    <w:p>
      <w:pPr>
        <w:spacing w:line="420" w:lineRule="exact"/>
        <w:ind w:firstLine="396" w:firstLineChars="200"/>
        <w:rPr>
          <w:spacing w:val="-6"/>
          <w:sz w:val="21"/>
          <w:szCs w:val="21"/>
          <w:highlight w:val="none"/>
          <w:u w:val="single"/>
        </w:rPr>
      </w:pPr>
      <w:r>
        <w:rPr>
          <w:spacing w:val="-6"/>
          <w:sz w:val="21"/>
          <w:szCs w:val="21"/>
          <w:highlight w:val="none"/>
          <w:u w:val="single"/>
        </w:rPr>
        <w:t>51.7竣工验收时，承包人须向发包人提供《工程质量保修书》、使用说明书。</w:t>
      </w:r>
    </w:p>
    <w:p>
      <w:pPr>
        <w:spacing w:line="420" w:lineRule="exact"/>
        <w:ind w:firstLine="396" w:firstLineChars="200"/>
        <w:rPr>
          <w:spacing w:val="-6"/>
          <w:sz w:val="21"/>
          <w:szCs w:val="21"/>
          <w:highlight w:val="none"/>
          <w:u w:val="single"/>
        </w:rPr>
      </w:pPr>
      <w:r>
        <w:rPr>
          <w:spacing w:val="-6"/>
          <w:sz w:val="21"/>
          <w:szCs w:val="21"/>
          <w:highlight w:val="none"/>
          <w:u w:val="single"/>
        </w:rPr>
        <w:t>51.8对图纸中存在的问题及需要联系的事宜，由发包方联系解决，承包人、监理不得同设计院联系或取得资料。</w:t>
      </w:r>
    </w:p>
    <w:p>
      <w:pPr>
        <w:spacing w:line="420" w:lineRule="exact"/>
        <w:ind w:firstLine="420" w:firstLineChars="200"/>
        <w:rPr>
          <w:sz w:val="21"/>
          <w:szCs w:val="21"/>
          <w:highlight w:val="none"/>
          <w:u w:val="single"/>
        </w:rPr>
      </w:pPr>
      <w:r>
        <w:rPr>
          <w:sz w:val="21"/>
          <w:szCs w:val="21"/>
          <w:highlight w:val="none"/>
          <w:u w:val="single"/>
        </w:rPr>
        <w:t>51.9承包人须与聘用的农民工签订劳务合同，并到相应单位办理手续。按时发放农民工工资，当承包人申报当期进度款计划时应一并报已发农民工工资表给发包人，发包人有权监督承包人在支付的当期进度款中发放农民工工资或在支付当月工程款中代扣。</w:t>
      </w:r>
    </w:p>
    <w:p>
      <w:pPr>
        <w:spacing w:line="420" w:lineRule="exact"/>
        <w:ind w:firstLine="420" w:firstLineChars="200"/>
        <w:rPr>
          <w:sz w:val="21"/>
          <w:szCs w:val="21"/>
          <w:highlight w:val="none"/>
          <w:u w:val="single"/>
        </w:rPr>
      </w:pPr>
      <w:r>
        <w:rPr>
          <w:sz w:val="21"/>
          <w:szCs w:val="21"/>
          <w:highlight w:val="none"/>
          <w:u w:val="single"/>
        </w:rPr>
        <w:t>51.10本工程拆除费用按照建筑面积报价，学校</w:t>
      </w:r>
      <w:r>
        <w:rPr>
          <w:rFonts w:hint="eastAsia"/>
          <w:sz w:val="21"/>
          <w:szCs w:val="21"/>
          <w:highlight w:val="none"/>
          <w:u w:val="single"/>
        </w:rPr>
        <w:t>已在开标前</w:t>
      </w:r>
      <w:r>
        <w:rPr>
          <w:sz w:val="21"/>
          <w:szCs w:val="21"/>
          <w:highlight w:val="none"/>
          <w:u w:val="single"/>
        </w:rPr>
        <w:t>组织</w:t>
      </w:r>
      <w:r>
        <w:rPr>
          <w:rFonts w:hint="eastAsia"/>
          <w:sz w:val="21"/>
          <w:szCs w:val="21"/>
          <w:highlight w:val="none"/>
          <w:u w:val="single"/>
        </w:rPr>
        <w:t>承包方</w:t>
      </w:r>
      <w:r>
        <w:rPr>
          <w:sz w:val="21"/>
          <w:szCs w:val="21"/>
          <w:highlight w:val="none"/>
          <w:u w:val="single"/>
        </w:rPr>
        <w:t>勘察现场，</w:t>
      </w:r>
      <w:r>
        <w:rPr>
          <w:rFonts w:hint="eastAsia"/>
          <w:sz w:val="21"/>
          <w:szCs w:val="21"/>
          <w:highlight w:val="none"/>
          <w:u w:val="single"/>
        </w:rPr>
        <w:t>承包方</w:t>
      </w:r>
      <w:r>
        <w:rPr>
          <w:sz w:val="21"/>
          <w:szCs w:val="21"/>
          <w:highlight w:val="none"/>
          <w:u w:val="single"/>
        </w:rPr>
        <w:t>自行现场核对拆除工程量，自主报价，</w:t>
      </w:r>
      <w:r>
        <w:rPr>
          <w:rFonts w:hint="eastAsia"/>
          <w:sz w:val="21"/>
          <w:szCs w:val="21"/>
          <w:highlight w:val="none"/>
          <w:u w:val="single"/>
        </w:rPr>
        <w:t>随后，承包方</w:t>
      </w:r>
      <w:r>
        <w:rPr>
          <w:sz w:val="21"/>
          <w:szCs w:val="21"/>
          <w:highlight w:val="none"/>
          <w:u w:val="single"/>
        </w:rPr>
        <w:t>不得以拆除工程量变化和垃圾外运等问题提出经济补偿和工期拖延</w:t>
      </w:r>
      <w:r>
        <w:rPr>
          <w:rFonts w:hint="eastAsia"/>
          <w:sz w:val="21"/>
          <w:szCs w:val="21"/>
          <w:highlight w:val="none"/>
          <w:u w:val="single"/>
        </w:rPr>
        <w:t>要求</w:t>
      </w:r>
      <w:r>
        <w:rPr>
          <w:sz w:val="21"/>
          <w:szCs w:val="21"/>
          <w:highlight w:val="none"/>
          <w:u w:val="single"/>
        </w:rPr>
        <w:t>。</w:t>
      </w:r>
    </w:p>
    <w:p>
      <w:pPr>
        <w:rPr>
          <w:rFonts w:hint="eastAsia" w:ascii="方正小标宋简体" w:eastAsia="方正小标宋简体"/>
          <w:b/>
          <w:bCs w:val="0"/>
          <w:sz w:val="21"/>
          <w:szCs w:val="21"/>
          <w:highlight w:val="none"/>
        </w:rPr>
      </w:pPr>
      <w:bookmarkStart w:id="497" w:name="_Toc25979"/>
      <w:r>
        <w:rPr>
          <w:rFonts w:hint="eastAsia" w:ascii="方正小标宋简体" w:eastAsia="方正小标宋简体"/>
          <w:b/>
          <w:bCs w:val="0"/>
          <w:sz w:val="21"/>
          <w:szCs w:val="21"/>
          <w:highlight w:val="none"/>
        </w:rPr>
        <w:br w:type="page"/>
      </w:r>
    </w:p>
    <w:p>
      <w:pPr>
        <w:spacing w:line="520" w:lineRule="exact"/>
        <w:jc w:val="center"/>
        <w:outlineLvl w:val="0"/>
        <w:rPr>
          <w:rFonts w:ascii="方正小标宋简体" w:eastAsia="方正小标宋简体"/>
          <w:b/>
          <w:bCs w:val="0"/>
          <w:sz w:val="21"/>
          <w:szCs w:val="21"/>
          <w:highlight w:val="none"/>
        </w:rPr>
      </w:pPr>
      <w:r>
        <w:rPr>
          <w:rFonts w:hint="eastAsia" w:ascii="方正小标宋简体" w:eastAsia="方正小标宋简体"/>
          <w:b/>
          <w:bCs w:val="0"/>
          <w:sz w:val="21"/>
          <w:szCs w:val="21"/>
          <w:highlight w:val="none"/>
        </w:rPr>
        <w:t>安全生产责任书</w:t>
      </w:r>
      <w:bookmarkEnd w:id="497"/>
    </w:p>
    <w:p>
      <w:pPr>
        <w:spacing w:line="520" w:lineRule="exact"/>
        <w:rPr>
          <w:sz w:val="21"/>
          <w:szCs w:val="21"/>
          <w:highlight w:val="none"/>
        </w:rPr>
      </w:pPr>
    </w:p>
    <w:p>
      <w:pPr>
        <w:spacing w:line="520" w:lineRule="exact"/>
        <w:rPr>
          <w:rFonts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甲方：</w:t>
      </w:r>
      <w:r>
        <w:rPr>
          <w:rFonts w:hint="eastAsia" w:asciiTheme="minorEastAsia" w:hAnsiTheme="minorEastAsia" w:eastAsiaTheme="minorEastAsia" w:cstheme="minorEastAsia"/>
          <w:b/>
          <w:sz w:val="21"/>
          <w:szCs w:val="21"/>
          <w:highlight w:val="none"/>
          <w:u w:val="single"/>
        </w:rPr>
        <w:t xml:space="preserve"> </w:t>
      </w:r>
      <w:r>
        <w:rPr>
          <w:rFonts w:hint="eastAsia" w:asciiTheme="minorEastAsia" w:hAnsiTheme="minorEastAsia" w:eastAsiaTheme="minorEastAsia" w:cstheme="minorEastAsia"/>
          <w:b/>
          <w:sz w:val="21"/>
          <w:szCs w:val="21"/>
          <w:highlight w:val="none"/>
          <w:u w:val="single"/>
          <w:lang w:val="en-US" w:eastAsia="zh-CN"/>
        </w:rPr>
        <w:t xml:space="preserve">                    </w:t>
      </w:r>
    </w:p>
    <w:p>
      <w:pPr>
        <w:spacing w:line="520" w:lineRule="exact"/>
        <w:rPr>
          <w:rFonts w:asciiTheme="minorEastAsia" w:hAnsiTheme="minorEastAsia" w:eastAsiaTheme="minorEastAsia" w:cstheme="minorEastAsia"/>
          <w:b/>
          <w:sz w:val="21"/>
          <w:szCs w:val="21"/>
          <w:highlight w:val="none"/>
          <w:u w:val="single"/>
        </w:rPr>
      </w:pPr>
      <w:r>
        <w:rPr>
          <w:rFonts w:hint="eastAsia" w:asciiTheme="minorEastAsia" w:hAnsiTheme="minorEastAsia" w:eastAsiaTheme="minorEastAsia" w:cstheme="minorEastAsia"/>
          <w:b/>
          <w:sz w:val="21"/>
          <w:szCs w:val="21"/>
          <w:highlight w:val="none"/>
        </w:rPr>
        <w:t>乙方：</w:t>
      </w:r>
      <w:r>
        <w:rPr>
          <w:rFonts w:hint="eastAsia" w:asciiTheme="minorEastAsia" w:hAnsiTheme="minorEastAsia" w:eastAsiaTheme="minorEastAsia" w:cstheme="minorEastAsia"/>
          <w:b/>
          <w:sz w:val="21"/>
          <w:szCs w:val="21"/>
          <w:highlight w:val="none"/>
          <w:u w:val="single"/>
        </w:rPr>
        <w:t xml:space="preserve">                     </w:t>
      </w:r>
    </w:p>
    <w:p>
      <w:pPr>
        <w:spacing w:line="520" w:lineRule="exact"/>
        <w:ind w:firstLine="420" w:firstLineChars="200"/>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为了认真贯彻落实《中华人民共和国安全生产法》、《国务院302号令》、《陕西省安全生产条例》和省厅关于安全生产的各项规定，确保</w:t>
      </w:r>
      <w:r>
        <w:rPr>
          <w:rFonts w:hint="eastAsia" w:asciiTheme="minorEastAsia" w:hAnsiTheme="minorEastAsia" w:eastAsiaTheme="minorEastAsia" w:cstheme="minorEastAsia"/>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rPr>
        <w:t>安全生产的顺利进行，特制定本责任书。</w:t>
      </w:r>
    </w:p>
    <w:p>
      <w:pPr>
        <w:spacing w:line="520" w:lineRule="exact"/>
        <w:ind w:firstLine="420" w:firstLineChars="200"/>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一、落实由项目经理主要负责的逐级安全生产责任制，要求做到逐级签订责任书，并进行安全生产目标责任制的落实。</w:t>
      </w:r>
    </w:p>
    <w:p>
      <w:pPr>
        <w:spacing w:line="520" w:lineRule="exact"/>
        <w:ind w:firstLine="420" w:firstLineChars="200"/>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二、建立健全安全生产组织机构、建立安全生产规章制度，建立安全生产操作规程，并确保安全生产的资金投入。</w:t>
      </w:r>
    </w:p>
    <w:p>
      <w:pPr>
        <w:spacing w:line="520" w:lineRule="exact"/>
        <w:ind w:firstLine="420" w:firstLineChars="200"/>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三、经常开展安全生产大检查，对存在的问题和薄弱环节，采取有力措施及时督促整改，逐项落实。</w:t>
      </w:r>
    </w:p>
    <w:p>
      <w:pPr>
        <w:spacing w:line="520" w:lineRule="exact"/>
        <w:ind w:firstLine="420" w:firstLineChars="200"/>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四、搞好工地安全生产的宣传和教育，张贴安全生产宣传栏，设立警示标志。要对进场工人进行安全教育，每周召开一次安全专题会议，对每天发生的安全质量及时整改。</w:t>
      </w:r>
    </w:p>
    <w:p>
      <w:pPr>
        <w:spacing w:line="520" w:lineRule="exact"/>
        <w:ind w:firstLine="420" w:firstLineChars="200"/>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五、制定安全事故应急救援预案，建立重、特大事故报告制度，上报时间不得超过事故发生后30分钟。</w:t>
      </w:r>
    </w:p>
    <w:p>
      <w:pPr>
        <w:spacing w:line="520" w:lineRule="exact"/>
        <w:ind w:firstLine="420" w:firstLineChars="200"/>
        <w:jc w:val="left"/>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六、租用的机械设备和施工机具及配件，应当具有厂家资质、生产(制造)许可证、产品合格证等材料。特种设备须经国家有关部门检测，并出具准运证明。</w:t>
      </w:r>
    </w:p>
    <w:p>
      <w:pPr>
        <w:spacing w:line="520" w:lineRule="exact"/>
        <w:ind w:firstLine="420" w:firstLineChars="200"/>
        <w:jc w:val="left"/>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七、现场所有人员必须佩带安全帽，高空作业必须佩带安全带。</w:t>
      </w:r>
    </w:p>
    <w:p>
      <w:pPr>
        <w:spacing w:line="520" w:lineRule="exact"/>
        <w:ind w:firstLine="420" w:firstLineChars="200"/>
        <w:jc w:val="left"/>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八、施工现场的安全防护用具、机械设备、施工机具及配件应当设专人管理，定期进行检查、维修和保养。</w:t>
      </w:r>
    </w:p>
    <w:p>
      <w:pPr>
        <w:spacing w:line="520" w:lineRule="exact"/>
        <w:ind w:firstLine="420" w:firstLineChars="200"/>
        <w:jc w:val="left"/>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九、施工单位接用水、电时必须安装总表。现场用电三相五线制，一机一闸，带漏电保护。不准私拉乱扯电缆线，严格按规范用电要求使用。</w:t>
      </w:r>
    </w:p>
    <w:p>
      <w:pPr>
        <w:spacing w:line="520" w:lineRule="exact"/>
        <w:ind w:firstLine="420" w:firstLineChars="200"/>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十、特殊工种必须持证上岗，专职人员操作，无证人员不得上岗。</w:t>
      </w:r>
    </w:p>
    <w:p>
      <w:pPr>
        <w:spacing w:line="520" w:lineRule="exact"/>
        <w:ind w:firstLine="420" w:firstLineChars="200"/>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十一、定期对从业人员进行健康检查，老弱病残和未成年人不得上岗。</w:t>
      </w:r>
    </w:p>
    <w:p>
      <w:pPr>
        <w:spacing w:line="520" w:lineRule="exact"/>
        <w:ind w:firstLine="420" w:firstLineChars="200"/>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十二、严格门禁制度，非施工人员严禁进入施工现场。夜间和假期派专人值班，做好防火、防盗和防事故工作。</w:t>
      </w:r>
    </w:p>
    <w:p>
      <w:pPr>
        <w:spacing w:line="520" w:lineRule="exact"/>
        <w:ind w:firstLine="420" w:firstLineChars="200"/>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十三、建立食品安全制度，确保饮食安全。</w:t>
      </w:r>
    </w:p>
    <w:p>
      <w:pPr>
        <w:spacing w:line="520" w:lineRule="exact"/>
        <w:ind w:firstLine="420" w:firstLineChars="200"/>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十四、施工单位必须设立专职安全员，全面负责施工期间的安全工作，并接受监理和甲方安全监督员的管理。</w:t>
      </w:r>
    </w:p>
    <w:p>
      <w:pPr>
        <w:spacing w:line="520" w:lineRule="exact"/>
        <w:ind w:firstLine="420" w:firstLineChars="200"/>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十五、所有工作人员必须遵守施工规范或规程，不得野蛮施工，不顾安全施工，造成安全事故由施工单位负责。</w:t>
      </w:r>
    </w:p>
    <w:p>
      <w:pPr>
        <w:spacing w:line="520" w:lineRule="exact"/>
        <w:ind w:firstLine="420" w:firstLineChars="200"/>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十六、施工单位负责职工的安全教育，负责施工人员和机械的安全，并全部承担由此引起的经济和法律责任。</w:t>
      </w:r>
    </w:p>
    <w:p>
      <w:pPr>
        <w:spacing w:line="520" w:lineRule="exact"/>
        <w:ind w:firstLine="420" w:firstLineChars="200"/>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十七、施工单位加强对工人的监管，严禁与学校师生发生口角与肢体冲突，否则重罚。</w:t>
      </w:r>
    </w:p>
    <w:p>
      <w:pPr>
        <w:spacing w:line="520" w:lineRule="exact"/>
        <w:ind w:firstLine="420" w:firstLineChars="200"/>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十八、施工单位负责外部环境的协调工作，加强职工法律意识，工地发生的任何冲突和纠纷，与学院无关，施工单位承担由此引起的全部经济和法律责任。</w:t>
      </w:r>
    </w:p>
    <w:p>
      <w:pPr>
        <w:spacing w:line="520" w:lineRule="exact"/>
        <w:ind w:firstLine="420" w:firstLineChars="200"/>
        <w:rPr>
          <w:rFonts w:asciiTheme="minorEastAsia" w:hAnsiTheme="minorEastAsia" w:eastAsiaTheme="minorEastAsia" w:cstheme="minorEastAsia"/>
          <w:sz w:val="21"/>
          <w:szCs w:val="21"/>
          <w:highlight w:val="none"/>
        </w:rPr>
      </w:pPr>
    </w:p>
    <w:p>
      <w:pPr>
        <w:spacing w:line="520" w:lineRule="exact"/>
        <w:ind w:left="4813" w:leftChars="142" w:hanging="4515" w:hangingChars="2150"/>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xml:space="preserve">甲方：                                 乙方： </w:t>
      </w:r>
    </w:p>
    <w:p>
      <w:pPr>
        <w:spacing w:line="520" w:lineRule="exact"/>
        <w:ind w:firstLine="420" w:firstLineChars="200"/>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xml:space="preserve">       （盖章）                    （盖章）</w:t>
      </w:r>
    </w:p>
    <w:p>
      <w:pPr>
        <w:spacing w:line="520" w:lineRule="exact"/>
        <w:ind w:firstLine="420" w:firstLineChars="200"/>
        <w:rPr>
          <w:rFonts w:asciiTheme="minorEastAsia" w:hAnsiTheme="minorEastAsia" w:eastAsiaTheme="minorEastAsia" w:cstheme="minorEastAsia"/>
          <w:sz w:val="21"/>
          <w:szCs w:val="21"/>
          <w:highlight w:val="none"/>
        </w:rPr>
      </w:pPr>
    </w:p>
    <w:p>
      <w:pPr>
        <w:tabs>
          <w:tab w:val="left" w:pos="5145"/>
        </w:tabs>
        <w:spacing w:line="520" w:lineRule="exact"/>
        <w:ind w:firstLine="210" w:firstLineChars="100"/>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负责人：                            负责人：</w:t>
      </w:r>
    </w:p>
    <w:p>
      <w:pPr>
        <w:tabs>
          <w:tab w:val="left" w:pos="5145"/>
        </w:tabs>
        <w:spacing w:line="520" w:lineRule="exact"/>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xml:space="preserve">        年   月   日                         年   月   日</w:t>
      </w:r>
      <w:bookmarkEnd w:id="496"/>
    </w:p>
    <w:p>
      <w:pPr>
        <w:rPr>
          <w:rFonts w:hint="eastAsia" w:asciiTheme="minorEastAsia" w:hAnsiTheme="minorEastAsia" w:eastAsiaTheme="minorEastAsia" w:cstheme="minorEastAsia"/>
          <w:sz w:val="21"/>
          <w:szCs w:val="21"/>
          <w:highlight w:val="none"/>
        </w:rPr>
      </w:pPr>
      <w:bookmarkStart w:id="498" w:name="_Toc25801"/>
      <w:r>
        <w:rPr>
          <w:rFonts w:hint="eastAsia" w:asciiTheme="minorEastAsia" w:hAnsiTheme="minorEastAsia" w:eastAsiaTheme="minorEastAsia" w:cstheme="minorEastAsia"/>
          <w:sz w:val="21"/>
          <w:szCs w:val="21"/>
          <w:highlight w:val="none"/>
        </w:rPr>
        <w:br w:type="page"/>
      </w:r>
    </w:p>
    <w:p>
      <w:pPr>
        <w:spacing w:line="520" w:lineRule="exact"/>
        <w:jc w:val="center"/>
        <w:outlineLvl w:val="0"/>
        <w:rPr>
          <w:b/>
          <w:bCs/>
          <w:sz w:val="21"/>
          <w:szCs w:val="21"/>
          <w:highlight w:val="none"/>
        </w:rPr>
      </w:pPr>
      <w:r>
        <w:rPr>
          <w:rFonts w:hint="eastAsia" w:asciiTheme="minorEastAsia" w:hAnsiTheme="minorEastAsia" w:eastAsiaTheme="minorEastAsia" w:cstheme="minorEastAsia"/>
          <w:b/>
          <w:bCs/>
          <w:sz w:val="21"/>
          <w:szCs w:val="21"/>
          <w:highlight w:val="none"/>
        </w:rPr>
        <w:t>建设工程廉政合同</w:t>
      </w:r>
      <w:bookmarkEnd w:id="498"/>
    </w:p>
    <w:p>
      <w:pPr>
        <w:spacing w:line="520" w:lineRule="exact"/>
        <w:rPr>
          <w:sz w:val="21"/>
          <w:szCs w:val="21"/>
          <w:highlight w:val="none"/>
          <w:u w:val="single"/>
        </w:rPr>
      </w:pPr>
      <w:r>
        <w:rPr>
          <w:rFonts w:hint="eastAsia"/>
          <w:sz w:val="21"/>
          <w:szCs w:val="21"/>
          <w:highlight w:val="none"/>
        </w:rPr>
        <w:t>建设单位（以下简称甲方）：</w:t>
      </w:r>
      <w:r>
        <w:rPr>
          <w:rFonts w:hint="eastAsia"/>
          <w:sz w:val="21"/>
          <w:szCs w:val="21"/>
          <w:highlight w:val="none"/>
          <w:u w:val="single"/>
        </w:rPr>
        <w:t xml:space="preserve"> </w:t>
      </w:r>
      <w:r>
        <w:rPr>
          <w:rFonts w:hint="eastAsia"/>
          <w:sz w:val="21"/>
          <w:szCs w:val="21"/>
          <w:highlight w:val="none"/>
          <w:u w:val="single"/>
          <w:lang w:val="en-US" w:eastAsia="zh-CN"/>
        </w:rPr>
        <w:t xml:space="preserve">                    </w:t>
      </w:r>
      <w:r>
        <w:rPr>
          <w:rFonts w:hint="eastAsia"/>
          <w:sz w:val="21"/>
          <w:szCs w:val="21"/>
          <w:highlight w:val="none"/>
          <w:u w:val="single"/>
        </w:rPr>
        <w:t xml:space="preserve">  </w:t>
      </w:r>
    </w:p>
    <w:p>
      <w:pPr>
        <w:spacing w:line="520" w:lineRule="exact"/>
        <w:rPr>
          <w:sz w:val="21"/>
          <w:szCs w:val="21"/>
          <w:highlight w:val="none"/>
          <w:u w:val="single"/>
        </w:rPr>
      </w:pPr>
      <w:r>
        <w:rPr>
          <w:rFonts w:hint="eastAsia"/>
          <w:sz w:val="21"/>
          <w:szCs w:val="21"/>
          <w:highlight w:val="none"/>
        </w:rPr>
        <w:t>施工单位（以下简称乙方）：</w:t>
      </w:r>
      <w:r>
        <w:rPr>
          <w:rFonts w:hint="eastAsia"/>
          <w:sz w:val="21"/>
          <w:szCs w:val="21"/>
          <w:highlight w:val="none"/>
          <w:u w:val="single"/>
        </w:rPr>
        <w:t xml:space="preserve">                        </w:t>
      </w:r>
    </w:p>
    <w:p>
      <w:pPr>
        <w:spacing w:line="520" w:lineRule="exact"/>
        <w:ind w:firstLine="424" w:firstLineChars="202"/>
        <w:rPr>
          <w:sz w:val="21"/>
          <w:szCs w:val="21"/>
          <w:highlight w:val="none"/>
          <w:u w:val="single"/>
        </w:rPr>
      </w:pPr>
      <w:r>
        <w:rPr>
          <w:rFonts w:hint="eastAsia"/>
          <w:sz w:val="21"/>
          <w:szCs w:val="21"/>
          <w:highlight w:val="none"/>
        </w:rPr>
        <w:t>根据国家建设工程廉政建设相关规定、交通部《关于在交通基础设施建设中加强廉政建设的若干意见》以及有关工程建设、廉政建设的规定，为做好工程建设中的党风廉政建设，保证工程建设高效优质、保证建设资金的安全和有效使用以及投资效益，特订立如下合同。</w:t>
      </w:r>
    </w:p>
    <w:p>
      <w:pPr>
        <w:spacing w:line="520" w:lineRule="exact"/>
        <w:ind w:firstLine="417" w:firstLineChars="198"/>
        <w:rPr>
          <w:b/>
          <w:sz w:val="21"/>
          <w:szCs w:val="21"/>
          <w:highlight w:val="none"/>
        </w:rPr>
      </w:pPr>
      <w:r>
        <w:rPr>
          <w:rFonts w:hint="eastAsia"/>
          <w:b/>
          <w:sz w:val="21"/>
          <w:szCs w:val="21"/>
          <w:highlight w:val="none"/>
        </w:rPr>
        <w:t>第一条  甲乙双方的权利和义务</w:t>
      </w:r>
    </w:p>
    <w:p>
      <w:pPr>
        <w:spacing w:line="520" w:lineRule="exact"/>
        <w:ind w:firstLine="525" w:firstLineChars="250"/>
        <w:rPr>
          <w:sz w:val="21"/>
          <w:szCs w:val="21"/>
          <w:highlight w:val="none"/>
        </w:rPr>
      </w:pPr>
      <w:r>
        <w:rPr>
          <w:rFonts w:hint="eastAsia"/>
          <w:sz w:val="21"/>
          <w:szCs w:val="21"/>
          <w:highlight w:val="none"/>
        </w:rPr>
        <w:t>（一）严格遵守党和国家有关法律法规及建设部的有关规定。</w:t>
      </w:r>
    </w:p>
    <w:p>
      <w:pPr>
        <w:spacing w:line="520" w:lineRule="exact"/>
        <w:ind w:firstLine="525" w:firstLineChars="250"/>
        <w:rPr>
          <w:sz w:val="21"/>
          <w:szCs w:val="21"/>
          <w:highlight w:val="none"/>
        </w:rPr>
      </w:pPr>
      <w:r>
        <w:rPr>
          <w:rFonts w:hint="eastAsia"/>
          <w:sz w:val="21"/>
          <w:szCs w:val="21"/>
          <w:highlight w:val="none"/>
        </w:rPr>
        <w:t>（二）严格执行</w:t>
      </w:r>
      <w:r>
        <w:rPr>
          <w:rFonts w:hint="eastAsia"/>
          <w:sz w:val="21"/>
          <w:szCs w:val="21"/>
          <w:highlight w:val="none"/>
          <w:u w:val="single"/>
          <w:lang w:val="en-US" w:eastAsia="zh-CN"/>
        </w:rPr>
        <w:t xml:space="preserve">                           </w:t>
      </w:r>
      <w:r>
        <w:rPr>
          <w:rFonts w:hint="eastAsia"/>
          <w:sz w:val="21"/>
          <w:szCs w:val="21"/>
          <w:highlight w:val="none"/>
        </w:rPr>
        <w:t>的合同文件，自觉按合同办事。</w:t>
      </w:r>
    </w:p>
    <w:p>
      <w:pPr>
        <w:spacing w:line="520" w:lineRule="exact"/>
        <w:ind w:firstLine="525" w:firstLineChars="250"/>
        <w:rPr>
          <w:sz w:val="21"/>
          <w:szCs w:val="21"/>
          <w:highlight w:val="none"/>
        </w:rPr>
      </w:pPr>
      <w:r>
        <w:rPr>
          <w:rFonts w:hint="eastAsia"/>
          <w:sz w:val="21"/>
          <w:szCs w:val="21"/>
          <w:highlight w:val="none"/>
        </w:rPr>
        <w:t>（三）双方的业务活动坚持公开、公平、公正、诚信和透明的原则（除法律认定的商业秘密和合同文件另有规定之外），不得损害国家和集体利益，违反工程建设管理规章制度。</w:t>
      </w:r>
    </w:p>
    <w:p>
      <w:pPr>
        <w:spacing w:line="520" w:lineRule="exact"/>
        <w:ind w:firstLine="525" w:firstLineChars="250"/>
        <w:rPr>
          <w:sz w:val="21"/>
          <w:szCs w:val="21"/>
          <w:highlight w:val="none"/>
        </w:rPr>
      </w:pPr>
      <w:r>
        <w:rPr>
          <w:rFonts w:hint="eastAsia"/>
          <w:sz w:val="21"/>
          <w:szCs w:val="21"/>
          <w:highlight w:val="none"/>
        </w:rPr>
        <w:t>（四）建立健全廉政制度，开展廉政教育，设立廉政告示牌，公布举报电话，监督并认真查处违法违纪行为。</w:t>
      </w:r>
    </w:p>
    <w:p>
      <w:pPr>
        <w:spacing w:line="520" w:lineRule="exact"/>
        <w:ind w:firstLine="525" w:firstLineChars="250"/>
        <w:rPr>
          <w:sz w:val="21"/>
          <w:szCs w:val="21"/>
          <w:highlight w:val="none"/>
        </w:rPr>
      </w:pPr>
      <w:r>
        <w:rPr>
          <w:rFonts w:hint="eastAsia"/>
          <w:sz w:val="21"/>
          <w:szCs w:val="21"/>
          <w:highlight w:val="none"/>
        </w:rPr>
        <w:t>（五）发现对方在业务活动中有违反廉政规定的行为，有及时提醒对方纠正的权利和义务。</w:t>
      </w:r>
    </w:p>
    <w:p>
      <w:pPr>
        <w:spacing w:line="520" w:lineRule="exact"/>
        <w:ind w:firstLine="525" w:firstLineChars="250"/>
        <w:rPr>
          <w:sz w:val="21"/>
          <w:szCs w:val="21"/>
          <w:highlight w:val="none"/>
        </w:rPr>
      </w:pPr>
      <w:r>
        <w:rPr>
          <w:rFonts w:hint="eastAsia"/>
          <w:sz w:val="21"/>
          <w:szCs w:val="21"/>
          <w:highlight w:val="none"/>
        </w:rPr>
        <w:t>（六）发现对方严重违反本合同义务条款的行为，有向其上级有关部门举报、建议给予处理并要求告知处理结果的权利。</w:t>
      </w:r>
    </w:p>
    <w:p>
      <w:pPr>
        <w:spacing w:line="520" w:lineRule="exact"/>
        <w:ind w:firstLine="521" w:firstLineChars="247"/>
        <w:rPr>
          <w:b/>
          <w:sz w:val="21"/>
          <w:szCs w:val="21"/>
          <w:highlight w:val="none"/>
        </w:rPr>
      </w:pPr>
      <w:r>
        <w:rPr>
          <w:rFonts w:hint="eastAsia"/>
          <w:b/>
          <w:sz w:val="21"/>
          <w:szCs w:val="21"/>
          <w:highlight w:val="none"/>
        </w:rPr>
        <w:t>第二条  甲方的义务</w:t>
      </w:r>
    </w:p>
    <w:p>
      <w:pPr>
        <w:spacing w:line="520" w:lineRule="exact"/>
        <w:ind w:firstLine="420" w:firstLineChars="200"/>
        <w:rPr>
          <w:sz w:val="21"/>
          <w:szCs w:val="21"/>
          <w:highlight w:val="none"/>
        </w:rPr>
      </w:pPr>
      <w:r>
        <w:rPr>
          <w:rFonts w:hint="eastAsia"/>
          <w:sz w:val="21"/>
          <w:szCs w:val="21"/>
          <w:highlight w:val="none"/>
        </w:rPr>
        <w:t>（一）甲方及其工作人员不得索要或接受乙方的礼金、有价证券和贵重物品，不得在乙方报销任何应甲方或个人支付的费用等。</w:t>
      </w:r>
    </w:p>
    <w:p>
      <w:pPr>
        <w:spacing w:line="520" w:lineRule="exact"/>
        <w:ind w:firstLine="420" w:firstLineChars="200"/>
        <w:rPr>
          <w:sz w:val="21"/>
          <w:szCs w:val="21"/>
          <w:highlight w:val="none"/>
        </w:rPr>
      </w:pPr>
      <w:r>
        <w:rPr>
          <w:rFonts w:hint="eastAsia"/>
          <w:sz w:val="21"/>
          <w:szCs w:val="21"/>
          <w:highlight w:val="none"/>
        </w:rPr>
        <w:t>（二）甲方工作人员不得参加乙方安排的超标准宴请和娱乐活动；不得接受乙方提供的通讯工具、交通工具和高档办公用品等。</w:t>
      </w:r>
    </w:p>
    <w:p>
      <w:pPr>
        <w:spacing w:line="520" w:lineRule="exact"/>
        <w:ind w:firstLine="420" w:firstLineChars="200"/>
        <w:rPr>
          <w:sz w:val="21"/>
          <w:szCs w:val="21"/>
          <w:highlight w:val="none"/>
        </w:rPr>
      </w:pPr>
      <w:r>
        <w:rPr>
          <w:rFonts w:hint="eastAsia"/>
          <w:sz w:val="21"/>
          <w:szCs w:val="21"/>
          <w:highlight w:val="none"/>
        </w:rPr>
        <w:t>（三）甲方及其工作人员不得要求或者接受乙方为其住房装修、婚丧嫁娶活动、配偶子女的工作安排以及出国出境、旅游等提供方便等。</w:t>
      </w:r>
    </w:p>
    <w:p>
      <w:pPr>
        <w:spacing w:line="520" w:lineRule="exact"/>
        <w:ind w:firstLine="420" w:firstLineChars="200"/>
        <w:rPr>
          <w:sz w:val="21"/>
          <w:szCs w:val="21"/>
          <w:highlight w:val="none"/>
        </w:rPr>
      </w:pPr>
      <w:r>
        <w:rPr>
          <w:rFonts w:hint="eastAsia"/>
          <w:sz w:val="21"/>
          <w:szCs w:val="21"/>
          <w:highlight w:val="none"/>
        </w:rPr>
        <w:t>（四）甲方工作人员的配偶、子女不得从事与甲方工程有关的材料设备供应、工程分包、劳务等经济活动等。</w:t>
      </w:r>
    </w:p>
    <w:p>
      <w:pPr>
        <w:spacing w:line="520" w:lineRule="exact"/>
        <w:ind w:firstLine="420" w:firstLineChars="200"/>
        <w:rPr>
          <w:sz w:val="21"/>
          <w:szCs w:val="21"/>
          <w:highlight w:val="none"/>
        </w:rPr>
      </w:pPr>
      <w:r>
        <w:rPr>
          <w:rFonts w:hint="eastAsia"/>
          <w:sz w:val="21"/>
          <w:szCs w:val="21"/>
          <w:highlight w:val="none"/>
        </w:rPr>
        <w:t>（五）甲方及其工作人员不得以任何理由向乙方推荐分包单位，不得要求乙方购买合同规定外材料和设备。</w:t>
      </w:r>
    </w:p>
    <w:p>
      <w:pPr>
        <w:spacing w:line="520" w:lineRule="exact"/>
        <w:ind w:firstLine="415" w:firstLineChars="197"/>
        <w:rPr>
          <w:b/>
          <w:sz w:val="21"/>
          <w:szCs w:val="21"/>
          <w:highlight w:val="none"/>
        </w:rPr>
      </w:pPr>
      <w:r>
        <w:rPr>
          <w:rFonts w:hint="eastAsia"/>
          <w:b/>
          <w:sz w:val="21"/>
          <w:szCs w:val="21"/>
          <w:highlight w:val="none"/>
        </w:rPr>
        <w:t>第三条  乙方义务</w:t>
      </w:r>
    </w:p>
    <w:p>
      <w:pPr>
        <w:spacing w:line="520" w:lineRule="exact"/>
        <w:ind w:firstLine="420" w:firstLineChars="200"/>
        <w:rPr>
          <w:sz w:val="21"/>
          <w:szCs w:val="21"/>
          <w:highlight w:val="none"/>
        </w:rPr>
      </w:pPr>
      <w:r>
        <w:rPr>
          <w:rFonts w:hint="eastAsia"/>
          <w:sz w:val="21"/>
          <w:szCs w:val="21"/>
          <w:highlight w:val="none"/>
        </w:rPr>
        <w:t>（一）乙方不得以任何理由向甲方及其工作人员行贿或馈赠礼金、有价证券、贵重礼品。</w:t>
      </w:r>
    </w:p>
    <w:p>
      <w:pPr>
        <w:spacing w:line="520" w:lineRule="exact"/>
        <w:ind w:firstLine="420" w:firstLineChars="200"/>
        <w:rPr>
          <w:sz w:val="21"/>
          <w:szCs w:val="21"/>
          <w:highlight w:val="none"/>
        </w:rPr>
      </w:pPr>
      <w:r>
        <w:rPr>
          <w:rFonts w:hint="eastAsia"/>
          <w:sz w:val="21"/>
          <w:szCs w:val="21"/>
          <w:highlight w:val="none"/>
        </w:rPr>
        <w:t>（二）乙方不得以任何名义为甲方及其工作人员报销应由甲方单位或个人支付的任何费用。</w:t>
      </w:r>
    </w:p>
    <w:p>
      <w:pPr>
        <w:spacing w:line="520" w:lineRule="exact"/>
        <w:ind w:firstLine="420" w:firstLineChars="200"/>
        <w:rPr>
          <w:sz w:val="21"/>
          <w:szCs w:val="21"/>
          <w:highlight w:val="none"/>
        </w:rPr>
      </w:pPr>
      <w:r>
        <w:rPr>
          <w:rFonts w:hint="eastAsia"/>
          <w:sz w:val="21"/>
          <w:szCs w:val="21"/>
          <w:highlight w:val="none"/>
        </w:rPr>
        <w:t>（三）乙方不得以任何理由安排甲方工作人员参加超标准宴请及娱乐活动。</w:t>
      </w:r>
    </w:p>
    <w:p>
      <w:pPr>
        <w:spacing w:line="520" w:lineRule="exact"/>
        <w:ind w:firstLine="420" w:firstLineChars="200"/>
        <w:rPr>
          <w:sz w:val="21"/>
          <w:szCs w:val="21"/>
          <w:highlight w:val="none"/>
        </w:rPr>
      </w:pPr>
      <w:r>
        <w:rPr>
          <w:rFonts w:hint="eastAsia"/>
          <w:sz w:val="21"/>
          <w:szCs w:val="21"/>
          <w:highlight w:val="none"/>
        </w:rPr>
        <w:t>（四）乙方不得为甲方单位和个人购置或提供通讯工具、交通工具和高档办公用品等。</w:t>
      </w:r>
    </w:p>
    <w:p>
      <w:pPr>
        <w:spacing w:line="520" w:lineRule="exact"/>
        <w:ind w:firstLine="417" w:firstLineChars="198"/>
        <w:rPr>
          <w:b/>
          <w:sz w:val="21"/>
          <w:szCs w:val="21"/>
          <w:highlight w:val="none"/>
        </w:rPr>
      </w:pPr>
      <w:r>
        <w:rPr>
          <w:rFonts w:hint="eastAsia"/>
          <w:b/>
          <w:sz w:val="21"/>
          <w:szCs w:val="21"/>
          <w:highlight w:val="none"/>
        </w:rPr>
        <w:t>第四条  违约责任</w:t>
      </w:r>
    </w:p>
    <w:p>
      <w:pPr>
        <w:spacing w:line="520" w:lineRule="exact"/>
        <w:ind w:firstLine="420" w:firstLineChars="200"/>
        <w:rPr>
          <w:sz w:val="21"/>
          <w:szCs w:val="21"/>
          <w:highlight w:val="none"/>
        </w:rPr>
      </w:pPr>
      <w:r>
        <w:rPr>
          <w:rFonts w:hint="eastAsia"/>
          <w:sz w:val="21"/>
          <w:szCs w:val="21"/>
          <w:highlight w:val="none"/>
        </w:rPr>
        <w:t>（一）甲方及其工作人员违反本合同第一、二条，按管理权限，依据有关规定给予党纪、政纪或组织处理；涉嫌犯罪的，移交司法机关追究刑事责任；给乙方单位造成经济损失的，应予以赔偿。</w:t>
      </w:r>
    </w:p>
    <w:p>
      <w:pPr>
        <w:spacing w:line="520" w:lineRule="exact"/>
        <w:ind w:firstLine="420" w:firstLineChars="200"/>
        <w:rPr>
          <w:sz w:val="21"/>
          <w:szCs w:val="21"/>
          <w:highlight w:val="none"/>
        </w:rPr>
      </w:pPr>
      <w:r>
        <w:rPr>
          <w:rFonts w:hint="eastAsia"/>
          <w:sz w:val="21"/>
          <w:szCs w:val="21"/>
          <w:highlight w:val="none"/>
        </w:rPr>
        <w:t>（二）乙方及其工作人员违反本合同第一、三条，按管理权限，依据有关规定，给予党纪、政纪或组织处理；给甲方单位造成经济损失的，应予以赔偿；情节严重的，甲方建议建筑工程建设主管部门给予乙方一至三年内不得进入其主管的建筑工程建设市场的处罚。</w:t>
      </w:r>
    </w:p>
    <w:p>
      <w:pPr>
        <w:spacing w:line="520" w:lineRule="exact"/>
        <w:ind w:firstLine="422" w:firstLineChars="200"/>
        <w:rPr>
          <w:b/>
          <w:sz w:val="21"/>
          <w:szCs w:val="21"/>
          <w:highlight w:val="none"/>
        </w:rPr>
      </w:pPr>
      <w:r>
        <w:rPr>
          <w:rFonts w:hint="eastAsia"/>
          <w:b/>
          <w:sz w:val="21"/>
          <w:szCs w:val="21"/>
          <w:highlight w:val="none"/>
        </w:rPr>
        <w:t>第五条  双方约定：</w:t>
      </w:r>
    </w:p>
    <w:p>
      <w:pPr>
        <w:spacing w:line="520" w:lineRule="exact"/>
        <w:ind w:firstLine="420" w:firstLineChars="200"/>
        <w:rPr>
          <w:sz w:val="21"/>
          <w:szCs w:val="21"/>
          <w:highlight w:val="none"/>
        </w:rPr>
      </w:pPr>
      <w:r>
        <w:rPr>
          <w:rFonts w:hint="eastAsia"/>
          <w:sz w:val="21"/>
          <w:szCs w:val="21"/>
          <w:highlight w:val="none"/>
        </w:rPr>
        <w:t>本合同由双方或双方上级单位的纪检监察机关负责监督。由甲方或甲方上级单位的纪检监察机关的约请乙方或乙方上级单位纪检监察机关对本合同履行情况进行检查，提出在本合同规定范围内的裁定意见。</w:t>
      </w:r>
    </w:p>
    <w:p>
      <w:pPr>
        <w:spacing w:line="520" w:lineRule="exact"/>
        <w:ind w:firstLine="422" w:firstLineChars="200"/>
        <w:rPr>
          <w:sz w:val="21"/>
          <w:szCs w:val="21"/>
          <w:highlight w:val="none"/>
        </w:rPr>
      </w:pPr>
      <w:r>
        <w:rPr>
          <w:rFonts w:hint="eastAsia"/>
          <w:b/>
          <w:sz w:val="21"/>
          <w:szCs w:val="21"/>
          <w:highlight w:val="none"/>
        </w:rPr>
        <w:t xml:space="preserve">第六条 </w:t>
      </w:r>
      <w:r>
        <w:rPr>
          <w:rFonts w:hint="eastAsia"/>
          <w:sz w:val="21"/>
          <w:szCs w:val="21"/>
          <w:highlight w:val="none"/>
        </w:rPr>
        <w:t xml:space="preserve"> 本合同有效期为甲、乙双方签署之日起至该工程项目竣工验收后止。</w:t>
      </w:r>
    </w:p>
    <w:p>
      <w:pPr>
        <w:spacing w:line="520" w:lineRule="exact"/>
        <w:ind w:firstLine="422" w:firstLineChars="200"/>
        <w:rPr>
          <w:sz w:val="21"/>
          <w:szCs w:val="21"/>
          <w:highlight w:val="none"/>
        </w:rPr>
      </w:pPr>
      <w:r>
        <w:rPr>
          <w:rFonts w:hint="eastAsia"/>
          <w:b/>
          <w:sz w:val="21"/>
          <w:szCs w:val="21"/>
          <w:highlight w:val="none"/>
        </w:rPr>
        <w:t xml:space="preserve">第七条 </w:t>
      </w:r>
      <w:r>
        <w:rPr>
          <w:rFonts w:hint="eastAsia"/>
          <w:sz w:val="21"/>
          <w:szCs w:val="21"/>
          <w:highlight w:val="none"/>
        </w:rPr>
        <w:t xml:space="preserve"> 本合同作为</w:t>
      </w:r>
      <w:r>
        <w:rPr>
          <w:rFonts w:hint="eastAsia"/>
          <w:sz w:val="21"/>
          <w:szCs w:val="21"/>
          <w:highlight w:val="none"/>
          <w:u w:val="single"/>
        </w:rPr>
        <w:t xml:space="preserve"> </w:t>
      </w:r>
      <w:r>
        <w:rPr>
          <w:rFonts w:hint="eastAsia"/>
          <w:sz w:val="21"/>
          <w:szCs w:val="21"/>
          <w:highlight w:val="none"/>
          <w:u w:val="single"/>
          <w:lang w:val="en-US" w:eastAsia="zh-CN"/>
        </w:rPr>
        <w:t xml:space="preserve">                       </w:t>
      </w:r>
      <w:r>
        <w:rPr>
          <w:rFonts w:hint="eastAsia"/>
          <w:sz w:val="21"/>
          <w:szCs w:val="21"/>
          <w:highlight w:val="none"/>
          <w:u w:val="single"/>
        </w:rPr>
        <w:t xml:space="preserve"> </w:t>
      </w:r>
      <w:r>
        <w:rPr>
          <w:rFonts w:hint="eastAsia"/>
          <w:sz w:val="21"/>
          <w:szCs w:val="21"/>
          <w:highlight w:val="none"/>
        </w:rPr>
        <w:t>施工合同的附件，与工程施工合同具有同等的法律效力，经合同双方签署立即生效。</w:t>
      </w:r>
    </w:p>
    <w:p>
      <w:pPr>
        <w:spacing w:line="520" w:lineRule="exact"/>
        <w:ind w:firstLine="422" w:firstLineChars="200"/>
        <w:rPr>
          <w:b/>
          <w:sz w:val="21"/>
          <w:szCs w:val="21"/>
          <w:highlight w:val="none"/>
        </w:rPr>
      </w:pPr>
      <w:r>
        <w:rPr>
          <w:rFonts w:hint="eastAsia"/>
          <w:b/>
          <w:sz w:val="21"/>
          <w:szCs w:val="21"/>
          <w:highlight w:val="none"/>
        </w:rPr>
        <w:t xml:space="preserve">第八条   </w:t>
      </w:r>
      <w:r>
        <w:rPr>
          <w:rFonts w:hint="eastAsia"/>
          <w:sz w:val="21"/>
          <w:szCs w:val="21"/>
          <w:highlight w:val="none"/>
        </w:rPr>
        <w:t>本合同甲乙双方各执一份。</w:t>
      </w:r>
    </w:p>
    <w:p>
      <w:pPr>
        <w:spacing w:line="520" w:lineRule="exact"/>
        <w:rPr>
          <w:sz w:val="21"/>
          <w:szCs w:val="21"/>
          <w:highlight w:val="none"/>
        </w:rPr>
      </w:pPr>
    </w:p>
    <w:p>
      <w:pPr>
        <w:spacing w:line="520" w:lineRule="exact"/>
        <w:rPr>
          <w:sz w:val="21"/>
          <w:szCs w:val="21"/>
          <w:highlight w:val="none"/>
        </w:rPr>
      </w:pPr>
      <w:r>
        <w:rPr>
          <w:rFonts w:hint="eastAsia"/>
          <w:sz w:val="21"/>
          <w:szCs w:val="21"/>
          <w:highlight w:val="none"/>
        </w:rPr>
        <w:t>建设单位：（盖章）                 施工单位：（盖章）</w:t>
      </w:r>
    </w:p>
    <w:p>
      <w:pPr>
        <w:tabs>
          <w:tab w:val="left" w:pos="4800"/>
        </w:tabs>
        <w:spacing w:line="520" w:lineRule="exact"/>
        <w:rPr>
          <w:sz w:val="21"/>
          <w:szCs w:val="21"/>
          <w:highlight w:val="none"/>
        </w:rPr>
      </w:pPr>
      <w:r>
        <w:rPr>
          <w:rFonts w:hint="eastAsia"/>
          <w:sz w:val="21"/>
          <w:szCs w:val="21"/>
          <w:highlight w:val="none"/>
        </w:rPr>
        <w:t>法定代表人：</w:t>
      </w:r>
      <w:r>
        <w:rPr>
          <w:sz w:val="21"/>
          <w:szCs w:val="21"/>
          <w:highlight w:val="none"/>
        </w:rPr>
        <w:tab/>
      </w:r>
      <w:r>
        <w:rPr>
          <w:rFonts w:hint="eastAsia"/>
          <w:sz w:val="21"/>
          <w:szCs w:val="21"/>
          <w:highlight w:val="none"/>
        </w:rPr>
        <w:t>法定代表人：</w:t>
      </w:r>
    </w:p>
    <w:p>
      <w:pPr>
        <w:tabs>
          <w:tab w:val="left" w:pos="4800"/>
        </w:tabs>
        <w:spacing w:line="520" w:lineRule="exact"/>
        <w:rPr>
          <w:sz w:val="21"/>
          <w:szCs w:val="21"/>
          <w:highlight w:val="none"/>
        </w:rPr>
      </w:pPr>
      <w:r>
        <w:rPr>
          <w:rFonts w:hint="eastAsia"/>
          <w:sz w:val="21"/>
          <w:szCs w:val="21"/>
          <w:highlight w:val="none"/>
        </w:rPr>
        <w:t>委托代理人：</w:t>
      </w:r>
      <w:r>
        <w:rPr>
          <w:sz w:val="21"/>
          <w:szCs w:val="21"/>
          <w:highlight w:val="none"/>
        </w:rPr>
        <w:tab/>
      </w:r>
      <w:r>
        <w:rPr>
          <w:rFonts w:hint="eastAsia"/>
          <w:sz w:val="21"/>
          <w:szCs w:val="21"/>
          <w:highlight w:val="none"/>
        </w:rPr>
        <w:t>委托代理人：</w:t>
      </w:r>
    </w:p>
    <w:p>
      <w:pPr>
        <w:tabs>
          <w:tab w:val="left" w:pos="4800"/>
        </w:tabs>
        <w:spacing w:line="520" w:lineRule="exact"/>
        <w:rPr>
          <w:sz w:val="21"/>
          <w:szCs w:val="21"/>
          <w:highlight w:val="none"/>
        </w:rPr>
      </w:pPr>
      <w:r>
        <w:rPr>
          <w:rFonts w:hint="eastAsia"/>
          <w:sz w:val="21"/>
          <w:szCs w:val="21"/>
          <w:highlight w:val="none"/>
        </w:rPr>
        <w:t>经手人：</w:t>
      </w:r>
      <w:r>
        <w:rPr>
          <w:sz w:val="21"/>
          <w:szCs w:val="21"/>
          <w:highlight w:val="none"/>
        </w:rPr>
        <w:tab/>
      </w:r>
      <w:r>
        <w:rPr>
          <w:rFonts w:hint="eastAsia"/>
          <w:sz w:val="21"/>
          <w:szCs w:val="21"/>
          <w:highlight w:val="none"/>
        </w:rPr>
        <w:t>经手人：</w:t>
      </w:r>
    </w:p>
    <w:p>
      <w:pPr>
        <w:tabs>
          <w:tab w:val="left" w:pos="4800"/>
        </w:tabs>
        <w:spacing w:line="520" w:lineRule="exact"/>
        <w:rPr>
          <w:sz w:val="21"/>
          <w:szCs w:val="21"/>
          <w:highlight w:val="none"/>
        </w:rPr>
      </w:pPr>
      <w:r>
        <w:rPr>
          <w:rFonts w:hint="eastAsia"/>
          <w:sz w:val="21"/>
          <w:szCs w:val="21"/>
          <w:highlight w:val="none"/>
        </w:rPr>
        <w:t>地址：　</w:t>
      </w:r>
      <w:r>
        <w:rPr>
          <w:sz w:val="21"/>
          <w:szCs w:val="21"/>
          <w:highlight w:val="none"/>
        </w:rPr>
        <w:tab/>
      </w:r>
      <w:r>
        <w:rPr>
          <w:rFonts w:hint="eastAsia"/>
          <w:sz w:val="21"/>
          <w:szCs w:val="21"/>
          <w:highlight w:val="none"/>
        </w:rPr>
        <w:t>地址：</w:t>
      </w:r>
    </w:p>
    <w:p>
      <w:pPr>
        <w:tabs>
          <w:tab w:val="left" w:pos="4800"/>
        </w:tabs>
        <w:spacing w:line="520" w:lineRule="exact"/>
        <w:rPr>
          <w:sz w:val="21"/>
          <w:szCs w:val="21"/>
          <w:highlight w:val="none"/>
        </w:rPr>
      </w:pPr>
      <w:r>
        <w:rPr>
          <w:rFonts w:hint="eastAsia"/>
          <w:sz w:val="21"/>
          <w:szCs w:val="21"/>
          <w:highlight w:val="none"/>
        </w:rPr>
        <w:t>联系电话：　</w:t>
      </w:r>
      <w:r>
        <w:rPr>
          <w:sz w:val="21"/>
          <w:szCs w:val="21"/>
          <w:highlight w:val="none"/>
        </w:rPr>
        <w:tab/>
      </w:r>
      <w:r>
        <w:rPr>
          <w:rFonts w:hint="eastAsia"/>
          <w:sz w:val="21"/>
          <w:szCs w:val="21"/>
          <w:highlight w:val="none"/>
        </w:rPr>
        <w:t>电话：</w:t>
      </w:r>
    </w:p>
    <w:p>
      <w:pPr>
        <w:spacing w:line="520" w:lineRule="exact"/>
        <w:rPr>
          <w:sz w:val="24"/>
          <w:highlight w:val="none"/>
        </w:rPr>
      </w:pPr>
      <w:r>
        <w:rPr>
          <w:rFonts w:hint="eastAsia"/>
          <w:sz w:val="21"/>
          <w:szCs w:val="21"/>
          <w:highlight w:val="none"/>
        </w:rPr>
        <w:t>签定日期：                              签订日期：</w:t>
      </w:r>
    </w:p>
    <w:p>
      <w:pPr>
        <w:rPr>
          <w:rFonts w:hint="eastAsia" w:ascii="宋体" w:hAnsi="宋体" w:cs="宋体"/>
          <w:sz w:val="36"/>
          <w:szCs w:val="36"/>
          <w:highlight w:val="none"/>
        </w:rPr>
      </w:pPr>
      <w:bookmarkStart w:id="499" w:name="_Toc3617"/>
      <w:r>
        <w:rPr>
          <w:rFonts w:hint="eastAsia" w:ascii="宋体" w:hAnsi="宋体" w:cs="宋体"/>
          <w:sz w:val="36"/>
          <w:szCs w:val="36"/>
          <w:highlight w:val="none"/>
        </w:rPr>
        <w:br w:type="page"/>
      </w:r>
    </w:p>
    <w:p>
      <w:pPr>
        <w:pStyle w:val="6"/>
        <w:spacing w:line="240" w:lineRule="auto"/>
        <w:jc w:val="center"/>
        <w:outlineLvl w:val="0"/>
        <w:rPr>
          <w:rFonts w:ascii="宋体" w:hAnsi="宋体" w:cs="宋体"/>
          <w:b w:val="0"/>
          <w:sz w:val="36"/>
          <w:szCs w:val="36"/>
          <w:highlight w:val="none"/>
        </w:rPr>
      </w:pPr>
      <w:r>
        <w:rPr>
          <w:rFonts w:hint="eastAsia" w:ascii="宋体" w:hAnsi="宋体" w:cs="宋体"/>
          <w:sz w:val="36"/>
          <w:szCs w:val="36"/>
          <w:highlight w:val="none"/>
        </w:rPr>
        <w:t>第七部分  响应文件格式</w:t>
      </w:r>
      <w:bookmarkEnd w:id="455"/>
      <w:bookmarkEnd w:id="499"/>
    </w:p>
    <w:p>
      <w:pPr>
        <w:pStyle w:val="2"/>
        <w:rPr>
          <w:rFonts w:ascii="宋体" w:hAnsi="宋体" w:cs="宋体"/>
          <w:b w:val="0"/>
          <w:sz w:val="24"/>
          <w:highlight w:val="none"/>
        </w:rPr>
      </w:pPr>
    </w:p>
    <w:p>
      <w:pPr>
        <w:spacing w:line="360" w:lineRule="auto"/>
        <w:jc w:val="left"/>
        <w:rPr>
          <w:rFonts w:ascii="宋体" w:hAnsi="宋体" w:cs="宋体"/>
          <w:b/>
          <w:sz w:val="24"/>
          <w:highlight w:val="none"/>
        </w:rPr>
      </w:pPr>
    </w:p>
    <w:p>
      <w:pPr>
        <w:spacing w:line="360" w:lineRule="auto"/>
        <w:jc w:val="left"/>
        <w:rPr>
          <w:rFonts w:ascii="宋体" w:hAnsi="宋体" w:cs="宋体"/>
          <w:b/>
          <w:sz w:val="32"/>
          <w:highlight w:val="none"/>
        </w:rPr>
      </w:pPr>
      <w:r>
        <w:rPr>
          <w:rFonts w:hint="eastAsia" w:ascii="宋体" w:hAnsi="宋体" w:cs="宋体"/>
          <w:b/>
          <w:sz w:val="24"/>
          <w:highlight w:val="none"/>
        </w:rPr>
        <w:t xml:space="preserve">采购项目编号：                                                </w:t>
      </w:r>
      <w:r>
        <w:rPr>
          <w:rFonts w:hint="eastAsia" w:ascii="宋体" w:hAnsi="宋体" w:cs="宋体"/>
          <w:b/>
          <w:bCs/>
          <w:sz w:val="30"/>
          <w:szCs w:val="30"/>
          <w:highlight w:val="none"/>
          <w:bdr w:val="single" w:color="auto" w:sz="4" w:space="0"/>
        </w:rPr>
        <w:t>正本/副本</w:t>
      </w:r>
    </w:p>
    <w:p>
      <w:pPr>
        <w:spacing w:line="360" w:lineRule="auto"/>
        <w:jc w:val="left"/>
        <w:rPr>
          <w:rFonts w:ascii="宋体" w:hAnsi="宋体" w:cs="宋体"/>
          <w:b/>
          <w:bCs/>
          <w:sz w:val="32"/>
          <w:szCs w:val="32"/>
          <w:highlight w:val="none"/>
        </w:rPr>
      </w:pPr>
    </w:p>
    <w:p>
      <w:pPr>
        <w:spacing w:line="360" w:lineRule="auto"/>
        <w:jc w:val="left"/>
        <w:rPr>
          <w:rFonts w:ascii="宋体" w:hAnsi="宋体" w:cs="宋体"/>
          <w:b/>
          <w:bCs/>
          <w:sz w:val="32"/>
          <w:szCs w:val="32"/>
          <w:highlight w:val="none"/>
        </w:rPr>
      </w:pPr>
    </w:p>
    <w:bookmarkEnd w:id="456"/>
    <w:p>
      <w:pPr>
        <w:spacing w:line="360" w:lineRule="auto"/>
        <w:jc w:val="center"/>
        <w:rPr>
          <w:rFonts w:hint="eastAsia" w:ascii="宋体" w:hAnsi="宋体" w:cs="宋体"/>
          <w:b/>
          <w:sz w:val="56"/>
          <w:szCs w:val="56"/>
          <w:highlight w:val="none"/>
        </w:rPr>
      </w:pPr>
      <w:r>
        <w:rPr>
          <w:rFonts w:hint="eastAsia" w:ascii="宋体" w:hAnsi="宋体" w:cs="宋体"/>
          <w:b/>
          <w:sz w:val="56"/>
          <w:szCs w:val="56"/>
          <w:highlight w:val="none"/>
          <w:lang w:val="zh-CN" w:eastAsia="zh-CN"/>
        </w:rPr>
        <w:t>泾康园党群服务中心装修施工项目</w:t>
      </w:r>
    </w:p>
    <w:p>
      <w:pPr>
        <w:spacing w:line="360" w:lineRule="auto"/>
        <w:jc w:val="center"/>
        <w:rPr>
          <w:rFonts w:ascii="宋体" w:hAnsi="宋体" w:cs="宋体"/>
          <w:b/>
          <w:sz w:val="84"/>
          <w:szCs w:val="84"/>
          <w:highlight w:val="none"/>
        </w:rPr>
      </w:pPr>
    </w:p>
    <w:p>
      <w:pPr>
        <w:spacing w:line="360" w:lineRule="auto"/>
        <w:jc w:val="center"/>
        <w:outlineLvl w:val="0"/>
        <w:rPr>
          <w:rFonts w:ascii="宋体" w:hAnsi="宋体" w:cs="宋体"/>
          <w:highlight w:val="none"/>
        </w:rPr>
      </w:pPr>
      <w:bookmarkStart w:id="500" w:name="_Toc28813"/>
      <w:r>
        <w:rPr>
          <w:rFonts w:hint="eastAsia" w:ascii="宋体" w:hAnsi="宋体" w:cs="宋体"/>
          <w:b/>
          <w:sz w:val="84"/>
          <w:szCs w:val="84"/>
          <w:highlight w:val="none"/>
        </w:rPr>
        <w:t>响 应 文 件</w:t>
      </w:r>
      <w:bookmarkEnd w:id="500"/>
      <w:r>
        <w:rPr>
          <w:rFonts w:hint="eastAsia" w:ascii="宋体" w:hAnsi="宋体" w:cs="宋体"/>
          <w:b/>
          <w:sz w:val="84"/>
          <w:szCs w:val="52"/>
          <w:highlight w:val="none"/>
        </w:rPr>
        <w:t xml:space="preserve"> </w:t>
      </w:r>
    </w:p>
    <w:p>
      <w:pPr>
        <w:spacing w:line="360" w:lineRule="auto"/>
        <w:rPr>
          <w:rFonts w:ascii="宋体" w:hAnsi="宋体" w:cs="宋体"/>
          <w:b/>
          <w:sz w:val="32"/>
          <w:highlight w:val="none"/>
        </w:rPr>
      </w:pPr>
    </w:p>
    <w:p>
      <w:pPr>
        <w:pStyle w:val="3"/>
        <w:rPr>
          <w:highlight w:val="none"/>
        </w:rPr>
      </w:pPr>
    </w:p>
    <w:p>
      <w:pPr>
        <w:spacing w:line="720" w:lineRule="auto"/>
        <w:ind w:firstLine="1391" w:firstLineChars="495"/>
        <w:outlineLvl w:val="0"/>
        <w:rPr>
          <w:rFonts w:ascii="宋体" w:hAnsi="宋体"/>
          <w:b/>
          <w:sz w:val="32"/>
          <w:highlight w:val="none"/>
        </w:rPr>
      </w:pPr>
      <w:r>
        <w:rPr>
          <w:rFonts w:hint="eastAsia" w:ascii="宋体" w:hAnsi="宋体" w:cs="宋体"/>
          <w:b/>
          <w:sz w:val="28"/>
          <w:highlight w:val="none"/>
        </w:rPr>
        <w:t xml:space="preserve"> </w:t>
      </w:r>
      <w:bookmarkStart w:id="501" w:name="_Toc5400"/>
      <w:r>
        <w:rPr>
          <w:rFonts w:hint="eastAsia" w:ascii="宋体" w:hAnsi="宋体"/>
          <w:b/>
          <w:sz w:val="32"/>
          <w:highlight w:val="none"/>
        </w:rPr>
        <w:t>供应商：</w:t>
      </w:r>
      <w:r>
        <w:rPr>
          <w:rFonts w:hint="eastAsia" w:ascii="宋体" w:hAnsi="宋体"/>
          <w:b/>
          <w:sz w:val="32"/>
          <w:highlight w:val="none"/>
          <w:u w:val="single"/>
        </w:rPr>
        <w:t xml:space="preserve">                   </w:t>
      </w:r>
      <w:r>
        <w:rPr>
          <w:rFonts w:hint="eastAsia" w:ascii="宋体" w:hAnsi="宋体"/>
          <w:b/>
          <w:sz w:val="32"/>
          <w:highlight w:val="none"/>
        </w:rPr>
        <w:t>（盖章）</w:t>
      </w:r>
      <w:bookmarkEnd w:id="501"/>
    </w:p>
    <w:p>
      <w:pPr>
        <w:spacing w:line="720" w:lineRule="auto"/>
        <w:ind w:firstLine="1590" w:firstLineChars="495"/>
        <w:outlineLvl w:val="0"/>
        <w:rPr>
          <w:rFonts w:ascii="宋体" w:hAnsi="宋体"/>
          <w:b/>
          <w:sz w:val="32"/>
          <w:highlight w:val="none"/>
          <w:u w:val="single"/>
        </w:rPr>
      </w:pPr>
      <w:bookmarkStart w:id="502" w:name="_Toc5010"/>
      <w:r>
        <w:rPr>
          <w:rFonts w:hint="eastAsia" w:ascii="宋体" w:hAnsi="宋体"/>
          <w:b/>
          <w:sz w:val="32"/>
          <w:highlight w:val="none"/>
        </w:rPr>
        <w:t>法定代表人或被授权人：</w:t>
      </w:r>
      <w:r>
        <w:rPr>
          <w:rFonts w:hint="eastAsia" w:ascii="宋体" w:hAnsi="宋体"/>
          <w:b/>
          <w:sz w:val="32"/>
          <w:highlight w:val="none"/>
          <w:u w:val="single"/>
        </w:rPr>
        <w:t xml:space="preserve">        </w:t>
      </w:r>
      <w:r>
        <w:rPr>
          <w:rFonts w:hint="eastAsia" w:ascii="宋体" w:hAnsi="宋体"/>
          <w:b/>
          <w:sz w:val="32"/>
          <w:highlight w:val="none"/>
        </w:rPr>
        <w:t>（签字或盖章）</w:t>
      </w:r>
      <w:bookmarkEnd w:id="502"/>
    </w:p>
    <w:p>
      <w:pPr>
        <w:spacing w:line="720" w:lineRule="auto"/>
        <w:ind w:firstLine="1590" w:firstLineChars="495"/>
        <w:jc w:val="both"/>
        <w:outlineLvl w:val="0"/>
        <w:rPr>
          <w:rFonts w:hint="eastAsia" w:ascii="宋体" w:hAnsi="宋体"/>
          <w:b/>
          <w:sz w:val="32"/>
          <w:highlight w:val="none"/>
        </w:rPr>
      </w:pPr>
      <w:bookmarkStart w:id="503" w:name="_Toc24005"/>
      <w:r>
        <w:rPr>
          <w:rFonts w:hint="eastAsia" w:ascii="宋体" w:hAnsi="宋体"/>
          <w:b/>
          <w:sz w:val="32"/>
          <w:highlight w:val="none"/>
        </w:rPr>
        <w:t>时    间：</w:t>
      </w:r>
      <w:r>
        <w:rPr>
          <w:rFonts w:hint="eastAsia" w:ascii="宋体" w:hAnsi="宋体"/>
          <w:b/>
          <w:sz w:val="32"/>
          <w:highlight w:val="none"/>
          <w:u w:val="single"/>
        </w:rPr>
        <w:t xml:space="preserve">       </w:t>
      </w:r>
      <w:r>
        <w:rPr>
          <w:rFonts w:hint="eastAsia" w:ascii="宋体" w:hAnsi="宋体"/>
          <w:b/>
          <w:sz w:val="32"/>
          <w:highlight w:val="none"/>
        </w:rPr>
        <w:t>年</w:t>
      </w:r>
      <w:r>
        <w:rPr>
          <w:rFonts w:hint="eastAsia" w:ascii="宋体" w:hAnsi="宋体"/>
          <w:b/>
          <w:sz w:val="32"/>
          <w:highlight w:val="none"/>
          <w:u w:val="single"/>
        </w:rPr>
        <w:t xml:space="preserve">   </w:t>
      </w:r>
      <w:r>
        <w:rPr>
          <w:rFonts w:hint="eastAsia" w:ascii="宋体" w:hAnsi="宋体"/>
          <w:b/>
          <w:sz w:val="32"/>
          <w:highlight w:val="none"/>
        </w:rPr>
        <w:t>月</w:t>
      </w:r>
      <w:r>
        <w:rPr>
          <w:rFonts w:hint="eastAsia" w:ascii="宋体" w:hAnsi="宋体"/>
          <w:b/>
          <w:sz w:val="32"/>
          <w:highlight w:val="none"/>
          <w:u w:val="single"/>
        </w:rPr>
        <w:t xml:space="preserve">   </w:t>
      </w:r>
      <w:r>
        <w:rPr>
          <w:rFonts w:hint="eastAsia" w:ascii="宋体" w:hAnsi="宋体"/>
          <w:b/>
          <w:sz w:val="32"/>
          <w:highlight w:val="none"/>
        </w:rPr>
        <w:t>日</w:t>
      </w:r>
      <w:bookmarkEnd w:id="503"/>
      <w:bookmarkStart w:id="504" w:name="_Toc357087380"/>
      <w:bookmarkStart w:id="505" w:name="_Toc21305"/>
      <w:bookmarkStart w:id="506" w:name="_Toc26913"/>
      <w:bookmarkStart w:id="507" w:name="_Toc27897"/>
    </w:p>
    <w:bookmarkEnd w:id="457"/>
    <w:bookmarkEnd w:id="504"/>
    <w:bookmarkEnd w:id="505"/>
    <w:p>
      <w:pPr>
        <w:spacing w:line="720" w:lineRule="auto"/>
        <w:jc w:val="center"/>
        <w:outlineLvl w:val="0"/>
        <w:rPr>
          <w:rFonts w:hint="eastAsia" w:ascii="宋体" w:hAnsi="宋体" w:cs="宋体"/>
          <w:b/>
          <w:sz w:val="30"/>
          <w:szCs w:val="30"/>
          <w:highlight w:val="none"/>
        </w:rPr>
      </w:pPr>
      <w:bookmarkStart w:id="508" w:name="_Toc20596"/>
      <w:bookmarkStart w:id="509" w:name="_Toc19973"/>
      <w:bookmarkStart w:id="510" w:name="_Toc7524509"/>
      <w:bookmarkStart w:id="511" w:name="_Toc12482"/>
      <w:bookmarkStart w:id="512" w:name="_Toc24837"/>
    </w:p>
    <w:p>
      <w:pPr>
        <w:spacing w:line="720" w:lineRule="auto"/>
        <w:jc w:val="center"/>
        <w:outlineLvl w:val="0"/>
        <w:rPr>
          <w:rFonts w:ascii="宋体" w:hAnsi="宋体" w:cs="宋体"/>
          <w:sz w:val="24"/>
          <w:szCs w:val="24"/>
          <w:highlight w:val="none"/>
        </w:rPr>
      </w:pPr>
      <w:r>
        <w:rPr>
          <w:rFonts w:hint="eastAsia" w:ascii="宋体" w:hAnsi="宋体" w:cs="宋体"/>
          <w:b/>
          <w:sz w:val="30"/>
          <w:szCs w:val="30"/>
          <w:highlight w:val="none"/>
        </w:rPr>
        <w:t>目  录</w:t>
      </w:r>
      <w:bookmarkEnd w:id="508"/>
    </w:p>
    <w:p>
      <w:pPr>
        <w:widowControl/>
        <w:spacing w:line="360" w:lineRule="auto"/>
        <w:rPr>
          <w:rFonts w:ascii="宋体" w:hAnsi="宋体" w:cs="宋体"/>
          <w:sz w:val="22"/>
          <w:szCs w:val="22"/>
          <w:highlight w:val="none"/>
        </w:rPr>
      </w:pPr>
      <w:r>
        <w:rPr>
          <w:rFonts w:hint="eastAsia" w:ascii="宋体" w:hAnsi="宋体" w:cs="宋体"/>
          <w:sz w:val="22"/>
          <w:szCs w:val="22"/>
          <w:highlight w:val="none"/>
        </w:rPr>
        <w:t>1.磋商响应函</w:t>
      </w:r>
    </w:p>
    <w:p>
      <w:pPr>
        <w:widowControl/>
        <w:spacing w:line="360" w:lineRule="auto"/>
        <w:rPr>
          <w:rFonts w:ascii="宋体" w:hAnsi="宋体" w:cs="宋体"/>
          <w:sz w:val="22"/>
          <w:szCs w:val="22"/>
          <w:highlight w:val="none"/>
        </w:rPr>
      </w:pPr>
      <w:r>
        <w:rPr>
          <w:rFonts w:hint="eastAsia" w:ascii="宋体" w:hAnsi="宋体" w:cs="宋体"/>
          <w:sz w:val="22"/>
          <w:szCs w:val="22"/>
          <w:highlight w:val="none"/>
        </w:rPr>
        <w:t>2.法定代表人身份证明</w:t>
      </w:r>
    </w:p>
    <w:p>
      <w:pPr>
        <w:widowControl/>
        <w:spacing w:line="360" w:lineRule="auto"/>
        <w:rPr>
          <w:rFonts w:ascii="宋体" w:hAnsi="宋体" w:cs="宋体"/>
          <w:sz w:val="22"/>
          <w:szCs w:val="22"/>
          <w:highlight w:val="none"/>
        </w:rPr>
      </w:pPr>
      <w:r>
        <w:rPr>
          <w:rFonts w:hint="eastAsia" w:ascii="宋体" w:hAnsi="宋体" w:cs="宋体"/>
          <w:sz w:val="22"/>
          <w:szCs w:val="22"/>
          <w:highlight w:val="none"/>
        </w:rPr>
        <w:t>3.法定代表人授权书</w:t>
      </w:r>
    </w:p>
    <w:p>
      <w:pPr>
        <w:widowControl/>
        <w:spacing w:line="360" w:lineRule="auto"/>
        <w:rPr>
          <w:rFonts w:ascii="宋体" w:hAnsi="宋体" w:cs="宋体"/>
          <w:sz w:val="22"/>
          <w:szCs w:val="22"/>
          <w:highlight w:val="none"/>
        </w:rPr>
      </w:pPr>
      <w:r>
        <w:rPr>
          <w:rFonts w:hint="eastAsia" w:ascii="宋体" w:hAnsi="宋体" w:cs="宋体"/>
          <w:sz w:val="22"/>
          <w:szCs w:val="22"/>
          <w:highlight w:val="none"/>
        </w:rPr>
        <w:t>4.开标一览表</w:t>
      </w:r>
    </w:p>
    <w:p>
      <w:pPr>
        <w:widowControl/>
        <w:spacing w:line="360" w:lineRule="auto"/>
        <w:rPr>
          <w:rFonts w:ascii="宋体" w:hAnsi="宋体" w:cs="宋体"/>
          <w:sz w:val="22"/>
          <w:szCs w:val="22"/>
          <w:highlight w:val="none"/>
        </w:rPr>
      </w:pPr>
      <w:r>
        <w:rPr>
          <w:rFonts w:hint="eastAsia" w:ascii="宋体" w:hAnsi="宋体" w:cs="宋体"/>
          <w:sz w:val="22"/>
          <w:szCs w:val="22"/>
          <w:highlight w:val="none"/>
        </w:rPr>
        <w:t>5.合同主要条款响应偏差表</w:t>
      </w:r>
    </w:p>
    <w:p>
      <w:pPr>
        <w:widowControl/>
        <w:spacing w:line="360" w:lineRule="auto"/>
        <w:rPr>
          <w:rFonts w:ascii="宋体" w:hAnsi="宋体" w:cs="宋体"/>
          <w:sz w:val="22"/>
          <w:szCs w:val="22"/>
          <w:highlight w:val="none"/>
        </w:rPr>
      </w:pPr>
      <w:r>
        <w:rPr>
          <w:rFonts w:hint="eastAsia" w:ascii="宋体" w:hAnsi="宋体" w:cs="宋体"/>
          <w:sz w:val="22"/>
          <w:szCs w:val="22"/>
          <w:highlight w:val="none"/>
        </w:rPr>
        <w:t>6.业绩</w:t>
      </w:r>
    </w:p>
    <w:p>
      <w:pPr>
        <w:widowControl/>
        <w:spacing w:line="360" w:lineRule="auto"/>
        <w:rPr>
          <w:rFonts w:ascii="宋体" w:hAnsi="宋体" w:cs="宋体"/>
          <w:sz w:val="22"/>
          <w:szCs w:val="22"/>
          <w:highlight w:val="none"/>
        </w:rPr>
      </w:pPr>
      <w:r>
        <w:rPr>
          <w:rFonts w:hint="eastAsia" w:ascii="宋体" w:hAnsi="宋体" w:cs="宋体"/>
          <w:sz w:val="22"/>
          <w:szCs w:val="22"/>
          <w:highlight w:val="none"/>
        </w:rPr>
        <w:t>7.供应商资格证明文件</w:t>
      </w:r>
    </w:p>
    <w:p>
      <w:pPr>
        <w:widowControl/>
        <w:spacing w:line="360" w:lineRule="auto"/>
        <w:ind w:firstLine="660" w:firstLineChars="300"/>
        <w:rPr>
          <w:rFonts w:ascii="宋体" w:hAnsi="宋体" w:cs="宋体"/>
          <w:sz w:val="22"/>
          <w:szCs w:val="22"/>
          <w:highlight w:val="none"/>
        </w:rPr>
      </w:pPr>
      <w:r>
        <w:rPr>
          <w:rFonts w:hint="eastAsia" w:ascii="宋体" w:hAnsi="宋体" w:cs="宋体"/>
          <w:sz w:val="22"/>
          <w:szCs w:val="22"/>
          <w:highlight w:val="none"/>
        </w:rPr>
        <w:t>附件2：履行合同所必需的设备和专业技术能力的说明及承诺</w:t>
      </w:r>
    </w:p>
    <w:p>
      <w:pPr>
        <w:widowControl/>
        <w:spacing w:line="360" w:lineRule="auto"/>
        <w:ind w:firstLine="660" w:firstLineChars="300"/>
        <w:rPr>
          <w:rFonts w:ascii="宋体" w:hAnsi="宋体" w:cs="宋体"/>
          <w:sz w:val="22"/>
          <w:szCs w:val="22"/>
          <w:highlight w:val="none"/>
        </w:rPr>
      </w:pPr>
      <w:r>
        <w:rPr>
          <w:rFonts w:hint="eastAsia" w:ascii="宋体" w:hAnsi="宋体" w:cs="宋体"/>
          <w:sz w:val="22"/>
          <w:szCs w:val="22"/>
          <w:highlight w:val="none"/>
        </w:rPr>
        <w:t>附件3：参加政府采购活动前3年内，在经营活动中没有重大违法记录的书面说明</w:t>
      </w:r>
    </w:p>
    <w:p>
      <w:pPr>
        <w:widowControl/>
        <w:spacing w:line="360" w:lineRule="auto"/>
        <w:ind w:firstLine="660" w:firstLineChars="300"/>
        <w:rPr>
          <w:rFonts w:ascii="宋体" w:hAnsi="宋体" w:cs="宋体"/>
          <w:sz w:val="22"/>
          <w:szCs w:val="22"/>
          <w:highlight w:val="none"/>
        </w:rPr>
      </w:pPr>
      <w:r>
        <w:rPr>
          <w:rFonts w:hint="eastAsia" w:ascii="宋体" w:hAnsi="宋体" w:cs="宋体"/>
          <w:sz w:val="22"/>
          <w:szCs w:val="22"/>
          <w:highlight w:val="none"/>
        </w:rPr>
        <w:t xml:space="preserve">附件4：中小企业声明函（货物） </w:t>
      </w:r>
    </w:p>
    <w:p>
      <w:pPr>
        <w:widowControl/>
        <w:spacing w:line="360" w:lineRule="auto"/>
        <w:ind w:firstLine="660" w:firstLineChars="300"/>
        <w:rPr>
          <w:rFonts w:ascii="宋体" w:hAnsi="宋体" w:cs="宋体"/>
          <w:sz w:val="22"/>
          <w:szCs w:val="22"/>
          <w:highlight w:val="none"/>
        </w:rPr>
      </w:pPr>
      <w:r>
        <w:rPr>
          <w:rFonts w:hint="eastAsia" w:ascii="宋体" w:hAnsi="宋体" w:cs="宋体"/>
          <w:sz w:val="22"/>
          <w:szCs w:val="22"/>
          <w:highlight w:val="none"/>
        </w:rPr>
        <w:t>附件5：残疾人福利性单位声明函</w:t>
      </w:r>
    </w:p>
    <w:p>
      <w:pPr>
        <w:widowControl/>
        <w:spacing w:line="360" w:lineRule="auto"/>
        <w:ind w:firstLine="660" w:firstLineChars="300"/>
        <w:rPr>
          <w:rFonts w:ascii="宋体" w:hAnsi="宋体" w:cs="宋体"/>
          <w:sz w:val="22"/>
          <w:szCs w:val="22"/>
          <w:highlight w:val="none"/>
        </w:rPr>
      </w:pPr>
      <w:r>
        <w:rPr>
          <w:rFonts w:hint="eastAsia" w:ascii="宋体" w:hAnsi="宋体" w:cs="宋体"/>
          <w:sz w:val="22"/>
          <w:szCs w:val="22"/>
          <w:highlight w:val="none"/>
        </w:rPr>
        <w:t>附件6：</w:t>
      </w:r>
      <w:r>
        <w:rPr>
          <w:rFonts w:hint="eastAsia" w:ascii="宋体" w:hAnsi="宋体" w:cs="宋体"/>
          <w:sz w:val="22"/>
          <w:szCs w:val="22"/>
          <w:highlight w:val="none"/>
          <w:lang w:val="zh-CN"/>
        </w:rPr>
        <w:t>供应商监狱企业声明函</w:t>
      </w:r>
    </w:p>
    <w:p>
      <w:pPr>
        <w:widowControl/>
        <w:spacing w:line="360" w:lineRule="auto"/>
        <w:ind w:firstLine="660" w:firstLineChars="300"/>
        <w:rPr>
          <w:rFonts w:ascii="宋体" w:hAnsi="宋体" w:cs="宋体"/>
          <w:sz w:val="22"/>
          <w:szCs w:val="22"/>
          <w:highlight w:val="none"/>
        </w:rPr>
      </w:pPr>
      <w:r>
        <w:rPr>
          <w:rFonts w:hint="eastAsia" w:ascii="宋体" w:hAnsi="宋体" w:cs="宋体"/>
          <w:sz w:val="22"/>
          <w:szCs w:val="22"/>
          <w:highlight w:val="none"/>
        </w:rPr>
        <w:t>附件7：“节能产品”、“环境标志产品”证明材料</w:t>
      </w:r>
    </w:p>
    <w:p>
      <w:pPr>
        <w:widowControl/>
        <w:spacing w:line="360" w:lineRule="auto"/>
        <w:ind w:firstLine="660" w:firstLineChars="300"/>
        <w:rPr>
          <w:rFonts w:ascii="宋体" w:hAnsi="宋体" w:cs="宋体"/>
          <w:sz w:val="22"/>
          <w:szCs w:val="22"/>
          <w:highlight w:val="none"/>
        </w:rPr>
      </w:pPr>
      <w:r>
        <w:rPr>
          <w:rFonts w:hint="eastAsia" w:ascii="宋体" w:hAnsi="宋体" w:cs="宋体"/>
          <w:sz w:val="22"/>
          <w:szCs w:val="22"/>
          <w:highlight w:val="none"/>
        </w:rPr>
        <w:t>附件8：供应商企业关系关联承诺书</w:t>
      </w:r>
    </w:p>
    <w:p>
      <w:pPr>
        <w:widowControl/>
        <w:spacing w:line="360" w:lineRule="auto"/>
        <w:ind w:firstLine="660" w:firstLineChars="300"/>
        <w:rPr>
          <w:rFonts w:ascii="宋体" w:hAnsi="宋体" w:cs="宋体"/>
          <w:sz w:val="22"/>
          <w:szCs w:val="22"/>
          <w:highlight w:val="none"/>
        </w:rPr>
      </w:pPr>
      <w:r>
        <w:rPr>
          <w:rFonts w:hint="eastAsia" w:ascii="宋体" w:hAnsi="宋体" w:cs="宋体"/>
          <w:sz w:val="22"/>
          <w:szCs w:val="22"/>
          <w:highlight w:val="none"/>
        </w:rPr>
        <w:t>附件9：拒绝政府采购领域商业贿赂承诺书</w:t>
      </w:r>
    </w:p>
    <w:p>
      <w:pPr>
        <w:widowControl/>
        <w:spacing w:line="360" w:lineRule="auto"/>
        <w:rPr>
          <w:sz w:val="20"/>
          <w:szCs w:val="21"/>
          <w:highlight w:val="none"/>
        </w:rPr>
      </w:pPr>
      <w:r>
        <w:rPr>
          <w:rFonts w:hint="eastAsia" w:ascii="宋体" w:hAnsi="宋体" w:cs="宋体"/>
          <w:sz w:val="22"/>
          <w:szCs w:val="22"/>
          <w:highlight w:val="none"/>
        </w:rPr>
        <w:t>8.技术方案</w:t>
      </w:r>
    </w:p>
    <w:p>
      <w:pPr>
        <w:widowControl/>
        <w:spacing w:line="360" w:lineRule="auto"/>
        <w:rPr>
          <w:rFonts w:ascii="宋体" w:hAnsi="宋体" w:cs="宋体"/>
          <w:sz w:val="22"/>
          <w:szCs w:val="22"/>
          <w:highlight w:val="none"/>
        </w:rPr>
      </w:pPr>
      <w:r>
        <w:rPr>
          <w:rFonts w:hint="eastAsia" w:ascii="宋体" w:hAnsi="宋体" w:cs="宋体"/>
          <w:sz w:val="22"/>
          <w:szCs w:val="22"/>
          <w:highlight w:val="none"/>
        </w:rPr>
        <w:t>9.供应商认为有必要补充的其他资料</w:t>
      </w:r>
    </w:p>
    <w:p>
      <w:pPr>
        <w:widowControl/>
        <w:jc w:val="center"/>
        <w:outlineLvl w:val="0"/>
        <w:rPr>
          <w:rFonts w:ascii="宋体" w:hAnsi="宋体" w:cs="宋体"/>
          <w:highlight w:val="none"/>
        </w:rPr>
      </w:pPr>
      <w:r>
        <w:rPr>
          <w:rFonts w:hint="eastAsia" w:ascii="宋体" w:hAnsi="宋体" w:cs="宋体"/>
          <w:highlight w:val="none"/>
        </w:rPr>
        <w:br w:type="page"/>
      </w:r>
      <w:bookmarkStart w:id="513" w:name="_Toc24066"/>
      <w:r>
        <w:rPr>
          <w:rFonts w:hint="eastAsia" w:ascii="宋体" w:hAnsi="宋体" w:cs="宋体"/>
          <w:b/>
          <w:bCs/>
          <w:sz w:val="32"/>
          <w:szCs w:val="32"/>
          <w:highlight w:val="none"/>
        </w:rPr>
        <w:t>一、磋商响应函</w:t>
      </w:r>
      <w:bookmarkEnd w:id="506"/>
      <w:bookmarkEnd w:id="507"/>
      <w:bookmarkEnd w:id="509"/>
      <w:bookmarkEnd w:id="510"/>
      <w:bookmarkEnd w:id="511"/>
      <w:bookmarkEnd w:id="512"/>
      <w:bookmarkEnd w:id="513"/>
    </w:p>
    <w:p>
      <w:pPr>
        <w:spacing w:line="360" w:lineRule="auto"/>
        <w:rPr>
          <w:rFonts w:ascii="宋体" w:hAnsi="宋体" w:cs="宋体"/>
          <w:szCs w:val="21"/>
          <w:highlight w:val="none"/>
        </w:rPr>
      </w:pPr>
    </w:p>
    <w:p>
      <w:pPr>
        <w:spacing w:line="360" w:lineRule="auto"/>
        <w:rPr>
          <w:rFonts w:ascii="宋体" w:hAnsi="宋体" w:cs="宋体"/>
          <w:b/>
          <w:szCs w:val="21"/>
          <w:highlight w:val="none"/>
        </w:rPr>
      </w:pPr>
      <w:r>
        <w:rPr>
          <w:rFonts w:hint="eastAsia" w:ascii="宋体" w:hAnsi="宋体" w:cs="宋体"/>
          <w:bCs/>
          <w:szCs w:val="21"/>
          <w:highlight w:val="none"/>
          <w:u w:val="single"/>
        </w:rPr>
        <w:t>陕西迪诚项目管理有限公司</w:t>
      </w:r>
      <w:r>
        <w:rPr>
          <w:rFonts w:hint="eastAsia" w:ascii="宋体" w:hAnsi="宋体" w:cs="宋体"/>
          <w:bCs/>
          <w:szCs w:val="21"/>
          <w:highlight w:val="none"/>
        </w:rPr>
        <w:t>：</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我单位收到贵单位</w:t>
      </w:r>
      <w:r>
        <w:rPr>
          <w:rFonts w:hint="eastAsia" w:ascii="宋体" w:hAnsi="宋体" w:cs="宋体"/>
          <w:szCs w:val="21"/>
          <w:highlight w:val="none"/>
          <w:u w:val="single"/>
        </w:rPr>
        <w:t>（项目名称）（项目编号）</w:t>
      </w:r>
      <w:r>
        <w:rPr>
          <w:rFonts w:hint="eastAsia" w:ascii="宋体" w:hAnsi="宋体" w:cs="宋体"/>
          <w:szCs w:val="21"/>
          <w:highlight w:val="none"/>
        </w:rPr>
        <w:t>竞争性磋商文件，我们决定参加该项目磋商活动，并参与磋商会议。为此，我方郑重声明以下诸点，并负法律责任。</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1.愿意按照竞争性磋商文件中的一切要求，</w:t>
      </w:r>
      <w:r>
        <w:rPr>
          <w:rFonts w:hint="eastAsia" w:ascii="宋体" w:hAnsi="宋体" w:cs="宋体"/>
          <w:szCs w:val="21"/>
          <w:highlight w:val="none"/>
          <w:lang w:val="en-US" w:eastAsia="zh-CN"/>
        </w:rPr>
        <w:t>总</w:t>
      </w:r>
      <w:r>
        <w:rPr>
          <w:rFonts w:hint="eastAsia" w:ascii="宋体" w:hAnsi="宋体" w:cs="宋体"/>
          <w:szCs w:val="21"/>
          <w:highlight w:val="none"/>
        </w:rPr>
        <w:t>报价为：</w:t>
      </w:r>
    </w:p>
    <w:p>
      <w:pPr>
        <w:spacing w:line="360" w:lineRule="auto"/>
        <w:ind w:firstLine="630" w:firstLineChars="300"/>
        <w:rPr>
          <w:rFonts w:ascii="宋体" w:hAnsi="宋体" w:cs="宋体"/>
          <w:szCs w:val="21"/>
          <w:highlight w:val="none"/>
        </w:rPr>
      </w:pPr>
      <w:r>
        <w:rPr>
          <w:rFonts w:hint="eastAsia" w:ascii="宋体" w:hAnsi="宋体" w:cs="宋体"/>
          <w:szCs w:val="21"/>
          <w:highlight w:val="none"/>
        </w:rPr>
        <w:t>人民币（大写）：</w:t>
      </w:r>
      <w:r>
        <w:rPr>
          <w:rFonts w:hint="eastAsia" w:ascii="宋体" w:hAnsi="宋体" w:cs="宋体"/>
          <w:szCs w:val="21"/>
          <w:highlight w:val="none"/>
          <w:u w:val="single"/>
        </w:rPr>
        <w:t xml:space="preserve">             </w:t>
      </w:r>
      <w:r>
        <w:rPr>
          <w:rFonts w:hint="eastAsia" w:ascii="宋体" w:hAnsi="宋体" w:cs="宋体"/>
          <w:szCs w:val="21"/>
          <w:highlight w:val="none"/>
        </w:rPr>
        <w:t>元；</w:t>
      </w:r>
      <w:r>
        <w:rPr>
          <w:rFonts w:hint="eastAsia" w:ascii="宋体" w:hAnsi="宋体" w:cs="宋体"/>
          <w:szCs w:val="21"/>
          <w:highlight w:val="none"/>
          <w:u w:val="single"/>
        </w:rPr>
        <w:t xml:space="preserve">￥           </w:t>
      </w:r>
      <w:r>
        <w:rPr>
          <w:rFonts w:hint="eastAsia" w:ascii="宋体" w:hAnsi="宋体" w:cs="宋体"/>
          <w:szCs w:val="21"/>
          <w:highlight w:val="none"/>
        </w:rPr>
        <w:t xml:space="preserve">元。    </w:t>
      </w:r>
    </w:p>
    <w:p>
      <w:pPr>
        <w:spacing w:line="360" w:lineRule="auto"/>
        <w:ind w:firstLine="630" w:firstLineChars="300"/>
        <w:rPr>
          <w:rFonts w:hint="eastAsia" w:ascii="宋体" w:hAnsi="宋体" w:cs="宋体"/>
          <w:szCs w:val="21"/>
          <w:highlight w:val="none"/>
        </w:rPr>
      </w:pPr>
      <w:r>
        <w:rPr>
          <w:rFonts w:hint="eastAsia" w:ascii="宋体" w:hAnsi="宋体" w:cs="宋体"/>
          <w:szCs w:val="21"/>
          <w:highlight w:val="none"/>
        </w:rPr>
        <w:t>项目经理姓名：</w:t>
      </w:r>
      <w:r>
        <w:rPr>
          <w:rFonts w:hint="eastAsia" w:ascii="宋体" w:hAnsi="宋体" w:cs="宋体"/>
          <w:szCs w:val="21"/>
          <w:highlight w:val="none"/>
          <w:u w:val="single"/>
        </w:rPr>
        <w:t xml:space="preserve">                   </w:t>
      </w:r>
      <w:r>
        <w:rPr>
          <w:rFonts w:hint="eastAsia" w:ascii="宋体" w:hAnsi="宋体" w:cs="宋体"/>
          <w:szCs w:val="21"/>
          <w:highlight w:val="none"/>
        </w:rPr>
        <w:t>；</w:t>
      </w:r>
    </w:p>
    <w:p>
      <w:pPr>
        <w:spacing w:line="360" w:lineRule="auto"/>
        <w:ind w:firstLine="630" w:firstLineChars="300"/>
        <w:rPr>
          <w:rFonts w:hint="eastAsia" w:ascii="宋体" w:hAnsi="宋体" w:cs="宋体"/>
          <w:szCs w:val="21"/>
          <w:highlight w:val="none"/>
        </w:rPr>
      </w:pPr>
      <w:r>
        <w:rPr>
          <w:rFonts w:hint="eastAsia" w:ascii="宋体" w:hAnsi="宋体" w:cs="宋体"/>
          <w:szCs w:val="21"/>
          <w:highlight w:val="none"/>
        </w:rPr>
        <w:t>质量标准：</w:t>
      </w:r>
      <w:r>
        <w:rPr>
          <w:rFonts w:hint="eastAsia" w:ascii="宋体" w:hAnsi="宋体" w:cs="宋体"/>
          <w:szCs w:val="21"/>
          <w:highlight w:val="none"/>
          <w:u w:val="single"/>
        </w:rPr>
        <w:t xml:space="preserve">                   </w:t>
      </w:r>
      <w:r>
        <w:rPr>
          <w:rFonts w:hint="eastAsia" w:ascii="宋体" w:hAnsi="宋体" w:cs="宋体"/>
          <w:szCs w:val="21"/>
          <w:highlight w:val="none"/>
        </w:rPr>
        <w:t>；</w:t>
      </w:r>
    </w:p>
    <w:p>
      <w:pPr>
        <w:spacing w:line="360" w:lineRule="auto"/>
        <w:ind w:firstLine="630" w:firstLineChars="300"/>
        <w:rPr>
          <w:rFonts w:ascii="宋体" w:hAnsi="宋体" w:cs="宋体"/>
          <w:szCs w:val="21"/>
          <w:highlight w:val="none"/>
        </w:rPr>
      </w:pPr>
      <w:r>
        <w:rPr>
          <w:rFonts w:hint="eastAsia" w:ascii="宋体" w:hAnsi="宋体" w:cs="宋体"/>
          <w:szCs w:val="21"/>
          <w:highlight w:val="none"/>
        </w:rPr>
        <w:t>工          期：</w:t>
      </w:r>
      <w:r>
        <w:rPr>
          <w:rFonts w:hint="eastAsia" w:ascii="宋体" w:hAnsi="宋体" w:cs="宋体"/>
          <w:szCs w:val="21"/>
          <w:highlight w:val="none"/>
          <w:u w:val="single"/>
        </w:rPr>
        <w:t xml:space="preserve">                   </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2.我方提交的竞争性磋商响应文件，正本</w:t>
      </w:r>
      <w:r>
        <w:rPr>
          <w:rFonts w:hint="eastAsia" w:ascii="宋体" w:hAnsi="宋体" w:cs="宋体"/>
          <w:szCs w:val="21"/>
          <w:highlight w:val="none"/>
          <w:u w:val="single"/>
        </w:rPr>
        <w:t xml:space="preserve">     </w:t>
      </w:r>
      <w:r>
        <w:rPr>
          <w:rFonts w:hint="eastAsia" w:ascii="宋体" w:hAnsi="宋体" w:cs="宋体"/>
          <w:szCs w:val="21"/>
          <w:highlight w:val="none"/>
        </w:rPr>
        <w:t>份，副本</w:t>
      </w:r>
      <w:r>
        <w:rPr>
          <w:rFonts w:hint="eastAsia" w:ascii="宋体" w:hAnsi="宋体" w:cs="宋体"/>
          <w:szCs w:val="21"/>
          <w:highlight w:val="none"/>
          <w:u w:val="single"/>
        </w:rPr>
        <w:t xml:space="preserve">     </w:t>
      </w:r>
      <w:r>
        <w:rPr>
          <w:rFonts w:hint="eastAsia" w:ascii="宋体" w:hAnsi="宋体" w:cs="宋体"/>
          <w:szCs w:val="21"/>
          <w:highlight w:val="none"/>
        </w:rPr>
        <w:t>份，电子文件</w:t>
      </w:r>
      <w:r>
        <w:rPr>
          <w:rFonts w:hint="eastAsia" w:ascii="宋体" w:hAnsi="宋体" w:cs="宋体"/>
          <w:szCs w:val="21"/>
          <w:highlight w:val="none"/>
          <w:u w:val="single"/>
        </w:rPr>
        <w:t xml:space="preserve">     </w:t>
      </w:r>
      <w:r>
        <w:rPr>
          <w:rFonts w:hint="eastAsia" w:ascii="宋体" w:hAnsi="宋体" w:cs="宋体"/>
          <w:szCs w:val="21"/>
          <w:highlight w:val="none"/>
        </w:rPr>
        <w:t>份。</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3.如果我们竞争性磋商响应文件被接受，我们将履行竞争性磋商文件中规定的每一项要求，按期、按质、按量完成任务。</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4.我们理解，最低报价不是成交的唯一条件，你们有选择磋商人的权力。</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5.我们愿按</w:t>
      </w:r>
      <w:r>
        <w:rPr>
          <w:rFonts w:hint="eastAsia" w:ascii="宋体" w:hAnsi="宋体" w:cs="宋体"/>
          <w:color w:val="000000"/>
          <w:spacing w:val="-4"/>
          <w:szCs w:val="21"/>
          <w:highlight w:val="none"/>
        </w:rPr>
        <w:t>《</w:t>
      </w:r>
      <w:r>
        <w:rPr>
          <w:rFonts w:hint="eastAsia" w:ascii="宋体" w:hAnsi="宋体" w:cs="宋体"/>
          <w:color w:val="000000"/>
          <w:spacing w:val="-5"/>
          <w:szCs w:val="21"/>
          <w:highlight w:val="none"/>
        </w:rPr>
        <w:t>中华</w:t>
      </w:r>
      <w:r>
        <w:rPr>
          <w:rFonts w:hint="eastAsia" w:ascii="宋体" w:hAnsi="宋体" w:cs="宋体"/>
          <w:color w:val="000000"/>
          <w:spacing w:val="-3"/>
          <w:szCs w:val="21"/>
          <w:highlight w:val="none"/>
        </w:rPr>
        <w:t>人民</w:t>
      </w:r>
      <w:r>
        <w:rPr>
          <w:rFonts w:hint="eastAsia" w:ascii="宋体" w:hAnsi="宋体" w:cs="宋体"/>
          <w:color w:val="000000"/>
          <w:spacing w:val="-4"/>
          <w:szCs w:val="21"/>
          <w:highlight w:val="none"/>
        </w:rPr>
        <w:t>共和国政府采购法》、</w:t>
      </w:r>
      <w:r>
        <w:rPr>
          <w:rFonts w:hint="eastAsia" w:ascii="宋体" w:hAnsi="宋体" w:cs="宋体"/>
          <w:color w:val="000000"/>
          <w:spacing w:val="-5"/>
          <w:szCs w:val="21"/>
          <w:highlight w:val="none"/>
        </w:rPr>
        <w:t>《中华人民共和国政府采购法实施条例</w:t>
      </w:r>
      <w:r>
        <w:rPr>
          <w:rFonts w:hint="eastAsia" w:ascii="宋体" w:hAnsi="宋体" w:cs="宋体"/>
          <w:color w:val="000000"/>
          <w:spacing w:val="-3"/>
          <w:szCs w:val="21"/>
          <w:highlight w:val="none"/>
        </w:rPr>
        <w:t>》等法律法规及政府采购相关规定</w:t>
      </w:r>
      <w:r>
        <w:rPr>
          <w:rFonts w:hint="eastAsia" w:ascii="宋体" w:hAnsi="宋体" w:cs="宋体"/>
          <w:szCs w:val="21"/>
          <w:highlight w:val="none"/>
        </w:rPr>
        <w:t>履行自己的全部责任。</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6.我们同意按竞争性磋商文件规定，遵守贵公司有关规定和收费标准。</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7.我方的竞争性磋商响应文件有效期为竞争性磋商响应文件递交截止之日起</w:t>
      </w:r>
      <w:r>
        <w:rPr>
          <w:rFonts w:hint="eastAsia" w:ascii="宋体" w:hAnsi="宋体" w:cs="宋体"/>
          <w:szCs w:val="21"/>
          <w:highlight w:val="none"/>
          <w:u w:val="single"/>
        </w:rPr>
        <w:t xml:space="preserve">    </w:t>
      </w:r>
      <w:r>
        <w:rPr>
          <w:rFonts w:hint="eastAsia" w:ascii="宋体" w:hAnsi="宋体" w:cs="宋体"/>
          <w:szCs w:val="21"/>
          <w:highlight w:val="none"/>
        </w:rPr>
        <w:t>日历天。</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8.所有关于本竞争性磋商响应文件的函电，请按下列地址联系。</w:t>
      </w:r>
    </w:p>
    <w:p>
      <w:pPr>
        <w:spacing w:line="360" w:lineRule="auto"/>
        <w:ind w:firstLine="211"/>
        <w:rPr>
          <w:rFonts w:ascii="宋体" w:hAnsi="宋体" w:cs="宋体"/>
          <w:szCs w:val="21"/>
          <w:highlight w:val="none"/>
        </w:rPr>
      </w:pPr>
    </w:p>
    <w:p>
      <w:pPr>
        <w:spacing w:line="360" w:lineRule="auto"/>
        <w:ind w:firstLine="840"/>
        <w:rPr>
          <w:rFonts w:ascii="宋体" w:hAnsi="宋体" w:cs="宋体"/>
          <w:szCs w:val="21"/>
          <w:highlight w:val="none"/>
          <w:u w:val="single"/>
        </w:rPr>
      </w:pPr>
      <w:r>
        <w:rPr>
          <w:rFonts w:hint="eastAsia" w:ascii="宋体" w:hAnsi="宋体" w:cs="宋体"/>
          <w:szCs w:val="21"/>
          <w:highlight w:val="none"/>
        </w:rPr>
        <w:t>供应商</w:t>
      </w:r>
      <w:r>
        <w:rPr>
          <w:rFonts w:hint="eastAsia" w:ascii="宋体" w:hAnsi="宋体" w:cs="宋体"/>
          <w:szCs w:val="21"/>
          <w:highlight w:val="none"/>
          <w:lang w:val="en-US" w:eastAsia="zh-CN"/>
        </w:rPr>
        <w:t>名</w:t>
      </w:r>
      <w:r>
        <w:rPr>
          <w:rFonts w:hint="eastAsia" w:ascii="宋体" w:hAnsi="宋体" w:cs="宋体"/>
          <w:szCs w:val="21"/>
          <w:highlight w:val="none"/>
        </w:rPr>
        <w:t>称（盖章）：</w:t>
      </w:r>
    </w:p>
    <w:p>
      <w:pPr>
        <w:spacing w:line="360" w:lineRule="auto"/>
        <w:ind w:firstLine="840"/>
        <w:rPr>
          <w:rFonts w:ascii="宋体" w:hAnsi="宋体" w:cs="宋体"/>
          <w:szCs w:val="21"/>
          <w:highlight w:val="none"/>
          <w:u w:val="single"/>
        </w:rPr>
      </w:pPr>
      <w:r>
        <w:rPr>
          <w:rFonts w:hint="eastAsia" w:ascii="宋体" w:hAnsi="宋体" w:cs="宋体"/>
          <w:szCs w:val="21"/>
          <w:highlight w:val="none"/>
        </w:rPr>
        <w:t>地    址：</w:t>
      </w:r>
    </w:p>
    <w:p>
      <w:pPr>
        <w:spacing w:line="360" w:lineRule="auto"/>
        <w:ind w:firstLine="840"/>
        <w:rPr>
          <w:rFonts w:ascii="宋体" w:hAnsi="宋体" w:cs="宋体"/>
          <w:szCs w:val="21"/>
          <w:highlight w:val="none"/>
          <w:u w:val="single"/>
        </w:rPr>
      </w:pPr>
      <w:r>
        <w:rPr>
          <w:rFonts w:hint="eastAsia" w:ascii="宋体" w:hAnsi="宋体" w:cs="宋体"/>
          <w:szCs w:val="21"/>
          <w:highlight w:val="none"/>
        </w:rPr>
        <w:t>开 户 行：</w:t>
      </w:r>
    </w:p>
    <w:p>
      <w:pPr>
        <w:spacing w:line="360" w:lineRule="auto"/>
        <w:ind w:firstLine="840"/>
        <w:rPr>
          <w:rFonts w:ascii="宋体" w:hAnsi="宋体" w:cs="宋体"/>
          <w:szCs w:val="21"/>
          <w:highlight w:val="none"/>
        </w:rPr>
      </w:pPr>
      <w:r>
        <w:rPr>
          <w:rFonts w:hint="eastAsia" w:ascii="宋体" w:hAnsi="宋体" w:cs="宋体"/>
          <w:szCs w:val="21"/>
          <w:highlight w:val="none"/>
        </w:rPr>
        <w:t>账    号：</w:t>
      </w:r>
    </w:p>
    <w:p>
      <w:pPr>
        <w:spacing w:line="360" w:lineRule="auto"/>
        <w:ind w:firstLine="840"/>
        <w:rPr>
          <w:rFonts w:ascii="宋体" w:hAnsi="宋体" w:cs="宋体"/>
          <w:szCs w:val="21"/>
          <w:highlight w:val="none"/>
        </w:rPr>
      </w:pPr>
      <w:r>
        <w:rPr>
          <w:rFonts w:hint="eastAsia" w:ascii="宋体" w:hAnsi="宋体" w:cs="宋体"/>
          <w:szCs w:val="21"/>
          <w:highlight w:val="none"/>
        </w:rPr>
        <w:t>电    话：</w:t>
      </w:r>
    </w:p>
    <w:p>
      <w:pPr>
        <w:spacing w:line="360" w:lineRule="auto"/>
        <w:ind w:firstLine="840"/>
        <w:rPr>
          <w:rFonts w:ascii="宋体" w:hAnsi="宋体" w:cs="宋体"/>
          <w:szCs w:val="21"/>
          <w:highlight w:val="none"/>
        </w:rPr>
      </w:pPr>
      <w:r>
        <w:rPr>
          <w:rFonts w:hint="eastAsia" w:ascii="宋体" w:hAnsi="宋体" w:cs="宋体"/>
          <w:szCs w:val="21"/>
          <w:highlight w:val="none"/>
        </w:rPr>
        <w:t>传    真：</w:t>
      </w:r>
    </w:p>
    <w:p>
      <w:pPr>
        <w:spacing w:line="360" w:lineRule="auto"/>
        <w:ind w:firstLine="840"/>
        <w:rPr>
          <w:rFonts w:ascii="宋体" w:hAnsi="宋体" w:cs="宋体"/>
          <w:szCs w:val="21"/>
          <w:highlight w:val="none"/>
          <w:u w:val="single"/>
        </w:rPr>
      </w:pPr>
      <w:r>
        <w:rPr>
          <w:rFonts w:hint="eastAsia" w:ascii="宋体" w:hAnsi="宋体" w:cs="宋体"/>
          <w:szCs w:val="21"/>
          <w:highlight w:val="none"/>
        </w:rPr>
        <w:t xml:space="preserve">邮    编： </w:t>
      </w:r>
    </w:p>
    <w:p>
      <w:pPr>
        <w:spacing w:line="360" w:lineRule="auto"/>
        <w:ind w:firstLine="840"/>
        <w:jc w:val="left"/>
        <w:rPr>
          <w:rFonts w:ascii="宋体" w:hAnsi="宋体" w:cs="宋体"/>
          <w:szCs w:val="21"/>
          <w:highlight w:val="none"/>
        </w:rPr>
      </w:pPr>
      <w:r>
        <w:rPr>
          <w:rFonts w:hint="eastAsia" w:ascii="宋体" w:hAnsi="宋体" w:cs="宋体"/>
          <w:szCs w:val="21"/>
          <w:highlight w:val="none"/>
        </w:rPr>
        <w:t>法定代表人或被授权人（签字或盖章）：</w:t>
      </w:r>
    </w:p>
    <w:p>
      <w:pPr>
        <w:spacing w:line="360" w:lineRule="auto"/>
        <w:ind w:firstLine="840"/>
        <w:jc w:val="left"/>
        <w:rPr>
          <w:rFonts w:ascii="宋体" w:hAnsi="宋体" w:cs="宋体"/>
          <w:szCs w:val="21"/>
          <w:highlight w:val="none"/>
        </w:rPr>
      </w:pPr>
    </w:p>
    <w:p>
      <w:pPr>
        <w:spacing w:line="360" w:lineRule="auto"/>
        <w:ind w:firstLine="6510" w:firstLineChars="3100"/>
        <w:jc w:val="left"/>
        <w:rPr>
          <w:rFonts w:ascii="宋体" w:hAnsi="宋体" w:cs="宋体"/>
          <w:b/>
          <w:bCs/>
          <w:szCs w:val="21"/>
          <w:highlight w:val="none"/>
        </w:rPr>
      </w:pPr>
      <w:r>
        <w:rPr>
          <w:rFonts w:hint="eastAsia" w:ascii="宋体" w:hAnsi="宋体" w:cs="宋体"/>
          <w:szCs w:val="21"/>
          <w:highlight w:val="none"/>
        </w:rPr>
        <w:t>年     月     日</w:t>
      </w:r>
    </w:p>
    <w:p>
      <w:pPr>
        <w:pStyle w:val="51"/>
        <w:spacing w:line="360" w:lineRule="auto"/>
        <w:ind w:left="240" w:firstLine="211" w:firstLineChars="100"/>
        <w:jc w:val="center"/>
        <w:rPr>
          <w:rFonts w:ascii="宋体" w:hAnsi="宋体" w:cs="宋体"/>
          <w:b/>
          <w:bCs/>
          <w:sz w:val="21"/>
          <w:szCs w:val="21"/>
          <w:highlight w:val="none"/>
        </w:rPr>
      </w:pPr>
    </w:p>
    <w:p>
      <w:pPr>
        <w:pStyle w:val="3"/>
        <w:rPr>
          <w:highlight w:val="none"/>
        </w:rPr>
      </w:pPr>
    </w:p>
    <w:bookmarkEnd w:id="458"/>
    <w:bookmarkEnd w:id="459"/>
    <w:p>
      <w:pPr>
        <w:pStyle w:val="51"/>
        <w:spacing w:line="480" w:lineRule="exact"/>
        <w:ind w:left="240" w:firstLine="200" w:firstLineChars="100"/>
        <w:jc w:val="center"/>
        <w:outlineLvl w:val="0"/>
        <w:rPr>
          <w:rFonts w:ascii="宋体" w:hAnsi="宋体" w:cs="宋体"/>
          <w:b/>
          <w:bCs/>
          <w:kern w:val="2"/>
          <w:sz w:val="32"/>
          <w:szCs w:val="32"/>
          <w:highlight w:val="none"/>
        </w:rPr>
      </w:pPr>
      <w:bookmarkStart w:id="514" w:name="_Toc19170"/>
      <w:bookmarkStart w:id="515" w:name="_Toc7524510"/>
      <w:bookmarkStart w:id="516" w:name="_Toc19796"/>
      <w:bookmarkStart w:id="517" w:name="_Toc2494"/>
      <w:r>
        <w:rPr>
          <w:rFonts w:hint="eastAsia" w:ascii="宋体" w:hAnsi="宋体" w:cs="宋体"/>
          <w:highlight w:val="none"/>
        </w:rPr>
        <w:br w:type="page"/>
      </w:r>
      <w:bookmarkStart w:id="518" w:name="_Toc14396"/>
      <w:bookmarkStart w:id="519" w:name="_Toc12153"/>
      <w:bookmarkStart w:id="520" w:name="_Toc2993"/>
      <w:r>
        <w:rPr>
          <w:rFonts w:hint="eastAsia" w:ascii="宋体" w:hAnsi="宋体" w:cs="宋体"/>
          <w:b/>
          <w:bCs/>
          <w:kern w:val="2"/>
          <w:sz w:val="32"/>
          <w:szCs w:val="32"/>
          <w:highlight w:val="none"/>
        </w:rPr>
        <w:t>二、法定代表人身份证明</w:t>
      </w:r>
      <w:bookmarkEnd w:id="518"/>
    </w:p>
    <w:p>
      <w:pPr>
        <w:pStyle w:val="51"/>
        <w:spacing w:line="480" w:lineRule="exact"/>
        <w:ind w:left="240" w:firstLine="281" w:firstLineChars="100"/>
        <w:jc w:val="center"/>
        <w:rPr>
          <w:rFonts w:ascii="宋体" w:hAnsi="宋体" w:cs="宋体"/>
          <w:b/>
          <w:kern w:val="2"/>
          <w:sz w:val="28"/>
          <w:szCs w:val="28"/>
          <w:highlight w:val="none"/>
        </w:rPr>
      </w:pPr>
    </w:p>
    <w:bookmarkEnd w:id="514"/>
    <w:bookmarkEnd w:id="515"/>
    <w:bookmarkEnd w:id="516"/>
    <w:bookmarkEnd w:id="517"/>
    <w:bookmarkEnd w:id="519"/>
    <w:bookmarkEnd w:id="520"/>
    <w:p>
      <w:pPr>
        <w:autoSpaceDE w:val="0"/>
        <w:autoSpaceDN w:val="0"/>
        <w:adjustRightInd w:val="0"/>
        <w:snapToGrid w:val="0"/>
        <w:spacing w:before="120" w:beforeLines="50" w:line="360" w:lineRule="auto"/>
        <w:jc w:val="left"/>
        <w:rPr>
          <w:rFonts w:ascii="宋体" w:hAnsi="宋体" w:cs="宋体"/>
          <w:szCs w:val="21"/>
          <w:highlight w:val="none"/>
        </w:rPr>
      </w:pPr>
      <w:bookmarkStart w:id="521" w:name="_Toc4867"/>
      <w:bookmarkStart w:id="522" w:name="_Toc426457701"/>
      <w:bookmarkStart w:id="523" w:name="_Toc30210"/>
      <w:bookmarkStart w:id="524" w:name="_Toc25348"/>
      <w:bookmarkStart w:id="525" w:name="_Toc403077649"/>
      <w:bookmarkStart w:id="526" w:name="_Toc19075"/>
      <w:bookmarkStart w:id="527" w:name="_Toc363474028"/>
      <w:bookmarkStart w:id="528" w:name="_Toc16097"/>
      <w:r>
        <w:rPr>
          <w:rFonts w:hint="eastAsia" w:ascii="宋体" w:hAnsi="宋体" w:cs="宋体"/>
          <w:szCs w:val="21"/>
          <w:highlight w:val="none"/>
        </w:rPr>
        <w:t>供应商名称：</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p>
    <w:p>
      <w:pPr>
        <w:autoSpaceDE w:val="0"/>
        <w:autoSpaceDN w:val="0"/>
        <w:adjustRightInd w:val="0"/>
        <w:snapToGrid w:val="0"/>
        <w:spacing w:before="120" w:beforeLines="50" w:line="360" w:lineRule="auto"/>
        <w:jc w:val="left"/>
        <w:rPr>
          <w:rFonts w:ascii="宋体" w:hAnsi="宋体" w:cs="宋体"/>
          <w:szCs w:val="21"/>
          <w:highlight w:val="none"/>
        </w:rPr>
      </w:pPr>
      <w:r>
        <w:rPr>
          <w:rFonts w:hint="eastAsia" w:ascii="宋体" w:hAnsi="宋体" w:cs="宋体"/>
          <w:szCs w:val="21"/>
          <w:highlight w:val="none"/>
        </w:rPr>
        <w:t>统一社会信用代码：</w:t>
      </w:r>
      <w:r>
        <w:rPr>
          <w:rFonts w:hint="eastAsia" w:ascii="宋体" w:hAnsi="宋体" w:cs="宋体"/>
          <w:szCs w:val="21"/>
          <w:highlight w:val="none"/>
          <w:u w:val="single"/>
        </w:rPr>
        <w:t xml:space="preserve">                </w:t>
      </w:r>
    </w:p>
    <w:p>
      <w:pPr>
        <w:autoSpaceDE w:val="0"/>
        <w:autoSpaceDN w:val="0"/>
        <w:adjustRightInd w:val="0"/>
        <w:snapToGrid w:val="0"/>
        <w:spacing w:before="120" w:beforeLines="50" w:line="360" w:lineRule="auto"/>
        <w:jc w:val="left"/>
        <w:rPr>
          <w:rFonts w:ascii="宋体" w:hAnsi="宋体" w:cs="宋体"/>
          <w:szCs w:val="21"/>
          <w:highlight w:val="none"/>
        </w:rPr>
      </w:pPr>
      <w:r>
        <w:rPr>
          <w:rFonts w:hint="eastAsia" w:ascii="宋体" w:hAnsi="宋体" w:cs="宋体"/>
          <w:szCs w:val="21"/>
          <w:highlight w:val="none"/>
        </w:rPr>
        <w:t>注册地址：</w:t>
      </w:r>
      <w:r>
        <w:rPr>
          <w:rFonts w:hint="eastAsia" w:ascii="宋体" w:hAnsi="宋体" w:cs="宋体"/>
          <w:szCs w:val="21"/>
          <w:highlight w:val="none"/>
          <w:u w:val="single"/>
        </w:rPr>
        <w:t xml:space="preserve">                        </w:t>
      </w:r>
    </w:p>
    <w:p>
      <w:pPr>
        <w:autoSpaceDE w:val="0"/>
        <w:autoSpaceDN w:val="0"/>
        <w:adjustRightInd w:val="0"/>
        <w:snapToGrid w:val="0"/>
        <w:spacing w:before="120" w:beforeLines="50" w:line="360" w:lineRule="auto"/>
        <w:jc w:val="left"/>
        <w:rPr>
          <w:rFonts w:ascii="宋体" w:hAnsi="宋体" w:cs="宋体"/>
          <w:szCs w:val="21"/>
          <w:highlight w:val="none"/>
        </w:rPr>
      </w:pPr>
      <w:r>
        <w:rPr>
          <w:rFonts w:hint="eastAsia" w:ascii="宋体" w:hAnsi="宋体" w:cs="宋体"/>
          <w:szCs w:val="21"/>
          <w:highlight w:val="none"/>
        </w:rPr>
        <w:t>成立时间：</w:t>
      </w:r>
      <w:r>
        <w:rPr>
          <w:rFonts w:hint="eastAsia" w:ascii="宋体" w:hAnsi="宋体" w:cs="宋体"/>
          <w:szCs w:val="21"/>
          <w:highlight w:val="none"/>
          <w:u w:val="single"/>
        </w:rPr>
        <w:t xml:space="preserve">    </w:t>
      </w:r>
      <w:r>
        <w:rPr>
          <w:rFonts w:hint="eastAsia" w:ascii="宋体" w:hAnsi="宋体" w:cs="宋体"/>
          <w:szCs w:val="21"/>
          <w:highlight w:val="none"/>
        </w:rPr>
        <w:t xml:space="preserve">年 </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pPr>
        <w:autoSpaceDE w:val="0"/>
        <w:autoSpaceDN w:val="0"/>
        <w:adjustRightInd w:val="0"/>
        <w:snapToGrid w:val="0"/>
        <w:spacing w:before="120" w:beforeLines="50" w:line="360" w:lineRule="auto"/>
        <w:jc w:val="left"/>
        <w:rPr>
          <w:rFonts w:ascii="宋体" w:hAnsi="宋体" w:cs="宋体"/>
          <w:szCs w:val="21"/>
          <w:highlight w:val="none"/>
          <w:u w:val="single"/>
        </w:rPr>
      </w:pPr>
      <w:r>
        <w:rPr>
          <w:rFonts w:hint="eastAsia" w:ascii="宋体" w:hAnsi="宋体" w:cs="宋体"/>
          <w:szCs w:val="21"/>
          <w:highlight w:val="none"/>
        </w:rPr>
        <w:t>经营期限：</w:t>
      </w:r>
      <w:r>
        <w:rPr>
          <w:rFonts w:hint="eastAsia" w:ascii="宋体" w:hAnsi="宋体" w:cs="宋体"/>
          <w:szCs w:val="21"/>
          <w:highlight w:val="none"/>
          <w:u w:val="single"/>
        </w:rPr>
        <w:t xml:space="preserve">                  </w:t>
      </w:r>
    </w:p>
    <w:p>
      <w:pPr>
        <w:autoSpaceDE w:val="0"/>
        <w:autoSpaceDN w:val="0"/>
        <w:adjustRightInd w:val="0"/>
        <w:snapToGrid w:val="0"/>
        <w:spacing w:before="120" w:beforeLines="50" w:line="360" w:lineRule="auto"/>
        <w:jc w:val="left"/>
        <w:rPr>
          <w:rFonts w:ascii="宋体" w:hAnsi="宋体" w:cs="宋体"/>
          <w:szCs w:val="21"/>
          <w:highlight w:val="none"/>
        </w:rPr>
      </w:pPr>
      <w:r>
        <w:rPr>
          <w:rFonts w:hint="eastAsia" w:ascii="宋体" w:hAnsi="宋体" w:cs="宋体"/>
          <w:szCs w:val="21"/>
          <w:highlight w:val="none"/>
        </w:rPr>
        <w:t>姓名：</w:t>
      </w:r>
      <w:r>
        <w:rPr>
          <w:rFonts w:hint="eastAsia" w:ascii="宋体" w:hAnsi="宋体" w:cs="宋体"/>
          <w:szCs w:val="21"/>
          <w:highlight w:val="none"/>
          <w:u w:val="single"/>
        </w:rPr>
        <w:t xml:space="preserve">      </w:t>
      </w:r>
      <w:r>
        <w:rPr>
          <w:rFonts w:hint="eastAsia" w:ascii="宋体" w:hAnsi="宋体" w:cs="宋体"/>
          <w:szCs w:val="21"/>
          <w:highlight w:val="none"/>
        </w:rPr>
        <w:t xml:space="preserve"> 性别：</w:t>
      </w:r>
      <w:r>
        <w:rPr>
          <w:rFonts w:hint="eastAsia" w:ascii="宋体" w:hAnsi="宋体" w:cs="宋体"/>
          <w:szCs w:val="21"/>
          <w:highlight w:val="none"/>
          <w:u w:val="single"/>
        </w:rPr>
        <w:t xml:space="preserve">   </w:t>
      </w:r>
      <w:r>
        <w:rPr>
          <w:rFonts w:hint="eastAsia" w:ascii="宋体" w:hAnsi="宋体" w:cs="宋体"/>
          <w:szCs w:val="21"/>
          <w:highlight w:val="none"/>
        </w:rPr>
        <w:t xml:space="preserve"> 年龄：</w:t>
      </w:r>
      <w:r>
        <w:rPr>
          <w:rFonts w:hint="eastAsia" w:ascii="宋体" w:hAnsi="宋体" w:cs="宋体"/>
          <w:szCs w:val="21"/>
          <w:highlight w:val="none"/>
          <w:u w:val="single"/>
        </w:rPr>
        <w:t xml:space="preserve">   </w:t>
      </w:r>
      <w:r>
        <w:rPr>
          <w:rFonts w:hint="eastAsia" w:ascii="宋体" w:hAnsi="宋体" w:cs="宋体"/>
          <w:szCs w:val="21"/>
          <w:highlight w:val="none"/>
        </w:rPr>
        <w:t xml:space="preserve"> 系</w:t>
      </w:r>
      <w:r>
        <w:rPr>
          <w:rFonts w:hint="eastAsia" w:ascii="宋体" w:hAnsi="宋体" w:cs="宋体"/>
          <w:szCs w:val="21"/>
          <w:highlight w:val="none"/>
          <w:u w:val="single"/>
        </w:rPr>
        <w:t xml:space="preserve">            </w:t>
      </w:r>
      <w:r>
        <w:rPr>
          <w:rFonts w:hint="eastAsia" w:ascii="宋体" w:hAnsi="宋体" w:cs="宋体"/>
          <w:szCs w:val="21"/>
          <w:highlight w:val="none"/>
        </w:rPr>
        <w:t>（供应商名称）的法定代表人。</w:t>
      </w:r>
    </w:p>
    <w:p>
      <w:pPr>
        <w:autoSpaceDE w:val="0"/>
        <w:autoSpaceDN w:val="0"/>
        <w:adjustRightInd w:val="0"/>
        <w:snapToGrid w:val="0"/>
        <w:spacing w:before="120" w:beforeLines="50" w:line="360" w:lineRule="auto"/>
        <w:jc w:val="left"/>
        <w:rPr>
          <w:rFonts w:ascii="宋体" w:hAnsi="宋体" w:cs="宋体"/>
          <w:szCs w:val="21"/>
          <w:highlight w:val="none"/>
        </w:rPr>
      </w:pPr>
      <w:r>
        <w:rPr>
          <w:rFonts w:hint="eastAsia" w:ascii="宋体" w:hAnsi="宋体" w:cs="宋体"/>
          <w:szCs w:val="21"/>
          <w:highlight w:val="none"/>
        </w:rPr>
        <w:t>特此证明。</w:t>
      </w:r>
    </w:p>
    <w:p>
      <w:pPr>
        <w:autoSpaceDE w:val="0"/>
        <w:autoSpaceDN w:val="0"/>
        <w:adjustRightInd w:val="0"/>
        <w:snapToGrid w:val="0"/>
        <w:spacing w:before="120" w:beforeLines="50" w:line="360" w:lineRule="auto"/>
        <w:jc w:val="left"/>
        <w:rPr>
          <w:rFonts w:ascii="宋体" w:hAnsi="宋体" w:cs="宋体"/>
          <w:szCs w:val="21"/>
          <w:highlight w:val="none"/>
        </w:rPr>
      </w:pPr>
      <w:r>
        <w:rPr>
          <w:rFonts w:hint="eastAsia" w:ascii="宋体" w:hAnsi="宋体" w:cs="宋体"/>
          <w:szCs w:val="21"/>
          <w:highlight w:val="none"/>
        </w:rPr>
        <w:t>附：法定代表人身份证复印件</w:t>
      </w:r>
    </w:p>
    <w:tbl>
      <w:tblPr>
        <w:tblStyle w:val="28"/>
        <w:tblpPr w:leftFromText="180" w:rightFromText="180" w:vertAnchor="text" w:horzAnchor="margin" w:tblpXSpec="center" w:tblpY="1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5" w:hRule="atLeast"/>
        </w:trPr>
        <w:tc>
          <w:tcPr>
            <w:tcW w:w="5868" w:type="dxa"/>
            <w:vAlign w:val="center"/>
          </w:tcPr>
          <w:p>
            <w:pPr>
              <w:snapToGrid w:val="0"/>
              <w:spacing w:line="480" w:lineRule="auto"/>
              <w:jc w:val="center"/>
              <w:rPr>
                <w:rFonts w:ascii="宋体" w:hAnsi="宋体" w:cs="宋体"/>
                <w:szCs w:val="21"/>
                <w:highlight w:val="none"/>
              </w:rPr>
            </w:pPr>
          </w:p>
          <w:p>
            <w:pPr>
              <w:snapToGrid w:val="0"/>
              <w:spacing w:line="480" w:lineRule="auto"/>
              <w:jc w:val="center"/>
              <w:rPr>
                <w:rFonts w:ascii="宋体" w:hAnsi="宋体" w:cs="宋体"/>
                <w:szCs w:val="21"/>
                <w:highlight w:val="none"/>
              </w:rPr>
            </w:pPr>
          </w:p>
          <w:p>
            <w:pPr>
              <w:autoSpaceDE w:val="0"/>
              <w:autoSpaceDN w:val="0"/>
              <w:adjustRightInd w:val="0"/>
              <w:snapToGrid w:val="0"/>
              <w:spacing w:before="120" w:beforeLines="50" w:line="360" w:lineRule="auto"/>
              <w:jc w:val="center"/>
              <w:rPr>
                <w:rFonts w:ascii="宋体" w:hAnsi="宋体" w:cs="宋体"/>
                <w:szCs w:val="21"/>
                <w:highlight w:val="none"/>
              </w:rPr>
            </w:pPr>
            <w:r>
              <w:rPr>
                <w:rFonts w:hint="eastAsia" w:ascii="宋体" w:hAnsi="宋体" w:cs="宋体"/>
                <w:szCs w:val="21"/>
                <w:highlight w:val="none"/>
              </w:rPr>
              <w:t>法定代表人身份证复印件粘贴处</w:t>
            </w:r>
          </w:p>
          <w:p>
            <w:pPr>
              <w:pStyle w:val="3"/>
              <w:jc w:val="center"/>
              <w:rPr>
                <w:rFonts w:ascii="宋体" w:hAnsi="宋体" w:cs="宋体"/>
                <w:sz w:val="21"/>
                <w:szCs w:val="21"/>
                <w:highlight w:val="none"/>
              </w:rPr>
            </w:pPr>
            <w:r>
              <w:rPr>
                <w:rFonts w:hint="eastAsia" w:ascii="宋体" w:hAnsi="宋体" w:cs="宋体"/>
                <w:sz w:val="21"/>
                <w:szCs w:val="21"/>
                <w:highlight w:val="none"/>
              </w:rPr>
              <w:t>（正反面）</w:t>
            </w:r>
          </w:p>
          <w:p>
            <w:pPr>
              <w:snapToGrid w:val="0"/>
              <w:spacing w:line="480" w:lineRule="auto"/>
              <w:jc w:val="center"/>
              <w:rPr>
                <w:rFonts w:ascii="宋体" w:hAnsi="宋体" w:cs="宋体"/>
                <w:szCs w:val="21"/>
                <w:highlight w:val="none"/>
              </w:rPr>
            </w:pPr>
          </w:p>
          <w:p>
            <w:pPr>
              <w:snapToGrid w:val="0"/>
              <w:spacing w:line="480" w:lineRule="auto"/>
              <w:jc w:val="center"/>
              <w:rPr>
                <w:rFonts w:ascii="宋体" w:hAnsi="宋体" w:cs="宋体"/>
                <w:szCs w:val="21"/>
                <w:highlight w:val="none"/>
              </w:rPr>
            </w:pPr>
          </w:p>
        </w:tc>
      </w:tr>
    </w:tbl>
    <w:p>
      <w:pPr>
        <w:snapToGrid w:val="0"/>
        <w:spacing w:line="480" w:lineRule="auto"/>
        <w:rPr>
          <w:rFonts w:ascii="宋体" w:hAnsi="宋体" w:cs="宋体"/>
          <w:szCs w:val="21"/>
          <w:highlight w:val="none"/>
        </w:rPr>
      </w:pPr>
    </w:p>
    <w:p>
      <w:pPr>
        <w:snapToGrid w:val="0"/>
        <w:rPr>
          <w:rFonts w:ascii="宋体" w:hAnsi="宋体" w:cs="宋体"/>
          <w:szCs w:val="21"/>
          <w:highlight w:val="none"/>
        </w:rPr>
      </w:pPr>
    </w:p>
    <w:p>
      <w:pPr>
        <w:snapToGrid w:val="0"/>
        <w:rPr>
          <w:rFonts w:ascii="宋体" w:hAnsi="宋体" w:cs="宋体"/>
          <w:szCs w:val="21"/>
          <w:highlight w:val="none"/>
        </w:rPr>
      </w:pPr>
    </w:p>
    <w:p>
      <w:pPr>
        <w:snapToGrid w:val="0"/>
        <w:rPr>
          <w:rFonts w:ascii="宋体" w:hAnsi="宋体" w:cs="宋体"/>
          <w:szCs w:val="21"/>
          <w:highlight w:val="none"/>
        </w:rPr>
      </w:pPr>
    </w:p>
    <w:p>
      <w:pPr>
        <w:snapToGrid w:val="0"/>
        <w:rPr>
          <w:rFonts w:ascii="宋体" w:hAnsi="宋体" w:cs="宋体"/>
          <w:szCs w:val="21"/>
          <w:highlight w:val="none"/>
        </w:rPr>
      </w:pPr>
    </w:p>
    <w:p>
      <w:pPr>
        <w:adjustRightInd w:val="0"/>
        <w:snapToGrid w:val="0"/>
        <w:spacing w:line="360" w:lineRule="auto"/>
        <w:rPr>
          <w:rFonts w:ascii="宋体" w:hAnsi="宋体" w:cs="宋体"/>
          <w:szCs w:val="21"/>
          <w:highlight w:val="none"/>
        </w:rPr>
      </w:pPr>
    </w:p>
    <w:p>
      <w:pPr>
        <w:adjustRightInd w:val="0"/>
        <w:snapToGrid w:val="0"/>
        <w:spacing w:line="360" w:lineRule="auto"/>
        <w:ind w:right="420"/>
        <w:rPr>
          <w:rFonts w:ascii="宋体" w:hAnsi="宋体" w:cs="宋体"/>
          <w:szCs w:val="21"/>
          <w:highlight w:val="none"/>
        </w:rPr>
      </w:pPr>
    </w:p>
    <w:p>
      <w:pPr>
        <w:adjustRightInd w:val="0"/>
        <w:snapToGrid w:val="0"/>
        <w:spacing w:line="360" w:lineRule="auto"/>
        <w:ind w:right="420"/>
        <w:rPr>
          <w:rFonts w:ascii="宋体" w:hAnsi="宋体" w:cs="宋体"/>
          <w:szCs w:val="21"/>
          <w:highlight w:val="none"/>
        </w:rPr>
      </w:pPr>
    </w:p>
    <w:p>
      <w:pPr>
        <w:adjustRightInd w:val="0"/>
        <w:snapToGrid w:val="0"/>
        <w:spacing w:line="360" w:lineRule="auto"/>
        <w:ind w:right="420"/>
        <w:rPr>
          <w:rFonts w:ascii="宋体" w:hAnsi="宋体" w:cs="宋体"/>
          <w:szCs w:val="21"/>
          <w:highlight w:val="none"/>
        </w:rPr>
      </w:pPr>
    </w:p>
    <w:p>
      <w:pPr>
        <w:adjustRightInd w:val="0"/>
        <w:snapToGrid w:val="0"/>
        <w:spacing w:line="360" w:lineRule="auto"/>
        <w:ind w:right="420"/>
        <w:rPr>
          <w:rFonts w:ascii="宋体" w:hAnsi="宋体" w:cs="宋体"/>
          <w:szCs w:val="21"/>
          <w:highlight w:val="none"/>
        </w:rPr>
      </w:pPr>
    </w:p>
    <w:p>
      <w:pPr>
        <w:pStyle w:val="2"/>
        <w:rPr>
          <w:rFonts w:ascii="宋体" w:hAnsi="宋体" w:cs="宋体"/>
          <w:sz w:val="21"/>
          <w:szCs w:val="21"/>
          <w:highlight w:val="none"/>
        </w:rPr>
      </w:pPr>
    </w:p>
    <w:p>
      <w:pPr>
        <w:pStyle w:val="4"/>
        <w:ind w:firstLine="640"/>
        <w:rPr>
          <w:highlight w:val="none"/>
        </w:rPr>
      </w:pPr>
    </w:p>
    <w:p>
      <w:pPr>
        <w:adjustRightInd w:val="0"/>
        <w:snapToGrid w:val="0"/>
        <w:spacing w:line="360" w:lineRule="auto"/>
        <w:ind w:right="420"/>
        <w:rPr>
          <w:rFonts w:ascii="宋体" w:hAnsi="宋体" w:cs="宋体"/>
          <w:szCs w:val="21"/>
          <w:highlight w:val="none"/>
        </w:rPr>
      </w:pPr>
      <w:r>
        <w:rPr>
          <w:rFonts w:hint="eastAsia" w:ascii="宋体" w:hAnsi="宋体" w:cs="宋体"/>
          <w:szCs w:val="21"/>
          <w:highlight w:val="none"/>
        </w:rPr>
        <w:t>供应商名称（公章）：</w:t>
      </w:r>
    </w:p>
    <w:p>
      <w:pPr>
        <w:adjustRightInd w:val="0"/>
        <w:snapToGrid w:val="0"/>
        <w:spacing w:line="360" w:lineRule="auto"/>
        <w:ind w:right="420"/>
        <w:rPr>
          <w:rFonts w:ascii="宋体" w:hAnsi="宋体" w:cs="宋体"/>
          <w:szCs w:val="21"/>
          <w:highlight w:val="none"/>
        </w:rPr>
      </w:pPr>
      <w:r>
        <w:rPr>
          <w:rFonts w:hint="eastAsia" w:ascii="宋体" w:hAnsi="宋体" w:cs="宋体"/>
          <w:szCs w:val="21"/>
          <w:highlight w:val="none"/>
        </w:rPr>
        <w:t>日期：    年  月  日</w:t>
      </w:r>
    </w:p>
    <w:p>
      <w:pPr>
        <w:adjustRightInd w:val="0"/>
        <w:snapToGrid w:val="0"/>
        <w:spacing w:line="360" w:lineRule="auto"/>
        <w:ind w:right="420"/>
        <w:rPr>
          <w:rFonts w:ascii="宋体" w:hAnsi="宋体" w:cs="宋体"/>
          <w:szCs w:val="21"/>
          <w:highlight w:val="none"/>
        </w:rPr>
      </w:pPr>
    </w:p>
    <w:p>
      <w:pPr>
        <w:pStyle w:val="2"/>
        <w:rPr>
          <w:rFonts w:ascii="宋体" w:hAnsi="宋体" w:cs="宋体"/>
          <w:sz w:val="21"/>
          <w:szCs w:val="21"/>
          <w:highlight w:val="none"/>
        </w:rPr>
      </w:pPr>
    </w:p>
    <w:p>
      <w:pPr>
        <w:pStyle w:val="4"/>
        <w:rPr>
          <w:rFonts w:ascii="宋体" w:hAnsi="宋体" w:cs="宋体"/>
          <w:sz w:val="21"/>
          <w:szCs w:val="21"/>
          <w:highlight w:val="none"/>
        </w:rPr>
      </w:pPr>
    </w:p>
    <w:p>
      <w:pPr>
        <w:rPr>
          <w:highlight w:val="none"/>
        </w:rPr>
      </w:pPr>
    </w:p>
    <w:p>
      <w:pPr>
        <w:adjustRightInd w:val="0"/>
        <w:snapToGrid w:val="0"/>
        <w:spacing w:line="360" w:lineRule="auto"/>
        <w:ind w:right="420"/>
        <w:rPr>
          <w:rFonts w:ascii="楷体" w:hAnsi="楷体" w:eastAsia="楷体" w:cs="楷体"/>
          <w:b/>
          <w:bCs/>
          <w:szCs w:val="24"/>
          <w:highlight w:val="none"/>
        </w:rPr>
      </w:pPr>
      <w:r>
        <w:rPr>
          <w:rFonts w:hint="eastAsia" w:ascii="楷体" w:hAnsi="楷体" w:eastAsia="楷体" w:cs="楷体"/>
          <w:b/>
          <w:bCs/>
          <w:szCs w:val="24"/>
          <w:highlight w:val="none"/>
        </w:rPr>
        <w:t>说明：仅限法定代表人参加投标时提供</w:t>
      </w:r>
      <w:r>
        <w:rPr>
          <w:rFonts w:hint="eastAsia" w:ascii="楷体" w:hAnsi="楷体" w:eastAsia="楷体" w:cs="楷体"/>
          <w:szCs w:val="24"/>
          <w:highlight w:val="none"/>
        </w:rPr>
        <w:t>。</w:t>
      </w:r>
    </w:p>
    <w:bookmarkEnd w:id="521"/>
    <w:bookmarkEnd w:id="522"/>
    <w:bookmarkEnd w:id="523"/>
    <w:bookmarkEnd w:id="524"/>
    <w:bookmarkEnd w:id="525"/>
    <w:bookmarkEnd w:id="526"/>
    <w:bookmarkEnd w:id="527"/>
    <w:bookmarkEnd w:id="528"/>
    <w:p>
      <w:r>
        <w:rPr>
          <w:rFonts w:ascii="宋体" w:hAnsi="宋体" w:cs="宋体"/>
          <w:sz w:val="24"/>
          <w:highlight w:val="none"/>
        </w:rPr>
        <w:br w:type="page"/>
      </w:r>
    </w:p>
    <w:p>
      <w:pPr>
        <w:pStyle w:val="51"/>
        <w:spacing w:line="480" w:lineRule="exact"/>
        <w:ind w:firstLine="0" w:firstLineChars="0"/>
        <w:jc w:val="center"/>
        <w:outlineLvl w:val="0"/>
        <w:rPr>
          <w:rFonts w:ascii="宋体" w:hAnsi="宋体" w:cs="宋体"/>
          <w:b/>
          <w:bCs/>
          <w:kern w:val="2"/>
          <w:sz w:val="32"/>
          <w:szCs w:val="32"/>
          <w:highlight w:val="none"/>
        </w:rPr>
      </w:pPr>
      <w:bookmarkStart w:id="529" w:name="_Toc17872"/>
      <w:bookmarkStart w:id="530" w:name="_Toc28154"/>
      <w:bookmarkStart w:id="531" w:name="_Toc4330"/>
      <w:bookmarkStart w:id="532" w:name="_Toc17116"/>
      <w:bookmarkStart w:id="533" w:name="_Toc7524511"/>
      <w:bookmarkStart w:id="534" w:name="_Toc4416"/>
      <w:bookmarkStart w:id="535" w:name="_Toc27197"/>
      <w:r>
        <w:rPr>
          <w:rFonts w:hint="eastAsia" w:ascii="宋体" w:hAnsi="宋体" w:cs="宋体"/>
          <w:b/>
          <w:bCs/>
          <w:kern w:val="2"/>
          <w:sz w:val="32"/>
          <w:szCs w:val="32"/>
          <w:highlight w:val="none"/>
        </w:rPr>
        <w:t>三、法定代表人授权书</w:t>
      </w:r>
      <w:bookmarkEnd w:id="529"/>
    </w:p>
    <w:p>
      <w:pPr>
        <w:spacing w:line="360" w:lineRule="auto"/>
        <w:rPr>
          <w:rFonts w:ascii="宋体" w:hAnsi="宋体" w:cs="宋体"/>
          <w:bCs/>
          <w:sz w:val="24"/>
          <w:highlight w:val="none"/>
        </w:rPr>
      </w:pPr>
    </w:p>
    <w:p>
      <w:pPr>
        <w:spacing w:line="360" w:lineRule="auto"/>
        <w:rPr>
          <w:rFonts w:ascii="宋体" w:hAnsi="宋体" w:cs="宋体"/>
          <w:b/>
          <w:szCs w:val="21"/>
          <w:highlight w:val="none"/>
        </w:rPr>
      </w:pPr>
      <w:r>
        <w:rPr>
          <w:rFonts w:hint="eastAsia" w:ascii="宋体" w:hAnsi="宋体" w:cs="宋体"/>
          <w:bCs/>
          <w:szCs w:val="21"/>
          <w:highlight w:val="none"/>
        </w:rPr>
        <w:t>致：</w:t>
      </w:r>
      <w:r>
        <w:rPr>
          <w:rFonts w:hint="eastAsia" w:ascii="宋体" w:hAnsi="宋体" w:cs="宋体"/>
          <w:bCs/>
          <w:szCs w:val="21"/>
          <w:highlight w:val="none"/>
          <w:u w:val="single"/>
        </w:rPr>
        <w:t>陕西迪诚项目管理有限公司</w:t>
      </w:r>
    </w:p>
    <w:p>
      <w:pPr>
        <w:pStyle w:val="15"/>
        <w:spacing w:line="360" w:lineRule="auto"/>
        <w:ind w:left="-120" w:leftChars="-57" w:firstLine="525" w:firstLineChars="250"/>
        <w:rPr>
          <w:rFonts w:hAnsi="宋体" w:cs="宋体"/>
          <w:highlight w:val="none"/>
        </w:rPr>
      </w:pPr>
      <w:r>
        <w:rPr>
          <w:rFonts w:hint="eastAsia" w:hAnsi="宋体" w:cs="宋体"/>
          <w:highlight w:val="none"/>
        </w:rPr>
        <w:t>本授权书声明：注册于（</w:t>
      </w:r>
      <w:r>
        <w:rPr>
          <w:rFonts w:hint="eastAsia" w:hAnsi="宋体" w:cs="宋体"/>
          <w:highlight w:val="none"/>
          <w:u w:val="single"/>
        </w:rPr>
        <w:t>工商行政管理局名称）之（委托单位全称）</w:t>
      </w:r>
      <w:r>
        <w:rPr>
          <w:rFonts w:hint="eastAsia" w:hAnsi="宋体" w:cs="宋体"/>
          <w:highlight w:val="none"/>
        </w:rPr>
        <w:t>的法定代表人</w:t>
      </w:r>
      <w:r>
        <w:rPr>
          <w:rFonts w:hint="eastAsia" w:hAnsi="宋体" w:cs="宋体"/>
          <w:highlight w:val="none"/>
          <w:u w:val="single"/>
        </w:rPr>
        <w:t>（姓名、性别）</w:t>
      </w:r>
      <w:r>
        <w:rPr>
          <w:rFonts w:hint="eastAsia" w:hAnsi="宋体" w:cs="宋体"/>
          <w:highlight w:val="none"/>
        </w:rPr>
        <w:t>授权</w:t>
      </w:r>
      <w:r>
        <w:rPr>
          <w:rFonts w:hint="eastAsia" w:hAnsi="宋体" w:cs="宋体"/>
          <w:highlight w:val="none"/>
          <w:u w:val="single"/>
        </w:rPr>
        <w:t>（被授权人姓名、性别、职务）</w:t>
      </w:r>
      <w:r>
        <w:rPr>
          <w:rFonts w:hint="eastAsia" w:hAnsi="宋体" w:cs="宋体"/>
          <w:highlight w:val="none"/>
        </w:rPr>
        <w:t>为本公司合法代理人，就贵方组织的有关</w:t>
      </w:r>
      <w:r>
        <w:rPr>
          <w:rFonts w:hint="eastAsia" w:hAnsi="宋体" w:cs="宋体"/>
          <w:highlight w:val="none"/>
          <w:u w:val="single"/>
        </w:rPr>
        <w:t>（项目名称）</w:t>
      </w:r>
      <w:r>
        <w:rPr>
          <w:rFonts w:hint="eastAsia" w:hAnsi="宋体" w:cs="宋体"/>
          <w:highlight w:val="none"/>
        </w:rPr>
        <w:t>（项目编号：</w:t>
      </w:r>
      <w:r>
        <w:rPr>
          <w:rFonts w:hint="eastAsia" w:hAnsi="宋体" w:cs="宋体"/>
          <w:highlight w:val="none"/>
          <w:u w:val="single"/>
        </w:rPr>
        <w:t xml:space="preserve">             </w:t>
      </w:r>
      <w:r>
        <w:rPr>
          <w:rFonts w:hint="eastAsia" w:hAnsi="宋体" w:cs="宋体"/>
          <w:highlight w:val="none"/>
        </w:rPr>
        <w:t>）的磋商、洽谈、执行等具体事务，签署全部有关文件、文书、协议、合同，本公司对被授权人在本项目中的签名承担全部法律责任。本授权书自提交磋商响应文件截止之日起计算有效期为</w:t>
      </w:r>
      <w:r>
        <w:rPr>
          <w:rFonts w:hint="eastAsia" w:hAnsi="宋体" w:cs="宋体"/>
          <w:highlight w:val="none"/>
          <w:u w:val="single"/>
        </w:rPr>
        <w:t xml:space="preserve">    </w:t>
      </w:r>
      <w:r>
        <w:rPr>
          <w:rFonts w:hint="eastAsia" w:hAnsi="宋体" w:cs="宋体"/>
          <w:highlight w:val="none"/>
        </w:rPr>
        <w:t>。</w:t>
      </w:r>
    </w:p>
    <w:p>
      <w:pPr>
        <w:pStyle w:val="15"/>
        <w:spacing w:line="360" w:lineRule="auto"/>
        <w:ind w:firstLine="420" w:firstLineChars="200"/>
        <w:jc w:val="left"/>
        <w:rPr>
          <w:rFonts w:hAnsi="宋体" w:cs="宋体"/>
          <w:highlight w:val="none"/>
        </w:rPr>
      </w:pPr>
      <w:r>
        <w:rPr>
          <w:rFonts w:hint="eastAsia" w:hAnsi="宋体" w:cs="宋体"/>
          <w:highlight w:val="none"/>
        </w:rPr>
        <w:t>供应商名称（公章）：</w:t>
      </w:r>
    </w:p>
    <w:p>
      <w:pPr>
        <w:pStyle w:val="15"/>
        <w:spacing w:line="360" w:lineRule="auto"/>
        <w:ind w:firstLine="210" w:firstLineChars="100"/>
        <w:jc w:val="left"/>
        <w:rPr>
          <w:rFonts w:hAnsi="宋体" w:cs="宋体"/>
          <w:highlight w:val="none"/>
          <w:u w:val="single"/>
        </w:rPr>
      </w:pPr>
      <w:r>
        <w:rPr>
          <w:rFonts w:hint="eastAsia" w:hAnsi="宋体" w:cs="宋体"/>
          <w:highlight w:val="none"/>
        </w:rPr>
        <w:t xml:space="preserve">  法定代表人（签字或盖章）：</w:t>
      </w:r>
    </w:p>
    <w:p>
      <w:pPr>
        <w:pStyle w:val="15"/>
        <w:spacing w:line="360" w:lineRule="auto"/>
        <w:ind w:firstLine="420" w:firstLineChars="200"/>
        <w:jc w:val="left"/>
        <w:rPr>
          <w:rFonts w:hAnsi="宋体" w:cs="宋体"/>
          <w:highlight w:val="none"/>
        </w:rPr>
      </w:pPr>
      <w:r>
        <w:rPr>
          <w:rFonts w:hint="eastAsia" w:hAnsi="宋体" w:cs="宋体"/>
          <w:highlight w:val="none"/>
        </w:rPr>
        <w:t>授权日期：    年    月    日</w:t>
      </w:r>
    </w:p>
    <w:p>
      <w:pPr>
        <w:pStyle w:val="15"/>
        <w:spacing w:line="360" w:lineRule="auto"/>
        <w:ind w:firstLine="420" w:firstLineChars="200"/>
        <w:jc w:val="left"/>
        <w:rPr>
          <w:rFonts w:hAnsi="宋体" w:cs="宋体"/>
          <w:highlight w:val="none"/>
        </w:rPr>
      </w:pPr>
      <w:r>
        <w:rPr>
          <w:rFonts w:hint="eastAsia" w:hAnsi="宋体" w:cs="宋体"/>
          <w:highlight w:val="none"/>
        </w:rPr>
        <w:t xml:space="preserve">被授权人姓名（签字或盖章）：      </w:t>
      </w:r>
    </w:p>
    <w:p>
      <w:pPr>
        <w:pStyle w:val="15"/>
        <w:spacing w:line="360" w:lineRule="auto"/>
        <w:ind w:firstLine="420" w:firstLineChars="200"/>
        <w:jc w:val="left"/>
        <w:rPr>
          <w:rFonts w:hAnsi="宋体" w:cs="宋体"/>
          <w:highlight w:val="none"/>
          <w:u w:val="single"/>
        </w:rPr>
      </w:pPr>
      <w:r>
        <w:rPr>
          <w:rFonts w:hint="eastAsia" w:hAnsi="宋体" w:cs="宋体"/>
          <w:highlight w:val="none"/>
        </w:rPr>
        <w:t xml:space="preserve">性别：       </w:t>
      </w:r>
      <w:r>
        <w:rPr>
          <w:rFonts w:hint="eastAsia" w:hAnsi="宋体" w:cs="宋体"/>
          <w:highlight w:val="none"/>
          <w:lang w:val="en-US" w:eastAsia="zh-CN"/>
        </w:rPr>
        <w:t xml:space="preserve">       </w:t>
      </w:r>
      <w:r>
        <w:rPr>
          <w:rFonts w:hint="eastAsia" w:hAnsi="宋体" w:cs="宋体"/>
          <w:highlight w:val="none"/>
        </w:rPr>
        <w:t>职务：</w:t>
      </w:r>
    </w:p>
    <w:p>
      <w:pPr>
        <w:pStyle w:val="15"/>
        <w:spacing w:line="360" w:lineRule="auto"/>
        <w:ind w:firstLine="420" w:firstLineChars="200"/>
        <w:jc w:val="left"/>
        <w:rPr>
          <w:rFonts w:hAnsi="宋体" w:cs="宋体"/>
          <w:highlight w:val="none"/>
          <w:u w:val="single"/>
        </w:rPr>
      </w:pPr>
      <w:r>
        <w:rPr>
          <w:rFonts w:hint="eastAsia" w:hAnsi="宋体" w:cs="宋体"/>
          <w:highlight w:val="none"/>
        </w:rPr>
        <w:t>联系地址：</w:t>
      </w:r>
    </w:p>
    <w:p>
      <w:pPr>
        <w:pStyle w:val="15"/>
        <w:spacing w:line="360" w:lineRule="auto"/>
        <w:ind w:firstLine="420" w:firstLineChars="200"/>
        <w:jc w:val="left"/>
        <w:rPr>
          <w:rFonts w:hAnsi="宋体" w:cs="宋体"/>
          <w:highlight w:val="none"/>
          <w:u w:val="single"/>
        </w:rPr>
      </w:pPr>
      <w:r>
        <w:rPr>
          <w:rFonts w:hint="eastAsia" w:hAnsi="宋体" w:cs="宋体"/>
          <w:highlight w:val="none"/>
        </w:rPr>
        <w:t>联系电话：</w:t>
      </w:r>
      <w:r>
        <w:rPr>
          <w:rFonts w:hint="eastAsia" w:hAnsi="宋体" w:cs="宋体"/>
          <w:highlight w:val="none"/>
          <w:lang w:val="en-US" w:eastAsia="zh-CN"/>
        </w:rPr>
        <w:t xml:space="preserve">           </w:t>
      </w:r>
      <w:r>
        <w:rPr>
          <w:rFonts w:hint="eastAsia" w:hAnsi="宋体" w:cs="宋体"/>
          <w:highlight w:val="none"/>
        </w:rPr>
        <w:t>传真：</w:t>
      </w:r>
    </w:p>
    <w:p>
      <w:pPr>
        <w:pStyle w:val="15"/>
        <w:spacing w:line="360" w:lineRule="auto"/>
        <w:ind w:firstLine="420" w:firstLineChars="200"/>
        <w:jc w:val="left"/>
        <w:rPr>
          <w:rFonts w:hAnsi="宋体" w:cs="宋体"/>
          <w:highlight w:val="none"/>
        </w:rPr>
      </w:pPr>
      <w:r>
        <w:rPr>
          <w:rFonts w:hint="eastAsia" w:hAnsi="宋体" w:cs="宋体"/>
          <w:highlight w:val="none"/>
        </w:rPr>
        <w:t>附：法定代表人、被授权人身份证复印件</w:t>
      </w:r>
    </w:p>
    <w:tbl>
      <w:tblPr>
        <w:tblStyle w:val="28"/>
        <w:tblW w:w="9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52"/>
        <w:gridCol w:w="4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09" w:hRule="atLeast"/>
          <w:jc w:val="center"/>
        </w:trPr>
        <w:tc>
          <w:tcPr>
            <w:tcW w:w="4652" w:type="dxa"/>
            <w:tcBorders>
              <w:top w:val="single" w:color="auto" w:sz="4" w:space="0"/>
              <w:left w:val="single" w:color="auto" w:sz="4" w:space="0"/>
              <w:bottom w:val="single" w:color="auto" w:sz="4" w:space="0"/>
              <w:right w:val="single" w:color="auto" w:sz="4" w:space="0"/>
            </w:tcBorders>
            <w:shd w:val="clear" w:color="auto" w:fill="D9D9D9"/>
            <w:noWrap/>
            <w:vAlign w:val="center"/>
          </w:tcPr>
          <w:p>
            <w:pPr>
              <w:pStyle w:val="15"/>
              <w:spacing w:line="360" w:lineRule="auto"/>
              <w:jc w:val="center"/>
              <w:rPr>
                <w:rFonts w:hAnsi="宋体" w:cs="宋体"/>
                <w:highlight w:val="none"/>
                <w:shd w:val="clear" w:color="FFFFFF" w:fill="D9D9D9"/>
              </w:rPr>
            </w:pPr>
            <w:r>
              <w:rPr>
                <w:rFonts w:hint="eastAsia" w:hAnsi="宋体" w:cs="宋体"/>
                <w:highlight w:val="none"/>
                <w:shd w:val="clear" w:color="FFFFFF" w:fill="D9D9D9"/>
              </w:rPr>
              <w:t>法定代表人身份证复印件（正面）</w:t>
            </w:r>
          </w:p>
        </w:tc>
        <w:tc>
          <w:tcPr>
            <w:tcW w:w="4388" w:type="dxa"/>
            <w:tcBorders>
              <w:top w:val="single" w:color="auto" w:sz="4" w:space="0"/>
              <w:left w:val="single" w:color="auto" w:sz="4" w:space="0"/>
              <w:bottom w:val="single" w:color="auto" w:sz="4" w:space="0"/>
              <w:right w:val="single" w:color="auto" w:sz="4" w:space="0"/>
            </w:tcBorders>
            <w:shd w:val="clear" w:color="auto" w:fill="D9D9D9"/>
            <w:noWrap/>
            <w:vAlign w:val="center"/>
          </w:tcPr>
          <w:p>
            <w:pPr>
              <w:pStyle w:val="15"/>
              <w:spacing w:line="360" w:lineRule="auto"/>
              <w:jc w:val="center"/>
              <w:rPr>
                <w:rFonts w:hAnsi="宋体" w:cs="宋体"/>
                <w:highlight w:val="none"/>
                <w:shd w:val="clear" w:color="FFFFFF" w:fill="D9D9D9"/>
              </w:rPr>
            </w:pPr>
            <w:r>
              <w:rPr>
                <w:rFonts w:hint="eastAsia" w:hAnsi="宋体" w:cs="宋体"/>
                <w:highlight w:val="none"/>
                <w:shd w:val="clear" w:color="FFFFFF" w:fill="D9D9D9"/>
              </w:rPr>
              <w:t>被授权人身份证复印件（正面）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9" w:hRule="atLeast"/>
          <w:jc w:val="center"/>
        </w:trPr>
        <w:tc>
          <w:tcPr>
            <w:tcW w:w="4652" w:type="dxa"/>
            <w:tcBorders>
              <w:top w:val="single" w:color="auto" w:sz="4" w:space="0"/>
              <w:left w:val="single" w:color="auto" w:sz="4" w:space="0"/>
              <w:right w:val="single" w:color="auto" w:sz="4" w:space="0"/>
            </w:tcBorders>
            <w:shd w:val="clear" w:color="auto" w:fill="D9D9D9"/>
            <w:noWrap/>
            <w:vAlign w:val="center"/>
          </w:tcPr>
          <w:p>
            <w:pPr>
              <w:pStyle w:val="15"/>
              <w:spacing w:line="360" w:lineRule="auto"/>
              <w:jc w:val="center"/>
              <w:rPr>
                <w:rFonts w:hAnsi="宋体" w:cs="宋体"/>
                <w:highlight w:val="none"/>
                <w:shd w:val="clear" w:color="FFFFFF" w:fill="D9D9D9"/>
              </w:rPr>
            </w:pPr>
            <w:r>
              <w:rPr>
                <w:rFonts w:hint="eastAsia" w:hAnsi="宋体" w:cs="宋体"/>
                <w:highlight w:val="none"/>
                <w:shd w:val="clear" w:color="FFFFFF" w:fill="D9D9D9"/>
              </w:rPr>
              <w:t>法定代表人身份证复印件（反面）</w:t>
            </w:r>
          </w:p>
        </w:tc>
        <w:tc>
          <w:tcPr>
            <w:tcW w:w="4388" w:type="dxa"/>
            <w:tcBorders>
              <w:top w:val="single" w:color="auto" w:sz="4" w:space="0"/>
              <w:left w:val="single" w:color="auto" w:sz="4" w:space="0"/>
              <w:bottom w:val="single" w:color="auto" w:sz="4" w:space="0"/>
              <w:right w:val="single" w:color="auto" w:sz="4" w:space="0"/>
            </w:tcBorders>
            <w:shd w:val="clear" w:color="auto" w:fill="D9D9D9"/>
            <w:noWrap/>
            <w:vAlign w:val="center"/>
          </w:tcPr>
          <w:p>
            <w:pPr>
              <w:pStyle w:val="15"/>
              <w:spacing w:line="360" w:lineRule="auto"/>
              <w:jc w:val="center"/>
              <w:rPr>
                <w:rFonts w:hAnsi="宋体" w:cs="宋体"/>
                <w:highlight w:val="none"/>
                <w:shd w:val="clear" w:color="FFFFFF" w:fill="D9D9D9"/>
              </w:rPr>
            </w:pPr>
            <w:r>
              <w:rPr>
                <w:rFonts w:hint="eastAsia" w:hAnsi="宋体" w:cs="宋体"/>
                <w:highlight w:val="none"/>
                <w:shd w:val="clear" w:color="FFFFFF" w:fill="D9D9D9"/>
              </w:rPr>
              <w:t>被授权人身份证复印件（反面）</w:t>
            </w:r>
          </w:p>
        </w:tc>
      </w:tr>
    </w:tbl>
    <w:p>
      <w:pPr>
        <w:pStyle w:val="15"/>
        <w:spacing w:line="360" w:lineRule="auto"/>
        <w:jc w:val="left"/>
        <w:rPr>
          <w:rFonts w:hAnsi="宋体" w:cs="宋体"/>
          <w:b/>
          <w:bCs/>
          <w:highlight w:val="none"/>
        </w:rPr>
      </w:pPr>
    </w:p>
    <w:p>
      <w:pPr>
        <w:pStyle w:val="15"/>
        <w:ind w:firstLine="90" w:firstLineChars="50"/>
        <w:jc w:val="left"/>
        <w:rPr>
          <w:rFonts w:hAnsi="宋体" w:cs="宋体"/>
          <w:b/>
          <w:bCs/>
          <w:sz w:val="18"/>
          <w:szCs w:val="18"/>
          <w:highlight w:val="none"/>
        </w:rPr>
      </w:pPr>
      <w:r>
        <w:rPr>
          <w:rFonts w:hint="eastAsia" w:hAnsi="宋体" w:cs="宋体"/>
          <w:b/>
          <w:bCs/>
          <w:sz w:val="18"/>
          <w:szCs w:val="18"/>
          <w:highlight w:val="none"/>
        </w:rPr>
        <w:t>（注：身份证复印件加盖单位公章）</w:t>
      </w:r>
    </w:p>
    <w:p>
      <w:pPr>
        <w:pStyle w:val="15"/>
        <w:ind w:firstLine="164" w:firstLineChars="91"/>
        <w:jc w:val="left"/>
        <w:rPr>
          <w:rFonts w:hAnsi="宋体" w:cs="宋体"/>
          <w:b/>
          <w:bCs/>
          <w:sz w:val="18"/>
          <w:szCs w:val="18"/>
          <w:highlight w:val="none"/>
        </w:rPr>
      </w:pPr>
      <w:r>
        <w:rPr>
          <w:rFonts w:hint="eastAsia" w:hAnsi="宋体" w:cs="宋体"/>
          <w:b/>
          <w:bCs/>
          <w:sz w:val="18"/>
          <w:szCs w:val="18"/>
          <w:highlight w:val="none"/>
        </w:rPr>
        <w:t>说明：</w:t>
      </w:r>
    </w:p>
    <w:p>
      <w:pPr>
        <w:pStyle w:val="15"/>
        <w:ind w:firstLine="181" w:firstLineChars="100"/>
        <w:jc w:val="left"/>
        <w:rPr>
          <w:rFonts w:hAnsi="宋体" w:cs="宋体"/>
          <w:b/>
          <w:bCs/>
          <w:sz w:val="18"/>
          <w:szCs w:val="18"/>
          <w:highlight w:val="none"/>
        </w:rPr>
      </w:pPr>
      <w:r>
        <w:rPr>
          <w:rFonts w:hint="eastAsia" w:hAnsi="宋体" w:cs="宋体"/>
          <w:b/>
          <w:bCs/>
          <w:sz w:val="18"/>
          <w:szCs w:val="18"/>
          <w:highlight w:val="none"/>
        </w:rPr>
        <w:t>1.本授权书有效期自竞争性磋商响应文件递交截止之日起计算不得少于90日历日。</w:t>
      </w:r>
    </w:p>
    <w:p>
      <w:pPr>
        <w:pStyle w:val="15"/>
        <w:ind w:firstLine="181" w:firstLineChars="100"/>
        <w:jc w:val="left"/>
        <w:rPr>
          <w:rFonts w:hint="eastAsia" w:hAnsi="宋体" w:cs="宋体"/>
          <w:b/>
          <w:bCs/>
          <w:sz w:val="18"/>
          <w:szCs w:val="18"/>
          <w:highlight w:val="none"/>
        </w:rPr>
      </w:pPr>
      <w:r>
        <w:rPr>
          <w:rFonts w:hint="eastAsia" w:hAnsi="宋体" w:cs="宋体"/>
          <w:b/>
          <w:bCs/>
          <w:sz w:val="18"/>
          <w:szCs w:val="18"/>
          <w:highlight w:val="none"/>
        </w:rPr>
        <w:t>2．授权书内容填写要明确，文字要工整清楚，涂改无效。</w:t>
      </w:r>
    </w:p>
    <w:p>
      <w:pPr>
        <w:rPr>
          <w:rFonts w:hint="eastAsia" w:hAnsi="宋体" w:cs="宋体"/>
          <w:b/>
          <w:bCs/>
          <w:sz w:val="18"/>
          <w:szCs w:val="18"/>
          <w:highlight w:val="none"/>
        </w:rPr>
      </w:pPr>
      <w:r>
        <w:rPr>
          <w:rFonts w:hint="eastAsia" w:hAnsi="宋体" w:cs="宋体"/>
          <w:b/>
          <w:bCs/>
          <w:sz w:val="18"/>
          <w:szCs w:val="18"/>
          <w:highlight w:val="none"/>
        </w:rPr>
        <w:br w:type="page"/>
      </w:r>
    </w:p>
    <w:p>
      <w:pPr>
        <w:pStyle w:val="7"/>
        <w:adjustRightInd w:val="0"/>
        <w:spacing w:line="360" w:lineRule="auto"/>
        <w:jc w:val="center"/>
        <w:textAlignment w:val="baseline"/>
        <w:outlineLvl w:val="0"/>
        <w:rPr>
          <w:rFonts w:ascii="宋体" w:hAnsi="宋体" w:eastAsia="宋体" w:cs="宋体"/>
          <w:highlight w:val="none"/>
        </w:rPr>
      </w:pPr>
      <w:bookmarkStart w:id="536" w:name="_Toc6525"/>
      <w:bookmarkStart w:id="537" w:name="_Toc30357"/>
      <w:r>
        <w:rPr>
          <w:rFonts w:hint="eastAsia" w:ascii="宋体" w:hAnsi="宋体" w:eastAsia="宋体" w:cs="宋体"/>
          <w:highlight w:val="none"/>
        </w:rPr>
        <w:t>四、开标一览表</w:t>
      </w:r>
      <w:bookmarkEnd w:id="530"/>
      <w:bookmarkEnd w:id="531"/>
      <w:bookmarkEnd w:id="532"/>
      <w:bookmarkEnd w:id="533"/>
      <w:bookmarkEnd w:id="534"/>
      <w:bookmarkEnd w:id="535"/>
      <w:bookmarkEnd w:id="536"/>
      <w:bookmarkEnd w:id="537"/>
    </w:p>
    <w:p>
      <w:pPr>
        <w:pStyle w:val="3"/>
        <w:rPr>
          <w:rFonts w:ascii="宋体" w:hAnsi="宋体" w:cs="宋体"/>
          <w:highlight w:val="none"/>
        </w:rPr>
      </w:pPr>
    </w:p>
    <w:tbl>
      <w:tblPr>
        <w:tblStyle w:val="28"/>
        <w:tblW w:w="8959"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891"/>
        <w:gridCol w:w="6068"/>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022" w:hRule="atLeast"/>
        </w:trPr>
        <w:tc>
          <w:tcPr>
            <w:tcW w:w="2891" w:type="dxa"/>
            <w:tcBorders>
              <w:bottom w:val="single" w:color="auto" w:sz="4" w:space="0"/>
            </w:tcBorders>
            <w:vAlign w:val="center"/>
          </w:tcPr>
          <w:p>
            <w:pPr>
              <w:spacing w:line="360" w:lineRule="auto"/>
              <w:jc w:val="center"/>
              <w:rPr>
                <w:rFonts w:ascii="宋体" w:hAnsi="宋体" w:cs="宋体"/>
                <w:caps/>
                <w:szCs w:val="21"/>
                <w:highlight w:val="none"/>
              </w:rPr>
            </w:pPr>
            <w:r>
              <w:rPr>
                <w:rFonts w:hint="eastAsia" w:ascii="宋体" w:hAnsi="宋体" w:cs="宋体"/>
                <w:szCs w:val="21"/>
                <w:highlight w:val="none"/>
              </w:rPr>
              <w:t>采购项目名称</w:t>
            </w:r>
          </w:p>
        </w:tc>
        <w:tc>
          <w:tcPr>
            <w:tcW w:w="6068" w:type="dxa"/>
            <w:vAlign w:val="center"/>
          </w:tcPr>
          <w:p>
            <w:pPr>
              <w:spacing w:line="360" w:lineRule="auto"/>
              <w:jc w:val="center"/>
              <w:rPr>
                <w:rFonts w:ascii="宋体" w:hAnsi="宋体" w:cs="宋体"/>
                <w:szCs w:val="21"/>
                <w:highlight w:val="none"/>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876" w:hRule="atLeast"/>
        </w:trPr>
        <w:tc>
          <w:tcPr>
            <w:tcW w:w="2891" w:type="dxa"/>
            <w:tcBorders>
              <w:bottom w:val="single" w:color="auto" w:sz="4" w:space="0"/>
            </w:tcBorders>
            <w:vAlign w:val="center"/>
          </w:tcPr>
          <w:p>
            <w:pPr>
              <w:spacing w:line="360" w:lineRule="auto"/>
              <w:jc w:val="center"/>
              <w:rPr>
                <w:rFonts w:ascii="宋体" w:hAnsi="宋体" w:cs="宋体"/>
                <w:szCs w:val="21"/>
                <w:highlight w:val="none"/>
              </w:rPr>
            </w:pPr>
            <w:r>
              <w:rPr>
                <w:rFonts w:hint="eastAsia" w:ascii="宋体" w:hAnsi="宋体" w:cs="宋体"/>
                <w:szCs w:val="21"/>
                <w:highlight w:val="none"/>
              </w:rPr>
              <w:t>采购项目编号</w:t>
            </w:r>
          </w:p>
        </w:tc>
        <w:tc>
          <w:tcPr>
            <w:tcW w:w="6068" w:type="dxa"/>
            <w:tcBorders>
              <w:bottom w:val="single" w:color="auto" w:sz="4" w:space="0"/>
            </w:tcBorders>
            <w:vAlign w:val="center"/>
          </w:tcPr>
          <w:p>
            <w:pPr>
              <w:spacing w:line="360" w:lineRule="auto"/>
              <w:rPr>
                <w:rFonts w:ascii="宋体" w:hAnsi="宋体" w:cs="宋体"/>
                <w:caps/>
                <w:szCs w:val="21"/>
                <w:highlight w:val="none"/>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798" w:hRule="atLeast"/>
        </w:trPr>
        <w:tc>
          <w:tcPr>
            <w:tcW w:w="2891" w:type="dxa"/>
            <w:vAlign w:val="center"/>
          </w:tcPr>
          <w:p>
            <w:pPr>
              <w:spacing w:line="360" w:lineRule="auto"/>
              <w:jc w:val="center"/>
              <w:rPr>
                <w:rFonts w:ascii="宋体" w:hAnsi="宋体" w:cs="宋体"/>
                <w:szCs w:val="21"/>
                <w:highlight w:val="none"/>
              </w:rPr>
            </w:pPr>
            <w:r>
              <w:rPr>
                <w:rFonts w:hint="eastAsia" w:ascii="宋体" w:hAnsi="宋体" w:cs="宋体"/>
                <w:szCs w:val="21"/>
                <w:highlight w:val="none"/>
              </w:rPr>
              <w:t>供应商名称</w:t>
            </w:r>
          </w:p>
        </w:tc>
        <w:tc>
          <w:tcPr>
            <w:tcW w:w="6068" w:type="dxa"/>
            <w:vAlign w:val="center"/>
          </w:tcPr>
          <w:p>
            <w:pPr>
              <w:spacing w:line="360" w:lineRule="auto"/>
              <w:rPr>
                <w:rFonts w:ascii="宋体" w:hAnsi="宋体" w:cs="宋体"/>
                <w:szCs w:val="21"/>
                <w:highlight w:val="none"/>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253" w:hRule="atLeast"/>
        </w:trPr>
        <w:tc>
          <w:tcPr>
            <w:tcW w:w="2891" w:type="dxa"/>
            <w:vAlign w:val="center"/>
          </w:tcPr>
          <w:p>
            <w:pPr>
              <w:spacing w:line="360" w:lineRule="auto"/>
              <w:jc w:val="center"/>
              <w:rPr>
                <w:rFonts w:ascii="宋体" w:hAnsi="宋体" w:cs="宋体"/>
                <w:szCs w:val="21"/>
                <w:highlight w:val="none"/>
              </w:rPr>
            </w:pPr>
            <w:r>
              <w:rPr>
                <w:rFonts w:hint="eastAsia" w:ascii="宋体" w:hAnsi="宋体" w:cs="宋体"/>
                <w:szCs w:val="21"/>
                <w:highlight w:val="none"/>
              </w:rPr>
              <w:t>磋商</w:t>
            </w:r>
            <w:r>
              <w:rPr>
                <w:rFonts w:hint="eastAsia" w:ascii="宋体" w:hAnsi="宋体" w:cs="宋体"/>
                <w:szCs w:val="21"/>
                <w:highlight w:val="none"/>
                <w:lang w:val="en-US" w:eastAsia="zh-CN"/>
              </w:rPr>
              <w:t>总</w:t>
            </w:r>
            <w:r>
              <w:rPr>
                <w:rFonts w:hint="eastAsia" w:ascii="宋体" w:hAnsi="宋体" w:cs="宋体"/>
                <w:szCs w:val="21"/>
                <w:highlight w:val="none"/>
              </w:rPr>
              <w:t>报价</w:t>
            </w:r>
          </w:p>
          <w:p>
            <w:pPr>
              <w:spacing w:line="360" w:lineRule="auto"/>
              <w:jc w:val="center"/>
              <w:rPr>
                <w:rFonts w:ascii="宋体" w:hAnsi="宋体" w:cs="宋体"/>
                <w:szCs w:val="21"/>
                <w:highlight w:val="none"/>
              </w:rPr>
            </w:pPr>
            <w:r>
              <w:rPr>
                <w:rFonts w:hint="eastAsia" w:ascii="宋体" w:hAnsi="宋体" w:cs="宋体"/>
                <w:szCs w:val="21"/>
                <w:highlight w:val="none"/>
              </w:rPr>
              <w:t>（元）</w:t>
            </w:r>
          </w:p>
        </w:tc>
        <w:tc>
          <w:tcPr>
            <w:tcW w:w="6068" w:type="dxa"/>
            <w:vAlign w:val="center"/>
          </w:tcPr>
          <w:p>
            <w:pPr>
              <w:spacing w:line="360" w:lineRule="auto"/>
              <w:rPr>
                <w:rFonts w:ascii="宋体" w:hAnsi="宋体" w:cs="宋体"/>
                <w:szCs w:val="21"/>
                <w:highlight w:val="none"/>
              </w:rPr>
            </w:pPr>
            <w:r>
              <w:rPr>
                <w:rFonts w:hint="eastAsia" w:ascii="宋体" w:hAnsi="宋体" w:cs="宋体"/>
                <w:szCs w:val="21"/>
                <w:highlight w:val="none"/>
              </w:rPr>
              <w:t>小写金额：￥</w:t>
            </w:r>
            <w:r>
              <w:rPr>
                <w:rFonts w:hint="eastAsia" w:ascii="宋体" w:hAnsi="宋体" w:cs="宋体"/>
                <w:szCs w:val="21"/>
                <w:highlight w:val="none"/>
                <w:u w:val="single"/>
              </w:rPr>
              <w:t xml:space="preserve">              </w:t>
            </w:r>
            <w:r>
              <w:rPr>
                <w:rFonts w:hint="eastAsia" w:ascii="宋体" w:hAnsi="宋体" w:cs="宋体"/>
                <w:szCs w:val="21"/>
                <w:highlight w:val="none"/>
              </w:rPr>
              <w:t>元</w:t>
            </w:r>
          </w:p>
          <w:p>
            <w:pPr>
              <w:spacing w:line="360" w:lineRule="auto"/>
              <w:rPr>
                <w:rFonts w:ascii="宋体" w:hAnsi="宋体" w:cs="宋体"/>
                <w:szCs w:val="21"/>
                <w:highlight w:val="none"/>
              </w:rPr>
            </w:pPr>
            <w:r>
              <w:rPr>
                <w:rFonts w:hint="eastAsia" w:ascii="宋体" w:hAnsi="宋体" w:cs="宋体"/>
                <w:szCs w:val="21"/>
                <w:highlight w:val="none"/>
              </w:rPr>
              <w:t>大写金额：</w:t>
            </w:r>
            <w:r>
              <w:rPr>
                <w:rFonts w:hint="eastAsia" w:ascii="宋体" w:hAnsi="宋体" w:cs="宋体"/>
                <w:szCs w:val="21"/>
                <w:highlight w:val="none"/>
                <w:u w:val="single"/>
              </w:rPr>
              <w:t xml:space="preserve">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897" w:hRule="atLeast"/>
        </w:trPr>
        <w:tc>
          <w:tcPr>
            <w:tcW w:w="2891" w:type="dxa"/>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工期（日历天）</w:t>
            </w:r>
          </w:p>
        </w:tc>
        <w:tc>
          <w:tcPr>
            <w:tcW w:w="6068" w:type="dxa"/>
            <w:vAlign w:val="center"/>
          </w:tcPr>
          <w:p>
            <w:pPr>
              <w:spacing w:line="360" w:lineRule="auto"/>
              <w:rPr>
                <w:rFonts w:ascii="宋体" w:hAnsi="宋体" w:cs="宋体"/>
                <w:szCs w:val="21"/>
                <w:highlight w:val="none"/>
                <w:u w:val="single"/>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931" w:hRule="atLeast"/>
        </w:trPr>
        <w:tc>
          <w:tcPr>
            <w:tcW w:w="2891" w:type="dxa"/>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项目经理</w:t>
            </w:r>
          </w:p>
        </w:tc>
        <w:tc>
          <w:tcPr>
            <w:tcW w:w="6068" w:type="dxa"/>
            <w:vAlign w:val="center"/>
          </w:tcPr>
          <w:p>
            <w:pPr>
              <w:spacing w:line="360" w:lineRule="auto"/>
              <w:rPr>
                <w:rFonts w:ascii="宋体" w:hAnsi="宋体" w:cs="宋体"/>
                <w:szCs w:val="21"/>
                <w:highlight w:val="none"/>
                <w:u w:val="single"/>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960" w:hRule="atLeast"/>
        </w:trPr>
        <w:tc>
          <w:tcPr>
            <w:tcW w:w="2891" w:type="dxa"/>
            <w:vAlign w:val="center"/>
          </w:tcPr>
          <w:p>
            <w:pPr>
              <w:spacing w:line="360" w:lineRule="auto"/>
              <w:jc w:val="center"/>
              <w:rPr>
                <w:rFonts w:ascii="宋体" w:hAnsi="宋体" w:cs="宋体"/>
                <w:szCs w:val="21"/>
                <w:highlight w:val="none"/>
              </w:rPr>
            </w:pPr>
            <w:r>
              <w:rPr>
                <w:rFonts w:hint="eastAsia" w:ascii="宋体" w:hAnsi="宋体" w:cs="宋体"/>
                <w:szCs w:val="21"/>
                <w:highlight w:val="none"/>
              </w:rPr>
              <w:t>质量标准</w:t>
            </w:r>
          </w:p>
        </w:tc>
        <w:tc>
          <w:tcPr>
            <w:tcW w:w="6068" w:type="dxa"/>
            <w:vAlign w:val="center"/>
          </w:tcPr>
          <w:p>
            <w:pPr>
              <w:spacing w:line="360" w:lineRule="auto"/>
              <w:rPr>
                <w:rFonts w:ascii="宋体" w:hAnsi="宋体" w:cs="宋体"/>
                <w:szCs w:val="21"/>
                <w:highlight w:val="none"/>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010" w:hRule="atLeast"/>
        </w:trPr>
        <w:tc>
          <w:tcPr>
            <w:tcW w:w="2891" w:type="dxa"/>
            <w:vAlign w:val="center"/>
          </w:tcPr>
          <w:p>
            <w:pPr>
              <w:spacing w:line="360" w:lineRule="auto"/>
              <w:jc w:val="center"/>
              <w:rPr>
                <w:rFonts w:ascii="宋体" w:hAnsi="宋体" w:cs="宋体"/>
                <w:szCs w:val="21"/>
                <w:highlight w:val="none"/>
              </w:rPr>
            </w:pPr>
            <w:r>
              <w:rPr>
                <w:rFonts w:hint="eastAsia" w:ascii="宋体" w:hAnsi="宋体" w:cs="宋体"/>
                <w:szCs w:val="21"/>
                <w:highlight w:val="none"/>
              </w:rPr>
              <w:t>备注：</w:t>
            </w:r>
          </w:p>
        </w:tc>
        <w:tc>
          <w:tcPr>
            <w:tcW w:w="6068" w:type="dxa"/>
            <w:vAlign w:val="center"/>
          </w:tcPr>
          <w:p>
            <w:pPr>
              <w:spacing w:line="360" w:lineRule="auto"/>
              <w:rPr>
                <w:rFonts w:hint="eastAsia" w:ascii="宋体" w:hAnsi="宋体" w:eastAsia="宋体" w:cs="宋体"/>
                <w:szCs w:val="21"/>
                <w:highlight w:val="none"/>
                <w:lang w:eastAsia="zh-CN"/>
              </w:rPr>
            </w:pPr>
            <w:r>
              <w:rPr>
                <w:rFonts w:hint="eastAsia"/>
                <w:szCs w:val="21"/>
                <w:highlight w:val="none"/>
                <w:lang w:val="en-US" w:eastAsia="zh-CN"/>
              </w:rPr>
              <w:t>/</w:t>
            </w:r>
          </w:p>
        </w:tc>
      </w:tr>
    </w:tbl>
    <w:p>
      <w:pPr>
        <w:rPr>
          <w:rFonts w:ascii="宋体" w:hAnsi="宋体" w:cs="宋体"/>
          <w:b/>
          <w:bCs/>
          <w:sz w:val="18"/>
          <w:szCs w:val="18"/>
          <w:highlight w:val="none"/>
        </w:rPr>
      </w:pPr>
    </w:p>
    <w:p>
      <w:pPr>
        <w:rPr>
          <w:rFonts w:ascii="宋体" w:hAnsi="宋体" w:cs="宋体"/>
          <w:b/>
          <w:bCs/>
          <w:sz w:val="18"/>
          <w:szCs w:val="18"/>
          <w:highlight w:val="none"/>
        </w:rPr>
      </w:pPr>
      <w:r>
        <w:rPr>
          <w:rFonts w:hint="eastAsia" w:ascii="宋体" w:hAnsi="宋体" w:cs="宋体"/>
          <w:b/>
          <w:bCs/>
          <w:sz w:val="18"/>
          <w:szCs w:val="18"/>
          <w:highlight w:val="none"/>
        </w:rPr>
        <w:t>说明：</w:t>
      </w:r>
    </w:p>
    <w:p>
      <w:pPr>
        <w:ind w:firstLine="360" w:firstLineChars="200"/>
        <w:rPr>
          <w:rFonts w:ascii="宋体" w:hAnsi="宋体" w:cs="宋体"/>
          <w:sz w:val="18"/>
          <w:szCs w:val="18"/>
          <w:highlight w:val="none"/>
        </w:rPr>
      </w:pPr>
      <w:r>
        <w:rPr>
          <w:rFonts w:hint="eastAsia" w:ascii="宋体" w:hAnsi="宋体" w:cs="宋体"/>
          <w:sz w:val="18"/>
          <w:szCs w:val="18"/>
          <w:highlight w:val="none"/>
        </w:rPr>
        <w:t>1、总报价精确到元，小数点后保留两位小数。</w:t>
      </w:r>
    </w:p>
    <w:p>
      <w:pPr>
        <w:ind w:firstLine="360" w:firstLineChars="200"/>
        <w:rPr>
          <w:rFonts w:ascii="宋体" w:hAnsi="宋体" w:cs="宋体"/>
          <w:sz w:val="18"/>
          <w:szCs w:val="18"/>
          <w:highlight w:val="none"/>
        </w:rPr>
      </w:pPr>
      <w:r>
        <w:rPr>
          <w:rFonts w:hint="eastAsia" w:ascii="宋体" w:hAnsi="宋体" w:cs="宋体"/>
          <w:sz w:val="18"/>
          <w:szCs w:val="18"/>
          <w:highlight w:val="none"/>
        </w:rPr>
        <w:t>2、报价精确到小数点后两位，第三位四舍五入。</w:t>
      </w:r>
    </w:p>
    <w:bookmarkEnd w:id="460"/>
    <w:bookmarkEnd w:id="461"/>
    <w:bookmarkEnd w:id="462"/>
    <w:bookmarkEnd w:id="463"/>
    <w:bookmarkEnd w:id="464"/>
    <w:bookmarkEnd w:id="465"/>
    <w:bookmarkEnd w:id="466"/>
    <w:p>
      <w:pPr>
        <w:pStyle w:val="4"/>
        <w:ind w:left="0" w:leftChars="0" w:firstLine="0" w:firstLineChars="0"/>
        <w:rPr>
          <w:highlight w:val="none"/>
        </w:rPr>
      </w:pPr>
      <w:bookmarkStart w:id="538" w:name="_Toc423025063"/>
      <w:bookmarkStart w:id="539" w:name="_Toc17941"/>
      <w:bookmarkStart w:id="540" w:name="_Toc3660"/>
      <w:bookmarkStart w:id="541" w:name="_Toc9933"/>
      <w:bookmarkStart w:id="542" w:name="_Toc7524512"/>
      <w:bookmarkStart w:id="543" w:name="_Toc497551832"/>
      <w:bookmarkStart w:id="544" w:name="_Toc497546930"/>
      <w:bookmarkStart w:id="545" w:name="_Toc492955471"/>
      <w:bookmarkStart w:id="546" w:name="_Toc497711597"/>
      <w:bookmarkStart w:id="547" w:name="_Toc497712145"/>
      <w:bookmarkStart w:id="548" w:name="_Toc454306452"/>
      <w:bookmarkStart w:id="549" w:name="_Toc454790732"/>
    </w:p>
    <w:p>
      <w:pPr>
        <w:spacing w:line="360" w:lineRule="auto"/>
        <w:ind w:firstLine="3780" w:firstLineChars="1800"/>
        <w:jc w:val="left"/>
        <w:rPr>
          <w:rFonts w:ascii="宋体" w:hAnsi="宋体" w:cs="宋体"/>
          <w:szCs w:val="21"/>
          <w:highlight w:val="none"/>
        </w:rPr>
      </w:pPr>
      <w:r>
        <w:rPr>
          <w:rFonts w:hint="eastAsia" w:ascii="宋体" w:hAnsi="宋体" w:cs="宋体"/>
          <w:szCs w:val="21"/>
          <w:highlight w:val="none"/>
        </w:rPr>
        <w:t>供应商名称：（盖章）</w:t>
      </w:r>
    </w:p>
    <w:p>
      <w:pPr>
        <w:spacing w:line="360" w:lineRule="auto"/>
        <w:ind w:firstLine="3780" w:firstLineChars="1800"/>
        <w:jc w:val="left"/>
        <w:rPr>
          <w:rFonts w:hint="eastAsia" w:ascii="宋体" w:hAnsi="宋体" w:cs="宋体"/>
          <w:szCs w:val="21"/>
          <w:highlight w:val="none"/>
        </w:rPr>
      </w:pPr>
      <w:r>
        <w:rPr>
          <w:rFonts w:hint="eastAsia" w:ascii="宋体" w:hAnsi="宋体" w:cs="宋体"/>
          <w:szCs w:val="21"/>
          <w:highlight w:val="none"/>
        </w:rPr>
        <w:t>法定代表人或被授权人：(签字或盖章)</w:t>
      </w:r>
    </w:p>
    <w:p>
      <w:pPr>
        <w:spacing w:line="360" w:lineRule="auto"/>
        <w:ind w:firstLine="3780" w:firstLineChars="1800"/>
        <w:jc w:val="left"/>
        <w:rPr>
          <w:rFonts w:hint="eastAsia" w:ascii="宋体" w:hAnsi="宋体" w:cs="宋体"/>
          <w:szCs w:val="21"/>
          <w:highlight w:val="none"/>
        </w:rPr>
      </w:pPr>
      <w:r>
        <w:rPr>
          <w:rFonts w:hint="eastAsia" w:ascii="宋体" w:hAnsi="宋体" w:cs="宋体"/>
          <w:szCs w:val="21"/>
          <w:highlight w:val="none"/>
        </w:rPr>
        <w:t>日      期：  年   月     日</w:t>
      </w:r>
      <w:bookmarkStart w:id="550" w:name="_Toc15065"/>
      <w:bookmarkStart w:id="551" w:name="_Toc9185"/>
      <w:bookmarkStart w:id="552" w:name="_Toc32382"/>
    </w:p>
    <w:p>
      <w:pPr>
        <w:jc w:val="center"/>
        <w:rPr>
          <w:rFonts w:hint="eastAsia" w:ascii="宋体" w:hAnsi="宋体" w:cs="宋体"/>
          <w:b/>
          <w:sz w:val="30"/>
          <w:szCs w:val="30"/>
          <w:highlight w:val="none"/>
        </w:rPr>
      </w:pPr>
    </w:p>
    <w:p>
      <w:pPr>
        <w:spacing w:line="360" w:lineRule="auto"/>
        <w:jc w:val="center"/>
        <w:rPr>
          <w:rFonts w:hint="eastAsia" w:ascii="宋体" w:hAnsi="宋体" w:cs="宋体"/>
          <w:b/>
          <w:sz w:val="30"/>
          <w:szCs w:val="30"/>
        </w:rPr>
      </w:pPr>
      <w:r>
        <w:rPr>
          <w:rFonts w:hint="eastAsia" w:ascii="宋体" w:hAnsi="宋体" w:cs="宋体"/>
          <w:b/>
          <w:sz w:val="30"/>
          <w:szCs w:val="30"/>
        </w:rPr>
        <w:t>4</w:t>
      </w:r>
      <w:r>
        <w:rPr>
          <w:rFonts w:hint="eastAsia" w:hAnsi="宋体" w:cs="宋体"/>
          <w:b/>
          <w:sz w:val="30"/>
          <w:szCs w:val="30"/>
        </w:rPr>
        <w:t xml:space="preserve">.2  </w:t>
      </w:r>
      <w:r>
        <w:rPr>
          <w:rFonts w:hint="eastAsia" w:ascii="宋体" w:hAnsi="宋体" w:cs="宋体"/>
          <w:b/>
          <w:sz w:val="30"/>
          <w:szCs w:val="30"/>
        </w:rPr>
        <w:t>已标价工程量清单</w:t>
      </w:r>
    </w:p>
    <w:p>
      <w:pPr>
        <w:spacing w:line="360" w:lineRule="auto"/>
        <w:jc w:val="center"/>
        <w:rPr>
          <w:rFonts w:hint="default"/>
          <w:lang w:val="en-US" w:eastAsia="zh-CN"/>
        </w:rPr>
      </w:pPr>
      <w:r>
        <w:rPr>
          <w:rFonts w:hint="eastAsia"/>
          <w:lang w:val="en-US" w:eastAsia="zh-CN"/>
        </w:rPr>
        <w:t>由广联达软件自行生成</w:t>
      </w:r>
      <w:bookmarkStart w:id="637" w:name="_GoBack"/>
      <w:bookmarkEnd w:id="637"/>
      <w:r>
        <w:rPr>
          <w:rFonts w:hint="default"/>
          <w:lang w:val="en-US" w:eastAsia="zh-CN"/>
        </w:rPr>
        <w:br w:type="page"/>
      </w:r>
    </w:p>
    <w:p>
      <w:pPr>
        <w:pStyle w:val="2"/>
        <w:rPr>
          <w:rFonts w:hint="default"/>
          <w:lang w:val="en-US" w:eastAsia="zh-CN"/>
        </w:rPr>
      </w:pPr>
    </w:p>
    <w:bookmarkEnd w:id="538"/>
    <w:bookmarkEnd w:id="539"/>
    <w:bookmarkEnd w:id="540"/>
    <w:bookmarkEnd w:id="541"/>
    <w:bookmarkEnd w:id="542"/>
    <w:bookmarkEnd w:id="550"/>
    <w:bookmarkEnd w:id="551"/>
    <w:bookmarkEnd w:id="552"/>
    <w:p>
      <w:pPr>
        <w:pStyle w:val="7"/>
        <w:numPr>
          <w:ilvl w:val="0"/>
          <w:numId w:val="7"/>
        </w:numPr>
        <w:adjustRightInd w:val="0"/>
        <w:spacing w:before="0" w:after="0" w:line="360" w:lineRule="auto"/>
        <w:textAlignment w:val="baseline"/>
        <w:outlineLvl w:val="0"/>
        <w:rPr>
          <w:rFonts w:ascii="宋体" w:hAnsi="宋体" w:eastAsia="宋体" w:cs="宋体"/>
          <w:highlight w:val="none"/>
        </w:rPr>
      </w:pPr>
      <w:bookmarkStart w:id="553" w:name="_Toc30125"/>
      <w:bookmarkStart w:id="554" w:name="_Toc491509446"/>
      <w:bookmarkStart w:id="555" w:name="_Toc5443"/>
      <w:bookmarkStart w:id="556" w:name="_Toc12429"/>
      <w:bookmarkStart w:id="557" w:name="_Toc9570"/>
      <w:bookmarkStart w:id="558" w:name="_Toc4359"/>
      <w:bookmarkStart w:id="559" w:name="_Toc423025064"/>
      <w:r>
        <w:rPr>
          <w:rFonts w:hint="eastAsia" w:ascii="宋体" w:hAnsi="宋体" w:eastAsia="宋体" w:cs="宋体"/>
          <w:highlight w:val="none"/>
        </w:rPr>
        <w:t>合同主要条款响应偏差表</w:t>
      </w:r>
      <w:bookmarkEnd w:id="553"/>
    </w:p>
    <w:p>
      <w:pPr>
        <w:ind w:left="2409"/>
        <w:rPr>
          <w:highlight w:val="none"/>
        </w:rPr>
      </w:pPr>
    </w:p>
    <w:p>
      <w:pPr>
        <w:spacing w:line="360" w:lineRule="auto"/>
        <w:rPr>
          <w:rFonts w:ascii="宋体" w:hAnsi="宋体" w:cs="宋体"/>
          <w:szCs w:val="21"/>
          <w:highlight w:val="none"/>
          <w:u w:val="single"/>
        </w:rPr>
      </w:pPr>
      <w:r>
        <w:rPr>
          <w:rFonts w:hint="eastAsia" w:ascii="宋体" w:hAnsi="宋体" w:cs="宋体"/>
          <w:sz w:val="24"/>
          <w:highlight w:val="none"/>
        </w:rPr>
        <w:t>供</w:t>
      </w:r>
      <w:r>
        <w:rPr>
          <w:rFonts w:hint="eastAsia" w:ascii="宋体" w:hAnsi="宋体" w:cs="宋体"/>
          <w:szCs w:val="21"/>
          <w:highlight w:val="none"/>
        </w:rPr>
        <w:t>应商名称：</w:t>
      </w:r>
      <w:r>
        <w:rPr>
          <w:rFonts w:hint="eastAsia" w:ascii="宋体" w:hAnsi="宋体" w:cs="宋体"/>
          <w:szCs w:val="21"/>
          <w:highlight w:val="none"/>
          <w:u w:val="single"/>
        </w:rPr>
        <w:t xml:space="preserve">                   </w:t>
      </w:r>
      <w:r>
        <w:rPr>
          <w:rFonts w:hint="eastAsia" w:ascii="宋体" w:hAnsi="宋体" w:cs="宋体"/>
          <w:szCs w:val="21"/>
          <w:highlight w:val="none"/>
        </w:rPr>
        <w:t xml:space="preserve">                采购项目编号：</w:t>
      </w:r>
      <w:r>
        <w:rPr>
          <w:rFonts w:hint="eastAsia" w:ascii="宋体" w:hAnsi="宋体" w:cs="宋体"/>
          <w:szCs w:val="21"/>
          <w:highlight w:val="none"/>
          <w:u w:val="single"/>
        </w:rPr>
        <w:t xml:space="preserve">                      </w:t>
      </w:r>
    </w:p>
    <w:tbl>
      <w:tblPr>
        <w:tblStyle w:val="28"/>
        <w:tblW w:w="879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46"/>
        <w:gridCol w:w="2775"/>
        <w:gridCol w:w="2264"/>
        <w:gridCol w:w="1367"/>
        <w:gridCol w:w="144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20" w:hRule="atLeast"/>
          <w:jc w:val="center"/>
        </w:trPr>
        <w:tc>
          <w:tcPr>
            <w:tcW w:w="946" w:type="dxa"/>
            <w:vAlign w:val="center"/>
          </w:tcPr>
          <w:p>
            <w:pPr>
              <w:spacing w:line="360" w:lineRule="auto"/>
              <w:jc w:val="center"/>
              <w:rPr>
                <w:rFonts w:ascii="宋体" w:hAnsi="宋体" w:cs="宋体"/>
                <w:b/>
                <w:bCs/>
                <w:szCs w:val="21"/>
                <w:highlight w:val="none"/>
              </w:rPr>
            </w:pPr>
            <w:r>
              <w:rPr>
                <w:rFonts w:hint="eastAsia" w:ascii="宋体" w:hAnsi="宋体" w:cs="宋体"/>
                <w:b/>
                <w:bCs/>
                <w:szCs w:val="21"/>
                <w:highlight w:val="none"/>
              </w:rPr>
              <w:t>序号</w:t>
            </w:r>
          </w:p>
        </w:tc>
        <w:tc>
          <w:tcPr>
            <w:tcW w:w="2775" w:type="dxa"/>
            <w:vAlign w:val="center"/>
          </w:tcPr>
          <w:p>
            <w:pPr>
              <w:spacing w:line="360" w:lineRule="auto"/>
              <w:jc w:val="center"/>
              <w:rPr>
                <w:rFonts w:ascii="宋体" w:hAnsi="宋体" w:cs="宋体"/>
                <w:b/>
                <w:bCs/>
                <w:szCs w:val="21"/>
                <w:highlight w:val="none"/>
              </w:rPr>
            </w:pPr>
            <w:r>
              <w:rPr>
                <w:rFonts w:hint="eastAsia" w:ascii="宋体" w:hAnsi="宋体" w:cs="宋体"/>
                <w:b/>
                <w:bCs/>
                <w:szCs w:val="21"/>
                <w:highlight w:val="none"/>
              </w:rPr>
              <w:t>磋商文件</w:t>
            </w:r>
          </w:p>
          <w:p>
            <w:pPr>
              <w:spacing w:line="360" w:lineRule="auto"/>
              <w:jc w:val="center"/>
              <w:rPr>
                <w:rFonts w:ascii="宋体" w:hAnsi="宋体" w:cs="宋体"/>
                <w:b/>
                <w:bCs/>
                <w:szCs w:val="21"/>
                <w:highlight w:val="none"/>
              </w:rPr>
            </w:pPr>
            <w:r>
              <w:rPr>
                <w:rFonts w:hint="eastAsia" w:ascii="宋体" w:hAnsi="宋体" w:cs="宋体"/>
                <w:b/>
                <w:bCs/>
                <w:szCs w:val="21"/>
                <w:highlight w:val="none"/>
              </w:rPr>
              <w:t>合同主要条款要求</w:t>
            </w:r>
          </w:p>
        </w:tc>
        <w:tc>
          <w:tcPr>
            <w:tcW w:w="2264" w:type="dxa"/>
            <w:vAlign w:val="center"/>
          </w:tcPr>
          <w:p>
            <w:pPr>
              <w:spacing w:line="360" w:lineRule="auto"/>
              <w:jc w:val="center"/>
              <w:rPr>
                <w:rFonts w:ascii="宋体" w:hAnsi="宋体" w:cs="宋体"/>
                <w:b/>
                <w:bCs/>
                <w:szCs w:val="21"/>
                <w:highlight w:val="none"/>
              </w:rPr>
            </w:pPr>
            <w:r>
              <w:rPr>
                <w:rFonts w:hint="eastAsia" w:ascii="宋体" w:hAnsi="宋体" w:cs="宋体"/>
                <w:b/>
                <w:bCs/>
                <w:szCs w:val="21"/>
                <w:highlight w:val="none"/>
              </w:rPr>
              <w:t>响应文件</w:t>
            </w:r>
          </w:p>
          <w:p>
            <w:pPr>
              <w:spacing w:line="360" w:lineRule="auto"/>
              <w:jc w:val="center"/>
              <w:rPr>
                <w:rFonts w:ascii="宋体" w:hAnsi="宋体" w:cs="宋体"/>
                <w:b/>
                <w:bCs/>
                <w:szCs w:val="21"/>
                <w:highlight w:val="none"/>
              </w:rPr>
            </w:pPr>
            <w:r>
              <w:rPr>
                <w:rFonts w:hint="eastAsia" w:ascii="宋体" w:hAnsi="宋体" w:cs="宋体"/>
                <w:b/>
                <w:bCs/>
                <w:szCs w:val="21"/>
                <w:highlight w:val="none"/>
              </w:rPr>
              <w:t>合同主要条款响应</w:t>
            </w:r>
          </w:p>
        </w:tc>
        <w:tc>
          <w:tcPr>
            <w:tcW w:w="1367" w:type="dxa"/>
            <w:vAlign w:val="center"/>
          </w:tcPr>
          <w:p>
            <w:pPr>
              <w:spacing w:line="360" w:lineRule="auto"/>
              <w:jc w:val="center"/>
              <w:rPr>
                <w:rFonts w:ascii="宋体" w:hAnsi="宋体" w:cs="宋体"/>
                <w:b/>
                <w:bCs/>
                <w:szCs w:val="21"/>
                <w:highlight w:val="none"/>
              </w:rPr>
            </w:pPr>
            <w:r>
              <w:rPr>
                <w:rFonts w:hint="eastAsia" w:ascii="宋体" w:hAnsi="宋体" w:cs="宋体"/>
                <w:b/>
                <w:bCs/>
                <w:szCs w:val="21"/>
                <w:highlight w:val="none"/>
              </w:rPr>
              <w:t>偏离</w:t>
            </w:r>
          </w:p>
        </w:tc>
        <w:tc>
          <w:tcPr>
            <w:tcW w:w="1440" w:type="dxa"/>
            <w:vAlign w:val="center"/>
          </w:tcPr>
          <w:p>
            <w:pPr>
              <w:spacing w:line="360" w:lineRule="auto"/>
              <w:jc w:val="center"/>
              <w:rPr>
                <w:rFonts w:ascii="宋体" w:hAnsi="宋体" w:cs="宋体"/>
                <w:b/>
                <w:bCs/>
                <w:szCs w:val="21"/>
                <w:highlight w:val="none"/>
              </w:rPr>
            </w:pPr>
            <w:r>
              <w:rPr>
                <w:rFonts w:hint="eastAsia" w:ascii="宋体" w:hAnsi="宋体" w:cs="宋体"/>
                <w:b/>
                <w:bCs/>
                <w:szCs w:val="21"/>
                <w:highlight w:val="none"/>
              </w:rPr>
              <w:t>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946" w:type="dxa"/>
            <w:vAlign w:val="center"/>
          </w:tcPr>
          <w:p>
            <w:pPr>
              <w:spacing w:line="360" w:lineRule="auto"/>
              <w:jc w:val="center"/>
              <w:rPr>
                <w:rFonts w:ascii="宋体" w:hAnsi="宋体" w:cs="宋体"/>
                <w:szCs w:val="21"/>
                <w:highlight w:val="none"/>
              </w:rPr>
            </w:pPr>
          </w:p>
        </w:tc>
        <w:tc>
          <w:tcPr>
            <w:tcW w:w="2775" w:type="dxa"/>
            <w:vAlign w:val="center"/>
          </w:tcPr>
          <w:p>
            <w:pPr>
              <w:spacing w:line="360" w:lineRule="auto"/>
              <w:jc w:val="center"/>
              <w:rPr>
                <w:rFonts w:ascii="宋体" w:hAnsi="宋体" w:cs="宋体"/>
                <w:szCs w:val="21"/>
                <w:highlight w:val="none"/>
              </w:rPr>
            </w:pPr>
          </w:p>
        </w:tc>
        <w:tc>
          <w:tcPr>
            <w:tcW w:w="2264" w:type="dxa"/>
            <w:vAlign w:val="center"/>
          </w:tcPr>
          <w:p>
            <w:pPr>
              <w:spacing w:line="360" w:lineRule="auto"/>
              <w:jc w:val="center"/>
              <w:rPr>
                <w:rFonts w:ascii="宋体" w:hAnsi="宋体" w:cs="宋体"/>
                <w:szCs w:val="21"/>
                <w:highlight w:val="none"/>
              </w:rPr>
            </w:pPr>
          </w:p>
        </w:tc>
        <w:tc>
          <w:tcPr>
            <w:tcW w:w="1367" w:type="dxa"/>
            <w:vAlign w:val="center"/>
          </w:tcPr>
          <w:p>
            <w:pPr>
              <w:spacing w:line="360" w:lineRule="auto"/>
              <w:jc w:val="center"/>
              <w:rPr>
                <w:rFonts w:ascii="宋体" w:hAnsi="宋体" w:cs="宋体"/>
                <w:szCs w:val="21"/>
                <w:highlight w:val="none"/>
              </w:rPr>
            </w:pPr>
          </w:p>
        </w:tc>
        <w:tc>
          <w:tcPr>
            <w:tcW w:w="1440" w:type="dxa"/>
            <w:vAlign w:val="center"/>
          </w:tcPr>
          <w:p>
            <w:pPr>
              <w:spacing w:line="360" w:lineRule="auto"/>
              <w:jc w:val="center"/>
              <w:rPr>
                <w:rFonts w:ascii="宋体" w:hAnsi="宋体" w:cs="宋体"/>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946" w:type="dxa"/>
            <w:vAlign w:val="center"/>
          </w:tcPr>
          <w:p>
            <w:pPr>
              <w:spacing w:line="360" w:lineRule="auto"/>
              <w:jc w:val="center"/>
              <w:rPr>
                <w:rFonts w:ascii="宋体" w:hAnsi="宋体" w:cs="宋体"/>
                <w:szCs w:val="21"/>
                <w:highlight w:val="none"/>
              </w:rPr>
            </w:pPr>
          </w:p>
        </w:tc>
        <w:tc>
          <w:tcPr>
            <w:tcW w:w="2775" w:type="dxa"/>
            <w:vAlign w:val="center"/>
          </w:tcPr>
          <w:p>
            <w:pPr>
              <w:spacing w:line="360" w:lineRule="auto"/>
              <w:jc w:val="center"/>
              <w:rPr>
                <w:rFonts w:ascii="宋体" w:hAnsi="宋体" w:cs="宋体"/>
                <w:szCs w:val="21"/>
                <w:highlight w:val="none"/>
              </w:rPr>
            </w:pPr>
          </w:p>
        </w:tc>
        <w:tc>
          <w:tcPr>
            <w:tcW w:w="2264" w:type="dxa"/>
            <w:vAlign w:val="center"/>
          </w:tcPr>
          <w:p>
            <w:pPr>
              <w:spacing w:line="360" w:lineRule="auto"/>
              <w:jc w:val="center"/>
              <w:rPr>
                <w:rFonts w:ascii="宋体" w:hAnsi="宋体" w:cs="宋体"/>
                <w:szCs w:val="21"/>
                <w:highlight w:val="none"/>
              </w:rPr>
            </w:pPr>
          </w:p>
        </w:tc>
        <w:tc>
          <w:tcPr>
            <w:tcW w:w="1367" w:type="dxa"/>
            <w:vAlign w:val="center"/>
          </w:tcPr>
          <w:p>
            <w:pPr>
              <w:spacing w:line="360" w:lineRule="auto"/>
              <w:jc w:val="center"/>
              <w:rPr>
                <w:rFonts w:ascii="宋体" w:hAnsi="宋体" w:cs="宋体"/>
                <w:szCs w:val="21"/>
                <w:highlight w:val="none"/>
              </w:rPr>
            </w:pPr>
          </w:p>
        </w:tc>
        <w:tc>
          <w:tcPr>
            <w:tcW w:w="1440" w:type="dxa"/>
            <w:vAlign w:val="center"/>
          </w:tcPr>
          <w:p>
            <w:pPr>
              <w:spacing w:line="360" w:lineRule="auto"/>
              <w:jc w:val="center"/>
              <w:rPr>
                <w:rFonts w:ascii="宋体" w:hAnsi="宋体" w:cs="宋体"/>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946" w:type="dxa"/>
            <w:vAlign w:val="center"/>
          </w:tcPr>
          <w:p>
            <w:pPr>
              <w:spacing w:line="360" w:lineRule="auto"/>
              <w:jc w:val="center"/>
              <w:rPr>
                <w:rFonts w:ascii="宋体" w:hAnsi="宋体" w:cs="宋体"/>
                <w:szCs w:val="21"/>
                <w:highlight w:val="none"/>
              </w:rPr>
            </w:pPr>
          </w:p>
        </w:tc>
        <w:tc>
          <w:tcPr>
            <w:tcW w:w="2775" w:type="dxa"/>
            <w:vAlign w:val="center"/>
          </w:tcPr>
          <w:p>
            <w:pPr>
              <w:spacing w:line="360" w:lineRule="auto"/>
              <w:jc w:val="center"/>
              <w:rPr>
                <w:rFonts w:ascii="宋体" w:hAnsi="宋体" w:cs="宋体"/>
                <w:szCs w:val="21"/>
                <w:highlight w:val="none"/>
              </w:rPr>
            </w:pPr>
          </w:p>
        </w:tc>
        <w:tc>
          <w:tcPr>
            <w:tcW w:w="2264" w:type="dxa"/>
            <w:vAlign w:val="center"/>
          </w:tcPr>
          <w:p>
            <w:pPr>
              <w:spacing w:line="360" w:lineRule="auto"/>
              <w:jc w:val="center"/>
              <w:rPr>
                <w:rFonts w:ascii="宋体" w:hAnsi="宋体" w:cs="宋体"/>
                <w:szCs w:val="21"/>
                <w:highlight w:val="none"/>
              </w:rPr>
            </w:pPr>
          </w:p>
        </w:tc>
        <w:tc>
          <w:tcPr>
            <w:tcW w:w="1367" w:type="dxa"/>
            <w:vAlign w:val="center"/>
          </w:tcPr>
          <w:p>
            <w:pPr>
              <w:spacing w:line="360" w:lineRule="auto"/>
              <w:jc w:val="center"/>
              <w:rPr>
                <w:rFonts w:ascii="宋体" w:hAnsi="宋体" w:cs="宋体"/>
                <w:szCs w:val="21"/>
                <w:highlight w:val="none"/>
              </w:rPr>
            </w:pPr>
          </w:p>
        </w:tc>
        <w:tc>
          <w:tcPr>
            <w:tcW w:w="1440" w:type="dxa"/>
            <w:vAlign w:val="center"/>
          </w:tcPr>
          <w:p>
            <w:pPr>
              <w:spacing w:line="360" w:lineRule="auto"/>
              <w:jc w:val="center"/>
              <w:rPr>
                <w:rFonts w:ascii="宋体" w:hAnsi="宋体" w:cs="宋体"/>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946" w:type="dxa"/>
            <w:vAlign w:val="center"/>
          </w:tcPr>
          <w:p>
            <w:pPr>
              <w:spacing w:line="360" w:lineRule="auto"/>
              <w:jc w:val="center"/>
              <w:rPr>
                <w:rFonts w:ascii="宋体" w:hAnsi="宋体" w:cs="宋体"/>
                <w:szCs w:val="21"/>
                <w:highlight w:val="none"/>
              </w:rPr>
            </w:pPr>
          </w:p>
        </w:tc>
        <w:tc>
          <w:tcPr>
            <w:tcW w:w="2775" w:type="dxa"/>
            <w:vAlign w:val="center"/>
          </w:tcPr>
          <w:p>
            <w:pPr>
              <w:spacing w:line="360" w:lineRule="auto"/>
              <w:jc w:val="center"/>
              <w:rPr>
                <w:rFonts w:ascii="宋体" w:hAnsi="宋体" w:cs="宋体"/>
                <w:szCs w:val="21"/>
                <w:highlight w:val="none"/>
              </w:rPr>
            </w:pPr>
          </w:p>
        </w:tc>
        <w:tc>
          <w:tcPr>
            <w:tcW w:w="2264" w:type="dxa"/>
            <w:vAlign w:val="center"/>
          </w:tcPr>
          <w:p>
            <w:pPr>
              <w:spacing w:line="360" w:lineRule="auto"/>
              <w:jc w:val="center"/>
              <w:rPr>
                <w:rFonts w:ascii="宋体" w:hAnsi="宋体" w:cs="宋体"/>
                <w:szCs w:val="21"/>
                <w:highlight w:val="none"/>
              </w:rPr>
            </w:pPr>
          </w:p>
        </w:tc>
        <w:tc>
          <w:tcPr>
            <w:tcW w:w="1367" w:type="dxa"/>
            <w:vAlign w:val="center"/>
          </w:tcPr>
          <w:p>
            <w:pPr>
              <w:spacing w:line="360" w:lineRule="auto"/>
              <w:jc w:val="center"/>
              <w:rPr>
                <w:rFonts w:ascii="宋体" w:hAnsi="宋体" w:cs="宋体"/>
                <w:szCs w:val="21"/>
                <w:highlight w:val="none"/>
              </w:rPr>
            </w:pPr>
          </w:p>
        </w:tc>
        <w:tc>
          <w:tcPr>
            <w:tcW w:w="1440" w:type="dxa"/>
            <w:vAlign w:val="center"/>
          </w:tcPr>
          <w:p>
            <w:pPr>
              <w:spacing w:line="360" w:lineRule="auto"/>
              <w:jc w:val="center"/>
              <w:rPr>
                <w:rFonts w:ascii="宋体" w:hAnsi="宋体" w:cs="宋体"/>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946" w:type="dxa"/>
            <w:vAlign w:val="center"/>
          </w:tcPr>
          <w:p>
            <w:pPr>
              <w:spacing w:line="360" w:lineRule="auto"/>
              <w:jc w:val="center"/>
              <w:rPr>
                <w:rFonts w:ascii="宋体" w:hAnsi="宋体" w:cs="宋体"/>
                <w:szCs w:val="21"/>
                <w:highlight w:val="none"/>
              </w:rPr>
            </w:pPr>
          </w:p>
        </w:tc>
        <w:tc>
          <w:tcPr>
            <w:tcW w:w="2775" w:type="dxa"/>
            <w:vAlign w:val="center"/>
          </w:tcPr>
          <w:p>
            <w:pPr>
              <w:spacing w:line="360" w:lineRule="auto"/>
              <w:jc w:val="center"/>
              <w:rPr>
                <w:rFonts w:ascii="宋体" w:hAnsi="宋体" w:cs="宋体"/>
                <w:szCs w:val="21"/>
                <w:highlight w:val="none"/>
              </w:rPr>
            </w:pPr>
          </w:p>
        </w:tc>
        <w:tc>
          <w:tcPr>
            <w:tcW w:w="2264" w:type="dxa"/>
            <w:vAlign w:val="center"/>
          </w:tcPr>
          <w:p>
            <w:pPr>
              <w:spacing w:line="360" w:lineRule="auto"/>
              <w:jc w:val="center"/>
              <w:rPr>
                <w:rFonts w:ascii="宋体" w:hAnsi="宋体" w:cs="宋体"/>
                <w:szCs w:val="21"/>
                <w:highlight w:val="none"/>
              </w:rPr>
            </w:pPr>
          </w:p>
        </w:tc>
        <w:tc>
          <w:tcPr>
            <w:tcW w:w="1367" w:type="dxa"/>
            <w:vAlign w:val="center"/>
          </w:tcPr>
          <w:p>
            <w:pPr>
              <w:spacing w:line="360" w:lineRule="auto"/>
              <w:jc w:val="center"/>
              <w:rPr>
                <w:rFonts w:ascii="宋体" w:hAnsi="宋体" w:cs="宋体"/>
                <w:szCs w:val="21"/>
                <w:highlight w:val="none"/>
              </w:rPr>
            </w:pPr>
          </w:p>
        </w:tc>
        <w:tc>
          <w:tcPr>
            <w:tcW w:w="1440" w:type="dxa"/>
            <w:vAlign w:val="center"/>
          </w:tcPr>
          <w:p>
            <w:pPr>
              <w:spacing w:line="360" w:lineRule="auto"/>
              <w:jc w:val="center"/>
              <w:rPr>
                <w:rFonts w:ascii="宋体" w:hAnsi="宋体" w:cs="宋体"/>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946" w:type="dxa"/>
            <w:vAlign w:val="center"/>
          </w:tcPr>
          <w:p>
            <w:pPr>
              <w:spacing w:line="360" w:lineRule="auto"/>
              <w:jc w:val="center"/>
              <w:rPr>
                <w:rFonts w:ascii="宋体" w:hAnsi="宋体" w:cs="宋体"/>
                <w:szCs w:val="21"/>
                <w:highlight w:val="none"/>
              </w:rPr>
            </w:pPr>
          </w:p>
        </w:tc>
        <w:tc>
          <w:tcPr>
            <w:tcW w:w="2775" w:type="dxa"/>
            <w:vAlign w:val="center"/>
          </w:tcPr>
          <w:p>
            <w:pPr>
              <w:spacing w:line="360" w:lineRule="auto"/>
              <w:jc w:val="center"/>
              <w:rPr>
                <w:rFonts w:ascii="宋体" w:hAnsi="宋体" w:cs="宋体"/>
                <w:szCs w:val="21"/>
                <w:highlight w:val="none"/>
              </w:rPr>
            </w:pPr>
          </w:p>
        </w:tc>
        <w:tc>
          <w:tcPr>
            <w:tcW w:w="2264" w:type="dxa"/>
            <w:vAlign w:val="center"/>
          </w:tcPr>
          <w:p>
            <w:pPr>
              <w:spacing w:line="360" w:lineRule="auto"/>
              <w:jc w:val="center"/>
              <w:rPr>
                <w:rFonts w:ascii="宋体" w:hAnsi="宋体" w:cs="宋体"/>
                <w:szCs w:val="21"/>
                <w:highlight w:val="none"/>
              </w:rPr>
            </w:pPr>
          </w:p>
        </w:tc>
        <w:tc>
          <w:tcPr>
            <w:tcW w:w="1367" w:type="dxa"/>
            <w:vAlign w:val="center"/>
          </w:tcPr>
          <w:p>
            <w:pPr>
              <w:spacing w:line="360" w:lineRule="auto"/>
              <w:jc w:val="center"/>
              <w:rPr>
                <w:rFonts w:ascii="宋体" w:hAnsi="宋体" w:cs="宋体"/>
                <w:szCs w:val="21"/>
                <w:highlight w:val="none"/>
              </w:rPr>
            </w:pPr>
          </w:p>
        </w:tc>
        <w:tc>
          <w:tcPr>
            <w:tcW w:w="1440" w:type="dxa"/>
            <w:vAlign w:val="center"/>
          </w:tcPr>
          <w:p>
            <w:pPr>
              <w:spacing w:line="360" w:lineRule="auto"/>
              <w:jc w:val="center"/>
              <w:rPr>
                <w:rFonts w:ascii="宋体" w:hAnsi="宋体" w:cs="宋体"/>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946" w:type="dxa"/>
            <w:vAlign w:val="center"/>
          </w:tcPr>
          <w:p>
            <w:pPr>
              <w:spacing w:line="360" w:lineRule="auto"/>
              <w:jc w:val="center"/>
              <w:rPr>
                <w:rFonts w:ascii="宋体" w:hAnsi="宋体" w:cs="宋体"/>
                <w:szCs w:val="21"/>
                <w:highlight w:val="none"/>
              </w:rPr>
            </w:pPr>
          </w:p>
        </w:tc>
        <w:tc>
          <w:tcPr>
            <w:tcW w:w="2775" w:type="dxa"/>
            <w:vAlign w:val="center"/>
          </w:tcPr>
          <w:p>
            <w:pPr>
              <w:spacing w:line="360" w:lineRule="auto"/>
              <w:jc w:val="center"/>
              <w:rPr>
                <w:rFonts w:ascii="宋体" w:hAnsi="宋体" w:cs="宋体"/>
                <w:szCs w:val="21"/>
                <w:highlight w:val="none"/>
              </w:rPr>
            </w:pPr>
          </w:p>
        </w:tc>
        <w:tc>
          <w:tcPr>
            <w:tcW w:w="2264" w:type="dxa"/>
            <w:vAlign w:val="center"/>
          </w:tcPr>
          <w:p>
            <w:pPr>
              <w:spacing w:line="360" w:lineRule="auto"/>
              <w:jc w:val="center"/>
              <w:rPr>
                <w:rFonts w:ascii="宋体" w:hAnsi="宋体" w:cs="宋体"/>
                <w:szCs w:val="21"/>
                <w:highlight w:val="none"/>
              </w:rPr>
            </w:pPr>
          </w:p>
        </w:tc>
        <w:tc>
          <w:tcPr>
            <w:tcW w:w="1367" w:type="dxa"/>
            <w:vAlign w:val="center"/>
          </w:tcPr>
          <w:p>
            <w:pPr>
              <w:spacing w:line="360" w:lineRule="auto"/>
              <w:jc w:val="center"/>
              <w:rPr>
                <w:rFonts w:ascii="宋体" w:hAnsi="宋体" w:cs="宋体"/>
                <w:szCs w:val="21"/>
                <w:highlight w:val="none"/>
              </w:rPr>
            </w:pPr>
          </w:p>
        </w:tc>
        <w:tc>
          <w:tcPr>
            <w:tcW w:w="1440" w:type="dxa"/>
            <w:vAlign w:val="center"/>
          </w:tcPr>
          <w:p>
            <w:pPr>
              <w:spacing w:line="360" w:lineRule="auto"/>
              <w:jc w:val="center"/>
              <w:rPr>
                <w:rFonts w:ascii="宋体" w:hAnsi="宋体" w:cs="宋体"/>
                <w:szCs w:val="21"/>
                <w:highlight w:val="none"/>
              </w:rPr>
            </w:pPr>
          </w:p>
        </w:tc>
      </w:tr>
    </w:tbl>
    <w:p>
      <w:pPr>
        <w:rPr>
          <w:rFonts w:ascii="宋体" w:hAnsi="宋体" w:cs="宋体"/>
          <w:highlight w:val="none"/>
        </w:rPr>
      </w:pPr>
    </w:p>
    <w:p>
      <w:pPr>
        <w:ind w:left="360" w:right="-197" w:rightChars="-94" w:hanging="360" w:hangingChars="200"/>
        <w:jc w:val="left"/>
        <w:rPr>
          <w:rFonts w:ascii="宋体" w:hAnsi="宋体"/>
          <w:sz w:val="18"/>
          <w:szCs w:val="18"/>
          <w:highlight w:val="none"/>
        </w:rPr>
      </w:pPr>
      <w:r>
        <w:rPr>
          <w:rFonts w:hint="eastAsia" w:ascii="宋体" w:hAnsi="宋体"/>
          <w:sz w:val="18"/>
          <w:szCs w:val="18"/>
          <w:highlight w:val="none"/>
        </w:rPr>
        <w:t>注：1.本表只填写磋商响应文件中与磋商文件有偏离（包括正偏离和负偏离）的内容，磋商响应文件中合同主要条款响应与磋商文件要求完全一致的，不用在此表中列出，但必须提交空白表。</w:t>
      </w:r>
    </w:p>
    <w:p>
      <w:pPr>
        <w:tabs>
          <w:tab w:val="left" w:pos="7665"/>
        </w:tabs>
        <w:ind w:right="-197" w:rightChars="-94" w:firstLine="360" w:firstLineChars="200"/>
        <w:jc w:val="left"/>
        <w:rPr>
          <w:rFonts w:ascii="宋体" w:hAnsi="宋体"/>
          <w:sz w:val="18"/>
          <w:szCs w:val="18"/>
          <w:highlight w:val="none"/>
        </w:rPr>
      </w:pPr>
      <w:r>
        <w:rPr>
          <w:rFonts w:hint="eastAsia" w:ascii="宋体" w:hAnsi="宋体"/>
          <w:sz w:val="18"/>
          <w:szCs w:val="18"/>
          <w:highlight w:val="none"/>
        </w:rPr>
        <w:t>2.供应商必须据实填写，不得虚假响应，否则将取消其磋商或成交资格，并按有关规定进处罚。</w:t>
      </w:r>
    </w:p>
    <w:p>
      <w:pPr>
        <w:pStyle w:val="3"/>
        <w:rPr>
          <w:rFonts w:ascii="宋体" w:hAnsi="宋体" w:cs="宋体"/>
          <w:highlight w:val="none"/>
        </w:rPr>
      </w:pPr>
    </w:p>
    <w:p>
      <w:pPr>
        <w:rPr>
          <w:rFonts w:ascii="宋体" w:hAnsi="宋体" w:cs="宋体"/>
          <w:highlight w:val="none"/>
        </w:rPr>
      </w:pPr>
    </w:p>
    <w:p>
      <w:pPr>
        <w:pStyle w:val="3"/>
        <w:rPr>
          <w:rFonts w:ascii="宋体" w:hAnsi="宋体" w:cs="宋体"/>
          <w:highlight w:val="none"/>
        </w:rPr>
      </w:pPr>
    </w:p>
    <w:p>
      <w:pPr>
        <w:rPr>
          <w:rFonts w:ascii="宋体" w:hAnsi="宋体" w:cs="宋体"/>
          <w:highlight w:val="none"/>
        </w:rPr>
      </w:pPr>
    </w:p>
    <w:p>
      <w:pPr>
        <w:spacing w:line="600" w:lineRule="auto"/>
        <w:ind w:firstLine="3780" w:firstLineChars="1800"/>
        <w:jc w:val="left"/>
        <w:rPr>
          <w:rFonts w:ascii="宋体" w:hAnsi="宋体" w:cs="宋体"/>
          <w:szCs w:val="21"/>
          <w:highlight w:val="none"/>
        </w:rPr>
      </w:pPr>
      <w:r>
        <w:rPr>
          <w:rFonts w:hint="eastAsia" w:ascii="宋体" w:hAnsi="宋体" w:cs="宋体"/>
          <w:szCs w:val="21"/>
          <w:highlight w:val="none"/>
        </w:rPr>
        <w:t>供应商名称：（盖章）</w:t>
      </w:r>
    </w:p>
    <w:p>
      <w:pPr>
        <w:spacing w:line="600" w:lineRule="auto"/>
        <w:ind w:firstLine="3780" w:firstLineChars="1800"/>
        <w:jc w:val="left"/>
        <w:rPr>
          <w:rFonts w:ascii="宋体" w:hAnsi="宋体" w:cs="宋体"/>
          <w:szCs w:val="21"/>
          <w:highlight w:val="none"/>
        </w:rPr>
      </w:pPr>
      <w:r>
        <w:rPr>
          <w:rFonts w:hint="eastAsia" w:ascii="宋体" w:hAnsi="宋体" w:cs="宋体"/>
          <w:szCs w:val="21"/>
          <w:highlight w:val="none"/>
        </w:rPr>
        <w:t>法定代表人或被授权人：(签字或盖章)</w:t>
      </w:r>
    </w:p>
    <w:p>
      <w:pPr>
        <w:spacing w:line="600" w:lineRule="auto"/>
        <w:ind w:firstLine="3780" w:firstLineChars="1800"/>
        <w:jc w:val="left"/>
        <w:rPr>
          <w:rFonts w:ascii="宋体" w:hAnsi="宋体" w:cs="宋体"/>
          <w:szCs w:val="21"/>
          <w:highlight w:val="none"/>
        </w:rPr>
      </w:pPr>
      <w:r>
        <w:rPr>
          <w:rFonts w:hint="eastAsia" w:ascii="宋体" w:hAnsi="宋体" w:cs="宋体"/>
          <w:szCs w:val="21"/>
          <w:highlight w:val="none"/>
        </w:rPr>
        <w:t>日      期：  年   月     日</w:t>
      </w:r>
    </w:p>
    <w:p>
      <w:pPr>
        <w:pStyle w:val="3"/>
        <w:rPr>
          <w:rFonts w:ascii="宋体" w:hAnsi="宋体" w:cs="宋体"/>
          <w:highlight w:val="none"/>
        </w:rPr>
      </w:pPr>
    </w:p>
    <w:p>
      <w:pPr>
        <w:rPr>
          <w:rFonts w:ascii="宋体" w:hAnsi="宋体" w:cs="宋体"/>
          <w:highlight w:val="none"/>
        </w:rPr>
      </w:pPr>
    </w:p>
    <w:p>
      <w:pPr>
        <w:pStyle w:val="3"/>
        <w:rPr>
          <w:rFonts w:ascii="宋体" w:hAnsi="宋体" w:cs="宋体"/>
          <w:highlight w:val="none"/>
        </w:rPr>
      </w:pPr>
    </w:p>
    <w:p>
      <w:pPr>
        <w:pStyle w:val="7"/>
        <w:spacing w:before="0" w:after="0" w:line="416" w:lineRule="auto"/>
        <w:ind w:left="3803"/>
        <w:jc w:val="left"/>
        <w:outlineLvl w:val="0"/>
        <w:rPr>
          <w:rFonts w:ascii="宋体" w:hAnsi="宋体" w:eastAsia="宋体" w:cs="宋体"/>
          <w:highlight w:val="none"/>
        </w:rPr>
      </w:pPr>
      <w:bookmarkStart w:id="560" w:name="_Toc1716"/>
      <w:bookmarkStart w:id="561" w:name="_Toc29587"/>
      <w:bookmarkStart w:id="562" w:name="_Toc29943"/>
      <w:bookmarkStart w:id="563" w:name="_Toc7524514"/>
      <w:r>
        <w:rPr>
          <w:rFonts w:hint="eastAsia" w:ascii="宋体" w:hAnsi="宋体" w:cs="宋体"/>
          <w:color w:val="000000"/>
          <w:highlight w:val="none"/>
        </w:rPr>
        <w:br w:type="page"/>
      </w:r>
      <w:bookmarkEnd w:id="554"/>
      <w:bookmarkEnd w:id="555"/>
      <w:bookmarkEnd w:id="556"/>
      <w:bookmarkEnd w:id="557"/>
      <w:bookmarkEnd w:id="558"/>
      <w:bookmarkEnd w:id="559"/>
      <w:bookmarkEnd w:id="560"/>
      <w:bookmarkEnd w:id="561"/>
      <w:bookmarkEnd w:id="562"/>
      <w:bookmarkEnd w:id="563"/>
      <w:bookmarkStart w:id="564" w:name="_Toc25033"/>
      <w:bookmarkStart w:id="565" w:name="_Toc29702"/>
      <w:bookmarkStart w:id="566" w:name="_Toc17274"/>
      <w:bookmarkStart w:id="567" w:name="_Toc66"/>
      <w:bookmarkStart w:id="568" w:name="_Toc30532"/>
      <w:bookmarkStart w:id="569" w:name="_Toc17101"/>
      <w:bookmarkStart w:id="570" w:name="_Toc14807"/>
      <w:bookmarkStart w:id="571" w:name="_Toc13862"/>
      <w:bookmarkStart w:id="572" w:name="_Toc612"/>
      <w:bookmarkStart w:id="573" w:name="_Toc1983"/>
      <w:bookmarkStart w:id="574" w:name="_Toc19680"/>
      <w:bookmarkStart w:id="575" w:name="_Toc17682"/>
      <w:bookmarkStart w:id="576" w:name="_Toc491509449"/>
      <w:r>
        <w:rPr>
          <w:rFonts w:hint="eastAsia" w:ascii="宋体" w:hAnsi="宋体" w:cs="宋体"/>
          <w:color w:val="000000"/>
          <w:highlight w:val="none"/>
        </w:rPr>
        <w:t>六、</w:t>
      </w:r>
      <w:r>
        <w:rPr>
          <w:rFonts w:hint="eastAsia" w:ascii="宋体" w:hAnsi="宋体" w:eastAsia="宋体" w:cs="宋体"/>
          <w:highlight w:val="none"/>
        </w:rPr>
        <w:t>业绩</w:t>
      </w:r>
      <w:bookmarkEnd w:id="564"/>
      <w:bookmarkEnd w:id="565"/>
      <w:bookmarkEnd w:id="566"/>
      <w:bookmarkEnd w:id="567"/>
      <w:bookmarkEnd w:id="568"/>
      <w:bookmarkEnd w:id="569"/>
      <w:bookmarkEnd w:id="570"/>
      <w:bookmarkEnd w:id="571"/>
      <w:bookmarkEnd w:id="572"/>
    </w:p>
    <w:p>
      <w:pPr>
        <w:ind w:firstLine="1205" w:firstLineChars="400"/>
        <w:jc w:val="left"/>
        <w:rPr>
          <w:rFonts w:hint="eastAsia" w:ascii="楷体" w:hAnsi="楷体" w:eastAsia="楷体" w:cs="楷体"/>
          <w:b/>
          <w:bCs/>
          <w:sz w:val="30"/>
          <w:szCs w:val="30"/>
          <w:highlight w:val="none"/>
        </w:rPr>
      </w:pPr>
      <w:r>
        <w:rPr>
          <w:rFonts w:hint="eastAsia" w:ascii="楷体" w:hAnsi="楷体" w:eastAsia="楷体" w:cs="楷体"/>
          <w:b/>
          <w:bCs/>
          <w:sz w:val="30"/>
          <w:szCs w:val="30"/>
          <w:highlight w:val="none"/>
        </w:rPr>
        <w:t>（根据</w:t>
      </w:r>
      <w:r>
        <w:rPr>
          <w:rFonts w:hint="eastAsia" w:ascii="楷体" w:hAnsi="楷体" w:eastAsia="楷体" w:cs="楷体"/>
          <w:b/>
          <w:bCs/>
          <w:sz w:val="30"/>
          <w:szCs w:val="30"/>
          <w:highlight w:val="none"/>
          <w:lang w:eastAsia="zh-CN"/>
        </w:rPr>
        <w:t>磋商文件</w:t>
      </w:r>
      <w:r>
        <w:rPr>
          <w:rFonts w:hint="eastAsia" w:ascii="楷体" w:hAnsi="楷体" w:eastAsia="楷体" w:cs="楷体"/>
          <w:b/>
          <w:bCs/>
          <w:sz w:val="30"/>
          <w:szCs w:val="30"/>
          <w:highlight w:val="none"/>
        </w:rPr>
        <w:t>要求编制，格式自拟）</w:t>
      </w:r>
      <w:bookmarkEnd w:id="573"/>
      <w:bookmarkEnd w:id="574"/>
      <w:bookmarkEnd w:id="575"/>
      <w:bookmarkEnd w:id="576"/>
      <w:bookmarkStart w:id="577" w:name="_Toc283240500"/>
      <w:bookmarkStart w:id="578" w:name="_Toc448264259"/>
      <w:bookmarkStart w:id="579" w:name="_Toc3067"/>
      <w:bookmarkStart w:id="580" w:name="_Toc311415661"/>
      <w:bookmarkStart w:id="581" w:name="_Toc332874432"/>
      <w:bookmarkStart w:id="582" w:name="_Toc7524516"/>
      <w:bookmarkStart w:id="583" w:name="_Toc20213"/>
      <w:bookmarkStart w:id="584" w:name="_Toc491509452"/>
      <w:bookmarkStart w:id="585" w:name="_Toc4021"/>
      <w:bookmarkStart w:id="586" w:name="_Toc32095"/>
      <w:bookmarkStart w:id="587" w:name="_Toc19399"/>
    </w:p>
    <w:p>
      <w:r>
        <w:br w:type="page"/>
      </w:r>
    </w:p>
    <w:bookmarkEnd w:id="577"/>
    <w:bookmarkEnd w:id="578"/>
    <w:bookmarkEnd w:id="579"/>
    <w:bookmarkEnd w:id="580"/>
    <w:bookmarkEnd w:id="581"/>
    <w:p>
      <w:pPr>
        <w:pStyle w:val="7"/>
        <w:spacing w:before="0" w:after="0" w:line="416" w:lineRule="auto"/>
        <w:jc w:val="center"/>
        <w:outlineLvl w:val="0"/>
        <w:rPr>
          <w:rFonts w:ascii="宋体" w:hAnsi="宋体" w:eastAsia="宋体" w:cs="宋体"/>
          <w:highlight w:val="none"/>
        </w:rPr>
      </w:pPr>
      <w:bookmarkStart w:id="588" w:name="_Toc26113"/>
      <w:bookmarkStart w:id="589" w:name="_Toc9611"/>
      <w:bookmarkStart w:id="590" w:name="_Toc22014"/>
      <w:bookmarkStart w:id="591" w:name="_Toc12110"/>
      <w:bookmarkStart w:id="592" w:name="_Toc22787"/>
      <w:r>
        <w:rPr>
          <w:rFonts w:hint="eastAsia" w:ascii="宋体" w:hAnsi="宋体" w:eastAsia="宋体" w:cs="宋体"/>
          <w:highlight w:val="none"/>
        </w:rPr>
        <w:t>七、供应商资格证明文件</w:t>
      </w:r>
      <w:bookmarkEnd w:id="582"/>
      <w:bookmarkEnd w:id="588"/>
      <w:bookmarkEnd w:id="589"/>
      <w:bookmarkEnd w:id="590"/>
      <w:bookmarkEnd w:id="591"/>
      <w:bookmarkEnd w:id="592"/>
    </w:p>
    <w:bookmarkEnd w:id="543"/>
    <w:bookmarkEnd w:id="544"/>
    <w:bookmarkEnd w:id="545"/>
    <w:bookmarkEnd w:id="546"/>
    <w:bookmarkEnd w:id="547"/>
    <w:bookmarkEnd w:id="583"/>
    <w:bookmarkEnd w:id="584"/>
    <w:bookmarkEnd w:id="585"/>
    <w:bookmarkEnd w:id="586"/>
    <w:bookmarkEnd w:id="587"/>
    <w:p>
      <w:pPr>
        <w:pStyle w:val="15"/>
        <w:spacing w:line="360" w:lineRule="auto"/>
        <w:jc w:val="left"/>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1、</w:t>
      </w:r>
      <w:r>
        <w:rPr>
          <w:rFonts w:hint="eastAsia" w:hAnsi="宋体" w:cs="宋体"/>
          <w:color w:val="000000" w:themeColor="text1"/>
          <w:highlight w:val="none"/>
          <w:lang w:eastAsia="zh-CN"/>
          <w14:textFill>
            <w14:solidFill>
              <w14:schemeClr w14:val="tx1"/>
            </w14:solidFill>
          </w14:textFill>
        </w:rPr>
        <w:t>供应商</w:t>
      </w:r>
      <w:r>
        <w:rPr>
          <w:rFonts w:hint="eastAsia" w:hAnsi="宋体" w:cs="宋体"/>
          <w:color w:val="000000" w:themeColor="text1"/>
          <w:highlight w:val="none"/>
          <w14:textFill>
            <w14:solidFill>
              <w14:schemeClr w14:val="tx1"/>
            </w14:solidFill>
          </w14:textFill>
        </w:rPr>
        <w:t>具有合格有效的企业法人营业执照、税务登记证、组织机构代码证（或三证合一营业执照）；</w:t>
      </w:r>
    </w:p>
    <w:p>
      <w:pPr>
        <w:pStyle w:val="15"/>
        <w:spacing w:line="360" w:lineRule="auto"/>
        <w:jc w:val="left"/>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2、</w:t>
      </w:r>
      <w:r>
        <w:rPr>
          <w:rFonts w:hint="eastAsia" w:hAnsi="宋体" w:cs="宋体"/>
          <w:color w:val="000000" w:themeColor="text1"/>
          <w:highlight w:val="none"/>
          <w:lang w:eastAsia="zh-CN"/>
          <w14:textFill>
            <w14:solidFill>
              <w14:schemeClr w14:val="tx1"/>
            </w14:solidFill>
          </w14:textFill>
        </w:rPr>
        <w:t>供应商</w:t>
      </w:r>
      <w:r>
        <w:rPr>
          <w:rFonts w:hint="eastAsia" w:hAnsi="宋体" w:cs="宋体"/>
          <w:color w:val="000000" w:themeColor="text1"/>
          <w:highlight w:val="none"/>
          <w14:textFill>
            <w14:solidFill>
              <w14:schemeClr w14:val="tx1"/>
            </w14:solidFill>
          </w14:textFill>
        </w:rPr>
        <w:t xml:space="preserve">应授权合法的人员参加磋商全过程，其中法定代表人直接参加磋商的，须出具法人身份证，并与营业执照上信息一致。法定代表人授权代表参加磋商的，须出具法定代表人授权书及授权代表身份证； </w:t>
      </w:r>
    </w:p>
    <w:p>
      <w:pPr>
        <w:pStyle w:val="15"/>
        <w:spacing w:line="360" w:lineRule="auto"/>
        <w:jc w:val="left"/>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 xml:space="preserve">3、供应商须具备建设行政主管部门颁发的建筑工程施工总承包三级及以上资质；且具备合格有效的安全生产许可证； </w:t>
      </w:r>
    </w:p>
    <w:p>
      <w:pPr>
        <w:pStyle w:val="15"/>
        <w:spacing w:line="360" w:lineRule="auto"/>
        <w:jc w:val="left"/>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4、拟派项目经理具备建筑工程二级及以上注册建造师证及安全生产考核合格证（建安B证）及无在建工程承诺书（复印件加盖公章）；</w:t>
      </w:r>
    </w:p>
    <w:p>
      <w:pPr>
        <w:pStyle w:val="15"/>
        <w:spacing w:line="360" w:lineRule="auto"/>
        <w:jc w:val="left"/>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 xml:space="preserve"> 5、税收缴纳证明：提供</w:t>
      </w:r>
      <w:r>
        <w:rPr>
          <w:rFonts w:hint="eastAsia" w:hAnsi="宋体" w:cs="宋体"/>
          <w:color w:val="000000" w:themeColor="text1"/>
          <w:highlight w:val="none"/>
          <w:lang w:eastAsia="zh-CN"/>
          <w14:textFill>
            <w14:solidFill>
              <w14:schemeClr w14:val="tx1"/>
            </w14:solidFill>
          </w14:textFill>
        </w:rPr>
        <w:t>供应商</w:t>
      </w:r>
      <w:r>
        <w:rPr>
          <w:rFonts w:hint="eastAsia" w:hAnsi="宋体" w:cs="宋体"/>
          <w:color w:val="000000" w:themeColor="text1"/>
          <w:highlight w:val="none"/>
          <w14:textFill>
            <w14:solidFill>
              <w14:schemeClr w14:val="tx1"/>
            </w14:solidFill>
          </w14:textFill>
        </w:rPr>
        <w:t>2021年1月至今已缴纳任意一个月完税凭证或税务机关开具的完税证明（任意税种）；依法免税的应提供相关文件证明；</w:t>
      </w:r>
    </w:p>
    <w:p>
      <w:pPr>
        <w:pStyle w:val="15"/>
        <w:spacing w:line="360" w:lineRule="auto"/>
        <w:jc w:val="left"/>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 xml:space="preserve"> 6、社会保障资金缴纳证明：提供</w:t>
      </w:r>
      <w:r>
        <w:rPr>
          <w:rFonts w:hint="eastAsia" w:hAnsi="宋体" w:cs="宋体"/>
          <w:color w:val="000000" w:themeColor="text1"/>
          <w:highlight w:val="none"/>
          <w:lang w:eastAsia="zh-CN"/>
          <w14:textFill>
            <w14:solidFill>
              <w14:schemeClr w14:val="tx1"/>
            </w14:solidFill>
          </w14:textFill>
        </w:rPr>
        <w:t>供应商</w:t>
      </w:r>
      <w:r>
        <w:rPr>
          <w:rFonts w:hint="eastAsia" w:hAnsi="宋体" w:cs="宋体"/>
          <w:color w:val="000000" w:themeColor="text1"/>
          <w:highlight w:val="none"/>
          <w14:textFill>
            <w14:solidFill>
              <w14:schemeClr w14:val="tx1"/>
            </w14:solidFill>
          </w14:textFill>
        </w:rPr>
        <w:t>2021年1月至今已缴存的任意一个月的社会保障资金缴存证明或社保机构开具的社会保险参保缴费情况证明；依法不需要缴纳社会保障资金的应提供相关文件证明；</w:t>
      </w:r>
    </w:p>
    <w:p>
      <w:pPr>
        <w:pStyle w:val="15"/>
        <w:spacing w:line="360" w:lineRule="auto"/>
        <w:jc w:val="left"/>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 xml:space="preserve"> 7、财务状况报告：提供供应商20</w:t>
      </w:r>
      <w:r>
        <w:rPr>
          <w:rFonts w:hint="eastAsia" w:hAnsi="宋体" w:cs="宋体"/>
          <w:color w:val="000000" w:themeColor="text1"/>
          <w:highlight w:val="none"/>
          <w:lang w:val="en-US" w:eastAsia="zh-CN"/>
          <w14:textFill>
            <w14:solidFill>
              <w14:schemeClr w14:val="tx1"/>
            </w14:solidFill>
          </w14:textFill>
        </w:rPr>
        <w:t>20</w:t>
      </w:r>
      <w:r>
        <w:rPr>
          <w:rFonts w:hint="eastAsia" w:hAnsi="宋体" w:cs="宋体"/>
          <w:color w:val="000000" w:themeColor="text1"/>
          <w:highlight w:val="none"/>
          <w14:textFill>
            <w14:solidFill>
              <w14:schemeClr w14:val="tx1"/>
            </w14:solidFill>
          </w14:textFill>
        </w:rPr>
        <w:t>年或202</w:t>
      </w:r>
      <w:r>
        <w:rPr>
          <w:rFonts w:hint="eastAsia" w:hAnsi="宋体" w:cs="宋体"/>
          <w:color w:val="000000" w:themeColor="text1"/>
          <w:highlight w:val="none"/>
          <w:lang w:val="en-US" w:eastAsia="zh-CN"/>
          <w14:textFill>
            <w14:solidFill>
              <w14:schemeClr w14:val="tx1"/>
            </w14:solidFill>
          </w14:textFill>
        </w:rPr>
        <w:t>1</w:t>
      </w:r>
      <w:r>
        <w:rPr>
          <w:rFonts w:hint="eastAsia" w:hAnsi="宋体" w:cs="宋体"/>
          <w:color w:val="000000" w:themeColor="text1"/>
          <w:highlight w:val="none"/>
          <w14:textFill>
            <w14:solidFill>
              <w14:schemeClr w14:val="tx1"/>
            </w14:solidFill>
          </w14:textFill>
        </w:rPr>
        <w:t>年任一年经审计的财务报告，或开标前三个月内开户银行开具的资信证明；</w:t>
      </w:r>
    </w:p>
    <w:p>
      <w:pPr>
        <w:pStyle w:val="15"/>
        <w:spacing w:line="360" w:lineRule="auto"/>
        <w:jc w:val="left"/>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 xml:space="preserve"> 8、供应商负责人为同一人或者存在控股、管理关系的不同单位，不得参加同一项目的投标；</w:t>
      </w:r>
    </w:p>
    <w:p>
      <w:pPr>
        <w:pStyle w:val="15"/>
        <w:spacing w:line="360" w:lineRule="auto"/>
        <w:jc w:val="left"/>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 xml:space="preserve"> 9、出具参加本次政府采购活动前三年内在经营活动中没有重大违法记录的书面声明； </w:t>
      </w:r>
    </w:p>
    <w:p>
      <w:pPr>
        <w:pStyle w:val="15"/>
        <w:spacing w:line="360" w:lineRule="auto"/>
        <w:jc w:val="left"/>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10、</w:t>
      </w:r>
      <w:r>
        <w:rPr>
          <w:rFonts w:hint="eastAsia" w:hAnsi="宋体" w:cs="宋体"/>
          <w:color w:val="000000" w:themeColor="text1"/>
          <w:highlight w:val="none"/>
          <w:lang w:eastAsia="zh-CN"/>
          <w14:textFill>
            <w14:solidFill>
              <w14:schemeClr w14:val="tx1"/>
            </w14:solidFill>
          </w14:textFill>
        </w:rPr>
        <w:t>供应商</w:t>
      </w:r>
      <w:r>
        <w:rPr>
          <w:rFonts w:hint="eastAsia" w:hAnsi="宋体" w:cs="宋体"/>
          <w:color w:val="000000" w:themeColor="text1"/>
          <w:highlight w:val="none"/>
          <w14:textFill>
            <w14:solidFill>
              <w14:schemeClr w14:val="tx1"/>
            </w14:solidFill>
          </w14:textFill>
        </w:rPr>
        <w:t>不得为“信用中国”网站（www.creditchina.gov.cn）</w:t>
      </w:r>
      <w:r>
        <w:rPr>
          <w:rFonts w:hint="eastAsia" w:hAnsi="宋体" w:cs="宋体"/>
          <w:color w:val="000000" w:themeColor="text1"/>
          <w:highlight w:val="none"/>
          <w:lang w:eastAsia="zh-CN"/>
          <w14:textFill>
            <w14:solidFill>
              <w14:schemeClr w14:val="tx1"/>
            </w14:solidFill>
          </w14:textFill>
        </w:rPr>
        <w:t>、</w:t>
      </w:r>
      <w:r>
        <w:rPr>
          <w:rFonts w:hint="eastAsia" w:hAnsi="宋体" w:cs="宋体"/>
          <w:color w:val="000000" w:themeColor="text1"/>
          <w:highlight w:val="none"/>
          <w14:textFill>
            <w14:solidFill>
              <w14:schemeClr w14:val="tx1"/>
            </w14:solidFill>
          </w14:textFill>
        </w:rPr>
        <w:t>“中国执行信息公开网站”（http://zxgk.court.gov.cn/shixin/）和中国政府采购网（www.ccgp.gov.cn）中被</w:t>
      </w:r>
      <w:r>
        <w:rPr>
          <w:rFonts w:hint="eastAsia" w:hAnsi="宋体" w:cs="宋体"/>
          <w:color w:val="000000" w:themeColor="text1"/>
          <w:highlight w:val="none"/>
          <w:lang w:val="en-US" w:eastAsia="zh-CN"/>
          <w14:textFill>
            <w14:solidFill>
              <w14:schemeClr w14:val="tx1"/>
            </w14:solidFill>
          </w14:textFill>
        </w:rPr>
        <w:t>列为</w:t>
      </w:r>
      <w:r>
        <w:rPr>
          <w:rFonts w:hint="eastAsia" w:hAnsi="宋体" w:cs="宋体"/>
          <w:color w:val="000000" w:themeColor="text1"/>
          <w:highlight w:val="none"/>
          <w14:textFill>
            <w14:solidFill>
              <w14:schemeClr w14:val="tx1"/>
            </w14:solidFill>
          </w14:textFill>
        </w:rPr>
        <w:t>重大税收违法案件当事人名单、</w:t>
      </w:r>
      <w:r>
        <w:rPr>
          <w:rFonts w:hint="eastAsia" w:hAnsi="宋体" w:cs="宋体"/>
          <w:color w:val="000000" w:themeColor="text1"/>
          <w:highlight w:val="none"/>
          <w:lang w:val="en-US" w:eastAsia="zh-CN"/>
          <w14:textFill>
            <w14:solidFill>
              <w14:schemeClr w14:val="tx1"/>
            </w14:solidFill>
          </w14:textFill>
        </w:rPr>
        <w:t>失信被执行人、</w:t>
      </w:r>
      <w:r>
        <w:rPr>
          <w:rFonts w:hint="eastAsia" w:hAnsi="宋体" w:cs="宋体"/>
          <w:color w:val="000000" w:themeColor="text1"/>
          <w:highlight w:val="none"/>
          <w14:textFill>
            <w14:solidFill>
              <w14:schemeClr w14:val="tx1"/>
            </w14:solidFill>
          </w14:textFill>
        </w:rPr>
        <w:t xml:space="preserve">政府采购严重违法失信行为记录名单的单位。 </w:t>
      </w:r>
    </w:p>
    <w:p>
      <w:pPr>
        <w:pStyle w:val="15"/>
        <w:spacing w:line="360" w:lineRule="auto"/>
        <w:jc w:val="left"/>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11、本项目不接受联合体磋商。</w:t>
      </w:r>
    </w:p>
    <w:p>
      <w:pPr>
        <w:ind w:firstLine="361" w:firstLineChars="200"/>
        <w:rPr>
          <w:rFonts w:ascii="宋体" w:hAnsi="宋体" w:cs="宋体"/>
          <w:b/>
          <w:bCs/>
          <w:sz w:val="18"/>
          <w:szCs w:val="18"/>
          <w:highlight w:val="none"/>
        </w:rPr>
      </w:pPr>
    </w:p>
    <w:p>
      <w:pPr>
        <w:spacing w:line="360" w:lineRule="auto"/>
        <w:ind w:firstLine="361" w:firstLineChars="200"/>
        <w:rPr>
          <w:rFonts w:ascii="宋体" w:hAnsi="宋体" w:cs="宋体"/>
          <w:sz w:val="18"/>
          <w:szCs w:val="18"/>
          <w:highlight w:val="none"/>
        </w:rPr>
      </w:pPr>
      <w:r>
        <w:rPr>
          <w:rFonts w:hint="eastAsia" w:ascii="宋体" w:hAnsi="宋体" w:cs="宋体"/>
          <w:b/>
          <w:bCs/>
          <w:sz w:val="18"/>
          <w:szCs w:val="18"/>
          <w:highlight w:val="none"/>
        </w:rPr>
        <w:t>备注：以上均为必备资格，响应文件的正本和全部副本必须各附一套加盖单位红色公章的复印件（其中正本中的法定代表人授权书为原件）。缺少其中一项或某项达不到磋商文件要求，均视为无效。</w:t>
      </w:r>
    </w:p>
    <w:p>
      <w:pPr>
        <w:pStyle w:val="7"/>
        <w:adjustRightInd w:val="0"/>
        <w:spacing w:before="0" w:after="0" w:line="416" w:lineRule="atLeast"/>
        <w:textAlignment w:val="baseline"/>
        <w:rPr>
          <w:rFonts w:ascii="宋体" w:hAnsi="宋体" w:eastAsia="宋体" w:cs="宋体"/>
          <w:highlight w:val="none"/>
        </w:rPr>
      </w:pPr>
      <w:bookmarkStart w:id="593" w:name="_Toc53"/>
      <w:bookmarkStart w:id="594" w:name="_Toc28068"/>
      <w:bookmarkStart w:id="595" w:name="_Toc32302"/>
      <w:bookmarkStart w:id="596" w:name="_Toc28950"/>
      <w:r>
        <w:rPr>
          <w:rFonts w:hint="eastAsia" w:ascii="宋体" w:hAnsi="宋体" w:eastAsia="宋体" w:cs="宋体"/>
          <w:highlight w:val="none"/>
        </w:rPr>
        <w:br w:type="page"/>
      </w:r>
      <w:bookmarkEnd w:id="593"/>
      <w:bookmarkEnd w:id="594"/>
      <w:bookmarkEnd w:id="595"/>
      <w:bookmarkStart w:id="597" w:name="_Toc28938"/>
      <w:bookmarkStart w:id="598" w:name="_Toc20104"/>
      <w:bookmarkStart w:id="599" w:name="_Toc6826"/>
      <w:bookmarkStart w:id="600" w:name="_Toc7395"/>
      <w:bookmarkStart w:id="601" w:name="_Toc5031"/>
      <w:bookmarkStart w:id="602" w:name="_Toc31213"/>
      <w:bookmarkStart w:id="603" w:name="_Toc8016"/>
      <w:bookmarkStart w:id="604" w:name="_Toc29671"/>
      <w:bookmarkStart w:id="605" w:name="_Toc25774"/>
      <w:bookmarkStart w:id="606" w:name="_Toc21154"/>
      <w:bookmarkStart w:id="607" w:name="_Toc22371"/>
      <w:bookmarkStart w:id="608" w:name="_Toc7524517"/>
      <w:r>
        <w:rPr>
          <w:rFonts w:hint="eastAsia" w:ascii="宋体" w:hAnsi="宋体" w:eastAsia="宋体" w:cs="宋体"/>
          <w:sz w:val="28"/>
          <w:szCs w:val="28"/>
          <w:highlight w:val="none"/>
        </w:rPr>
        <w:t>附件1：   履行合同所必需的设备和专业技术能力的说明及承诺</w:t>
      </w:r>
      <w:bookmarkEnd w:id="597"/>
      <w:bookmarkEnd w:id="598"/>
      <w:bookmarkEnd w:id="599"/>
      <w:bookmarkEnd w:id="600"/>
      <w:bookmarkEnd w:id="601"/>
      <w:bookmarkEnd w:id="602"/>
      <w:bookmarkEnd w:id="603"/>
      <w:bookmarkEnd w:id="604"/>
    </w:p>
    <w:p>
      <w:pPr>
        <w:numPr>
          <w:ins w:id="0" w:author="admin" w:date="2018-08-17T19:18:00Z"/>
        </w:numPr>
        <w:spacing w:line="360" w:lineRule="auto"/>
        <w:rPr>
          <w:rFonts w:ascii="宋体" w:hAnsi="宋体" w:cs="宋体"/>
          <w:highlight w:val="none"/>
        </w:rPr>
      </w:pPr>
    </w:p>
    <w:p>
      <w:pPr>
        <w:numPr>
          <w:ins w:id="1" w:author="admin" w:date="1901-01-01T00:00:00Z"/>
        </w:numPr>
        <w:spacing w:line="480" w:lineRule="auto"/>
        <w:rPr>
          <w:rFonts w:ascii="宋体" w:hAnsi="宋体" w:cs="宋体"/>
          <w:spacing w:val="4"/>
          <w:szCs w:val="21"/>
          <w:highlight w:val="none"/>
          <w:u w:val="single"/>
        </w:rPr>
      </w:pPr>
      <w:r>
        <w:rPr>
          <w:rFonts w:hint="eastAsia" w:ascii="宋体" w:hAnsi="宋体" w:cs="宋体"/>
          <w:spacing w:val="4"/>
          <w:szCs w:val="21"/>
          <w:highlight w:val="none"/>
          <w:u w:val="single"/>
        </w:rPr>
        <w:t xml:space="preserve">   （采购人名称）    ：</w:t>
      </w:r>
    </w:p>
    <w:p>
      <w:pPr>
        <w:numPr>
          <w:ins w:id="2" w:author="admin" w:date="1901-01-01T00:00:00Z"/>
        </w:numPr>
        <w:spacing w:before="240" w:beforeLines="100" w:after="120" w:afterLines="50" w:line="480" w:lineRule="auto"/>
        <w:ind w:firstLine="545" w:firstLineChars="250"/>
        <w:rPr>
          <w:rFonts w:ascii="宋体" w:hAnsi="宋体" w:cs="宋体"/>
          <w:spacing w:val="4"/>
          <w:szCs w:val="21"/>
          <w:highlight w:val="none"/>
        </w:rPr>
      </w:pPr>
      <w:r>
        <w:rPr>
          <w:rFonts w:hint="eastAsia" w:ascii="宋体" w:hAnsi="宋体" w:cs="宋体"/>
          <w:spacing w:val="4"/>
          <w:szCs w:val="21"/>
          <w:highlight w:val="none"/>
          <w:u w:val="single"/>
        </w:rPr>
        <w:t xml:space="preserve">   （供应商名称）    </w:t>
      </w:r>
      <w:r>
        <w:rPr>
          <w:rFonts w:hint="eastAsia" w:ascii="宋体" w:hAnsi="宋体" w:cs="宋体"/>
          <w:spacing w:val="4"/>
          <w:szCs w:val="21"/>
          <w:highlight w:val="none"/>
        </w:rPr>
        <w:t xml:space="preserve"> 于</w:t>
      </w:r>
      <w:r>
        <w:rPr>
          <w:rFonts w:hint="eastAsia" w:ascii="宋体" w:hAnsi="宋体" w:cs="宋体"/>
          <w:spacing w:val="4"/>
          <w:szCs w:val="21"/>
          <w:highlight w:val="none"/>
          <w:u w:val="single"/>
        </w:rPr>
        <w:t xml:space="preserve">     </w:t>
      </w:r>
      <w:r>
        <w:rPr>
          <w:rFonts w:hint="eastAsia" w:ascii="宋体" w:hAnsi="宋体" w:cs="宋体"/>
          <w:spacing w:val="4"/>
          <w:szCs w:val="21"/>
          <w:highlight w:val="none"/>
        </w:rPr>
        <w:t>年</w:t>
      </w:r>
      <w:r>
        <w:rPr>
          <w:rFonts w:hint="eastAsia" w:ascii="宋体" w:hAnsi="宋体" w:cs="宋体"/>
          <w:spacing w:val="4"/>
          <w:szCs w:val="21"/>
          <w:highlight w:val="none"/>
          <w:u w:val="single"/>
        </w:rPr>
        <w:t xml:space="preserve">    </w:t>
      </w:r>
      <w:r>
        <w:rPr>
          <w:rFonts w:hint="eastAsia" w:ascii="宋体" w:hAnsi="宋体" w:cs="宋体"/>
          <w:spacing w:val="4"/>
          <w:szCs w:val="21"/>
          <w:highlight w:val="none"/>
        </w:rPr>
        <w:t>月</w:t>
      </w:r>
      <w:r>
        <w:rPr>
          <w:rFonts w:hint="eastAsia" w:ascii="宋体" w:hAnsi="宋体" w:cs="宋体"/>
          <w:spacing w:val="4"/>
          <w:szCs w:val="21"/>
          <w:highlight w:val="none"/>
          <w:u w:val="single"/>
        </w:rPr>
        <w:t xml:space="preserve">   </w:t>
      </w:r>
      <w:r>
        <w:rPr>
          <w:rFonts w:hint="eastAsia" w:ascii="宋体" w:hAnsi="宋体" w:cs="宋体"/>
          <w:spacing w:val="4"/>
          <w:szCs w:val="21"/>
          <w:highlight w:val="none"/>
        </w:rPr>
        <w:t>日在中华人民共和国境内</w:t>
      </w:r>
      <w:r>
        <w:rPr>
          <w:rFonts w:hint="eastAsia" w:ascii="宋体" w:hAnsi="宋体" w:cs="宋体"/>
          <w:spacing w:val="4"/>
          <w:szCs w:val="21"/>
          <w:highlight w:val="none"/>
          <w:u w:val="single"/>
        </w:rPr>
        <w:t xml:space="preserve">               （详细注册地址）     </w:t>
      </w:r>
      <w:r>
        <w:rPr>
          <w:rFonts w:hint="eastAsia" w:ascii="宋体" w:hAnsi="宋体" w:cs="宋体"/>
          <w:spacing w:val="4"/>
          <w:szCs w:val="21"/>
          <w:highlight w:val="none"/>
        </w:rPr>
        <w:t>合法注册并经营，公司主营业务为</w:t>
      </w:r>
      <w:r>
        <w:rPr>
          <w:rFonts w:hint="eastAsia" w:ascii="宋体" w:hAnsi="宋体" w:cs="宋体"/>
          <w:spacing w:val="4"/>
          <w:szCs w:val="21"/>
          <w:highlight w:val="none"/>
          <w:u w:val="single"/>
        </w:rPr>
        <w:t xml:space="preserve">                          </w:t>
      </w:r>
      <w:r>
        <w:rPr>
          <w:rFonts w:hint="eastAsia" w:ascii="宋体" w:hAnsi="宋体" w:cs="宋体"/>
          <w:spacing w:val="4"/>
          <w:szCs w:val="21"/>
          <w:highlight w:val="none"/>
        </w:rPr>
        <w:t>，营业（生产经营）面积为</w:t>
      </w:r>
      <w:r>
        <w:rPr>
          <w:rFonts w:hint="eastAsia" w:ascii="宋体" w:hAnsi="宋体" w:cs="宋体"/>
          <w:spacing w:val="4"/>
          <w:szCs w:val="21"/>
          <w:highlight w:val="none"/>
          <w:u w:val="single"/>
        </w:rPr>
        <w:t xml:space="preserve">             </w:t>
      </w:r>
      <w:r>
        <w:rPr>
          <w:rFonts w:hint="eastAsia" w:ascii="宋体" w:hAnsi="宋体" w:cs="宋体"/>
          <w:spacing w:val="4"/>
          <w:szCs w:val="21"/>
          <w:highlight w:val="none"/>
        </w:rPr>
        <w:t xml:space="preserve"> ，现有员工数量为</w:t>
      </w:r>
      <w:r>
        <w:rPr>
          <w:rFonts w:hint="eastAsia" w:ascii="宋体" w:hAnsi="宋体" w:cs="宋体"/>
          <w:spacing w:val="4"/>
          <w:szCs w:val="21"/>
          <w:highlight w:val="none"/>
          <w:u w:val="single"/>
        </w:rPr>
        <w:t xml:space="preserve">         </w:t>
      </w:r>
      <w:r>
        <w:rPr>
          <w:rFonts w:hint="eastAsia" w:ascii="宋体" w:hAnsi="宋体" w:cs="宋体"/>
          <w:spacing w:val="4"/>
          <w:szCs w:val="21"/>
          <w:highlight w:val="none"/>
        </w:rPr>
        <w:t>，其中与履行本合同相关的专业技术人员有（</w:t>
      </w:r>
      <w:r>
        <w:rPr>
          <w:rFonts w:hint="eastAsia" w:ascii="宋体" w:hAnsi="宋体" w:cs="宋体"/>
          <w:spacing w:val="4"/>
          <w:szCs w:val="21"/>
          <w:highlight w:val="none"/>
          <w:u w:val="single"/>
        </w:rPr>
        <w:t xml:space="preserve">             专业能力、数量</w:t>
      </w:r>
      <w:r>
        <w:rPr>
          <w:rFonts w:hint="eastAsia" w:ascii="宋体" w:hAnsi="宋体" w:cs="宋体"/>
          <w:spacing w:val="4"/>
          <w:szCs w:val="21"/>
          <w:highlight w:val="none"/>
        </w:rPr>
        <w:t>），本公司郑重承诺，具有履行本合同所必需的设备和专业技术能力。</w:t>
      </w:r>
    </w:p>
    <w:p>
      <w:pPr>
        <w:rPr>
          <w:rFonts w:ascii="宋体" w:hAnsi="宋体" w:cs="宋体"/>
          <w:highlight w:val="none"/>
        </w:rPr>
      </w:pPr>
    </w:p>
    <w:p>
      <w:pPr>
        <w:pStyle w:val="21"/>
        <w:rPr>
          <w:rFonts w:ascii="宋体" w:hAnsi="宋体" w:cs="宋体"/>
          <w:highlight w:val="none"/>
        </w:rPr>
      </w:pPr>
    </w:p>
    <w:p>
      <w:pPr>
        <w:spacing w:line="600" w:lineRule="auto"/>
        <w:ind w:firstLine="3780" w:firstLineChars="1800"/>
        <w:jc w:val="left"/>
        <w:rPr>
          <w:rFonts w:ascii="宋体" w:hAnsi="宋体" w:cs="宋体"/>
          <w:szCs w:val="21"/>
          <w:highlight w:val="none"/>
        </w:rPr>
      </w:pPr>
    </w:p>
    <w:p>
      <w:pPr>
        <w:spacing w:line="600" w:lineRule="auto"/>
        <w:ind w:firstLine="3780" w:firstLineChars="1800"/>
        <w:jc w:val="left"/>
        <w:rPr>
          <w:rFonts w:ascii="宋体" w:hAnsi="宋体" w:cs="宋体"/>
          <w:szCs w:val="21"/>
          <w:highlight w:val="none"/>
        </w:rPr>
      </w:pPr>
    </w:p>
    <w:p>
      <w:pPr>
        <w:spacing w:line="600" w:lineRule="auto"/>
        <w:ind w:firstLine="3780" w:firstLineChars="1800"/>
        <w:jc w:val="left"/>
        <w:rPr>
          <w:rFonts w:ascii="宋体" w:hAnsi="宋体" w:cs="宋体"/>
          <w:szCs w:val="21"/>
          <w:highlight w:val="none"/>
        </w:rPr>
      </w:pPr>
      <w:r>
        <w:rPr>
          <w:rFonts w:hint="eastAsia" w:ascii="宋体" w:hAnsi="宋体" w:cs="宋体"/>
          <w:szCs w:val="21"/>
          <w:highlight w:val="none"/>
        </w:rPr>
        <w:t>供应商名称：（盖章）</w:t>
      </w:r>
    </w:p>
    <w:p>
      <w:pPr>
        <w:spacing w:line="600" w:lineRule="auto"/>
        <w:ind w:firstLine="3780" w:firstLineChars="1800"/>
        <w:jc w:val="left"/>
        <w:rPr>
          <w:rFonts w:ascii="宋体" w:hAnsi="宋体" w:cs="宋体"/>
          <w:szCs w:val="21"/>
          <w:highlight w:val="none"/>
        </w:rPr>
      </w:pPr>
      <w:r>
        <w:rPr>
          <w:rFonts w:hint="eastAsia" w:ascii="宋体" w:hAnsi="宋体" w:cs="宋体"/>
          <w:szCs w:val="21"/>
          <w:highlight w:val="none"/>
        </w:rPr>
        <w:t>法定代表人或被授权人：(签字或盖章)</w:t>
      </w:r>
    </w:p>
    <w:p>
      <w:pPr>
        <w:spacing w:line="600" w:lineRule="auto"/>
        <w:ind w:firstLine="3780" w:firstLineChars="1800"/>
        <w:jc w:val="left"/>
        <w:rPr>
          <w:rFonts w:ascii="宋体" w:hAnsi="宋体" w:cs="宋体"/>
          <w:szCs w:val="21"/>
          <w:highlight w:val="none"/>
        </w:rPr>
      </w:pPr>
      <w:r>
        <w:rPr>
          <w:rFonts w:hint="eastAsia" w:ascii="宋体" w:hAnsi="宋体" w:cs="宋体"/>
          <w:szCs w:val="21"/>
          <w:highlight w:val="none"/>
        </w:rPr>
        <w:t>日      期：  年   月     日</w:t>
      </w:r>
    </w:p>
    <w:p>
      <w:pPr>
        <w:pStyle w:val="3"/>
        <w:rPr>
          <w:rFonts w:ascii="宋体" w:hAnsi="宋体" w:cs="宋体"/>
          <w:highlight w:val="none"/>
        </w:rPr>
      </w:pPr>
    </w:p>
    <w:p>
      <w:pPr>
        <w:rPr>
          <w:rFonts w:ascii="宋体" w:hAnsi="宋体" w:cs="宋体"/>
          <w:highlight w:val="none"/>
        </w:rPr>
      </w:pPr>
    </w:p>
    <w:p>
      <w:pPr>
        <w:pStyle w:val="7"/>
        <w:adjustRightInd w:val="0"/>
        <w:spacing w:before="0" w:after="0" w:line="416" w:lineRule="atLeast"/>
        <w:jc w:val="left"/>
        <w:textAlignment w:val="baseline"/>
        <w:rPr>
          <w:rFonts w:ascii="宋体" w:hAnsi="宋体" w:eastAsia="宋体" w:cs="宋体"/>
          <w:highlight w:val="none"/>
        </w:rPr>
      </w:pPr>
      <w:r>
        <w:rPr>
          <w:rFonts w:hint="eastAsia" w:ascii="宋体" w:hAnsi="宋体" w:eastAsia="宋体" w:cs="宋体"/>
          <w:highlight w:val="none"/>
        </w:rPr>
        <w:br w:type="page"/>
      </w:r>
      <w:bookmarkStart w:id="609" w:name="_Toc24381"/>
      <w:bookmarkStart w:id="610" w:name="_Toc19874"/>
      <w:bookmarkStart w:id="611" w:name="_Toc16203"/>
      <w:bookmarkStart w:id="612" w:name="_Toc25778"/>
      <w:bookmarkStart w:id="613" w:name="_Toc17109"/>
      <w:bookmarkStart w:id="614" w:name="_Toc16522"/>
      <w:bookmarkStart w:id="615" w:name="_Toc22939"/>
      <w:bookmarkStart w:id="616" w:name="_Toc20975"/>
      <w:r>
        <w:rPr>
          <w:rFonts w:hint="eastAsia" w:ascii="宋体" w:hAnsi="宋体" w:eastAsia="宋体" w:cs="宋体"/>
          <w:sz w:val="24"/>
          <w:szCs w:val="24"/>
          <w:highlight w:val="none"/>
        </w:rPr>
        <w:t>附件</w:t>
      </w:r>
      <w:bookmarkEnd w:id="609"/>
      <w:bookmarkEnd w:id="610"/>
      <w:bookmarkEnd w:id="611"/>
      <w:bookmarkEnd w:id="612"/>
      <w:bookmarkEnd w:id="613"/>
      <w:bookmarkEnd w:id="614"/>
      <w:bookmarkEnd w:id="615"/>
      <w:r>
        <w:rPr>
          <w:rFonts w:hint="eastAsia" w:ascii="宋体" w:hAnsi="宋体" w:eastAsia="宋体" w:cs="宋体"/>
          <w:sz w:val="24"/>
          <w:szCs w:val="24"/>
          <w:highlight w:val="none"/>
        </w:rPr>
        <w:t>2：</w:t>
      </w:r>
      <w:r>
        <w:rPr>
          <w:rFonts w:hint="eastAsia" w:ascii="宋体" w:hAnsi="宋体" w:eastAsia="宋体"/>
          <w:color w:val="333333"/>
          <w:sz w:val="24"/>
          <w:highlight w:val="none"/>
        </w:rPr>
        <w:t>参加政府采购活动前3年内，在经营活动中没有重大违法记录的书面说明</w:t>
      </w:r>
      <w:bookmarkEnd w:id="616"/>
    </w:p>
    <w:p>
      <w:pPr>
        <w:rPr>
          <w:rFonts w:ascii="宋体" w:hAnsi="宋体" w:cs="宋体"/>
          <w:highlight w:val="none"/>
        </w:rPr>
      </w:pPr>
    </w:p>
    <w:p>
      <w:pPr>
        <w:spacing w:line="480" w:lineRule="auto"/>
        <w:rPr>
          <w:rFonts w:ascii="宋体" w:hAnsi="宋体" w:cs="宋体"/>
          <w:spacing w:val="4"/>
          <w:szCs w:val="21"/>
          <w:highlight w:val="none"/>
          <w:u w:val="single"/>
        </w:rPr>
      </w:pPr>
      <w:r>
        <w:rPr>
          <w:rFonts w:hint="eastAsia" w:ascii="宋体" w:hAnsi="宋体" w:cs="宋体"/>
          <w:spacing w:val="4"/>
          <w:szCs w:val="21"/>
          <w:highlight w:val="none"/>
        </w:rPr>
        <w:t>致：</w:t>
      </w:r>
      <w:r>
        <w:rPr>
          <w:rFonts w:hint="eastAsia" w:ascii="宋体" w:hAnsi="宋体" w:cs="宋体"/>
          <w:spacing w:val="4"/>
          <w:szCs w:val="21"/>
          <w:highlight w:val="none"/>
          <w:u w:val="single"/>
        </w:rPr>
        <w:t xml:space="preserve">   （采购人名称）    </w:t>
      </w:r>
    </w:p>
    <w:p>
      <w:pPr>
        <w:widowControl/>
        <w:spacing w:line="480" w:lineRule="auto"/>
        <w:ind w:firstLine="420" w:firstLineChars="200"/>
        <w:rPr>
          <w:rFonts w:ascii="宋体" w:hAnsi="宋体" w:cs="宋体"/>
          <w:kern w:val="0"/>
          <w:szCs w:val="21"/>
          <w:highlight w:val="none"/>
        </w:rPr>
      </w:pPr>
      <w:r>
        <w:rPr>
          <w:rFonts w:hint="eastAsia" w:ascii="宋体" w:hAnsi="宋体" w:cs="宋体"/>
          <w:kern w:val="0"/>
          <w:szCs w:val="21"/>
          <w:highlight w:val="none"/>
        </w:rPr>
        <w:t>我方作为</w:t>
      </w:r>
      <w:r>
        <w:rPr>
          <w:rFonts w:hint="eastAsia" w:ascii="宋体" w:hAnsi="宋体" w:cs="宋体"/>
          <w:kern w:val="0"/>
          <w:szCs w:val="21"/>
          <w:highlight w:val="none"/>
          <w:u w:val="single"/>
        </w:rPr>
        <w:t xml:space="preserve">                 项目名称</w:t>
      </w:r>
      <w:r>
        <w:rPr>
          <w:rFonts w:hint="eastAsia" w:ascii="宋体" w:hAnsi="宋体" w:cs="宋体"/>
          <w:kern w:val="0"/>
          <w:szCs w:val="21"/>
          <w:highlight w:val="none"/>
        </w:rPr>
        <w:t>（项目编号：</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）的</w:t>
      </w:r>
      <w:r>
        <w:rPr>
          <w:rFonts w:hint="eastAsia" w:ascii="宋体" w:hAnsi="宋体" w:cs="宋体"/>
          <w:szCs w:val="21"/>
          <w:highlight w:val="none"/>
        </w:rPr>
        <w:t>供应商</w:t>
      </w:r>
      <w:r>
        <w:rPr>
          <w:rFonts w:hint="eastAsia" w:ascii="宋体" w:hAnsi="宋体" w:cs="宋体"/>
          <w:kern w:val="0"/>
          <w:szCs w:val="21"/>
          <w:highlight w:val="none"/>
        </w:rPr>
        <w:t>，在此郑重声明：</w:t>
      </w:r>
    </w:p>
    <w:p>
      <w:pPr>
        <w:widowControl/>
        <w:spacing w:line="480" w:lineRule="auto"/>
        <w:ind w:firstLine="420" w:firstLineChars="200"/>
        <w:rPr>
          <w:rFonts w:ascii="宋体" w:hAnsi="宋体" w:cs="宋体"/>
          <w:kern w:val="0"/>
          <w:szCs w:val="21"/>
          <w:highlight w:val="none"/>
        </w:rPr>
      </w:pPr>
      <w:r>
        <w:rPr>
          <w:rFonts w:hint="eastAsia" w:ascii="宋体" w:hAnsi="宋体" w:cs="宋体"/>
          <w:kern w:val="0"/>
          <w:szCs w:val="21"/>
          <w:highlight w:val="none"/>
        </w:rPr>
        <w:t>1、在参加本次政府采购活动前3年内的经营活动中</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（填“没有”或“有”）重大违法记录。</w:t>
      </w:r>
      <w:r>
        <w:rPr>
          <w:rFonts w:hint="eastAsia" w:ascii="宋体" w:hAnsi="宋体" w:cs="宋体"/>
          <w:b/>
          <w:bCs/>
          <w:szCs w:val="21"/>
          <w:highlight w:val="none"/>
        </w:rPr>
        <w:t>供应商</w:t>
      </w:r>
      <w:r>
        <w:rPr>
          <w:rFonts w:hint="eastAsia" w:ascii="宋体" w:hAnsi="宋体" w:cs="宋体"/>
          <w:b/>
          <w:bCs/>
          <w:kern w:val="0"/>
          <w:szCs w:val="21"/>
          <w:highlight w:val="none"/>
        </w:rPr>
        <w:t>在参加政府采购活动前3年内因违法经营被禁止在一定期限内参加政府采购活动，期限届满的，可以参加政府采购活动，但应提供期限届满的证明材料。</w:t>
      </w:r>
    </w:p>
    <w:p>
      <w:pPr>
        <w:widowControl/>
        <w:spacing w:line="480" w:lineRule="auto"/>
        <w:ind w:firstLine="420" w:firstLineChars="200"/>
        <w:rPr>
          <w:rFonts w:ascii="宋体" w:hAnsi="宋体" w:cs="宋体"/>
          <w:kern w:val="0"/>
          <w:szCs w:val="21"/>
          <w:highlight w:val="none"/>
        </w:rPr>
      </w:pPr>
      <w:r>
        <w:rPr>
          <w:rFonts w:hint="eastAsia" w:ascii="宋体" w:hAnsi="宋体" w:cs="宋体"/>
          <w:kern w:val="0"/>
          <w:szCs w:val="21"/>
          <w:highlight w:val="none"/>
        </w:rPr>
        <w:t>2、我方</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（填“未被列入”或“被列入”）失信被执行人名单。</w:t>
      </w:r>
    </w:p>
    <w:p>
      <w:pPr>
        <w:widowControl/>
        <w:spacing w:line="480" w:lineRule="auto"/>
        <w:ind w:firstLine="420" w:firstLineChars="200"/>
        <w:rPr>
          <w:rFonts w:ascii="宋体" w:hAnsi="宋体" w:cs="宋体"/>
          <w:kern w:val="0"/>
          <w:szCs w:val="21"/>
          <w:highlight w:val="none"/>
        </w:rPr>
      </w:pPr>
      <w:r>
        <w:rPr>
          <w:rFonts w:hint="eastAsia" w:ascii="宋体" w:hAnsi="宋体" w:cs="宋体"/>
          <w:kern w:val="0"/>
          <w:szCs w:val="21"/>
          <w:highlight w:val="none"/>
        </w:rPr>
        <w:t>3、我方</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（填“未被列入”或“被列入”）重大税收违法案件当事人名单。</w:t>
      </w:r>
    </w:p>
    <w:p>
      <w:pPr>
        <w:widowControl/>
        <w:spacing w:line="480" w:lineRule="auto"/>
        <w:ind w:firstLine="420" w:firstLineChars="200"/>
        <w:rPr>
          <w:rFonts w:ascii="宋体" w:hAnsi="宋体" w:cs="宋体"/>
          <w:kern w:val="0"/>
          <w:szCs w:val="21"/>
          <w:highlight w:val="none"/>
        </w:rPr>
      </w:pPr>
      <w:r>
        <w:rPr>
          <w:rFonts w:hint="eastAsia" w:ascii="宋体" w:hAnsi="宋体" w:cs="宋体"/>
          <w:kern w:val="0"/>
          <w:szCs w:val="21"/>
          <w:highlight w:val="none"/>
        </w:rPr>
        <w:t>4、我方</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（填“未被列入”或“被列入”）政府采购严重违法失信行为记录名单。</w:t>
      </w:r>
    </w:p>
    <w:p>
      <w:pPr>
        <w:widowControl/>
        <w:spacing w:line="480" w:lineRule="auto"/>
        <w:ind w:firstLine="420" w:firstLineChars="200"/>
        <w:rPr>
          <w:rFonts w:ascii="宋体" w:hAnsi="宋体" w:cs="宋体"/>
          <w:kern w:val="0"/>
          <w:szCs w:val="21"/>
          <w:highlight w:val="none"/>
        </w:rPr>
      </w:pPr>
      <w:r>
        <w:rPr>
          <w:rFonts w:hint="eastAsia" w:ascii="宋体" w:hAnsi="宋体" w:cs="宋体"/>
          <w:kern w:val="0"/>
          <w:szCs w:val="21"/>
          <w:highlight w:val="none"/>
        </w:rPr>
        <w:t>如有不实，我方将无条件地退出本项目的采购活动，并遵照</w:t>
      </w:r>
      <w:r>
        <w:rPr>
          <w:rFonts w:hint="eastAsia" w:ascii="宋体" w:hAnsi="宋体" w:cs="宋体"/>
          <w:szCs w:val="21"/>
          <w:highlight w:val="none"/>
        </w:rPr>
        <w:t>《中华人民共和国政府采购法》和《中华人民共和国政府采购法实施条例》</w:t>
      </w:r>
      <w:r>
        <w:rPr>
          <w:rFonts w:hint="eastAsia" w:ascii="宋体" w:hAnsi="宋体" w:cs="宋体"/>
          <w:kern w:val="0"/>
          <w:szCs w:val="21"/>
          <w:highlight w:val="none"/>
        </w:rPr>
        <w:t>有关“提供虚假材料的规定”接受处罚。</w:t>
      </w:r>
    </w:p>
    <w:p>
      <w:pPr>
        <w:widowControl/>
        <w:spacing w:line="480" w:lineRule="auto"/>
        <w:ind w:firstLine="420" w:firstLineChars="200"/>
        <w:rPr>
          <w:rFonts w:ascii="宋体" w:hAnsi="宋体" w:cs="宋体"/>
          <w:kern w:val="0"/>
          <w:szCs w:val="21"/>
          <w:highlight w:val="none"/>
        </w:rPr>
      </w:pPr>
      <w:r>
        <w:rPr>
          <w:rFonts w:hint="eastAsia" w:ascii="宋体" w:hAnsi="宋体" w:cs="宋体"/>
          <w:kern w:val="0"/>
          <w:szCs w:val="21"/>
          <w:highlight w:val="none"/>
        </w:rPr>
        <w:t>特此声明。</w:t>
      </w:r>
    </w:p>
    <w:p>
      <w:pPr>
        <w:spacing w:line="360" w:lineRule="auto"/>
        <w:ind w:firstLine="420" w:firstLineChars="200"/>
        <w:rPr>
          <w:rFonts w:ascii="宋体" w:hAnsi="宋体" w:cs="宋体"/>
          <w:color w:val="000000"/>
          <w:szCs w:val="21"/>
          <w:highlight w:val="none"/>
        </w:rPr>
      </w:pPr>
    </w:p>
    <w:p>
      <w:pPr>
        <w:spacing w:line="360" w:lineRule="auto"/>
        <w:rPr>
          <w:rFonts w:ascii="宋体" w:hAnsi="宋体" w:cs="宋体"/>
          <w:color w:val="000000"/>
          <w:szCs w:val="21"/>
          <w:highlight w:val="none"/>
        </w:rPr>
      </w:pPr>
    </w:p>
    <w:p>
      <w:pPr>
        <w:spacing w:line="360" w:lineRule="auto"/>
        <w:rPr>
          <w:rFonts w:ascii="宋体" w:hAnsi="宋体" w:cs="宋体"/>
          <w:color w:val="000000"/>
          <w:szCs w:val="21"/>
          <w:highlight w:val="none"/>
        </w:rPr>
      </w:pPr>
    </w:p>
    <w:p>
      <w:pPr>
        <w:spacing w:line="600" w:lineRule="auto"/>
        <w:ind w:firstLine="3780" w:firstLineChars="1800"/>
        <w:jc w:val="left"/>
        <w:rPr>
          <w:rFonts w:ascii="宋体" w:hAnsi="宋体" w:cs="宋体"/>
          <w:szCs w:val="21"/>
          <w:highlight w:val="none"/>
        </w:rPr>
      </w:pPr>
    </w:p>
    <w:p>
      <w:pPr>
        <w:spacing w:line="600" w:lineRule="auto"/>
        <w:ind w:firstLine="3780" w:firstLineChars="1800"/>
        <w:jc w:val="left"/>
        <w:rPr>
          <w:rFonts w:ascii="宋体" w:hAnsi="宋体" w:cs="宋体"/>
          <w:szCs w:val="21"/>
          <w:highlight w:val="none"/>
        </w:rPr>
      </w:pPr>
      <w:r>
        <w:rPr>
          <w:rFonts w:hint="eastAsia" w:ascii="宋体" w:hAnsi="宋体" w:cs="宋体"/>
          <w:szCs w:val="21"/>
          <w:highlight w:val="none"/>
        </w:rPr>
        <w:t>供应商名称：（盖章）</w:t>
      </w:r>
    </w:p>
    <w:p>
      <w:pPr>
        <w:spacing w:line="600" w:lineRule="auto"/>
        <w:ind w:firstLine="3780" w:firstLineChars="1800"/>
        <w:jc w:val="left"/>
        <w:rPr>
          <w:rFonts w:ascii="宋体" w:hAnsi="宋体" w:cs="宋体"/>
          <w:szCs w:val="21"/>
          <w:highlight w:val="none"/>
        </w:rPr>
      </w:pPr>
      <w:r>
        <w:rPr>
          <w:rFonts w:hint="eastAsia" w:ascii="宋体" w:hAnsi="宋体" w:cs="宋体"/>
          <w:szCs w:val="21"/>
          <w:highlight w:val="none"/>
        </w:rPr>
        <w:t>法定代表人或被授权人：(签字或盖章)</w:t>
      </w:r>
    </w:p>
    <w:p>
      <w:pPr>
        <w:spacing w:line="600" w:lineRule="auto"/>
        <w:ind w:firstLine="3780" w:firstLineChars="1800"/>
        <w:jc w:val="left"/>
        <w:rPr>
          <w:rFonts w:ascii="宋体" w:hAnsi="宋体" w:cs="宋体"/>
          <w:szCs w:val="21"/>
          <w:highlight w:val="none"/>
        </w:rPr>
      </w:pPr>
      <w:r>
        <w:rPr>
          <w:rFonts w:hint="eastAsia" w:ascii="宋体" w:hAnsi="宋体" w:cs="宋体"/>
          <w:szCs w:val="21"/>
          <w:highlight w:val="none"/>
        </w:rPr>
        <w:t>日      期：  年   月     日</w:t>
      </w:r>
    </w:p>
    <w:p>
      <w:pPr>
        <w:spacing w:line="360" w:lineRule="auto"/>
        <w:rPr>
          <w:rFonts w:ascii="宋体" w:hAnsi="宋体" w:cs="宋体"/>
          <w:color w:val="000000"/>
          <w:szCs w:val="21"/>
          <w:highlight w:val="none"/>
        </w:rPr>
      </w:pPr>
    </w:p>
    <w:p>
      <w:pPr>
        <w:rPr>
          <w:rFonts w:ascii="宋体" w:hAnsi="宋体" w:cs="宋体"/>
          <w:color w:val="000000"/>
          <w:highlight w:val="none"/>
        </w:rPr>
      </w:pPr>
    </w:p>
    <w:p>
      <w:pPr>
        <w:rPr>
          <w:rFonts w:ascii="宋体" w:hAnsi="宋体" w:cs="宋体"/>
          <w:color w:val="000000"/>
          <w:highlight w:val="none"/>
        </w:rPr>
      </w:pPr>
    </w:p>
    <w:p>
      <w:pPr>
        <w:pStyle w:val="21"/>
        <w:rPr>
          <w:rFonts w:ascii="宋体" w:hAnsi="宋体" w:cs="宋体"/>
          <w:highlight w:val="none"/>
        </w:rPr>
      </w:pPr>
    </w:p>
    <w:p>
      <w:pPr>
        <w:rPr>
          <w:rFonts w:ascii="宋体" w:hAnsi="宋体" w:cs="宋体"/>
          <w:highlight w:val="none"/>
        </w:rPr>
      </w:pPr>
    </w:p>
    <w:p>
      <w:pPr>
        <w:pStyle w:val="2"/>
        <w:rPr>
          <w:highlight w:val="none"/>
        </w:rPr>
      </w:pPr>
    </w:p>
    <w:p>
      <w:pPr>
        <w:rPr>
          <w:rFonts w:ascii="宋体" w:hAnsi="宋体" w:cs="宋体"/>
          <w:highlight w:val="none"/>
        </w:rPr>
      </w:pPr>
    </w:p>
    <w:p>
      <w:pPr>
        <w:pStyle w:val="2"/>
        <w:rPr>
          <w:highlight w:val="none"/>
        </w:rPr>
      </w:pPr>
    </w:p>
    <w:p>
      <w:pPr>
        <w:pStyle w:val="2"/>
        <w:rPr>
          <w:highlight w:val="none"/>
        </w:rPr>
      </w:pPr>
    </w:p>
    <w:p>
      <w:pPr>
        <w:widowControl/>
        <w:spacing w:line="360" w:lineRule="auto"/>
        <w:jc w:val="left"/>
        <w:rPr>
          <w:rFonts w:ascii="宋体" w:hAnsi="宋体"/>
          <w:b/>
          <w:color w:val="333333"/>
          <w:kern w:val="0"/>
          <w:sz w:val="24"/>
          <w:szCs w:val="20"/>
          <w:highlight w:val="none"/>
        </w:rPr>
      </w:pPr>
      <w:r>
        <w:rPr>
          <w:rFonts w:hint="eastAsia" w:ascii="宋体" w:hAnsi="宋体"/>
          <w:b/>
          <w:color w:val="333333"/>
          <w:kern w:val="0"/>
          <w:sz w:val="24"/>
          <w:szCs w:val="20"/>
          <w:highlight w:val="none"/>
        </w:rPr>
        <w:t xml:space="preserve">附件3：                    中小企业声明函（工程） </w:t>
      </w:r>
    </w:p>
    <w:p>
      <w:pPr>
        <w:widowControl/>
        <w:spacing w:line="360" w:lineRule="auto"/>
        <w:ind w:firstLine="480" w:firstLineChars="200"/>
        <w:jc w:val="left"/>
        <w:rPr>
          <w:rFonts w:ascii="宋体" w:hAnsi="宋体" w:cs="宋体"/>
          <w:color w:val="000000"/>
          <w:kern w:val="0"/>
          <w:sz w:val="24"/>
          <w:szCs w:val="24"/>
          <w:highlight w:val="none"/>
          <w:lang w:bidi="ar"/>
        </w:rPr>
      </w:pPr>
    </w:p>
    <w:p>
      <w:pPr>
        <w:widowControl/>
        <w:spacing w:line="360" w:lineRule="auto"/>
        <w:ind w:firstLine="420" w:firstLineChars="200"/>
        <w:jc w:val="left"/>
        <w:rPr>
          <w:rFonts w:ascii="宋体" w:hAnsi="宋体" w:cs="宋体"/>
          <w:szCs w:val="21"/>
          <w:highlight w:val="none"/>
        </w:rPr>
      </w:pPr>
      <w:r>
        <w:rPr>
          <w:rFonts w:hint="eastAsia" w:ascii="宋体" w:hAnsi="宋体" w:cs="宋体"/>
          <w:color w:val="000000"/>
          <w:kern w:val="0"/>
          <w:szCs w:val="21"/>
          <w:highlight w:val="none"/>
          <w:lang w:bidi="ar"/>
        </w:rPr>
        <w:t>本公司（联合体）郑重声明，根据《政府采购促进中小企业发展管理办法》（财库﹝2020﹞46 号）的规定，本公司（联合体）参加</w:t>
      </w:r>
      <w:r>
        <w:rPr>
          <w:rFonts w:hint="eastAsia" w:ascii="宋体" w:hAnsi="宋体" w:cs="宋体"/>
          <w:color w:val="000000"/>
          <w:kern w:val="0"/>
          <w:szCs w:val="21"/>
          <w:highlight w:val="none"/>
          <w:u w:val="single"/>
          <w:lang w:bidi="ar"/>
        </w:rPr>
        <w:t xml:space="preserve">（单位名称）    </w:t>
      </w:r>
      <w:r>
        <w:rPr>
          <w:rFonts w:hint="eastAsia" w:ascii="宋体" w:hAnsi="宋体" w:cs="宋体"/>
          <w:color w:val="000000"/>
          <w:kern w:val="0"/>
          <w:szCs w:val="21"/>
          <w:highlight w:val="none"/>
          <w:lang w:bidi="ar"/>
        </w:rPr>
        <w:t>的</w:t>
      </w:r>
      <w:r>
        <w:rPr>
          <w:rFonts w:hint="eastAsia" w:ascii="宋体" w:hAnsi="宋体" w:cs="宋体"/>
          <w:color w:val="000000"/>
          <w:kern w:val="0"/>
          <w:szCs w:val="21"/>
          <w:highlight w:val="none"/>
          <w:u w:val="single"/>
          <w:lang w:bidi="ar"/>
        </w:rPr>
        <w:t>（项目名称）</w:t>
      </w:r>
      <w:r>
        <w:rPr>
          <w:rFonts w:hint="eastAsia" w:ascii="宋体" w:hAnsi="宋体" w:cs="宋体"/>
          <w:color w:val="000000"/>
          <w:kern w:val="0"/>
          <w:szCs w:val="21"/>
          <w:highlight w:val="none"/>
          <w:lang w:bidi="ar"/>
        </w:rPr>
        <w:t xml:space="preserve">采购活动，提供的货物全部由符合政策要求的中小企业制造。相关企业（含联合体中的中小企业、签订分包意向协议的中小企业）的具体情况如下： </w:t>
      </w:r>
    </w:p>
    <w:p>
      <w:pPr>
        <w:widowControl/>
        <w:spacing w:line="360" w:lineRule="auto"/>
        <w:jc w:val="left"/>
        <w:rPr>
          <w:rFonts w:ascii="宋体" w:hAnsi="宋体" w:cs="宋体"/>
          <w:szCs w:val="21"/>
          <w:highlight w:val="none"/>
        </w:rPr>
      </w:pPr>
      <w:r>
        <w:rPr>
          <w:rFonts w:hint="eastAsia" w:ascii="宋体" w:hAnsi="宋体" w:cs="宋体"/>
          <w:color w:val="000000"/>
          <w:kern w:val="0"/>
          <w:szCs w:val="21"/>
          <w:highlight w:val="none"/>
          <w:lang w:bidi="ar"/>
        </w:rPr>
        <w:t>1.</w:t>
      </w:r>
      <w:r>
        <w:rPr>
          <w:rFonts w:hint="eastAsia" w:ascii="宋体" w:hAnsi="宋体" w:cs="宋体"/>
          <w:color w:val="000000"/>
          <w:kern w:val="0"/>
          <w:szCs w:val="21"/>
          <w:highlight w:val="none"/>
          <w:u w:val="single"/>
          <w:lang w:bidi="ar"/>
        </w:rPr>
        <w:t xml:space="preserve"> （标的名称）    </w:t>
      </w:r>
      <w:r>
        <w:rPr>
          <w:rFonts w:hint="eastAsia" w:ascii="宋体" w:hAnsi="宋体" w:cs="宋体"/>
          <w:color w:val="000000"/>
          <w:kern w:val="0"/>
          <w:szCs w:val="21"/>
          <w:highlight w:val="none"/>
          <w:lang w:bidi="ar"/>
        </w:rPr>
        <w:t>，属于</w:t>
      </w:r>
      <w:r>
        <w:rPr>
          <w:rFonts w:hint="eastAsia" w:ascii="宋体" w:hAnsi="宋体" w:cs="宋体"/>
          <w:color w:val="000000"/>
          <w:kern w:val="0"/>
          <w:szCs w:val="21"/>
          <w:highlight w:val="none"/>
          <w:u w:val="single"/>
          <w:lang w:bidi="ar"/>
        </w:rPr>
        <w:t>（采购文件中明确的所属行业）行业</w:t>
      </w:r>
      <w:r>
        <w:rPr>
          <w:rFonts w:hint="eastAsia" w:ascii="宋体" w:hAnsi="宋体" w:cs="宋体"/>
          <w:color w:val="000000"/>
          <w:kern w:val="0"/>
          <w:szCs w:val="21"/>
          <w:highlight w:val="none"/>
          <w:lang w:bidi="ar"/>
        </w:rPr>
        <w:t>；制造商为</w:t>
      </w:r>
      <w:r>
        <w:rPr>
          <w:rFonts w:hint="eastAsia" w:ascii="宋体" w:hAnsi="宋体" w:cs="宋体"/>
          <w:color w:val="000000"/>
          <w:kern w:val="0"/>
          <w:szCs w:val="21"/>
          <w:highlight w:val="none"/>
          <w:u w:val="single"/>
          <w:lang w:bidi="ar"/>
        </w:rPr>
        <w:t xml:space="preserve">（企业名称）  </w:t>
      </w:r>
      <w:r>
        <w:rPr>
          <w:rFonts w:hint="eastAsia" w:ascii="宋体" w:hAnsi="宋体" w:cs="宋体"/>
          <w:color w:val="000000"/>
          <w:kern w:val="0"/>
          <w:szCs w:val="21"/>
          <w:highlight w:val="none"/>
          <w:lang w:bidi="ar"/>
        </w:rPr>
        <w:t>，从业人员</w:t>
      </w:r>
      <w:r>
        <w:rPr>
          <w:rFonts w:hint="eastAsia" w:ascii="宋体" w:hAnsi="宋体" w:cs="宋体"/>
          <w:color w:val="000000"/>
          <w:kern w:val="0"/>
          <w:szCs w:val="21"/>
          <w:highlight w:val="none"/>
          <w:u w:val="single"/>
          <w:lang w:bidi="ar"/>
        </w:rPr>
        <w:t xml:space="preserve">    </w:t>
      </w:r>
      <w:r>
        <w:rPr>
          <w:rFonts w:hint="eastAsia" w:ascii="宋体" w:hAnsi="宋体" w:cs="宋体"/>
          <w:color w:val="000000"/>
          <w:kern w:val="0"/>
          <w:szCs w:val="21"/>
          <w:highlight w:val="none"/>
          <w:lang w:bidi="ar"/>
        </w:rPr>
        <w:t>人，营业收入为</w:t>
      </w:r>
      <w:r>
        <w:rPr>
          <w:rFonts w:hint="eastAsia" w:ascii="宋体" w:hAnsi="宋体" w:cs="宋体"/>
          <w:color w:val="000000"/>
          <w:kern w:val="0"/>
          <w:szCs w:val="21"/>
          <w:highlight w:val="none"/>
          <w:u w:val="single"/>
          <w:lang w:bidi="ar"/>
        </w:rPr>
        <w:t xml:space="preserve">    </w:t>
      </w:r>
      <w:r>
        <w:rPr>
          <w:rFonts w:hint="eastAsia" w:ascii="宋体" w:hAnsi="宋体" w:cs="宋体"/>
          <w:color w:val="000000"/>
          <w:kern w:val="0"/>
          <w:szCs w:val="21"/>
          <w:highlight w:val="none"/>
          <w:lang w:bidi="ar"/>
        </w:rPr>
        <w:t>万元，资产总额为</w:t>
      </w:r>
      <w:r>
        <w:rPr>
          <w:rFonts w:hint="eastAsia" w:ascii="宋体" w:hAnsi="宋体" w:cs="宋体"/>
          <w:color w:val="000000"/>
          <w:kern w:val="0"/>
          <w:szCs w:val="21"/>
          <w:highlight w:val="none"/>
          <w:u w:val="single"/>
          <w:lang w:bidi="ar"/>
        </w:rPr>
        <w:t xml:space="preserve">     </w:t>
      </w:r>
      <w:r>
        <w:rPr>
          <w:rFonts w:hint="eastAsia" w:ascii="宋体" w:hAnsi="宋体" w:cs="宋体"/>
          <w:color w:val="000000"/>
          <w:kern w:val="0"/>
          <w:szCs w:val="21"/>
          <w:highlight w:val="none"/>
          <w:lang w:bidi="ar"/>
        </w:rPr>
        <w:t>万元，属于</w:t>
      </w:r>
      <w:r>
        <w:rPr>
          <w:rFonts w:hint="eastAsia" w:ascii="宋体" w:hAnsi="宋体" w:cs="宋体"/>
          <w:color w:val="000000"/>
          <w:kern w:val="0"/>
          <w:szCs w:val="21"/>
          <w:highlight w:val="none"/>
          <w:u w:val="single"/>
          <w:lang w:bidi="ar"/>
        </w:rPr>
        <w:t>（中型企业、小型企业、微型企业）</w:t>
      </w:r>
      <w:r>
        <w:rPr>
          <w:rFonts w:hint="eastAsia" w:ascii="宋体" w:hAnsi="宋体" w:cs="宋体"/>
          <w:color w:val="000000"/>
          <w:kern w:val="0"/>
          <w:szCs w:val="21"/>
          <w:highlight w:val="none"/>
          <w:lang w:bidi="ar"/>
        </w:rPr>
        <w:t xml:space="preserve">； </w:t>
      </w:r>
    </w:p>
    <w:p>
      <w:pPr>
        <w:widowControl/>
        <w:spacing w:line="360" w:lineRule="auto"/>
        <w:jc w:val="left"/>
        <w:rPr>
          <w:rFonts w:ascii="宋体" w:hAnsi="宋体" w:cs="宋体"/>
          <w:szCs w:val="21"/>
          <w:highlight w:val="none"/>
        </w:rPr>
      </w:pPr>
      <w:r>
        <w:rPr>
          <w:rFonts w:hint="eastAsia" w:ascii="宋体" w:hAnsi="宋体" w:cs="宋体"/>
          <w:color w:val="000000"/>
          <w:kern w:val="0"/>
          <w:szCs w:val="21"/>
          <w:highlight w:val="none"/>
          <w:lang w:bidi="ar"/>
        </w:rPr>
        <w:t>2.</w:t>
      </w:r>
      <w:r>
        <w:rPr>
          <w:rFonts w:hint="eastAsia" w:ascii="宋体" w:hAnsi="宋体" w:cs="宋体"/>
          <w:color w:val="000000"/>
          <w:kern w:val="0"/>
          <w:szCs w:val="21"/>
          <w:highlight w:val="none"/>
          <w:u w:val="single"/>
          <w:lang w:bidi="ar"/>
        </w:rPr>
        <w:t xml:space="preserve"> （标的名称）    </w:t>
      </w:r>
      <w:r>
        <w:rPr>
          <w:rFonts w:hint="eastAsia" w:ascii="宋体" w:hAnsi="宋体" w:cs="宋体"/>
          <w:color w:val="000000"/>
          <w:kern w:val="0"/>
          <w:szCs w:val="21"/>
          <w:highlight w:val="none"/>
          <w:lang w:bidi="ar"/>
        </w:rPr>
        <w:t>，属于</w:t>
      </w:r>
      <w:r>
        <w:rPr>
          <w:rFonts w:hint="eastAsia" w:ascii="宋体" w:hAnsi="宋体" w:cs="宋体"/>
          <w:color w:val="000000"/>
          <w:kern w:val="0"/>
          <w:szCs w:val="21"/>
          <w:highlight w:val="none"/>
          <w:u w:val="single"/>
          <w:lang w:bidi="ar"/>
        </w:rPr>
        <w:t>（采购文件中明确的所属行业）行业</w:t>
      </w:r>
      <w:r>
        <w:rPr>
          <w:rFonts w:hint="eastAsia" w:ascii="宋体" w:hAnsi="宋体" w:cs="宋体"/>
          <w:color w:val="000000"/>
          <w:kern w:val="0"/>
          <w:szCs w:val="21"/>
          <w:highlight w:val="none"/>
          <w:lang w:bidi="ar"/>
        </w:rPr>
        <w:t>；制造商为</w:t>
      </w:r>
      <w:r>
        <w:rPr>
          <w:rFonts w:hint="eastAsia" w:ascii="宋体" w:hAnsi="宋体" w:cs="宋体"/>
          <w:color w:val="000000"/>
          <w:kern w:val="0"/>
          <w:szCs w:val="21"/>
          <w:highlight w:val="none"/>
          <w:u w:val="single"/>
          <w:lang w:bidi="ar"/>
        </w:rPr>
        <w:t xml:space="preserve">（企业名称）  </w:t>
      </w:r>
      <w:r>
        <w:rPr>
          <w:rFonts w:hint="eastAsia" w:ascii="宋体" w:hAnsi="宋体" w:cs="宋体"/>
          <w:color w:val="000000"/>
          <w:kern w:val="0"/>
          <w:szCs w:val="21"/>
          <w:highlight w:val="none"/>
          <w:lang w:bidi="ar"/>
        </w:rPr>
        <w:t>，从业人员</w:t>
      </w:r>
      <w:r>
        <w:rPr>
          <w:rFonts w:hint="eastAsia" w:ascii="宋体" w:hAnsi="宋体" w:cs="宋体"/>
          <w:color w:val="000000"/>
          <w:kern w:val="0"/>
          <w:szCs w:val="21"/>
          <w:highlight w:val="none"/>
          <w:u w:val="single"/>
          <w:lang w:bidi="ar"/>
        </w:rPr>
        <w:t xml:space="preserve">     </w:t>
      </w:r>
      <w:r>
        <w:rPr>
          <w:rFonts w:hint="eastAsia" w:ascii="宋体" w:hAnsi="宋体" w:cs="宋体"/>
          <w:color w:val="000000"/>
          <w:kern w:val="0"/>
          <w:szCs w:val="21"/>
          <w:highlight w:val="none"/>
          <w:lang w:bidi="ar"/>
        </w:rPr>
        <w:t>人，营业收入为</w:t>
      </w:r>
      <w:r>
        <w:rPr>
          <w:rFonts w:hint="eastAsia" w:ascii="宋体" w:hAnsi="宋体" w:cs="宋体"/>
          <w:color w:val="000000"/>
          <w:kern w:val="0"/>
          <w:szCs w:val="21"/>
          <w:highlight w:val="none"/>
          <w:u w:val="single"/>
          <w:lang w:bidi="ar"/>
        </w:rPr>
        <w:t xml:space="preserve">     </w:t>
      </w:r>
      <w:r>
        <w:rPr>
          <w:rFonts w:hint="eastAsia" w:ascii="宋体" w:hAnsi="宋体" w:cs="宋体"/>
          <w:color w:val="000000"/>
          <w:kern w:val="0"/>
          <w:szCs w:val="21"/>
          <w:highlight w:val="none"/>
          <w:lang w:bidi="ar"/>
        </w:rPr>
        <w:t>万元，资产总额为</w:t>
      </w:r>
      <w:r>
        <w:rPr>
          <w:rFonts w:hint="eastAsia" w:ascii="宋体" w:hAnsi="宋体" w:cs="宋体"/>
          <w:color w:val="000000"/>
          <w:kern w:val="0"/>
          <w:szCs w:val="21"/>
          <w:highlight w:val="none"/>
          <w:u w:val="single"/>
          <w:lang w:bidi="ar"/>
        </w:rPr>
        <w:t xml:space="preserve">     </w:t>
      </w:r>
      <w:r>
        <w:rPr>
          <w:rFonts w:hint="eastAsia" w:ascii="宋体" w:hAnsi="宋体" w:cs="宋体"/>
          <w:color w:val="000000"/>
          <w:kern w:val="0"/>
          <w:szCs w:val="21"/>
          <w:highlight w:val="none"/>
          <w:lang w:bidi="ar"/>
        </w:rPr>
        <w:t>万元，属于</w:t>
      </w:r>
      <w:r>
        <w:rPr>
          <w:rFonts w:hint="eastAsia" w:ascii="宋体" w:hAnsi="宋体" w:cs="宋体"/>
          <w:color w:val="000000"/>
          <w:kern w:val="0"/>
          <w:szCs w:val="21"/>
          <w:highlight w:val="none"/>
          <w:u w:val="single"/>
          <w:lang w:bidi="ar"/>
        </w:rPr>
        <w:t>（中型企业、小型 企业、微型企业）</w:t>
      </w:r>
      <w:r>
        <w:rPr>
          <w:rFonts w:hint="eastAsia" w:ascii="宋体" w:hAnsi="宋体" w:cs="宋体"/>
          <w:color w:val="000000"/>
          <w:kern w:val="0"/>
          <w:szCs w:val="21"/>
          <w:highlight w:val="none"/>
          <w:lang w:bidi="ar"/>
        </w:rPr>
        <w:t xml:space="preserve">； </w:t>
      </w:r>
    </w:p>
    <w:p>
      <w:pPr>
        <w:widowControl/>
        <w:spacing w:line="360" w:lineRule="auto"/>
        <w:ind w:firstLine="420" w:firstLineChars="200"/>
        <w:jc w:val="left"/>
        <w:rPr>
          <w:rFonts w:ascii="宋体" w:hAnsi="宋体" w:cs="宋体"/>
          <w:szCs w:val="21"/>
          <w:highlight w:val="none"/>
        </w:rPr>
      </w:pPr>
      <w:r>
        <w:rPr>
          <w:rFonts w:hint="eastAsia" w:ascii="宋体" w:hAnsi="宋体" w:cs="宋体"/>
          <w:color w:val="000000"/>
          <w:kern w:val="0"/>
          <w:szCs w:val="21"/>
          <w:highlight w:val="none"/>
          <w:lang w:bidi="ar"/>
        </w:rPr>
        <w:t>……</w:t>
      </w:r>
    </w:p>
    <w:p>
      <w:pPr>
        <w:widowControl/>
        <w:spacing w:line="360" w:lineRule="auto"/>
        <w:ind w:firstLine="420" w:firstLineChars="200"/>
        <w:jc w:val="left"/>
        <w:rPr>
          <w:rFonts w:ascii="宋体" w:hAnsi="宋体" w:cs="宋体"/>
          <w:szCs w:val="21"/>
          <w:highlight w:val="none"/>
        </w:rPr>
      </w:pPr>
      <w:r>
        <w:rPr>
          <w:rFonts w:hint="eastAsia" w:ascii="宋体" w:hAnsi="宋体" w:cs="宋体"/>
          <w:color w:val="000000"/>
          <w:kern w:val="0"/>
          <w:szCs w:val="21"/>
          <w:highlight w:val="none"/>
          <w:lang w:bidi="ar"/>
        </w:rPr>
        <w:t>以上企业，不属于大企业的分支机构，不存在控股股东为大企业的情形，也不存在与大企业的负责人为同一人的情形。</w:t>
      </w:r>
    </w:p>
    <w:p>
      <w:pPr>
        <w:widowControl/>
        <w:spacing w:line="360" w:lineRule="auto"/>
        <w:ind w:firstLine="420" w:firstLineChars="200"/>
        <w:jc w:val="left"/>
        <w:rPr>
          <w:rFonts w:ascii="宋体" w:hAnsi="宋体" w:cs="宋体"/>
          <w:szCs w:val="21"/>
          <w:highlight w:val="none"/>
        </w:rPr>
      </w:pPr>
      <w:r>
        <w:rPr>
          <w:rFonts w:hint="eastAsia" w:ascii="宋体" w:hAnsi="宋体" w:cs="宋体"/>
          <w:color w:val="000000"/>
          <w:kern w:val="0"/>
          <w:szCs w:val="21"/>
          <w:highlight w:val="none"/>
          <w:lang w:bidi="ar"/>
        </w:rPr>
        <w:t xml:space="preserve">本企业对上述声明内容的真实性负责。如有虚假，将依法承担相应责任。 </w:t>
      </w:r>
    </w:p>
    <w:p>
      <w:pPr>
        <w:tabs>
          <w:tab w:val="left" w:pos="4860"/>
        </w:tabs>
        <w:spacing w:line="360" w:lineRule="auto"/>
        <w:ind w:right="1560" w:firstLine="444" w:firstLineChars="200"/>
        <w:jc w:val="center"/>
        <w:rPr>
          <w:rFonts w:ascii="宋体" w:hAnsi="宋体"/>
          <w:spacing w:val="6"/>
          <w:szCs w:val="21"/>
          <w:highlight w:val="none"/>
        </w:rPr>
      </w:pPr>
    </w:p>
    <w:p>
      <w:pPr>
        <w:tabs>
          <w:tab w:val="left" w:pos="4860"/>
        </w:tabs>
        <w:spacing w:line="360" w:lineRule="auto"/>
        <w:ind w:right="1560" w:firstLine="444" w:firstLineChars="200"/>
        <w:jc w:val="center"/>
        <w:rPr>
          <w:rFonts w:ascii="宋体" w:hAnsi="宋体"/>
          <w:spacing w:val="6"/>
          <w:szCs w:val="21"/>
          <w:highlight w:val="none"/>
        </w:rPr>
      </w:pPr>
    </w:p>
    <w:p>
      <w:pPr>
        <w:tabs>
          <w:tab w:val="left" w:pos="4860"/>
        </w:tabs>
        <w:spacing w:line="360" w:lineRule="auto"/>
        <w:ind w:right="1560" w:firstLine="444" w:firstLineChars="200"/>
        <w:jc w:val="center"/>
        <w:rPr>
          <w:rFonts w:ascii="宋体" w:hAnsi="宋体"/>
          <w:spacing w:val="6"/>
          <w:szCs w:val="21"/>
          <w:highlight w:val="none"/>
        </w:rPr>
      </w:pPr>
      <w:r>
        <w:rPr>
          <w:rFonts w:hint="eastAsia" w:ascii="宋体" w:hAnsi="宋体"/>
          <w:spacing w:val="6"/>
          <w:szCs w:val="21"/>
          <w:highlight w:val="none"/>
        </w:rPr>
        <w:t xml:space="preserve">                单位名称（盖章）：</w:t>
      </w:r>
    </w:p>
    <w:p>
      <w:pPr>
        <w:tabs>
          <w:tab w:val="left" w:pos="4860"/>
        </w:tabs>
        <w:spacing w:line="360" w:lineRule="auto"/>
        <w:ind w:right="1560" w:firstLine="444" w:firstLineChars="200"/>
        <w:jc w:val="center"/>
        <w:rPr>
          <w:rFonts w:ascii="宋体" w:hAnsi="宋体"/>
          <w:szCs w:val="21"/>
          <w:highlight w:val="none"/>
        </w:rPr>
      </w:pPr>
      <w:r>
        <w:rPr>
          <w:rFonts w:ascii="宋体" w:hAnsi="宋体"/>
          <w:spacing w:val="6"/>
          <w:szCs w:val="21"/>
          <w:highlight w:val="none"/>
        </w:rPr>
        <w:t xml:space="preserve">       </w:t>
      </w:r>
      <w:r>
        <w:rPr>
          <w:rFonts w:hint="eastAsia" w:ascii="宋体" w:hAnsi="宋体"/>
          <w:spacing w:val="6"/>
          <w:szCs w:val="21"/>
          <w:highlight w:val="none"/>
        </w:rPr>
        <w:t>日</w:t>
      </w:r>
      <w:r>
        <w:rPr>
          <w:rFonts w:ascii="宋体" w:hAnsi="宋体"/>
          <w:spacing w:val="6"/>
          <w:szCs w:val="21"/>
          <w:highlight w:val="none"/>
        </w:rPr>
        <w:t xml:space="preserve">  </w:t>
      </w:r>
      <w:r>
        <w:rPr>
          <w:rFonts w:hint="eastAsia" w:ascii="宋体" w:hAnsi="宋体"/>
          <w:spacing w:val="6"/>
          <w:szCs w:val="21"/>
          <w:highlight w:val="none"/>
        </w:rPr>
        <w:t>期：</w:t>
      </w:r>
    </w:p>
    <w:p>
      <w:pPr>
        <w:pStyle w:val="2"/>
        <w:rPr>
          <w:rFonts w:ascii="宋体" w:hAnsi="宋体" w:cs="宋体"/>
          <w:color w:val="000000"/>
          <w:sz w:val="24"/>
          <w:szCs w:val="24"/>
          <w:highlight w:val="none"/>
          <w:lang w:bidi="ar"/>
        </w:rPr>
      </w:pPr>
    </w:p>
    <w:p>
      <w:pPr>
        <w:pStyle w:val="2"/>
        <w:rPr>
          <w:rFonts w:ascii="宋体" w:hAnsi="宋体" w:cs="宋体"/>
          <w:color w:val="000000"/>
          <w:sz w:val="24"/>
          <w:szCs w:val="24"/>
          <w:highlight w:val="none"/>
          <w:lang w:bidi="ar"/>
        </w:rPr>
      </w:pPr>
    </w:p>
    <w:p>
      <w:pPr>
        <w:pStyle w:val="2"/>
        <w:rPr>
          <w:rFonts w:ascii="宋体" w:hAnsi="宋体" w:cs="宋体"/>
          <w:color w:val="000000"/>
          <w:sz w:val="24"/>
          <w:szCs w:val="24"/>
          <w:highlight w:val="none"/>
          <w:lang w:bidi="ar"/>
        </w:rPr>
      </w:pPr>
    </w:p>
    <w:p>
      <w:pPr>
        <w:pStyle w:val="2"/>
        <w:rPr>
          <w:rFonts w:ascii="宋体" w:hAnsi="宋体" w:cs="宋体"/>
          <w:color w:val="000000"/>
          <w:sz w:val="24"/>
          <w:szCs w:val="24"/>
          <w:highlight w:val="none"/>
          <w:lang w:bidi="ar"/>
        </w:rPr>
      </w:pPr>
    </w:p>
    <w:p>
      <w:pPr>
        <w:pStyle w:val="2"/>
        <w:rPr>
          <w:rFonts w:ascii="宋体" w:hAnsi="宋体" w:cs="宋体"/>
          <w:color w:val="000000"/>
          <w:sz w:val="24"/>
          <w:szCs w:val="24"/>
          <w:highlight w:val="none"/>
          <w:lang w:bidi="ar"/>
        </w:rPr>
      </w:pPr>
    </w:p>
    <w:p>
      <w:pPr>
        <w:pStyle w:val="2"/>
        <w:rPr>
          <w:rFonts w:ascii="宋体" w:hAnsi="宋体" w:cs="宋体"/>
          <w:color w:val="000000"/>
          <w:sz w:val="24"/>
          <w:szCs w:val="24"/>
          <w:highlight w:val="none"/>
          <w:lang w:bidi="ar"/>
        </w:rPr>
      </w:pPr>
    </w:p>
    <w:p>
      <w:pPr>
        <w:pStyle w:val="2"/>
        <w:rPr>
          <w:rFonts w:ascii="宋体" w:hAnsi="宋体" w:cs="宋体"/>
          <w:color w:val="000000"/>
          <w:sz w:val="24"/>
          <w:szCs w:val="24"/>
          <w:highlight w:val="none"/>
          <w:lang w:bidi="ar"/>
        </w:rPr>
      </w:pPr>
    </w:p>
    <w:p>
      <w:pPr>
        <w:pStyle w:val="2"/>
        <w:rPr>
          <w:rFonts w:ascii="宋体" w:hAnsi="宋体" w:cs="宋体"/>
          <w:color w:val="000000"/>
          <w:sz w:val="24"/>
          <w:szCs w:val="24"/>
          <w:highlight w:val="none"/>
          <w:lang w:bidi="ar"/>
        </w:rPr>
      </w:pPr>
    </w:p>
    <w:p>
      <w:pPr>
        <w:pStyle w:val="2"/>
        <w:rPr>
          <w:rFonts w:ascii="宋体" w:hAnsi="宋体" w:cs="宋体"/>
          <w:color w:val="000000"/>
          <w:sz w:val="24"/>
          <w:szCs w:val="24"/>
          <w:highlight w:val="none"/>
          <w:lang w:bidi="ar"/>
        </w:rPr>
      </w:pPr>
    </w:p>
    <w:p>
      <w:pPr>
        <w:pStyle w:val="2"/>
        <w:rPr>
          <w:rFonts w:ascii="宋体" w:hAnsi="宋体" w:cs="宋体"/>
          <w:color w:val="000000"/>
          <w:sz w:val="24"/>
          <w:szCs w:val="24"/>
          <w:highlight w:val="none"/>
          <w:lang w:bidi="ar"/>
        </w:rPr>
      </w:pPr>
    </w:p>
    <w:p>
      <w:pPr>
        <w:pStyle w:val="2"/>
        <w:rPr>
          <w:rFonts w:ascii="宋体" w:hAnsi="宋体" w:cs="宋体"/>
          <w:color w:val="000000"/>
          <w:sz w:val="24"/>
          <w:szCs w:val="24"/>
          <w:highlight w:val="none"/>
          <w:lang w:bidi="ar"/>
        </w:rPr>
      </w:pPr>
    </w:p>
    <w:p>
      <w:pPr>
        <w:pStyle w:val="2"/>
        <w:rPr>
          <w:rFonts w:ascii="宋体" w:hAnsi="宋体" w:cs="宋体"/>
          <w:color w:val="000000"/>
          <w:sz w:val="24"/>
          <w:szCs w:val="24"/>
          <w:highlight w:val="none"/>
          <w:lang w:bidi="ar"/>
        </w:rPr>
      </w:pPr>
    </w:p>
    <w:p>
      <w:pPr>
        <w:pStyle w:val="2"/>
        <w:rPr>
          <w:rFonts w:ascii="宋体" w:hAnsi="宋体" w:cs="宋体"/>
          <w:color w:val="000000"/>
          <w:sz w:val="24"/>
          <w:szCs w:val="24"/>
          <w:highlight w:val="none"/>
          <w:lang w:bidi="ar"/>
        </w:rPr>
      </w:pPr>
    </w:p>
    <w:p>
      <w:pPr>
        <w:pStyle w:val="2"/>
        <w:rPr>
          <w:rFonts w:ascii="宋体" w:hAnsi="宋体" w:cs="宋体"/>
          <w:color w:val="000000"/>
          <w:sz w:val="24"/>
          <w:szCs w:val="24"/>
          <w:highlight w:val="none"/>
          <w:lang w:bidi="ar"/>
        </w:rPr>
      </w:pPr>
    </w:p>
    <w:p>
      <w:pPr>
        <w:adjustRightInd w:val="0"/>
        <w:snapToGrid w:val="0"/>
        <w:ind w:firstLine="360" w:firstLineChars="200"/>
        <w:rPr>
          <w:rFonts w:ascii="宋体" w:hAnsi="宋体"/>
          <w:bCs/>
          <w:sz w:val="18"/>
          <w:szCs w:val="18"/>
          <w:highlight w:val="none"/>
        </w:rPr>
      </w:pPr>
      <w:r>
        <w:rPr>
          <w:rFonts w:hint="eastAsia" w:ascii="宋体" w:hAnsi="宋体"/>
          <w:bCs/>
          <w:sz w:val="18"/>
          <w:szCs w:val="18"/>
          <w:highlight w:val="none"/>
        </w:rPr>
        <w:t>注：1.从业人员、营业收入、资产总额填报上一年度数据，无上一年度数据的新成立企业可不填报。</w:t>
      </w:r>
    </w:p>
    <w:p>
      <w:pPr>
        <w:adjustRightInd w:val="0"/>
        <w:snapToGrid w:val="0"/>
        <w:ind w:firstLine="720" w:firstLineChars="400"/>
        <w:rPr>
          <w:rFonts w:ascii="宋体" w:hAnsi="宋体"/>
          <w:bCs/>
          <w:sz w:val="18"/>
          <w:szCs w:val="18"/>
          <w:highlight w:val="none"/>
        </w:rPr>
      </w:pPr>
      <w:r>
        <w:rPr>
          <w:rFonts w:hint="eastAsia" w:ascii="宋体" w:hAnsi="宋体"/>
          <w:bCs/>
          <w:sz w:val="18"/>
          <w:szCs w:val="18"/>
          <w:highlight w:val="none"/>
        </w:rPr>
        <w:t>2.未按上述要求提供、填写的，评审时不予以考虑。</w:t>
      </w:r>
    </w:p>
    <w:p>
      <w:pPr>
        <w:pStyle w:val="15"/>
        <w:adjustRightInd w:val="0"/>
        <w:snapToGrid w:val="0"/>
        <w:spacing w:before="120" w:beforeLines="50" w:line="360" w:lineRule="auto"/>
        <w:rPr>
          <w:rFonts w:hAnsi="宋体"/>
          <w:b/>
          <w:sz w:val="24"/>
          <w:szCs w:val="24"/>
          <w:highlight w:val="none"/>
        </w:rPr>
      </w:pPr>
    </w:p>
    <w:p>
      <w:pPr>
        <w:pStyle w:val="15"/>
        <w:adjustRightInd w:val="0"/>
        <w:snapToGrid w:val="0"/>
        <w:spacing w:before="120" w:beforeLines="50" w:line="360" w:lineRule="auto"/>
        <w:rPr>
          <w:rFonts w:hAnsi="宋体"/>
          <w:b/>
          <w:sz w:val="24"/>
          <w:szCs w:val="24"/>
          <w:highlight w:val="none"/>
        </w:rPr>
      </w:pPr>
      <w:r>
        <w:rPr>
          <w:rFonts w:hint="eastAsia" w:hAnsi="宋体"/>
          <w:b/>
          <w:sz w:val="24"/>
          <w:szCs w:val="24"/>
          <w:highlight w:val="none"/>
        </w:rPr>
        <w:t>附件</w:t>
      </w:r>
      <w:bookmarkStart w:id="617" w:name="OLE_LINK13"/>
      <w:bookmarkStart w:id="618" w:name="OLE_LINK14"/>
      <w:r>
        <w:rPr>
          <w:rFonts w:hint="eastAsia" w:hAnsi="宋体"/>
          <w:b/>
          <w:sz w:val="24"/>
          <w:szCs w:val="24"/>
          <w:highlight w:val="none"/>
        </w:rPr>
        <w:t>4：                残疾人福利性单位声明函</w:t>
      </w:r>
    </w:p>
    <w:bookmarkEnd w:id="617"/>
    <w:bookmarkEnd w:id="618"/>
    <w:p>
      <w:pPr>
        <w:spacing w:line="588" w:lineRule="exact"/>
        <w:rPr>
          <w:rFonts w:ascii="宋体" w:hAnsi="宋体"/>
          <w:b/>
          <w:spacing w:val="6"/>
          <w:sz w:val="30"/>
          <w:szCs w:val="30"/>
          <w:highlight w:val="none"/>
        </w:rPr>
      </w:pPr>
    </w:p>
    <w:p>
      <w:pPr>
        <w:spacing w:line="360" w:lineRule="auto"/>
        <w:ind w:firstLine="444" w:firstLineChars="200"/>
        <w:rPr>
          <w:rFonts w:ascii="宋体" w:hAnsi="宋体"/>
          <w:spacing w:val="6"/>
          <w:szCs w:val="21"/>
          <w:highlight w:val="none"/>
        </w:rPr>
      </w:pPr>
      <w:r>
        <w:rPr>
          <w:rFonts w:hint="eastAsia" w:ascii="宋体" w:hAnsi="宋体"/>
          <w:spacing w:val="6"/>
          <w:szCs w:val="21"/>
          <w:highlight w:val="none"/>
        </w:rPr>
        <w:t>本单位郑重声明，根据《财政部</w:t>
      </w:r>
      <w:r>
        <w:rPr>
          <w:rFonts w:ascii="宋体" w:hAnsi="宋体"/>
          <w:spacing w:val="6"/>
          <w:szCs w:val="21"/>
          <w:highlight w:val="none"/>
        </w:rPr>
        <w:t xml:space="preserve"> </w:t>
      </w:r>
      <w:r>
        <w:rPr>
          <w:rFonts w:hint="eastAsia" w:ascii="宋体" w:hAnsi="宋体"/>
          <w:spacing w:val="6"/>
          <w:szCs w:val="21"/>
          <w:highlight w:val="none"/>
        </w:rPr>
        <w:t>民政部</w:t>
      </w:r>
      <w:r>
        <w:rPr>
          <w:rFonts w:ascii="宋体" w:hAnsi="宋体"/>
          <w:spacing w:val="6"/>
          <w:szCs w:val="21"/>
          <w:highlight w:val="none"/>
        </w:rPr>
        <w:t xml:space="preserve"> </w:t>
      </w:r>
      <w:r>
        <w:rPr>
          <w:rFonts w:hint="eastAsia" w:ascii="宋体" w:hAnsi="宋体"/>
          <w:spacing w:val="6"/>
          <w:szCs w:val="21"/>
          <w:highlight w:val="none"/>
        </w:rPr>
        <w:t>中国残疾人联合会关于促进残疾人就业政府采购政策的通知》（财库</w:t>
      </w:r>
      <w:r>
        <w:rPr>
          <w:rFonts w:hint="eastAsia" w:ascii="宋体" w:hAnsi="宋体"/>
          <w:szCs w:val="21"/>
          <w:highlight w:val="none"/>
        </w:rPr>
        <w:t>〔</w:t>
      </w:r>
      <w:r>
        <w:rPr>
          <w:rFonts w:ascii="宋体" w:hAnsi="宋体"/>
          <w:szCs w:val="21"/>
          <w:highlight w:val="none"/>
        </w:rPr>
        <w:t>2017</w:t>
      </w:r>
      <w:r>
        <w:rPr>
          <w:rFonts w:hint="eastAsia" w:ascii="宋体" w:hAnsi="宋体"/>
          <w:szCs w:val="21"/>
          <w:highlight w:val="none"/>
        </w:rPr>
        <w:t>〕</w:t>
      </w:r>
      <w:r>
        <w:rPr>
          <w:rFonts w:ascii="宋体" w:hAnsi="宋体"/>
          <w:szCs w:val="21"/>
          <w:highlight w:val="none"/>
        </w:rPr>
        <w:t xml:space="preserve"> 141</w:t>
      </w:r>
      <w:r>
        <w:rPr>
          <w:rFonts w:hint="eastAsia" w:ascii="宋体" w:hAnsi="宋体"/>
          <w:spacing w:val="6"/>
          <w:szCs w:val="21"/>
          <w:highlight w:val="none"/>
        </w:rPr>
        <w:t>号）的规定，本单位为符合条件的残疾人福利性单位，且本单位参加</w:t>
      </w:r>
      <w:r>
        <w:rPr>
          <w:rFonts w:hint="eastAsia" w:ascii="宋体" w:hAnsi="宋体"/>
          <w:spacing w:val="6"/>
          <w:szCs w:val="21"/>
          <w:highlight w:val="none"/>
          <w:u w:val="single"/>
        </w:rPr>
        <w:t xml:space="preserve">      </w:t>
      </w:r>
      <w:r>
        <w:rPr>
          <w:rFonts w:hint="eastAsia" w:ascii="宋体" w:hAnsi="宋体"/>
          <w:spacing w:val="6"/>
          <w:szCs w:val="21"/>
          <w:highlight w:val="none"/>
        </w:rPr>
        <w:t>单位的</w:t>
      </w:r>
      <w:r>
        <w:rPr>
          <w:rFonts w:hint="eastAsia" w:ascii="宋体" w:hAnsi="宋体"/>
          <w:spacing w:val="6"/>
          <w:szCs w:val="21"/>
          <w:highlight w:val="none"/>
          <w:u w:val="single"/>
        </w:rPr>
        <w:t xml:space="preserve">     </w:t>
      </w:r>
      <w:r>
        <w:rPr>
          <w:rFonts w:hint="eastAsia" w:ascii="宋体" w:hAnsi="宋体"/>
          <w:spacing w:val="6"/>
          <w:szCs w:val="21"/>
          <w:highlight w:val="none"/>
        </w:rPr>
        <w:t>项目采购活动提供本单位制造的货物（由本单位承担工程</w:t>
      </w:r>
      <w:r>
        <w:rPr>
          <w:rFonts w:ascii="宋体" w:hAnsi="宋体"/>
          <w:spacing w:val="6"/>
          <w:szCs w:val="21"/>
          <w:highlight w:val="none"/>
        </w:rPr>
        <w:t>/</w:t>
      </w:r>
      <w:r>
        <w:rPr>
          <w:rFonts w:hint="eastAsia" w:ascii="宋体" w:hAnsi="宋体"/>
          <w:spacing w:val="6"/>
          <w:szCs w:val="21"/>
          <w:highlight w:val="none"/>
        </w:rPr>
        <w:t>提供服务），或者提供其他残疾人福利性单位制造的货物（不包括使用非残疾人福利性单位注册商标的货物）。</w:t>
      </w:r>
    </w:p>
    <w:p>
      <w:pPr>
        <w:spacing w:line="360" w:lineRule="auto"/>
        <w:ind w:firstLine="444" w:firstLineChars="200"/>
        <w:rPr>
          <w:rFonts w:ascii="宋体" w:hAnsi="宋体"/>
          <w:spacing w:val="6"/>
          <w:szCs w:val="21"/>
          <w:highlight w:val="none"/>
        </w:rPr>
      </w:pPr>
      <w:r>
        <w:rPr>
          <w:rFonts w:hint="eastAsia" w:ascii="宋体" w:hAnsi="宋体"/>
          <w:spacing w:val="6"/>
          <w:szCs w:val="21"/>
          <w:highlight w:val="none"/>
        </w:rPr>
        <w:t>本单位对上述声明的真实性负责。如有虚假，将依法承担相应责任。</w:t>
      </w:r>
    </w:p>
    <w:p>
      <w:pPr>
        <w:spacing w:line="360" w:lineRule="auto"/>
        <w:ind w:firstLine="444" w:firstLineChars="200"/>
        <w:rPr>
          <w:rFonts w:ascii="宋体" w:hAnsi="宋体"/>
          <w:spacing w:val="6"/>
          <w:szCs w:val="21"/>
          <w:highlight w:val="none"/>
        </w:rPr>
      </w:pPr>
    </w:p>
    <w:p>
      <w:pPr>
        <w:spacing w:line="360" w:lineRule="auto"/>
        <w:ind w:firstLine="444" w:firstLineChars="200"/>
        <w:rPr>
          <w:rFonts w:ascii="宋体" w:hAnsi="宋体"/>
          <w:spacing w:val="6"/>
          <w:szCs w:val="21"/>
          <w:highlight w:val="none"/>
        </w:rPr>
      </w:pPr>
    </w:p>
    <w:p>
      <w:pPr>
        <w:tabs>
          <w:tab w:val="left" w:pos="4860"/>
        </w:tabs>
        <w:spacing w:line="360" w:lineRule="auto"/>
        <w:ind w:right="1560" w:firstLine="444" w:firstLineChars="200"/>
        <w:jc w:val="center"/>
        <w:rPr>
          <w:rFonts w:ascii="宋体" w:hAnsi="宋体"/>
          <w:spacing w:val="6"/>
          <w:szCs w:val="21"/>
          <w:highlight w:val="none"/>
        </w:rPr>
      </w:pPr>
      <w:r>
        <w:rPr>
          <w:rFonts w:ascii="宋体" w:hAnsi="宋体"/>
          <w:spacing w:val="6"/>
          <w:szCs w:val="21"/>
          <w:highlight w:val="none"/>
        </w:rPr>
        <w:t xml:space="preserve">               </w:t>
      </w:r>
      <w:r>
        <w:rPr>
          <w:rFonts w:hint="eastAsia" w:ascii="宋体" w:hAnsi="宋体"/>
          <w:spacing w:val="6"/>
          <w:szCs w:val="21"/>
          <w:highlight w:val="none"/>
        </w:rPr>
        <w:t xml:space="preserve"> 单位名称（盖章）：</w:t>
      </w:r>
    </w:p>
    <w:p>
      <w:pPr>
        <w:tabs>
          <w:tab w:val="left" w:pos="4860"/>
        </w:tabs>
        <w:spacing w:line="360" w:lineRule="auto"/>
        <w:ind w:right="1560" w:firstLine="444" w:firstLineChars="200"/>
        <w:jc w:val="center"/>
        <w:rPr>
          <w:rFonts w:ascii="宋体" w:hAnsi="宋体"/>
          <w:szCs w:val="21"/>
          <w:highlight w:val="none"/>
        </w:rPr>
      </w:pPr>
      <w:r>
        <w:rPr>
          <w:rFonts w:ascii="宋体" w:hAnsi="宋体"/>
          <w:spacing w:val="6"/>
          <w:szCs w:val="21"/>
          <w:highlight w:val="none"/>
        </w:rPr>
        <w:t xml:space="preserve">       </w:t>
      </w:r>
      <w:r>
        <w:rPr>
          <w:rFonts w:hint="eastAsia" w:ascii="宋体" w:hAnsi="宋体"/>
          <w:spacing w:val="6"/>
          <w:szCs w:val="21"/>
          <w:highlight w:val="none"/>
        </w:rPr>
        <w:t>日</w:t>
      </w:r>
      <w:r>
        <w:rPr>
          <w:rFonts w:ascii="宋体" w:hAnsi="宋体"/>
          <w:spacing w:val="6"/>
          <w:szCs w:val="21"/>
          <w:highlight w:val="none"/>
        </w:rPr>
        <w:t xml:space="preserve">  </w:t>
      </w:r>
      <w:r>
        <w:rPr>
          <w:rFonts w:hint="eastAsia" w:ascii="宋体" w:hAnsi="宋体"/>
          <w:spacing w:val="6"/>
          <w:szCs w:val="21"/>
          <w:highlight w:val="none"/>
        </w:rPr>
        <w:t>期：</w:t>
      </w:r>
    </w:p>
    <w:p>
      <w:pPr>
        <w:autoSpaceDE w:val="0"/>
        <w:autoSpaceDN w:val="0"/>
        <w:adjustRightInd w:val="0"/>
        <w:spacing w:line="360" w:lineRule="auto"/>
        <w:rPr>
          <w:rFonts w:ascii="宋体" w:hAnsi="宋体" w:cs="Courier New"/>
          <w:b/>
          <w:spacing w:val="6"/>
          <w:sz w:val="24"/>
          <w:szCs w:val="24"/>
          <w:highlight w:val="none"/>
          <w:lang w:val="zh-CN"/>
        </w:rPr>
      </w:pPr>
      <w:r>
        <w:rPr>
          <w:rFonts w:ascii="宋体" w:hAnsi="宋体"/>
          <w:sz w:val="24"/>
          <w:highlight w:val="none"/>
        </w:rPr>
        <w:br w:type="page"/>
      </w:r>
      <w:bookmarkStart w:id="619" w:name="_Toc20660417"/>
      <w:bookmarkStart w:id="620" w:name="_Toc532473512"/>
      <w:r>
        <w:rPr>
          <w:rFonts w:hint="eastAsia" w:ascii="宋体" w:hAnsi="宋体" w:cs="宋体"/>
          <w:b/>
          <w:sz w:val="24"/>
          <w:szCs w:val="24"/>
          <w:highlight w:val="none"/>
        </w:rPr>
        <w:t>附件5：</w:t>
      </w:r>
      <w:r>
        <w:rPr>
          <w:rFonts w:hint="eastAsia" w:hAnsi="宋体"/>
          <w:b/>
          <w:sz w:val="24"/>
          <w:szCs w:val="24"/>
          <w:highlight w:val="none"/>
        </w:rPr>
        <w:t xml:space="preserve">                   </w:t>
      </w:r>
      <w:r>
        <w:rPr>
          <w:rFonts w:hint="eastAsia" w:ascii="宋体" w:hAnsi="宋体" w:cs="Courier New"/>
          <w:b/>
          <w:spacing w:val="6"/>
          <w:sz w:val="24"/>
          <w:szCs w:val="24"/>
          <w:highlight w:val="none"/>
          <w:lang w:val="zh-CN"/>
        </w:rPr>
        <w:t>供应商监狱企业声明函</w:t>
      </w:r>
    </w:p>
    <w:bookmarkEnd w:id="619"/>
    <w:bookmarkEnd w:id="620"/>
    <w:p>
      <w:pPr>
        <w:spacing w:line="360" w:lineRule="auto"/>
        <w:rPr>
          <w:rFonts w:ascii="宋体" w:hAnsi="宋体"/>
          <w:b/>
          <w:kern w:val="0"/>
          <w:sz w:val="24"/>
          <w:highlight w:val="none"/>
        </w:rPr>
      </w:pPr>
    </w:p>
    <w:p>
      <w:pPr>
        <w:widowControl/>
        <w:snapToGrid w:val="0"/>
        <w:spacing w:before="100" w:beforeAutospacing="1" w:after="100" w:afterAutospacing="1" w:line="360" w:lineRule="auto"/>
        <w:ind w:firstLine="420" w:firstLineChars="200"/>
        <w:jc w:val="left"/>
        <w:rPr>
          <w:rFonts w:ascii="宋体" w:hAnsi="宋体" w:cs="宋体"/>
          <w:kern w:val="0"/>
          <w:szCs w:val="21"/>
          <w:highlight w:val="none"/>
        </w:rPr>
      </w:pPr>
      <w:r>
        <w:rPr>
          <w:rFonts w:ascii="宋体" w:hAnsi="宋体" w:cs="宋体"/>
          <w:kern w:val="0"/>
          <w:szCs w:val="21"/>
          <w:highlight w:val="none"/>
        </w:rPr>
        <w:t>本</w:t>
      </w:r>
      <w:r>
        <w:rPr>
          <w:rFonts w:hint="eastAsia" w:ascii="宋体" w:hAnsi="宋体" w:cs="宋体"/>
          <w:kern w:val="0"/>
          <w:szCs w:val="21"/>
          <w:highlight w:val="none"/>
        </w:rPr>
        <w:t>单位</w:t>
      </w:r>
      <w:r>
        <w:rPr>
          <w:rFonts w:ascii="宋体" w:hAnsi="宋体" w:cs="宋体"/>
          <w:kern w:val="0"/>
          <w:szCs w:val="21"/>
          <w:highlight w:val="none"/>
        </w:rPr>
        <w:t>郑重声明下</w:t>
      </w:r>
      <w:r>
        <w:rPr>
          <w:rFonts w:hint="eastAsia" w:ascii="宋体" w:hAnsi="宋体" w:cs="宋体"/>
          <w:kern w:val="0"/>
          <w:szCs w:val="21"/>
          <w:highlight w:val="none"/>
        </w:rPr>
        <w:t>列事项（按照</w:t>
      </w:r>
      <w:r>
        <w:rPr>
          <w:rFonts w:ascii="宋体" w:hAnsi="宋体" w:cs="宋体"/>
          <w:kern w:val="0"/>
          <w:szCs w:val="21"/>
          <w:highlight w:val="none"/>
        </w:rPr>
        <w:t>实际情况勾选或</w:t>
      </w:r>
      <w:r>
        <w:rPr>
          <w:rFonts w:hint="eastAsia" w:ascii="宋体" w:hAnsi="宋体" w:cs="宋体"/>
          <w:kern w:val="0"/>
          <w:szCs w:val="21"/>
          <w:highlight w:val="none"/>
        </w:rPr>
        <w:t>填空）：</w:t>
      </w:r>
    </w:p>
    <w:p>
      <w:pPr>
        <w:widowControl/>
        <w:snapToGrid w:val="0"/>
        <w:spacing w:before="100" w:beforeAutospacing="1" w:after="100" w:afterAutospacing="1" w:line="360" w:lineRule="auto"/>
        <w:ind w:firstLine="420" w:firstLineChars="200"/>
        <w:jc w:val="left"/>
        <w:rPr>
          <w:rFonts w:ascii="宋体" w:hAnsi="宋体" w:cs="宋体"/>
          <w:kern w:val="0"/>
          <w:szCs w:val="21"/>
          <w:highlight w:val="none"/>
        </w:rPr>
      </w:pPr>
      <w:r>
        <w:rPr>
          <w:rFonts w:ascii="宋体" w:hAnsi="宋体" w:cs="宋体"/>
          <w:kern w:val="0"/>
          <w:szCs w:val="21"/>
          <w:highlight w:val="none"/>
        </w:rPr>
        <w:t>本</w:t>
      </w:r>
      <w:r>
        <w:rPr>
          <w:rFonts w:hint="eastAsia" w:ascii="宋体" w:hAnsi="宋体" w:cs="宋体"/>
          <w:kern w:val="0"/>
          <w:szCs w:val="21"/>
          <w:highlight w:val="none"/>
        </w:rPr>
        <w:t>单位为直接供应商</w:t>
      </w:r>
      <w:r>
        <w:rPr>
          <w:rFonts w:ascii="宋体" w:hAnsi="宋体" w:cs="宋体"/>
          <w:kern w:val="0"/>
          <w:szCs w:val="21"/>
          <w:highlight w:val="none"/>
        </w:rPr>
        <w:t>提供本</w:t>
      </w:r>
      <w:r>
        <w:rPr>
          <w:rFonts w:hint="eastAsia" w:ascii="宋体" w:hAnsi="宋体" w:cs="宋体"/>
          <w:kern w:val="0"/>
          <w:szCs w:val="21"/>
          <w:highlight w:val="none"/>
        </w:rPr>
        <w:t>单位</w:t>
      </w:r>
      <w:r>
        <w:rPr>
          <w:rFonts w:ascii="宋体" w:hAnsi="宋体" w:cs="宋体"/>
          <w:kern w:val="0"/>
          <w:szCs w:val="21"/>
          <w:highlight w:val="none"/>
        </w:rPr>
        <w:t>制造的货物</w:t>
      </w:r>
      <w:r>
        <w:rPr>
          <w:rFonts w:hint="eastAsia" w:ascii="宋体" w:hAnsi="宋体" w:cs="宋体"/>
          <w:kern w:val="0"/>
          <w:szCs w:val="21"/>
          <w:highlight w:val="none"/>
        </w:rPr>
        <w:t>。</w:t>
      </w:r>
    </w:p>
    <w:p>
      <w:pPr>
        <w:widowControl/>
        <w:snapToGrid w:val="0"/>
        <w:spacing w:before="100" w:beforeAutospacing="1" w:after="100" w:afterAutospacing="1" w:line="360" w:lineRule="auto"/>
        <w:ind w:firstLine="315" w:firstLineChars="150"/>
        <w:jc w:val="left"/>
        <w:rPr>
          <w:rFonts w:ascii="宋体" w:hAnsi="宋体" w:cs="宋体"/>
          <w:kern w:val="0"/>
          <w:szCs w:val="21"/>
          <w:highlight w:val="none"/>
        </w:rPr>
      </w:pPr>
      <w:r>
        <w:rPr>
          <w:rFonts w:hint="eastAsia" w:ascii="宋体" w:hAnsi="宋体" w:cs="宋体"/>
          <w:kern w:val="0"/>
          <w:szCs w:val="21"/>
          <w:highlight w:val="none"/>
        </w:rPr>
        <w:t>（1）</w:t>
      </w:r>
      <w:r>
        <w:rPr>
          <w:rFonts w:ascii="宋体" w:hAnsi="宋体" w:cs="宋体"/>
          <w:kern w:val="0"/>
          <w:szCs w:val="21"/>
          <w:highlight w:val="none"/>
        </w:rPr>
        <w:t>本</w:t>
      </w:r>
      <w:r>
        <w:rPr>
          <w:rFonts w:hint="eastAsia" w:ascii="宋体" w:hAnsi="宋体" w:cs="宋体"/>
          <w:kern w:val="0"/>
          <w:szCs w:val="21"/>
          <w:highlight w:val="none"/>
        </w:rPr>
        <w:t>企业（单位）</w:t>
      </w:r>
      <w:r>
        <w:rPr>
          <w:rFonts w:hint="eastAsia" w:ascii="宋体" w:hAnsi="宋体" w:cs="宋体"/>
          <w:kern w:val="0"/>
          <w:szCs w:val="21"/>
          <w:highlight w:val="none"/>
          <w:u w:val="single"/>
        </w:rPr>
        <w:t xml:space="preserve">        </w:t>
      </w:r>
      <w:r>
        <w:rPr>
          <w:rFonts w:ascii="宋体" w:hAnsi="宋体" w:cs="宋体"/>
          <w:kern w:val="0"/>
          <w:szCs w:val="21"/>
          <w:highlight w:val="none"/>
        </w:rPr>
        <w:t>（请填写：</w:t>
      </w:r>
      <w:r>
        <w:rPr>
          <w:rFonts w:hint="eastAsia" w:ascii="宋体" w:hAnsi="宋体" w:cs="宋体"/>
          <w:kern w:val="0"/>
          <w:szCs w:val="21"/>
          <w:highlight w:val="none"/>
        </w:rPr>
        <w:t>是、不是</w:t>
      </w:r>
      <w:r>
        <w:rPr>
          <w:rFonts w:ascii="宋体" w:hAnsi="宋体" w:cs="宋体"/>
          <w:kern w:val="0"/>
          <w:szCs w:val="21"/>
          <w:highlight w:val="none"/>
        </w:rPr>
        <w:t>）监狱企业。</w:t>
      </w:r>
      <w:r>
        <w:rPr>
          <w:rFonts w:hint="eastAsia" w:ascii="宋体" w:hAnsi="宋体" w:cs="宋体"/>
          <w:kern w:val="0"/>
          <w:szCs w:val="21"/>
          <w:highlight w:val="none"/>
        </w:rPr>
        <w:t>如果是，后附省级以上监狱管理局、戒毒管理局（含新疆生产建设兵团）出具的属于监狱企业的证明文件。</w:t>
      </w:r>
    </w:p>
    <w:p>
      <w:pPr>
        <w:widowControl/>
        <w:snapToGrid w:val="0"/>
        <w:spacing w:before="100" w:beforeAutospacing="1" w:after="100" w:afterAutospacing="1" w:line="360" w:lineRule="auto"/>
        <w:ind w:firstLine="420"/>
        <w:jc w:val="left"/>
        <w:rPr>
          <w:rFonts w:ascii="宋体" w:hAnsi="宋体" w:cs="宋体"/>
          <w:kern w:val="0"/>
          <w:szCs w:val="21"/>
          <w:highlight w:val="none"/>
        </w:rPr>
      </w:pPr>
      <w:r>
        <w:rPr>
          <w:rFonts w:hint="eastAsia" w:ascii="宋体" w:hAnsi="宋体" w:cs="宋体"/>
          <w:kern w:val="0"/>
          <w:szCs w:val="21"/>
          <w:highlight w:val="none"/>
        </w:rPr>
        <w:t>（</w:t>
      </w:r>
      <w:r>
        <w:rPr>
          <w:rFonts w:ascii="宋体" w:hAnsi="宋体" w:cs="宋体"/>
          <w:kern w:val="0"/>
          <w:szCs w:val="21"/>
          <w:highlight w:val="none"/>
        </w:rPr>
        <w:t>2</w:t>
      </w:r>
      <w:r>
        <w:rPr>
          <w:rFonts w:hint="eastAsia" w:ascii="宋体" w:hAnsi="宋体" w:cs="宋体"/>
          <w:kern w:val="0"/>
          <w:szCs w:val="21"/>
          <w:highlight w:val="none"/>
        </w:rPr>
        <w:t>）</w:t>
      </w:r>
      <w:r>
        <w:rPr>
          <w:rFonts w:ascii="宋体" w:hAnsi="宋体" w:cs="宋体"/>
          <w:kern w:val="0"/>
          <w:szCs w:val="21"/>
          <w:highlight w:val="none"/>
        </w:rPr>
        <w:t>本</w:t>
      </w:r>
      <w:r>
        <w:rPr>
          <w:rFonts w:hint="eastAsia" w:ascii="宋体" w:hAnsi="宋体" w:cs="宋体"/>
          <w:kern w:val="0"/>
          <w:szCs w:val="21"/>
          <w:highlight w:val="none"/>
        </w:rPr>
        <w:t>企业（单位）</w:t>
      </w:r>
      <w:r>
        <w:rPr>
          <w:rFonts w:hint="eastAsia" w:ascii="宋体" w:hAnsi="宋体" w:cs="宋体"/>
          <w:kern w:val="0"/>
          <w:szCs w:val="21"/>
          <w:highlight w:val="none"/>
          <w:u w:val="single"/>
        </w:rPr>
        <w:t xml:space="preserve">        </w:t>
      </w:r>
      <w:r>
        <w:rPr>
          <w:rFonts w:ascii="宋体" w:hAnsi="宋体" w:cs="宋体"/>
          <w:kern w:val="0"/>
          <w:szCs w:val="21"/>
          <w:highlight w:val="none"/>
        </w:rPr>
        <w:t>（请填写：</w:t>
      </w:r>
      <w:r>
        <w:rPr>
          <w:rFonts w:hint="eastAsia" w:ascii="宋体" w:hAnsi="宋体" w:cs="宋体"/>
          <w:kern w:val="0"/>
          <w:szCs w:val="21"/>
          <w:highlight w:val="none"/>
        </w:rPr>
        <w:t>是、不是</w:t>
      </w:r>
      <w:r>
        <w:rPr>
          <w:rFonts w:ascii="宋体" w:hAnsi="宋体" w:cs="宋体"/>
          <w:kern w:val="0"/>
          <w:szCs w:val="21"/>
          <w:highlight w:val="none"/>
        </w:rPr>
        <w:t>）</w:t>
      </w:r>
      <w:r>
        <w:rPr>
          <w:rFonts w:hint="eastAsia" w:ascii="宋体" w:hAnsi="宋体" w:cs="宋体"/>
          <w:kern w:val="0"/>
          <w:szCs w:val="21"/>
          <w:highlight w:val="none"/>
        </w:rPr>
        <w:t>为联合体一方，</w:t>
      </w:r>
      <w:r>
        <w:rPr>
          <w:rFonts w:ascii="宋体" w:hAnsi="宋体" w:cs="宋体"/>
          <w:kern w:val="0"/>
          <w:szCs w:val="21"/>
          <w:highlight w:val="none"/>
        </w:rPr>
        <w:t>提供本企业</w:t>
      </w:r>
      <w:r>
        <w:rPr>
          <w:rFonts w:hint="eastAsia" w:ascii="宋体" w:hAnsi="宋体" w:cs="宋体"/>
          <w:kern w:val="0"/>
          <w:szCs w:val="21"/>
          <w:highlight w:val="none"/>
        </w:rPr>
        <w:t>（单位）</w:t>
      </w:r>
      <w:r>
        <w:rPr>
          <w:rFonts w:ascii="宋体" w:hAnsi="宋体" w:cs="宋体"/>
          <w:kern w:val="0"/>
          <w:szCs w:val="21"/>
          <w:highlight w:val="none"/>
        </w:rPr>
        <w:t>制造的货物，由本企业</w:t>
      </w:r>
      <w:r>
        <w:rPr>
          <w:rFonts w:hint="eastAsia" w:ascii="宋体" w:hAnsi="宋体" w:cs="宋体"/>
          <w:kern w:val="0"/>
          <w:szCs w:val="21"/>
          <w:highlight w:val="none"/>
        </w:rPr>
        <w:t>（单位）</w:t>
      </w:r>
      <w:r>
        <w:rPr>
          <w:rFonts w:ascii="宋体" w:hAnsi="宋体" w:cs="宋体"/>
          <w:kern w:val="0"/>
          <w:szCs w:val="21"/>
          <w:highlight w:val="none"/>
        </w:rPr>
        <w:t>承担工程、提供服务</w:t>
      </w:r>
      <w:r>
        <w:rPr>
          <w:rFonts w:hint="eastAsia" w:ascii="宋体" w:hAnsi="宋体" w:cs="宋体"/>
          <w:kern w:val="0"/>
          <w:szCs w:val="21"/>
          <w:highlight w:val="none"/>
        </w:rPr>
        <w:t>。本企业</w:t>
      </w:r>
      <w:r>
        <w:rPr>
          <w:rFonts w:ascii="宋体" w:hAnsi="宋体" w:cs="宋体"/>
          <w:kern w:val="0"/>
          <w:szCs w:val="21"/>
          <w:highlight w:val="none"/>
        </w:rPr>
        <w:t>（</w:t>
      </w:r>
      <w:r>
        <w:rPr>
          <w:rFonts w:hint="eastAsia" w:ascii="宋体" w:hAnsi="宋体" w:cs="宋体"/>
          <w:kern w:val="0"/>
          <w:szCs w:val="21"/>
          <w:highlight w:val="none"/>
        </w:rPr>
        <w:t>单位</w:t>
      </w:r>
      <w:r>
        <w:rPr>
          <w:rFonts w:ascii="宋体" w:hAnsi="宋体" w:cs="宋体"/>
          <w:kern w:val="0"/>
          <w:szCs w:val="21"/>
          <w:highlight w:val="none"/>
        </w:rPr>
        <w:t>）</w:t>
      </w:r>
      <w:r>
        <w:rPr>
          <w:rFonts w:hint="eastAsia" w:ascii="宋体" w:hAnsi="宋体" w:cs="宋体"/>
          <w:kern w:val="0"/>
          <w:szCs w:val="21"/>
          <w:highlight w:val="none"/>
        </w:rPr>
        <w:t>提供</w:t>
      </w:r>
      <w:r>
        <w:rPr>
          <w:rFonts w:ascii="宋体" w:hAnsi="宋体" w:cs="宋体"/>
          <w:kern w:val="0"/>
          <w:szCs w:val="21"/>
          <w:highlight w:val="none"/>
        </w:rPr>
        <w:t>协议合同金额占到</w:t>
      </w:r>
      <w:r>
        <w:rPr>
          <w:rFonts w:hint="eastAsia" w:ascii="宋体" w:hAnsi="宋体" w:cs="宋体"/>
          <w:kern w:val="0"/>
          <w:szCs w:val="21"/>
          <w:highlight w:val="none"/>
        </w:rPr>
        <w:t>共同磋商</w:t>
      </w:r>
      <w:r>
        <w:rPr>
          <w:rFonts w:ascii="宋体" w:hAnsi="宋体" w:cs="宋体"/>
          <w:kern w:val="0"/>
          <w:szCs w:val="21"/>
          <w:highlight w:val="none"/>
        </w:rPr>
        <w:t>协议合同总金额</w:t>
      </w:r>
      <w:r>
        <w:rPr>
          <w:rFonts w:hint="eastAsia" w:ascii="宋体" w:hAnsi="宋体" w:cs="宋体"/>
          <w:kern w:val="0"/>
          <w:szCs w:val="21"/>
          <w:highlight w:val="none"/>
        </w:rPr>
        <w:t>的比例为</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w:t>
      </w:r>
    </w:p>
    <w:p>
      <w:pPr>
        <w:widowControl/>
        <w:snapToGrid w:val="0"/>
        <w:spacing w:before="100" w:beforeAutospacing="1" w:after="100" w:afterAutospacing="1" w:line="360" w:lineRule="auto"/>
        <w:jc w:val="left"/>
        <w:rPr>
          <w:rFonts w:ascii="宋体" w:hAnsi="宋体" w:cs="宋体"/>
          <w:kern w:val="0"/>
          <w:szCs w:val="21"/>
          <w:highlight w:val="none"/>
        </w:rPr>
      </w:pPr>
      <w:r>
        <w:rPr>
          <w:rFonts w:ascii="宋体" w:hAnsi="宋体" w:cs="宋体"/>
          <w:kern w:val="0"/>
          <w:szCs w:val="21"/>
          <w:highlight w:val="none"/>
        </w:rPr>
        <w:t>　　本</w:t>
      </w:r>
      <w:r>
        <w:rPr>
          <w:rFonts w:hint="eastAsia" w:ascii="宋体" w:hAnsi="宋体" w:cs="宋体"/>
          <w:kern w:val="0"/>
          <w:szCs w:val="21"/>
          <w:highlight w:val="none"/>
        </w:rPr>
        <w:t>企业</w:t>
      </w:r>
      <w:r>
        <w:rPr>
          <w:rFonts w:ascii="宋体" w:hAnsi="宋体" w:cs="宋体"/>
          <w:kern w:val="0"/>
          <w:szCs w:val="21"/>
          <w:highlight w:val="none"/>
        </w:rPr>
        <w:t>（</w:t>
      </w:r>
      <w:r>
        <w:rPr>
          <w:rFonts w:hint="eastAsia" w:ascii="宋体" w:hAnsi="宋体" w:cs="宋体"/>
          <w:kern w:val="0"/>
          <w:szCs w:val="21"/>
          <w:highlight w:val="none"/>
        </w:rPr>
        <w:t>单位</w:t>
      </w:r>
      <w:r>
        <w:rPr>
          <w:rFonts w:ascii="宋体" w:hAnsi="宋体" w:cs="宋体"/>
          <w:kern w:val="0"/>
          <w:szCs w:val="21"/>
          <w:highlight w:val="none"/>
        </w:rPr>
        <w:t>）对上述声明的真实性负责。如有虚假，将依法承担相应责任。</w:t>
      </w:r>
    </w:p>
    <w:p>
      <w:pPr>
        <w:widowControl/>
        <w:snapToGrid w:val="0"/>
        <w:spacing w:before="100" w:beforeAutospacing="1" w:after="100" w:afterAutospacing="1" w:line="360" w:lineRule="auto"/>
        <w:jc w:val="left"/>
        <w:rPr>
          <w:rFonts w:ascii="宋体" w:hAnsi="宋体"/>
          <w:b/>
          <w:kern w:val="0"/>
          <w:szCs w:val="21"/>
          <w:highlight w:val="none"/>
        </w:rPr>
      </w:pPr>
      <w:r>
        <w:rPr>
          <w:rFonts w:ascii="宋体" w:hAnsi="宋体" w:cs="宋体"/>
          <w:kern w:val="0"/>
          <w:szCs w:val="21"/>
          <w:highlight w:val="none"/>
        </w:rPr>
        <w:t>　　</w:t>
      </w:r>
      <w:r>
        <w:rPr>
          <w:rFonts w:ascii="宋体" w:hAnsi="宋体"/>
          <w:b/>
          <w:kern w:val="0"/>
          <w:szCs w:val="21"/>
          <w:highlight w:val="none"/>
        </w:rPr>
        <w:t>　</w:t>
      </w:r>
    </w:p>
    <w:p>
      <w:pPr>
        <w:snapToGrid w:val="0"/>
        <w:spacing w:line="360" w:lineRule="auto"/>
        <w:rPr>
          <w:rFonts w:ascii="宋体" w:hAnsi="宋体"/>
          <w:b/>
          <w:szCs w:val="21"/>
          <w:highlight w:val="none"/>
        </w:rPr>
      </w:pPr>
    </w:p>
    <w:p>
      <w:pPr>
        <w:spacing w:line="360" w:lineRule="auto"/>
        <w:ind w:firstLine="2520" w:firstLineChars="1200"/>
        <w:rPr>
          <w:rFonts w:ascii="宋体" w:hAnsi="宋体"/>
          <w:szCs w:val="21"/>
          <w:highlight w:val="none"/>
          <w:u w:val="single"/>
        </w:rPr>
      </w:pPr>
      <w:r>
        <w:rPr>
          <w:rFonts w:hint="eastAsia" w:ascii="宋体" w:hAnsi="宋体"/>
          <w:szCs w:val="21"/>
          <w:highlight w:val="none"/>
        </w:rPr>
        <w:t xml:space="preserve">供应商（公章）： </w:t>
      </w:r>
      <w:r>
        <w:rPr>
          <w:rFonts w:hint="eastAsia" w:ascii="宋体" w:hAnsi="宋体"/>
          <w:szCs w:val="21"/>
          <w:highlight w:val="none"/>
          <w:u w:val="single"/>
        </w:rPr>
        <w:t xml:space="preserve">                              </w:t>
      </w:r>
    </w:p>
    <w:p>
      <w:pPr>
        <w:spacing w:line="360" w:lineRule="auto"/>
        <w:ind w:firstLine="2520" w:firstLineChars="1200"/>
        <w:rPr>
          <w:rFonts w:ascii="宋体" w:hAnsi="宋体"/>
          <w:szCs w:val="21"/>
          <w:highlight w:val="none"/>
          <w:u w:val="single"/>
        </w:rPr>
      </w:pPr>
      <w:r>
        <w:rPr>
          <w:rFonts w:hint="eastAsia" w:ascii="宋体" w:hAnsi="宋体"/>
          <w:szCs w:val="21"/>
          <w:highlight w:val="none"/>
        </w:rPr>
        <w:t>法定代表人（签字或盖章）：</w:t>
      </w:r>
      <w:r>
        <w:rPr>
          <w:rFonts w:hint="eastAsia" w:ascii="宋体" w:hAnsi="宋体"/>
          <w:szCs w:val="21"/>
          <w:highlight w:val="none"/>
          <w:u w:val="single"/>
        </w:rPr>
        <w:t xml:space="preserve">                     </w:t>
      </w:r>
    </w:p>
    <w:p>
      <w:pPr>
        <w:spacing w:line="360" w:lineRule="auto"/>
        <w:ind w:firstLine="2520" w:firstLineChars="1200"/>
        <w:rPr>
          <w:rFonts w:ascii="宋体" w:hAnsi="宋体"/>
          <w:szCs w:val="21"/>
          <w:highlight w:val="none"/>
          <w:u w:val="single"/>
        </w:rPr>
      </w:pPr>
      <w:r>
        <w:rPr>
          <w:rFonts w:hint="eastAsia" w:ascii="宋体" w:hAnsi="宋体"/>
          <w:szCs w:val="21"/>
          <w:highlight w:val="none"/>
        </w:rPr>
        <w:t>日    期：</w:t>
      </w:r>
      <w:r>
        <w:rPr>
          <w:rFonts w:hint="eastAsia" w:ascii="宋体" w:hAnsi="宋体"/>
          <w:szCs w:val="21"/>
          <w:highlight w:val="none"/>
          <w:u w:val="single"/>
        </w:rPr>
        <w:t xml:space="preserve">                                     </w:t>
      </w:r>
    </w:p>
    <w:p>
      <w:pPr>
        <w:rPr>
          <w:rFonts w:ascii="宋体" w:hAnsi="宋体"/>
          <w:sz w:val="24"/>
          <w:highlight w:val="none"/>
        </w:rPr>
      </w:pPr>
      <w:r>
        <w:rPr>
          <w:rFonts w:ascii="宋体" w:hAnsi="宋体"/>
          <w:sz w:val="24"/>
          <w:highlight w:val="none"/>
        </w:rPr>
        <w:br w:type="page"/>
      </w:r>
    </w:p>
    <w:p>
      <w:pPr>
        <w:pStyle w:val="4"/>
      </w:pPr>
    </w:p>
    <w:p>
      <w:pPr>
        <w:adjustRightInd w:val="0"/>
        <w:snapToGrid w:val="0"/>
        <w:spacing w:line="360" w:lineRule="auto"/>
        <w:rPr>
          <w:rFonts w:ascii="宋体" w:hAnsi="宋体"/>
          <w:b/>
          <w:sz w:val="24"/>
          <w:szCs w:val="24"/>
          <w:highlight w:val="none"/>
        </w:rPr>
      </w:pPr>
      <w:r>
        <w:rPr>
          <w:rFonts w:hint="eastAsia" w:ascii="宋体" w:hAnsi="宋体"/>
          <w:b/>
          <w:sz w:val="24"/>
          <w:szCs w:val="24"/>
          <w:highlight w:val="none"/>
        </w:rPr>
        <w:t>附件6：         “节能</w:t>
      </w:r>
      <w:r>
        <w:rPr>
          <w:rFonts w:hint="eastAsia" w:ascii="宋体" w:hAnsi="宋体"/>
          <w:b/>
          <w:bCs/>
          <w:sz w:val="24"/>
          <w:szCs w:val="24"/>
          <w:highlight w:val="none"/>
        </w:rPr>
        <w:t>产品</w:t>
      </w:r>
      <w:r>
        <w:rPr>
          <w:rFonts w:hint="eastAsia" w:ascii="宋体" w:hAnsi="宋体"/>
          <w:b/>
          <w:sz w:val="24"/>
          <w:szCs w:val="24"/>
          <w:highlight w:val="none"/>
        </w:rPr>
        <w:t>”、“环境标志</w:t>
      </w:r>
      <w:r>
        <w:rPr>
          <w:rFonts w:hint="eastAsia" w:ascii="宋体" w:hAnsi="宋体"/>
          <w:b/>
          <w:bCs/>
          <w:sz w:val="24"/>
          <w:szCs w:val="24"/>
          <w:highlight w:val="none"/>
        </w:rPr>
        <w:t>产品</w:t>
      </w:r>
      <w:r>
        <w:rPr>
          <w:rFonts w:hint="eastAsia" w:ascii="宋体" w:hAnsi="宋体"/>
          <w:b/>
          <w:sz w:val="24"/>
          <w:szCs w:val="24"/>
          <w:highlight w:val="none"/>
        </w:rPr>
        <w:t>”证明材料</w:t>
      </w:r>
    </w:p>
    <w:p>
      <w:pPr>
        <w:spacing w:line="360" w:lineRule="auto"/>
        <w:rPr>
          <w:rFonts w:ascii="宋体" w:hAnsi="宋体"/>
          <w:sz w:val="24"/>
          <w:highlight w:val="none"/>
        </w:rPr>
      </w:pPr>
    </w:p>
    <w:p>
      <w:pPr>
        <w:adjustRightInd w:val="0"/>
        <w:snapToGrid w:val="0"/>
        <w:spacing w:line="480" w:lineRule="auto"/>
        <w:rPr>
          <w:rFonts w:ascii="宋体" w:hAnsi="宋体"/>
          <w:b/>
          <w:bCs/>
          <w:szCs w:val="21"/>
          <w:highlight w:val="none"/>
        </w:rPr>
      </w:pPr>
      <w:r>
        <w:rPr>
          <w:rFonts w:hint="eastAsia" w:ascii="宋体" w:hAnsi="宋体"/>
          <w:b/>
          <w:bCs/>
          <w:szCs w:val="21"/>
          <w:highlight w:val="none"/>
        </w:rPr>
        <w:t>说明：</w:t>
      </w:r>
    </w:p>
    <w:p>
      <w:pPr>
        <w:adjustRightInd w:val="0"/>
        <w:snapToGrid w:val="0"/>
        <w:spacing w:line="480" w:lineRule="auto"/>
        <w:ind w:firstLine="420" w:firstLineChars="200"/>
        <w:rPr>
          <w:rFonts w:ascii="宋体" w:hAnsi="宋体"/>
          <w:szCs w:val="21"/>
          <w:highlight w:val="none"/>
        </w:rPr>
      </w:pPr>
      <w:r>
        <w:rPr>
          <w:rFonts w:hint="eastAsia" w:ascii="宋体" w:hAnsi="宋体"/>
          <w:bCs/>
          <w:szCs w:val="21"/>
          <w:highlight w:val="none"/>
        </w:rPr>
        <w:t>1、</w:t>
      </w:r>
      <w:r>
        <w:rPr>
          <w:rFonts w:hint="eastAsia" w:ascii="宋体" w:hAnsi="宋体"/>
          <w:szCs w:val="21"/>
          <w:highlight w:val="none"/>
        </w:rPr>
        <w:t>供应商提供的产品</w:t>
      </w:r>
      <w:r>
        <w:rPr>
          <w:rFonts w:hint="eastAsia" w:ascii="宋体" w:hAnsi="宋体"/>
          <w:bCs/>
          <w:szCs w:val="21"/>
          <w:highlight w:val="none"/>
        </w:rPr>
        <w:t>属于</w:t>
      </w:r>
      <w:r>
        <w:rPr>
          <w:rFonts w:hint="eastAsia" w:ascii="宋体" w:hAnsi="宋体"/>
          <w:szCs w:val="21"/>
          <w:highlight w:val="none"/>
        </w:rPr>
        <w:t>下列情形，应按第</w:t>
      </w:r>
      <w:r>
        <w:rPr>
          <w:rFonts w:hint="eastAsia" w:ascii="宋体" w:hAnsi="宋体"/>
          <w:szCs w:val="21"/>
          <w:highlight w:val="none"/>
          <w:lang w:val="en-US" w:eastAsia="zh-CN"/>
        </w:rPr>
        <w:t>三部分供应商须知</w:t>
      </w:r>
      <w:r>
        <w:rPr>
          <w:rFonts w:hint="eastAsia" w:ascii="宋体" w:hAnsi="宋体"/>
          <w:szCs w:val="21"/>
          <w:highlight w:val="none"/>
        </w:rPr>
        <w:t>第</w:t>
      </w:r>
      <w:r>
        <w:rPr>
          <w:rFonts w:hint="eastAsia" w:ascii="宋体" w:hAnsi="宋体"/>
          <w:szCs w:val="21"/>
          <w:highlight w:val="none"/>
          <w:lang w:val="en-US" w:eastAsia="zh-CN"/>
        </w:rPr>
        <w:t>27.4.2的</w:t>
      </w:r>
      <w:r>
        <w:rPr>
          <w:rFonts w:hint="eastAsia" w:ascii="宋体" w:hAnsi="宋体"/>
          <w:szCs w:val="21"/>
          <w:highlight w:val="none"/>
        </w:rPr>
        <w:t>规定提供相关证明材料(</w:t>
      </w:r>
      <w:r>
        <w:rPr>
          <w:rFonts w:hint="eastAsia" w:ascii="宋体" w:hAnsi="宋体"/>
          <w:bCs/>
          <w:szCs w:val="21"/>
          <w:highlight w:val="none"/>
        </w:rPr>
        <w:t>清单或目录所在页复印件</w:t>
      </w:r>
      <w:r>
        <w:rPr>
          <w:rFonts w:hint="eastAsia" w:ascii="宋体" w:hAnsi="宋体"/>
          <w:szCs w:val="21"/>
          <w:highlight w:val="none"/>
        </w:rPr>
        <w:t>)，并在《</w:t>
      </w:r>
      <w:r>
        <w:rPr>
          <w:rFonts w:hint="eastAsia" w:ascii="宋体" w:hAnsi="宋体"/>
          <w:bCs/>
          <w:szCs w:val="21"/>
          <w:highlight w:val="none"/>
        </w:rPr>
        <w:t>初次</w:t>
      </w:r>
      <w:r>
        <w:rPr>
          <w:rFonts w:hint="eastAsia" w:ascii="宋体" w:hAnsi="宋体"/>
          <w:szCs w:val="21"/>
          <w:highlight w:val="none"/>
        </w:rPr>
        <w:t>产品分项报价表》中提供相应数据。</w:t>
      </w:r>
    </w:p>
    <w:p>
      <w:pPr>
        <w:adjustRightInd w:val="0"/>
        <w:snapToGrid w:val="0"/>
        <w:spacing w:line="480" w:lineRule="auto"/>
        <w:ind w:firstLine="525" w:firstLineChars="250"/>
        <w:rPr>
          <w:rFonts w:ascii="宋体" w:hAnsi="宋体"/>
          <w:bCs/>
          <w:szCs w:val="21"/>
          <w:highlight w:val="none"/>
        </w:rPr>
      </w:pPr>
      <w:r>
        <w:rPr>
          <w:rFonts w:hint="eastAsia" w:ascii="宋体" w:hAnsi="宋体"/>
          <w:bCs/>
          <w:szCs w:val="21"/>
          <w:highlight w:val="none"/>
        </w:rPr>
        <w:t>(1)符合</w:t>
      </w:r>
      <w:r>
        <w:rPr>
          <w:rFonts w:hint="eastAsia" w:ascii="宋体" w:hAnsi="宋体"/>
          <w:szCs w:val="21"/>
          <w:highlight w:val="none"/>
        </w:rPr>
        <w:t>政府采购强制采购政策的(《节能产品政府采购清单》中标记★符号节能产品及其他强制采购产品)；</w:t>
      </w:r>
    </w:p>
    <w:p>
      <w:pPr>
        <w:adjustRightInd w:val="0"/>
        <w:snapToGrid w:val="0"/>
        <w:spacing w:line="480" w:lineRule="auto"/>
        <w:ind w:firstLine="525" w:firstLineChars="250"/>
        <w:rPr>
          <w:rFonts w:ascii="宋体" w:hAnsi="宋体"/>
          <w:bCs/>
          <w:szCs w:val="21"/>
          <w:highlight w:val="none"/>
        </w:rPr>
      </w:pPr>
      <w:r>
        <w:rPr>
          <w:rFonts w:hint="eastAsia" w:ascii="宋体" w:hAnsi="宋体"/>
          <w:bCs/>
          <w:szCs w:val="21"/>
          <w:highlight w:val="none"/>
        </w:rPr>
        <w:t>(2)符合</w:t>
      </w:r>
      <w:r>
        <w:rPr>
          <w:rFonts w:hint="eastAsia" w:ascii="宋体" w:hAnsi="宋体"/>
          <w:szCs w:val="21"/>
          <w:highlight w:val="none"/>
        </w:rPr>
        <w:t>政府采购优先采购政策的(《节能产品政府采购清单》中非标记★符号节能产品，《环境标志产品政府采购清单》中环境标志</w:t>
      </w:r>
      <w:r>
        <w:rPr>
          <w:rFonts w:hint="eastAsia" w:ascii="宋体" w:hAnsi="宋体"/>
          <w:bCs/>
          <w:szCs w:val="21"/>
          <w:highlight w:val="none"/>
        </w:rPr>
        <w:t>产品</w:t>
      </w:r>
      <w:r>
        <w:rPr>
          <w:rFonts w:hint="eastAsia" w:ascii="宋体" w:hAnsi="宋体"/>
          <w:szCs w:val="21"/>
          <w:highlight w:val="none"/>
        </w:rPr>
        <w:t>。</w:t>
      </w:r>
    </w:p>
    <w:p>
      <w:pPr>
        <w:adjustRightInd w:val="0"/>
        <w:snapToGrid w:val="0"/>
        <w:spacing w:line="480" w:lineRule="auto"/>
        <w:ind w:firstLine="420" w:firstLineChars="200"/>
        <w:rPr>
          <w:rFonts w:ascii="宋体" w:hAnsi="宋体"/>
          <w:bCs/>
          <w:szCs w:val="21"/>
          <w:highlight w:val="none"/>
        </w:rPr>
      </w:pPr>
      <w:r>
        <w:rPr>
          <w:rFonts w:hint="eastAsia" w:ascii="宋体" w:hAnsi="宋体"/>
          <w:bCs/>
          <w:szCs w:val="21"/>
          <w:highlight w:val="none"/>
        </w:rPr>
        <w:t>2、未按上述要求提供的，评审时不予以考虑。</w:t>
      </w:r>
    </w:p>
    <w:p>
      <w:pPr>
        <w:adjustRightInd w:val="0"/>
        <w:snapToGrid w:val="0"/>
        <w:spacing w:line="360" w:lineRule="auto"/>
        <w:rPr>
          <w:rFonts w:ascii="宋体" w:hAnsi="宋体"/>
          <w:bCs/>
          <w:szCs w:val="21"/>
          <w:highlight w:val="none"/>
        </w:rPr>
      </w:pPr>
    </w:p>
    <w:p>
      <w:pPr>
        <w:rPr>
          <w:rFonts w:hint="eastAsia" w:ascii="宋体" w:hAnsi="宋体"/>
          <w:b/>
          <w:sz w:val="24"/>
          <w:highlight w:val="none"/>
        </w:rPr>
      </w:pPr>
      <w:r>
        <w:rPr>
          <w:rFonts w:hint="eastAsia" w:ascii="宋体" w:hAnsi="宋体"/>
          <w:b/>
          <w:sz w:val="24"/>
          <w:highlight w:val="none"/>
        </w:rPr>
        <w:br w:type="page"/>
      </w:r>
    </w:p>
    <w:p>
      <w:pPr>
        <w:autoSpaceDE w:val="0"/>
        <w:autoSpaceDN w:val="0"/>
        <w:adjustRightInd w:val="0"/>
        <w:snapToGrid w:val="0"/>
        <w:rPr>
          <w:rFonts w:ascii="宋体" w:hAnsi="宋体"/>
          <w:b/>
          <w:sz w:val="36"/>
          <w:szCs w:val="36"/>
          <w:highlight w:val="none"/>
        </w:rPr>
      </w:pPr>
      <w:r>
        <w:rPr>
          <w:rFonts w:hint="eastAsia" w:ascii="宋体" w:hAnsi="宋体"/>
          <w:b/>
          <w:sz w:val="24"/>
          <w:highlight w:val="none"/>
        </w:rPr>
        <w:t>附件7：                   供应商企业关系关联承诺书</w:t>
      </w:r>
    </w:p>
    <w:p>
      <w:pPr>
        <w:autoSpaceDE w:val="0"/>
        <w:autoSpaceDN w:val="0"/>
        <w:adjustRightInd w:val="0"/>
        <w:spacing w:line="360" w:lineRule="auto"/>
        <w:ind w:firstLine="480" w:firstLineChars="200"/>
        <w:rPr>
          <w:rFonts w:ascii="宋体" w:hAnsi="宋体" w:cs="仿宋"/>
          <w:sz w:val="24"/>
          <w:highlight w:val="none"/>
        </w:rPr>
      </w:pPr>
    </w:p>
    <w:p>
      <w:pPr>
        <w:autoSpaceDE w:val="0"/>
        <w:autoSpaceDN w:val="0"/>
        <w:adjustRightInd w:val="0"/>
        <w:spacing w:line="360" w:lineRule="auto"/>
        <w:ind w:firstLine="420" w:firstLineChars="200"/>
        <w:rPr>
          <w:rFonts w:ascii="宋体" w:hAnsi="宋体" w:cs="仿宋"/>
          <w:szCs w:val="21"/>
          <w:highlight w:val="none"/>
        </w:rPr>
      </w:pPr>
      <w:r>
        <w:rPr>
          <w:rFonts w:hint="eastAsia" w:ascii="宋体" w:hAnsi="宋体" w:cs="仿宋"/>
          <w:szCs w:val="21"/>
          <w:highlight w:val="none"/>
        </w:rPr>
        <w:t>一、供应商股东及股权证明(提供相关证明材料)。</w:t>
      </w:r>
    </w:p>
    <w:p>
      <w:pPr>
        <w:autoSpaceDE w:val="0"/>
        <w:autoSpaceDN w:val="0"/>
        <w:adjustRightInd w:val="0"/>
        <w:spacing w:line="360" w:lineRule="auto"/>
        <w:ind w:firstLine="420" w:firstLineChars="200"/>
        <w:rPr>
          <w:rFonts w:ascii="宋体" w:hAnsi="宋体" w:cs="仿宋"/>
          <w:szCs w:val="21"/>
          <w:highlight w:val="none"/>
        </w:rPr>
      </w:pPr>
      <w:r>
        <w:rPr>
          <w:rFonts w:hint="eastAsia" w:ascii="宋体" w:hAnsi="宋体" w:cs="仿宋"/>
          <w:szCs w:val="21"/>
          <w:highlight w:val="none"/>
        </w:rPr>
        <w:t>二、供应商在本项目磋商中，不存在与其它供应商负责人为同一人，有控股、管理等关联关系承诺。</w:t>
      </w:r>
    </w:p>
    <w:p>
      <w:pPr>
        <w:autoSpaceDE w:val="0"/>
        <w:autoSpaceDN w:val="0"/>
        <w:adjustRightInd w:val="0"/>
        <w:spacing w:line="360" w:lineRule="auto"/>
        <w:ind w:firstLine="420" w:firstLineChars="200"/>
        <w:rPr>
          <w:rFonts w:ascii="宋体" w:hAnsi="宋体" w:cs="仿宋"/>
          <w:szCs w:val="21"/>
          <w:highlight w:val="none"/>
        </w:rPr>
      </w:pPr>
      <w:r>
        <w:rPr>
          <w:rFonts w:hint="eastAsia" w:ascii="宋体" w:hAnsi="宋体" w:cs="仿宋"/>
          <w:szCs w:val="21"/>
          <w:highlight w:val="none"/>
        </w:rPr>
        <w:t>1.管理关系说明：</w:t>
      </w:r>
    </w:p>
    <w:p>
      <w:pPr>
        <w:autoSpaceDE w:val="0"/>
        <w:autoSpaceDN w:val="0"/>
        <w:adjustRightInd w:val="0"/>
        <w:spacing w:line="360" w:lineRule="auto"/>
        <w:ind w:firstLine="420" w:firstLineChars="200"/>
        <w:rPr>
          <w:rFonts w:ascii="宋体" w:hAnsi="宋体" w:cs="仿宋"/>
          <w:szCs w:val="21"/>
          <w:highlight w:val="none"/>
          <w:u w:val="single"/>
        </w:rPr>
      </w:pPr>
      <w:r>
        <w:rPr>
          <w:rFonts w:hint="eastAsia" w:ascii="宋体" w:hAnsi="宋体" w:cs="仿宋"/>
          <w:szCs w:val="21"/>
          <w:highlight w:val="none"/>
        </w:rPr>
        <w:t>我单位管理的具有独立法人的下属单位：</w:t>
      </w:r>
      <w:r>
        <w:rPr>
          <w:rFonts w:hint="eastAsia" w:ascii="宋体" w:hAnsi="宋体" w:cs="仿宋"/>
          <w:szCs w:val="21"/>
          <w:highlight w:val="none"/>
          <w:u w:val="single"/>
        </w:rPr>
        <w:t xml:space="preserve">      </w:t>
      </w:r>
      <w:r>
        <w:rPr>
          <w:rFonts w:hint="eastAsia" w:ascii="宋体" w:hAnsi="宋体" w:cs="仿宋"/>
          <w:szCs w:val="21"/>
          <w:highlight w:val="none"/>
        </w:rPr>
        <w:t>(没有填无)。</w:t>
      </w:r>
    </w:p>
    <w:p>
      <w:pPr>
        <w:autoSpaceDE w:val="0"/>
        <w:autoSpaceDN w:val="0"/>
        <w:adjustRightInd w:val="0"/>
        <w:spacing w:line="360" w:lineRule="auto"/>
        <w:ind w:firstLine="420" w:firstLineChars="200"/>
        <w:rPr>
          <w:rFonts w:ascii="宋体" w:hAnsi="宋体" w:cs="仿宋"/>
          <w:szCs w:val="21"/>
          <w:highlight w:val="none"/>
        </w:rPr>
      </w:pPr>
      <w:r>
        <w:rPr>
          <w:rFonts w:hint="eastAsia" w:ascii="宋体" w:hAnsi="宋体" w:cs="仿宋"/>
          <w:szCs w:val="21"/>
          <w:highlight w:val="none"/>
        </w:rPr>
        <w:t xml:space="preserve">我单位的上级管理单位 </w:t>
      </w:r>
      <w:r>
        <w:rPr>
          <w:rFonts w:hint="eastAsia" w:ascii="宋体" w:hAnsi="宋体" w:cs="仿宋"/>
          <w:szCs w:val="21"/>
          <w:highlight w:val="none"/>
          <w:u w:val="single"/>
        </w:rPr>
        <w:t xml:space="preserve">            </w:t>
      </w:r>
      <w:r>
        <w:rPr>
          <w:rFonts w:hint="eastAsia" w:ascii="宋体" w:hAnsi="宋体" w:cs="仿宋"/>
          <w:szCs w:val="21"/>
          <w:highlight w:val="none"/>
        </w:rPr>
        <w:t xml:space="preserve"> (没有填无)。</w:t>
      </w:r>
    </w:p>
    <w:p>
      <w:pPr>
        <w:autoSpaceDE w:val="0"/>
        <w:autoSpaceDN w:val="0"/>
        <w:adjustRightInd w:val="0"/>
        <w:spacing w:line="360" w:lineRule="auto"/>
        <w:ind w:firstLine="420" w:firstLineChars="200"/>
        <w:rPr>
          <w:rFonts w:ascii="宋体" w:hAnsi="宋体" w:cs="仿宋"/>
          <w:szCs w:val="21"/>
          <w:highlight w:val="none"/>
        </w:rPr>
      </w:pPr>
      <w:r>
        <w:rPr>
          <w:rFonts w:hint="eastAsia" w:ascii="宋体" w:hAnsi="宋体" w:cs="仿宋"/>
          <w:szCs w:val="21"/>
          <w:highlight w:val="none"/>
        </w:rPr>
        <w:t>2.股权关系说明：</w:t>
      </w:r>
    </w:p>
    <w:p>
      <w:pPr>
        <w:autoSpaceDE w:val="0"/>
        <w:autoSpaceDN w:val="0"/>
        <w:adjustRightInd w:val="0"/>
        <w:spacing w:line="360" w:lineRule="auto"/>
        <w:ind w:firstLine="420" w:firstLineChars="200"/>
        <w:rPr>
          <w:rFonts w:ascii="宋体" w:hAnsi="宋体" w:cs="仿宋"/>
          <w:szCs w:val="21"/>
          <w:highlight w:val="none"/>
        </w:rPr>
      </w:pPr>
      <w:r>
        <w:rPr>
          <w:rFonts w:hint="eastAsia" w:ascii="宋体" w:hAnsi="宋体" w:cs="仿宋"/>
          <w:szCs w:val="21"/>
          <w:highlight w:val="none"/>
        </w:rPr>
        <w:t>我单位控股的单位</w:t>
      </w:r>
      <w:r>
        <w:rPr>
          <w:rFonts w:hint="eastAsia" w:ascii="宋体" w:hAnsi="宋体" w:cs="仿宋"/>
          <w:szCs w:val="21"/>
          <w:highlight w:val="none"/>
          <w:u w:val="single"/>
        </w:rPr>
        <w:t xml:space="preserve">          </w:t>
      </w:r>
      <w:r>
        <w:rPr>
          <w:rFonts w:hint="eastAsia" w:ascii="宋体" w:hAnsi="宋体" w:cs="仿宋"/>
          <w:szCs w:val="21"/>
          <w:highlight w:val="none"/>
        </w:rPr>
        <w:t>(没有填无) 。</w:t>
      </w:r>
    </w:p>
    <w:p>
      <w:pPr>
        <w:autoSpaceDE w:val="0"/>
        <w:autoSpaceDN w:val="0"/>
        <w:adjustRightInd w:val="0"/>
        <w:spacing w:line="360" w:lineRule="auto"/>
        <w:ind w:firstLine="420" w:firstLineChars="200"/>
        <w:rPr>
          <w:rFonts w:ascii="宋体" w:hAnsi="宋体" w:cs="仿宋"/>
          <w:szCs w:val="21"/>
          <w:highlight w:val="none"/>
        </w:rPr>
      </w:pPr>
      <w:r>
        <w:rPr>
          <w:rFonts w:hint="eastAsia" w:ascii="宋体" w:hAnsi="宋体" w:cs="仿宋"/>
          <w:szCs w:val="21"/>
          <w:highlight w:val="none"/>
        </w:rPr>
        <w:t>我单位</w:t>
      </w:r>
      <w:r>
        <w:rPr>
          <w:rFonts w:hint="eastAsia" w:ascii="宋体" w:hAnsi="宋体" w:cs="仿宋"/>
          <w:szCs w:val="21"/>
          <w:highlight w:val="none"/>
          <w:u w:val="single"/>
        </w:rPr>
        <w:t xml:space="preserve">      </w:t>
      </w:r>
      <w:r>
        <w:rPr>
          <w:rFonts w:hint="eastAsia" w:ascii="宋体" w:hAnsi="宋体" w:cs="仿宋"/>
          <w:szCs w:val="21"/>
          <w:highlight w:val="none"/>
        </w:rPr>
        <w:t>(没有填无)被</w:t>
      </w:r>
      <w:r>
        <w:rPr>
          <w:rFonts w:hint="eastAsia" w:ascii="宋体" w:hAnsi="宋体" w:cs="仿宋"/>
          <w:szCs w:val="21"/>
          <w:highlight w:val="none"/>
          <w:u w:val="single"/>
        </w:rPr>
        <w:t xml:space="preserve">   （控股单位全称）  </w:t>
      </w:r>
      <w:r>
        <w:rPr>
          <w:rFonts w:hint="eastAsia" w:ascii="宋体" w:hAnsi="宋体" w:cs="仿宋"/>
          <w:szCs w:val="21"/>
          <w:highlight w:val="none"/>
        </w:rPr>
        <w:t>单位控股。</w:t>
      </w:r>
    </w:p>
    <w:p>
      <w:pPr>
        <w:autoSpaceDE w:val="0"/>
        <w:autoSpaceDN w:val="0"/>
        <w:adjustRightInd w:val="0"/>
        <w:spacing w:line="360" w:lineRule="auto"/>
        <w:ind w:firstLine="420" w:firstLineChars="200"/>
        <w:rPr>
          <w:rFonts w:ascii="宋体" w:hAnsi="宋体" w:cs="仿宋"/>
          <w:szCs w:val="21"/>
          <w:highlight w:val="none"/>
        </w:rPr>
      </w:pPr>
      <w:r>
        <w:rPr>
          <w:rFonts w:hint="eastAsia" w:ascii="宋体" w:hAnsi="宋体" w:cs="仿宋"/>
          <w:szCs w:val="21"/>
          <w:highlight w:val="none"/>
        </w:rPr>
        <w:t>3.单位负责人：</w:t>
      </w:r>
      <w:r>
        <w:rPr>
          <w:rFonts w:hint="eastAsia" w:ascii="宋体" w:hAnsi="宋体" w:cs="仿宋"/>
          <w:szCs w:val="21"/>
          <w:highlight w:val="none"/>
          <w:u w:val="single"/>
        </w:rPr>
        <w:t xml:space="preserve">        </w:t>
      </w:r>
      <w:r>
        <w:rPr>
          <w:rFonts w:hint="eastAsia" w:ascii="宋体" w:hAnsi="宋体" w:cs="仿宋"/>
          <w:szCs w:val="21"/>
          <w:highlight w:val="none"/>
        </w:rPr>
        <w:t xml:space="preserve"> (没有填无)。</w:t>
      </w:r>
    </w:p>
    <w:p>
      <w:pPr>
        <w:autoSpaceDE w:val="0"/>
        <w:autoSpaceDN w:val="0"/>
        <w:adjustRightInd w:val="0"/>
        <w:spacing w:line="360" w:lineRule="auto"/>
        <w:ind w:firstLine="420" w:firstLineChars="200"/>
        <w:rPr>
          <w:rFonts w:ascii="宋体" w:hAnsi="宋体" w:cs="仿宋"/>
          <w:szCs w:val="21"/>
          <w:highlight w:val="none"/>
        </w:rPr>
      </w:pPr>
      <w:r>
        <w:rPr>
          <w:rFonts w:hint="eastAsia" w:ascii="宋体" w:hAnsi="宋体" w:cs="仿宋"/>
          <w:szCs w:val="21"/>
          <w:highlight w:val="none"/>
        </w:rPr>
        <w:t>三、我单位</w:t>
      </w:r>
      <w:r>
        <w:rPr>
          <w:rFonts w:hint="eastAsia" w:ascii="宋体" w:hAnsi="宋体" w:cs="仿宋"/>
          <w:szCs w:val="21"/>
          <w:highlight w:val="none"/>
          <w:u w:val="single"/>
        </w:rPr>
        <w:t xml:space="preserve">          </w:t>
      </w:r>
      <w:r>
        <w:rPr>
          <w:rFonts w:hint="eastAsia" w:ascii="宋体" w:hAnsi="宋体" w:cs="仿宋"/>
          <w:szCs w:val="21"/>
          <w:highlight w:val="none"/>
        </w:rPr>
        <w:t>（是或否） 为本采购项目提供过整体设计、规范编制或者项目管理、监理、检测等服务的供应商。</w:t>
      </w:r>
    </w:p>
    <w:p>
      <w:pPr>
        <w:autoSpaceDE w:val="0"/>
        <w:autoSpaceDN w:val="0"/>
        <w:adjustRightInd w:val="0"/>
        <w:spacing w:line="360" w:lineRule="auto"/>
        <w:ind w:firstLine="420" w:firstLineChars="200"/>
        <w:rPr>
          <w:rFonts w:ascii="宋体" w:hAnsi="宋体" w:cs="仿宋"/>
          <w:szCs w:val="21"/>
          <w:highlight w:val="none"/>
        </w:rPr>
      </w:pPr>
      <w:r>
        <w:rPr>
          <w:rFonts w:hint="eastAsia" w:ascii="宋体" w:hAnsi="宋体" w:cs="仿宋"/>
          <w:szCs w:val="21"/>
          <w:highlight w:val="none"/>
        </w:rPr>
        <w:t>四、其他与本项目有关的利害关系说明。</w:t>
      </w:r>
    </w:p>
    <w:p>
      <w:pPr>
        <w:autoSpaceDE w:val="0"/>
        <w:autoSpaceDN w:val="0"/>
        <w:adjustRightInd w:val="0"/>
        <w:spacing w:line="360" w:lineRule="auto"/>
        <w:ind w:firstLine="420" w:firstLineChars="200"/>
        <w:rPr>
          <w:rFonts w:ascii="宋体" w:hAnsi="宋体"/>
          <w:szCs w:val="21"/>
          <w:highlight w:val="none"/>
        </w:rPr>
      </w:pPr>
      <w:r>
        <w:rPr>
          <w:rFonts w:hint="eastAsia" w:ascii="宋体" w:hAnsi="宋体" w:cs="仿宋"/>
          <w:szCs w:val="21"/>
          <w:highlight w:val="none"/>
        </w:rPr>
        <w:t>我单位承诺以上说明真实有效，无虚假内容或隐瞒。</w:t>
      </w:r>
    </w:p>
    <w:p>
      <w:pPr>
        <w:spacing w:line="360" w:lineRule="auto"/>
        <w:ind w:firstLine="1920" w:firstLineChars="800"/>
        <w:rPr>
          <w:rFonts w:ascii="宋体" w:hAnsi="宋体"/>
          <w:sz w:val="24"/>
          <w:highlight w:val="none"/>
        </w:rPr>
      </w:pPr>
    </w:p>
    <w:p>
      <w:pPr>
        <w:spacing w:line="360" w:lineRule="auto"/>
        <w:ind w:firstLine="1920" w:firstLineChars="800"/>
        <w:rPr>
          <w:rFonts w:ascii="宋体" w:hAnsi="宋体"/>
          <w:sz w:val="24"/>
          <w:highlight w:val="none"/>
        </w:rPr>
      </w:pPr>
    </w:p>
    <w:p>
      <w:pPr>
        <w:pStyle w:val="2"/>
        <w:rPr>
          <w:rFonts w:ascii="宋体" w:hAnsi="宋体"/>
          <w:sz w:val="24"/>
          <w:highlight w:val="none"/>
        </w:rPr>
      </w:pPr>
    </w:p>
    <w:p>
      <w:pPr>
        <w:pStyle w:val="2"/>
        <w:rPr>
          <w:rFonts w:ascii="宋体" w:hAnsi="宋体"/>
          <w:sz w:val="24"/>
          <w:highlight w:val="none"/>
        </w:rPr>
      </w:pPr>
    </w:p>
    <w:p>
      <w:pPr>
        <w:pStyle w:val="2"/>
        <w:rPr>
          <w:rFonts w:ascii="宋体" w:hAnsi="宋体"/>
          <w:sz w:val="24"/>
          <w:highlight w:val="none"/>
        </w:rPr>
      </w:pPr>
    </w:p>
    <w:p>
      <w:pPr>
        <w:pStyle w:val="2"/>
        <w:ind w:firstLine="0"/>
        <w:rPr>
          <w:rFonts w:ascii="宋体" w:hAnsi="宋体"/>
          <w:sz w:val="24"/>
          <w:highlight w:val="none"/>
        </w:rPr>
      </w:pPr>
    </w:p>
    <w:p>
      <w:pPr>
        <w:snapToGrid w:val="0"/>
        <w:spacing w:line="360" w:lineRule="auto"/>
        <w:rPr>
          <w:rFonts w:ascii="宋体" w:hAnsi="宋体"/>
          <w:b/>
          <w:szCs w:val="21"/>
          <w:highlight w:val="none"/>
        </w:rPr>
      </w:pPr>
    </w:p>
    <w:p>
      <w:pPr>
        <w:spacing w:line="360" w:lineRule="auto"/>
        <w:ind w:firstLine="3360" w:firstLineChars="1600"/>
        <w:rPr>
          <w:rFonts w:ascii="宋体" w:hAnsi="宋体"/>
          <w:szCs w:val="21"/>
          <w:highlight w:val="none"/>
          <w:u w:val="single"/>
        </w:rPr>
      </w:pPr>
      <w:r>
        <w:rPr>
          <w:rFonts w:hint="eastAsia" w:ascii="宋体" w:hAnsi="宋体"/>
          <w:szCs w:val="21"/>
          <w:highlight w:val="none"/>
        </w:rPr>
        <w:t xml:space="preserve">供应商（公章）： </w:t>
      </w:r>
      <w:r>
        <w:rPr>
          <w:rFonts w:hint="eastAsia" w:ascii="宋体" w:hAnsi="宋体"/>
          <w:szCs w:val="21"/>
          <w:highlight w:val="none"/>
          <w:u w:val="single"/>
        </w:rPr>
        <w:t xml:space="preserve">                              </w:t>
      </w:r>
    </w:p>
    <w:p>
      <w:pPr>
        <w:spacing w:line="360" w:lineRule="auto"/>
        <w:ind w:firstLine="3360" w:firstLineChars="1600"/>
        <w:rPr>
          <w:rFonts w:ascii="宋体" w:hAnsi="宋体"/>
          <w:szCs w:val="21"/>
          <w:highlight w:val="none"/>
          <w:u w:val="single"/>
        </w:rPr>
      </w:pPr>
      <w:r>
        <w:rPr>
          <w:rFonts w:hint="eastAsia" w:ascii="宋体" w:hAnsi="宋体"/>
          <w:szCs w:val="21"/>
          <w:highlight w:val="none"/>
        </w:rPr>
        <w:t>法定代表人（签字或盖章）：</w:t>
      </w:r>
      <w:r>
        <w:rPr>
          <w:rFonts w:hint="eastAsia" w:ascii="宋体" w:hAnsi="宋体"/>
          <w:szCs w:val="21"/>
          <w:highlight w:val="none"/>
          <w:u w:val="single"/>
        </w:rPr>
        <w:t xml:space="preserve">                     </w:t>
      </w:r>
    </w:p>
    <w:p>
      <w:pPr>
        <w:spacing w:line="360" w:lineRule="auto"/>
        <w:ind w:firstLine="3360" w:firstLineChars="1600"/>
        <w:rPr>
          <w:rFonts w:ascii="宋体" w:hAnsi="宋体"/>
          <w:szCs w:val="21"/>
          <w:highlight w:val="none"/>
          <w:u w:val="single"/>
        </w:rPr>
      </w:pPr>
      <w:r>
        <w:rPr>
          <w:rFonts w:hint="eastAsia" w:ascii="宋体" w:hAnsi="宋体"/>
          <w:szCs w:val="21"/>
          <w:highlight w:val="none"/>
        </w:rPr>
        <w:t>日    期：</w:t>
      </w:r>
      <w:r>
        <w:rPr>
          <w:rFonts w:hint="eastAsia" w:ascii="宋体" w:hAnsi="宋体"/>
          <w:szCs w:val="21"/>
          <w:highlight w:val="none"/>
          <w:u w:val="single"/>
        </w:rPr>
        <w:t xml:space="preserve">                                     </w:t>
      </w:r>
    </w:p>
    <w:p>
      <w:r>
        <w:rPr>
          <w:rFonts w:ascii="宋体" w:hAnsi="宋体"/>
          <w:sz w:val="21"/>
          <w:szCs w:val="21"/>
          <w:highlight w:val="none"/>
          <w:u w:val="single"/>
        </w:rPr>
        <w:br w:type="page"/>
      </w:r>
    </w:p>
    <w:p>
      <w:pPr>
        <w:adjustRightInd w:val="0"/>
        <w:snapToGrid w:val="0"/>
        <w:spacing w:line="360" w:lineRule="auto"/>
        <w:rPr>
          <w:rFonts w:ascii="宋体" w:hAnsi="宋体"/>
          <w:b/>
          <w:sz w:val="24"/>
          <w:szCs w:val="24"/>
          <w:highlight w:val="none"/>
        </w:rPr>
      </w:pPr>
      <w:r>
        <w:rPr>
          <w:rFonts w:hint="eastAsia" w:ascii="宋体" w:hAnsi="宋体"/>
          <w:b/>
          <w:sz w:val="24"/>
          <w:highlight w:val="none"/>
        </w:rPr>
        <w:t xml:space="preserve">附件8：      </w:t>
      </w:r>
      <w:r>
        <w:rPr>
          <w:rFonts w:hint="eastAsia" w:ascii="宋体" w:hAnsi="宋体"/>
          <w:b/>
          <w:sz w:val="24"/>
          <w:szCs w:val="24"/>
          <w:highlight w:val="none"/>
        </w:rPr>
        <w:t xml:space="preserve">         </w:t>
      </w:r>
      <w:r>
        <w:rPr>
          <w:rFonts w:ascii="宋体" w:hAnsi="宋体"/>
          <w:b/>
          <w:sz w:val="24"/>
          <w:szCs w:val="24"/>
          <w:highlight w:val="none"/>
        </w:rPr>
        <w:t>拒绝政府采购领域商业贿赂承诺书</w:t>
      </w:r>
    </w:p>
    <w:p>
      <w:pPr>
        <w:pStyle w:val="2"/>
        <w:rPr>
          <w:highlight w:val="none"/>
        </w:rPr>
      </w:pPr>
    </w:p>
    <w:p>
      <w:pPr>
        <w:autoSpaceDE w:val="0"/>
        <w:autoSpaceDN w:val="0"/>
        <w:adjustRightInd w:val="0"/>
        <w:spacing w:line="360" w:lineRule="auto"/>
        <w:ind w:firstLine="420" w:firstLineChars="200"/>
        <w:rPr>
          <w:rFonts w:ascii="宋体" w:hAnsi="宋体"/>
          <w:szCs w:val="21"/>
          <w:highlight w:val="none"/>
          <w:lang w:val="zh-CN"/>
        </w:rPr>
      </w:pPr>
      <w:r>
        <w:rPr>
          <w:rFonts w:hint="eastAsia" w:ascii="宋体" w:hAnsi="宋体"/>
          <w:szCs w:val="21"/>
          <w:highlight w:val="none"/>
          <w:lang w:val="zh-CN"/>
        </w:rPr>
        <w:t>为响应党中央、国务院关于治理政府采购领域商业贿赂行为的号召，我公司在此庄严承诺：</w:t>
      </w:r>
    </w:p>
    <w:p>
      <w:pPr>
        <w:autoSpaceDE w:val="0"/>
        <w:autoSpaceDN w:val="0"/>
        <w:adjustRightInd w:val="0"/>
        <w:spacing w:line="360" w:lineRule="auto"/>
        <w:ind w:firstLine="420" w:firstLineChars="200"/>
        <w:rPr>
          <w:rFonts w:ascii="宋体" w:hAnsi="宋体"/>
          <w:szCs w:val="21"/>
          <w:highlight w:val="none"/>
          <w:lang w:val="zh-CN"/>
        </w:rPr>
      </w:pPr>
      <w:r>
        <w:rPr>
          <w:rFonts w:hint="eastAsia" w:ascii="宋体" w:hAnsi="宋体"/>
          <w:szCs w:val="21"/>
          <w:highlight w:val="none"/>
          <w:lang w:val="zh-CN"/>
        </w:rPr>
        <w:t xml:space="preserve">    一、在参与政府采购活动中遵纪守法、诚信经营、公平竞标。</w:t>
      </w:r>
    </w:p>
    <w:p>
      <w:pPr>
        <w:autoSpaceDE w:val="0"/>
        <w:autoSpaceDN w:val="0"/>
        <w:adjustRightInd w:val="0"/>
        <w:spacing w:line="360" w:lineRule="auto"/>
        <w:ind w:firstLine="420" w:firstLineChars="200"/>
        <w:rPr>
          <w:rFonts w:ascii="宋体" w:hAnsi="宋体"/>
          <w:szCs w:val="21"/>
          <w:highlight w:val="none"/>
          <w:lang w:val="zh-CN"/>
        </w:rPr>
      </w:pPr>
      <w:r>
        <w:rPr>
          <w:rFonts w:hint="eastAsia" w:ascii="宋体" w:hAnsi="宋体"/>
          <w:szCs w:val="21"/>
          <w:highlight w:val="none"/>
          <w:lang w:val="zh-CN"/>
        </w:rPr>
        <w:t xml:space="preserve">    二、不向政府采购人、采购代理机构和政府采购评审专家进行任何形式的商业贿赂以谋取交易机会。</w:t>
      </w:r>
    </w:p>
    <w:p>
      <w:pPr>
        <w:autoSpaceDE w:val="0"/>
        <w:autoSpaceDN w:val="0"/>
        <w:adjustRightInd w:val="0"/>
        <w:spacing w:line="360" w:lineRule="auto"/>
        <w:ind w:firstLine="420" w:firstLineChars="200"/>
        <w:rPr>
          <w:rFonts w:ascii="宋体" w:hAnsi="宋体"/>
          <w:szCs w:val="21"/>
          <w:highlight w:val="none"/>
          <w:lang w:val="zh-CN"/>
        </w:rPr>
      </w:pPr>
      <w:r>
        <w:rPr>
          <w:rFonts w:hint="eastAsia" w:ascii="宋体" w:hAnsi="宋体"/>
          <w:szCs w:val="21"/>
          <w:highlight w:val="none"/>
          <w:lang w:val="zh-CN"/>
        </w:rPr>
        <w:t xml:space="preserve">    三、不向政府采购代理机构和采购人提供虚假资质证明文件或采用虚假应标方式参与政府采购市场竞争并谋取中标、成交。</w:t>
      </w:r>
    </w:p>
    <w:p>
      <w:pPr>
        <w:autoSpaceDE w:val="0"/>
        <w:autoSpaceDN w:val="0"/>
        <w:adjustRightInd w:val="0"/>
        <w:spacing w:line="360" w:lineRule="auto"/>
        <w:ind w:firstLine="420" w:firstLineChars="200"/>
        <w:rPr>
          <w:rFonts w:ascii="宋体" w:hAnsi="宋体"/>
          <w:szCs w:val="21"/>
          <w:highlight w:val="none"/>
          <w:lang w:val="zh-CN"/>
        </w:rPr>
      </w:pPr>
      <w:r>
        <w:rPr>
          <w:rFonts w:hint="eastAsia" w:ascii="宋体" w:hAnsi="宋体"/>
          <w:szCs w:val="21"/>
          <w:highlight w:val="none"/>
          <w:lang w:val="zh-CN"/>
        </w:rPr>
        <w:t xml:space="preserve">    四、不采取“围标、陪标”等商业欺诈手段获得政府采购订单。</w:t>
      </w:r>
    </w:p>
    <w:p>
      <w:pPr>
        <w:autoSpaceDE w:val="0"/>
        <w:autoSpaceDN w:val="0"/>
        <w:adjustRightInd w:val="0"/>
        <w:spacing w:line="360" w:lineRule="auto"/>
        <w:ind w:firstLine="420" w:firstLineChars="200"/>
        <w:rPr>
          <w:rFonts w:ascii="宋体" w:hAnsi="宋体"/>
          <w:szCs w:val="21"/>
          <w:highlight w:val="none"/>
          <w:lang w:val="zh-CN"/>
        </w:rPr>
      </w:pPr>
      <w:r>
        <w:rPr>
          <w:rFonts w:hint="eastAsia" w:ascii="宋体" w:hAnsi="宋体"/>
          <w:szCs w:val="21"/>
          <w:highlight w:val="none"/>
          <w:lang w:val="zh-CN"/>
        </w:rPr>
        <w:t xml:space="preserve">    五、不采取不正当手段诋毁、排挤其他供应商。</w:t>
      </w:r>
    </w:p>
    <w:p>
      <w:pPr>
        <w:autoSpaceDE w:val="0"/>
        <w:autoSpaceDN w:val="0"/>
        <w:adjustRightInd w:val="0"/>
        <w:spacing w:line="360" w:lineRule="auto"/>
        <w:ind w:firstLine="420" w:firstLineChars="200"/>
        <w:rPr>
          <w:rFonts w:ascii="宋体" w:hAnsi="宋体"/>
          <w:szCs w:val="21"/>
          <w:highlight w:val="none"/>
          <w:lang w:val="zh-CN"/>
        </w:rPr>
      </w:pPr>
      <w:r>
        <w:rPr>
          <w:rFonts w:hint="eastAsia" w:ascii="宋体" w:hAnsi="宋体"/>
          <w:szCs w:val="21"/>
          <w:highlight w:val="none"/>
          <w:lang w:val="zh-CN"/>
        </w:rPr>
        <w:t xml:space="preserve">    六、不在提供货物和服务时“偷梁换柱、以次充好”损害采购人的合法权益。</w:t>
      </w:r>
    </w:p>
    <w:p>
      <w:pPr>
        <w:autoSpaceDE w:val="0"/>
        <w:autoSpaceDN w:val="0"/>
        <w:adjustRightInd w:val="0"/>
        <w:spacing w:line="360" w:lineRule="auto"/>
        <w:ind w:firstLine="420" w:firstLineChars="200"/>
        <w:rPr>
          <w:rFonts w:ascii="宋体" w:hAnsi="宋体"/>
          <w:szCs w:val="21"/>
          <w:highlight w:val="none"/>
          <w:lang w:val="zh-CN"/>
        </w:rPr>
      </w:pPr>
      <w:r>
        <w:rPr>
          <w:rFonts w:hint="eastAsia" w:ascii="宋体" w:hAnsi="宋体"/>
          <w:szCs w:val="21"/>
          <w:highlight w:val="none"/>
          <w:lang w:val="zh-CN"/>
        </w:rPr>
        <w:t xml:space="preserve">    七、不与采购人、采购代理机构、政府采购评审专家或其它供应商恶意串通，进行质疑和投诉，维护政府采购市场秩序。</w:t>
      </w:r>
    </w:p>
    <w:p>
      <w:pPr>
        <w:autoSpaceDE w:val="0"/>
        <w:autoSpaceDN w:val="0"/>
        <w:adjustRightInd w:val="0"/>
        <w:spacing w:line="360" w:lineRule="auto"/>
        <w:ind w:firstLine="420" w:firstLineChars="200"/>
        <w:rPr>
          <w:rFonts w:ascii="宋体" w:hAnsi="宋体"/>
          <w:szCs w:val="21"/>
          <w:highlight w:val="none"/>
          <w:lang w:val="zh-CN"/>
        </w:rPr>
      </w:pPr>
      <w:r>
        <w:rPr>
          <w:rFonts w:hint="eastAsia" w:ascii="宋体" w:hAnsi="宋体"/>
          <w:szCs w:val="21"/>
          <w:highlight w:val="none"/>
          <w:lang w:val="zh-CN"/>
        </w:rPr>
        <w:t xml:space="preserve">    八、尊重和接受政府采购监督管理部门的监督和政府采购代理机构招标采购要求，承担因违约行为给采购人造成的损失。</w:t>
      </w:r>
    </w:p>
    <w:p>
      <w:pPr>
        <w:autoSpaceDE w:val="0"/>
        <w:autoSpaceDN w:val="0"/>
        <w:adjustRightInd w:val="0"/>
        <w:spacing w:line="360" w:lineRule="auto"/>
        <w:ind w:firstLine="420" w:firstLineChars="200"/>
        <w:rPr>
          <w:rFonts w:ascii="宋体" w:hAnsi="宋体"/>
          <w:szCs w:val="21"/>
          <w:highlight w:val="none"/>
          <w:lang w:val="zh-CN"/>
        </w:rPr>
      </w:pPr>
      <w:r>
        <w:rPr>
          <w:rFonts w:hint="eastAsia" w:ascii="宋体" w:hAnsi="宋体"/>
          <w:szCs w:val="21"/>
          <w:highlight w:val="none"/>
          <w:lang w:val="zh-CN"/>
        </w:rPr>
        <w:t xml:space="preserve">    九、不发生其他有悖于政府采购公开、公平、公正和诚信原则的行为</w:t>
      </w:r>
      <w:r>
        <w:rPr>
          <w:rFonts w:ascii="宋体" w:hAnsi="宋体"/>
          <w:szCs w:val="21"/>
          <w:highlight w:val="none"/>
          <w:lang w:val="zh-CN"/>
        </w:rPr>
        <w:t>。</w:t>
      </w:r>
      <w:r>
        <w:rPr>
          <w:rFonts w:hint="eastAsia" w:ascii="宋体" w:hAnsi="宋体"/>
          <w:szCs w:val="21"/>
          <w:highlight w:val="none"/>
          <w:lang w:val="zh-CN"/>
        </w:rPr>
        <w:t xml:space="preserve">                                    </w:t>
      </w:r>
    </w:p>
    <w:p>
      <w:pPr>
        <w:autoSpaceDE w:val="0"/>
        <w:autoSpaceDN w:val="0"/>
        <w:adjustRightInd w:val="0"/>
        <w:spacing w:line="560" w:lineRule="exact"/>
        <w:ind w:firstLine="480" w:firstLineChars="200"/>
        <w:rPr>
          <w:rFonts w:ascii="宋体" w:hAnsi="宋体"/>
          <w:sz w:val="24"/>
          <w:highlight w:val="none"/>
          <w:lang w:val="zh-CN"/>
        </w:rPr>
      </w:pPr>
    </w:p>
    <w:p>
      <w:pPr>
        <w:pStyle w:val="2"/>
        <w:rPr>
          <w:highlight w:val="none"/>
          <w:lang w:val="zh-CN"/>
        </w:rPr>
      </w:pPr>
    </w:p>
    <w:p>
      <w:pPr>
        <w:autoSpaceDE w:val="0"/>
        <w:autoSpaceDN w:val="0"/>
        <w:adjustRightInd w:val="0"/>
        <w:spacing w:line="560" w:lineRule="exact"/>
        <w:ind w:firstLine="480" w:firstLineChars="200"/>
        <w:rPr>
          <w:rFonts w:ascii="宋体" w:hAnsi="宋体"/>
          <w:sz w:val="24"/>
          <w:highlight w:val="none"/>
          <w:lang w:val="zh-CN"/>
        </w:rPr>
      </w:pPr>
    </w:p>
    <w:p>
      <w:pPr>
        <w:spacing w:line="360" w:lineRule="auto"/>
        <w:ind w:firstLine="3360" w:firstLineChars="1600"/>
        <w:rPr>
          <w:rFonts w:ascii="宋体" w:hAnsi="宋体"/>
          <w:szCs w:val="21"/>
          <w:highlight w:val="none"/>
          <w:u w:val="single"/>
        </w:rPr>
      </w:pPr>
      <w:r>
        <w:rPr>
          <w:rFonts w:hint="eastAsia" w:ascii="宋体" w:hAnsi="宋体"/>
          <w:szCs w:val="21"/>
          <w:highlight w:val="none"/>
        </w:rPr>
        <w:t xml:space="preserve">供应商（公章）： </w:t>
      </w:r>
      <w:r>
        <w:rPr>
          <w:rFonts w:hint="eastAsia" w:ascii="宋体" w:hAnsi="宋体"/>
          <w:szCs w:val="21"/>
          <w:highlight w:val="none"/>
          <w:u w:val="single"/>
        </w:rPr>
        <w:t xml:space="preserve">                              </w:t>
      </w:r>
    </w:p>
    <w:p>
      <w:pPr>
        <w:spacing w:line="360" w:lineRule="auto"/>
        <w:ind w:firstLine="3360" w:firstLineChars="1600"/>
        <w:rPr>
          <w:rFonts w:ascii="宋体" w:hAnsi="宋体"/>
          <w:szCs w:val="21"/>
          <w:highlight w:val="none"/>
          <w:u w:val="single"/>
        </w:rPr>
      </w:pPr>
      <w:r>
        <w:rPr>
          <w:rFonts w:hint="eastAsia" w:ascii="宋体" w:hAnsi="宋体"/>
          <w:szCs w:val="21"/>
          <w:highlight w:val="none"/>
        </w:rPr>
        <w:t>法定代表人（签字或盖章）：</w:t>
      </w:r>
      <w:r>
        <w:rPr>
          <w:rFonts w:hint="eastAsia" w:ascii="宋体" w:hAnsi="宋体"/>
          <w:szCs w:val="21"/>
          <w:highlight w:val="none"/>
          <w:u w:val="single"/>
        </w:rPr>
        <w:t xml:space="preserve">                     </w:t>
      </w:r>
    </w:p>
    <w:p>
      <w:pPr>
        <w:spacing w:line="360" w:lineRule="auto"/>
        <w:ind w:firstLine="3360" w:firstLineChars="1600"/>
        <w:rPr>
          <w:rFonts w:ascii="宋体" w:hAnsi="宋体"/>
          <w:szCs w:val="21"/>
          <w:highlight w:val="none"/>
          <w:u w:val="single"/>
        </w:rPr>
      </w:pPr>
      <w:r>
        <w:rPr>
          <w:rFonts w:hint="eastAsia" w:ascii="宋体" w:hAnsi="宋体"/>
          <w:szCs w:val="21"/>
          <w:highlight w:val="none"/>
        </w:rPr>
        <w:t>日    期：</w:t>
      </w:r>
      <w:r>
        <w:rPr>
          <w:rFonts w:hint="eastAsia" w:ascii="宋体" w:hAnsi="宋体"/>
          <w:szCs w:val="21"/>
          <w:highlight w:val="none"/>
          <w:u w:val="single"/>
        </w:rPr>
        <w:t xml:space="preserve">                                     </w:t>
      </w:r>
    </w:p>
    <w:bookmarkEnd w:id="605"/>
    <w:bookmarkEnd w:id="606"/>
    <w:bookmarkEnd w:id="607"/>
    <w:bookmarkEnd w:id="608"/>
    <w:p>
      <w:r>
        <w:rPr>
          <w:rFonts w:ascii="宋体" w:hAnsi="宋体" w:cs="宋体"/>
          <w:highlight w:val="none"/>
        </w:rPr>
        <w:br w:type="page"/>
      </w:r>
    </w:p>
    <w:p>
      <w:pPr>
        <w:pStyle w:val="7"/>
        <w:adjustRightInd w:val="0"/>
        <w:spacing w:line="416" w:lineRule="atLeast"/>
        <w:jc w:val="center"/>
        <w:textAlignment w:val="baseline"/>
        <w:outlineLvl w:val="0"/>
        <w:rPr>
          <w:rFonts w:ascii="宋体" w:hAnsi="宋体" w:eastAsia="宋体"/>
          <w:kern w:val="2"/>
          <w:sz w:val="24"/>
          <w:szCs w:val="24"/>
          <w:highlight w:val="none"/>
        </w:rPr>
      </w:pPr>
      <w:bookmarkStart w:id="621" w:name="_Toc10282"/>
      <w:bookmarkStart w:id="622" w:name="_Toc29985"/>
      <w:r>
        <w:rPr>
          <w:rFonts w:hint="eastAsia" w:ascii="宋体" w:hAnsi="宋体" w:eastAsia="宋体" w:cs="宋体"/>
          <w:highlight w:val="none"/>
        </w:rPr>
        <w:t>八</w:t>
      </w:r>
      <w:r>
        <w:rPr>
          <w:rFonts w:hint="eastAsia" w:ascii="宋体" w:hAnsi="宋体" w:eastAsia="宋体" w:cs="宋体"/>
          <w:szCs w:val="32"/>
          <w:highlight w:val="none"/>
        </w:rPr>
        <w:t>、</w:t>
      </w:r>
      <w:bookmarkEnd w:id="621"/>
      <w:r>
        <w:rPr>
          <w:rFonts w:hint="eastAsia" w:ascii="宋体" w:hAnsi="宋体" w:eastAsia="宋体"/>
          <w:kern w:val="2"/>
          <w:szCs w:val="32"/>
          <w:highlight w:val="none"/>
        </w:rPr>
        <w:t>技术方案</w:t>
      </w:r>
      <w:bookmarkEnd w:id="622"/>
    </w:p>
    <w:p>
      <w:pPr>
        <w:rPr>
          <w:highlight w:val="none"/>
        </w:rPr>
      </w:pPr>
    </w:p>
    <w:p>
      <w:pPr>
        <w:spacing w:line="360" w:lineRule="auto"/>
        <w:jc w:val="center"/>
        <w:rPr>
          <w:rFonts w:ascii="宋体" w:hAnsi="宋体" w:cs="宋体"/>
          <w:sz w:val="24"/>
          <w:szCs w:val="24"/>
          <w:highlight w:val="none"/>
        </w:rPr>
      </w:pPr>
    </w:p>
    <w:p>
      <w:pPr>
        <w:spacing w:line="360" w:lineRule="auto"/>
        <w:jc w:val="center"/>
        <w:rPr>
          <w:rFonts w:ascii="宋体" w:hAnsi="宋体" w:cs="宋体"/>
          <w:highlight w:val="none"/>
        </w:rPr>
      </w:pPr>
      <w:r>
        <w:rPr>
          <w:rFonts w:hint="eastAsia" w:ascii="宋体" w:hAnsi="宋体" w:cs="宋体"/>
          <w:sz w:val="24"/>
          <w:szCs w:val="24"/>
          <w:highlight w:val="none"/>
        </w:rPr>
        <w:t>（供应商根据办法自行编制，格式自拟）</w:t>
      </w:r>
    </w:p>
    <w:p>
      <w:bookmarkStart w:id="623" w:name="_Toc29691"/>
      <w:bookmarkStart w:id="624" w:name="_Toc3614"/>
      <w:bookmarkStart w:id="625" w:name="_Toc30712"/>
      <w:bookmarkStart w:id="626" w:name="_Toc23136"/>
      <w:bookmarkStart w:id="627" w:name="_Toc24033"/>
      <w:bookmarkStart w:id="628" w:name="_Toc22211"/>
      <w:bookmarkStart w:id="629" w:name="_Toc30033"/>
      <w:bookmarkStart w:id="630" w:name="_Toc9756"/>
      <w:bookmarkStart w:id="631" w:name="_Toc16513"/>
      <w:bookmarkStart w:id="632" w:name="_Toc7468"/>
      <w:bookmarkStart w:id="633" w:name="_Toc454350617"/>
      <w:bookmarkStart w:id="634" w:name="_Toc25131"/>
      <w:bookmarkStart w:id="635" w:name="_Toc7524518"/>
      <w:r>
        <w:rPr>
          <w:rFonts w:ascii="宋体" w:hAnsi="宋体" w:cs="宋体"/>
          <w:b/>
          <w:kern w:val="0"/>
          <w:sz w:val="32"/>
          <w:szCs w:val="20"/>
          <w:highlight w:val="none"/>
        </w:rPr>
        <w:br w:type="page"/>
      </w:r>
    </w:p>
    <w:p>
      <w:pPr>
        <w:jc w:val="center"/>
        <w:outlineLvl w:val="0"/>
        <w:rPr>
          <w:rFonts w:ascii="宋体" w:hAnsi="宋体" w:cs="宋体"/>
          <w:bCs/>
          <w:color w:val="000000"/>
          <w:highlight w:val="none"/>
        </w:rPr>
      </w:pPr>
      <w:bookmarkStart w:id="636" w:name="_Toc23680"/>
      <w:r>
        <w:rPr>
          <w:rFonts w:hint="eastAsia" w:ascii="宋体" w:hAnsi="宋体" w:cs="宋体"/>
          <w:b/>
          <w:kern w:val="0"/>
          <w:sz w:val="32"/>
          <w:szCs w:val="20"/>
          <w:highlight w:val="none"/>
        </w:rPr>
        <w:t>九、供应商认为</w:t>
      </w:r>
      <w:bookmarkEnd w:id="623"/>
      <w:bookmarkEnd w:id="624"/>
      <w:bookmarkEnd w:id="625"/>
      <w:bookmarkEnd w:id="626"/>
      <w:bookmarkEnd w:id="627"/>
      <w:bookmarkEnd w:id="628"/>
      <w:bookmarkEnd w:id="629"/>
      <w:bookmarkEnd w:id="630"/>
      <w:r>
        <w:rPr>
          <w:rFonts w:hint="eastAsia" w:ascii="宋体" w:hAnsi="宋体" w:cs="宋体"/>
          <w:b/>
          <w:kern w:val="0"/>
          <w:sz w:val="32"/>
          <w:szCs w:val="20"/>
          <w:highlight w:val="none"/>
        </w:rPr>
        <w:t>有必要补充的其他资料</w:t>
      </w:r>
      <w:bookmarkEnd w:id="636"/>
    </w:p>
    <w:p>
      <w:pPr>
        <w:rPr>
          <w:rFonts w:ascii="宋体" w:hAnsi="宋体" w:cs="宋体"/>
          <w:bCs/>
          <w:color w:val="000000"/>
          <w:highlight w:val="none"/>
        </w:rPr>
      </w:pPr>
    </w:p>
    <w:p>
      <w:pPr>
        <w:pStyle w:val="3"/>
        <w:rPr>
          <w:rFonts w:ascii="宋体" w:hAnsi="宋体" w:cs="宋体"/>
          <w:highlight w:val="none"/>
        </w:rPr>
      </w:pPr>
    </w:p>
    <w:p>
      <w:pPr>
        <w:spacing w:line="360" w:lineRule="auto"/>
        <w:jc w:val="center"/>
        <w:rPr>
          <w:rFonts w:ascii="宋体" w:hAnsi="宋体" w:cs="宋体"/>
          <w:sz w:val="24"/>
          <w:szCs w:val="24"/>
          <w:highlight w:val="none"/>
        </w:rPr>
      </w:pPr>
    </w:p>
    <w:p>
      <w:pPr>
        <w:spacing w:line="360" w:lineRule="auto"/>
        <w:jc w:val="center"/>
      </w:pPr>
      <w:r>
        <w:rPr>
          <w:rFonts w:hint="eastAsia" w:ascii="宋体" w:hAnsi="宋体" w:cs="宋体"/>
          <w:sz w:val="24"/>
          <w:szCs w:val="24"/>
          <w:highlight w:val="none"/>
        </w:rPr>
        <w:t xml:space="preserve"> （供应商认为对其中标有利的其它书面证明材料，格式自定）</w:t>
      </w:r>
      <w:bookmarkEnd w:id="548"/>
      <w:bookmarkEnd w:id="549"/>
      <w:bookmarkEnd w:id="596"/>
      <w:bookmarkEnd w:id="631"/>
      <w:bookmarkEnd w:id="632"/>
      <w:bookmarkEnd w:id="633"/>
      <w:bookmarkEnd w:id="634"/>
      <w:bookmarkEnd w:id="635"/>
    </w:p>
    <w:sectPr>
      <w:headerReference r:id="rId11" w:type="default"/>
      <w:footerReference r:id="rId12" w:type="default"/>
      <w:pgSz w:w="11910" w:h="16840"/>
      <w:pgMar w:top="1814" w:right="1134" w:bottom="1814" w:left="1134"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D"/>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onsolas">
    <w:panose1 w:val="020B0609020204030204"/>
    <w:charset w:val="00"/>
    <w:family w:val="modern"/>
    <w:pitch w:val="default"/>
    <w:sig w:usb0="E00006FF" w:usb1="0000FCFF" w:usb2="00000001" w:usb3="00000000" w:csb0="6000019F" w:csb1="DFD70000"/>
  </w:font>
  <w:font w:name="Adobe 仿宋 Std R">
    <w:altName w:val="仿宋"/>
    <w:panose1 w:val="02020400000000000000"/>
    <w:charset w:val="86"/>
    <w:family w:val="roman"/>
    <w:pitch w:val="default"/>
    <w:sig w:usb0="00000000" w:usb1="00000000" w:usb2="00000016" w:usb3="00000000" w:csb0="00060007" w:csb1="00000000"/>
  </w:font>
  <w:font w:name="楷体">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方正小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spacing w:line="276" w:lineRule="auto"/>
      <w:jc w:val="center"/>
      <w:rPr>
        <w:rFonts w:ascii="宋体" w:hAnsi="宋体"/>
        <w:b/>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90500" cy="13144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90500" cy="131445"/>
                      </a:xfrm>
                      <a:prstGeom prst="rect">
                        <a:avLst/>
                      </a:prstGeom>
                      <a:noFill/>
                      <a:ln w="9525">
                        <a:noFill/>
                      </a:ln>
                      <a:effectLst/>
                    </wps:spPr>
                    <wps:txbx>
                      <w:txbxContent>
                        <w:p>
                          <w:pPr>
                            <w:pStyle w:val="18"/>
                          </w:pPr>
                          <w:r>
                            <w:fldChar w:fldCharType="begin"/>
                          </w:r>
                          <w:r>
                            <w:instrText xml:space="preserve"> PAGE  \* MERGEFORMAT </w:instrText>
                          </w:r>
                          <w:r>
                            <w:fldChar w:fldCharType="separate"/>
                          </w:r>
                          <w:r>
                            <w:t>2</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0.35pt;width:15pt;mso-position-horizontal:center;mso-position-horizontal-relative:margin;mso-wrap-style:none;z-index:251659264;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KKkUuzQAAAAAwEAAA8AAAAAAAAAAQAgAAAAIgAAAGRy&#10;cy9kb3ducmV2LnhtbFBLAQIUABQAAAAIAIdO4kA/O+1o1AEAAKIDAAAOAAAAAAAAAAEAIAAAAB8B&#10;AABkcnMvZTJvRG9jLnhtbFBLBQYAAAAABgAGAFkBAABlBQAAAAA=&#10;">
              <v:fill on="f" focussize="0,0"/>
              <v:stroke on="f"/>
              <v:imagedata o:title=""/>
              <o:lock v:ext="edit" aspectratio="f"/>
              <v:textbox inset="0mm,0mm,0mm,0mm" style="mso-fit-shape-to-text:t;">
                <w:txbxContent>
                  <w:p>
                    <w:pPr>
                      <w:pStyle w:val="1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jc w:val="left"/>
      <w:rPr>
        <w:rFonts w:ascii="仿宋_GB2312" w:eastAsia="仿宋_GB23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right" w:pos="9240"/>
        <w:tab w:val="clear" w:pos="8306"/>
      </w:tabs>
      <w:ind w:right="19"/>
      <w:jc w:val="center"/>
      <w:rPr>
        <w:rFonts w:ascii="仿宋_GB2312" w:hAnsi="宋体" w:eastAsia="仿宋_GB2312"/>
        <w:kern w:val="0"/>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87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87</w:t>
                    </w:r>
                    <w:r>
                      <w:fldChar w:fldCharType="end"/>
                    </w:r>
                  </w:p>
                </w:txbxContent>
              </v:textbox>
            </v:shape>
          </w:pict>
        </mc:Fallback>
      </mc:AlternateContent>
    </w:r>
    <w:r>
      <w:rPr>
        <w:rFonts w:hint="eastAsia" w:ascii="仿宋_GB2312" w:hAnsi="宋体" w:eastAsia="仿宋_GB2312"/>
        <w:kern w:val="0"/>
        <w:sz w:val="21"/>
        <w:szCs w:val="21"/>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left"/>
    </w:pPr>
    <w:r>
      <w:rPr>
        <w:rFonts w:hint="eastAsia"/>
        <w:sz w:val="21"/>
        <w:szCs w:val="21"/>
        <w:lang w:eastAsia="zh-CN"/>
      </w:rPr>
      <w:t>高陵区养老公寓室外总配套工程高位消防水箱项目</w:t>
    </w:r>
    <w:r>
      <w:rPr>
        <w:rFonts w:hint="eastAsia"/>
        <w:sz w:val="21"/>
        <w:szCs w:val="21"/>
      </w:rPr>
      <w:t xml:space="preserve">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DF2A1F"/>
    <w:multiLevelType w:val="singleLevel"/>
    <w:tmpl w:val="FADF2A1F"/>
    <w:lvl w:ilvl="0" w:tentative="0">
      <w:start w:val="1"/>
      <w:numFmt w:val="decimal"/>
      <w:lvlText w:val="%1."/>
      <w:lvlJc w:val="left"/>
      <w:pPr>
        <w:tabs>
          <w:tab w:val="left" w:pos="312"/>
        </w:tabs>
      </w:pPr>
    </w:lvl>
  </w:abstractNum>
  <w:abstractNum w:abstractNumId="1">
    <w:nsid w:val="FEB1C27F"/>
    <w:multiLevelType w:val="singleLevel"/>
    <w:tmpl w:val="FEB1C27F"/>
    <w:lvl w:ilvl="0" w:tentative="0">
      <w:start w:val="1"/>
      <w:numFmt w:val="decimal"/>
      <w:suff w:val="nothing"/>
      <w:lvlText w:val="%1、"/>
      <w:lvlJc w:val="left"/>
    </w:lvl>
  </w:abstractNum>
  <w:abstractNum w:abstractNumId="2">
    <w:nsid w:val="09F7C3E8"/>
    <w:multiLevelType w:val="singleLevel"/>
    <w:tmpl w:val="09F7C3E8"/>
    <w:lvl w:ilvl="0" w:tentative="0">
      <w:start w:val="2"/>
      <w:numFmt w:val="decimal"/>
      <w:suff w:val="nothing"/>
      <w:lvlText w:val="（%1）"/>
      <w:lvlJc w:val="left"/>
    </w:lvl>
  </w:abstractNum>
  <w:abstractNum w:abstractNumId="3">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pStyle w:val="10"/>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4">
    <w:nsid w:val="48195927"/>
    <w:multiLevelType w:val="singleLevel"/>
    <w:tmpl w:val="48195927"/>
    <w:lvl w:ilvl="0" w:tentative="0">
      <w:start w:val="5"/>
      <w:numFmt w:val="chineseCounting"/>
      <w:suff w:val="nothing"/>
      <w:lvlText w:val="%1、"/>
      <w:lvlJc w:val="left"/>
      <w:pPr>
        <w:ind w:left="2409" w:firstLine="0"/>
      </w:pPr>
      <w:rPr>
        <w:rFonts w:hint="eastAsia"/>
      </w:rPr>
    </w:lvl>
  </w:abstractNum>
  <w:abstractNum w:abstractNumId="5">
    <w:nsid w:val="59CF0981"/>
    <w:multiLevelType w:val="singleLevel"/>
    <w:tmpl w:val="59CF0981"/>
    <w:lvl w:ilvl="0" w:tentative="0">
      <w:start w:val="1"/>
      <w:numFmt w:val="decimal"/>
      <w:suff w:val="nothing"/>
      <w:lvlText w:val="%1、"/>
      <w:lvlJc w:val="left"/>
    </w:lvl>
  </w:abstractNum>
  <w:abstractNum w:abstractNumId="6">
    <w:nsid w:val="74EA0679"/>
    <w:multiLevelType w:val="multilevel"/>
    <w:tmpl w:val="74EA0679"/>
    <w:lvl w:ilvl="0" w:tentative="0">
      <w:start w:val="1"/>
      <w:numFmt w:val="decimal"/>
      <w:lvlText w:val="%1"/>
      <w:lvlJc w:val="left"/>
      <w:pPr>
        <w:tabs>
          <w:tab w:val="left" w:pos="420"/>
        </w:tabs>
        <w:ind w:left="420" w:hanging="25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0"/>
  </w:num>
  <w:num w:numId="4">
    <w:abstractNumId w:val="2"/>
  </w:num>
  <w:num w:numId="5">
    <w:abstractNumId w:val="5"/>
  </w:num>
  <w:num w:numId="6">
    <w:abstractNumId w:val="1"/>
  </w:num>
  <w:num w:numId="7">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2OTFjMTBmN2NlMjE4ZjY1ZWVlMmNjNDdlYjA0ZjMifQ=="/>
  </w:docVars>
  <w:rsids>
    <w:rsidRoot w:val="00B30DDF"/>
    <w:rsid w:val="000215CB"/>
    <w:rsid w:val="000329BE"/>
    <w:rsid w:val="00054DCB"/>
    <w:rsid w:val="000B72C9"/>
    <w:rsid w:val="000C0F09"/>
    <w:rsid w:val="00155291"/>
    <w:rsid w:val="001644D9"/>
    <w:rsid w:val="001743FB"/>
    <w:rsid w:val="00196EBF"/>
    <w:rsid w:val="001A04D1"/>
    <w:rsid w:val="001A31E7"/>
    <w:rsid w:val="001B0665"/>
    <w:rsid w:val="001B068F"/>
    <w:rsid w:val="001F11C4"/>
    <w:rsid w:val="00203DE8"/>
    <w:rsid w:val="0021322E"/>
    <w:rsid w:val="002206FA"/>
    <w:rsid w:val="002375B9"/>
    <w:rsid w:val="00254DC6"/>
    <w:rsid w:val="00267889"/>
    <w:rsid w:val="0028243A"/>
    <w:rsid w:val="002B3627"/>
    <w:rsid w:val="002E06BD"/>
    <w:rsid w:val="002E5840"/>
    <w:rsid w:val="002F3700"/>
    <w:rsid w:val="003146CF"/>
    <w:rsid w:val="003269B4"/>
    <w:rsid w:val="00334646"/>
    <w:rsid w:val="0034213D"/>
    <w:rsid w:val="00342B27"/>
    <w:rsid w:val="003608C8"/>
    <w:rsid w:val="00360991"/>
    <w:rsid w:val="003638DA"/>
    <w:rsid w:val="003913DA"/>
    <w:rsid w:val="003A70E1"/>
    <w:rsid w:val="003B0B0E"/>
    <w:rsid w:val="003C30EF"/>
    <w:rsid w:val="003F3261"/>
    <w:rsid w:val="003F544A"/>
    <w:rsid w:val="00406DBF"/>
    <w:rsid w:val="00456178"/>
    <w:rsid w:val="0046698F"/>
    <w:rsid w:val="00490907"/>
    <w:rsid w:val="00490AD2"/>
    <w:rsid w:val="00491957"/>
    <w:rsid w:val="004C5C0F"/>
    <w:rsid w:val="004C5C60"/>
    <w:rsid w:val="004D09DC"/>
    <w:rsid w:val="004E0776"/>
    <w:rsid w:val="004E5AB9"/>
    <w:rsid w:val="004E63E8"/>
    <w:rsid w:val="004E7F70"/>
    <w:rsid w:val="004F3EE5"/>
    <w:rsid w:val="00510CF3"/>
    <w:rsid w:val="0051205E"/>
    <w:rsid w:val="00534A16"/>
    <w:rsid w:val="005511B5"/>
    <w:rsid w:val="005779C5"/>
    <w:rsid w:val="005A07BF"/>
    <w:rsid w:val="005D3B8B"/>
    <w:rsid w:val="005E2AAC"/>
    <w:rsid w:val="005F64D7"/>
    <w:rsid w:val="0060422A"/>
    <w:rsid w:val="00606D83"/>
    <w:rsid w:val="00612A15"/>
    <w:rsid w:val="00617DA2"/>
    <w:rsid w:val="0064579B"/>
    <w:rsid w:val="0064771B"/>
    <w:rsid w:val="00661B90"/>
    <w:rsid w:val="00666D93"/>
    <w:rsid w:val="00667EC3"/>
    <w:rsid w:val="00680A7D"/>
    <w:rsid w:val="006826D6"/>
    <w:rsid w:val="00687F45"/>
    <w:rsid w:val="006914A1"/>
    <w:rsid w:val="006B6F5A"/>
    <w:rsid w:val="006C2E6B"/>
    <w:rsid w:val="006C313D"/>
    <w:rsid w:val="006E5EE6"/>
    <w:rsid w:val="006F48FF"/>
    <w:rsid w:val="00703FA6"/>
    <w:rsid w:val="00722907"/>
    <w:rsid w:val="00730EDC"/>
    <w:rsid w:val="007A1A40"/>
    <w:rsid w:val="007B3409"/>
    <w:rsid w:val="007E2339"/>
    <w:rsid w:val="007E3BE9"/>
    <w:rsid w:val="007E6093"/>
    <w:rsid w:val="008332CD"/>
    <w:rsid w:val="00851E80"/>
    <w:rsid w:val="00857D9D"/>
    <w:rsid w:val="008F5B4C"/>
    <w:rsid w:val="009110B9"/>
    <w:rsid w:val="00913B5A"/>
    <w:rsid w:val="009309F0"/>
    <w:rsid w:val="00930BCA"/>
    <w:rsid w:val="0093567A"/>
    <w:rsid w:val="009443B0"/>
    <w:rsid w:val="009567D9"/>
    <w:rsid w:val="00975D9C"/>
    <w:rsid w:val="00987C71"/>
    <w:rsid w:val="009B04C9"/>
    <w:rsid w:val="009B6715"/>
    <w:rsid w:val="009C2043"/>
    <w:rsid w:val="009D5B34"/>
    <w:rsid w:val="009E07FE"/>
    <w:rsid w:val="009F4528"/>
    <w:rsid w:val="00A05522"/>
    <w:rsid w:val="00A3756F"/>
    <w:rsid w:val="00A40FBC"/>
    <w:rsid w:val="00A439DB"/>
    <w:rsid w:val="00A64CE7"/>
    <w:rsid w:val="00A82C71"/>
    <w:rsid w:val="00AA632B"/>
    <w:rsid w:val="00AC76F9"/>
    <w:rsid w:val="00AD4FE1"/>
    <w:rsid w:val="00AE1177"/>
    <w:rsid w:val="00B30DDF"/>
    <w:rsid w:val="00B30F2F"/>
    <w:rsid w:val="00B82CE5"/>
    <w:rsid w:val="00B84661"/>
    <w:rsid w:val="00BB2D2F"/>
    <w:rsid w:val="00BC1864"/>
    <w:rsid w:val="00BD28DC"/>
    <w:rsid w:val="00BD648D"/>
    <w:rsid w:val="00BF19FE"/>
    <w:rsid w:val="00BF4EBD"/>
    <w:rsid w:val="00C04570"/>
    <w:rsid w:val="00C1086E"/>
    <w:rsid w:val="00C11463"/>
    <w:rsid w:val="00C327D8"/>
    <w:rsid w:val="00C45D46"/>
    <w:rsid w:val="00C502EE"/>
    <w:rsid w:val="00C719E8"/>
    <w:rsid w:val="00C7336F"/>
    <w:rsid w:val="00C91520"/>
    <w:rsid w:val="00C9739A"/>
    <w:rsid w:val="00CA1A93"/>
    <w:rsid w:val="00CC4F3D"/>
    <w:rsid w:val="00D10A49"/>
    <w:rsid w:val="00D139CC"/>
    <w:rsid w:val="00D51FB8"/>
    <w:rsid w:val="00D53403"/>
    <w:rsid w:val="00D5528E"/>
    <w:rsid w:val="00D6354D"/>
    <w:rsid w:val="00D71DF9"/>
    <w:rsid w:val="00D83A62"/>
    <w:rsid w:val="00D9534A"/>
    <w:rsid w:val="00D97927"/>
    <w:rsid w:val="00DB3030"/>
    <w:rsid w:val="00E01F19"/>
    <w:rsid w:val="00E415FC"/>
    <w:rsid w:val="00E52536"/>
    <w:rsid w:val="00E65C69"/>
    <w:rsid w:val="00E71B7F"/>
    <w:rsid w:val="00E90BF1"/>
    <w:rsid w:val="00E93F08"/>
    <w:rsid w:val="00E9569D"/>
    <w:rsid w:val="00EA3317"/>
    <w:rsid w:val="00EB22DA"/>
    <w:rsid w:val="00EB7D7E"/>
    <w:rsid w:val="00EC3016"/>
    <w:rsid w:val="00EC3F79"/>
    <w:rsid w:val="00EC4C02"/>
    <w:rsid w:val="00EF2A0C"/>
    <w:rsid w:val="00F03215"/>
    <w:rsid w:val="00F06CCF"/>
    <w:rsid w:val="00F20828"/>
    <w:rsid w:val="00F36508"/>
    <w:rsid w:val="00F40289"/>
    <w:rsid w:val="00F550CC"/>
    <w:rsid w:val="00F60035"/>
    <w:rsid w:val="00F70323"/>
    <w:rsid w:val="00F7361C"/>
    <w:rsid w:val="00F75264"/>
    <w:rsid w:val="00F9561D"/>
    <w:rsid w:val="00FA2943"/>
    <w:rsid w:val="00FD2F66"/>
    <w:rsid w:val="00FF25EC"/>
    <w:rsid w:val="00FF4B0F"/>
    <w:rsid w:val="019B7FEE"/>
    <w:rsid w:val="01BD3027"/>
    <w:rsid w:val="01C41C90"/>
    <w:rsid w:val="01D01A30"/>
    <w:rsid w:val="01F02A30"/>
    <w:rsid w:val="022A3DFA"/>
    <w:rsid w:val="024B5649"/>
    <w:rsid w:val="02533E08"/>
    <w:rsid w:val="02983A55"/>
    <w:rsid w:val="02D345FA"/>
    <w:rsid w:val="02FA6327"/>
    <w:rsid w:val="030D1671"/>
    <w:rsid w:val="030D31C4"/>
    <w:rsid w:val="03163C1F"/>
    <w:rsid w:val="032819B5"/>
    <w:rsid w:val="03307751"/>
    <w:rsid w:val="03451752"/>
    <w:rsid w:val="035B4AE9"/>
    <w:rsid w:val="03636809"/>
    <w:rsid w:val="037338FF"/>
    <w:rsid w:val="037873E2"/>
    <w:rsid w:val="037B371D"/>
    <w:rsid w:val="03886B3B"/>
    <w:rsid w:val="03977D42"/>
    <w:rsid w:val="043D65FF"/>
    <w:rsid w:val="044041E3"/>
    <w:rsid w:val="044342BC"/>
    <w:rsid w:val="04954F05"/>
    <w:rsid w:val="04A310BB"/>
    <w:rsid w:val="04C81BA3"/>
    <w:rsid w:val="04D47F8A"/>
    <w:rsid w:val="04D50A9F"/>
    <w:rsid w:val="04D8222F"/>
    <w:rsid w:val="04F0173B"/>
    <w:rsid w:val="054916DA"/>
    <w:rsid w:val="057D4484"/>
    <w:rsid w:val="05814011"/>
    <w:rsid w:val="05845B39"/>
    <w:rsid w:val="059457D6"/>
    <w:rsid w:val="059565ED"/>
    <w:rsid w:val="05A21435"/>
    <w:rsid w:val="0602712F"/>
    <w:rsid w:val="061D4516"/>
    <w:rsid w:val="065E03B4"/>
    <w:rsid w:val="066B56C6"/>
    <w:rsid w:val="06854C04"/>
    <w:rsid w:val="069E32DE"/>
    <w:rsid w:val="06E20FBF"/>
    <w:rsid w:val="06E72E78"/>
    <w:rsid w:val="07544EB2"/>
    <w:rsid w:val="077B7C96"/>
    <w:rsid w:val="078D4B30"/>
    <w:rsid w:val="079E3A70"/>
    <w:rsid w:val="07A24700"/>
    <w:rsid w:val="07D7515D"/>
    <w:rsid w:val="082214D9"/>
    <w:rsid w:val="082D2C7C"/>
    <w:rsid w:val="08742E98"/>
    <w:rsid w:val="08D46F64"/>
    <w:rsid w:val="08F17A04"/>
    <w:rsid w:val="09002B80"/>
    <w:rsid w:val="09201FFA"/>
    <w:rsid w:val="0923791F"/>
    <w:rsid w:val="093644C2"/>
    <w:rsid w:val="09432110"/>
    <w:rsid w:val="09524037"/>
    <w:rsid w:val="09650B7D"/>
    <w:rsid w:val="09A06324"/>
    <w:rsid w:val="09A75E07"/>
    <w:rsid w:val="09C71903"/>
    <w:rsid w:val="09CC1EA0"/>
    <w:rsid w:val="09D879BF"/>
    <w:rsid w:val="09F333FE"/>
    <w:rsid w:val="0A002ABE"/>
    <w:rsid w:val="0A073DA1"/>
    <w:rsid w:val="0A18381F"/>
    <w:rsid w:val="0A2E01ED"/>
    <w:rsid w:val="0A8B0C62"/>
    <w:rsid w:val="0AC466F6"/>
    <w:rsid w:val="0AF943F6"/>
    <w:rsid w:val="0B501B52"/>
    <w:rsid w:val="0B7E59FF"/>
    <w:rsid w:val="0B9D32E3"/>
    <w:rsid w:val="0BAD423B"/>
    <w:rsid w:val="0BB1488C"/>
    <w:rsid w:val="0C1411DF"/>
    <w:rsid w:val="0C4557AD"/>
    <w:rsid w:val="0C4930C3"/>
    <w:rsid w:val="0C7F13D1"/>
    <w:rsid w:val="0C8E11F2"/>
    <w:rsid w:val="0C9A339F"/>
    <w:rsid w:val="0CB438F4"/>
    <w:rsid w:val="0CDA1981"/>
    <w:rsid w:val="0CE41CE4"/>
    <w:rsid w:val="0D3B4331"/>
    <w:rsid w:val="0DB37F58"/>
    <w:rsid w:val="0DB61538"/>
    <w:rsid w:val="0DCD65A6"/>
    <w:rsid w:val="0DDB37E3"/>
    <w:rsid w:val="0E0024DA"/>
    <w:rsid w:val="0E2B547C"/>
    <w:rsid w:val="0E92328E"/>
    <w:rsid w:val="0E946F24"/>
    <w:rsid w:val="0E99369C"/>
    <w:rsid w:val="0EC03D2D"/>
    <w:rsid w:val="0F1107A7"/>
    <w:rsid w:val="0F681BD8"/>
    <w:rsid w:val="0F945FE5"/>
    <w:rsid w:val="0FD50659"/>
    <w:rsid w:val="0FEE0962"/>
    <w:rsid w:val="0FF52206"/>
    <w:rsid w:val="101E3DAE"/>
    <w:rsid w:val="10421A3F"/>
    <w:rsid w:val="10667F4D"/>
    <w:rsid w:val="10747D8D"/>
    <w:rsid w:val="10BE596F"/>
    <w:rsid w:val="10D56CD7"/>
    <w:rsid w:val="10EC0788"/>
    <w:rsid w:val="1106647E"/>
    <w:rsid w:val="111B01C0"/>
    <w:rsid w:val="1139330C"/>
    <w:rsid w:val="11F32D8F"/>
    <w:rsid w:val="12030C1B"/>
    <w:rsid w:val="125A00EB"/>
    <w:rsid w:val="125F4873"/>
    <w:rsid w:val="12B33A72"/>
    <w:rsid w:val="12C04372"/>
    <w:rsid w:val="12CA3120"/>
    <w:rsid w:val="12DA4723"/>
    <w:rsid w:val="12DB3A36"/>
    <w:rsid w:val="12DF032D"/>
    <w:rsid w:val="12E91DB0"/>
    <w:rsid w:val="13245463"/>
    <w:rsid w:val="13290E2D"/>
    <w:rsid w:val="13360B0D"/>
    <w:rsid w:val="133F68E2"/>
    <w:rsid w:val="135D4A69"/>
    <w:rsid w:val="135F0861"/>
    <w:rsid w:val="1384674A"/>
    <w:rsid w:val="13935518"/>
    <w:rsid w:val="13AC16D1"/>
    <w:rsid w:val="13D94EEA"/>
    <w:rsid w:val="13F72049"/>
    <w:rsid w:val="14272CEA"/>
    <w:rsid w:val="142A3E56"/>
    <w:rsid w:val="142E0969"/>
    <w:rsid w:val="1434611E"/>
    <w:rsid w:val="145621E2"/>
    <w:rsid w:val="1461794D"/>
    <w:rsid w:val="14626FAD"/>
    <w:rsid w:val="148C5685"/>
    <w:rsid w:val="14B41EB6"/>
    <w:rsid w:val="14E43D12"/>
    <w:rsid w:val="150C7DB1"/>
    <w:rsid w:val="1540439B"/>
    <w:rsid w:val="15431364"/>
    <w:rsid w:val="154D7BEC"/>
    <w:rsid w:val="1565422D"/>
    <w:rsid w:val="1586084D"/>
    <w:rsid w:val="158C2857"/>
    <w:rsid w:val="15BE6F50"/>
    <w:rsid w:val="15DA4C01"/>
    <w:rsid w:val="15E11176"/>
    <w:rsid w:val="15E24963"/>
    <w:rsid w:val="16016119"/>
    <w:rsid w:val="161A595B"/>
    <w:rsid w:val="162E2B4C"/>
    <w:rsid w:val="1647157C"/>
    <w:rsid w:val="16505B6E"/>
    <w:rsid w:val="165A66AD"/>
    <w:rsid w:val="167800AD"/>
    <w:rsid w:val="16A2565E"/>
    <w:rsid w:val="16C72A2E"/>
    <w:rsid w:val="16DB4164"/>
    <w:rsid w:val="16FC471D"/>
    <w:rsid w:val="1700507C"/>
    <w:rsid w:val="171D3EC4"/>
    <w:rsid w:val="172E05E6"/>
    <w:rsid w:val="17400409"/>
    <w:rsid w:val="17524B3F"/>
    <w:rsid w:val="17636EC6"/>
    <w:rsid w:val="17AD78A1"/>
    <w:rsid w:val="17CD4AA1"/>
    <w:rsid w:val="17D46FBA"/>
    <w:rsid w:val="17D53D7B"/>
    <w:rsid w:val="17D86F39"/>
    <w:rsid w:val="17F40B51"/>
    <w:rsid w:val="17F56F08"/>
    <w:rsid w:val="18435D58"/>
    <w:rsid w:val="185D0F7C"/>
    <w:rsid w:val="18BA2CC9"/>
    <w:rsid w:val="18EC10A4"/>
    <w:rsid w:val="195C565F"/>
    <w:rsid w:val="19696772"/>
    <w:rsid w:val="196A5C82"/>
    <w:rsid w:val="199631D1"/>
    <w:rsid w:val="199750EF"/>
    <w:rsid w:val="19A77EE6"/>
    <w:rsid w:val="19B816DD"/>
    <w:rsid w:val="19E7173D"/>
    <w:rsid w:val="1A4D121E"/>
    <w:rsid w:val="1AA933F2"/>
    <w:rsid w:val="1AC177CC"/>
    <w:rsid w:val="1AC17A3C"/>
    <w:rsid w:val="1AC95D02"/>
    <w:rsid w:val="1AEF2EEF"/>
    <w:rsid w:val="1AFC172C"/>
    <w:rsid w:val="1B010AA5"/>
    <w:rsid w:val="1B2956EA"/>
    <w:rsid w:val="1B35004B"/>
    <w:rsid w:val="1B4026E4"/>
    <w:rsid w:val="1B7F346C"/>
    <w:rsid w:val="1B8C6A79"/>
    <w:rsid w:val="1B9F7A39"/>
    <w:rsid w:val="1BC51F7D"/>
    <w:rsid w:val="1BE31FFB"/>
    <w:rsid w:val="1C23090E"/>
    <w:rsid w:val="1C266978"/>
    <w:rsid w:val="1C2B5D42"/>
    <w:rsid w:val="1C2E0CDB"/>
    <w:rsid w:val="1C5E043C"/>
    <w:rsid w:val="1C651546"/>
    <w:rsid w:val="1C771A3D"/>
    <w:rsid w:val="1C80439C"/>
    <w:rsid w:val="1CBE01AD"/>
    <w:rsid w:val="1CC5382D"/>
    <w:rsid w:val="1CEB5E20"/>
    <w:rsid w:val="1D102EEB"/>
    <w:rsid w:val="1D217713"/>
    <w:rsid w:val="1D2C321A"/>
    <w:rsid w:val="1D3E0E8F"/>
    <w:rsid w:val="1D653CE0"/>
    <w:rsid w:val="1D6D1BA7"/>
    <w:rsid w:val="1D98512D"/>
    <w:rsid w:val="1D9D7212"/>
    <w:rsid w:val="1DB45A5C"/>
    <w:rsid w:val="1DB5493C"/>
    <w:rsid w:val="1DC862CD"/>
    <w:rsid w:val="1DCA1128"/>
    <w:rsid w:val="1E73071A"/>
    <w:rsid w:val="1E7C758D"/>
    <w:rsid w:val="1EA60D9A"/>
    <w:rsid w:val="1EEE3FE2"/>
    <w:rsid w:val="1F0B3750"/>
    <w:rsid w:val="1F3E004D"/>
    <w:rsid w:val="1FC17DFB"/>
    <w:rsid w:val="1FE34999"/>
    <w:rsid w:val="203A6980"/>
    <w:rsid w:val="20494B16"/>
    <w:rsid w:val="20531523"/>
    <w:rsid w:val="20AF2A01"/>
    <w:rsid w:val="20C932CD"/>
    <w:rsid w:val="20F93229"/>
    <w:rsid w:val="20FD35BC"/>
    <w:rsid w:val="210F0B9B"/>
    <w:rsid w:val="211419BA"/>
    <w:rsid w:val="213344C9"/>
    <w:rsid w:val="213D07C6"/>
    <w:rsid w:val="2196292C"/>
    <w:rsid w:val="21B354AF"/>
    <w:rsid w:val="21FC7960"/>
    <w:rsid w:val="220E675D"/>
    <w:rsid w:val="225D1EA8"/>
    <w:rsid w:val="22637B89"/>
    <w:rsid w:val="22694933"/>
    <w:rsid w:val="2273176F"/>
    <w:rsid w:val="22917B64"/>
    <w:rsid w:val="22951F3C"/>
    <w:rsid w:val="22D07C80"/>
    <w:rsid w:val="22F26121"/>
    <w:rsid w:val="22FE4C9E"/>
    <w:rsid w:val="2309153F"/>
    <w:rsid w:val="234617FD"/>
    <w:rsid w:val="23631B45"/>
    <w:rsid w:val="237F61C5"/>
    <w:rsid w:val="23874892"/>
    <w:rsid w:val="238774E3"/>
    <w:rsid w:val="23AA4443"/>
    <w:rsid w:val="2406156E"/>
    <w:rsid w:val="24104774"/>
    <w:rsid w:val="243F6E24"/>
    <w:rsid w:val="244A4061"/>
    <w:rsid w:val="24694CF1"/>
    <w:rsid w:val="24780E1D"/>
    <w:rsid w:val="249C27BD"/>
    <w:rsid w:val="24AE7A55"/>
    <w:rsid w:val="24B11DC7"/>
    <w:rsid w:val="24BA6907"/>
    <w:rsid w:val="24D6043E"/>
    <w:rsid w:val="24FC53F4"/>
    <w:rsid w:val="2516013E"/>
    <w:rsid w:val="253A1A4A"/>
    <w:rsid w:val="255676EF"/>
    <w:rsid w:val="25572EB9"/>
    <w:rsid w:val="256B6AEF"/>
    <w:rsid w:val="25AB0FC5"/>
    <w:rsid w:val="25B576DC"/>
    <w:rsid w:val="25B6744F"/>
    <w:rsid w:val="25BB06F3"/>
    <w:rsid w:val="25C02240"/>
    <w:rsid w:val="25CA21FC"/>
    <w:rsid w:val="25F42C21"/>
    <w:rsid w:val="25FE181E"/>
    <w:rsid w:val="2602466D"/>
    <w:rsid w:val="262002B8"/>
    <w:rsid w:val="26280EA1"/>
    <w:rsid w:val="268A710A"/>
    <w:rsid w:val="26D52450"/>
    <w:rsid w:val="2713505C"/>
    <w:rsid w:val="27327F10"/>
    <w:rsid w:val="27CB35B1"/>
    <w:rsid w:val="27CE5C62"/>
    <w:rsid w:val="27FE6683"/>
    <w:rsid w:val="28176A69"/>
    <w:rsid w:val="282B54A2"/>
    <w:rsid w:val="283A5D87"/>
    <w:rsid w:val="285253E8"/>
    <w:rsid w:val="28605842"/>
    <w:rsid w:val="286948B1"/>
    <w:rsid w:val="286A6433"/>
    <w:rsid w:val="28DC7470"/>
    <w:rsid w:val="28F80E0A"/>
    <w:rsid w:val="28FD3924"/>
    <w:rsid w:val="29714A8A"/>
    <w:rsid w:val="297B4085"/>
    <w:rsid w:val="297E129F"/>
    <w:rsid w:val="29816AC2"/>
    <w:rsid w:val="29C56B40"/>
    <w:rsid w:val="29DB30CD"/>
    <w:rsid w:val="29F00D5E"/>
    <w:rsid w:val="29F536C6"/>
    <w:rsid w:val="2A0468AE"/>
    <w:rsid w:val="2A216E2F"/>
    <w:rsid w:val="2A531298"/>
    <w:rsid w:val="2A7242F0"/>
    <w:rsid w:val="2A82173A"/>
    <w:rsid w:val="2A824FF4"/>
    <w:rsid w:val="2A82543D"/>
    <w:rsid w:val="2AAE130D"/>
    <w:rsid w:val="2ABC72F8"/>
    <w:rsid w:val="2ACA5D9A"/>
    <w:rsid w:val="2AD31A2C"/>
    <w:rsid w:val="2ADB28A8"/>
    <w:rsid w:val="2AE324AE"/>
    <w:rsid w:val="2AED28A3"/>
    <w:rsid w:val="2B2362C5"/>
    <w:rsid w:val="2B387E6F"/>
    <w:rsid w:val="2B3F4B43"/>
    <w:rsid w:val="2B4C06AD"/>
    <w:rsid w:val="2B536EF0"/>
    <w:rsid w:val="2B6466DE"/>
    <w:rsid w:val="2B787C29"/>
    <w:rsid w:val="2B7D7783"/>
    <w:rsid w:val="2BC1278D"/>
    <w:rsid w:val="2BD628ED"/>
    <w:rsid w:val="2C2643CF"/>
    <w:rsid w:val="2C520FD0"/>
    <w:rsid w:val="2C5D167F"/>
    <w:rsid w:val="2C654103"/>
    <w:rsid w:val="2C7D071F"/>
    <w:rsid w:val="2C860DD0"/>
    <w:rsid w:val="2C904488"/>
    <w:rsid w:val="2C9E07B4"/>
    <w:rsid w:val="2CD2679D"/>
    <w:rsid w:val="2CD726E3"/>
    <w:rsid w:val="2CF22BFA"/>
    <w:rsid w:val="2D0751CD"/>
    <w:rsid w:val="2D161939"/>
    <w:rsid w:val="2D195ABF"/>
    <w:rsid w:val="2D223BBE"/>
    <w:rsid w:val="2D2422DE"/>
    <w:rsid w:val="2D30371F"/>
    <w:rsid w:val="2D4C20DD"/>
    <w:rsid w:val="2D4C5B8A"/>
    <w:rsid w:val="2D961699"/>
    <w:rsid w:val="2DB10612"/>
    <w:rsid w:val="2DC759C4"/>
    <w:rsid w:val="2DCE5627"/>
    <w:rsid w:val="2DE118A6"/>
    <w:rsid w:val="2DF81320"/>
    <w:rsid w:val="2E327717"/>
    <w:rsid w:val="2E390286"/>
    <w:rsid w:val="2E422B73"/>
    <w:rsid w:val="2E457D4B"/>
    <w:rsid w:val="2E514570"/>
    <w:rsid w:val="2EAB2088"/>
    <w:rsid w:val="2EB6694F"/>
    <w:rsid w:val="2EEA2BD8"/>
    <w:rsid w:val="2EFB6306"/>
    <w:rsid w:val="2F3C5001"/>
    <w:rsid w:val="2F4D6CAC"/>
    <w:rsid w:val="2F506B0A"/>
    <w:rsid w:val="2F5225F8"/>
    <w:rsid w:val="2F717212"/>
    <w:rsid w:val="2F7E2884"/>
    <w:rsid w:val="2F804B57"/>
    <w:rsid w:val="2F8E2ED3"/>
    <w:rsid w:val="2FCA1CF5"/>
    <w:rsid w:val="2FD727E2"/>
    <w:rsid w:val="300F6DD5"/>
    <w:rsid w:val="30397275"/>
    <w:rsid w:val="30637795"/>
    <w:rsid w:val="30710974"/>
    <w:rsid w:val="30817D16"/>
    <w:rsid w:val="30C406E8"/>
    <w:rsid w:val="30D103A6"/>
    <w:rsid w:val="30D51E0F"/>
    <w:rsid w:val="30E475B2"/>
    <w:rsid w:val="30E72DFC"/>
    <w:rsid w:val="30F051E5"/>
    <w:rsid w:val="31005E6C"/>
    <w:rsid w:val="3135445E"/>
    <w:rsid w:val="314D38BF"/>
    <w:rsid w:val="31A14280"/>
    <w:rsid w:val="31A1656F"/>
    <w:rsid w:val="31E12D53"/>
    <w:rsid w:val="31EE4EF3"/>
    <w:rsid w:val="31FD1AA1"/>
    <w:rsid w:val="321808A5"/>
    <w:rsid w:val="321A3559"/>
    <w:rsid w:val="328D0C9C"/>
    <w:rsid w:val="3296737C"/>
    <w:rsid w:val="329F595F"/>
    <w:rsid w:val="32A54938"/>
    <w:rsid w:val="32A643C2"/>
    <w:rsid w:val="32AB06D3"/>
    <w:rsid w:val="32BD7030"/>
    <w:rsid w:val="32CA4F06"/>
    <w:rsid w:val="32E30195"/>
    <w:rsid w:val="32F522F5"/>
    <w:rsid w:val="331E1F92"/>
    <w:rsid w:val="33565762"/>
    <w:rsid w:val="344D2E2E"/>
    <w:rsid w:val="344E5572"/>
    <w:rsid w:val="3454491C"/>
    <w:rsid w:val="34671B5F"/>
    <w:rsid w:val="3469221C"/>
    <w:rsid w:val="346D1192"/>
    <w:rsid w:val="34AF41FD"/>
    <w:rsid w:val="34C31B5B"/>
    <w:rsid w:val="34FA5C1F"/>
    <w:rsid w:val="3509402E"/>
    <w:rsid w:val="3589664E"/>
    <w:rsid w:val="35AD4098"/>
    <w:rsid w:val="362206A4"/>
    <w:rsid w:val="36231B85"/>
    <w:rsid w:val="366232A4"/>
    <w:rsid w:val="36B51936"/>
    <w:rsid w:val="36C25CAA"/>
    <w:rsid w:val="36C82A76"/>
    <w:rsid w:val="36D01AEF"/>
    <w:rsid w:val="36D545FC"/>
    <w:rsid w:val="36FC5979"/>
    <w:rsid w:val="370113AA"/>
    <w:rsid w:val="37072CF5"/>
    <w:rsid w:val="37117EB5"/>
    <w:rsid w:val="374B6987"/>
    <w:rsid w:val="37763133"/>
    <w:rsid w:val="37845F15"/>
    <w:rsid w:val="37A64880"/>
    <w:rsid w:val="37FE7049"/>
    <w:rsid w:val="380C1E91"/>
    <w:rsid w:val="381F1BC2"/>
    <w:rsid w:val="387E4C2D"/>
    <w:rsid w:val="388A5F3B"/>
    <w:rsid w:val="389D5FE2"/>
    <w:rsid w:val="38AF73EA"/>
    <w:rsid w:val="38E07AE6"/>
    <w:rsid w:val="38EA710A"/>
    <w:rsid w:val="38ED54AF"/>
    <w:rsid w:val="39132D13"/>
    <w:rsid w:val="391B314C"/>
    <w:rsid w:val="391F5117"/>
    <w:rsid w:val="39485BCA"/>
    <w:rsid w:val="3954207C"/>
    <w:rsid w:val="395E31CF"/>
    <w:rsid w:val="397D7D44"/>
    <w:rsid w:val="39A50E76"/>
    <w:rsid w:val="39DD5D39"/>
    <w:rsid w:val="3A132112"/>
    <w:rsid w:val="3A2B2F33"/>
    <w:rsid w:val="3A3433D8"/>
    <w:rsid w:val="3A53708B"/>
    <w:rsid w:val="3A8A2FAA"/>
    <w:rsid w:val="3AAF7534"/>
    <w:rsid w:val="3ACC2746"/>
    <w:rsid w:val="3AE53707"/>
    <w:rsid w:val="3AF21FD1"/>
    <w:rsid w:val="3AFB0D13"/>
    <w:rsid w:val="3B0F1CCA"/>
    <w:rsid w:val="3B101E55"/>
    <w:rsid w:val="3B22077B"/>
    <w:rsid w:val="3B2616EB"/>
    <w:rsid w:val="3B576461"/>
    <w:rsid w:val="3B8264B1"/>
    <w:rsid w:val="3B9347B0"/>
    <w:rsid w:val="3BC31615"/>
    <w:rsid w:val="3BC902DC"/>
    <w:rsid w:val="3BDE4D6B"/>
    <w:rsid w:val="3BEE2C31"/>
    <w:rsid w:val="3C07196D"/>
    <w:rsid w:val="3C1057D6"/>
    <w:rsid w:val="3C16263D"/>
    <w:rsid w:val="3C220DAE"/>
    <w:rsid w:val="3C31609A"/>
    <w:rsid w:val="3C5634C6"/>
    <w:rsid w:val="3C61373A"/>
    <w:rsid w:val="3C6E2041"/>
    <w:rsid w:val="3C6E6457"/>
    <w:rsid w:val="3C8303D2"/>
    <w:rsid w:val="3D4A5E62"/>
    <w:rsid w:val="3D5E7475"/>
    <w:rsid w:val="3D6C58AA"/>
    <w:rsid w:val="3D962C86"/>
    <w:rsid w:val="3DC764C6"/>
    <w:rsid w:val="3DD563EC"/>
    <w:rsid w:val="3DDA4841"/>
    <w:rsid w:val="3E277B9D"/>
    <w:rsid w:val="3E3415C1"/>
    <w:rsid w:val="3E3502E8"/>
    <w:rsid w:val="3E5848D7"/>
    <w:rsid w:val="3EA92A64"/>
    <w:rsid w:val="3EB219E2"/>
    <w:rsid w:val="3ED82C40"/>
    <w:rsid w:val="3EE87668"/>
    <w:rsid w:val="3EF71BC7"/>
    <w:rsid w:val="3F0475ED"/>
    <w:rsid w:val="3F373E74"/>
    <w:rsid w:val="3F473974"/>
    <w:rsid w:val="3F6469EE"/>
    <w:rsid w:val="3F7831C5"/>
    <w:rsid w:val="3F7B456A"/>
    <w:rsid w:val="3F9065C2"/>
    <w:rsid w:val="3F9904AC"/>
    <w:rsid w:val="3FAD1AA8"/>
    <w:rsid w:val="3FB065B0"/>
    <w:rsid w:val="3FBF380B"/>
    <w:rsid w:val="3FD002A4"/>
    <w:rsid w:val="40010780"/>
    <w:rsid w:val="401E6FC9"/>
    <w:rsid w:val="402832DD"/>
    <w:rsid w:val="402D36A8"/>
    <w:rsid w:val="40443D54"/>
    <w:rsid w:val="404F3758"/>
    <w:rsid w:val="406D332D"/>
    <w:rsid w:val="4096157E"/>
    <w:rsid w:val="409B5C5B"/>
    <w:rsid w:val="40A628CB"/>
    <w:rsid w:val="40C424AA"/>
    <w:rsid w:val="40D40BC4"/>
    <w:rsid w:val="40F0243C"/>
    <w:rsid w:val="40F65A5A"/>
    <w:rsid w:val="415B6DF5"/>
    <w:rsid w:val="4173532D"/>
    <w:rsid w:val="4173673A"/>
    <w:rsid w:val="41B659C3"/>
    <w:rsid w:val="41E9396D"/>
    <w:rsid w:val="42082B52"/>
    <w:rsid w:val="42236939"/>
    <w:rsid w:val="424634BA"/>
    <w:rsid w:val="425A7365"/>
    <w:rsid w:val="426B1C74"/>
    <w:rsid w:val="428448B3"/>
    <w:rsid w:val="42A3689F"/>
    <w:rsid w:val="42B4413C"/>
    <w:rsid w:val="42E27942"/>
    <w:rsid w:val="43020311"/>
    <w:rsid w:val="431B4A01"/>
    <w:rsid w:val="4343677E"/>
    <w:rsid w:val="43841107"/>
    <w:rsid w:val="43A23A34"/>
    <w:rsid w:val="43A856B0"/>
    <w:rsid w:val="43D1318F"/>
    <w:rsid w:val="43DB4400"/>
    <w:rsid w:val="43E629B9"/>
    <w:rsid w:val="43E67DEA"/>
    <w:rsid w:val="442B517C"/>
    <w:rsid w:val="44305883"/>
    <w:rsid w:val="444975D1"/>
    <w:rsid w:val="444C40B0"/>
    <w:rsid w:val="445645F5"/>
    <w:rsid w:val="44707DE2"/>
    <w:rsid w:val="4478089E"/>
    <w:rsid w:val="44A872B5"/>
    <w:rsid w:val="44AC205E"/>
    <w:rsid w:val="44B944E0"/>
    <w:rsid w:val="44BA3EF5"/>
    <w:rsid w:val="44C153D1"/>
    <w:rsid w:val="44C24E62"/>
    <w:rsid w:val="455507EC"/>
    <w:rsid w:val="45651FC1"/>
    <w:rsid w:val="45871607"/>
    <w:rsid w:val="458B373D"/>
    <w:rsid w:val="45AE4F23"/>
    <w:rsid w:val="45D275D5"/>
    <w:rsid w:val="45F5110D"/>
    <w:rsid w:val="45F7648C"/>
    <w:rsid w:val="45F94796"/>
    <w:rsid w:val="45FD30EB"/>
    <w:rsid w:val="46081223"/>
    <w:rsid w:val="46654F58"/>
    <w:rsid w:val="4675027A"/>
    <w:rsid w:val="469577DD"/>
    <w:rsid w:val="469E7515"/>
    <w:rsid w:val="46BB2D74"/>
    <w:rsid w:val="46C509DB"/>
    <w:rsid w:val="46CE611A"/>
    <w:rsid w:val="46E51534"/>
    <w:rsid w:val="47114D62"/>
    <w:rsid w:val="471A3163"/>
    <w:rsid w:val="475314A5"/>
    <w:rsid w:val="477A66FF"/>
    <w:rsid w:val="477C03F5"/>
    <w:rsid w:val="47AC5FB1"/>
    <w:rsid w:val="47B54E10"/>
    <w:rsid w:val="47CC198F"/>
    <w:rsid w:val="47D95A3E"/>
    <w:rsid w:val="47E80223"/>
    <w:rsid w:val="480C03E8"/>
    <w:rsid w:val="48211B8B"/>
    <w:rsid w:val="487C4752"/>
    <w:rsid w:val="48A76FFC"/>
    <w:rsid w:val="48BC29C0"/>
    <w:rsid w:val="48CB4EB5"/>
    <w:rsid w:val="492D0AFE"/>
    <w:rsid w:val="495C6C5B"/>
    <w:rsid w:val="49650E67"/>
    <w:rsid w:val="497E29FD"/>
    <w:rsid w:val="498B0436"/>
    <w:rsid w:val="49A45DC5"/>
    <w:rsid w:val="49CF7585"/>
    <w:rsid w:val="49D11CB0"/>
    <w:rsid w:val="49DD4BDC"/>
    <w:rsid w:val="49F516F6"/>
    <w:rsid w:val="4A155F1A"/>
    <w:rsid w:val="4A273C8C"/>
    <w:rsid w:val="4A40786E"/>
    <w:rsid w:val="4A804BD9"/>
    <w:rsid w:val="4AA649DE"/>
    <w:rsid w:val="4ACC645F"/>
    <w:rsid w:val="4B012CAC"/>
    <w:rsid w:val="4B157C58"/>
    <w:rsid w:val="4B2940BE"/>
    <w:rsid w:val="4B3903F1"/>
    <w:rsid w:val="4B645171"/>
    <w:rsid w:val="4B8B3721"/>
    <w:rsid w:val="4B8F08A5"/>
    <w:rsid w:val="4BA32D07"/>
    <w:rsid w:val="4BB04B45"/>
    <w:rsid w:val="4BB328F5"/>
    <w:rsid w:val="4C3A68A9"/>
    <w:rsid w:val="4CC63AC2"/>
    <w:rsid w:val="4CD8171B"/>
    <w:rsid w:val="4CEE62DB"/>
    <w:rsid w:val="4D0E488C"/>
    <w:rsid w:val="4D205EE7"/>
    <w:rsid w:val="4D3B0DC5"/>
    <w:rsid w:val="4D546A9B"/>
    <w:rsid w:val="4D61225C"/>
    <w:rsid w:val="4D747361"/>
    <w:rsid w:val="4D852491"/>
    <w:rsid w:val="4D9116C8"/>
    <w:rsid w:val="4DB27018"/>
    <w:rsid w:val="4DC27901"/>
    <w:rsid w:val="4DD07279"/>
    <w:rsid w:val="4E016BBA"/>
    <w:rsid w:val="4E132047"/>
    <w:rsid w:val="4E192BDB"/>
    <w:rsid w:val="4E604215"/>
    <w:rsid w:val="4E636BF9"/>
    <w:rsid w:val="4E6525D7"/>
    <w:rsid w:val="4E82673B"/>
    <w:rsid w:val="4E96197E"/>
    <w:rsid w:val="4EA441EE"/>
    <w:rsid w:val="4EBA39F8"/>
    <w:rsid w:val="4EE42EEF"/>
    <w:rsid w:val="4F2D63D4"/>
    <w:rsid w:val="4F4671A0"/>
    <w:rsid w:val="4F6637CE"/>
    <w:rsid w:val="4F692B9B"/>
    <w:rsid w:val="4F6D3366"/>
    <w:rsid w:val="4FA361C5"/>
    <w:rsid w:val="4FA84515"/>
    <w:rsid w:val="4FC535A6"/>
    <w:rsid w:val="4FD867AC"/>
    <w:rsid w:val="4FEC3616"/>
    <w:rsid w:val="50175B49"/>
    <w:rsid w:val="507C258F"/>
    <w:rsid w:val="50A0567D"/>
    <w:rsid w:val="50BE2DE5"/>
    <w:rsid w:val="50FB4B23"/>
    <w:rsid w:val="50FF2274"/>
    <w:rsid w:val="51267A66"/>
    <w:rsid w:val="51326001"/>
    <w:rsid w:val="51397F8B"/>
    <w:rsid w:val="514E0C9D"/>
    <w:rsid w:val="51522B6F"/>
    <w:rsid w:val="5166782C"/>
    <w:rsid w:val="51804376"/>
    <w:rsid w:val="51991501"/>
    <w:rsid w:val="51A227D3"/>
    <w:rsid w:val="51AA321A"/>
    <w:rsid w:val="51C33DDD"/>
    <w:rsid w:val="51E91964"/>
    <w:rsid w:val="51EB0086"/>
    <w:rsid w:val="51F14BDF"/>
    <w:rsid w:val="51F8510A"/>
    <w:rsid w:val="51FF3DF2"/>
    <w:rsid w:val="527C67FA"/>
    <w:rsid w:val="527C6A61"/>
    <w:rsid w:val="527D2CA2"/>
    <w:rsid w:val="529606E1"/>
    <w:rsid w:val="5299130F"/>
    <w:rsid w:val="52BF7CF5"/>
    <w:rsid w:val="533D579B"/>
    <w:rsid w:val="533E7543"/>
    <w:rsid w:val="5347239E"/>
    <w:rsid w:val="534A2CCA"/>
    <w:rsid w:val="535836F2"/>
    <w:rsid w:val="536C1E58"/>
    <w:rsid w:val="537A40FC"/>
    <w:rsid w:val="53934341"/>
    <w:rsid w:val="53992BF4"/>
    <w:rsid w:val="539E0AE9"/>
    <w:rsid w:val="539F334A"/>
    <w:rsid w:val="53A165EA"/>
    <w:rsid w:val="53A17E57"/>
    <w:rsid w:val="53B266BB"/>
    <w:rsid w:val="53EE4E13"/>
    <w:rsid w:val="54034AD1"/>
    <w:rsid w:val="54134AF7"/>
    <w:rsid w:val="54275FD6"/>
    <w:rsid w:val="543615CA"/>
    <w:rsid w:val="543872A6"/>
    <w:rsid w:val="54921CD7"/>
    <w:rsid w:val="549B7596"/>
    <w:rsid w:val="54BD78F6"/>
    <w:rsid w:val="54C15852"/>
    <w:rsid w:val="54DD0381"/>
    <w:rsid w:val="54FB1363"/>
    <w:rsid w:val="551345CF"/>
    <w:rsid w:val="55197426"/>
    <w:rsid w:val="55690B5F"/>
    <w:rsid w:val="556B30A1"/>
    <w:rsid w:val="559D5F54"/>
    <w:rsid w:val="55A97B5B"/>
    <w:rsid w:val="55C12D9B"/>
    <w:rsid w:val="56367A19"/>
    <w:rsid w:val="565948C0"/>
    <w:rsid w:val="5686138C"/>
    <w:rsid w:val="569A151F"/>
    <w:rsid w:val="56B92F38"/>
    <w:rsid w:val="56F11E0B"/>
    <w:rsid w:val="571D061A"/>
    <w:rsid w:val="572C00CD"/>
    <w:rsid w:val="572F69AC"/>
    <w:rsid w:val="574C257C"/>
    <w:rsid w:val="574C371D"/>
    <w:rsid w:val="576943F1"/>
    <w:rsid w:val="576F5974"/>
    <w:rsid w:val="578235C7"/>
    <w:rsid w:val="579757D8"/>
    <w:rsid w:val="57A97D34"/>
    <w:rsid w:val="57B54C86"/>
    <w:rsid w:val="57CA4C7D"/>
    <w:rsid w:val="57FA36C2"/>
    <w:rsid w:val="58070E22"/>
    <w:rsid w:val="580F0E1B"/>
    <w:rsid w:val="58134838"/>
    <w:rsid w:val="583A0FA6"/>
    <w:rsid w:val="583B4F6A"/>
    <w:rsid w:val="583E20F6"/>
    <w:rsid w:val="58402A0C"/>
    <w:rsid w:val="584E0A33"/>
    <w:rsid w:val="586506B8"/>
    <w:rsid w:val="586B4F58"/>
    <w:rsid w:val="586B6A64"/>
    <w:rsid w:val="586C212F"/>
    <w:rsid w:val="588F3ABD"/>
    <w:rsid w:val="589968B4"/>
    <w:rsid w:val="589C4100"/>
    <w:rsid w:val="58AB0F14"/>
    <w:rsid w:val="58AE14C4"/>
    <w:rsid w:val="58BE7CE8"/>
    <w:rsid w:val="58C2244D"/>
    <w:rsid w:val="58E92E10"/>
    <w:rsid w:val="590C00AD"/>
    <w:rsid w:val="59314FCC"/>
    <w:rsid w:val="595930C5"/>
    <w:rsid w:val="595C0EAB"/>
    <w:rsid w:val="596E461C"/>
    <w:rsid w:val="59846C4F"/>
    <w:rsid w:val="59A553EB"/>
    <w:rsid w:val="59B26500"/>
    <w:rsid w:val="59B81BBF"/>
    <w:rsid w:val="59C56D3D"/>
    <w:rsid w:val="59D444D3"/>
    <w:rsid w:val="59EB23E3"/>
    <w:rsid w:val="59EB6C64"/>
    <w:rsid w:val="5A272E2C"/>
    <w:rsid w:val="5A2E2649"/>
    <w:rsid w:val="5A390778"/>
    <w:rsid w:val="5A95722D"/>
    <w:rsid w:val="5AB332BE"/>
    <w:rsid w:val="5AF52745"/>
    <w:rsid w:val="5B1C1B7D"/>
    <w:rsid w:val="5B476DC6"/>
    <w:rsid w:val="5B522DB1"/>
    <w:rsid w:val="5B752265"/>
    <w:rsid w:val="5B807217"/>
    <w:rsid w:val="5BE31CC4"/>
    <w:rsid w:val="5BE80630"/>
    <w:rsid w:val="5C1333C8"/>
    <w:rsid w:val="5C196014"/>
    <w:rsid w:val="5C34070F"/>
    <w:rsid w:val="5C5B670A"/>
    <w:rsid w:val="5C8252F4"/>
    <w:rsid w:val="5D000436"/>
    <w:rsid w:val="5D053080"/>
    <w:rsid w:val="5D0905C7"/>
    <w:rsid w:val="5D291F94"/>
    <w:rsid w:val="5D7927BA"/>
    <w:rsid w:val="5DA125BC"/>
    <w:rsid w:val="5DAE6608"/>
    <w:rsid w:val="5DBA7B13"/>
    <w:rsid w:val="5DBC7E1E"/>
    <w:rsid w:val="5DD15AAB"/>
    <w:rsid w:val="5DEA3ED6"/>
    <w:rsid w:val="5DF310FC"/>
    <w:rsid w:val="5E256958"/>
    <w:rsid w:val="5E2D7290"/>
    <w:rsid w:val="5E457EAE"/>
    <w:rsid w:val="5E4F73EF"/>
    <w:rsid w:val="5E5139C2"/>
    <w:rsid w:val="5E5D11D1"/>
    <w:rsid w:val="5E6F4FF4"/>
    <w:rsid w:val="5E7222E5"/>
    <w:rsid w:val="5E8B4FE8"/>
    <w:rsid w:val="5E8D3253"/>
    <w:rsid w:val="5E986FA3"/>
    <w:rsid w:val="5EB84ECC"/>
    <w:rsid w:val="5EC2575F"/>
    <w:rsid w:val="5EE75A4E"/>
    <w:rsid w:val="5EF837AA"/>
    <w:rsid w:val="5F095A63"/>
    <w:rsid w:val="5F364DD7"/>
    <w:rsid w:val="5F636EA8"/>
    <w:rsid w:val="5F6E6A9D"/>
    <w:rsid w:val="5F892A17"/>
    <w:rsid w:val="5F8A2A08"/>
    <w:rsid w:val="5FB1014A"/>
    <w:rsid w:val="5FB54247"/>
    <w:rsid w:val="5FD6725E"/>
    <w:rsid w:val="5FD86B03"/>
    <w:rsid w:val="5FFB713E"/>
    <w:rsid w:val="5FFE5E56"/>
    <w:rsid w:val="601E4DF0"/>
    <w:rsid w:val="603B3C53"/>
    <w:rsid w:val="605661D4"/>
    <w:rsid w:val="605756F7"/>
    <w:rsid w:val="605A7058"/>
    <w:rsid w:val="606862FA"/>
    <w:rsid w:val="60AA7150"/>
    <w:rsid w:val="60B91F51"/>
    <w:rsid w:val="60D72A5E"/>
    <w:rsid w:val="60DE511A"/>
    <w:rsid w:val="613B3B8F"/>
    <w:rsid w:val="614829A8"/>
    <w:rsid w:val="618A45E8"/>
    <w:rsid w:val="619F7440"/>
    <w:rsid w:val="61B22806"/>
    <w:rsid w:val="61C64CD9"/>
    <w:rsid w:val="61D1762B"/>
    <w:rsid w:val="61E928D9"/>
    <w:rsid w:val="61ED6B55"/>
    <w:rsid w:val="61F23319"/>
    <w:rsid w:val="622A5268"/>
    <w:rsid w:val="625D45F4"/>
    <w:rsid w:val="6286153A"/>
    <w:rsid w:val="62C43DE3"/>
    <w:rsid w:val="63042232"/>
    <w:rsid w:val="63991B0B"/>
    <w:rsid w:val="63D97837"/>
    <w:rsid w:val="6409448D"/>
    <w:rsid w:val="640C59EC"/>
    <w:rsid w:val="644251DF"/>
    <w:rsid w:val="64B15547"/>
    <w:rsid w:val="64B51B15"/>
    <w:rsid w:val="64F309C5"/>
    <w:rsid w:val="651D2BEB"/>
    <w:rsid w:val="65505156"/>
    <w:rsid w:val="65A86BDC"/>
    <w:rsid w:val="65F620E8"/>
    <w:rsid w:val="6609771D"/>
    <w:rsid w:val="66151C7D"/>
    <w:rsid w:val="662B60E9"/>
    <w:rsid w:val="663A0714"/>
    <w:rsid w:val="66410AAB"/>
    <w:rsid w:val="664518D4"/>
    <w:rsid w:val="66576F8D"/>
    <w:rsid w:val="667E21A1"/>
    <w:rsid w:val="668976F9"/>
    <w:rsid w:val="66A66612"/>
    <w:rsid w:val="66B3617C"/>
    <w:rsid w:val="66BC4517"/>
    <w:rsid w:val="66C8127C"/>
    <w:rsid w:val="66DD58E6"/>
    <w:rsid w:val="66F777B3"/>
    <w:rsid w:val="679709B6"/>
    <w:rsid w:val="67A2115E"/>
    <w:rsid w:val="67A91325"/>
    <w:rsid w:val="67D50535"/>
    <w:rsid w:val="67DD16AD"/>
    <w:rsid w:val="68044466"/>
    <w:rsid w:val="680D6A35"/>
    <w:rsid w:val="682417D3"/>
    <w:rsid w:val="68284055"/>
    <w:rsid w:val="682974A0"/>
    <w:rsid w:val="682C41D7"/>
    <w:rsid w:val="683E2946"/>
    <w:rsid w:val="684F5B05"/>
    <w:rsid w:val="688A4CB2"/>
    <w:rsid w:val="68B14248"/>
    <w:rsid w:val="68B8530F"/>
    <w:rsid w:val="68BA56B2"/>
    <w:rsid w:val="68C22435"/>
    <w:rsid w:val="68E14BED"/>
    <w:rsid w:val="68FC155F"/>
    <w:rsid w:val="69164798"/>
    <w:rsid w:val="696E3558"/>
    <w:rsid w:val="69B31A14"/>
    <w:rsid w:val="69B77582"/>
    <w:rsid w:val="69D11D18"/>
    <w:rsid w:val="69FB2643"/>
    <w:rsid w:val="6A1C70CC"/>
    <w:rsid w:val="6A232B33"/>
    <w:rsid w:val="6A883344"/>
    <w:rsid w:val="6AA83EB2"/>
    <w:rsid w:val="6AC27BB2"/>
    <w:rsid w:val="6AF00B2D"/>
    <w:rsid w:val="6B1270D8"/>
    <w:rsid w:val="6B204E1B"/>
    <w:rsid w:val="6B427AC6"/>
    <w:rsid w:val="6B4876B4"/>
    <w:rsid w:val="6B510059"/>
    <w:rsid w:val="6B8425EF"/>
    <w:rsid w:val="6BCC0DA5"/>
    <w:rsid w:val="6BEE4EA8"/>
    <w:rsid w:val="6BFE5A4E"/>
    <w:rsid w:val="6BFF17BC"/>
    <w:rsid w:val="6C102CA2"/>
    <w:rsid w:val="6C3038AF"/>
    <w:rsid w:val="6C320C8F"/>
    <w:rsid w:val="6C405E5C"/>
    <w:rsid w:val="6C494E84"/>
    <w:rsid w:val="6C705496"/>
    <w:rsid w:val="6C756079"/>
    <w:rsid w:val="6C8E375A"/>
    <w:rsid w:val="6C8F326E"/>
    <w:rsid w:val="6CB15163"/>
    <w:rsid w:val="6CC20984"/>
    <w:rsid w:val="6D183BC4"/>
    <w:rsid w:val="6D27463E"/>
    <w:rsid w:val="6D291239"/>
    <w:rsid w:val="6D664D6B"/>
    <w:rsid w:val="6D72193B"/>
    <w:rsid w:val="6D7908EF"/>
    <w:rsid w:val="6D9965E5"/>
    <w:rsid w:val="6DAC5000"/>
    <w:rsid w:val="6DC54131"/>
    <w:rsid w:val="6E19155E"/>
    <w:rsid w:val="6E2755D4"/>
    <w:rsid w:val="6E4468D9"/>
    <w:rsid w:val="6E6F24D7"/>
    <w:rsid w:val="6E711397"/>
    <w:rsid w:val="6E95688D"/>
    <w:rsid w:val="6ED560FE"/>
    <w:rsid w:val="6F462008"/>
    <w:rsid w:val="6F4E5687"/>
    <w:rsid w:val="6F5536EE"/>
    <w:rsid w:val="6FAC4AE7"/>
    <w:rsid w:val="6FBB48A0"/>
    <w:rsid w:val="6FE00973"/>
    <w:rsid w:val="6FE02AF4"/>
    <w:rsid w:val="6FE14C9F"/>
    <w:rsid w:val="6FEF53BF"/>
    <w:rsid w:val="70075EF5"/>
    <w:rsid w:val="70136AE8"/>
    <w:rsid w:val="70377DC4"/>
    <w:rsid w:val="705F104E"/>
    <w:rsid w:val="709417BF"/>
    <w:rsid w:val="70BF5D0F"/>
    <w:rsid w:val="70EE45D8"/>
    <w:rsid w:val="70FA2C10"/>
    <w:rsid w:val="7157618C"/>
    <w:rsid w:val="71583116"/>
    <w:rsid w:val="716F066F"/>
    <w:rsid w:val="71C42099"/>
    <w:rsid w:val="71D22C05"/>
    <w:rsid w:val="71F419DF"/>
    <w:rsid w:val="723A0367"/>
    <w:rsid w:val="724B3023"/>
    <w:rsid w:val="729A3FBE"/>
    <w:rsid w:val="72A94067"/>
    <w:rsid w:val="72CC34DC"/>
    <w:rsid w:val="72CF12EB"/>
    <w:rsid w:val="72EA251B"/>
    <w:rsid w:val="732E1CC1"/>
    <w:rsid w:val="7345216B"/>
    <w:rsid w:val="734C5731"/>
    <w:rsid w:val="7359285B"/>
    <w:rsid w:val="736A582D"/>
    <w:rsid w:val="737111B5"/>
    <w:rsid w:val="7373596D"/>
    <w:rsid w:val="737C70AC"/>
    <w:rsid w:val="73D706A9"/>
    <w:rsid w:val="73EA731A"/>
    <w:rsid w:val="74631959"/>
    <w:rsid w:val="746E5B37"/>
    <w:rsid w:val="74882BAF"/>
    <w:rsid w:val="748F2502"/>
    <w:rsid w:val="749701FA"/>
    <w:rsid w:val="749E4500"/>
    <w:rsid w:val="74C66F87"/>
    <w:rsid w:val="75052781"/>
    <w:rsid w:val="752347FE"/>
    <w:rsid w:val="7561643A"/>
    <w:rsid w:val="757B56BD"/>
    <w:rsid w:val="757D3428"/>
    <w:rsid w:val="75A036AD"/>
    <w:rsid w:val="75A71C6D"/>
    <w:rsid w:val="75E24ACA"/>
    <w:rsid w:val="75E941C3"/>
    <w:rsid w:val="75FF63BE"/>
    <w:rsid w:val="76300F25"/>
    <w:rsid w:val="76393F47"/>
    <w:rsid w:val="76541DC7"/>
    <w:rsid w:val="7674529E"/>
    <w:rsid w:val="76953535"/>
    <w:rsid w:val="76E01124"/>
    <w:rsid w:val="76E3004F"/>
    <w:rsid w:val="76F23402"/>
    <w:rsid w:val="775C5609"/>
    <w:rsid w:val="776C0A8B"/>
    <w:rsid w:val="77714AEE"/>
    <w:rsid w:val="77C85A01"/>
    <w:rsid w:val="782318E1"/>
    <w:rsid w:val="78A5600D"/>
    <w:rsid w:val="78AD2FD7"/>
    <w:rsid w:val="78AE157E"/>
    <w:rsid w:val="78D07806"/>
    <w:rsid w:val="78FF0575"/>
    <w:rsid w:val="79093C83"/>
    <w:rsid w:val="7912735A"/>
    <w:rsid w:val="791C4546"/>
    <w:rsid w:val="793B289E"/>
    <w:rsid w:val="794E111B"/>
    <w:rsid w:val="796736E9"/>
    <w:rsid w:val="797404B1"/>
    <w:rsid w:val="798012D8"/>
    <w:rsid w:val="79825D74"/>
    <w:rsid w:val="7987227D"/>
    <w:rsid w:val="79D55FA9"/>
    <w:rsid w:val="79FF133B"/>
    <w:rsid w:val="7A3727C0"/>
    <w:rsid w:val="7A464429"/>
    <w:rsid w:val="7A4778C6"/>
    <w:rsid w:val="7A696E53"/>
    <w:rsid w:val="7AC8396A"/>
    <w:rsid w:val="7AD21D3A"/>
    <w:rsid w:val="7AF8434E"/>
    <w:rsid w:val="7B2D1FCC"/>
    <w:rsid w:val="7B317065"/>
    <w:rsid w:val="7B34053A"/>
    <w:rsid w:val="7B5A6BAC"/>
    <w:rsid w:val="7B895B91"/>
    <w:rsid w:val="7BB35FE5"/>
    <w:rsid w:val="7BE13048"/>
    <w:rsid w:val="7C17442C"/>
    <w:rsid w:val="7C4A0457"/>
    <w:rsid w:val="7C5D4E79"/>
    <w:rsid w:val="7C7B2E38"/>
    <w:rsid w:val="7CA6131C"/>
    <w:rsid w:val="7CB76B1C"/>
    <w:rsid w:val="7CB80FE6"/>
    <w:rsid w:val="7CD52061"/>
    <w:rsid w:val="7D036C57"/>
    <w:rsid w:val="7D3303CE"/>
    <w:rsid w:val="7D4567F4"/>
    <w:rsid w:val="7D5612E7"/>
    <w:rsid w:val="7D61004C"/>
    <w:rsid w:val="7D7E0D24"/>
    <w:rsid w:val="7D867B26"/>
    <w:rsid w:val="7DDA262C"/>
    <w:rsid w:val="7E307319"/>
    <w:rsid w:val="7E3C22CA"/>
    <w:rsid w:val="7E414D7D"/>
    <w:rsid w:val="7E5807E8"/>
    <w:rsid w:val="7E7A52F7"/>
    <w:rsid w:val="7EC81888"/>
    <w:rsid w:val="7ED80E98"/>
    <w:rsid w:val="7F2635FF"/>
    <w:rsid w:val="7F2E467C"/>
    <w:rsid w:val="7F5007DF"/>
    <w:rsid w:val="7F5636E8"/>
    <w:rsid w:val="7F663693"/>
    <w:rsid w:val="7F6D152C"/>
    <w:rsid w:val="7F8F6BFA"/>
    <w:rsid w:val="7FDA245F"/>
    <w:rsid w:val="7FEC63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6">
    <w:name w:val="heading 1"/>
    <w:basedOn w:val="1"/>
    <w:next w:val="1"/>
    <w:link w:val="42"/>
    <w:qFormat/>
    <w:uiPriority w:val="0"/>
    <w:pPr>
      <w:keepNext/>
      <w:keepLines/>
      <w:spacing w:before="340" w:after="330" w:line="576" w:lineRule="auto"/>
      <w:outlineLvl w:val="0"/>
    </w:pPr>
    <w:rPr>
      <w:rFonts w:ascii="Times New Roman" w:hAnsi="Times New Roman"/>
      <w:b/>
      <w:bCs/>
      <w:sz w:val="24"/>
      <w:szCs w:val="20"/>
    </w:rPr>
  </w:style>
  <w:style w:type="paragraph" w:styleId="7">
    <w:name w:val="heading 2"/>
    <w:basedOn w:val="1"/>
    <w:next w:val="1"/>
    <w:qFormat/>
    <w:uiPriority w:val="0"/>
    <w:pPr>
      <w:keepNext/>
      <w:keepLines/>
      <w:spacing w:before="260" w:after="260" w:line="415" w:lineRule="auto"/>
      <w:outlineLvl w:val="1"/>
    </w:pPr>
    <w:rPr>
      <w:rFonts w:ascii="Arial" w:hAnsi="Arial" w:eastAsia="黑体"/>
      <w:b/>
      <w:kern w:val="0"/>
      <w:sz w:val="32"/>
      <w:szCs w:val="20"/>
    </w:rPr>
  </w:style>
  <w:style w:type="paragraph" w:styleId="8">
    <w:name w:val="heading 3"/>
    <w:basedOn w:val="1"/>
    <w:next w:val="1"/>
    <w:qFormat/>
    <w:uiPriority w:val="0"/>
    <w:pPr>
      <w:keepNext/>
      <w:keepLines/>
      <w:spacing w:before="260" w:after="260" w:line="415" w:lineRule="auto"/>
      <w:outlineLvl w:val="2"/>
    </w:pPr>
    <w:rPr>
      <w:b/>
      <w:sz w:val="32"/>
    </w:rPr>
  </w:style>
  <w:style w:type="paragraph" w:styleId="9">
    <w:name w:val="heading 4"/>
    <w:basedOn w:val="1"/>
    <w:next w:val="1"/>
    <w:qFormat/>
    <w:uiPriority w:val="0"/>
    <w:pPr>
      <w:keepNext/>
      <w:keepLines/>
      <w:adjustRightInd w:val="0"/>
      <w:spacing w:before="280" w:after="290" w:line="376" w:lineRule="atLeast"/>
      <w:outlineLvl w:val="3"/>
    </w:pPr>
    <w:rPr>
      <w:rFonts w:ascii="Arial" w:hAnsi="Arial" w:eastAsia="黑体"/>
      <w:b/>
      <w:kern w:val="0"/>
      <w:sz w:val="28"/>
    </w:rPr>
  </w:style>
  <w:style w:type="paragraph" w:styleId="10">
    <w:name w:val="heading 5"/>
    <w:basedOn w:val="1"/>
    <w:next w:val="11"/>
    <w:qFormat/>
    <w:uiPriority w:val="0"/>
    <w:pPr>
      <w:keepNext/>
      <w:keepLines/>
      <w:numPr>
        <w:ilvl w:val="4"/>
        <w:numId w:val="1"/>
      </w:numPr>
      <w:spacing w:before="280" w:after="290" w:line="372" w:lineRule="auto"/>
      <w:outlineLvl w:val="4"/>
    </w:pPr>
    <w:rPr>
      <w:b/>
      <w:sz w:val="28"/>
    </w:rPr>
  </w:style>
  <w:style w:type="paragraph" w:styleId="12">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4"/>
    <w:qFormat/>
    <w:uiPriority w:val="0"/>
    <w:pPr>
      <w:adjustRightInd w:val="0"/>
      <w:ind w:firstLine="420"/>
      <w:jc w:val="left"/>
      <w:textAlignment w:val="baseline"/>
    </w:pPr>
    <w:rPr>
      <w:kern w:val="0"/>
    </w:rPr>
  </w:style>
  <w:style w:type="paragraph" w:styleId="3">
    <w:name w:val="Body Text"/>
    <w:basedOn w:val="1"/>
    <w:next w:val="1"/>
    <w:qFormat/>
    <w:uiPriority w:val="0"/>
    <w:rPr>
      <w:b/>
      <w:sz w:val="28"/>
    </w:rPr>
  </w:style>
  <w:style w:type="paragraph" w:styleId="4">
    <w:name w:val="Body Text First Indent 2"/>
    <w:basedOn w:val="5"/>
    <w:next w:val="1"/>
    <w:qFormat/>
    <w:uiPriority w:val="0"/>
    <w:pPr>
      <w:ind w:firstLine="420" w:firstLineChars="200"/>
    </w:pPr>
  </w:style>
  <w:style w:type="paragraph" w:styleId="5">
    <w:name w:val="Body Text Indent"/>
    <w:basedOn w:val="1"/>
    <w:next w:val="4"/>
    <w:qFormat/>
    <w:uiPriority w:val="0"/>
    <w:pPr>
      <w:ind w:firstLine="630"/>
    </w:pPr>
    <w:rPr>
      <w:sz w:val="32"/>
      <w:szCs w:val="20"/>
    </w:rPr>
  </w:style>
  <w:style w:type="paragraph" w:styleId="11">
    <w:name w:val="Normal Indent"/>
    <w:basedOn w:val="1"/>
    <w:qFormat/>
    <w:uiPriority w:val="0"/>
    <w:pPr>
      <w:ind w:firstLine="420"/>
    </w:pPr>
    <w:rPr>
      <w:szCs w:val="20"/>
    </w:rPr>
  </w:style>
  <w:style w:type="paragraph" w:styleId="13">
    <w:name w:val="annotation text"/>
    <w:basedOn w:val="1"/>
    <w:link w:val="43"/>
    <w:qFormat/>
    <w:uiPriority w:val="0"/>
    <w:pPr>
      <w:jc w:val="left"/>
    </w:pPr>
  </w:style>
  <w:style w:type="paragraph" w:styleId="14">
    <w:name w:val="toc 3"/>
    <w:basedOn w:val="1"/>
    <w:next w:val="1"/>
    <w:qFormat/>
    <w:uiPriority w:val="0"/>
    <w:pPr>
      <w:ind w:left="420"/>
      <w:jc w:val="left"/>
    </w:pPr>
    <w:rPr>
      <w:i/>
      <w:iCs/>
      <w:sz w:val="20"/>
    </w:rPr>
  </w:style>
  <w:style w:type="paragraph" w:styleId="15">
    <w:name w:val="Plain Text"/>
    <w:basedOn w:val="1"/>
    <w:qFormat/>
    <w:uiPriority w:val="99"/>
    <w:rPr>
      <w:rFonts w:ascii="宋体" w:hAnsi="Courier New"/>
      <w:szCs w:val="21"/>
    </w:rPr>
  </w:style>
  <w:style w:type="paragraph" w:styleId="16">
    <w:name w:val="Body Text Indent 2"/>
    <w:basedOn w:val="1"/>
    <w:qFormat/>
    <w:uiPriority w:val="0"/>
    <w:pPr>
      <w:ind w:firstLine="630"/>
    </w:pPr>
    <w:rPr>
      <w:sz w:val="32"/>
      <w:szCs w:val="20"/>
    </w:rPr>
  </w:style>
  <w:style w:type="paragraph" w:styleId="17">
    <w:name w:val="Balloon Text"/>
    <w:basedOn w:val="1"/>
    <w:link w:val="44"/>
    <w:qFormat/>
    <w:uiPriority w:val="0"/>
    <w:rPr>
      <w:sz w:val="18"/>
      <w:szCs w:val="18"/>
    </w:rPr>
  </w:style>
  <w:style w:type="paragraph" w:styleId="18">
    <w:name w:val="footer"/>
    <w:basedOn w:val="1"/>
    <w:qFormat/>
    <w:uiPriority w:val="0"/>
    <w:pPr>
      <w:tabs>
        <w:tab w:val="center" w:pos="4153"/>
        <w:tab w:val="right" w:pos="8306"/>
      </w:tabs>
      <w:snapToGrid w:val="0"/>
      <w:jc w:val="left"/>
    </w:pPr>
    <w:rPr>
      <w:sz w:val="18"/>
    </w:rPr>
  </w:style>
  <w:style w:type="paragraph" w:styleId="19">
    <w:name w:val="envelope return"/>
    <w:basedOn w:val="1"/>
    <w:qFormat/>
    <w:uiPriority w:val="0"/>
    <w:pPr>
      <w:snapToGrid w:val="0"/>
    </w:pPr>
    <w:rPr>
      <w:rFonts w:ascii="Arial" w:hAnsi="Arial"/>
    </w:rPr>
  </w:style>
  <w:style w:type="paragraph" w:styleId="20">
    <w:name w:val="header"/>
    <w:basedOn w:val="1"/>
    <w:link w:val="45"/>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0"/>
    <w:pPr>
      <w:spacing w:before="120" w:after="120"/>
      <w:jc w:val="left"/>
    </w:pPr>
    <w:rPr>
      <w:b/>
      <w:bCs/>
      <w:caps/>
      <w:sz w:val="20"/>
    </w:rPr>
  </w:style>
  <w:style w:type="paragraph" w:styleId="22">
    <w:name w:val="Body Text Indent 3"/>
    <w:basedOn w:val="1"/>
    <w:qFormat/>
    <w:uiPriority w:val="0"/>
    <w:pPr>
      <w:adjustRightInd w:val="0"/>
      <w:snapToGrid w:val="0"/>
      <w:spacing w:line="360" w:lineRule="auto"/>
      <w:ind w:firstLine="600" w:firstLineChars="200"/>
    </w:pPr>
    <w:rPr>
      <w:rFonts w:ascii="黑体" w:eastAsia="黑体"/>
      <w:sz w:val="30"/>
      <w:szCs w:val="28"/>
    </w:rPr>
  </w:style>
  <w:style w:type="paragraph" w:styleId="23">
    <w:name w:val="toc 2"/>
    <w:basedOn w:val="1"/>
    <w:next w:val="1"/>
    <w:qFormat/>
    <w:uiPriority w:val="0"/>
    <w:pPr>
      <w:ind w:left="210"/>
      <w:jc w:val="left"/>
    </w:pPr>
    <w:rPr>
      <w:smallCaps/>
      <w:sz w:val="20"/>
    </w:rPr>
  </w:style>
  <w:style w:type="paragraph" w:styleId="24">
    <w:name w:val="Body Text 2"/>
    <w:basedOn w:val="1"/>
    <w:unhideWhenUsed/>
    <w:qFormat/>
    <w:uiPriority w:val="0"/>
    <w:pPr>
      <w:adjustRightInd w:val="0"/>
      <w:snapToGrid w:val="0"/>
      <w:spacing w:line="480" w:lineRule="atLeast"/>
    </w:pPr>
    <w:rPr>
      <w:rFonts w:ascii="宋体" w:hAnsi="宋体"/>
      <w:sz w:val="28"/>
    </w:rPr>
  </w:style>
  <w:style w:type="paragraph" w:styleId="25">
    <w:name w:val="Normal (Web)"/>
    <w:basedOn w:val="1"/>
    <w:qFormat/>
    <w:uiPriority w:val="0"/>
    <w:pPr>
      <w:widowControl/>
      <w:spacing w:before="100" w:beforeAutospacing="1" w:after="100" w:afterAutospacing="1"/>
      <w:jc w:val="left"/>
    </w:pPr>
    <w:rPr>
      <w:rFonts w:ascii="宋体" w:hAnsi="宋体"/>
      <w:kern w:val="0"/>
      <w:sz w:val="24"/>
    </w:rPr>
  </w:style>
  <w:style w:type="paragraph" w:styleId="26">
    <w:name w:val="index 1"/>
    <w:basedOn w:val="1"/>
    <w:next w:val="1"/>
    <w:qFormat/>
    <w:uiPriority w:val="0"/>
  </w:style>
  <w:style w:type="paragraph" w:styleId="27">
    <w:name w:val="annotation subject"/>
    <w:basedOn w:val="13"/>
    <w:next w:val="13"/>
    <w:link w:val="46"/>
    <w:qFormat/>
    <w:uiPriority w:val="0"/>
    <w:rPr>
      <w:b/>
      <w:bCs/>
    </w:r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basedOn w:val="30"/>
    <w:qFormat/>
    <w:uiPriority w:val="0"/>
    <w:rPr>
      <w:b/>
      <w:bCs/>
    </w:rPr>
  </w:style>
  <w:style w:type="character" w:styleId="32">
    <w:name w:val="page number"/>
    <w:basedOn w:val="30"/>
    <w:qFormat/>
    <w:uiPriority w:val="0"/>
  </w:style>
  <w:style w:type="character" w:styleId="33">
    <w:name w:val="FollowedHyperlink"/>
    <w:basedOn w:val="30"/>
    <w:qFormat/>
    <w:uiPriority w:val="0"/>
    <w:rPr>
      <w:color w:val="333333"/>
      <w:u w:val="none"/>
    </w:rPr>
  </w:style>
  <w:style w:type="character" w:styleId="34">
    <w:name w:val="Emphasis"/>
    <w:basedOn w:val="30"/>
    <w:qFormat/>
    <w:uiPriority w:val="0"/>
  </w:style>
  <w:style w:type="character" w:styleId="35">
    <w:name w:val="HTML Definition"/>
    <w:basedOn w:val="30"/>
    <w:qFormat/>
    <w:uiPriority w:val="0"/>
    <w:rPr>
      <w:i/>
      <w:iCs/>
    </w:rPr>
  </w:style>
  <w:style w:type="character" w:styleId="36">
    <w:name w:val="Hyperlink"/>
    <w:basedOn w:val="30"/>
    <w:qFormat/>
    <w:uiPriority w:val="0"/>
    <w:rPr>
      <w:color w:val="000000"/>
      <w:u w:val="none"/>
    </w:rPr>
  </w:style>
  <w:style w:type="character" w:styleId="37">
    <w:name w:val="HTML Code"/>
    <w:basedOn w:val="30"/>
    <w:qFormat/>
    <w:uiPriority w:val="0"/>
    <w:rPr>
      <w:rFonts w:hint="default" w:ascii="Consolas" w:hAnsi="Consolas" w:eastAsia="Consolas" w:cs="Consolas"/>
      <w:color w:val="C7254E"/>
      <w:sz w:val="21"/>
      <w:szCs w:val="21"/>
      <w:shd w:val="clear" w:color="auto" w:fill="F9F2F4"/>
    </w:rPr>
  </w:style>
  <w:style w:type="character" w:styleId="38">
    <w:name w:val="annotation reference"/>
    <w:qFormat/>
    <w:uiPriority w:val="0"/>
    <w:rPr>
      <w:sz w:val="21"/>
      <w:szCs w:val="21"/>
    </w:rPr>
  </w:style>
  <w:style w:type="character" w:styleId="39">
    <w:name w:val="HTML Keyboard"/>
    <w:basedOn w:val="30"/>
    <w:qFormat/>
    <w:uiPriority w:val="0"/>
    <w:rPr>
      <w:rFonts w:hint="default" w:ascii="Consolas" w:hAnsi="Consolas" w:eastAsia="Consolas" w:cs="Consolas"/>
      <w:color w:val="FFFFFF"/>
      <w:sz w:val="21"/>
      <w:szCs w:val="21"/>
      <w:bdr w:val="single" w:color="CCCCCC" w:sz="6" w:space="0"/>
      <w:shd w:val="clear" w:color="auto" w:fill="333333"/>
    </w:rPr>
  </w:style>
  <w:style w:type="character" w:styleId="40">
    <w:name w:val="HTML Sample"/>
    <w:basedOn w:val="30"/>
    <w:qFormat/>
    <w:uiPriority w:val="0"/>
    <w:rPr>
      <w:rFonts w:ascii="Consolas" w:hAnsi="Consolas" w:eastAsia="Consolas" w:cs="Consolas"/>
      <w:sz w:val="21"/>
      <w:szCs w:val="21"/>
    </w:rPr>
  </w:style>
  <w:style w:type="paragraph" w:customStyle="1" w:styleId="41">
    <w:name w:val="文档正文"/>
    <w:basedOn w:val="1"/>
    <w:qFormat/>
    <w:uiPriority w:val="99"/>
    <w:pPr>
      <w:adjustRightInd w:val="0"/>
      <w:spacing w:line="400" w:lineRule="atLeast"/>
      <w:ind w:firstLine="420" w:firstLineChars="200"/>
      <w:jc w:val="left"/>
      <w:textAlignment w:val="baseline"/>
    </w:pPr>
    <w:rPr>
      <w:rFonts w:ascii="宋体" w:hAnsi="宋体"/>
      <w:kern w:val="0"/>
      <w:sz w:val="24"/>
      <w:szCs w:val="20"/>
    </w:rPr>
  </w:style>
  <w:style w:type="character" w:customStyle="1" w:styleId="42">
    <w:name w:val="标题 1 Char1"/>
    <w:link w:val="6"/>
    <w:qFormat/>
    <w:uiPriority w:val="0"/>
    <w:rPr>
      <w:rFonts w:eastAsia="宋体"/>
      <w:b/>
      <w:bCs/>
      <w:kern w:val="2"/>
      <w:sz w:val="24"/>
      <w:lang w:val="en-US" w:eastAsia="zh-CN" w:bidi="ar-SA"/>
    </w:rPr>
  </w:style>
  <w:style w:type="character" w:customStyle="1" w:styleId="43">
    <w:name w:val="批注文字 Char"/>
    <w:link w:val="13"/>
    <w:qFormat/>
    <w:uiPriority w:val="0"/>
    <w:rPr>
      <w:rFonts w:ascii="Calibri" w:hAnsi="Calibri"/>
      <w:kern w:val="2"/>
      <w:sz w:val="21"/>
      <w:szCs w:val="22"/>
    </w:rPr>
  </w:style>
  <w:style w:type="character" w:customStyle="1" w:styleId="44">
    <w:name w:val="批注框文本 Char"/>
    <w:link w:val="17"/>
    <w:qFormat/>
    <w:uiPriority w:val="0"/>
    <w:rPr>
      <w:rFonts w:ascii="Calibri" w:hAnsi="Calibri"/>
      <w:kern w:val="2"/>
      <w:sz w:val="18"/>
      <w:szCs w:val="18"/>
    </w:rPr>
  </w:style>
  <w:style w:type="character" w:customStyle="1" w:styleId="45">
    <w:name w:val="页眉 Char"/>
    <w:link w:val="20"/>
    <w:qFormat/>
    <w:uiPriority w:val="0"/>
    <w:rPr>
      <w:rFonts w:ascii="Calibri" w:hAnsi="Calibri"/>
      <w:kern w:val="2"/>
      <w:sz w:val="18"/>
      <w:szCs w:val="18"/>
    </w:rPr>
  </w:style>
  <w:style w:type="character" w:customStyle="1" w:styleId="46">
    <w:name w:val="批注主题 Char"/>
    <w:link w:val="27"/>
    <w:qFormat/>
    <w:uiPriority w:val="0"/>
    <w:rPr>
      <w:rFonts w:ascii="Calibri" w:hAnsi="Calibri"/>
      <w:b/>
      <w:bCs/>
      <w:kern w:val="2"/>
      <w:sz w:val="21"/>
      <w:szCs w:val="22"/>
    </w:rPr>
  </w:style>
  <w:style w:type="character" w:customStyle="1" w:styleId="47">
    <w:name w:val="标题 1 Char"/>
    <w:qFormat/>
    <w:uiPriority w:val="0"/>
    <w:rPr>
      <w:rFonts w:ascii="Times New Roman" w:hAnsi="Times New Roman"/>
      <w:b/>
      <w:kern w:val="44"/>
      <w:sz w:val="44"/>
      <w:szCs w:val="20"/>
    </w:rPr>
  </w:style>
  <w:style w:type="paragraph" w:customStyle="1" w:styleId="48">
    <w:name w:val="Default22"/>
    <w:qFormat/>
    <w:uiPriority w:val="99"/>
    <w:pPr>
      <w:widowControl w:val="0"/>
      <w:autoSpaceDE w:val="0"/>
      <w:autoSpaceDN w:val="0"/>
      <w:adjustRightInd w:val="0"/>
    </w:pPr>
    <w:rPr>
      <w:rFonts w:ascii="黑体" w:hAnsi="Calibri" w:eastAsia="黑体" w:cs="Times New Roman"/>
      <w:sz w:val="21"/>
      <w:szCs w:val="22"/>
      <w:lang w:val="en-US" w:eastAsia="zh-CN" w:bidi="ar-SA"/>
    </w:rPr>
  </w:style>
  <w:style w:type="paragraph" w:customStyle="1" w:styleId="49">
    <w:name w:val="列出段落2"/>
    <w:basedOn w:val="1"/>
    <w:qFormat/>
    <w:uiPriority w:val="99"/>
    <w:pPr>
      <w:ind w:firstLine="420" w:firstLineChars="200"/>
    </w:pPr>
  </w:style>
  <w:style w:type="paragraph" w:customStyle="1" w:styleId="50">
    <w:name w:val="p15"/>
    <w:basedOn w:val="1"/>
    <w:qFormat/>
    <w:uiPriority w:val="0"/>
    <w:pPr>
      <w:widowControl/>
      <w:spacing w:line="360" w:lineRule="auto"/>
      <w:jc w:val="left"/>
    </w:pPr>
    <w:rPr>
      <w:kern w:val="0"/>
      <w:sz w:val="24"/>
    </w:rPr>
  </w:style>
  <w:style w:type="paragraph" w:styleId="51">
    <w:name w:val="List Paragraph"/>
    <w:basedOn w:val="1"/>
    <w:qFormat/>
    <w:uiPriority w:val="0"/>
    <w:pPr>
      <w:ind w:firstLine="420" w:firstLineChars="200"/>
    </w:pPr>
    <w:rPr>
      <w:kern w:val="0"/>
      <w:sz w:val="20"/>
    </w:rPr>
  </w:style>
  <w:style w:type="paragraph" w:customStyle="1" w:styleId="52">
    <w:name w:val="正文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character" w:customStyle="1" w:styleId="53">
    <w:name w:val="hover3"/>
    <w:basedOn w:val="30"/>
    <w:qFormat/>
    <w:uiPriority w:val="0"/>
    <w:rPr>
      <w:shd w:val="clear" w:color="auto" w:fill="EEEEEE"/>
    </w:rPr>
  </w:style>
  <w:style w:type="character" w:customStyle="1" w:styleId="54">
    <w:name w:val="tmpztreemove_arrow"/>
    <w:basedOn w:val="30"/>
    <w:qFormat/>
    <w:uiPriority w:val="0"/>
    <w:rPr>
      <w:shd w:val="clear" w:color="auto" w:fill="FFFFFF"/>
    </w:rPr>
  </w:style>
  <w:style w:type="character" w:customStyle="1" w:styleId="55">
    <w:name w:val="button"/>
    <w:basedOn w:val="30"/>
    <w:qFormat/>
    <w:uiPriority w:val="0"/>
  </w:style>
  <w:style w:type="character" w:customStyle="1" w:styleId="56">
    <w:name w:val="indent"/>
    <w:basedOn w:val="30"/>
    <w:qFormat/>
    <w:uiPriority w:val="0"/>
  </w:style>
  <w:style w:type="character" w:customStyle="1" w:styleId="57">
    <w:name w:val="hour_am"/>
    <w:basedOn w:val="30"/>
    <w:qFormat/>
    <w:uiPriority w:val="0"/>
  </w:style>
  <w:style w:type="character" w:customStyle="1" w:styleId="58">
    <w:name w:val="hour_pm"/>
    <w:basedOn w:val="30"/>
    <w:qFormat/>
    <w:uiPriority w:val="0"/>
  </w:style>
  <w:style w:type="character" w:customStyle="1" w:styleId="59">
    <w:name w:val="old"/>
    <w:basedOn w:val="30"/>
    <w:qFormat/>
    <w:uiPriority w:val="0"/>
    <w:rPr>
      <w:color w:val="999999"/>
    </w:rPr>
  </w:style>
  <w:style w:type="character" w:customStyle="1" w:styleId="60">
    <w:name w:val="glyphicon4"/>
    <w:basedOn w:val="30"/>
    <w:qFormat/>
    <w:uiPriority w:val="0"/>
  </w:style>
  <w:style w:type="paragraph" w:customStyle="1" w:styleId="61">
    <w:name w:val="List Paragraph1"/>
    <w:qFormat/>
    <w:uiPriority w:val="99"/>
    <w:pPr>
      <w:ind w:firstLine="420" w:firstLineChars="200"/>
    </w:pPr>
    <w:rPr>
      <w:rFonts w:ascii="Times New Roman" w:hAnsi="Times New Roman" w:eastAsia="宋体" w:cs="Times New Roman"/>
      <w:lang w:val="en-US" w:eastAsia="zh-CN" w:bidi="ar-SA"/>
    </w:rPr>
  </w:style>
  <w:style w:type="paragraph" w:customStyle="1" w:styleId="62">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ITianKong.Com</Company>
  <Pages>91</Pages>
  <Words>54712</Words>
  <Characters>58045</Characters>
  <Lines>260</Lines>
  <Paragraphs>73</Paragraphs>
  <TotalTime>3</TotalTime>
  <ScaleCrop>false</ScaleCrop>
  <LinksUpToDate>false</LinksUpToDate>
  <CharactersWithSpaces>60851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WPS_496287145</cp:lastModifiedBy>
  <cp:lastPrinted>2021-07-07T01:28:00Z</cp:lastPrinted>
  <dcterms:modified xsi:type="dcterms:W3CDTF">2022-05-05T07:13:43Z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D805A199F1804687A0253B94E8D8F89D</vt:lpwstr>
  </property>
  <property fmtid="{D5CDD505-2E9C-101B-9397-08002B2CF9AE}" pid="4" name="commondata">
    <vt:lpwstr>eyJoZGlkIjoiYWFhMjkxNWE0ZmFlZDdhMWE0ZTY4M2NkMjNjNDQ4MjcifQ==</vt:lpwstr>
  </property>
</Properties>
</file>