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sz w:val="26"/>
          <w:szCs w:val="26"/>
        </w:rPr>
      </w:pPr>
      <w:r>
        <w:rPr>
          <w:sz w:val="28"/>
        </w:rPr>
        <mc:AlternateContent>
          <mc:Choice Requires="wps">
            <w:drawing>
              <wp:anchor distT="0" distB="0" distL="114300" distR="114300" simplePos="0" relativeHeight="251665408" behindDoc="1" locked="0" layoutInCell="1" allowOverlap="1">
                <wp:simplePos x="0" y="0"/>
                <wp:positionH relativeFrom="column">
                  <wp:posOffset>4274185</wp:posOffset>
                </wp:positionH>
                <wp:positionV relativeFrom="paragraph">
                  <wp:posOffset>75565</wp:posOffset>
                </wp:positionV>
                <wp:extent cx="1030605" cy="268605"/>
                <wp:effectExtent l="8255" t="10160" r="8890" b="6985"/>
                <wp:wrapNone/>
                <wp:docPr id="8" name="流程图: 过程 8"/>
                <wp:cNvGraphicFramePr/>
                <a:graphic xmlns:a="http://schemas.openxmlformats.org/drawingml/2006/main">
                  <a:graphicData uri="http://schemas.microsoft.com/office/word/2010/wordprocessingShape">
                    <wps:wsp>
                      <wps:cNvSpPr>
                        <a:spLocks noChangeArrowheads="1"/>
                      </wps:cNvSpPr>
                      <wps:spPr bwMode="auto">
                        <a:xfrm>
                          <a:off x="0" y="0"/>
                          <a:ext cx="1030605" cy="268605"/>
                        </a:xfrm>
                        <a:prstGeom prst="flowChartProcess">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336.55pt;margin-top:5.95pt;height:21.15pt;width:81.15pt;z-index:-251651072;mso-width-relative:page;mso-height-relative:page;" fillcolor="#FFFFFF" filled="t" stroked="t" coordsize="21600,21600" o:gfxdata="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56za7ZAAAACQEAAA8AAAAAAAAAAQAg&#10;AAAAIgAAAGRycy9kb3ducmV2LnhtbFBLAQIUABQAAAAIAIdO4kDl//OtRgIAAIYEAAAOAAAAAAAA&#10;AAEAIAAAACgBAABkcnMvZTJvRG9jLnhtbFBLBQYAAAAABgAGAFkBAADgBQAAAAA=&#10;">
                <v:fill on="t" focussize="0,0"/>
                <v:stroke color="#000000" miterlimit="8" joinstyle="miter"/>
                <v:imagedata o:title=""/>
                <o:lock v:ext="edit" aspectratio="f"/>
              </v:shape>
            </w:pict>
          </mc:Fallback>
        </mc:AlternateContent>
      </w:r>
      <w:r>
        <w:rPr>
          <w:rFonts w:hint="eastAsia" w:ascii="宋体" w:hAnsi="宋体" w:cs="宋体"/>
          <w:b/>
          <w:sz w:val="28"/>
          <w:szCs w:val="28"/>
        </w:rPr>
        <w:t xml:space="preserve"> </w:t>
      </w:r>
      <w:bookmarkStart w:id="0" w:name="page4"/>
      <w:bookmarkEnd w:id="0"/>
      <w:r>
        <w:rPr>
          <w:rFonts w:hint="eastAsia" w:ascii="宋体" w:hAnsi="宋体" w:cs="宋体"/>
          <w:b/>
          <w:sz w:val="28"/>
          <w:szCs w:val="28"/>
        </w:rPr>
        <w:t xml:space="preserve">                                               </w:t>
      </w:r>
      <w:r>
        <w:rPr>
          <w:rFonts w:hint="eastAsia" w:ascii="宋体" w:hAnsi="宋体" w:cs="宋体"/>
          <w:b/>
          <w:sz w:val="26"/>
          <w:szCs w:val="26"/>
        </w:rPr>
        <w:t>政府采购项目</w:t>
      </w: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asciiTheme="minorEastAsia" w:hAnsiTheme="minorEastAsia" w:eastAsiaTheme="minorEastAsia" w:cstheme="minorEastAsia"/>
          <w:b/>
          <w:bCs/>
          <w:color w:val="000000" w:themeColor="text1"/>
          <w:sz w:val="44"/>
          <w:szCs w:val="44"/>
          <w14:textFill>
            <w14:solidFill>
              <w14:schemeClr w14:val="tx1"/>
            </w14:solidFill>
          </w14:textFill>
        </w:rPr>
      </w:pPr>
    </w:p>
    <w:p>
      <w:pPr>
        <w:jc w:val="center"/>
        <w:rPr>
          <w:rFonts w:hint="eastAsia" w:eastAsia="宋体"/>
          <w:sz w:val="40"/>
          <w:szCs w:val="40"/>
          <w:lang w:eastAsia="zh-CN"/>
        </w:rPr>
      </w:pPr>
      <w:r>
        <w:rPr>
          <w:rFonts w:hint="eastAsia" w:asciiTheme="minorEastAsia" w:hAnsiTheme="minorEastAsia" w:eastAsiaTheme="minorEastAsia" w:cstheme="minorEastAsia"/>
          <w:b/>
          <w:bCs/>
          <w:color w:val="000000" w:themeColor="text1"/>
          <w:sz w:val="52"/>
          <w:szCs w:val="52"/>
          <w:lang w:eastAsia="zh-CN"/>
          <w14:textFill>
            <w14:solidFill>
              <w14:schemeClr w14:val="tx1"/>
            </w14:solidFill>
          </w14:textFill>
        </w:rPr>
        <w:t>西安市高陵区创优质均衡发展（苏家小学户外改造提升项目）</w:t>
      </w:r>
    </w:p>
    <w:p>
      <w:pPr>
        <w:rPr>
          <w:sz w:val="24"/>
        </w:rPr>
      </w:pPr>
    </w:p>
    <w:p>
      <w:pPr>
        <w:pStyle w:val="2"/>
      </w:pPr>
    </w:p>
    <w:p>
      <w:pPr>
        <w:pStyle w:val="2"/>
      </w:pPr>
    </w:p>
    <w:p>
      <w:pPr>
        <w:pStyle w:val="2"/>
      </w:pPr>
    </w:p>
    <w:p>
      <w:pPr>
        <w:pStyle w:val="2"/>
      </w:pPr>
    </w:p>
    <w:p>
      <w:pPr>
        <w:pStyle w:val="2"/>
      </w:pPr>
    </w:p>
    <w:p>
      <w:pPr>
        <w:pStyle w:val="2"/>
      </w:pPr>
    </w:p>
    <w:p>
      <w:pPr>
        <w:overflowPunct w:val="0"/>
        <w:topLinePunct/>
        <w:spacing w:line="360" w:lineRule="auto"/>
        <w:jc w:val="center"/>
        <w:rPr>
          <w:bCs/>
          <w:sz w:val="56"/>
          <w:szCs w:val="56"/>
        </w:rPr>
      </w:pPr>
      <w:r>
        <w:rPr>
          <w:b/>
          <w:sz w:val="56"/>
          <w:szCs w:val="56"/>
        </w:rPr>
        <w:t>竞争性磋商文件</w:t>
      </w:r>
    </w:p>
    <w:p>
      <w:pPr>
        <w:jc w:val="center"/>
        <w:rPr>
          <w:rFonts w:hint="eastAsia" w:asciiTheme="minorEastAsia" w:hAnsiTheme="minorEastAsia" w:eastAsiaTheme="minorEastAsia" w:cstheme="minorEastAsia"/>
          <w:b/>
          <w:bCs/>
          <w:color w:val="FF0000"/>
          <w:sz w:val="32"/>
          <w:szCs w:val="32"/>
          <w:highlight w:val="yellow"/>
          <w:lang w:eastAsia="zh-CN"/>
        </w:rPr>
      </w:pPr>
      <w:r>
        <w:rPr>
          <w:rFonts w:hint="eastAsia" w:asciiTheme="minorEastAsia" w:hAnsiTheme="minorEastAsia" w:eastAsiaTheme="minorEastAsia" w:cstheme="minorEastAsia"/>
          <w:b/>
          <w:bCs/>
          <w:sz w:val="32"/>
          <w:szCs w:val="32"/>
        </w:rPr>
        <w:t>项目编号：</w:t>
      </w:r>
      <w:r>
        <w:rPr>
          <w:rFonts w:hint="eastAsia" w:asciiTheme="minorEastAsia" w:hAnsiTheme="minorEastAsia" w:eastAsiaTheme="minorEastAsia" w:cstheme="minorEastAsia"/>
          <w:b/>
          <w:bCs/>
          <w:sz w:val="32"/>
          <w:szCs w:val="32"/>
          <w:highlight w:val="none"/>
          <w:lang w:eastAsia="zh-CN"/>
        </w:rPr>
        <w:t>YCZB-2022010C</w:t>
      </w:r>
    </w:p>
    <w:p>
      <w:pPr>
        <w:jc w:val="center"/>
        <w:rPr>
          <w:b/>
          <w:bCs/>
          <w:sz w:val="24"/>
        </w:rPr>
      </w:pPr>
    </w:p>
    <w:p>
      <w:pPr>
        <w:ind w:right="-307" w:rightChars="-146"/>
        <w:rPr>
          <w:b/>
          <w:bCs/>
          <w:sz w:val="24"/>
        </w:rPr>
      </w:pPr>
    </w:p>
    <w:p>
      <w:pPr>
        <w:ind w:left="-199" w:leftChars="-95" w:right="-307" w:rightChars="-146"/>
        <w:rPr>
          <w:b/>
          <w:bCs/>
          <w:sz w:val="24"/>
        </w:rPr>
      </w:pPr>
    </w:p>
    <w:p>
      <w:pPr>
        <w:rPr>
          <w:b/>
          <w:bCs/>
          <w:sz w:val="24"/>
        </w:rPr>
      </w:pPr>
    </w:p>
    <w:p>
      <w:pPr>
        <w:snapToGrid w:val="0"/>
        <w:spacing w:line="540" w:lineRule="atLeast"/>
        <w:rPr>
          <w:sz w:val="30"/>
          <w:szCs w:val="30"/>
        </w:rPr>
      </w:pPr>
    </w:p>
    <w:p>
      <w:pPr>
        <w:pStyle w:val="2"/>
      </w:pPr>
    </w:p>
    <w:p>
      <w:pPr>
        <w:pStyle w:val="2"/>
        <w:ind w:firstLine="0" w:firstLineChars="0"/>
        <w:rPr>
          <w:sz w:val="30"/>
          <w:szCs w:val="30"/>
        </w:rPr>
      </w:pPr>
    </w:p>
    <w:p>
      <w:pPr>
        <w:snapToGrid w:val="0"/>
        <w:spacing w:line="480" w:lineRule="auto"/>
        <w:ind w:firstLine="1807" w:firstLineChars="600"/>
        <w:rPr>
          <w:rFonts w:asciiTheme="majorEastAsia" w:hAnsiTheme="majorEastAsia" w:cstheme="majorEastAsia"/>
          <w:b/>
          <w:color w:val="000000" w:themeColor="text1"/>
          <w:sz w:val="30"/>
          <w:szCs w:val="30"/>
          <w:u w:val="single"/>
          <w14:textFill>
            <w14:solidFill>
              <w14:schemeClr w14:val="tx1"/>
            </w14:solidFill>
          </w14:textFill>
        </w:rPr>
      </w:pPr>
      <w:r>
        <w:rPr>
          <w:b/>
          <w:sz w:val="30"/>
          <w:szCs w:val="30"/>
        </w:rPr>
        <w:t>采</w:t>
      </w:r>
      <w:r>
        <w:rPr>
          <w:rFonts w:hint="eastAsia"/>
          <w:b/>
          <w:sz w:val="30"/>
          <w:szCs w:val="30"/>
        </w:rPr>
        <w:t xml:space="preserve">   </w:t>
      </w:r>
      <w:r>
        <w:rPr>
          <w:b/>
          <w:sz w:val="30"/>
          <w:szCs w:val="30"/>
        </w:rPr>
        <w:t>购</w:t>
      </w:r>
      <w:r>
        <w:rPr>
          <w:rFonts w:hint="eastAsia"/>
          <w:b/>
          <w:sz w:val="30"/>
          <w:szCs w:val="30"/>
        </w:rPr>
        <w:t xml:space="preserve">   </w:t>
      </w:r>
      <w:r>
        <w:rPr>
          <w:b/>
          <w:sz w:val="30"/>
          <w:szCs w:val="30"/>
        </w:rPr>
        <w:t>人：</w:t>
      </w:r>
      <w:r>
        <w:rPr>
          <w:rFonts w:hint="eastAsia" w:asciiTheme="majorEastAsia" w:hAnsiTheme="majorEastAsia" w:eastAsiaTheme="majorEastAsia" w:cstheme="majorEastAsia"/>
          <w:b/>
          <w:color w:val="000000" w:themeColor="text1"/>
          <w:sz w:val="30"/>
          <w:szCs w:val="30"/>
          <w:u w:val="single"/>
          <w14:textFill>
            <w14:solidFill>
              <w14:schemeClr w14:val="tx1"/>
            </w14:solidFill>
          </w14:textFill>
        </w:rPr>
        <w:t>西安市高陵区教育局</w:t>
      </w:r>
    </w:p>
    <w:p>
      <w:pPr>
        <w:snapToGrid w:val="0"/>
        <w:spacing w:line="480" w:lineRule="auto"/>
        <w:ind w:firstLine="1807" w:firstLineChars="600"/>
        <w:rPr>
          <w:rFonts w:hint="eastAsia" w:eastAsia="宋体"/>
          <w:b/>
          <w:sz w:val="30"/>
          <w:szCs w:val="30"/>
          <w:lang w:eastAsia="zh-CN"/>
        </w:rPr>
      </w:pPr>
      <w:r>
        <w:rPr>
          <w:b/>
          <w:sz w:val="30"/>
          <w:szCs w:val="30"/>
        </w:rPr>
        <w:t>采购代理机构：</w:t>
      </w:r>
      <w:r>
        <w:rPr>
          <w:rFonts w:hint="eastAsia" w:asciiTheme="majorEastAsia" w:hAnsiTheme="majorEastAsia" w:eastAsiaTheme="majorEastAsia" w:cstheme="majorEastAsia"/>
          <w:b/>
          <w:color w:val="000000" w:themeColor="text1"/>
          <w:sz w:val="30"/>
          <w:szCs w:val="30"/>
          <w:u w:val="single"/>
          <w:lang w:eastAsia="zh-CN"/>
          <w14:textFill>
            <w14:solidFill>
              <w14:schemeClr w14:val="tx1"/>
            </w14:solidFill>
          </w14:textFill>
        </w:rPr>
        <w:t>远创项目管理有限公司</w:t>
      </w:r>
    </w:p>
    <w:p>
      <w:pPr>
        <w:snapToGrid w:val="0"/>
        <w:spacing w:line="480" w:lineRule="auto"/>
        <w:ind w:firstLine="1807" w:firstLineChars="600"/>
        <w:rPr>
          <w:b/>
          <w:sz w:val="30"/>
          <w:szCs w:val="30"/>
          <w:highlight w:val="yellow"/>
        </w:rPr>
      </w:pPr>
      <w:r>
        <w:rPr>
          <w:b/>
          <w:sz w:val="30"/>
          <w:szCs w:val="30"/>
        </w:rPr>
        <w:t xml:space="preserve">日   </w:t>
      </w:r>
      <w:r>
        <w:rPr>
          <w:rFonts w:hint="eastAsia"/>
          <w:b/>
          <w:sz w:val="30"/>
          <w:szCs w:val="30"/>
        </w:rPr>
        <w:t xml:space="preserve">     </w:t>
      </w:r>
      <w:r>
        <w:rPr>
          <w:b/>
          <w:sz w:val="30"/>
          <w:szCs w:val="30"/>
        </w:rPr>
        <w:t>期：</w:t>
      </w:r>
      <w:r>
        <w:rPr>
          <w:b/>
          <w:sz w:val="30"/>
          <w:szCs w:val="30"/>
          <w:highlight w:val="none"/>
        </w:rPr>
        <w:t>二〇二</w:t>
      </w:r>
      <w:r>
        <w:rPr>
          <w:rFonts w:hint="eastAsia"/>
          <w:b/>
          <w:sz w:val="30"/>
          <w:szCs w:val="30"/>
          <w:highlight w:val="none"/>
          <w:lang w:val="en-US" w:eastAsia="zh-CN"/>
        </w:rPr>
        <w:t>二</w:t>
      </w:r>
      <w:r>
        <w:rPr>
          <w:b/>
          <w:sz w:val="30"/>
          <w:szCs w:val="30"/>
          <w:highlight w:val="none"/>
        </w:rPr>
        <w:t>年</w:t>
      </w:r>
      <w:r>
        <w:rPr>
          <w:rFonts w:hint="eastAsia"/>
          <w:b/>
          <w:sz w:val="30"/>
          <w:szCs w:val="30"/>
          <w:highlight w:val="none"/>
          <w:lang w:val="en-US" w:eastAsia="zh-CN"/>
        </w:rPr>
        <w:t>五</w:t>
      </w:r>
      <w:r>
        <w:rPr>
          <w:b/>
          <w:sz w:val="30"/>
          <w:szCs w:val="30"/>
          <w:highlight w:val="none"/>
        </w:rPr>
        <w:t>月</w:t>
      </w:r>
    </w:p>
    <w:p>
      <w:pPr>
        <w:rPr>
          <w:b/>
          <w:sz w:val="30"/>
          <w:szCs w:val="30"/>
          <w:highlight w:val="none"/>
        </w:rPr>
      </w:pPr>
      <w:r>
        <w:rPr>
          <w:b/>
          <w:sz w:val="30"/>
          <w:szCs w:val="30"/>
          <w:highlight w:val="none"/>
        </w:rPr>
        <w:br w:type="page"/>
      </w:r>
    </w:p>
    <w:p>
      <w:pPr>
        <w:jc w:val="center"/>
        <w:rPr>
          <w:rFonts w:hint="eastAsia"/>
          <w:b/>
          <w:bCs/>
          <w:sz w:val="40"/>
          <w:szCs w:val="48"/>
          <w:lang w:eastAsia="zh-CN"/>
        </w:rPr>
      </w:pPr>
      <w:r>
        <w:rPr>
          <w:rFonts w:hint="eastAsia"/>
          <w:b/>
          <w:bCs/>
          <w:sz w:val="40"/>
          <w:szCs w:val="48"/>
          <w:lang w:eastAsia="zh-CN"/>
        </w:rPr>
        <w:t>温馨提示</w:t>
      </w:r>
    </w:p>
    <w:p>
      <w:pPr>
        <w:pStyle w:val="2"/>
        <w:rPr>
          <w:rFonts w:hint="eastAsia"/>
          <w:sz w:val="28"/>
          <w:szCs w:val="36"/>
          <w:lang w:eastAsia="zh-CN"/>
        </w:rPr>
      </w:pPr>
    </w:p>
    <w:p>
      <w:pPr>
        <w:pStyle w:val="2"/>
        <w:rPr>
          <w:rFonts w:hint="eastAsia"/>
          <w:sz w:val="28"/>
          <w:szCs w:val="36"/>
          <w:lang w:eastAsia="zh-CN"/>
        </w:rPr>
      </w:pPr>
      <w:r>
        <w:rPr>
          <w:rFonts w:hint="eastAsia"/>
          <w:sz w:val="28"/>
          <w:szCs w:val="36"/>
          <w:lang w:eastAsia="zh-CN"/>
        </w:rPr>
        <w:t>潜在供应商在获取采购文件后，请认真仔细阅读所有条款，如需问题，请及时来电咨询，电话：</w:t>
      </w:r>
      <w:r>
        <w:rPr>
          <w:rFonts w:hint="eastAsia"/>
          <w:sz w:val="28"/>
          <w:szCs w:val="36"/>
          <w:lang w:val="en-US" w:eastAsia="zh-CN"/>
        </w:rPr>
        <w:t>18291007036</w:t>
      </w:r>
      <w:r>
        <w:rPr>
          <w:rFonts w:hint="eastAsia"/>
          <w:sz w:val="28"/>
          <w:szCs w:val="36"/>
          <w:lang w:eastAsia="zh-CN"/>
        </w:rPr>
        <w:t>。</w:t>
      </w:r>
    </w:p>
    <w:p>
      <w:pPr>
        <w:pStyle w:val="2"/>
        <w:rPr>
          <w:rFonts w:hint="eastAsia"/>
          <w:sz w:val="28"/>
          <w:szCs w:val="36"/>
          <w:lang w:eastAsia="zh-CN"/>
        </w:rPr>
      </w:pPr>
      <w:r>
        <w:rPr>
          <w:rFonts w:hint="eastAsia"/>
          <w:sz w:val="28"/>
          <w:szCs w:val="36"/>
          <w:lang w:eastAsia="zh-CN"/>
        </w:rPr>
        <w:t>属于西安市（含区县）政府采购项目的，获取采购文件的潜在供应商，如决定不参加磋商，应当在磋商截止日前1日以书面形式通知采购代理机构；否则，采购代理机构将向监管部门反映，在全市范围内累计达到3次以上的，将被财政部门列入失信名单。</w:t>
      </w:r>
    </w:p>
    <w:p>
      <w:pPr>
        <w:pStyle w:val="2"/>
        <w:jc w:val="center"/>
        <w:rPr>
          <w:b/>
          <w:bCs/>
          <w:sz w:val="40"/>
          <w:szCs w:val="48"/>
        </w:rPr>
        <w:sectPr>
          <w:footerReference r:id="rId5" w:type="first"/>
          <w:headerReference r:id="rId3" w:type="default"/>
          <w:footerReference r:id="rId4" w:type="even"/>
          <w:pgSz w:w="11906" w:h="16838"/>
          <w:pgMar w:top="1440" w:right="1457" w:bottom="1440" w:left="1463" w:header="851" w:footer="992" w:gutter="0"/>
          <w:pgNumType w:start="1"/>
          <w:cols w:space="0" w:num="1"/>
          <w:titlePg/>
          <w:docGrid w:type="lines" w:linePitch="312" w:charSpace="0"/>
        </w:sectPr>
      </w:pPr>
    </w:p>
    <w:sdt>
      <w:sdtPr>
        <w:rPr>
          <w:rFonts w:ascii="宋体" w:hAnsi="宋体"/>
          <w:sz w:val="32"/>
          <w:szCs w:val="32"/>
        </w:rPr>
        <w:id w:val="147475742"/>
        <w:docPartObj>
          <w:docPartGallery w:val="Table of Contents"/>
          <w:docPartUnique/>
        </w:docPartObj>
      </w:sdtPr>
      <w:sdtEndPr>
        <w:rPr>
          <w:rFonts w:ascii="Times New Roman" w:hAnsi="Times New Roman"/>
          <w:sz w:val="21"/>
          <w:szCs w:val="28"/>
        </w:rPr>
      </w:sdtEndPr>
      <w:sdtContent>
        <w:p>
          <w:pPr>
            <w:jc w:val="center"/>
            <w:rPr>
              <w:rFonts w:ascii="宋体" w:hAnsi="宋体"/>
              <w:sz w:val="32"/>
              <w:szCs w:val="32"/>
            </w:rPr>
          </w:pPr>
          <w:r>
            <w:rPr>
              <w:rFonts w:ascii="宋体" w:hAnsi="宋体"/>
              <w:b/>
              <w:bCs/>
              <w:sz w:val="48"/>
              <w:szCs w:val="48"/>
            </w:rPr>
            <w:t>目</w:t>
          </w:r>
          <w:r>
            <w:rPr>
              <w:rFonts w:hint="eastAsia" w:ascii="宋体" w:hAnsi="宋体"/>
              <w:b/>
              <w:bCs/>
              <w:sz w:val="48"/>
              <w:szCs w:val="48"/>
            </w:rPr>
            <w:t xml:space="preserve">    </w:t>
          </w:r>
          <w:r>
            <w:rPr>
              <w:rFonts w:ascii="宋体" w:hAnsi="宋体"/>
              <w:b/>
              <w:bCs/>
              <w:sz w:val="48"/>
              <w:szCs w:val="48"/>
            </w:rPr>
            <w:t>录</w:t>
          </w:r>
        </w:p>
        <w:p>
          <w:pPr>
            <w:pStyle w:val="17"/>
            <w:rPr>
              <w:sz w:val="24"/>
              <w:szCs w:val="24"/>
            </w:rPr>
          </w:pPr>
        </w:p>
        <w:p>
          <w:pPr>
            <w:rPr>
              <w:rFonts w:ascii="宋体" w:hAnsi="宋体"/>
              <w:sz w:val="24"/>
            </w:rPr>
          </w:pPr>
        </w:p>
        <w:p>
          <w:pPr>
            <w:pStyle w:val="17"/>
            <w:rPr>
              <w:sz w:val="24"/>
              <w:szCs w:val="24"/>
            </w:rPr>
          </w:pPr>
        </w:p>
        <w:p/>
        <w:p>
          <w:pPr>
            <w:pStyle w:val="67"/>
            <w:tabs>
              <w:tab w:val="right" w:leader="dot" w:pos="8986"/>
            </w:tabs>
            <w:spacing w:line="360" w:lineRule="auto"/>
            <w:rPr>
              <w:rFonts w:ascii="宋体" w:hAnsi="宋体" w:cs="宋体"/>
              <w:sz w:val="32"/>
              <w:szCs w:val="32"/>
            </w:rPr>
          </w:pPr>
          <w:r>
            <w:rPr>
              <w:sz w:val="28"/>
              <w:szCs w:val="28"/>
            </w:rPr>
            <w:fldChar w:fldCharType="begin"/>
          </w:r>
          <w:r>
            <w:rPr>
              <w:sz w:val="28"/>
              <w:szCs w:val="28"/>
            </w:rPr>
            <w:instrText xml:space="preserve">TOC \o "1-1" \h \u </w:instrText>
          </w:r>
          <w:r>
            <w:rPr>
              <w:sz w:val="28"/>
              <w:szCs w:val="28"/>
            </w:rPr>
            <w:fldChar w:fldCharType="separate"/>
          </w:r>
          <w:r>
            <w:fldChar w:fldCharType="begin"/>
          </w:r>
          <w:r>
            <w:instrText xml:space="preserve"> HYPERLINK \l "_Toc12126" </w:instrText>
          </w:r>
          <w:r>
            <w:fldChar w:fldCharType="separate"/>
          </w:r>
          <w:r>
            <w:rPr>
              <w:rFonts w:hint="eastAsia" w:ascii="宋体" w:hAnsi="宋体" w:cs="宋体"/>
              <w:bCs/>
              <w:sz w:val="32"/>
              <w:szCs w:val="32"/>
            </w:rPr>
            <w:t>第一章　</w:t>
          </w:r>
          <w:r>
            <w:rPr>
              <w:rFonts w:hint="eastAsia" w:ascii="宋体" w:hAnsi="宋体" w:cs="宋体"/>
              <w:bCs/>
              <w:sz w:val="32"/>
              <w:szCs w:val="32"/>
              <w:lang w:val="en-US" w:eastAsia="zh-CN"/>
            </w:rPr>
            <w:t>竞争性</w:t>
          </w:r>
          <w:r>
            <w:rPr>
              <w:rFonts w:hint="eastAsia" w:ascii="宋体" w:hAnsi="宋体" w:cs="宋体"/>
              <w:bCs/>
              <w:sz w:val="32"/>
              <w:szCs w:val="32"/>
            </w:rPr>
            <w:t>磋商公告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_Toc12126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"_Toc27252" </w:instrText>
          </w:r>
          <w:r>
            <w:fldChar w:fldCharType="separate"/>
          </w:r>
          <w:r>
            <w:rPr>
              <w:rFonts w:hint="eastAsia" w:ascii="宋体" w:hAnsi="宋体" w:cs="宋体"/>
              <w:bCs/>
              <w:sz w:val="32"/>
              <w:szCs w:val="32"/>
            </w:rPr>
            <w:t>第二章　</w:t>
          </w:r>
          <w:r>
            <w:rPr>
              <w:rFonts w:hint="eastAsia" w:ascii="宋体" w:hAnsi="宋体" w:cs="宋体"/>
              <w:bCs/>
              <w:sz w:val="32"/>
              <w:szCs w:val="32"/>
              <w:lang w:val="en-US" w:eastAsia="zh-CN"/>
            </w:rPr>
            <w:t>竞争性</w:t>
          </w:r>
          <w:r>
            <w:rPr>
              <w:rFonts w:hint="eastAsia" w:ascii="宋体" w:hAnsi="宋体" w:cs="宋体"/>
              <w:bCs/>
              <w:sz w:val="32"/>
              <w:szCs w:val="32"/>
            </w:rPr>
            <w:t>磋商须知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_Toc27252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"_Toc22384" </w:instrText>
          </w:r>
          <w:r>
            <w:fldChar w:fldCharType="separate"/>
          </w:r>
          <w:r>
            <w:rPr>
              <w:rFonts w:hint="eastAsia" w:ascii="宋体" w:hAnsi="宋体" w:cs="宋体"/>
              <w:bCs/>
              <w:kern w:val="2"/>
              <w:sz w:val="32"/>
              <w:szCs w:val="32"/>
            </w:rPr>
            <w:t>第三章　磋商响应单位资格证明文件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_Toc22384 </w:instrText>
          </w:r>
          <w:r>
            <w:rPr>
              <w:rFonts w:hint="eastAsia" w:ascii="宋体" w:hAnsi="宋体" w:cs="宋体"/>
              <w:sz w:val="32"/>
              <w:szCs w:val="32"/>
            </w:rPr>
            <w:fldChar w:fldCharType="separate"/>
          </w:r>
          <w:r>
            <w:rPr>
              <w:rFonts w:hint="eastAsia" w:ascii="宋体" w:hAnsi="宋体" w:cs="宋体"/>
              <w:sz w:val="32"/>
              <w:szCs w:val="32"/>
            </w:rPr>
            <w:t>19</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"_Toc23091" </w:instrText>
          </w:r>
          <w:r>
            <w:fldChar w:fldCharType="separate"/>
          </w:r>
          <w:r>
            <w:rPr>
              <w:rFonts w:hint="eastAsia" w:ascii="宋体" w:hAnsi="宋体" w:cs="宋体"/>
              <w:bCs/>
              <w:sz w:val="32"/>
              <w:szCs w:val="32"/>
            </w:rPr>
            <w:t>第四章　磋商及评审办法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_Toc23091 </w:instrText>
          </w:r>
          <w:r>
            <w:rPr>
              <w:rFonts w:hint="eastAsia" w:ascii="宋体" w:hAnsi="宋体" w:cs="宋体"/>
              <w:sz w:val="32"/>
              <w:szCs w:val="32"/>
            </w:rPr>
            <w:fldChar w:fldCharType="separate"/>
          </w:r>
          <w:r>
            <w:rPr>
              <w:rFonts w:hint="eastAsia" w:ascii="宋体" w:hAnsi="宋体" w:cs="宋体"/>
              <w:sz w:val="32"/>
              <w:szCs w:val="32"/>
            </w:rPr>
            <w:t>20</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"_Toc18298" </w:instrText>
          </w:r>
          <w:r>
            <w:fldChar w:fldCharType="separate"/>
          </w:r>
          <w:r>
            <w:rPr>
              <w:rFonts w:hint="eastAsia" w:ascii="宋体" w:hAnsi="宋体" w:cs="宋体"/>
              <w:bCs/>
              <w:kern w:val="2"/>
              <w:sz w:val="32"/>
              <w:szCs w:val="32"/>
              <w:lang w:val="zh-CN"/>
            </w:rPr>
            <w:t>第五章</w:t>
          </w:r>
          <w:r>
            <w:rPr>
              <w:rFonts w:hint="eastAsia" w:ascii="宋体" w:hAnsi="宋体" w:cs="宋体"/>
              <w:sz w:val="32"/>
              <w:szCs w:val="32"/>
              <w:lang w:val="zh-CN"/>
            </w:rPr>
            <w:t>　</w:t>
          </w:r>
          <w:r>
            <w:rPr>
              <w:rFonts w:hint="eastAsia" w:ascii="宋体" w:hAnsi="宋体" w:cs="宋体"/>
              <w:bCs/>
              <w:kern w:val="2"/>
              <w:sz w:val="32"/>
              <w:szCs w:val="32"/>
            </w:rPr>
            <w:t>采购内容及要求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_Toc18298 </w:instrText>
          </w:r>
          <w:r>
            <w:rPr>
              <w:rFonts w:hint="eastAsia" w:ascii="宋体" w:hAnsi="宋体" w:cs="宋体"/>
              <w:sz w:val="32"/>
              <w:szCs w:val="32"/>
            </w:rPr>
            <w:fldChar w:fldCharType="separate"/>
          </w:r>
          <w:r>
            <w:rPr>
              <w:rFonts w:hint="eastAsia" w:ascii="宋体" w:hAnsi="宋体" w:cs="宋体"/>
              <w:sz w:val="32"/>
              <w:szCs w:val="32"/>
            </w:rPr>
            <w:t>27</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"_Toc26337" </w:instrText>
          </w:r>
          <w:r>
            <w:fldChar w:fldCharType="separate"/>
          </w:r>
          <w:r>
            <w:rPr>
              <w:rFonts w:hint="eastAsia" w:ascii="宋体" w:hAnsi="宋体" w:cs="宋体"/>
              <w:bCs/>
              <w:sz w:val="32"/>
              <w:szCs w:val="32"/>
            </w:rPr>
            <w:t>第六章　合同草案条款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_Toc26337 </w:instrText>
          </w:r>
          <w:r>
            <w:rPr>
              <w:rFonts w:hint="eastAsia" w:ascii="宋体" w:hAnsi="宋体" w:cs="宋体"/>
              <w:sz w:val="32"/>
              <w:szCs w:val="32"/>
            </w:rPr>
            <w:fldChar w:fldCharType="separate"/>
          </w:r>
          <w:r>
            <w:rPr>
              <w:rFonts w:hint="eastAsia" w:ascii="宋体" w:hAnsi="宋体" w:cs="宋体"/>
              <w:sz w:val="32"/>
              <w:szCs w:val="32"/>
            </w:rPr>
            <w:t>28</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spacing w:line="360" w:lineRule="auto"/>
            <w:rPr>
              <w:rFonts w:ascii="宋体" w:hAnsi="宋体" w:cs="宋体"/>
              <w:sz w:val="32"/>
              <w:szCs w:val="32"/>
            </w:rPr>
          </w:pPr>
          <w:r>
            <w:fldChar w:fldCharType="begin"/>
          </w:r>
          <w:r>
            <w:instrText xml:space="preserve"> HYPERLINK \l "_Toc17185" </w:instrText>
          </w:r>
          <w:r>
            <w:fldChar w:fldCharType="separate"/>
          </w:r>
          <w:r>
            <w:rPr>
              <w:rFonts w:hint="eastAsia" w:ascii="宋体" w:hAnsi="宋体" w:cs="宋体"/>
              <w:bCs/>
              <w:sz w:val="32"/>
              <w:szCs w:val="32"/>
              <w:lang w:val="zh-CN"/>
            </w:rPr>
            <w:t>第七章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_Toc17185 </w:instrText>
          </w:r>
          <w:r>
            <w:rPr>
              <w:rFonts w:hint="eastAsia" w:ascii="宋体" w:hAnsi="宋体" w:cs="宋体"/>
              <w:sz w:val="32"/>
              <w:szCs w:val="32"/>
            </w:rPr>
            <w:fldChar w:fldCharType="separate"/>
          </w:r>
          <w:r>
            <w:rPr>
              <w:rFonts w:hint="eastAsia" w:ascii="宋体" w:hAnsi="宋体" w:cs="宋体"/>
              <w:sz w:val="32"/>
              <w:szCs w:val="32"/>
            </w:rPr>
            <w:t>71</w:t>
          </w:r>
          <w:r>
            <w:rPr>
              <w:rFonts w:hint="eastAsia" w:ascii="宋体" w:hAnsi="宋体" w:cs="宋体"/>
              <w:sz w:val="32"/>
              <w:szCs w:val="32"/>
            </w:rPr>
            <w:fldChar w:fldCharType="end"/>
          </w:r>
          <w:r>
            <w:rPr>
              <w:rFonts w:hint="eastAsia" w:ascii="宋体" w:hAnsi="宋体" w:cs="宋体"/>
              <w:sz w:val="32"/>
              <w:szCs w:val="32"/>
            </w:rPr>
            <w:fldChar w:fldCharType="end"/>
          </w:r>
        </w:p>
        <w:p>
          <w:pPr>
            <w:pStyle w:val="67"/>
            <w:tabs>
              <w:tab w:val="right" w:leader="dot" w:pos="8986"/>
            </w:tabs>
          </w:pPr>
        </w:p>
        <w:p>
          <w:pPr>
            <w:jc w:val="left"/>
            <w:rPr>
              <w:sz w:val="28"/>
              <w:szCs w:val="28"/>
            </w:rPr>
          </w:pPr>
          <w:r>
            <w:rPr>
              <w:szCs w:val="28"/>
            </w:rPr>
            <w:fldChar w:fldCharType="end"/>
          </w:r>
        </w:p>
      </w:sdtContent>
    </w:sdt>
    <w:p>
      <w:pPr>
        <w:jc w:val="left"/>
        <w:rPr>
          <w:sz w:val="28"/>
          <w:szCs w:val="28"/>
        </w:rPr>
      </w:pPr>
    </w:p>
    <w:p>
      <w:pPr>
        <w:pStyle w:val="3"/>
        <w:numPr>
          <w:ilvl w:val="0"/>
          <w:numId w:val="0"/>
        </w:numPr>
        <w:adjustRightInd w:val="0"/>
        <w:snapToGrid w:val="0"/>
        <w:spacing w:after="156" w:afterLines="50" w:line="360" w:lineRule="auto"/>
        <w:rPr>
          <w:rFonts w:ascii="Times New Roman" w:eastAsia="宋体"/>
          <w:b/>
          <w:bCs/>
          <w:sz w:val="32"/>
          <w:szCs w:val="32"/>
        </w:rPr>
        <w:sectPr>
          <w:headerReference r:id="rId7" w:type="first"/>
          <w:footerReference r:id="rId9" w:type="first"/>
          <w:headerReference r:id="rId6" w:type="default"/>
          <w:footerReference r:id="rId8" w:type="default"/>
          <w:pgSz w:w="11906" w:h="16838"/>
          <w:pgMar w:top="1440" w:right="1457" w:bottom="1440" w:left="1463" w:header="851" w:footer="992" w:gutter="0"/>
          <w:pgNumType w:start="1"/>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rPr>
      </w:pPr>
      <w:bookmarkStart w:id="1" w:name="_Toc12126"/>
      <w:r>
        <w:rPr>
          <w:rFonts w:hint="eastAsia" w:asciiTheme="majorEastAsia" w:hAnsiTheme="majorEastAsia" w:eastAsiaTheme="majorEastAsia" w:cstheme="majorEastAsia"/>
          <w:b/>
          <w:bCs/>
          <w:sz w:val="32"/>
          <w:szCs w:val="32"/>
        </w:rPr>
        <w:t>第一章　竞争性磋商公告</w:t>
      </w:r>
      <w:bookmarkEnd w:id="1"/>
    </w:p>
    <w:p>
      <w:pPr>
        <w:pStyle w:val="42"/>
        <w:spacing w:beforeAutospacing="0" w:afterAutospacing="0" w:line="360" w:lineRule="auto"/>
        <w:jc w:val="both"/>
        <w:rPr>
          <w:rFonts w:hint="eastAsia"/>
          <w:b/>
          <w:bCs w:val="0"/>
          <w:lang w:eastAsia="zh-CN"/>
        </w:rPr>
      </w:pPr>
      <w:bookmarkStart w:id="2" w:name="_Toc27252"/>
      <w:r>
        <w:rPr>
          <w:rFonts w:hint="eastAsia"/>
          <w:b/>
          <w:bCs w:val="0"/>
          <w:lang w:eastAsia="zh-CN"/>
        </w:rPr>
        <w:t>项目概况</w:t>
      </w:r>
    </w:p>
    <w:p>
      <w:pPr>
        <w:pStyle w:val="42"/>
        <w:spacing w:beforeAutospacing="0" w:afterAutospacing="0" w:line="360" w:lineRule="auto"/>
        <w:ind w:firstLine="480" w:firstLineChars="200"/>
        <w:jc w:val="both"/>
        <w:rPr>
          <w:b/>
        </w:rPr>
      </w:pPr>
      <w:r>
        <w:rPr>
          <w:rFonts w:hint="eastAsia"/>
          <w:bCs/>
          <w:lang w:eastAsia="zh-CN"/>
        </w:rPr>
        <w:t>西安市高陵区创优质均衡发展（苏家小学户外改造提升项目）采购</w:t>
      </w:r>
      <w:r>
        <w:rPr>
          <w:rFonts w:hint="eastAsia"/>
          <w:bCs/>
        </w:rPr>
        <w:t>项目</w:t>
      </w:r>
      <w:r>
        <w:rPr>
          <w:rFonts w:hint="eastAsia"/>
          <w:bCs/>
          <w:lang w:eastAsia="zh-CN"/>
        </w:rPr>
        <w:t>的</w:t>
      </w:r>
      <w:r>
        <w:rPr>
          <w:rFonts w:hint="eastAsia"/>
          <w:bCs/>
        </w:rPr>
        <w:t>潜在供应商</w:t>
      </w:r>
      <w:r>
        <w:rPr>
          <w:rFonts w:hint="eastAsia"/>
          <w:bCs/>
          <w:lang w:eastAsia="zh-CN"/>
        </w:rPr>
        <w:t>应</w:t>
      </w:r>
      <w:r>
        <w:rPr>
          <w:rFonts w:hint="eastAsia"/>
          <w:bCs/>
          <w:highlight w:val="none"/>
        </w:rPr>
        <w:t>在</w:t>
      </w:r>
      <w:r>
        <w:rPr>
          <w:rFonts w:hint="eastAsia"/>
          <w:bCs/>
          <w:highlight w:val="none"/>
          <w:lang w:eastAsia="zh-CN"/>
        </w:rPr>
        <w:t>远创项目管理有限公司（西安市未央区凤城九路与明光路十字中登文景大厦B座701室）</w:t>
      </w:r>
      <w:r>
        <w:rPr>
          <w:rFonts w:hint="eastAsia"/>
          <w:bCs/>
          <w:highlight w:val="none"/>
        </w:rPr>
        <w:t>获取采购文件，并于</w:t>
      </w:r>
      <w:r>
        <w:rPr>
          <w:rFonts w:hint="eastAsia"/>
          <w:highlight w:val="none"/>
        </w:rPr>
        <w:t>202</w:t>
      </w:r>
      <w:r>
        <w:rPr>
          <w:rFonts w:hint="eastAsia"/>
          <w:highlight w:val="none"/>
          <w:lang w:val="en-US" w:eastAsia="zh-CN"/>
        </w:rPr>
        <w:t>2</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20</w:t>
      </w:r>
      <w:r>
        <w:rPr>
          <w:rFonts w:hint="eastAsia"/>
          <w:highlight w:val="none"/>
        </w:rPr>
        <w:t xml:space="preserve">日 </w:t>
      </w:r>
      <w:r>
        <w:rPr>
          <w:rFonts w:hint="eastAsia"/>
          <w:highlight w:val="none"/>
          <w:lang w:val="en-US" w:eastAsia="zh-CN"/>
        </w:rPr>
        <w:t>14</w:t>
      </w:r>
      <w:r>
        <w:rPr>
          <w:rFonts w:hint="eastAsia"/>
          <w:highlight w:val="none"/>
          <w:lang w:eastAsia="zh-CN"/>
        </w:rPr>
        <w:t>时</w:t>
      </w:r>
      <w:r>
        <w:rPr>
          <w:rFonts w:hint="eastAsia"/>
          <w:highlight w:val="none"/>
          <w:lang w:val="en-US" w:eastAsia="zh-CN"/>
        </w:rPr>
        <w:t>00分（北京时间）</w:t>
      </w:r>
      <w:r>
        <w:rPr>
          <w:rFonts w:hint="eastAsia"/>
          <w:bCs/>
        </w:rPr>
        <w:t>前</w:t>
      </w:r>
      <w:r>
        <w:rPr>
          <w:rFonts w:hint="eastAsia"/>
          <w:bCs/>
          <w:lang w:eastAsia="zh-CN"/>
        </w:rPr>
        <w:t>提交</w:t>
      </w:r>
      <w:r>
        <w:rPr>
          <w:rFonts w:hint="eastAsia"/>
          <w:bCs/>
        </w:rPr>
        <w:t>响应文件。</w:t>
      </w:r>
    </w:p>
    <w:p>
      <w:pPr>
        <w:pStyle w:val="42"/>
        <w:numPr>
          <w:ilvl w:val="0"/>
          <w:numId w:val="2"/>
        </w:numPr>
        <w:spacing w:beforeAutospacing="0" w:afterAutospacing="0" w:line="360" w:lineRule="auto"/>
        <w:rPr>
          <w:sz w:val="28"/>
          <w:szCs w:val="28"/>
        </w:rPr>
      </w:pPr>
      <w:r>
        <w:rPr>
          <w:rFonts w:hint="eastAsia"/>
          <w:b/>
          <w:sz w:val="28"/>
          <w:szCs w:val="28"/>
        </w:rPr>
        <w:t>项目基本情况：</w:t>
      </w:r>
      <w:r>
        <w:rPr>
          <w:rFonts w:hint="eastAsia"/>
          <w:b/>
          <w:sz w:val="28"/>
          <w:szCs w:val="28"/>
          <w:lang w:val="en-US" w:eastAsia="zh-CN"/>
        </w:rPr>
        <w:tab/>
      </w:r>
    </w:p>
    <w:p>
      <w:pPr>
        <w:pStyle w:val="42"/>
        <w:spacing w:beforeAutospacing="0" w:afterAutospacing="0" w:line="360" w:lineRule="auto"/>
        <w:ind w:firstLine="420"/>
        <w:rPr>
          <w:rFonts w:hint="eastAsia" w:eastAsia="宋体"/>
          <w:lang w:eastAsia="zh-CN"/>
        </w:rPr>
      </w:pPr>
      <w:r>
        <w:rPr>
          <w:rFonts w:hint="eastAsia"/>
        </w:rPr>
        <w:t>1、项目编号：</w:t>
      </w:r>
      <w:r>
        <w:rPr>
          <w:rFonts w:hint="eastAsia"/>
          <w:lang w:eastAsia="zh-CN"/>
        </w:rPr>
        <w:t>YCZB-2022010C</w:t>
      </w:r>
    </w:p>
    <w:p>
      <w:pPr>
        <w:pStyle w:val="42"/>
        <w:spacing w:beforeAutospacing="0" w:afterAutospacing="0" w:line="360" w:lineRule="auto"/>
        <w:ind w:firstLine="420"/>
        <w:rPr>
          <w:rFonts w:hint="eastAsia" w:eastAsia="宋体"/>
          <w:lang w:eastAsia="zh-CN"/>
        </w:rPr>
      </w:pPr>
      <w:r>
        <w:rPr>
          <w:rFonts w:hint="eastAsia"/>
        </w:rPr>
        <w:t>2、项目名称：</w:t>
      </w:r>
      <w:r>
        <w:rPr>
          <w:rFonts w:hint="eastAsia"/>
          <w:lang w:eastAsia="zh-CN"/>
        </w:rPr>
        <w:t>西安市高陵区创优质均衡发展（苏家小学户外改造提升项目）</w:t>
      </w:r>
    </w:p>
    <w:p>
      <w:pPr>
        <w:pStyle w:val="42"/>
        <w:spacing w:beforeAutospacing="0" w:afterAutospacing="0" w:line="360" w:lineRule="auto"/>
        <w:ind w:firstLine="420"/>
        <w:rPr>
          <w:rFonts w:hint="eastAsia" w:eastAsia="宋体"/>
          <w:lang w:eastAsia="zh-CN"/>
        </w:rPr>
      </w:pPr>
      <w:r>
        <w:rPr>
          <w:rFonts w:hint="eastAsia"/>
        </w:rPr>
        <w:t>3、</w:t>
      </w:r>
      <w:r>
        <w:rPr>
          <w:rFonts w:hint="eastAsia"/>
          <w:lang w:eastAsia="zh-CN"/>
        </w:rPr>
        <w:t>采购方式：竞争性磋商</w:t>
      </w:r>
    </w:p>
    <w:p>
      <w:pPr>
        <w:pStyle w:val="42"/>
        <w:spacing w:beforeAutospacing="0" w:afterAutospacing="0" w:line="360" w:lineRule="auto"/>
        <w:ind w:firstLine="420"/>
      </w:pPr>
      <w:r>
        <w:rPr>
          <w:rFonts w:hint="eastAsia"/>
        </w:rPr>
        <w:t>4、预算金额：</w:t>
      </w:r>
      <w:r>
        <w:rPr>
          <w:rFonts w:hint="eastAsia"/>
          <w:lang w:eastAsia="zh-CN"/>
        </w:rPr>
        <w:t>2600000.00</w:t>
      </w:r>
      <w:r>
        <w:rPr>
          <w:rFonts w:hint="eastAsia"/>
        </w:rPr>
        <w:t>元</w:t>
      </w:r>
    </w:p>
    <w:p>
      <w:pPr>
        <w:pStyle w:val="42"/>
        <w:spacing w:beforeAutospacing="0" w:afterAutospacing="0" w:line="360" w:lineRule="auto"/>
        <w:ind w:firstLine="420"/>
        <w:rPr>
          <w:rFonts w:hint="eastAsia"/>
        </w:rPr>
      </w:pPr>
      <w:r>
        <w:rPr>
          <w:rFonts w:hint="eastAsia"/>
        </w:rPr>
        <w:t>5、采购需求：</w:t>
      </w:r>
    </w:p>
    <w:p>
      <w:pPr>
        <w:pStyle w:val="42"/>
        <w:spacing w:beforeAutospacing="0" w:afterAutospacing="0" w:line="360" w:lineRule="auto"/>
        <w:ind w:firstLine="420"/>
        <w:rPr>
          <w:highlight w:val="yellow"/>
        </w:rPr>
      </w:pPr>
      <w:r>
        <w:rPr>
          <w:rFonts w:hint="eastAsia"/>
          <w:lang w:eastAsia="zh-CN"/>
        </w:rPr>
        <w:t>西安市高陵区创优质均衡发展（苏家小学户外改造提升项目）</w:t>
      </w:r>
      <w:r>
        <w:rPr>
          <w:rFonts w:hint="eastAsia"/>
        </w:rPr>
        <w:t>，1项，采购预算：</w:t>
      </w:r>
      <w:r>
        <w:rPr>
          <w:rFonts w:hint="eastAsia"/>
          <w:lang w:eastAsia="zh-CN"/>
        </w:rPr>
        <w:t>2600000.00</w:t>
      </w:r>
      <w:r>
        <w:rPr>
          <w:rFonts w:hint="eastAsia"/>
        </w:rPr>
        <w:t>元</w:t>
      </w:r>
      <w:r>
        <w:rPr>
          <w:rFonts w:hint="eastAsia"/>
          <w:lang w:eastAsia="zh-CN"/>
        </w:rPr>
        <w:t>，</w:t>
      </w:r>
      <w:r>
        <w:rPr>
          <w:rFonts w:hint="eastAsia"/>
          <w:highlight w:val="none"/>
          <w:lang w:eastAsia="zh-CN"/>
        </w:rPr>
        <w:t>最高限价：</w:t>
      </w:r>
      <w:r>
        <w:rPr>
          <w:rFonts w:hint="eastAsia"/>
          <w:highlight w:val="none"/>
          <w:lang w:val="en-US" w:eastAsia="zh-CN"/>
        </w:rPr>
        <w:t>2593614.11元。</w:t>
      </w:r>
      <w:r>
        <w:rPr>
          <w:rFonts w:hint="eastAsia"/>
          <w:highlight w:val="none"/>
        </w:rPr>
        <w:t>项目概况：</w:t>
      </w:r>
      <w:r>
        <w:rPr>
          <w:rFonts w:hint="eastAsia"/>
          <w:highlight w:val="none"/>
          <w:lang w:eastAsia="zh-CN"/>
        </w:rPr>
        <w:t>西安市高陵区创优质均衡发展（苏家小学户外改造提升项目）</w:t>
      </w:r>
      <w:r>
        <w:rPr>
          <w:rFonts w:hint="eastAsia"/>
          <w:highlight w:val="none"/>
        </w:rPr>
        <w:t>，</w:t>
      </w:r>
      <w:r>
        <w:rPr>
          <w:rFonts w:hint="eastAsia"/>
          <w:highlight w:val="none"/>
          <w:lang w:eastAsia="zh-CN"/>
        </w:rPr>
        <w:t>包括室外消防水池及楼梯间、室外围墙、管网及检查井工程。</w:t>
      </w:r>
      <w:r>
        <w:rPr>
          <w:rFonts w:hint="eastAsia"/>
          <w:highlight w:val="none"/>
        </w:rPr>
        <w:t>简要技术要求、用途：自用。</w:t>
      </w:r>
    </w:p>
    <w:p>
      <w:pPr>
        <w:pStyle w:val="42"/>
        <w:numPr>
          <w:ilvl w:val="0"/>
          <w:numId w:val="2"/>
        </w:numPr>
        <w:spacing w:beforeAutospacing="0" w:afterAutospacing="0" w:line="360" w:lineRule="auto"/>
        <w:rPr>
          <w:sz w:val="28"/>
          <w:szCs w:val="28"/>
        </w:rPr>
      </w:pPr>
      <w:r>
        <w:rPr>
          <w:rFonts w:hint="eastAsia"/>
          <w:b/>
          <w:sz w:val="28"/>
          <w:szCs w:val="28"/>
        </w:rPr>
        <w:t xml:space="preserve">响应供应商的资格要求 </w:t>
      </w:r>
    </w:p>
    <w:p>
      <w:pPr>
        <w:pStyle w:val="42"/>
        <w:spacing w:beforeAutospacing="0" w:afterAutospacing="0" w:line="360" w:lineRule="auto"/>
        <w:rPr>
          <w:rFonts w:hint="eastAsia" w:eastAsia="宋体"/>
          <w:lang w:eastAsia="zh-CN"/>
        </w:rPr>
      </w:pPr>
      <w:r>
        <w:rPr>
          <w:rFonts w:hint="eastAsia"/>
        </w:rPr>
        <w:t>1、满足《中华人民共和国政府采购法》第二十二条规定</w:t>
      </w:r>
      <w:r>
        <w:rPr>
          <w:rFonts w:hint="eastAsia"/>
          <w:lang w:eastAsia="zh-CN"/>
        </w:rPr>
        <w:t>；</w:t>
      </w:r>
    </w:p>
    <w:p>
      <w:pPr>
        <w:pStyle w:val="42"/>
        <w:spacing w:beforeAutospacing="0" w:afterAutospacing="0" w:line="360" w:lineRule="auto"/>
        <w:rPr>
          <w:rFonts w:hint="eastAsia"/>
        </w:rPr>
      </w:pPr>
      <w:r>
        <w:rPr>
          <w:rFonts w:hint="eastAsia"/>
        </w:rPr>
        <w:t>2、落实政府采购政策需满足的资格要求：</w:t>
      </w:r>
    </w:p>
    <w:p>
      <w:pPr>
        <w:pStyle w:val="42"/>
        <w:spacing w:beforeAutospacing="0" w:afterAutospacing="0" w:line="360" w:lineRule="auto"/>
        <w:ind w:firstLine="420"/>
        <w:rPr>
          <w:rFonts w:hint="eastAsia"/>
        </w:rPr>
      </w:pPr>
      <w:r>
        <w:rPr>
          <w:rFonts w:hint="eastAsia"/>
        </w:rPr>
        <w:t>合同包1(</w:t>
      </w:r>
      <w:r>
        <w:rPr>
          <w:rFonts w:hint="eastAsia"/>
          <w:lang w:eastAsia="zh-CN"/>
        </w:rPr>
        <w:t>西安市高陵区创优质均衡发展（苏家小学户外改造提升项目）</w:t>
      </w:r>
      <w:r>
        <w:rPr>
          <w:rFonts w:hint="eastAsia"/>
        </w:rPr>
        <w:t>)落实政府采购政策需满足的资格要求如下:</w:t>
      </w:r>
    </w:p>
    <w:p>
      <w:pPr>
        <w:numPr>
          <w:ilvl w:val="0"/>
          <w:numId w:val="3"/>
        </w:num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政府采购促进中小企业发展管理办法》（财库〔2020〕46号）；2、《财政部、司法部关于政府采购支持监狱企业发展有关问题的通知》（财库〔2014〕68号）；3、《民政部、财政部、中国残疾人联合会关于促进残疾人就业政府采购政策的通知》（财库〔2017〕141号）；4、《国务院办公厅关于建立政府强制采购节能产品制度的通知》（国办发〔2007〕51号）；5、《财政部、国家环保总局关于环境标志产品政府采购实施的意见》（财库[2006]90号）；6、《财政部办公厅关于政府采购进口产品管理有关问题的通知》（财办库[2008]248号）；7、陕西省财政厅关于印发《陕西省中小企业政府采购信用融资办法》（陕财办采〔2018〕23号）；8、《关于运用政府采购政策支持乡村产业振兴的通知》（财库〔2021〕19号）；9、其他需要落实的政府采购政策。</w:t>
      </w:r>
    </w:p>
    <w:p>
      <w:pPr>
        <w:numPr>
          <w:ilvl w:val="0"/>
          <w:numId w:val="0"/>
        </w:numPr>
        <w:autoSpaceDE w:val="0"/>
        <w:autoSpaceDN w:val="0"/>
        <w:spacing w:line="360" w:lineRule="auto"/>
        <w:jc w:val="left"/>
        <w:rPr>
          <w:rFonts w:hint="eastAsia" w:ascii="宋体" w:hAnsi="宋体" w:cs="宋体"/>
          <w:kern w:val="0"/>
          <w:sz w:val="24"/>
          <w:szCs w:val="22"/>
        </w:rPr>
      </w:pPr>
      <w:r>
        <w:rPr>
          <w:rFonts w:hint="eastAsia" w:ascii="宋体" w:hAnsi="宋体" w:cs="宋体"/>
          <w:kern w:val="0"/>
          <w:sz w:val="24"/>
          <w:szCs w:val="22"/>
        </w:rPr>
        <w:t>3、本项目的特定资格要求：</w:t>
      </w:r>
    </w:p>
    <w:p>
      <w:pPr>
        <w:pStyle w:val="64"/>
        <w:ind w:firstLine="480" w:firstLineChars="200"/>
        <w:rPr>
          <w:rFonts w:hint="eastAsia"/>
        </w:rPr>
      </w:pPr>
      <w:r>
        <w:rPr>
          <w:rFonts w:hint="eastAsia" w:ascii="宋体" w:hAnsi="宋体" w:eastAsia="宋体" w:cs="宋体"/>
          <w:color w:val="auto"/>
          <w:kern w:val="0"/>
          <w:sz w:val="24"/>
          <w:szCs w:val="24"/>
          <w:highlight w:val="none"/>
          <w:lang w:val="en-US" w:eastAsia="zh-CN" w:bidi="ar-SA"/>
        </w:rPr>
        <w:t>合同包1(西安市高陵区创优质均衡发展（苏家小学户外改造提升项目）)特定资格要求如下:</w:t>
      </w:r>
    </w:p>
    <w:p>
      <w:pPr>
        <w:autoSpaceDE w:val="0"/>
        <w:autoSpaceDN w:val="0"/>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sz w:val="24"/>
        </w:rPr>
        <w:t>1、具有合格有效的企业法人营业执照、税务登记证、组织机构代码证（或三证合一营业执照）；2、磋商响应单位应授权合法的人员参加磋商全过程，其中法定代表人直接参加磋商的，须出具法人身份证，并与营业执照上信息一致。法定代表人授权代表参加磋商的，须出具法定代表人授权书及授权代表身份证；</w:t>
      </w:r>
      <w:r>
        <w:rPr>
          <w:rFonts w:hint="eastAsia" w:ascii="宋体" w:hAnsi="宋体" w:cs="宋体"/>
          <w:sz w:val="24"/>
          <w:highlight w:val="none"/>
        </w:rPr>
        <w:t>3、</w:t>
      </w:r>
      <w:r>
        <w:rPr>
          <w:rFonts w:hint="eastAsia" w:ascii="宋体" w:hAnsi="宋体" w:cs="宋体"/>
          <w:sz w:val="24"/>
          <w:highlight w:val="none"/>
          <w:lang w:eastAsia="zh-CN"/>
        </w:rPr>
        <w:t>具备建设部门颁发的建筑工程施工总承包三级（含）以上资质，具有有效的安全生产许可证</w:t>
      </w:r>
      <w:r>
        <w:rPr>
          <w:rFonts w:hint="eastAsia" w:ascii="宋体" w:hAnsi="宋体" w:cs="宋体"/>
          <w:sz w:val="24"/>
          <w:highlight w:val="none"/>
        </w:rPr>
        <w:t>；4、拟委派项目经理须具有建筑工程专业贰级（含）以上注册建造师资质并具有安全生产考核合格证，在本单位注册且无在建工程；</w:t>
      </w:r>
      <w:r>
        <w:rPr>
          <w:rFonts w:hint="eastAsia" w:ascii="宋体" w:hAnsi="宋体" w:cs="宋体"/>
          <w:sz w:val="24"/>
        </w:rPr>
        <w:t>5、</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月至今已缴存的至少一个月的社会保障资金缴存单据或社保机构开具的社会保险参保缴费情况证明，依法不需要缴纳社会保障资金的单位应提供相关证明材料；8、财务状况报告：</w:t>
      </w: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；9、参加政府采购活动前三年内，在经营活动中没有重大违法记录的书面声明；10、磋商响应单位负责人不得为同一人或者存在控股、管理关系</w:t>
      </w:r>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pStyle w:val="42"/>
        <w:spacing w:beforeAutospacing="0" w:afterAutospacing="0" w:line="360" w:lineRule="auto"/>
        <w:ind w:firstLine="420"/>
        <w:rPr>
          <w:rFonts w:hint="eastAsia"/>
        </w:rPr>
      </w:pPr>
      <w:r>
        <w:rPr>
          <w:rFonts w:hint="eastAsia" w:cs="宋体"/>
          <w:kern w:val="0"/>
          <w:sz w:val="24"/>
          <w:szCs w:val="24"/>
          <w:highlight w:val="none"/>
          <w:lang w:eastAsia="zh-CN"/>
        </w:rPr>
        <w:t>注：</w:t>
      </w:r>
      <w:r>
        <w:rPr>
          <w:rFonts w:hint="eastAsia"/>
        </w:rPr>
        <w:t>本项目</w:t>
      </w:r>
      <w:r>
        <w:rPr>
          <w:rFonts w:hint="eastAsia"/>
          <w:lang w:eastAsia="zh-CN"/>
        </w:rPr>
        <w:t>不</w:t>
      </w:r>
      <w:r>
        <w:rPr>
          <w:rFonts w:hint="eastAsia"/>
        </w:rPr>
        <w:t>接受联合体磋商</w:t>
      </w:r>
    </w:p>
    <w:p>
      <w:pPr>
        <w:pStyle w:val="42"/>
        <w:numPr>
          <w:ilvl w:val="0"/>
          <w:numId w:val="2"/>
        </w:numPr>
        <w:spacing w:beforeAutospacing="0" w:afterAutospacing="0" w:line="360" w:lineRule="auto"/>
        <w:rPr>
          <w:sz w:val="28"/>
          <w:szCs w:val="28"/>
        </w:rPr>
      </w:pPr>
      <w:r>
        <w:rPr>
          <w:rFonts w:hint="eastAsia"/>
          <w:b/>
          <w:sz w:val="28"/>
          <w:szCs w:val="28"/>
        </w:rPr>
        <w:t>获取采购文件</w:t>
      </w:r>
    </w:p>
    <w:p>
      <w:pPr>
        <w:pStyle w:val="42"/>
        <w:spacing w:beforeAutospacing="0" w:afterAutospacing="0" w:line="360" w:lineRule="auto"/>
        <w:ind w:firstLine="420"/>
        <w:rPr>
          <w:rFonts w:hint="eastAsia"/>
        </w:rPr>
      </w:pPr>
      <w:r>
        <w:rPr>
          <w:rFonts w:hint="eastAsia"/>
        </w:rPr>
        <w:t>时间：</w:t>
      </w:r>
      <w:r>
        <w:rPr>
          <w:rFonts w:hint="eastAsia"/>
          <w:highlight w:val="none"/>
        </w:rPr>
        <w:t>2022年</w:t>
      </w:r>
      <w:r>
        <w:rPr>
          <w:rFonts w:hint="eastAsia"/>
          <w:highlight w:val="none"/>
          <w:lang w:val="en-US" w:eastAsia="zh-CN"/>
        </w:rPr>
        <w:t>05</w:t>
      </w:r>
      <w:r>
        <w:rPr>
          <w:rFonts w:hint="eastAsia"/>
          <w:highlight w:val="none"/>
        </w:rPr>
        <w:t>月</w:t>
      </w:r>
      <w:r>
        <w:rPr>
          <w:rFonts w:hint="eastAsia"/>
          <w:highlight w:val="none"/>
          <w:lang w:val="en-US" w:eastAsia="zh-CN"/>
        </w:rPr>
        <w:t>10</w:t>
      </w:r>
      <w:r>
        <w:rPr>
          <w:rFonts w:hint="eastAsia"/>
          <w:highlight w:val="none"/>
        </w:rPr>
        <w:t>日 至 2022年</w:t>
      </w:r>
      <w:r>
        <w:rPr>
          <w:rFonts w:hint="eastAsia"/>
          <w:highlight w:val="none"/>
          <w:lang w:val="en-US" w:eastAsia="zh-CN"/>
        </w:rPr>
        <w:t>05</w:t>
      </w:r>
      <w:r>
        <w:rPr>
          <w:rFonts w:hint="eastAsia"/>
          <w:highlight w:val="none"/>
        </w:rPr>
        <w:t>月</w:t>
      </w:r>
      <w:r>
        <w:rPr>
          <w:rFonts w:hint="eastAsia"/>
          <w:highlight w:val="none"/>
          <w:lang w:val="en-US" w:eastAsia="zh-CN"/>
        </w:rPr>
        <w:t>16</w:t>
      </w:r>
      <w:r>
        <w:rPr>
          <w:rFonts w:hint="eastAsia"/>
          <w:highlight w:val="none"/>
        </w:rPr>
        <w:t xml:space="preserve">日 </w:t>
      </w:r>
      <w:r>
        <w:rPr>
          <w:rFonts w:hint="eastAsia"/>
        </w:rPr>
        <w:t>，每天上午 09:00:00 至 12:00:00 ，下午 14:00:00 至 17:00:00 （北京时间,法定节假日除外）</w:t>
      </w:r>
    </w:p>
    <w:p>
      <w:pPr>
        <w:pStyle w:val="42"/>
        <w:spacing w:beforeAutospacing="0" w:afterAutospacing="0" w:line="360" w:lineRule="auto"/>
        <w:ind w:firstLine="420"/>
        <w:rPr>
          <w:rFonts w:hint="eastAsia"/>
        </w:rPr>
      </w:pPr>
      <w:r>
        <w:rPr>
          <w:rFonts w:hint="eastAsia"/>
        </w:rPr>
        <w:t>地点：</w:t>
      </w:r>
      <w:r>
        <w:rPr>
          <w:rFonts w:hint="eastAsia"/>
          <w:lang w:eastAsia="zh-CN"/>
        </w:rPr>
        <w:t>远创项目管理有限公司</w:t>
      </w:r>
      <w:r>
        <w:rPr>
          <w:rFonts w:hint="eastAsia"/>
        </w:rPr>
        <w:t>（</w:t>
      </w:r>
      <w:r>
        <w:rPr>
          <w:rFonts w:hint="eastAsia"/>
          <w:lang w:eastAsia="zh-CN"/>
        </w:rPr>
        <w:t>西安市未央区凤城九路与明光路十字中登文景大厦B座701室</w:t>
      </w:r>
      <w:r>
        <w:rPr>
          <w:rFonts w:hint="eastAsia"/>
        </w:rPr>
        <w:t>）</w:t>
      </w:r>
    </w:p>
    <w:p>
      <w:pPr>
        <w:pStyle w:val="42"/>
        <w:spacing w:beforeAutospacing="0" w:afterAutospacing="0" w:line="360" w:lineRule="auto"/>
        <w:ind w:firstLine="420"/>
      </w:pPr>
      <w:r>
        <w:rPr>
          <w:rFonts w:hint="eastAsia"/>
        </w:rPr>
        <w:t>方式：现场购买</w:t>
      </w:r>
    </w:p>
    <w:p>
      <w:pPr>
        <w:pStyle w:val="42"/>
        <w:spacing w:beforeAutospacing="0" w:afterAutospacing="0" w:line="360" w:lineRule="auto"/>
        <w:ind w:firstLine="420"/>
      </w:pPr>
      <w:r>
        <w:rPr>
          <w:rFonts w:hint="eastAsia"/>
        </w:rPr>
        <w:t>售价：免费</w:t>
      </w:r>
      <w:r>
        <w:rPr>
          <w:rFonts w:hint="eastAsia"/>
          <w:lang w:eastAsia="zh-CN"/>
        </w:rPr>
        <w:t>获取</w:t>
      </w:r>
      <w:r>
        <w:rPr>
          <w:rFonts w:hint="eastAsia"/>
        </w:rPr>
        <w:t xml:space="preserve"> </w:t>
      </w:r>
    </w:p>
    <w:p>
      <w:pPr>
        <w:pStyle w:val="42"/>
        <w:spacing w:beforeAutospacing="0" w:afterAutospacing="0" w:line="360" w:lineRule="auto"/>
        <w:rPr>
          <w:b/>
          <w:sz w:val="28"/>
          <w:szCs w:val="28"/>
        </w:rPr>
      </w:pPr>
      <w:r>
        <w:rPr>
          <w:rFonts w:hint="eastAsia"/>
          <w:b/>
          <w:sz w:val="28"/>
          <w:szCs w:val="28"/>
        </w:rPr>
        <w:t>四、响应文件</w:t>
      </w:r>
      <w:r>
        <w:rPr>
          <w:rFonts w:hint="eastAsia"/>
          <w:b/>
          <w:sz w:val="28"/>
          <w:szCs w:val="28"/>
          <w:lang w:eastAsia="zh-CN"/>
        </w:rPr>
        <w:t>提交</w:t>
      </w:r>
      <w:r>
        <w:rPr>
          <w:rFonts w:hint="eastAsia"/>
          <w:b/>
          <w:sz w:val="28"/>
          <w:szCs w:val="28"/>
        </w:rPr>
        <w:t xml:space="preserve"> </w:t>
      </w:r>
    </w:p>
    <w:p>
      <w:pPr>
        <w:pStyle w:val="42"/>
        <w:spacing w:beforeAutospacing="0" w:afterAutospacing="0" w:line="360" w:lineRule="auto"/>
        <w:ind w:firstLine="420"/>
        <w:rPr>
          <w:rFonts w:hint="eastAsia"/>
        </w:rPr>
      </w:pPr>
      <w:r>
        <w:rPr>
          <w:rFonts w:hint="eastAsia"/>
        </w:rPr>
        <w:t>截止时间：</w:t>
      </w:r>
      <w:r>
        <w:rPr>
          <w:rFonts w:hint="eastAsia"/>
          <w:highlight w:val="none"/>
        </w:rPr>
        <w:t xml:space="preserve"> 2022年</w:t>
      </w:r>
      <w:r>
        <w:rPr>
          <w:rFonts w:hint="eastAsia"/>
          <w:highlight w:val="none"/>
          <w:lang w:val="en-US" w:eastAsia="zh-CN"/>
        </w:rPr>
        <w:t>05</w:t>
      </w:r>
      <w:r>
        <w:rPr>
          <w:rFonts w:hint="eastAsia"/>
          <w:highlight w:val="none"/>
        </w:rPr>
        <w:t>月</w:t>
      </w:r>
      <w:r>
        <w:rPr>
          <w:rFonts w:hint="eastAsia"/>
          <w:highlight w:val="none"/>
          <w:lang w:val="en-US" w:eastAsia="zh-CN"/>
        </w:rPr>
        <w:t>20</w:t>
      </w:r>
      <w:r>
        <w:rPr>
          <w:rFonts w:hint="eastAsia"/>
          <w:highlight w:val="none"/>
        </w:rPr>
        <w:t xml:space="preserve">日 </w:t>
      </w:r>
      <w:r>
        <w:rPr>
          <w:rFonts w:hint="eastAsia"/>
          <w:highlight w:val="none"/>
          <w:lang w:val="en-US" w:eastAsia="zh-CN"/>
        </w:rPr>
        <w:t>14</w:t>
      </w:r>
      <w:r>
        <w:rPr>
          <w:rFonts w:hint="eastAsia"/>
          <w:highlight w:val="none"/>
        </w:rPr>
        <w:t>时</w:t>
      </w:r>
      <w:r>
        <w:rPr>
          <w:rFonts w:hint="eastAsia"/>
          <w:highlight w:val="none"/>
          <w:lang w:val="en-US" w:eastAsia="zh-CN"/>
        </w:rPr>
        <w:t>0</w:t>
      </w:r>
      <w:r>
        <w:rPr>
          <w:rFonts w:hint="eastAsia"/>
          <w:highlight w:val="none"/>
        </w:rPr>
        <w:t>0分00秒</w:t>
      </w:r>
      <w:r>
        <w:rPr>
          <w:rFonts w:hint="eastAsia"/>
        </w:rPr>
        <w:t xml:space="preserve"> （北京时间）</w:t>
      </w:r>
    </w:p>
    <w:p>
      <w:pPr>
        <w:pStyle w:val="42"/>
        <w:spacing w:beforeAutospacing="0" w:afterAutospacing="0" w:line="360" w:lineRule="auto"/>
        <w:ind w:firstLine="420"/>
        <w:rPr>
          <w:rFonts w:hint="eastAsia"/>
          <w:lang w:eastAsia="zh-CN"/>
        </w:rPr>
      </w:pPr>
      <w:r>
        <w:rPr>
          <w:rFonts w:hint="eastAsia"/>
        </w:rPr>
        <w:t>地点：</w:t>
      </w:r>
      <w:r>
        <w:rPr>
          <w:rFonts w:hint="eastAsia"/>
          <w:lang w:eastAsia="zh-CN"/>
        </w:rPr>
        <w:t>远创项目管理有限公司（西安市未央区凤城九路与明光路十字中登文景大厦B座701室）</w:t>
      </w:r>
    </w:p>
    <w:p>
      <w:pPr>
        <w:pStyle w:val="29"/>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kern w:val="0"/>
          <w:sz w:val="28"/>
          <w:szCs w:val="28"/>
          <w:lang w:val="en-US" w:eastAsia="zh-CN" w:bidi="ar-SA"/>
        </w:rPr>
      </w:pPr>
      <w:r>
        <w:rPr>
          <w:rFonts w:hint="eastAsia" w:ascii="宋体" w:hAnsi="宋体" w:eastAsia="宋体" w:cs="宋体"/>
          <w:b/>
          <w:kern w:val="0"/>
          <w:sz w:val="28"/>
          <w:szCs w:val="28"/>
          <w:lang w:val="en-US" w:eastAsia="zh-CN" w:bidi="ar-SA"/>
        </w:rPr>
        <w:t>五、开启</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时间：</w:t>
      </w:r>
      <w:r>
        <w:rPr>
          <w:rFonts w:hint="eastAsia" w:ascii="宋体" w:hAnsi="宋体" w:eastAsia="宋体" w:cs="宋体"/>
          <w:kern w:val="0"/>
          <w:sz w:val="24"/>
          <w:szCs w:val="24"/>
          <w:highlight w:val="none"/>
          <w:lang w:val="en-US" w:eastAsia="zh-CN" w:bidi="ar-SA"/>
        </w:rPr>
        <w:t xml:space="preserve"> 2022年05月20日 </w:t>
      </w:r>
      <w:r>
        <w:rPr>
          <w:rFonts w:hint="eastAsia" w:ascii="宋体" w:hAnsi="宋体" w:cs="宋体"/>
          <w:kern w:val="0"/>
          <w:sz w:val="24"/>
          <w:szCs w:val="24"/>
          <w:highlight w:val="none"/>
          <w:lang w:val="en-US" w:eastAsia="zh-CN" w:bidi="ar-SA"/>
        </w:rPr>
        <w:t>14</w:t>
      </w:r>
      <w:r>
        <w:rPr>
          <w:rFonts w:hint="eastAsia" w:ascii="宋体" w:hAnsi="宋体" w:eastAsia="宋体" w:cs="宋体"/>
          <w:kern w:val="0"/>
          <w:sz w:val="24"/>
          <w:szCs w:val="24"/>
          <w:highlight w:val="none"/>
          <w:lang w:val="en-US" w:eastAsia="zh-CN" w:bidi="ar-SA"/>
        </w:rPr>
        <w:t>时</w:t>
      </w:r>
      <w:r>
        <w:rPr>
          <w:rFonts w:hint="eastAsia" w:ascii="宋体" w:hAnsi="宋体" w:cs="宋体"/>
          <w:kern w:val="0"/>
          <w:sz w:val="24"/>
          <w:szCs w:val="24"/>
          <w:highlight w:val="none"/>
          <w:lang w:val="en-US" w:eastAsia="zh-CN" w:bidi="ar-SA"/>
        </w:rPr>
        <w:t>0</w:t>
      </w:r>
      <w:r>
        <w:rPr>
          <w:rFonts w:hint="eastAsia" w:ascii="宋体" w:hAnsi="宋体" w:eastAsia="宋体" w:cs="宋体"/>
          <w:kern w:val="0"/>
          <w:sz w:val="24"/>
          <w:szCs w:val="24"/>
          <w:highlight w:val="none"/>
          <w:lang w:val="en-US" w:eastAsia="zh-CN" w:bidi="ar-SA"/>
        </w:rPr>
        <w:t xml:space="preserve">0分00秒 </w:t>
      </w:r>
      <w:r>
        <w:rPr>
          <w:rFonts w:hint="eastAsia" w:ascii="宋体" w:hAnsi="宋体" w:eastAsia="宋体" w:cs="宋体"/>
          <w:kern w:val="0"/>
          <w:sz w:val="24"/>
          <w:szCs w:val="24"/>
          <w:lang w:val="en-US" w:eastAsia="zh-CN" w:bidi="ar-SA"/>
        </w:rPr>
        <w:t>（北京时间）</w:t>
      </w:r>
    </w:p>
    <w:p>
      <w:pPr>
        <w:pStyle w:val="29"/>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地点：</w:t>
      </w:r>
      <w:r>
        <w:rPr>
          <w:rFonts w:hint="eastAsia" w:ascii="宋体" w:hAnsi="宋体" w:cs="宋体"/>
          <w:kern w:val="0"/>
          <w:sz w:val="24"/>
          <w:szCs w:val="24"/>
          <w:lang w:val="en-US" w:eastAsia="zh-CN" w:bidi="ar-SA"/>
        </w:rPr>
        <w:t>远创项目管理有限公司</w:t>
      </w:r>
      <w:r>
        <w:rPr>
          <w:rFonts w:hint="eastAsia" w:ascii="宋体" w:hAnsi="宋体" w:eastAsia="宋体" w:cs="宋体"/>
          <w:kern w:val="0"/>
          <w:sz w:val="24"/>
          <w:szCs w:val="24"/>
          <w:lang w:val="en-US" w:eastAsia="zh-CN" w:bidi="ar-SA"/>
        </w:rPr>
        <w:t>（</w:t>
      </w:r>
      <w:r>
        <w:rPr>
          <w:rFonts w:hint="eastAsia" w:ascii="宋体" w:hAnsi="宋体" w:cs="宋体"/>
          <w:kern w:val="0"/>
          <w:sz w:val="24"/>
          <w:szCs w:val="24"/>
          <w:lang w:val="en-US" w:eastAsia="zh-CN" w:bidi="ar-SA"/>
        </w:rPr>
        <w:t>西安市未央区凤城九路与明光路十字中登文景大厦B座701室</w:t>
      </w:r>
      <w:r>
        <w:rPr>
          <w:rFonts w:hint="eastAsia" w:ascii="宋体" w:hAnsi="宋体" w:eastAsia="宋体" w:cs="宋体"/>
          <w:kern w:val="0"/>
          <w:sz w:val="24"/>
          <w:szCs w:val="24"/>
          <w:lang w:val="en-US" w:eastAsia="zh-CN" w:bidi="ar-SA"/>
        </w:rPr>
        <w:t>）</w:t>
      </w:r>
    </w:p>
    <w:p>
      <w:pPr>
        <w:pStyle w:val="42"/>
        <w:keepNext w:val="0"/>
        <w:keepLines w:val="0"/>
        <w:pageBreakBefore w:val="0"/>
        <w:kinsoku/>
        <w:wordWrap/>
        <w:overflowPunct/>
        <w:topLinePunct w:val="0"/>
        <w:autoSpaceDE/>
        <w:autoSpaceDN/>
        <w:bidi w:val="0"/>
        <w:adjustRightInd/>
        <w:spacing w:beforeAutospacing="0" w:afterAutospacing="0" w:line="360" w:lineRule="auto"/>
        <w:textAlignment w:val="auto"/>
        <w:rPr>
          <w:b/>
          <w:sz w:val="28"/>
          <w:szCs w:val="28"/>
        </w:rPr>
      </w:pPr>
      <w:r>
        <w:rPr>
          <w:rFonts w:hint="eastAsia"/>
          <w:b/>
          <w:sz w:val="28"/>
          <w:szCs w:val="28"/>
          <w:lang w:eastAsia="zh-CN"/>
        </w:rPr>
        <w:t>六、</w:t>
      </w:r>
      <w:r>
        <w:rPr>
          <w:rFonts w:hint="eastAsia"/>
          <w:b/>
          <w:sz w:val="28"/>
          <w:szCs w:val="28"/>
        </w:rPr>
        <w:t>公告期限</w:t>
      </w:r>
    </w:p>
    <w:p>
      <w:pPr>
        <w:pStyle w:val="42"/>
        <w:spacing w:beforeAutospacing="0" w:afterAutospacing="0" w:line="360" w:lineRule="auto"/>
        <w:ind w:firstLine="420"/>
      </w:pPr>
      <w:r>
        <w:rPr>
          <w:rFonts w:hint="eastAsia"/>
        </w:rPr>
        <w:t>自本公告发布之日起3个工作日。</w:t>
      </w:r>
    </w:p>
    <w:p>
      <w:pPr>
        <w:pStyle w:val="42"/>
        <w:numPr>
          <w:ilvl w:val="0"/>
          <w:numId w:val="0"/>
        </w:numPr>
        <w:spacing w:beforeAutospacing="0" w:afterAutospacing="0" w:line="360" w:lineRule="auto"/>
        <w:rPr>
          <w:b/>
          <w:sz w:val="28"/>
          <w:szCs w:val="28"/>
        </w:rPr>
      </w:pPr>
      <w:r>
        <w:rPr>
          <w:rFonts w:hint="eastAsia"/>
          <w:b/>
          <w:sz w:val="28"/>
          <w:szCs w:val="28"/>
          <w:lang w:eastAsia="zh-CN"/>
        </w:rPr>
        <w:t>七、</w:t>
      </w:r>
      <w:r>
        <w:rPr>
          <w:rFonts w:hint="eastAsia"/>
          <w:b/>
          <w:sz w:val="28"/>
          <w:szCs w:val="28"/>
        </w:rPr>
        <w:t>其他补充事宜</w:t>
      </w:r>
    </w:p>
    <w:p>
      <w:pPr>
        <w:pStyle w:val="42"/>
        <w:spacing w:beforeAutospacing="0" w:afterAutospacing="0" w:line="360" w:lineRule="auto"/>
        <w:ind w:firstLine="420"/>
      </w:pPr>
      <w:r>
        <w:rPr>
          <w:rStyle w:val="51"/>
          <w:rFonts w:hint="eastAsia"/>
          <w:b w:val="0"/>
        </w:rPr>
        <w:t>注：获取采购文件时请携带单位介绍信和经办人身份证原件及加盖鲜章的复印件。</w:t>
      </w:r>
    </w:p>
    <w:p>
      <w:pPr>
        <w:pStyle w:val="42"/>
        <w:spacing w:beforeAutospacing="0" w:afterAutospacing="0" w:line="360" w:lineRule="auto"/>
        <w:rPr>
          <w:b/>
          <w:sz w:val="28"/>
          <w:szCs w:val="28"/>
        </w:rPr>
      </w:pPr>
      <w:r>
        <w:rPr>
          <w:rFonts w:hint="eastAsia"/>
          <w:b/>
          <w:sz w:val="28"/>
          <w:szCs w:val="28"/>
          <w:lang w:eastAsia="zh-CN"/>
        </w:rPr>
        <w:t>八、凡</w:t>
      </w:r>
      <w:r>
        <w:rPr>
          <w:rFonts w:hint="eastAsia"/>
          <w:b/>
          <w:sz w:val="28"/>
          <w:szCs w:val="28"/>
        </w:rPr>
        <w:t>对本次采购提出询问，请按以下方式联系</w:t>
      </w:r>
    </w:p>
    <w:p>
      <w:pPr>
        <w:pStyle w:val="42"/>
        <w:spacing w:beforeAutospacing="0" w:afterAutospacing="0" w:line="360" w:lineRule="auto"/>
      </w:pPr>
      <w:r>
        <w:rPr>
          <w:rFonts w:hint="eastAsia"/>
        </w:rPr>
        <w:t>1、采购人信息</w:t>
      </w:r>
    </w:p>
    <w:p>
      <w:pPr>
        <w:pStyle w:val="42"/>
        <w:spacing w:beforeAutospacing="0" w:afterAutospacing="0" w:line="360" w:lineRule="auto"/>
        <w:ind w:firstLine="720" w:firstLineChars="300"/>
        <w:rPr>
          <w:rFonts w:hint="eastAsia"/>
        </w:rPr>
      </w:pPr>
      <w:r>
        <w:rPr>
          <w:rFonts w:hint="eastAsia"/>
        </w:rPr>
        <w:t>名称：西安市高陵区教育局</w:t>
      </w:r>
    </w:p>
    <w:p>
      <w:pPr>
        <w:pStyle w:val="42"/>
        <w:spacing w:beforeAutospacing="0" w:afterAutospacing="0" w:line="360" w:lineRule="auto"/>
        <w:ind w:firstLine="720" w:firstLineChars="300"/>
        <w:rPr>
          <w:rFonts w:hint="eastAsia"/>
        </w:rPr>
      </w:pPr>
      <w:r>
        <w:rPr>
          <w:rFonts w:hint="eastAsia"/>
        </w:rPr>
        <w:t>地址：高陵区文卫路290号</w:t>
      </w:r>
    </w:p>
    <w:p>
      <w:pPr>
        <w:pStyle w:val="42"/>
        <w:spacing w:beforeAutospacing="0" w:afterAutospacing="0" w:line="360" w:lineRule="auto"/>
        <w:ind w:firstLine="720" w:firstLineChars="300"/>
        <w:rPr>
          <w:highlight w:val="none"/>
        </w:rPr>
      </w:pPr>
      <w:r>
        <w:rPr>
          <w:rFonts w:hint="eastAsia"/>
          <w:highlight w:val="none"/>
        </w:rPr>
        <w:t>联系方式：029-86921342</w:t>
      </w:r>
    </w:p>
    <w:p>
      <w:pPr>
        <w:pStyle w:val="42"/>
        <w:spacing w:beforeAutospacing="0" w:afterAutospacing="0" w:line="360" w:lineRule="auto"/>
        <w:rPr>
          <w:rFonts w:hint="eastAsia"/>
          <w:lang w:val="en-US" w:eastAsia="zh-CN"/>
        </w:rPr>
      </w:pPr>
      <w:r>
        <w:rPr>
          <w:rFonts w:hint="eastAsia"/>
          <w:lang w:val="en-US" w:eastAsia="zh-CN"/>
        </w:rPr>
        <w:t>2、釆购代理机构信息</w:t>
      </w:r>
    </w:p>
    <w:p>
      <w:pPr>
        <w:pStyle w:val="42"/>
        <w:spacing w:beforeAutospacing="0" w:afterAutospacing="0" w:line="360" w:lineRule="auto"/>
        <w:ind w:firstLine="720" w:firstLineChars="300"/>
        <w:rPr>
          <w:rFonts w:hint="eastAsia"/>
          <w:lang w:val="en-US" w:eastAsia="zh-CN"/>
        </w:rPr>
      </w:pPr>
      <w:r>
        <w:rPr>
          <w:rFonts w:hint="eastAsia"/>
          <w:lang w:val="en-US" w:eastAsia="zh-CN"/>
        </w:rPr>
        <w:t>名称：远创项目管理有限公司</w:t>
      </w:r>
    </w:p>
    <w:p>
      <w:pPr>
        <w:pStyle w:val="42"/>
        <w:spacing w:beforeAutospacing="0" w:afterAutospacing="0" w:line="360" w:lineRule="auto"/>
        <w:ind w:firstLine="720" w:firstLineChars="300"/>
        <w:rPr>
          <w:rFonts w:hint="eastAsia"/>
          <w:lang w:val="en-US" w:eastAsia="zh-CN"/>
        </w:rPr>
      </w:pPr>
      <w:r>
        <w:rPr>
          <w:rFonts w:hint="eastAsia"/>
          <w:lang w:val="en-US" w:eastAsia="zh-CN"/>
        </w:rPr>
        <w:t>地址：</w:t>
      </w:r>
      <w:r>
        <w:rPr>
          <w:rFonts w:hint="eastAsia" w:ascii="宋体" w:hAnsi="宋体" w:cs="宋体"/>
          <w:kern w:val="0"/>
          <w:sz w:val="24"/>
          <w:szCs w:val="24"/>
          <w:lang w:val="en-US" w:eastAsia="zh-CN" w:bidi="ar-SA"/>
        </w:rPr>
        <w:t>西安市未央区凤城九路与明光路十字中登文景大厦B座701室</w:t>
      </w:r>
    </w:p>
    <w:p>
      <w:pPr>
        <w:pStyle w:val="42"/>
        <w:spacing w:beforeAutospacing="0" w:afterAutospacing="0" w:line="360" w:lineRule="auto"/>
        <w:ind w:firstLine="720" w:firstLineChars="300"/>
        <w:rPr>
          <w:rFonts w:hint="eastAsia"/>
          <w:lang w:val="en-US" w:eastAsia="zh-CN"/>
        </w:rPr>
      </w:pPr>
      <w:r>
        <w:rPr>
          <w:rFonts w:hint="eastAsia"/>
          <w:lang w:val="en-US" w:eastAsia="zh-CN"/>
        </w:rPr>
        <w:t>联系方式：18291007036</w:t>
      </w:r>
    </w:p>
    <w:p>
      <w:pPr>
        <w:pStyle w:val="42"/>
        <w:spacing w:beforeAutospacing="0" w:afterAutospacing="0" w:line="360" w:lineRule="auto"/>
      </w:pPr>
      <w:r>
        <w:rPr>
          <w:rFonts w:hint="eastAsia"/>
        </w:rPr>
        <w:t>3、项目联系方式</w:t>
      </w:r>
    </w:p>
    <w:p>
      <w:pPr>
        <w:pStyle w:val="42"/>
        <w:spacing w:beforeAutospacing="0" w:afterAutospacing="0" w:line="360" w:lineRule="auto"/>
        <w:ind w:firstLine="720" w:firstLineChars="300"/>
        <w:rPr>
          <w:rFonts w:hint="eastAsia" w:eastAsia="宋体"/>
          <w:lang w:eastAsia="zh-CN"/>
        </w:rPr>
      </w:pPr>
      <w:r>
        <w:rPr>
          <w:rFonts w:hint="eastAsia"/>
        </w:rPr>
        <w:t>项目联系人：</w:t>
      </w:r>
      <w:r>
        <w:rPr>
          <w:rFonts w:hint="eastAsia"/>
          <w:lang w:eastAsia="zh-CN"/>
        </w:rPr>
        <w:t>陈工</w:t>
      </w:r>
    </w:p>
    <w:p>
      <w:pPr>
        <w:pStyle w:val="42"/>
        <w:spacing w:beforeAutospacing="0" w:afterAutospacing="0" w:line="360" w:lineRule="auto"/>
        <w:ind w:firstLine="720" w:firstLineChars="300"/>
        <w:rPr>
          <w:rFonts w:hint="eastAsia" w:eastAsia="宋体"/>
          <w:lang w:eastAsia="zh-CN"/>
        </w:rPr>
      </w:pPr>
      <w:r>
        <w:rPr>
          <w:rFonts w:hint="eastAsia"/>
        </w:rPr>
        <w:t>电话：</w:t>
      </w:r>
      <w:r>
        <w:rPr>
          <w:rFonts w:hint="eastAsia"/>
          <w:lang w:eastAsia="zh-CN"/>
        </w:rPr>
        <w:t>18291007036</w:t>
      </w:r>
    </w:p>
    <w:p/>
    <w:p>
      <w:pPr>
        <w:pStyle w:val="47"/>
        <w:ind w:left="0" w:leftChars="0" w:firstLine="6720" w:firstLineChars="2800"/>
        <w:jc w:val="both"/>
        <w:rPr>
          <w:rFonts w:ascii="宋体" w:hAnsi="宋体" w:cs="宋体"/>
          <w:kern w:val="0"/>
          <w:sz w:val="24"/>
          <w:highlight w:val="none"/>
        </w:rPr>
        <w:sectPr>
          <w:footerReference r:id="rId11" w:type="first"/>
          <w:footerReference r:id="rId10" w:type="default"/>
          <w:pgSz w:w="11906" w:h="16838"/>
          <w:pgMar w:top="1440" w:right="1403" w:bottom="1440" w:left="1463" w:header="851" w:footer="992" w:gutter="0"/>
          <w:pgNumType w:start="1"/>
          <w:cols w:space="0" w:num="1"/>
          <w:docGrid w:type="lines" w:linePitch="312" w:charSpace="0"/>
        </w:sect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09</w:t>
      </w:r>
      <w:r>
        <w:rPr>
          <w:rFonts w:hint="eastAsia" w:ascii="宋体" w:hAnsi="宋体" w:cs="宋体"/>
          <w:kern w:val="0"/>
          <w:sz w:val="24"/>
          <w:highlight w:val="none"/>
        </w:rPr>
        <w:t>日</w:t>
      </w:r>
    </w:p>
    <w:p>
      <w:pPr>
        <w:spacing w:line="360" w:lineRule="auto"/>
        <w:jc w:val="center"/>
        <w:outlineLvl w:val="0"/>
        <w:rPr>
          <w:rFonts w:asciiTheme="majorEastAsia" w:hAnsiTheme="majorEastAsia" w:eastAsiaTheme="majorEastAsia" w:cstheme="majorEastAsia"/>
          <w:sz w:val="32"/>
          <w:szCs w:val="32"/>
        </w:rPr>
      </w:pPr>
      <w:r>
        <w:rPr>
          <w:rFonts w:hint="eastAsia" w:asciiTheme="majorEastAsia" w:hAnsiTheme="majorEastAsia" w:eastAsiaTheme="majorEastAsia" w:cstheme="majorEastAsia"/>
          <w:b/>
          <w:bCs/>
          <w:sz w:val="32"/>
          <w:szCs w:val="32"/>
        </w:rPr>
        <w:t>第二章　</w:t>
      </w:r>
      <w:r>
        <w:rPr>
          <w:rFonts w:hint="eastAsia" w:asciiTheme="majorEastAsia" w:hAnsiTheme="majorEastAsia" w:eastAsiaTheme="majorEastAsia" w:cstheme="majorEastAsia"/>
          <w:b/>
          <w:bCs/>
          <w:sz w:val="32"/>
          <w:szCs w:val="32"/>
          <w:lang w:val="en-US" w:eastAsia="zh-CN"/>
        </w:rPr>
        <w:t>竞争性</w:t>
      </w:r>
      <w:r>
        <w:rPr>
          <w:rFonts w:hint="eastAsia" w:asciiTheme="majorEastAsia" w:hAnsiTheme="majorEastAsia" w:eastAsiaTheme="majorEastAsia" w:cstheme="majorEastAsia"/>
          <w:b/>
          <w:bCs/>
          <w:sz w:val="32"/>
          <w:szCs w:val="32"/>
        </w:rPr>
        <w:t>磋商须知</w:t>
      </w:r>
      <w:bookmarkEnd w:id="2"/>
    </w:p>
    <w:p>
      <w:pPr>
        <w:spacing w:line="360" w:lineRule="auto"/>
        <w:jc w:val="center"/>
        <w:rPr>
          <w:sz w:val="28"/>
          <w:szCs w:val="28"/>
        </w:rPr>
      </w:pPr>
      <w:bookmarkStart w:id="3" w:name="_Toc220257383"/>
      <w:r>
        <w:rPr>
          <w:rFonts w:hint="eastAsia"/>
          <w:sz w:val="28"/>
          <w:szCs w:val="28"/>
          <w:lang w:val="en-US" w:eastAsia="zh-CN"/>
        </w:rPr>
        <w:t>竞争性</w:t>
      </w:r>
      <w:r>
        <w:rPr>
          <w:sz w:val="28"/>
          <w:szCs w:val="28"/>
        </w:rPr>
        <w:t>磋商须知前附表</w:t>
      </w:r>
      <w:bookmarkEnd w:id="3"/>
    </w:p>
    <w:tbl>
      <w:tblPr>
        <w:tblStyle w:val="48"/>
        <w:tblW w:w="90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4"/>
        <w:gridCol w:w="2235"/>
        <w:gridCol w:w="6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序号</w:t>
            </w:r>
          </w:p>
        </w:tc>
        <w:tc>
          <w:tcPr>
            <w:tcW w:w="2235" w:type="dxa"/>
            <w:shd w:val="clear" w:color="auto" w:fill="auto"/>
            <w:tcMar>
              <w:left w:w="108" w:type="dxa"/>
              <w:right w:w="108" w:type="dxa"/>
            </w:tcMar>
            <w:vAlign w:val="center"/>
          </w:tcPr>
          <w:p>
            <w:pPr>
              <w:widowControl/>
              <w:spacing w:line="360" w:lineRule="auto"/>
              <w:jc w:val="center"/>
              <w:rPr>
                <w:sz w:val="24"/>
              </w:rPr>
            </w:pPr>
            <w:r>
              <w:rPr>
                <w:kern w:val="0"/>
                <w:sz w:val="24"/>
              </w:rPr>
              <w:t>条款名称</w:t>
            </w:r>
          </w:p>
        </w:tc>
        <w:tc>
          <w:tcPr>
            <w:tcW w:w="6243" w:type="dxa"/>
            <w:shd w:val="clear" w:color="auto" w:fill="auto"/>
            <w:tcMar>
              <w:left w:w="108" w:type="dxa"/>
              <w:right w:w="108" w:type="dxa"/>
            </w:tcMar>
            <w:vAlign w:val="center"/>
          </w:tcPr>
          <w:p>
            <w:pPr>
              <w:widowControl/>
              <w:spacing w:line="360" w:lineRule="auto"/>
              <w:jc w:val="center"/>
              <w:rPr>
                <w:sz w:val="24"/>
              </w:rPr>
            </w:pPr>
            <w:r>
              <w:rPr>
                <w:kern w:val="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9"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采购人</w:t>
            </w:r>
          </w:p>
        </w:tc>
        <w:tc>
          <w:tcPr>
            <w:tcW w:w="6243" w:type="dxa"/>
            <w:shd w:val="clear" w:color="auto" w:fill="auto"/>
            <w:tcMar>
              <w:left w:w="108" w:type="dxa"/>
              <w:right w:w="108" w:type="dxa"/>
            </w:tcMar>
            <w:vAlign w:val="center"/>
          </w:tcPr>
          <w:p>
            <w:pPr>
              <w:pStyle w:val="304"/>
              <w:spacing w:line="360" w:lineRule="auto"/>
              <w:rPr>
                <w:kern w:val="2"/>
                <w:lang w:val="zh-CN"/>
              </w:rPr>
            </w:pPr>
            <w:r>
              <w:rPr>
                <w:rFonts w:hint="eastAsia"/>
                <w:kern w:val="2"/>
                <w:lang w:val="zh-CN"/>
              </w:rPr>
              <w:t>采购人名称：</w:t>
            </w:r>
            <w:r>
              <w:rPr>
                <w:rFonts w:hint="eastAsia"/>
                <w:kern w:val="2"/>
              </w:rPr>
              <w:t>西安市高陵区教育局</w:t>
            </w:r>
          </w:p>
          <w:p>
            <w:pPr>
              <w:pStyle w:val="304"/>
              <w:spacing w:line="360" w:lineRule="auto"/>
              <w:rPr>
                <w:kern w:val="2"/>
              </w:rPr>
            </w:pPr>
            <w:r>
              <w:rPr>
                <w:rFonts w:hint="eastAsia"/>
                <w:kern w:val="2"/>
              </w:rPr>
              <w:t>地址：高陵区文卫路290号</w:t>
            </w:r>
          </w:p>
          <w:p>
            <w:pPr>
              <w:adjustRightInd w:val="0"/>
              <w:snapToGrid w:val="0"/>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联系人：秦老师</w:t>
            </w:r>
          </w:p>
          <w:p>
            <w:pPr>
              <w:adjustRightInd w:val="0"/>
              <w:snapToGrid w:val="0"/>
              <w:spacing w:line="360" w:lineRule="auto"/>
              <w:rPr>
                <w:sz w:val="24"/>
              </w:rPr>
            </w:pPr>
            <w:r>
              <w:rPr>
                <w:rFonts w:hint="eastAsia" w:ascii="宋体" w:hAnsi="宋体" w:cs="宋体"/>
                <w:color w:val="000000" w:themeColor="text1"/>
                <w:sz w:val="24"/>
                <w14:textFill>
                  <w14:solidFill>
                    <w14:schemeClr w14:val="tx1"/>
                  </w14:solidFill>
                </w14:textFill>
              </w:rPr>
              <w:t>电话：029-86921342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0"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采购代理机构</w:t>
            </w:r>
          </w:p>
        </w:tc>
        <w:tc>
          <w:tcPr>
            <w:tcW w:w="6243" w:type="dxa"/>
            <w:shd w:val="clear" w:color="auto" w:fill="auto"/>
            <w:tcMar>
              <w:left w:w="108" w:type="dxa"/>
              <w:right w:w="108" w:type="dxa"/>
            </w:tcMar>
            <w:vAlign w:val="center"/>
          </w:tcPr>
          <w:p>
            <w:pPr>
              <w:pStyle w:val="304"/>
              <w:spacing w:line="360" w:lineRule="auto"/>
              <w:rPr>
                <w:rFonts w:cs="Times New Roman"/>
                <w:kern w:val="2"/>
                <w:lang w:val="zh-CN"/>
              </w:rPr>
            </w:pPr>
            <w:r>
              <w:rPr>
                <w:rFonts w:hint="eastAsia" w:cs="Times New Roman"/>
                <w:kern w:val="2"/>
                <w:lang w:val="zh-CN"/>
              </w:rPr>
              <w:t>名  称: 远创项目管理有限公司</w:t>
            </w:r>
          </w:p>
          <w:p>
            <w:pPr>
              <w:pStyle w:val="304"/>
              <w:spacing w:line="360" w:lineRule="auto"/>
              <w:rPr>
                <w:rFonts w:hint="eastAsia" w:eastAsia="宋体" w:cs="Times New Roman"/>
                <w:kern w:val="2"/>
                <w:lang w:eastAsia="zh-CN"/>
              </w:rPr>
            </w:pPr>
            <w:r>
              <w:rPr>
                <w:rFonts w:hint="eastAsia" w:cs="Times New Roman"/>
                <w:kern w:val="2"/>
                <w:lang w:val="zh-CN"/>
              </w:rPr>
              <w:t>地  址:</w:t>
            </w:r>
            <w:r>
              <w:rPr>
                <w:rFonts w:hint="eastAsia" w:cs="Times New Roman"/>
                <w:kern w:val="2"/>
              </w:rPr>
              <w:t xml:space="preserve"> </w:t>
            </w:r>
            <w:r>
              <w:rPr>
                <w:rFonts w:hint="eastAsia" w:cs="Times New Roman"/>
                <w:kern w:val="2"/>
                <w:lang w:eastAsia="zh-CN"/>
              </w:rPr>
              <w:t>西安市未央区凤城九路与明光路十字中登文景大厦B座701室</w:t>
            </w:r>
          </w:p>
          <w:p>
            <w:pPr>
              <w:pStyle w:val="304"/>
              <w:spacing w:line="360" w:lineRule="auto"/>
              <w:rPr>
                <w:rFonts w:hint="eastAsia" w:eastAsia="宋体" w:cs="Times New Roman"/>
                <w:kern w:val="2"/>
                <w:lang w:val="zh-CN" w:eastAsia="zh-CN"/>
              </w:rPr>
            </w:pPr>
            <w:r>
              <w:rPr>
                <w:rFonts w:hint="eastAsia" w:cs="Times New Roman"/>
                <w:kern w:val="2"/>
                <w:lang w:val="zh-CN"/>
              </w:rPr>
              <w:t>联系人:</w:t>
            </w:r>
            <w:r>
              <w:rPr>
                <w:rFonts w:hint="eastAsia" w:cs="Times New Roman"/>
                <w:kern w:val="2"/>
              </w:rPr>
              <w:t xml:space="preserve"> </w:t>
            </w:r>
            <w:r>
              <w:rPr>
                <w:rFonts w:hint="eastAsia"/>
                <w:lang w:eastAsia="zh-CN"/>
              </w:rPr>
              <w:t>陈工</w:t>
            </w:r>
          </w:p>
          <w:p>
            <w:pPr>
              <w:overflowPunct w:val="0"/>
              <w:topLinePunct/>
              <w:spacing w:line="400" w:lineRule="exact"/>
              <w:rPr>
                <w:rFonts w:hint="eastAsia" w:eastAsia="宋体"/>
                <w:sz w:val="24"/>
                <w:lang w:val="en-US" w:eastAsia="zh-CN"/>
              </w:rPr>
            </w:pPr>
            <w:r>
              <w:rPr>
                <w:rFonts w:hint="eastAsia" w:ascii="宋体" w:hAnsi="宋体"/>
                <w:sz w:val="24"/>
                <w:lang w:val="zh-CN"/>
              </w:rPr>
              <w:t>联系方式：</w:t>
            </w:r>
            <w:r>
              <w:rPr>
                <w:rFonts w:hint="eastAsia" w:ascii="宋体" w:hAnsi="宋体"/>
                <w:sz w:val="24"/>
                <w:lang w:eastAsia="zh-CN"/>
              </w:rPr>
              <w:t>18291007036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1"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项目名称</w:t>
            </w:r>
          </w:p>
        </w:tc>
        <w:tc>
          <w:tcPr>
            <w:tcW w:w="6243" w:type="dxa"/>
            <w:shd w:val="clear" w:color="auto" w:fill="auto"/>
            <w:tcMar>
              <w:left w:w="108" w:type="dxa"/>
              <w:right w:w="108" w:type="dxa"/>
            </w:tcMar>
            <w:vAlign w:val="center"/>
          </w:tcPr>
          <w:p>
            <w:pPr>
              <w:widowControl/>
              <w:spacing w:line="400" w:lineRule="exact"/>
              <w:jc w:val="left"/>
              <w:rPr>
                <w:rFonts w:hint="eastAsia" w:eastAsia="宋体"/>
                <w:sz w:val="24"/>
                <w:lang w:eastAsia="zh-CN"/>
              </w:rPr>
            </w:pPr>
            <w:r>
              <w:rPr>
                <w:rFonts w:hint="eastAsia"/>
                <w:sz w:val="24"/>
                <w:lang w:eastAsia="zh-CN"/>
              </w:rPr>
              <w:t>西安市高陵区创优质均衡发展（苏家小学户外改造提升项目）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4</w:t>
            </w:r>
          </w:p>
        </w:tc>
        <w:tc>
          <w:tcPr>
            <w:tcW w:w="2235" w:type="dxa"/>
            <w:shd w:val="clear" w:color="auto" w:fill="auto"/>
            <w:tcMar>
              <w:left w:w="108" w:type="dxa"/>
              <w:right w:w="108" w:type="dxa"/>
            </w:tcMar>
            <w:vAlign w:val="center"/>
          </w:tcPr>
          <w:p>
            <w:pPr>
              <w:widowControl/>
              <w:spacing w:line="360" w:lineRule="auto"/>
              <w:jc w:val="center"/>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资金来源</w:t>
            </w:r>
          </w:p>
        </w:tc>
        <w:tc>
          <w:tcPr>
            <w:tcW w:w="6243" w:type="dxa"/>
            <w:shd w:val="clear" w:color="auto" w:fill="auto"/>
            <w:tcMar>
              <w:left w:w="108" w:type="dxa"/>
              <w:right w:w="108" w:type="dxa"/>
            </w:tcMar>
            <w:vAlign w:val="center"/>
          </w:tcPr>
          <w:p>
            <w:pPr>
              <w:widowControl/>
              <w:spacing w:line="400" w:lineRule="exact"/>
              <w:rPr>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5</w:t>
            </w:r>
          </w:p>
        </w:tc>
        <w:tc>
          <w:tcPr>
            <w:tcW w:w="2235" w:type="dxa"/>
            <w:shd w:val="clear" w:color="auto" w:fill="auto"/>
            <w:tcMar>
              <w:left w:w="108" w:type="dxa"/>
              <w:right w:w="108" w:type="dxa"/>
            </w:tcMar>
            <w:vAlign w:val="center"/>
          </w:tcPr>
          <w:p>
            <w:pPr>
              <w:widowControl/>
              <w:spacing w:line="360" w:lineRule="auto"/>
              <w:jc w:val="center"/>
              <w:rPr>
                <w:kern w:val="0"/>
                <w:sz w:val="24"/>
              </w:rPr>
            </w:pPr>
            <w:r>
              <w:rPr>
                <w:color w:val="000000" w:themeColor="text1"/>
                <w:sz w:val="24"/>
                <w14:textFill>
                  <w14:solidFill>
                    <w14:schemeClr w14:val="tx1"/>
                  </w14:solidFill>
                </w14:textFill>
              </w:rPr>
              <w:t>项目概算</w:t>
            </w:r>
          </w:p>
        </w:tc>
        <w:tc>
          <w:tcPr>
            <w:tcW w:w="6243" w:type="dxa"/>
            <w:shd w:val="clear" w:color="auto" w:fill="auto"/>
            <w:tcMar>
              <w:left w:w="108" w:type="dxa"/>
              <w:right w:w="108" w:type="dxa"/>
            </w:tcMar>
            <w:vAlign w:val="center"/>
          </w:tcPr>
          <w:p>
            <w:pPr>
              <w:widowControl/>
              <w:jc w:val="left"/>
              <w:rPr>
                <w:rFonts w:eastAsiaTheme="minorEastAsia"/>
                <w:sz w:val="24"/>
              </w:rPr>
            </w:pPr>
            <w:r>
              <w:rPr>
                <w:rFonts w:hint="eastAsia" w:asciiTheme="minorEastAsia" w:hAnsiTheme="minorEastAsia" w:eastAsiaTheme="minorEastAsia"/>
                <w:color w:val="000000" w:themeColor="text1"/>
                <w:sz w:val="24"/>
                <w:lang w:eastAsia="zh-CN"/>
                <w14:textFill>
                  <w14:solidFill>
                    <w14:schemeClr w14:val="tx1"/>
                  </w14:solidFill>
                </w14:textFill>
              </w:rPr>
              <w:t>2600000.00</w:t>
            </w:r>
            <w:r>
              <w:rPr>
                <w:rFonts w:hint="eastAsia" w:asciiTheme="minorEastAsia" w:hAnsiTheme="minorEastAsia" w:eastAsiaTheme="minorEastAsia"/>
                <w:color w:val="000000" w:themeColor="text1"/>
                <w:sz w:val="24"/>
                <w14:textFill>
                  <w14:solidFill>
                    <w14:schemeClr w14:val="tx1"/>
                  </w14:solidFill>
                </w14:textFill>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6</w:t>
            </w:r>
          </w:p>
        </w:tc>
        <w:tc>
          <w:tcPr>
            <w:tcW w:w="2235" w:type="dxa"/>
            <w:shd w:val="clear" w:color="auto" w:fill="auto"/>
            <w:tcMar>
              <w:left w:w="108" w:type="dxa"/>
              <w:right w:w="108" w:type="dxa"/>
            </w:tcMar>
            <w:vAlign w:val="center"/>
          </w:tcPr>
          <w:p>
            <w:pPr>
              <w:widowControl/>
              <w:spacing w:line="360" w:lineRule="auto"/>
              <w:jc w:val="center"/>
              <w:rPr>
                <w:sz w:val="24"/>
              </w:rPr>
            </w:pPr>
            <w:r>
              <w:rPr>
                <w:sz w:val="24"/>
              </w:rPr>
              <w:t>采购方式</w:t>
            </w:r>
          </w:p>
        </w:tc>
        <w:tc>
          <w:tcPr>
            <w:tcW w:w="6243" w:type="dxa"/>
            <w:shd w:val="clear" w:color="auto" w:fill="auto"/>
            <w:tcMar>
              <w:left w:w="108" w:type="dxa"/>
              <w:right w:w="108" w:type="dxa"/>
            </w:tcMar>
            <w:vAlign w:val="center"/>
          </w:tcPr>
          <w:p>
            <w:pPr>
              <w:widowControl/>
              <w:spacing w:line="400" w:lineRule="exact"/>
              <w:rPr>
                <w:rFonts w:ascii="宋体" w:hAnsi="宋体" w:cs="宋体"/>
                <w:sz w:val="24"/>
              </w:rPr>
            </w:pPr>
            <w:r>
              <w:rPr>
                <w:rFonts w:hint="eastAsia" w:ascii="宋体" w:hAnsi="宋体" w:cs="宋体"/>
                <w:sz w:val="24"/>
              </w:rPr>
              <w:t>竞争性磋商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7</w:t>
            </w:r>
          </w:p>
        </w:tc>
        <w:tc>
          <w:tcPr>
            <w:tcW w:w="2235" w:type="dxa"/>
            <w:shd w:val="clear" w:color="auto" w:fill="auto"/>
            <w:tcMar>
              <w:left w:w="108" w:type="dxa"/>
              <w:right w:w="108" w:type="dxa"/>
            </w:tcMar>
            <w:vAlign w:val="center"/>
          </w:tcPr>
          <w:p>
            <w:pPr>
              <w:widowControl/>
              <w:spacing w:line="360" w:lineRule="auto"/>
              <w:jc w:val="center"/>
              <w:rPr>
                <w:bCs/>
                <w:sz w:val="24"/>
                <w:highlight w:val="none"/>
              </w:rPr>
            </w:pPr>
            <w:r>
              <w:rPr>
                <w:bCs/>
                <w:sz w:val="24"/>
                <w:highlight w:val="none"/>
              </w:rPr>
              <w:t>采购内容</w:t>
            </w:r>
          </w:p>
        </w:tc>
        <w:tc>
          <w:tcPr>
            <w:tcW w:w="6243" w:type="dxa"/>
            <w:shd w:val="clear" w:color="auto" w:fill="auto"/>
            <w:tcMar>
              <w:left w:w="108" w:type="dxa"/>
              <w:right w:w="108" w:type="dxa"/>
            </w:tcMar>
            <w:vAlign w:val="center"/>
          </w:tcPr>
          <w:p>
            <w:pPr>
              <w:widowControl/>
              <w:spacing w:line="360" w:lineRule="auto"/>
              <w:jc w:val="left"/>
              <w:rPr>
                <w:sz w:val="24"/>
                <w:highlight w:val="none"/>
              </w:rPr>
            </w:pPr>
            <w:r>
              <w:rPr>
                <w:rFonts w:hint="eastAsia"/>
                <w:i w:val="0"/>
                <w:iCs w:val="0"/>
                <w:sz w:val="24"/>
                <w:highlight w:val="none"/>
                <w:lang w:eastAsia="zh-CN"/>
              </w:rPr>
              <w:t>西安市高陵区创优质均衡发展（苏家小学户外改造提升项目）</w:t>
            </w:r>
            <w:r>
              <w:rPr>
                <w:rFonts w:hint="eastAsia"/>
                <w:i w:val="0"/>
                <w:iCs w:val="0"/>
                <w:sz w:val="24"/>
                <w:highlight w:val="none"/>
              </w:rPr>
              <w:t>，</w:t>
            </w:r>
            <w:r>
              <w:rPr>
                <w:rFonts w:hint="eastAsia"/>
                <w:i w:val="0"/>
                <w:iCs w:val="0"/>
                <w:sz w:val="24"/>
                <w:highlight w:val="none"/>
                <w:lang w:eastAsia="zh-CN"/>
              </w:rPr>
              <w:t>包括室外消防水池及楼梯间、室外围墙、管网及检查井工程，</w:t>
            </w:r>
            <w:r>
              <w:rPr>
                <w:rFonts w:hint="eastAsia"/>
                <w:i w:val="0"/>
                <w:iCs w:val="0"/>
                <w:sz w:val="24"/>
                <w:highlight w:val="none"/>
              </w:rPr>
              <w:t>具体详见工程量清单。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磋商有效期</w:t>
            </w:r>
          </w:p>
        </w:tc>
        <w:tc>
          <w:tcPr>
            <w:tcW w:w="6243" w:type="dxa"/>
            <w:shd w:val="clear" w:color="auto" w:fill="auto"/>
            <w:tcMar>
              <w:left w:w="108" w:type="dxa"/>
              <w:right w:w="108" w:type="dxa"/>
            </w:tcMar>
            <w:vAlign w:val="center"/>
          </w:tcPr>
          <w:p>
            <w:pPr>
              <w:widowControl/>
              <w:spacing w:line="400" w:lineRule="exact"/>
              <w:jc w:val="left"/>
              <w:rPr>
                <w:rFonts w:ascii="宋体" w:hAnsi="宋体" w:cs="宋体"/>
                <w:kern w:val="0"/>
                <w:sz w:val="24"/>
              </w:rPr>
            </w:pPr>
            <w:r>
              <w:rPr>
                <w:rFonts w:hint="eastAsia" w:ascii="宋体" w:hAnsi="宋体" w:cs="宋体"/>
                <w:kern w:val="0"/>
                <w:sz w:val="24"/>
              </w:rPr>
              <w:t>自磋商响应文件递交之日起</w:t>
            </w:r>
            <w:r>
              <w:rPr>
                <w:rFonts w:hint="eastAsia" w:ascii="宋体" w:hAnsi="宋体" w:cs="宋体"/>
                <w:kern w:val="0"/>
                <w:sz w:val="24"/>
                <w:u w:val="single"/>
              </w:rPr>
              <w:t>90</w:t>
            </w:r>
            <w:r>
              <w:rPr>
                <w:rFonts w:hint="eastAsia" w:ascii="宋体" w:hAnsi="宋体" w:cs="宋体"/>
                <w:kern w:val="0"/>
                <w:sz w:val="24"/>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9</w:t>
            </w:r>
          </w:p>
        </w:tc>
        <w:tc>
          <w:tcPr>
            <w:tcW w:w="2235" w:type="dxa"/>
            <w:shd w:val="clear" w:color="auto" w:fill="auto"/>
            <w:tcMar>
              <w:left w:w="108" w:type="dxa"/>
              <w:right w:w="108" w:type="dxa"/>
            </w:tcMar>
            <w:vAlign w:val="center"/>
          </w:tcPr>
          <w:p>
            <w:pPr>
              <w:adjustRightInd w:val="0"/>
              <w:snapToGrid w:val="0"/>
              <w:spacing w:line="400" w:lineRule="exact"/>
              <w:jc w:val="cente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工期</w:t>
            </w:r>
          </w:p>
        </w:tc>
        <w:tc>
          <w:tcPr>
            <w:tcW w:w="6243" w:type="dxa"/>
            <w:shd w:val="clear" w:color="auto" w:fill="auto"/>
            <w:tcMar>
              <w:left w:w="108" w:type="dxa"/>
              <w:right w:w="108" w:type="dxa"/>
            </w:tcMar>
            <w:vAlign w:val="center"/>
          </w:tcPr>
          <w:p>
            <w:pPr>
              <w:adjustRightInd w:val="0"/>
              <w:snapToGrid w:val="0"/>
              <w:spacing w:line="400" w:lineRule="exact"/>
              <w:rPr>
                <w:rFonts w:ascii="宋体" w:hAnsi="宋体" w:cs="宋体"/>
                <w:sz w:val="24"/>
                <w:highlight w:val="none"/>
              </w:rPr>
            </w:pPr>
            <w:r>
              <w:rPr>
                <w:rFonts w:hint="eastAsia" w:ascii="宋体" w:hAnsi="宋体" w:cs="宋体"/>
                <w:sz w:val="24"/>
                <w:highlight w:val="none"/>
                <w:lang w:val="en-US" w:eastAsia="zh-CN"/>
              </w:rPr>
              <w:t>70</w:t>
            </w:r>
            <w:r>
              <w:rPr>
                <w:rFonts w:hint="eastAsia" w:ascii="宋体" w:hAnsi="宋体" w:cs="宋体"/>
                <w:sz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10</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质量</w:t>
            </w:r>
            <w:r>
              <w:rPr>
                <w:rFonts w:hint="eastAsia"/>
                <w:kern w:val="0"/>
                <w:sz w:val="24"/>
              </w:rPr>
              <w:t>标准</w:t>
            </w:r>
          </w:p>
        </w:tc>
        <w:tc>
          <w:tcPr>
            <w:tcW w:w="6243" w:type="dxa"/>
            <w:shd w:val="clear" w:color="auto" w:fill="auto"/>
            <w:tcMar>
              <w:left w:w="108" w:type="dxa"/>
              <w:right w:w="108" w:type="dxa"/>
            </w:tcMar>
            <w:vAlign w:val="center"/>
          </w:tcPr>
          <w:p>
            <w:pPr>
              <w:adjustRightInd w:val="0"/>
              <w:snapToGrid w:val="0"/>
              <w:spacing w:line="400" w:lineRule="exact"/>
              <w:rPr>
                <w:szCs w:val="21"/>
              </w:rPr>
            </w:pPr>
            <w:r>
              <w:rPr>
                <w:kern w:val="0"/>
                <w:sz w:val="24"/>
              </w:rPr>
              <w:t>达到国家相关质量合格标准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1"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asciiTheme="minorEastAsia" w:hAnsiTheme="minorEastAsia" w:eastAsiaTheme="minorEastAsia" w:cstheme="minorEastAsia"/>
                <w:sz w:val="24"/>
              </w:rPr>
              <w:t>磋商响应单位资格条件、能力</w:t>
            </w:r>
          </w:p>
        </w:tc>
        <w:tc>
          <w:tcPr>
            <w:tcW w:w="6243" w:type="dxa"/>
            <w:shd w:val="clear" w:color="auto" w:fill="auto"/>
            <w:tcMar>
              <w:left w:w="108" w:type="dxa"/>
              <w:right w:w="108" w:type="dxa"/>
            </w:tcMar>
            <w:vAlign w:val="center"/>
          </w:tcPr>
          <w:p>
            <w:pPr>
              <w:adjustRightInd w:val="0"/>
              <w:snapToGrid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磋商响应单位除应具备《中华人民共和国政府采购法》第二十二条规定的条件外还需：</w:t>
            </w:r>
          </w:p>
          <w:p>
            <w:pPr>
              <w:numPr>
                <w:ilvl w:val="0"/>
                <w:numId w:val="4"/>
              </w:numPr>
              <w:overflowPunct w:val="0"/>
              <w:topLinePunct/>
              <w:spacing w:line="360" w:lineRule="auto"/>
              <w:rPr>
                <w:rFonts w:hint="eastAsia" w:ascii="宋体" w:hAnsi="宋体" w:cs="宋体"/>
                <w:sz w:val="24"/>
              </w:rPr>
            </w:pPr>
            <w:r>
              <w:rPr>
                <w:rFonts w:hint="eastAsia" w:ascii="宋体" w:hAnsi="宋体" w:cs="宋体"/>
                <w:sz w:val="24"/>
              </w:rPr>
              <w:t>具有合格有效的企业法人营业执照、税务登记证、组织机构代码证（或三证合一营业执照）；</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lang w:eastAsia="zh-CN"/>
              </w:rPr>
              <w:t>具备建设部门颁发的建筑工程施工总承包三级（含）以上资质，具有有效的安全生产许可证</w:t>
            </w:r>
            <w:r>
              <w:rPr>
                <w:rFonts w:hint="eastAsia" w:ascii="宋体" w:hAnsi="宋体" w:cs="宋体"/>
                <w:sz w:val="24"/>
              </w:rPr>
              <w:t>；</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财务状况报告：</w:t>
            </w: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参加政府采购活动前三年内，在经营活动中没有重大违法记录的书面声明；</w:t>
            </w:r>
          </w:p>
          <w:p>
            <w:pPr>
              <w:numPr>
                <w:ilvl w:val="0"/>
                <w:numId w:val="4"/>
              </w:numPr>
              <w:overflowPunct w:val="0"/>
              <w:topLinePunct/>
              <w:spacing w:line="360" w:lineRule="auto"/>
              <w:ind w:left="0" w:leftChars="0" w:firstLine="0" w:firstLineChars="0"/>
              <w:rPr>
                <w:rFonts w:hint="eastAsia" w:ascii="宋体" w:hAnsi="宋体" w:cs="宋体"/>
                <w:sz w:val="24"/>
              </w:rPr>
            </w:pP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kern w:val="0"/>
                <w:sz w:val="24"/>
                <w:highlight w:val="red"/>
              </w:rPr>
            </w:pPr>
            <w:r>
              <w:rPr>
                <w:sz w:val="24"/>
              </w:rPr>
              <w:t>磋商答疑会</w:t>
            </w:r>
          </w:p>
        </w:tc>
        <w:tc>
          <w:tcPr>
            <w:tcW w:w="6243" w:type="dxa"/>
            <w:shd w:val="clear" w:color="auto" w:fill="auto"/>
            <w:tcMar>
              <w:left w:w="108" w:type="dxa"/>
              <w:right w:w="108" w:type="dxa"/>
            </w:tcMar>
            <w:vAlign w:val="center"/>
          </w:tcPr>
          <w:p>
            <w:pPr>
              <w:widowControl/>
              <w:spacing w:line="400" w:lineRule="exact"/>
              <w:rPr>
                <w:rFonts w:ascii="宋体" w:hAnsi="宋体" w:cs="宋体"/>
                <w:kern w:val="0"/>
                <w:sz w:val="24"/>
                <w:highlight w:val="red"/>
              </w:rPr>
            </w:pPr>
            <w:r>
              <w:rPr>
                <w:rFonts w:hint="eastAsia" w:ascii="宋体" w:hAnsi="宋体" w:cs="宋体"/>
                <w:sz w:val="24"/>
              </w:rPr>
              <w:t>不召开，相关事宜以书面提问和答复方式进行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 w:hRule="atLeast"/>
          <w:jc w:val="center"/>
        </w:trPr>
        <w:tc>
          <w:tcPr>
            <w:tcW w:w="564" w:type="dxa"/>
            <w:shd w:val="clear" w:color="auto" w:fill="auto"/>
            <w:tcMar>
              <w:left w:w="108" w:type="dxa"/>
              <w:right w:w="108" w:type="dxa"/>
            </w:tcMar>
            <w:vAlign w:val="center"/>
          </w:tcPr>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13</w:t>
            </w:r>
          </w:p>
        </w:tc>
        <w:tc>
          <w:tcPr>
            <w:tcW w:w="2235" w:type="dxa"/>
            <w:shd w:val="clear" w:color="auto" w:fill="auto"/>
            <w:tcMar>
              <w:left w:w="108" w:type="dxa"/>
              <w:right w:w="108" w:type="dxa"/>
            </w:tcMar>
            <w:vAlign w:val="center"/>
          </w:tcPr>
          <w:p>
            <w:pPr>
              <w:adjustRightInd w:val="0"/>
              <w:snapToGrid w:val="0"/>
              <w:spacing w:line="360" w:lineRule="auto"/>
              <w:jc w:val="both"/>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eastAsia="zh-CN"/>
              </w:rPr>
              <w:t>响应</w:t>
            </w:r>
            <w:r>
              <w:rPr>
                <w:rFonts w:hint="eastAsia" w:asciiTheme="minorEastAsia" w:hAnsiTheme="minorEastAsia" w:eastAsiaTheme="minorEastAsia" w:cstheme="minorEastAsia"/>
                <w:bCs/>
                <w:sz w:val="24"/>
                <w:highlight w:val="none"/>
              </w:rPr>
              <w:t>文件份数</w:t>
            </w:r>
          </w:p>
          <w:p>
            <w:pPr>
              <w:adjustRightInd w:val="0"/>
              <w:snapToGrid w:val="0"/>
              <w:spacing w:line="360" w:lineRule="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lang w:val="en-US" w:eastAsia="zh-CN"/>
              </w:rPr>
              <w:t>响应文件的装订、密封和标记</w:t>
            </w:r>
          </w:p>
        </w:tc>
        <w:tc>
          <w:tcPr>
            <w:tcW w:w="6243" w:type="dxa"/>
            <w:shd w:val="clear" w:color="auto" w:fill="auto"/>
            <w:tcMar>
              <w:left w:w="108" w:type="dxa"/>
              <w:right w:w="108" w:type="dxa"/>
            </w:tcMar>
            <w:vAlign w:val="center"/>
          </w:tcPr>
          <w:p>
            <w:pPr>
              <w:widowControl/>
              <w:spacing w:line="360" w:lineRule="auto"/>
              <w:jc w:val="both"/>
              <w:rPr>
                <w:rFonts w:hint="eastAsia"/>
                <w:sz w:val="24"/>
              </w:rPr>
            </w:pPr>
            <w:r>
              <w:rPr>
                <w:rFonts w:hint="eastAsia"/>
                <w:sz w:val="24"/>
              </w:rPr>
              <w:t>正本 1 份、副本 2 份、电子文件（Ｕ盘） 1 份</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1 响应文件正、副本分别装订成册，胶装（不允许用可换页的活页夹装订），装订应牢固，内容较多时可分册装订但应注明册序号。</w:t>
            </w:r>
          </w:p>
          <w:p>
            <w:pPr>
              <w:adjustRightInd w:val="0"/>
              <w:snapToGrid w:val="0"/>
              <w:spacing w:line="360" w:lineRule="auto"/>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pPr>
            <w:r>
              <w:rPr>
                <w:rFonts w:hint="eastAsia" w:asciiTheme="minorEastAsia" w:hAnsiTheme="minorEastAsia" w:eastAsiaTheme="minorEastAsia" w:cstheme="minorEastAsia"/>
                <w:bCs/>
                <w:sz w:val="24"/>
                <w:highlight w:val="none"/>
              </w:rPr>
              <w:t>3 电子版文件载体上应标明磋商响应单位名称。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1</w:t>
            </w:r>
            <w:r>
              <w:rPr>
                <w:rFonts w:hint="eastAsia"/>
                <w:kern w:val="0"/>
                <w:sz w:val="24"/>
              </w:rPr>
              <w:t>4</w:t>
            </w:r>
          </w:p>
        </w:tc>
        <w:tc>
          <w:tcPr>
            <w:tcW w:w="2235" w:type="dxa"/>
            <w:shd w:val="clear" w:color="auto" w:fill="auto"/>
            <w:tcMar>
              <w:left w:w="108" w:type="dxa"/>
              <w:right w:w="108" w:type="dxa"/>
            </w:tcMar>
            <w:vAlign w:val="center"/>
          </w:tcPr>
          <w:p>
            <w:pPr>
              <w:overflowPunct w:val="0"/>
              <w:topLinePunct/>
              <w:spacing w:line="400" w:lineRule="exact"/>
              <w:jc w:val="center"/>
              <w:rPr>
                <w:sz w:val="24"/>
              </w:rPr>
            </w:pPr>
            <w:r>
              <w:rPr>
                <w:rStyle w:val="306"/>
                <w:rFonts w:ascii="宋体" w:hAnsi="宋体" w:eastAsia="宋体"/>
                <w:b w:val="0"/>
                <w:i w:val="0"/>
                <w:caps w:val="0"/>
                <w:spacing w:val="0"/>
                <w:w w:val="100"/>
                <w:kern w:val="2"/>
                <w:sz w:val="24"/>
                <w:szCs w:val="24"/>
                <w:highlight w:val="none"/>
                <w:lang w:val="en-US" w:eastAsia="zh-CN" w:bidi="ar-SA"/>
              </w:rPr>
              <w:t>封套</w:t>
            </w:r>
            <w:r>
              <w:rPr>
                <w:rStyle w:val="306"/>
                <w:rFonts w:hint="eastAsia" w:ascii="宋体" w:hAnsi="宋体"/>
                <w:b w:val="0"/>
                <w:i w:val="0"/>
                <w:caps w:val="0"/>
                <w:spacing w:val="0"/>
                <w:w w:val="100"/>
                <w:kern w:val="2"/>
                <w:sz w:val="24"/>
                <w:szCs w:val="24"/>
                <w:highlight w:val="none"/>
                <w:lang w:val="en-US" w:eastAsia="zh-CN" w:bidi="ar-SA"/>
              </w:rPr>
              <w:t>要求</w:t>
            </w:r>
          </w:p>
        </w:tc>
        <w:tc>
          <w:tcPr>
            <w:tcW w:w="6243"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Style w:val="306"/>
                <w:rFonts w:ascii="宋体" w:hAnsi="宋体" w:eastAsia="宋体"/>
                <w:b w:val="0"/>
                <w:i w:val="0"/>
                <w:caps w:val="0"/>
                <w:spacing w:val="0"/>
                <w:w w:val="100"/>
                <w:kern w:val="0"/>
                <w:sz w:val="24"/>
                <w:szCs w:val="24"/>
                <w:highlight w:val="none"/>
                <w:lang w:val="en-US" w:eastAsia="zh-CN" w:bidi="ar-SA"/>
              </w:rPr>
            </w:pP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2"/>
                <w:sz w:val="24"/>
                <w:szCs w:val="24"/>
                <w:highlight w:val="none"/>
                <w:lang w:val="en-US" w:eastAsia="zh-CN" w:bidi="ar-SA"/>
              </w:rPr>
              <w:t>写明</w:t>
            </w:r>
            <w:r>
              <w:rPr>
                <w:rStyle w:val="306"/>
                <w:rFonts w:hint="eastAsia" w:ascii="宋体" w:hAnsi="宋体"/>
                <w:b w:val="0"/>
                <w:i w:val="0"/>
                <w:caps w:val="0"/>
                <w:spacing w:val="0"/>
                <w:w w:val="100"/>
                <w:kern w:val="2"/>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项目名称</w:t>
            </w:r>
            <w:r>
              <w:rPr>
                <w:rStyle w:val="306"/>
                <w:rFonts w:hint="eastAsia" w:ascii="宋体" w:hAnsi="宋体"/>
                <w:b w:val="0"/>
                <w:i w:val="0"/>
                <w:caps w:val="0"/>
                <w:spacing w:val="0"/>
                <w:w w:val="100"/>
                <w:kern w:val="0"/>
                <w:sz w:val="24"/>
                <w:szCs w:val="24"/>
                <w:highlight w:val="none"/>
                <w:lang w:val="en-US" w:eastAsia="zh-CN" w:bidi="ar-SA"/>
              </w:rPr>
              <w:t>：</w:t>
            </w:r>
            <w:r>
              <w:rPr>
                <w:rStyle w:val="306"/>
                <w:rFonts w:ascii="宋体" w:hAnsi="宋体" w:eastAsia="宋体"/>
                <w:b w:val="0"/>
                <w:i w:val="0"/>
                <w:caps w:val="0"/>
                <w:spacing w:val="0"/>
                <w:w w:val="100"/>
                <w:kern w:val="0"/>
                <w:sz w:val="24"/>
                <w:szCs w:val="24"/>
                <w:highlight w:val="none"/>
                <w:lang w:val="en-US" w:eastAsia="zh-CN" w:bidi="ar-SA"/>
              </w:rPr>
              <w:t>项目编号：</w:t>
            </w:r>
            <w:r>
              <w:rPr>
                <w:rStyle w:val="306"/>
                <w:rFonts w:hint="eastAsia" w:ascii="宋体" w:hAnsi="宋体" w:eastAsia="宋体"/>
                <w:b w:val="0"/>
                <w:i w:val="0"/>
                <w:caps w:val="0"/>
                <w:spacing w:val="0"/>
                <w:w w:val="100"/>
                <w:kern w:val="0"/>
                <w:sz w:val="24"/>
                <w:szCs w:val="24"/>
                <w:highlight w:val="none"/>
                <w:lang w:val="en-US" w:eastAsia="zh-CN" w:bidi="ar-SA"/>
              </w:rPr>
              <w:t>磋商响应单位</w:t>
            </w:r>
            <w:r>
              <w:rPr>
                <w:rStyle w:val="306"/>
                <w:rFonts w:ascii="宋体" w:hAnsi="宋体" w:eastAsia="宋体"/>
                <w:b w:val="0"/>
                <w:i w:val="0"/>
                <w:caps w:val="0"/>
                <w:spacing w:val="0"/>
                <w:w w:val="100"/>
                <w:kern w:val="0"/>
                <w:sz w:val="24"/>
                <w:szCs w:val="24"/>
                <w:highlight w:val="none"/>
                <w:lang w:val="en-US" w:eastAsia="zh-CN" w:bidi="ar-SA"/>
              </w:rPr>
              <w:t>名称：</w:t>
            </w:r>
          </w:p>
          <w:p>
            <w:pPr>
              <w:overflowPunct w:val="0"/>
              <w:topLinePunct/>
              <w:spacing w:line="400" w:lineRule="exact"/>
              <w:rPr>
                <w:rFonts w:ascii="宋体" w:hAnsi="宋体" w:cs="宋体"/>
                <w:kern w:val="0"/>
                <w:sz w:val="24"/>
              </w:rPr>
            </w:pPr>
            <w:r>
              <w:rPr>
                <w:rStyle w:val="306"/>
                <w:rFonts w:hint="eastAsia" w:ascii="宋体" w:hAnsi="宋体" w:eastAsia="宋体"/>
                <w:b w:val="0"/>
                <w:i w:val="0"/>
                <w:caps w:val="0"/>
                <w:spacing w:val="0"/>
                <w:w w:val="100"/>
                <w:kern w:val="0"/>
                <w:sz w:val="24"/>
                <w:szCs w:val="24"/>
                <w:highlight w:val="none"/>
                <w:lang w:val="en-US" w:eastAsia="zh-CN" w:bidi="ar-SA"/>
              </w:rPr>
              <w:t>磋商响应单位地址：</w:t>
            </w:r>
            <w:r>
              <w:rPr>
                <w:rStyle w:val="306"/>
                <w:rFonts w:ascii="宋体" w:hAnsi="宋体" w:eastAsia="宋体"/>
                <w:b w:val="0"/>
                <w:i w:val="0"/>
                <w:caps w:val="0"/>
                <w:spacing w:val="0"/>
                <w:w w:val="100"/>
                <w:kern w:val="0"/>
                <w:sz w:val="24"/>
                <w:szCs w:val="24"/>
                <w:highlight w:val="none"/>
                <w:lang w:val="en-US" w:eastAsia="zh-CN" w:bidi="ar-SA"/>
              </w:rPr>
              <w:t>磋商响应文件在</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eastAsia="宋体"/>
                <w:b w:val="0"/>
                <w:i w:val="0"/>
                <w:caps w:val="0"/>
                <w:spacing w:val="0"/>
                <w:w w:val="100"/>
                <w:kern w:val="0"/>
                <w:sz w:val="24"/>
                <w:szCs w:val="24"/>
                <w:highlight w:val="none"/>
                <w:u w:val="single"/>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年</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月</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日</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时</w:t>
            </w:r>
            <w:r>
              <w:rPr>
                <w:rStyle w:val="306"/>
                <w:rFonts w:ascii="宋体" w:hAnsi="宋体" w:eastAsia="宋体"/>
                <w:b w:val="0"/>
                <w:i w:val="0"/>
                <w:caps w:val="0"/>
                <w:spacing w:val="0"/>
                <w:w w:val="100"/>
                <w:kern w:val="0"/>
                <w:sz w:val="24"/>
                <w:szCs w:val="24"/>
                <w:highlight w:val="none"/>
                <w:u w:val="single" w:color="000000"/>
                <w:lang w:val="en-US" w:eastAsia="zh-CN" w:bidi="ar-SA"/>
              </w:rPr>
              <w:t xml:space="preserve">  </w:t>
            </w:r>
            <w:r>
              <w:rPr>
                <w:rStyle w:val="306"/>
                <w:rFonts w:ascii="宋体" w:hAnsi="宋体" w:eastAsia="宋体"/>
                <w:b w:val="0"/>
                <w:i w:val="0"/>
                <w:caps w:val="0"/>
                <w:spacing w:val="0"/>
                <w:w w:val="100"/>
                <w:kern w:val="0"/>
                <w:sz w:val="24"/>
                <w:szCs w:val="24"/>
                <w:highlight w:val="none"/>
                <w:lang w:val="en-US" w:eastAsia="zh-CN" w:bidi="ar-SA"/>
              </w:rPr>
              <w:t>分前不得开启</w:t>
            </w:r>
            <w:r>
              <w:rPr>
                <w:rStyle w:val="306"/>
                <w:rFonts w:hint="eastAsia" w:ascii="宋体" w:hAnsi="宋体" w:eastAsia="宋体"/>
                <w:b w:val="0"/>
                <w:i w:val="0"/>
                <w:caps w:val="0"/>
                <w:spacing w:val="0"/>
                <w:w w:val="100"/>
                <w:kern w:val="0"/>
                <w:sz w:val="24"/>
                <w:szCs w:val="24"/>
                <w:highlight w:val="none"/>
                <w:lang w:val="en-US" w:eastAsia="zh-CN" w:bidi="ar-SA"/>
              </w:rPr>
              <w:t>）</w:t>
            </w:r>
            <w:r>
              <w:rPr>
                <w:rStyle w:val="306"/>
                <w:rFonts w:hint="eastAsia" w:ascii="宋体" w:hAnsi="宋体"/>
                <w:b w:val="0"/>
                <w:i w:val="0"/>
                <w:caps w:val="0"/>
                <w:spacing w:val="0"/>
                <w:w w:val="100"/>
                <w:kern w:val="0"/>
                <w:sz w:val="24"/>
                <w:szCs w:val="24"/>
                <w:highlight w:val="none"/>
                <w:lang w:val="en-US" w:eastAsia="zh-CN" w:bidi="ar-SA"/>
              </w:rPr>
              <w:t>等</w:t>
            </w:r>
            <w:r>
              <w:rPr>
                <w:rStyle w:val="306"/>
                <w:rFonts w:ascii="宋体" w:hAnsi="宋体" w:eastAsia="宋体"/>
                <w:b w:val="0"/>
                <w:i w:val="0"/>
                <w:caps w:val="0"/>
                <w:spacing w:val="0"/>
                <w:w w:val="100"/>
                <w:kern w:val="0"/>
                <w:sz w:val="24"/>
                <w:szCs w:val="24"/>
                <w:highlight w:val="none"/>
                <w:lang w:val="en-US" w:eastAsia="zh-CN" w:bidi="ar-SA"/>
              </w:rPr>
              <w:t>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15</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sz w:val="24"/>
              </w:rPr>
            </w:pPr>
            <w:r>
              <w:rPr>
                <w:rFonts w:hint="eastAsia" w:asciiTheme="minorEastAsia" w:hAnsiTheme="minorEastAsia" w:cstheme="minorEastAsia"/>
                <w:sz w:val="24"/>
              </w:rPr>
              <w:t>首次响应文件</w:t>
            </w:r>
          </w:p>
          <w:p>
            <w:pPr>
              <w:snapToGrid w:val="0"/>
              <w:spacing w:before="0" w:beforeAutospacing="0" w:after="0" w:afterAutospacing="0" w:line="360" w:lineRule="auto"/>
              <w:jc w:val="center"/>
              <w:textAlignment w:val="baseline"/>
              <w:rPr>
                <w:rFonts w:hint="eastAsia" w:asciiTheme="minorEastAsia" w:hAnsiTheme="minorEastAsia" w:cstheme="minorEastAsia"/>
                <w:sz w:val="24"/>
              </w:rPr>
            </w:pPr>
            <w:r>
              <w:rPr>
                <w:rFonts w:hint="eastAsia" w:asciiTheme="minorEastAsia" w:hAnsiTheme="minorEastAsia" w:cstheme="minorEastAsia"/>
                <w:sz w:val="24"/>
              </w:rPr>
              <w:t>递交地点</w:t>
            </w:r>
          </w:p>
        </w:tc>
        <w:tc>
          <w:tcPr>
            <w:tcW w:w="6243" w:type="dxa"/>
            <w:shd w:val="clear" w:color="auto" w:fill="auto"/>
            <w:tcMar>
              <w:left w:w="108" w:type="dxa"/>
              <w:right w:w="108" w:type="dxa"/>
            </w:tcMar>
            <w:vAlign w:val="center"/>
          </w:tcPr>
          <w:p>
            <w:pPr>
              <w:pStyle w:val="307"/>
              <w:widowControl/>
              <w:snapToGrid w:val="0"/>
              <w:spacing w:before="0" w:beforeAutospacing="0" w:after="0" w:afterAutospacing="0" w:line="360" w:lineRule="auto"/>
              <w:jc w:val="both"/>
              <w:textAlignment w:val="baseline"/>
              <w:rPr>
                <w:rFonts w:hint="eastAsia" w:ascii="宋体" w:hAnsi="宋体" w:cs="宋体"/>
                <w:sz w:val="24"/>
              </w:rPr>
            </w:pPr>
            <w:r>
              <w:rPr>
                <w:rFonts w:hint="eastAsia" w:ascii="宋体" w:hAnsi="宋体" w:cs="宋体"/>
                <w:sz w:val="24"/>
                <w:lang w:eastAsia="zh-CN"/>
              </w:rPr>
              <w:t>远创项目管理有限公司</w:t>
            </w:r>
            <w:r>
              <w:rPr>
                <w:rFonts w:hint="eastAsia" w:ascii="宋体" w:hAnsi="宋体" w:cs="宋体"/>
                <w:sz w:val="24"/>
              </w:rPr>
              <w:t>会议室（</w:t>
            </w:r>
            <w:r>
              <w:rPr>
                <w:rFonts w:hint="eastAsia" w:ascii="宋体" w:hAnsi="宋体" w:cs="宋体"/>
                <w:sz w:val="24"/>
                <w:lang w:eastAsia="zh-CN"/>
              </w:rPr>
              <w:t>西安市未央区凤城九路与明光路十字中登文景大厦B座701室</w:t>
            </w:r>
            <w:r>
              <w:rPr>
                <w:rFonts w:hint="eastAsia" w:ascii="宋体" w:hAnsi="宋体" w:cs="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4"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6</w:t>
            </w:r>
          </w:p>
        </w:tc>
        <w:tc>
          <w:tcPr>
            <w:tcW w:w="2235" w:type="dxa"/>
            <w:shd w:val="clear" w:color="auto" w:fill="auto"/>
            <w:tcMar>
              <w:left w:w="108" w:type="dxa"/>
              <w:right w:w="108" w:type="dxa"/>
            </w:tcMar>
            <w:vAlign w:val="center"/>
          </w:tcPr>
          <w:p>
            <w:pPr>
              <w:overflowPunct w:val="0"/>
              <w:topLinePunct/>
              <w:spacing w:line="400" w:lineRule="exact"/>
              <w:jc w:val="center"/>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首次响应文件</w:t>
            </w:r>
          </w:p>
          <w:p>
            <w:pPr>
              <w:overflowPunct w:val="0"/>
              <w:topLinePunct/>
              <w:spacing w:line="400" w:lineRule="exact"/>
              <w:jc w:val="center"/>
              <w:rPr>
                <w:color w:val="000000" w:themeColor="text1"/>
                <w:kern w:val="0"/>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递交截止时间</w:t>
            </w:r>
          </w:p>
        </w:tc>
        <w:tc>
          <w:tcPr>
            <w:tcW w:w="6243" w:type="dxa"/>
            <w:shd w:val="clear" w:color="auto" w:fill="auto"/>
            <w:tcMar>
              <w:left w:w="108" w:type="dxa"/>
              <w:right w:w="108" w:type="dxa"/>
            </w:tcMar>
            <w:vAlign w:val="center"/>
          </w:tcPr>
          <w:p>
            <w:pPr>
              <w:adjustRightInd w:val="0"/>
              <w:snapToGrid w:val="0"/>
              <w:spacing w:line="360" w:lineRule="auto"/>
              <w:rPr>
                <w:rFonts w:ascii="宋体" w:hAnsi="宋体" w:cs="宋体"/>
                <w:kern w:val="0"/>
                <w:sz w:val="24"/>
              </w:rPr>
            </w:pP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20</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时</w:t>
            </w:r>
            <w:r>
              <w:rPr>
                <w:rFonts w:hint="eastAsia" w:ascii="宋体" w:hAnsi="宋体" w:cs="宋体"/>
                <w:kern w:val="0"/>
                <w:sz w:val="24"/>
                <w:highlight w:val="none"/>
                <w:lang w:val="en-US" w:eastAsia="zh-CN"/>
              </w:rPr>
              <w:t>0</w:t>
            </w:r>
            <w:r>
              <w:rPr>
                <w:rFonts w:hint="eastAsia" w:ascii="宋体" w:hAnsi="宋体" w:cs="宋体"/>
                <w:kern w:val="0"/>
                <w:sz w:val="24"/>
                <w:highlight w:val="none"/>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7</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磋商时间和地点</w:t>
            </w:r>
          </w:p>
        </w:tc>
        <w:tc>
          <w:tcPr>
            <w:tcW w:w="6243" w:type="dxa"/>
            <w:shd w:val="clear" w:color="auto" w:fill="auto"/>
            <w:tcMar>
              <w:left w:w="108" w:type="dxa"/>
              <w:right w:w="108" w:type="dxa"/>
            </w:tcMar>
            <w:vAlign w:val="center"/>
          </w:tcPr>
          <w:p>
            <w:pPr>
              <w:overflowPunct w:val="0"/>
              <w:topLinePunct/>
              <w:spacing w:line="400" w:lineRule="exact"/>
              <w:rPr>
                <w:rFonts w:asciiTheme="minorEastAsia" w:hAnsiTheme="minorEastAsia" w:cstheme="minorEastAsia"/>
                <w:sz w:val="24"/>
                <w:highlight w:val="yellow"/>
              </w:rPr>
            </w:pPr>
            <w:r>
              <w:rPr>
                <w:rFonts w:hint="eastAsia" w:asciiTheme="minorEastAsia" w:hAnsiTheme="minorEastAsia" w:cstheme="minorEastAsia"/>
                <w:sz w:val="24"/>
              </w:rPr>
              <w:t>磋商时间：</w:t>
            </w:r>
            <w:r>
              <w:rPr>
                <w:rFonts w:hint="eastAsia" w:ascii="宋体" w:hAnsi="宋体" w:cs="宋体"/>
                <w:kern w:val="0"/>
                <w:sz w:val="24"/>
                <w:highlight w:val="none"/>
              </w:rPr>
              <w:t>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05</w:t>
            </w:r>
            <w:r>
              <w:rPr>
                <w:rFonts w:hint="eastAsia" w:ascii="宋体" w:hAnsi="宋体" w:cs="宋体"/>
                <w:kern w:val="0"/>
                <w:sz w:val="24"/>
                <w:highlight w:val="none"/>
              </w:rPr>
              <w:t>月</w:t>
            </w:r>
            <w:r>
              <w:rPr>
                <w:rFonts w:hint="eastAsia" w:ascii="宋体" w:hAnsi="宋体" w:cs="宋体"/>
                <w:kern w:val="0"/>
                <w:sz w:val="24"/>
                <w:highlight w:val="none"/>
                <w:lang w:val="en-US" w:eastAsia="zh-CN"/>
              </w:rPr>
              <w:t>20</w:t>
            </w:r>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时</w:t>
            </w:r>
            <w:r>
              <w:rPr>
                <w:rFonts w:hint="eastAsia" w:ascii="宋体" w:hAnsi="宋体" w:cs="宋体"/>
                <w:kern w:val="0"/>
                <w:sz w:val="24"/>
                <w:highlight w:val="none"/>
                <w:lang w:val="en-US" w:eastAsia="zh-CN"/>
              </w:rPr>
              <w:t>0</w:t>
            </w:r>
            <w:r>
              <w:rPr>
                <w:rFonts w:hint="eastAsia" w:ascii="宋体" w:hAnsi="宋体" w:cs="宋体"/>
                <w:kern w:val="0"/>
                <w:sz w:val="24"/>
                <w:highlight w:val="none"/>
              </w:rPr>
              <w:t>0分</w:t>
            </w:r>
          </w:p>
          <w:p>
            <w:pPr>
              <w:overflowPunct w:val="0"/>
              <w:topLinePunct/>
              <w:spacing w:line="400" w:lineRule="exact"/>
              <w:rPr>
                <w:sz w:val="24"/>
              </w:rPr>
            </w:pPr>
            <w:r>
              <w:rPr>
                <w:rFonts w:hint="eastAsia" w:asciiTheme="minorEastAsia" w:hAnsiTheme="minorEastAsia" w:cstheme="minorEastAsia"/>
                <w:sz w:val="24"/>
              </w:rPr>
              <w:t xml:space="preserve">磋商地点：同递交响应文件地点。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75"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8</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磋商小组的组建</w:t>
            </w:r>
          </w:p>
        </w:tc>
        <w:tc>
          <w:tcPr>
            <w:tcW w:w="6243" w:type="dxa"/>
            <w:shd w:val="clear" w:color="auto" w:fill="auto"/>
            <w:tcMar>
              <w:left w:w="108" w:type="dxa"/>
              <w:right w:w="108" w:type="dxa"/>
            </w:tcMar>
            <w:vAlign w:val="center"/>
          </w:tcPr>
          <w:p>
            <w:pPr>
              <w:pStyle w:val="304"/>
              <w:spacing w:line="360" w:lineRule="auto"/>
              <w:rPr>
                <w:color w:val="000000" w:themeColor="text1"/>
                <w14:textFill>
                  <w14:solidFill>
                    <w14:schemeClr w14:val="tx1"/>
                  </w14:solidFill>
                </w14:textFill>
              </w:rPr>
            </w:pPr>
            <w:r>
              <w:rPr>
                <w:color w:val="000000" w:themeColor="text1"/>
                <w14:textFill>
                  <w14:solidFill>
                    <w14:schemeClr w14:val="tx1"/>
                  </w14:solidFill>
                </w14:textFill>
              </w:rPr>
              <w:t>磋商小组构成：3人</w:t>
            </w:r>
            <w:r>
              <w:rPr>
                <w:rFonts w:hint="eastAsia"/>
                <w:color w:val="000000" w:themeColor="text1"/>
                <w14:textFill>
                  <w14:solidFill>
                    <w14:schemeClr w14:val="tx1"/>
                  </w14:solidFill>
                </w14:textFill>
              </w:rPr>
              <w:t>，</w:t>
            </w:r>
            <w:r>
              <w:rPr>
                <w:rFonts w:hint="eastAsia"/>
                <w:color w:val="000000" w:themeColor="text1"/>
                <w:lang w:val="zh-CN"/>
                <w14:textFill>
                  <w14:solidFill>
                    <w14:schemeClr w14:val="tx1"/>
                  </w14:solidFill>
                </w14:textFill>
              </w:rPr>
              <w:t>其中采购人代表</w:t>
            </w:r>
            <w:r>
              <w:rPr>
                <w:rFonts w:hint="eastAsia"/>
                <w:color w:val="000000" w:themeColor="text1"/>
                <w:u w:val="single"/>
                <w14:textFill>
                  <w14:solidFill>
                    <w14:schemeClr w14:val="tx1"/>
                  </w14:solidFill>
                </w14:textFill>
              </w:rPr>
              <w:t xml:space="preserve"> 1 </w:t>
            </w:r>
            <w:r>
              <w:rPr>
                <w:rFonts w:hint="eastAsia"/>
                <w:color w:val="000000" w:themeColor="text1"/>
                <w:lang w:val="zh-CN"/>
                <w14:textFill>
                  <w14:solidFill>
                    <w14:schemeClr w14:val="tx1"/>
                  </w14:solidFill>
                </w14:textFill>
              </w:rPr>
              <w:t>人，磋商专家</w:t>
            </w:r>
            <w:r>
              <w:rPr>
                <w:rFonts w:hint="eastAsia"/>
                <w:color w:val="000000" w:themeColor="text1"/>
                <w:u w:val="single"/>
                <w14:textFill>
                  <w14:solidFill>
                    <w14:schemeClr w14:val="tx1"/>
                  </w14:solidFill>
                </w14:textFill>
              </w:rPr>
              <w:t xml:space="preserve"> 2 </w:t>
            </w:r>
            <w:r>
              <w:rPr>
                <w:rFonts w:hint="eastAsia"/>
                <w:color w:val="000000" w:themeColor="text1"/>
                <w:lang w:val="zh-CN"/>
                <w14:textFill>
                  <w14:solidFill>
                    <w14:schemeClr w14:val="tx1"/>
                  </w14:solidFill>
                </w14:textFill>
              </w:rPr>
              <w:t>人。</w:t>
            </w:r>
          </w:p>
          <w:p>
            <w:pPr>
              <w:widowControl/>
              <w:spacing w:line="400" w:lineRule="exact"/>
              <w:rPr>
                <w:sz w:val="24"/>
              </w:rPr>
            </w:pPr>
            <w:r>
              <w:rPr>
                <w:sz w:val="24"/>
              </w:rPr>
              <w:t>磋商专家确定方式：按照相关规定，专家评委在陕西省财政厅《政府采购评审专家库》中随机抽取。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8" w:hRule="atLeast"/>
          <w:jc w:val="center"/>
        </w:trPr>
        <w:tc>
          <w:tcPr>
            <w:tcW w:w="564" w:type="dxa"/>
            <w:shd w:val="clear" w:color="auto" w:fill="auto"/>
            <w:tcMar>
              <w:left w:w="108" w:type="dxa"/>
              <w:right w:w="108" w:type="dxa"/>
            </w:tcMar>
            <w:vAlign w:val="center"/>
          </w:tcPr>
          <w:p>
            <w:pPr>
              <w:widowControl/>
              <w:spacing w:line="360" w:lineRule="auto"/>
              <w:jc w:val="center"/>
              <w:rPr>
                <w:rFonts w:hint="eastAsia" w:eastAsia="宋体"/>
                <w:kern w:val="0"/>
                <w:sz w:val="24"/>
                <w:lang w:eastAsia="zh-CN"/>
              </w:rPr>
            </w:pPr>
            <w:r>
              <w:rPr>
                <w:kern w:val="0"/>
                <w:sz w:val="24"/>
              </w:rPr>
              <w:t>1</w:t>
            </w:r>
            <w:r>
              <w:rPr>
                <w:rFonts w:hint="eastAsia"/>
                <w:kern w:val="0"/>
                <w:sz w:val="24"/>
                <w:lang w:val="en-US" w:eastAsia="zh-CN"/>
              </w:rPr>
              <w:t>9</w:t>
            </w:r>
          </w:p>
        </w:tc>
        <w:tc>
          <w:tcPr>
            <w:tcW w:w="2235" w:type="dxa"/>
            <w:shd w:val="clear" w:color="auto" w:fill="auto"/>
            <w:tcMar>
              <w:left w:w="108" w:type="dxa"/>
              <w:right w:w="108" w:type="dxa"/>
            </w:tcMar>
            <w:vAlign w:val="center"/>
          </w:tcPr>
          <w:p>
            <w:pPr>
              <w:widowControl/>
              <w:spacing w:line="360" w:lineRule="auto"/>
              <w:jc w:val="center"/>
              <w:rPr>
                <w:kern w:val="0"/>
                <w:sz w:val="24"/>
              </w:rPr>
            </w:pPr>
            <w:r>
              <w:rPr>
                <w:sz w:val="24"/>
              </w:rPr>
              <w:t>磋商办法</w:t>
            </w:r>
          </w:p>
        </w:tc>
        <w:tc>
          <w:tcPr>
            <w:tcW w:w="6243" w:type="dxa"/>
            <w:shd w:val="clear" w:color="auto" w:fill="auto"/>
            <w:tcMar>
              <w:left w:w="108" w:type="dxa"/>
              <w:right w:w="108" w:type="dxa"/>
            </w:tcMar>
            <w:vAlign w:val="center"/>
          </w:tcPr>
          <w:p>
            <w:pPr>
              <w:widowControl/>
              <w:spacing w:line="400" w:lineRule="exact"/>
              <w:rPr>
                <w:sz w:val="24"/>
              </w:rPr>
            </w:pPr>
            <w:r>
              <w:rPr>
                <w:sz w:val="24"/>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8" w:hRule="atLeast"/>
          <w:jc w:val="center"/>
        </w:trPr>
        <w:tc>
          <w:tcPr>
            <w:tcW w:w="564" w:type="dxa"/>
            <w:shd w:val="clear" w:color="auto" w:fill="auto"/>
            <w:tcMar>
              <w:left w:w="108" w:type="dxa"/>
              <w:right w:w="108" w:type="dxa"/>
            </w:tcMar>
            <w:vAlign w:val="center"/>
          </w:tcPr>
          <w:p>
            <w:pPr>
              <w:widowControl/>
              <w:spacing w:line="360" w:lineRule="auto"/>
              <w:jc w:val="center"/>
              <w:rPr>
                <w:rFonts w:hint="default" w:eastAsia="宋体"/>
                <w:kern w:val="0"/>
                <w:sz w:val="24"/>
                <w:lang w:val="en-US" w:eastAsia="zh-CN"/>
              </w:rPr>
            </w:pPr>
            <w:r>
              <w:rPr>
                <w:rFonts w:hint="eastAsia"/>
                <w:kern w:val="0"/>
                <w:sz w:val="24"/>
                <w:lang w:val="en-US" w:eastAsia="zh-CN"/>
              </w:rPr>
              <w:t>20</w:t>
            </w:r>
          </w:p>
        </w:tc>
        <w:tc>
          <w:tcPr>
            <w:tcW w:w="2235" w:type="dxa"/>
            <w:shd w:val="clear" w:color="auto" w:fill="auto"/>
            <w:tcMar>
              <w:left w:w="108" w:type="dxa"/>
              <w:right w:w="108" w:type="dxa"/>
            </w:tcMar>
            <w:vAlign w:val="center"/>
          </w:tcPr>
          <w:p>
            <w:pPr>
              <w:snapToGrid w:val="0"/>
              <w:spacing w:line="360" w:lineRule="auto"/>
              <w:jc w:val="center"/>
              <w:rPr>
                <w:kern w:val="0"/>
                <w:sz w:val="24"/>
              </w:rPr>
            </w:pPr>
            <w:r>
              <w:rPr>
                <w:sz w:val="24"/>
              </w:rPr>
              <w:t>复印件或扫描件</w:t>
            </w:r>
          </w:p>
        </w:tc>
        <w:tc>
          <w:tcPr>
            <w:tcW w:w="6243" w:type="dxa"/>
            <w:shd w:val="clear" w:color="auto" w:fill="auto"/>
            <w:tcMar>
              <w:left w:w="108" w:type="dxa"/>
              <w:right w:w="108" w:type="dxa"/>
            </w:tcMar>
            <w:vAlign w:val="center"/>
          </w:tcPr>
          <w:p>
            <w:pPr>
              <w:snapToGrid w:val="0"/>
              <w:spacing w:line="400" w:lineRule="exact"/>
              <w:rPr>
                <w:sz w:val="24"/>
              </w:rPr>
            </w:pPr>
            <w:r>
              <w:rPr>
                <w:b/>
                <w:bCs/>
                <w:sz w:val="24"/>
              </w:rPr>
              <w:t>正本中的复印件（或扫描件）必须加盖</w:t>
            </w:r>
            <w:r>
              <w:rPr>
                <w:rFonts w:hint="eastAsia"/>
                <w:b/>
                <w:bCs/>
                <w:sz w:val="24"/>
              </w:rPr>
              <w:t>磋商响应单位</w:t>
            </w:r>
            <w:r>
              <w:rPr>
                <w:b/>
                <w:bCs/>
                <w:sz w:val="24"/>
              </w:rPr>
              <w:t>的公章（</w:t>
            </w:r>
            <w:r>
              <w:rPr>
                <w:rFonts w:hint="eastAsia"/>
                <w:b/>
                <w:bCs/>
                <w:sz w:val="24"/>
              </w:rPr>
              <w:t>鲜</w:t>
            </w:r>
            <w:r>
              <w:rPr>
                <w:b/>
                <w:bCs/>
                <w:sz w:val="24"/>
              </w:rPr>
              <w:t>章），否则按无效文件处理</w:t>
            </w:r>
            <w:r>
              <w:rPr>
                <w:sz w:val="24"/>
              </w:rPr>
              <w:t>。</w:t>
            </w:r>
          </w:p>
          <w:p>
            <w:pPr>
              <w:snapToGrid w:val="0"/>
              <w:spacing w:line="400" w:lineRule="exact"/>
              <w:rPr>
                <w:kern w:val="0"/>
                <w:sz w:val="24"/>
              </w:rPr>
            </w:pPr>
            <w:r>
              <w:rPr>
                <w:sz w:val="24"/>
              </w:rPr>
              <w:t>所有复印件（或扫描件）（含</w:t>
            </w:r>
            <w:r>
              <w:rPr>
                <w:rFonts w:hint="eastAsia"/>
                <w:sz w:val="24"/>
              </w:rPr>
              <w:t>磋商响应单位</w:t>
            </w:r>
            <w:r>
              <w:rPr>
                <w:sz w:val="24"/>
              </w:rPr>
              <w:t>认为须提交的其他证明材料复印件、扫描件、网页截图等）应是最新、有效、清晰的。因复印件（或扫描件）不清晰而可能导致资料无效，由</w:t>
            </w:r>
            <w:r>
              <w:rPr>
                <w:rFonts w:hint="eastAsia"/>
                <w:sz w:val="24"/>
              </w:rPr>
              <w:t>磋商响应单位</w:t>
            </w:r>
            <w:r>
              <w:rPr>
                <w:sz w:val="24"/>
              </w:rPr>
              <w:t>自行负责。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1</w:t>
            </w:r>
          </w:p>
        </w:tc>
        <w:tc>
          <w:tcPr>
            <w:tcW w:w="2235" w:type="dxa"/>
            <w:shd w:val="clear" w:color="auto" w:fill="auto"/>
            <w:tcMar>
              <w:left w:w="108" w:type="dxa"/>
              <w:right w:w="108" w:type="dxa"/>
            </w:tcMar>
            <w:vAlign w:val="center"/>
          </w:tcPr>
          <w:p>
            <w:pPr>
              <w:widowControl/>
              <w:spacing w:line="360" w:lineRule="auto"/>
              <w:jc w:val="center"/>
              <w:rPr>
                <w:kern w:val="0"/>
                <w:sz w:val="24"/>
              </w:rPr>
            </w:pPr>
            <w:r>
              <w:rPr>
                <w:kern w:val="0"/>
                <w:sz w:val="24"/>
              </w:rPr>
              <w:t>解释权</w:t>
            </w:r>
          </w:p>
        </w:tc>
        <w:tc>
          <w:tcPr>
            <w:tcW w:w="6243" w:type="dxa"/>
            <w:shd w:val="clear" w:color="auto" w:fill="auto"/>
            <w:tcMar>
              <w:left w:w="108" w:type="dxa"/>
              <w:right w:w="108" w:type="dxa"/>
            </w:tcMar>
            <w:vAlign w:val="center"/>
          </w:tcPr>
          <w:p>
            <w:pPr>
              <w:widowControl/>
              <w:spacing w:line="400" w:lineRule="exact"/>
              <w:rPr>
                <w:kern w:val="0"/>
                <w:sz w:val="24"/>
              </w:rPr>
            </w:pPr>
            <w:r>
              <w:rPr>
                <w:kern w:val="0"/>
                <w:sz w:val="24"/>
              </w:rPr>
              <w:t>本磋商文件解释权归采购人和采购代理机构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kern w:val="0"/>
                <w:sz w:val="24"/>
              </w:rPr>
              <w:t>2</w:t>
            </w:r>
            <w:r>
              <w:rPr>
                <w:rFonts w:hint="eastAsia"/>
                <w:kern w:val="0"/>
                <w:sz w:val="24"/>
              </w:rPr>
              <w:t>2</w:t>
            </w:r>
          </w:p>
        </w:tc>
        <w:tc>
          <w:tcPr>
            <w:tcW w:w="2235" w:type="dxa"/>
            <w:shd w:val="clear" w:color="auto" w:fill="auto"/>
            <w:tcMar>
              <w:left w:w="108" w:type="dxa"/>
              <w:right w:w="108" w:type="dxa"/>
            </w:tcMar>
            <w:vAlign w:val="center"/>
          </w:tcPr>
          <w:p>
            <w:pPr>
              <w:widowControl/>
              <w:spacing w:line="360" w:lineRule="auto"/>
              <w:jc w:val="center"/>
              <w:rPr>
                <w:rFonts w:eastAsiaTheme="minorEastAsia"/>
                <w:kern w:val="0"/>
                <w:sz w:val="24"/>
              </w:rPr>
            </w:pPr>
            <w:r>
              <w:rPr>
                <w:rFonts w:hint="eastAsia" w:asciiTheme="minorEastAsia" w:hAnsiTheme="minorEastAsia" w:eastAsiaTheme="minorEastAsia" w:cstheme="minorEastAsia"/>
                <w:sz w:val="24"/>
              </w:rPr>
              <w:t>招标代理服务费及造价咨询费</w:t>
            </w:r>
          </w:p>
        </w:tc>
        <w:tc>
          <w:tcPr>
            <w:tcW w:w="6243" w:type="dxa"/>
            <w:shd w:val="clear" w:color="auto" w:fill="auto"/>
            <w:tcMar>
              <w:left w:w="108" w:type="dxa"/>
              <w:right w:w="108" w:type="dxa"/>
            </w:tcMar>
            <w:vAlign w:val="center"/>
          </w:tcPr>
          <w:p>
            <w:pPr>
              <w:widowControl/>
              <w:spacing w:line="400" w:lineRule="exact"/>
              <w:jc w:val="left"/>
              <w:rPr>
                <w:sz w:val="24"/>
              </w:rPr>
            </w:pP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4" w:hRule="atLeast"/>
          <w:jc w:val="center"/>
        </w:trPr>
        <w:tc>
          <w:tcPr>
            <w:tcW w:w="564" w:type="dxa"/>
            <w:shd w:val="clear" w:color="auto" w:fill="auto"/>
            <w:tcMar>
              <w:left w:w="108" w:type="dxa"/>
              <w:right w:w="108" w:type="dxa"/>
            </w:tcMar>
            <w:vAlign w:val="center"/>
          </w:tcPr>
          <w:p>
            <w:pPr>
              <w:widowControl/>
              <w:spacing w:line="360" w:lineRule="auto"/>
              <w:jc w:val="center"/>
              <w:rPr>
                <w:sz w:val="24"/>
              </w:rPr>
            </w:pPr>
            <w:r>
              <w:rPr>
                <w:kern w:val="0"/>
                <w:sz w:val="24"/>
              </w:rPr>
              <w:t>2</w:t>
            </w:r>
            <w:r>
              <w:rPr>
                <w:rFonts w:hint="eastAsia"/>
                <w:kern w:val="0"/>
                <w:sz w:val="24"/>
              </w:rPr>
              <w:t>3</w:t>
            </w:r>
          </w:p>
        </w:tc>
        <w:tc>
          <w:tcPr>
            <w:tcW w:w="2235"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磋商最高限价</w:t>
            </w:r>
          </w:p>
        </w:tc>
        <w:tc>
          <w:tcPr>
            <w:tcW w:w="6243" w:type="dxa"/>
            <w:shd w:val="clear" w:color="auto" w:fill="auto"/>
            <w:tcMar>
              <w:left w:w="108" w:type="dxa"/>
              <w:right w:w="108" w:type="dxa"/>
            </w:tcMar>
            <w:vAlign w:val="center"/>
          </w:tcPr>
          <w:p>
            <w:pPr>
              <w:widowControl/>
              <w:spacing w:line="360" w:lineRule="auto"/>
              <w:ind w:right="-195" w:rightChars="-93"/>
              <w:jc w:val="left"/>
              <w:rPr>
                <w:kern w:val="0"/>
                <w:sz w:val="24"/>
              </w:rPr>
            </w:pPr>
            <w:r>
              <w:rPr>
                <w:rFonts w:hint="eastAsia" w:ascii="宋体" w:hAnsi="宋体" w:cs="宋体"/>
                <w:color w:val="000000" w:themeColor="text1"/>
                <w:kern w:val="0"/>
                <w:sz w:val="24"/>
                <w14:textFill>
                  <w14:solidFill>
                    <w14:schemeClr w14:val="tx1"/>
                  </w14:solidFill>
                </w14:textFill>
              </w:rPr>
              <w:t>本项目采购预算为人民币</w:t>
            </w:r>
            <w:r>
              <w:rPr>
                <w:rFonts w:hint="eastAsia" w:ascii="宋体" w:hAnsi="宋体" w:cs="宋体"/>
                <w:color w:val="000000" w:themeColor="text1"/>
                <w:kern w:val="0"/>
                <w:sz w:val="24"/>
                <w:lang w:eastAsia="zh-CN"/>
                <w14:textFill>
                  <w14:solidFill>
                    <w14:schemeClr w14:val="tx1"/>
                  </w14:solidFill>
                </w14:textFill>
              </w:rPr>
              <w:t>2600000.00</w:t>
            </w:r>
            <w:r>
              <w:rPr>
                <w:rFonts w:hint="eastAsia" w:ascii="宋体" w:hAnsi="宋体" w:cs="宋体"/>
                <w:color w:val="000000" w:themeColor="text1"/>
                <w:kern w:val="0"/>
                <w:sz w:val="24"/>
                <w14:textFill>
                  <w14:solidFill>
                    <w14:schemeClr w14:val="tx1"/>
                  </w14:solidFill>
                </w14:textFill>
              </w:rPr>
              <w:t>元，最高限价</w:t>
            </w:r>
            <w:r>
              <w:rPr>
                <w:rFonts w:hint="eastAsia"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lang w:eastAsia="zh-CN"/>
                <w14:textFill>
                  <w14:solidFill>
                    <w14:schemeClr w14:val="tx1"/>
                  </w14:solidFill>
                </w14:textFill>
              </w:rPr>
              <w:t>2593614.11</w:t>
            </w:r>
            <w:r>
              <w:rPr>
                <w:rFonts w:hint="eastAsia" w:ascii="宋体" w:hAnsi="宋体" w:cs="宋体"/>
                <w:color w:val="000000" w:themeColor="text1"/>
                <w:kern w:val="0"/>
                <w:sz w:val="24"/>
                <w:highlight w:val="none"/>
                <w14:textFill>
                  <w14:solidFill>
                    <w14:schemeClr w14:val="tx1"/>
                  </w14:solidFill>
                </w14:textFill>
              </w:rPr>
              <w:t>元</w:t>
            </w:r>
            <w:r>
              <w:rPr>
                <w:rFonts w:hint="eastAsia" w:ascii="宋体" w:hAnsi="宋体" w:cs="宋体"/>
                <w:color w:val="000000" w:themeColor="text1"/>
                <w:kern w:val="0"/>
                <w:sz w:val="24"/>
                <w14:textFill>
                  <w14:solidFill>
                    <w14:schemeClr w14:val="tx1"/>
                  </w14:solidFill>
                </w14:textFill>
              </w:rPr>
              <w:t>，首次报价超出最高限价的磋商响应单位不进入下一步磋商程序。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9" w:hRule="atLeast"/>
          <w:jc w:val="center"/>
        </w:trPr>
        <w:tc>
          <w:tcPr>
            <w:tcW w:w="564" w:type="dxa"/>
            <w:shd w:val="clear" w:color="auto" w:fill="auto"/>
            <w:tcMar>
              <w:left w:w="108" w:type="dxa"/>
              <w:right w:w="108" w:type="dxa"/>
            </w:tcMar>
            <w:vAlign w:val="center"/>
          </w:tcPr>
          <w:p>
            <w:pPr>
              <w:widowControl/>
              <w:spacing w:line="360" w:lineRule="auto"/>
              <w:jc w:val="center"/>
              <w:rPr>
                <w:kern w:val="0"/>
                <w:sz w:val="24"/>
              </w:rPr>
            </w:pPr>
            <w:r>
              <w:rPr>
                <w:rFonts w:hint="eastAsia"/>
                <w:kern w:val="0"/>
                <w:sz w:val="24"/>
              </w:rPr>
              <w:t>24</w:t>
            </w:r>
          </w:p>
        </w:tc>
        <w:tc>
          <w:tcPr>
            <w:tcW w:w="2235" w:type="dxa"/>
            <w:shd w:val="clear" w:color="auto" w:fill="auto"/>
            <w:tcMar>
              <w:left w:w="108" w:type="dxa"/>
              <w:right w:w="108" w:type="dxa"/>
            </w:tcMar>
            <w:vAlign w:val="center"/>
          </w:tcPr>
          <w:p>
            <w:pPr>
              <w:widowControl/>
              <w:spacing w:line="360" w:lineRule="auto"/>
              <w:jc w:val="center"/>
              <w:rPr>
                <w:color w:val="FF0000"/>
                <w:kern w:val="0"/>
                <w:sz w:val="24"/>
                <w:highlight w:val="none"/>
              </w:rPr>
            </w:pPr>
            <w:r>
              <w:rPr>
                <w:rFonts w:hint="eastAsia"/>
                <w:color w:val="000000" w:themeColor="text1"/>
                <w:kern w:val="0"/>
                <w:sz w:val="24"/>
                <w:highlight w:val="none"/>
                <w14:textFill>
                  <w14:solidFill>
                    <w14:schemeClr w14:val="tx1"/>
                  </w14:solidFill>
                </w14:textFill>
              </w:rPr>
              <w:t>工程计价方式</w:t>
            </w:r>
          </w:p>
        </w:tc>
        <w:tc>
          <w:tcPr>
            <w:tcW w:w="6243" w:type="dxa"/>
            <w:shd w:val="clear" w:color="auto" w:fill="auto"/>
            <w:tcMar>
              <w:left w:w="108" w:type="dxa"/>
              <w:right w:w="108" w:type="dxa"/>
            </w:tcMar>
            <w:vAlign w:val="center"/>
          </w:tcPr>
          <w:p>
            <w:pPr>
              <w:spacing w:line="360" w:lineRule="auto"/>
              <w:ind w:firstLine="480" w:firstLineChars="200"/>
              <w:jc w:val="left"/>
              <w:rPr>
                <w:rFonts w:hint="eastAsia" w:ascii="宋体" w:hAnsi="宋体" w:eastAsia="宋体" w:cs="宋体"/>
                <w:color w:val="FF0000"/>
                <w:sz w:val="24"/>
                <w:szCs w:val="24"/>
                <w:highlight w:val="none"/>
              </w:rPr>
            </w:pPr>
            <w:r>
              <w:rPr>
                <w:rFonts w:hint="eastAsia" w:ascii="宋体" w:hAnsi="宋体" w:eastAsia="宋体" w:cs="宋体"/>
                <w:sz w:val="24"/>
                <w:szCs w:val="24"/>
                <w:highlight w:val="none"/>
              </w:rPr>
              <w:t>1.《陕西省建设工程工程量清单计价规则》（2009）和《陕西建筑装饰工程消耗量定额》（2004）及其补充定额、《陕西省安装工程消耗量定额》（2004）及其补充定额、</w:t>
            </w:r>
            <w:r>
              <w:rPr>
                <w:rFonts w:hint="eastAsia" w:ascii="宋体" w:hAnsi="宋体" w:eastAsia="宋体" w:cs="宋体"/>
                <w:color w:val="auto"/>
                <w:sz w:val="24"/>
                <w:szCs w:val="24"/>
                <w:highlight w:val="none"/>
              </w:rPr>
              <w:t>《陕西省市政工程消耗量定额》（2004）及其补充定额</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《陕西省建筑装饰工程价目表》（2009）、《陕西省安装工程价目表》（2009）、</w:t>
            </w:r>
            <w:r>
              <w:rPr>
                <w:rFonts w:hint="eastAsia" w:ascii="宋体" w:hAnsi="宋体" w:eastAsia="宋体" w:cs="宋体"/>
                <w:color w:val="auto"/>
                <w:sz w:val="24"/>
                <w:szCs w:val="24"/>
              </w:rPr>
              <w:t>《陕西省市政工程价目表》（2009）</w:t>
            </w:r>
            <w:r>
              <w:rPr>
                <w:rFonts w:hint="eastAsia" w:ascii="宋体" w:hAnsi="宋体" w:eastAsia="宋体" w:cs="宋体"/>
                <w:sz w:val="24"/>
                <w:szCs w:val="24"/>
                <w:highlight w:val="none"/>
              </w:rPr>
              <w:t>及其配套的费用文件</w:t>
            </w:r>
            <w:r>
              <w:rPr>
                <w:rFonts w:hint="eastAsia" w:ascii="宋体" w:hAnsi="宋体" w:eastAsia="宋体" w:cs="宋体"/>
                <w:color w:val="auto"/>
                <w:sz w:val="24"/>
                <w:szCs w:val="24"/>
                <w:highlight w:val="none"/>
              </w:rPr>
              <w:t xml:space="preserve">； </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2.税金按陕建发【2019】45号文件综合系数调整计入，税金</w:t>
            </w:r>
            <w:r>
              <w:rPr>
                <w:rFonts w:hint="eastAsia" w:ascii="宋体" w:hAnsi="宋体" w:eastAsia="宋体" w:cs="宋体"/>
                <w:color w:val="auto"/>
                <w:sz w:val="24"/>
                <w:szCs w:val="24"/>
                <w:highlight w:val="none"/>
                <w:lang w:eastAsia="zh-CN"/>
              </w:rPr>
              <w:t>按县城、镇</w:t>
            </w:r>
            <w:r>
              <w:rPr>
                <w:rFonts w:hint="eastAsia" w:ascii="宋体" w:hAnsi="宋体" w:eastAsia="宋体" w:cs="宋体"/>
                <w:color w:val="auto"/>
                <w:sz w:val="24"/>
                <w:szCs w:val="24"/>
                <w:highlight w:val="none"/>
              </w:rPr>
              <w:t>计入；</w:t>
            </w:r>
          </w:p>
          <w:p>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主要</w:t>
            </w:r>
            <w:r>
              <w:rPr>
                <w:rFonts w:hint="eastAsia" w:ascii="宋体" w:hAnsi="宋体" w:eastAsia="宋体" w:cs="宋体"/>
                <w:color w:val="auto"/>
                <w:sz w:val="24"/>
                <w:szCs w:val="24"/>
              </w:rPr>
              <w:t>材料</w:t>
            </w:r>
            <w:r>
              <w:rPr>
                <w:rFonts w:hint="eastAsia" w:ascii="宋体" w:hAnsi="宋体" w:eastAsia="宋体" w:cs="宋体"/>
                <w:color w:val="auto"/>
                <w:sz w:val="24"/>
                <w:szCs w:val="24"/>
                <w:highlight w:val="none"/>
              </w:rPr>
              <w:t>价格采用</w:t>
            </w:r>
            <w:r>
              <w:rPr>
                <w:rFonts w:hint="eastAsia" w:ascii="宋体" w:hAnsi="宋体" w:eastAsia="宋体" w:cs="宋体"/>
                <w:color w:val="auto"/>
                <w:sz w:val="24"/>
                <w:szCs w:val="24"/>
                <w:lang w:eastAsia="zh-CN"/>
              </w:rPr>
              <w:t>陕西省</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月份信息价并结合近期市场价</w:t>
            </w:r>
            <w:r>
              <w:rPr>
                <w:rFonts w:hint="eastAsia" w:ascii="宋体" w:hAnsi="宋体" w:eastAsia="宋体" w:cs="宋体"/>
                <w:color w:val="auto"/>
                <w:sz w:val="24"/>
                <w:szCs w:val="24"/>
              </w:rPr>
              <w:t>计入；</w:t>
            </w:r>
          </w:p>
          <w:p>
            <w:pPr>
              <w:spacing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4.人工费执行《陕西省住房和城乡建设厅文件》陕建发[2021]1097号；</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采用广联达云计价平台GCCP</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6.3000.23.110</w:t>
            </w:r>
            <w:r>
              <w:rPr>
                <w:rFonts w:hint="eastAsia" w:ascii="宋体" w:hAnsi="宋体" w:eastAsia="宋体" w:cs="宋体"/>
                <w:color w:val="auto"/>
                <w:sz w:val="24"/>
                <w:szCs w:val="24"/>
                <w:highlight w:val="none"/>
              </w:rPr>
              <w:t>）版本；</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．本工程混凝土全部采用商品混凝土；</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．本工程灰土全部采用袋装熟石灰；</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．本工程砂浆全部采用预拌砂浆；</w:t>
            </w:r>
          </w:p>
          <w:p>
            <w:pPr>
              <w:spacing w:line="360" w:lineRule="auto"/>
              <w:ind w:firstLine="480" w:firstLineChars="200"/>
              <w:jc w:val="left"/>
              <w:rPr>
                <w:rFonts w:eastAsiaTheme="minorEastAsia"/>
                <w:color w:val="FF0000"/>
                <w:kern w:val="0"/>
                <w:sz w:val="24"/>
                <w:highlight w:val="none"/>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.他未尽事宜详见工程量清单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施工图</w:t>
            </w:r>
            <w:r>
              <w:rPr>
                <w:rFonts w:hint="eastAsia" w:ascii="宋体" w:hAnsi="宋体" w:eastAsia="宋体" w:cs="宋体"/>
                <w:color w:val="auto"/>
                <w:sz w:val="24"/>
                <w:szCs w:val="24"/>
                <w:lang w:eastAsia="zh-CN"/>
              </w:rPr>
              <w:t>。</w:t>
            </w:r>
          </w:p>
        </w:tc>
      </w:tr>
    </w:tbl>
    <w:p>
      <w:pPr>
        <w:pStyle w:val="2"/>
        <w:ind w:firstLine="0" w:firstLineChars="0"/>
      </w:pPr>
    </w:p>
    <w:p>
      <w:pPr>
        <w:pStyle w:val="2"/>
        <w:ind w:firstLine="0" w:firstLineChars="0"/>
      </w:pPr>
    </w:p>
    <w:p>
      <w:pPr>
        <w:pStyle w:val="2"/>
        <w:ind w:firstLine="0" w:firstLineChars="0"/>
      </w:pPr>
    </w:p>
    <w:p>
      <w:pPr>
        <w:pStyle w:val="2"/>
        <w:ind w:firstLine="0" w:firstLineChars="0"/>
      </w:pPr>
    </w:p>
    <w:p>
      <w:pPr>
        <w:pStyle w:val="2"/>
        <w:ind w:firstLine="0" w:firstLineChars="0"/>
      </w:pPr>
    </w:p>
    <w:p>
      <w:pPr>
        <w:widowControl/>
        <w:jc w:val="left"/>
        <w:rPr>
          <w:rFonts w:asciiTheme="minorEastAsia" w:hAnsiTheme="minorEastAsia" w:eastAsiaTheme="minorEastAsia" w:cstheme="minorEastAsia"/>
          <w:b/>
          <w:sz w:val="24"/>
        </w:rPr>
      </w:pPr>
      <w:r>
        <w:rPr>
          <w:rFonts w:asciiTheme="minorEastAsia" w:hAnsiTheme="minorEastAsia" w:eastAsiaTheme="minorEastAsia" w:cstheme="minorEastAsia"/>
          <w:b/>
          <w:sz w:val="24"/>
        </w:rPr>
        <w:br w:type="page"/>
      </w:r>
    </w:p>
    <w:p>
      <w:pPr>
        <w:adjustRightInd w:val="0"/>
        <w:snapToGrid w:val="0"/>
        <w:spacing w:after="240" w:line="360" w:lineRule="auto"/>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一、总  则</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1、适用范围</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1.1本磋商文件仅适用于本磋商文件中所述项目的采购。</w:t>
      </w:r>
    </w:p>
    <w:p>
      <w:pPr>
        <w:adjustRightInd w:val="0"/>
        <w:snapToGrid w:val="0"/>
        <w:spacing w:line="360" w:lineRule="auto"/>
        <w:ind w:firstLine="482" w:firstLineChars="200"/>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2、有关定义</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2.1采购人：西安市高陵区教育局</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2.2监督机构：西安市高陵区财政局</w:t>
      </w:r>
    </w:p>
    <w:p>
      <w:pPr>
        <w:adjustRightInd w:val="0"/>
        <w:snapToGrid w:val="0"/>
        <w:spacing w:line="360" w:lineRule="auto"/>
        <w:ind w:firstLine="480" w:firstLineChars="200"/>
        <w:rPr>
          <w:rFonts w:hint="eastAsia" w:asciiTheme="minorEastAsia" w:hAnsiTheme="minorEastAsia" w:eastAsiaTheme="minorEastAsia" w:cstheme="minorEastAsia"/>
          <w:bCs/>
          <w:sz w:val="24"/>
          <w:highlight w:val="none"/>
          <w:lang w:eastAsia="zh-CN"/>
        </w:rPr>
      </w:pPr>
      <w:r>
        <w:rPr>
          <w:rFonts w:hint="eastAsia" w:asciiTheme="minorEastAsia" w:hAnsiTheme="minorEastAsia" w:eastAsiaTheme="minorEastAsia" w:cstheme="minorEastAsia"/>
          <w:bCs/>
          <w:sz w:val="24"/>
          <w:highlight w:val="none"/>
        </w:rPr>
        <w:t>2.3采购代理机构：</w:t>
      </w:r>
      <w:r>
        <w:rPr>
          <w:rFonts w:hint="eastAsia" w:asciiTheme="minorEastAsia" w:hAnsiTheme="minorEastAsia" w:eastAsiaTheme="minorEastAsia" w:cstheme="minorEastAsia"/>
          <w:bCs/>
          <w:sz w:val="24"/>
          <w:highlight w:val="none"/>
          <w:lang w:eastAsia="zh-CN"/>
        </w:rPr>
        <w:t>远创项目管理有限公司</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2.4</w:t>
      </w:r>
      <w:r>
        <w:rPr>
          <w:rFonts w:hint="eastAsia" w:asciiTheme="minorEastAsia" w:hAnsiTheme="minorEastAsia" w:eastAsiaTheme="minorEastAsia" w:cstheme="minorEastAsia"/>
          <w:bCs/>
          <w:sz w:val="24"/>
          <w:lang w:val="zh-CN"/>
        </w:rPr>
        <w:t>磋商响应单位（也称投标人）：响应磋商并且符合磋商文件规定的资格条件、参加磋商竞争的合法企业。</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3、服务</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3.1“服务”系指合同规定磋商响应单位须承担的拟进行工程施工全过程服务。</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4、合格的磋商响应单位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4.1合格磋商响应单位应具备磋商公告中要求磋商响应单位需具备的资格条件和能力。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4.2合格磋商响应单位是响应磋商公告、已在采购人或采购代理机构处领购磋商文件并参加磋商的法人。任何未在采购人或采购代理机构处领购磋商文件的法人或其他组织均不得参加磋商。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4.3限制磋商的磋商响应单位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4.3.1 单位负责人为同一人或者存在直接控股、管理关系的不同磋商响应单位，不得参加同一合同项下的政府采购活动，如出现同时参加同一项目的投标均按无效投标处理。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4.3.2 本项目不接受联合体磋商。</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5. 磋商费用</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供应商准备和参加</w:t>
      </w:r>
      <w:r>
        <w:rPr>
          <w:rFonts w:hint="eastAsia" w:asciiTheme="minorEastAsia" w:hAnsiTheme="minorEastAsia" w:eastAsiaTheme="minorEastAsia" w:cstheme="minorEastAsia"/>
          <w:bCs/>
          <w:sz w:val="24"/>
          <w:highlight w:val="none"/>
          <w:lang w:eastAsia="zh-CN"/>
        </w:rPr>
        <w:t>磋商</w:t>
      </w:r>
      <w:r>
        <w:rPr>
          <w:rFonts w:hint="eastAsia" w:asciiTheme="minorEastAsia" w:hAnsiTheme="minorEastAsia" w:eastAsiaTheme="minorEastAsia" w:cstheme="minorEastAsia"/>
          <w:bCs/>
          <w:sz w:val="24"/>
          <w:highlight w:val="none"/>
        </w:rPr>
        <w:t>釆购活动所发生的各种费用由供应商自行承担。</w:t>
      </w:r>
    </w:p>
    <w:p>
      <w:pPr>
        <w:adjustRightInd w:val="0"/>
        <w:snapToGrid w:val="0"/>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 语言文字和计量单位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6.1磋商文件以及磋商响应单位与采购代理机构和采购人就有关磋商的所有来往函电均应使用简体中文书写。专用术语使用外文的，应附有中文注释。</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6.2除磋商文件另有规定外，均使用中华人民共和国法定计量单位。</w:t>
      </w:r>
    </w:p>
    <w:p>
      <w:pPr>
        <w:adjustRightInd w:val="0"/>
        <w:snapToGrid w:val="0"/>
        <w:spacing w:line="360" w:lineRule="auto"/>
        <w:ind w:firstLine="482" w:firstLineChars="200"/>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sz w:val="24"/>
        </w:rPr>
        <w:t>7. 现场踏勘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7.1 </w:t>
      </w:r>
      <w:r>
        <w:rPr>
          <w:rFonts w:hint="eastAsia" w:asciiTheme="minorEastAsia" w:hAnsiTheme="minorEastAsia" w:eastAsiaTheme="minorEastAsia" w:cstheme="minorEastAsia"/>
          <w:bCs/>
          <w:color w:val="000000" w:themeColor="text1"/>
          <w:sz w:val="24"/>
          <w14:textFill>
            <w14:solidFill>
              <w14:schemeClr w14:val="tx1"/>
            </w14:solidFill>
          </w14:textFill>
        </w:rPr>
        <w:t>磋商响应单位自行组织踏勘项目现场</w:t>
      </w:r>
      <w:r>
        <w:rPr>
          <w:rFonts w:hint="eastAsia" w:asciiTheme="minorEastAsia" w:hAnsiTheme="minorEastAsia" w:eastAsiaTheme="minorEastAsia" w:cstheme="minorEastAsia"/>
          <w:bCs/>
          <w:sz w:val="24"/>
        </w:rPr>
        <w:t xml:space="preserve">。 </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7.2 磋商响应单位踏勘现场发生的费用自理。磋商响应单位自行负责在踏勘现场中所发生的人员伤亡和财产损失。磋商响应单位也不得因进入现场的踏勘而使采购人承担有关的责任和蒙受损失。</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7.3 在踏勘现场中采购人介绍的项目场地和相关的周边环境情况以及有关现场的数据和资料，是采购人现有的能被磋商响应单位作参考使用的资料，供磋商响应单位在编制磋商响应文件时参考，采购人不对磋商响应单位据此作出的判断、推论、理解和决策负责。</w:t>
      </w:r>
    </w:p>
    <w:p>
      <w:pPr>
        <w:adjustRightInd w:val="0"/>
        <w:snapToGrid w:val="0"/>
        <w:spacing w:line="360" w:lineRule="auto"/>
        <w:ind w:firstLine="480"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sz w:val="24"/>
        </w:rPr>
        <w:t>7.4 磋商响应单位应当根据踏勘的现场实际情况及其影响因素在磋商报价中综合考虑。一旦响应成交，不得再以现场条件复杂、不清楚、报价时未考虑等各种理由要求对报价进行调整。</w:t>
      </w:r>
    </w:p>
    <w:p>
      <w:pPr>
        <w:adjustRightInd w:val="0"/>
        <w:snapToGrid w:val="0"/>
        <w:spacing w:line="360" w:lineRule="auto"/>
        <w:ind w:firstLine="482" w:firstLineChars="200"/>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
          <w:bCs/>
          <w:sz w:val="24"/>
        </w:rPr>
        <w:t>8. 磋商答疑会</w:t>
      </w: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bCs/>
          <w:kern w:val="0"/>
          <w:sz w:val="24"/>
        </w:rPr>
        <w:t>见“磋商须知前附表”。</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二、磋商文件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1、磋商文件的构成</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1.1本磋商文件包括下列内容：</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第一章　</w:t>
      </w:r>
      <w:r>
        <w:rPr>
          <w:rFonts w:hint="eastAsia" w:asciiTheme="minorEastAsia" w:hAnsiTheme="minorEastAsia" w:eastAsiaTheme="minorEastAsia" w:cstheme="minorEastAsia"/>
          <w:bCs/>
          <w:sz w:val="24"/>
          <w:lang w:val="en-US" w:eastAsia="zh-CN"/>
        </w:rPr>
        <w:t>竞争性</w:t>
      </w:r>
      <w:r>
        <w:rPr>
          <w:rFonts w:hint="eastAsia" w:asciiTheme="minorEastAsia" w:hAnsiTheme="minorEastAsia" w:eastAsiaTheme="minorEastAsia" w:cstheme="minorEastAsia"/>
          <w:bCs/>
          <w:sz w:val="24"/>
        </w:rPr>
        <w:t>磋商公告</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第二章  </w:t>
      </w:r>
      <w:r>
        <w:rPr>
          <w:rFonts w:hint="eastAsia" w:asciiTheme="minorEastAsia" w:hAnsiTheme="minorEastAsia" w:eastAsiaTheme="minorEastAsia" w:cstheme="minorEastAsia"/>
          <w:bCs/>
          <w:sz w:val="24"/>
          <w:lang w:val="en-US" w:eastAsia="zh-CN"/>
        </w:rPr>
        <w:t>竞争性</w:t>
      </w:r>
      <w:r>
        <w:rPr>
          <w:rFonts w:hint="eastAsia" w:asciiTheme="minorEastAsia" w:hAnsiTheme="minorEastAsia" w:eastAsiaTheme="minorEastAsia" w:cstheme="minorEastAsia"/>
          <w:bCs/>
          <w:sz w:val="24"/>
        </w:rPr>
        <w:t>磋商须知</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第三章  磋商响应单位资格证明文件</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第四章  磋商及评标标准</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第五章  采购内容及要求</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第六章  合同草案条款</w:t>
      </w:r>
    </w:p>
    <w:p>
      <w:pPr>
        <w:adjustRightInd w:val="0"/>
        <w:snapToGrid w:val="0"/>
        <w:spacing w:line="360" w:lineRule="auto"/>
        <w:ind w:firstLine="960" w:firstLineChars="4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第七章  磋商文件格式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1.2采购代理机构以书面形式发给磋商响应单位的关于对磋商文件的澄清、修改、补充通知等均是本磋商文件的组成部分，对采购人和磋商响应单位起约束作用。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2、澄清与答疑</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任何要求对磋商文件进行澄清（答疑）的磋商响应单位，应在磋商截止日期3天前以书面形式（加盖磋商响应单位公章并注明单位名称、联系人及电话）送达采购代理机构。采购代理机构将在陕西省政府采购网发布澄清公告，各磋商响应单位应密切关注网站发布的有关澄清公告。</w:t>
      </w:r>
    </w:p>
    <w:p>
      <w:pPr>
        <w:adjustRightInd w:val="0"/>
        <w:snapToGrid w:val="0"/>
        <w:spacing w:line="360" w:lineRule="auto"/>
        <w:ind w:firstLine="420" w:firstLineChars="200"/>
        <w:rPr>
          <w:rFonts w:asciiTheme="minorEastAsia" w:hAnsiTheme="minorEastAsia" w:eastAsiaTheme="minorEastAsia" w:cstheme="minorEastAsia"/>
          <w:bCs/>
          <w:sz w:val="24"/>
        </w:rPr>
      </w:pPr>
      <w:r>
        <w:rPr>
          <w:rFonts w:hint="eastAsia"/>
        </w:rPr>
        <w:t xml:space="preserve"> </w:t>
      </w:r>
      <w:r>
        <w:rPr>
          <w:rFonts w:hint="eastAsia" w:asciiTheme="minorEastAsia" w:hAnsiTheme="minorEastAsia" w:eastAsiaTheme="minorEastAsia" w:cstheme="minorEastAsia"/>
          <w:bCs/>
          <w:sz w:val="24"/>
        </w:rPr>
        <w:t>2.2磋商响应单位在规定的时间内未对磋商文件要求澄清或提出疑问的，采购代理机构将视其为同意。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3、磋商文件的修改</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Cs/>
          <w:snapToGrid w:val="0"/>
          <w:kern w:val="0"/>
          <w:sz w:val="24"/>
        </w:rPr>
        <w:t xml:space="preserve">    3.1提交首次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磋商响应单位；不足5日的，采购人、采购代理机构应当顺延提交首次响应文件截止时间。</w:t>
      </w:r>
    </w:p>
    <w:p>
      <w:pPr>
        <w:widowControl/>
        <w:adjustRightInd w:val="0"/>
        <w:snapToGrid w:val="0"/>
        <w:spacing w:line="360" w:lineRule="auto"/>
        <w:rPr>
          <w:rFonts w:asciiTheme="minorEastAsia" w:hAnsiTheme="minorEastAsia" w:eastAsiaTheme="minorEastAsia" w:cstheme="minorEastAsia"/>
          <w:bCs/>
          <w:snapToGrid w:val="0"/>
          <w:kern w:val="0"/>
          <w:sz w:val="24"/>
        </w:rPr>
      </w:pPr>
      <w:r>
        <w:rPr>
          <w:rFonts w:hint="eastAsia"/>
        </w:rPr>
        <w:t xml:space="preserve">    </w:t>
      </w:r>
      <w:r>
        <w:rPr>
          <w:rFonts w:hint="eastAsia" w:asciiTheme="minorEastAsia" w:hAnsiTheme="minorEastAsia" w:eastAsiaTheme="minorEastAsia" w:cstheme="minorEastAsia"/>
          <w:bCs/>
          <w:snapToGrid w:val="0"/>
          <w:kern w:val="0"/>
          <w:sz w:val="24"/>
        </w:rPr>
        <w:t>3.2补充（变更）公告将在陕西省政府采购网上公布。磋商响应单位有义务在采购活动期间预览陕西政府采购网，采购代理机构在网上公布的与本次磋商项目有关的信息视为已送达各磋商响应单位。修改后的内容是磋商文件的组成部分。</w:t>
      </w:r>
    </w:p>
    <w:p>
      <w:pPr>
        <w:widowControl/>
        <w:adjustRightInd w:val="0"/>
        <w:snapToGrid w:val="0"/>
        <w:spacing w:line="360" w:lineRule="auto"/>
        <w:rPr>
          <w:rFonts w:asciiTheme="minorEastAsia" w:hAnsiTheme="minorEastAsia" w:eastAsiaTheme="minorEastAsia" w:cstheme="minorEastAsia"/>
          <w:bCs/>
          <w:snapToGrid w:val="0"/>
          <w:kern w:val="0"/>
          <w:sz w:val="24"/>
          <w:lang w:val="zh-CN"/>
        </w:rPr>
      </w:pPr>
      <w:r>
        <w:rPr>
          <w:rFonts w:hint="eastAsia" w:asciiTheme="minorEastAsia" w:hAnsiTheme="minorEastAsia" w:eastAsiaTheme="minorEastAsia" w:cstheme="minorEastAsia"/>
          <w:bCs/>
          <w:snapToGrid w:val="0"/>
          <w:kern w:val="0"/>
          <w:sz w:val="24"/>
        </w:rPr>
        <w:t>　　3.3</w:t>
      </w:r>
      <w:r>
        <w:rPr>
          <w:rFonts w:hint="eastAsia" w:asciiTheme="minorEastAsia" w:hAnsiTheme="minorEastAsia" w:eastAsiaTheme="minorEastAsia" w:cstheme="minorEastAsia"/>
          <w:bCs/>
          <w:snapToGrid w:val="0"/>
          <w:kern w:val="0"/>
          <w:sz w:val="24"/>
          <w:lang w:val="zh-CN"/>
        </w:rPr>
        <w:t>磋商文件的解释权归采购人和采购代理机构。</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三、响应文件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1、响应文件编制</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bCs/>
          <w:sz w:val="24"/>
          <w:lang w:val="zh-CN"/>
        </w:rPr>
        <w:t>各磋商响应单位应仔细阅读磋商文件中的所有事项、格式、条款和要求，对磋商文件的实质性要求和条件作出响应、提交相应资料。</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以下内容如有缺失或无效按无效文件处理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1.2.1 磋商响应单位资格证明文件：</w:t>
      </w:r>
    </w:p>
    <w:p>
      <w:pPr>
        <w:numPr>
          <w:ilvl w:val="0"/>
          <w:numId w:val="0"/>
        </w:numPr>
        <w:overflowPunct w:val="0"/>
        <w:topLinePunct/>
        <w:spacing w:line="360" w:lineRule="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）具备建设部门颁发的建筑工程施工总承包三级（含）以上资质，具有有效的安全生产许可证</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w:t>
      </w: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1.2.2 商务文件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（2）首次报价一览表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（3）工程量清单报价表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（4）磋商响应单位一般情况表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（5）商务条款偏离表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（6）业绩</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（7）保修期服务承诺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1.2.3 技术文件</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（1）磋商响应单位根据磋商文件采购内容和评分因素，结合自身实际情况编制响应磋商文件的施工组织设计。</w:t>
      </w:r>
    </w:p>
    <w:p>
      <w:pPr>
        <w:adjustRightInd w:val="0"/>
        <w:snapToGrid w:val="0"/>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（2）服务承诺。</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1.3 </w:t>
      </w:r>
      <w:r>
        <w:rPr>
          <w:rFonts w:hint="eastAsia" w:asciiTheme="minorEastAsia" w:hAnsiTheme="minorEastAsia" w:eastAsiaTheme="minorEastAsia" w:cstheme="minorEastAsia"/>
          <w:bCs/>
          <w:sz w:val="24"/>
          <w:lang w:val="zh-CN"/>
        </w:rPr>
        <w:t>磋商响应单位应以采购代理机构提供的响应文件格式编制响应文件，</w:t>
      </w:r>
      <w:r>
        <w:rPr>
          <w:rFonts w:hint="eastAsia" w:asciiTheme="minorEastAsia" w:hAnsiTheme="minorEastAsia" w:eastAsiaTheme="minorEastAsia" w:cstheme="minorEastAsia"/>
          <w:bCs/>
          <w:sz w:val="24"/>
        </w:rPr>
        <w:t>响应文件格式中的表格不能满足填写时可按照格式表格扩展。</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1.4磋商响应单位必须保证响应文件所提供的全部信息和资料是真实和有效的，提供虚假信息和资料的，除按无效文件处理外，还将按照政府采购的有关规定进行处罚。</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 磋商响应单位提交的资料将被保密，且不予退还（原件除外）。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2、响应文件的印制及签署</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 磋商响应文件的正本和所有的副本均需用A4幅面纸张打印（宜双面打印）或用不褪色的蓝（黑）墨水填写，注明“正本”“副本”字样。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 本次磋商需提交纸质响应文件共三份，其中正本1份，副本2份，电子版文件（U盘）1份。</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 磋商响应单位应在响应文件中指定落款处，按文件要求盖章或签字；</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磋商响应单位名称应填写全称，否则按无效投标处理（含不填）；</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 响应文件的任何行间插字、涂改和增删，必须由法定代表人或被授权人在改动处签字或盖章方为有效；</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响应文件因字迹潦草或表达不清所引起的对磋商响应单位不利后果由磋商响应单位自行负责；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 以电报、电话、传真、电子邮件等形式的响应磋商一概不予接受。</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3、响应文件的装订、密封和标记</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3.1 响应文件正、副本分别装订成册，胶装（不允许用可换页的活页夹装订），装订应牢固，内容较多时可分册装订但应注明册序号。</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3.2 响应文件的正本，副本，电子版文件（U盘）分别封装在封袋（包）内，共计三个封袋。全部封袋须密封（封袋不得破损），在封袋（包）正面粘贴标识，封袋（包）封口处用封条密封，封线处加盖单位公章。</w:t>
      </w:r>
    </w:p>
    <w:p>
      <w:pPr>
        <w:adjustRightInd w:val="0"/>
        <w:snapToGrid w:val="0"/>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3.3 电子版文件载体上应标明磋商响应单位名称。</w:t>
      </w:r>
    </w:p>
    <w:p>
      <w:pPr>
        <w:adjustRightInd w:val="0"/>
        <w:snapToGrid w:val="0"/>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Cs/>
          <w:sz w:val="24"/>
        </w:rPr>
        <w:t xml:space="preserve">  ★ </w:t>
      </w:r>
      <w:r>
        <w:rPr>
          <w:rFonts w:hint="eastAsia" w:asciiTheme="minorEastAsia" w:hAnsiTheme="minorEastAsia" w:eastAsiaTheme="minorEastAsia" w:cstheme="minorEastAsia"/>
          <w:b/>
          <w:sz w:val="24"/>
        </w:rPr>
        <w:t>3.4如果响应文件未按上述要求装订、密封、签署、标识的，采购代理机构将拒绝接收或按无效文件处理。</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
          <w:sz w:val="24"/>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3.</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评标所需的原件资料用文件袋袋装提供不需密封（如需），</w:t>
      </w:r>
      <w:r>
        <w:rPr>
          <w:rFonts w:hint="eastAsia" w:asciiTheme="minorEastAsia" w:hAnsiTheme="minorEastAsia" w:eastAsiaTheme="minorEastAsia" w:cstheme="minorEastAsia"/>
          <w:bCs/>
          <w:sz w:val="24"/>
        </w:rPr>
        <w:t>文件袋上应标明单位名称。</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4、报价</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4.1 磋商响应单位应按照磋商文件规定的服务要求，在责任范围和合同条件下进行报价，在响应文件中的首次报价一览表上按要求标明投标总价等项，任何有选择或可调整的报价将不予接受，并按无效投标处理。</w:t>
      </w:r>
    </w:p>
    <w:p>
      <w:pPr>
        <w:widowControl/>
        <w:adjustRightInd w:val="0"/>
        <w:snapToGrid w:val="0"/>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根据</w:t>
      </w:r>
      <w:r>
        <w:rPr>
          <w:rFonts w:hint="eastAsia" w:asciiTheme="minorEastAsia" w:hAnsiTheme="minorEastAsia" w:eastAsiaTheme="minorEastAsia" w:cstheme="minorEastAsia"/>
          <w:color w:val="000000" w:themeColor="text1"/>
          <w:sz w:val="24"/>
          <w14:textFill>
            <w14:solidFill>
              <w14:schemeClr w14:val="tx1"/>
            </w14:solidFill>
          </w14:textFill>
        </w:rPr>
        <w:t>陕西省住房和城乡建设厅陕建发[2009]199号文件规定，本工程的投标报价和竣工结算的计价方式采用工程量清单计价方式，按综合单价法进行计价。投标报价应由投标人按照招标人给定的工程量清单（</w:t>
      </w:r>
      <w:r>
        <w:rPr>
          <w:rFonts w:hint="eastAsia" w:asciiTheme="minorEastAsia" w:hAnsiTheme="minorEastAsia" w:eastAsiaTheme="minorEastAsia" w:cstheme="minorEastAsia"/>
          <w:sz w:val="24"/>
        </w:rPr>
        <w:t>招标人给定清单的工作内容和工程量不允许有任何改变），按照“清单编制说明”，结合施工现场条件、工程特点及拟定的投标施工组织设计或方案以及市场价格信息、企业自身技术力量、设备装备水平、企业管理水平等自主进行报价。</w:t>
      </w:r>
    </w:p>
    <w:p>
      <w:pPr>
        <w:widowControl/>
        <w:spacing w:line="360" w:lineRule="auto"/>
        <w:ind w:firstLine="480" w:firstLineChars="200"/>
        <w:jc w:val="left"/>
        <w:rPr>
          <w:rFonts w:eastAsiaTheme="minorEastAsia"/>
          <w:color w:val="FF0000"/>
          <w:kern w:val="0"/>
          <w:sz w:val="24"/>
        </w:rPr>
      </w:pPr>
      <w:r>
        <w:rPr>
          <w:rFonts w:hint="eastAsia" w:asciiTheme="minorEastAsia" w:hAnsiTheme="minorEastAsia" w:eastAsiaTheme="minorEastAsia" w:cstheme="minorEastAsia"/>
          <w:bCs/>
          <w:sz w:val="24"/>
        </w:rPr>
        <w:t>4.2 磋商</w:t>
      </w:r>
      <w:r>
        <w:rPr>
          <w:rFonts w:hint="eastAsia" w:eastAsiaTheme="minorEastAsia"/>
          <w:color w:val="000000" w:themeColor="text1"/>
          <w:kern w:val="0"/>
          <w:sz w:val="24"/>
          <w14:textFill>
            <w14:solidFill>
              <w14:schemeClr w14:val="tx1"/>
            </w14:solidFill>
          </w14:textFill>
        </w:rPr>
        <w:t>响应单位磋商报价金额不得超过</w:t>
      </w:r>
      <w:r>
        <w:rPr>
          <w:rFonts w:hint="eastAsia" w:eastAsiaTheme="minorEastAsia"/>
          <w:kern w:val="0"/>
          <w:sz w:val="24"/>
        </w:rPr>
        <w:t>采购预算或者最高限价，</w:t>
      </w:r>
      <w:r>
        <w:rPr>
          <w:rFonts w:hint="eastAsia" w:eastAsiaTheme="minorEastAsia"/>
          <w:color w:val="000000" w:themeColor="text1"/>
          <w:kern w:val="0"/>
          <w:sz w:val="24"/>
          <w14:textFill>
            <w14:solidFill>
              <w14:schemeClr w14:val="tx1"/>
            </w14:solidFill>
          </w14:textFill>
        </w:rPr>
        <w:t>首次</w:t>
      </w:r>
      <w:r>
        <w:rPr>
          <w:rFonts w:hint="eastAsia" w:eastAsiaTheme="minorEastAsia"/>
          <w:kern w:val="0"/>
          <w:sz w:val="24"/>
        </w:rPr>
        <w:t>报价超出采购预算或者最高限价的磋商响应单位不进入下一步磋商程序。</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4.3 最低报价不是中标的唯一依据。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4.4 投标货币：一律用人民币填报。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4.5 本项目采用两次报价。响应文件中的报价为第一次报价，磋商最终响应函中的报价为第二次报价即最终报价，报价不得超过磋商最高限价，最终报价不得超过第一次报价，评审以最终报价为依据。</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4.6 磋商响应单位的最终报价在合同执行过程中固定不变，不得以任何理由予以变更。</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5、首次响应文件递交</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响应单位法定代表人或其授权代表人应在磋商须知前附表规定的首次响应文件递交截止时间前将响应文件（须密封）和评标所需原件（如有）送达指定地点，在截止时间后送达的响应文件和任何补充资料采购代理机构将拒绝接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6、响应文件的补充、修改和撤回</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 在首次响应文件递交截止时间前，磋商响应单位可以书面形式提出补充、修改或撤回其递交的响应文件。</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磋商响应单位的补充、修改材料或撤回通知，应按规定进行编制、密封、标记和递交，且在密封袋上标明“磋商响应文件补充”“磋商响应文件修改”或“磋商响应文件撤回通知”字样。</w:t>
      </w:r>
    </w:p>
    <w:p>
      <w:pPr>
        <w:pStyle w:val="2"/>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 在首次响应文件递交截止时间至磋商文件规定的磋商有效期终止日之间的这段时间内，磋商响应单位不能撤回响应文件，否则其响应保证金将不予退还（磋商后退出除外）。</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四、磋商与评审</w:t>
      </w:r>
    </w:p>
    <w:p>
      <w:pPr>
        <w:pStyle w:val="2"/>
        <w:spacing w:line="360" w:lineRule="auto"/>
        <w:ind w:firstLine="480"/>
        <w:rPr>
          <w:rFonts w:ascii="宋体" w:hAnsi="宋体" w:cs="宋体"/>
          <w:sz w:val="24"/>
        </w:rPr>
      </w:pPr>
      <w:r>
        <w:rPr>
          <w:rFonts w:hint="eastAsia" w:asciiTheme="minorEastAsia" w:hAnsiTheme="minorEastAsia" w:eastAsiaTheme="minorEastAsia" w:cstheme="minorEastAsia"/>
          <w:bCs/>
          <w:sz w:val="24"/>
        </w:rPr>
        <w:t>1</w:t>
      </w:r>
      <w:r>
        <w:rPr>
          <w:rFonts w:hint="eastAsia" w:ascii="宋体" w:hAnsi="宋体" w:cs="宋体"/>
          <w:sz w:val="24"/>
        </w:rPr>
        <w:t>、磋商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1.1采购代理机构将在规定的时间和地点组织召开磋商大会。</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应派法定代表人或授权代表参加，参加磋商的代表应签名报到以证明其出席。政府采购监督管理部门可以视情况到场监督磋商情况。</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1.2磋商大会由采购代理机构主持，会议主要内容：</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（1）宣布会场纪律；</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（2）介绍参加磋商大会的单位及工作人员；</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3</w:t>
      </w:r>
      <w:r>
        <w:rPr>
          <w:rFonts w:asciiTheme="minorEastAsia" w:hAnsiTheme="minorEastAsia" w:eastAsiaTheme="minorEastAsia" w:cstheme="minorEastAsia"/>
          <w:sz w:val="24"/>
        </w:rPr>
        <w:t>）所有</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共同检查响应文件的密封情况，当众宣布检查结果；</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4</w:t>
      </w:r>
      <w:r>
        <w:rPr>
          <w:rFonts w:asciiTheme="minorEastAsia" w:hAnsiTheme="minorEastAsia" w:eastAsiaTheme="minorEastAsia" w:cstheme="minorEastAsia"/>
          <w:sz w:val="24"/>
        </w:rPr>
        <w:t>）现场工作人员按</w:t>
      </w:r>
      <w:r>
        <w:rPr>
          <w:rFonts w:hint="eastAsia" w:asciiTheme="minorEastAsia" w:hAnsiTheme="minorEastAsia" w:eastAsiaTheme="minorEastAsia" w:cstheme="minorEastAsia"/>
          <w:sz w:val="24"/>
        </w:rPr>
        <w:t>签到先后</w:t>
      </w:r>
      <w:r>
        <w:rPr>
          <w:rFonts w:asciiTheme="minorEastAsia" w:hAnsiTheme="minorEastAsia" w:eastAsiaTheme="minorEastAsia" w:cstheme="minorEastAsia"/>
          <w:sz w:val="24"/>
        </w:rPr>
        <w:t>顺序当众开启响应文件；</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5</w:t>
      </w:r>
      <w:r>
        <w:rPr>
          <w:rFonts w:asciiTheme="minorEastAsia" w:hAnsiTheme="minorEastAsia" w:eastAsiaTheme="minorEastAsia" w:cstheme="minorEastAsia"/>
          <w:sz w:val="24"/>
        </w:rPr>
        <w:t>）响应文件初审（</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离场）；</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6</w:t>
      </w:r>
      <w:r>
        <w:rPr>
          <w:rFonts w:asciiTheme="minorEastAsia" w:hAnsiTheme="minorEastAsia" w:eastAsiaTheme="minorEastAsia" w:cstheme="minorEastAsia"/>
          <w:sz w:val="24"/>
        </w:rPr>
        <w:t>）根据情况，磋商小组集中与单一</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一对一磋商；</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7</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磋商响应单位</w:t>
      </w:r>
      <w:r>
        <w:rPr>
          <w:rFonts w:asciiTheme="minorEastAsia" w:hAnsiTheme="minorEastAsia" w:eastAsiaTheme="minorEastAsia" w:cstheme="minorEastAsia"/>
          <w:sz w:val="24"/>
        </w:rPr>
        <w:t>磋商响应及递交最终响应函（含最终报价）；</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8</w:t>
      </w:r>
      <w:r>
        <w:rPr>
          <w:rFonts w:asciiTheme="minorEastAsia" w:hAnsiTheme="minorEastAsia" w:eastAsiaTheme="minorEastAsia" w:cstheme="minorEastAsia"/>
          <w:sz w:val="24"/>
        </w:rPr>
        <w:t>）磋商大会结束；</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2、响应文件的评</w:t>
      </w:r>
      <w:r>
        <w:rPr>
          <w:rFonts w:hint="eastAsia" w:asciiTheme="minorEastAsia" w:hAnsiTheme="minorEastAsia" w:eastAsiaTheme="minorEastAsia" w:cstheme="minorEastAsia"/>
          <w:sz w:val="24"/>
        </w:rPr>
        <w:t>审</w:t>
      </w:r>
      <w:r>
        <w:rPr>
          <w:rFonts w:asciiTheme="minorEastAsia" w:hAnsiTheme="minorEastAsia" w:eastAsiaTheme="minorEastAsia" w:cstheme="minorEastAsia"/>
          <w:sz w:val="24"/>
        </w:rPr>
        <w:t>和比较</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2.1 磋商小组将按照磋商文件规定的评审办法进行评审。</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2.2 磋商方法具体见第四章。</w:t>
      </w:r>
    </w:p>
    <w:p>
      <w:pPr>
        <w:pStyle w:val="2"/>
        <w:spacing w:line="360" w:lineRule="auto"/>
        <w:ind w:firstLine="480"/>
        <w:rPr>
          <w:rFonts w:asciiTheme="minorEastAsia" w:hAnsiTheme="minorEastAsia" w:eastAsiaTheme="minorEastAsia" w:cstheme="minorEastAsia"/>
          <w:sz w:val="24"/>
        </w:rPr>
      </w:pPr>
      <w:r>
        <w:rPr>
          <w:rFonts w:asciiTheme="minorEastAsia" w:hAnsiTheme="minorEastAsia" w:eastAsiaTheme="minorEastAsia" w:cstheme="minorEastAsia"/>
          <w:sz w:val="24"/>
        </w:rPr>
        <w:t>3、推荐成交候选人</w:t>
      </w:r>
    </w:p>
    <w:p>
      <w:pPr>
        <w:adjustRightInd w:val="0"/>
        <w:snapToGrid w:val="0"/>
        <w:spacing w:line="360" w:lineRule="auto"/>
        <w:ind w:firstLine="480" w:firstLineChars="200"/>
        <w:rPr>
          <w:bCs/>
          <w:sz w:val="24"/>
        </w:rPr>
      </w:pPr>
      <w:r>
        <w:rPr>
          <w:rFonts w:hint="eastAsia" w:ascii="宋体" w:hAnsi="宋体" w:cs="宋体"/>
          <w:bCs/>
          <w:sz w:val="24"/>
        </w:rPr>
        <w:t xml:space="preserve">3.1 </w:t>
      </w:r>
      <w:r>
        <w:rPr>
          <w:rFonts w:hint="eastAsia" w:ascii="宋体" w:hAnsi="宋体" w:cs="宋体"/>
          <w:bCs/>
          <w:spacing w:val="-4"/>
          <w:sz w:val="24"/>
        </w:rPr>
        <w:t>磋</w:t>
      </w:r>
      <w:r>
        <w:rPr>
          <w:bCs/>
          <w:spacing w:val="-4"/>
          <w:sz w:val="24"/>
        </w:rPr>
        <w:t>商小组将磋商情况及评审结果写成书面报告，按照综合得分由高至低顺序，推荐3名成交候选</w:t>
      </w:r>
      <w:r>
        <w:rPr>
          <w:bCs/>
          <w:sz w:val="24"/>
        </w:rPr>
        <w:t>人。</w:t>
      </w:r>
    </w:p>
    <w:p>
      <w:pPr>
        <w:adjustRightInd w:val="0"/>
        <w:snapToGrid w:val="0"/>
        <w:spacing w:line="360" w:lineRule="auto"/>
        <w:ind w:firstLine="480"/>
        <w:rPr>
          <w:bCs/>
          <w:sz w:val="24"/>
        </w:rPr>
      </w:pPr>
      <w:r>
        <w:rPr>
          <w:rFonts w:hint="eastAsia" w:ascii="宋体" w:hAnsi="宋体" w:cs="宋体"/>
          <w:bCs/>
          <w:sz w:val="24"/>
        </w:rPr>
        <w:t xml:space="preserve">3.2 </w:t>
      </w:r>
      <w:r>
        <w:rPr>
          <w:bCs/>
          <w:sz w:val="24"/>
        </w:rPr>
        <w:t>成交候选人综合得分相同的，按磋商报价由低到高顺序排列。得分且磋商报价相同的，按技术指标优劣顺序排列。</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4、磋商过程的保密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凡属于对响应文件的审查、澄清、评审和比较有关的资料、成交候选人的推荐情况，以及与磋商有关的其它任何情况均严格保密，任何磋商响应单位不得向磋商小组人员或其他有关人员索问磋商过程的情况和材料。采购代理机构不向未成交磋商响应单位解释未成交原因，不退还响应文件。</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五、确定磋商响应单位</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1、确定磋商响应单位的原则</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采购人根据磋商小组推荐的成交候选人名单，按排序确定磋商响应单位。</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2、确定磋商响应单位的程序</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2.1 采购代理机构在磋商结束后</w:t>
      </w:r>
      <w:r>
        <w:rPr>
          <w:rFonts w:hint="eastAsia" w:asciiTheme="minorEastAsia" w:hAnsiTheme="minorEastAsia" w:eastAsiaTheme="minorEastAsia" w:cstheme="minorEastAsia"/>
          <w:bCs/>
          <w:sz w:val="24"/>
          <w:highlight w:val="none"/>
          <w:lang w:val="en-US" w:eastAsia="zh-CN"/>
        </w:rPr>
        <w:t>1</w:t>
      </w:r>
      <w:r>
        <w:rPr>
          <w:rFonts w:hint="eastAsia" w:asciiTheme="minorEastAsia" w:hAnsiTheme="minorEastAsia" w:eastAsiaTheme="minorEastAsia" w:cstheme="minorEastAsia"/>
          <w:bCs/>
          <w:sz w:val="24"/>
          <w:highlight w:val="none"/>
        </w:rPr>
        <w:t>个工作日内将磋商报告送采购人。</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2.2 采购人在收到磋商报告后</w:t>
      </w:r>
      <w:r>
        <w:rPr>
          <w:rFonts w:hint="eastAsia" w:asciiTheme="minorEastAsia" w:hAnsiTheme="minorEastAsia" w:eastAsiaTheme="minorEastAsia" w:cstheme="minorEastAsia"/>
          <w:bCs/>
          <w:sz w:val="24"/>
          <w:highlight w:val="none"/>
          <w:lang w:val="en-US" w:eastAsia="zh-CN"/>
        </w:rPr>
        <w:t>4</w:t>
      </w:r>
      <w:r>
        <w:rPr>
          <w:rFonts w:hint="eastAsia" w:asciiTheme="minorEastAsia" w:hAnsiTheme="minorEastAsia" w:eastAsiaTheme="minorEastAsia" w:cstheme="minorEastAsia"/>
          <w:bCs/>
          <w:sz w:val="24"/>
          <w:highlight w:val="none"/>
        </w:rPr>
        <w:t>个工作日内，按照磋商报告中推荐的成交候选人顺序确定成交人，同时函复采购代理机构。</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2.3采购代理机构收到采购人定标通知（成交复函）后，在陕西省政府采购网发布公告，公示期满无异议后，以书面形式发出成交通知书。如有特殊原因也可延期发出，但发出时间不超过磋商有效期。</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 成交通知书作为签订合同的法律依据。成交通知书发出后，采购人改变磋商结果，或者成交人无正当理由放弃的，应当承担相应的法律责任。</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3、磋商结果的公示和异议</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3.1 磋商结束后，采购人或采购代理机构自成交磋商响应单位确定之日起1个工作日在陕西省政府采购网公告成交结果，公示期1个工作日。</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3.2 磋商响应单位或者其他利害关系人对磋商结果有异议的，可以在知道或者应知其权益受到损害之日起7个工作日内，以书面形式向采购人或代理机构提出质疑。</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1、签订合同</w:t>
      </w:r>
    </w:p>
    <w:p>
      <w:pPr>
        <w:pStyle w:val="18"/>
        <w:adjustRightInd w:val="0"/>
        <w:snapToGrid w:val="0"/>
        <w:spacing w:after="0" w:line="360" w:lineRule="auto"/>
        <w:ind w:left="0" w:leftChars="0"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 采购人和成交磋商响应单位应当自成交通知书发出之日起30天内，根据磋商文件和成交磋商响应单位的响应文件订立书面合同。</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 成交通知书、磋商文件、响应文件及其澄清文件等，均为合同的组成部分，与合同具有同等法律效力。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发出成交通知书后，因成交磋商响应单位的原因，不与采购人签订合同的，采购人将废除其成交资格。</w:t>
      </w:r>
    </w:p>
    <w:p>
      <w:pPr>
        <w:numPr>
          <w:ilvl w:val="0"/>
          <w:numId w:val="5"/>
        </w:num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履约保证金</w:t>
      </w:r>
    </w:p>
    <w:p>
      <w:pPr>
        <w:adjustRightInd w:val="0"/>
        <w:snapToGrid w:val="0"/>
        <w:spacing w:line="360" w:lineRule="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    成交磋商响应单位与采购人签订合同后，成交磋商响应单位应向采购人提交履约保证金，形式见合同要求。</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3、签订合同时变更数量的权力</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采购合同履行过程中，采购人需要追加与合同标的相同的货物或者服务的，在不改变合同其他条款的前提下，可以与成交磋商响应单位协商签订补充合同，但不得超过原合同采购金额的百分之十。</w:t>
      </w:r>
    </w:p>
    <w:p>
      <w:pPr>
        <w:pStyle w:val="4"/>
        <w:adjustRightInd w:val="0"/>
        <w:snapToGrid w:val="0"/>
        <w:spacing w:before="0" w:after="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w:t>
      </w:r>
      <w:r>
        <w:rPr>
          <w:rFonts w:hint="eastAsia" w:asciiTheme="minorEastAsia" w:hAnsiTheme="minorEastAsia" w:eastAsiaTheme="minorEastAsia" w:cstheme="minorEastAsia"/>
          <w:sz w:val="24"/>
          <w:szCs w:val="24"/>
          <w:lang w:val="zh-CN"/>
        </w:rPr>
        <w:t>询问与质疑</w:t>
      </w:r>
    </w:p>
    <w:p>
      <w:pPr>
        <w:adjustRightInd w:val="0"/>
        <w:snapToGrid w:val="0"/>
        <w:spacing w:line="360" w:lineRule="auto"/>
        <w:ind w:firstLine="480" w:firstLineChars="200"/>
        <w:rPr>
          <w:rFonts w:asciiTheme="minorEastAsia" w:hAnsiTheme="minorEastAsia" w:eastAsiaTheme="minorEastAsia" w:cstheme="minorEastAsia"/>
          <w:bCs/>
          <w:sz w:val="24"/>
          <w:lang w:val="zh-CN"/>
        </w:rPr>
      </w:pPr>
      <w:r>
        <w:rPr>
          <w:rFonts w:hint="eastAsia" w:asciiTheme="minorEastAsia" w:hAnsiTheme="minorEastAsia" w:eastAsiaTheme="minorEastAsia" w:cstheme="minorEastAsia"/>
          <w:bCs/>
          <w:sz w:val="24"/>
        </w:rPr>
        <w:t>1、</w:t>
      </w:r>
      <w:r>
        <w:rPr>
          <w:rFonts w:hint="eastAsia" w:asciiTheme="minorEastAsia" w:hAnsiTheme="minorEastAsia" w:eastAsiaTheme="minorEastAsia" w:cstheme="minorEastAsia"/>
          <w:bCs/>
          <w:sz w:val="24"/>
          <w:lang w:val="zh-CN"/>
        </w:rPr>
        <w:t>磋商程序受《中华人民共和国政府采购法》和相关法律及行政命令约束，并受到严格的内部监督，以确保授予合同过程的公平公正。</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2、采购代理机构质疑受理：</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联系电话：</w:t>
      </w:r>
      <w:r>
        <w:rPr>
          <w:rFonts w:hint="eastAsia" w:ascii="宋体" w:hAnsi="宋体" w:eastAsiaTheme="minorEastAsia"/>
          <w:color w:val="000000"/>
          <w:kern w:val="0"/>
          <w:sz w:val="24"/>
          <w:lang w:eastAsia="zh-CN"/>
        </w:rPr>
        <w:t>18291007036</w:t>
      </w:r>
      <w:r>
        <w:rPr>
          <w:rFonts w:hint="eastAsia" w:asciiTheme="minorEastAsia" w:hAnsiTheme="minorEastAsia" w:eastAsiaTheme="minorEastAsia" w:cstheme="minorEastAsia"/>
          <w:bCs/>
          <w:sz w:val="24"/>
        </w:rPr>
        <w:t>，联系人：</w:t>
      </w:r>
      <w:r>
        <w:rPr>
          <w:rFonts w:hint="eastAsia" w:asciiTheme="minorEastAsia" w:hAnsiTheme="minorEastAsia" w:eastAsiaTheme="minorEastAsia" w:cstheme="minorEastAsia"/>
          <w:bCs/>
          <w:sz w:val="24"/>
          <w:lang w:eastAsia="zh-CN"/>
        </w:rPr>
        <w:t>陈工</w:t>
      </w:r>
      <w:r>
        <w:rPr>
          <w:rFonts w:hint="eastAsia" w:asciiTheme="minorEastAsia" w:hAnsiTheme="minorEastAsia" w:eastAsiaTheme="minorEastAsia" w:cstheme="minorEastAsia"/>
          <w:bCs/>
          <w:sz w:val="24"/>
        </w:rPr>
        <w:t>。</w:t>
      </w:r>
    </w:p>
    <w:p>
      <w:pPr>
        <w:adjustRightInd w:val="0"/>
        <w:snapToGrid w:val="0"/>
        <w:spacing w:line="360" w:lineRule="auto"/>
        <w:ind w:firstLine="480" w:firstLineChars="200"/>
        <w:rPr>
          <w:rFonts w:ascii="宋体" w:hAnsi="宋体" w:cs="宋体"/>
          <w:color w:val="000000"/>
          <w:kern w:val="0"/>
          <w:sz w:val="24"/>
          <w:lang w:val="zh-CN"/>
        </w:rPr>
      </w:pP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bCs/>
          <w:sz w:val="24"/>
          <w:lang w:val="zh-CN"/>
        </w:rPr>
        <w:t>磋商响应单位对磋商文件条款或技术、商务参数有异议的，应当在磋商前通过</w:t>
      </w:r>
      <w:r>
        <w:rPr>
          <w:rFonts w:hint="eastAsia" w:ascii="宋体" w:hAnsi="宋体" w:cs="宋体"/>
          <w:color w:val="000000"/>
          <w:kern w:val="0"/>
          <w:sz w:val="24"/>
          <w:lang w:val="zh-CN"/>
        </w:rPr>
        <w:t>澄清或修改程序提出。</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磋商响应单位对采购事项有疑问的，可以向采购代理机构（或采购人）提出询问。</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5、</w:t>
      </w:r>
      <w:r>
        <w:rPr>
          <w:rFonts w:hint="eastAsia" w:ascii="宋体" w:hAnsi="宋体" w:cs="宋体"/>
          <w:color w:val="000000"/>
          <w:kern w:val="0"/>
          <w:sz w:val="24"/>
          <w:lang w:val="zh-CN"/>
        </w:rPr>
        <w:t>磋商响应单位认为其磋商响应文件未获公平评审或采购过程和磋商结果使自己的合法权益受到损害的，应当在知道或者应知其权益受到损害之日起7个工作日内提出质疑。</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6、</w:t>
      </w:r>
      <w:r>
        <w:rPr>
          <w:rFonts w:hint="eastAsia" w:ascii="宋体" w:hAnsi="宋体" w:cs="宋体"/>
          <w:color w:val="000000"/>
          <w:kern w:val="0"/>
          <w:sz w:val="24"/>
          <w:lang w:val="zh-CN"/>
        </w:rPr>
        <w:t>质疑应当以书面形式向采购代理机构（或采购人）提出，经法定代表人签字并加盖公章。</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7、</w:t>
      </w:r>
      <w:r>
        <w:rPr>
          <w:rFonts w:hint="eastAsia" w:ascii="宋体" w:hAnsi="宋体" w:cs="宋体"/>
          <w:color w:val="000000"/>
          <w:kern w:val="0"/>
          <w:sz w:val="24"/>
          <w:lang w:val="zh-CN"/>
        </w:rPr>
        <w:t>质疑书应当包括以下主要内容：被质疑项目名称、项目编号、磋商公告发布时间、质疑事项、法律依据（具体条款）、质疑人全称、法定代表人签字、盖章、有效联系方式（包括手机、传真号码）。</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8、</w:t>
      </w:r>
      <w:r>
        <w:rPr>
          <w:rFonts w:hint="eastAsia" w:ascii="宋体" w:hAnsi="宋体" w:cs="宋体"/>
          <w:color w:val="000000"/>
          <w:kern w:val="0"/>
          <w:sz w:val="24"/>
          <w:lang w:val="zh-CN"/>
        </w:rPr>
        <w:t>质疑应按照“谁主张、谁举证”的原则，质疑书应当附相关证明材料。质疑材料应为简体中文，一式二份。</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9、</w:t>
      </w:r>
      <w:r>
        <w:rPr>
          <w:rFonts w:hint="eastAsia" w:ascii="宋体" w:hAnsi="宋体" w:cs="宋体"/>
          <w:color w:val="000000"/>
          <w:kern w:val="0"/>
          <w:sz w:val="24"/>
          <w:lang w:val="zh-CN"/>
        </w:rPr>
        <w:t>有下列情形之一的，属于无效质疑，采购代理机构（或采购人）可不予受理：</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（1）未在有效期限内提出质疑的；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（2）质疑未以书面形式提出的；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（3）所提交材料未明示属于质疑材料的；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（4）质疑书没有法定代表人签署本人姓名或印盖本人姓名章并加盖单位公章的；质疑书由参加采购项目的授权代表签署本人姓名或印盖本人姓名章，但没有法定代表人特别授权的；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（5）质疑书未提供有效联系人或联系方式的；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（6）质疑事项已经进入投诉或者行政复议或者诉讼程序的；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（7）质疑书未附相关证明材料，被视为无有效证据支持的。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（8）磋商响应单位对磋商文件条款或技术参数有异议，未在评审前通过澄清或修改程序提出，并且磋商响应单位已经参与磋商，而于评审后对磋商文件提出质疑的；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（9）在提出本次质疑前半年内连续三次质疑而无事实依据的；</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（10）其它不符合受理条件的情形。</w:t>
      </w:r>
    </w:p>
    <w:p>
      <w:pPr>
        <w:spacing w:line="360" w:lineRule="auto"/>
        <w:ind w:firstLine="480" w:firstLineChars="200"/>
        <w:rPr>
          <w:rFonts w:ascii="宋体" w:hAnsi="宋体" w:cs="宋体"/>
          <w:color w:val="000000"/>
          <w:kern w:val="0"/>
          <w:sz w:val="24"/>
          <w:lang w:val="zh-CN"/>
        </w:rPr>
      </w:pPr>
      <w:r>
        <w:rPr>
          <w:rFonts w:hint="eastAsia" w:ascii="宋体" w:hAnsi="宋体" w:cs="宋体"/>
          <w:color w:val="000000"/>
          <w:kern w:val="0"/>
          <w:sz w:val="24"/>
        </w:rPr>
        <w:t>10、</w:t>
      </w:r>
      <w:r>
        <w:rPr>
          <w:rFonts w:hint="eastAsia" w:ascii="宋体" w:hAnsi="宋体" w:cs="宋体"/>
          <w:color w:val="000000"/>
          <w:kern w:val="0"/>
          <w:sz w:val="24"/>
          <w:lang w:val="zh-CN"/>
        </w:rPr>
        <w:t>采购代理机构（或采购人）将在收到书面质疑后7个工作日内审查质疑事项，做出答复或相关处理决定，并以书面形式通知质疑磋商响应单位和其他有关磋商响应单位，但答复的内容不涉及商业秘密。</w:t>
      </w:r>
    </w:p>
    <w:p>
      <w:pPr>
        <w:pStyle w:val="18"/>
        <w:adjustRightInd w:val="0"/>
        <w:snapToGrid w:val="0"/>
        <w:spacing w:after="0" w:line="360" w:lineRule="auto"/>
        <w:ind w:left="0" w:leftChars="0"/>
        <w:rPr>
          <w:rFonts w:asciiTheme="minorEastAsia" w:hAnsiTheme="minorEastAsia" w:eastAsiaTheme="minorEastAsia" w:cstheme="minorEastAsia"/>
          <w:sz w:val="24"/>
        </w:rPr>
      </w:pPr>
      <w:r>
        <w:rPr>
          <w:rFonts w:hint="eastAsia" w:ascii="宋体" w:hAnsi="宋体" w:cs="宋体"/>
          <w:color w:val="000000"/>
          <w:kern w:val="0"/>
          <w:sz w:val="24"/>
        </w:rPr>
        <w:t>　　11、</w:t>
      </w:r>
      <w:r>
        <w:rPr>
          <w:rFonts w:hint="eastAsia" w:ascii="宋体" w:hAnsi="宋体" w:cs="宋体"/>
          <w:color w:val="000000"/>
          <w:kern w:val="0"/>
          <w:sz w:val="24"/>
          <w:lang w:val="zh-CN"/>
        </w:rPr>
        <w:t>质疑磋商响应单位对采购代理机构（或采购人）的答复不满意以及采购代理机构（或采购人）未在规定的时间内做出答复的，可以在答复期满后15个工作日内向政府采购监管部门投诉。</w:t>
      </w:r>
    </w:p>
    <w:p>
      <w:pPr>
        <w:pStyle w:val="4"/>
        <w:adjustRightInd w:val="0"/>
        <w:snapToGrid w:val="0"/>
        <w:spacing w:before="120" w:after="120"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八、其 他</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1、招标代理服务费</w:t>
      </w:r>
      <w:r>
        <w:rPr>
          <w:rFonts w:hint="eastAsia" w:asciiTheme="minorEastAsia" w:hAnsiTheme="minorEastAsia" w:eastAsiaTheme="minorEastAsia" w:cstheme="minorEastAsia"/>
          <w:sz w:val="24"/>
        </w:rPr>
        <w:t>及造价咨询费用</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1.1 </w:t>
      </w:r>
      <w:r>
        <w:rPr>
          <w:rFonts w:hint="eastAsia" w:asciiTheme="minorEastAsia" w:hAnsiTheme="minorEastAsia" w:eastAsiaTheme="minorEastAsia" w:cstheme="minorEastAsia"/>
          <w:sz w:val="24"/>
        </w:rPr>
        <w:t>按国家发展计划委员会文件计价格【2002】1980号、发改价格【2011】534号、发改价格的【2015】299号及陕价行发【2014】88号，招标代理费用及造价咨询费根据实际成交价格据实结算，由成交单位进行支付。</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1.2 成交磋商响应单位应依据以上内容在领取中标通知书前向采购代理机构足额</w:t>
      </w:r>
      <w:r>
        <w:rPr>
          <w:rFonts w:hint="eastAsia" w:asciiTheme="minorEastAsia" w:hAnsiTheme="minorEastAsia" w:eastAsiaTheme="minorEastAsia" w:cstheme="minorEastAsia"/>
          <w:bCs/>
          <w:sz w:val="24"/>
        </w:rPr>
        <w:t>交纳招标代理服务费及造价咨询费。</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 招标代理服务费及造价咨询费以银行转账形式缴纳。</w:t>
      </w:r>
    </w:p>
    <w:p>
      <w:pPr>
        <w:adjustRightInd w:val="0"/>
        <w:snapToGrid w:val="0"/>
        <w:spacing w:line="360" w:lineRule="auto"/>
        <w:ind w:firstLine="480" w:firstLineChars="2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 成交磋商响应单位服务费交纳信息</w:t>
      </w:r>
    </w:p>
    <w:p>
      <w:pPr>
        <w:adjustRightInd w:val="0"/>
        <w:snapToGrid w:val="0"/>
        <w:spacing w:line="360" w:lineRule="auto"/>
        <w:ind w:firstLine="480" w:firstLineChars="20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户    名：</w:t>
      </w:r>
      <w:r>
        <w:rPr>
          <w:rFonts w:hint="eastAsia" w:asciiTheme="minorEastAsia" w:hAnsiTheme="minorEastAsia" w:eastAsiaTheme="minorEastAsia" w:cstheme="minorEastAsia"/>
          <w:bCs/>
          <w:sz w:val="24"/>
          <w:lang w:eastAsia="zh-CN"/>
        </w:rPr>
        <w:t>远创项目管理有限公司</w:t>
      </w:r>
    </w:p>
    <w:p>
      <w:pPr>
        <w:adjustRightInd w:val="0"/>
        <w:snapToGrid w:val="0"/>
        <w:spacing w:line="360" w:lineRule="auto"/>
        <w:ind w:firstLine="480" w:firstLineChars="200"/>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开户银行：</w:t>
      </w:r>
      <w:r>
        <w:rPr>
          <w:rFonts w:hint="eastAsia" w:asciiTheme="minorEastAsia" w:hAnsiTheme="minorEastAsia" w:eastAsiaTheme="minorEastAsia" w:cstheme="minorEastAsia"/>
          <w:bCs/>
          <w:sz w:val="24"/>
          <w:lang w:eastAsia="zh-CN"/>
        </w:rPr>
        <w:t>西安银行股份有限公司长安西路支行</w:t>
      </w:r>
    </w:p>
    <w:p>
      <w:pPr>
        <w:adjustRightInd w:val="0"/>
        <w:snapToGrid w:val="0"/>
        <w:spacing w:line="360" w:lineRule="auto"/>
        <w:ind w:firstLine="480" w:firstLineChars="200"/>
        <w:rPr>
          <w:rFonts w:hint="default"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rPr>
        <w:t>账    号：</w:t>
      </w:r>
      <w:r>
        <w:rPr>
          <w:rFonts w:hint="eastAsia" w:asciiTheme="minorEastAsia" w:hAnsiTheme="minorEastAsia" w:eastAsiaTheme="minorEastAsia" w:cstheme="minorEastAsia"/>
          <w:bCs/>
          <w:sz w:val="24"/>
          <w:lang w:val="en-US" w:eastAsia="zh-CN"/>
        </w:rPr>
        <w:t>515011580000143343</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2、本项目落实的政府采购政策：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 投标企业政府采购政策</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2.1.1中小企业落实政府采购政策</w:t>
      </w:r>
    </w:p>
    <w:p>
      <w:pPr>
        <w:adjustRightInd w:val="0"/>
        <w:snapToGrid w:val="0"/>
        <w:spacing w:line="360" w:lineRule="auto"/>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rPr>
        <w:t>　　（1）中小企业应符合工信部联企业[2011]300号文件规定，采购活动执行《政府采购促进中小企业发展管理办法》的规定。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监狱和戒毒企业应符合《财政部司法部关于政府采购支持监狱企业发展有关问题的通知》--财库〔2014〕68号，并提供由省级以上监狱管理局、戒毒管理局(含新疆生产建设兵团)出具的属于监狱企业的证明。</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磋商响应单位应如实提供以上证明文件，如存在虚假应标，将取消其投标资格。</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3</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在采购过程中符合要求磋商响应单位或者报价未超出采购预算的磋商响应单位不足</w:t>
      </w:r>
      <w:r>
        <w:rPr>
          <w:rFonts w:hint="eastAsia" w:asciiTheme="minorEastAsia" w:hAnsiTheme="minorEastAsia" w:eastAsiaTheme="minorEastAsia" w:cstheme="minorEastAsia"/>
          <w:sz w:val="24"/>
          <w:lang w:val="zh-CN"/>
        </w:rPr>
        <w:t>3家的，采购代理机构请示监督机构后，终止竞争性磋商活动或继续磋商。</w:t>
      </w:r>
    </w:p>
    <w:p>
      <w:pPr>
        <w:adjustRightInd w:val="0"/>
        <w:snapToGrid w:val="0"/>
        <w:spacing w:line="360" w:lineRule="auto"/>
        <w:ind w:firstLine="240" w:firstLineChars="1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　4</w:t>
      </w:r>
      <w:r>
        <w:rPr>
          <w:rFonts w:hint="eastAsia" w:asciiTheme="minorEastAsia" w:hAnsiTheme="minorEastAsia" w:eastAsiaTheme="minorEastAsia" w:cstheme="minorEastAsia"/>
          <w:sz w:val="24"/>
          <w:lang w:val="zh-CN"/>
        </w:rPr>
        <w:t>、确定成交单位后，成交单位无正当理由拖延或拒签合同，采购人有权取消其成交资格，并报请监督机构予以通报，取消其进入政府采购市场的资格，并按规定予以处罚。</w:t>
      </w:r>
    </w:p>
    <w:p>
      <w:pPr>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bookmarkStart w:id="4" w:name="_Toc1185"/>
      <w:bookmarkStart w:id="5" w:name="_Toc7524"/>
      <w:r>
        <w:rPr>
          <w:rFonts w:hint="eastAsia" w:asciiTheme="minorEastAsia" w:hAnsiTheme="minorEastAsia" w:eastAsiaTheme="minorEastAsia" w:cstheme="minorEastAsia"/>
          <w:sz w:val="24"/>
        </w:rPr>
        <w:t>信用担保</w:t>
      </w:r>
      <w:bookmarkEnd w:id="4"/>
      <w:r>
        <w:rPr>
          <w:rFonts w:hint="eastAsia" w:asciiTheme="minorEastAsia" w:hAnsiTheme="minorEastAsia" w:eastAsiaTheme="minorEastAsia" w:cstheme="minorEastAsia"/>
          <w:sz w:val="24"/>
        </w:rPr>
        <w:t>及信用融资</w:t>
      </w:r>
      <w:bookmarkEnd w:id="5"/>
    </w:p>
    <w:p>
      <w:pPr>
        <w:adjustRightInd w:val="0"/>
        <w:snapToGrid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5.1陕西省政府采购信用担保及信用融资政策：</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ighlight w:val="none"/>
          <w:lang w:val="en-US" w:eastAsia="zh-CN"/>
        </w:rPr>
      </w:pPr>
      <w:r>
        <w:rPr>
          <w:rFonts w:hint="eastAsia" w:ascii="宋体" w:hAnsi="宋体" w:cs="宋体"/>
          <w:b w:val="0"/>
          <w:bCs w:val="0"/>
          <w:sz w:val="24"/>
          <w:szCs w:val="24"/>
          <w:highlight w:val="none"/>
          <w:lang w:val="en-US" w:eastAsia="zh-CN"/>
        </w:rPr>
        <w:t>（2）西安市政府采购信用担保及信用融资政策：为发挥政府采购促进中小企业发展的政策功能，西安市财政局制定了《西安市政府采购信用担保及信用融资工作实施方案（试行）》（市财发〔2014〕167），为参与西安市市级政府采购项目的供应商提供政府采购信用担保和融资服务，并按照程序确定了合作的担保机构和商业银行。成交供应商缴纳履约保证金时可自愿选择通过担保机构保函的形式缴纳；成交供应商如果需要融资贷款服务的，可凭成交通知书、政府采购合同等相关资料，按照实施方案规定的程序申请办理。</w:t>
      </w:r>
      <w:r>
        <w:rPr>
          <w:rFonts w:hint="eastAsia"/>
          <w:highlight w:val="none"/>
          <w:lang w:val="en-US" w:eastAsia="zh-CN"/>
        </w:rPr>
        <w:tab/>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（3）陕西省政府采购支持中小企业信用融资合作银行名单详见（陕西省政府采购网-采购动态-重要通知http://www.ccgp-shaanxi.gov.cn/）。</w:t>
      </w:r>
    </w:p>
    <w:p>
      <w:pPr>
        <w:pStyle w:val="17"/>
        <w:rPr>
          <w:lang w:val="zh-CN"/>
        </w:rPr>
      </w:pPr>
    </w:p>
    <w:p>
      <w:pPr>
        <w:pStyle w:val="17"/>
        <w:rPr>
          <w:lang w:val="zh-CN"/>
        </w:rPr>
      </w:pPr>
      <w:r>
        <w:rPr>
          <w:lang w:val="zh-CN"/>
        </w:rPr>
        <w:br w:type="page"/>
      </w:r>
    </w:p>
    <w:p>
      <w:pPr>
        <w:pStyle w:val="3"/>
        <w:numPr>
          <w:ilvl w:val="0"/>
          <w:numId w:val="0"/>
        </w:numPr>
        <w:adjustRightInd w:val="0"/>
        <w:snapToGrid w:val="0"/>
        <w:spacing w:after="156" w:afterLines="50" w:line="360" w:lineRule="auto"/>
        <w:ind w:firstLine="1606" w:firstLineChars="500"/>
        <w:jc w:val="both"/>
        <w:rPr>
          <w:bCs/>
          <w:sz w:val="24"/>
        </w:rPr>
      </w:pPr>
      <w:bookmarkStart w:id="6" w:name="_Toc22384"/>
      <w:bookmarkStart w:id="7" w:name="_Toc414957201"/>
      <w:bookmarkStart w:id="8" w:name="_Toc22540"/>
      <w:bookmarkStart w:id="9" w:name="_Toc414957515"/>
      <w:r>
        <w:rPr>
          <w:rFonts w:hint="eastAsia" w:asciiTheme="majorEastAsia" w:hAnsiTheme="majorEastAsia" w:eastAsiaTheme="majorEastAsia" w:cstheme="majorEastAsia"/>
          <w:b/>
          <w:bCs/>
          <w:kern w:val="2"/>
          <w:sz w:val="32"/>
          <w:szCs w:val="32"/>
        </w:rPr>
        <w:t>第三章</w:t>
      </w:r>
      <w:bookmarkStart w:id="10" w:name="OLE_LINK11"/>
      <w:r>
        <w:rPr>
          <w:rFonts w:hint="eastAsia" w:asciiTheme="majorEastAsia" w:hAnsiTheme="majorEastAsia" w:eastAsiaTheme="majorEastAsia" w:cstheme="majorEastAsia"/>
          <w:b/>
          <w:bCs/>
          <w:kern w:val="2"/>
          <w:sz w:val="32"/>
          <w:szCs w:val="32"/>
        </w:rPr>
        <w:t>　磋商响应单位资格证明</w:t>
      </w:r>
      <w:bookmarkEnd w:id="10"/>
      <w:r>
        <w:rPr>
          <w:rFonts w:hint="eastAsia" w:asciiTheme="majorEastAsia" w:hAnsiTheme="majorEastAsia" w:eastAsiaTheme="majorEastAsia" w:cstheme="majorEastAsia"/>
          <w:b/>
          <w:bCs/>
          <w:kern w:val="2"/>
          <w:sz w:val="32"/>
          <w:szCs w:val="32"/>
        </w:rPr>
        <w:t>文件</w:t>
      </w:r>
      <w:bookmarkEnd w:id="6"/>
    </w:p>
    <w:p>
      <w:pPr>
        <w:pStyle w:val="18"/>
        <w:kinsoku w:val="0"/>
        <w:autoSpaceDE w:val="0"/>
        <w:autoSpaceDN w:val="0"/>
        <w:adjustRightInd w:val="0"/>
        <w:snapToGrid w:val="0"/>
        <w:spacing w:after="0" w:line="360" w:lineRule="auto"/>
        <w:ind w:left="0" w:leftChars="0"/>
        <w:rPr>
          <w:rFonts w:ascii="宋体" w:hAnsi="宋体" w:cs="宋体"/>
          <w:bCs/>
          <w:sz w:val="24"/>
        </w:rPr>
      </w:pPr>
      <w:r>
        <w:rPr>
          <w:bCs/>
          <w:sz w:val="24"/>
        </w:rPr>
        <w:t xml:space="preserve"> </w:t>
      </w:r>
      <w:r>
        <w:rPr>
          <w:rFonts w:hint="eastAsia" w:ascii="宋体" w:hAnsi="宋体" w:cs="宋体"/>
          <w:bCs/>
          <w:sz w:val="24"/>
        </w:rPr>
        <w:t xml:space="preserve">   1、磋商响应单位参加本次磋商必须提供以下资格证明文件： </w:t>
      </w:r>
    </w:p>
    <w:p>
      <w:pPr>
        <w:adjustRightInd w:val="0"/>
        <w:snapToGrid w:val="0"/>
        <w:spacing w:line="360" w:lineRule="auto"/>
        <w:rPr>
          <w:rFonts w:ascii="宋体" w:hAnsi="宋体" w:cs="宋体"/>
          <w:bCs/>
          <w:sz w:val="24"/>
        </w:rPr>
      </w:pPr>
      <w:r>
        <w:rPr>
          <w:rFonts w:hint="eastAsia" w:ascii="宋体" w:hAnsi="宋体" w:cs="宋体"/>
          <w:bCs/>
          <w:sz w:val="24"/>
        </w:rPr>
        <w:t>磋商响应单位除应具备《中华人民共和国政府采购法》第二十二条规定的条件外还需：</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具有合格有效的企业法人营业执照、税务登记证、组织机构代码证（或三证合一营业执照）；</w:t>
      </w:r>
    </w:p>
    <w:p>
      <w:pPr>
        <w:numPr>
          <w:ilvl w:val="0"/>
          <w:numId w:val="0"/>
        </w:numPr>
        <w:overflowPunct w:val="0"/>
        <w:topLinePunct/>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3</w:t>
      </w:r>
      <w:r>
        <w:rPr>
          <w:rFonts w:hint="eastAsia" w:ascii="宋体" w:hAnsi="宋体" w:cs="宋体"/>
          <w:sz w:val="24"/>
          <w:highlight w:val="none"/>
          <w:lang w:eastAsia="zh-CN"/>
        </w:rPr>
        <w:t>）具备建设部门颁发的建筑工程施工总承包三级（含）以上资质，具有有效的安全生产许可证</w:t>
      </w:r>
      <w:r>
        <w:rPr>
          <w:rFonts w:hint="eastAsia" w:ascii="宋体" w:hAnsi="宋体" w:cs="宋体"/>
          <w:sz w:val="24"/>
        </w:rPr>
        <w:t>；</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5</w:t>
      </w:r>
      <w:r>
        <w:rPr>
          <w:rFonts w:hint="eastAsia" w:ascii="宋体" w:hAnsi="宋体" w:cs="宋体"/>
          <w:sz w:val="24"/>
          <w:highlight w:val="none"/>
          <w:lang w:eastAsia="zh-CN"/>
        </w:rPr>
        <w:t>）</w:t>
      </w: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hint="eastAsia" w:ascii="宋体" w:hAnsi="宋体" w:cs="宋体"/>
          <w:sz w:val="24"/>
        </w:rPr>
        <w:t>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hint="eastAsia" w:ascii="宋体" w:hAnsi="宋体" w:cs="宋体"/>
          <w:sz w:val="24"/>
        </w:rPr>
        <w:t>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hint="eastAsia" w:ascii="宋体" w:hAnsi="宋体" w:cs="宋体"/>
          <w:sz w:val="24"/>
        </w:rPr>
        <w:t>财务状况报告：</w:t>
      </w: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hint="eastAsia" w:ascii="宋体" w:hAnsi="宋体" w:cs="宋体"/>
          <w:sz w:val="24"/>
        </w:rPr>
        <w:t>参加政府采购活动前三年内，在经营活动中没有重大违法记录的书面声明；</w:t>
      </w:r>
    </w:p>
    <w:p>
      <w:pPr>
        <w:numPr>
          <w:ilvl w:val="0"/>
          <w:numId w:val="0"/>
        </w:numPr>
        <w:overflowPunct w:val="0"/>
        <w:topLinePunct/>
        <w:spacing w:line="360" w:lineRule="auto"/>
        <w:ind w:leftChars="0"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hint="eastAsia" w:ascii="宋体" w:hAnsi="宋体" w:cs="宋体"/>
          <w:sz w:val="24"/>
        </w:rPr>
        <w:t>磋商响应单位负责人不得为同一人或者存在控股、管理关系。</w:t>
      </w:r>
    </w:p>
    <w:p>
      <w:pPr>
        <w:numPr>
          <w:ilvl w:val="0"/>
          <w:numId w:val="0"/>
        </w:numPr>
        <w:overflowPunct w:val="0"/>
        <w:topLinePunct/>
        <w:spacing w:line="360" w:lineRule="auto"/>
        <w:ind w:leftChars="0" w:firstLine="480" w:firstLineChars="200"/>
        <w:rPr>
          <w:rFonts w:hint="eastAsia" w:ascii="宋体" w:hAnsi="宋体" w:eastAsia="宋体" w:cs="宋体"/>
          <w:bCs/>
          <w:sz w:val="24"/>
          <w:highlight w:val="none"/>
          <w:lang w:val="en-US" w:eastAsia="zh-CN"/>
        </w:rPr>
      </w:pPr>
      <w:r>
        <w:rPr>
          <w:rFonts w:hint="eastAsia" w:ascii="宋体" w:hAnsi="宋体" w:cs="宋体"/>
          <w:kern w:val="0"/>
          <w:sz w:val="24"/>
          <w:szCs w:val="24"/>
          <w:highlight w:val="none"/>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cs="宋体"/>
          <w:kern w:val="0"/>
          <w:sz w:val="24"/>
          <w:szCs w:val="24"/>
          <w:highlight w:val="none"/>
          <w:lang w:eastAsia="zh-CN"/>
        </w:rPr>
        <w:t>。</w:t>
      </w:r>
    </w:p>
    <w:p>
      <w:pPr>
        <w:adjustRightInd w:val="0"/>
        <w:snapToGrid w:val="0"/>
        <w:spacing w:line="360" w:lineRule="auto"/>
        <w:rPr>
          <w:rFonts w:ascii="宋体" w:hAnsi="宋体" w:cs="宋体"/>
          <w:bCs/>
          <w:sz w:val="24"/>
        </w:rPr>
      </w:pPr>
      <w:r>
        <w:rPr>
          <w:rFonts w:hint="eastAsia" w:ascii="宋体" w:hAnsi="宋体" w:cs="宋体"/>
          <w:bCs/>
          <w:sz w:val="24"/>
        </w:rPr>
        <w:t xml:space="preserve">    2、说明：</w:t>
      </w:r>
    </w:p>
    <w:p>
      <w:pPr>
        <w:adjustRightInd w:val="0"/>
        <w:snapToGrid w:val="0"/>
        <w:spacing w:line="360" w:lineRule="auto"/>
        <w:ind w:firstLine="464" w:firstLineChars="200"/>
        <w:rPr>
          <w:rFonts w:ascii="宋体" w:hAnsi="宋体" w:cs="宋体"/>
          <w:sz w:val="24"/>
          <w:highlight w:val="none"/>
        </w:rPr>
      </w:pPr>
      <w:r>
        <w:rPr>
          <w:rFonts w:hint="eastAsia" w:ascii="宋体" w:hAnsi="宋体" w:cs="宋体"/>
          <w:bCs/>
          <w:spacing w:val="-4"/>
          <w:kern w:val="24"/>
          <w:sz w:val="24"/>
          <w:highlight w:val="none"/>
        </w:rPr>
        <w:t>2.1 上述资料项为必备资质，在响应文件中附原件或复印件加盖磋商响应单位公章。由采购人或采购代理机构进行资格审查。</w:t>
      </w:r>
    </w:p>
    <w:p>
      <w:pPr>
        <w:snapToGrid w:val="0"/>
        <w:spacing w:after="120" w:line="360" w:lineRule="auto"/>
        <w:jc w:val="center"/>
        <w:outlineLvl w:val="0"/>
        <w:rPr>
          <w:rFonts w:asciiTheme="majorEastAsia" w:hAnsiTheme="majorEastAsia" w:eastAsiaTheme="majorEastAsia" w:cstheme="majorEastAsia"/>
          <w:b/>
          <w:bCs/>
          <w:sz w:val="30"/>
          <w:szCs w:val="30"/>
        </w:rPr>
      </w:pPr>
      <w:r>
        <w:rPr>
          <w:b/>
          <w:bCs/>
          <w:sz w:val="30"/>
          <w:szCs w:val="30"/>
        </w:rPr>
        <w:br w:type="page"/>
      </w:r>
      <w:bookmarkStart w:id="11" w:name="_Toc23091"/>
      <w:r>
        <w:rPr>
          <w:rFonts w:hint="eastAsia" w:asciiTheme="majorEastAsia" w:hAnsiTheme="majorEastAsia" w:eastAsiaTheme="majorEastAsia" w:cstheme="majorEastAsia"/>
          <w:b/>
          <w:bCs/>
          <w:sz w:val="32"/>
          <w:szCs w:val="32"/>
        </w:rPr>
        <w:t>第四章　磋商及评审</w:t>
      </w:r>
      <w:bookmarkEnd w:id="7"/>
      <w:bookmarkEnd w:id="8"/>
      <w:bookmarkEnd w:id="9"/>
      <w:r>
        <w:rPr>
          <w:rFonts w:hint="eastAsia" w:asciiTheme="majorEastAsia" w:hAnsiTheme="majorEastAsia" w:eastAsiaTheme="majorEastAsia" w:cstheme="majorEastAsia"/>
          <w:b/>
          <w:bCs/>
          <w:sz w:val="32"/>
          <w:szCs w:val="32"/>
        </w:rPr>
        <w:t>办法</w:t>
      </w:r>
      <w:bookmarkEnd w:id="11"/>
    </w:p>
    <w:p>
      <w:pPr>
        <w:adjustRightInd w:val="0"/>
        <w:snapToGrid w:val="0"/>
        <w:spacing w:line="360" w:lineRule="auto"/>
        <w:ind w:firstLine="480" w:firstLineChars="200"/>
        <w:rPr>
          <w:rFonts w:ascii="宋体" w:hAnsi="宋体" w:cs="宋体"/>
          <w:sz w:val="24"/>
        </w:rPr>
      </w:pPr>
      <w:r>
        <w:rPr>
          <w:rFonts w:hint="eastAsia" w:ascii="宋体" w:hAnsi="宋体" w:cs="宋体"/>
          <w:sz w:val="24"/>
        </w:rPr>
        <w:t>1、总则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根据《政府采购竞争性磋商采购方式管理暂行办法》等法律规章，结合采购项目特点制定本磋商办法。</w:t>
      </w:r>
    </w:p>
    <w:p>
      <w:pPr>
        <w:adjustRightInd w:val="0"/>
        <w:snapToGrid w:val="0"/>
        <w:spacing w:line="360" w:lineRule="auto"/>
        <w:rPr>
          <w:rFonts w:ascii="宋体" w:hAnsi="宋体" w:cs="宋体"/>
          <w:sz w:val="24"/>
        </w:rPr>
      </w:pPr>
      <w:r>
        <w:rPr>
          <w:rFonts w:hint="eastAsia" w:ascii="宋体" w:hAnsi="宋体" w:cs="宋体"/>
          <w:sz w:val="24"/>
        </w:rPr>
        <w:t>　　2.1 磋商小组组成：在磋商开始前，组建磋商小组，磋商小组由采购人代表和有关专业评审专家共3人以上单数组成，其中评审专家人数不得少于磋商小组成员总数的2/3。</w:t>
      </w:r>
    </w:p>
    <w:p>
      <w:pPr>
        <w:adjustRightInd w:val="0"/>
        <w:snapToGrid w:val="0"/>
        <w:spacing w:line="360" w:lineRule="auto"/>
        <w:rPr>
          <w:rFonts w:ascii="宋体" w:hAnsi="宋体" w:cs="宋体"/>
          <w:sz w:val="24"/>
          <w:highlight w:val="none"/>
        </w:rPr>
      </w:pPr>
      <w:r>
        <w:rPr>
          <w:rFonts w:hint="eastAsia" w:ascii="宋体" w:hAnsi="宋体" w:cs="宋体"/>
          <w:sz w:val="24"/>
        </w:rPr>
        <w:t>　</w:t>
      </w:r>
      <w:r>
        <w:rPr>
          <w:rFonts w:hint="eastAsia" w:ascii="宋体" w:hAnsi="宋体" w:cs="宋体"/>
          <w:sz w:val="24"/>
          <w:highlight w:val="none"/>
        </w:rPr>
        <w:t>　2.2 磋商小组按照磋商文件规定的磋商方法和评审标准进行磋商、评审，并独立履行下列职责：</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（1）审查磋商响应文件是否符合磋商文件要求，并作出评价；</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（2）要求磋商响应单位对其文件有关事项作出解释或者澄清；</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（3）推荐成交候选磋商响应单位名单；</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（4）向采购单位或者有关部门报告非法干预磋商工作的行为。</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（5）解答有关方面对政府采购评审工作中有关问题的询问，配合采购人或者政府采购代理机构答复磋商响应单位质疑，配合财政部门的投诉处理工作等事宜。</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   （6）法律、法规和规章规定的其他义务。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3、评标办法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3.1 采用综合评审法。</w:t>
      </w:r>
    </w:p>
    <w:p>
      <w:pPr>
        <w:autoSpaceDE w:val="0"/>
        <w:autoSpaceDN w:val="0"/>
        <w:adjustRightInd w:val="0"/>
        <w:snapToGrid w:val="0"/>
        <w:spacing w:line="360" w:lineRule="auto"/>
        <w:ind w:firstLine="480" w:firstLineChars="200"/>
        <w:rPr>
          <w:rFonts w:ascii="宋体" w:hAnsi="宋体" w:cs="宋体"/>
          <w:sz w:val="24"/>
        </w:rPr>
      </w:pPr>
      <w:r>
        <w:rPr>
          <w:rFonts w:hint="eastAsia" w:ascii="宋体" w:hAnsi="宋体" w:cs="宋体"/>
          <w:sz w:val="24"/>
        </w:rPr>
        <w:t>3.2 评审程序：初步评审、磋商、详细评审。每一步评审不符合者，不进入下一步评审。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4、初步评审及无效投标文件评定</w:t>
      </w:r>
    </w:p>
    <w:p>
      <w:pPr>
        <w:pStyle w:val="15"/>
        <w:widowControl/>
        <w:adjustRightInd w:val="0"/>
        <w:snapToGrid w:val="0"/>
        <w:spacing w:line="360" w:lineRule="auto"/>
        <w:ind w:firstLine="480" w:firstLineChars="200"/>
        <w:jc w:val="both"/>
        <w:rPr>
          <w:rFonts w:ascii="宋体" w:hAnsi="宋体" w:cs="宋体"/>
          <w:sz w:val="24"/>
        </w:rPr>
      </w:pPr>
      <w:r>
        <w:rPr>
          <w:rFonts w:hint="eastAsia" w:ascii="宋体" w:hAnsi="宋体" w:cs="宋体"/>
          <w:sz w:val="24"/>
        </w:rPr>
        <w:t>4.1初步评审分为资格性审查和符合性审查。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4.2无效磋商响应文件评定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（1）磋商响应单位没有经过正常渠道购买磋商文件或磋商响应单位的名称与登记领取磋商文件单位的名称或与营业执照不符；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（2）响应文件中未提交法定代表人授权书（法定代表人直接投标未按要求提交其有效身份证）或授权书的合法性或有效性不符合磋商文件规定。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（4）响应文件未按招标文件的规定进行签署、盖章的；响应文件份数不符合磋商文件规定的；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（5）不具备磋商文件中规定的资格要求的或证明文件不齐全的；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（6）报价超过规定的最高限价的；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（7）响应文件中含有采购人不能接受的附加条件的;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（8）无磋商有效期或磋商有效期不足的；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（9）磋商内容出现严重漏项或数量与要求不符的；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（10）报价明显低于其他通过符合性审查磋商响应单位的报价，且在现场规定的时间内不能提供有效证明材料、经评委认定形成不正当竞争的。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（11）提供虚假证明，开具虚假资质，出现虚假应答或故意隐瞒行为，除按无效标处理外，还进行相应的处罚。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（12）不符合法律、法规和磋商文件规定的其他实质性要求的。</w:t>
      </w:r>
    </w:p>
    <w:p>
      <w:pPr>
        <w:pStyle w:val="2"/>
        <w:spacing w:line="360" w:lineRule="auto"/>
        <w:ind w:firstLine="480"/>
        <w:rPr>
          <w:rFonts w:ascii="宋体" w:hAnsi="宋体" w:cs="宋体"/>
          <w:sz w:val="24"/>
        </w:rPr>
      </w:pPr>
      <w:r>
        <w:rPr>
          <w:rFonts w:hint="eastAsia" w:ascii="宋体" w:hAnsi="宋体" w:cs="宋体"/>
          <w:sz w:val="24"/>
        </w:rPr>
        <w:t>（13）被列入失信被执行人、重大税收违法案件当事人名单、政府采购严重违法失信行为记录名单的单位。</w:t>
      </w:r>
    </w:p>
    <w:p>
      <w:pPr>
        <w:adjustRightInd w:val="0"/>
        <w:snapToGrid w:val="0"/>
        <w:spacing w:line="360" w:lineRule="auto"/>
        <w:ind w:firstLine="480" w:firstLineChars="200"/>
        <w:rPr>
          <w:sz w:val="24"/>
        </w:rPr>
      </w:pPr>
    </w:p>
    <w:p>
      <w:pPr>
        <w:adjustRightInd w:val="0"/>
        <w:snapToGrid w:val="0"/>
        <w:spacing w:line="324" w:lineRule="auto"/>
        <w:jc w:val="center"/>
        <w:outlineLvl w:val="1"/>
        <w:rPr>
          <w:b/>
          <w:bCs/>
          <w:spacing w:val="-6"/>
          <w:sz w:val="24"/>
        </w:rPr>
      </w:pPr>
    </w:p>
    <w:p>
      <w:pPr>
        <w:adjustRightInd w:val="0"/>
        <w:snapToGrid w:val="0"/>
        <w:spacing w:line="324" w:lineRule="auto"/>
        <w:jc w:val="center"/>
        <w:outlineLvl w:val="1"/>
        <w:rPr>
          <w:b/>
          <w:bCs/>
          <w:spacing w:val="-6"/>
          <w:sz w:val="24"/>
        </w:rPr>
      </w:pPr>
      <w:r>
        <w:rPr>
          <w:b/>
          <w:bCs/>
          <w:spacing w:val="-6"/>
          <w:sz w:val="24"/>
        </w:rPr>
        <w:br w:type="page"/>
      </w:r>
      <w:r>
        <w:rPr>
          <w:b/>
          <w:bCs/>
          <w:spacing w:val="-6"/>
          <w:sz w:val="24"/>
        </w:rPr>
        <w:t>初步审查标准</w:t>
      </w:r>
    </w:p>
    <w:tbl>
      <w:tblPr>
        <w:tblStyle w:val="48"/>
        <w:tblpPr w:leftFromText="180" w:rightFromText="180" w:vertAnchor="text" w:horzAnchor="page" w:tblpX="1607" w:tblpY="426"/>
        <w:tblOverlap w:val="never"/>
        <w:tblW w:w="92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7"/>
        <w:gridCol w:w="618"/>
        <w:gridCol w:w="2153"/>
        <w:gridCol w:w="5429"/>
        <w:gridCol w:w="4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trPr>
        <w:tc>
          <w:tcPr>
            <w:tcW w:w="1175" w:type="dxa"/>
            <w:gridSpan w:val="2"/>
            <w:vAlign w:val="center"/>
          </w:tcPr>
          <w:p>
            <w:pPr>
              <w:spacing w:line="273" w:lineRule="auto"/>
              <w:jc w:val="center"/>
              <w:rPr>
                <w:b/>
                <w:bCs/>
                <w:sz w:val="24"/>
              </w:rPr>
            </w:pPr>
            <w:r>
              <w:rPr>
                <w:b/>
                <w:bCs/>
                <w:sz w:val="24"/>
              </w:rPr>
              <w:t>条款号</w:t>
            </w:r>
          </w:p>
        </w:tc>
        <w:tc>
          <w:tcPr>
            <w:tcW w:w="2153" w:type="dxa"/>
            <w:vAlign w:val="center"/>
          </w:tcPr>
          <w:p>
            <w:pPr>
              <w:jc w:val="center"/>
              <w:rPr>
                <w:b/>
                <w:bCs/>
                <w:sz w:val="24"/>
              </w:rPr>
            </w:pPr>
            <w:r>
              <w:rPr>
                <w:b/>
                <w:bCs/>
                <w:sz w:val="24"/>
              </w:rPr>
              <w:t>审查因素</w:t>
            </w:r>
          </w:p>
        </w:tc>
        <w:tc>
          <w:tcPr>
            <w:tcW w:w="5429" w:type="dxa"/>
            <w:vAlign w:val="center"/>
          </w:tcPr>
          <w:p>
            <w:pPr>
              <w:jc w:val="center"/>
              <w:rPr>
                <w:b/>
                <w:bCs/>
                <w:sz w:val="24"/>
              </w:rPr>
            </w:pPr>
            <w:r>
              <w:rPr>
                <w:b/>
                <w:bCs/>
                <w:sz w:val="24"/>
              </w:rPr>
              <w:t>审查标准</w:t>
            </w:r>
          </w:p>
        </w:tc>
        <w:tc>
          <w:tcPr>
            <w:tcW w:w="463" w:type="dxa"/>
            <w:vAlign w:val="center"/>
          </w:tcPr>
          <w:p>
            <w:pPr>
              <w:jc w:val="center"/>
              <w:rPr>
                <w:b/>
                <w:bCs/>
                <w:sz w:val="24"/>
              </w:rPr>
            </w:pPr>
            <w:r>
              <w:rPr>
                <w:b/>
                <w:bCs/>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vAlign w:val="center"/>
          </w:tcPr>
          <w:p>
            <w:pPr>
              <w:spacing w:line="273" w:lineRule="auto"/>
              <w:jc w:val="center"/>
              <w:rPr>
                <w:b/>
                <w:bCs/>
                <w:sz w:val="24"/>
              </w:rPr>
            </w:pPr>
            <w:r>
              <w:rPr>
                <w:b/>
                <w:bCs/>
                <w:sz w:val="24"/>
              </w:rPr>
              <w:t>3.1</w:t>
            </w:r>
          </w:p>
        </w:tc>
        <w:tc>
          <w:tcPr>
            <w:tcW w:w="618" w:type="dxa"/>
            <w:vMerge w:val="restart"/>
            <w:vAlign w:val="center"/>
          </w:tcPr>
          <w:p>
            <w:pPr>
              <w:jc w:val="center"/>
              <w:rPr>
                <w:sz w:val="24"/>
              </w:rPr>
            </w:pPr>
            <w:r>
              <w:rPr>
                <w:sz w:val="24"/>
              </w:rPr>
              <w:t>资格</w:t>
            </w:r>
          </w:p>
          <w:p>
            <w:pPr>
              <w:jc w:val="center"/>
              <w:rPr>
                <w:sz w:val="24"/>
              </w:rPr>
            </w:pPr>
            <w:r>
              <w:rPr>
                <w:sz w:val="24"/>
              </w:rPr>
              <w:t>审查</w:t>
            </w:r>
          </w:p>
          <w:p>
            <w:pPr>
              <w:jc w:val="center"/>
              <w:rPr>
                <w:b/>
                <w:bCs/>
                <w:sz w:val="24"/>
              </w:rPr>
            </w:pPr>
            <w:r>
              <w:rPr>
                <w:sz w:val="24"/>
              </w:rPr>
              <w:t>标准</w:t>
            </w:r>
          </w:p>
        </w:tc>
        <w:tc>
          <w:tcPr>
            <w:tcW w:w="2153" w:type="dxa"/>
            <w:vAlign w:val="center"/>
          </w:tcPr>
          <w:p>
            <w:pPr>
              <w:spacing w:line="360" w:lineRule="auto"/>
              <w:jc w:val="center"/>
              <w:rPr>
                <w:rFonts w:ascii="宋体" w:hAnsi="宋体" w:cs="宋体"/>
                <w:sz w:val="24"/>
              </w:rPr>
            </w:pPr>
            <w:r>
              <w:rPr>
                <w:rFonts w:hint="eastAsia" w:ascii="宋体" w:hAnsi="宋体" w:cs="宋体"/>
                <w:sz w:val="24"/>
              </w:rPr>
              <w:t>营业执照（副本）</w:t>
            </w:r>
          </w:p>
        </w:tc>
        <w:tc>
          <w:tcPr>
            <w:tcW w:w="5429" w:type="dxa"/>
            <w:vAlign w:val="center"/>
          </w:tcPr>
          <w:p>
            <w:pPr>
              <w:spacing w:line="360" w:lineRule="auto"/>
              <w:rPr>
                <w:rFonts w:ascii="宋体" w:hAnsi="宋体" w:cs="宋体"/>
                <w:sz w:val="24"/>
              </w:rPr>
            </w:pPr>
            <w:r>
              <w:rPr>
                <w:rFonts w:hint="eastAsia" w:ascii="宋体" w:hAnsi="宋体" w:cs="宋体"/>
                <w:sz w:val="24"/>
              </w:rPr>
              <w:t>具有合格有效的企业法人营业执照、税务登记证、组织机构代码证（或三证合一营业执照）；</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磋商响应单位代表身份</w:t>
            </w:r>
          </w:p>
        </w:tc>
        <w:tc>
          <w:tcPr>
            <w:tcW w:w="5429" w:type="dxa"/>
            <w:vAlign w:val="center"/>
          </w:tcPr>
          <w:p>
            <w:pPr>
              <w:spacing w:line="360" w:lineRule="auto"/>
              <w:rPr>
                <w:rFonts w:ascii="宋体" w:hAnsi="宋体" w:cs="宋体"/>
                <w:sz w:val="24"/>
              </w:rPr>
            </w:pPr>
            <w:r>
              <w:rPr>
                <w:rFonts w:hint="eastAsia" w:ascii="宋体" w:hAnsi="宋体" w:cs="宋体"/>
                <w:sz w:val="24"/>
              </w:rPr>
              <w:t>磋商响应单位应授权合法的人员参加磋商全过程，其中法定代表人直接参加磋商的，须出具法人身份证，并与营业执照上信息一致。法定代表人授权代表参加磋商的，须出具法定代表人授权书及授权代表身份证；</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企业资质</w:t>
            </w:r>
          </w:p>
        </w:tc>
        <w:tc>
          <w:tcPr>
            <w:tcW w:w="5429" w:type="dxa"/>
            <w:vAlign w:val="center"/>
          </w:tcPr>
          <w:p>
            <w:pPr>
              <w:spacing w:line="360" w:lineRule="auto"/>
              <w:rPr>
                <w:rFonts w:ascii="宋体" w:hAnsi="宋体" w:cs="宋体"/>
                <w:sz w:val="24"/>
              </w:rPr>
            </w:pPr>
            <w:r>
              <w:rPr>
                <w:rFonts w:hint="eastAsia" w:ascii="宋体" w:hAnsi="宋体" w:cs="宋体"/>
                <w:sz w:val="24"/>
                <w:lang w:eastAsia="zh-CN"/>
              </w:rPr>
              <w:t>具备建设部门颁发的建筑工程施工总承包三级（含）以上资质，具有有效的安全生产许可证</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项目经理</w:t>
            </w:r>
          </w:p>
        </w:tc>
        <w:tc>
          <w:tcPr>
            <w:tcW w:w="5429" w:type="dxa"/>
            <w:vAlign w:val="center"/>
          </w:tcPr>
          <w:p>
            <w:pPr>
              <w:spacing w:line="360" w:lineRule="auto"/>
              <w:rPr>
                <w:rFonts w:ascii="宋体" w:hAnsi="宋体" w:cs="宋体"/>
                <w:sz w:val="24"/>
              </w:rPr>
            </w:pPr>
            <w:r>
              <w:rPr>
                <w:rFonts w:hint="eastAsia" w:ascii="宋体" w:hAnsi="宋体" w:cs="宋体"/>
                <w:sz w:val="24"/>
                <w:highlight w:val="none"/>
              </w:rPr>
              <w:t>拟委派项目经理须具有建筑工程专业贰级（含）以上注册建造师资质并具有安全生产考核合格证，在本单位注册且无在建工程</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供应商</w:t>
            </w:r>
          </w:p>
        </w:tc>
        <w:tc>
          <w:tcPr>
            <w:tcW w:w="5429" w:type="dxa"/>
            <w:vAlign w:val="center"/>
          </w:tcPr>
          <w:p>
            <w:pPr>
              <w:numPr>
                <w:ilvl w:val="0"/>
                <w:numId w:val="0"/>
              </w:numPr>
              <w:overflowPunct w:val="0"/>
              <w:topLinePunct/>
              <w:spacing w:line="360" w:lineRule="auto"/>
              <w:ind w:leftChars="0"/>
              <w:rPr>
                <w:rFonts w:ascii="宋体" w:hAnsi="宋体" w:cs="宋体"/>
                <w:sz w:val="24"/>
              </w:rPr>
            </w:pPr>
            <w:r>
              <w:rPr>
                <w:rFonts w:hint="eastAsia" w:ascii="宋体" w:hAnsi="宋体" w:cs="宋体"/>
                <w:sz w:val="24"/>
                <w:highlight w:val="none"/>
              </w:rPr>
              <w:t>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highlight w:val="none"/>
              </w:rPr>
              <w:t>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税收缴纳证明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sz w:val="24"/>
              </w:rPr>
            </w:pPr>
            <w:r>
              <w:rPr>
                <w:rFonts w:hint="eastAsia" w:ascii="宋体" w:hAnsi="宋体" w:cs="宋体"/>
                <w:sz w:val="24"/>
              </w:rPr>
              <w:t>社会保障资金缴纳证明</w:t>
            </w:r>
          </w:p>
        </w:tc>
        <w:tc>
          <w:tcPr>
            <w:tcW w:w="5429" w:type="dxa"/>
            <w:vAlign w:val="center"/>
          </w:tcPr>
          <w:p>
            <w:pPr>
              <w:spacing w:line="360" w:lineRule="auto"/>
              <w:jc w:val="left"/>
              <w:rPr>
                <w:rFonts w:ascii="宋体" w:hAnsi="宋体" w:cs="宋体"/>
                <w:sz w:val="24"/>
              </w:rPr>
            </w:pPr>
            <w:r>
              <w:rPr>
                <w:rFonts w:hint="eastAsia" w:ascii="宋体" w:hAnsi="宋体" w:cs="宋体"/>
                <w:sz w:val="24"/>
              </w:rPr>
              <w:t>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财务状况</w:t>
            </w:r>
          </w:p>
        </w:tc>
        <w:tc>
          <w:tcPr>
            <w:tcW w:w="5429" w:type="dxa"/>
            <w:vAlign w:val="center"/>
          </w:tcPr>
          <w:p>
            <w:pPr>
              <w:numPr>
                <w:ilvl w:val="0"/>
                <w:numId w:val="0"/>
              </w:numPr>
              <w:overflowPunct w:val="0"/>
              <w:topLinePunct/>
              <w:spacing w:line="360" w:lineRule="auto"/>
              <w:ind w:leftChars="0"/>
              <w:rPr>
                <w:rFonts w:ascii="宋体" w:hAnsi="宋体" w:cs="宋体"/>
                <w:bCs/>
                <w:sz w:val="24"/>
              </w:rPr>
            </w:pP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经营活动</w:t>
            </w:r>
          </w:p>
        </w:tc>
        <w:tc>
          <w:tcPr>
            <w:tcW w:w="5429" w:type="dxa"/>
            <w:vAlign w:val="center"/>
          </w:tcPr>
          <w:p>
            <w:pPr>
              <w:spacing w:line="360" w:lineRule="auto"/>
              <w:rPr>
                <w:rFonts w:ascii="宋体" w:hAnsi="宋体" w:cs="宋体"/>
                <w:kern w:val="0"/>
                <w:sz w:val="24"/>
              </w:rPr>
            </w:pPr>
            <w:r>
              <w:rPr>
                <w:rFonts w:hint="eastAsia" w:ascii="宋体" w:hAnsi="宋体" w:cs="宋体"/>
                <w:sz w:val="24"/>
              </w:rPr>
              <w:t>参加政府采购活动前三年内，在经营活动中没有重大违法记录的书面声明；</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557" w:type="dxa"/>
            <w:vMerge w:val="continue"/>
          </w:tcPr>
          <w:p>
            <w:pPr>
              <w:spacing w:line="360" w:lineRule="auto"/>
              <w:rPr>
                <w:b/>
                <w:bCs/>
                <w:sz w:val="24"/>
              </w:rPr>
            </w:pPr>
          </w:p>
        </w:tc>
        <w:tc>
          <w:tcPr>
            <w:tcW w:w="618" w:type="dxa"/>
            <w:vMerge w:val="continue"/>
          </w:tcPr>
          <w:p>
            <w:pPr>
              <w:spacing w:line="360" w:lineRule="auto"/>
              <w:rPr>
                <w:b/>
                <w:bCs/>
                <w:sz w:val="24"/>
              </w:rPr>
            </w:pPr>
          </w:p>
        </w:tc>
        <w:tc>
          <w:tcPr>
            <w:tcW w:w="2153" w:type="dxa"/>
            <w:vAlign w:val="center"/>
          </w:tcPr>
          <w:p>
            <w:pPr>
              <w:spacing w:line="360" w:lineRule="auto"/>
              <w:jc w:val="center"/>
              <w:rPr>
                <w:rFonts w:ascii="宋体" w:hAnsi="宋体" w:cs="宋体"/>
                <w:kern w:val="0"/>
                <w:sz w:val="24"/>
              </w:rPr>
            </w:pPr>
            <w:r>
              <w:rPr>
                <w:rFonts w:hint="eastAsia" w:ascii="宋体" w:hAnsi="宋体" w:cs="宋体"/>
                <w:kern w:val="0"/>
                <w:sz w:val="24"/>
              </w:rPr>
              <w:t>控股、管理关系</w:t>
            </w:r>
          </w:p>
        </w:tc>
        <w:tc>
          <w:tcPr>
            <w:tcW w:w="5429" w:type="dxa"/>
            <w:vAlign w:val="center"/>
          </w:tcPr>
          <w:p>
            <w:pPr>
              <w:spacing w:line="360" w:lineRule="auto"/>
              <w:rPr>
                <w:rFonts w:ascii="宋体" w:hAnsi="宋体" w:cs="宋体"/>
                <w:bCs/>
                <w:sz w:val="24"/>
              </w:rPr>
            </w:pPr>
            <w:r>
              <w:rPr>
                <w:rFonts w:hint="eastAsia" w:ascii="宋体" w:hAnsi="宋体" w:cs="宋体"/>
                <w:sz w:val="24"/>
              </w:rPr>
              <w:t>磋商响应单位负责人不得为同一人或者存在控股、管理关系。</w:t>
            </w:r>
          </w:p>
        </w:tc>
        <w:tc>
          <w:tcPr>
            <w:tcW w:w="463" w:type="dxa"/>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vMerge w:val="continue"/>
            <w:tcBorders>
              <w:bottom w:val="single" w:color="auto" w:sz="12" w:space="0"/>
            </w:tcBorders>
          </w:tcPr>
          <w:p>
            <w:pPr>
              <w:spacing w:line="360" w:lineRule="auto"/>
              <w:rPr>
                <w:b/>
                <w:bCs/>
                <w:sz w:val="24"/>
              </w:rPr>
            </w:pPr>
          </w:p>
        </w:tc>
        <w:tc>
          <w:tcPr>
            <w:tcW w:w="618" w:type="dxa"/>
            <w:vMerge w:val="continue"/>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ascii="宋体" w:hAnsi="宋体" w:cs="宋体"/>
                <w:kern w:val="0"/>
                <w:sz w:val="24"/>
              </w:rPr>
            </w:pPr>
            <w:r>
              <w:rPr>
                <w:rFonts w:hint="eastAsia" w:ascii="宋体" w:hAnsi="宋体" w:eastAsia="宋体" w:cs="宋体"/>
                <w:kern w:val="0"/>
                <w:sz w:val="24"/>
                <w:szCs w:val="24"/>
                <w:highlight w:val="none"/>
              </w:rPr>
              <w:t>所必需的设备和专业技术能力</w:t>
            </w:r>
          </w:p>
        </w:tc>
        <w:tc>
          <w:tcPr>
            <w:tcW w:w="5429" w:type="dxa"/>
            <w:tcBorders>
              <w:bottom w:val="single" w:color="auto" w:sz="12" w:space="0"/>
            </w:tcBorders>
            <w:vAlign w:val="center"/>
          </w:tcPr>
          <w:p>
            <w:pPr>
              <w:spacing w:line="360" w:lineRule="auto"/>
              <w:rPr>
                <w:rFonts w:ascii="宋体" w:hAnsi="宋体" w:cs="宋体"/>
                <w:kern w:val="0"/>
                <w:sz w:val="24"/>
              </w:rPr>
            </w:pP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6" w:hRule="atLeast"/>
        </w:trPr>
        <w:tc>
          <w:tcPr>
            <w:tcW w:w="557" w:type="dxa"/>
            <w:tcBorders>
              <w:bottom w:val="single" w:color="auto" w:sz="12" w:space="0"/>
            </w:tcBorders>
          </w:tcPr>
          <w:p>
            <w:pPr>
              <w:spacing w:line="360" w:lineRule="auto"/>
              <w:rPr>
                <w:b/>
                <w:bCs/>
                <w:sz w:val="24"/>
              </w:rPr>
            </w:pPr>
          </w:p>
        </w:tc>
        <w:tc>
          <w:tcPr>
            <w:tcW w:w="618" w:type="dxa"/>
            <w:tcBorders>
              <w:bottom w:val="single" w:color="auto" w:sz="12" w:space="0"/>
            </w:tcBorders>
          </w:tcPr>
          <w:p>
            <w:pPr>
              <w:spacing w:line="360" w:lineRule="auto"/>
              <w:rPr>
                <w:b/>
                <w:bCs/>
                <w:sz w:val="24"/>
              </w:rPr>
            </w:pPr>
          </w:p>
        </w:tc>
        <w:tc>
          <w:tcPr>
            <w:tcW w:w="2153" w:type="dxa"/>
            <w:tcBorders>
              <w:bottom w:val="single" w:color="auto" w:sz="12" w:space="0"/>
            </w:tcBorders>
            <w:vAlign w:val="center"/>
          </w:tcPr>
          <w:p>
            <w:pPr>
              <w:spacing w:line="360" w:lineRule="auto"/>
              <w:jc w:val="center"/>
              <w:rPr>
                <w:rFonts w:hint="eastAsia" w:ascii="宋体" w:hAnsi="宋体" w:eastAsia="宋体" w:cs="宋体"/>
                <w:kern w:val="0"/>
                <w:sz w:val="24"/>
                <w:szCs w:val="24"/>
                <w:lang w:val="en-US" w:eastAsia="zh-CN" w:bidi="ar-SA"/>
              </w:rPr>
            </w:pPr>
            <w:r>
              <w:rPr>
                <w:rFonts w:hint="eastAsia" w:ascii="宋体" w:hAnsi="宋体" w:cs="宋体"/>
                <w:kern w:val="0"/>
                <w:sz w:val="24"/>
              </w:rPr>
              <w:t>联合体磋商</w:t>
            </w:r>
          </w:p>
        </w:tc>
        <w:tc>
          <w:tcPr>
            <w:tcW w:w="5429" w:type="dxa"/>
            <w:tcBorders>
              <w:bottom w:val="single" w:color="auto" w:sz="12" w:space="0"/>
            </w:tcBorders>
            <w:vAlign w:val="center"/>
          </w:tcPr>
          <w:p>
            <w:pPr>
              <w:spacing w:line="360" w:lineRule="auto"/>
              <w:rPr>
                <w:rFonts w:hint="eastAsia" w:ascii="宋体" w:hAnsi="宋体" w:eastAsia="宋体" w:cs="宋体"/>
                <w:kern w:val="0"/>
                <w:sz w:val="24"/>
                <w:szCs w:val="24"/>
                <w:lang w:val="en-US" w:eastAsia="zh-CN" w:bidi="ar-SA"/>
              </w:rPr>
            </w:pPr>
            <w:r>
              <w:rPr>
                <w:rFonts w:hint="eastAsia" w:ascii="宋体" w:hAnsi="宋体" w:cs="宋体"/>
                <w:kern w:val="0"/>
                <w:sz w:val="24"/>
              </w:rPr>
              <w:t>不接受</w:t>
            </w:r>
          </w:p>
        </w:tc>
        <w:tc>
          <w:tcPr>
            <w:tcW w:w="463" w:type="dxa"/>
            <w:tcBorders>
              <w:bottom w:val="single" w:color="auto" w:sz="12"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trPr>
        <w:tc>
          <w:tcPr>
            <w:tcW w:w="557" w:type="dxa"/>
            <w:vMerge w:val="restart"/>
            <w:tcBorders>
              <w:top w:val="single" w:color="auto" w:sz="12" w:space="0"/>
              <w:bottom w:val="single" w:color="auto" w:sz="6" w:space="0"/>
            </w:tcBorders>
            <w:vAlign w:val="center"/>
          </w:tcPr>
          <w:p>
            <w:pPr>
              <w:spacing w:line="273" w:lineRule="auto"/>
              <w:rPr>
                <w:b/>
                <w:bCs/>
                <w:sz w:val="24"/>
              </w:rPr>
            </w:pPr>
            <w:r>
              <w:rPr>
                <w:b/>
                <w:bCs/>
                <w:sz w:val="24"/>
              </w:rPr>
              <w:t>3.2</w:t>
            </w:r>
          </w:p>
        </w:tc>
        <w:tc>
          <w:tcPr>
            <w:tcW w:w="618" w:type="dxa"/>
            <w:vMerge w:val="restart"/>
            <w:tcBorders>
              <w:top w:val="single" w:color="auto" w:sz="12" w:space="0"/>
              <w:bottom w:val="single" w:color="auto" w:sz="6" w:space="0"/>
            </w:tcBorders>
            <w:vAlign w:val="center"/>
          </w:tcPr>
          <w:p>
            <w:pPr>
              <w:spacing w:line="360" w:lineRule="auto"/>
              <w:jc w:val="center"/>
              <w:rPr>
                <w:b/>
                <w:bCs/>
                <w:sz w:val="24"/>
              </w:rPr>
            </w:pPr>
            <w:r>
              <w:rPr>
                <w:sz w:val="24"/>
              </w:rPr>
              <w:t>符合性审查标准</w:t>
            </w:r>
          </w:p>
        </w:tc>
        <w:tc>
          <w:tcPr>
            <w:tcW w:w="2153" w:type="dxa"/>
            <w:tcBorders>
              <w:top w:val="single" w:color="auto" w:sz="12"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磋商响应单位名称</w:t>
            </w:r>
          </w:p>
        </w:tc>
        <w:tc>
          <w:tcPr>
            <w:tcW w:w="5429" w:type="dxa"/>
            <w:tcBorders>
              <w:top w:val="single" w:color="auto" w:sz="12"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与营业执照一致</w:t>
            </w:r>
          </w:p>
        </w:tc>
        <w:tc>
          <w:tcPr>
            <w:tcW w:w="463" w:type="dxa"/>
            <w:tcBorders>
              <w:top w:val="single" w:color="auto" w:sz="12"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响应文件签字盖章</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在磋商响应文件中指定落款处，按文件要求盖章或签字</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磋商响应文件格式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符合磋商文件的格式要求无重大偏离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8"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响应文件数量</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1正2副，电子版文件1份</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响应（投标）内容</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与磋商内容一致，无重大偏离</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磋商有效期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自磋商响应文件递交之日起不少于90个日历天</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首次磋商报价</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未超过磋商最高限价</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557" w:type="dxa"/>
            <w:vMerge w:val="continue"/>
            <w:tcBorders>
              <w:top w:val="single" w:color="auto" w:sz="6" w:space="0"/>
              <w:bottom w:val="single" w:color="auto" w:sz="6" w:space="0"/>
            </w:tcBorders>
          </w:tcPr>
          <w:p>
            <w:pPr>
              <w:spacing w:line="273" w:lineRule="auto"/>
              <w:rPr>
                <w:b/>
                <w:bCs/>
                <w:sz w:val="24"/>
              </w:rPr>
            </w:pPr>
          </w:p>
        </w:tc>
        <w:tc>
          <w:tcPr>
            <w:tcW w:w="618" w:type="dxa"/>
            <w:vMerge w:val="continue"/>
            <w:tcBorders>
              <w:top w:val="single" w:color="auto" w:sz="6" w:space="0"/>
              <w:bottom w:val="single" w:color="auto" w:sz="6" w:space="0"/>
            </w:tcBorders>
          </w:tcPr>
          <w:p>
            <w:pPr>
              <w:spacing w:line="360" w:lineRule="auto"/>
              <w:rPr>
                <w:sz w:val="24"/>
              </w:rPr>
            </w:pPr>
          </w:p>
        </w:tc>
        <w:tc>
          <w:tcPr>
            <w:tcW w:w="2153" w:type="dxa"/>
            <w:tcBorders>
              <w:top w:val="single" w:color="auto" w:sz="6" w:space="0"/>
              <w:bottom w:val="single" w:color="auto" w:sz="6" w:space="0"/>
            </w:tcBorders>
            <w:vAlign w:val="center"/>
          </w:tcPr>
          <w:p>
            <w:pPr>
              <w:spacing w:line="360" w:lineRule="auto"/>
              <w:jc w:val="center"/>
              <w:rPr>
                <w:rFonts w:ascii="宋体" w:hAnsi="宋体" w:cs="宋体"/>
                <w:sz w:val="24"/>
              </w:rPr>
            </w:pPr>
            <w:r>
              <w:rPr>
                <w:rFonts w:hint="eastAsia" w:ascii="宋体" w:hAnsi="宋体" w:cs="宋体"/>
                <w:sz w:val="24"/>
              </w:rPr>
              <w:t>工期</w:t>
            </w:r>
          </w:p>
        </w:tc>
        <w:tc>
          <w:tcPr>
            <w:tcW w:w="5429" w:type="dxa"/>
            <w:tcBorders>
              <w:top w:val="single" w:color="auto" w:sz="6" w:space="0"/>
              <w:bottom w:val="single" w:color="auto" w:sz="6" w:space="0"/>
            </w:tcBorders>
            <w:vAlign w:val="center"/>
          </w:tcPr>
          <w:p>
            <w:pPr>
              <w:spacing w:line="360" w:lineRule="auto"/>
              <w:rPr>
                <w:rFonts w:ascii="宋体" w:hAnsi="宋体" w:cs="宋体"/>
                <w:sz w:val="24"/>
              </w:rPr>
            </w:pPr>
            <w:r>
              <w:rPr>
                <w:rFonts w:hint="eastAsia" w:ascii="宋体" w:hAnsi="宋体" w:cs="宋体"/>
                <w:sz w:val="24"/>
              </w:rPr>
              <w:t>符合磋商文件要求</w:t>
            </w:r>
          </w:p>
        </w:tc>
        <w:tc>
          <w:tcPr>
            <w:tcW w:w="463" w:type="dxa"/>
            <w:tcBorders>
              <w:top w:val="single" w:color="auto" w:sz="6" w:space="0"/>
              <w:bottom w:val="single" w:color="auto" w:sz="6" w:space="0"/>
            </w:tcBorders>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557" w:type="dxa"/>
            <w:vMerge w:val="continue"/>
            <w:tcBorders>
              <w:top w:val="single" w:color="auto" w:sz="6" w:space="0"/>
              <w:bottom w:val="single" w:color="auto" w:sz="12" w:space="0"/>
            </w:tcBorders>
          </w:tcPr>
          <w:p>
            <w:pPr>
              <w:spacing w:line="273" w:lineRule="auto"/>
              <w:rPr>
                <w:b/>
                <w:bCs/>
                <w:sz w:val="24"/>
              </w:rPr>
            </w:pPr>
          </w:p>
        </w:tc>
        <w:tc>
          <w:tcPr>
            <w:tcW w:w="618" w:type="dxa"/>
            <w:vMerge w:val="continue"/>
            <w:tcBorders>
              <w:top w:val="single" w:color="auto" w:sz="6" w:space="0"/>
              <w:bottom w:val="single" w:color="auto" w:sz="12" w:space="0"/>
            </w:tcBorders>
          </w:tcPr>
          <w:p>
            <w:pPr>
              <w:spacing w:line="360" w:lineRule="auto"/>
              <w:rPr>
                <w:sz w:val="24"/>
              </w:rPr>
            </w:pPr>
          </w:p>
        </w:tc>
        <w:tc>
          <w:tcPr>
            <w:tcW w:w="2153" w:type="dxa"/>
            <w:tcBorders>
              <w:top w:val="single" w:color="auto" w:sz="6" w:space="0"/>
              <w:bottom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质量标准</w:t>
            </w:r>
          </w:p>
        </w:tc>
        <w:tc>
          <w:tcPr>
            <w:tcW w:w="5429" w:type="dxa"/>
            <w:tcBorders>
              <w:top w:val="single" w:color="auto" w:sz="6" w:space="0"/>
              <w:bottom w:val="single" w:color="auto" w:sz="12" w:space="0"/>
            </w:tcBorders>
            <w:vAlign w:val="center"/>
          </w:tcPr>
          <w:p>
            <w:pPr>
              <w:spacing w:line="360" w:lineRule="auto"/>
              <w:rPr>
                <w:rFonts w:ascii="宋体" w:hAnsi="宋体" w:cs="宋体"/>
                <w:sz w:val="24"/>
              </w:rPr>
            </w:pPr>
            <w:r>
              <w:rPr>
                <w:kern w:val="0"/>
                <w:sz w:val="24"/>
              </w:rPr>
              <w:t>达到国家相关质量合格标准</w:t>
            </w:r>
          </w:p>
        </w:tc>
        <w:tc>
          <w:tcPr>
            <w:tcW w:w="463" w:type="dxa"/>
            <w:tcBorders>
              <w:top w:val="single" w:color="auto" w:sz="6" w:space="0"/>
              <w:bottom w:val="single" w:color="auto" w:sz="12" w:space="0"/>
            </w:tcBorders>
            <w:vAlign w:val="center"/>
          </w:tcPr>
          <w:p>
            <w:pPr>
              <w:rPr>
                <w:sz w:val="24"/>
              </w:rPr>
            </w:pPr>
          </w:p>
        </w:tc>
      </w:tr>
    </w:tbl>
    <w:p>
      <w:pPr>
        <w:adjustRightInd w:val="0"/>
        <w:snapToGrid w:val="0"/>
        <w:spacing w:before="156" w:beforeLines="50" w:line="324" w:lineRule="auto"/>
        <w:rPr>
          <w:rFonts w:ascii="宋体" w:hAnsi="宋体" w:cs="宋体"/>
          <w:sz w:val="24"/>
        </w:rPr>
      </w:pPr>
      <w:r>
        <w:rPr>
          <w:sz w:val="24"/>
        </w:rPr>
        <w:t xml:space="preserve">   </w:t>
      </w:r>
      <w:r>
        <w:rPr>
          <w:rFonts w:hint="eastAsia" w:ascii="宋体" w:hAnsi="宋体" w:cs="宋体"/>
          <w:sz w:val="24"/>
        </w:rPr>
        <w:t xml:space="preserve"> 4.3 磋商小组在对响应文件的有效性、完整性和响应程度进行审查时，可以要求磋商响应单位对响应文件中含义不明确、同类问题表述不一致或者有明显文字和计算错误的内容等作出必要的澄清、说明或者更正。磋商响应单位的澄清、说明或者更正不得超出响应文件的范围或者改变响应文件的实质性内容。</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要求磋商响应单位澄清、说明或者更正响应文件应当以书面形式作出。磋商响应单位的澄清、说明或者更正应当由法定代表人或其授权代表签字或者加盖公章。由授权代表签字的，应当附法定代表人授权书。磋商响应单位为自然人的，应当由本人签字并附身份证明。</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只和通过初审的磋商响应单位进行磋商。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5.1磋商</w:t>
      </w:r>
    </w:p>
    <w:p>
      <w:pPr>
        <w:adjustRightInd w:val="0"/>
        <w:snapToGrid w:val="0"/>
        <w:spacing w:line="324" w:lineRule="auto"/>
        <w:ind w:firstLine="480" w:firstLineChars="200"/>
        <w:rPr>
          <w:rFonts w:ascii="宋体" w:hAnsi="宋体" w:cs="宋体"/>
          <w:sz w:val="24"/>
        </w:rPr>
      </w:pPr>
      <w:r>
        <w:rPr>
          <w:rFonts w:hint="eastAsia" w:ascii="宋体" w:hAnsi="宋体" w:cs="宋体"/>
          <w:sz w:val="24"/>
        </w:rPr>
        <w:t>磋商小组可根据需要，由磋商小组所有成员集中与单一磋商响应单位分别进行磋商。采购代理机构对磋商过程和重要磋商内容进行记录，磋商小组召集人和磋商响应单位在记录上签字确认。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 在磋商过程中，磋商小组可以根据磋商文件和磋商情况实质性变动采购需求中的技术、服务要求以及合同草案条款，但不得变动磋商文件中的其他内容。实质性变动的内容，须经采购人代表确认，并成为磋商文件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 最终响应（第二次报价）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响应单位根据磋商情况和磋商文件修改书面通知（如有）对原响应文件进行修正，并在现场规定时间内将修正文件（如有）和最终报价由磋商响应单位法定代表人或其授权委托人签字或盖章后送交磋商小组。逾时不交的，视同放弃磋商。修正文件与磋商响应文件同具法律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5.4 所有磋商响应单位的最终响应未超过政府采购预算不足3家，磋商活动终止。</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5.5 磋商过程由政府采购代理机构指定专人负责记录，并存档备查。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6、详细评审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评标委员会只对磋商最终响应的磋商响应单位进行评审和比较。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 本次磋商采用综合评分法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 磋商响应单位的评审总得分满分100分（商务标45分、技术标55分）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评分标准</w:t>
      </w:r>
    </w:p>
    <w:p>
      <w:pPr>
        <w:pStyle w:val="17"/>
      </w:pPr>
      <w:r>
        <w:br w:type="page"/>
      </w:r>
    </w:p>
    <w:tbl>
      <w:tblPr>
        <w:tblStyle w:val="48"/>
        <w:tblW w:w="90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6"/>
        <w:gridCol w:w="6525"/>
        <w:gridCol w:w="9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20" w:type="dxa"/>
            <w:tcBorders>
              <w:tl2br w:val="nil"/>
              <w:tr2bl w:val="nil"/>
            </w:tcBorders>
            <w:vAlign w:val="center"/>
          </w:tcPr>
          <w:p>
            <w:pPr>
              <w:widowControl/>
              <w:jc w:val="center"/>
              <w:rPr>
                <w:bCs/>
                <w:kern w:val="0"/>
                <w:sz w:val="24"/>
              </w:rPr>
            </w:pPr>
            <w:r>
              <w:rPr>
                <w:bCs/>
                <w:kern w:val="0"/>
                <w:sz w:val="24"/>
              </w:rPr>
              <w:t>项别</w:t>
            </w:r>
          </w:p>
        </w:tc>
        <w:tc>
          <w:tcPr>
            <w:tcW w:w="816" w:type="dxa"/>
            <w:tcBorders>
              <w:tl2br w:val="nil"/>
              <w:tr2bl w:val="nil"/>
            </w:tcBorders>
            <w:vAlign w:val="center"/>
          </w:tcPr>
          <w:p>
            <w:pPr>
              <w:widowControl/>
              <w:jc w:val="center"/>
              <w:rPr>
                <w:bCs/>
                <w:kern w:val="0"/>
                <w:sz w:val="24"/>
              </w:rPr>
            </w:pPr>
            <w:r>
              <w:rPr>
                <w:bCs/>
                <w:kern w:val="0"/>
                <w:sz w:val="24"/>
              </w:rPr>
              <w:t>分值</w:t>
            </w:r>
          </w:p>
        </w:tc>
        <w:tc>
          <w:tcPr>
            <w:tcW w:w="6525" w:type="dxa"/>
            <w:tcBorders>
              <w:tl2br w:val="nil"/>
              <w:tr2bl w:val="nil"/>
            </w:tcBorders>
            <w:vAlign w:val="center"/>
          </w:tcPr>
          <w:p>
            <w:pPr>
              <w:widowControl/>
              <w:jc w:val="center"/>
              <w:rPr>
                <w:bCs/>
                <w:kern w:val="0"/>
                <w:sz w:val="24"/>
              </w:rPr>
            </w:pPr>
            <w:r>
              <w:rPr>
                <w:bCs/>
                <w:kern w:val="0"/>
                <w:sz w:val="24"/>
              </w:rPr>
              <w:t>评标要素</w:t>
            </w:r>
          </w:p>
        </w:tc>
        <w:tc>
          <w:tcPr>
            <w:tcW w:w="913" w:type="dxa"/>
            <w:tcBorders>
              <w:tl2br w:val="nil"/>
              <w:tr2bl w:val="nil"/>
            </w:tcBorders>
            <w:vAlign w:val="center"/>
          </w:tcPr>
          <w:p>
            <w:pPr>
              <w:widowControl/>
              <w:jc w:val="center"/>
              <w:rPr>
                <w:bCs/>
                <w:kern w:val="0"/>
                <w:sz w:val="24"/>
              </w:rPr>
            </w:pPr>
            <w:r>
              <w:rPr>
                <w:bCs/>
                <w:kern w:val="0"/>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74" w:type="dxa"/>
            <w:gridSpan w:val="4"/>
            <w:tcBorders>
              <w:tl2br w:val="nil"/>
              <w:tr2bl w:val="nil"/>
            </w:tcBorders>
            <w:vAlign w:val="center"/>
          </w:tcPr>
          <w:p>
            <w:pPr>
              <w:widowControl/>
              <w:jc w:val="center"/>
              <w:rPr>
                <w:b/>
                <w:bCs/>
                <w:kern w:val="0"/>
                <w:sz w:val="24"/>
              </w:rPr>
            </w:pPr>
            <w:r>
              <w:rPr>
                <w:rFonts w:hint="eastAsia" w:ascii="宋体" w:hAnsi="宋体" w:cs="宋体"/>
                <w:b/>
                <w:bCs/>
                <w:kern w:val="0"/>
                <w:sz w:val="24"/>
              </w:rPr>
              <w:t>商务标（45分）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09" w:hRule="atLeast"/>
          <w:jc w:val="center"/>
        </w:trPr>
        <w:tc>
          <w:tcPr>
            <w:tcW w:w="820" w:type="dxa"/>
            <w:tcBorders>
              <w:tl2br w:val="nil"/>
              <w:tr2bl w:val="nil"/>
            </w:tcBorders>
            <w:vAlign w:val="center"/>
          </w:tcPr>
          <w:p>
            <w:pPr>
              <w:widowControl/>
              <w:jc w:val="center"/>
              <w:rPr>
                <w:bCs/>
                <w:kern w:val="0"/>
                <w:sz w:val="24"/>
                <w:highlight w:val="none"/>
              </w:rPr>
            </w:pPr>
            <w:r>
              <w:rPr>
                <w:bCs/>
                <w:kern w:val="0"/>
                <w:sz w:val="24"/>
                <w:highlight w:val="none"/>
              </w:rPr>
              <w:t>价格</w:t>
            </w:r>
          </w:p>
        </w:tc>
        <w:tc>
          <w:tcPr>
            <w:tcW w:w="816" w:type="dxa"/>
            <w:tcBorders>
              <w:tl2br w:val="nil"/>
              <w:tr2bl w:val="nil"/>
            </w:tcBorders>
            <w:vAlign w:val="center"/>
          </w:tcPr>
          <w:p>
            <w:pPr>
              <w:widowControl/>
              <w:jc w:val="center"/>
              <w:rPr>
                <w:sz w:val="24"/>
                <w:highlight w:val="none"/>
              </w:rPr>
            </w:pPr>
            <w:r>
              <w:rPr>
                <w:rFonts w:hint="eastAsia" w:ascii="宋体" w:hAnsi="宋体" w:cs="宋体"/>
                <w:sz w:val="24"/>
                <w:highlight w:val="none"/>
              </w:rPr>
              <w:t>0-40</w:t>
            </w:r>
          </w:p>
        </w:tc>
        <w:tc>
          <w:tcPr>
            <w:tcW w:w="6525" w:type="dxa"/>
            <w:tcBorders>
              <w:tl2br w:val="nil"/>
              <w:tr2bl w:val="nil"/>
            </w:tcBorders>
            <w:vAlign w:val="center"/>
          </w:tcPr>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磋商报价分应当采用最低价优先法计算，即满足磋商文件要求且投标价格最低的磋商报价为磋商基准价，其价格分为满分。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磋商基准价=评审报价的最低值，评审报价等于磋商基准价的得满分40分。</w:t>
            </w:r>
          </w:p>
          <w:p>
            <w:pPr>
              <w:tabs>
                <w:tab w:val="left" w:pos="540"/>
              </w:tabs>
              <w:adjustRightInd w:val="0"/>
              <w:spacing w:line="360" w:lineRule="auto"/>
              <w:ind w:right="105" w:rightChars="50"/>
              <w:rPr>
                <w:rFonts w:ascii="宋体" w:hAnsi="宋体" w:cs="宋体"/>
                <w:sz w:val="24"/>
                <w:highlight w:val="none"/>
              </w:rPr>
            </w:pPr>
            <w:r>
              <w:rPr>
                <w:rFonts w:hint="eastAsia" w:ascii="宋体" w:hAnsi="宋体" w:cs="宋体"/>
                <w:sz w:val="24"/>
                <w:highlight w:val="none"/>
              </w:rPr>
              <w:t>磋商报价得分=（磋商基准价/评审报价）× 40。</w:t>
            </w:r>
          </w:p>
          <w:p>
            <w:pPr>
              <w:widowControl/>
              <w:spacing w:line="360" w:lineRule="auto"/>
              <w:jc w:val="left"/>
              <w:rPr>
                <w:rFonts w:ascii="宋体" w:hAnsi="宋体" w:cs="宋体"/>
                <w:sz w:val="24"/>
                <w:highlight w:val="none"/>
              </w:rPr>
            </w:pPr>
            <w:r>
              <w:rPr>
                <w:rFonts w:hint="eastAsia" w:ascii="宋体" w:hAnsi="宋体" w:cs="宋体"/>
                <w:sz w:val="24"/>
                <w:highlight w:val="none"/>
              </w:rPr>
              <w:t>若磋商响应单位的报价明显低于成本价，或报价明显无法达到服务要求，评标委员会有权要求磋商响应单位做出报价澄清并提供相关证明，若在限定时间内无法澄清或无法出具合理的证明，经评标委员会二分之一以上成员认定，该报价为无效报价。</w:t>
            </w:r>
          </w:p>
          <w:p>
            <w:pPr>
              <w:widowControl/>
              <w:spacing w:line="360" w:lineRule="auto"/>
              <w:jc w:val="left"/>
              <w:rPr>
                <w:sz w:val="24"/>
                <w:highlight w:val="none"/>
              </w:rPr>
            </w:pPr>
            <w:r>
              <w:rPr>
                <w:rFonts w:hint="eastAsia" w:ascii="宋体" w:hAnsi="宋体" w:cs="宋体"/>
                <w:sz w:val="24"/>
                <w:highlight w:val="none"/>
              </w:rPr>
              <w:t>符合磋商文件规定的小微企业、监狱、福利企业企业优惠条件的磋商响应单位，价格给予3%的扣除，用扣除后的价格参与评审</w:t>
            </w:r>
            <w:r>
              <w:rPr>
                <w:sz w:val="24"/>
                <w:highlight w:val="none"/>
              </w:rPr>
              <w:t>。</w:t>
            </w:r>
          </w:p>
        </w:tc>
        <w:tc>
          <w:tcPr>
            <w:tcW w:w="913" w:type="dxa"/>
            <w:tcBorders>
              <w:tl2br w:val="nil"/>
              <w:tr2bl w:val="nil"/>
            </w:tcBorders>
            <w:vAlign w:val="center"/>
          </w:tcPr>
          <w:p>
            <w:pPr>
              <w:spacing w:line="300" w:lineRule="exac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rPr>
            </w:pPr>
            <w:r>
              <w:rPr>
                <w:rFonts w:hint="eastAsia" w:ascii="宋体" w:hAnsi="宋体" w:cs="宋体"/>
                <w:bCs/>
                <w:kern w:val="0"/>
                <w:sz w:val="24"/>
              </w:rPr>
              <w:t>类似项目业绩</w:t>
            </w:r>
          </w:p>
        </w:tc>
        <w:tc>
          <w:tcPr>
            <w:tcW w:w="816" w:type="dxa"/>
            <w:tcBorders>
              <w:tl2br w:val="nil"/>
              <w:tr2bl w:val="nil"/>
            </w:tcBorders>
            <w:vAlign w:val="center"/>
          </w:tcPr>
          <w:p>
            <w:pPr>
              <w:widowControl/>
              <w:spacing w:line="360" w:lineRule="auto"/>
              <w:jc w:val="center"/>
              <w:rPr>
                <w:rFonts w:ascii="宋体" w:hAnsi="宋体" w:cs="宋体"/>
                <w:sz w:val="24"/>
              </w:rPr>
            </w:pPr>
            <w:r>
              <w:rPr>
                <w:rFonts w:hint="eastAsia" w:ascii="宋体" w:hAnsi="宋体" w:cs="宋体"/>
                <w:sz w:val="24"/>
              </w:rPr>
              <w:t>0-5</w:t>
            </w:r>
          </w:p>
        </w:tc>
        <w:tc>
          <w:tcPr>
            <w:tcW w:w="6525" w:type="dxa"/>
            <w:tcBorders>
              <w:tl2br w:val="nil"/>
              <w:tr2bl w:val="nil"/>
            </w:tcBorders>
            <w:vAlign w:val="center"/>
          </w:tcPr>
          <w:p>
            <w:pPr>
              <w:widowControl/>
              <w:spacing w:line="360" w:lineRule="auto"/>
              <w:jc w:val="left"/>
              <w:rPr>
                <w:rFonts w:ascii="宋体" w:hAnsi="宋体" w:cs="宋体"/>
                <w:sz w:val="24"/>
              </w:rPr>
            </w:pPr>
            <w:r>
              <w:rPr>
                <w:rFonts w:hint="eastAsia" w:ascii="宋体" w:hAnsi="宋体" w:cs="宋体"/>
                <w:sz w:val="24"/>
              </w:rPr>
              <w:t>201</w:t>
            </w:r>
            <w:r>
              <w:rPr>
                <w:rFonts w:hint="eastAsia" w:ascii="宋体" w:hAnsi="宋体" w:cs="宋体"/>
                <w:sz w:val="24"/>
                <w:lang w:val="en-US" w:eastAsia="zh-CN"/>
              </w:rPr>
              <w:t>9</w:t>
            </w:r>
            <w:r>
              <w:rPr>
                <w:rFonts w:hint="eastAsia" w:ascii="宋体" w:hAnsi="宋体" w:cs="宋体"/>
                <w:sz w:val="24"/>
              </w:rPr>
              <w:t>年</w:t>
            </w:r>
            <w:r>
              <w:rPr>
                <w:rFonts w:hint="eastAsia" w:ascii="宋体" w:hAnsi="宋体" w:cs="宋体"/>
                <w:sz w:val="24"/>
                <w:highlight w:val="none"/>
                <w:lang w:val="en-US" w:eastAsia="zh-CN"/>
              </w:rPr>
              <w:t>5</w:t>
            </w:r>
            <w:r>
              <w:rPr>
                <w:rFonts w:hint="eastAsia" w:ascii="宋体" w:hAnsi="宋体" w:cs="宋体"/>
                <w:sz w:val="24"/>
                <w:lang w:val="en-US" w:eastAsia="zh-CN"/>
              </w:rPr>
              <w:t>月</w:t>
            </w:r>
            <w:r>
              <w:rPr>
                <w:rFonts w:hint="eastAsia" w:ascii="宋体" w:hAnsi="宋体" w:cs="宋体"/>
                <w:sz w:val="24"/>
              </w:rPr>
              <w:t>至今完成类似项目</w:t>
            </w:r>
            <w:bookmarkStart w:id="71" w:name="_GoBack"/>
            <w:r>
              <w:rPr>
                <w:rFonts w:hint="eastAsia" w:ascii="宋体" w:hAnsi="宋体" w:cs="宋体"/>
                <w:sz w:val="24"/>
              </w:rPr>
              <w:t>业绩</w:t>
            </w:r>
            <w:bookmarkEnd w:id="71"/>
            <w:r>
              <w:rPr>
                <w:rFonts w:hint="eastAsia" w:ascii="宋体" w:hAnsi="宋体" w:cs="宋体"/>
                <w:sz w:val="24"/>
              </w:rPr>
              <w:t>，有1项得1分；每增加1项，加1分，最高得5分（以合同协议书</w:t>
            </w:r>
            <w:r>
              <w:rPr>
                <w:rFonts w:hint="eastAsia" w:ascii="宋体" w:hAnsi="宋体" w:cs="宋体"/>
                <w:sz w:val="24"/>
                <w:lang w:eastAsia="zh-CN"/>
              </w:rPr>
              <w:t>或</w:t>
            </w:r>
            <w:r>
              <w:rPr>
                <w:rFonts w:hint="eastAsia" w:ascii="宋体" w:hAnsi="宋体" w:cs="宋体"/>
                <w:sz w:val="24"/>
              </w:rPr>
              <w:t>中标通知书为准）</w:t>
            </w:r>
          </w:p>
        </w:tc>
        <w:tc>
          <w:tcPr>
            <w:tcW w:w="913" w:type="dxa"/>
            <w:tcBorders>
              <w:tl2br w:val="nil"/>
              <w:tr2bl w:val="nil"/>
            </w:tcBorders>
            <w:vAlign w:val="center"/>
          </w:tcPr>
          <w:p>
            <w:pPr>
              <w:spacing w:line="360" w:lineRule="auto"/>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74" w:type="dxa"/>
            <w:gridSpan w:val="4"/>
            <w:tcBorders>
              <w:tl2br w:val="nil"/>
              <w:tr2bl w:val="nil"/>
            </w:tcBorders>
            <w:vAlign w:val="center"/>
          </w:tcPr>
          <w:p>
            <w:pPr>
              <w:spacing w:line="360" w:lineRule="auto"/>
              <w:jc w:val="center"/>
              <w:rPr>
                <w:rFonts w:ascii="宋体" w:hAnsi="宋体" w:cs="宋体"/>
                <w:b/>
                <w:sz w:val="24"/>
              </w:rPr>
            </w:pPr>
            <w:r>
              <w:rPr>
                <w:rFonts w:hint="eastAsia" w:ascii="宋体" w:hAnsi="宋体" w:cs="宋体"/>
                <w:b/>
                <w:sz w:val="24"/>
              </w:rPr>
              <w:t>技术标（55分）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820" w:type="dxa"/>
            <w:vMerge w:val="restart"/>
            <w:tcBorders>
              <w:tl2br w:val="nil"/>
              <w:tr2bl w:val="nil"/>
            </w:tcBorders>
            <w:vAlign w:val="center"/>
          </w:tcPr>
          <w:p>
            <w:pPr>
              <w:tabs>
                <w:tab w:val="left" w:pos="540"/>
              </w:tabs>
              <w:spacing w:line="360" w:lineRule="auto"/>
              <w:ind w:right="105" w:rightChars="50"/>
              <w:jc w:val="center"/>
              <w:rPr>
                <w:rFonts w:ascii="宋体" w:hAnsi="宋体" w:cs="宋体"/>
                <w:sz w:val="24"/>
                <w:highlight w:val="none"/>
              </w:rPr>
            </w:pPr>
            <w:r>
              <w:rPr>
                <w:rFonts w:hint="eastAsia" w:ascii="宋体" w:hAnsi="宋体" w:cs="宋体"/>
                <w:bCs/>
                <w:kern w:val="0"/>
                <w:sz w:val="24"/>
                <w:highlight w:val="none"/>
              </w:rPr>
              <w:t>施工组织设计45分</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项目管理机构及项目经理部组成</w:t>
            </w:r>
          </w:p>
        </w:tc>
        <w:tc>
          <w:tcPr>
            <w:tcW w:w="913" w:type="dxa"/>
            <w:vMerge w:val="restart"/>
            <w:tcBorders>
              <w:tl2br w:val="nil"/>
              <w:tr2bl w:val="nil"/>
            </w:tcBorders>
            <w:vAlign w:val="center"/>
          </w:tcPr>
          <w:p>
            <w:pPr>
              <w:tabs>
                <w:tab w:val="left" w:pos="540"/>
              </w:tabs>
              <w:spacing w:line="360" w:lineRule="auto"/>
              <w:ind w:right="105" w:rightChars="50"/>
              <w:rPr>
                <w:rFonts w:ascii="宋体" w:hAnsi="宋体" w:cs="宋体"/>
                <w:sz w:val="24"/>
              </w:rPr>
            </w:pPr>
            <w:r>
              <w:rPr>
                <w:rFonts w:hint="eastAsia" w:ascii="宋体" w:hAnsi="宋体" w:cs="宋体"/>
                <w:sz w:val="24"/>
              </w:rPr>
              <w:t>有严重错误或</w:t>
            </w:r>
          </w:p>
          <w:p>
            <w:pPr>
              <w:tabs>
                <w:tab w:val="left" w:pos="540"/>
              </w:tabs>
              <w:spacing w:line="360" w:lineRule="auto"/>
              <w:ind w:right="105" w:rightChars="50"/>
              <w:jc w:val="center"/>
              <w:rPr>
                <w:rFonts w:ascii="宋体" w:hAnsi="宋体" w:cs="宋体"/>
                <w:sz w:val="24"/>
              </w:rPr>
            </w:pPr>
            <w:r>
              <w:rPr>
                <w:rFonts w:hint="eastAsia" w:ascii="宋体" w:hAnsi="宋体" w:cs="宋体"/>
                <w:sz w:val="24"/>
              </w:rPr>
              <w:t>漏项，该分项得0分</w:t>
            </w:r>
          </w:p>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0" w:type="dxa"/>
            <w:vMerge w:val="continue"/>
            <w:tcBorders>
              <w:tl2br w:val="nil"/>
              <w:tr2bl w:val="nil"/>
            </w:tcBorders>
            <w:vAlign w:val="center"/>
          </w:tcPr>
          <w:p>
            <w:pPr>
              <w:tabs>
                <w:tab w:val="left" w:pos="540"/>
              </w:tabs>
              <w:spacing w:line="360" w:lineRule="auto"/>
              <w:ind w:right="105" w:rightChars="50"/>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tabs>
                <w:tab w:val="left" w:pos="540"/>
              </w:tabs>
              <w:spacing w:line="360" w:lineRule="auto"/>
              <w:ind w:right="105" w:rightChars="50"/>
              <w:rPr>
                <w:rFonts w:ascii="宋体" w:hAnsi="宋体" w:cs="宋体"/>
                <w:sz w:val="24"/>
                <w:highlight w:val="none"/>
              </w:rPr>
            </w:pPr>
            <w:r>
              <w:rPr>
                <w:rFonts w:hint="eastAsia" w:ascii="宋体" w:hAnsi="宋体" w:cs="宋体"/>
                <w:sz w:val="24"/>
                <w:highlight w:val="none"/>
              </w:rPr>
              <w:t>施工方案</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确保安全生产的技术组织措施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确保文明工地的技术组织措施及环境保护</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劳动力计划及主要材料供应计划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施工机械设备供应计划表</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rPr>
                <w:rFonts w:ascii="宋体" w:hAnsi="宋体" w:cs="宋体"/>
                <w:sz w:val="24"/>
                <w:highlight w:val="none"/>
              </w:rPr>
            </w:pPr>
            <w:r>
              <w:rPr>
                <w:rFonts w:hint="eastAsia" w:ascii="宋体" w:hAnsi="宋体" w:cs="宋体"/>
                <w:sz w:val="24"/>
                <w:highlight w:val="none"/>
              </w:rPr>
              <w:t>确保工程质量保证措施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施工进度计划及确保工期的技术措施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雨季施工管理防范措施</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820" w:type="dxa"/>
            <w:vMerge w:val="continue"/>
            <w:tcBorders>
              <w:tl2br w:val="nil"/>
              <w:tr2bl w:val="nil"/>
            </w:tcBorders>
            <w:vAlign w:val="center"/>
          </w:tcPr>
          <w:p>
            <w:pPr>
              <w:tabs>
                <w:tab w:val="left" w:pos="540"/>
              </w:tabs>
              <w:spacing w:line="360" w:lineRule="auto"/>
              <w:ind w:right="105" w:rightChars="50"/>
              <w:rPr>
                <w:rFonts w:ascii="宋体" w:hAnsi="宋体" w:cs="宋体"/>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0-3</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垃圾清运的计划</w:t>
            </w:r>
          </w:p>
        </w:tc>
        <w:tc>
          <w:tcPr>
            <w:tcW w:w="913" w:type="dxa"/>
            <w:vMerge w:val="continue"/>
            <w:tcBorders>
              <w:tl2br w:val="nil"/>
              <w:tr2bl w:val="nil"/>
            </w:tcBorders>
            <w:vAlign w:val="center"/>
          </w:tcPr>
          <w:p>
            <w:pPr>
              <w:tabs>
                <w:tab w:val="left" w:pos="540"/>
              </w:tabs>
              <w:spacing w:line="360" w:lineRule="auto"/>
              <w:ind w:right="105" w:rightChars="5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820" w:type="dxa"/>
            <w:vMerge w:val="continue"/>
            <w:tcBorders>
              <w:tl2br w:val="nil"/>
              <w:tr2bl w:val="nil"/>
            </w:tcBorders>
            <w:vAlign w:val="center"/>
          </w:tcPr>
          <w:p>
            <w:pPr>
              <w:widowControl/>
              <w:spacing w:line="360" w:lineRule="auto"/>
              <w:jc w:val="center"/>
              <w:rPr>
                <w:rFonts w:ascii="宋体" w:hAnsi="宋体" w:cs="宋体"/>
                <w:bCs/>
                <w:kern w:val="0"/>
                <w:sz w:val="24"/>
                <w:highlight w:val="none"/>
              </w:rPr>
            </w:pP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0-2</w:t>
            </w:r>
          </w:p>
        </w:tc>
        <w:tc>
          <w:tcPr>
            <w:tcW w:w="6525" w:type="dxa"/>
            <w:tcBorders>
              <w:tl2br w:val="nil"/>
              <w:tr2bl w:val="nil"/>
            </w:tcBorders>
            <w:vAlign w:val="center"/>
          </w:tcPr>
          <w:p>
            <w:pPr>
              <w:widowControl/>
              <w:spacing w:line="360" w:lineRule="auto"/>
              <w:jc w:val="left"/>
              <w:rPr>
                <w:rFonts w:ascii="宋体" w:hAnsi="宋体" w:cs="宋体"/>
                <w:bCs/>
                <w:kern w:val="0"/>
                <w:sz w:val="24"/>
                <w:highlight w:val="none"/>
              </w:rPr>
            </w:pPr>
            <w:r>
              <w:rPr>
                <w:rFonts w:hint="eastAsia" w:ascii="宋体" w:hAnsi="宋体" w:cs="宋体"/>
                <w:sz w:val="24"/>
                <w:highlight w:val="none"/>
              </w:rPr>
              <w:t>对项目经理及主要人员竣工前不得更换做出实质性承诺，不拖欠农民工工资承诺，确保工程进度不拖延工期承诺，评委自主赋分</w:t>
            </w:r>
          </w:p>
        </w:tc>
        <w:tc>
          <w:tcPr>
            <w:tcW w:w="913" w:type="dxa"/>
            <w:vMerge w:val="continue"/>
            <w:tcBorders>
              <w:tl2br w:val="nil"/>
              <w:tr2bl w:val="nil"/>
            </w:tcBorders>
            <w:vAlign w:val="center"/>
          </w:tcPr>
          <w:p>
            <w:pPr>
              <w:widowControl/>
              <w:spacing w:line="360" w:lineRule="auto"/>
              <w:jc w:val="left"/>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工程质量承诺</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完全承诺招标文件和合同条款，并针对本项目实际需求提供实质性承诺或合理化建议</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9" w:hRule="atLeast"/>
          <w:jc w:val="center"/>
        </w:trPr>
        <w:tc>
          <w:tcPr>
            <w:tcW w:w="820" w:type="dxa"/>
            <w:tcBorders>
              <w:tl2br w:val="nil"/>
              <w:tr2bl w:val="nil"/>
            </w:tcBorders>
            <w:vAlign w:val="center"/>
          </w:tcPr>
          <w:p>
            <w:pPr>
              <w:widowControl/>
              <w:spacing w:line="360" w:lineRule="auto"/>
              <w:jc w:val="center"/>
              <w:rPr>
                <w:rFonts w:ascii="宋体" w:hAnsi="宋体" w:cs="宋体"/>
                <w:bCs/>
                <w:kern w:val="0"/>
                <w:sz w:val="24"/>
                <w:highlight w:val="none"/>
              </w:rPr>
            </w:pPr>
            <w:r>
              <w:rPr>
                <w:rFonts w:hint="eastAsia" w:ascii="宋体" w:hAnsi="宋体" w:cs="宋体"/>
                <w:bCs/>
                <w:kern w:val="0"/>
                <w:sz w:val="24"/>
                <w:highlight w:val="none"/>
              </w:rPr>
              <w:t>后续服务</w:t>
            </w:r>
          </w:p>
        </w:tc>
        <w:tc>
          <w:tcPr>
            <w:tcW w:w="816" w:type="dxa"/>
            <w:tcBorders>
              <w:tl2br w:val="nil"/>
              <w:tr2bl w:val="nil"/>
            </w:tcBorders>
            <w:vAlign w:val="center"/>
          </w:tcPr>
          <w:p>
            <w:pPr>
              <w:widowControl/>
              <w:spacing w:line="360" w:lineRule="auto"/>
              <w:jc w:val="center"/>
              <w:rPr>
                <w:rFonts w:ascii="宋体" w:hAnsi="宋体" w:cs="宋体"/>
                <w:sz w:val="24"/>
                <w:highlight w:val="none"/>
              </w:rPr>
            </w:pPr>
            <w:r>
              <w:rPr>
                <w:rFonts w:hint="eastAsia" w:ascii="宋体" w:hAnsi="宋体" w:cs="宋体"/>
                <w:sz w:val="24"/>
                <w:highlight w:val="none"/>
              </w:rPr>
              <w:t>0-5</w:t>
            </w:r>
          </w:p>
        </w:tc>
        <w:tc>
          <w:tcPr>
            <w:tcW w:w="6525" w:type="dxa"/>
            <w:tcBorders>
              <w:tl2br w:val="nil"/>
              <w:tr2bl w:val="nil"/>
            </w:tcBorders>
            <w:vAlign w:val="center"/>
          </w:tcPr>
          <w:p>
            <w:pPr>
              <w:widowControl/>
              <w:spacing w:line="360" w:lineRule="auto"/>
              <w:jc w:val="left"/>
              <w:rPr>
                <w:rFonts w:ascii="宋体" w:hAnsi="宋体" w:cs="宋体"/>
                <w:sz w:val="24"/>
                <w:highlight w:val="none"/>
              </w:rPr>
            </w:pPr>
            <w:r>
              <w:rPr>
                <w:rFonts w:hint="eastAsia" w:ascii="宋体" w:hAnsi="宋体" w:cs="宋体"/>
                <w:sz w:val="24"/>
                <w:highlight w:val="none"/>
              </w:rPr>
              <w:t>后续服务条款具体、可行；并有详细的后续服务措施承诺且具体、可行</w:t>
            </w:r>
          </w:p>
        </w:tc>
        <w:tc>
          <w:tcPr>
            <w:tcW w:w="913" w:type="dxa"/>
            <w:tcBorders>
              <w:tl2br w:val="nil"/>
              <w:tr2bl w:val="nil"/>
            </w:tcBorders>
            <w:vAlign w:val="center"/>
          </w:tcPr>
          <w:p>
            <w:pPr>
              <w:widowControl/>
              <w:spacing w:line="360" w:lineRule="auto"/>
              <w:jc w:val="center"/>
              <w:rPr>
                <w:rFonts w:ascii="宋体" w:hAnsi="宋体" w:cs="宋体"/>
                <w:bCs/>
                <w:kern w:val="0"/>
                <w:sz w:val="24"/>
              </w:rPr>
            </w:pPr>
          </w:p>
        </w:tc>
      </w:tr>
    </w:tbl>
    <w:p>
      <w:pPr>
        <w:widowControl/>
        <w:adjustRightInd w:val="0"/>
        <w:snapToGrid w:val="0"/>
        <w:spacing w:before="156" w:beforeLines="50" w:line="360" w:lineRule="auto"/>
        <w:rPr>
          <w:rFonts w:ascii="宋体" w:hAnsi="宋体" w:cs="宋体"/>
          <w:sz w:val="24"/>
        </w:rPr>
      </w:pPr>
      <w:r>
        <w:rPr>
          <w:rFonts w:hint="eastAsia" w:ascii="宋体" w:hAnsi="宋体" w:cs="宋体"/>
          <w:sz w:val="24"/>
        </w:rPr>
        <w:t>注：各种计算数字“四舍五入”保留两位小数。</w:t>
      </w:r>
    </w:p>
    <w:p>
      <w:pPr>
        <w:widowControl/>
        <w:adjustRightInd w:val="0"/>
        <w:snapToGrid w:val="0"/>
        <w:spacing w:before="156" w:beforeLines="50" w:line="360" w:lineRule="auto"/>
        <w:rPr>
          <w:rFonts w:ascii="宋体" w:hAnsi="宋体" w:cs="宋体"/>
          <w:sz w:val="24"/>
        </w:rPr>
      </w:pPr>
      <w:r>
        <w:rPr>
          <w:rFonts w:hint="eastAsia"/>
        </w:rPr>
        <w:t xml:space="preserve">   </w:t>
      </w:r>
      <w:r>
        <w:rPr>
          <w:rFonts w:hint="eastAsia" w:ascii="宋体" w:hAnsi="宋体" w:cs="宋体"/>
          <w:sz w:val="24"/>
        </w:rPr>
        <w:t xml:space="preserve"> 7、在竞争性磋商中，出现下列情形之一的，应予废标：</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7.1最终磋商响应单位或对响应文件实质性响应不足3家的；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7.2出现影响采购公正的违法、违规行为的；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7.3磋商响应单位的最终磋商报价超过采购预算或最高限价，采购人不能支付的；</w:t>
      </w:r>
    </w:p>
    <w:p>
      <w:pPr>
        <w:widowControl/>
        <w:adjustRightInd w:val="0"/>
        <w:snapToGrid w:val="0"/>
        <w:spacing w:before="156" w:beforeLines="50" w:line="360" w:lineRule="auto"/>
        <w:rPr>
          <w:rFonts w:ascii="宋体" w:hAnsi="宋体" w:cs="宋体"/>
          <w:sz w:val="24"/>
        </w:rPr>
      </w:pPr>
      <w:r>
        <w:rPr>
          <w:sz w:val="24"/>
        </w:rPr>
        <w:t xml:space="preserve">   </w:t>
      </w:r>
      <w:r>
        <w:rPr>
          <w:rFonts w:hint="eastAsia" w:ascii="宋体" w:hAnsi="宋体" w:cs="宋体"/>
          <w:sz w:val="24"/>
        </w:rPr>
        <w:t xml:space="preserve"> 7.4因重大变故，采购任务取消的；</w:t>
      </w:r>
    </w:p>
    <w:p>
      <w:pPr>
        <w:widowControl/>
        <w:adjustRightInd w:val="0"/>
        <w:snapToGrid w:val="0"/>
        <w:spacing w:before="156" w:beforeLines="50" w:line="360" w:lineRule="auto"/>
        <w:rPr>
          <w:rFonts w:ascii="宋体" w:hAnsi="宋体" w:cs="宋体"/>
          <w:sz w:val="24"/>
        </w:rPr>
      </w:pPr>
      <w:r>
        <w:rPr>
          <w:rFonts w:hint="eastAsia" w:ascii="宋体" w:hAnsi="宋体" w:cs="宋体"/>
          <w:sz w:val="24"/>
        </w:rPr>
        <w:t xml:space="preserve">    7.5法律、法规规定其他满足废标情况的。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8、推荐成交候选人</w:t>
      </w:r>
    </w:p>
    <w:p>
      <w:pPr>
        <w:adjustRightInd w:val="0"/>
        <w:snapToGrid w:val="0"/>
        <w:spacing w:line="360" w:lineRule="auto"/>
        <w:rPr>
          <w:rFonts w:ascii="宋体" w:hAnsi="宋体" w:cs="宋体"/>
          <w:sz w:val="24"/>
        </w:rPr>
      </w:pPr>
      <w:r>
        <w:rPr>
          <w:rFonts w:hint="eastAsia" w:ascii="宋体" w:hAnsi="宋体" w:cs="宋体"/>
          <w:sz w:val="24"/>
        </w:rPr>
        <w:t xml:space="preserve">    按评审后得分由高到低顺序排列。得分相同的，按磋商报价由低到高顺序排列。得分且磋商报价相同的，按技术指标优劣顺序排列。</w:t>
      </w:r>
    </w:p>
    <w:p>
      <w:pPr>
        <w:adjustRightInd w:val="0"/>
        <w:snapToGrid w:val="0"/>
        <w:spacing w:line="360" w:lineRule="auto"/>
        <w:rPr>
          <w:rFonts w:ascii="宋体" w:hAnsi="宋体" w:cs="宋体"/>
          <w:sz w:val="24"/>
        </w:rPr>
      </w:pPr>
      <w:r>
        <w:rPr>
          <w:rFonts w:hint="eastAsia" w:ascii="宋体" w:hAnsi="宋体" w:cs="宋体"/>
          <w:b/>
          <w:bCs/>
          <w:sz w:val="24"/>
        </w:rPr>
        <w:t xml:space="preserve">    </w:t>
      </w:r>
      <w:r>
        <w:rPr>
          <w:rFonts w:hint="eastAsia" w:ascii="宋体" w:hAnsi="宋体" w:cs="宋体"/>
          <w:sz w:val="24"/>
        </w:rPr>
        <w:t>9、评标报告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磋商小组完成评标后，应当向招标人提交书面评标报告。评标报告应由全体磋商小组成员签字。</w:t>
      </w:r>
    </w:p>
    <w:p>
      <w:pPr>
        <w:pStyle w:val="3"/>
        <w:numPr>
          <w:ilvl w:val="0"/>
          <w:numId w:val="0"/>
        </w:numPr>
        <w:spacing w:line="360" w:lineRule="auto"/>
        <w:rPr>
          <w:rFonts w:asciiTheme="majorEastAsia" w:hAnsiTheme="majorEastAsia" w:eastAsiaTheme="majorEastAsia" w:cstheme="majorEastAsia"/>
          <w:b/>
          <w:bCs/>
          <w:kern w:val="2"/>
          <w:sz w:val="32"/>
          <w:szCs w:val="32"/>
        </w:rPr>
      </w:pPr>
      <w:bookmarkStart w:id="12" w:name="_Toc444269702"/>
      <w:r>
        <w:rPr>
          <w:rFonts w:ascii="Times New Roman" w:eastAsia="宋体"/>
          <w:sz w:val="24"/>
          <w:szCs w:val="24"/>
          <w:lang w:val="zh-CN"/>
        </w:rPr>
        <w:br w:type="page"/>
      </w:r>
      <w:bookmarkStart w:id="13" w:name="_Toc18298"/>
      <w:r>
        <w:rPr>
          <w:rFonts w:hint="eastAsia" w:asciiTheme="majorEastAsia" w:hAnsiTheme="majorEastAsia" w:eastAsiaTheme="majorEastAsia" w:cstheme="majorEastAsia"/>
          <w:b/>
          <w:bCs/>
          <w:kern w:val="2"/>
          <w:sz w:val="32"/>
          <w:szCs w:val="32"/>
          <w:highlight w:val="none"/>
          <w:lang w:val="zh-CN"/>
        </w:rPr>
        <w:t>第五章</w:t>
      </w:r>
      <w:r>
        <w:rPr>
          <w:rFonts w:hint="eastAsia" w:asciiTheme="majorEastAsia" w:hAnsiTheme="majorEastAsia" w:eastAsiaTheme="majorEastAsia" w:cstheme="majorEastAsia"/>
          <w:sz w:val="32"/>
          <w:szCs w:val="32"/>
          <w:highlight w:val="none"/>
          <w:lang w:val="zh-CN"/>
        </w:rPr>
        <w:t>　</w:t>
      </w:r>
      <w:r>
        <w:rPr>
          <w:rFonts w:hint="eastAsia" w:asciiTheme="majorEastAsia" w:hAnsiTheme="majorEastAsia" w:eastAsiaTheme="majorEastAsia" w:cstheme="majorEastAsia"/>
          <w:b/>
          <w:bCs/>
          <w:kern w:val="2"/>
          <w:sz w:val="32"/>
          <w:szCs w:val="32"/>
          <w:highlight w:val="none"/>
        </w:rPr>
        <w:t>采购内容及要求</w:t>
      </w:r>
      <w:bookmarkEnd w:id="13"/>
    </w:p>
    <w:p/>
    <w:p>
      <w:pPr>
        <w:numPr>
          <w:ilvl w:val="0"/>
          <w:numId w:val="6"/>
        </w:numPr>
        <w:jc w:val="left"/>
        <w:rPr>
          <w:rFonts w:ascii="宋体" w:hAnsi="宋体" w:cs="宋体"/>
          <w:b/>
          <w:sz w:val="28"/>
          <w:szCs w:val="28"/>
        </w:rPr>
      </w:pPr>
      <w:r>
        <w:rPr>
          <w:rFonts w:hint="eastAsia" w:ascii="宋体" w:hAnsi="宋体" w:cs="宋体"/>
          <w:b/>
          <w:sz w:val="28"/>
          <w:szCs w:val="28"/>
        </w:rPr>
        <w:t xml:space="preserve">工程概况： </w:t>
      </w:r>
    </w:p>
    <w:p>
      <w:pPr>
        <w:ind w:firstLine="560" w:firstLineChars="200"/>
        <w:jc w:val="left"/>
        <w:rPr>
          <w:rFonts w:hint="eastAsia" w:ascii="宋体" w:hAnsi="宋体" w:cs="仿宋"/>
          <w:color w:val="auto"/>
          <w:kern w:val="2"/>
          <w:sz w:val="28"/>
          <w:szCs w:val="28"/>
          <w:highlight w:val="none"/>
        </w:rPr>
      </w:pPr>
      <w:r>
        <w:rPr>
          <w:rFonts w:hint="eastAsia" w:ascii="宋体" w:hAnsi="宋体" w:cs="仿宋"/>
          <w:color w:val="auto"/>
          <w:kern w:val="2"/>
          <w:sz w:val="28"/>
          <w:szCs w:val="28"/>
          <w:highlight w:val="none"/>
          <w:lang w:eastAsia="zh-CN"/>
        </w:rPr>
        <w:t>西安市高陵区创优质均衡发展（苏家小学户外改造提升项目）</w:t>
      </w:r>
      <w:r>
        <w:rPr>
          <w:rFonts w:hint="eastAsia" w:ascii="宋体" w:hAnsi="宋体" w:cs="仿宋"/>
          <w:color w:val="auto"/>
          <w:kern w:val="2"/>
          <w:sz w:val="28"/>
          <w:szCs w:val="28"/>
          <w:highlight w:val="none"/>
        </w:rPr>
        <w:t>，</w:t>
      </w:r>
      <w:r>
        <w:rPr>
          <w:rFonts w:hint="eastAsia" w:ascii="宋体" w:hAnsi="宋体" w:cs="仿宋"/>
          <w:color w:val="auto"/>
          <w:kern w:val="2"/>
          <w:sz w:val="28"/>
          <w:szCs w:val="28"/>
          <w:highlight w:val="none"/>
          <w:lang w:eastAsia="zh-CN"/>
        </w:rPr>
        <w:t>包括室外消防水池及楼梯间、室外围墙、管网及检查井工程。</w:t>
      </w:r>
    </w:p>
    <w:p>
      <w:pPr>
        <w:numPr>
          <w:ilvl w:val="0"/>
          <w:numId w:val="0"/>
        </w:numPr>
        <w:ind w:leftChars="0"/>
        <w:jc w:val="left"/>
        <w:rPr>
          <w:rFonts w:hint="eastAsia" w:ascii="宋体" w:hAnsi="宋体" w:cs="宋体"/>
          <w:b/>
          <w:sz w:val="28"/>
          <w:szCs w:val="28"/>
          <w:highlight w:val="yellow"/>
          <w:lang w:val="en-US" w:eastAsia="zh-CN"/>
        </w:rPr>
      </w:pPr>
      <w:r>
        <w:rPr>
          <w:rFonts w:hint="eastAsia" w:ascii="宋体" w:hAnsi="宋体" w:cs="宋体"/>
          <w:b/>
          <w:sz w:val="28"/>
          <w:szCs w:val="28"/>
          <w:highlight w:val="none"/>
          <w:lang w:eastAsia="zh-CN"/>
        </w:rPr>
        <w:t>二、工期</w:t>
      </w:r>
      <w:r>
        <w:rPr>
          <w:rFonts w:hint="eastAsia" w:ascii="宋体" w:hAnsi="宋体" w:cs="宋体"/>
          <w:b/>
          <w:sz w:val="28"/>
          <w:szCs w:val="28"/>
          <w:highlight w:val="none"/>
        </w:rPr>
        <w:t xml:space="preserve">： </w:t>
      </w:r>
      <w:r>
        <w:rPr>
          <w:rFonts w:hint="eastAsia" w:ascii="宋体" w:hAnsi="宋体" w:cs="仿宋"/>
          <w:color w:val="auto"/>
          <w:kern w:val="2"/>
          <w:sz w:val="28"/>
          <w:szCs w:val="28"/>
          <w:highlight w:val="none"/>
          <w:lang w:val="en-US" w:eastAsia="zh-CN"/>
        </w:rPr>
        <w:t>70日历天</w:t>
      </w:r>
    </w:p>
    <w:p>
      <w:pPr>
        <w:pStyle w:val="17"/>
        <w:numPr>
          <w:ilvl w:val="0"/>
          <w:numId w:val="0"/>
        </w:numPr>
        <w:ind w:leftChars="0"/>
        <w:rPr>
          <w:rFonts w:hint="default" w:ascii="宋体" w:hAnsi="宋体" w:eastAsia="宋体" w:cs="宋体"/>
          <w:b w:val="0"/>
          <w:bCs/>
          <w:kern w:val="2"/>
          <w:sz w:val="28"/>
          <w:szCs w:val="28"/>
          <w:highlight w:val="none"/>
          <w:lang w:val="en-US" w:eastAsia="zh-CN" w:bidi="ar-SA"/>
        </w:rPr>
      </w:pPr>
      <w:r>
        <w:rPr>
          <w:rFonts w:hint="eastAsia" w:cs="宋体"/>
          <w:b/>
          <w:kern w:val="2"/>
          <w:sz w:val="28"/>
          <w:szCs w:val="28"/>
          <w:highlight w:val="none"/>
          <w:lang w:val="en-US" w:eastAsia="zh-CN" w:bidi="ar-SA"/>
        </w:rPr>
        <w:t>三、</w:t>
      </w:r>
      <w:r>
        <w:rPr>
          <w:rFonts w:hint="eastAsia" w:ascii="宋体" w:hAnsi="宋体" w:eastAsia="宋体" w:cs="宋体"/>
          <w:b/>
          <w:kern w:val="2"/>
          <w:sz w:val="28"/>
          <w:szCs w:val="28"/>
          <w:highlight w:val="none"/>
          <w:lang w:val="en-US" w:eastAsia="zh-CN" w:bidi="ar-SA"/>
        </w:rPr>
        <w:t>工程地点：</w:t>
      </w:r>
      <w:r>
        <w:rPr>
          <w:rFonts w:hint="eastAsia" w:ascii="宋体" w:hAnsi="宋体" w:cs="仿宋"/>
          <w:color w:val="auto"/>
          <w:kern w:val="2"/>
          <w:sz w:val="28"/>
          <w:szCs w:val="28"/>
          <w:highlight w:val="none"/>
          <w:lang w:eastAsia="zh-CN"/>
        </w:rPr>
        <w:t>西安市高陵区苏家小学</w:t>
      </w:r>
    </w:p>
    <w:p>
      <w:pPr>
        <w:numPr>
          <w:ilvl w:val="0"/>
          <w:numId w:val="0"/>
        </w:numPr>
        <w:ind w:leftChars="0"/>
        <w:rPr>
          <w:rFonts w:hint="default"/>
          <w:lang w:val="en-US" w:eastAsia="zh-CN"/>
        </w:rPr>
      </w:pPr>
      <w:r>
        <w:rPr>
          <w:rFonts w:hint="eastAsia" w:ascii="宋体" w:hAnsi="宋体" w:eastAsia="宋体" w:cs="宋体"/>
          <w:b/>
          <w:kern w:val="2"/>
          <w:sz w:val="28"/>
          <w:szCs w:val="28"/>
          <w:highlight w:val="none"/>
          <w:lang w:val="en-US" w:eastAsia="zh-CN" w:bidi="ar-SA"/>
        </w:rPr>
        <w:t>四、质量标准：</w:t>
      </w:r>
      <w:r>
        <w:rPr>
          <w:rFonts w:hint="eastAsia" w:ascii="宋体" w:hAnsi="宋体" w:eastAsia="宋体" w:cs="宋体"/>
          <w:b w:val="0"/>
          <w:bCs/>
          <w:kern w:val="2"/>
          <w:sz w:val="28"/>
          <w:szCs w:val="28"/>
          <w:highlight w:val="none"/>
          <w:lang w:val="en-US" w:eastAsia="zh-CN" w:bidi="ar-SA"/>
        </w:rPr>
        <w:t>达到国家相关质量合格标准</w:t>
      </w:r>
    </w:p>
    <w:p>
      <w:pPr>
        <w:pStyle w:val="2"/>
        <w:ind w:firstLine="480"/>
        <w:rPr>
          <w:sz w:val="24"/>
          <w:highlight w:val="red"/>
        </w:rPr>
      </w:pPr>
    </w:p>
    <w:p>
      <w:pPr>
        <w:pStyle w:val="2"/>
        <w:ind w:firstLine="480"/>
        <w:rPr>
          <w:sz w:val="24"/>
        </w:rPr>
      </w:pPr>
    </w:p>
    <w:p>
      <w:pPr>
        <w:pStyle w:val="2"/>
        <w:ind w:firstLine="562"/>
        <w:rPr>
          <w:rFonts w:ascii="宋体" w:hAnsi="宋体" w:cs="宋体"/>
          <w:b/>
          <w:bCs/>
          <w:sz w:val="28"/>
          <w:szCs w:val="28"/>
        </w:rPr>
      </w:pPr>
      <w:r>
        <w:rPr>
          <w:rFonts w:ascii="宋体" w:hAnsi="宋体" w:cs="宋体"/>
          <w:b/>
          <w:bCs/>
          <w:sz w:val="28"/>
          <w:szCs w:val="28"/>
        </w:rPr>
        <w:t>注：工程量清单另附</w:t>
      </w:r>
    </w:p>
    <w:p>
      <w:pPr>
        <w:pStyle w:val="2"/>
        <w:ind w:firstLine="480"/>
        <w:rPr>
          <w:sz w:val="24"/>
        </w:rPr>
      </w:pPr>
    </w:p>
    <w:p>
      <w:pPr>
        <w:spacing w:line="360" w:lineRule="auto"/>
        <w:rPr>
          <w:sz w:val="24"/>
        </w:rPr>
      </w:pPr>
    </w:p>
    <w:p>
      <w:pPr>
        <w:widowControl/>
        <w:jc w:val="left"/>
        <w:rPr>
          <w:rFonts w:asciiTheme="majorEastAsia" w:hAnsiTheme="majorEastAsia" w:eastAsiaTheme="majorEastAsia" w:cstheme="majorEastAsia"/>
          <w:b/>
          <w:bCs/>
          <w:sz w:val="32"/>
          <w:szCs w:val="32"/>
        </w:rPr>
      </w:pPr>
      <w:bookmarkStart w:id="14" w:name="_Toc26337"/>
      <w:r>
        <w:rPr>
          <w:rFonts w:asciiTheme="majorEastAsia" w:hAnsiTheme="majorEastAsia" w:eastAsiaTheme="majorEastAsia" w:cstheme="majorEastAsia"/>
          <w:b/>
          <w:bCs/>
          <w:sz w:val="32"/>
          <w:szCs w:val="32"/>
        </w:rPr>
        <w:br w:type="page"/>
      </w:r>
    </w:p>
    <w:p>
      <w:pPr>
        <w:spacing w:line="440" w:lineRule="exact"/>
        <w:jc w:val="center"/>
        <w:outlineLvl w:val="0"/>
        <w:rPr>
          <w:b/>
          <w:bCs/>
          <w:sz w:val="32"/>
          <w:szCs w:val="32"/>
          <w:highlight w:val="none"/>
        </w:rPr>
      </w:pPr>
      <w:r>
        <w:rPr>
          <w:rFonts w:hint="eastAsia" w:asciiTheme="majorEastAsia" w:hAnsiTheme="majorEastAsia" w:eastAsiaTheme="majorEastAsia" w:cstheme="majorEastAsia"/>
          <w:b/>
          <w:bCs/>
          <w:sz w:val="32"/>
          <w:szCs w:val="32"/>
          <w:highlight w:val="none"/>
        </w:rPr>
        <w:t>第六章　合同草案条款</w:t>
      </w:r>
      <w:bookmarkEnd w:id="14"/>
    </w:p>
    <w:p>
      <w:pPr>
        <w:tabs>
          <w:tab w:val="left" w:pos="0"/>
          <w:tab w:val="left" w:pos="993"/>
          <w:tab w:val="left" w:pos="1134"/>
        </w:tabs>
        <w:wordWrap w:val="0"/>
        <w:adjustRightInd w:val="0"/>
        <w:snapToGrid w:val="0"/>
        <w:spacing w:line="400" w:lineRule="exact"/>
        <w:ind w:firstLine="7440" w:firstLineChars="3100"/>
        <w:rPr>
          <w:snapToGrid w:val="0"/>
          <w:sz w:val="24"/>
        </w:rPr>
      </w:pPr>
      <w:r>
        <w:rPr>
          <w:rFonts w:hint="eastAsia"/>
          <w:snapToGrid w:val="0"/>
          <w:sz w:val="24"/>
        </w:rPr>
        <w:t>编号：</w:t>
      </w:r>
    </w:p>
    <w:p>
      <w:pPr>
        <w:tabs>
          <w:tab w:val="left" w:pos="0"/>
          <w:tab w:val="left" w:pos="993"/>
          <w:tab w:val="left" w:pos="1134"/>
        </w:tabs>
        <w:adjustRightInd w:val="0"/>
        <w:snapToGrid w:val="0"/>
        <w:spacing w:line="400" w:lineRule="exact"/>
        <w:ind w:firstLine="480" w:firstLineChars="200"/>
        <w:rPr>
          <w:snapToGrid w:val="0"/>
          <w:sz w:val="24"/>
        </w:rPr>
      </w:pPr>
    </w:p>
    <w:p>
      <w:pPr>
        <w:tabs>
          <w:tab w:val="left" w:pos="0"/>
          <w:tab w:val="left" w:pos="993"/>
          <w:tab w:val="left" w:pos="1134"/>
        </w:tabs>
        <w:adjustRightInd w:val="0"/>
        <w:snapToGrid w:val="0"/>
        <w:spacing w:line="400" w:lineRule="exact"/>
        <w:ind w:firstLine="480" w:firstLineChars="200"/>
        <w:rPr>
          <w:snapToGrid w:val="0"/>
          <w:sz w:val="24"/>
        </w:rPr>
      </w:pPr>
    </w:p>
    <w:p>
      <w:pPr>
        <w:widowControl/>
        <w:jc w:val="center"/>
        <w:rPr>
          <w:rFonts w:hint="eastAsia" w:ascii="宋体" w:hAnsi="宋体" w:eastAsia="宋体"/>
          <w:b/>
          <w:bCs/>
          <w:kern w:val="0"/>
          <w:sz w:val="36"/>
          <w:szCs w:val="36"/>
          <w:lang w:eastAsia="zh-CN"/>
        </w:rPr>
      </w:pPr>
      <w:r>
        <w:rPr>
          <w:rFonts w:hint="eastAsia" w:ascii="宋体" w:hAnsi="宋体"/>
          <w:b/>
          <w:bCs/>
          <w:kern w:val="0"/>
          <w:sz w:val="36"/>
          <w:szCs w:val="36"/>
          <w:lang w:eastAsia="zh-CN"/>
        </w:rPr>
        <w:t>西安市高陵区创优质均衡发展（苏家小学户外改造提升项目）</w:t>
      </w:r>
    </w:p>
    <w:p>
      <w:pPr>
        <w:widowControl/>
        <w:jc w:val="center"/>
        <w:rPr>
          <w:rFonts w:ascii="宋体" w:hAnsi="宋体"/>
          <w:b/>
          <w:bCs/>
          <w:kern w:val="0"/>
          <w:sz w:val="36"/>
          <w:szCs w:val="36"/>
        </w:rPr>
      </w:pPr>
      <w:r>
        <w:rPr>
          <w:rFonts w:hint="eastAsia" w:ascii="宋体" w:hAnsi="宋体"/>
          <w:b/>
          <w:bCs/>
          <w:kern w:val="0"/>
          <w:sz w:val="36"/>
          <w:szCs w:val="36"/>
        </w:rPr>
        <w:t>施工合同（参考）</w:t>
      </w:r>
    </w:p>
    <w:p>
      <w:pPr>
        <w:widowControl/>
        <w:ind w:firstLine="200"/>
        <w:jc w:val="center"/>
        <w:rPr>
          <w:b/>
          <w:bCs/>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ind w:firstLine="200"/>
        <w:jc w:val="center"/>
        <w:rPr>
          <w:b/>
          <w:bCs/>
          <w:color w:val="2F5597" w:themeColor="accent5" w:themeShade="BF"/>
          <w:kern w:val="0"/>
          <w:sz w:val="44"/>
          <w:szCs w:val="44"/>
        </w:rPr>
      </w:pPr>
      <w:r>
        <w:rPr>
          <w:rFonts w:hint="eastAsia"/>
          <w:b/>
          <w:bCs/>
          <w:color w:val="2F5597" w:themeColor="accent5" w:themeShade="BF"/>
          <w:kern w:val="0"/>
          <w:sz w:val="44"/>
          <w:szCs w:val="44"/>
        </w:rPr>
        <w:t xml:space="preserve">  </w:t>
      </w:r>
    </w:p>
    <w:p>
      <w:pPr>
        <w:widowControl/>
        <w:jc w:val="center"/>
        <w:rPr>
          <w:b/>
          <w:bCs/>
          <w:kern w:val="0"/>
          <w:sz w:val="32"/>
          <w:szCs w:val="32"/>
        </w:rPr>
      </w:pPr>
      <w:r>
        <w:rPr>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4000500</wp:posOffset>
                </wp:positionH>
                <wp:positionV relativeFrom="paragraph">
                  <wp:posOffset>100330</wp:posOffset>
                </wp:positionV>
                <wp:extent cx="685800" cy="594360"/>
                <wp:effectExtent l="4445" t="4445" r="14605" b="10795"/>
                <wp:wrapNone/>
                <wp:docPr id="1" name="矩形 22"/>
                <wp:cNvGraphicFramePr/>
                <a:graphic xmlns:a="http://schemas.openxmlformats.org/drawingml/2006/main">
                  <a:graphicData uri="http://schemas.microsoft.com/office/word/2010/wordprocessingShape">
                    <wps:wsp>
                      <wps:cNvSpPr/>
                      <wps:spPr>
                        <a:xfrm>
                          <a:off x="0" y="0"/>
                          <a:ext cx="68580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rPr>
                                <w:rFonts w:ascii="宋体" w:hAnsi="宋体"/>
                                <w:b/>
                                <w:sz w:val="32"/>
                                <w:szCs w:val="32"/>
                              </w:rPr>
                            </w:pPr>
                            <w:r>
                              <w:rPr>
                                <w:rFonts w:hint="eastAsia" w:ascii="宋体" w:hAnsi="宋体"/>
                                <w:b/>
                                <w:sz w:val="32"/>
                                <w:szCs w:val="32"/>
                              </w:rPr>
                              <w:t>制</w:t>
                            </w:r>
                          </w:p>
                        </w:txbxContent>
                      </wps:txbx>
                      <wps:bodyPr upright="1"/>
                    </wps:wsp>
                  </a:graphicData>
                </a:graphic>
              </wp:anchor>
            </w:drawing>
          </mc:Choice>
          <mc:Fallback>
            <w:pict>
              <v:rect id="矩形 22" o:spid="_x0000_s1026" o:spt="1" style="position:absolute;left:0pt;margin-left:315pt;margin-top:7.9pt;height:46.8pt;width:54pt;z-index:251659264;mso-width-relative:page;mso-height-relative:page;" fillcolor="#FFFFFF" filled="t" stroked="t" coordsize="21600,21600" o:gfxdata="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fNv7XAAAACgEAAA8AAAAAAAAAAQAgAAAAIgAAAGRycy9k&#10;b3ducmV2LnhtbFBLAQIUABQAAAAIAIdO4kADZY3QAwIAADcEAAAOAAAAAAAAAAEAIAAAACYBAABk&#10;cnMvZTJvRG9jLnhtbFBLBQYAAAAABgAGAFkBAACbBQAAAAA=&#10;">
                <v:fill on="t" focussize="0,0"/>
                <v:stroke color="#FFFFFF" joinstyle="miter"/>
                <v:imagedata o:title=""/>
                <o:lock v:ext="edit" aspectratio="f"/>
                <v:textbox>
                  <w:txbxContent>
                    <w:p>
                      <w:pPr>
                        <w:rPr>
                          <w:rFonts w:ascii="宋体" w:hAnsi="宋体"/>
                          <w:b/>
                          <w:sz w:val="32"/>
                          <w:szCs w:val="32"/>
                        </w:rPr>
                      </w:pPr>
                      <w:r>
                        <w:rPr>
                          <w:rFonts w:hint="eastAsia" w:ascii="宋体" w:hAnsi="宋体"/>
                          <w:b/>
                          <w:sz w:val="32"/>
                          <w:szCs w:val="32"/>
                        </w:rPr>
                        <w:t>制</w:t>
                      </w:r>
                    </w:p>
                  </w:txbxContent>
                </v:textbox>
              </v:rect>
            </w:pict>
          </mc:Fallback>
        </mc:AlternateContent>
      </w:r>
      <w:r>
        <w:rPr>
          <w:b/>
          <w:bCs/>
          <w:spacing w:val="95"/>
          <w:kern w:val="0"/>
          <w:sz w:val="32"/>
          <w:szCs w:val="32"/>
        </w:rPr>
        <w:t>陕西省建设</w:t>
      </w:r>
      <w:r>
        <w:rPr>
          <w:b/>
          <w:bCs/>
          <w:kern w:val="0"/>
          <w:sz w:val="32"/>
          <w:szCs w:val="32"/>
        </w:rPr>
        <w:t>厅</w:t>
      </w:r>
    </w:p>
    <w:p>
      <w:pPr>
        <w:widowControl/>
        <w:jc w:val="center"/>
        <w:rPr>
          <w:b/>
          <w:bCs/>
          <w:kern w:val="0"/>
          <w:sz w:val="32"/>
          <w:szCs w:val="32"/>
        </w:rPr>
      </w:pPr>
      <w:r>
        <w:rPr>
          <w:b/>
          <w:bCs/>
          <w:w w:val="81"/>
          <w:kern w:val="0"/>
          <w:sz w:val="32"/>
          <w:szCs w:val="32"/>
        </w:rPr>
        <w:t>陕西省工商行政管理局</w:t>
      </w:r>
    </w:p>
    <w:p>
      <w:pPr>
        <w:widowControl/>
        <w:jc w:val="center"/>
        <w:rPr>
          <w:sz w:val="28"/>
          <w:szCs w:val="28"/>
        </w:rPr>
      </w:pPr>
      <w:r>
        <w:rPr>
          <w:b/>
          <w:bCs/>
          <w:w w:val="81"/>
          <w:kern w:val="0"/>
          <w:sz w:val="32"/>
          <w:szCs w:val="32"/>
        </w:rPr>
        <w:t>二零</w:t>
      </w:r>
      <w:r>
        <w:rPr>
          <w:rFonts w:hint="eastAsia"/>
          <w:b/>
          <w:bCs/>
          <w:w w:val="81"/>
          <w:kern w:val="0"/>
          <w:sz w:val="32"/>
          <w:szCs w:val="32"/>
        </w:rPr>
        <w:t>二</w:t>
      </w:r>
      <w:r>
        <w:rPr>
          <w:rFonts w:hint="eastAsia"/>
          <w:b/>
          <w:bCs/>
          <w:w w:val="81"/>
          <w:kern w:val="0"/>
          <w:sz w:val="32"/>
          <w:szCs w:val="32"/>
          <w:lang w:eastAsia="zh-CN"/>
        </w:rPr>
        <w:t>二</w:t>
      </w:r>
      <w:r>
        <w:rPr>
          <w:b/>
          <w:bCs/>
          <w:w w:val="81"/>
          <w:kern w:val="0"/>
          <w:sz w:val="32"/>
          <w:szCs w:val="32"/>
        </w:rPr>
        <w:t>年</w:t>
      </w:r>
      <w:bookmarkStart w:id="15" w:name="_Toc231459932"/>
      <w:r>
        <w:rPr>
          <w:rFonts w:hint="eastAsia"/>
          <w:b/>
          <w:bCs/>
          <w:w w:val="81"/>
          <w:kern w:val="0"/>
          <w:sz w:val="32"/>
          <w:szCs w:val="32"/>
        </w:rPr>
        <w:t xml:space="preserve">   月 </w:t>
      </w:r>
      <w:r>
        <w:rPr>
          <w:sz w:val="24"/>
        </w:rPr>
        <w:br w:type="page"/>
      </w:r>
      <w:r>
        <w:rPr>
          <w:sz w:val="28"/>
          <w:szCs w:val="28"/>
        </w:rPr>
        <w:t>第一部分  协议书</w:t>
      </w:r>
      <w:bookmarkEnd w:id="15"/>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发包人（全称）：</w:t>
      </w:r>
      <w:r>
        <w:rPr>
          <w:rFonts w:hint="eastAsia" w:asciiTheme="minorEastAsia" w:hAnsiTheme="minorEastAsia" w:eastAsiaTheme="minorEastAsia"/>
          <w:kern w:val="0"/>
          <w:sz w:val="24"/>
        </w:rPr>
        <w:t xml:space="preserve"> </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b/>
          <w:kern w:val="0"/>
          <w:sz w:val="24"/>
          <w:u w:val="single"/>
        </w:rPr>
      </w:pPr>
      <w:r>
        <w:rPr>
          <w:rFonts w:asciiTheme="minorEastAsia" w:hAnsiTheme="minorEastAsia" w:eastAsiaTheme="minorEastAsia"/>
          <w:kern w:val="0"/>
          <w:sz w:val="24"/>
        </w:rPr>
        <w:t>承包人（全称）：</w:t>
      </w:r>
      <w:r>
        <w:rPr>
          <w:rFonts w:hint="eastAsia" w:asciiTheme="minorEastAsia" w:hAnsiTheme="minorEastAsia" w:eastAsiaTheme="minorEastAsia"/>
          <w:bCs/>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依照《中华人民共和国</w:t>
      </w:r>
      <w:r>
        <w:rPr>
          <w:rFonts w:hint="eastAsia" w:asciiTheme="minorEastAsia" w:hAnsiTheme="minorEastAsia" w:eastAsiaTheme="minorEastAsia"/>
          <w:kern w:val="0"/>
          <w:sz w:val="24"/>
          <w:lang w:val="en-US" w:eastAsia="zh-CN"/>
        </w:rPr>
        <w:t>民法典</w:t>
      </w:r>
      <w:r>
        <w:rPr>
          <w:rFonts w:asciiTheme="minorEastAsia" w:hAnsiTheme="minorEastAsia" w:eastAsiaTheme="minorEastAsia"/>
          <w:kern w:val="0"/>
          <w:sz w:val="24"/>
        </w:rPr>
        <w:t>》、《中华人民共和国建筑法》及其他有关法律、行政法规，遵循平等、自愿、公平和诚实信用的原则，双方就本建设工程施工协商一致，订立本合同。</w:t>
      </w:r>
    </w:p>
    <w:p>
      <w:pPr>
        <w:widowControl/>
        <w:numPr>
          <w:ilvl w:val="0"/>
          <w:numId w:val="7"/>
        </w:numPr>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工程概况</w:t>
      </w:r>
    </w:p>
    <w:p>
      <w:pPr>
        <w:pStyle w:val="2"/>
        <w:numPr>
          <w:ilvl w:val="0"/>
          <w:numId w:val="7"/>
        </w:numPr>
      </w:pPr>
    </w:p>
    <w:p>
      <w:pPr>
        <w:adjustRightInd w:val="0"/>
        <w:snapToGrid w:val="0"/>
        <w:spacing w:line="360" w:lineRule="auto"/>
        <w:ind w:firstLine="480" w:firstLineChars="200"/>
        <w:jc w:val="left"/>
        <w:rPr>
          <w:rFonts w:hint="eastAsia" w:asciiTheme="minorEastAsia" w:hAnsiTheme="minorEastAsia" w:eastAsiaTheme="minorEastAsia"/>
          <w:kern w:val="0"/>
          <w:sz w:val="24"/>
          <w:u w:val="single"/>
          <w:lang w:eastAsia="zh-CN"/>
        </w:rPr>
      </w:pPr>
      <w:r>
        <w:rPr>
          <w:rFonts w:asciiTheme="minorEastAsia" w:hAnsiTheme="minorEastAsia" w:eastAsiaTheme="minorEastAsia"/>
          <w:kern w:val="0"/>
          <w:sz w:val="24"/>
        </w:rPr>
        <w:t>工程名称：</w:t>
      </w:r>
      <w:r>
        <w:rPr>
          <w:rFonts w:hint="eastAsia" w:asciiTheme="minorEastAsia" w:hAnsiTheme="minorEastAsia" w:eastAsiaTheme="minorEastAsia"/>
          <w:kern w:val="0"/>
          <w:sz w:val="24"/>
          <w:u w:val="single"/>
          <w:lang w:eastAsia="zh-CN"/>
        </w:rPr>
        <w:t>西安市高陵区创优质均衡发展（苏家小学户外改造提升项目）</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工程地点：</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结构形式：</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asciiTheme="minorEastAsia" w:hAnsiTheme="minorEastAsia" w:eastAsiaTheme="minorEastAsia"/>
          <w:kern w:val="0"/>
          <w:sz w:val="24"/>
        </w:rPr>
        <w:t>　　建筑面积：</w:t>
      </w:r>
      <w:r>
        <w:rPr>
          <w:rFonts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群体工程应附承包人承揽工程项目一览表（附件1）</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工程立项文号：</w:t>
      </w:r>
    </w:p>
    <w:p>
      <w:pPr>
        <w:widowControl/>
        <w:spacing w:line="360" w:lineRule="auto"/>
        <w:ind w:firstLine="480" w:firstLineChars="200"/>
        <w:jc w:val="left"/>
        <w:rPr>
          <w:rFonts w:asciiTheme="minorEastAsia" w:hAnsiTheme="minorEastAsia" w:eastAsiaTheme="minorEastAsia"/>
          <w:color w:val="000000" w:themeColor="text1"/>
          <w:kern w:val="0"/>
          <w:sz w:val="24"/>
          <w:u w:val="single"/>
          <w14:textFill>
            <w14:solidFill>
              <w14:schemeClr w14:val="tx1"/>
            </w14:solidFill>
          </w14:textFill>
        </w:rPr>
      </w:pPr>
      <w:r>
        <w:rPr>
          <w:rFonts w:asciiTheme="minorEastAsia" w:hAnsiTheme="minorEastAsia" w:eastAsiaTheme="minorEastAsia"/>
          <w:color w:val="000000" w:themeColor="text1"/>
          <w:kern w:val="0"/>
          <w:sz w:val="24"/>
          <w14:textFill>
            <w14:solidFill>
              <w14:schemeClr w14:val="tx1"/>
            </w14:solidFill>
          </w14:textFill>
        </w:rPr>
        <w:t>资金来源：</w:t>
      </w:r>
      <w:r>
        <w:rPr>
          <w:rFonts w:hint="eastAsia" w:asciiTheme="minorEastAsia" w:hAnsiTheme="minorEastAsia" w:eastAsiaTheme="minorEastAsia" w:cstheme="minorEastAsia"/>
          <w:color w:val="000000" w:themeColor="text1"/>
          <w:sz w:val="24"/>
          <w14:textFill>
            <w14:solidFill>
              <w14:schemeClr w14:val="tx1"/>
            </w14:solidFill>
          </w14:textFill>
        </w:rPr>
        <w:t>财政资金</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二、工程承包范围</w:t>
      </w:r>
    </w:p>
    <w:p>
      <w:pPr>
        <w:pStyle w:val="40"/>
        <w:spacing w:line="360" w:lineRule="auto"/>
        <w:ind w:left="433" w:leftChars="206" w:firstLine="480" w:firstLineChars="200"/>
        <w:rPr>
          <w:rFonts w:asciiTheme="minorEastAsia" w:hAnsiTheme="minorEastAsia" w:eastAsiaTheme="minorEastAsia"/>
          <w:snapToGrid w:val="0"/>
          <w:sz w:val="24"/>
          <w:u w:val="single"/>
        </w:rPr>
      </w:pPr>
      <w:r>
        <w:rPr>
          <w:rFonts w:asciiTheme="minorEastAsia" w:hAnsiTheme="minorEastAsia" w:eastAsiaTheme="minorEastAsia"/>
          <w:sz w:val="24"/>
        </w:rPr>
        <w:t>承包范围：</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三、合同工期：</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总日历天数</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日历天</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开工日期：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竣工日期：</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年</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月</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四、质量标准</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工程质量标准：</w:t>
      </w:r>
      <w:r>
        <w:rPr>
          <w:rFonts w:asciiTheme="minorEastAsia" w:hAnsiTheme="minorEastAsia" w:eastAsiaTheme="minorEastAsia"/>
          <w:kern w:val="0"/>
          <w:sz w:val="24"/>
          <w:u w:val="single"/>
        </w:rPr>
        <w:t xml:space="preserve"> 合</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格</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u w:val="single"/>
        </w:rPr>
        <w:t xml:space="preserve"> </w:t>
      </w:r>
      <w:r>
        <w:rPr>
          <w:rFonts w:hint="eastAsia" w:asciiTheme="minorEastAsia" w:hAnsiTheme="minorEastAsia" w:eastAsiaTheme="minorEastAsia"/>
          <w:kern w:val="0"/>
          <w:sz w:val="24"/>
          <w:u w:val="single"/>
        </w:rPr>
        <w:t>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五、合同价款</w:t>
      </w:r>
    </w:p>
    <w:p>
      <w:pPr>
        <w:widowControl/>
        <w:spacing w:line="360" w:lineRule="auto"/>
        <w:ind w:firstLine="480" w:firstLineChars="200"/>
        <w:jc w:val="left"/>
        <w:rPr>
          <w:rFonts w:asciiTheme="minorEastAsia" w:hAnsiTheme="minorEastAsia" w:eastAsiaTheme="minorEastAsia"/>
          <w:kern w:val="0"/>
          <w:sz w:val="24"/>
          <w:u w:val="single"/>
        </w:rPr>
      </w:pPr>
      <w:r>
        <w:rPr>
          <w:rFonts w:asciiTheme="minorEastAsia" w:hAnsiTheme="minorEastAsia" w:eastAsiaTheme="minorEastAsia"/>
          <w:kern w:val="0"/>
          <w:sz w:val="24"/>
        </w:rPr>
        <w:t>1、合同总价（大写）：</w:t>
      </w:r>
      <w:r>
        <w:rPr>
          <w:rFonts w:asciiTheme="minorEastAsia" w:hAnsiTheme="minorEastAsia" w:eastAsiaTheme="minorEastAsia"/>
          <w:sz w:val="24"/>
        </w:rPr>
        <w:t>人民币</w:t>
      </w:r>
      <w:r>
        <w:rPr>
          <w:rFonts w:hint="eastAsia" w:asciiTheme="minorEastAsia" w:hAnsiTheme="minorEastAsia" w:eastAsiaTheme="minorEastAsia"/>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u w:val="single"/>
        </w:rPr>
        <w:t>（小写）￥：</w:t>
      </w:r>
      <w:r>
        <w:rPr>
          <w:rFonts w:hint="eastAsia" w:asciiTheme="minorEastAsia" w:hAnsiTheme="minorEastAsia" w:eastAsiaTheme="minorEastAsia"/>
          <w:sz w:val="24"/>
          <w:u w:val="single"/>
        </w:rPr>
        <w:t xml:space="preserve">      </w:t>
      </w:r>
      <w:r>
        <w:rPr>
          <w:rFonts w:asciiTheme="minorEastAsia" w:hAnsiTheme="minorEastAsia" w:eastAsiaTheme="minorEastAsia"/>
          <w:kern w:val="0"/>
          <w:sz w:val="24"/>
          <w:u w:val="single"/>
        </w:rPr>
        <w:t>元</w:t>
      </w:r>
      <w:r>
        <w:rPr>
          <w:rFonts w:asciiTheme="minorEastAsia" w:hAnsiTheme="minorEastAsia" w:eastAsiaTheme="minorEastAsia"/>
          <w:kern w:val="0"/>
          <w:sz w:val="24"/>
        </w:rPr>
        <w:t>（其中：工程预留金</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元，零星工作费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元，安全防护、文明施工措施费</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元，工程分包和材料购置费</w:t>
      </w:r>
      <w:r>
        <w:rPr>
          <w:rFonts w:hint="eastAsia" w:asciiTheme="minorEastAsia" w:hAnsiTheme="minorEastAsia" w:eastAsiaTheme="minorEastAsia"/>
          <w:kern w:val="0"/>
          <w:sz w:val="24"/>
          <w:u w:val="single"/>
        </w:rPr>
        <w:t xml:space="preserve">     /      </w:t>
      </w:r>
      <w:r>
        <w:rPr>
          <w:rFonts w:asciiTheme="minorEastAsia" w:hAnsiTheme="minorEastAsia" w:eastAsiaTheme="minorEastAsia"/>
          <w:kern w:val="0"/>
          <w:sz w:val="24"/>
        </w:rPr>
        <w:t>元，</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总承包服务费</w:t>
      </w:r>
      <w:r>
        <w:rPr>
          <w:rFonts w:hint="eastAsia" w:asciiTheme="minorEastAsia" w:hAnsiTheme="minorEastAsia" w:eastAsiaTheme="minorEastAsia"/>
          <w:kern w:val="0"/>
          <w:sz w:val="24"/>
          <w:u w:val="single"/>
        </w:rPr>
        <w:t xml:space="preserve">   /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元。)</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2、综合单价：详见承包人的报价书。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六、组成合同的文件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组成本合同的文件包括：</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1、本合同协议书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2、本合同专用条款</w:t>
      </w:r>
    </w:p>
    <w:p>
      <w:pPr>
        <w:widowControl/>
        <w:spacing w:line="360" w:lineRule="auto"/>
        <w:ind w:firstLine="480" w:firstLineChars="200"/>
        <w:jc w:val="left"/>
        <w:rPr>
          <w:rFonts w:asciiTheme="minorEastAsia" w:hAnsiTheme="minorEastAsia" w:eastAsiaTheme="minorEastAsia"/>
          <w:b/>
          <w:bCs/>
          <w:kern w:val="0"/>
          <w:sz w:val="24"/>
        </w:rPr>
      </w:pPr>
      <w:r>
        <w:rPr>
          <w:rFonts w:asciiTheme="minorEastAsia" w:hAnsiTheme="minorEastAsia" w:eastAsiaTheme="minorEastAsia"/>
          <w:kern w:val="0"/>
          <w:sz w:val="24"/>
        </w:rPr>
        <w:t>3、本合同通用条款</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成交</w:t>
      </w:r>
      <w:r>
        <w:rPr>
          <w:rFonts w:asciiTheme="minorEastAsia" w:hAnsiTheme="minorEastAsia" w:eastAsiaTheme="minorEastAsia"/>
          <w:kern w:val="0"/>
          <w:sz w:val="24"/>
        </w:rPr>
        <w:t>通知书</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5、投标书、工程报价单或预算书及其附件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6、招标文件、答疑纪要及工程量清单</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7、图纸</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8、标准、规范及有关技术文件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9、本工程招标期间</w:t>
      </w:r>
      <w:r>
        <w:rPr>
          <w:rFonts w:hint="eastAsia" w:asciiTheme="minorEastAsia" w:hAnsiTheme="minorEastAsia" w:eastAsiaTheme="minorEastAsia"/>
          <w:kern w:val="0"/>
          <w:sz w:val="24"/>
        </w:rPr>
        <w:t>采购人</w:t>
      </w:r>
      <w:r>
        <w:rPr>
          <w:rFonts w:asciiTheme="minorEastAsia" w:hAnsiTheme="minorEastAsia" w:eastAsiaTheme="minorEastAsia"/>
          <w:kern w:val="0"/>
          <w:sz w:val="24"/>
        </w:rPr>
        <w:t>的书面澄清文件</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双方为履行本合同的有关洽商、变更等书面协议、文件，视为本合同的组成部分。</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七、本协议书中有关词语含义与本合同第二部分《通用条款》中赋予的定义相同。</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八、承包人按照合同约定进行施工、竣工并在质量保修期内承担工程质量保修责任。</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九、发包人按照合同约定的期限和方式支付合同价款及其他应当支付的款项。</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十、合同生效</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合同订立时间：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年</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月</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日</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合同订立地点：</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本合同双方约定_</w:t>
      </w:r>
      <w:r>
        <w:rPr>
          <w:rFonts w:hint="eastAsia" w:asciiTheme="minorEastAsia" w:hAnsiTheme="minorEastAsia" w:eastAsiaTheme="minorEastAsia"/>
          <w:kern w:val="0"/>
          <w:sz w:val="24"/>
          <w:u w:val="single"/>
        </w:rPr>
        <w:t>双方法定代表人或委托代理人</w:t>
      </w:r>
      <w:r>
        <w:rPr>
          <w:rFonts w:hint="eastAsia" w:asciiTheme="minorEastAsia" w:hAnsiTheme="minorEastAsia" w:eastAsiaTheme="minorEastAsia"/>
          <w:kern w:val="0"/>
          <w:sz w:val="24"/>
        </w:rPr>
        <w:t>签字</w:t>
      </w:r>
      <w:r>
        <w:rPr>
          <w:rFonts w:asciiTheme="minorEastAsia" w:hAnsiTheme="minorEastAsia" w:eastAsiaTheme="minorEastAsia"/>
          <w:kern w:val="0"/>
          <w:sz w:val="24"/>
        </w:rPr>
        <w:t>后生效。</w:t>
      </w:r>
    </w:p>
    <w:p>
      <w:pPr>
        <w:widowControl/>
        <w:spacing w:line="360" w:lineRule="auto"/>
        <w:ind w:firstLine="480" w:firstLineChars="200"/>
        <w:jc w:val="left"/>
        <w:rPr>
          <w:rFonts w:asciiTheme="minorEastAsia" w:hAnsiTheme="minorEastAsia" w:eastAsiaTheme="minorEastAsia"/>
          <w:kern w:val="0"/>
          <w:sz w:val="24"/>
        </w:rPr>
      </w:pPr>
    </w:p>
    <w:p>
      <w:pPr>
        <w:widowControl/>
        <w:spacing w:line="360" w:lineRule="auto"/>
        <w:ind w:firstLine="480" w:firstLineChars="200"/>
        <w:jc w:val="left"/>
        <w:rPr>
          <w:rFonts w:asciiTheme="minorEastAsia" w:hAnsiTheme="minorEastAsia" w:eastAsiaTheme="minorEastAsia"/>
          <w:kern w:val="0"/>
          <w:sz w:val="24"/>
        </w:rPr>
      </w:pPr>
      <w:r>
        <w:rPr>
          <w:rFonts w:hint="eastAsia" w:asciiTheme="minorEastAsia" w:hAnsiTheme="minorEastAsia" w:eastAsiaTheme="minorEastAsia"/>
          <w:kern w:val="0"/>
          <w:sz w:val="24"/>
        </w:rPr>
        <w:t>甲方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乙方</w:t>
      </w:r>
      <w:r>
        <w:rPr>
          <w:rFonts w:asciiTheme="minorEastAsia" w:hAnsiTheme="minorEastAsia" w:eastAsiaTheme="minorEastAsia"/>
          <w:kern w:val="0"/>
          <w:sz w:val="24"/>
        </w:rPr>
        <w:t>：（公章）</w:t>
      </w:r>
      <w:r>
        <w:rPr>
          <w:rFonts w:hint="eastAsia" w:asciiTheme="minorEastAsia" w:hAnsiTheme="minorEastAsia" w:eastAsiaTheme="minorEastAsia"/>
          <w:kern w:val="0"/>
          <w:sz w:val="24"/>
          <w:u w:val="single"/>
        </w:rPr>
        <w:t xml:space="preserve">     　    </w:t>
      </w:r>
    </w:p>
    <w:p>
      <w:pPr>
        <w:autoSpaceDE w:val="0"/>
        <w:autoSpaceDN w:val="0"/>
        <w:adjustRightInd w:val="0"/>
        <w:spacing w:line="360" w:lineRule="auto"/>
        <w:ind w:left="4559" w:leftChars="228" w:hanging="4080" w:hangingChars="1700"/>
        <w:rPr>
          <w:rFonts w:asciiTheme="minorEastAsia" w:hAnsiTheme="minorEastAsia" w:eastAsiaTheme="minorEastAsia"/>
          <w:kern w:val="0"/>
          <w:sz w:val="24"/>
          <w:u w:val="single"/>
        </w:rPr>
      </w:pP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地址：</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邮政编码：</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法定代表人：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委托代理人：</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电话：</w:t>
      </w:r>
      <w:r>
        <w:rPr>
          <w:rFonts w:hint="eastAsia" w:asciiTheme="minorEastAsia" w:hAnsiTheme="minorEastAsia" w:eastAsiaTheme="minorEastAsia"/>
          <w:kern w:val="0"/>
          <w:sz w:val="24"/>
        </w:rPr>
        <w:t xml:space="preserve"> </w:t>
      </w:r>
      <w:r>
        <w:rPr>
          <w:rFonts w:hint="eastAsia" w:asciiTheme="minorEastAsia" w:hAnsiTheme="minorEastAsia" w:eastAsiaTheme="minorEastAsia"/>
          <w:kern w:val="0"/>
          <w:sz w:val="24"/>
          <w:u w:val="single"/>
        </w:rPr>
        <w:t xml:space="preserve">　　　　     　  </w:t>
      </w:r>
      <w:r>
        <w:rPr>
          <w:rFonts w:hint="eastAsia" w:asciiTheme="minorEastAsia" w:hAnsiTheme="minorEastAsia" w:eastAsiaTheme="minorEastAsia"/>
          <w:kern w:val="0"/>
          <w:sz w:val="24"/>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电话：</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传真：</w:t>
      </w:r>
      <w:r>
        <w:rPr>
          <w:rFonts w:hint="eastAsia" w:asciiTheme="minorEastAsia" w:hAnsiTheme="minorEastAsia" w:eastAsiaTheme="minorEastAsia"/>
          <w:kern w:val="0"/>
          <w:sz w:val="24"/>
          <w:u w:val="single"/>
        </w:rPr>
        <w:t xml:space="preserve">                   </w:t>
      </w:r>
    </w:p>
    <w:p>
      <w:pPr>
        <w:widowControl/>
        <w:spacing w:line="360" w:lineRule="auto"/>
        <w:ind w:left="5519" w:leftChars="228" w:hanging="5040" w:hangingChars="2100"/>
        <w:jc w:val="left"/>
        <w:rPr>
          <w:rFonts w:asciiTheme="minorEastAsia" w:hAnsiTheme="minorEastAsia" w:eastAsiaTheme="minorEastAsia"/>
          <w:kern w:val="0"/>
          <w:sz w:val="24"/>
        </w:rPr>
      </w:pPr>
      <w:r>
        <w:rPr>
          <w:rFonts w:asciiTheme="minorEastAsia" w:hAnsiTheme="minorEastAsia" w:eastAsiaTheme="minorEastAsia"/>
          <w:kern w:val="0"/>
          <w:sz w:val="24"/>
        </w:rPr>
        <w:t xml:space="preserve">开户银行：______________         </w:t>
      </w:r>
      <w:r>
        <w:rPr>
          <w:rFonts w:hint="eastAsia" w:asciiTheme="minorEastAsia" w:hAnsiTheme="minorEastAsia" w:eastAsiaTheme="minorEastAsia"/>
          <w:kern w:val="0"/>
          <w:sz w:val="24"/>
        </w:rPr>
        <w:t>　　　</w:t>
      </w:r>
      <w:r>
        <w:rPr>
          <w:rFonts w:asciiTheme="minorEastAsia" w:hAnsiTheme="minorEastAsia" w:eastAsiaTheme="minorEastAsia"/>
          <w:kern w:val="0"/>
          <w:sz w:val="24"/>
        </w:rPr>
        <w:t>开户银行：</w:t>
      </w:r>
      <w:r>
        <w:rPr>
          <w:rFonts w:hint="eastAsia" w:asciiTheme="minorEastAsia" w:hAnsiTheme="minorEastAsia" w:eastAsiaTheme="minorEastAsia"/>
          <w:kern w:val="0"/>
          <w:sz w:val="24"/>
          <w:u w:val="single"/>
        </w:rPr>
        <w:t xml:space="preserve">               </w:t>
      </w:r>
    </w:p>
    <w:p>
      <w:pPr>
        <w:widowControl/>
        <w:spacing w:line="360" w:lineRule="auto"/>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r>
        <w:rPr>
          <w:rFonts w:asciiTheme="minorEastAsia" w:hAnsiTheme="minorEastAsia" w:eastAsiaTheme="minorEastAsia"/>
          <w:kern w:val="0"/>
          <w:sz w:val="24"/>
        </w:rPr>
        <w:t xml:space="preserve">         </w:t>
      </w:r>
      <w:r>
        <w:rPr>
          <w:rFonts w:hint="eastAsia" w:asciiTheme="minorEastAsia" w:hAnsiTheme="minorEastAsia" w:eastAsiaTheme="minorEastAsia"/>
          <w:kern w:val="0"/>
          <w:sz w:val="24"/>
        </w:rPr>
        <w:t>　　　</w:t>
      </w:r>
      <w:r>
        <w:rPr>
          <w:rFonts w:asciiTheme="minorEastAsia" w:hAnsiTheme="minorEastAsia" w:eastAsiaTheme="minorEastAsia"/>
          <w:kern w:val="0"/>
          <w:sz w:val="24"/>
        </w:rPr>
        <w:t>帐号：</w:t>
      </w:r>
      <w:r>
        <w:rPr>
          <w:rFonts w:hint="eastAsia" w:asciiTheme="minorEastAsia" w:hAnsiTheme="minorEastAsia" w:eastAsiaTheme="minorEastAsia"/>
          <w:kern w:val="0"/>
          <w:sz w:val="24"/>
          <w:u w:val="single"/>
        </w:rPr>
        <w:t xml:space="preserve">                   </w:t>
      </w:r>
    </w:p>
    <w:p>
      <w:pPr>
        <w:widowControl/>
        <w:spacing w:line="360" w:lineRule="auto"/>
        <w:ind w:firstLine="482" w:firstLineChars="200"/>
        <w:jc w:val="center"/>
        <w:rPr>
          <w:b/>
          <w:bCs/>
          <w:kern w:val="0"/>
          <w:sz w:val="24"/>
        </w:rPr>
      </w:pPr>
    </w:p>
    <w:p>
      <w:pPr>
        <w:spacing w:line="400" w:lineRule="exact"/>
        <w:rPr>
          <w:bCs/>
          <w:kern w:val="0"/>
          <w:sz w:val="24"/>
        </w:rPr>
        <w:sectPr>
          <w:footerReference r:id="rId12" w:type="default"/>
          <w:pgSz w:w="11906" w:h="16838"/>
          <w:pgMar w:top="1440" w:right="1457" w:bottom="1440" w:left="1463" w:header="851" w:footer="992" w:gutter="0"/>
          <w:cols w:space="0" w:num="1"/>
          <w:docGrid w:type="lines" w:linePitch="312" w:charSpace="0"/>
        </w:sectPr>
      </w:pPr>
    </w:p>
    <w:p>
      <w:pPr>
        <w:pStyle w:val="4"/>
        <w:spacing w:line="400" w:lineRule="exact"/>
        <w:jc w:val="center"/>
        <w:rPr>
          <w:rFonts w:ascii="Times New Roman" w:hAnsi="Times New Roman" w:eastAsia="宋体"/>
          <w:sz w:val="24"/>
          <w:szCs w:val="24"/>
        </w:rPr>
      </w:pPr>
      <w:bookmarkStart w:id="16" w:name="_Toc231459933"/>
      <w:r>
        <w:rPr>
          <w:rFonts w:ascii="Times New Roman" w:hAnsi="Times New Roman" w:eastAsia="宋体"/>
        </w:rPr>
        <w:t>第二部分  通用条款</w:t>
      </w:r>
      <w:bookmarkEnd w:id="16"/>
    </w:p>
    <w:p>
      <w:pPr>
        <w:widowControl/>
        <w:spacing w:line="360" w:lineRule="auto"/>
        <w:ind w:firstLine="482" w:firstLineChars="200"/>
        <w:jc w:val="left"/>
        <w:rPr>
          <w:rFonts w:asciiTheme="minorEastAsia" w:hAnsiTheme="minorEastAsia" w:eastAsiaTheme="minorEastAsia" w:cstheme="minorEastAsia"/>
          <w:b/>
          <w:kern w:val="0"/>
          <w:sz w:val="24"/>
        </w:rPr>
      </w:pPr>
      <w:bookmarkStart w:id="17" w:name="_Toc15144"/>
      <w:r>
        <w:rPr>
          <w:rFonts w:hint="eastAsia" w:asciiTheme="minorEastAsia" w:hAnsiTheme="minorEastAsia" w:eastAsiaTheme="minorEastAsia" w:cstheme="minorEastAsia"/>
          <w:b/>
          <w:kern w:val="0"/>
          <w:sz w:val="24"/>
        </w:rPr>
        <w:t>一、词语定义及合同文件</w:t>
      </w:r>
      <w:bookmarkEnd w:id="17"/>
    </w:p>
    <w:p>
      <w:pPr>
        <w:widowControl/>
        <w:spacing w:line="360" w:lineRule="auto"/>
        <w:ind w:firstLine="480" w:firstLineChars="200"/>
        <w:jc w:val="left"/>
        <w:rPr>
          <w:rFonts w:asciiTheme="minorEastAsia" w:hAnsiTheme="minorEastAsia" w:eastAsiaTheme="minorEastAsia" w:cstheme="minorEastAsia"/>
          <w:kern w:val="0"/>
          <w:sz w:val="24"/>
        </w:rPr>
      </w:pPr>
      <w:bookmarkStart w:id="18" w:name="_Toc11858"/>
      <w:r>
        <w:rPr>
          <w:rFonts w:hint="eastAsia" w:asciiTheme="minorEastAsia" w:hAnsiTheme="minorEastAsia" w:eastAsiaTheme="minorEastAsia" w:cstheme="minorEastAsia"/>
          <w:kern w:val="0"/>
          <w:sz w:val="24"/>
        </w:rPr>
        <w:t>1、词语定义</w:t>
      </w:r>
      <w:bookmarkEnd w:id="18"/>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下列词语除专用条款另有约定外，应具有本条所赋予的定义：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1.1通用条款：是根据法律、行政法规规定及建设工程施工的需要订立，通用于建设工程施工的条款。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1.2专用条款：是发包人与承包人根据法律、行政法规规定，结合具体工程实际，经协商达成一致意见的条款，是对通用条款的具体化、补充或修改。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1.3发包人：指在协议书中约定，具有工程发包主体资格和支付工程价款能力的当事人以及取得该当事人资格的合法继承人。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1.4承包人：指在协议书中约定，被发包人接受的具有工程施工承包主体资格的当事人以及取得该当事人资格的合法继承人。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1.5项目经理：指承包人在专用条款中指定的具有执业资格的负责施工管理和合同履行的代表。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1.6设计单位：指发包人委托的负责本工程设计并取得相应工程设计资质等级证书的单位。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1.7监理单位：指发包人委托的负责本工程监理并取得相应工程监理资质等级证书的单位。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1.8工程师：指本工程监理单位委派的总监理工程师或发包人指定的履行本合同的代表，其具体身份和职权由发包人承包人在专用条款中约定。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1.9工程造价管理部门：指国务院有关部门、县级以上人民政府建设行政主管部门或其委托的工程造价管理机构。</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1.10工程：指发包人承包人在协议书中约定的承包范围内的工程。</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1.11工程量清单：表现拟建工程的分部分项工程项目、措施项目、其他项目名称和相应数量的明细清单。</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1.12综合单价：完成工程量清单中一个规定计量单位项目所需的人工费、材料费、机械使用费、管理费和利润，并考虑风险因素。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1.13合同价款：指发包人承包人在协议书中约定，发包人用以支付承包人按照合同约定完成承包范围内全部工程并承担质量保修责任的款项。</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1.14预留金：指发包人为可能发生的工程量变更而预留的款额。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1.15工程分包和材料购置费：指发包人将按有关规定准予分包的工作、指定分包人或指定材料供应商供应材料而预留的款额。</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1.16总承包服务费：为配合协调发包人进行的工程分包和材料采购所需的费用。</w:t>
      </w:r>
    </w:p>
    <w:p>
      <w:pPr>
        <w:widowControl/>
        <w:spacing w:line="360" w:lineRule="auto"/>
        <w:ind w:firstLine="480" w:firstLineChars="200"/>
        <w:jc w:val="left"/>
        <w:rPr>
          <w:rFonts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1.17零星工作项目费：完成发包人提出的工程量暂估的零星工作所需的费用。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1.18追加合同价款：指在合同履行中发生需要增加合同价款的情况，经发包人确认后按计算合同价款的方法增加的合同价款。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1.19费用：指不包含在合同价款之内的应当由发包人或承包人承担的经济支出。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1.20工期：指发包人承包人在协议书中约定，按总日历天数（包括法定节假日）计算的承包天数。</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1.21开工日期：指发包人承包人在协议书中约定，承包人开始施工的绝对或相对的日期。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1.22竣工日期：指发包人承包人在协议书中约定，承包人完成承包范围内工程的绝对或相对的日期。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1.23图纸：指由发包人提供或由承包人提供并经发包人批准，满足承包人施工需要的所有图纸（包括配套说明和有关资料）。</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1.24施工场地：指由发包人提供的用于工程施工的场所以及发包人在图纸中具体指定的供施工使用的任何其他场所。</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1.25书面形式：指合同书、信件和数据电文（包括电报、电传、传真、电子数据交换和电子邮件）等可以有形地表现所载内容的形式。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1.26违约责任：指合同一方不履行合同义务或履行合同义务不符合约定所应承担的责任。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1.27索赔：指在合同履行过程中，对于并非自己的过错，而是应由对方承担责任的情况造成的实际损失，向对方提出经济补偿和（或）工期顺延的要求。</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1.28不可抗力：指不能预见、不能避免并不能克服的客观情况。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２、合同文件及解释顺序</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2.1合同文件应能相互解释，互为说明。除专用条款另有约定外，组成本合同的文件及优先解释顺序如下：</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2.1.1本合同协议书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2.1.2本合同专用条款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2.1.3本合同通用条款</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2.1.4成交通知书</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2.1.5投标书、工程报价单或预算书及其附件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2.1.6招标文件、答疑纪要及工程量清单　</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2.1.7图纸</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2.1.8标准、规范及有关技术文件</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双方为履行本合同的有关洽商、变更等书面协议、文件，视为本合同的组成部分。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3、语言文字和适用法律、标准及规范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3.1语言文字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本合同文件使用汉语语言文字书写、解释和说明。如专用条款约定使用两种以上（含两种）语言文字时，汉语应为解释和说明本合同的标准语言文字。</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3.2适用法律和法规</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本合同文件适用国家的法律和行政法规。需要明示的法律、行政法规，由双方在专用条款中约定。</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3.3适用标准、规范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本条所发生的购买、翻译标准、规范或制定施工工艺的费用，由发包人承担。</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４、图纸</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4.2承包人未经发包人同意，不得将本工程图纸转给第三人。工程质量保修期满后，除承包人存档需要的图纸外，应将全部图纸退还给发包人。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4.3承包人应在施工现场保留一套完整图纸，供工程师及有关人员进行工程检查时使用。</w:t>
      </w:r>
    </w:p>
    <w:p>
      <w:pPr>
        <w:widowControl/>
        <w:spacing w:line="360" w:lineRule="auto"/>
        <w:ind w:firstLine="482" w:firstLineChars="200"/>
        <w:jc w:val="left"/>
        <w:rPr>
          <w:rFonts w:ascii="宋体" w:hAnsi="宋体" w:cs="宋体"/>
          <w:b/>
          <w:kern w:val="0"/>
          <w:sz w:val="24"/>
        </w:rPr>
      </w:pPr>
      <w:bookmarkStart w:id="19" w:name="_Toc11911"/>
      <w:r>
        <w:rPr>
          <w:rFonts w:hint="eastAsia" w:ascii="宋体" w:hAnsi="宋体" w:cs="宋体"/>
          <w:b/>
          <w:kern w:val="0"/>
          <w:sz w:val="24"/>
        </w:rPr>
        <w:t>二、双方一般权利和义务</w:t>
      </w:r>
      <w:bookmarkEnd w:id="19"/>
    </w:p>
    <w:p>
      <w:pPr>
        <w:widowControl/>
        <w:spacing w:line="360" w:lineRule="auto"/>
        <w:ind w:firstLine="480" w:firstLineChars="200"/>
        <w:jc w:val="left"/>
        <w:rPr>
          <w:rFonts w:ascii="宋体" w:hAnsi="宋体" w:cs="宋体"/>
          <w:kern w:val="0"/>
          <w:sz w:val="24"/>
        </w:rPr>
      </w:pPr>
      <w:bookmarkStart w:id="20" w:name="_Toc25533"/>
      <w:r>
        <w:rPr>
          <w:rFonts w:hint="eastAsia" w:ascii="宋体" w:hAnsi="宋体" w:cs="宋体"/>
          <w:kern w:val="0"/>
          <w:sz w:val="24"/>
        </w:rPr>
        <w:t>５、工程师</w:t>
      </w:r>
      <w:bookmarkEnd w:id="20"/>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5.1实行工程监理的，发包人应在实施监理前将委托的监理单位名称、监理内容及监理权限以书面形式通知承包人。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5.5除合同内有明确约定或经发包人同意外，负责监理的工程师无权解除本合同约定的承包人的任何权利与义务。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5.6不实行工程监理的，本合同中工程师专指发包人派驻施工场地履行合同的代表，其具体职权由发包人在专用条款内写明。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bookmarkStart w:id="21" w:name="_Toc6605"/>
      <w:r>
        <w:rPr>
          <w:rFonts w:hint="eastAsia" w:asciiTheme="minorEastAsia" w:hAnsiTheme="minorEastAsia" w:eastAsiaTheme="minorEastAsia" w:cstheme="minorEastAsia"/>
          <w:kern w:val="0"/>
          <w:sz w:val="24"/>
        </w:rPr>
        <w:t>６、工程师的委派和指令</w:t>
      </w:r>
      <w:bookmarkEnd w:id="21"/>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除工程师或工程师代表外，发包人派驻工地的其他人员均无权向承包人发出任何指令。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本款规定同样适用于由工程师代表发出的指令、通知。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6.4如需更换工程师，发包人应至少提前7天以书面形式通知承包人，后任继续行使合同文件约定的前任的职权，履行前任的义务。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bookmarkStart w:id="22" w:name="_Toc20723"/>
      <w:r>
        <w:rPr>
          <w:rFonts w:hint="eastAsia" w:asciiTheme="minorEastAsia" w:hAnsiTheme="minorEastAsia" w:eastAsiaTheme="minorEastAsia" w:cstheme="minorEastAsia"/>
          <w:kern w:val="0"/>
          <w:sz w:val="24"/>
        </w:rPr>
        <w:t>７、项目经理</w:t>
      </w:r>
      <w:bookmarkEnd w:id="22"/>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7.1项目经理的姓名、职务在专用条款内写明。</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7.2承包人依据合同发出的通知，以书面形式由项目经理签字后送交工程师，工程师在回执上签署姓名和收到时间后生效。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7.4承包人如需要更换项目经理，应至少提前7天以书面形式通知发包人，</w:t>
      </w:r>
      <w:r>
        <w:rPr>
          <w:rFonts w:hint="eastAsia" w:asciiTheme="minorEastAsia" w:hAnsiTheme="minorEastAsia" w:eastAsiaTheme="minorEastAsia" w:cstheme="minorEastAsia"/>
          <w:bCs/>
          <w:kern w:val="0"/>
          <w:sz w:val="24"/>
        </w:rPr>
        <w:t>并</w:t>
      </w:r>
      <w:r>
        <w:rPr>
          <w:rFonts w:hint="eastAsia" w:asciiTheme="minorEastAsia" w:hAnsiTheme="minorEastAsia" w:eastAsiaTheme="minorEastAsia" w:cstheme="minorEastAsia"/>
          <w:kern w:val="0"/>
          <w:sz w:val="24"/>
        </w:rPr>
        <w:t>征得发包人同意。后任继续行使合同文件约定的前任的职权，履行前任的义务。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7.5发包人可以与承包人协商，建议更换其认为不称职的项目经理。</w:t>
      </w:r>
    </w:p>
    <w:p>
      <w:pPr>
        <w:widowControl/>
        <w:spacing w:line="360" w:lineRule="auto"/>
        <w:ind w:firstLine="480" w:firstLineChars="200"/>
        <w:jc w:val="left"/>
        <w:rPr>
          <w:rFonts w:asciiTheme="minorEastAsia" w:hAnsiTheme="minorEastAsia" w:eastAsiaTheme="minorEastAsia" w:cstheme="minorEastAsia"/>
          <w:kern w:val="0"/>
          <w:sz w:val="24"/>
        </w:rPr>
      </w:pPr>
      <w:bookmarkStart w:id="23" w:name="_Toc20532"/>
      <w:r>
        <w:rPr>
          <w:rFonts w:hint="eastAsia" w:asciiTheme="minorEastAsia" w:hAnsiTheme="minorEastAsia" w:eastAsiaTheme="minorEastAsia" w:cstheme="minorEastAsia"/>
          <w:kern w:val="0"/>
          <w:sz w:val="24"/>
        </w:rPr>
        <w:t>８、发包人工作</w:t>
      </w:r>
      <w:bookmarkEnd w:id="23"/>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8.1发包人按专用条款约定的内容和时间完成以下工作：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（1）办理土地征用、拆迁补偿、平整施工场地等工作，使施工场地具备施工条件，在开工后继续负责解决以上事项遗留问题；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（2）将施工所需水、电、电讯线路从施工场地外部接至专用条款约定地点，保证施工期间的需要；</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（3）开通施工场地与城乡公共道路的通道，以及专用条款约定的施工场地内的主要道路，满足施工运输的需要，保证施工期间的畅通；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（4）向承包人提供施工场地的工程地质和地下管线资料，对资料的真实准确性负责；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（5）办理施工许可证及其它施工所需批件和临时用地、停水、停电、中断道路交通、爆破作业等的证件申请批准手续（证明承包人自身资质的证件除外）；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（6）确定水准点与坐标控制点，以书面形式交给承包人，进行现场交验；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（7）组织承包人和设计单位进行图纸会审和设计交底；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（8）协调处理施工场地周围地下管线和邻近建筑物、构筑物（包括文物保护建筑）、古树名木的保护工作、承担有关费用；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（9）发包人应做的其他工作，双方在专用条款内约定。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8.2发包人可以将8.1款部分工作委托承包人办理，双方在专用条款内约定，其费用由发包人承担。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8.3发包人未能履行8.1款各项义务，导致工期延误或给承包人造成损失的，发包人赔偿承包人有关损失，顺延延误的工期。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bookmarkStart w:id="24" w:name="_Toc4679"/>
      <w:r>
        <w:rPr>
          <w:rFonts w:hint="eastAsia" w:asciiTheme="minorEastAsia" w:hAnsiTheme="minorEastAsia" w:eastAsiaTheme="minorEastAsia" w:cstheme="minorEastAsia"/>
          <w:kern w:val="0"/>
          <w:sz w:val="24"/>
        </w:rPr>
        <w:t>９、承包人工作</w:t>
      </w:r>
      <w:bookmarkEnd w:id="24"/>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9.1承包人按专用条款约定的内容和时间完成以下工作：</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（1）根据发包人委托，在其设计资质等级和业务允许的范围内，完成施工图设计或与工程配套的设计，经工程师确认后使用，发包人承担由此发生的费用；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（2）向工程师提供年、季、月度工程进度计划及相应进度统计报表；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（3）根据工程需要，提供和维修非夜间施工使用的照明、围栏设施；负责施工现场安全保卫；</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（4）按专用条款约定的数量和要求，向发包人提供施工场地办公和生活的房屋及设施，发包人承担由此发生的费用；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（5）遵守政府有关主管部门对施工场地安全防护、文明施工、环境保护以及场地交通等的管理规定，按规定办理有关手续，并以书面形式通知发包人。</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360" w:lineRule="auto"/>
        <w:ind w:firstLine="480" w:firstLineChars="200"/>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kern w:val="0"/>
          <w:sz w:val="24"/>
        </w:rPr>
        <w:t>（7）按专用条款约定做好施工场地地下管线和邻近建筑物、构筑物（包括文物保护建筑）、古树名木的保护工作</w:t>
      </w:r>
      <w:r>
        <w:rPr>
          <w:rFonts w:hint="eastAsia" w:asciiTheme="minorEastAsia" w:hAnsiTheme="minorEastAsia" w:eastAsiaTheme="minorEastAsia" w:cstheme="minorEastAsia"/>
          <w:b/>
          <w:bCs/>
          <w:kern w:val="0"/>
          <w:sz w:val="24"/>
        </w:rPr>
        <w:t>；</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（8）保证施工场地清洁符合环境卫生管理的有关规定，交工前清理现场达到专用条款约定的要求，承担因自身原因违反有关规定造成的损失和罚款；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（9）承包人应做的其他工作，双方在专用条款内约定。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9.2承包人未能履行9.1款各项义务，造成发包人损失的，承包人赔偿发包人有关损失。</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5" w:name="_Toc17079"/>
      <w:r>
        <w:rPr>
          <w:rFonts w:hint="eastAsia" w:asciiTheme="minorEastAsia" w:hAnsiTheme="minorEastAsia" w:eastAsiaTheme="minorEastAsia" w:cstheme="minorEastAsia"/>
          <w:b/>
          <w:kern w:val="0"/>
          <w:sz w:val="24"/>
        </w:rPr>
        <w:t>三、施工组织设计和工期</w:t>
      </w:r>
      <w:bookmarkEnd w:id="25"/>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10、进度计划</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10.2群体工程中单位工程分期进行施工的，承包人应按照发包人提供图纸及有关资料的时间，按单位工程编制进度计划，其具体内容双方在专用条款中约定。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11、开工及延期开工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12、暂停施工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13、工期延误</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13.1因以下原因造成工期延误，经工程师确认，工期相应顺延：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（1）发包人未能按专用条款的约定提供图纸及开工条件；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（2）发包人未能按约定日期支付工程预付款、进度款，致使施工不能正常进行；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（3）工程师未按合同约定提供所需指令、批准等，致使施工不能正常进行；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（4）设计变更和工程量增加；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（5）一周内非承包人原因停水、停电、停气造成停工累计超过8小时；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（6）不可抗力；</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（7）专用条款中约定或工程师同意工期顺延的其他情况。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14、工程竣工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14.1承包人必须按照协议书约定的竣工日期或工程师同意顺延的工期竣工。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14.2因承包人原因不能按照协议书约定的竣工日期或工程师同意顺延的工期竣工的，承包人承担违约责任。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6" w:name="_Toc27358"/>
      <w:r>
        <w:rPr>
          <w:rFonts w:hint="eastAsia" w:asciiTheme="minorEastAsia" w:hAnsiTheme="minorEastAsia" w:eastAsiaTheme="minorEastAsia" w:cstheme="minorEastAsia"/>
          <w:b/>
          <w:kern w:val="0"/>
          <w:sz w:val="24"/>
        </w:rPr>
        <w:t>四、质量与检验</w:t>
      </w:r>
      <w:bookmarkEnd w:id="26"/>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15、工程质量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15.2双方对工程质量有争议，由双方同意的工程质量检测机构鉴定，所需费用及因此造成的损失，由责任方承担。双方均有责任，由双方根据其责任分别承担。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16、检查和返工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16.1承包人应认真按照标准、规范和设计图纸要求以及工程师依据合同发出的指令施工，随时接受工程师的检查检验，为检查检验提供便利条件。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16.4因工程师指令失误或其他非承包人原因发生的追加合同价款，由发包人承担。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17、隐蔽工程和中间验收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18、重新检验</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19、工程试车</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19.1双方约定需要试车的，试车内容应与承包人承包的安装范围相一致。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19.5双方责任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（3）由于承包人施工原因试车达不到验收要求，承包人按工程师要求重新安装和试车，并承担重新安装和试车的费用，工期不予顺延。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（4）试车费用除已包括在合同价款之内或专用条款另有约定外，均由发包人承担。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（5）工程师在试车合格后不在试车记录上签字，试车结束24小时后，视为工程师已经认可试车记录，承包人可继续施工或办理竣工手续。</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19.6投料试车应在工程竣工验收后由发包人负责，如发包人要求在工程竣工验收前进行或需要承包人配合时，应征得承包人同意，另行签订补充协议。</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7" w:name="_Toc11702"/>
      <w:r>
        <w:rPr>
          <w:rFonts w:hint="eastAsia" w:asciiTheme="minorEastAsia" w:hAnsiTheme="minorEastAsia" w:eastAsiaTheme="minorEastAsia" w:cstheme="minorEastAsia"/>
          <w:b/>
          <w:kern w:val="0"/>
          <w:sz w:val="24"/>
        </w:rPr>
        <w:t>五、安全防护、文明施工</w:t>
      </w:r>
      <w:bookmarkEnd w:id="27"/>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20、发包人责任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20．1发包人应遵守安全防护和文明施工的规定，督促承包人落实安全防护、文明施工措施，并按规定支付安全防护、文明施工措施费。</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20．2发包人应对其在施工现场人员进行安全防护、文明施工教育，并对他们的安全负责。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3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20．4发包人违反上述规定或由于发包人原因导致安全事故的，由发包人承担相应责任和费用，顺延延误的工期。</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21、承包人责任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21.1承包人应遵守安全防护和文明施工的规定，建立健全安全防护和文明施工的制度，对其在施工现场人员进行安全防护、文明施工教育，并对他们的安全负责。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21.2完善安全防护和文明施工条件，严格按照安全防护和文明施工的规定组织施工，采取必要的安全防护措施，消除事故隐患，自觉接受和配合依法实施的监督检查。</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21.3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21.4应按规定的范围使用安全文明措施费，保证专款专用，不得挪作它用。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21.5承包人对合同工程的安全施工负责，并应及时、如实报告生产安全事故。承包人违反上述规定或由于承包人原因造成的安全事故，由承包人承担相应责任和费用，工期不予顺延。</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24、事故处理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24.1发生伤亡及其他安全事故，承包人应按有关规定立即上报有关部门并通知工程师，同时按政府有关部门要求处理，由事故责任方承担发生的费用。</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24.2发包人承包人对事故责任有争议时，应按政府有关部门的认定处理。</w:t>
      </w:r>
    </w:p>
    <w:p>
      <w:pPr>
        <w:widowControl/>
        <w:spacing w:line="360" w:lineRule="auto"/>
        <w:ind w:firstLine="482" w:firstLineChars="200"/>
        <w:jc w:val="left"/>
        <w:rPr>
          <w:rFonts w:asciiTheme="minorEastAsia" w:hAnsiTheme="minorEastAsia" w:eastAsiaTheme="minorEastAsia" w:cstheme="minorEastAsia"/>
          <w:b/>
          <w:kern w:val="0"/>
          <w:sz w:val="24"/>
        </w:rPr>
      </w:pPr>
      <w:bookmarkStart w:id="28" w:name="_Toc15413"/>
      <w:r>
        <w:rPr>
          <w:rFonts w:hint="eastAsia" w:asciiTheme="minorEastAsia" w:hAnsiTheme="minorEastAsia" w:eastAsiaTheme="minorEastAsia" w:cstheme="minorEastAsia"/>
          <w:b/>
          <w:kern w:val="0"/>
          <w:sz w:val="24"/>
        </w:rPr>
        <w:t>六、合同价款</w:t>
      </w:r>
      <w:bookmarkEnd w:id="28"/>
    </w:p>
    <w:p>
      <w:pPr>
        <w:widowControl/>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25、工程的计量规则和计价办法以《陕西省建设工程工程量清单计价规则》及相关规定为准，工程师应按照合同约定，依据上述规定进行工程计量和计价。</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26、合同价款约定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26.1招标工程的合同价款由发包人承包人依据成交通知书中的成交价格在协议书内约定。非招标工程的合同价款由发包人承包人依据双方确认的工程预算书在协议书内约定。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26.2合同价款在协议书内约定后，任何一方不得擅自改变。下列三种确定合同价款的方式，双方可在专用条款内约定采用其中一种：</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（1）固定总价合同。合同工期较短且工程合同总价较低的工程，可以采用固定总价合同方式。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（3）可调价格合同。可调价格包括可调综合单价和措施项目费用等，双方应在专用条款内约定综合单价和措施项目费的调整方法。</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27、合同价款调整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27.1价格中工程量、综合单价、措施项目费用的调整因素包括：</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（1）法律、行政法规和国家有关政策变化影响合同价款；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（2）工程造价管理机构的价格调整；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（3）经批准的设计变更；</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（4）发包人更改经审定批准的施工组织设计（修正错误除外）造成费用变化；</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（5）工程量清单的工程数量与实际工程量不符，按实际工程量进行调整计算；</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（6）费用索赔事件或发包人负责的其他情况；</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（7）双方在专用条款中约定的其他因素。</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28、工程预付款</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29、已完工程量确认</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29.3对承包人超出设计图纸（含设计变更）范围和因承包人原因造成返工的工程量，工程师不予计量。</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30、工程进度款结算与支付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30.1双方应在专用条款内约定工程进度款结算支付方式。结算支付方式分为按月结算支付与分阶段结算支付。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30.3本通用条款第27条确定调整的合同价款，第35条工程变更调整的合同价款及其他条款中约定的追加合同价款，应与工程进度款同期调整支付。</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360" w:lineRule="auto"/>
        <w:ind w:firstLine="480" w:firstLineChars="200"/>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30.5发包人不按合同约定支付工程进度款，双方又未达成延期付款协议，导致施工无法进行，承包人可停止施工，由发包人承担违约责任。</w:t>
      </w:r>
    </w:p>
    <w:p>
      <w:pPr>
        <w:widowControl/>
        <w:spacing w:line="360" w:lineRule="auto"/>
        <w:ind w:firstLine="482" w:firstLineChars="200"/>
        <w:rPr>
          <w:rFonts w:asciiTheme="minorEastAsia" w:hAnsiTheme="minorEastAsia" w:eastAsiaTheme="minorEastAsia" w:cstheme="minorEastAsia"/>
          <w:b/>
          <w:kern w:val="0"/>
          <w:sz w:val="24"/>
        </w:rPr>
      </w:pPr>
      <w:bookmarkStart w:id="29" w:name="_Toc12497"/>
      <w:r>
        <w:rPr>
          <w:rFonts w:hint="eastAsia" w:asciiTheme="minorEastAsia" w:hAnsiTheme="minorEastAsia" w:eastAsiaTheme="minorEastAsia" w:cstheme="minorEastAsia"/>
          <w:b/>
          <w:kern w:val="0"/>
          <w:sz w:val="24"/>
        </w:rPr>
        <w:t>七、材料设备供应</w:t>
      </w:r>
      <w:bookmarkEnd w:id="29"/>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31、发包人供应材料设备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31.4发包人供应的材料设备与一览表不符时，发包人承担有关责任。发包人应承担责任的具体内容，双方根据下列情况在专用条款内约定：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（1）材料设备单价与一览表不符，由发包人承担所有价差；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（2）材料设备的品种、规格、型号、质量等级与一览表不符，承包人可拒绝接收保管，由发包人运出施工场地并重新采购；</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（3）发包人供应的材料规格、型号与一览表不符，经发包人同意，承包人可代为调剂串换，由发包人承担相应费用；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（4）到货地点与一览表不符，由发包人负责运至一览表指定地点；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（5）供应数量少于一览表约定的数量时，由发包人补齐，多于一览表约定数量时，发包人负责将多出部分运出施工场地；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31.5发包人供应的材料设备使用前，由承包人负责检验或试验，不合格的不得使用，检验或试验费用由发包人承担。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31.6发包人供应材料设备的结算方法，双方在专用条款内约定。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32、承包人采购材料设备</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32.3承包人采购的材料设备在使用前，承包人应按工程师的要求进行检验或试验，不合格的不得使用，检验或试验费用由承包人承担。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32.5承包人需要使用代用材料时，应经工程师认可后才能使用，由此增减的合同价款双方以书面形式议定。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32.6由承包人采购的材料设备，发包人不得指定生产厂或供应商。</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八、工程变更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33、工程设计变更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（1）更改工程有关部分的标高、基线、位置和尺寸；</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（2）增减合同中约定的工程量；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（3）改变有关工程的施工时间和顺序；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（4）其他有关工程变更需要的附加工作。</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因变更导致合同价款的增减及造成的承包人损失，由发包人承担，延误的工期相应顺延。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33.2施工中承包人不得对原工程设计进行变更。因承包人擅自变更设计发生的费用和由此导致发包人的直接损失，由承包人承担，延误的工期不予顺延。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34、其他变更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合同履行中发包人要求变更工程质量标准及发生其他实质性变更，由双方协商解决。</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35、确定变更价款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35.1承包人在工程变更确定后14天内，提出变更工程价款的报告，经工程师确认后调整合同价款。变更合同价款按下列方法进行：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（1）合同中已有适用于变更工程的综合单价或价格，按合同已有的综合单价或价格变更合同价款；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（2）合同中只有类似于变更工程的综合单价或价格，可以参照类似综合单价或价格变更合同价款；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（3）合同中没有适用或类似于变更工程的综合单价或价格，由承包人或发包人提出综合单价或价格，经双方确认后执行。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35.4发承包双方对变更价款不能达成一致时，按本通用条款第41条关于争议的约定处理。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35.5因承包人自身原因导致的工程变更，承包人无权要求追加合同价款。</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九、竣工验收与结算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36、竣工验收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36.2发包人收到竣工验收报告后28天内组织有关单位验收，并在验收后14天内给予认可或提出修改意见。承包人按要求修改，并承担由自身原因造成修改的费用。</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36.3发包人收到承包人送交的竣工验收报告后28天内不组织验收，或验收后14天内不提出修改意见，视为竣工验收报告已被认可。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36.5发包人收到承包人竣工验收报告后28天内不组织验收，从第29天起承担工程保管及一切意外责任。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36.6中间交工工程的范围和竣工时间，双方在专用条款内约定，其验收程序按本通用条款36.1款至36.4款办理。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36.7因特殊原因，发包人要求部分单位工程或工程部位甩项竣工的，双方另行签订甩项竣工协议，明确双方责任和工程价款的支付方法。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36.8工程未经竣工验收或竣工验收未通过的，发包人不得使用。发包人强行使用时，由此发生的质量及其他问题，由发包人承担责任。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37.1工程竣工结算分为单位工程竣工结算、单项工程竣工结算和建设项目竣工总结算。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37.2承包人应在工程通过竣工验收后，工程竣工结算报告金额在500万元以下的工程一般在20天以内、工程竣工结算报告金额在500万元以上的工程一般在</w:t>
      </w:r>
      <w:r>
        <w:rPr>
          <w:rFonts w:hint="eastAsia" w:asciiTheme="minorEastAsia" w:hAnsiTheme="minorEastAsia" w:eastAsiaTheme="minorEastAsia" w:cstheme="minorEastAsia"/>
          <w:color w:val="000000" w:themeColor="text1"/>
          <w:kern w:val="0"/>
          <w:sz w:val="24"/>
          <w14:textFill>
            <w14:solidFill>
              <w14:schemeClr w14:val="tx1"/>
            </w14:solidFill>
          </w14:textFill>
        </w:rPr>
        <w:t>60</w:t>
      </w:r>
      <w:r>
        <w:rPr>
          <w:rFonts w:hint="eastAsia" w:asciiTheme="minorEastAsia" w:hAnsiTheme="minorEastAsia" w:eastAsiaTheme="minorEastAsia" w:cstheme="minorEastAsia"/>
          <w:kern w:val="0"/>
          <w:sz w:val="24"/>
        </w:rPr>
        <w:t>天以内向发包人递交竣工结算报告及完整的结算资料，双方按照协议书约定的合同价款及专用条款约定的合同价款调整内容，进行工程竣工结算。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建设项目总结算在最后一个单项工程竣工结算审查确认后，一般在15天以内向发包人提交竣工结算汇总资料。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37.4承包人收到竣工结算价款后14天内将竣工工程交付发包人。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37.5发包人收到承包人建设项目竣工总结算汇总资料后30天内，审查完成。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37.6发包人收到竣工结算报告及结算资料后，在本条规定期限内对结算报告及资料没有提出意见则视同认可。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37.9发包人承包人对工程竣工结算价款发生争议时，按本通用条款第41条关于争议的约定处理。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38、质量保证</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38.1承包人应按法律、行政法规或国家关于工程质量保修的有关规定，对交付发包人使用的工程在质量保修期内承担质量保修责任。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（1）保证金预留、返还方式；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（2）保证金预留比例、期限；</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（3）保证金是否计付利息，如计利息，利息的计算方式；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（4）缺陷责任期的期限及计算方式；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（5）保证金预留、返还及工程维修质量、费用等争议的处理程序；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（6）缺陷责任期内出现缺陷的索赔方式。</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38.3质量保修书的主要内容包括：</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（1）质量保修项目内容及范围；</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（2）质量保修期；</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（3）质量保修责任；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（4）质量保修金的支付方法。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38.4质量保证金按工程价款结算总额5%以内的比例预留。</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十、违约、索赔和争议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39、违约</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39.1发包人违约。当发生下列情况时：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（1）本通用条款第28.1款提到的发包人不按时支付工程预付款；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（2）本通用条款第30.5款提到的发包人不按合同约定支付工程款，导致施工无法进行；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（3）本通用条款第37.6款提到的发包人无正当理由不支付工程竣工结算价款；</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（4）发包人不履行合同义务或不按合同约定履行义务的其他情况。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39.2承包人违约。当发生下列情况时：</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（1）本通用条款第14.2款提到的因承包人原因不能按照协议书约定的竣工日期或工程师同意顺延的工期竣工；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（2）本通用条款第15.1款提到的因承包人原因工程质量达不到协议书约定的质量标准；</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（3）承包人不履行合同义务或不按合同约定履行义务的其他情况。</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39.3一方违约后，另一方要求违约方继续履行合同时，违约方承担上述违约责任后仍应继续履行合同。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40.1当一方向另一方提出索赔时，要有正当索赔理由，且有索赔事件发生时的有效证据。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（1）索赔事件发生后28天内，向工程师发出索赔意向通知；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（2）发出索赔意向通知后28天内，向工程师提出延长工期和（或）补偿经济损失的索赔报告及有关资料；</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（3）工程师在收到承包人送交的索赔报告和有关资料后，于28天内给予答复，或要求承包人进一步补充索赔理由和证据；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（4）工程师在收到承包人送交的索赔报告和有关资料后28天内未予答复或未对承包人作进一步要求，视为该项索赔已经认可；</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40.3承包人未能按合同约定履行自己的各项义务或发生错误，给发包人造成经济损失，发包人可按40.2款确定的时限向承包人提出索赔。</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41、争议</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41.2发生争议后，除非出现下列情况的，双方都应继续履行合同，保持施工连续，保护好已完工程：</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（1）单方违约导致合同确已无法履行，双方协议停止施工；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（2）调解要求停止施工，且为双方接受；</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（3）仲裁机构要求停止施工；</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（4）法院要求停止施工。</w:t>
      </w:r>
    </w:p>
    <w:p>
      <w:pPr>
        <w:widowControl/>
        <w:spacing w:line="360" w:lineRule="auto"/>
        <w:ind w:firstLine="482" w:firstLineChars="200"/>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十一、其他</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42、工程分包</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42.1承包人需要将专业工程或劳务进行分包的，应分包给具有相应资质的专业或劳务企业，并与分包企业签订分包合同。</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42.2承包人不得将其承包的工程转包给他人，也不得将其承包的工程以分包的名义转包给他人。</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42.4分包工程价款由承包人与分包单位结算。发包人未经承包人同意不得以任何形式向分包单位支付各种工程款项。</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42.5承包人应按时支付分包工程款及劳务费。若承包人不能按时支付时，发包人可将此部分款项从向承包人支付的工程款中扣出并直接支付给分包人和劳务人员。</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43、不可抗力</w:t>
      </w:r>
    </w:p>
    <w:p>
      <w:pPr>
        <w:widowControl/>
        <w:spacing w:line="360" w:lineRule="auto"/>
        <w:ind w:firstLine="480" w:firstLineChars="2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43.1不可抗力包括因战争、动乱、空中飞行物体坠落或其他非发包人承包人责任造成的爆炸、火灾，以及专用条款约定的风、雨、雪、洪、震等自然灾害。</w:t>
      </w:r>
    </w:p>
    <w:p>
      <w:pPr>
        <w:widowControl/>
        <w:spacing w:line="360" w:lineRule="auto"/>
        <w:ind w:firstLine="480" w:firstLineChars="200"/>
        <w:rPr>
          <w:rFonts w:ascii="宋体" w:hAnsi="宋体" w:cs="宋体"/>
          <w:kern w:val="0"/>
          <w:sz w:val="24"/>
        </w:rPr>
      </w:pPr>
      <w:r>
        <w:rPr>
          <w:rFonts w:hint="eastAsia" w:asciiTheme="minorEastAsia" w:hAnsiTheme="minorEastAsia" w:eastAsiaTheme="minorEastAsia" w:cstheme="minorEastAsia"/>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w:t>
      </w:r>
      <w:r>
        <w:rPr>
          <w:rFonts w:hint="eastAsia" w:ascii="宋体" w:hAnsi="宋体" w:cs="宋体"/>
          <w:kern w:val="0"/>
          <w:sz w:val="24"/>
        </w:rPr>
        <w:t>天向工程师报告一次受害情况。不可抗力事件结束后14天内，承包人向工程师提交清理和修复费用的正式报告及有关资料。</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43.3因不可抗力事件导致的费用及延误的工期由双方按以下方法分别承担：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（1）工程本身的损害、因工程损害导致第三人人员伤亡和财产损失以及运至施工场地用于施工的材料和待安装的设备的损害，由发包人承担；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（2）发包人承包人人员伤亡由其所在单位负责，并承担相应费用；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（3）承包人机械设备损坏及停工损失，由承包人承担；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（4）停工期间，承包人应工程师要求留在施工场地的必要的管理人员及保卫人员的费用由发包人承担；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（5）工程所需清理、修复费用，由发包人承担；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（6）延误的工期相应顺延。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43.4因合同一方迟延履行合同后发生不可抗力的，不能免除迟延履行方的相应责任。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44.1工程开工前，发包人为建设工程和施工现场内的自有人员及第三人人员生命财产办理保险，支付保险费用。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44.2发包人供应的运至施工场地内用于工程的材料设备，由发包人办理保险，并支付保险费用。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44.3发包人可以将有关保险事项委托承包人办理，费用由发包人承担。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44.4承包人必须为施工场地内施工人员办理意外伤害保险和工伤保险，并为施工场地内的施工机械设备办理财产保险，支付保险费用。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44.5保险事故发生时，发包人承包人有责任尽力采取必要的措施，防止或者减少损失。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44.6具体投保内容和相关责任，发包人承包人在专用条款中约定。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45.1发包人承包人为了全面履行合同，应互相提供以下担保：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（1）发包人向承包人提供支付担保，按合同约定支付工程价款及履行合同约定的其他义务。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（2）承包人向发包人提供履约担保，按合同约定履行自己的各项义务。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45.2一方违约后，另一方可要求提供担保的第三人承担相应责任。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45.3提供担保的内容、方式和相关责任，发包人承包人除在专用条款中约定外，被担保方与担保方还应签订担保合同，作为本合同附件。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46、专利技术及特殊工艺</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46.2擅自使用专利技术侵犯他人专利权的，责任者依法承担相应责任。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47、文物和地下障碍物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如发现后隐瞒不报，致使文物遭受破坏，责任者依法承担相应责任。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所发现的地下障碍物有归属单位时，发包人应报请有关部门协同处置。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48、合同解除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48.1发包人承包人协商一致，可以解除合同。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48.2发生本通用条款第30.5款情况，停止施工超过56天，发包人仍不支付工程款（进度款），承包人有权解除合同。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48.3发生本通用条款第42.2款禁止的情况，发包人有权解除合同。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48.4有下列情形之一的，发包人承包人可以解除合同：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（1）因不可抗力致使合同无法履行；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（2）因一方违约（包括因发包人原因造成工程停建或缓建）致使合同无法履行。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48.7合同解除后，不影响双方在合同中约定的结算和清理条款的效力。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49、合同生效与终止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49.1双方在协议书中约定合同生效方式。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49.2除本通用条款第38条外，发包人承包人履行合同全部义务，竣工结算价款支付完毕，承包人向发包人交付竣工工程后，本合同即告终止。</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49.3合同的权利义务终止后，发包人承包人应当遵循诚实信用原则，履行通知、协助、保密等义务。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50.1本合同正本两份，具有同等效力，由发包人承包人分别保存一份。</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50.2本合同副本份数，由双方根据需要在专用条款内约定。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双方根据有关法律、行政法规规定，结合工程实际经协商一致后，可对本通用条款内容具体化、补充或修改，在专用条款内约定。</w:t>
      </w: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ind w:firstLine="480" w:firstLineChars="200"/>
        <w:rPr>
          <w:rFonts w:ascii="宋体" w:hAnsi="宋体" w:cs="宋体"/>
          <w:kern w:val="0"/>
          <w:sz w:val="24"/>
        </w:rPr>
      </w:pPr>
    </w:p>
    <w:p>
      <w:pPr>
        <w:widowControl/>
        <w:spacing w:line="360" w:lineRule="auto"/>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pStyle w:val="2"/>
        <w:ind w:firstLine="480"/>
        <w:rPr>
          <w:rFonts w:ascii="宋体" w:hAnsi="宋体" w:cs="宋体"/>
          <w:kern w:val="0"/>
          <w:sz w:val="24"/>
        </w:rPr>
      </w:pPr>
    </w:p>
    <w:p>
      <w:pPr>
        <w:widowControl/>
        <w:spacing w:line="360" w:lineRule="auto"/>
        <w:rPr>
          <w:rFonts w:ascii="宋体" w:hAnsi="宋体" w:cs="宋体"/>
          <w:kern w:val="0"/>
          <w:sz w:val="24"/>
        </w:rPr>
      </w:pPr>
    </w:p>
    <w:p>
      <w:pPr>
        <w:pStyle w:val="4"/>
        <w:spacing w:line="400" w:lineRule="exact"/>
        <w:jc w:val="center"/>
        <w:rPr>
          <w:rFonts w:ascii="宋体" w:hAnsi="宋体" w:eastAsia="宋体" w:cs="宋体"/>
          <w:sz w:val="24"/>
          <w:szCs w:val="24"/>
        </w:rPr>
      </w:pPr>
      <w:bookmarkStart w:id="30" w:name="_Toc231459934"/>
      <w:r>
        <w:rPr>
          <w:rFonts w:hint="eastAsia" w:ascii="宋体" w:hAnsi="宋体" w:eastAsia="宋体" w:cs="宋体"/>
        </w:rPr>
        <w:t>第三部分  专用条款</w:t>
      </w:r>
      <w:bookmarkEnd w:id="30"/>
    </w:p>
    <w:p>
      <w:pPr>
        <w:widowControl/>
        <w:spacing w:line="360" w:lineRule="auto"/>
        <w:ind w:firstLine="482" w:firstLineChars="200"/>
        <w:rPr>
          <w:rFonts w:ascii="宋体" w:hAnsi="宋体" w:cs="宋体"/>
          <w:b/>
          <w:kern w:val="0"/>
          <w:sz w:val="24"/>
        </w:rPr>
      </w:pPr>
      <w:bookmarkStart w:id="31" w:name="_Toc231459935"/>
      <w:r>
        <w:rPr>
          <w:rFonts w:hint="eastAsia" w:ascii="宋体" w:hAnsi="宋体" w:cs="宋体"/>
          <w:b/>
          <w:kern w:val="0"/>
          <w:sz w:val="24"/>
        </w:rPr>
        <w:t>一、词语定义及合同文件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2、合同文件及解释顺序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合同文件组成及解释顺序：_</w:t>
      </w:r>
      <w:r>
        <w:rPr>
          <w:rFonts w:hint="eastAsia" w:ascii="宋体" w:hAnsi="宋体" w:cs="宋体"/>
          <w:kern w:val="0"/>
          <w:sz w:val="24"/>
          <w:u w:val="single"/>
        </w:rPr>
        <w:t>本合同合同协议书、专用条款、通用条款、变更通知、成交通知书、答疑纪要、招标文件、图纸、投标书、有关技术标准、规范。</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3、语言文字和适用法律、标准及规范</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0288" behindDoc="0" locked="0" layoutInCell="1" allowOverlap="1">
                <wp:simplePos x="0" y="0"/>
                <wp:positionH relativeFrom="column">
                  <wp:posOffset>2741930</wp:posOffset>
                </wp:positionH>
                <wp:positionV relativeFrom="paragraph">
                  <wp:posOffset>-19050</wp:posOffset>
                </wp:positionV>
                <wp:extent cx="1485900" cy="198120"/>
                <wp:effectExtent l="635" t="4445" r="18415" b="6985"/>
                <wp:wrapNone/>
                <wp:docPr id="2" name="直线 23"/>
                <wp:cNvGraphicFramePr/>
                <a:graphic xmlns:a="http://schemas.openxmlformats.org/drawingml/2006/main">
                  <a:graphicData uri="http://schemas.microsoft.com/office/word/2010/wordprocessingShape">
                    <wps:wsp>
                      <wps:cNvCnPr/>
                      <wps:spPr>
                        <a:xfrm flipV="1">
                          <a:off x="0" y="0"/>
                          <a:ext cx="1485900" cy="1981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3" o:spid="_x0000_s1026" o:spt="20" style="position:absolute;left:0pt;flip:y;margin-left:215.9pt;margin-top:-1.5pt;height:15.6pt;width:117pt;z-index:251660288;mso-width-relative:page;mso-height-relative:page;" filled="f" stroked="t" coordsize="21600,21600" o:gfxdata="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6mIf1wAAAAkBAAAPAAAAAAAAAAEAIAAAACIAAABkcnMvZG93bnJldi54bWxQSwECFAAU&#10;AAAACACHTuJA6FFkpvIBAADtAwAADgAAAAAAAAABACAAAAAmAQAAZHJzL2Uyb0RvYy54bWxQSwUG&#10;AAAAAAYABgBZAQAAigUAAAAA&#10;">
                <v:fill on="f" focussize="0,0"/>
                <v:stroke color="#000000" joinstyle="round"/>
                <v:imagedata o:title=""/>
                <o:lock v:ext="edit" aspectratio="f"/>
              </v:line>
            </w:pict>
          </mc:Fallback>
        </mc:AlternateContent>
      </w:r>
      <w:r>
        <w:rPr>
          <w:rFonts w:hint="eastAsia" w:ascii="宋体" w:hAnsi="宋体" w:cs="宋体"/>
          <w:kern w:val="0"/>
          <w:sz w:val="24"/>
        </w:rPr>
        <w:t>3.1本合同除使用汉语外，还使用______________________________语言文字。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3.2适用法律和法规</w:t>
      </w:r>
    </w:p>
    <w:p>
      <w:pPr>
        <w:widowControl/>
        <w:spacing w:line="360" w:lineRule="auto"/>
        <w:ind w:firstLine="480" w:firstLineChars="200"/>
        <w:rPr>
          <w:rFonts w:ascii="宋体" w:hAnsi="宋体" w:cs="宋体"/>
          <w:kern w:val="0"/>
          <w:sz w:val="24"/>
        </w:rPr>
      </w:pPr>
      <w:r>
        <w:rPr>
          <w:rFonts w:hint="eastAsia" w:ascii="宋体" w:hAnsi="宋体" w:cs="宋体"/>
          <w:kern w:val="0"/>
          <w:sz w:val="24"/>
        </w:rPr>
        <w:t>需要明示的法律、行政法规：</w:t>
      </w:r>
      <w:r>
        <w:rPr>
          <w:rFonts w:hint="eastAsia" w:ascii="宋体" w:hAnsi="宋体" w:cs="宋体"/>
          <w:kern w:val="0"/>
          <w:sz w:val="24"/>
          <w:u w:val="single"/>
        </w:rPr>
        <w:t>《中华人民共和国建筑法》、《中华人民共和国民法典》及陕西省、西安市有关建设工程质量、安全、文明施工等管理规定。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3.3适用标准、规范</w:t>
      </w:r>
    </w:p>
    <w:p>
      <w:pPr>
        <w:spacing w:line="480" w:lineRule="exact"/>
        <w:ind w:firstLine="480" w:firstLineChars="200"/>
        <w:rPr>
          <w:rFonts w:ascii="宋体" w:hAnsi="宋体" w:cs="宋体"/>
          <w:sz w:val="24"/>
          <w:u w:val="single"/>
        </w:rPr>
      </w:pPr>
      <w:r>
        <w:rPr>
          <w:rFonts w:hint="eastAsia" w:ascii="宋体" w:hAnsi="宋体" w:cs="宋体"/>
          <w:kern w:val="0"/>
          <w:sz w:val="24"/>
        </w:rPr>
        <w:t>适用标准、规范的名称：</w:t>
      </w:r>
      <w:r>
        <w:rPr>
          <w:rFonts w:hint="eastAsia" w:ascii="宋体" w:hAnsi="宋体" w:cs="宋体"/>
          <w:kern w:val="0"/>
          <w:sz w:val="24"/>
          <w:u w:val="single"/>
        </w:rPr>
        <w:t xml:space="preserve"> </w:t>
      </w:r>
      <w:r>
        <w:rPr>
          <w:rFonts w:hint="eastAsia" w:ascii="宋体" w:hAnsi="宋体" w:cs="宋体"/>
          <w:sz w:val="24"/>
          <w:u w:val="single"/>
        </w:rPr>
        <w:t>执行国家建筑工程施工及验收规范标准以及材料、设备所涉及的现行国家、省、市或行业的工程建设标准、规范的要求。主要标准、规范包括但不限于：《建筑工程质量统一验收标准》(GBJ05300-2001)、《建筑工程施工现场供用电安全规范》(GBJ50194-93)、《</w:t>
      </w:r>
      <w:r>
        <w:rPr>
          <w:rFonts w:hint="eastAsia" w:ascii="宋体" w:hAnsi="宋体" w:cs="宋体"/>
          <w:snapToGrid w:val="0"/>
          <w:sz w:val="24"/>
          <w:u w:val="single"/>
        </w:rPr>
        <w:t>建筑施工安全检查标准</w:t>
      </w:r>
      <w:r>
        <w:rPr>
          <w:rFonts w:hint="eastAsia" w:ascii="宋体" w:hAnsi="宋体" w:cs="宋体"/>
          <w:sz w:val="24"/>
          <w:u w:val="single"/>
        </w:rPr>
        <w:t>》</w:t>
      </w:r>
      <w:r>
        <w:rPr>
          <w:rFonts w:hint="eastAsia" w:ascii="宋体" w:hAnsi="宋体" w:cs="宋体"/>
          <w:snapToGrid w:val="0"/>
          <w:sz w:val="24"/>
          <w:u w:val="single"/>
        </w:rPr>
        <w:t>（JGJ59-99）、《施工现场临时用电安全技术规范》（JFJ46-88）、《建设工程文件归档整理规范》（GB/T50328-2001）。</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发包人提供标准、规范的时间：</w:t>
      </w:r>
      <w:r>
        <w:rPr>
          <w:rFonts w:hint="eastAsia" w:ascii="宋体" w:hAnsi="宋体" w:cs="宋体"/>
          <w:sz w:val="24"/>
          <w:u w:val="single"/>
        </w:rPr>
        <w:t>发包人在招标时，已将上述标准、规范名称提供给承包人。这些标准和规范由承包人自行购买，并承担相关费用。</w:t>
      </w:r>
    </w:p>
    <w:p>
      <w:pPr>
        <w:widowControl/>
        <w:spacing w:line="360" w:lineRule="auto"/>
        <w:rPr>
          <w:rFonts w:ascii="宋体" w:hAnsi="宋体" w:cs="宋体"/>
          <w:kern w:val="0"/>
          <w:sz w:val="24"/>
        </w:rPr>
      </w:pPr>
      <w:r>
        <w:rPr>
          <w:rFonts w:hint="eastAsia" w:ascii="宋体" w:hAnsi="宋体" w:cs="宋体"/>
          <w:kern w:val="0"/>
          <w:sz w:val="24"/>
        </w:rPr>
        <w:t>　　国内没有相应标准、规范时的约定：_</w:t>
      </w:r>
      <w:r>
        <w:rPr>
          <w:rFonts w:hint="eastAsia" w:ascii="宋体" w:hAnsi="宋体" w:cs="宋体"/>
          <w:sz w:val="24"/>
          <w:u w:val="single"/>
        </w:rPr>
        <w:t>按行业通常做法或生产企业在技术监督局的备案标准、并经监理工程师和业主同意。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4、图纸</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4.1发包人向承包人提供图纸日期和套数：_</w:t>
      </w:r>
      <w:r>
        <w:rPr>
          <w:rFonts w:hint="eastAsia" w:ascii="宋体" w:hAnsi="宋体" w:cs="宋体"/>
          <w:sz w:val="24"/>
          <w:u w:val="single"/>
        </w:rPr>
        <w:t>在合同签订3天内提供一套图纸。</w:t>
      </w:r>
    </w:p>
    <w:p>
      <w:pPr>
        <w:widowControl/>
        <w:spacing w:line="360" w:lineRule="auto"/>
        <w:ind w:firstLine="480" w:firstLineChars="200"/>
        <w:rPr>
          <w:rFonts w:ascii="宋体" w:hAnsi="宋体" w:cs="宋体"/>
          <w:b/>
          <w:kern w:val="0"/>
          <w:sz w:val="24"/>
        </w:rPr>
      </w:pPr>
      <w:r>
        <w:rPr>
          <w:rFonts w:hint="eastAsia" w:ascii="宋体" w:hAnsi="宋体" w:cs="宋体"/>
          <w:kern w:val="0"/>
          <w:sz w:val="24"/>
        </w:rPr>
        <w:t>发包人对图纸的保密要求：_</w:t>
      </w:r>
      <w:r>
        <w:rPr>
          <w:rFonts w:hint="eastAsia" w:ascii="宋体" w:hAnsi="宋体" w:cs="宋体"/>
          <w:b/>
          <w:sz w:val="24"/>
          <w:u w:val="single"/>
        </w:rPr>
        <w:t>除监理和发包方外，承包方不得将本工程的设计图纸向其它方提供。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使用国外图纸的要求及费用承担：_</w:t>
      </w:r>
      <w:r>
        <w:rPr>
          <w:rFonts w:hint="eastAsia" w:ascii="宋体" w:hAnsi="宋体" w:cs="宋体"/>
          <w:sz w:val="24"/>
          <w:u w:val="single"/>
        </w:rPr>
        <w:t>本工程不使用国外图纸。</w:t>
      </w:r>
      <w:r>
        <w:rPr>
          <w:rFonts w:hint="eastAsia" w:ascii="宋体" w:hAnsi="宋体" w:cs="宋体"/>
          <w:kern w:val="0"/>
          <w:sz w:val="24"/>
        </w:rPr>
        <w:t>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二、双方一般权利和义务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5.2监理单位委派的工程师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姓名：________职务：____</w:t>
      </w:r>
      <w:r>
        <w:rPr>
          <w:rFonts w:hint="eastAsia" w:ascii="宋体" w:hAnsi="宋体" w:cs="宋体"/>
          <w:kern w:val="0"/>
          <w:sz w:val="24"/>
          <w:u w:val="single"/>
        </w:rPr>
        <w:t>监理工程师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发包人委托的职权：_</w:t>
      </w:r>
      <w:r>
        <w:rPr>
          <w:rFonts w:hint="eastAsia" w:ascii="宋体" w:hAnsi="宋体" w:cs="宋体"/>
          <w:sz w:val="24"/>
          <w:u w:val="single"/>
        </w:rPr>
        <w:t>按照发包方与监理单位签订的“监理合同”中约定的发包方授权和委托，对本工程施工过程的质量、安全、进度控制、合同管理和信息管理，施工中各种矛盾组织协调工作及全程监理。</w:t>
      </w:r>
    </w:p>
    <w:p>
      <w:pPr>
        <w:spacing w:line="360" w:lineRule="auto"/>
        <w:ind w:firstLine="480" w:firstLineChars="200"/>
        <w:rPr>
          <w:rFonts w:ascii="宋体" w:hAnsi="宋体" w:cs="宋体"/>
          <w:kern w:val="0"/>
          <w:sz w:val="24"/>
        </w:rPr>
      </w:pPr>
      <w:r>
        <w:rPr>
          <w:rFonts w:hint="eastAsia" w:ascii="宋体" w:hAnsi="宋体" w:cs="宋体"/>
          <w:kern w:val="0"/>
          <w:sz w:val="24"/>
        </w:rPr>
        <w:t>需要取得发包人批准才能行使的职权：</w:t>
      </w:r>
      <w:r>
        <w:rPr>
          <w:rFonts w:hint="eastAsia" w:ascii="宋体" w:hAnsi="宋体" w:cs="宋体"/>
          <w:sz w:val="24"/>
          <w:u w:val="single"/>
        </w:rPr>
        <w:t>重大工程洽商、设计变更、现场签证、发包人指定价的认质认价等在决策之前需经发包人同意。</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5.4发包人派驻的工程师</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w:t>
      </w:r>
      <w:r>
        <w:rPr>
          <w:rFonts w:hint="eastAsia" w:ascii="宋体" w:hAnsi="宋体" w:cs="宋体"/>
          <w:kern w:val="0"/>
          <w:sz w:val="24"/>
        </w:rPr>
        <w:t>职务：</w:t>
      </w:r>
      <w:r>
        <w:rPr>
          <w:rFonts w:hint="eastAsia" w:ascii="宋体" w:hAnsi="宋体" w:cs="宋体"/>
          <w:sz w:val="24"/>
          <w:u w:val="single"/>
        </w:rPr>
        <w:t>发包人驻工地代表</w:t>
      </w:r>
    </w:p>
    <w:p>
      <w:pPr>
        <w:widowControl/>
        <w:spacing w:line="360" w:lineRule="auto"/>
        <w:ind w:firstLine="480" w:firstLineChars="200"/>
        <w:rPr>
          <w:rFonts w:ascii="宋体" w:hAnsi="宋体" w:cs="宋体"/>
          <w:kern w:val="0"/>
          <w:sz w:val="24"/>
        </w:rPr>
      </w:pPr>
      <w:r>
        <w:rPr>
          <w:rFonts w:hint="eastAsia" w:ascii="宋体" w:hAnsi="宋体" w:cs="宋体"/>
          <w:kern w:val="0"/>
          <w:sz w:val="24"/>
        </w:rPr>
        <w:t>职权：_</w:t>
      </w:r>
      <w:r>
        <w:rPr>
          <w:rFonts w:hint="eastAsia" w:ascii="宋体" w:hAnsi="宋体" w:cs="宋体"/>
          <w:sz w:val="24"/>
          <w:u w:val="single"/>
        </w:rPr>
        <w:t>负责施工全过程内、外部关系协调、处理往来文件，对工程进度、质量、造价进行监督管理。</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5.6不实行监理的，工程师的职权：</w:t>
      </w:r>
      <w:r>
        <w:rPr>
          <w:rFonts w:hint="eastAsia" w:ascii="宋体" w:hAnsi="宋体" w:cs="宋体"/>
          <w:sz w:val="24"/>
          <w:u w:val="single"/>
        </w:rPr>
        <w:t>工程师有权反对和要求承包人从该项目上立即解除在工程师看来行为不端、不能胜任工作或玩忽职守，或工程师出于其它考虑不希望该人出现在现场，并且未经工程师同意不允许再次雇用这些人员。凡有任何人员离开，都应尽快补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7、项目经理</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职务：</w:t>
      </w:r>
      <w:r>
        <w:rPr>
          <w:rFonts w:hint="eastAsia" w:ascii="宋体" w:hAnsi="宋体" w:cs="宋体"/>
          <w:kern w:val="0"/>
          <w:sz w:val="24"/>
          <w:u w:val="single"/>
        </w:rPr>
        <w:t xml:space="preserve">项目经理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8、发包人工作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8.1发包人应按约定的时间和要求完成以下工作：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（1）施工场地具备施工条件的要求及完成的时间：_</w:t>
      </w:r>
      <w:r>
        <w:rPr>
          <w:rFonts w:hint="eastAsia" w:ascii="宋体" w:hAnsi="宋体" w:cs="宋体"/>
          <w:kern w:val="0"/>
          <w:sz w:val="24"/>
          <w:u w:val="single"/>
        </w:rPr>
        <w:t>_开工前5日内。</w:t>
      </w:r>
      <w:r>
        <w:rPr>
          <w:rFonts w:hint="eastAsia" w:ascii="宋体" w:hAnsi="宋体" w:cs="宋体"/>
          <w:kern w:val="0"/>
          <w:sz w:val="24"/>
        </w:rPr>
        <w:t>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（2）将施工所需的水、电、电讯线路接至施工场地的时间、地点和供应要求：</w:t>
      </w:r>
    </w:p>
    <w:p>
      <w:pPr>
        <w:widowControl/>
        <w:spacing w:line="360" w:lineRule="auto"/>
        <w:rPr>
          <w:rFonts w:ascii="宋体" w:hAnsi="宋体" w:cs="宋体"/>
          <w:kern w:val="0"/>
          <w:sz w:val="24"/>
        </w:rPr>
      </w:pPr>
      <w:r>
        <w:rPr>
          <w:rFonts w:hint="eastAsia" w:ascii="宋体" w:hAnsi="宋体" w:cs="宋体"/>
          <w:color w:val="FF0000"/>
          <w:kern w:val="0"/>
          <w:sz w:val="24"/>
        </w:rPr>
        <w:t>　　</w:t>
      </w:r>
      <w:r>
        <w:rPr>
          <w:rFonts w:hint="eastAsia" w:ascii="宋体" w:hAnsi="宋体" w:cs="宋体"/>
          <w:kern w:val="0"/>
          <w:sz w:val="24"/>
        </w:rPr>
        <w:t>提供满足乙方施工的用水、用电条件。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其计量和计价方法为：</w:t>
      </w:r>
      <w:r>
        <w:rPr>
          <w:rFonts w:hint="eastAsia" w:ascii="宋体" w:hAnsi="宋体" w:cs="宋体"/>
          <w:kern w:val="0"/>
          <w:sz w:val="24"/>
          <w:u w:val="single"/>
        </w:rPr>
        <w:t>按相关部门的规定和计量计价方法计算</w:t>
      </w:r>
      <w:r>
        <w:rPr>
          <w:rFonts w:hint="eastAsia" w:ascii="宋体" w:hAnsi="宋体" w:cs="宋体"/>
          <w:kern w:val="0"/>
          <w:sz w:val="24"/>
        </w:rPr>
        <w:t>。</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（3）施工场地与公共道路的通道开通时间和要求：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（4）工程地质和地下管线资料的提供时间：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（5）由发包人办理的施工所需证件、批件的名称和完成时间： </w:t>
      </w:r>
      <w:r>
        <w:rPr>
          <w:rFonts w:hint="eastAsia" w:ascii="宋体" w:hAnsi="宋体" w:cs="宋体"/>
          <w:sz w:val="24"/>
          <w:u w:val="single"/>
        </w:rPr>
        <w:t>工程开工前5日内。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（6）水准点与坐标控制点交验要求：</w:t>
      </w:r>
      <w:r>
        <w:rPr>
          <w:rFonts w:hint="eastAsia" w:ascii="宋体" w:hAnsi="宋体" w:cs="宋体"/>
          <w:sz w:val="24"/>
          <w:u w:val="single"/>
        </w:rPr>
        <w:t>　　　/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 xml:space="preserve">（7）图纸会审和设计交底时间： </w:t>
      </w:r>
      <w:r>
        <w:rPr>
          <w:rFonts w:hint="eastAsia" w:ascii="宋体" w:hAnsi="宋体" w:cs="宋体"/>
          <w:sz w:val="24"/>
          <w:u w:val="single"/>
        </w:rPr>
        <w:t>工程开工前5日内。</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（8）协调处理施工场地周围地下管线和邻近建筑物、构筑物（含文物保护建筑）、古树名木的保护工作：__</w:t>
      </w:r>
      <w:r>
        <w:rPr>
          <w:rFonts w:hint="eastAsia" w:ascii="宋体" w:hAnsi="宋体" w:cs="宋体"/>
          <w:kern w:val="0"/>
          <w:sz w:val="24"/>
          <w:u w:val="single"/>
        </w:rPr>
        <w:t xml:space="preserve">执行《通用条款》8.1.（8）款 </w:t>
      </w:r>
      <w:r>
        <w:rPr>
          <w:rFonts w:hint="eastAsia" w:ascii="宋体" w:hAnsi="宋体" w:cs="宋体"/>
          <w:kern w:val="0"/>
          <w:sz w:val="24"/>
        </w:rPr>
        <w:t xml:space="preserve">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（9）双方约定发包人应做的其他工作：</w:t>
      </w:r>
      <w:r>
        <w:rPr>
          <w:rFonts w:hint="eastAsia" w:ascii="宋体" w:hAnsi="宋体" w:cs="宋体"/>
          <w:kern w:val="0"/>
          <w:sz w:val="24"/>
          <w:u w:val="single"/>
        </w:rPr>
        <w:t>　　　</w:t>
      </w:r>
      <w:r>
        <w:rPr>
          <w:rFonts w:hint="eastAsia" w:ascii="宋体" w:hAnsi="宋体" w:cs="宋体"/>
          <w:kern w:val="0"/>
          <w:sz w:val="24"/>
          <w:u w:val="single"/>
        </w:rPr>
        <w:tab/>
      </w:r>
      <w:r>
        <w:rPr>
          <w:rFonts w:hint="eastAsia" w:ascii="宋体" w:hAnsi="宋体" w:cs="宋体"/>
          <w:kern w:val="0"/>
          <w:sz w:val="24"/>
          <w:u w:val="single"/>
        </w:rPr>
        <w:t>无　　　　</w:t>
      </w:r>
    </w:p>
    <w:p>
      <w:pPr>
        <w:widowControl/>
        <w:spacing w:line="360" w:lineRule="auto"/>
        <w:ind w:firstLine="480"/>
        <w:rPr>
          <w:rFonts w:ascii="宋体" w:hAnsi="宋体" w:cs="宋体"/>
          <w:kern w:val="0"/>
          <w:sz w:val="24"/>
        </w:rPr>
      </w:pPr>
      <w:r>
        <w:rPr>
          <w:rFonts w:hint="eastAsia" w:ascii="宋体" w:hAnsi="宋体" w:cs="宋体"/>
          <w:kern w:val="0"/>
          <w:sz w:val="24"/>
        </w:rPr>
        <w:t>8.2发包人委托承包人办理的工作：</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9、承包人工作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9.1承包人应按约定时间和要求，完成以下工作：</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（1）需由设计资质等级和业务范围允许的承包人完成的设计文件提交时间：__</w:t>
      </w:r>
      <w:r>
        <w:rPr>
          <w:rFonts w:hint="eastAsia" w:ascii="宋体" w:hAnsi="宋体" w:cs="宋体"/>
          <w:kern w:val="0"/>
          <w:sz w:val="24"/>
          <w:u w:val="single"/>
        </w:rPr>
        <w:t>本工程没有须由承包人完成的设计工作</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（2）应提供计划、报表的名称及完成时间：</w:t>
      </w:r>
      <w:r>
        <w:rPr>
          <w:rFonts w:hint="eastAsia" w:ascii="宋体" w:hAnsi="宋体" w:cs="宋体"/>
          <w:kern w:val="0"/>
          <w:sz w:val="24"/>
          <w:u w:val="single"/>
        </w:rPr>
        <w:t>　每月25日向业主、监理单位报送叁份《通用条款》9.1.（2）款规定的报表</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（3）承担施工安全保卫工作及非夜间施工照明的的有关内容责任和要求：_</w:t>
      </w:r>
      <w:r>
        <w:rPr>
          <w:rFonts w:hint="eastAsia" w:ascii="宋体" w:hAnsi="宋体" w:cs="宋体"/>
          <w:kern w:val="0"/>
          <w:sz w:val="24"/>
          <w:u w:val="single"/>
        </w:rPr>
        <w:t>执行《通用条款》9.1.（3）款和附件中的“安全生产责任协议书”的有关内容。</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（4）向发包人提供的办公和生活房屋及设施的要求：</w:t>
      </w:r>
      <w:r>
        <w:rPr>
          <w:rFonts w:hint="eastAsia" w:ascii="宋体" w:hAnsi="宋体" w:cs="宋体"/>
          <w:kern w:val="0"/>
          <w:sz w:val="24"/>
          <w:u w:val="single"/>
        </w:rPr>
        <w:t>　　/　　</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（5）需承包人办理的有关施工场地交通、环卫和施工噪音管理等手续：_</w:t>
      </w:r>
      <w:r>
        <w:rPr>
          <w:rFonts w:hint="eastAsia" w:ascii="宋体" w:hAnsi="宋体" w:cs="宋体"/>
          <w:kern w:val="0"/>
          <w:sz w:val="24"/>
          <w:u w:val="single"/>
        </w:rPr>
        <w:t>执行《通用条款》9.1.（5）款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（6）已完工程成品保护的特殊要求及费用承担：</w:t>
      </w:r>
      <w:r>
        <w:rPr>
          <w:rFonts w:hint="eastAsia" w:ascii="宋体" w:hAnsi="宋体" w:cs="宋体"/>
          <w:kern w:val="0"/>
          <w:sz w:val="24"/>
          <w:u w:val="single"/>
        </w:rPr>
        <w:t>执行《通用条款》9.1.（6）款</w:t>
      </w:r>
      <w:r>
        <w:rPr>
          <w:rFonts w:hint="eastAsia" w:ascii="宋体" w:hAnsi="宋体" w:cs="宋体"/>
          <w:kern w:val="0"/>
          <w:sz w:val="24"/>
        </w:rPr>
        <w:t>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（7）施工场地周围地下管线和邻近建筑物、构筑物（含文物保护建筑）、古树名木的保护要求及费用承担：_</w:t>
      </w:r>
      <w:r>
        <w:rPr>
          <w:rFonts w:hint="eastAsia" w:ascii="宋体" w:hAnsi="宋体" w:cs="宋体"/>
          <w:kern w:val="0"/>
          <w:sz w:val="24"/>
          <w:u w:val="single"/>
        </w:rPr>
        <w:t>执行《通用条款》9.1.（7）款</w:t>
      </w:r>
      <w:r>
        <w:rPr>
          <w:rFonts w:hint="eastAsia" w:ascii="宋体" w:hAnsi="宋体" w:cs="宋体"/>
          <w:kern w:val="0"/>
          <w:sz w:val="24"/>
        </w:rPr>
        <w:t>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（8）施工场地清洁卫生的要求：_</w:t>
      </w:r>
      <w:r>
        <w:rPr>
          <w:rFonts w:hint="eastAsia" w:ascii="宋体" w:hAnsi="宋体" w:cs="宋体"/>
          <w:kern w:val="0"/>
          <w:sz w:val="24"/>
          <w:u w:val="single"/>
        </w:rPr>
        <w:t>执行《通用条款》9.1.（8）款</w:t>
      </w:r>
      <w:r>
        <w:rPr>
          <w:rFonts w:hint="eastAsia" w:ascii="宋体" w:hAnsi="宋体" w:cs="宋体"/>
          <w:kern w:val="0"/>
          <w:sz w:val="24"/>
        </w:rPr>
        <w:t>_</w:t>
      </w:r>
    </w:p>
    <w:p>
      <w:pPr>
        <w:spacing w:line="360" w:lineRule="auto"/>
        <w:ind w:firstLine="480" w:firstLineChars="200"/>
        <w:rPr>
          <w:rFonts w:ascii="宋体" w:hAnsi="宋体" w:cs="宋体"/>
          <w:sz w:val="24"/>
          <w:u w:val="single"/>
        </w:rPr>
      </w:pPr>
      <w:r>
        <w:rPr>
          <w:rFonts w:hint="eastAsia" w:ascii="宋体" w:hAnsi="宋体" w:cs="宋体"/>
          <w:kern w:val="0"/>
          <w:sz w:val="24"/>
        </w:rPr>
        <w:t>（9）双方约定承包人应做的其他工作：__</w:t>
      </w:r>
      <w:r>
        <w:rPr>
          <w:rFonts w:hint="eastAsia" w:ascii="宋体" w:hAnsi="宋体" w:cs="宋体"/>
          <w:sz w:val="24"/>
          <w:u w:val="single"/>
        </w:rPr>
        <w:t>承包人应将其在审阅合同文件及施工过程中发现的工程设计或技术规范的任何错误、遗漏、误差或其他缺陷及时通知工程师，并给发包方一份复印件。</w:t>
      </w:r>
    </w:p>
    <w:p>
      <w:pPr>
        <w:spacing w:line="360" w:lineRule="auto"/>
        <w:ind w:firstLine="480" w:firstLineChars="200"/>
        <w:rPr>
          <w:rFonts w:ascii="宋体" w:hAnsi="宋体" w:cs="宋体"/>
          <w:sz w:val="24"/>
          <w:u w:val="single"/>
        </w:rPr>
      </w:pPr>
      <w:r>
        <w:rPr>
          <w:rFonts w:hint="eastAsia" w:ascii="宋体" w:hAnsi="宋体" w:cs="宋体"/>
          <w:sz w:val="24"/>
          <w:u w:val="single"/>
        </w:rPr>
        <w:t>承包人应对整个现场操作和施工方法的完备性、稳定性和安全性负全责。</w:t>
      </w:r>
    </w:p>
    <w:p>
      <w:pPr>
        <w:spacing w:line="360" w:lineRule="auto"/>
        <w:ind w:firstLine="480" w:firstLineChars="200"/>
        <w:rPr>
          <w:rFonts w:ascii="宋体" w:hAnsi="宋体" w:cs="宋体"/>
          <w:kern w:val="0"/>
          <w:sz w:val="24"/>
        </w:rPr>
      </w:pPr>
      <w:r>
        <w:rPr>
          <w:rFonts w:hint="eastAsia" w:ascii="宋体" w:hAnsi="宋体" w:cs="宋体"/>
          <w:sz w:val="24"/>
          <w:u w:val="single"/>
        </w:rPr>
        <w:t>承包人应对其采用的施工工艺、施工方法等涉及到知识产权的行为的合法性负全责。</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三、施工组织设计和工期</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10、进度计划</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10.1承包人提供施工组织设计（施工方案）和进度计划的时间：</w:t>
      </w:r>
      <w:r>
        <w:rPr>
          <w:rFonts w:hint="eastAsia" w:ascii="宋体" w:hAnsi="宋体" w:cs="宋体"/>
          <w:kern w:val="0"/>
          <w:sz w:val="24"/>
          <w:u w:val="single"/>
        </w:rPr>
        <w:t>开工前十日内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工程师确认的时间：_</w:t>
      </w:r>
      <w:r>
        <w:rPr>
          <w:rFonts w:hint="eastAsia" w:ascii="宋体" w:hAnsi="宋体" w:cs="宋体"/>
          <w:kern w:val="0"/>
          <w:sz w:val="24"/>
          <w:u w:val="single"/>
        </w:rPr>
        <w:t>_7日内___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10.2群体工程中有关进度计划的要求： 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13、工期延误</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13.1双方约定工期顺延的其他情况：_</w:t>
      </w:r>
      <w:r>
        <w:rPr>
          <w:rFonts w:hint="eastAsia" w:ascii="宋体" w:hAnsi="宋体" w:cs="宋体"/>
          <w:sz w:val="24"/>
          <w:u w:val="single"/>
        </w:rPr>
        <w:t>执行《通用条款》11条：工期提前无奖励。工期每推迟一天除按1000元处罚外,若影响到发包人使用时应赔偿由此给甲方造成的损失。</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四、质量与检验</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17、隐蔽工程和中间验收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17.1双方约定中间验收部位：</w:t>
      </w:r>
      <w:r>
        <w:rPr>
          <w:rFonts w:hint="eastAsia" w:ascii="宋体" w:hAnsi="宋体" w:cs="宋体"/>
          <w:kern w:val="0"/>
          <w:sz w:val="24"/>
          <w:u w:val="single"/>
        </w:rPr>
        <w:t xml:space="preserve">                </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19、工程试车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19.1试车费用的承担：</w:t>
      </w:r>
      <w:r>
        <w:rPr>
          <w:rFonts w:hint="eastAsia" w:ascii="宋体" w:hAnsi="宋体" w:cs="宋体"/>
          <w:sz w:val="24"/>
          <w:u w:val="single"/>
        </w:rPr>
        <w:t>　　　　　　　　　</w:t>
      </w:r>
      <w:r>
        <w:rPr>
          <w:rFonts w:hint="eastAsia" w:ascii="宋体" w:hAnsi="宋体" w:cs="宋体"/>
          <w:kern w:val="0"/>
          <w:sz w:val="24"/>
        </w:rPr>
        <w:t>__</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五、安全防护、文明施工</w:t>
      </w:r>
    </w:p>
    <w:p>
      <w:pPr>
        <w:spacing w:line="360" w:lineRule="auto"/>
        <w:ind w:firstLine="480" w:firstLineChars="200"/>
        <w:rPr>
          <w:rFonts w:ascii="宋体" w:hAnsi="宋体" w:cs="宋体"/>
          <w:sz w:val="24"/>
          <w:u w:val="single"/>
        </w:rPr>
      </w:pPr>
      <w:r>
        <w:rPr>
          <w:rFonts w:hint="eastAsia" w:ascii="宋体" w:hAnsi="宋体" w:cs="宋体"/>
          <w:sz w:val="24"/>
          <w:szCs w:val="21"/>
          <w:u w:val="single"/>
        </w:rPr>
        <w:t>执行《通用条款》第五条全部条款和国家、省、市关于安全文明施工的各项要求和规定。必须按照省级文明工地要求标准进行安全文明施工。制定切实可行的安全施工措施和安</w:t>
      </w:r>
      <w:r>
        <w:rPr>
          <w:rFonts w:hint="eastAsia" w:ascii="宋体" w:hAnsi="宋体" w:cs="宋体"/>
          <w:sz w:val="24"/>
          <w:u w:val="single"/>
        </w:rPr>
        <w:t>全管理制度，承包人承担工程施工期间的安全责任，确保本工程施工安全。因施工安全所引起发生的经济和法律责任由承包人全部负责并承担责任，其费用包含在合同价内。</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六、合同价款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26、合同价款约定</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26.2本合同价款采用_</w:t>
      </w:r>
      <w:r>
        <w:rPr>
          <w:rFonts w:hint="eastAsia" w:ascii="宋体" w:hAnsi="宋体" w:cs="宋体"/>
          <w:sz w:val="24"/>
          <w:u w:val="single"/>
        </w:rPr>
        <w:t>固定综合单价合同</w:t>
      </w:r>
      <w:r>
        <w:rPr>
          <w:rFonts w:hint="eastAsia" w:ascii="宋体" w:hAnsi="宋体" w:cs="宋体"/>
          <w:kern w:val="0"/>
          <w:sz w:val="24"/>
        </w:rPr>
        <w:t>_方式确定。</w:t>
      </w:r>
    </w:p>
    <w:p>
      <w:pPr>
        <w:spacing w:line="360" w:lineRule="auto"/>
        <w:ind w:firstLine="480" w:firstLineChars="200"/>
        <w:rPr>
          <w:rFonts w:ascii="宋体" w:hAnsi="宋体" w:cs="宋体"/>
          <w:sz w:val="24"/>
        </w:rPr>
      </w:pPr>
      <w:r>
        <w:rPr>
          <w:rFonts w:hint="eastAsia" w:ascii="宋体" w:hAnsi="宋体" w:cs="宋体"/>
          <w:kern w:val="0"/>
          <w:sz w:val="24"/>
        </w:rPr>
        <w:t>（1）采用固定综合单价合同，综合单价中包括的风险范围：</w:t>
      </w:r>
      <w:r>
        <w:rPr>
          <w:rFonts w:hint="eastAsia" w:ascii="宋体" w:hAnsi="宋体" w:cs="宋体"/>
          <w:sz w:val="24"/>
          <w:u w:val="single"/>
        </w:rPr>
        <w:t>合同价款中包括的风险范围：人工费、材料费、机械费社会价格浮动，本合同第43条规定以外发生的自然灾害、停水、停电</w:t>
      </w:r>
      <w:r>
        <w:rPr>
          <w:rFonts w:hint="eastAsia" w:ascii="宋体" w:hAnsi="宋体" w:cs="宋体"/>
          <w:sz w:val="24"/>
          <w:szCs w:val="21"/>
          <w:u w:val="single"/>
        </w:rPr>
        <w:t>等引起的停窝工机械和人工费用</w:t>
      </w:r>
      <w:r>
        <w:rPr>
          <w:rFonts w:hint="eastAsia" w:ascii="宋体" w:hAnsi="宋体" w:cs="宋体"/>
          <w:sz w:val="24"/>
          <w:u w:val="single"/>
        </w:rPr>
        <w:t>。</w:t>
      </w:r>
    </w:p>
    <w:p>
      <w:pPr>
        <w:spacing w:line="360" w:lineRule="auto"/>
        <w:ind w:firstLine="410" w:firstLineChars="171"/>
        <w:rPr>
          <w:rFonts w:ascii="宋体" w:hAnsi="宋体" w:cs="宋体"/>
          <w:sz w:val="24"/>
          <w:szCs w:val="21"/>
          <w:u w:val="single"/>
        </w:rPr>
      </w:pPr>
      <w:r>
        <w:rPr>
          <w:rFonts w:hint="eastAsia" w:ascii="宋体" w:hAnsi="宋体" w:cs="宋体"/>
          <w:sz w:val="24"/>
        </w:rPr>
        <w:t xml:space="preserve"> </w:t>
      </w:r>
      <w:r>
        <w:rPr>
          <w:rFonts w:hint="eastAsia" w:ascii="宋体" w:hAnsi="宋体" w:cs="宋体"/>
          <w:sz w:val="24"/>
          <w:szCs w:val="21"/>
          <w:u w:val="single"/>
        </w:rPr>
        <w:t>法律、行政法规和国家有关政策变化影响合同价款时，双方协商解决。</w:t>
      </w:r>
    </w:p>
    <w:p>
      <w:pPr>
        <w:spacing w:line="360" w:lineRule="auto"/>
        <w:ind w:firstLine="360" w:firstLineChars="150"/>
        <w:rPr>
          <w:rFonts w:ascii="宋体" w:hAnsi="宋体" w:cs="宋体"/>
          <w:sz w:val="24"/>
          <w:szCs w:val="21"/>
        </w:rPr>
      </w:pPr>
      <w:r>
        <w:rPr>
          <w:rFonts w:hint="eastAsia" w:ascii="宋体" w:hAnsi="宋体" w:cs="宋体"/>
          <w:sz w:val="24"/>
          <w:szCs w:val="21"/>
        </w:rPr>
        <w:t>（2）主要材料发包人已认质认价。</w:t>
      </w:r>
    </w:p>
    <w:p>
      <w:pPr>
        <w:spacing w:line="360" w:lineRule="auto"/>
        <w:ind w:firstLine="361" w:firstLineChars="150"/>
        <w:rPr>
          <w:rFonts w:ascii="宋体" w:hAnsi="宋体" w:cs="宋体"/>
          <w:b/>
          <w:bCs/>
          <w:sz w:val="24"/>
          <w:szCs w:val="21"/>
        </w:rPr>
      </w:pPr>
      <w:r>
        <w:rPr>
          <w:rFonts w:hint="eastAsia" w:ascii="宋体" w:hAnsi="宋体" w:cs="宋体"/>
          <w:b/>
          <w:bCs/>
          <w:sz w:val="24"/>
          <w:szCs w:val="21"/>
        </w:rPr>
        <w:t>（3）不平衡报价：投标完成后，发包人将对承包人投标单价与拦标价对应项目进行核对，对投标单价与拦标价相差超过±15%的，将对投标单价进行修正。</w:t>
      </w:r>
    </w:p>
    <w:p>
      <w:pPr>
        <w:spacing w:line="360" w:lineRule="auto"/>
        <w:ind w:firstLine="482" w:firstLineChars="200"/>
        <w:rPr>
          <w:rFonts w:ascii="宋体" w:hAnsi="宋体" w:cs="宋体"/>
          <w:b/>
          <w:bCs/>
          <w:sz w:val="24"/>
          <w:szCs w:val="21"/>
        </w:rPr>
      </w:pPr>
      <w:r>
        <w:rPr>
          <w:rFonts w:hint="eastAsia" w:ascii="宋体" w:hAnsi="宋体" w:cs="宋体"/>
          <w:b/>
          <w:bCs/>
          <w:sz w:val="24"/>
          <w:szCs w:val="21"/>
        </w:rPr>
        <w:t>修正办法：将拦标价中综合单价按照成交价同比例下浮后做为对应项目综合单价，差价部分费用在措施费中调整，合同总价不变。</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27、合同价款调整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27.1双方约定合同价款的其他调整因素：</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kern w:val="0"/>
          <w:sz w:val="24"/>
          <w:u w:val="single"/>
        </w:rPr>
        <w:t>（1）除设计变更、现场签证情况外，分部分项工程量清单按国家有关规定调整。依据设计变更、现场签证、洽商文件、发包人认质认价单及承包人投标承诺执行本合同第35条。</w:t>
      </w:r>
    </w:p>
    <w:p>
      <w:pPr>
        <w:autoSpaceDE w:val="0"/>
        <w:autoSpaceDN w:val="0"/>
        <w:spacing w:line="440" w:lineRule="exact"/>
        <w:ind w:firstLine="480" w:firstLineChars="200"/>
        <w:rPr>
          <w:rFonts w:ascii="宋体" w:hAnsi="宋体" w:cs="宋体"/>
          <w:sz w:val="24"/>
          <w:szCs w:val="21"/>
          <w:u w:val="single"/>
        </w:rPr>
      </w:pPr>
      <w:r>
        <w:rPr>
          <w:rFonts w:hint="eastAsia" w:ascii="宋体" w:hAnsi="宋体" w:cs="宋体"/>
          <w:kern w:val="0"/>
          <w:sz w:val="24"/>
          <w:u w:val="single"/>
        </w:rPr>
        <w:t>（2）</w:t>
      </w:r>
      <w:r>
        <w:rPr>
          <w:rFonts w:hint="eastAsia" w:ascii="宋体" w:hAnsi="宋体" w:cs="宋体"/>
          <w:sz w:val="24"/>
          <w:szCs w:val="21"/>
          <w:u w:val="single"/>
        </w:rPr>
        <w:t xml:space="preserve">工程发生变更，若清单中已有适用于新工程量清单项目的价格，按已有价格结算；若清单中没有适用于新工程量清单项目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 </w:t>
      </w:r>
    </w:p>
    <w:p>
      <w:pPr>
        <w:autoSpaceDE w:val="0"/>
        <w:autoSpaceDN w:val="0"/>
        <w:spacing w:line="440" w:lineRule="exact"/>
        <w:ind w:firstLine="480" w:firstLineChars="200"/>
        <w:rPr>
          <w:rFonts w:ascii="宋体" w:hAnsi="宋体" w:cs="宋体"/>
          <w:kern w:val="0"/>
          <w:sz w:val="24"/>
          <w:u w:val="single"/>
        </w:rPr>
      </w:pPr>
      <w:r>
        <w:rPr>
          <w:rFonts w:hint="eastAsia" w:ascii="宋体" w:hAnsi="宋体" w:cs="宋体"/>
          <w:sz w:val="24"/>
          <w:szCs w:val="21"/>
          <w:u w:val="single"/>
        </w:rPr>
        <w:t>（3）</w:t>
      </w:r>
      <w:r>
        <w:rPr>
          <w:rFonts w:hint="eastAsia" w:ascii="宋体" w:hAnsi="宋体" w:cs="宋体"/>
          <w:kern w:val="0"/>
          <w:sz w:val="24"/>
          <w:u w:val="single"/>
        </w:rPr>
        <w:t>清单工程量中零工量实际发生时，按签证量为准，但零工投标单价不变。清单量若与实际量不符时，经工程师会同双方核实签认后，以签认量进行增减并按本条款第27.1条原则办理结算。</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（4）</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程工</w:t>
      </w:r>
      <w:r>
        <w:rPr>
          <w:rFonts w:hint="eastAsia" w:ascii="宋体" w:hAnsi="宋体" w:cs="宋体"/>
          <w:kern w:val="0"/>
          <w:sz w:val="24"/>
          <w:u w:val="single"/>
        </w:rPr>
        <w:t>程量计价规则》调整此部分措施。</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（5）</w:t>
      </w:r>
      <w:r>
        <w:rPr>
          <w:rFonts w:hint="eastAsia" w:ascii="宋体" w:hAnsi="宋体" w:cs="宋体"/>
          <w:sz w:val="24"/>
          <w:u w:val="single"/>
        </w:rPr>
        <w:t>因甲方设计变更应依照招标文件、答疑纪要、设计变更、现场签证、洽商文件、发包人认质认价单、及承包人成交下浮比例进行调整。合同价款（成交价）及因承包人漏报的项目不予调整。</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28、工程预付款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发包人向承包人预付工程款的时间和金额或占合同价款总额的比例：</w:t>
      </w:r>
      <w:r>
        <w:rPr>
          <w:rFonts w:hint="eastAsia" w:ascii="宋体" w:hAnsi="宋体" w:cs="宋体"/>
          <w:sz w:val="24"/>
          <w:u w:val="single"/>
        </w:rPr>
        <w:t>本工程无预付款。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29.1承包人向工程师提交已完工程量报告的时间：</w:t>
      </w:r>
      <w:r>
        <w:rPr>
          <w:rFonts w:hint="eastAsia" w:ascii="宋体" w:hAnsi="宋体" w:cs="宋体"/>
          <w:kern w:val="0"/>
          <w:sz w:val="24"/>
          <w:u w:val="single"/>
        </w:rPr>
        <w:t>每月25日</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30、工程进度款结算与支付</w:t>
      </w:r>
    </w:p>
    <w:p>
      <w:pPr>
        <w:widowControl/>
        <w:spacing w:line="360" w:lineRule="auto"/>
        <w:ind w:firstLine="480" w:firstLineChars="200"/>
        <w:rPr>
          <w:rFonts w:ascii="宋体" w:hAnsi="宋体" w:cs="宋体"/>
          <w:color w:val="FF0000"/>
          <w:kern w:val="0"/>
          <w:sz w:val="24"/>
          <w:u w:val="single"/>
        </w:rPr>
      </w:pPr>
      <w:r>
        <w:rPr>
          <w:rFonts w:hint="eastAsia" w:ascii="宋体" w:hAnsi="宋体" w:cs="宋体"/>
          <w:sz w:val="24"/>
          <w:u w:val="single"/>
        </w:rPr>
        <w:t>工程付款采取进度付款的形式，项目施工完毕并经竣工验收合格后30天内，乙方持《竣工验收报告》原件在甲方处办理至百分之七十（70%）工程款的支付手续，待审计结束后支付剩余款项（扣除3%质保金，待合同签订质保期过后30日内无任何工程质量及纠纷办理支付手续）。</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七、材料设备供应</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31、发包人供应材料设备</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31.4发包人供应的材料设备与一览表不符时，双方约定发包人承担责任如下：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（1）材料设备单价与一览表不符：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执行《通用条款》31.4.（1）款。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（2）材料设备的品种、规格、型号、质量等级与一览表不符：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执行《通用条款》31.4（2）款。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（3）承包人可代为调剂串换的材料：</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执行《通用条款》31.4（3）款。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（4）到货地点与一览表不符：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执行《通用条款》31.4（4）款。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（5）供应数量与一览表不符：</w:t>
      </w:r>
    </w:p>
    <w:p>
      <w:pPr>
        <w:widowControl/>
        <w:spacing w:line="360" w:lineRule="auto"/>
        <w:ind w:firstLine="240" w:firstLineChars="100"/>
        <w:rPr>
          <w:rFonts w:ascii="宋体" w:hAnsi="宋体" w:cs="宋体"/>
          <w:kern w:val="0"/>
          <w:sz w:val="24"/>
        </w:rPr>
      </w:pPr>
      <w:r>
        <w:rPr>
          <w:rFonts w:hint="eastAsia" w:ascii="宋体" w:hAnsi="宋体" w:cs="宋体"/>
          <w:sz w:val="24"/>
          <w:u w:val="single"/>
        </w:rPr>
        <w:t>执行《通用条款》31.4（5）款。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（6）到货时间与一览表不符：</w:t>
      </w:r>
    </w:p>
    <w:p>
      <w:pPr>
        <w:widowControl/>
        <w:spacing w:line="360" w:lineRule="auto"/>
        <w:ind w:firstLine="360" w:firstLineChars="150"/>
        <w:rPr>
          <w:rFonts w:ascii="宋体" w:hAnsi="宋体" w:cs="宋体"/>
          <w:kern w:val="0"/>
          <w:sz w:val="24"/>
        </w:rPr>
      </w:pPr>
      <w:r>
        <w:rPr>
          <w:rFonts w:hint="eastAsia" w:ascii="宋体" w:hAnsi="宋体" w:cs="宋体"/>
          <w:sz w:val="24"/>
          <w:u w:val="single"/>
        </w:rPr>
        <w:t>执行《通用条款》31.4（6）款。</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31.6发包人供应材料设备的结算方法：</w:t>
      </w:r>
    </w:p>
    <w:p>
      <w:pPr>
        <w:widowControl/>
        <w:spacing w:line="360" w:lineRule="auto"/>
        <w:rPr>
          <w:rFonts w:ascii="宋体" w:hAnsi="宋体" w:cs="宋体"/>
          <w:kern w:val="0"/>
          <w:sz w:val="24"/>
        </w:rPr>
      </w:pPr>
      <w:r>
        <w:rPr>
          <w:rFonts w:hint="eastAsia" w:ascii="宋体" w:hAnsi="宋体" w:cs="宋体"/>
          <w:kern w:val="0"/>
          <w:sz w:val="24"/>
        </w:rPr>
        <w:t>___</w:t>
      </w:r>
      <w:r>
        <w:rPr>
          <w:rFonts w:hint="eastAsia" w:ascii="宋体" w:hAnsi="宋体" w:cs="宋体"/>
          <w:sz w:val="24"/>
          <w:u w:val="single"/>
        </w:rPr>
        <w:t>发包人按甲供材料表供应材料设备，并对所供材料设备的质量负责，按指定价从发包人的合同价中扣除。</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32、承包人采购材料设备</w:t>
      </w:r>
    </w:p>
    <w:p>
      <w:pPr>
        <w:spacing w:line="360" w:lineRule="auto"/>
        <w:ind w:firstLine="480" w:firstLineChars="200"/>
        <w:rPr>
          <w:rFonts w:ascii="宋体" w:hAnsi="宋体" w:cs="宋体"/>
          <w:spacing w:val="-6"/>
          <w:sz w:val="24"/>
          <w:szCs w:val="21"/>
          <w:u w:val="single"/>
        </w:rPr>
      </w:pPr>
      <w:r>
        <w:rPr>
          <w:rFonts w:hint="eastAsia" w:ascii="宋体" w:hAnsi="宋体" w:cs="宋体"/>
          <w:kern w:val="0"/>
          <w:sz w:val="24"/>
        </w:rPr>
        <w:t>32.1承包人采购材料设备的约定：</w:t>
      </w:r>
      <w:r>
        <w:rPr>
          <w:rFonts w:hint="eastAsia" w:ascii="宋体" w:hAnsi="宋体" w:cs="宋体"/>
          <w:spacing w:val="-6"/>
          <w:sz w:val="24"/>
          <w:szCs w:val="21"/>
          <w:u w:val="single"/>
        </w:rPr>
        <w:t>⑴发包人暂定价材料由承包人根据施工进度并充分考虑材料设备采购时间，提前60天向发包人提交材料设备供应计划，并写清材料、设备进场时间。若因此造成承包人停工待料等问题，概由承包人负责。（承包方提前60天申报所需要确定的材料设备计划，发包人提前一周认质认价或督促设备到位）。</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⑵认质认价材料、设备结算方法：</w:t>
      </w:r>
      <w:r>
        <w:rPr>
          <w:rFonts w:hint="eastAsia" w:ascii="宋体" w:hAnsi="宋体" w:cs="宋体"/>
          <w:b/>
          <w:spacing w:val="-6"/>
          <w:sz w:val="24"/>
          <w:szCs w:val="21"/>
          <w:u w:val="single"/>
        </w:rPr>
        <w:t>发包人招标时暂定价的主要材料设备仅为材料设备本身价格，承包人在投标报价组价时自行考虑其损耗、加工、制作、运输、安装、二次搬迁、收口收边、成活、税金、利润等其它因素所产生的费用，暂定价材料设备须经发包人认质认价确定后进货和使用。</w:t>
      </w:r>
      <w:r>
        <w:rPr>
          <w:rFonts w:hint="eastAsia" w:ascii="宋体" w:hAnsi="宋体" w:cs="宋体"/>
          <w:spacing w:val="-6"/>
          <w:sz w:val="24"/>
          <w:szCs w:val="21"/>
          <w:u w:val="single"/>
        </w:rPr>
        <w:t xml:space="preserve">材料设备的认质认价若与暂定价不一致时按材料差价计入结算总价，不再计取或调整投标报价中的其他费用，（差价只计税金，其余费用不计）。 </w:t>
      </w:r>
    </w:p>
    <w:p>
      <w:pPr>
        <w:spacing w:line="360" w:lineRule="auto"/>
        <w:ind w:firstLine="474" w:firstLineChars="208"/>
        <w:rPr>
          <w:rFonts w:ascii="宋体" w:hAnsi="宋体" w:cs="宋体"/>
          <w:spacing w:val="-6"/>
          <w:sz w:val="24"/>
          <w:szCs w:val="21"/>
          <w:u w:val="single"/>
        </w:rPr>
      </w:pPr>
      <w:r>
        <w:rPr>
          <w:rFonts w:hint="eastAsia" w:ascii="宋体" w:hAnsi="宋体" w:cs="宋体"/>
          <w:spacing w:val="-6"/>
          <w:sz w:val="24"/>
          <w:szCs w:val="21"/>
          <w:u w:val="single"/>
        </w:rPr>
        <w:t>⑶承包人采购的材料、设备均应满足设计和规范及发包人要求品牌和质量等级，并须向发包人和监理提供产品合格证和检验资料，待发包人、监理同意后采购进场，否则按不合格品处理，并拒绝支付该项费用。材料设备进场后立即向监理和发包人报验，否则发包人有权要求承包人无条件退货。因材料质量引起工程质量问题由承包人承担所造成的一切损失。如发包人或监理对该部分材料的质量有异议，有权提出停止使用或再次取样复试的要求，若若异议属实，由此发生的一切费用由承包人承担。国家规定的常规材料检验、随机抽检、见证取样检验、监理抽检和强制检验材料的检验费由承包人负责。</w:t>
      </w:r>
    </w:p>
    <w:p>
      <w:pPr>
        <w:spacing w:line="360" w:lineRule="auto"/>
        <w:ind w:firstLine="474" w:firstLineChars="208"/>
        <w:rPr>
          <w:rFonts w:ascii="宋体" w:hAnsi="宋体" w:cs="宋体"/>
          <w:kern w:val="0"/>
          <w:sz w:val="24"/>
        </w:rPr>
      </w:pPr>
      <w:r>
        <w:rPr>
          <w:rFonts w:hint="eastAsia" w:ascii="宋体" w:hAnsi="宋体" w:cs="宋体"/>
          <w:spacing w:val="-6"/>
          <w:sz w:val="24"/>
          <w:szCs w:val="21"/>
          <w:u w:val="single"/>
        </w:rPr>
        <w:t>⑷</w:t>
      </w:r>
      <w:r>
        <w:rPr>
          <w:rFonts w:hint="eastAsia" w:ascii="宋体" w:hAnsi="宋体" w:cs="宋体"/>
          <w:b/>
          <w:spacing w:val="-6"/>
          <w:sz w:val="24"/>
          <w:szCs w:val="21"/>
          <w:u w:val="single"/>
        </w:rPr>
        <w:t>本工程所用材料品牌均为中档次以上产品。</w:t>
      </w:r>
      <w:r>
        <w:rPr>
          <w:rFonts w:hint="eastAsia" w:ascii="宋体" w:hAnsi="宋体" w:cs="宋体"/>
          <w:spacing w:val="-6"/>
          <w:sz w:val="24"/>
          <w:szCs w:val="21"/>
          <w:u w:val="single"/>
        </w:rPr>
        <w:t xml:space="preserve">除暂定价材料设备外，所有用于本工程的材料、设备或发包人有特别要求的材料、设备，承包人须事先向发包人及监理提供不少于三家的同档次产品资料及样品，同样发包人也可以提供资料及样品。经发包人考察筛选确定后再采购，使用或安装之前仍需履行必要的检验、检测程序。 </w:t>
      </w:r>
    </w:p>
    <w:p>
      <w:pPr>
        <w:widowControl/>
        <w:spacing w:line="360" w:lineRule="auto"/>
        <w:ind w:firstLine="480"/>
        <w:rPr>
          <w:rFonts w:ascii="宋体" w:hAnsi="宋体" w:cs="宋体"/>
          <w:b/>
          <w:kern w:val="0"/>
          <w:sz w:val="24"/>
        </w:rPr>
      </w:pPr>
      <w:r>
        <w:rPr>
          <w:rFonts w:hint="eastAsia" w:ascii="宋体" w:hAnsi="宋体" w:cs="宋体"/>
          <w:b/>
          <w:kern w:val="0"/>
          <w:sz w:val="24"/>
        </w:rPr>
        <w:t>八、工程变更</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33.1图纸变更项目发生时，工程量以实际签证量为准。变更合同价款按下列方法进行：合同中已有适用于变更工程的价格，按相应项目合同已确认的综合单价办理结算；合同中只有类似于变更工程的价格，只调整相应的主材费，主材单价按响应文件主材价格计算，若响应文件中无主材单价时，由发承包双方共同认质认价，主材差价只计取税金，其余费用不计；合同中没有适用或类似于工程变更的价格，按照承包人、监理和发包人共同确认的施工方案，依照招标文件、答疑纪要、设计变更、现场签证、洽商文件等执行陕西省建设工程现行计价文件，以招标上限控制价模式进行组价，然后按照承包人成交价同招标上限控制价下浮比例进行调整后作为新工程量清单项目确定的结算单价。</w:t>
      </w:r>
      <w:r>
        <w:rPr>
          <w:rFonts w:hint="eastAsia" w:ascii="宋体" w:hAnsi="宋体" w:cs="宋体"/>
          <w:sz w:val="24"/>
          <w:u w:val="single"/>
        </w:rPr>
        <w:t>承包人成交的措施项目费为合同价款的组成部分，一般不作调整。由于</w:t>
      </w:r>
      <w:r>
        <w:rPr>
          <w:rFonts w:hint="eastAsia" w:ascii="宋体" w:hAnsi="宋体" w:cs="宋体"/>
          <w:kern w:val="0"/>
          <w:sz w:val="24"/>
          <w:u w:val="single"/>
        </w:rPr>
        <w:t>工程量清单中的工程量误差及设计变更（或现场签证）引起工程量的增减部分，其分部分项工程费在合同价款0~20%之间原合同措施项目费不予调整，在此范围以外按照2009《陕西省建设工</w:t>
      </w:r>
      <w:r>
        <w:rPr>
          <w:rFonts w:hint="eastAsia" w:ascii="宋体" w:hAnsi="宋体" w:cs="宋体"/>
          <w:kern w:val="0"/>
          <w:sz w:val="24"/>
          <w:u w:val="single"/>
          <w:lang w:eastAsia="zh-CN"/>
        </w:rPr>
        <w:t>程工</w:t>
      </w:r>
      <w:r>
        <w:rPr>
          <w:rFonts w:hint="eastAsia" w:ascii="宋体" w:hAnsi="宋体" w:cs="宋体"/>
          <w:kern w:val="0"/>
          <w:sz w:val="24"/>
          <w:u w:val="single"/>
        </w:rPr>
        <w:t>程量计价规则》调整此部分措施。</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设计变更和现场签证的工程量在进度款中暂不予计算和支付，统一在竣工结算时计算并进入总造价。其余情况执行《通用条款》第八条有关条款。</w:t>
      </w:r>
    </w:p>
    <w:p>
      <w:pPr>
        <w:spacing w:line="360" w:lineRule="auto"/>
        <w:rPr>
          <w:rFonts w:ascii="宋体" w:hAnsi="宋体" w:cs="宋体"/>
          <w:sz w:val="24"/>
          <w:szCs w:val="21"/>
          <w:u w:val="single"/>
        </w:rPr>
      </w:pPr>
      <w:r>
        <w:rPr>
          <w:rFonts w:hint="eastAsia" w:ascii="宋体" w:hAnsi="宋体" w:cs="宋体"/>
          <w:sz w:val="24"/>
          <w:szCs w:val="21"/>
        </w:rPr>
        <w:t>　　</w:t>
      </w:r>
      <w:r>
        <w:rPr>
          <w:rFonts w:hint="eastAsia" w:ascii="宋体" w:hAnsi="宋体" w:cs="宋体"/>
          <w:sz w:val="24"/>
          <w:szCs w:val="21"/>
          <w:u w:val="single"/>
        </w:rPr>
        <w:t>33.2承包人在施工中对设计原因造成的变更，应在未施工该分项工程前10天报告发包人代表人和监理工程师，办理设计变更，否则因此造成的一切损失均由承包人承担，延误工期不予顺延。</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33.3施工图以外未列项目的零星工程发生时，工程量以实际签证为准，若所用材料为少量，且未认质认价，材料价及零工费用以签证中各方明确的单价为准。签证应于零星工程发生14日内完成，否则视为无效签证。</w:t>
      </w:r>
    </w:p>
    <w:p>
      <w:pPr>
        <w:spacing w:line="360" w:lineRule="auto"/>
        <w:ind w:firstLine="499" w:firstLineChars="208"/>
        <w:rPr>
          <w:rFonts w:ascii="宋体" w:hAnsi="宋体" w:cs="宋体"/>
          <w:sz w:val="24"/>
          <w:szCs w:val="21"/>
          <w:u w:val="single"/>
        </w:rPr>
      </w:pPr>
      <w:r>
        <w:rPr>
          <w:rFonts w:hint="eastAsia" w:ascii="宋体" w:hAnsi="宋体" w:cs="宋体"/>
          <w:sz w:val="24"/>
          <w:szCs w:val="21"/>
          <w:u w:val="single"/>
        </w:rPr>
        <w:t>33.4承包人不得对原工程设计进行变更。因承包人擅自变更设计发生的费用和由此导致发包人蒙受的损失由承包人承担，延误的工期不予顺延。因承包人自身原因导致的工程变更，承包人无权要求追加合同价款。</w:t>
      </w:r>
    </w:p>
    <w:p>
      <w:pPr>
        <w:spacing w:line="360" w:lineRule="auto"/>
        <w:ind w:firstLine="499" w:firstLineChars="208"/>
        <w:rPr>
          <w:rFonts w:ascii="宋体" w:hAnsi="宋体" w:cs="宋体"/>
          <w:bCs/>
          <w:sz w:val="24"/>
          <w:szCs w:val="21"/>
          <w:u w:val="single"/>
        </w:rPr>
      </w:pPr>
      <w:r>
        <w:rPr>
          <w:rFonts w:hint="eastAsia" w:ascii="宋体" w:hAnsi="宋体" w:cs="宋体"/>
          <w:sz w:val="24"/>
          <w:szCs w:val="21"/>
          <w:u w:val="single"/>
        </w:rPr>
        <w:t>33.5变更签证的确认程序：根据监理单位及发包人确认的变更签证，由三方现场实际核</w:t>
      </w:r>
      <w:r>
        <w:rPr>
          <w:rFonts w:hint="eastAsia" w:ascii="宋体" w:hAnsi="宋体" w:cs="宋体"/>
          <w:bCs/>
          <w:sz w:val="24"/>
          <w:szCs w:val="21"/>
          <w:u w:val="single"/>
        </w:rPr>
        <w:t>对实际完成的工作内容并进行签认。变更签证必须有发包人现场负责人、总监和承包人项目经理的签字并加盖公章后方可生效。</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九、竣工验收与结算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36、竣工验收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36.1承包人提供竣工图的约定：</w:t>
      </w:r>
    </w:p>
    <w:p>
      <w:pPr>
        <w:widowControl/>
        <w:spacing w:line="360" w:lineRule="auto"/>
        <w:rPr>
          <w:rFonts w:ascii="宋体" w:hAnsi="宋体" w:cs="宋体"/>
          <w:kern w:val="0"/>
          <w:sz w:val="24"/>
        </w:rPr>
      </w:pPr>
      <w:r>
        <w:rPr>
          <w:rFonts w:hint="eastAsia" w:ascii="宋体" w:hAnsi="宋体" w:cs="宋体"/>
          <w:kern w:val="0"/>
          <w:sz w:val="24"/>
          <w:u w:val="single"/>
        </w:rPr>
        <w:t xml:space="preserve">竣工验收后一个月内，交竣工图及资料文件肆套。 </w:t>
      </w:r>
    </w:p>
    <w:p>
      <w:pPr>
        <w:widowControl/>
        <w:spacing w:line="360" w:lineRule="auto"/>
        <w:ind w:firstLine="400" w:firstLineChars="20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5080</wp:posOffset>
                </wp:positionV>
                <wp:extent cx="685800" cy="99060"/>
                <wp:effectExtent l="635" t="4445" r="18415" b="10795"/>
                <wp:wrapNone/>
                <wp:docPr id="3" name="直线 24"/>
                <wp:cNvGraphicFramePr/>
                <a:graphic xmlns:a="http://schemas.openxmlformats.org/drawingml/2006/main">
                  <a:graphicData uri="http://schemas.microsoft.com/office/word/2010/wordprocessingShape">
                    <wps:wsp>
                      <wps:cNvCnPr/>
                      <wps:spPr>
                        <a:xfrm flipV="1">
                          <a:off x="0" y="0"/>
                          <a:ext cx="6858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4" o:spid="_x0000_s1026" o:spt="20" style="position:absolute;left:0pt;flip:y;margin-left:234pt;margin-top:0.4pt;height:7.8pt;width:54pt;z-index:251661312;mso-width-relative:page;mso-height-relative:page;" filled="f" stroked="t" coordsize="21600,21600" o:gfxdata="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08IhX1QAAAAcBAAAPAAAAAAAAAAEAIAAAACIAAABkcnMvZG93bnJldi54bWxQSwECFAAUAAAA&#10;CACHTuJAVjD+pPEBAADrAwAADgAAAAAAAAABACAAAAAkAQAAZHJzL2Uyb0RvYy54bWxQSwUGAAAA&#10;AAYABgBZAQAAhwUAAAAA&#10;">
                <v:fill on="f" focussize="0,0"/>
                <v:stroke color="#000000" joinstyle="round"/>
                <v:imagedata o:title=""/>
                <o:lock v:ext="edit" aspectratio="f"/>
              </v:line>
            </w:pict>
          </mc:Fallback>
        </mc:AlternateContent>
      </w:r>
      <w:r>
        <w:rPr>
          <w:rFonts w:hint="eastAsia" w:ascii="宋体" w:hAnsi="宋体" w:cs="宋体"/>
          <w:kern w:val="0"/>
          <w:sz w:val="24"/>
        </w:rPr>
        <w:t>36.2中间交工工程的范围和竣工时间：____________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37、竣工结算</w:t>
      </w:r>
    </w:p>
    <w:p>
      <w:pPr>
        <w:widowControl/>
        <w:spacing w:line="360" w:lineRule="auto"/>
        <w:ind w:firstLine="480" w:firstLineChars="200"/>
        <w:rPr>
          <w:rFonts w:ascii="宋体" w:hAnsi="宋体" w:cs="宋体"/>
          <w:kern w:val="0"/>
          <w:sz w:val="24"/>
        </w:rPr>
      </w:pPr>
      <w:r>
        <w:rPr>
          <w:rFonts w:hint="eastAsia" w:ascii="宋体" w:hAnsi="宋体" w:cs="宋体"/>
          <w:kern w:val="0"/>
          <w:sz w:val="24"/>
        </w:rPr>
        <w:t>结算审查期限：</w:t>
      </w:r>
      <w:r>
        <w:rPr>
          <w:rFonts w:hint="eastAsia" w:ascii="宋体" w:hAnsi="宋体" w:cs="宋体"/>
          <w:kern w:val="0"/>
          <w:sz w:val="24"/>
          <w:u w:val="single"/>
        </w:rPr>
        <w:t xml:space="preserve"> </w:t>
      </w:r>
      <w:r>
        <w:rPr>
          <w:rFonts w:hint="eastAsia" w:ascii="宋体" w:hAnsi="宋体" w:cs="宋体"/>
          <w:sz w:val="24"/>
          <w:u w:val="single"/>
        </w:rPr>
        <w:t>竣工结算经发包方委托审价机构审定后，待甲方资金到位后60日内一次付清除预留审定造价3%保修金外的全部工程尾款。</w:t>
      </w:r>
      <w:r>
        <w:rPr>
          <w:rFonts w:hint="eastAsia" w:ascii="宋体" w:hAnsi="宋体" w:cs="宋体"/>
          <w:kern w:val="0"/>
          <w:sz w:val="24"/>
          <w:u w:val="single"/>
        </w:rPr>
        <w:t xml:space="preserve"> </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十、违约、索赔和争议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39、违约</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39.1本合同中关于发包人违约的具体责任如下：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本合同通用条款第28.1条约定发包人违约应承担的违约责任：_</w:t>
      </w:r>
      <w:r>
        <w:rPr>
          <w:rFonts w:hint="eastAsia" w:ascii="宋体" w:hAnsi="宋体" w:cs="宋体"/>
          <w:sz w:val="24"/>
          <w:u w:val="single"/>
        </w:rPr>
        <w:t>参照《通用条款》第39条款。</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w:t>本合同通用条款第30.5款约定发包人违约应承担的违约责任：</w:t>
      </w:r>
      <w:r>
        <w:rPr>
          <w:rFonts w:hint="eastAsia" w:ascii="宋体" w:hAnsi="宋体" w:cs="宋体"/>
          <w:sz w:val="24"/>
          <w:u w:val="single"/>
        </w:rPr>
        <w:t>《通用条款》</w:t>
      </w:r>
      <w:r>
        <w:rPr>
          <w:rFonts w:hint="eastAsia" w:ascii="宋体" w:hAnsi="宋体" w:cs="宋体"/>
          <w:kern w:val="0"/>
          <w:sz w:val="24"/>
          <w:u w:val="single"/>
        </w:rPr>
        <w:t>30.5</w:t>
      </w:r>
      <w:r>
        <w:rPr>
          <w:rFonts w:hint="eastAsia" w:ascii="宋体" w:hAnsi="宋体" w:cs="宋体"/>
          <w:sz w:val="24"/>
          <w:u w:val="single"/>
        </w:rPr>
        <w:t>条改为：由于</w:t>
      </w:r>
      <w:r>
        <w:rPr>
          <w:rFonts w:hint="eastAsia" w:ascii="宋体" w:hAnsi="宋体" w:cs="宋体"/>
          <w:kern w:val="0"/>
          <w:sz w:val="24"/>
          <w:u w:val="single"/>
        </w:rPr>
        <w:t>发包人资金原因未按合同约定支付工程进度款，</w:t>
      </w:r>
      <w:r>
        <w:rPr>
          <w:rFonts w:hint="eastAsia" w:ascii="宋体" w:hAnsi="宋体" w:cs="宋体"/>
          <w:sz w:val="24"/>
          <w:u w:val="single"/>
        </w:rPr>
        <w:t>承包人不追究发包人违约责任。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本合同通用条款第37.6款约定发包人违约应承担的违约责任：__</w:t>
      </w:r>
      <w:r>
        <w:rPr>
          <w:rFonts w:hint="eastAsia" w:ascii="宋体" w:hAnsi="宋体" w:cs="宋体"/>
          <w:sz w:val="24"/>
          <w:u w:val="single"/>
        </w:rPr>
        <w:t>《通用条款》37.6条改为：竣工结算经有资质的审价机构核定后，支付除3%的保修金外的余款。</w:t>
      </w:r>
      <w:r>
        <w:rPr>
          <w:rFonts w:hint="eastAsia" w:ascii="宋体" w:hAnsi="宋体" w:cs="宋体"/>
          <w:kern w:val="0"/>
          <w:sz w:val="24"/>
        </w:rPr>
        <w:t>_</w:t>
      </w:r>
    </w:p>
    <w:p>
      <w:pPr>
        <w:widowControl/>
        <w:spacing w:line="360" w:lineRule="auto"/>
        <w:ind w:firstLine="480" w:firstLineChars="240"/>
        <w:rPr>
          <w:rFonts w:ascii="宋体" w:hAnsi="宋体" w:cs="宋体"/>
          <w:kern w:val="0"/>
          <w:sz w:val="24"/>
        </w:rPr>
      </w:pPr>
      <w:r>
        <w:rPr>
          <w:rFonts w:hint="eastAsia" w:ascii="宋体" w:hAnsi="宋体" w:cs="宋体"/>
          <w:kern w:val="0"/>
          <w:sz w:val="20"/>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55245</wp:posOffset>
                </wp:positionV>
                <wp:extent cx="800100" cy="99060"/>
                <wp:effectExtent l="635" t="4445" r="18415" b="10795"/>
                <wp:wrapNone/>
                <wp:docPr id="4" name="直线 25"/>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5" o:spid="_x0000_s1026" o:spt="20" style="position:absolute;left:0pt;flip:y;margin-left:225pt;margin-top:4.35pt;height:7.8pt;width:63pt;z-index:251662336;mso-width-relative:page;mso-height-relative:page;" filled="f" stroked="t" coordsize="21600,21600" o:gfxdata="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yg9lF9YAAAAIAQAADwAAAAAAAAABACAAAAAiAAAAZHJzL2Rvd25yZXYueG1sUEsBAhQAFAAAAAgA&#10;h07iQEUHL1buAQAA6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kern w:val="0"/>
          <w:sz w:val="24"/>
        </w:rPr>
        <w:t>双方约定的发包人其他违约责任：________________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39.2本合同中关于承包人违约的具体责任如下：</w:t>
      </w:r>
      <w:r>
        <w:rPr>
          <w:rFonts w:hint="eastAsia" w:ascii="宋体" w:hAnsi="宋体" w:cs="宋体"/>
          <w:kern w:val="0"/>
          <w:sz w:val="24"/>
          <w:u w:val="single"/>
        </w:rPr>
        <w:t>因乙方原因造成的工期、质量、安全、其它承诺条件达不到合同约定的标准时造成的违约，除扣履约保证金外，并保留追究由此给甲方带来的直接和间接损失的权利。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双方约定的承包人其他违约责任：</w:t>
      </w:r>
      <w:r>
        <w:rPr>
          <w:rFonts w:hint="eastAsia" w:ascii="宋体" w:hAnsi="宋体" w:cs="宋体"/>
          <w:sz w:val="24"/>
          <w:u w:val="single"/>
        </w:rPr>
        <w:t>如果通过竣工验收一个月后，承包人不能提供完成的竣工结算资料，每推迟一天罚2000元，累计推迟超过14天时，取消承包方下次投标资格。</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41、争议</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41.1双方当事人约定，在履行合同过程中产生争议时：</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（1）请</w:t>
      </w:r>
      <w:r>
        <w:rPr>
          <w:rFonts w:hint="eastAsia" w:ascii="宋体" w:hAnsi="宋体" w:cs="宋体"/>
          <w:sz w:val="24"/>
          <w:u w:val="single"/>
        </w:rPr>
        <w:t>合同主管部门和造价主管部门</w:t>
      </w:r>
      <w:r>
        <w:rPr>
          <w:rFonts w:hint="eastAsia" w:ascii="宋体" w:hAnsi="宋体" w:cs="宋体"/>
          <w:kern w:val="0"/>
          <w:sz w:val="24"/>
        </w:rPr>
        <w:t>_调解；</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（2）合同争议调解不成的，按下列第</w:t>
      </w:r>
      <w:r>
        <w:rPr>
          <w:rFonts w:hint="eastAsia" w:ascii="宋体" w:hAnsi="宋体" w:cs="宋体"/>
          <w:kern w:val="0"/>
          <w:sz w:val="24"/>
          <w:u w:val="single"/>
        </w:rPr>
        <w:t>　一　</w:t>
      </w:r>
      <w:r>
        <w:rPr>
          <w:rFonts w:hint="eastAsia" w:ascii="宋体" w:hAnsi="宋体" w:cs="宋体"/>
          <w:kern w:val="0"/>
          <w:sz w:val="24"/>
        </w:rPr>
        <w:t>种方式解决：</w:t>
      </w:r>
    </w:p>
    <w:p>
      <w:pPr>
        <w:widowControl/>
        <w:spacing w:line="360" w:lineRule="auto"/>
        <w:ind w:firstLine="720" w:firstLineChars="300"/>
        <w:rPr>
          <w:rFonts w:ascii="宋体" w:hAnsi="宋体" w:cs="宋体"/>
          <w:kern w:val="0"/>
          <w:sz w:val="24"/>
        </w:rPr>
      </w:pPr>
      <w:r>
        <w:rPr>
          <w:rFonts w:hint="eastAsia" w:ascii="宋体" w:hAnsi="宋体" w:cs="宋体"/>
          <w:kern w:val="0"/>
          <w:sz w:val="24"/>
        </w:rPr>
        <w:t>1）提交</w:t>
      </w:r>
      <w:r>
        <w:rPr>
          <w:rFonts w:hint="eastAsia" w:ascii="宋体" w:hAnsi="宋体" w:cs="宋体"/>
          <w:kern w:val="0"/>
          <w:sz w:val="24"/>
          <w:u w:val="single"/>
        </w:rPr>
        <w:t>西安市仲裁</w:t>
      </w:r>
      <w:r>
        <w:rPr>
          <w:rFonts w:hint="eastAsia" w:ascii="宋体" w:hAnsi="宋体" w:cs="宋体"/>
          <w:kern w:val="0"/>
          <w:sz w:val="24"/>
        </w:rPr>
        <w:t>委员会申请仲裁；</w:t>
      </w:r>
    </w:p>
    <w:p>
      <w:pPr>
        <w:widowControl/>
        <w:spacing w:line="360" w:lineRule="auto"/>
        <w:ind w:firstLine="720" w:firstLineChars="300"/>
        <w:rPr>
          <w:rFonts w:ascii="宋体" w:hAnsi="宋体" w:cs="宋体"/>
          <w:kern w:val="0"/>
          <w:sz w:val="24"/>
        </w:rPr>
      </w:pPr>
      <w:r>
        <w:rPr>
          <w:rFonts w:hint="eastAsia" w:ascii="宋体" w:hAnsi="宋体" w:cs="宋体"/>
          <w:kern w:val="0"/>
          <w:sz w:val="24"/>
        </w:rPr>
        <w:t>2）依法向</w:t>
      </w:r>
      <w:r>
        <w:rPr>
          <w:rFonts w:hint="eastAsia" w:ascii="宋体" w:hAnsi="宋体" w:cs="宋体"/>
          <w:kern w:val="0"/>
          <w:sz w:val="24"/>
          <w:u w:val="single"/>
        </w:rPr>
        <w:t>具有管辖权的</w:t>
      </w:r>
      <w:r>
        <w:rPr>
          <w:rFonts w:hint="eastAsia" w:ascii="宋体" w:hAnsi="宋体" w:cs="宋体"/>
          <w:kern w:val="0"/>
          <w:sz w:val="24"/>
        </w:rPr>
        <w:t>人民法院提起诉讼。</w:t>
      </w:r>
    </w:p>
    <w:p>
      <w:pPr>
        <w:widowControl/>
        <w:spacing w:line="360" w:lineRule="auto"/>
        <w:ind w:firstLine="482" w:firstLineChars="200"/>
        <w:rPr>
          <w:rFonts w:ascii="宋体" w:hAnsi="宋体" w:cs="宋体"/>
          <w:b/>
          <w:kern w:val="0"/>
          <w:sz w:val="24"/>
        </w:rPr>
      </w:pPr>
      <w:r>
        <w:rPr>
          <w:rFonts w:hint="eastAsia" w:ascii="宋体" w:hAnsi="宋体" w:cs="宋体"/>
          <w:b/>
          <w:kern w:val="0"/>
          <w:sz w:val="24"/>
        </w:rPr>
        <w:t>十一、其他</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42、工程分包</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42.1本工程发包人同意承包人分包的专业工程：</w:t>
      </w:r>
      <w:r>
        <w:rPr>
          <w:rFonts w:hint="eastAsia" w:ascii="宋体" w:hAnsi="宋体" w:cs="宋体"/>
          <w:kern w:val="0"/>
          <w:sz w:val="24"/>
          <w:u w:val="single"/>
        </w:rPr>
        <w:t xml:space="preserve">           </w:t>
      </w:r>
    </w:p>
    <w:p>
      <w:pPr>
        <w:widowControl/>
        <w:spacing w:line="360" w:lineRule="auto"/>
        <w:rPr>
          <w:rFonts w:ascii="宋体" w:hAnsi="宋体" w:cs="宋体"/>
          <w:kern w:val="0"/>
          <w:sz w:val="24"/>
        </w:rPr>
      </w:pPr>
      <w:r>
        <w:rPr>
          <w:rFonts w:hint="eastAsia" w:ascii="宋体" w:hAnsi="宋体" w:cs="宋体"/>
          <w:kern w:val="0"/>
          <w:sz w:val="24"/>
        </w:rPr>
        <w:t>分包施工单位为：_________________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43、不可抗力</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43.1双方关于不可抗力的约定：</w:t>
      </w:r>
    </w:p>
    <w:p>
      <w:pPr>
        <w:widowControl/>
        <w:spacing w:line="360" w:lineRule="auto"/>
        <w:rPr>
          <w:rFonts w:ascii="宋体" w:hAnsi="宋体" w:cs="宋体"/>
          <w:kern w:val="0"/>
          <w:sz w:val="24"/>
        </w:rPr>
      </w:pPr>
      <w:r>
        <w:rPr>
          <w:rFonts w:hint="eastAsia" w:ascii="宋体" w:hAnsi="宋体" w:cs="宋体"/>
          <w:kern w:val="0"/>
          <w:sz w:val="24"/>
        </w:rPr>
        <w:t>__</w:t>
      </w:r>
      <w:r>
        <w:rPr>
          <w:rFonts w:hint="eastAsia" w:ascii="宋体" w:hAnsi="宋体" w:cs="宋体"/>
          <w:kern w:val="0"/>
          <w:sz w:val="24"/>
          <w:u w:val="single"/>
        </w:rPr>
        <w:t>执行《通用条款》第43条。</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44、保险</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44.6本工程双方约定投保内容如下：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（1）发包人投保内容：</w:t>
      </w:r>
      <w:r>
        <w:rPr>
          <w:rFonts w:hint="eastAsia" w:ascii="宋体" w:hAnsi="宋体" w:cs="宋体"/>
          <w:kern w:val="0"/>
          <w:sz w:val="24"/>
          <w:u w:val="single"/>
        </w:rPr>
        <w:t>本合同通用条款44.1 44.2保险，发包人暂不办理。</w:t>
      </w:r>
    </w:p>
    <w:p>
      <w:pPr>
        <w:spacing w:line="360" w:lineRule="auto"/>
        <w:rPr>
          <w:rFonts w:ascii="宋体" w:hAnsi="宋体" w:cs="宋体"/>
          <w:sz w:val="24"/>
          <w:u w:val="single"/>
        </w:rPr>
      </w:pPr>
      <w:r>
        <w:rPr>
          <w:rFonts w:hint="eastAsia" w:ascii="宋体" w:hAnsi="宋体" w:cs="宋体"/>
          <w:kern w:val="0"/>
          <w:sz w:val="24"/>
        </w:rPr>
        <w:t>发包人委托承包人办理的保险事项：__</w:t>
      </w:r>
      <w:r>
        <w:rPr>
          <w:rFonts w:hint="eastAsia" w:ascii="宋体" w:hAnsi="宋体" w:cs="宋体"/>
          <w:sz w:val="24"/>
          <w:u w:val="single"/>
        </w:rPr>
        <w:t>本工程无发包人委托承包人办理的保险事宜。</w:t>
      </w:r>
    </w:p>
    <w:p>
      <w:pPr>
        <w:widowControl/>
        <w:spacing w:line="360" w:lineRule="auto"/>
        <w:rPr>
          <w:rFonts w:ascii="宋体" w:hAnsi="宋体" w:cs="宋体"/>
          <w:kern w:val="0"/>
          <w:sz w:val="24"/>
        </w:rPr>
      </w:pPr>
      <w:r>
        <w:rPr>
          <w:rFonts w:hint="eastAsia" w:ascii="宋体" w:hAnsi="宋体" w:cs="宋体"/>
          <w:sz w:val="24"/>
        </w:rPr>
        <w:t xml:space="preserve">    </w:t>
      </w:r>
      <w:r>
        <w:rPr>
          <w:rFonts w:hint="eastAsia" w:ascii="宋体" w:hAnsi="宋体" w:cs="宋体"/>
          <w:sz w:val="24"/>
          <w:u w:val="single"/>
        </w:rPr>
        <w:t>失业、医疗、工伤、残疾人就业保险，已包含在合同价款中，结算时，承包方凭参加保险票据，在标准范围内办理结算。本合同44.1、44.2保险费已由发包人委托承包人投保。保险费已包含在成交价中。</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（2）承包人投保内容：_</w:t>
      </w:r>
      <w:r>
        <w:rPr>
          <w:rFonts w:hint="eastAsia" w:ascii="宋体" w:hAnsi="宋体" w:cs="宋体"/>
          <w:sz w:val="24"/>
          <w:u w:val="single"/>
        </w:rPr>
        <w:t>具体投保内容由承包人自行决定，并承担相关责任。</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45、担保</w:t>
      </w:r>
    </w:p>
    <w:p>
      <w:pPr>
        <w:widowControl/>
        <w:spacing w:line="360" w:lineRule="auto"/>
        <w:ind w:firstLine="480" w:firstLineChars="200"/>
        <w:rPr>
          <w:rFonts w:ascii="宋体" w:hAnsi="宋体" w:cs="宋体"/>
          <w:kern w:val="0"/>
          <w:sz w:val="24"/>
        </w:rPr>
      </w:pPr>
      <w:r>
        <w:rPr>
          <w:rFonts w:hint="eastAsia" w:ascii="宋体" w:hAnsi="宋体" w:cs="宋体"/>
          <w:kern w:val="0"/>
          <w:sz w:val="24"/>
        </w:rPr>
        <w:t>45.3本工程双方约定担保事项如下：</w:t>
      </w:r>
    </w:p>
    <w:p>
      <w:pPr>
        <w:widowControl/>
        <w:spacing w:line="360" w:lineRule="auto"/>
        <w:ind w:firstLine="480" w:firstLineChars="200"/>
        <w:rPr>
          <w:rFonts w:ascii="宋体" w:hAnsi="宋体" w:cs="宋体"/>
          <w:kern w:val="0"/>
          <w:sz w:val="24"/>
        </w:rPr>
      </w:pPr>
      <w:r>
        <w:rPr>
          <w:rFonts w:hint="eastAsia" w:ascii="宋体" w:hAnsi="宋体" w:cs="宋体"/>
          <w:kern w:val="0"/>
          <w:sz w:val="24"/>
        </w:rPr>
        <w:t>（1）发包人向承包人提供支付担保，担保方式为：</w:t>
      </w:r>
      <w:r>
        <w:rPr>
          <w:rFonts w:hint="eastAsia" w:ascii="宋体" w:hAnsi="宋体" w:cs="宋体"/>
          <w:sz w:val="24"/>
          <w:u w:val="single"/>
        </w:rPr>
        <w:t xml:space="preserve">   无  </w:t>
      </w:r>
      <w:r>
        <w:rPr>
          <w:rFonts w:hint="eastAsia" w:ascii="宋体" w:hAnsi="宋体" w:cs="宋体"/>
          <w:kern w:val="0"/>
          <w:sz w:val="24"/>
        </w:rPr>
        <w:t>。</w:t>
      </w:r>
    </w:p>
    <w:p>
      <w:pPr>
        <w:widowControl/>
        <w:spacing w:line="360" w:lineRule="auto"/>
        <w:ind w:firstLine="480" w:firstLineChars="200"/>
        <w:rPr>
          <w:rFonts w:ascii="宋体" w:hAnsi="宋体" w:cs="宋体"/>
          <w:kern w:val="0"/>
          <w:sz w:val="24"/>
          <w:u w:val="single"/>
        </w:rPr>
      </w:pPr>
      <w:r>
        <w:rPr>
          <w:rFonts w:hint="eastAsia" w:ascii="宋体" w:hAnsi="宋体" w:cs="宋体"/>
          <w:kern w:val="0"/>
          <w:sz w:val="24"/>
        </w:rPr>
        <mc:AlternateContent>
          <mc:Choice Requires="wps">
            <w:drawing>
              <wp:anchor distT="0" distB="0" distL="114300" distR="114300" simplePos="0" relativeHeight="251663360" behindDoc="0" locked="0" layoutInCell="1" allowOverlap="1">
                <wp:simplePos x="0" y="0"/>
                <wp:positionH relativeFrom="column">
                  <wp:posOffset>3328670</wp:posOffset>
                </wp:positionH>
                <wp:positionV relativeFrom="paragraph">
                  <wp:posOffset>58420</wp:posOffset>
                </wp:positionV>
                <wp:extent cx="800100" cy="99060"/>
                <wp:effectExtent l="635" t="4445" r="18415" b="10795"/>
                <wp:wrapNone/>
                <wp:docPr id="5" name="直线 26"/>
                <wp:cNvGraphicFramePr/>
                <a:graphic xmlns:a="http://schemas.openxmlformats.org/drawingml/2006/main">
                  <a:graphicData uri="http://schemas.microsoft.com/office/word/2010/wordprocessingShape">
                    <wps:wsp>
                      <wps:cNvCnPr/>
                      <wps:spPr>
                        <a:xfrm flipV="1">
                          <a:off x="0" y="0"/>
                          <a:ext cx="800100" cy="9906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6" o:spid="_x0000_s1026" o:spt="20" style="position:absolute;left:0pt;flip:y;margin-left:262.1pt;margin-top:4.6pt;height:7.8pt;width:63pt;z-index:251663360;mso-width-relative:page;mso-height-relative:page;" filled="f" stroked="t" coordsize="21600,21600" o:gfxdata="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ziBk/XAAAACAEAAA8AAAAAAAAAAQAgAAAAIgAAAGRycy9kb3ducmV2LnhtbFBLAQIUABQAAAAI&#10;AIdO4kBi1h1I7gEAAOsDAAAOAAAAAAAAAAEAIAAAACYBAABkcnMvZTJvRG9jLnhtbFBLBQYAAAAA&#10;BgAGAFkBAACGBQAAAAA=&#10;">
                <v:fill on="f" focussize="0,0"/>
                <v:stroke color="#000000" joinstyle="round"/>
                <v:imagedata o:title=""/>
                <o:lock v:ext="edit" aspectratio="f"/>
              </v:line>
            </w:pict>
          </mc:Fallback>
        </mc:AlternateContent>
      </w:r>
      <w:r>
        <w:rPr>
          <w:rFonts w:hint="eastAsia" w:ascii="宋体" w:hAnsi="宋体" w:cs="宋体"/>
          <w:kern w:val="0"/>
          <w:sz w:val="24"/>
        </w:rPr>
        <w:t>（2）双方约定的其他担保事项：__________________________________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50、合同份数</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50.2双方约定合同副本份数：_</w:t>
      </w:r>
      <w:r>
        <w:rPr>
          <w:rFonts w:hint="eastAsia" w:ascii="宋体" w:hAnsi="宋体" w:cs="宋体"/>
          <w:sz w:val="24"/>
          <w:u w:val="single"/>
        </w:rPr>
        <w:t>正本贰份，副本捌份；发、承包双方各持正本壹份、副本肆份。</w:t>
      </w:r>
      <w:r>
        <w:rPr>
          <w:rFonts w:hint="eastAsia" w:ascii="宋体" w:hAnsi="宋体" w:cs="宋体"/>
          <w:kern w:val="0"/>
          <w:sz w:val="24"/>
        </w:rPr>
        <w:t>_</w:t>
      </w:r>
    </w:p>
    <w:p>
      <w:pPr>
        <w:widowControl/>
        <w:spacing w:line="360" w:lineRule="auto"/>
        <w:ind w:firstLine="480" w:firstLineChars="200"/>
        <w:rPr>
          <w:rFonts w:ascii="宋体" w:hAnsi="宋体" w:cs="宋体"/>
          <w:kern w:val="0"/>
          <w:sz w:val="24"/>
        </w:rPr>
      </w:pPr>
      <w:r>
        <w:rPr>
          <w:rFonts w:hint="eastAsia" w:ascii="宋体" w:hAnsi="宋体" w:cs="宋体"/>
          <w:kern w:val="0"/>
          <w:sz w:val="24"/>
        </w:rPr>
        <w:t>51、补充条款（注：本条款作为合同的一部分，不得更改，否则视为违约。）</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51.1本工程竣工后，应免费将施工现场清除干净；无建筑材料、无建筑设备、无临时垃圾、无坑池渠沟、无掩埋的硬化道路和垃圾，场地整洁。否则发包人不予支付工程款。并按每延期一天罚款2000元进行处罚。</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51.2 必须按照</w:t>
      </w:r>
      <w:r>
        <w:rPr>
          <w:rFonts w:hint="eastAsia" w:ascii="宋体" w:hAnsi="宋体" w:cs="宋体"/>
          <w:kern w:val="0"/>
          <w:sz w:val="24"/>
          <w:szCs w:val="21"/>
          <w:u w:val="single"/>
        </w:rPr>
        <w:t>文明工地标准进行安全文明施工管理。</w:t>
      </w:r>
      <w:r>
        <w:rPr>
          <w:rFonts w:hint="eastAsia" w:ascii="宋体" w:hAnsi="宋体" w:cs="宋体"/>
          <w:sz w:val="24"/>
          <w:szCs w:val="21"/>
          <w:u w:val="single"/>
        </w:rPr>
        <w:t xml:space="preserve">设立专用垃圾场，不得在施工区内任意堆放或乱倒垃圾，定期将建筑垃圾清理外运。施工人员必须挂牌上岗（标明姓名、年龄、职务并贴照片）。 </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51.3施工过程中，资料和工程进度必须同步。每月发包人管理人员对施工进度和资料进行检查，出现问题限期整改，否则每次罚款1000元人民币。在工程竣工验收前，承包人要按规定将竣工资料交监理验收，由监理出据相应证明后，发包人方可组织验收。</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51.4安全管理人员必须持证上岗，并负责检查现场和施工人员安全情况，如监理和发包人管理人员发现有不安全因素存在，经指出仍未纠正的每次罚款500元人民币；出现安全事故，施工单位自负。</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 xml:space="preserve">51.5现场用电必须按照发包人要求，三相五线制，一机一闸必须带漏电保护，不许用电炉。如施工现场出现用电漏电或短路跳闸，造成停电、影响发包人用电，每次罚款2000元人民币。 </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51.6承包人必须严格执行规章制度和工程施工管理办法。承包人必须执行发包人现场管理人员和监理的指令，服从管理，否则发包人有权更换相关人员。</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51.7竣工验收时，承包人须向发包人提供《工程质量保修书》、使用说明书。</w:t>
      </w:r>
    </w:p>
    <w:p>
      <w:pPr>
        <w:spacing w:line="420" w:lineRule="exact"/>
        <w:ind w:firstLine="456" w:firstLineChars="200"/>
        <w:rPr>
          <w:rFonts w:ascii="宋体" w:hAnsi="宋体" w:cs="宋体"/>
          <w:spacing w:val="-6"/>
          <w:sz w:val="24"/>
          <w:szCs w:val="21"/>
          <w:u w:val="single"/>
        </w:rPr>
      </w:pPr>
      <w:r>
        <w:rPr>
          <w:rFonts w:hint="eastAsia" w:ascii="宋体" w:hAnsi="宋体" w:cs="宋体"/>
          <w:spacing w:val="-6"/>
          <w:sz w:val="24"/>
          <w:szCs w:val="21"/>
          <w:u w:val="single"/>
        </w:rPr>
        <w:t>51.8对图纸中存在的问题及需要联系的事宜，由发包方联系解决，承包人、监理不得同设计院联系或取得资料。</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51.9承包人须与聘用的农民工签订劳务合同，并到相应单位办理手续。按时发放农民工工资，当承包人申报当期进度款计划时应一并报已发农民工工资表给发包人，发包人有权监督承包人在支付的当期进度款中发放农民工工资或在支付当月工程款中代扣。</w:t>
      </w:r>
    </w:p>
    <w:p>
      <w:pPr>
        <w:spacing w:line="420" w:lineRule="exact"/>
        <w:ind w:firstLine="480" w:firstLineChars="200"/>
        <w:rPr>
          <w:rFonts w:ascii="宋体" w:hAnsi="宋体" w:cs="宋体"/>
          <w:sz w:val="24"/>
          <w:szCs w:val="21"/>
          <w:u w:val="single"/>
        </w:rPr>
      </w:pPr>
      <w:r>
        <w:rPr>
          <w:rFonts w:hint="eastAsia" w:ascii="宋体" w:hAnsi="宋体" w:cs="宋体"/>
          <w:sz w:val="24"/>
          <w:szCs w:val="21"/>
          <w:u w:val="single"/>
        </w:rPr>
        <w:t>51.10本工程拆除费用按照建筑面积报价，学校已在开标前组织承包方勘察现场，承包方自行现场核对拆除工程量，自主报价，随后，承包方不得以拆除工程量变化和垃圾外运等问题提出经济补偿和工期拖延要求。</w:t>
      </w:r>
    </w:p>
    <w:p>
      <w:pPr>
        <w:spacing w:line="420" w:lineRule="exact"/>
        <w:ind w:firstLine="480" w:firstLineChars="200"/>
        <w:rPr>
          <w:rFonts w:ascii="宋体" w:hAnsi="宋体" w:cs="宋体"/>
          <w:sz w:val="24"/>
          <w:szCs w:val="21"/>
          <w:u w:val="single"/>
        </w:rPr>
        <w:sectPr>
          <w:pgSz w:w="11906" w:h="16838"/>
          <w:pgMar w:top="1440" w:right="1457" w:bottom="1440" w:left="1463" w:header="851" w:footer="992" w:gutter="0"/>
          <w:cols w:space="0" w:num="1"/>
          <w:titlePg/>
          <w:docGrid w:type="lines" w:linePitch="312" w:charSpace="0"/>
        </w:sectPr>
      </w:pPr>
    </w:p>
    <w:p>
      <w:pPr>
        <w:spacing w:line="520" w:lineRule="exact"/>
        <w:jc w:val="center"/>
        <w:outlineLvl w:val="1"/>
        <w:rPr>
          <w:rFonts w:ascii="宋体" w:hAnsi="宋体" w:cs="宋体"/>
          <w:sz w:val="36"/>
          <w:szCs w:val="36"/>
        </w:rPr>
      </w:pPr>
      <w:r>
        <w:rPr>
          <w:rFonts w:hint="eastAsia" w:ascii="宋体" w:hAnsi="宋体" w:cs="宋体"/>
          <w:bCs/>
          <w:sz w:val="36"/>
          <w:szCs w:val="36"/>
        </w:rPr>
        <w:t>安全生产责任书</w:t>
      </w:r>
    </w:p>
    <w:p>
      <w:pPr>
        <w:spacing w:line="520" w:lineRule="exact"/>
        <w:rPr>
          <w:rFonts w:ascii="宋体" w:hAnsi="宋体" w:cs="宋体"/>
          <w:sz w:val="28"/>
        </w:rPr>
      </w:pPr>
    </w:p>
    <w:p>
      <w:pPr>
        <w:spacing w:line="520" w:lineRule="exact"/>
        <w:rPr>
          <w:rFonts w:ascii="宋体" w:hAnsi="宋体" w:cs="宋体"/>
          <w:b/>
          <w:sz w:val="24"/>
        </w:rPr>
      </w:pPr>
      <w:r>
        <w:rPr>
          <w:rFonts w:hint="eastAsia" w:ascii="宋体" w:hAnsi="宋体" w:cs="宋体"/>
          <w:b/>
          <w:sz w:val="24"/>
        </w:rPr>
        <w:t>甲方：</w:t>
      </w:r>
      <w:r>
        <w:rPr>
          <w:rFonts w:hint="eastAsia" w:ascii="宋体" w:hAnsi="宋体" w:cs="宋体"/>
          <w:b/>
          <w:sz w:val="24"/>
          <w:u w:val="single"/>
        </w:rPr>
        <w:t xml:space="preserve">                     </w:t>
      </w:r>
      <w:r>
        <w:rPr>
          <w:rFonts w:hint="eastAsia" w:ascii="宋体" w:hAnsi="宋体" w:cs="宋体"/>
          <w:b/>
          <w:sz w:val="24"/>
        </w:rPr>
        <w:t xml:space="preserve">         </w:t>
      </w:r>
    </w:p>
    <w:p>
      <w:pPr>
        <w:spacing w:line="520" w:lineRule="exact"/>
        <w:rPr>
          <w:rFonts w:ascii="宋体" w:hAnsi="宋体" w:cs="宋体"/>
          <w:b/>
          <w:sz w:val="24"/>
          <w:u w:val="single"/>
        </w:rPr>
      </w:pPr>
      <w:r>
        <w:rPr>
          <w:rFonts w:hint="eastAsia" w:ascii="宋体" w:hAnsi="宋体" w:cs="宋体"/>
          <w:b/>
          <w:sz w:val="24"/>
        </w:rPr>
        <w:t>乙方：</w:t>
      </w:r>
      <w:r>
        <w:rPr>
          <w:rFonts w:hint="eastAsia" w:ascii="宋体" w:hAnsi="宋体" w:cs="宋体"/>
          <w:b/>
          <w:sz w:val="24"/>
          <w:u w:val="single"/>
        </w:rPr>
        <w:t xml:space="preserve">                     </w:t>
      </w:r>
    </w:p>
    <w:p>
      <w:pPr>
        <w:spacing w:line="520" w:lineRule="exact"/>
        <w:ind w:firstLine="480" w:firstLineChars="200"/>
        <w:rPr>
          <w:rFonts w:ascii="宋体" w:hAnsi="宋体" w:cs="宋体"/>
          <w:sz w:val="24"/>
        </w:rPr>
      </w:pPr>
      <w:r>
        <w:rPr>
          <w:rFonts w:hint="eastAsia" w:ascii="宋体" w:hAnsi="宋体" w:cs="宋体"/>
          <w:sz w:val="24"/>
        </w:rPr>
        <w:t>为了认真贯彻落实《中华人民共和国安全生产法》、《国务院302号令》、《陕西省安全生产条例》和省厅关于安全生产的各项规定，确保</w:t>
      </w:r>
      <w:r>
        <w:rPr>
          <w:rFonts w:hint="eastAsia" w:ascii="宋体" w:hAnsi="宋体" w:cs="宋体"/>
          <w:sz w:val="24"/>
          <w:u w:val="single"/>
        </w:rPr>
        <w:t xml:space="preserve"> </w:t>
      </w:r>
      <w:r>
        <w:rPr>
          <w:rFonts w:hint="eastAsia" w:ascii="宋体" w:hAnsi="宋体" w:cs="宋体"/>
          <w:sz w:val="24"/>
          <w:u w:val="single"/>
          <w:lang w:eastAsia="zh-CN"/>
        </w:rPr>
        <w:t>西安市高陵区创优质均衡发展（苏家小学户外改造提升项目）</w:t>
      </w:r>
      <w:r>
        <w:rPr>
          <w:rFonts w:hint="eastAsia" w:ascii="宋体" w:hAnsi="宋体" w:cs="宋体"/>
          <w:sz w:val="24"/>
        </w:rPr>
        <w:t>安全生产的顺利进行，特制定本责任书。</w:t>
      </w:r>
    </w:p>
    <w:p>
      <w:pPr>
        <w:spacing w:line="520" w:lineRule="exact"/>
        <w:ind w:firstLine="480" w:firstLineChars="200"/>
        <w:rPr>
          <w:rFonts w:ascii="宋体" w:hAnsi="宋体" w:cs="宋体"/>
          <w:sz w:val="24"/>
        </w:rPr>
      </w:pPr>
      <w:r>
        <w:rPr>
          <w:rFonts w:hint="eastAsia" w:ascii="宋体" w:hAnsi="宋体" w:cs="宋体"/>
          <w:sz w:val="24"/>
        </w:rPr>
        <w:t>一、落实由项目经理主要负责的逐级安全生产责任制，要求做到逐级签订责任书，并进行安全生产目标责任制的落实。</w:t>
      </w:r>
    </w:p>
    <w:p>
      <w:pPr>
        <w:spacing w:line="520" w:lineRule="exact"/>
        <w:ind w:firstLine="480" w:firstLineChars="200"/>
        <w:rPr>
          <w:rFonts w:ascii="宋体" w:hAnsi="宋体" w:cs="宋体"/>
          <w:sz w:val="24"/>
        </w:rPr>
      </w:pPr>
      <w:r>
        <w:rPr>
          <w:rFonts w:hint="eastAsia" w:ascii="宋体" w:hAnsi="宋体" w:cs="宋体"/>
          <w:sz w:val="24"/>
        </w:rPr>
        <w:t>二、建立健全安全生产组织机构、建立安全生产规章制度，建立安全生产操作规程，并确保安全生产的资金投入。</w:t>
      </w:r>
    </w:p>
    <w:p>
      <w:pPr>
        <w:spacing w:line="520" w:lineRule="exact"/>
        <w:ind w:firstLine="480" w:firstLineChars="200"/>
        <w:rPr>
          <w:rFonts w:ascii="宋体" w:hAnsi="宋体" w:cs="宋体"/>
          <w:sz w:val="24"/>
        </w:rPr>
      </w:pPr>
      <w:r>
        <w:rPr>
          <w:rFonts w:hint="eastAsia" w:ascii="宋体" w:hAnsi="宋体" w:cs="宋体"/>
          <w:sz w:val="24"/>
        </w:rPr>
        <w:t>三、经常开展安全生产大检查，对存在的问题和薄弱环节，采取有力措施及时督促整改，逐项落实。</w:t>
      </w:r>
    </w:p>
    <w:p>
      <w:pPr>
        <w:spacing w:line="520" w:lineRule="exact"/>
        <w:ind w:firstLine="480" w:firstLineChars="200"/>
        <w:rPr>
          <w:rFonts w:ascii="宋体" w:hAnsi="宋体" w:cs="宋体"/>
          <w:sz w:val="24"/>
        </w:rPr>
      </w:pPr>
      <w:r>
        <w:rPr>
          <w:rFonts w:hint="eastAsia" w:ascii="宋体" w:hAnsi="宋体" w:cs="宋体"/>
          <w:sz w:val="24"/>
        </w:rPr>
        <w:t>四、搞好工地安全生产的宣传和教育，张贴安全生产宣传栏，设立警示标志。要对进场工人进行安全教育，每周召开一次安全专题会议，对每天发生的安全质量及时整改。</w:t>
      </w:r>
    </w:p>
    <w:p>
      <w:pPr>
        <w:spacing w:line="520" w:lineRule="exact"/>
        <w:ind w:firstLine="480" w:firstLineChars="200"/>
        <w:rPr>
          <w:rFonts w:ascii="宋体" w:hAnsi="宋体" w:cs="宋体"/>
          <w:sz w:val="24"/>
        </w:rPr>
      </w:pPr>
      <w:r>
        <w:rPr>
          <w:rFonts w:hint="eastAsia" w:ascii="宋体" w:hAnsi="宋体" w:cs="宋体"/>
          <w:sz w:val="24"/>
        </w:rPr>
        <w:t>五、制定安全事故应急救援预案，建立重、特大事故报告制度，上报时间不得超过事故发生后30分钟。</w:t>
      </w:r>
    </w:p>
    <w:p>
      <w:pPr>
        <w:spacing w:line="520" w:lineRule="exact"/>
        <w:ind w:firstLine="480" w:firstLineChars="200"/>
        <w:jc w:val="left"/>
        <w:rPr>
          <w:rFonts w:ascii="宋体" w:hAnsi="宋体" w:cs="宋体"/>
          <w:sz w:val="24"/>
        </w:rPr>
      </w:pPr>
      <w:r>
        <w:rPr>
          <w:rFonts w:hint="eastAsia" w:ascii="宋体" w:hAnsi="宋体" w:cs="宋体"/>
          <w:sz w:val="24"/>
        </w:rPr>
        <w:t>六、租用的机械设备和施工机具及配件，应当具有厂家资质、生产(制造)许可证、产品合格证等材料。特种设备须经国家有关部门检测，并出具准运证明。</w:t>
      </w:r>
    </w:p>
    <w:p>
      <w:pPr>
        <w:spacing w:line="520" w:lineRule="exact"/>
        <w:ind w:firstLine="480" w:firstLineChars="200"/>
        <w:jc w:val="left"/>
        <w:rPr>
          <w:rFonts w:ascii="宋体" w:hAnsi="宋体" w:cs="宋体"/>
          <w:sz w:val="24"/>
        </w:rPr>
      </w:pPr>
      <w:r>
        <w:rPr>
          <w:rFonts w:hint="eastAsia" w:ascii="宋体" w:hAnsi="宋体" w:cs="宋体"/>
          <w:sz w:val="24"/>
        </w:rPr>
        <w:t>七、现场所有人员必须佩带安全帽，高空作业必须佩带安全带。</w:t>
      </w:r>
    </w:p>
    <w:p>
      <w:pPr>
        <w:spacing w:line="520" w:lineRule="exact"/>
        <w:ind w:firstLine="480" w:firstLineChars="200"/>
        <w:jc w:val="left"/>
        <w:rPr>
          <w:rFonts w:ascii="宋体" w:hAnsi="宋体" w:cs="宋体"/>
          <w:sz w:val="24"/>
        </w:rPr>
      </w:pPr>
      <w:r>
        <w:rPr>
          <w:rFonts w:hint="eastAsia" w:ascii="宋体" w:hAnsi="宋体" w:cs="宋体"/>
          <w:sz w:val="24"/>
        </w:rPr>
        <w:t>八、施工现场的安全防护用具、机械设备、施工机具及配件应当设专人管理，定期进行检查、维修和保养。</w:t>
      </w:r>
    </w:p>
    <w:p>
      <w:pPr>
        <w:spacing w:line="520" w:lineRule="exact"/>
        <w:ind w:firstLine="480" w:firstLineChars="200"/>
        <w:jc w:val="left"/>
        <w:rPr>
          <w:rFonts w:ascii="宋体" w:hAnsi="宋体" w:cs="宋体"/>
          <w:sz w:val="24"/>
        </w:rPr>
      </w:pPr>
      <w:r>
        <w:rPr>
          <w:rFonts w:hint="eastAsia" w:ascii="宋体" w:hAnsi="宋体" w:cs="宋体"/>
          <w:sz w:val="24"/>
        </w:rPr>
        <w:t>九、施工单位接用水、电时必须安装总表。现场用电三相五线制，一机一闸，带漏电保护。不准私拉乱扯电缆线，严格按规范用电要求使用。</w:t>
      </w:r>
    </w:p>
    <w:p>
      <w:pPr>
        <w:spacing w:line="520" w:lineRule="exact"/>
        <w:ind w:firstLine="480" w:firstLineChars="200"/>
        <w:rPr>
          <w:rFonts w:ascii="宋体" w:hAnsi="宋体" w:cs="宋体"/>
          <w:sz w:val="24"/>
        </w:rPr>
      </w:pPr>
      <w:r>
        <w:rPr>
          <w:rFonts w:hint="eastAsia" w:ascii="宋体" w:hAnsi="宋体" w:cs="宋体"/>
          <w:sz w:val="24"/>
        </w:rPr>
        <w:t>十、特殊工种必须持证上岗，专职人员操作，无证人员不得上岗。</w:t>
      </w:r>
    </w:p>
    <w:p>
      <w:pPr>
        <w:spacing w:line="520" w:lineRule="exact"/>
        <w:ind w:firstLine="480" w:firstLineChars="200"/>
        <w:rPr>
          <w:rFonts w:ascii="宋体" w:hAnsi="宋体" w:cs="宋体"/>
          <w:sz w:val="24"/>
        </w:rPr>
      </w:pPr>
      <w:r>
        <w:rPr>
          <w:rFonts w:hint="eastAsia" w:ascii="宋体" w:hAnsi="宋体" w:cs="宋体"/>
          <w:sz w:val="24"/>
        </w:rPr>
        <w:t>十一、定期对从业人员进行健康检查，老弱病残和未成年人不得上岗。</w:t>
      </w:r>
    </w:p>
    <w:p>
      <w:pPr>
        <w:spacing w:line="520" w:lineRule="exact"/>
        <w:ind w:firstLine="480" w:firstLineChars="200"/>
        <w:rPr>
          <w:rFonts w:ascii="宋体" w:hAnsi="宋体" w:cs="宋体"/>
          <w:sz w:val="24"/>
        </w:rPr>
      </w:pPr>
      <w:r>
        <w:rPr>
          <w:rFonts w:hint="eastAsia" w:ascii="宋体" w:hAnsi="宋体" w:cs="宋体"/>
          <w:sz w:val="24"/>
        </w:rPr>
        <w:t>十二、严格门禁制度，非施工人员严禁进入施工现场。夜间和假期派专人值班，做好防火、防盗和防事故工作。</w:t>
      </w:r>
    </w:p>
    <w:p>
      <w:pPr>
        <w:spacing w:line="520" w:lineRule="exact"/>
        <w:ind w:firstLine="480" w:firstLineChars="200"/>
        <w:rPr>
          <w:rFonts w:ascii="宋体" w:hAnsi="宋体" w:cs="宋体"/>
          <w:sz w:val="24"/>
        </w:rPr>
      </w:pPr>
      <w:r>
        <w:rPr>
          <w:rFonts w:hint="eastAsia" w:ascii="宋体" w:hAnsi="宋体" w:cs="宋体"/>
          <w:sz w:val="24"/>
        </w:rPr>
        <w:t>十三、建立食品安全制度，确保饮食安全。</w:t>
      </w:r>
    </w:p>
    <w:p>
      <w:pPr>
        <w:spacing w:line="520" w:lineRule="exact"/>
        <w:ind w:firstLine="480" w:firstLineChars="200"/>
        <w:rPr>
          <w:rFonts w:ascii="宋体" w:hAnsi="宋体" w:cs="宋体"/>
          <w:sz w:val="24"/>
        </w:rPr>
      </w:pPr>
      <w:r>
        <w:rPr>
          <w:rFonts w:hint="eastAsia" w:ascii="宋体" w:hAnsi="宋体" w:cs="宋体"/>
          <w:sz w:val="24"/>
        </w:rPr>
        <w:t>十四、施工单位必须设立专职安全员，全面负责施工期间的安全工作，并接受监理和甲方安全监督员的管理。</w:t>
      </w:r>
    </w:p>
    <w:p>
      <w:pPr>
        <w:spacing w:line="520" w:lineRule="exact"/>
        <w:ind w:firstLine="480" w:firstLineChars="200"/>
        <w:rPr>
          <w:rFonts w:ascii="宋体" w:hAnsi="宋体" w:cs="宋体"/>
          <w:sz w:val="24"/>
        </w:rPr>
      </w:pPr>
      <w:r>
        <w:rPr>
          <w:rFonts w:hint="eastAsia" w:ascii="宋体" w:hAnsi="宋体" w:cs="宋体"/>
          <w:sz w:val="24"/>
        </w:rPr>
        <w:t>十五、所有工作人员必须遵守施工规范或规程，不得野蛮施工，不顾安全施工，造成安全事故由施工单位负责。</w:t>
      </w:r>
    </w:p>
    <w:p>
      <w:pPr>
        <w:spacing w:line="520" w:lineRule="exact"/>
        <w:ind w:firstLine="480" w:firstLineChars="200"/>
        <w:rPr>
          <w:rFonts w:ascii="宋体" w:hAnsi="宋体" w:cs="宋体"/>
          <w:sz w:val="24"/>
        </w:rPr>
      </w:pPr>
      <w:r>
        <w:rPr>
          <w:rFonts w:hint="eastAsia" w:ascii="宋体" w:hAnsi="宋体" w:cs="宋体"/>
          <w:sz w:val="24"/>
        </w:rPr>
        <w:t>十六、施工单位负责职工的安全教育，负责施工人员和机械的安全，并全部承担由此引起的经济和法律责任。</w:t>
      </w:r>
    </w:p>
    <w:p>
      <w:pPr>
        <w:spacing w:line="520" w:lineRule="exact"/>
        <w:ind w:firstLine="480" w:firstLineChars="200"/>
        <w:rPr>
          <w:rFonts w:ascii="宋体" w:hAnsi="宋体" w:cs="宋体"/>
          <w:sz w:val="24"/>
        </w:rPr>
      </w:pPr>
      <w:r>
        <w:rPr>
          <w:rFonts w:hint="eastAsia" w:ascii="宋体" w:hAnsi="宋体" w:cs="宋体"/>
          <w:sz w:val="24"/>
        </w:rPr>
        <w:t>十七、施工单位加强对工人的监管，严禁与学校师生发生口角与肢体冲突，否则重罚。</w:t>
      </w:r>
    </w:p>
    <w:p>
      <w:pPr>
        <w:spacing w:line="520" w:lineRule="exact"/>
        <w:ind w:firstLine="480" w:firstLineChars="200"/>
        <w:rPr>
          <w:rFonts w:ascii="宋体" w:hAnsi="宋体" w:cs="宋体"/>
          <w:sz w:val="24"/>
        </w:rPr>
      </w:pPr>
      <w:r>
        <w:rPr>
          <w:rFonts w:hint="eastAsia" w:ascii="宋体" w:hAnsi="宋体" w:cs="宋体"/>
          <w:sz w:val="24"/>
        </w:rPr>
        <w:t>十八、施工单位负责外部环境的协调工作，加强职工法律意识，工地发生的任何冲突和纠纷，与学院无关，施工单位承担由此引起的全部经济和法律责任。</w:t>
      </w:r>
    </w:p>
    <w:p>
      <w:pPr>
        <w:spacing w:line="520" w:lineRule="exact"/>
        <w:ind w:firstLine="480" w:firstLineChars="200"/>
        <w:rPr>
          <w:rFonts w:ascii="宋体" w:hAnsi="宋体" w:cs="宋体"/>
          <w:sz w:val="24"/>
        </w:rPr>
      </w:pPr>
    </w:p>
    <w:p>
      <w:pPr>
        <w:spacing w:line="520" w:lineRule="exact"/>
        <w:ind w:left="5458" w:leftChars="142" w:hanging="5160" w:hangingChars="2150"/>
        <w:rPr>
          <w:rFonts w:ascii="宋体" w:hAnsi="宋体" w:cs="宋体"/>
          <w:sz w:val="24"/>
        </w:rPr>
      </w:pPr>
      <w:r>
        <w:rPr>
          <w:rFonts w:hint="eastAsia" w:ascii="宋体" w:hAnsi="宋体" w:cs="宋体"/>
          <w:sz w:val="24"/>
        </w:rPr>
        <w:t xml:space="preserve">甲方：                                 乙方： </w:t>
      </w:r>
    </w:p>
    <w:p>
      <w:pPr>
        <w:spacing w:line="520" w:lineRule="exact"/>
        <w:rPr>
          <w:rFonts w:ascii="宋体" w:hAnsi="宋体" w:cs="宋体"/>
          <w:sz w:val="24"/>
        </w:rPr>
      </w:pPr>
      <w:r>
        <w:rPr>
          <w:rFonts w:hint="eastAsia" w:ascii="宋体" w:hAnsi="宋体" w:cs="宋体"/>
          <w:sz w:val="24"/>
        </w:rPr>
        <w:t>（盖章）                                （盖章）</w:t>
      </w:r>
    </w:p>
    <w:p>
      <w:pPr>
        <w:spacing w:line="520" w:lineRule="exact"/>
        <w:ind w:firstLine="480" w:firstLineChars="200"/>
        <w:rPr>
          <w:rFonts w:ascii="宋体" w:hAnsi="宋体" w:cs="宋体"/>
          <w:sz w:val="24"/>
        </w:rPr>
      </w:pPr>
    </w:p>
    <w:p>
      <w:pPr>
        <w:tabs>
          <w:tab w:val="left" w:pos="5145"/>
        </w:tabs>
        <w:spacing w:line="520" w:lineRule="exact"/>
        <w:ind w:firstLine="240" w:firstLineChars="100"/>
        <w:rPr>
          <w:rFonts w:ascii="宋体" w:hAnsi="宋体" w:cs="宋体"/>
          <w:sz w:val="24"/>
        </w:rPr>
      </w:pPr>
      <w:r>
        <w:rPr>
          <w:rFonts w:hint="eastAsia" w:ascii="宋体" w:hAnsi="宋体" w:cs="宋体"/>
          <w:sz w:val="24"/>
        </w:rPr>
        <w:t>负责人：                               负责人：</w:t>
      </w:r>
    </w:p>
    <w:p>
      <w:pPr>
        <w:tabs>
          <w:tab w:val="left" w:pos="5145"/>
        </w:tabs>
        <w:spacing w:line="520" w:lineRule="exact"/>
        <w:ind w:firstLine="480" w:firstLineChars="200"/>
        <w:rPr>
          <w:rFonts w:ascii="宋体" w:hAnsi="宋体" w:cs="宋体"/>
          <w:sz w:val="24"/>
        </w:rPr>
      </w:pPr>
      <w:r>
        <w:rPr>
          <w:rFonts w:hint="eastAsia" w:ascii="宋体" w:hAnsi="宋体" w:cs="宋体"/>
          <w:sz w:val="24"/>
        </w:rPr>
        <w:t xml:space="preserve">        年   月   日                         年   月   日</w:t>
      </w:r>
    </w:p>
    <w:bookmarkEnd w:id="31"/>
    <w:p>
      <w:pPr>
        <w:spacing w:line="420" w:lineRule="exact"/>
        <w:ind w:firstLine="480" w:firstLineChars="200"/>
        <w:rPr>
          <w:rFonts w:asciiTheme="minorEastAsia" w:hAnsiTheme="minorEastAsia" w:eastAsiaTheme="minorEastAsia" w:cstheme="minorEastAsia"/>
          <w:sz w:val="24"/>
          <w:u w:val="single"/>
        </w:rPr>
      </w:pPr>
    </w:p>
    <w:p>
      <w:pPr>
        <w:pStyle w:val="2"/>
        <w:ind w:firstLine="602"/>
        <w:rPr>
          <w:b/>
          <w:bCs/>
          <w:sz w:val="30"/>
          <w:szCs w:val="30"/>
        </w:rPr>
      </w:pPr>
    </w:p>
    <w:p>
      <w:pPr>
        <w:spacing w:line="440" w:lineRule="exact"/>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spacing w:line="520" w:lineRule="exact"/>
        <w:jc w:val="center"/>
        <w:outlineLvl w:val="1"/>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建设工程廉政合同</w:t>
      </w:r>
    </w:p>
    <w:p>
      <w:pPr>
        <w:spacing w:line="520" w:lineRule="exact"/>
        <w:rPr>
          <w:sz w:val="30"/>
          <w:szCs w:val="30"/>
        </w:rPr>
      </w:pPr>
    </w:p>
    <w:p>
      <w:pPr>
        <w:spacing w:line="520" w:lineRule="exact"/>
        <w:rPr>
          <w:sz w:val="24"/>
          <w:u w:val="single"/>
        </w:rPr>
      </w:pPr>
      <w:r>
        <w:rPr>
          <w:rFonts w:hint="eastAsia"/>
          <w:sz w:val="24"/>
        </w:rPr>
        <w:t>建设单位（以下简称甲方）：西安市高陵区教育局</w:t>
      </w:r>
    </w:p>
    <w:p>
      <w:pPr>
        <w:spacing w:line="520" w:lineRule="exact"/>
        <w:rPr>
          <w:sz w:val="24"/>
          <w:u w:val="single"/>
        </w:rPr>
      </w:pPr>
      <w:r>
        <w:rPr>
          <w:rFonts w:hint="eastAsia"/>
          <w:sz w:val="24"/>
        </w:rPr>
        <w:t>施工单位（以下简称乙方）：</w:t>
      </w:r>
      <w:r>
        <w:rPr>
          <w:rFonts w:hint="eastAsia"/>
          <w:sz w:val="24"/>
          <w:u w:val="single"/>
        </w:rPr>
        <w:t xml:space="preserve">                        </w:t>
      </w:r>
    </w:p>
    <w:p>
      <w:pPr>
        <w:spacing w:line="520" w:lineRule="exact"/>
        <w:ind w:firstLine="484" w:firstLineChars="202"/>
        <w:rPr>
          <w:sz w:val="24"/>
          <w:u w:val="single"/>
        </w:rPr>
      </w:pPr>
      <w:r>
        <w:rPr>
          <w:rFonts w:hint="eastAsia"/>
          <w:sz w:val="24"/>
        </w:rPr>
        <w:t>根据国家建设工程廉政建设相关规定、交通部《关于在交通基础设施建设中加强廉政建设的若干意见》以及有关工程建设、廉政建设的规定，为做好工程建设中的党风廉政建设，保证工程建设高效优质、保证建设资金的安全和有效使用以及投资效益，特订立如下合同。</w:t>
      </w:r>
    </w:p>
    <w:p>
      <w:pPr>
        <w:spacing w:line="520" w:lineRule="exact"/>
        <w:ind w:firstLine="477" w:firstLineChars="198"/>
        <w:rPr>
          <w:b/>
          <w:sz w:val="24"/>
        </w:rPr>
      </w:pPr>
      <w:r>
        <w:rPr>
          <w:rFonts w:hint="eastAsia"/>
          <w:b/>
          <w:sz w:val="24"/>
        </w:rPr>
        <w:t>第一条  甲乙双方的权利和义务</w:t>
      </w:r>
    </w:p>
    <w:p>
      <w:pPr>
        <w:spacing w:line="520" w:lineRule="exact"/>
        <w:ind w:firstLine="600" w:firstLineChars="250"/>
        <w:rPr>
          <w:sz w:val="24"/>
        </w:rPr>
      </w:pPr>
      <w:r>
        <w:rPr>
          <w:rFonts w:hint="eastAsia"/>
          <w:sz w:val="24"/>
        </w:rPr>
        <w:t>（一）严格遵守党和国家有关法律法规及建设部的有关规定。</w:t>
      </w:r>
    </w:p>
    <w:p>
      <w:pPr>
        <w:spacing w:line="520" w:lineRule="exact"/>
        <w:ind w:firstLine="600" w:firstLineChars="250"/>
        <w:rPr>
          <w:sz w:val="24"/>
        </w:rPr>
      </w:pPr>
      <w:r>
        <w:rPr>
          <w:rFonts w:hint="eastAsia"/>
          <w:sz w:val="24"/>
        </w:rPr>
        <w:t>（二）严格执行</w:t>
      </w:r>
      <w:r>
        <w:rPr>
          <w:rFonts w:hint="eastAsia"/>
          <w:sz w:val="24"/>
          <w:u w:val="single"/>
          <w:lang w:eastAsia="zh-CN"/>
        </w:rPr>
        <w:t>西安市高陵区创优质均衡发展（苏家小学户外改造提升项目）</w:t>
      </w:r>
      <w:r>
        <w:rPr>
          <w:rFonts w:hint="eastAsia"/>
          <w:sz w:val="24"/>
        </w:rPr>
        <w:t>的合同文件，自觉按合同办事。</w:t>
      </w:r>
    </w:p>
    <w:p>
      <w:pPr>
        <w:spacing w:line="520" w:lineRule="exact"/>
        <w:ind w:firstLine="600" w:firstLineChars="250"/>
        <w:rPr>
          <w:sz w:val="24"/>
        </w:rPr>
      </w:pPr>
      <w:r>
        <w:rPr>
          <w:rFonts w:hint="eastAsia"/>
          <w:sz w:val="24"/>
        </w:rPr>
        <w:t>（三）双方的业务活动坚持公开、公平、公正、诚信和透明的原则（除法律认定的商业秘密和合同文件另有规定之外），不得损害国家和集体利益，违反工程建设管理规章制度。</w:t>
      </w:r>
    </w:p>
    <w:p>
      <w:pPr>
        <w:spacing w:line="520" w:lineRule="exact"/>
        <w:ind w:firstLine="600" w:firstLineChars="250"/>
        <w:rPr>
          <w:sz w:val="24"/>
        </w:rPr>
      </w:pPr>
      <w:r>
        <w:rPr>
          <w:rFonts w:hint="eastAsia"/>
          <w:sz w:val="24"/>
        </w:rPr>
        <w:t>（四）建立健全廉政制度，开展廉政教育，设立廉政告示牌，公布举报电话，监督并认真查处违法违纪行为。</w:t>
      </w:r>
    </w:p>
    <w:p>
      <w:pPr>
        <w:spacing w:line="520" w:lineRule="exact"/>
        <w:ind w:firstLine="600" w:firstLineChars="250"/>
        <w:rPr>
          <w:sz w:val="24"/>
        </w:rPr>
      </w:pPr>
      <w:r>
        <w:rPr>
          <w:rFonts w:hint="eastAsia"/>
          <w:sz w:val="24"/>
        </w:rPr>
        <w:t>（五）发现对方在业务活动中有违反廉政规定的行为，有及时提醒对方纠正的权利和义务。</w:t>
      </w:r>
    </w:p>
    <w:p>
      <w:pPr>
        <w:spacing w:line="520" w:lineRule="exact"/>
        <w:ind w:firstLine="600" w:firstLineChars="250"/>
        <w:rPr>
          <w:sz w:val="24"/>
        </w:rPr>
      </w:pPr>
      <w:r>
        <w:rPr>
          <w:rFonts w:hint="eastAsia"/>
          <w:sz w:val="24"/>
        </w:rPr>
        <w:t>（六）发现对方严重违反本合同义务条款的行为，有向其上级有关部门举报、建议给予处理并要求告知处理结果的权利。</w:t>
      </w:r>
    </w:p>
    <w:p>
      <w:pPr>
        <w:spacing w:line="520" w:lineRule="exact"/>
        <w:ind w:firstLine="595" w:firstLineChars="247"/>
        <w:rPr>
          <w:b/>
          <w:sz w:val="24"/>
        </w:rPr>
      </w:pPr>
      <w:r>
        <w:rPr>
          <w:rFonts w:hint="eastAsia"/>
          <w:b/>
          <w:sz w:val="24"/>
        </w:rPr>
        <w:t>第二条  甲方的义务</w:t>
      </w:r>
    </w:p>
    <w:p>
      <w:pPr>
        <w:spacing w:line="520" w:lineRule="exact"/>
        <w:ind w:firstLine="480" w:firstLineChars="200"/>
        <w:rPr>
          <w:sz w:val="24"/>
        </w:rPr>
      </w:pPr>
      <w:r>
        <w:rPr>
          <w:rFonts w:hint="eastAsia"/>
          <w:sz w:val="24"/>
        </w:rPr>
        <w:t>（一）甲方及其工作人员不得索要或接受乙方的礼金、有价证券和贵重物品，不得在乙方报销任何应甲方或个人支付的费用等。</w:t>
      </w:r>
    </w:p>
    <w:p>
      <w:pPr>
        <w:spacing w:line="520" w:lineRule="exact"/>
        <w:ind w:firstLine="480" w:firstLineChars="200"/>
        <w:rPr>
          <w:sz w:val="24"/>
        </w:rPr>
      </w:pPr>
      <w:r>
        <w:rPr>
          <w:rFonts w:hint="eastAsia"/>
          <w:sz w:val="24"/>
        </w:rPr>
        <w:t>（二）甲方工作人员不得参加乙方安排的超标准宴请和娱乐活动；不得接受乙方提供的通讯工具、交通工具和高档办公用品等。</w:t>
      </w:r>
    </w:p>
    <w:p>
      <w:pPr>
        <w:spacing w:line="520" w:lineRule="exact"/>
        <w:ind w:firstLine="480" w:firstLineChars="200"/>
        <w:rPr>
          <w:sz w:val="24"/>
        </w:rPr>
      </w:pPr>
      <w:r>
        <w:rPr>
          <w:rFonts w:hint="eastAsia"/>
          <w:sz w:val="24"/>
        </w:rPr>
        <w:t>（三）甲方及其工作人员不得要求或者接受乙方为其住房装修、婚丧嫁娶活动、配偶子女的工作安排以及出国出境、旅游等提供方便等。</w:t>
      </w:r>
    </w:p>
    <w:p>
      <w:pPr>
        <w:spacing w:line="520" w:lineRule="exact"/>
        <w:ind w:firstLine="480" w:firstLineChars="200"/>
        <w:rPr>
          <w:sz w:val="24"/>
        </w:rPr>
      </w:pPr>
      <w:r>
        <w:rPr>
          <w:rFonts w:hint="eastAsia"/>
          <w:sz w:val="24"/>
        </w:rPr>
        <w:t>（四）甲方工作人员的配偶、子女不得从事与甲方工程有关的材料设备供应、工程分包、劳务等经济活动等。</w:t>
      </w:r>
    </w:p>
    <w:p>
      <w:pPr>
        <w:spacing w:line="520" w:lineRule="exact"/>
        <w:ind w:firstLine="480" w:firstLineChars="200"/>
        <w:rPr>
          <w:sz w:val="24"/>
        </w:rPr>
      </w:pPr>
      <w:r>
        <w:rPr>
          <w:rFonts w:hint="eastAsia"/>
          <w:sz w:val="24"/>
        </w:rPr>
        <w:t>（五）甲方及其工作人员不得以任何理由向乙方推荐分包单位，不得要求乙方购买合同规定外材料和设备。</w:t>
      </w:r>
    </w:p>
    <w:p>
      <w:pPr>
        <w:spacing w:line="520" w:lineRule="exact"/>
        <w:ind w:firstLine="475" w:firstLineChars="197"/>
        <w:rPr>
          <w:b/>
          <w:sz w:val="24"/>
        </w:rPr>
      </w:pPr>
      <w:r>
        <w:rPr>
          <w:rFonts w:hint="eastAsia"/>
          <w:b/>
          <w:sz w:val="24"/>
        </w:rPr>
        <w:t>第三条  乙方义务</w:t>
      </w:r>
    </w:p>
    <w:p>
      <w:pPr>
        <w:spacing w:line="520" w:lineRule="exact"/>
        <w:ind w:firstLine="480" w:firstLineChars="200"/>
        <w:rPr>
          <w:sz w:val="24"/>
        </w:rPr>
      </w:pPr>
      <w:r>
        <w:rPr>
          <w:rFonts w:hint="eastAsia"/>
          <w:sz w:val="24"/>
        </w:rPr>
        <w:t>（一）乙方不得以任何理由向甲方及其工作人员行贿或馈赠礼金、有价证券、贵重礼品。</w:t>
      </w:r>
    </w:p>
    <w:p>
      <w:pPr>
        <w:spacing w:line="520" w:lineRule="exact"/>
        <w:ind w:firstLine="480" w:firstLineChars="200"/>
        <w:rPr>
          <w:sz w:val="24"/>
        </w:rPr>
      </w:pPr>
      <w:r>
        <w:rPr>
          <w:rFonts w:hint="eastAsia"/>
          <w:sz w:val="24"/>
        </w:rPr>
        <w:t>（二）乙方不得以任何名义为甲方及其工作人员报销应由甲方单位或个人支付的任何费用。</w:t>
      </w:r>
    </w:p>
    <w:p>
      <w:pPr>
        <w:spacing w:line="520" w:lineRule="exact"/>
        <w:ind w:firstLine="480" w:firstLineChars="200"/>
        <w:rPr>
          <w:sz w:val="24"/>
        </w:rPr>
      </w:pPr>
      <w:r>
        <w:rPr>
          <w:rFonts w:hint="eastAsia"/>
          <w:sz w:val="24"/>
        </w:rPr>
        <w:t>（三）乙方不得以任何理由安排甲方工作人员参加超标准宴请及娱乐活动。</w:t>
      </w:r>
    </w:p>
    <w:p>
      <w:pPr>
        <w:spacing w:line="520" w:lineRule="exact"/>
        <w:ind w:firstLine="480" w:firstLineChars="200"/>
        <w:rPr>
          <w:sz w:val="24"/>
        </w:rPr>
      </w:pPr>
      <w:r>
        <w:rPr>
          <w:rFonts w:hint="eastAsia"/>
          <w:sz w:val="24"/>
        </w:rPr>
        <w:t>（四）乙方不得为甲方单位和个人购置或提供通讯工具、交通工具和高档办公用品等。</w:t>
      </w:r>
    </w:p>
    <w:p>
      <w:pPr>
        <w:spacing w:line="520" w:lineRule="exact"/>
        <w:ind w:firstLine="477" w:firstLineChars="198"/>
        <w:rPr>
          <w:b/>
          <w:sz w:val="24"/>
        </w:rPr>
      </w:pPr>
      <w:r>
        <w:rPr>
          <w:rFonts w:hint="eastAsia"/>
          <w:b/>
          <w:sz w:val="24"/>
        </w:rPr>
        <w:t>第四条  违约责任</w:t>
      </w:r>
    </w:p>
    <w:p>
      <w:pPr>
        <w:spacing w:line="520" w:lineRule="exact"/>
        <w:ind w:firstLine="480" w:firstLineChars="20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520" w:lineRule="exact"/>
        <w:ind w:firstLine="480" w:firstLineChars="200"/>
        <w:rPr>
          <w:sz w:val="24"/>
        </w:rPr>
      </w:pPr>
      <w:r>
        <w:rPr>
          <w:rFonts w:hint="eastAsia"/>
          <w:sz w:val="24"/>
        </w:rPr>
        <w:t>（二）乙方及其工作人员违反本合同第一、三条，按管理权限，依据有关规定，给予党纪、政纪或组织处理；给甲方单位造成经济损失的，应予以赔偿；情节严重的，甲方建议建筑工程建设主管部门给予乙方一至三年内不得进入其主管的建筑工程建设市场的处罚。</w:t>
      </w:r>
    </w:p>
    <w:p>
      <w:pPr>
        <w:spacing w:line="520" w:lineRule="exact"/>
        <w:ind w:firstLine="482" w:firstLineChars="200"/>
        <w:rPr>
          <w:b/>
          <w:sz w:val="24"/>
        </w:rPr>
      </w:pPr>
      <w:r>
        <w:rPr>
          <w:rFonts w:hint="eastAsia"/>
          <w:b/>
          <w:sz w:val="24"/>
        </w:rPr>
        <w:t>第五条  双方约定：</w:t>
      </w:r>
    </w:p>
    <w:p>
      <w:pPr>
        <w:spacing w:line="520" w:lineRule="exact"/>
        <w:ind w:firstLine="480" w:firstLineChars="200"/>
        <w:rPr>
          <w:sz w:val="24"/>
        </w:rPr>
      </w:pPr>
      <w:r>
        <w:rPr>
          <w:rFonts w:hint="eastAsia"/>
          <w:sz w:val="24"/>
        </w:rPr>
        <w:t>本合同由双方或双方上级单位的纪检监察机关负责监督。由甲方或甲方上级单位的纪检监察机关的约请乙方或乙方上级单位纪检监察机关对本合同履行情况进行检查，提出在本合同规定范围内的裁定意见。</w:t>
      </w:r>
    </w:p>
    <w:p>
      <w:pPr>
        <w:spacing w:line="520" w:lineRule="exact"/>
        <w:ind w:firstLine="482" w:firstLineChars="200"/>
        <w:rPr>
          <w:sz w:val="24"/>
        </w:rPr>
      </w:pPr>
      <w:r>
        <w:rPr>
          <w:rFonts w:hint="eastAsia"/>
          <w:b/>
          <w:sz w:val="24"/>
        </w:rPr>
        <w:t xml:space="preserve">第六条 </w:t>
      </w:r>
      <w:r>
        <w:rPr>
          <w:rFonts w:hint="eastAsia"/>
          <w:sz w:val="24"/>
        </w:rPr>
        <w:t xml:space="preserve"> 本合同有效期为甲、乙双方签署之日起至该工程项目竣工验收后止。</w:t>
      </w:r>
    </w:p>
    <w:p>
      <w:pPr>
        <w:spacing w:line="520" w:lineRule="exact"/>
        <w:ind w:firstLine="482" w:firstLineChars="200"/>
        <w:rPr>
          <w:sz w:val="24"/>
        </w:rPr>
      </w:pPr>
      <w:r>
        <w:rPr>
          <w:rFonts w:hint="eastAsia"/>
          <w:b/>
          <w:sz w:val="24"/>
        </w:rPr>
        <w:t xml:space="preserve">第七条 </w:t>
      </w:r>
      <w:r>
        <w:rPr>
          <w:rFonts w:hint="eastAsia"/>
          <w:sz w:val="24"/>
        </w:rPr>
        <w:t xml:space="preserve"> 本合同作为</w:t>
      </w:r>
      <w:r>
        <w:rPr>
          <w:rFonts w:hint="eastAsia"/>
          <w:sz w:val="24"/>
          <w:u w:val="single"/>
          <w:lang w:eastAsia="zh-CN"/>
        </w:rPr>
        <w:t>西安市高陵区创优质均衡发展（苏家小学户外改造提升项目）</w:t>
      </w:r>
      <w:r>
        <w:rPr>
          <w:rFonts w:hint="eastAsia"/>
          <w:sz w:val="24"/>
        </w:rPr>
        <w:t>施工合同的附件，与工程施工合同具有同等的法律效力，经合同双方签署立即生效。</w:t>
      </w:r>
    </w:p>
    <w:p>
      <w:pPr>
        <w:spacing w:line="520" w:lineRule="exact"/>
        <w:ind w:firstLine="482" w:firstLineChars="200"/>
        <w:rPr>
          <w:b/>
          <w:sz w:val="24"/>
        </w:rPr>
      </w:pPr>
      <w:r>
        <w:rPr>
          <w:rFonts w:hint="eastAsia"/>
          <w:b/>
          <w:sz w:val="24"/>
        </w:rPr>
        <w:t xml:space="preserve">第八条   </w:t>
      </w:r>
      <w:r>
        <w:rPr>
          <w:rFonts w:hint="eastAsia"/>
          <w:sz w:val="24"/>
        </w:rPr>
        <w:t>本合同甲乙双方各执一份。</w:t>
      </w:r>
    </w:p>
    <w:p>
      <w:pPr>
        <w:spacing w:line="520" w:lineRule="exact"/>
        <w:rPr>
          <w:sz w:val="28"/>
          <w:szCs w:val="28"/>
        </w:rPr>
      </w:pPr>
    </w:p>
    <w:p>
      <w:pPr>
        <w:spacing w:line="520" w:lineRule="exact"/>
        <w:rPr>
          <w:sz w:val="28"/>
          <w:szCs w:val="28"/>
        </w:rPr>
      </w:pPr>
    </w:p>
    <w:p>
      <w:pPr>
        <w:spacing w:line="520" w:lineRule="exact"/>
        <w:rPr>
          <w:sz w:val="24"/>
        </w:rPr>
      </w:pPr>
      <w:r>
        <w:rPr>
          <w:rFonts w:hint="eastAsia"/>
          <w:sz w:val="24"/>
        </w:rPr>
        <w:t>建设单位：（盖章）                 施工单位：（盖章）</w:t>
      </w:r>
    </w:p>
    <w:p>
      <w:pPr>
        <w:spacing w:line="520" w:lineRule="exact"/>
        <w:rPr>
          <w:sz w:val="24"/>
        </w:rPr>
      </w:pPr>
    </w:p>
    <w:p>
      <w:pPr>
        <w:spacing w:line="520" w:lineRule="exact"/>
        <w:rPr>
          <w:sz w:val="24"/>
        </w:rPr>
      </w:pPr>
    </w:p>
    <w:p>
      <w:pPr>
        <w:tabs>
          <w:tab w:val="left" w:pos="4800"/>
        </w:tabs>
        <w:spacing w:line="520" w:lineRule="exact"/>
        <w:rPr>
          <w:sz w:val="24"/>
        </w:rPr>
      </w:pPr>
      <w:r>
        <w:rPr>
          <w:rFonts w:hint="eastAsia"/>
          <w:sz w:val="24"/>
        </w:rPr>
        <w:t>法定代表人：</w:t>
      </w:r>
      <w:r>
        <w:rPr>
          <w:sz w:val="24"/>
        </w:rPr>
        <w:tab/>
      </w:r>
      <w:r>
        <w:rPr>
          <w:rFonts w:hint="eastAsia"/>
          <w:sz w:val="24"/>
        </w:rPr>
        <w:t>法定代表人：</w:t>
      </w:r>
    </w:p>
    <w:p>
      <w:pPr>
        <w:tabs>
          <w:tab w:val="left" w:pos="4800"/>
        </w:tabs>
        <w:spacing w:line="520" w:lineRule="exact"/>
        <w:rPr>
          <w:sz w:val="24"/>
        </w:rPr>
      </w:pPr>
      <w:r>
        <w:rPr>
          <w:rFonts w:hint="eastAsia"/>
          <w:sz w:val="24"/>
        </w:rPr>
        <w:t>委托代理人：</w:t>
      </w:r>
      <w:r>
        <w:rPr>
          <w:sz w:val="24"/>
        </w:rPr>
        <w:tab/>
      </w:r>
      <w:r>
        <w:rPr>
          <w:rFonts w:hint="eastAsia"/>
          <w:sz w:val="24"/>
        </w:rPr>
        <w:t>委托代理人：</w:t>
      </w:r>
    </w:p>
    <w:p>
      <w:pPr>
        <w:tabs>
          <w:tab w:val="left" w:pos="4800"/>
        </w:tabs>
        <w:spacing w:line="520" w:lineRule="exact"/>
        <w:rPr>
          <w:sz w:val="24"/>
        </w:rPr>
      </w:pPr>
      <w:r>
        <w:rPr>
          <w:rFonts w:hint="eastAsia"/>
          <w:sz w:val="24"/>
        </w:rPr>
        <w:t>经手人：</w:t>
      </w:r>
      <w:r>
        <w:rPr>
          <w:sz w:val="24"/>
        </w:rPr>
        <w:tab/>
      </w:r>
      <w:r>
        <w:rPr>
          <w:rFonts w:hint="eastAsia"/>
          <w:sz w:val="24"/>
        </w:rPr>
        <w:t>经手人：</w:t>
      </w:r>
    </w:p>
    <w:p>
      <w:pPr>
        <w:tabs>
          <w:tab w:val="left" w:pos="4800"/>
        </w:tabs>
        <w:spacing w:line="520" w:lineRule="exact"/>
        <w:rPr>
          <w:sz w:val="24"/>
        </w:rPr>
      </w:pPr>
      <w:r>
        <w:rPr>
          <w:rFonts w:hint="eastAsia"/>
          <w:sz w:val="24"/>
        </w:rPr>
        <w:t>地址：　</w:t>
      </w:r>
      <w:r>
        <w:rPr>
          <w:sz w:val="24"/>
        </w:rPr>
        <w:tab/>
      </w:r>
      <w:r>
        <w:rPr>
          <w:rFonts w:hint="eastAsia"/>
          <w:sz w:val="24"/>
        </w:rPr>
        <w:t>地址：</w:t>
      </w:r>
    </w:p>
    <w:p>
      <w:pPr>
        <w:tabs>
          <w:tab w:val="left" w:pos="4800"/>
        </w:tabs>
        <w:spacing w:line="520" w:lineRule="exact"/>
        <w:rPr>
          <w:sz w:val="24"/>
        </w:rPr>
      </w:pPr>
      <w:r>
        <w:rPr>
          <w:rFonts w:hint="eastAsia"/>
          <w:sz w:val="24"/>
        </w:rPr>
        <w:t>联系电话：　</w:t>
      </w:r>
      <w:r>
        <w:rPr>
          <w:sz w:val="24"/>
        </w:rPr>
        <w:tab/>
      </w:r>
      <w:r>
        <w:rPr>
          <w:rFonts w:hint="eastAsia"/>
          <w:sz w:val="24"/>
        </w:rPr>
        <w:t>电话：</w:t>
      </w:r>
    </w:p>
    <w:p>
      <w:pPr>
        <w:spacing w:line="520" w:lineRule="exact"/>
        <w:rPr>
          <w:sz w:val="24"/>
        </w:rPr>
      </w:pPr>
      <w:r>
        <w:rPr>
          <w:rFonts w:hint="eastAsia"/>
          <w:sz w:val="24"/>
        </w:rPr>
        <w:t>签定日期：                              签订日期：</w:t>
      </w:r>
    </w:p>
    <w:p>
      <w:pPr>
        <w:spacing w:line="520" w:lineRule="exact"/>
        <w:rPr>
          <w:sz w:val="24"/>
        </w:rPr>
      </w:pPr>
    </w:p>
    <w:p>
      <w:pPr>
        <w:spacing w:line="700" w:lineRule="exact"/>
        <w:rPr>
          <w:sz w:val="24"/>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602"/>
        <w:rPr>
          <w:b/>
          <w:bCs/>
          <w:sz w:val="30"/>
          <w:szCs w:val="30"/>
        </w:rPr>
      </w:pPr>
    </w:p>
    <w:p>
      <w:pPr>
        <w:pStyle w:val="2"/>
        <w:ind w:firstLine="0" w:firstLineChars="0"/>
      </w:pPr>
    </w:p>
    <w:bookmarkEnd w:id="12"/>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sectPr>
          <w:footerReference r:id="rId13" w:type="default"/>
          <w:pgSz w:w="11906" w:h="16838"/>
          <w:pgMar w:top="1440" w:right="1457" w:bottom="1440" w:left="1463" w:header="851" w:footer="992" w:gutter="0"/>
          <w:cols w:space="0" w:num="1"/>
          <w:titlePg/>
          <w:docGrid w:type="lines" w:linePitch="312" w:charSpace="0"/>
        </w:sectPr>
      </w:pPr>
    </w:p>
    <w:p>
      <w:pPr>
        <w:pStyle w:val="3"/>
        <w:numPr>
          <w:ilvl w:val="0"/>
          <w:numId w:val="0"/>
        </w:numPr>
        <w:adjustRightInd w:val="0"/>
        <w:snapToGrid w:val="0"/>
        <w:spacing w:after="156" w:afterLines="50" w:line="360" w:lineRule="auto"/>
        <w:rPr>
          <w:rFonts w:asciiTheme="majorEastAsia" w:hAnsiTheme="majorEastAsia" w:eastAsiaTheme="majorEastAsia" w:cstheme="majorEastAsia"/>
          <w:b/>
          <w:bCs/>
          <w:sz w:val="32"/>
          <w:szCs w:val="32"/>
          <w:lang w:val="zh-CN"/>
        </w:rPr>
      </w:pPr>
      <w:bookmarkStart w:id="32" w:name="_Toc17185"/>
      <w:r>
        <w:rPr>
          <w:rFonts w:hint="eastAsia" w:asciiTheme="majorEastAsia" w:hAnsiTheme="majorEastAsia" w:eastAsiaTheme="majorEastAsia" w:cstheme="majorEastAsia"/>
          <w:b/>
          <w:bCs/>
          <w:sz w:val="32"/>
          <w:szCs w:val="32"/>
          <w:lang w:val="zh-CN"/>
        </w:rPr>
        <w:t>第七章　响应文件格式</w:t>
      </w:r>
      <w:bookmarkEnd w:id="32"/>
    </w:p>
    <w:p>
      <w:pPr>
        <w:outlineLvl w:val="0"/>
        <w:rPr>
          <w:kern w:val="0"/>
          <w:sz w:val="24"/>
        </w:rPr>
      </w:pPr>
      <w:bookmarkStart w:id="33" w:name="_Toc2678"/>
      <w:r>
        <w:rPr>
          <w:sz w:val="28"/>
        </w:rPr>
        <w:t>采购编号：</w:t>
      </w:r>
      <w:r>
        <w:rPr>
          <w:rFonts w:hint="eastAsia" w:asciiTheme="minorEastAsia" w:hAnsiTheme="minorEastAsia" w:eastAsiaTheme="minorEastAsia" w:cstheme="minorEastAsia"/>
          <w:b/>
          <w:bCs/>
          <w:sz w:val="32"/>
          <w:szCs w:val="32"/>
          <w:lang w:eastAsia="zh-CN"/>
        </w:rPr>
        <w:t>YCZB-2022010C</w:t>
      </w:r>
      <w:r>
        <w:rPr>
          <w:kern w:val="0"/>
          <w:sz w:val="24"/>
        </w:rPr>
        <w:t xml:space="preserve">                           </w:t>
      </w:r>
      <w:r>
        <w:rPr>
          <w:kern w:val="0"/>
          <w:sz w:val="28"/>
        </w:rPr>
        <w:t>（正本或副本）</w:t>
      </w:r>
      <w:bookmarkEnd w:id="33"/>
    </w:p>
    <w:p/>
    <w:p>
      <w:pPr>
        <w:pStyle w:val="17"/>
      </w:pPr>
    </w:p>
    <w:p/>
    <w:p>
      <w:pPr>
        <w:jc w:val="center"/>
        <w:rPr>
          <w:rFonts w:hint="eastAsia"/>
          <w:b/>
          <w:bCs/>
          <w:sz w:val="44"/>
          <w:szCs w:val="52"/>
        </w:rPr>
      </w:pPr>
    </w:p>
    <w:p>
      <w:pPr>
        <w:jc w:val="center"/>
        <w:rPr>
          <w:rFonts w:hint="eastAsia" w:eastAsia="宋体"/>
          <w:b/>
          <w:bCs/>
          <w:sz w:val="44"/>
          <w:szCs w:val="52"/>
          <w:lang w:eastAsia="zh-CN"/>
        </w:rPr>
      </w:pPr>
      <w:r>
        <w:rPr>
          <w:rFonts w:hint="eastAsia"/>
          <w:b/>
          <w:bCs/>
          <w:sz w:val="44"/>
          <w:szCs w:val="52"/>
        </w:rPr>
        <w:t xml:space="preserve"> </w:t>
      </w:r>
      <w:r>
        <w:rPr>
          <w:rFonts w:hint="eastAsia"/>
          <w:b/>
          <w:bCs/>
          <w:sz w:val="44"/>
          <w:szCs w:val="52"/>
          <w:lang w:eastAsia="zh-CN"/>
        </w:rPr>
        <w:t>西安市高陵区创优质均衡发展（苏家小学户外改造提升项目）</w:t>
      </w:r>
    </w:p>
    <w:p/>
    <w:p>
      <w:pPr>
        <w:rPr>
          <w:b/>
          <w:sz w:val="24"/>
        </w:rPr>
      </w:pPr>
    </w:p>
    <w:p>
      <w:pPr>
        <w:pStyle w:val="2"/>
      </w:pPr>
    </w:p>
    <w:p/>
    <w:p>
      <w:pPr>
        <w:pStyle w:val="17"/>
      </w:pPr>
    </w:p>
    <w:p/>
    <w:p>
      <w:pPr>
        <w:pStyle w:val="17"/>
      </w:pPr>
    </w:p>
    <w:p/>
    <w:p/>
    <w:p>
      <w:pPr>
        <w:pStyle w:val="3"/>
        <w:numPr>
          <w:ilvl w:val="0"/>
          <w:numId w:val="0"/>
        </w:numPr>
        <w:adjustRightInd w:val="0"/>
        <w:snapToGrid w:val="0"/>
        <w:spacing w:line="312" w:lineRule="auto"/>
        <w:ind w:left="431" w:hanging="431"/>
        <w:rPr>
          <w:rFonts w:asciiTheme="minorEastAsia" w:hAnsiTheme="minorEastAsia" w:eastAsiaTheme="minorEastAsia" w:cstheme="minorEastAsia"/>
          <w:b/>
          <w:sz w:val="44"/>
          <w:szCs w:val="44"/>
        </w:rPr>
      </w:pPr>
      <w:bookmarkStart w:id="34" w:name="_Toc3483"/>
      <w:r>
        <w:rPr>
          <w:rFonts w:hint="eastAsia" w:asciiTheme="minorEastAsia" w:hAnsiTheme="minorEastAsia" w:eastAsiaTheme="minorEastAsia" w:cstheme="minorEastAsia"/>
          <w:b/>
          <w:sz w:val="44"/>
          <w:szCs w:val="44"/>
        </w:rPr>
        <w:t>响应文件</w:t>
      </w:r>
      <w:bookmarkEnd w:id="34"/>
    </w:p>
    <w:p>
      <w:pPr>
        <w:spacing w:line="360" w:lineRule="auto"/>
        <w:rPr>
          <w:b/>
          <w:sz w:val="24"/>
        </w:rPr>
      </w:pPr>
    </w:p>
    <w:p>
      <w:pPr>
        <w:spacing w:line="360" w:lineRule="auto"/>
        <w:rPr>
          <w:b/>
          <w:sz w:val="24"/>
          <w:u w:val="single"/>
        </w:rPr>
      </w:pPr>
    </w:p>
    <w:p>
      <w:pPr>
        <w:spacing w:line="360" w:lineRule="auto"/>
        <w:ind w:firstLine="2626" w:firstLineChars="1090"/>
        <w:rPr>
          <w:b/>
          <w:sz w:val="24"/>
          <w:u w:val="single"/>
        </w:rPr>
      </w:pPr>
      <w:r>
        <w:rPr>
          <w:b/>
          <w:sz w:val="24"/>
        </w:rPr>
        <w:t xml:space="preserve"> </w:t>
      </w:r>
    </w:p>
    <w:p/>
    <w:p>
      <w:pPr>
        <w:pStyle w:val="17"/>
      </w:pPr>
    </w:p>
    <w:p/>
    <w:p>
      <w:pPr>
        <w:spacing w:line="360" w:lineRule="auto"/>
        <w:rPr>
          <w:b/>
          <w:sz w:val="24"/>
        </w:rPr>
      </w:pPr>
      <w:r>
        <w:rPr>
          <w:b/>
          <w:sz w:val="24"/>
        </w:rPr>
        <w:t xml:space="preserve">  </w:t>
      </w:r>
    </w:p>
    <w:p>
      <w:pPr>
        <w:spacing w:line="600" w:lineRule="auto"/>
        <w:jc w:val="center"/>
        <w:rPr>
          <w:b/>
          <w:sz w:val="28"/>
          <w:u w:val="single"/>
        </w:rPr>
      </w:pPr>
      <w:r>
        <w:rPr>
          <w:rFonts w:hint="eastAsia"/>
          <w:b/>
          <w:sz w:val="28"/>
        </w:rPr>
        <w:t>磋商响应单位</w:t>
      </w:r>
      <w:r>
        <w:rPr>
          <w:b/>
          <w:sz w:val="28"/>
        </w:rPr>
        <w:t>：</w:t>
      </w:r>
      <w:r>
        <w:rPr>
          <w:bCs/>
          <w:sz w:val="28"/>
          <w:u w:val="single"/>
        </w:rPr>
        <w:t xml:space="preserve">                          </w:t>
      </w:r>
      <w:r>
        <w:rPr>
          <w:b/>
          <w:sz w:val="28"/>
        </w:rPr>
        <w:t>（盖章）</w:t>
      </w:r>
    </w:p>
    <w:p>
      <w:pPr>
        <w:spacing w:line="600" w:lineRule="auto"/>
        <w:ind w:firstLine="562" w:firstLineChars="200"/>
        <w:outlineLvl w:val="0"/>
        <w:rPr>
          <w:b/>
          <w:sz w:val="28"/>
        </w:rPr>
      </w:pPr>
      <w:r>
        <w:rPr>
          <w:b/>
          <w:sz w:val="28"/>
        </w:rPr>
        <w:t xml:space="preserve"> </w:t>
      </w:r>
      <w:r>
        <w:rPr>
          <w:rFonts w:hint="eastAsia"/>
          <w:b/>
          <w:sz w:val="28"/>
          <w:lang w:val="en-US" w:eastAsia="zh-CN"/>
        </w:rPr>
        <w:t xml:space="preserve">  </w:t>
      </w:r>
      <w:r>
        <w:rPr>
          <w:b/>
          <w:sz w:val="28"/>
        </w:rPr>
        <w:t xml:space="preserve"> </w:t>
      </w:r>
      <w:bookmarkStart w:id="35" w:name="_Toc15600"/>
      <w:r>
        <w:rPr>
          <w:b/>
          <w:sz w:val="28"/>
        </w:rPr>
        <w:t>法定代表人或其授权代理人：</w:t>
      </w:r>
      <w:r>
        <w:rPr>
          <w:bCs/>
          <w:sz w:val="28"/>
          <w:u w:val="single"/>
        </w:rPr>
        <w:t xml:space="preserve">            </w:t>
      </w:r>
      <w:r>
        <w:rPr>
          <w:b/>
          <w:sz w:val="28"/>
        </w:rPr>
        <w:t>（签字或盖章）</w:t>
      </w:r>
      <w:bookmarkEnd w:id="35"/>
    </w:p>
    <w:p>
      <w:pPr>
        <w:spacing w:line="600" w:lineRule="auto"/>
        <w:ind w:firstLine="562" w:firstLineChars="200"/>
        <w:outlineLvl w:val="0"/>
        <w:rPr>
          <w:bCs/>
          <w:sz w:val="28"/>
          <w:u w:val="single"/>
        </w:rPr>
      </w:pPr>
      <w:r>
        <w:rPr>
          <w:b/>
          <w:sz w:val="28"/>
        </w:rPr>
        <w:t xml:space="preserve"> </w:t>
      </w:r>
      <w:r>
        <w:rPr>
          <w:rFonts w:hint="eastAsia"/>
          <w:b/>
          <w:sz w:val="28"/>
          <w:lang w:val="en-US" w:eastAsia="zh-CN"/>
        </w:rPr>
        <w:t xml:space="preserve">  </w:t>
      </w:r>
      <w:r>
        <w:rPr>
          <w:b/>
          <w:sz w:val="28"/>
        </w:rPr>
        <w:t xml:space="preserve"> </w:t>
      </w:r>
      <w:bookmarkStart w:id="36" w:name="_Toc30736"/>
      <w:r>
        <w:rPr>
          <w:rFonts w:hint="eastAsia"/>
          <w:b/>
          <w:sz w:val="28"/>
        </w:rPr>
        <w:t>日    期</w:t>
      </w:r>
      <w:r>
        <w:rPr>
          <w:b/>
          <w:sz w:val="28"/>
        </w:rPr>
        <w:t>：</w:t>
      </w:r>
      <w:bookmarkEnd w:id="36"/>
      <w:r>
        <w:rPr>
          <w:bCs/>
          <w:sz w:val="28"/>
          <w:u w:val="single"/>
        </w:rPr>
        <w:t xml:space="preserve">                 </w:t>
      </w:r>
      <w:r>
        <w:rPr>
          <w:rFonts w:hint="eastAsia"/>
          <w:bCs/>
          <w:sz w:val="28"/>
          <w:u w:val="single"/>
        </w:rPr>
        <w:t>　　　　　　　</w:t>
      </w:r>
      <w:r>
        <w:rPr>
          <w:bCs/>
          <w:sz w:val="28"/>
          <w:u w:val="single"/>
        </w:rPr>
        <w:t xml:space="preserve">         </w:t>
      </w:r>
    </w:p>
    <w:p>
      <w:pPr>
        <w:spacing w:line="360" w:lineRule="auto"/>
        <w:ind w:firstLine="482" w:firstLineChars="200"/>
        <w:jc w:val="center"/>
        <w:rPr>
          <w:b/>
          <w:sz w:val="24"/>
        </w:rPr>
        <w:sectPr>
          <w:pgSz w:w="11906" w:h="16838"/>
          <w:pgMar w:top="1440" w:right="1457" w:bottom="1440" w:left="1463" w:header="851" w:footer="992" w:gutter="0"/>
          <w:cols w:space="0" w:num="1"/>
          <w:titlePg/>
          <w:docGrid w:type="lines" w:linePitch="312" w:charSpace="0"/>
        </w:sectPr>
      </w:pPr>
    </w:p>
    <w:p>
      <w:pPr>
        <w:spacing w:line="360" w:lineRule="auto"/>
        <w:ind w:firstLine="482" w:firstLineChars="200"/>
        <w:jc w:val="center"/>
        <w:outlineLvl w:val="1"/>
        <w:rPr>
          <w:b/>
          <w:bCs/>
          <w:sz w:val="30"/>
          <w:szCs w:val="30"/>
        </w:rPr>
      </w:pPr>
      <w:r>
        <w:rPr>
          <w:b/>
          <w:sz w:val="24"/>
        </w:rPr>
        <w:t xml:space="preserve"> </w:t>
      </w:r>
      <w:r>
        <w:rPr>
          <w:b/>
          <w:bCs/>
          <w:sz w:val="30"/>
          <w:szCs w:val="30"/>
        </w:rPr>
        <w:t>目   录</w:t>
      </w:r>
    </w:p>
    <w:p>
      <w:pPr>
        <w:pStyle w:val="2"/>
        <w:jc w:val="center"/>
        <w:rPr>
          <w:rFonts w:hint="eastAsia" w:eastAsia="宋体"/>
          <w:lang w:eastAsia="zh-CN"/>
        </w:rPr>
      </w:pPr>
      <w:r>
        <w:rPr>
          <w:rFonts w:hint="eastAsia"/>
          <w:b/>
          <w:bCs/>
          <w:sz w:val="30"/>
          <w:szCs w:val="30"/>
          <w:lang w:eastAsia="zh-CN"/>
        </w:rPr>
        <w:t>（格式自拟）</w:t>
      </w:r>
    </w:p>
    <w:p>
      <w:pPr>
        <w:rPr>
          <w:b/>
          <w:bCs/>
          <w:sz w:val="30"/>
          <w:szCs w:val="30"/>
        </w:rPr>
      </w:pPr>
      <w:r>
        <w:rPr>
          <w:b/>
          <w:bCs/>
          <w:sz w:val="30"/>
          <w:szCs w:val="30"/>
        </w:rPr>
        <w:br w:type="page"/>
      </w:r>
    </w:p>
    <w:p>
      <w:pPr>
        <w:pStyle w:val="2"/>
      </w:pPr>
    </w:p>
    <w:p>
      <w:pPr>
        <w:spacing w:line="360" w:lineRule="auto"/>
        <w:ind w:firstLine="562" w:firstLineChars="200"/>
        <w:outlineLvl w:val="0"/>
        <w:rPr>
          <w:sz w:val="24"/>
        </w:rPr>
      </w:pPr>
      <w:bookmarkStart w:id="37" w:name="_Toc20742"/>
      <w:r>
        <w:rPr>
          <w:rFonts w:hint="eastAsia"/>
          <w:b/>
          <w:bCs/>
          <w:sz w:val="28"/>
          <w:szCs w:val="28"/>
        </w:rPr>
        <w:t>资格证明文件</w:t>
      </w:r>
      <w:bookmarkEnd w:id="37"/>
    </w:p>
    <w:p>
      <w:pPr>
        <w:pStyle w:val="2"/>
        <w:spacing w:line="360" w:lineRule="auto"/>
        <w:ind w:firstLine="480"/>
        <w:outlineLvl w:val="0"/>
        <w:rPr>
          <w:rFonts w:ascii="宋体" w:hAnsi="宋体" w:cs="宋体"/>
          <w:sz w:val="24"/>
        </w:rPr>
      </w:pPr>
      <w:r>
        <w:rPr>
          <w:rFonts w:hint="eastAsia" w:ascii="宋体" w:hAnsi="宋体" w:cs="宋体"/>
          <w:sz w:val="24"/>
        </w:rPr>
        <w:t>1、具有合格有效的企业法人营业执照、税务登记证、组织机构代码证（或三证合一营业执照）；</w:t>
      </w:r>
    </w:p>
    <w:p>
      <w:pPr>
        <w:pStyle w:val="2"/>
        <w:spacing w:line="360" w:lineRule="auto"/>
        <w:ind w:firstLine="480"/>
        <w:outlineLvl w:val="0"/>
        <w:rPr>
          <w:rFonts w:ascii="宋体" w:hAnsi="宋体" w:cs="宋体"/>
          <w:sz w:val="24"/>
        </w:rPr>
      </w:pPr>
      <w:r>
        <w:rPr>
          <w:rFonts w:hint="eastAsia" w:ascii="宋体" w:hAnsi="宋体" w:cs="宋体"/>
          <w:sz w:val="24"/>
        </w:rPr>
        <w:t>2、磋商响应单位应授权合法的人员参加磋商全过程，其中法定代表人直接参加磋商的，须出具法人身份证，并与营业执照上信息一致。法定代表人授权代表参加磋商的，须出具法定代表人授权书及授权代表身份证；</w:t>
      </w:r>
    </w:p>
    <w:p>
      <w:pPr>
        <w:pStyle w:val="2"/>
        <w:spacing w:line="360" w:lineRule="auto"/>
        <w:ind w:firstLine="480"/>
        <w:outlineLvl w:val="0"/>
        <w:rPr>
          <w:rFonts w:ascii="宋体" w:hAnsi="宋体" w:cs="宋体"/>
          <w:sz w:val="24"/>
        </w:rPr>
      </w:pPr>
      <w:r>
        <w:rPr>
          <w:rFonts w:hint="eastAsia" w:ascii="宋体" w:hAnsi="宋体" w:cs="宋体"/>
          <w:sz w:val="24"/>
        </w:rPr>
        <w:t>3、</w:t>
      </w:r>
      <w:r>
        <w:rPr>
          <w:rFonts w:hint="eastAsia" w:ascii="宋体" w:hAnsi="宋体" w:cs="宋体"/>
          <w:sz w:val="24"/>
          <w:lang w:eastAsia="zh-CN"/>
        </w:rPr>
        <w:t>具备建设部门颁发的建筑工程施工总承包三级（含）以上资质，具有有效的安全生产许可证</w:t>
      </w:r>
      <w:r>
        <w:rPr>
          <w:rFonts w:hint="eastAsia" w:ascii="宋体" w:hAnsi="宋体" w:cs="宋体"/>
          <w:sz w:val="24"/>
        </w:rPr>
        <w:t>；</w:t>
      </w:r>
    </w:p>
    <w:p>
      <w:pPr>
        <w:pStyle w:val="2"/>
        <w:spacing w:line="360" w:lineRule="auto"/>
        <w:ind w:firstLine="480"/>
        <w:outlineLvl w:val="0"/>
        <w:rPr>
          <w:rFonts w:ascii="宋体" w:hAnsi="宋体" w:cs="宋体"/>
          <w:sz w:val="24"/>
        </w:rPr>
      </w:pPr>
      <w:r>
        <w:rPr>
          <w:rFonts w:hint="eastAsia" w:ascii="宋体" w:hAnsi="宋体" w:cs="宋体"/>
          <w:sz w:val="24"/>
        </w:rPr>
        <w:t>4、拟委派项目经理须具有建筑工程专业贰级（含）以上注册建造师资质并具有安全生产考核合格证，在本单位注册且无在建工程；</w:t>
      </w:r>
    </w:p>
    <w:p>
      <w:pPr>
        <w:pStyle w:val="2"/>
        <w:spacing w:line="360" w:lineRule="auto"/>
        <w:ind w:firstLine="480"/>
        <w:outlineLvl w:val="0"/>
        <w:rPr>
          <w:rFonts w:ascii="宋体" w:hAnsi="宋体" w:cs="宋体"/>
          <w:sz w:val="24"/>
        </w:rPr>
      </w:pPr>
      <w:r>
        <w:rPr>
          <w:rFonts w:hint="eastAsia" w:ascii="宋体" w:hAnsi="宋体" w:cs="宋体"/>
          <w:sz w:val="24"/>
        </w:rPr>
        <w:t>5、供应商不得为“信用中国”网站（www.creditchina.gov.cn）</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中国执行信息公开网</w:t>
      </w:r>
      <w:r>
        <w:rPr>
          <w:rFonts w:hint="eastAsia" w:ascii="宋体" w:hAnsi="宋体" w:cs="宋体"/>
          <w:kern w:val="0"/>
          <w:sz w:val="24"/>
          <w:highlight w:val="none"/>
          <w:lang w:eastAsia="zh-CN"/>
        </w:rPr>
        <w:t>）</w:t>
      </w:r>
      <w:r>
        <w:rPr>
          <w:rFonts w:hint="eastAsia" w:ascii="宋体" w:hAnsi="宋体" w:cs="宋体"/>
          <w:sz w:val="24"/>
        </w:rPr>
        <w:t>中列入失信被执行人和重大税收违法案件当事人名单的供应商，不得为中国政府采购网（www.ccgp.gov.cn）政府采购严重违法失信行为记录名单中被财政部门禁止参加政府采购活动的供应商；</w:t>
      </w:r>
    </w:p>
    <w:p>
      <w:pPr>
        <w:pStyle w:val="2"/>
        <w:spacing w:line="360" w:lineRule="auto"/>
        <w:ind w:firstLine="480"/>
        <w:outlineLvl w:val="0"/>
        <w:rPr>
          <w:rFonts w:ascii="宋体" w:hAnsi="宋体" w:cs="宋体"/>
          <w:sz w:val="24"/>
        </w:rPr>
      </w:pPr>
      <w:r>
        <w:rPr>
          <w:rFonts w:hint="eastAsia" w:ascii="宋体" w:hAnsi="宋体" w:cs="宋体"/>
          <w:sz w:val="24"/>
        </w:rPr>
        <w:t>6、税收缴纳证明：提供2021年</w:t>
      </w:r>
      <w:r>
        <w:rPr>
          <w:rFonts w:hint="eastAsia" w:ascii="宋体" w:hAnsi="宋体" w:cs="宋体"/>
          <w:sz w:val="24"/>
          <w:lang w:val="en-US" w:eastAsia="zh-CN"/>
        </w:rPr>
        <w:t>6</w:t>
      </w:r>
      <w:r>
        <w:rPr>
          <w:rFonts w:hint="eastAsia" w:ascii="宋体" w:hAnsi="宋体" w:cs="宋体"/>
          <w:sz w:val="24"/>
        </w:rPr>
        <w:t>月至今已缴纳的至少一个月的纳税证明或完税证明（任意税种），依法免税的单位应提供相关证明材料；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7、社会保障资金缴纳证明：提供2021年</w:t>
      </w:r>
      <w:r>
        <w:rPr>
          <w:rFonts w:hint="eastAsia" w:ascii="宋体" w:hAnsi="宋体" w:cs="宋体"/>
          <w:sz w:val="24"/>
          <w:lang w:val="en-US" w:eastAsia="zh-CN"/>
        </w:rPr>
        <w:t>6</w:t>
      </w:r>
      <w:r>
        <w:rPr>
          <w:rFonts w:hint="eastAsia" w:ascii="宋体" w:hAnsi="宋体" w:cs="宋体"/>
          <w:sz w:val="24"/>
        </w:rPr>
        <w:t>月至今已缴存的至少一个月的社会保障资金缴存单据或社保机构开具的社会保险参保缴费情况证明，依法不需要缴纳社会保障资金的单位应提供相关证明材料；</w:t>
      </w:r>
    </w:p>
    <w:p>
      <w:pPr>
        <w:pStyle w:val="2"/>
        <w:spacing w:line="360" w:lineRule="auto"/>
        <w:ind w:firstLine="480"/>
        <w:outlineLvl w:val="0"/>
        <w:rPr>
          <w:rFonts w:ascii="宋体" w:hAnsi="宋体" w:cs="宋体"/>
          <w:sz w:val="24"/>
        </w:rPr>
      </w:pPr>
      <w:r>
        <w:rPr>
          <w:rFonts w:hint="eastAsia" w:ascii="宋体" w:hAnsi="宋体" w:cs="宋体"/>
          <w:sz w:val="24"/>
        </w:rPr>
        <w:t>8、财务状况报告：</w:t>
      </w:r>
      <w:r>
        <w:rPr>
          <w:rFonts w:hint="eastAsia" w:ascii="宋体" w:hAnsi="宋体" w:cs="宋体"/>
          <w:sz w:val="24"/>
          <w:lang w:eastAsia="zh-CN"/>
        </w:rPr>
        <w:t>提供供应商2020年度经审计的财务报告或磋商前三个月内开户银行开具的资信证明</w:t>
      </w:r>
      <w:r>
        <w:rPr>
          <w:rFonts w:hint="eastAsia" w:ascii="宋体" w:hAnsi="宋体" w:cs="宋体"/>
          <w:sz w:val="24"/>
        </w:rPr>
        <w:t>；</w:t>
      </w:r>
    </w:p>
    <w:p>
      <w:pPr>
        <w:pStyle w:val="2"/>
        <w:spacing w:line="360" w:lineRule="auto"/>
        <w:ind w:firstLine="480"/>
        <w:outlineLvl w:val="0"/>
        <w:rPr>
          <w:rFonts w:ascii="宋体" w:hAnsi="宋体" w:cs="宋体"/>
          <w:sz w:val="24"/>
        </w:rPr>
      </w:pPr>
      <w:r>
        <w:rPr>
          <w:rFonts w:hint="eastAsia" w:ascii="宋体" w:hAnsi="宋体" w:cs="宋体"/>
          <w:sz w:val="24"/>
        </w:rPr>
        <w:t>9、参加政府采购活动前三年内，在经营活动中没有重大违法记录的书面声明；</w:t>
      </w:r>
    </w:p>
    <w:p>
      <w:pPr>
        <w:pStyle w:val="2"/>
        <w:spacing w:line="360" w:lineRule="auto"/>
        <w:ind w:firstLine="480"/>
        <w:outlineLvl w:val="0"/>
        <w:rPr>
          <w:rFonts w:hint="eastAsia" w:ascii="宋体" w:hAnsi="宋体" w:cs="宋体"/>
          <w:sz w:val="24"/>
        </w:rPr>
      </w:pPr>
      <w:r>
        <w:rPr>
          <w:rFonts w:hint="eastAsia" w:ascii="宋体" w:hAnsi="宋体" w:cs="宋体"/>
          <w:sz w:val="24"/>
        </w:rPr>
        <w:t>10、磋商响应单位负责人不得为同一人或者存在控股、管理关系。</w:t>
      </w:r>
    </w:p>
    <w:p>
      <w:pPr>
        <w:pStyle w:val="2"/>
        <w:spacing w:line="360" w:lineRule="auto"/>
        <w:ind w:firstLine="480"/>
        <w:outlineLvl w:val="0"/>
        <w:rPr>
          <w:rFonts w:hint="default" w:ascii="宋体" w:hAnsi="宋体" w:eastAsia="宋体" w:cs="宋体"/>
          <w:sz w:val="24"/>
          <w:lang w:val="en-US" w:eastAsia="zh-CN"/>
        </w:rPr>
      </w:pPr>
      <w:r>
        <w:rPr>
          <w:rFonts w:hint="eastAsia" w:ascii="宋体" w:hAnsi="宋体" w:cs="宋体"/>
          <w:sz w:val="24"/>
          <w:lang w:val="en-US" w:eastAsia="zh-CN"/>
        </w:rPr>
        <w:t>11、</w:t>
      </w:r>
      <w:r>
        <w:rPr>
          <w:rFonts w:hint="eastAsia" w:ascii="宋体" w:hAnsi="宋体" w:eastAsia="宋体" w:cs="宋体"/>
          <w:kern w:val="0"/>
          <w:sz w:val="24"/>
          <w:szCs w:val="24"/>
          <w:highlight w:val="none"/>
          <w:lang w:val="en-US" w:eastAsia="zh-CN"/>
        </w:rPr>
        <w:t>具</w:t>
      </w:r>
      <w:r>
        <w:rPr>
          <w:rFonts w:hint="eastAsia" w:ascii="宋体" w:hAnsi="宋体" w:eastAsia="宋体" w:cs="宋体"/>
          <w:kern w:val="0"/>
          <w:sz w:val="24"/>
          <w:szCs w:val="24"/>
          <w:highlight w:val="none"/>
        </w:rPr>
        <w:t>有履行本合同所必需的设备和专业技术能力</w:t>
      </w:r>
      <w:r>
        <w:rPr>
          <w:rFonts w:hint="eastAsia" w:ascii="宋体" w:hAnsi="宋体" w:eastAsia="宋体" w:cs="宋体"/>
          <w:kern w:val="0"/>
          <w:sz w:val="24"/>
          <w:szCs w:val="24"/>
          <w:highlight w:val="none"/>
          <w:lang w:eastAsia="zh-CN"/>
        </w:rPr>
        <w:t>；</w:t>
      </w:r>
    </w:p>
    <w:p>
      <w:pPr>
        <w:widowControl/>
        <w:jc w:val="left"/>
        <w:rPr>
          <w:b/>
          <w:bCs/>
          <w:sz w:val="28"/>
          <w:szCs w:val="28"/>
        </w:rPr>
      </w:pPr>
      <w:bookmarkStart w:id="38" w:name="_Toc12835_WPSOffice_Level1"/>
      <w:bookmarkStart w:id="39" w:name="_Toc5089"/>
      <w:r>
        <w:rPr>
          <w:b/>
          <w:bCs/>
          <w:sz w:val="28"/>
          <w:szCs w:val="28"/>
        </w:rPr>
        <w:br w:type="page"/>
      </w:r>
    </w:p>
    <w:p>
      <w:pPr>
        <w:spacing w:line="360" w:lineRule="auto"/>
        <w:ind w:firstLine="562" w:firstLineChars="200"/>
        <w:outlineLvl w:val="0"/>
        <w:rPr>
          <w:b/>
          <w:bCs/>
          <w:sz w:val="28"/>
          <w:szCs w:val="28"/>
        </w:rPr>
      </w:pPr>
      <w:r>
        <w:rPr>
          <w:rFonts w:hint="eastAsia"/>
          <w:b/>
          <w:bCs/>
          <w:sz w:val="28"/>
          <w:szCs w:val="28"/>
        </w:rPr>
        <w:t>商务文件</w:t>
      </w:r>
      <w:bookmarkEnd w:id="38"/>
      <w:bookmarkEnd w:id="39"/>
    </w:p>
    <w:p>
      <w:pPr>
        <w:adjustRightInd w:val="0"/>
        <w:snapToGrid w:val="0"/>
        <w:spacing w:line="360" w:lineRule="auto"/>
        <w:ind w:firstLine="480" w:firstLineChars="200"/>
        <w:outlineLvl w:val="0"/>
        <w:rPr>
          <w:sz w:val="24"/>
        </w:rPr>
      </w:pPr>
      <w:bookmarkStart w:id="40" w:name="_Toc27179_WPSOffice_Level1"/>
      <w:bookmarkStart w:id="41" w:name="_Toc23831"/>
      <w:r>
        <w:rPr>
          <w:sz w:val="24"/>
        </w:rPr>
        <w:t>一、磋商响应函</w:t>
      </w:r>
      <w:bookmarkEnd w:id="40"/>
      <w:bookmarkEnd w:id="41"/>
    </w:p>
    <w:p>
      <w:pPr>
        <w:adjustRightInd w:val="0"/>
        <w:snapToGrid w:val="0"/>
        <w:spacing w:line="360" w:lineRule="auto"/>
        <w:ind w:firstLine="480" w:firstLineChars="200"/>
        <w:outlineLvl w:val="0"/>
        <w:rPr>
          <w:sz w:val="24"/>
        </w:rPr>
      </w:pPr>
      <w:bookmarkStart w:id="42" w:name="_Toc11184_WPSOffice_Level1"/>
      <w:bookmarkStart w:id="43" w:name="_Toc4166"/>
      <w:r>
        <w:rPr>
          <w:sz w:val="24"/>
        </w:rPr>
        <w:t>二、首次</w:t>
      </w:r>
      <w:r>
        <w:rPr>
          <w:rFonts w:hint="eastAsia"/>
          <w:sz w:val="24"/>
          <w:lang w:val="en-US" w:eastAsia="zh-CN"/>
        </w:rPr>
        <w:t>磋商报价</w:t>
      </w:r>
      <w:r>
        <w:rPr>
          <w:sz w:val="24"/>
        </w:rPr>
        <w:t>表</w:t>
      </w:r>
      <w:bookmarkEnd w:id="42"/>
      <w:bookmarkEnd w:id="43"/>
    </w:p>
    <w:p>
      <w:pPr>
        <w:adjustRightInd w:val="0"/>
        <w:snapToGrid w:val="0"/>
        <w:spacing w:line="360" w:lineRule="auto"/>
        <w:ind w:firstLine="480" w:firstLineChars="200"/>
        <w:outlineLvl w:val="0"/>
        <w:rPr>
          <w:sz w:val="24"/>
        </w:rPr>
      </w:pPr>
      <w:bookmarkStart w:id="44" w:name="_Toc24822_WPSOffice_Level1"/>
      <w:bookmarkStart w:id="45" w:name="_Toc10677"/>
      <w:r>
        <w:rPr>
          <w:rFonts w:hint="eastAsia"/>
          <w:sz w:val="24"/>
        </w:rPr>
        <w:t>三、工程量清单报价表</w:t>
      </w:r>
      <w:bookmarkEnd w:id="44"/>
      <w:bookmarkEnd w:id="45"/>
    </w:p>
    <w:p>
      <w:pPr>
        <w:adjustRightInd w:val="0"/>
        <w:snapToGrid w:val="0"/>
        <w:spacing w:line="360" w:lineRule="auto"/>
        <w:ind w:firstLine="480" w:firstLineChars="200"/>
        <w:outlineLvl w:val="0"/>
        <w:rPr>
          <w:sz w:val="24"/>
        </w:rPr>
      </w:pPr>
      <w:bookmarkStart w:id="46" w:name="_Toc26147"/>
      <w:bookmarkStart w:id="47" w:name="_Toc28563_WPSOffice_Level1"/>
      <w:r>
        <w:rPr>
          <w:sz w:val="24"/>
        </w:rPr>
        <w:t>四、</w:t>
      </w:r>
      <w:r>
        <w:rPr>
          <w:rFonts w:hint="eastAsia"/>
          <w:sz w:val="24"/>
        </w:rPr>
        <w:t>磋商响应单位</w:t>
      </w:r>
      <w:r>
        <w:rPr>
          <w:sz w:val="24"/>
        </w:rPr>
        <w:t>一般情况表</w:t>
      </w:r>
      <w:bookmarkEnd w:id="46"/>
      <w:bookmarkEnd w:id="47"/>
    </w:p>
    <w:p>
      <w:pPr>
        <w:adjustRightInd w:val="0"/>
        <w:snapToGrid w:val="0"/>
        <w:spacing w:line="360" w:lineRule="auto"/>
        <w:ind w:firstLine="480" w:firstLineChars="200"/>
        <w:outlineLvl w:val="0"/>
        <w:rPr>
          <w:sz w:val="24"/>
        </w:rPr>
      </w:pPr>
      <w:bookmarkStart w:id="48" w:name="_Toc9379_WPSOffice_Level1"/>
      <w:bookmarkStart w:id="49" w:name="_Toc29082"/>
      <w:r>
        <w:rPr>
          <w:sz w:val="24"/>
        </w:rPr>
        <w:t>五、商务条款偏离表</w:t>
      </w:r>
      <w:bookmarkEnd w:id="48"/>
      <w:bookmarkEnd w:id="49"/>
    </w:p>
    <w:p>
      <w:pPr>
        <w:adjustRightInd w:val="0"/>
        <w:snapToGrid w:val="0"/>
        <w:spacing w:line="360" w:lineRule="auto"/>
        <w:ind w:firstLine="480" w:firstLineChars="200"/>
        <w:outlineLvl w:val="0"/>
        <w:rPr>
          <w:sz w:val="24"/>
        </w:rPr>
      </w:pPr>
      <w:bookmarkStart w:id="50" w:name="_Toc15391"/>
      <w:bookmarkStart w:id="51" w:name="_Toc24108_WPSOffice_Level1"/>
      <w:r>
        <w:rPr>
          <w:sz w:val="24"/>
        </w:rPr>
        <w:t>六、业绩</w:t>
      </w:r>
      <w:bookmarkEnd w:id="50"/>
      <w:bookmarkEnd w:id="51"/>
    </w:p>
    <w:p>
      <w:pPr>
        <w:adjustRightInd w:val="0"/>
        <w:snapToGrid w:val="0"/>
        <w:spacing w:line="360" w:lineRule="auto"/>
        <w:ind w:firstLine="480" w:firstLineChars="200"/>
        <w:outlineLvl w:val="0"/>
        <w:rPr>
          <w:sz w:val="24"/>
        </w:rPr>
      </w:pPr>
      <w:bookmarkStart w:id="52" w:name="_Toc18499"/>
      <w:bookmarkStart w:id="53" w:name="_Toc29978_WPSOffice_Level1"/>
      <w:r>
        <w:rPr>
          <w:sz w:val="24"/>
        </w:rPr>
        <w:t>七、保修期服务承诺</w:t>
      </w:r>
      <w:bookmarkEnd w:id="52"/>
      <w:bookmarkEnd w:id="53"/>
    </w:p>
    <w:p>
      <w:pPr>
        <w:widowControl/>
        <w:jc w:val="left"/>
        <w:rPr>
          <w:b/>
          <w:bCs/>
          <w:sz w:val="28"/>
          <w:szCs w:val="28"/>
        </w:rPr>
      </w:pPr>
      <w:bookmarkStart w:id="54" w:name="_Toc2414"/>
      <w:bookmarkStart w:id="55" w:name="_Toc15524_WPSOffice_Level1"/>
      <w:r>
        <w:rPr>
          <w:b/>
          <w:bCs/>
          <w:sz w:val="28"/>
          <w:szCs w:val="28"/>
        </w:rPr>
        <w:br w:type="page"/>
      </w:r>
    </w:p>
    <w:p>
      <w:pPr>
        <w:spacing w:line="360" w:lineRule="auto"/>
        <w:ind w:firstLine="562" w:firstLineChars="200"/>
        <w:outlineLvl w:val="0"/>
        <w:rPr>
          <w:b/>
          <w:bCs/>
          <w:color w:val="auto"/>
          <w:sz w:val="28"/>
          <w:szCs w:val="28"/>
          <w:highlight w:val="none"/>
        </w:rPr>
      </w:pPr>
      <w:r>
        <w:rPr>
          <w:rFonts w:hint="eastAsia"/>
          <w:b/>
          <w:bCs/>
          <w:color w:val="auto"/>
          <w:sz w:val="28"/>
          <w:szCs w:val="28"/>
          <w:highlight w:val="none"/>
        </w:rPr>
        <w:t>技术文件</w:t>
      </w:r>
      <w:bookmarkEnd w:id="54"/>
      <w:bookmarkEnd w:id="55"/>
    </w:p>
    <w:p>
      <w:pPr>
        <w:autoSpaceDE w:val="0"/>
        <w:autoSpaceDN w:val="0"/>
        <w:adjustRightInd w:val="0"/>
        <w:snapToGrid w:val="0"/>
        <w:spacing w:line="360" w:lineRule="auto"/>
        <w:ind w:firstLine="480" w:firstLineChars="200"/>
        <w:jc w:val="left"/>
        <w:rPr>
          <w:sz w:val="24"/>
        </w:rPr>
      </w:pPr>
      <w:r>
        <w:rPr>
          <w:rFonts w:hint="eastAsia"/>
          <w:sz w:val="24"/>
        </w:rPr>
        <w:t>一、磋商响应单位根据磋商文件采购内容和评分因素，结合自身实际情况编制响应磋商文件的施工组织设计。（格式自拟）</w:t>
      </w:r>
    </w:p>
    <w:p>
      <w:pPr>
        <w:tabs>
          <w:tab w:val="left" w:pos="2115"/>
        </w:tabs>
        <w:autoSpaceDE w:val="0"/>
        <w:autoSpaceDN w:val="0"/>
        <w:adjustRightInd w:val="0"/>
        <w:snapToGrid w:val="0"/>
        <w:spacing w:after="120" w:line="360" w:lineRule="auto"/>
        <w:rPr>
          <w:sz w:val="24"/>
        </w:rPr>
      </w:pPr>
      <w:r>
        <w:rPr>
          <w:rFonts w:hint="eastAsia"/>
          <w:sz w:val="24"/>
        </w:rPr>
        <w:t>　　二、工程质量承诺（格式自拟）</w:t>
      </w:r>
    </w:p>
    <w:p>
      <w:pPr>
        <w:tabs>
          <w:tab w:val="left" w:pos="2115"/>
        </w:tabs>
        <w:autoSpaceDE w:val="0"/>
        <w:autoSpaceDN w:val="0"/>
        <w:adjustRightInd w:val="0"/>
        <w:snapToGrid w:val="0"/>
        <w:spacing w:after="156" w:afterLines="50" w:line="360" w:lineRule="auto"/>
        <w:ind w:firstLine="480" w:firstLineChars="200"/>
        <w:rPr>
          <w:sz w:val="24"/>
        </w:rPr>
      </w:pPr>
      <w:r>
        <w:rPr>
          <w:rFonts w:hint="eastAsia"/>
          <w:sz w:val="24"/>
          <w:lang w:val="en-US" w:eastAsia="zh-CN"/>
        </w:rPr>
        <w:t>三、</w:t>
      </w:r>
      <w:r>
        <w:rPr>
          <w:rFonts w:hint="eastAsia"/>
          <w:sz w:val="24"/>
        </w:rPr>
        <w:t>后续服务（格式自拟）</w:t>
      </w: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rPr>
          <w:sz w:val="24"/>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30"/>
          <w:szCs w:val="30"/>
        </w:rPr>
      </w:pPr>
    </w:p>
    <w:p>
      <w:pPr>
        <w:tabs>
          <w:tab w:val="left" w:pos="2115"/>
        </w:tabs>
        <w:autoSpaceDE w:val="0"/>
        <w:autoSpaceDN w:val="0"/>
        <w:adjustRightInd w:val="0"/>
        <w:snapToGrid w:val="0"/>
        <w:spacing w:after="156" w:afterLines="50" w:line="360" w:lineRule="auto"/>
        <w:jc w:val="center"/>
        <w:rPr>
          <w:b/>
          <w:bCs/>
          <w:sz w:val="52"/>
          <w:szCs w:val="52"/>
        </w:rPr>
      </w:pPr>
      <w:r>
        <w:rPr>
          <w:b/>
          <w:bCs/>
          <w:sz w:val="52"/>
          <w:szCs w:val="52"/>
        </w:rPr>
        <w:t>资格证明文件</w:t>
      </w:r>
    </w:p>
    <w:p>
      <w:pPr>
        <w:spacing w:line="360" w:lineRule="auto"/>
        <w:rPr>
          <w:sz w:val="24"/>
        </w:rPr>
      </w:pPr>
      <w:r>
        <w:rPr>
          <w:sz w:val="24"/>
        </w:rPr>
        <w:br w:type="page"/>
      </w:r>
    </w:p>
    <w:p>
      <w:pPr>
        <w:spacing w:after="50" w:line="360" w:lineRule="auto"/>
        <w:jc w:val="center"/>
        <w:outlineLvl w:val="1"/>
        <w:rPr>
          <w:b/>
          <w:bCs/>
          <w:sz w:val="30"/>
          <w:szCs w:val="30"/>
        </w:rPr>
      </w:pPr>
      <w:r>
        <w:rPr>
          <w:rFonts w:hint="eastAsia"/>
          <w:b/>
          <w:bCs/>
          <w:sz w:val="30"/>
          <w:szCs w:val="30"/>
        </w:rPr>
        <w:t>一</w:t>
      </w:r>
      <w:r>
        <w:rPr>
          <w:b/>
          <w:bCs/>
          <w:sz w:val="30"/>
          <w:szCs w:val="30"/>
        </w:rPr>
        <w:t>、营业执照复印件</w:t>
      </w:r>
    </w:p>
    <w:p>
      <w:pPr>
        <w:spacing w:after="50" w:line="360" w:lineRule="auto"/>
        <w:jc w:val="center"/>
        <w:outlineLvl w:val="1"/>
        <w:rPr>
          <w:sz w:val="30"/>
          <w:szCs w:val="30"/>
        </w:rPr>
      </w:pPr>
      <w:r>
        <w:rPr>
          <w:b/>
          <w:bCs/>
          <w:sz w:val="30"/>
          <w:szCs w:val="30"/>
        </w:rPr>
        <w:br w:type="page"/>
      </w:r>
      <w:r>
        <w:rPr>
          <w:rFonts w:hint="eastAsia"/>
          <w:b/>
          <w:bCs/>
          <w:sz w:val="30"/>
          <w:szCs w:val="30"/>
        </w:rPr>
        <w:t>二</w:t>
      </w:r>
      <w:r>
        <w:rPr>
          <w:b/>
          <w:bCs/>
          <w:sz w:val="30"/>
          <w:szCs w:val="30"/>
        </w:rPr>
        <w:t>、</w:t>
      </w:r>
      <w:r>
        <w:rPr>
          <w:rFonts w:hint="eastAsia"/>
          <w:b/>
          <w:bCs/>
          <w:sz w:val="30"/>
          <w:szCs w:val="30"/>
        </w:rPr>
        <w:t>磋商响应单位</w:t>
      </w:r>
      <w:r>
        <w:rPr>
          <w:b/>
          <w:bCs/>
          <w:sz w:val="30"/>
          <w:szCs w:val="30"/>
        </w:rPr>
        <w:t>法定代表人证明书</w:t>
      </w:r>
      <w:r>
        <w:rPr>
          <w:rFonts w:hint="eastAsia"/>
          <w:b/>
          <w:bCs/>
          <w:sz w:val="30"/>
          <w:szCs w:val="30"/>
        </w:rPr>
        <w:t>及</w:t>
      </w:r>
      <w:r>
        <w:rPr>
          <w:b/>
          <w:bCs/>
          <w:sz w:val="30"/>
          <w:szCs w:val="30"/>
        </w:rPr>
        <w:t>法定代表人授权委托书</w:t>
      </w:r>
    </w:p>
    <w:p>
      <w:pPr>
        <w:tabs>
          <w:tab w:val="left" w:pos="210"/>
        </w:tabs>
        <w:spacing w:line="320" w:lineRule="exact"/>
        <w:jc w:val="center"/>
        <w:rPr>
          <w:b/>
          <w:kern w:val="0"/>
          <w:sz w:val="32"/>
          <w:szCs w:val="32"/>
        </w:rPr>
      </w:pPr>
    </w:p>
    <w:tbl>
      <w:tblPr>
        <w:tblStyle w:val="48"/>
        <w:tblW w:w="928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
        <w:gridCol w:w="2065"/>
        <w:gridCol w:w="2514"/>
        <w:gridCol w:w="1783"/>
        <w:gridCol w:w="20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286" w:type="dxa"/>
            <w:gridSpan w:val="5"/>
            <w:vAlign w:val="center"/>
          </w:tcPr>
          <w:p>
            <w:pPr>
              <w:tabs>
                <w:tab w:val="left" w:pos="210"/>
              </w:tabs>
              <w:spacing w:line="320" w:lineRule="exact"/>
              <w:rPr>
                <w:rFonts w:hint="eastAsia" w:eastAsia="宋体"/>
                <w:kern w:val="0"/>
                <w:sz w:val="24"/>
                <w:lang w:eastAsia="zh-CN"/>
              </w:rPr>
            </w:pPr>
            <w:r>
              <w:rPr>
                <w:sz w:val="24"/>
              </w:rPr>
              <w:t>致：</w:t>
            </w:r>
            <w:r>
              <w:rPr>
                <w:rFonts w:hint="eastAsia"/>
                <w:sz w:val="24"/>
                <w:lang w:eastAsia="zh-CN"/>
              </w:rPr>
              <w:t>远创项目管理有限公司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企</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业</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法</w:t>
            </w:r>
          </w:p>
          <w:p>
            <w:pPr>
              <w:tabs>
                <w:tab w:val="left" w:pos="210"/>
              </w:tabs>
              <w:spacing w:line="320" w:lineRule="exact"/>
              <w:jc w:val="center"/>
              <w:rPr>
                <w:kern w:val="0"/>
                <w:sz w:val="24"/>
              </w:rPr>
            </w:pPr>
          </w:p>
          <w:p>
            <w:pPr>
              <w:tabs>
                <w:tab w:val="left" w:pos="210"/>
              </w:tabs>
              <w:spacing w:line="320" w:lineRule="exact"/>
              <w:jc w:val="center"/>
              <w:rPr>
                <w:kern w:val="0"/>
                <w:sz w:val="24"/>
              </w:rPr>
            </w:pPr>
            <w:r>
              <w:rPr>
                <w:kern w:val="0"/>
                <w:sz w:val="24"/>
              </w:rPr>
              <w:t>人</w:t>
            </w:r>
          </w:p>
        </w:tc>
        <w:tc>
          <w:tcPr>
            <w:tcW w:w="2065" w:type="dxa"/>
            <w:vAlign w:val="center"/>
          </w:tcPr>
          <w:p>
            <w:pPr>
              <w:tabs>
                <w:tab w:val="left" w:pos="210"/>
              </w:tabs>
              <w:spacing w:line="320" w:lineRule="exact"/>
              <w:jc w:val="center"/>
              <w:rPr>
                <w:kern w:val="0"/>
                <w:sz w:val="24"/>
              </w:rPr>
            </w:pPr>
            <w:r>
              <w:rPr>
                <w:kern w:val="0"/>
                <w:sz w:val="24"/>
              </w:rPr>
              <w:t>企业名称</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法定地址</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邮政编码</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工商登记机关</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税务登记机关</w:t>
            </w:r>
          </w:p>
        </w:tc>
        <w:tc>
          <w:tcPr>
            <w:tcW w:w="6360" w:type="dxa"/>
            <w:gridSpan w:val="3"/>
            <w:vAlign w:val="center"/>
          </w:tcPr>
          <w:p>
            <w:pPr>
              <w:tabs>
                <w:tab w:val="left" w:pos="210"/>
              </w:tabs>
              <w:spacing w:line="320" w:lineRule="exact"/>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机构代码证号</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restart"/>
            <w:vAlign w:val="center"/>
          </w:tcPr>
          <w:p>
            <w:pPr>
              <w:tabs>
                <w:tab w:val="left" w:pos="210"/>
              </w:tabs>
              <w:spacing w:line="320" w:lineRule="exact"/>
              <w:jc w:val="center"/>
              <w:rPr>
                <w:kern w:val="0"/>
                <w:sz w:val="24"/>
              </w:rPr>
            </w:pPr>
            <w:r>
              <w:rPr>
                <w:kern w:val="0"/>
                <w:sz w:val="24"/>
              </w:rPr>
              <w:t>法定代表人</w:t>
            </w:r>
          </w:p>
        </w:tc>
        <w:tc>
          <w:tcPr>
            <w:tcW w:w="2065" w:type="dxa"/>
            <w:vAlign w:val="center"/>
          </w:tcPr>
          <w:p>
            <w:pPr>
              <w:tabs>
                <w:tab w:val="left" w:pos="210"/>
              </w:tabs>
              <w:spacing w:line="320" w:lineRule="exact"/>
              <w:jc w:val="center"/>
              <w:rPr>
                <w:kern w:val="0"/>
                <w:sz w:val="24"/>
              </w:rPr>
            </w:pPr>
            <w:r>
              <w:rPr>
                <w:kern w:val="0"/>
                <w:sz w:val="24"/>
              </w:rPr>
              <w:t>姓 名</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性  别</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职 务</w:t>
            </w:r>
          </w:p>
        </w:tc>
        <w:tc>
          <w:tcPr>
            <w:tcW w:w="2514" w:type="dxa"/>
            <w:vAlign w:val="center"/>
          </w:tcPr>
          <w:p>
            <w:pPr>
              <w:tabs>
                <w:tab w:val="left" w:pos="210"/>
              </w:tabs>
              <w:spacing w:line="320" w:lineRule="exact"/>
              <w:jc w:val="center"/>
              <w:rPr>
                <w:kern w:val="0"/>
                <w:sz w:val="24"/>
              </w:rPr>
            </w:pPr>
          </w:p>
        </w:tc>
        <w:tc>
          <w:tcPr>
            <w:tcW w:w="1783" w:type="dxa"/>
            <w:vAlign w:val="center"/>
          </w:tcPr>
          <w:p>
            <w:pPr>
              <w:tabs>
                <w:tab w:val="left" w:pos="210"/>
              </w:tabs>
              <w:spacing w:line="320" w:lineRule="exact"/>
              <w:jc w:val="center"/>
              <w:rPr>
                <w:kern w:val="0"/>
                <w:sz w:val="24"/>
              </w:rPr>
            </w:pPr>
            <w:r>
              <w:rPr>
                <w:kern w:val="0"/>
                <w:sz w:val="24"/>
              </w:rPr>
              <w:t>联系电话</w:t>
            </w:r>
          </w:p>
        </w:tc>
        <w:tc>
          <w:tcPr>
            <w:tcW w:w="2063" w:type="dxa"/>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1" w:type="dxa"/>
            <w:vMerge w:val="continue"/>
            <w:vAlign w:val="center"/>
          </w:tcPr>
          <w:p>
            <w:pPr>
              <w:tabs>
                <w:tab w:val="left" w:pos="210"/>
              </w:tabs>
              <w:spacing w:line="320" w:lineRule="exact"/>
              <w:jc w:val="center"/>
              <w:rPr>
                <w:kern w:val="0"/>
                <w:sz w:val="24"/>
              </w:rPr>
            </w:pPr>
          </w:p>
        </w:tc>
        <w:tc>
          <w:tcPr>
            <w:tcW w:w="2065" w:type="dxa"/>
            <w:vAlign w:val="center"/>
          </w:tcPr>
          <w:p>
            <w:pPr>
              <w:tabs>
                <w:tab w:val="left" w:pos="210"/>
              </w:tabs>
              <w:spacing w:line="320" w:lineRule="exact"/>
              <w:jc w:val="center"/>
              <w:rPr>
                <w:kern w:val="0"/>
                <w:sz w:val="24"/>
              </w:rPr>
            </w:pPr>
            <w:r>
              <w:rPr>
                <w:kern w:val="0"/>
                <w:sz w:val="24"/>
              </w:rPr>
              <w:t>传 真</w:t>
            </w:r>
          </w:p>
        </w:tc>
        <w:tc>
          <w:tcPr>
            <w:tcW w:w="6360" w:type="dxa"/>
            <w:gridSpan w:val="3"/>
            <w:vAlign w:val="center"/>
          </w:tcPr>
          <w:p>
            <w:pPr>
              <w:tabs>
                <w:tab w:val="left" w:pos="210"/>
              </w:tabs>
              <w:spacing w:line="320" w:lineRule="exact"/>
              <w:jc w:val="center"/>
              <w:rPr>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34" w:hRule="atLeast"/>
          <w:jc w:val="center"/>
        </w:trPr>
        <w:tc>
          <w:tcPr>
            <w:tcW w:w="861" w:type="dxa"/>
            <w:vAlign w:val="center"/>
          </w:tcPr>
          <w:p>
            <w:pPr>
              <w:tabs>
                <w:tab w:val="left" w:pos="210"/>
              </w:tabs>
              <w:spacing w:line="320" w:lineRule="exact"/>
              <w:jc w:val="center"/>
              <w:rPr>
                <w:kern w:val="0"/>
                <w:sz w:val="24"/>
              </w:rPr>
            </w:pPr>
            <w:r>
              <w:rPr>
                <w:kern w:val="0"/>
                <w:sz w:val="24"/>
              </w:rPr>
              <w:t>法定代表人身份证复印件</w:t>
            </w:r>
          </w:p>
        </w:tc>
        <w:tc>
          <w:tcPr>
            <w:tcW w:w="8425" w:type="dxa"/>
            <w:gridSpan w:val="4"/>
            <w:vAlign w:val="center"/>
          </w:tcPr>
          <w:p>
            <w:pPr>
              <w:tabs>
                <w:tab w:val="left" w:pos="210"/>
              </w:tabs>
              <w:spacing w:line="320" w:lineRule="exact"/>
              <w:jc w:val="center"/>
              <w:rPr>
                <w:kern w:val="0"/>
                <w:sz w:val="24"/>
              </w:rPr>
            </w:pPr>
            <w:r>
              <w:rPr>
                <w:rFonts w:hint="eastAsia"/>
                <w:kern w:val="0"/>
                <w:sz w:val="24"/>
              </w:rPr>
              <w:t>（</w:t>
            </w:r>
            <w:r>
              <w:rPr>
                <w:kern w:val="0"/>
                <w:sz w:val="24"/>
              </w:rPr>
              <w:t>法定代表人身份证复印件</w:t>
            </w:r>
            <w:r>
              <w:rPr>
                <w:rFonts w:hint="eastAsia"/>
                <w:kern w:val="0"/>
                <w:sz w:val="24"/>
              </w:rPr>
              <w:t>）</w:t>
            </w: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pStyle w:val="2"/>
            </w:pPr>
          </w:p>
          <w:p>
            <w:pPr>
              <w:tabs>
                <w:tab w:val="left" w:pos="210"/>
              </w:tabs>
              <w:spacing w:line="320" w:lineRule="exact"/>
              <w:jc w:val="center"/>
              <w:rPr>
                <w:kern w:val="0"/>
                <w:sz w:val="24"/>
              </w:rPr>
            </w:pPr>
          </w:p>
          <w:p>
            <w:pPr>
              <w:tabs>
                <w:tab w:val="left" w:pos="210"/>
              </w:tabs>
              <w:spacing w:line="320" w:lineRule="exact"/>
              <w:jc w:val="center"/>
              <w:rPr>
                <w:kern w:val="0"/>
                <w:sz w:val="24"/>
              </w:rPr>
            </w:pPr>
          </w:p>
          <w:p>
            <w:pPr>
              <w:tabs>
                <w:tab w:val="left" w:pos="210"/>
              </w:tabs>
              <w:spacing w:line="320" w:lineRule="exact"/>
              <w:rPr>
                <w:kern w:val="0"/>
                <w:sz w:val="24"/>
              </w:rPr>
            </w:pPr>
            <w:r>
              <w:rPr>
                <w:kern w:val="0"/>
                <w:sz w:val="24"/>
              </w:rPr>
              <w:t xml:space="preserve"> </w:t>
            </w:r>
          </w:p>
        </w:tc>
      </w:tr>
    </w:tbl>
    <w:p>
      <w:pPr>
        <w:autoSpaceDE w:val="0"/>
        <w:autoSpaceDN w:val="0"/>
        <w:adjustRightInd w:val="0"/>
        <w:spacing w:line="360" w:lineRule="auto"/>
        <w:rPr>
          <w:sz w:val="24"/>
        </w:rPr>
      </w:pPr>
    </w:p>
    <w:p>
      <w:pPr>
        <w:autoSpaceDE w:val="0"/>
        <w:autoSpaceDN w:val="0"/>
        <w:adjustRightInd w:val="0"/>
        <w:spacing w:line="360" w:lineRule="auto"/>
        <w:rPr>
          <w:b/>
          <w:sz w:val="24"/>
        </w:rPr>
      </w:pPr>
      <w:r>
        <w:rPr>
          <w:b/>
          <w:sz w:val="22"/>
        </w:rPr>
        <w:t>注：</w:t>
      </w:r>
      <w:r>
        <w:rPr>
          <w:rFonts w:hint="eastAsia"/>
          <w:b/>
          <w:sz w:val="22"/>
        </w:rPr>
        <w:t>磋商响应单位</w:t>
      </w:r>
      <w:r>
        <w:rPr>
          <w:b/>
          <w:sz w:val="22"/>
        </w:rPr>
        <w:t>法定代表人直接参加磋商，仅填写本表不需填写授权书</w:t>
      </w:r>
      <w:r>
        <w:rPr>
          <w:b/>
          <w:sz w:val="28"/>
        </w:rPr>
        <w:t>。</w:t>
      </w:r>
    </w:p>
    <w:p>
      <w:pPr>
        <w:adjustRightInd w:val="0"/>
        <w:snapToGrid w:val="0"/>
        <w:spacing w:after="300" w:line="360" w:lineRule="auto"/>
        <w:jc w:val="center"/>
        <w:outlineLvl w:val="1"/>
        <w:rPr>
          <w:b/>
          <w:bCs/>
          <w:sz w:val="28"/>
          <w:szCs w:val="28"/>
        </w:rPr>
      </w:pPr>
      <w:r>
        <w:rPr>
          <w:sz w:val="28"/>
          <w:szCs w:val="28"/>
        </w:rPr>
        <w:br w:type="page"/>
      </w:r>
      <w:r>
        <w:rPr>
          <w:b/>
          <w:bCs/>
          <w:sz w:val="30"/>
          <w:szCs w:val="30"/>
        </w:rPr>
        <w:t>法定代表人授权委托书（格式）</w:t>
      </w:r>
    </w:p>
    <w:p>
      <w:pPr>
        <w:adjustRightInd w:val="0"/>
        <w:snapToGrid w:val="0"/>
        <w:spacing w:line="360" w:lineRule="auto"/>
        <w:ind w:firstLine="480" w:firstLineChars="200"/>
        <w:jc w:val="left"/>
        <w:rPr>
          <w:sz w:val="24"/>
          <w:szCs w:val="28"/>
        </w:rPr>
      </w:pPr>
      <w:r>
        <w:rPr>
          <w:sz w:val="24"/>
          <w:szCs w:val="28"/>
        </w:rPr>
        <w:t>本人</w:t>
      </w:r>
      <w:r>
        <w:rPr>
          <w:sz w:val="24"/>
          <w:szCs w:val="28"/>
          <w:u w:val="single"/>
        </w:rPr>
        <w:t xml:space="preserve">       </w:t>
      </w:r>
      <w:r>
        <w:rPr>
          <w:sz w:val="24"/>
          <w:szCs w:val="28"/>
        </w:rPr>
        <w:t>（姓名）系</w:t>
      </w:r>
      <w:r>
        <w:rPr>
          <w:sz w:val="24"/>
          <w:szCs w:val="28"/>
          <w:u w:val="single"/>
        </w:rPr>
        <w:t xml:space="preserve">          </w:t>
      </w:r>
      <w:r>
        <w:rPr>
          <w:sz w:val="24"/>
          <w:szCs w:val="28"/>
        </w:rPr>
        <w:t>（</w:t>
      </w:r>
      <w:r>
        <w:rPr>
          <w:rFonts w:hint="eastAsia"/>
          <w:sz w:val="24"/>
          <w:szCs w:val="28"/>
        </w:rPr>
        <w:t>磋商响应单位</w:t>
      </w:r>
      <w:r>
        <w:rPr>
          <w:sz w:val="24"/>
          <w:szCs w:val="28"/>
        </w:rPr>
        <w:t>名称）的法定代表人，现委托</w:t>
      </w:r>
      <w:r>
        <w:rPr>
          <w:sz w:val="24"/>
          <w:szCs w:val="28"/>
          <w:u w:val="single"/>
        </w:rPr>
        <w:t xml:space="preserve">      </w:t>
      </w:r>
      <w:r>
        <w:rPr>
          <w:sz w:val="24"/>
          <w:szCs w:val="28"/>
        </w:rPr>
        <w:t>（姓名）为我方代理人。代理人根据授权，以我方名义参加、签署、澄清、说明、补正、递交、撤回、修改</w:t>
      </w:r>
      <w:r>
        <w:rPr>
          <w:sz w:val="24"/>
          <w:szCs w:val="28"/>
          <w:u w:val="single"/>
        </w:rPr>
        <w:t xml:space="preserve"> （项目名称）</w:t>
      </w:r>
      <w:r>
        <w:rPr>
          <w:sz w:val="24"/>
          <w:szCs w:val="28"/>
        </w:rPr>
        <w:t>项目响应文件、参加磋商、签订合同和处理有关事宜，其法律后果由我方承担。</w:t>
      </w:r>
    </w:p>
    <w:p>
      <w:pPr>
        <w:adjustRightInd w:val="0"/>
        <w:snapToGrid w:val="0"/>
        <w:spacing w:line="360" w:lineRule="auto"/>
        <w:ind w:firstLine="480" w:firstLineChars="200"/>
        <w:rPr>
          <w:sz w:val="24"/>
          <w:szCs w:val="28"/>
        </w:rPr>
      </w:pPr>
      <w:r>
        <w:rPr>
          <w:sz w:val="24"/>
          <w:szCs w:val="28"/>
        </w:rPr>
        <w:t>委托期限：自</w:t>
      </w:r>
      <w:r>
        <w:rPr>
          <w:rFonts w:hint="eastAsia"/>
          <w:sz w:val="24"/>
          <w:szCs w:val="28"/>
        </w:rPr>
        <w:t>磋商响应文件递交之日起</w:t>
      </w:r>
      <w:r>
        <w:rPr>
          <w:sz w:val="24"/>
          <w:szCs w:val="28"/>
        </w:rPr>
        <w:t>90个日历天</w:t>
      </w:r>
    </w:p>
    <w:p>
      <w:pPr>
        <w:adjustRightInd w:val="0"/>
        <w:snapToGrid w:val="0"/>
        <w:spacing w:line="360" w:lineRule="auto"/>
        <w:ind w:firstLine="480" w:firstLineChars="200"/>
        <w:rPr>
          <w:sz w:val="24"/>
          <w:szCs w:val="28"/>
        </w:rPr>
      </w:pPr>
      <w:r>
        <w:rPr>
          <w:sz w:val="24"/>
          <w:szCs w:val="28"/>
        </w:rPr>
        <w:t>代理人无转委托权。</w:t>
      </w:r>
    </w:p>
    <w:p>
      <w:pPr>
        <w:adjustRightInd w:val="0"/>
        <w:snapToGrid w:val="0"/>
        <w:spacing w:line="360" w:lineRule="auto"/>
        <w:ind w:firstLine="480" w:firstLineChars="200"/>
        <w:rPr>
          <w:rFonts w:hint="eastAsia" w:eastAsia="宋体"/>
          <w:sz w:val="24"/>
          <w:szCs w:val="28"/>
          <w:lang w:eastAsia="zh-CN"/>
        </w:rPr>
      </w:pPr>
      <w:r>
        <w:rPr>
          <w:sz w:val="24"/>
          <w:szCs w:val="28"/>
        </w:rPr>
        <w:t>附：法定代表人身份证</w:t>
      </w:r>
      <w:r>
        <w:rPr>
          <w:rFonts w:hint="eastAsia"/>
          <w:sz w:val="24"/>
          <w:szCs w:val="28"/>
          <w:lang w:val="en-US" w:eastAsia="zh-CN"/>
        </w:rPr>
        <w:t>复印件</w:t>
      </w:r>
    </w:p>
    <w:p>
      <w:pPr>
        <w:spacing w:line="360" w:lineRule="auto"/>
        <w:ind w:firstLine="480" w:firstLineChars="200"/>
        <w:rPr>
          <w:rFonts w:hint="eastAsia" w:eastAsia="宋体"/>
          <w:sz w:val="24"/>
          <w:lang w:val="en-US" w:eastAsia="zh-CN"/>
        </w:rPr>
      </w:pPr>
      <w:r>
        <w:rPr>
          <w:sz w:val="24"/>
          <w:szCs w:val="28"/>
        </w:rPr>
        <w:t>附：</w:t>
      </w:r>
      <w:r>
        <w:rPr>
          <w:sz w:val="24"/>
        </w:rPr>
        <w:t>委托代理人身份证</w:t>
      </w:r>
      <w:r>
        <w:rPr>
          <w:rFonts w:hint="eastAsia"/>
          <w:sz w:val="24"/>
          <w:lang w:val="en-US" w:eastAsia="zh-CN"/>
        </w:rPr>
        <w:t>复印件</w:t>
      </w: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pStyle w:val="2"/>
        <w:ind w:firstLine="480"/>
        <w:rPr>
          <w:sz w:val="24"/>
        </w:rPr>
      </w:pPr>
    </w:p>
    <w:p>
      <w:pPr>
        <w:adjustRightInd w:val="0"/>
        <w:snapToGrid w:val="0"/>
        <w:spacing w:line="360" w:lineRule="auto"/>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（公章）</w:t>
      </w:r>
    </w:p>
    <w:p>
      <w:pPr>
        <w:adjustRightInd w:val="0"/>
        <w:snapToGrid w:val="0"/>
        <w:spacing w:line="360" w:lineRule="auto"/>
        <w:rPr>
          <w:sz w:val="24"/>
          <w:szCs w:val="28"/>
        </w:rPr>
      </w:pPr>
      <w:r>
        <w:rPr>
          <w:sz w:val="24"/>
          <w:szCs w:val="28"/>
        </w:rPr>
        <w:t>法定代表人：</w:t>
      </w:r>
      <w:r>
        <w:rPr>
          <w:sz w:val="24"/>
          <w:szCs w:val="28"/>
          <w:u w:val="single"/>
        </w:rPr>
        <w:t xml:space="preserve">                      </w:t>
      </w:r>
      <w:r>
        <w:rPr>
          <w:sz w:val="24"/>
          <w:szCs w:val="28"/>
        </w:rPr>
        <w:t>（签字或盖章）</w:t>
      </w:r>
    </w:p>
    <w:p>
      <w:pPr>
        <w:adjustRightInd w:val="0"/>
        <w:snapToGrid w:val="0"/>
        <w:spacing w:line="360" w:lineRule="auto"/>
        <w:rPr>
          <w:sz w:val="24"/>
          <w:szCs w:val="28"/>
        </w:rPr>
      </w:pPr>
      <w:r>
        <w:rPr>
          <w:sz w:val="24"/>
          <w:szCs w:val="28"/>
        </w:rPr>
        <w:t>委托代理人：</w:t>
      </w:r>
      <w:r>
        <w:rPr>
          <w:sz w:val="24"/>
          <w:szCs w:val="28"/>
          <w:u w:val="single"/>
        </w:rPr>
        <w:t xml:space="preserve">                      </w:t>
      </w:r>
      <w:r>
        <w:rPr>
          <w:sz w:val="24"/>
          <w:szCs w:val="28"/>
        </w:rPr>
        <w:t>（签字或盖章）</w:t>
      </w:r>
    </w:p>
    <w:p>
      <w:pPr>
        <w:adjustRightInd w:val="0"/>
        <w:snapToGrid w:val="0"/>
        <w:spacing w:line="360" w:lineRule="auto"/>
        <w:ind w:left="240" w:hanging="240" w:hangingChars="100"/>
        <w:rPr>
          <w:sz w:val="24"/>
          <w:szCs w:val="28"/>
        </w:rPr>
      </w:pPr>
      <w:r>
        <w:rPr>
          <w:sz w:val="24"/>
          <w:szCs w:val="28"/>
        </w:rPr>
        <w:t>日  期</w:t>
      </w:r>
      <w:r>
        <w:rPr>
          <w:rFonts w:hint="eastAsia"/>
          <w:sz w:val="24"/>
          <w:szCs w:val="28"/>
        </w:rPr>
        <w:t xml:space="preserve"> ：</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 xml:space="preserve">日    </w:t>
      </w:r>
    </w:p>
    <w:p>
      <w:pPr>
        <w:autoSpaceDE w:val="0"/>
        <w:autoSpaceDN w:val="0"/>
        <w:adjustRightInd w:val="0"/>
        <w:snapToGrid w:val="0"/>
        <w:spacing w:line="360" w:lineRule="auto"/>
        <w:ind w:firstLine="602" w:firstLineChars="200"/>
        <w:jc w:val="left"/>
        <w:rPr>
          <w:sz w:val="24"/>
          <w:szCs w:val="28"/>
        </w:rPr>
      </w:pPr>
      <w:r>
        <w:rPr>
          <w:b/>
          <w:bCs/>
          <w:sz w:val="30"/>
          <w:szCs w:val="30"/>
        </w:rPr>
        <w:br w:type="page"/>
      </w:r>
    </w:p>
    <w:p>
      <w:pPr>
        <w:adjustRightInd w:val="0"/>
        <w:snapToGrid w:val="0"/>
        <w:spacing w:after="300" w:line="360" w:lineRule="auto"/>
        <w:jc w:val="center"/>
        <w:outlineLvl w:val="0"/>
        <w:rPr>
          <w:rFonts w:hint="eastAsia" w:eastAsia="宋体"/>
          <w:b/>
          <w:bCs/>
          <w:sz w:val="30"/>
          <w:szCs w:val="30"/>
          <w:lang w:eastAsia="zh-CN"/>
        </w:rPr>
      </w:pPr>
      <w:bookmarkStart w:id="56" w:name="_Toc23316"/>
      <w:bookmarkStart w:id="57" w:name="_Toc31797_WPSOffice_Level1"/>
      <w:r>
        <w:rPr>
          <w:rFonts w:hint="eastAsia"/>
          <w:b/>
          <w:bCs/>
          <w:sz w:val="30"/>
          <w:szCs w:val="30"/>
        </w:rPr>
        <w:t>三</w:t>
      </w:r>
      <w:r>
        <w:rPr>
          <w:b/>
          <w:bCs/>
          <w:sz w:val="30"/>
          <w:szCs w:val="30"/>
        </w:rPr>
        <w:t>、</w:t>
      </w:r>
      <w:bookmarkEnd w:id="56"/>
      <w:bookmarkEnd w:id="57"/>
      <w:r>
        <w:rPr>
          <w:rFonts w:hint="eastAsia" w:cs="Times New Roman"/>
          <w:b/>
          <w:bCs/>
          <w:sz w:val="30"/>
          <w:szCs w:val="30"/>
          <w:lang w:eastAsia="zh-CN"/>
        </w:rPr>
        <w:t>具备建设部门颁发的建筑工程施工总承包三级（含）以上资质，具有有效的安全生产许可证</w:t>
      </w:r>
    </w:p>
    <w:p>
      <w:pPr>
        <w:autoSpaceDE w:val="0"/>
        <w:autoSpaceDN w:val="0"/>
        <w:adjustRightInd w:val="0"/>
        <w:snapToGrid w:val="0"/>
        <w:spacing w:line="360" w:lineRule="auto"/>
        <w:jc w:val="center"/>
        <w:rPr>
          <w:b/>
          <w:bCs/>
          <w:sz w:val="30"/>
          <w:szCs w:val="30"/>
        </w:rPr>
      </w:pPr>
      <w:r>
        <w:rPr>
          <w:sz w:val="28"/>
          <w:szCs w:val="28"/>
        </w:rPr>
        <w:br w:type="page"/>
      </w:r>
    </w:p>
    <w:p>
      <w:pPr>
        <w:adjustRightInd w:val="0"/>
        <w:snapToGrid w:val="0"/>
        <w:spacing w:line="360" w:lineRule="auto"/>
        <w:jc w:val="center"/>
        <w:outlineLvl w:val="0"/>
        <w:rPr>
          <w:b/>
          <w:bCs/>
          <w:sz w:val="30"/>
          <w:szCs w:val="30"/>
        </w:rPr>
      </w:pPr>
      <w:bookmarkStart w:id="58" w:name="_Toc20655"/>
      <w:bookmarkStart w:id="59" w:name="_Toc4854_WPSOffice_Level1"/>
      <w:r>
        <w:rPr>
          <w:rFonts w:hint="eastAsia"/>
          <w:b/>
          <w:bCs/>
          <w:sz w:val="30"/>
          <w:szCs w:val="30"/>
        </w:rPr>
        <w:t>四、注册建造师证及安全生产考核合格证复印件</w:t>
      </w:r>
      <w:bookmarkEnd w:id="58"/>
      <w:bookmarkEnd w:id="59"/>
    </w:p>
    <w:p>
      <w:pPr>
        <w:adjustRightInd w:val="0"/>
        <w:snapToGrid w:val="0"/>
        <w:spacing w:after="300" w:line="360" w:lineRule="auto"/>
        <w:jc w:val="center"/>
        <w:outlineLvl w:val="1"/>
        <w:rPr>
          <w:b/>
          <w:bCs/>
          <w:sz w:val="28"/>
          <w:szCs w:val="28"/>
        </w:rPr>
      </w:pPr>
      <w:r>
        <w:rPr>
          <w:rFonts w:hint="eastAsia"/>
          <w:b/>
          <w:bCs/>
          <w:sz w:val="28"/>
          <w:szCs w:val="28"/>
        </w:rPr>
        <w:t>（提供在本单位注册且无在建工程的证明）</w:t>
      </w:r>
    </w:p>
    <w:p>
      <w:pPr>
        <w:pStyle w:val="2"/>
        <w:ind w:firstLine="562"/>
        <w:jc w:val="center"/>
      </w:pPr>
      <w:r>
        <w:rPr>
          <w:rFonts w:hint="eastAsia"/>
          <w:b/>
          <w:bCs/>
          <w:sz w:val="28"/>
          <w:szCs w:val="28"/>
        </w:rPr>
        <w:t>（格式自拟）</w:t>
      </w:r>
    </w:p>
    <w:p/>
    <w:p/>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
    <w:p/>
    <w:p/>
    <w:p>
      <w:pPr>
        <w:pStyle w:val="2"/>
      </w:pPr>
    </w:p>
    <w:p>
      <w:pPr>
        <w:pStyle w:val="2"/>
      </w:pPr>
    </w:p>
    <w:p>
      <w:pPr>
        <w:pStyle w:val="2"/>
      </w:pPr>
    </w:p>
    <w:p>
      <w:pPr>
        <w:pStyle w:val="2"/>
      </w:pPr>
    </w:p>
    <w:p>
      <w:pPr>
        <w:pStyle w:val="2"/>
      </w:pPr>
    </w:p>
    <w:p>
      <w:pPr>
        <w:pStyle w:val="2"/>
      </w:pPr>
    </w:p>
    <w:p>
      <w:pPr>
        <w:pStyle w:val="2"/>
      </w:pPr>
    </w:p>
    <w:p/>
    <w:p/>
    <w:p>
      <w:pPr>
        <w:adjustRightInd w:val="0"/>
        <w:snapToGrid w:val="0"/>
        <w:spacing w:after="300" w:line="360" w:lineRule="auto"/>
        <w:jc w:val="center"/>
        <w:outlineLvl w:val="0"/>
        <w:rPr>
          <w:b/>
          <w:bCs/>
          <w:sz w:val="30"/>
          <w:szCs w:val="30"/>
        </w:rPr>
        <w:sectPr>
          <w:pgSz w:w="11906" w:h="16838"/>
          <w:pgMar w:top="1440" w:right="1457" w:bottom="1440" w:left="1463" w:header="851" w:footer="992" w:gutter="0"/>
          <w:cols w:space="0" w:num="1"/>
          <w:titlePg/>
          <w:docGrid w:type="lines" w:linePitch="312" w:charSpace="0"/>
        </w:sectPr>
      </w:pPr>
      <w:bookmarkStart w:id="60" w:name="_Toc25823_WPSOffice_Level1"/>
      <w:bookmarkStart w:id="61" w:name="_Toc16727"/>
    </w:p>
    <w:bookmarkEnd w:id="60"/>
    <w:bookmarkEnd w:id="61"/>
    <w:p>
      <w:pPr>
        <w:pStyle w:val="2"/>
        <w:ind w:firstLine="0" w:firstLineChars="0"/>
        <w:outlineLvl w:val="1"/>
        <w:rPr>
          <w:rFonts w:ascii="宋体" w:hAnsi="宋体"/>
          <w:b/>
          <w:bCs/>
          <w:kern w:val="0"/>
          <w:sz w:val="32"/>
          <w:szCs w:val="32"/>
        </w:rPr>
      </w:pPr>
      <w:r>
        <w:rPr>
          <w:rFonts w:hint="eastAsia"/>
          <w:b/>
          <w:bCs/>
          <w:sz w:val="30"/>
          <w:szCs w:val="30"/>
        </w:rPr>
        <w:t>五、供应商不得为“信用中国”网站（www.creditchina.gov.cn）（中国执行信息公开网）中列入失信被执行人和重大税收违法案件当事人名单的供应商，不得为中国政府采购网（www.ccgp.gov.cn）政府采购严重违法失信行为记录名单中被财政部门禁止参加政府采购活动的供应商；</w:t>
      </w: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firstLine="0" w:firstLineChars="0"/>
        <w:rPr>
          <w:rFonts w:ascii="宋体" w:hAnsi="宋体"/>
          <w:b/>
          <w:bCs/>
          <w:kern w:val="0"/>
          <w:sz w:val="32"/>
          <w:szCs w:val="32"/>
        </w:rPr>
      </w:pPr>
    </w:p>
    <w:p>
      <w:pPr>
        <w:pStyle w:val="2"/>
        <w:ind w:left="420" w:firstLine="0" w:firstLineChars="0"/>
        <w:jc w:val="left"/>
        <w:outlineLvl w:val="0"/>
        <w:rPr>
          <w:rFonts w:ascii="宋体" w:hAnsi="宋体"/>
          <w:b/>
          <w:bCs/>
          <w:kern w:val="0"/>
          <w:sz w:val="32"/>
          <w:szCs w:val="32"/>
        </w:rPr>
      </w:pPr>
      <w:r>
        <w:rPr>
          <w:rFonts w:hint="eastAsia" w:ascii="宋体" w:hAnsi="宋体"/>
          <w:b/>
          <w:bCs/>
          <w:kern w:val="0"/>
          <w:sz w:val="32"/>
          <w:szCs w:val="32"/>
        </w:rPr>
        <w:t>六、税收缴纳证明：提供2021年</w:t>
      </w:r>
      <w:r>
        <w:rPr>
          <w:rFonts w:hint="eastAsia" w:ascii="宋体" w:hAnsi="宋体"/>
          <w:b/>
          <w:bCs/>
          <w:kern w:val="0"/>
          <w:sz w:val="32"/>
          <w:szCs w:val="32"/>
          <w:lang w:val="en-US" w:eastAsia="zh-CN"/>
        </w:rPr>
        <w:t>6</w:t>
      </w:r>
      <w:r>
        <w:rPr>
          <w:rFonts w:hint="eastAsia" w:ascii="宋体" w:hAnsi="宋体"/>
          <w:b/>
          <w:bCs/>
          <w:kern w:val="0"/>
          <w:sz w:val="32"/>
          <w:szCs w:val="32"/>
        </w:rPr>
        <w:t>月至今已缴纳的至少一个月的纳税证明或完税证明（任意税种），依法免税的单位应提供相关证明材料</w:t>
      </w:r>
    </w:p>
    <w:p/>
    <w:p/>
    <w:p/>
    <w:p/>
    <w:p>
      <w:pPr>
        <w:tabs>
          <w:tab w:val="center" w:pos="4493"/>
        </w:tabs>
        <w:jc w:val="left"/>
      </w:pPr>
      <w:r>
        <w:rPr>
          <w:rFonts w:hint="eastAsia"/>
        </w:rPr>
        <w:tab/>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numPr>
          <w:ilvl w:val="0"/>
          <w:numId w:val="0"/>
        </w:numPr>
        <w:ind w:left="432"/>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bookmarkStart w:id="62" w:name="_Toc15081"/>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七、社会保障资金缴纳证明：提供2021年</w:t>
      </w:r>
      <w:r>
        <w:rPr>
          <w:rFonts w:hint="eastAsia" w:ascii="宋体" w:hAnsi="宋体" w:eastAsia="宋体"/>
          <w:b/>
          <w:bCs/>
          <w:sz w:val="32"/>
          <w:szCs w:val="32"/>
          <w:lang w:val="en-US" w:eastAsia="zh-CN"/>
        </w:rPr>
        <w:t>6</w:t>
      </w:r>
      <w:r>
        <w:rPr>
          <w:rFonts w:hint="eastAsia" w:ascii="宋体" w:hAnsi="宋体" w:eastAsia="宋体"/>
          <w:b/>
          <w:bCs/>
          <w:sz w:val="32"/>
          <w:szCs w:val="32"/>
        </w:rPr>
        <w:t>月至今已缴存的至少一个月的社会保障资金缴存单据或社保机构开具的社会保险参保缴费情况证明，依法不需要缴纳社会保障资金的单位应提供相关证明材料</w:t>
      </w:r>
    </w:p>
    <w:p>
      <w:pPr>
        <w:pStyle w:val="3"/>
        <w:numPr>
          <w:ilvl w:val="0"/>
          <w:numId w:val="0"/>
        </w:numPr>
        <w:ind w:left="432"/>
        <w:jc w:val="left"/>
        <w:rPr>
          <w:rFonts w:hint="eastAsia" w:ascii="宋体" w:hAnsi="宋体" w:eastAsia="宋体"/>
          <w:b/>
          <w:bCs/>
          <w:sz w:val="32"/>
          <w:szCs w:val="32"/>
          <w:lang w:eastAsia="zh-CN"/>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八、财务状况报告：</w:t>
      </w:r>
      <w:r>
        <w:rPr>
          <w:rFonts w:hint="eastAsia" w:ascii="宋体" w:hAnsi="宋体" w:eastAsia="宋体"/>
          <w:b/>
          <w:bCs/>
          <w:sz w:val="32"/>
          <w:szCs w:val="32"/>
          <w:lang w:eastAsia="zh-CN"/>
        </w:rPr>
        <w:t>提供供应商2020年度经审计的财务报告或磋商前三个月内开户银行开具的资信证明</w:t>
      </w:r>
    </w:p>
    <w:p>
      <w:pPr>
        <w:pStyle w:val="3"/>
        <w:numPr>
          <w:ilvl w:val="0"/>
          <w:numId w:val="0"/>
        </w:numPr>
        <w:ind w:left="432"/>
        <w:jc w:val="left"/>
        <w:rPr>
          <w:rFonts w:ascii="宋体" w:hAnsi="宋体" w:eastAsia="宋体"/>
          <w:b/>
          <w:bCs/>
          <w:sz w:val="32"/>
          <w:szCs w:val="32"/>
        </w:rPr>
      </w:pPr>
      <w:r>
        <w:rPr>
          <w:rFonts w:hint="eastAsia" w:ascii="宋体" w:hAnsi="宋体" w:eastAsia="宋体"/>
          <w:b/>
          <w:bCs/>
          <w:sz w:val="32"/>
          <w:szCs w:val="32"/>
        </w:rPr>
        <w:t>九、参加政府采购活动前三年内，在经营活动中没有重大违法记录的书面声明</w:t>
      </w:r>
    </w:p>
    <w:p>
      <w:pPr>
        <w:rPr>
          <w:rFonts w:ascii="宋体" w:hAnsi="宋体"/>
          <w:b/>
          <w:bCs/>
          <w:sz w:val="32"/>
          <w:szCs w:val="32"/>
        </w:rPr>
      </w:pPr>
    </w:p>
    <w:p>
      <w:pPr>
        <w:autoSpaceDE w:val="0"/>
        <w:autoSpaceDN w:val="0"/>
        <w:adjustRightInd w:val="0"/>
        <w:snapToGrid w:val="0"/>
        <w:spacing w:before="468" w:beforeLines="150" w:after="312" w:afterLines="100" w:line="360" w:lineRule="auto"/>
        <w:jc w:val="center"/>
        <w:rPr>
          <w:b/>
          <w:sz w:val="28"/>
          <w:szCs w:val="28"/>
        </w:rPr>
      </w:pPr>
      <w:r>
        <w:rPr>
          <w:b/>
          <w:sz w:val="36"/>
          <w:szCs w:val="28"/>
        </w:rPr>
        <w:t>声  明</w:t>
      </w:r>
    </w:p>
    <w:p>
      <w:pPr>
        <w:autoSpaceDE w:val="0"/>
        <w:autoSpaceDN w:val="0"/>
        <w:adjustRightInd w:val="0"/>
        <w:snapToGrid w:val="0"/>
        <w:spacing w:line="360" w:lineRule="auto"/>
        <w:ind w:firstLine="480" w:firstLineChars="200"/>
        <w:jc w:val="left"/>
        <w:rPr>
          <w:sz w:val="24"/>
          <w:szCs w:val="28"/>
        </w:rPr>
      </w:pPr>
      <w:r>
        <w:rPr>
          <w:sz w:val="24"/>
          <w:szCs w:val="28"/>
        </w:rPr>
        <w:t>我公司</w:t>
      </w:r>
      <w:r>
        <w:rPr>
          <w:sz w:val="24"/>
          <w:szCs w:val="28"/>
          <w:u w:val="single"/>
        </w:rPr>
        <w:t>（单位）</w:t>
      </w:r>
      <w:r>
        <w:rPr>
          <w:sz w:val="24"/>
          <w:szCs w:val="28"/>
        </w:rPr>
        <w:t>近三年（成立不足三年的将“近三年”改为“自成立之日起至今”）在参加政府采购活动和经营活动中无重大违法记录。执业期间无违规、违纪等不良执业记录。</w:t>
      </w:r>
    </w:p>
    <w:p>
      <w:pPr>
        <w:autoSpaceDE w:val="0"/>
        <w:autoSpaceDN w:val="0"/>
        <w:adjustRightInd w:val="0"/>
        <w:snapToGrid w:val="0"/>
        <w:spacing w:line="360" w:lineRule="auto"/>
        <w:ind w:firstLine="480" w:firstLineChars="200"/>
        <w:jc w:val="left"/>
        <w:rPr>
          <w:sz w:val="24"/>
          <w:szCs w:val="28"/>
        </w:rPr>
      </w:pPr>
    </w:p>
    <w:p>
      <w:pPr>
        <w:autoSpaceDE w:val="0"/>
        <w:autoSpaceDN w:val="0"/>
        <w:adjustRightInd w:val="0"/>
        <w:snapToGrid w:val="0"/>
        <w:spacing w:line="360" w:lineRule="auto"/>
        <w:ind w:firstLine="480" w:firstLineChars="200"/>
        <w:jc w:val="left"/>
        <w:rPr>
          <w:sz w:val="24"/>
          <w:szCs w:val="28"/>
        </w:rPr>
      </w:pPr>
      <w:r>
        <w:rPr>
          <w:sz w:val="24"/>
          <w:szCs w:val="28"/>
        </w:rPr>
        <w:t>注：重大违法记录是指</w:t>
      </w:r>
      <w:r>
        <w:rPr>
          <w:rFonts w:hint="eastAsia"/>
          <w:sz w:val="24"/>
          <w:szCs w:val="28"/>
        </w:rPr>
        <w:t>磋商响应单位</w:t>
      </w:r>
      <w:r>
        <w:rPr>
          <w:sz w:val="24"/>
          <w:szCs w:val="28"/>
        </w:rPr>
        <w:t>因违法经营受到刑事处罚或者责令停产停业,吊销许可证或者执照、较大数额罚款等行政处罚。</w:t>
      </w:r>
    </w:p>
    <w:p>
      <w:pPr>
        <w:autoSpaceDE w:val="0"/>
        <w:autoSpaceDN w:val="0"/>
        <w:adjustRightInd w:val="0"/>
        <w:snapToGrid w:val="0"/>
        <w:spacing w:line="300" w:lineRule="auto"/>
        <w:jc w:val="left"/>
        <w:rPr>
          <w:sz w:val="28"/>
          <w:szCs w:val="28"/>
        </w:rPr>
      </w:pPr>
    </w:p>
    <w:p>
      <w:pPr>
        <w:autoSpaceDE w:val="0"/>
        <w:autoSpaceDN w:val="0"/>
        <w:adjustRightInd w:val="0"/>
        <w:spacing w:line="360" w:lineRule="auto"/>
        <w:jc w:val="left"/>
        <w:rPr>
          <w:sz w:val="28"/>
          <w:szCs w:val="28"/>
        </w:rPr>
      </w:pPr>
    </w:p>
    <w:p>
      <w:pPr>
        <w:autoSpaceDE w:val="0"/>
        <w:autoSpaceDN w:val="0"/>
        <w:adjustRightInd w:val="0"/>
        <w:spacing w:line="360" w:lineRule="auto"/>
        <w:ind w:firstLine="480" w:firstLineChars="200"/>
        <w:jc w:val="left"/>
        <w:rPr>
          <w:sz w:val="24"/>
          <w:szCs w:val="28"/>
        </w:rPr>
      </w:pPr>
      <w:r>
        <w:rPr>
          <w:sz w:val="24"/>
          <w:szCs w:val="28"/>
        </w:rPr>
        <w:t>特此声明。</w:t>
      </w:r>
    </w:p>
    <w:p>
      <w:pPr>
        <w:autoSpaceDE w:val="0"/>
        <w:autoSpaceDN w:val="0"/>
        <w:adjustRightInd w:val="0"/>
        <w:spacing w:line="36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pacing w:line="480" w:lineRule="auto"/>
        <w:jc w:val="left"/>
        <w:rPr>
          <w:sz w:val="28"/>
          <w:szCs w:val="28"/>
        </w:rPr>
      </w:pPr>
    </w:p>
    <w:p>
      <w:pPr>
        <w:autoSpaceDE w:val="0"/>
        <w:autoSpaceDN w:val="0"/>
        <w:adjustRightInd w:val="0"/>
        <w:snapToGrid w:val="0"/>
        <w:spacing w:line="360" w:lineRule="auto"/>
        <w:ind w:firstLine="480" w:firstLineChars="200"/>
        <w:jc w:val="left"/>
        <w:rPr>
          <w:sz w:val="24"/>
          <w:szCs w:val="28"/>
        </w:rPr>
      </w:pPr>
      <w:r>
        <w:rPr>
          <w:rFonts w:hint="eastAsia"/>
          <w:sz w:val="24"/>
          <w:szCs w:val="28"/>
        </w:rPr>
        <w:t>磋商响应单位</w:t>
      </w:r>
      <w:r>
        <w:rPr>
          <w:sz w:val="24"/>
          <w:szCs w:val="28"/>
        </w:rPr>
        <w:t>名称：</w:t>
      </w:r>
      <w:r>
        <w:rPr>
          <w:sz w:val="24"/>
          <w:szCs w:val="28"/>
          <w:u w:val="single"/>
        </w:rPr>
        <w:t xml:space="preserve">                    </w:t>
      </w:r>
      <w:r>
        <w:rPr>
          <w:sz w:val="24"/>
          <w:szCs w:val="28"/>
        </w:rPr>
        <w:t>（单位公章）</w:t>
      </w:r>
    </w:p>
    <w:p>
      <w:pPr>
        <w:autoSpaceDE w:val="0"/>
        <w:autoSpaceDN w:val="0"/>
        <w:adjustRightInd w:val="0"/>
        <w:snapToGrid w:val="0"/>
        <w:spacing w:line="360" w:lineRule="auto"/>
        <w:ind w:firstLine="480" w:firstLineChars="200"/>
        <w:jc w:val="left"/>
        <w:rPr>
          <w:sz w:val="24"/>
          <w:szCs w:val="28"/>
          <w:u w:val="single"/>
        </w:rPr>
      </w:pPr>
      <w:r>
        <w:rPr>
          <w:sz w:val="24"/>
          <w:szCs w:val="28"/>
        </w:rPr>
        <w:t>法定代表人或授权代表人：</w:t>
      </w:r>
      <w:r>
        <w:rPr>
          <w:sz w:val="24"/>
          <w:szCs w:val="28"/>
          <w:u w:val="single"/>
        </w:rPr>
        <w:t xml:space="preserve">             </w:t>
      </w:r>
      <w:r>
        <w:rPr>
          <w:sz w:val="24"/>
          <w:szCs w:val="28"/>
        </w:rPr>
        <w:t>（签字或盖章）</w:t>
      </w:r>
    </w:p>
    <w:p>
      <w:pPr>
        <w:autoSpaceDE w:val="0"/>
        <w:autoSpaceDN w:val="0"/>
        <w:adjustRightInd w:val="0"/>
        <w:snapToGrid w:val="0"/>
        <w:spacing w:line="360" w:lineRule="auto"/>
        <w:ind w:firstLine="480" w:firstLineChars="200"/>
        <w:jc w:val="left"/>
        <w:rPr>
          <w:sz w:val="24"/>
          <w:szCs w:val="28"/>
        </w:rPr>
      </w:pPr>
      <w:r>
        <w:rPr>
          <w:sz w:val="24"/>
          <w:szCs w:val="28"/>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47"/>
        <w:sectPr>
          <w:pgSz w:w="11906" w:h="16838"/>
          <w:pgMar w:top="1440" w:right="1457" w:bottom="1440" w:left="1463" w:header="851" w:footer="992" w:gutter="0"/>
          <w:cols w:space="0" w:num="1"/>
          <w:titlePg/>
          <w:docGrid w:type="lines" w:linePitch="312" w:charSpace="0"/>
        </w:sectPr>
      </w:pPr>
    </w:p>
    <w:p>
      <w:pPr>
        <w:pStyle w:val="3"/>
        <w:numPr>
          <w:ilvl w:val="0"/>
          <w:numId w:val="0"/>
        </w:numPr>
        <w:ind w:left="432"/>
        <w:jc w:val="left"/>
        <w:rPr>
          <w:rFonts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rPr>
        <w:t>十、磋商响应单位负责人不得为同一人或者存在控股、管理关系（格式自拟）</w:t>
      </w:r>
    </w:p>
    <w:bookmarkEnd w:id="62"/>
    <w:p>
      <w:pPr>
        <w:pStyle w:val="3"/>
        <w:numPr>
          <w:ilvl w:val="0"/>
          <w:numId w:val="0"/>
        </w:numPr>
        <w:jc w:val="left"/>
        <w:rPr>
          <w:rFonts w:hint="eastAsia" w:ascii="宋体" w:hAnsi="宋体" w:eastAsia="宋体"/>
          <w:b/>
          <w:bCs/>
          <w:sz w:val="32"/>
          <w:szCs w:val="32"/>
          <w:lang w:eastAsia="zh-CN"/>
        </w:rPr>
      </w:pPr>
      <w:r>
        <w:rPr>
          <w:rFonts w:hint="eastAsia" w:ascii="宋体" w:hAnsi="宋体" w:eastAsia="宋体"/>
          <w:b/>
          <w:bCs/>
          <w:sz w:val="32"/>
          <w:szCs w:val="32"/>
          <w:lang w:val="en-US" w:eastAsia="zh-CN"/>
        </w:rPr>
        <w:t>十一、具</w:t>
      </w:r>
      <w:r>
        <w:rPr>
          <w:rFonts w:hint="eastAsia" w:ascii="宋体" w:hAnsi="宋体" w:eastAsia="宋体"/>
          <w:b/>
          <w:bCs/>
          <w:sz w:val="32"/>
          <w:szCs w:val="32"/>
        </w:rPr>
        <w:t>有履行本合同所必需的设备和专业技术能力</w:t>
      </w:r>
      <w:r>
        <w:rPr>
          <w:rFonts w:hint="eastAsia" w:ascii="宋体" w:hAnsi="宋体" w:eastAsia="宋体"/>
          <w:b/>
          <w:bCs/>
          <w:sz w:val="32"/>
          <w:szCs w:val="32"/>
          <w:lang w:eastAsia="zh-CN"/>
        </w:rPr>
        <w:t>；</w:t>
      </w:r>
    </w:p>
    <w:p>
      <w:pPr>
        <w:pStyle w:val="3"/>
        <w:numPr>
          <w:ilvl w:val="0"/>
          <w:numId w:val="0"/>
        </w:numPr>
        <w:jc w:val="center"/>
        <w:rPr>
          <w:rFonts w:hint="eastAsia" w:ascii="宋体" w:hAnsi="宋体" w:eastAsia="宋体"/>
          <w:b/>
          <w:bCs/>
          <w:sz w:val="32"/>
          <w:szCs w:val="32"/>
        </w:rPr>
        <w:sectPr>
          <w:pgSz w:w="11906" w:h="16838"/>
          <w:pgMar w:top="1440" w:right="1457" w:bottom="1440" w:left="1463" w:header="851" w:footer="992" w:gutter="0"/>
          <w:cols w:space="0" w:num="1"/>
          <w:titlePg/>
          <w:docGrid w:type="lines" w:linePitch="312" w:charSpace="0"/>
        </w:sectPr>
      </w:pPr>
      <w:r>
        <w:rPr>
          <w:rFonts w:hint="eastAsia" w:ascii="宋体" w:hAnsi="宋体" w:eastAsia="宋体"/>
          <w:b/>
          <w:bCs/>
          <w:sz w:val="32"/>
          <w:szCs w:val="32"/>
          <w:lang w:eastAsia="zh-CN"/>
        </w:rPr>
        <w:t>（</w:t>
      </w:r>
      <w:r>
        <w:rPr>
          <w:rFonts w:hint="eastAsia" w:ascii="宋体" w:hAnsi="宋体" w:eastAsia="宋体"/>
          <w:b/>
          <w:bCs/>
          <w:sz w:val="32"/>
          <w:szCs w:val="32"/>
          <w:lang w:val="en-US" w:eastAsia="zh-CN"/>
        </w:rPr>
        <w:t>格式自拟</w:t>
      </w:r>
      <w:r>
        <w:rPr>
          <w:rFonts w:hint="eastAsia" w:ascii="宋体" w:hAnsi="宋体" w:eastAsia="宋体"/>
          <w:b/>
          <w:bCs/>
          <w:sz w:val="32"/>
          <w:szCs w:val="32"/>
          <w:lang w:eastAsia="zh-CN"/>
        </w:rPr>
        <w:t>）</w:t>
      </w:r>
    </w:p>
    <w:p>
      <w:pPr>
        <w:jc w:val="center"/>
        <w:rPr>
          <w:b/>
          <w:bCs/>
          <w:sz w:val="32"/>
          <w:szCs w:val="32"/>
        </w:rPr>
      </w:pPr>
      <w:r>
        <w:rPr>
          <w:rFonts w:hint="eastAsia"/>
          <w:b/>
          <w:bCs/>
          <w:sz w:val="32"/>
          <w:szCs w:val="32"/>
        </w:rPr>
        <w:t>十</w:t>
      </w:r>
      <w:r>
        <w:rPr>
          <w:rFonts w:hint="eastAsia"/>
          <w:b/>
          <w:bCs/>
          <w:sz w:val="32"/>
          <w:szCs w:val="32"/>
          <w:lang w:val="en-US" w:eastAsia="zh-CN"/>
        </w:rPr>
        <w:t>二</w:t>
      </w:r>
      <w:r>
        <w:rPr>
          <w:rFonts w:hint="eastAsia"/>
          <w:b/>
          <w:bCs/>
          <w:sz w:val="32"/>
          <w:szCs w:val="32"/>
        </w:rPr>
        <w:t>、陕西省政府采购供应商拒绝政府采购领域商业贿赂承诺书</w:t>
      </w:r>
    </w:p>
    <w:p/>
    <w:p>
      <w:pPr>
        <w:rPr>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为响应党中央、国务院关于治理政府采购领域商业贿赂行为的号召，我公司在此庄严承诺：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1、在参与政府采购活动中遵纪守法、诚信经营、公平竞标。</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2、不向政府采购人、采购代理机构和政府采购评审专家进行任何形式的商业贿赂以谋取交易机会。</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3、不向政府采购代理机构和采购人提供虚假资质文件或采用虚假应标方式参与政府采购市场竞争并谋取中标、成交。</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4、不采取“围标、陪标”等商业欺诈手段获得政府采购定单。</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5、不采取不正当手段诋毁、排挤其他供应商。</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6、不在提供商品和服务时“偷梁换柱、以次充好”损害采购人的合法权益。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7、不与采购人、采购代理机构政府采购评审专家或其它供应商恶意串通，进行质疑和投诉，维护政府采购市场秩序。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8、尊重和接受政府采购监督管理部门的监督和政府采购代理机构招标采购要求，承担因违约行为给采购人造成的损失。</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9、不发生其他有悖于政府采购公开、公平、公正和诚信原则的行为。</w:t>
      </w:r>
    </w:p>
    <w:p>
      <w:pPr>
        <w:spacing w:line="360" w:lineRule="auto"/>
        <w:rPr>
          <w:rFonts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ascii="宋体" w:hAnsi="宋体" w:cs="宋体"/>
          <w:sz w:val="24"/>
        </w:rPr>
      </w:pPr>
      <w:r>
        <w:rPr>
          <w:rFonts w:hint="eastAsia" w:ascii="宋体" w:hAnsi="宋体" w:cs="宋体"/>
          <w:sz w:val="24"/>
        </w:rPr>
        <w:t>磋商响应单位名称：           （盖章）</w:t>
      </w:r>
    </w:p>
    <w:p>
      <w:pPr>
        <w:spacing w:line="360" w:lineRule="auto"/>
        <w:rPr>
          <w:rFonts w:ascii="宋体" w:hAnsi="宋体" w:cs="宋体"/>
          <w:sz w:val="24"/>
        </w:rPr>
      </w:pPr>
      <w:r>
        <w:rPr>
          <w:rFonts w:hint="eastAsia" w:ascii="宋体" w:hAnsi="宋体" w:cs="宋体"/>
          <w:sz w:val="24"/>
        </w:rPr>
        <w:t>法定代表人或授权代表人：（签字并盖章）</w:t>
      </w:r>
    </w:p>
    <w:p>
      <w:pPr>
        <w:spacing w:line="360" w:lineRule="auto"/>
        <w:rPr>
          <w:rFonts w:ascii="宋体" w:hAnsi="宋体" w:cs="宋体"/>
          <w:sz w:val="24"/>
        </w:rPr>
      </w:pPr>
      <w:r>
        <w:rPr>
          <w:rFonts w:hint="eastAsia" w:ascii="宋体" w:hAnsi="宋体" w:cs="宋体"/>
          <w:sz w:val="24"/>
        </w:rPr>
        <w:t>地  址：                        </w:t>
      </w:r>
    </w:p>
    <w:p>
      <w:pPr>
        <w:spacing w:line="360" w:lineRule="auto"/>
        <w:rPr>
          <w:rFonts w:ascii="宋体" w:hAnsi="宋体" w:cs="宋体"/>
          <w:sz w:val="24"/>
        </w:rPr>
      </w:pPr>
      <w:r>
        <w:rPr>
          <w:rFonts w:hint="eastAsia" w:ascii="宋体" w:hAnsi="宋体" w:cs="宋体"/>
          <w:sz w:val="24"/>
        </w:rPr>
        <w:t>邮  编：</w:t>
      </w:r>
    </w:p>
    <w:p>
      <w:pPr>
        <w:spacing w:line="360" w:lineRule="auto"/>
        <w:ind w:left="960" w:hanging="960" w:hangingChars="400"/>
        <w:rPr>
          <w:rFonts w:ascii="宋体" w:hAnsi="宋体" w:cs="宋体"/>
          <w:sz w:val="24"/>
        </w:rPr>
      </w:pPr>
      <w:r>
        <w:rPr>
          <w:rFonts w:hint="eastAsia" w:ascii="宋体" w:hAnsi="宋体" w:cs="宋体"/>
          <w:sz w:val="24"/>
        </w:rPr>
        <w:t>电  话：                                年  月  日</w:t>
      </w:r>
    </w:p>
    <w:p/>
    <w:p/>
    <w:p>
      <w:pPr>
        <w:pStyle w:val="2"/>
        <w:ind w:firstLine="0" w:firstLineChars="0"/>
        <w:rPr>
          <w:b/>
          <w:bCs/>
          <w:sz w:val="30"/>
          <w:szCs w:val="30"/>
        </w:rPr>
      </w:pPr>
    </w:p>
    <w:p>
      <w:pPr>
        <w:pStyle w:val="2"/>
        <w:ind w:firstLine="0" w:firstLineChars="0"/>
        <w:rPr>
          <w:b/>
          <w:bCs/>
          <w:sz w:val="30"/>
          <w:szCs w:val="30"/>
        </w:rPr>
      </w:pPr>
    </w:p>
    <w:p>
      <w:pPr>
        <w:pStyle w:val="2"/>
        <w:ind w:firstLine="0" w:firstLineChars="0"/>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rPr>
          <w:b/>
          <w:bCs/>
          <w:sz w:val="30"/>
          <w:szCs w:val="30"/>
        </w:rPr>
      </w:pPr>
    </w:p>
    <w:p>
      <w:pPr>
        <w:adjustRightInd w:val="0"/>
        <w:snapToGrid w:val="0"/>
        <w:spacing w:after="300" w:line="360" w:lineRule="auto"/>
        <w:jc w:val="center"/>
        <w:outlineLvl w:val="1"/>
        <w:rPr>
          <w:b/>
          <w:bCs/>
          <w:sz w:val="52"/>
          <w:szCs w:val="52"/>
        </w:rPr>
      </w:pPr>
      <w:r>
        <w:rPr>
          <w:b/>
          <w:bCs/>
          <w:sz w:val="52"/>
          <w:szCs w:val="52"/>
        </w:rPr>
        <w:t>商务文件</w:t>
      </w:r>
    </w:p>
    <w:p>
      <w:pPr>
        <w:tabs>
          <w:tab w:val="left" w:pos="4035"/>
        </w:tabs>
        <w:autoSpaceDE w:val="0"/>
        <w:autoSpaceDN w:val="0"/>
        <w:adjustRightInd w:val="0"/>
        <w:snapToGrid w:val="0"/>
        <w:spacing w:after="156" w:afterLines="50" w:line="360" w:lineRule="auto"/>
        <w:rPr>
          <w:sz w:val="24"/>
        </w:rPr>
      </w:pPr>
    </w:p>
    <w:p>
      <w:pPr>
        <w:autoSpaceDE w:val="0"/>
        <w:autoSpaceDN w:val="0"/>
        <w:adjustRightInd w:val="0"/>
        <w:snapToGrid w:val="0"/>
        <w:spacing w:after="156" w:afterLines="50" w:line="360" w:lineRule="auto"/>
        <w:jc w:val="center"/>
        <w:rPr>
          <w:rFonts w:asciiTheme="minorEastAsia" w:hAnsiTheme="minorEastAsia" w:eastAsiaTheme="minorEastAsia" w:cstheme="minorEastAsia"/>
          <w:bCs/>
          <w:sz w:val="30"/>
          <w:szCs w:val="30"/>
        </w:rPr>
      </w:pPr>
      <w:r>
        <w:rPr>
          <w:sz w:val="24"/>
        </w:rPr>
        <w:br w:type="page"/>
      </w:r>
      <w:r>
        <w:rPr>
          <w:rFonts w:hint="eastAsia"/>
          <w:b/>
          <w:bCs/>
          <w:sz w:val="30"/>
          <w:szCs w:val="30"/>
        </w:rPr>
        <w:t>一、磋商响应函</w:t>
      </w:r>
    </w:p>
    <w:p>
      <w:pPr>
        <w:pStyle w:val="2"/>
        <w:spacing w:line="360" w:lineRule="auto"/>
        <w:ind w:firstLine="0" w:firstLineChars="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远创项目管理有限公司</w:t>
      </w:r>
    </w:p>
    <w:p>
      <w:pPr>
        <w:pStyle w:val="2"/>
        <w:spacing w:line="360" w:lineRule="auto"/>
        <w:ind w:firstLine="0" w:firstLineChars="0"/>
        <w:rPr>
          <w:rFonts w:ascii="宋体" w:hAnsi="宋体" w:cs="宋体"/>
          <w:sz w:val="24"/>
        </w:rPr>
      </w:pPr>
      <w:r>
        <w:rPr>
          <w:rFonts w:hint="eastAsia" w:asciiTheme="minorEastAsia" w:hAnsiTheme="minorEastAsia" w:eastAsiaTheme="minorEastAsia" w:cstheme="minorEastAsia"/>
          <w:sz w:val="24"/>
        </w:rPr>
        <w:t xml:space="preserve">   </w:t>
      </w:r>
      <w:r>
        <w:rPr>
          <w:rFonts w:hint="eastAsia" w:ascii="宋体" w:hAnsi="宋体" w:cs="宋体"/>
          <w:sz w:val="24"/>
        </w:rPr>
        <w:t xml:space="preserve"> 根据贵方</w:t>
      </w:r>
      <w:r>
        <w:rPr>
          <w:rFonts w:hint="eastAsia" w:ascii="宋体" w:hAnsi="宋体" w:cs="宋体"/>
          <w:sz w:val="24"/>
          <w:u w:val="single"/>
        </w:rPr>
        <w:t>             </w:t>
      </w:r>
      <w:r>
        <w:rPr>
          <w:rFonts w:hint="eastAsia" w:ascii="宋体" w:hAnsi="宋体" w:cs="宋体"/>
          <w:sz w:val="24"/>
        </w:rPr>
        <w:t>项目的邀请，正式授权（姓名）代表（磋商响应单位的名称），提交本项目磋商响应文件正本壹份，副本贰份、电子文件（U盘）壹份。在此我方承诺如下：</w:t>
      </w:r>
    </w:p>
    <w:p>
      <w:pPr>
        <w:pStyle w:val="2"/>
        <w:spacing w:line="360" w:lineRule="auto"/>
        <w:ind w:firstLine="0" w:firstLineChars="0"/>
        <w:rPr>
          <w:rFonts w:ascii="宋体" w:hAnsi="宋体" w:cs="宋体"/>
          <w:sz w:val="24"/>
        </w:rPr>
      </w:pPr>
      <w:r>
        <w:rPr>
          <w:rFonts w:hint="eastAsia" w:ascii="宋体" w:hAnsi="宋体" w:cs="宋体"/>
          <w:sz w:val="24"/>
        </w:rPr>
        <w:t xml:space="preserve">    1、我方已详细审查全部磋商文件，包括修改文件（如有）以及全部参考资料和有关附件。我们已完全理解磋商文件并对磋商文件不存在任何异议。</w:t>
      </w:r>
    </w:p>
    <w:p>
      <w:pPr>
        <w:pStyle w:val="2"/>
        <w:spacing w:line="360" w:lineRule="auto"/>
        <w:ind w:firstLine="0" w:firstLineChars="0"/>
        <w:rPr>
          <w:rFonts w:ascii="宋体" w:hAnsi="宋体" w:cs="宋体"/>
          <w:sz w:val="24"/>
        </w:rPr>
      </w:pPr>
      <w:r>
        <w:rPr>
          <w:rFonts w:hint="eastAsia" w:ascii="宋体" w:hAnsi="宋体" w:cs="宋体"/>
          <w:sz w:val="24"/>
        </w:rPr>
        <w:t xml:space="preserve">    2、本响应（投标）自磋商之日起有效期为 90 个日历天。</w:t>
      </w:r>
    </w:p>
    <w:p>
      <w:pPr>
        <w:pStyle w:val="2"/>
        <w:spacing w:line="360" w:lineRule="auto"/>
        <w:ind w:firstLine="480"/>
        <w:rPr>
          <w:rFonts w:ascii="宋体" w:hAnsi="宋体" w:cs="宋体"/>
          <w:sz w:val="24"/>
        </w:rPr>
      </w:pPr>
      <w:r>
        <w:rPr>
          <w:rFonts w:hint="eastAsia" w:ascii="宋体" w:hAnsi="宋体" w:cs="宋体"/>
          <w:sz w:val="24"/>
        </w:rPr>
        <w:t>3、我方承诺所递交的响应文件及有关资料真实有效。</w:t>
      </w:r>
    </w:p>
    <w:p>
      <w:pPr>
        <w:pStyle w:val="2"/>
        <w:spacing w:line="360" w:lineRule="auto"/>
        <w:ind w:firstLine="480"/>
        <w:rPr>
          <w:rFonts w:ascii="宋体" w:hAnsi="宋体" w:cs="宋体"/>
          <w:sz w:val="24"/>
        </w:rPr>
      </w:pPr>
      <w:r>
        <w:rPr>
          <w:rFonts w:hint="eastAsia" w:ascii="宋体" w:hAnsi="宋体" w:cs="宋体"/>
          <w:sz w:val="24"/>
        </w:rPr>
        <w:t>4、如我方成交（中标），依成交通知规定的时间与采购人签订合同，并按合同规定履行合同责任和义务。</w:t>
      </w:r>
    </w:p>
    <w:p>
      <w:pPr>
        <w:pStyle w:val="2"/>
        <w:spacing w:line="360" w:lineRule="auto"/>
        <w:ind w:firstLine="0" w:firstLineChars="0"/>
        <w:rPr>
          <w:rFonts w:ascii="宋体" w:hAnsi="宋体" w:cs="宋体"/>
          <w:sz w:val="24"/>
        </w:rPr>
      </w:pPr>
      <w:r>
        <w:rPr>
          <w:rFonts w:hint="eastAsia" w:ascii="宋体" w:hAnsi="宋体" w:cs="宋体"/>
          <w:sz w:val="24"/>
        </w:rPr>
        <w:t xml:space="preserve">    5、我方同意提供按照采购人可能要求与其采购有关的一切数据或资料，完全理解贵方不一定接受最低价的投标或其他任何投标。</w:t>
      </w:r>
    </w:p>
    <w:p>
      <w:pPr>
        <w:pStyle w:val="2"/>
        <w:spacing w:line="360" w:lineRule="auto"/>
        <w:ind w:firstLine="0" w:firstLineChars="0"/>
        <w:rPr>
          <w:rFonts w:ascii="宋体" w:hAnsi="宋体" w:cs="宋体"/>
          <w:sz w:val="24"/>
        </w:rPr>
      </w:pPr>
      <w:r>
        <w:rPr>
          <w:rFonts w:hint="eastAsia" w:ascii="宋体" w:hAnsi="宋体" w:cs="宋体"/>
          <w:sz w:val="24"/>
        </w:rPr>
        <w:t xml:space="preserve">     与本磋商有关的一切正式往来通讯请寄：</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传 真：</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w:t>
      </w:r>
    </w:p>
    <w:p>
      <w:pPr>
        <w:pStyle w:val="2"/>
        <w:spacing w:line="360" w:lineRule="auto"/>
        <w:ind w:firstLine="0" w:firstLineChars="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邮政编码：</w:t>
      </w:r>
      <w:r>
        <w:rPr>
          <w:rFonts w:hint="eastAsia" w:asciiTheme="minorEastAsia" w:hAnsiTheme="minorEastAsia" w:eastAsiaTheme="minorEastAsia" w:cstheme="minorEastAsia"/>
          <w:sz w:val="24"/>
          <w:u w:val="single"/>
        </w:rPr>
        <w:t>　　　　　　　　　　　　　　　　　　　　　　　　</w:t>
      </w:r>
    </w:p>
    <w:p>
      <w:pPr>
        <w:pStyle w:val="2"/>
        <w:spacing w:line="360" w:lineRule="auto"/>
        <w:ind w:firstLine="0" w:firstLineChars="0"/>
        <w:rPr>
          <w:rFonts w:asciiTheme="minorEastAsia" w:hAnsiTheme="minorEastAsia" w:eastAsiaTheme="minorEastAsia" w:cstheme="minorEastAsia"/>
          <w:sz w:val="24"/>
        </w:rPr>
      </w:pPr>
    </w:p>
    <w:p>
      <w:pPr>
        <w:pStyle w:val="2"/>
        <w:spacing w:line="360" w:lineRule="auto"/>
        <w:ind w:firstLine="0" w:firstLineChars="0"/>
        <w:rPr>
          <w:rFonts w:asciiTheme="minorEastAsia" w:hAnsiTheme="minorEastAsia" w:eastAsiaTheme="minorEastAsia" w:cstheme="minorEastAsia"/>
          <w:sz w:val="24"/>
        </w:rPr>
      </w:pPr>
    </w:p>
    <w:p>
      <w:pPr>
        <w:overflowPunct w:val="0"/>
        <w:topLinePunct/>
        <w:adjustRightInd w:val="0"/>
        <w:snapToGrid w:val="0"/>
        <w:spacing w:line="360" w:lineRule="auto"/>
        <w:rPr>
          <w:rFonts w:asciiTheme="minorEastAsia" w:hAnsiTheme="minorEastAsia" w:eastAsiaTheme="minorEastAsia" w:cstheme="minorEastAsia"/>
          <w:sz w:val="24"/>
        </w:rPr>
      </w:pP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磋商响应单位名称：</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 xml:space="preserve">（公章） </w:t>
      </w:r>
    </w:p>
    <w:p>
      <w:pPr>
        <w:overflowPunct w:val="0"/>
        <w:topLinePunct/>
        <w:adjustRightInd w:val="0"/>
        <w:snapToGrid w:val="0"/>
        <w:spacing w:line="48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 xml:space="preserve">                        </w:t>
      </w:r>
      <w:r>
        <w:rPr>
          <w:rFonts w:hint="eastAsia" w:asciiTheme="minorEastAsia" w:hAnsiTheme="minorEastAsia" w:eastAsiaTheme="minorEastAsia" w:cstheme="minorEastAsia"/>
          <w:sz w:val="24"/>
        </w:rPr>
        <w:t>法定代表人或授权代表人：</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（签字或签章）</w:t>
      </w:r>
    </w:p>
    <w:p>
      <w:pPr>
        <w:overflowPunct w:val="0"/>
        <w:topLinePunct/>
        <w:adjustRightInd w:val="0"/>
        <w:snapToGrid w:val="0"/>
        <w:spacing w:line="480" w:lineRule="auto"/>
        <w:ind w:firstLine="5040" w:firstLineChars="2100"/>
        <w:rPr>
          <w:rFonts w:asciiTheme="minorEastAsia" w:hAnsiTheme="minorEastAsia" w:eastAsiaTheme="minorEastAsia" w:cstheme="minorEastAsia"/>
          <w:kern w:val="0"/>
          <w:sz w:val="24"/>
        </w:rPr>
      </w:pP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r>
        <w:rPr>
          <w:rFonts w:hint="eastAsia" w:asciiTheme="minorEastAsia" w:hAnsiTheme="minorEastAsia" w:eastAsiaTheme="minorEastAsia" w:cstheme="minorEastAsia"/>
          <w:kern w:val="0"/>
          <w:sz w:val="24"/>
          <w:shd w:val="clear" w:color="auto" w:fill="FFFFFF"/>
        </w:rPr>
        <w:t>  </w:t>
      </w:r>
    </w:p>
    <w:p>
      <w:pPr>
        <w:autoSpaceDE w:val="0"/>
        <w:autoSpaceDN w:val="0"/>
        <w:adjustRightInd w:val="0"/>
        <w:snapToGrid w:val="0"/>
        <w:spacing w:after="156" w:afterLines="50" w:line="360" w:lineRule="auto"/>
        <w:jc w:val="center"/>
        <w:rPr>
          <w:kern w:val="0"/>
          <w:sz w:val="30"/>
          <w:szCs w:val="30"/>
          <w:shd w:val="clear" w:color="auto" w:fill="FFFFFF"/>
        </w:rPr>
      </w:pPr>
      <w:r>
        <w:rPr>
          <w:sz w:val="24"/>
        </w:rPr>
        <w:br w:type="page"/>
      </w:r>
      <w:bookmarkStart w:id="63" w:name="_Toc293934824"/>
      <w:bookmarkEnd w:id="63"/>
      <w:r>
        <w:rPr>
          <w:rFonts w:hint="eastAsia"/>
          <w:b/>
          <w:bCs/>
          <w:sz w:val="30"/>
          <w:szCs w:val="30"/>
        </w:rPr>
        <w:t>二、首次</w:t>
      </w:r>
      <w:r>
        <w:rPr>
          <w:rFonts w:hint="eastAsia"/>
          <w:b/>
          <w:bCs/>
          <w:sz w:val="30"/>
          <w:szCs w:val="30"/>
          <w:lang w:val="en-US" w:eastAsia="zh-CN"/>
        </w:rPr>
        <w:t>磋商</w:t>
      </w:r>
      <w:r>
        <w:rPr>
          <w:rFonts w:hint="eastAsia"/>
          <w:b/>
          <w:bCs/>
          <w:sz w:val="30"/>
          <w:szCs w:val="30"/>
        </w:rPr>
        <w:t>报价表</w:t>
      </w:r>
    </w:p>
    <w:p>
      <w:pPr>
        <w:adjustRightInd w:val="0"/>
        <w:snapToGrid w:val="0"/>
        <w:spacing w:line="360" w:lineRule="auto"/>
        <w:rPr>
          <w:sz w:val="24"/>
          <w:u w:val="single"/>
        </w:rPr>
      </w:pPr>
      <w:r>
        <w:rPr>
          <w:sz w:val="24"/>
        </w:rPr>
        <w:t>项目名称：</w:t>
      </w:r>
      <w:r>
        <w:rPr>
          <w:sz w:val="24"/>
          <w:u w:val="single"/>
        </w:rPr>
        <w:t xml:space="preserve">                    </w:t>
      </w:r>
      <w:r>
        <w:rPr>
          <w:rFonts w:hint="eastAsia"/>
          <w:sz w:val="24"/>
          <w:u w:val="single"/>
        </w:rPr>
        <w:t>　　　　　　　　　　　　　　　　　</w:t>
      </w:r>
      <w:r>
        <w:rPr>
          <w:sz w:val="24"/>
          <w:u w:val="single"/>
        </w:rPr>
        <w:t xml:space="preserve">        </w:t>
      </w:r>
    </w:p>
    <w:tbl>
      <w:tblPr>
        <w:tblStyle w:val="48"/>
        <w:tblpPr w:leftFromText="180" w:rightFromText="180" w:vertAnchor="page" w:horzAnchor="page" w:tblpX="1607" w:tblpY="2977"/>
        <w:tblW w:w="89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0"/>
        <w:gridCol w:w="1827"/>
        <w:gridCol w:w="1796"/>
        <w:gridCol w:w="1731"/>
        <w:gridCol w:w="15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2" w:hRule="atLeast"/>
        </w:trPr>
        <w:tc>
          <w:tcPr>
            <w:tcW w:w="2060" w:type="dxa"/>
            <w:tcBorders>
              <w:top w:val="single" w:color="auto" w:sz="12" w:space="0"/>
              <w:bottom w:val="single" w:color="auto" w:sz="6" w:space="0"/>
              <w:tl2br w:val="single" w:color="auto" w:sz="6" w:space="0"/>
            </w:tcBorders>
          </w:tcPr>
          <w:p>
            <w:pPr>
              <w:tabs>
                <w:tab w:val="center" w:pos="1062"/>
              </w:tabs>
              <w:spacing w:line="360" w:lineRule="auto"/>
              <w:ind w:firstLine="240" w:firstLineChars="100"/>
              <w:jc w:val="both"/>
              <w:rPr>
                <w:sz w:val="24"/>
              </w:rPr>
            </w:pPr>
          </w:p>
          <w:p>
            <w:pPr>
              <w:tabs>
                <w:tab w:val="center" w:pos="1062"/>
              </w:tabs>
              <w:spacing w:line="360" w:lineRule="auto"/>
              <w:ind w:firstLine="720" w:firstLineChars="300"/>
              <w:jc w:val="both"/>
              <w:rPr>
                <w:sz w:val="24"/>
              </w:rPr>
            </w:pPr>
            <w:r>
              <w:rPr>
                <w:sz w:val="24"/>
              </w:rPr>
              <w:t>报价内容</w:t>
            </w:r>
          </w:p>
          <w:p>
            <w:pPr>
              <w:spacing w:line="360" w:lineRule="auto"/>
              <w:jc w:val="left"/>
              <w:rPr>
                <w:sz w:val="24"/>
              </w:rPr>
            </w:pPr>
          </w:p>
          <w:p>
            <w:pPr>
              <w:spacing w:line="360" w:lineRule="auto"/>
              <w:jc w:val="left"/>
              <w:rPr>
                <w:rFonts w:hint="eastAsia" w:eastAsia="宋体"/>
                <w:sz w:val="24"/>
                <w:lang w:eastAsia="zh-CN"/>
              </w:rPr>
            </w:pPr>
            <w:r>
              <w:rPr>
                <w:rFonts w:hint="eastAsia"/>
                <w:sz w:val="24"/>
                <w:lang w:val="en-US" w:eastAsia="zh-CN"/>
              </w:rPr>
              <w:t>项目名称</w:t>
            </w:r>
          </w:p>
        </w:tc>
        <w:tc>
          <w:tcPr>
            <w:tcW w:w="1827" w:type="dxa"/>
          </w:tcPr>
          <w:p>
            <w:pPr>
              <w:spacing w:line="360" w:lineRule="exact"/>
              <w:jc w:val="center"/>
              <w:rPr>
                <w:sz w:val="24"/>
              </w:rPr>
            </w:pPr>
          </w:p>
          <w:p>
            <w:pPr>
              <w:spacing w:line="360" w:lineRule="exact"/>
              <w:jc w:val="center"/>
              <w:rPr>
                <w:sz w:val="24"/>
              </w:rPr>
            </w:pPr>
          </w:p>
          <w:p>
            <w:pPr>
              <w:spacing w:line="360" w:lineRule="exact"/>
              <w:jc w:val="center"/>
              <w:rPr>
                <w:sz w:val="24"/>
              </w:rPr>
            </w:pPr>
            <w:r>
              <w:rPr>
                <w:rFonts w:hint="eastAsia"/>
                <w:sz w:val="24"/>
                <w:lang w:val="en-US" w:eastAsia="zh-CN"/>
              </w:rPr>
              <w:t>响应</w:t>
            </w:r>
            <w:r>
              <w:rPr>
                <w:sz w:val="24"/>
              </w:rPr>
              <w:t>总价</w:t>
            </w:r>
          </w:p>
          <w:p>
            <w:pPr>
              <w:spacing w:line="360" w:lineRule="exact"/>
              <w:jc w:val="center"/>
              <w:rPr>
                <w:sz w:val="24"/>
              </w:rPr>
            </w:pPr>
            <w:r>
              <w:rPr>
                <w:sz w:val="24"/>
              </w:rPr>
              <w:t>（元）</w:t>
            </w:r>
          </w:p>
        </w:tc>
        <w:tc>
          <w:tcPr>
            <w:tcW w:w="1796"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工期</w:t>
            </w:r>
          </w:p>
          <w:p>
            <w:pPr>
              <w:spacing w:line="360" w:lineRule="exact"/>
              <w:jc w:val="center"/>
              <w:rPr>
                <w:sz w:val="24"/>
              </w:rPr>
            </w:pPr>
            <w:r>
              <w:rPr>
                <w:sz w:val="24"/>
              </w:rPr>
              <w:t>（</w:t>
            </w:r>
            <w:r>
              <w:rPr>
                <w:rFonts w:hint="eastAsia"/>
                <w:sz w:val="24"/>
              </w:rPr>
              <w:t>日历</w:t>
            </w:r>
            <w:r>
              <w:rPr>
                <w:sz w:val="24"/>
              </w:rPr>
              <w:t>天）</w:t>
            </w:r>
          </w:p>
        </w:tc>
        <w:tc>
          <w:tcPr>
            <w:tcW w:w="1731"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质量</w:t>
            </w:r>
            <w:r>
              <w:rPr>
                <w:rFonts w:hint="eastAsia"/>
                <w:sz w:val="24"/>
              </w:rPr>
              <w:t>标准</w:t>
            </w:r>
          </w:p>
          <w:p>
            <w:pPr>
              <w:spacing w:line="360" w:lineRule="exact"/>
              <w:jc w:val="center"/>
              <w:rPr>
                <w:sz w:val="24"/>
              </w:rPr>
            </w:pPr>
          </w:p>
        </w:tc>
        <w:tc>
          <w:tcPr>
            <w:tcW w:w="1513" w:type="dxa"/>
          </w:tcPr>
          <w:p>
            <w:pPr>
              <w:spacing w:line="360" w:lineRule="exact"/>
              <w:jc w:val="center"/>
              <w:rPr>
                <w:sz w:val="24"/>
              </w:rPr>
            </w:pPr>
          </w:p>
          <w:p>
            <w:pPr>
              <w:spacing w:line="360" w:lineRule="exact"/>
              <w:jc w:val="center"/>
              <w:rPr>
                <w:sz w:val="24"/>
              </w:rPr>
            </w:pPr>
          </w:p>
          <w:p>
            <w:pPr>
              <w:spacing w:line="360" w:lineRule="exact"/>
              <w:jc w:val="center"/>
              <w:rPr>
                <w:sz w:val="24"/>
              </w:rPr>
            </w:pPr>
            <w:r>
              <w:rPr>
                <w:sz w:val="24"/>
              </w:rPr>
              <w:t>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0" w:hRule="atLeast"/>
        </w:trPr>
        <w:tc>
          <w:tcPr>
            <w:tcW w:w="2060" w:type="dxa"/>
            <w:tcBorders>
              <w:top w:val="single" w:color="auto" w:sz="6" w:space="0"/>
            </w:tcBorders>
            <w:vAlign w:val="center"/>
          </w:tcPr>
          <w:p>
            <w:pPr>
              <w:spacing w:line="276" w:lineRule="auto"/>
              <w:jc w:val="center"/>
              <w:rPr>
                <w:szCs w:val="21"/>
              </w:rPr>
            </w:pPr>
          </w:p>
        </w:tc>
        <w:tc>
          <w:tcPr>
            <w:tcW w:w="1827" w:type="dxa"/>
            <w:vAlign w:val="center"/>
          </w:tcPr>
          <w:p>
            <w:pPr>
              <w:spacing w:line="360" w:lineRule="auto"/>
              <w:jc w:val="center"/>
              <w:rPr>
                <w:sz w:val="24"/>
              </w:rPr>
            </w:pPr>
          </w:p>
        </w:tc>
        <w:tc>
          <w:tcPr>
            <w:tcW w:w="1796" w:type="dxa"/>
            <w:vAlign w:val="center"/>
          </w:tcPr>
          <w:p>
            <w:pPr>
              <w:spacing w:line="360" w:lineRule="auto"/>
              <w:jc w:val="center"/>
              <w:rPr>
                <w:sz w:val="24"/>
              </w:rPr>
            </w:pPr>
          </w:p>
        </w:tc>
        <w:tc>
          <w:tcPr>
            <w:tcW w:w="1731" w:type="dxa"/>
            <w:vAlign w:val="center"/>
          </w:tcPr>
          <w:p>
            <w:pPr>
              <w:spacing w:line="360" w:lineRule="auto"/>
              <w:rPr>
                <w:sz w:val="24"/>
              </w:rPr>
            </w:pPr>
          </w:p>
        </w:tc>
        <w:tc>
          <w:tcPr>
            <w:tcW w:w="1513" w:type="dxa"/>
            <w:vAlign w:val="center"/>
          </w:tcPr>
          <w:p>
            <w:pPr>
              <w:spacing w:line="360" w:lineRule="auto"/>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86" w:hRule="atLeast"/>
        </w:trPr>
        <w:tc>
          <w:tcPr>
            <w:tcW w:w="2060" w:type="dxa"/>
            <w:vAlign w:val="center"/>
          </w:tcPr>
          <w:p>
            <w:pPr>
              <w:spacing w:line="360" w:lineRule="auto"/>
              <w:jc w:val="center"/>
              <w:rPr>
                <w:sz w:val="24"/>
              </w:rPr>
            </w:pPr>
            <w:r>
              <w:rPr>
                <w:rFonts w:hint="eastAsia"/>
                <w:sz w:val="24"/>
                <w:lang w:val="en-US" w:eastAsia="zh-CN"/>
              </w:rPr>
              <w:t>响应</w:t>
            </w:r>
            <w:r>
              <w:rPr>
                <w:sz w:val="24"/>
              </w:rPr>
              <w:t>总报价</w:t>
            </w:r>
          </w:p>
        </w:tc>
        <w:tc>
          <w:tcPr>
            <w:tcW w:w="6867" w:type="dxa"/>
            <w:gridSpan w:val="4"/>
            <w:vAlign w:val="center"/>
          </w:tcPr>
          <w:p>
            <w:pPr>
              <w:spacing w:line="360" w:lineRule="auto"/>
              <w:ind w:left="270"/>
              <w:jc w:val="left"/>
              <w:rPr>
                <w:sz w:val="24"/>
                <w:u w:val="single"/>
              </w:rPr>
            </w:pPr>
            <w:r>
              <w:rPr>
                <w:sz w:val="24"/>
              </w:rPr>
              <w:t>大写：</w:t>
            </w:r>
            <w:r>
              <w:rPr>
                <w:sz w:val="24"/>
                <w:u w:val="single"/>
              </w:rPr>
              <w:t xml:space="preserve">           </w:t>
            </w:r>
            <w:r>
              <w:rPr>
                <w:rFonts w:hint="eastAsia"/>
                <w:sz w:val="24"/>
                <w:u w:val="single"/>
              </w:rPr>
              <w:t>　　　　　　　　　</w:t>
            </w:r>
            <w:r>
              <w:rPr>
                <w:sz w:val="24"/>
                <w:u w:val="single"/>
              </w:rPr>
              <w:t xml:space="preserve">      </w:t>
            </w:r>
            <w:r>
              <w:rPr>
                <w:sz w:val="24"/>
              </w:rPr>
              <w:t xml:space="preserve"> </w:t>
            </w:r>
          </w:p>
        </w:tc>
      </w:tr>
    </w:tbl>
    <w:p>
      <w:pPr>
        <w:adjustRightInd w:val="0"/>
        <w:snapToGrid w:val="0"/>
        <w:spacing w:line="360" w:lineRule="auto"/>
        <w:rPr>
          <w:b/>
          <w:bCs/>
          <w:sz w:val="24"/>
        </w:rPr>
      </w:pPr>
      <w:r>
        <w:rPr>
          <w:rFonts w:hint="eastAsia"/>
          <w:b/>
          <w:bCs/>
          <w:sz w:val="24"/>
        </w:rPr>
        <w:t>注：报价以元为单位保留到小数点后两位。</w:t>
      </w:r>
    </w:p>
    <w:p>
      <w:pPr>
        <w:adjustRightInd w:val="0"/>
        <w:snapToGrid w:val="0"/>
        <w:spacing w:line="480" w:lineRule="auto"/>
        <w:rPr>
          <w:bCs/>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（签字或盖章）</w:t>
      </w:r>
    </w:p>
    <w:p>
      <w:pPr>
        <w:adjustRightInd w:val="0"/>
        <w:snapToGrid w:val="0"/>
        <w:spacing w:line="480" w:lineRule="auto"/>
        <w:rPr>
          <w:sz w:val="24"/>
        </w:rPr>
      </w:pPr>
      <w:r>
        <w:rPr>
          <w:bCs/>
          <w:sz w:val="24"/>
        </w:rPr>
        <w:t>日期：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napToGrid w:val="0"/>
        <w:spacing w:after="156" w:afterLines="50" w:line="360" w:lineRule="auto"/>
        <w:ind w:left="420" w:leftChars="200"/>
        <w:jc w:val="center"/>
        <w:rPr>
          <w:b/>
          <w:bCs/>
          <w:sz w:val="30"/>
          <w:szCs w:val="30"/>
        </w:rPr>
      </w:pPr>
      <w:r>
        <w:rPr>
          <w:sz w:val="24"/>
        </w:rPr>
        <w:br w:type="page"/>
      </w:r>
      <w:r>
        <w:rPr>
          <w:rFonts w:hint="eastAsia"/>
          <w:b/>
          <w:bCs/>
          <w:sz w:val="30"/>
          <w:szCs w:val="30"/>
        </w:rPr>
        <w:t>三、</w:t>
      </w:r>
      <w:r>
        <w:rPr>
          <w:b/>
          <w:bCs/>
          <w:sz w:val="30"/>
          <w:szCs w:val="30"/>
        </w:rPr>
        <w:t>工程量清单报价表</w:t>
      </w:r>
    </w:p>
    <w:p>
      <w:pPr>
        <w:spacing w:line="360" w:lineRule="auto"/>
        <w:rPr>
          <w:sz w:val="24"/>
        </w:rPr>
      </w:pPr>
      <w:r>
        <w:rPr>
          <w:sz w:val="24"/>
        </w:rPr>
        <w:t>包括以下内容：（以广联达计价软件打印格式为准）</w:t>
      </w:r>
    </w:p>
    <w:p>
      <w:pPr>
        <w:spacing w:line="360" w:lineRule="auto"/>
        <w:rPr>
          <w:rFonts w:ascii="宋体" w:hAnsi="宋体" w:cs="宋体"/>
          <w:sz w:val="24"/>
        </w:rPr>
      </w:pPr>
      <w:r>
        <w:rPr>
          <w:sz w:val="24"/>
        </w:rPr>
        <w:t xml:space="preserve"> </w:t>
      </w:r>
      <w:r>
        <w:rPr>
          <w:rFonts w:hint="eastAsia" w:ascii="宋体" w:hAnsi="宋体" w:cs="宋体"/>
          <w:sz w:val="24"/>
        </w:rPr>
        <w:t xml:space="preserve"> （1）磋商总价</w:t>
      </w:r>
    </w:p>
    <w:p>
      <w:pPr>
        <w:widowControl/>
        <w:spacing w:line="360" w:lineRule="auto"/>
        <w:jc w:val="left"/>
        <w:rPr>
          <w:rFonts w:ascii="宋体" w:hAnsi="宋体" w:cs="宋体"/>
          <w:sz w:val="24"/>
        </w:rPr>
      </w:pPr>
      <w:r>
        <w:rPr>
          <w:rFonts w:hint="eastAsia" w:ascii="宋体" w:hAnsi="宋体" w:cs="宋体"/>
          <w:sz w:val="24"/>
        </w:rPr>
        <w:t xml:space="preserve">  （2）工程项目总造价表</w:t>
      </w:r>
    </w:p>
    <w:p>
      <w:pPr>
        <w:widowControl/>
        <w:spacing w:line="360" w:lineRule="auto"/>
        <w:jc w:val="left"/>
        <w:rPr>
          <w:rFonts w:ascii="宋体" w:hAnsi="宋体" w:cs="宋体"/>
          <w:sz w:val="24"/>
        </w:rPr>
      </w:pPr>
      <w:r>
        <w:rPr>
          <w:rFonts w:hint="eastAsia" w:ascii="宋体" w:hAnsi="宋体" w:cs="宋体"/>
          <w:sz w:val="24"/>
        </w:rPr>
        <w:t xml:space="preserve">  （3）单项工程造价汇总表</w:t>
      </w:r>
    </w:p>
    <w:p>
      <w:pPr>
        <w:widowControl/>
        <w:spacing w:line="360" w:lineRule="auto"/>
        <w:jc w:val="left"/>
        <w:rPr>
          <w:rFonts w:ascii="宋体" w:hAnsi="宋体" w:cs="宋体"/>
          <w:sz w:val="24"/>
        </w:rPr>
      </w:pPr>
      <w:r>
        <w:rPr>
          <w:rFonts w:hint="eastAsia" w:ascii="宋体" w:hAnsi="宋体" w:cs="宋体"/>
          <w:sz w:val="24"/>
        </w:rPr>
        <w:t xml:space="preserve">  （4）单位工程造价汇总表</w:t>
      </w:r>
    </w:p>
    <w:p>
      <w:pPr>
        <w:widowControl/>
        <w:spacing w:line="360" w:lineRule="auto"/>
        <w:jc w:val="left"/>
        <w:rPr>
          <w:rFonts w:ascii="宋体" w:hAnsi="宋体" w:cs="宋体"/>
          <w:sz w:val="24"/>
        </w:rPr>
      </w:pPr>
      <w:r>
        <w:rPr>
          <w:rFonts w:hint="eastAsia" w:ascii="宋体" w:hAnsi="宋体" w:cs="宋体"/>
          <w:sz w:val="24"/>
        </w:rPr>
        <w:t xml:space="preserve">  （5）分部分项工程量清单计价表</w:t>
      </w:r>
    </w:p>
    <w:p>
      <w:pPr>
        <w:widowControl/>
        <w:spacing w:line="360" w:lineRule="auto"/>
        <w:jc w:val="left"/>
        <w:rPr>
          <w:rFonts w:ascii="宋体" w:hAnsi="宋体" w:cs="宋体"/>
          <w:sz w:val="24"/>
        </w:rPr>
      </w:pPr>
      <w:r>
        <w:rPr>
          <w:rFonts w:hint="eastAsia" w:ascii="宋体" w:hAnsi="宋体" w:cs="宋体"/>
          <w:sz w:val="24"/>
        </w:rPr>
        <w:t xml:space="preserve">  （6）措施项目清单计价表</w:t>
      </w:r>
    </w:p>
    <w:p>
      <w:pPr>
        <w:widowControl/>
        <w:spacing w:line="360" w:lineRule="auto"/>
        <w:jc w:val="left"/>
        <w:rPr>
          <w:rFonts w:ascii="宋体" w:hAnsi="宋体" w:cs="宋体"/>
          <w:sz w:val="24"/>
        </w:rPr>
      </w:pPr>
      <w:r>
        <w:rPr>
          <w:rFonts w:hint="eastAsia" w:ascii="宋体" w:hAnsi="宋体" w:cs="宋体"/>
          <w:sz w:val="24"/>
        </w:rPr>
        <w:t xml:space="preserve">  （7）其他项目清单计价表</w:t>
      </w:r>
    </w:p>
    <w:p>
      <w:pPr>
        <w:widowControl/>
        <w:spacing w:line="360" w:lineRule="auto"/>
        <w:jc w:val="left"/>
        <w:rPr>
          <w:rFonts w:ascii="宋体" w:hAnsi="宋体" w:cs="宋体"/>
          <w:sz w:val="24"/>
        </w:rPr>
      </w:pPr>
      <w:r>
        <w:rPr>
          <w:rFonts w:hint="eastAsia" w:ascii="宋体" w:hAnsi="宋体" w:cs="宋体"/>
          <w:sz w:val="24"/>
        </w:rPr>
        <w:t xml:space="preserve">  （8）规费、税金项目清单计价表</w:t>
      </w:r>
    </w:p>
    <w:p>
      <w:pPr>
        <w:widowControl/>
        <w:spacing w:line="360" w:lineRule="auto"/>
        <w:jc w:val="left"/>
        <w:rPr>
          <w:rFonts w:ascii="宋体" w:hAnsi="宋体" w:cs="宋体"/>
          <w:sz w:val="24"/>
        </w:rPr>
      </w:pPr>
      <w:r>
        <w:rPr>
          <w:rFonts w:hint="eastAsia" w:ascii="宋体" w:hAnsi="宋体" w:cs="宋体"/>
          <w:sz w:val="24"/>
        </w:rPr>
        <w:t xml:space="preserve">  （9）主要材料价格表</w:t>
      </w:r>
    </w:p>
    <w:p>
      <w:pPr>
        <w:autoSpaceDE w:val="0"/>
        <w:autoSpaceDN w:val="0"/>
        <w:adjustRightInd w:val="0"/>
        <w:snapToGrid w:val="0"/>
        <w:spacing w:after="156" w:afterLines="50" w:line="360" w:lineRule="auto"/>
        <w:jc w:val="center"/>
        <w:rPr>
          <w:b/>
          <w:bCs/>
          <w:sz w:val="30"/>
          <w:szCs w:val="30"/>
        </w:rPr>
      </w:pPr>
      <w:r>
        <w:rPr>
          <w:b/>
          <w:bCs/>
          <w:sz w:val="24"/>
        </w:rPr>
        <w:br w:type="page"/>
      </w:r>
      <w:r>
        <w:rPr>
          <w:b/>
          <w:bCs/>
          <w:sz w:val="30"/>
          <w:szCs w:val="30"/>
        </w:rPr>
        <w:t>四、</w:t>
      </w:r>
      <w:r>
        <w:rPr>
          <w:rFonts w:hint="eastAsia"/>
          <w:b/>
          <w:bCs/>
          <w:sz w:val="30"/>
          <w:szCs w:val="30"/>
        </w:rPr>
        <w:t>磋商响应单位</w:t>
      </w:r>
      <w:r>
        <w:rPr>
          <w:b/>
          <w:bCs/>
          <w:sz w:val="30"/>
          <w:szCs w:val="30"/>
        </w:rPr>
        <w:t>一般情况表</w:t>
      </w:r>
    </w:p>
    <w:tbl>
      <w:tblPr>
        <w:tblStyle w:val="48"/>
        <w:tblW w:w="8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663"/>
        <w:gridCol w:w="1390"/>
        <w:gridCol w:w="1771"/>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top w:val="single" w:color="auto" w:sz="12" w:space="0"/>
              <w:left w:val="single" w:color="auto" w:sz="12" w:space="0"/>
            </w:tcBorders>
            <w:vAlign w:val="center"/>
          </w:tcPr>
          <w:p>
            <w:pPr>
              <w:autoSpaceDE w:val="0"/>
              <w:autoSpaceDN w:val="0"/>
              <w:adjustRightInd w:val="0"/>
              <w:jc w:val="center"/>
              <w:rPr>
                <w:sz w:val="24"/>
              </w:rPr>
            </w:pPr>
            <w:r>
              <w:rPr>
                <w:rFonts w:hint="eastAsia"/>
                <w:sz w:val="24"/>
              </w:rPr>
              <w:t>磋商响应单位</w:t>
            </w:r>
            <w:r>
              <w:rPr>
                <w:sz w:val="24"/>
              </w:rPr>
              <w:t>全称</w:t>
            </w:r>
          </w:p>
        </w:tc>
        <w:tc>
          <w:tcPr>
            <w:tcW w:w="3053" w:type="dxa"/>
            <w:gridSpan w:val="2"/>
            <w:tcBorders>
              <w:top w:val="single" w:color="auto" w:sz="12" w:space="0"/>
            </w:tcBorders>
            <w:vAlign w:val="center"/>
          </w:tcPr>
          <w:p>
            <w:pPr>
              <w:autoSpaceDE w:val="0"/>
              <w:autoSpaceDN w:val="0"/>
              <w:adjustRightInd w:val="0"/>
              <w:rPr>
                <w:sz w:val="24"/>
              </w:rPr>
            </w:pPr>
          </w:p>
        </w:tc>
        <w:tc>
          <w:tcPr>
            <w:tcW w:w="1771" w:type="dxa"/>
            <w:tcBorders>
              <w:top w:val="single" w:color="auto" w:sz="12" w:space="0"/>
            </w:tcBorders>
            <w:vAlign w:val="center"/>
          </w:tcPr>
          <w:p>
            <w:pPr>
              <w:autoSpaceDE w:val="0"/>
              <w:autoSpaceDN w:val="0"/>
              <w:adjustRightInd w:val="0"/>
              <w:jc w:val="center"/>
              <w:rPr>
                <w:sz w:val="24"/>
              </w:rPr>
            </w:pPr>
            <w:r>
              <w:rPr>
                <w:sz w:val="24"/>
              </w:rPr>
              <w:t>法定代表人</w:t>
            </w:r>
          </w:p>
        </w:tc>
        <w:tc>
          <w:tcPr>
            <w:tcW w:w="2641" w:type="dxa"/>
            <w:tcBorders>
              <w:top w:val="single" w:color="auto" w:sz="12" w:space="0"/>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地 址</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工商登记机关</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注册资金</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单位性质</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主营范围</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财务状况</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电 话</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电 话</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联系人</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公司资质</w:t>
            </w:r>
          </w:p>
          <w:p>
            <w:pPr>
              <w:autoSpaceDE w:val="0"/>
              <w:autoSpaceDN w:val="0"/>
              <w:adjustRightInd w:val="0"/>
              <w:jc w:val="center"/>
              <w:rPr>
                <w:sz w:val="24"/>
              </w:rPr>
            </w:pPr>
            <w:r>
              <w:rPr>
                <w:sz w:val="24"/>
              </w:rPr>
              <w:t>等级证书</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传  真</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tcBorders>
              <w:left w:val="single" w:color="auto" w:sz="12" w:space="0"/>
            </w:tcBorders>
            <w:vAlign w:val="center"/>
          </w:tcPr>
          <w:p>
            <w:pPr>
              <w:autoSpaceDE w:val="0"/>
              <w:autoSpaceDN w:val="0"/>
              <w:adjustRightInd w:val="0"/>
              <w:jc w:val="center"/>
              <w:rPr>
                <w:sz w:val="24"/>
              </w:rPr>
            </w:pPr>
            <w:r>
              <w:rPr>
                <w:sz w:val="24"/>
              </w:rPr>
              <w:t>磋商人是否小微企业</w:t>
            </w:r>
          </w:p>
        </w:tc>
        <w:tc>
          <w:tcPr>
            <w:tcW w:w="3053" w:type="dxa"/>
            <w:gridSpan w:val="2"/>
            <w:vAlign w:val="center"/>
          </w:tcPr>
          <w:p>
            <w:pPr>
              <w:autoSpaceDE w:val="0"/>
              <w:autoSpaceDN w:val="0"/>
              <w:adjustRightInd w:val="0"/>
              <w:rPr>
                <w:sz w:val="24"/>
              </w:rPr>
            </w:pPr>
          </w:p>
        </w:tc>
        <w:tc>
          <w:tcPr>
            <w:tcW w:w="1771" w:type="dxa"/>
            <w:vAlign w:val="center"/>
          </w:tcPr>
          <w:p>
            <w:pPr>
              <w:autoSpaceDE w:val="0"/>
              <w:autoSpaceDN w:val="0"/>
              <w:adjustRightInd w:val="0"/>
              <w:jc w:val="center"/>
              <w:rPr>
                <w:sz w:val="24"/>
              </w:rPr>
            </w:pPr>
            <w:r>
              <w:rPr>
                <w:sz w:val="24"/>
              </w:rPr>
              <w:t>体系认证</w:t>
            </w:r>
          </w:p>
        </w:tc>
        <w:tc>
          <w:tcPr>
            <w:tcW w:w="2641" w:type="dxa"/>
            <w:tcBorders>
              <w:right w:val="single" w:color="auto" w:sz="12" w:space="0"/>
            </w:tcBorders>
            <w:vAlign w:val="center"/>
          </w:tcPr>
          <w:p>
            <w:pPr>
              <w:autoSpaceDE w:val="0"/>
              <w:autoSpaceDN w:val="0"/>
              <w:adjustRightIn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restart"/>
            <w:tcBorders>
              <w:left w:val="single" w:color="auto" w:sz="12" w:space="0"/>
            </w:tcBorders>
            <w:vAlign w:val="center"/>
          </w:tcPr>
          <w:p>
            <w:pPr>
              <w:autoSpaceDE w:val="0"/>
              <w:autoSpaceDN w:val="0"/>
              <w:adjustRightInd w:val="0"/>
              <w:spacing w:line="624" w:lineRule="exact"/>
              <w:jc w:val="center"/>
              <w:rPr>
                <w:sz w:val="24"/>
              </w:rPr>
            </w:pPr>
            <w:r>
              <w:rPr>
                <w:sz w:val="24"/>
              </w:rPr>
              <w:t>人员情况</w:t>
            </w:r>
          </w:p>
        </w:tc>
        <w:tc>
          <w:tcPr>
            <w:tcW w:w="3053" w:type="dxa"/>
            <w:gridSpan w:val="2"/>
            <w:vAlign w:val="center"/>
          </w:tcPr>
          <w:p>
            <w:pPr>
              <w:autoSpaceDE w:val="0"/>
              <w:autoSpaceDN w:val="0"/>
              <w:adjustRightInd w:val="0"/>
              <w:spacing w:line="360" w:lineRule="auto"/>
              <w:rPr>
                <w:sz w:val="24"/>
              </w:rPr>
            </w:pPr>
            <w:r>
              <w:rPr>
                <w:sz w:val="24"/>
              </w:rPr>
              <w:t>总人数</w:t>
            </w:r>
            <w:r>
              <w:rPr>
                <w:rFonts w:hint="eastAsia"/>
                <w:sz w:val="24"/>
              </w:rPr>
              <w:t>：</w:t>
            </w:r>
          </w:p>
        </w:tc>
        <w:tc>
          <w:tcPr>
            <w:tcW w:w="1771" w:type="dxa"/>
            <w:vAlign w:val="center"/>
          </w:tcPr>
          <w:p>
            <w:pPr>
              <w:autoSpaceDE w:val="0"/>
              <w:autoSpaceDN w:val="0"/>
              <w:adjustRightInd w:val="0"/>
              <w:spacing w:line="360" w:lineRule="auto"/>
              <w:jc w:val="center"/>
              <w:rPr>
                <w:sz w:val="24"/>
              </w:rPr>
            </w:pPr>
            <w:r>
              <w:rPr>
                <w:sz w:val="24"/>
              </w:rPr>
              <w:t>管理人员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restart"/>
            <w:vAlign w:val="center"/>
          </w:tcPr>
          <w:p>
            <w:pPr>
              <w:autoSpaceDE w:val="0"/>
              <w:autoSpaceDN w:val="0"/>
              <w:adjustRightInd w:val="0"/>
              <w:spacing w:line="624" w:lineRule="exact"/>
              <w:jc w:val="center"/>
              <w:rPr>
                <w:sz w:val="24"/>
              </w:rPr>
            </w:pPr>
            <w:r>
              <w:rPr>
                <w:sz w:val="24"/>
              </w:rPr>
              <w:t>技术人员</w:t>
            </w:r>
          </w:p>
        </w:tc>
        <w:tc>
          <w:tcPr>
            <w:tcW w:w="3161" w:type="dxa"/>
            <w:gridSpan w:val="2"/>
            <w:vAlign w:val="center"/>
          </w:tcPr>
          <w:p>
            <w:pPr>
              <w:autoSpaceDE w:val="0"/>
              <w:autoSpaceDN w:val="0"/>
              <w:adjustRightInd w:val="0"/>
              <w:spacing w:line="360" w:lineRule="auto"/>
              <w:rPr>
                <w:sz w:val="24"/>
              </w:rPr>
            </w:pPr>
            <w:r>
              <w:rPr>
                <w:sz w:val="24"/>
              </w:rPr>
              <w:t>总人数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1663" w:type="dxa"/>
            <w:vMerge w:val="continue"/>
            <w:vAlign w:val="center"/>
          </w:tcPr>
          <w:p>
            <w:pPr>
              <w:autoSpaceDE w:val="0"/>
              <w:autoSpaceDN w:val="0"/>
              <w:adjustRightInd w:val="0"/>
              <w:spacing w:line="624" w:lineRule="exact"/>
              <w:rPr>
                <w:sz w:val="24"/>
              </w:rPr>
            </w:pPr>
          </w:p>
        </w:tc>
        <w:tc>
          <w:tcPr>
            <w:tcW w:w="3161" w:type="dxa"/>
            <w:gridSpan w:val="2"/>
            <w:vAlign w:val="center"/>
          </w:tcPr>
          <w:p>
            <w:pPr>
              <w:autoSpaceDE w:val="0"/>
              <w:autoSpaceDN w:val="0"/>
              <w:adjustRightInd w:val="0"/>
              <w:spacing w:line="360" w:lineRule="auto"/>
              <w:rPr>
                <w:sz w:val="24"/>
              </w:rPr>
            </w:pPr>
            <w:r>
              <w:rPr>
                <w:sz w:val="24"/>
              </w:rPr>
              <w:t>具有高级技术职称人数</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Merge w:val="continue"/>
            <w:tcBorders>
              <w:left w:val="single" w:color="auto" w:sz="12" w:space="0"/>
            </w:tcBorders>
            <w:vAlign w:val="center"/>
          </w:tcPr>
          <w:p>
            <w:pPr>
              <w:autoSpaceDE w:val="0"/>
              <w:autoSpaceDN w:val="0"/>
              <w:adjustRightInd w:val="0"/>
              <w:spacing w:line="624" w:lineRule="exact"/>
              <w:rPr>
                <w:sz w:val="24"/>
              </w:rPr>
            </w:pPr>
          </w:p>
        </w:tc>
        <w:tc>
          <w:tcPr>
            <w:tcW w:w="4824" w:type="dxa"/>
            <w:gridSpan w:val="3"/>
            <w:vAlign w:val="center"/>
          </w:tcPr>
          <w:p>
            <w:pPr>
              <w:autoSpaceDE w:val="0"/>
              <w:autoSpaceDN w:val="0"/>
              <w:adjustRightInd w:val="0"/>
              <w:spacing w:line="360" w:lineRule="auto"/>
              <w:jc w:val="center"/>
              <w:rPr>
                <w:sz w:val="24"/>
              </w:rPr>
            </w:pPr>
            <w:r>
              <w:rPr>
                <w:sz w:val="24"/>
              </w:rPr>
              <w:t>其他人员</w:t>
            </w:r>
          </w:p>
        </w:tc>
        <w:tc>
          <w:tcPr>
            <w:tcW w:w="2641" w:type="dxa"/>
            <w:tcBorders>
              <w:right w:val="single" w:color="auto" w:sz="12" w:space="0"/>
            </w:tcBorders>
            <w:vAlign w:val="center"/>
          </w:tcPr>
          <w:p>
            <w:pPr>
              <w:autoSpaceDE w:val="0"/>
              <w:autoSpaceDN w:val="0"/>
              <w:adjustRightInd w:val="0"/>
              <w:spacing w:line="624"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trPr>
        <w:tc>
          <w:tcPr>
            <w:tcW w:w="8962" w:type="dxa"/>
            <w:gridSpan w:val="5"/>
            <w:tcBorders>
              <w:left w:val="single" w:color="auto" w:sz="12" w:space="0"/>
              <w:bottom w:val="single" w:color="auto" w:sz="12" w:space="0"/>
              <w:right w:val="single" w:color="auto" w:sz="12" w:space="0"/>
            </w:tcBorders>
          </w:tcPr>
          <w:p>
            <w:pPr>
              <w:autoSpaceDE w:val="0"/>
              <w:autoSpaceDN w:val="0"/>
              <w:adjustRightInd w:val="0"/>
              <w:spacing w:line="624" w:lineRule="exact"/>
              <w:rPr>
                <w:sz w:val="24"/>
              </w:rPr>
            </w:pPr>
            <w:r>
              <w:rPr>
                <w:sz w:val="24"/>
              </w:rPr>
              <w:t>其他需要说明的情况：</w:t>
            </w:r>
          </w:p>
        </w:tc>
      </w:tr>
    </w:tbl>
    <w:p>
      <w:pPr>
        <w:autoSpaceDE w:val="0"/>
        <w:autoSpaceDN w:val="0"/>
        <w:adjustRightInd w:val="0"/>
        <w:spacing w:line="400" w:lineRule="exact"/>
        <w:rPr>
          <w:sz w:val="24"/>
        </w:rPr>
      </w:pPr>
    </w:p>
    <w:p>
      <w:pPr>
        <w:adjustRightInd w:val="0"/>
        <w:snapToGrid w:val="0"/>
        <w:spacing w:line="480" w:lineRule="auto"/>
        <w:rPr>
          <w:bCs/>
          <w:sz w:val="24"/>
        </w:rPr>
      </w:pPr>
      <w:r>
        <w:rPr>
          <w:rFonts w:hint="eastAsia"/>
          <w:bCs/>
          <w:sz w:val="24"/>
        </w:rPr>
        <w:t>磋商响应单位</w:t>
      </w:r>
      <w:r>
        <w:rPr>
          <w:bCs/>
          <w:sz w:val="24"/>
        </w:rPr>
        <w:t>名称：</w:t>
      </w:r>
      <w:r>
        <w:rPr>
          <w:bCs/>
          <w:sz w:val="24"/>
          <w:u w:val="single"/>
        </w:rPr>
        <w:t xml:space="preserve">                              </w:t>
      </w:r>
      <w:r>
        <w:rPr>
          <w:bCs/>
          <w:sz w:val="24"/>
        </w:rPr>
        <w:t>（公章）</w:t>
      </w:r>
    </w:p>
    <w:p>
      <w:pPr>
        <w:adjustRightInd w:val="0"/>
        <w:snapToGrid w:val="0"/>
        <w:spacing w:line="480" w:lineRule="auto"/>
        <w:rPr>
          <w:sz w:val="24"/>
        </w:rPr>
      </w:pPr>
      <w:r>
        <w:rPr>
          <w:bCs/>
          <w:sz w:val="24"/>
        </w:rPr>
        <w:t>法定代表人或授权代表人：</w:t>
      </w:r>
      <w:r>
        <w:rPr>
          <w:bCs/>
          <w:sz w:val="24"/>
          <w:u w:val="single"/>
        </w:rPr>
        <w:t xml:space="preserve">  </w:t>
      </w:r>
      <w:r>
        <w:rPr>
          <w:sz w:val="24"/>
          <w:u w:val="single"/>
        </w:rPr>
        <w:t xml:space="preserve">                </w:t>
      </w:r>
      <w:r>
        <w:rPr>
          <w:sz w:val="24"/>
        </w:rPr>
        <w:t xml:space="preserve">（签字或盖章）           </w:t>
      </w:r>
      <w:bookmarkStart w:id="64" w:name="OLE_LINK8"/>
    </w:p>
    <w:p>
      <w:pPr>
        <w:adjustRightInd w:val="0"/>
        <w:snapToGrid w:val="0"/>
        <w:spacing w:line="480" w:lineRule="auto"/>
        <w:rPr>
          <w:sz w:val="24"/>
        </w:rPr>
      </w:pPr>
      <w:r>
        <w:rPr>
          <w:bCs/>
          <w:sz w:val="24"/>
        </w:rPr>
        <w:t>日</w:t>
      </w:r>
      <w:r>
        <w:rPr>
          <w:rFonts w:hint="eastAsia"/>
          <w:bCs/>
          <w:sz w:val="24"/>
        </w:rPr>
        <w:t xml:space="preserve">  </w:t>
      </w:r>
      <w:r>
        <w:rPr>
          <w:bCs/>
          <w:sz w:val="24"/>
        </w:rPr>
        <w:t>期：</w:t>
      </w:r>
      <w:bookmarkEnd w:id="64"/>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r>
        <w:rPr>
          <w:sz w:val="24"/>
        </w:rPr>
        <w:br w:type="page"/>
      </w:r>
    </w:p>
    <w:p>
      <w:pPr>
        <w:adjustRightInd w:val="0"/>
        <w:snapToGrid w:val="0"/>
        <w:spacing w:line="324" w:lineRule="auto"/>
        <w:rPr>
          <w:rFonts w:hAnsi="宋体"/>
          <w:b/>
          <w:sz w:val="24"/>
        </w:rPr>
      </w:pPr>
      <w:r>
        <w:rPr>
          <w:rFonts w:hint="eastAsia" w:ascii="宋体" w:hAnsi="宋体" w:cs="宋体"/>
          <w:sz w:val="24"/>
        </w:rPr>
        <w:t xml:space="preserve">附件4-1 </w:t>
      </w:r>
      <w:r>
        <w:rPr>
          <w:rFonts w:hint="eastAsia" w:hAnsi="宋体"/>
          <w:b/>
          <w:sz w:val="24"/>
        </w:rPr>
        <w:t>：</w:t>
      </w:r>
    </w:p>
    <w:p>
      <w:pPr>
        <w:spacing w:before="100" w:beforeAutospacing="1" w:after="156" w:afterLines="50" w:line="360" w:lineRule="auto"/>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中小企业声明函</w:t>
      </w:r>
    </w:p>
    <w:p>
      <w:pPr>
        <w:spacing w:line="360" w:lineRule="auto"/>
        <w:ind w:firstLine="480" w:firstLineChars="200"/>
        <w:rPr>
          <w:rFonts w:ascii="宋体" w:hAnsi="宋体" w:cs="宋体"/>
          <w:sz w:val="24"/>
        </w:rPr>
      </w:pPr>
      <w:r>
        <w:rPr>
          <w:rFonts w:hint="eastAsia" w:ascii="宋体" w:hAnsi="宋体" w:cs="宋体"/>
          <w:sz w:val="24"/>
        </w:rPr>
        <w:t>本公司郑重声明，根据《政府采购促进中小企业发展管理办法》（财库﹝2020﹞46 号）的规定，本公司参加</w:t>
      </w:r>
      <w:r>
        <w:rPr>
          <w:rFonts w:hint="eastAsia" w:ascii="宋体" w:hAnsi="宋体" w:cs="宋体"/>
          <w:i/>
          <w:sz w:val="24"/>
          <w:u w:val="single"/>
        </w:rPr>
        <w:t>（单位名称</w:t>
      </w:r>
      <w:r>
        <w:rPr>
          <w:rFonts w:hint="eastAsia" w:ascii="宋体" w:hAnsi="宋体" w:cs="宋体"/>
          <w:sz w:val="24"/>
          <w:u w:val="single"/>
        </w:rPr>
        <w:t>）</w:t>
      </w:r>
      <w:r>
        <w:rPr>
          <w:rFonts w:hint="eastAsia" w:ascii="宋体" w:hAnsi="宋体" w:cs="宋体"/>
          <w:sz w:val="24"/>
        </w:rPr>
        <w:t>的</w:t>
      </w:r>
      <w:r>
        <w:rPr>
          <w:rFonts w:hint="eastAsia" w:ascii="宋体" w:hAnsi="宋体" w:cs="宋体"/>
          <w:i/>
          <w:sz w:val="24"/>
          <w:u w:val="single"/>
        </w:rPr>
        <w:t>（项目名称）</w:t>
      </w:r>
      <w:r>
        <w:rPr>
          <w:rFonts w:hint="eastAsia" w:ascii="宋体" w:hAnsi="宋体" w:cs="宋体"/>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numPr>
          <w:ilvl w:val="0"/>
          <w:numId w:val="8"/>
        </w:numPr>
        <w:spacing w:line="360" w:lineRule="auto"/>
        <w:ind w:firstLine="480" w:firstLineChars="200"/>
        <w:rPr>
          <w:rFonts w:ascii="宋体" w:hAnsi="宋体" w:cs="宋体"/>
          <w:sz w:val="24"/>
        </w:rPr>
      </w:pPr>
      <w:r>
        <w:rPr>
          <w:rFonts w:hint="eastAsia" w:ascii="宋体" w:hAnsi="宋体" w:cs="宋体"/>
          <w:i/>
          <w:sz w:val="24"/>
          <w:u w:val="single"/>
        </w:rPr>
        <w:t>（标的名称）</w:t>
      </w:r>
      <w:r>
        <w:rPr>
          <w:rFonts w:hint="eastAsia" w:ascii="宋体" w:hAnsi="宋体" w:cs="宋体"/>
          <w:sz w:val="24"/>
          <w:u w:val="single"/>
        </w:rPr>
        <w:t xml:space="preserve">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，从业人员______人，营业收入为____万元，资产总额为____万元，属于</w:t>
      </w:r>
      <w:r>
        <w:rPr>
          <w:rFonts w:hint="eastAsia" w:ascii="宋体" w:hAnsi="宋体" w:cs="宋体"/>
          <w:i/>
          <w:sz w:val="24"/>
          <w:u w:val="single"/>
        </w:rPr>
        <w:t>（中型企业、 小型企业、微型企业）</w:t>
      </w:r>
      <w:r>
        <w:rPr>
          <w:rFonts w:hint="eastAsia" w:ascii="宋体" w:hAnsi="宋体" w:cs="宋体"/>
          <w:sz w:val="24"/>
        </w:rPr>
        <w:t xml:space="preserve">； </w:t>
      </w:r>
    </w:p>
    <w:p>
      <w:pPr>
        <w:numPr>
          <w:ilvl w:val="0"/>
          <w:numId w:val="8"/>
        </w:numPr>
        <w:spacing w:line="360" w:lineRule="auto"/>
        <w:ind w:firstLine="480" w:firstLineChars="200"/>
        <w:rPr>
          <w:rFonts w:ascii="宋体" w:hAnsi="宋体" w:cs="宋体"/>
          <w:sz w:val="24"/>
        </w:rPr>
      </w:pPr>
      <w:r>
        <w:rPr>
          <w:rFonts w:hint="eastAsia" w:ascii="宋体" w:hAnsi="宋体" w:cs="宋体"/>
          <w:i/>
          <w:sz w:val="24"/>
          <w:u w:val="single"/>
        </w:rPr>
        <w:t xml:space="preserve">（标的名称） </w:t>
      </w:r>
      <w:r>
        <w:rPr>
          <w:rFonts w:hint="eastAsia" w:ascii="宋体" w:hAnsi="宋体" w:cs="宋体"/>
          <w:sz w:val="24"/>
        </w:rPr>
        <w:t>，属于</w:t>
      </w:r>
      <w:r>
        <w:rPr>
          <w:rFonts w:hint="eastAsia" w:ascii="宋体" w:hAnsi="宋体" w:cs="宋体"/>
          <w:i/>
          <w:sz w:val="24"/>
          <w:u w:val="single"/>
        </w:rPr>
        <w:t>（采购文件中明确的所属行业）</w:t>
      </w:r>
      <w:r>
        <w:rPr>
          <w:rFonts w:hint="eastAsia" w:ascii="宋体" w:hAnsi="宋体" w:cs="宋体"/>
          <w:sz w:val="24"/>
        </w:rPr>
        <w:t>； 承建（承接）企业为</w:t>
      </w:r>
      <w:r>
        <w:rPr>
          <w:rFonts w:hint="eastAsia" w:ascii="宋体" w:hAnsi="宋体" w:cs="宋体"/>
          <w:i/>
          <w:sz w:val="24"/>
          <w:u w:val="single"/>
        </w:rPr>
        <w:t>（企业名称）</w:t>
      </w:r>
      <w:r>
        <w:rPr>
          <w:rFonts w:hint="eastAsia" w:ascii="宋体" w:hAnsi="宋体" w:cs="宋体"/>
          <w:sz w:val="24"/>
        </w:rPr>
        <w:t>，从业人员_____人，营业 收入为_____万元，资产总额为____万元，属于</w:t>
      </w:r>
      <w:r>
        <w:rPr>
          <w:rFonts w:hint="eastAsia" w:ascii="宋体" w:hAnsi="宋体" w:cs="宋体"/>
          <w:i/>
          <w:sz w:val="24"/>
          <w:u w:val="single"/>
        </w:rPr>
        <w:t>（中型企业、 小型企业、微型企业）</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 xml:space="preserve"> …… </w:t>
      </w:r>
    </w:p>
    <w:p>
      <w:pPr>
        <w:spacing w:line="360" w:lineRule="auto"/>
        <w:ind w:firstLine="480" w:firstLineChars="200"/>
        <w:rPr>
          <w:rFonts w:ascii="宋体" w:hAnsi="宋体" w:cs="宋体"/>
          <w:sz w:val="24"/>
        </w:rPr>
      </w:pPr>
      <w:r>
        <w:rPr>
          <w:rFonts w:hint="eastAsia" w:ascii="宋体" w:hAnsi="宋体" w:cs="宋体"/>
          <w:sz w:val="24"/>
        </w:rPr>
        <w:t xml:space="preserve">以上企业，不属于大企业的分支机构，不存在控股股东 为大企业的情形，也不存在与大企业的负责人为同一人的情形。 </w:t>
      </w:r>
    </w:p>
    <w:p>
      <w:pPr>
        <w:spacing w:line="360" w:lineRule="auto"/>
        <w:ind w:firstLine="480" w:firstLineChars="200"/>
        <w:rPr>
          <w:rFonts w:ascii="宋体" w:hAnsi="宋体" w:cs="宋体"/>
          <w:sz w:val="24"/>
        </w:rPr>
      </w:pPr>
      <w:r>
        <w:rPr>
          <w:rFonts w:hint="eastAsia" w:ascii="宋体" w:hAnsi="宋体" w:cs="宋体"/>
          <w:sz w:val="24"/>
        </w:rPr>
        <w:t>本企业对上述声明内容的真实性负责。如有虚假，将依 法承担相应责任。</w:t>
      </w:r>
    </w:p>
    <w:p>
      <w:pPr>
        <w:pStyle w:val="2"/>
      </w:pPr>
    </w:p>
    <w:p>
      <w:pPr>
        <w:spacing w:line="500" w:lineRule="exact"/>
        <w:ind w:firstLine="3840" w:firstLineChars="1600"/>
        <w:rPr>
          <w:rFonts w:ascii="宋体" w:hAnsi="宋体" w:cs="宋体"/>
          <w:color w:val="FFFFFF"/>
          <w:sz w:val="24"/>
          <w:u w:val="single" w:color="000000"/>
        </w:rPr>
      </w:pPr>
      <w:r>
        <w:rPr>
          <w:rFonts w:hint="eastAsia" w:ascii="宋体" w:hAnsi="宋体" w:cs="宋体"/>
          <w:sz w:val="24"/>
        </w:rPr>
        <w:t>企业名称（盖章）：</w:t>
      </w:r>
      <w:r>
        <w:rPr>
          <w:rFonts w:hint="eastAsia" w:ascii="宋体" w:hAnsi="宋体" w:cs="宋体"/>
          <w:color w:val="FFFFFF"/>
          <w:sz w:val="24"/>
          <w:u w:val="single" w:color="000000"/>
        </w:rPr>
        <w:t>________________</w:t>
      </w:r>
    </w:p>
    <w:p>
      <w:pPr>
        <w:pStyle w:val="2"/>
      </w:pPr>
    </w:p>
    <w:p>
      <w:pPr>
        <w:spacing w:line="500" w:lineRule="exact"/>
        <w:ind w:firstLine="3840" w:firstLineChars="1600"/>
        <w:rPr>
          <w:rFonts w:ascii="宋体" w:hAnsi="宋体" w:cs="宋体"/>
          <w:sz w:val="24"/>
        </w:rPr>
      </w:pPr>
      <w:r>
        <w:rPr>
          <w:rFonts w:hint="eastAsia" w:ascii="宋体" w:hAnsi="宋体" w:cs="宋体"/>
          <w:sz w:val="24"/>
        </w:rPr>
        <w:t>日  期：__________________________</w:t>
      </w:r>
    </w:p>
    <w:p>
      <w:pPr>
        <w:pStyle w:val="17"/>
      </w:pPr>
    </w:p>
    <w:p/>
    <w:p>
      <w:pPr>
        <w:pStyle w:val="17"/>
      </w:pPr>
    </w:p>
    <w:p>
      <w:pPr>
        <w:pStyle w:val="17"/>
      </w:pPr>
    </w:p>
    <w:p>
      <w:pPr>
        <w:pStyle w:val="2"/>
        <w:spacing w:line="360" w:lineRule="auto"/>
        <w:ind w:firstLine="360" w:firstLineChars="150"/>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widowControl/>
        <w:jc w:val="left"/>
        <w:rPr>
          <w:rFonts w:ascii="宋体" w:hAnsi="宋体" w:cs="宋体"/>
          <w:sz w:val="24"/>
        </w:rPr>
      </w:pPr>
      <w:r>
        <w:rPr>
          <w:rFonts w:ascii="宋体" w:hAnsi="宋体" w:cs="宋体"/>
          <w:sz w:val="24"/>
        </w:rPr>
        <w:br w:type="page"/>
      </w:r>
    </w:p>
    <w:p>
      <w:pPr>
        <w:pStyle w:val="2"/>
        <w:ind w:firstLine="0" w:firstLineChars="0"/>
        <w:rPr>
          <w:rFonts w:hAnsi="宋体"/>
          <w:b/>
          <w:sz w:val="24"/>
        </w:rPr>
      </w:pPr>
      <w:r>
        <w:rPr>
          <w:rFonts w:hint="eastAsia" w:ascii="宋体" w:hAnsi="宋体" w:cs="宋体"/>
          <w:sz w:val="24"/>
        </w:rPr>
        <w:t>附件4-2</w:t>
      </w:r>
      <w:r>
        <w:rPr>
          <w:sz w:val="24"/>
        </w:rPr>
        <w:t xml:space="preserve"> </w:t>
      </w:r>
      <w:r>
        <w:rPr>
          <w:rFonts w:hint="eastAsia" w:hAnsi="宋体"/>
          <w:b/>
          <w:sz w:val="24"/>
        </w:rPr>
        <w:t>（如有）：</w:t>
      </w:r>
    </w:p>
    <w:p>
      <w:pPr>
        <w:spacing w:line="600" w:lineRule="exact"/>
        <w:jc w:val="center"/>
        <w:rPr>
          <w:rFonts w:hAnsi="宋体"/>
          <w:b/>
          <w:sz w:val="28"/>
          <w:szCs w:val="28"/>
        </w:rPr>
      </w:pPr>
      <w:r>
        <w:rPr>
          <w:rFonts w:hint="eastAsia" w:hAnsi="宋体"/>
          <w:b/>
          <w:sz w:val="28"/>
          <w:szCs w:val="28"/>
        </w:rPr>
        <w:t>投标产品属</w:t>
      </w:r>
      <w:r>
        <w:rPr>
          <w:rFonts w:hAnsi="宋体"/>
          <w:b/>
          <w:sz w:val="28"/>
          <w:szCs w:val="28"/>
        </w:rPr>
        <w:t>节能</w:t>
      </w:r>
      <w:r>
        <w:rPr>
          <w:rFonts w:hint="eastAsia" w:hAnsi="宋体"/>
          <w:b/>
          <w:sz w:val="28"/>
          <w:szCs w:val="28"/>
        </w:rPr>
        <w:t>、环境标志</w:t>
      </w:r>
      <w:r>
        <w:rPr>
          <w:rFonts w:hAnsi="宋体"/>
          <w:b/>
          <w:sz w:val="28"/>
          <w:szCs w:val="28"/>
        </w:rPr>
        <w:t>产品</w:t>
      </w:r>
      <w:r>
        <w:rPr>
          <w:rFonts w:hint="eastAsia" w:hAnsi="宋体"/>
          <w:b/>
          <w:sz w:val="28"/>
          <w:szCs w:val="28"/>
        </w:rPr>
        <w:t>列表</w:t>
      </w:r>
    </w:p>
    <w:p>
      <w:pPr>
        <w:spacing w:line="6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spacing w:line="60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项目编号： </w:t>
      </w:r>
    </w:p>
    <w:tbl>
      <w:tblPr>
        <w:tblStyle w:val="48"/>
        <w:tblW w:w="8928" w:type="dxa"/>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8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单价（元）</w:t>
            </w:r>
          </w:p>
        </w:tc>
        <w:tc>
          <w:tcPr>
            <w:tcW w:w="131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总价（元）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6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6" w:space="0"/>
              <w:left w:val="single" w:color="auto" w:sz="6" w:space="0"/>
              <w:bottom w:val="single" w:color="auto" w:sz="4"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312" w:beforeLines="10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12" w:beforeLines="100"/>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w:t>
            </w:r>
          </w:p>
        </w:tc>
        <w:tc>
          <w:tcPr>
            <w:tcW w:w="186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c>
          <w:tcPr>
            <w:tcW w:w="1312" w:type="dxa"/>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c>
          <w:tcPr>
            <w:tcW w:w="8042" w:type="dxa"/>
            <w:gridSpan w:val="5"/>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pacing w:val="-6"/>
                <w:sz w:val="24"/>
              </w:rPr>
              <w:t>保留小数点后两位。</w:t>
            </w:r>
          </w:p>
        </w:tc>
      </w:tr>
    </w:tbl>
    <w:p>
      <w:pPr>
        <w:adjustRightInd w:val="0"/>
        <w:snapToGrid w:val="0"/>
        <w:spacing w:line="360" w:lineRule="auto"/>
        <w:rPr>
          <w:rFonts w:asciiTheme="minorEastAsia" w:hAnsiTheme="minorEastAsia" w:eastAsiaTheme="minorEastAsia" w:cstheme="minorEastAsia"/>
          <w:color w:val="000000"/>
          <w:sz w:val="24"/>
        </w:rPr>
      </w:pPr>
    </w:p>
    <w:p>
      <w:pPr>
        <w:adjustRightInd w:val="0"/>
        <w:snapToGrid w:val="0"/>
        <w:spacing w:line="360" w:lineRule="auto"/>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bCs/>
          <w:color w:val="000000"/>
          <w:sz w:val="24"/>
        </w:rPr>
        <w:t>说明：1、投标人提供的产品属于《节能产品政府采购清单》中节能产品，《环境标志产品政府采购清单》中环境标志产品，应按招标文件要求提供相关证明材料。</w:t>
      </w:r>
    </w:p>
    <w:p>
      <w:pPr>
        <w:pStyle w:val="200"/>
        <w:widowControl w:val="0"/>
        <w:tabs>
          <w:tab w:val="left" w:pos="360"/>
        </w:tabs>
        <w:spacing w:line="360" w:lineRule="auto"/>
        <w:rPr>
          <w:rFonts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bCs/>
          <w:color w:val="000000"/>
          <w:sz w:val="24"/>
          <w:szCs w:val="24"/>
          <w:lang w:eastAsia="zh-CN"/>
        </w:rPr>
        <w:t>2、未按上述要求提供、</w:t>
      </w:r>
      <w:r>
        <w:rPr>
          <w:rFonts w:hint="eastAsia" w:asciiTheme="minorEastAsia" w:hAnsiTheme="minorEastAsia" w:eastAsiaTheme="minorEastAsia" w:cstheme="minorEastAsia"/>
          <w:color w:val="000000"/>
          <w:sz w:val="24"/>
          <w:szCs w:val="24"/>
          <w:lang w:eastAsia="zh-CN"/>
        </w:rPr>
        <w:t>填写</w:t>
      </w:r>
      <w:r>
        <w:rPr>
          <w:rFonts w:hint="eastAsia" w:asciiTheme="minorEastAsia" w:hAnsiTheme="minorEastAsia" w:eastAsiaTheme="minorEastAsia" w:cstheme="minorEastAsia"/>
          <w:bCs/>
          <w:color w:val="000000"/>
          <w:sz w:val="24"/>
          <w:szCs w:val="24"/>
          <w:lang w:eastAsia="zh-CN"/>
        </w:rPr>
        <w:t>的，评标时不予以考虑。</w:t>
      </w:r>
    </w:p>
    <w:p>
      <w:pPr>
        <w:pStyle w:val="2"/>
        <w:ind w:firstLine="0" w:firstLineChars="0"/>
        <w:rPr>
          <w:rFonts w:asciiTheme="minorEastAsia" w:hAnsiTheme="minorEastAsia" w:eastAsiaTheme="minorEastAsia" w:cstheme="minorEastAsia"/>
          <w:b/>
          <w:sz w:val="24"/>
        </w:rPr>
      </w:pPr>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（签字或盖章）</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pStyle w:val="2"/>
        <w:ind w:firstLine="0" w:firstLineChars="0"/>
        <w:rPr>
          <w:sz w:val="24"/>
        </w:rPr>
      </w:pPr>
    </w:p>
    <w:p>
      <w:pPr>
        <w:pStyle w:val="2"/>
        <w:ind w:firstLine="0" w:firstLineChars="0"/>
        <w:rPr>
          <w:sz w:val="24"/>
        </w:rPr>
      </w:pPr>
    </w:p>
    <w:p>
      <w:pPr>
        <w:pStyle w:val="2"/>
        <w:ind w:firstLine="0" w:firstLineChars="0"/>
        <w:rPr>
          <w:sz w:val="24"/>
        </w:rPr>
      </w:pPr>
    </w:p>
    <w:p>
      <w:pPr>
        <w:pStyle w:val="2"/>
        <w:ind w:firstLine="0" w:firstLineChars="0"/>
        <w:rPr>
          <w:rFonts w:hAnsi="宋体"/>
          <w:b/>
          <w:sz w:val="24"/>
        </w:rPr>
      </w:pPr>
      <w:r>
        <w:rPr>
          <w:sz w:val="24"/>
        </w:rPr>
        <w:t>附件4-</w:t>
      </w:r>
      <w:r>
        <w:rPr>
          <w:rFonts w:hint="eastAsia"/>
          <w:sz w:val="24"/>
        </w:rPr>
        <w:t>3</w:t>
      </w:r>
      <w:r>
        <w:rPr>
          <w:sz w:val="24"/>
        </w:rPr>
        <w:t xml:space="preserve"> </w:t>
      </w:r>
      <w:r>
        <w:rPr>
          <w:rFonts w:hint="eastAsia" w:hAnsi="宋体"/>
          <w:b/>
          <w:sz w:val="24"/>
        </w:rPr>
        <w:t>（如有）：</w:t>
      </w:r>
    </w:p>
    <w:p>
      <w:pPr>
        <w:spacing w:line="588" w:lineRule="exact"/>
        <w:jc w:val="center"/>
        <w:rPr>
          <w:rFonts w:ascii="宋体" w:hAnsi="宋体" w:cs="宋体"/>
          <w:b/>
          <w:spacing w:val="6"/>
          <w:sz w:val="32"/>
          <w:szCs w:val="32"/>
        </w:rPr>
      </w:pPr>
      <w:bookmarkStart w:id="65" w:name="OLE_LINK13"/>
      <w:bookmarkStart w:id="66" w:name="OLE_LINK14"/>
      <w:r>
        <w:rPr>
          <w:rFonts w:hint="eastAsia" w:ascii="宋体" w:hAnsi="宋体" w:cs="宋体"/>
          <w:b/>
          <w:spacing w:val="6"/>
          <w:sz w:val="32"/>
          <w:szCs w:val="32"/>
        </w:rPr>
        <w:t>残疾人福利性单位声明函</w:t>
      </w:r>
    </w:p>
    <w:bookmarkEnd w:id="65"/>
    <w:bookmarkEnd w:id="66"/>
    <w:p>
      <w:pPr>
        <w:spacing w:line="588" w:lineRule="exact"/>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pStyle w:val="17"/>
      </w:pPr>
    </w:p>
    <w:p/>
    <w:p>
      <w:pPr>
        <w:pStyle w:val="17"/>
      </w:pPr>
    </w:p>
    <w:p/>
    <w:p>
      <w:pPr>
        <w:pStyle w:val="17"/>
      </w:pPr>
    </w:p>
    <w:p/>
    <w:p>
      <w:pPr>
        <w:pStyle w:val="17"/>
      </w:pPr>
    </w:p>
    <w:p/>
    <w:p>
      <w:pPr>
        <w:pStyle w:val="17"/>
      </w:pPr>
    </w:p>
    <w:p/>
    <w:p>
      <w:pPr>
        <w:adjustRightInd w:val="0"/>
        <w:snapToGrid w:val="0"/>
        <w:spacing w:line="480" w:lineRule="auto"/>
        <w:ind w:firstLine="2400" w:firstLineChars="1000"/>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磋商响应单位名称：</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bCs/>
          <w:sz w:val="24"/>
        </w:rPr>
        <w:t>（公章）</w:t>
      </w:r>
    </w:p>
    <w:p>
      <w:pPr>
        <w:adjustRightInd w:val="0"/>
        <w:snapToGrid w:val="0"/>
        <w:spacing w:line="480" w:lineRule="auto"/>
        <w:ind w:firstLine="2400" w:firstLineChars="1000"/>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法定代表人或授权代表人：</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（签字或盖章）   </w:t>
      </w:r>
    </w:p>
    <w:p>
      <w:pPr>
        <w:adjustRightInd w:val="0"/>
        <w:snapToGrid w:val="0"/>
        <w:spacing w:line="480" w:lineRule="auto"/>
        <w:ind w:firstLine="2400" w:firstLineChars="1000"/>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autoSpaceDE w:val="0"/>
        <w:autoSpaceDN w:val="0"/>
        <w:adjustRightInd w:val="0"/>
        <w:spacing w:line="360" w:lineRule="auto"/>
        <w:rPr>
          <w:b/>
          <w:sz w:val="24"/>
        </w:rPr>
      </w:pPr>
    </w:p>
    <w:p>
      <w:pPr>
        <w:widowControl/>
        <w:rPr>
          <w:sz w:val="24"/>
        </w:rPr>
      </w:pPr>
    </w:p>
    <w:p>
      <w:pPr>
        <w:autoSpaceDE w:val="0"/>
        <w:autoSpaceDN w:val="0"/>
        <w:adjustRightInd w:val="0"/>
        <w:snapToGrid w:val="0"/>
        <w:spacing w:after="156" w:afterLines="50" w:line="360" w:lineRule="auto"/>
        <w:jc w:val="center"/>
        <w:rPr>
          <w:b/>
          <w:sz w:val="24"/>
        </w:rPr>
      </w:pPr>
      <w:r>
        <w:rPr>
          <w:sz w:val="24"/>
        </w:rPr>
        <w:br w:type="page"/>
      </w:r>
      <w:r>
        <w:rPr>
          <w:b/>
          <w:bCs/>
          <w:sz w:val="30"/>
          <w:szCs w:val="30"/>
        </w:rPr>
        <w:t>五、商务条款偏离表</w:t>
      </w:r>
    </w:p>
    <w:tbl>
      <w:tblPr>
        <w:tblStyle w:val="48"/>
        <w:tblpPr w:leftFromText="180" w:rightFromText="180" w:vertAnchor="text" w:horzAnchor="margin" w:tblpX="108" w:tblpY="2"/>
        <w:tblW w:w="9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68"/>
        <w:gridCol w:w="2426"/>
        <w:gridCol w:w="2412"/>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47" w:type="dxa"/>
            <w:tcBorders>
              <w:top w:val="single" w:color="auto" w:sz="12" w:space="0"/>
              <w:left w:val="single" w:color="auto" w:sz="12" w:space="0"/>
            </w:tcBorders>
            <w:vAlign w:val="center"/>
          </w:tcPr>
          <w:p>
            <w:pPr>
              <w:autoSpaceDE w:val="0"/>
              <w:autoSpaceDN w:val="0"/>
              <w:adjustRightInd w:val="0"/>
              <w:jc w:val="center"/>
              <w:rPr>
                <w:sz w:val="24"/>
              </w:rPr>
            </w:pPr>
            <w:r>
              <w:rPr>
                <w:sz w:val="24"/>
              </w:rPr>
              <w:t>序号</w:t>
            </w:r>
          </w:p>
        </w:tc>
        <w:tc>
          <w:tcPr>
            <w:tcW w:w="1368" w:type="dxa"/>
            <w:tcBorders>
              <w:top w:val="single" w:color="auto" w:sz="12" w:space="0"/>
            </w:tcBorders>
            <w:vAlign w:val="center"/>
          </w:tcPr>
          <w:p>
            <w:pPr>
              <w:autoSpaceDE w:val="0"/>
              <w:autoSpaceDN w:val="0"/>
              <w:adjustRightInd w:val="0"/>
              <w:jc w:val="center"/>
              <w:rPr>
                <w:sz w:val="24"/>
              </w:rPr>
            </w:pPr>
            <w:r>
              <w:rPr>
                <w:sz w:val="24"/>
              </w:rPr>
              <w:t>商务条款</w:t>
            </w:r>
          </w:p>
        </w:tc>
        <w:tc>
          <w:tcPr>
            <w:tcW w:w="2426" w:type="dxa"/>
            <w:tcBorders>
              <w:top w:val="single" w:color="auto" w:sz="12" w:space="0"/>
            </w:tcBorders>
            <w:vAlign w:val="center"/>
          </w:tcPr>
          <w:p>
            <w:pPr>
              <w:autoSpaceDE w:val="0"/>
              <w:autoSpaceDN w:val="0"/>
              <w:adjustRightInd w:val="0"/>
              <w:jc w:val="center"/>
              <w:rPr>
                <w:sz w:val="24"/>
              </w:rPr>
            </w:pPr>
            <w:r>
              <w:rPr>
                <w:sz w:val="24"/>
              </w:rPr>
              <w:t>磋商文件的商务要求</w:t>
            </w:r>
          </w:p>
        </w:tc>
        <w:tc>
          <w:tcPr>
            <w:tcW w:w="2412" w:type="dxa"/>
            <w:tcBorders>
              <w:top w:val="single" w:color="auto" w:sz="12" w:space="0"/>
            </w:tcBorders>
            <w:vAlign w:val="center"/>
          </w:tcPr>
          <w:p>
            <w:pPr>
              <w:autoSpaceDE w:val="0"/>
              <w:autoSpaceDN w:val="0"/>
              <w:adjustRightInd w:val="0"/>
              <w:jc w:val="center"/>
              <w:rPr>
                <w:sz w:val="24"/>
              </w:rPr>
            </w:pPr>
            <w:r>
              <w:rPr>
                <w:sz w:val="24"/>
              </w:rPr>
              <w:t>响应文件的商务响应</w:t>
            </w:r>
          </w:p>
        </w:tc>
        <w:tc>
          <w:tcPr>
            <w:tcW w:w="2074" w:type="dxa"/>
            <w:tcBorders>
              <w:top w:val="single" w:color="auto" w:sz="12" w:space="0"/>
              <w:right w:val="single" w:color="auto" w:sz="12" w:space="0"/>
            </w:tcBorders>
            <w:vAlign w:val="center"/>
          </w:tcPr>
          <w:p>
            <w:pPr>
              <w:autoSpaceDE w:val="0"/>
              <w:autoSpaceDN w:val="0"/>
              <w:adjustRightInd w:val="0"/>
              <w:jc w:val="center"/>
              <w:rPr>
                <w:sz w:val="24"/>
              </w:rPr>
            </w:pPr>
            <w:r>
              <w:rPr>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7" w:type="dxa"/>
            <w:tcBorders>
              <w:left w:val="single" w:color="auto" w:sz="12" w:space="0"/>
            </w:tcBorders>
          </w:tcPr>
          <w:p>
            <w:pPr>
              <w:rPr>
                <w:sz w:val="24"/>
              </w:rPr>
            </w:pPr>
          </w:p>
        </w:tc>
        <w:tc>
          <w:tcPr>
            <w:tcW w:w="1368" w:type="dxa"/>
          </w:tcPr>
          <w:p>
            <w:pPr>
              <w:rPr>
                <w:sz w:val="24"/>
              </w:rPr>
            </w:pPr>
          </w:p>
        </w:tc>
        <w:tc>
          <w:tcPr>
            <w:tcW w:w="2426" w:type="dxa"/>
          </w:tcPr>
          <w:p>
            <w:pPr>
              <w:rPr>
                <w:sz w:val="24"/>
              </w:rPr>
            </w:pPr>
          </w:p>
        </w:tc>
        <w:tc>
          <w:tcPr>
            <w:tcW w:w="2412" w:type="dxa"/>
          </w:tcPr>
          <w:p>
            <w:pPr>
              <w:rPr>
                <w:sz w:val="24"/>
              </w:rPr>
            </w:pPr>
          </w:p>
        </w:tc>
        <w:tc>
          <w:tcPr>
            <w:tcW w:w="2074" w:type="dxa"/>
            <w:tcBorders>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47" w:type="dxa"/>
            <w:tcBorders>
              <w:left w:val="single" w:color="auto" w:sz="12" w:space="0"/>
              <w:bottom w:val="single" w:color="auto" w:sz="12" w:space="0"/>
            </w:tcBorders>
          </w:tcPr>
          <w:p>
            <w:pPr>
              <w:rPr>
                <w:sz w:val="24"/>
              </w:rPr>
            </w:pPr>
          </w:p>
        </w:tc>
        <w:tc>
          <w:tcPr>
            <w:tcW w:w="1368" w:type="dxa"/>
            <w:tcBorders>
              <w:bottom w:val="single" w:color="auto" w:sz="12" w:space="0"/>
            </w:tcBorders>
          </w:tcPr>
          <w:p>
            <w:pPr>
              <w:rPr>
                <w:sz w:val="24"/>
              </w:rPr>
            </w:pPr>
          </w:p>
        </w:tc>
        <w:tc>
          <w:tcPr>
            <w:tcW w:w="2426" w:type="dxa"/>
            <w:tcBorders>
              <w:bottom w:val="single" w:color="auto" w:sz="12" w:space="0"/>
            </w:tcBorders>
          </w:tcPr>
          <w:p>
            <w:pPr>
              <w:rPr>
                <w:sz w:val="24"/>
              </w:rPr>
            </w:pPr>
          </w:p>
        </w:tc>
        <w:tc>
          <w:tcPr>
            <w:tcW w:w="2412" w:type="dxa"/>
            <w:tcBorders>
              <w:bottom w:val="single" w:color="auto" w:sz="12" w:space="0"/>
            </w:tcBorders>
          </w:tcPr>
          <w:p>
            <w:pPr>
              <w:rPr>
                <w:sz w:val="24"/>
              </w:rPr>
            </w:pPr>
          </w:p>
        </w:tc>
        <w:tc>
          <w:tcPr>
            <w:tcW w:w="2074" w:type="dxa"/>
            <w:tcBorders>
              <w:bottom w:val="single" w:color="auto" w:sz="12" w:space="0"/>
              <w:right w:val="single" w:color="auto" w:sz="12" w:space="0"/>
            </w:tcBorders>
          </w:tcPr>
          <w:p>
            <w:pPr>
              <w:rPr>
                <w:sz w:val="24"/>
              </w:rPr>
            </w:pPr>
          </w:p>
        </w:tc>
      </w:tr>
    </w:tbl>
    <w:p>
      <w:pPr>
        <w:autoSpaceDE w:val="0"/>
        <w:autoSpaceDN w:val="0"/>
        <w:adjustRightInd w:val="0"/>
        <w:spacing w:line="400" w:lineRule="exact"/>
        <w:rPr>
          <w:sz w:val="24"/>
          <w:lang w:val="zh-TW"/>
        </w:rPr>
      </w:pPr>
      <w:r>
        <w:rPr>
          <w:sz w:val="24"/>
          <w:lang w:val="zh-TW" w:eastAsia="zh-TW"/>
        </w:rPr>
        <w:t>注：</w:t>
      </w:r>
      <w:r>
        <w:rPr>
          <w:sz w:val="24"/>
        </w:rPr>
        <w:t>1、</w:t>
      </w:r>
      <w:r>
        <w:rPr>
          <w:sz w:val="24"/>
          <w:lang w:val="zh-TW"/>
        </w:rPr>
        <w:t>偏离</w:t>
      </w:r>
      <w:r>
        <w:rPr>
          <w:sz w:val="24"/>
          <w:lang w:val="zh-TW" w:eastAsia="zh-TW"/>
        </w:rPr>
        <w:t>说明填写：优于、相同、低于</w:t>
      </w:r>
      <w:r>
        <w:rPr>
          <w:sz w:val="24"/>
          <w:lang w:val="zh-TW"/>
        </w:rPr>
        <w:t>。</w:t>
      </w:r>
    </w:p>
    <w:p>
      <w:pPr>
        <w:pStyle w:val="2"/>
        <w:ind w:firstLine="480"/>
        <w:rPr>
          <w:sz w:val="24"/>
          <w:lang w:val="zh-TW"/>
        </w:rPr>
      </w:pPr>
    </w:p>
    <w:p>
      <w:pPr>
        <w:pStyle w:val="2"/>
        <w:ind w:firstLine="480"/>
        <w:rPr>
          <w:sz w:val="24"/>
          <w:lang w:val="zh-TW"/>
        </w:rPr>
      </w:pPr>
    </w:p>
    <w:p>
      <w:pPr>
        <w:pStyle w:val="2"/>
        <w:ind w:firstLine="480"/>
        <w:rPr>
          <w:sz w:val="24"/>
          <w:lang w:val="zh-TW"/>
        </w:rPr>
      </w:pPr>
    </w:p>
    <w:p>
      <w:pPr>
        <w:pStyle w:val="2"/>
        <w:ind w:firstLine="480"/>
        <w:rPr>
          <w:sz w:val="24"/>
          <w:lang w:val="zh-TW"/>
        </w:rPr>
      </w:pPr>
    </w:p>
    <w:p>
      <w:pPr>
        <w:spacing w:line="720" w:lineRule="auto"/>
        <w:rPr>
          <w:bCs/>
          <w:sz w:val="24"/>
        </w:rPr>
      </w:pPr>
      <w:r>
        <w:rPr>
          <w:rFonts w:hint="eastAsia"/>
          <w:bCs/>
          <w:sz w:val="24"/>
        </w:rPr>
        <w:t>磋商响应单位</w:t>
      </w:r>
      <w:r>
        <w:rPr>
          <w:bCs/>
          <w:sz w:val="24"/>
        </w:rPr>
        <w:t>名称：</w:t>
      </w:r>
      <w:r>
        <w:rPr>
          <w:rFonts w:hint="eastAsia"/>
          <w:bCs/>
          <w:sz w:val="24"/>
          <w:u w:val="single"/>
        </w:rPr>
        <w:t>　　　　　　　　　　　　　　　　　　</w:t>
      </w:r>
      <w:r>
        <w:rPr>
          <w:bCs/>
          <w:sz w:val="24"/>
        </w:rPr>
        <w:t>（公章）</w:t>
      </w:r>
    </w:p>
    <w:p>
      <w:pPr>
        <w:spacing w:line="720" w:lineRule="auto"/>
        <w:rPr>
          <w:sz w:val="24"/>
        </w:rPr>
      </w:pPr>
      <w:r>
        <w:rPr>
          <w:bCs/>
          <w:sz w:val="24"/>
        </w:rPr>
        <w:t>法定代表人或授权代表人：</w:t>
      </w:r>
      <w:r>
        <w:rPr>
          <w:rFonts w:hint="eastAsia"/>
          <w:bCs/>
          <w:sz w:val="24"/>
          <w:u w:val="single"/>
        </w:rPr>
        <w:t>　　　　　　　　　　</w:t>
      </w:r>
      <w:r>
        <w:rPr>
          <w:sz w:val="24"/>
        </w:rPr>
        <w:t xml:space="preserve">（签字或盖章）           </w:t>
      </w:r>
    </w:p>
    <w:p>
      <w:pPr>
        <w:adjustRightInd w:val="0"/>
        <w:snapToGrid w:val="0"/>
        <w:spacing w:line="480" w:lineRule="auto"/>
      </w:pPr>
      <w:r>
        <w:rPr>
          <w:rFonts w:hint="eastAsia" w:asciiTheme="minorEastAsia" w:hAnsiTheme="minorEastAsia" w:eastAsiaTheme="minorEastAsia" w:cstheme="minorEastAsia"/>
          <w:bCs/>
          <w:sz w:val="24"/>
        </w:rPr>
        <w:t>日  期：</w:t>
      </w:r>
      <w:r>
        <w:rPr>
          <w:rFonts w:hint="eastAsia"/>
          <w:sz w:val="24"/>
          <w:szCs w:val="28"/>
          <w:u w:val="single"/>
        </w:rPr>
        <w:t xml:space="preserve">    </w:t>
      </w:r>
      <w:r>
        <w:rPr>
          <w:sz w:val="24"/>
          <w:szCs w:val="28"/>
        </w:rPr>
        <w:t>年</w:t>
      </w:r>
      <w:r>
        <w:rPr>
          <w:sz w:val="24"/>
          <w:szCs w:val="28"/>
          <w:u w:val="single"/>
        </w:rPr>
        <w:t xml:space="preserve">   </w:t>
      </w:r>
      <w:r>
        <w:rPr>
          <w:sz w:val="24"/>
          <w:szCs w:val="28"/>
        </w:rPr>
        <w:t>月</w:t>
      </w:r>
      <w:r>
        <w:rPr>
          <w:sz w:val="24"/>
          <w:szCs w:val="28"/>
          <w:u w:val="single"/>
        </w:rPr>
        <w:t xml:space="preserve">   </w:t>
      </w:r>
      <w:r>
        <w:rPr>
          <w:sz w:val="24"/>
          <w:szCs w:val="28"/>
        </w:rPr>
        <w:t>日</w:t>
      </w:r>
    </w:p>
    <w:p>
      <w:pPr>
        <w:widowControl/>
        <w:jc w:val="left"/>
        <w:rPr>
          <w:b/>
          <w:bCs/>
          <w:sz w:val="30"/>
          <w:szCs w:val="30"/>
        </w:rPr>
      </w:pPr>
      <w:r>
        <w:rPr>
          <w:b/>
          <w:bCs/>
          <w:sz w:val="30"/>
          <w:szCs w:val="30"/>
        </w:rPr>
        <w:br w:type="page"/>
      </w:r>
    </w:p>
    <w:p>
      <w:pPr>
        <w:autoSpaceDE w:val="0"/>
        <w:autoSpaceDN w:val="0"/>
        <w:adjustRightInd w:val="0"/>
        <w:spacing w:line="360" w:lineRule="auto"/>
        <w:jc w:val="center"/>
        <w:rPr>
          <w:b/>
          <w:bCs/>
          <w:sz w:val="30"/>
          <w:szCs w:val="30"/>
        </w:rPr>
      </w:pPr>
      <w:r>
        <w:rPr>
          <w:b/>
          <w:bCs/>
          <w:sz w:val="30"/>
          <w:szCs w:val="30"/>
        </w:rPr>
        <w:t>六、业绩</w:t>
      </w:r>
    </w:p>
    <w:tbl>
      <w:tblPr>
        <w:tblStyle w:val="4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sz w:val="24"/>
              </w:rPr>
            </w:pPr>
            <w:r>
              <w:rPr>
                <w:sz w:val="24"/>
              </w:rPr>
              <w:t>项目名称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sz w:val="24"/>
              </w:rPr>
            </w:pPr>
            <w:r>
              <w:rPr>
                <w:sz w:val="24"/>
              </w:rPr>
              <w:t>项目所在地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sz w:val="24"/>
              </w:rPr>
            </w:pPr>
            <w:r>
              <w:rPr>
                <w:sz w:val="24"/>
              </w:rPr>
              <w:t>发包人名称</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sz w:val="24"/>
              </w:rPr>
            </w:pPr>
            <w:r>
              <w:rPr>
                <w:sz w:val="24"/>
              </w:rPr>
              <w:t>发包人地址</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sz w:val="24"/>
              </w:rPr>
            </w:pPr>
            <w:r>
              <w:rPr>
                <w:sz w:val="24"/>
              </w:rPr>
              <w:t>发包人电话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合同价格</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开工日期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sz w:val="24"/>
              </w:rPr>
            </w:pPr>
            <w:r>
              <w:rPr>
                <w:sz w:val="24"/>
              </w:rPr>
              <w:t>竣工日期</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sz w:val="24"/>
              </w:rPr>
            </w:pPr>
            <w:r>
              <w:rPr>
                <w:sz w:val="24"/>
              </w:rPr>
              <w:t>承担的工作</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sz w:val="24"/>
              </w:rPr>
            </w:pPr>
            <w:r>
              <w:rPr>
                <w:sz w:val="24"/>
              </w:rPr>
              <w:t>工程质量</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sz w:val="24"/>
              </w:rPr>
            </w:pPr>
            <w:r>
              <w:rPr>
                <w:sz w:val="24"/>
              </w:rPr>
              <w:t>项目经理</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sz w:val="24"/>
              </w:rPr>
            </w:pPr>
            <w:r>
              <w:rPr>
                <w:rFonts w:hint="eastAsia"/>
                <w:sz w:val="24"/>
              </w:rPr>
              <w:t>项目</w:t>
            </w:r>
            <w:r>
              <w:rPr>
                <w:sz w:val="24"/>
              </w:rPr>
              <w:t>技术负责人</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sz w:val="24"/>
              </w:rPr>
            </w:pPr>
            <w:r>
              <w:rPr>
                <w:sz w:val="24"/>
              </w:rPr>
              <w:t>项目总工程师及电话</w:t>
            </w:r>
          </w:p>
        </w:tc>
        <w:tc>
          <w:tcPr>
            <w:tcW w:w="6479" w:type="dxa"/>
          </w:tcPr>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sz w:val="24"/>
              </w:rPr>
            </w:pPr>
            <w:r>
              <w:rPr>
                <w:sz w:val="24"/>
              </w:rPr>
              <w:t>项目描述</w:t>
            </w:r>
          </w:p>
        </w:tc>
        <w:tc>
          <w:tcPr>
            <w:tcW w:w="6479" w:type="dxa"/>
          </w:tcPr>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p>
            <w:pPr>
              <w:topLinePunct/>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2269"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备注</w:t>
            </w:r>
          </w:p>
        </w:tc>
        <w:tc>
          <w:tcPr>
            <w:tcW w:w="6479" w:type="dxa"/>
            <w:vAlign w:val="center"/>
          </w:tcPr>
          <w:p>
            <w:pPr>
              <w:rPr>
                <w:rFonts w:asciiTheme="minorEastAsia" w:hAnsiTheme="minorEastAsia" w:eastAsiaTheme="minorEastAsia"/>
                <w:b/>
                <w:bCs/>
                <w:sz w:val="24"/>
              </w:rPr>
            </w:pPr>
            <w:r>
              <w:rPr>
                <w:rFonts w:asciiTheme="minorEastAsia" w:hAnsiTheme="minorEastAsia" w:eastAsiaTheme="minorEastAsia"/>
                <w:b/>
                <w:bCs/>
                <w:sz w:val="24"/>
              </w:rPr>
              <w:t>1.每张表格只填写一个工程项目，并标明表序。</w:t>
            </w:r>
          </w:p>
          <w:p>
            <w:pPr>
              <w:spacing w:line="400" w:lineRule="exact"/>
              <w:ind w:left="241" w:hanging="241" w:hangingChars="100"/>
              <w:rPr>
                <w:rFonts w:asciiTheme="minorEastAsia" w:hAnsiTheme="minorEastAsia" w:eastAsiaTheme="minorEastAsia"/>
                <w:sz w:val="24"/>
              </w:rPr>
            </w:pPr>
            <w:r>
              <w:rPr>
                <w:rFonts w:asciiTheme="minorEastAsia" w:hAnsiTheme="minorEastAsia" w:eastAsiaTheme="minorEastAsia"/>
                <w:b/>
                <w:bCs/>
                <w:sz w:val="24"/>
              </w:rPr>
              <w:t>2.</w:t>
            </w:r>
            <w:r>
              <w:rPr>
                <w:rFonts w:hint="eastAsia" w:asciiTheme="minorEastAsia" w:hAnsiTheme="minorEastAsia" w:eastAsiaTheme="minorEastAsia"/>
                <w:b/>
                <w:bCs/>
                <w:sz w:val="24"/>
                <w:highlight w:val="none"/>
              </w:rPr>
              <w:t>近三年（201</w:t>
            </w:r>
            <w:r>
              <w:rPr>
                <w:rFonts w:hint="eastAsia" w:asciiTheme="minorEastAsia" w:hAnsiTheme="minorEastAsia" w:eastAsiaTheme="minorEastAsia"/>
                <w:b/>
                <w:bCs/>
                <w:sz w:val="24"/>
                <w:highlight w:val="none"/>
                <w:lang w:val="en-US" w:eastAsia="zh-CN"/>
              </w:rPr>
              <w:t>9</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5</w:t>
            </w:r>
            <w:r>
              <w:rPr>
                <w:rFonts w:hint="eastAsia" w:asciiTheme="minorEastAsia" w:hAnsiTheme="minorEastAsia" w:eastAsiaTheme="minorEastAsia"/>
                <w:b/>
                <w:bCs/>
                <w:sz w:val="24"/>
                <w:highlight w:val="none"/>
              </w:rPr>
              <w:t>月至今</w:t>
            </w:r>
            <w:r>
              <w:rPr>
                <w:rFonts w:hint="eastAsia" w:asciiTheme="minorEastAsia" w:hAnsiTheme="minorEastAsia" w:eastAsiaTheme="minorEastAsia"/>
                <w:b/>
                <w:bCs/>
                <w:sz w:val="24"/>
              </w:rPr>
              <w:t>）</w:t>
            </w:r>
            <w:r>
              <w:rPr>
                <w:rFonts w:asciiTheme="minorEastAsia" w:hAnsiTheme="minorEastAsia" w:eastAsiaTheme="minorEastAsia"/>
                <w:b/>
                <w:bCs/>
                <w:sz w:val="24"/>
              </w:rPr>
              <w:t>类似项目业绩须附施工合同</w:t>
            </w:r>
            <w:r>
              <w:rPr>
                <w:rFonts w:hint="eastAsia" w:asciiTheme="minorEastAsia" w:hAnsiTheme="minorEastAsia" w:eastAsiaTheme="minorEastAsia"/>
                <w:b/>
                <w:bCs/>
                <w:sz w:val="24"/>
              </w:rPr>
              <w:t>协议书或</w:t>
            </w:r>
            <w:r>
              <w:rPr>
                <w:rFonts w:asciiTheme="minorEastAsia" w:hAnsiTheme="minorEastAsia" w:eastAsiaTheme="minorEastAsia"/>
                <w:b/>
                <w:bCs/>
                <w:sz w:val="24"/>
              </w:rPr>
              <w:t>中标通知书复印件</w:t>
            </w:r>
            <w:r>
              <w:rPr>
                <w:rFonts w:hint="eastAsia" w:asciiTheme="minorEastAsia" w:hAnsiTheme="minorEastAsia" w:eastAsiaTheme="minorEastAsia"/>
                <w:b/>
                <w:bCs/>
                <w:sz w:val="24"/>
              </w:rPr>
              <w:t>证明资料</w:t>
            </w:r>
            <w:r>
              <w:rPr>
                <w:rFonts w:asciiTheme="minorEastAsia" w:hAnsiTheme="minorEastAsia" w:eastAsiaTheme="minorEastAsia"/>
                <w:b/>
                <w:bCs/>
                <w:sz w:val="24"/>
              </w:rPr>
              <w:t>并加盖单位公章。</w:t>
            </w:r>
          </w:p>
        </w:tc>
      </w:tr>
    </w:tbl>
    <w:p>
      <w:pPr>
        <w:autoSpaceDE w:val="0"/>
        <w:autoSpaceDN w:val="0"/>
        <w:adjustRightInd w:val="0"/>
        <w:spacing w:line="360" w:lineRule="auto"/>
        <w:jc w:val="center"/>
        <w:rPr>
          <w:b/>
          <w:szCs w:val="21"/>
        </w:rPr>
      </w:pPr>
      <w:r>
        <w:rPr>
          <w:sz w:val="24"/>
        </w:rPr>
        <w:br w:type="page"/>
      </w:r>
    </w:p>
    <w:p>
      <w:pPr>
        <w:autoSpaceDE w:val="0"/>
        <w:autoSpaceDN w:val="0"/>
        <w:adjustRightInd w:val="0"/>
        <w:spacing w:line="360" w:lineRule="auto"/>
        <w:jc w:val="center"/>
        <w:rPr>
          <w:b/>
          <w:sz w:val="30"/>
          <w:szCs w:val="30"/>
        </w:rPr>
      </w:pPr>
      <w:r>
        <w:rPr>
          <w:rFonts w:hint="eastAsia"/>
          <w:b/>
          <w:sz w:val="30"/>
          <w:szCs w:val="30"/>
        </w:rPr>
        <w:t>七、</w:t>
      </w:r>
      <w:r>
        <w:rPr>
          <w:b/>
          <w:sz w:val="30"/>
          <w:szCs w:val="30"/>
        </w:rPr>
        <w:t>保修期服务承诺</w:t>
      </w:r>
    </w:p>
    <w:p>
      <w:pPr>
        <w:autoSpaceDE w:val="0"/>
        <w:autoSpaceDN w:val="0"/>
        <w:adjustRightInd w:val="0"/>
        <w:spacing w:line="360" w:lineRule="auto"/>
        <w:jc w:val="center"/>
        <w:rPr>
          <w:b/>
          <w:sz w:val="28"/>
          <w:szCs w:val="28"/>
        </w:rPr>
      </w:pPr>
      <w:bookmarkStart w:id="67" w:name="_Toc9040_WPSOffice_Level1"/>
      <w:r>
        <w:rPr>
          <w:b/>
          <w:sz w:val="28"/>
          <w:szCs w:val="28"/>
        </w:rPr>
        <w:t>（格式自拟）</w:t>
      </w:r>
      <w:bookmarkEnd w:id="67"/>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rPr>
          <w:b/>
          <w:szCs w:val="21"/>
        </w:rPr>
      </w:pPr>
    </w:p>
    <w:p>
      <w:pPr>
        <w:autoSpaceDE w:val="0"/>
        <w:autoSpaceDN w:val="0"/>
        <w:adjustRightInd w:val="0"/>
        <w:spacing w:line="360" w:lineRule="auto"/>
        <w:jc w:val="center"/>
        <w:rPr>
          <w:b/>
          <w:szCs w:val="21"/>
        </w:rPr>
      </w:pPr>
    </w:p>
    <w:p>
      <w:pPr>
        <w:autoSpaceDE w:val="0"/>
        <w:autoSpaceDN w:val="0"/>
        <w:adjustRightInd w:val="0"/>
        <w:spacing w:line="360" w:lineRule="auto"/>
        <w:jc w:val="center"/>
        <w:outlineLvl w:val="0"/>
        <w:rPr>
          <w:b/>
          <w:sz w:val="52"/>
          <w:szCs w:val="52"/>
        </w:rPr>
      </w:pPr>
      <w:bookmarkStart w:id="68" w:name="_Toc25007"/>
      <w:bookmarkStart w:id="69" w:name="_Toc18034_WPSOffice_Level1"/>
      <w:r>
        <w:rPr>
          <w:b/>
          <w:sz w:val="52"/>
          <w:szCs w:val="52"/>
        </w:rPr>
        <w:t>技术文件</w:t>
      </w:r>
      <w:bookmarkEnd w:id="68"/>
      <w:bookmarkEnd w:id="69"/>
    </w:p>
    <w:p>
      <w:pPr>
        <w:adjustRightInd w:val="0"/>
        <w:snapToGrid w:val="0"/>
        <w:spacing w:after="312" w:afterLines="100"/>
        <w:jc w:val="center"/>
        <w:rPr>
          <w:b/>
          <w:szCs w:val="21"/>
        </w:rPr>
      </w:pPr>
      <w:r>
        <w:rPr>
          <w:b/>
          <w:szCs w:val="21"/>
        </w:rPr>
        <w:br w:type="page"/>
      </w:r>
    </w:p>
    <w:p>
      <w:pPr>
        <w:autoSpaceDE w:val="0"/>
        <w:autoSpaceDN w:val="0"/>
        <w:adjustRightInd w:val="0"/>
        <w:snapToGrid w:val="0"/>
        <w:spacing w:line="336" w:lineRule="auto"/>
        <w:jc w:val="left"/>
        <w:rPr>
          <w:b/>
          <w:bCs/>
          <w:sz w:val="30"/>
          <w:szCs w:val="30"/>
        </w:rPr>
      </w:pPr>
      <w:r>
        <w:rPr>
          <w:rFonts w:hint="eastAsia"/>
          <w:b/>
          <w:bCs/>
          <w:sz w:val="30"/>
          <w:szCs w:val="30"/>
        </w:rPr>
        <w:t>一、</w:t>
      </w:r>
      <w:r>
        <w:rPr>
          <w:rFonts w:hint="eastAsia"/>
          <w:b/>
          <w:bCs/>
          <w:sz w:val="30"/>
          <w:szCs w:val="30"/>
          <w:highlight w:val="none"/>
        </w:rPr>
        <w:t>磋商响应单位</w:t>
      </w:r>
      <w:r>
        <w:rPr>
          <w:b/>
          <w:bCs/>
          <w:sz w:val="30"/>
          <w:szCs w:val="30"/>
          <w:highlight w:val="none"/>
        </w:rPr>
        <w:t>根据磋商文件采购内容和评分因素，结合自身实际情况编制响应磋商文件的施工组织设计。</w:t>
      </w:r>
      <w:r>
        <w:rPr>
          <w:b/>
          <w:bCs/>
          <w:color w:val="000000"/>
          <w:sz w:val="30"/>
          <w:szCs w:val="30"/>
          <w:highlight w:val="none"/>
        </w:rPr>
        <w:t>（</w:t>
      </w:r>
      <w:r>
        <w:rPr>
          <w:b/>
          <w:bCs/>
          <w:sz w:val="30"/>
          <w:szCs w:val="30"/>
          <w:highlight w:val="none"/>
        </w:rPr>
        <w:t>格式自拟）</w:t>
      </w:r>
    </w:p>
    <w:p>
      <w:pPr>
        <w:adjustRightInd w:val="0"/>
        <w:snapToGrid w:val="0"/>
        <w:spacing w:after="312" w:afterLines="100" w:line="336" w:lineRule="auto"/>
        <w:jc w:val="center"/>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autoSpaceDE w:val="0"/>
        <w:autoSpaceDN w:val="0"/>
        <w:adjustRightInd w:val="0"/>
        <w:snapToGrid w:val="0"/>
        <w:spacing w:line="360" w:lineRule="auto"/>
        <w:ind w:firstLine="643" w:firstLineChars="200"/>
        <w:jc w:val="left"/>
        <w:rPr>
          <w:b/>
          <w:bCs/>
          <w:sz w:val="32"/>
          <w:szCs w:val="32"/>
        </w:rPr>
      </w:pPr>
    </w:p>
    <w:p>
      <w:pPr>
        <w:pStyle w:val="6"/>
      </w:pPr>
    </w:p>
    <w:p>
      <w:pPr>
        <w:autoSpaceDE w:val="0"/>
        <w:autoSpaceDN w:val="0"/>
        <w:adjustRightInd w:val="0"/>
        <w:snapToGrid w:val="0"/>
        <w:spacing w:line="360" w:lineRule="auto"/>
        <w:jc w:val="center"/>
        <w:rPr>
          <w:b/>
          <w:bCs/>
          <w:sz w:val="32"/>
          <w:szCs w:val="32"/>
        </w:rPr>
      </w:pPr>
    </w:p>
    <w:p>
      <w:pPr>
        <w:tabs>
          <w:tab w:val="left" w:pos="2115"/>
        </w:tabs>
        <w:autoSpaceDE w:val="0"/>
        <w:autoSpaceDN w:val="0"/>
        <w:adjustRightInd w:val="0"/>
        <w:snapToGrid w:val="0"/>
        <w:spacing w:after="120" w:line="360" w:lineRule="auto"/>
        <w:rPr>
          <w:rFonts w:hint="eastAsia"/>
          <w:sz w:val="24"/>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b/>
          <w:bCs/>
          <w:sz w:val="32"/>
          <w:szCs w:val="32"/>
        </w:rPr>
      </w:pPr>
      <w:r>
        <w:rPr>
          <w:rFonts w:hint="eastAsia"/>
          <w:b/>
          <w:bCs/>
          <w:sz w:val="32"/>
          <w:szCs w:val="32"/>
        </w:rPr>
        <w:t>二、工程质量承诺（格式自拟）</w:t>
      </w:r>
    </w:p>
    <w:p>
      <w:pPr>
        <w:tabs>
          <w:tab w:val="left" w:pos="2115"/>
        </w:tabs>
        <w:autoSpaceDE w:val="0"/>
        <w:autoSpaceDN w:val="0"/>
        <w:adjustRightInd w:val="0"/>
        <w:snapToGrid w:val="0"/>
        <w:spacing w:after="156" w:afterLines="50" w:line="360" w:lineRule="auto"/>
        <w:ind w:firstLine="480" w:firstLineChars="200"/>
        <w:rPr>
          <w:rFonts w:hint="eastAsia"/>
          <w:sz w:val="24"/>
          <w:lang w:val="en-US" w:eastAsia="zh-CN"/>
        </w:rPr>
        <w:sectPr>
          <w:pgSz w:w="11906" w:h="16838"/>
          <w:pgMar w:top="1440" w:right="1457" w:bottom="1440" w:left="1463" w:header="851" w:footer="992" w:gutter="0"/>
          <w:cols w:space="0" w:num="1"/>
          <w:titlePg/>
          <w:docGrid w:type="lines" w:linePitch="312" w:charSpace="0"/>
        </w:sectPr>
      </w:pPr>
    </w:p>
    <w:p>
      <w:pPr>
        <w:tabs>
          <w:tab w:val="left" w:pos="2115"/>
        </w:tabs>
        <w:autoSpaceDE w:val="0"/>
        <w:autoSpaceDN w:val="0"/>
        <w:adjustRightInd w:val="0"/>
        <w:snapToGrid w:val="0"/>
        <w:spacing w:after="120" w:line="360" w:lineRule="auto"/>
        <w:jc w:val="center"/>
        <w:rPr>
          <w:rFonts w:hint="eastAsia" w:ascii="Times New Roman" w:hAnsi="Times New Roman" w:cs="Times New Roman"/>
          <w:b/>
          <w:bCs/>
          <w:sz w:val="32"/>
          <w:szCs w:val="32"/>
        </w:rPr>
      </w:pPr>
      <w:r>
        <w:rPr>
          <w:rFonts w:hint="eastAsia" w:ascii="Times New Roman" w:hAnsi="Times New Roman" w:cs="Times New Roman"/>
          <w:b/>
          <w:bCs/>
          <w:sz w:val="32"/>
          <w:szCs w:val="32"/>
          <w:lang w:val="en-US" w:eastAsia="zh-CN"/>
        </w:rPr>
        <w:t>三、</w:t>
      </w:r>
      <w:r>
        <w:rPr>
          <w:rFonts w:hint="eastAsia" w:ascii="Times New Roman" w:hAnsi="Times New Roman" w:cs="Times New Roman"/>
          <w:b/>
          <w:bCs/>
          <w:sz w:val="32"/>
          <w:szCs w:val="32"/>
        </w:rPr>
        <w:t>后续服务（格式自拟）</w:t>
      </w:r>
    </w:p>
    <w:p>
      <w:pPr>
        <w:widowControl/>
        <w:snapToGrid w:val="0"/>
        <w:spacing w:after="156" w:afterLines="50" w:line="360" w:lineRule="auto"/>
        <w:rPr>
          <w:b/>
          <w:kern w:val="0"/>
          <w:sz w:val="24"/>
          <w:shd w:val="clear" w:color="auto" w:fill="FFFFFF"/>
        </w:rPr>
      </w:pPr>
      <w:r>
        <w:rPr>
          <w:b/>
          <w:bCs/>
          <w:sz w:val="32"/>
          <w:szCs w:val="32"/>
        </w:rPr>
        <w:br w:type="page"/>
      </w:r>
    </w:p>
    <w:p>
      <w:pPr>
        <w:pStyle w:val="2"/>
        <w:ind w:firstLine="0" w:firstLineChars="0"/>
        <w:jc w:val="center"/>
        <w:rPr>
          <w:sz w:val="24"/>
        </w:rPr>
      </w:pPr>
      <w:r>
        <w:rPr>
          <w:b/>
          <w:kern w:val="0"/>
          <w:sz w:val="24"/>
          <w:shd w:val="clear" w:color="auto" w:fill="FFFFFF"/>
        </w:rPr>
        <w:t xml:space="preserve">  </w:t>
      </w:r>
      <w:bookmarkStart w:id="70" w:name="_Toc5171_WPSOffice_Level1"/>
      <w:r>
        <w:rPr>
          <w:b/>
          <w:bCs/>
          <w:sz w:val="30"/>
          <w:szCs w:val="30"/>
        </w:rPr>
        <w:t>封袋（包）正面标识式样</w:t>
      </w:r>
      <w:bookmarkEnd w:id="70"/>
    </w:p>
    <w:p>
      <w:pPr>
        <w:spacing w:line="360" w:lineRule="auto"/>
        <w:rPr>
          <w:b/>
          <w:sz w:val="24"/>
        </w:rPr>
      </w:pPr>
    </w:p>
    <w:p>
      <w:pPr>
        <w:spacing w:line="360" w:lineRule="auto"/>
        <w:ind w:firstLine="360" w:firstLineChars="150"/>
        <w:rPr>
          <w:sz w:val="24"/>
        </w:rPr>
      </w:pPr>
      <w:r>
        <w:rPr>
          <w:sz w:val="24"/>
        </w:rPr>
        <w:t>响应文件封袋正面标识式样</w:t>
      </w:r>
    </w:p>
    <w:p>
      <w:pPr>
        <w:rPr>
          <w:rFonts w:hint="eastAsia" w:eastAsia="宋体"/>
          <w:sz w:val="28"/>
          <w:szCs w:val="28"/>
          <w:lang w:eastAsia="zh-CN"/>
        </w:rPr>
      </w:pPr>
      <w:r>
        <w:rPr>
          <w:rFonts w:hint="eastAsia"/>
          <w:sz w:val="28"/>
          <w:szCs w:val="28"/>
        </w:rPr>
        <w:t>致：</w:t>
      </w:r>
      <w:r>
        <w:rPr>
          <w:rFonts w:hint="eastAsia"/>
          <w:sz w:val="28"/>
          <w:szCs w:val="28"/>
          <w:lang w:eastAsia="zh-CN"/>
        </w:rPr>
        <w:t>远创项目管理有限公司</w:t>
      </w:r>
    </w:p>
    <w:p>
      <w:pPr>
        <w:rPr>
          <w:color w:val="FF0000"/>
          <w:sz w:val="28"/>
          <w:szCs w:val="28"/>
        </w:rPr>
      </w:pPr>
      <w:r>
        <w:rPr>
          <w:rFonts w:hint="eastAsia"/>
          <w:sz w:val="28"/>
          <w:szCs w:val="28"/>
        </w:rPr>
        <w:t xml:space="preserve">采购编号：                                       </w:t>
      </w:r>
    </w:p>
    <w:p>
      <w:pPr>
        <w:pStyle w:val="2"/>
        <w:ind w:firstLine="0" w:firstLineChars="0"/>
        <w:rPr>
          <w:sz w:val="28"/>
          <w:szCs w:val="28"/>
        </w:rPr>
      </w:pPr>
      <w:r>
        <w:rPr>
          <w:rFonts w:hint="eastAsia"/>
          <w:sz w:val="28"/>
          <w:szCs w:val="28"/>
        </w:rPr>
        <w:t>项目名称：</w:t>
      </w:r>
    </w:p>
    <w:p>
      <w:pPr>
        <w:pStyle w:val="2"/>
        <w:ind w:firstLine="0" w:firstLineChars="0"/>
        <w:rPr>
          <w:sz w:val="28"/>
          <w:szCs w:val="28"/>
        </w:rPr>
      </w:pPr>
    </w:p>
    <w:p>
      <w:pPr>
        <w:jc w:val="center"/>
        <w:rPr>
          <w:b/>
          <w:sz w:val="44"/>
          <w:szCs w:val="44"/>
        </w:rPr>
      </w:pPr>
      <w:r>
        <w:rPr>
          <w:rFonts w:hint="eastAsia"/>
          <w:b/>
          <w:sz w:val="44"/>
          <w:szCs w:val="44"/>
        </w:rPr>
        <w:t>响应文件（正本、副本及电子版文件）</w:t>
      </w:r>
    </w:p>
    <w:p>
      <w:pPr>
        <w:jc w:val="center"/>
        <w:rPr>
          <w:szCs w:val="21"/>
        </w:rPr>
      </w:pPr>
    </w:p>
    <w:p>
      <w:pPr>
        <w:jc w:val="center"/>
        <w:rPr>
          <w:szCs w:val="21"/>
        </w:rPr>
      </w:pPr>
      <w:r>
        <w:rPr>
          <w:rFonts w:hint="eastAsia"/>
          <w:szCs w:val="21"/>
        </w:rPr>
        <w:t>（</w:t>
      </w:r>
      <w:r>
        <w:rPr>
          <w:rFonts w:hint="eastAsia" w:ascii="宋体" w:hAnsi="宋体"/>
          <w:szCs w:val="21"/>
        </w:rPr>
        <w:t>在</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r>
        <w:rPr>
          <w:rFonts w:hint="eastAsia" w:ascii="宋体" w:hAnsi="宋体"/>
          <w:szCs w:val="21"/>
          <w:u w:val="single"/>
        </w:rPr>
        <w:t xml:space="preserve">      </w:t>
      </w:r>
      <w:r>
        <w:rPr>
          <w:rFonts w:hint="eastAsia" w:ascii="宋体" w:hAnsi="宋体"/>
          <w:szCs w:val="21"/>
        </w:rPr>
        <w:t>时</w:t>
      </w:r>
      <w:r>
        <w:rPr>
          <w:rFonts w:hint="eastAsia" w:ascii="宋体" w:hAnsi="宋体"/>
          <w:szCs w:val="21"/>
          <w:u w:val="single"/>
        </w:rPr>
        <w:t>　　　</w:t>
      </w:r>
      <w:r>
        <w:rPr>
          <w:rFonts w:hint="eastAsia" w:ascii="宋体" w:hAnsi="宋体"/>
          <w:szCs w:val="21"/>
        </w:rPr>
        <w:t>分前不得开启</w:t>
      </w:r>
      <w:r>
        <w:rPr>
          <w:rFonts w:hint="eastAsia"/>
          <w:szCs w:val="21"/>
        </w:rPr>
        <w:t>）</w:t>
      </w:r>
    </w:p>
    <w:p>
      <w:pPr>
        <w:pStyle w:val="2"/>
      </w:pPr>
    </w:p>
    <w:p>
      <w:pPr>
        <w:rPr>
          <w:sz w:val="28"/>
          <w:szCs w:val="28"/>
        </w:rPr>
      </w:pPr>
      <w:r>
        <w:rPr>
          <w:rFonts w:hint="eastAsia"/>
          <w:sz w:val="28"/>
          <w:szCs w:val="28"/>
        </w:rPr>
        <w:t>磋商响应单位名称：（公章）</w:t>
      </w:r>
    </w:p>
    <w:p>
      <w:pPr>
        <w:pStyle w:val="2"/>
        <w:ind w:firstLine="0" w:firstLineChars="0"/>
        <w:rPr>
          <w:sz w:val="28"/>
          <w:szCs w:val="28"/>
        </w:rPr>
      </w:pPr>
      <w:r>
        <w:rPr>
          <w:rFonts w:hint="eastAsia"/>
          <w:sz w:val="28"/>
          <w:szCs w:val="28"/>
        </w:rPr>
        <w:t xml:space="preserve">磋商响应单位地址：                                                                                                          </w:t>
      </w:r>
    </w:p>
    <w:sectPr>
      <w:pgSz w:w="11906" w:h="16838"/>
      <w:pgMar w:top="1440" w:right="1457" w:bottom="1440" w:left="146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Ђˎ̥">
    <w:altName w:val="Times New Roman"/>
    <w:panose1 w:val="00000000000000000000"/>
    <w:charset w:val="00"/>
    <w:family w:val="auto"/>
    <w:pitch w:val="default"/>
    <w:sig w:usb0="00000000" w:usb1="00000000" w:usb2="00000000"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alisto MT">
    <w:altName w:val="Segoe Print"/>
    <w:panose1 w:val="02040603050505030304"/>
    <w:charset w:val="00"/>
    <w:family w:val="roman"/>
    <w:pitch w:val="default"/>
    <w:sig w:usb0="00000000"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2"/>
      </w:rPr>
    </w:pPr>
    <w:r>
      <w:fldChar w:fldCharType="begin"/>
    </w:r>
    <w:r>
      <w:rPr>
        <w:rStyle w:val="52"/>
      </w:rPr>
      <w:instrText xml:space="preserve">PAGE  </w:instrTex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4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3MNc4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SvOnLD04pefPy6//lx+f2cU&#10;I4F6jxXV3XuqjMM7GKh4jiMFE++hDTZ9iRGjPMl7vsqrhshkurRerdclpSTlZofwi4frPmB8r8Cy&#10;ZNQ80PtlWcXpI8axdC5J3RzcaWPyGxr3T4Awx4jKSzDdTkzGiZMVh/0w0dtDcyZ2PS1CzR3tPWfm&#10;gyOd087MRpiN/WwcfdCHjgZd5inR3x4jjZQnTR1GWGKYHHrBzHXatrQij/1c9fCH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g9zDXOAQAAqQ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pPr>
                          <w:r>
                            <w:fldChar w:fldCharType="begin"/>
                          </w:r>
                          <w:r>
                            <w:instrText xml:space="preserve"> PAGE  \* MERGEFORMAT </w:instrText>
                          </w:r>
                          <w:r>
                            <w:fldChar w:fldCharType="separate"/>
                          </w:r>
                          <w:r>
                            <w:t>89</w:t>
                          </w:r>
                          <w:r>
                            <w:fldChar w:fldCharType="end"/>
                          </w:r>
                        </w:p>
                      </w:txbxContent>
                    </wps:txbx>
                    <wps:bodyPr wrap="none" lIns="0" tIns="0" rIns="0" bIns="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COOccBAACcAwAADgAAAGRycy9lMm9Eb2MueG1srVPNjtMwEL4j8Q6W&#10;7zRpk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5w5YenBL9+/XX78uvz8ypYv&#10;kz69x4rK7jwVxuEtDLQ1cxwpmGgPbbDpS4QY5Und81VdNUQm06X1ar0uKSUpNzuEXzxc9wHjOwWW&#10;JaPmgZ4vqypOHzCOpXNJ6ubgVhuTn9C4vwKEOUZU3oHpdmIyTpysOOyHid4emjOx62kPau5o7Tkz&#10;7x3JnFZmNsJs7CcjdUT/5hhpjDxdQh2hiFVy6NEyv2nB0lb86eeqh59q+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7COOccBAACcAwAADgAAAAAAAAABACAAAAAeAQAAZHJzL2Uyb0RvYy54&#10;bWxQSwUGAAAAAAYABgBZAQAAVw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28</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GCpBefOAQAAqAMAAA4AAAAAAAAAAQAgAAAAHgEAAGRycy9l&#10;Mm9Eb2MueG1sUEsFBgAAAAAGAAYAWQEAAF4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9"/>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u w:val="doub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tabs>
        <w:tab w:val="center" w:pos="4153"/>
        <w:tab w:val="right" w:pos="8306"/>
      </w:tabs>
      <w:jc w:val="both"/>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C6EB1"/>
    <w:multiLevelType w:val="singleLevel"/>
    <w:tmpl w:val="A4EC6EB1"/>
    <w:lvl w:ilvl="0" w:tentative="0">
      <w:start w:val="1"/>
      <w:numFmt w:val="chineseCounting"/>
      <w:suff w:val="nothing"/>
      <w:lvlText w:val="%1、"/>
      <w:lvlJc w:val="left"/>
      <w:rPr>
        <w:rFonts w:hint="eastAsia"/>
      </w:rPr>
    </w:lvl>
  </w:abstractNum>
  <w:abstractNum w:abstractNumId="1">
    <w:nsid w:val="0000000D"/>
    <w:multiLevelType w:val="multilevel"/>
    <w:tmpl w:val="0000000D"/>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1AD04CA7"/>
    <w:multiLevelType w:val="multilevel"/>
    <w:tmpl w:val="1AD04CA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9B50080"/>
    <w:multiLevelType w:val="singleLevel"/>
    <w:tmpl w:val="29B50080"/>
    <w:lvl w:ilvl="0" w:tentative="0">
      <w:start w:val="1"/>
      <w:numFmt w:val="chineseCounting"/>
      <w:suff w:val="nothing"/>
      <w:lvlText w:val="%1、"/>
      <w:lvlJc w:val="left"/>
      <w:rPr>
        <w:rFonts w:hint="eastAsia"/>
      </w:rPr>
    </w:lvl>
  </w:abstractNum>
  <w:abstractNum w:abstractNumId="4">
    <w:nsid w:val="33CB5958"/>
    <w:multiLevelType w:val="singleLevel"/>
    <w:tmpl w:val="33CB5958"/>
    <w:lvl w:ilvl="0" w:tentative="0">
      <w:start w:val="1"/>
      <w:numFmt w:val="decimal"/>
      <w:suff w:val="nothing"/>
      <w:lvlText w:val="%1、"/>
      <w:lvlJc w:val="left"/>
    </w:lvl>
  </w:abstractNum>
  <w:abstractNum w:abstractNumId="5">
    <w:nsid w:val="441B1801"/>
    <w:multiLevelType w:val="singleLevel"/>
    <w:tmpl w:val="441B1801"/>
    <w:lvl w:ilvl="0" w:tentative="0">
      <w:start w:val="1"/>
      <w:numFmt w:val="decimal"/>
      <w:suff w:val="space"/>
      <w:lvlText w:val="%1."/>
      <w:lvlJc w:val="left"/>
    </w:lvl>
  </w:abstractNum>
  <w:abstractNum w:abstractNumId="6">
    <w:nsid w:val="5504C0CA"/>
    <w:multiLevelType w:val="singleLevel"/>
    <w:tmpl w:val="5504C0CA"/>
    <w:lvl w:ilvl="0" w:tentative="0">
      <w:start w:val="1"/>
      <w:numFmt w:val="decimal"/>
      <w:suff w:val="nothing"/>
      <w:lvlText w:val="%1、"/>
      <w:lvlJc w:val="left"/>
    </w:lvl>
  </w:abstractNum>
  <w:abstractNum w:abstractNumId="7">
    <w:nsid w:val="5937C3F8"/>
    <w:multiLevelType w:val="singleLevel"/>
    <w:tmpl w:val="5937C3F8"/>
    <w:lvl w:ilvl="0" w:tentative="0">
      <w:start w:val="2"/>
      <w:numFmt w:val="decimal"/>
      <w:suff w:val="nothing"/>
      <w:lvlText w:val="%1、"/>
      <w:lvlJc w:val="left"/>
    </w:lvl>
  </w:abstractNum>
  <w:num w:numId="1">
    <w:abstractNumId w:val="1"/>
  </w:num>
  <w:num w:numId="2">
    <w:abstractNumId w:val="3"/>
  </w:num>
  <w:num w:numId="3">
    <w:abstractNumId w:val="4"/>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ZDU4ZjRjNDkzMzAzMTI1Y2JkOThlMTcyNTFlMGQifQ=="/>
  </w:docVars>
  <w:rsids>
    <w:rsidRoot w:val="00172A27"/>
    <w:rsid w:val="000118A6"/>
    <w:rsid w:val="00020033"/>
    <w:rsid w:val="000278FD"/>
    <w:rsid w:val="00035DDE"/>
    <w:rsid w:val="0004086F"/>
    <w:rsid w:val="000729B1"/>
    <w:rsid w:val="00077DC4"/>
    <w:rsid w:val="0008076A"/>
    <w:rsid w:val="00083D34"/>
    <w:rsid w:val="000A2EE8"/>
    <w:rsid w:val="000A6D8D"/>
    <w:rsid w:val="000C50D1"/>
    <w:rsid w:val="00112040"/>
    <w:rsid w:val="001226A4"/>
    <w:rsid w:val="00137BF8"/>
    <w:rsid w:val="00171D1A"/>
    <w:rsid w:val="00172A27"/>
    <w:rsid w:val="001975B4"/>
    <w:rsid w:val="001E6EA5"/>
    <w:rsid w:val="001F00FA"/>
    <w:rsid w:val="001F7DDA"/>
    <w:rsid w:val="00212A28"/>
    <w:rsid w:val="00213301"/>
    <w:rsid w:val="002149E7"/>
    <w:rsid w:val="002719F7"/>
    <w:rsid w:val="00294E0D"/>
    <w:rsid w:val="002B45FB"/>
    <w:rsid w:val="002D28A5"/>
    <w:rsid w:val="00322449"/>
    <w:rsid w:val="00342556"/>
    <w:rsid w:val="003632E5"/>
    <w:rsid w:val="0037466B"/>
    <w:rsid w:val="003F3D04"/>
    <w:rsid w:val="00401674"/>
    <w:rsid w:val="004023FA"/>
    <w:rsid w:val="00457D5C"/>
    <w:rsid w:val="00470EA3"/>
    <w:rsid w:val="00481960"/>
    <w:rsid w:val="00483A05"/>
    <w:rsid w:val="004960B2"/>
    <w:rsid w:val="004A4B7D"/>
    <w:rsid w:val="004B6504"/>
    <w:rsid w:val="004E2DDD"/>
    <w:rsid w:val="004F29D0"/>
    <w:rsid w:val="00554FED"/>
    <w:rsid w:val="00562C55"/>
    <w:rsid w:val="005664CE"/>
    <w:rsid w:val="0056776E"/>
    <w:rsid w:val="005D3FB8"/>
    <w:rsid w:val="005F34F6"/>
    <w:rsid w:val="00606614"/>
    <w:rsid w:val="006276E6"/>
    <w:rsid w:val="00651A05"/>
    <w:rsid w:val="0067022E"/>
    <w:rsid w:val="00671525"/>
    <w:rsid w:val="00674C9B"/>
    <w:rsid w:val="006D2E93"/>
    <w:rsid w:val="006D3DDA"/>
    <w:rsid w:val="006D6603"/>
    <w:rsid w:val="006E6468"/>
    <w:rsid w:val="006F37BC"/>
    <w:rsid w:val="00784799"/>
    <w:rsid w:val="007B640D"/>
    <w:rsid w:val="007C0B26"/>
    <w:rsid w:val="00823E0E"/>
    <w:rsid w:val="00840D24"/>
    <w:rsid w:val="00846811"/>
    <w:rsid w:val="00867068"/>
    <w:rsid w:val="00873E44"/>
    <w:rsid w:val="00880216"/>
    <w:rsid w:val="008D3F32"/>
    <w:rsid w:val="008E5731"/>
    <w:rsid w:val="008F2DB3"/>
    <w:rsid w:val="0092263A"/>
    <w:rsid w:val="00940B81"/>
    <w:rsid w:val="00947657"/>
    <w:rsid w:val="0095185C"/>
    <w:rsid w:val="00972ED4"/>
    <w:rsid w:val="00974AD1"/>
    <w:rsid w:val="00984CBC"/>
    <w:rsid w:val="00991B16"/>
    <w:rsid w:val="009B123B"/>
    <w:rsid w:val="009B6EBD"/>
    <w:rsid w:val="009C39F1"/>
    <w:rsid w:val="009F15A6"/>
    <w:rsid w:val="00A071B1"/>
    <w:rsid w:val="00A31A56"/>
    <w:rsid w:val="00A40ABE"/>
    <w:rsid w:val="00A551CF"/>
    <w:rsid w:val="00A8528F"/>
    <w:rsid w:val="00A97829"/>
    <w:rsid w:val="00A97BD4"/>
    <w:rsid w:val="00AA2F0C"/>
    <w:rsid w:val="00AA6B5A"/>
    <w:rsid w:val="00AC680A"/>
    <w:rsid w:val="00AD7338"/>
    <w:rsid w:val="00B23DDB"/>
    <w:rsid w:val="00B858CE"/>
    <w:rsid w:val="00BA0D01"/>
    <w:rsid w:val="00C4526F"/>
    <w:rsid w:val="00CE61CA"/>
    <w:rsid w:val="00CF4E7C"/>
    <w:rsid w:val="00D50E2B"/>
    <w:rsid w:val="00D63540"/>
    <w:rsid w:val="00DA6CE6"/>
    <w:rsid w:val="00DB004A"/>
    <w:rsid w:val="00DD2393"/>
    <w:rsid w:val="00DF5997"/>
    <w:rsid w:val="00E12E9D"/>
    <w:rsid w:val="00E309F1"/>
    <w:rsid w:val="00E36C27"/>
    <w:rsid w:val="00E6307D"/>
    <w:rsid w:val="00E74EB1"/>
    <w:rsid w:val="00EA5BC3"/>
    <w:rsid w:val="00EA6A42"/>
    <w:rsid w:val="00EB5EED"/>
    <w:rsid w:val="00F06647"/>
    <w:rsid w:val="00F525C4"/>
    <w:rsid w:val="00F54779"/>
    <w:rsid w:val="00F66623"/>
    <w:rsid w:val="00F92F08"/>
    <w:rsid w:val="00FF72A8"/>
    <w:rsid w:val="01086C64"/>
    <w:rsid w:val="010C58BC"/>
    <w:rsid w:val="01164BFE"/>
    <w:rsid w:val="011E7A41"/>
    <w:rsid w:val="0129206B"/>
    <w:rsid w:val="01356835"/>
    <w:rsid w:val="01393CC7"/>
    <w:rsid w:val="01396E1E"/>
    <w:rsid w:val="013C3FDB"/>
    <w:rsid w:val="0154536E"/>
    <w:rsid w:val="015B456C"/>
    <w:rsid w:val="015F07A8"/>
    <w:rsid w:val="01677C43"/>
    <w:rsid w:val="017E1F09"/>
    <w:rsid w:val="01870CD3"/>
    <w:rsid w:val="01966AE8"/>
    <w:rsid w:val="019841FA"/>
    <w:rsid w:val="019C07AC"/>
    <w:rsid w:val="01A16B52"/>
    <w:rsid w:val="01A372B8"/>
    <w:rsid w:val="01BE3132"/>
    <w:rsid w:val="01BF025E"/>
    <w:rsid w:val="01C67C8E"/>
    <w:rsid w:val="01EB13A6"/>
    <w:rsid w:val="01FE11DD"/>
    <w:rsid w:val="021178DF"/>
    <w:rsid w:val="02117DC5"/>
    <w:rsid w:val="021835A3"/>
    <w:rsid w:val="021E3D99"/>
    <w:rsid w:val="02232CDC"/>
    <w:rsid w:val="023A31EA"/>
    <w:rsid w:val="025832D3"/>
    <w:rsid w:val="026B1259"/>
    <w:rsid w:val="02702364"/>
    <w:rsid w:val="02732292"/>
    <w:rsid w:val="02740BC1"/>
    <w:rsid w:val="027E3833"/>
    <w:rsid w:val="028529F6"/>
    <w:rsid w:val="028753C1"/>
    <w:rsid w:val="02B27F97"/>
    <w:rsid w:val="02C276F2"/>
    <w:rsid w:val="02C37900"/>
    <w:rsid w:val="02C71E7B"/>
    <w:rsid w:val="030D20D8"/>
    <w:rsid w:val="030D6559"/>
    <w:rsid w:val="03134779"/>
    <w:rsid w:val="03340C74"/>
    <w:rsid w:val="03342008"/>
    <w:rsid w:val="03364F7B"/>
    <w:rsid w:val="033670E2"/>
    <w:rsid w:val="033B4572"/>
    <w:rsid w:val="03497734"/>
    <w:rsid w:val="03720D3D"/>
    <w:rsid w:val="03791FC8"/>
    <w:rsid w:val="0380772A"/>
    <w:rsid w:val="038A1CCF"/>
    <w:rsid w:val="03A9350C"/>
    <w:rsid w:val="03B056C1"/>
    <w:rsid w:val="03BA25A3"/>
    <w:rsid w:val="03CC1F3F"/>
    <w:rsid w:val="03EE2DB6"/>
    <w:rsid w:val="040F6767"/>
    <w:rsid w:val="041065E3"/>
    <w:rsid w:val="04260532"/>
    <w:rsid w:val="04356715"/>
    <w:rsid w:val="043A617E"/>
    <w:rsid w:val="04421CDF"/>
    <w:rsid w:val="045418E9"/>
    <w:rsid w:val="045A4C00"/>
    <w:rsid w:val="045C0111"/>
    <w:rsid w:val="046C5452"/>
    <w:rsid w:val="04865A0D"/>
    <w:rsid w:val="049539F5"/>
    <w:rsid w:val="04996A90"/>
    <w:rsid w:val="04A25D40"/>
    <w:rsid w:val="04AD2120"/>
    <w:rsid w:val="04B14BFB"/>
    <w:rsid w:val="04BB0E0D"/>
    <w:rsid w:val="04C87100"/>
    <w:rsid w:val="04CA4D78"/>
    <w:rsid w:val="04D56B94"/>
    <w:rsid w:val="04DD3F64"/>
    <w:rsid w:val="04E85114"/>
    <w:rsid w:val="04FF5445"/>
    <w:rsid w:val="050D2A9B"/>
    <w:rsid w:val="050F2D5D"/>
    <w:rsid w:val="051B5AFD"/>
    <w:rsid w:val="052D2AB1"/>
    <w:rsid w:val="052E44FE"/>
    <w:rsid w:val="05355D38"/>
    <w:rsid w:val="05382C92"/>
    <w:rsid w:val="053C6237"/>
    <w:rsid w:val="05405242"/>
    <w:rsid w:val="05432CC2"/>
    <w:rsid w:val="05512434"/>
    <w:rsid w:val="055819A6"/>
    <w:rsid w:val="0563380C"/>
    <w:rsid w:val="05636827"/>
    <w:rsid w:val="05782372"/>
    <w:rsid w:val="057845E6"/>
    <w:rsid w:val="05800F65"/>
    <w:rsid w:val="058536B2"/>
    <w:rsid w:val="058E06F6"/>
    <w:rsid w:val="05905BF1"/>
    <w:rsid w:val="05911A52"/>
    <w:rsid w:val="0599238B"/>
    <w:rsid w:val="05BF732D"/>
    <w:rsid w:val="05D425CE"/>
    <w:rsid w:val="05E675A2"/>
    <w:rsid w:val="05FC16A2"/>
    <w:rsid w:val="06062500"/>
    <w:rsid w:val="06194873"/>
    <w:rsid w:val="063110D8"/>
    <w:rsid w:val="06423D9D"/>
    <w:rsid w:val="06612714"/>
    <w:rsid w:val="068B2CB1"/>
    <w:rsid w:val="06937501"/>
    <w:rsid w:val="069B053B"/>
    <w:rsid w:val="06B5096F"/>
    <w:rsid w:val="06B6599E"/>
    <w:rsid w:val="06BB376E"/>
    <w:rsid w:val="06CE2DB9"/>
    <w:rsid w:val="06D2060F"/>
    <w:rsid w:val="06D42A05"/>
    <w:rsid w:val="06DC407B"/>
    <w:rsid w:val="07087DBA"/>
    <w:rsid w:val="0710121F"/>
    <w:rsid w:val="07112C54"/>
    <w:rsid w:val="07116F7D"/>
    <w:rsid w:val="071C4551"/>
    <w:rsid w:val="071D36E8"/>
    <w:rsid w:val="07225724"/>
    <w:rsid w:val="072405F5"/>
    <w:rsid w:val="07346A53"/>
    <w:rsid w:val="074814BA"/>
    <w:rsid w:val="074A5107"/>
    <w:rsid w:val="074D3351"/>
    <w:rsid w:val="07544326"/>
    <w:rsid w:val="075500DB"/>
    <w:rsid w:val="075B5D40"/>
    <w:rsid w:val="07923495"/>
    <w:rsid w:val="079D03CA"/>
    <w:rsid w:val="07B34014"/>
    <w:rsid w:val="07B94355"/>
    <w:rsid w:val="07C65BAD"/>
    <w:rsid w:val="07CF4038"/>
    <w:rsid w:val="07D03CED"/>
    <w:rsid w:val="07D61F6D"/>
    <w:rsid w:val="07D9338B"/>
    <w:rsid w:val="07E61E2B"/>
    <w:rsid w:val="081D7743"/>
    <w:rsid w:val="082A70AF"/>
    <w:rsid w:val="082A747D"/>
    <w:rsid w:val="08445D98"/>
    <w:rsid w:val="084C768F"/>
    <w:rsid w:val="085207C5"/>
    <w:rsid w:val="08616CCE"/>
    <w:rsid w:val="08774F58"/>
    <w:rsid w:val="087D15BB"/>
    <w:rsid w:val="08843C93"/>
    <w:rsid w:val="08A70BD3"/>
    <w:rsid w:val="08A743E4"/>
    <w:rsid w:val="08AA1E06"/>
    <w:rsid w:val="08BE0969"/>
    <w:rsid w:val="08C07E24"/>
    <w:rsid w:val="08C416C3"/>
    <w:rsid w:val="08DB1659"/>
    <w:rsid w:val="08F91439"/>
    <w:rsid w:val="08FB15CE"/>
    <w:rsid w:val="09171199"/>
    <w:rsid w:val="09172624"/>
    <w:rsid w:val="09181CFD"/>
    <w:rsid w:val="09192FF2"/>
    <w:rsid w:val="092803CD"/>
    <w:rsid w:val="094311D8"/>
    <w:rsid w:val="09446467"/>
    <w:rsid w:val="09677578"/>
    <w:rsid w:val="098174E9"/>
    <w:rsid w:val="099759F9"/>
    <w:rsid w:val="099811F9"/>
    <w:rsid w:val="099C4507"/>
    <w:rsid w:val="099D2CA1"/>
    <w:rsid w:val="09A33B60"/>
    <w:rsid w:val="09A83253"/>
    <w:rsid w:val="09AA4D5C"/>
    <w:rsid w:val="09B23C11"/>
    <w:rsid w:val="09B52A27"/>
    <w:rsid w:val="09B95084"/>
    <w:rsid w:val="09B97B8C"/>
    <w:rsid w:val="09BA7B09"/>
    <w:rsid w:val="09C30B0C"/>
    <w:rsid w:val="09CB607F"/>
    <w:rsid w:val="09D36D1D"/>
    <w:rsid w:val="09EE3CB4"/>
    <w:rsid w:val="09F41FAF"/>
    <w:rsid w:val="0A14116A"/>
    <w:rsid w:val="0A186776"/>
    <w:rsid w:val="0A1A30C8"/>
    <w:rsid w:val="0A1D691B"/>
    <w:rsid w:val="0A1F1E71"/>
    <w:rsid w:val="0A2A78D6"/>
    <w:rsid w:val="0A2B760D"/>
    <w:rsid w:val="0A3219BF"/>
    <w:rsid w:val="0A35072C"/>
    <w:rsid w:val="0A3A34A0"/>
    <w:rsid w:val="0A3F3FAA"/>
    <w:rsid w:val="0A3F5003"/>
    <w:rsid w:val="0A41795F"/>
    <w:rsid w:val="0A426137"/>
    <w:rsid w:val="0A4A3E4A"/>
    <w:rsid w:val="0A4E3A7E"/>
    <w:rsid w:val="0A525023"/>
    <w:rsid w:val="0A580DB3"/>
    <w:rsid w:val="0A5C5694"/>
    <w:rsid w:val="0A5E3497"/>
    <w:rsid w:val="0A601778"/>
    <w:rsid w:val="0A8612C8"/>
    <w:rsid w:val="0A872679"/>
    <w:rsid w:val="0ABA4ED8"/>
    <w:rsid w:val="0AC13531"/>
    <w:rsid w:val="0ADE1599"/>
    <w:rsid w:val="0AF25B09"/>
    <w:rsid w:val="0B076D01"/>
    <w:rsid w:val="0B161675"/>
    <w:rsid w:val="0B263468"/>
    <w:rsid w:val="0B2F3ABC"/>
    <w:rsid w:val="0B3246FA"/>
    <w:rsid w:val="0B39126D"/>
    <w:rsid w:val="0B5718C7"/>
    <w:rsid w:val="0B574884"/>
    <w:rsid w:val="0B6438AA"/>
    <w:rsid w:val="0B791BFE"/>
    <w:rsid w:val="0B860213"/>
    <w:rsid w:val="0B9C0230"/>
    <w:rsid w:val="0BA8707A"/>
    <w:rsid w:val="0BA957B5"/>
    <w:rsid w:val="0BAB15A1"/>
    <w:rsid w:val="0BBD4120"/>
    <w:rsid w:val="0BC105FE"/>
    <w:rsid w:val="0BCE479A"/>
    <w:rsid w:val="0C071333"/>
    <w:rsid w:val="0C092799"/>
    <w:rsid w:val="0C0F5923"/>
    <w:rsid w:val="0C1D176D"/>
    <w:rsid w:val="0C1E31EF"/>
    <w:rsid w:val="0C254C56"/>
    <w:rsid w:val="0C282886"/>
    <w:rsid w:val="0C2911DD"/>
    <w:rsid w:val="0C2959CB"/>
    <w:rsid w:val="0C395E09"/>
    <w:rsid w:val="0C41686B"/>
    <w:rsid w:val="0C4B27B4"/>
    <w:rsid w:val="0C4F4CAB"/>
    <w:rsid w:val="0C502837"/>
    <w:rsid w:val="0C515227"/>
    <w:rsid w:val="0C705FEA"/>
    <w:rsid w:val="0C8036B2"/>
    <w:rsid w:val="0C8E3016"/>
    <w:rsid w:val="0C8E42AB"/>
    <w:rsid w:val="0C923CBB"/>
    <w:rsid w:val="0C934EA4"/>
    <w:rsid w:val="0C954E6C"/>
    <w:rsid w:val="0C9B09E6"/>
    <w:rsid w:val="0CA13339"/>
    <w:rsid w:val="0CAF0101"/>
    <w:rsid w:val="0CB02D55"/>
    <w:rsid w:val="0CBF6E1E"/>
    <w:rsid w:val="0CC802F4"/>
    <w:rsid w:val="0CE02843"/>
    <w:rsid w:val="0CEA640D"/>
    <w:rsid w:val="0CEC1358"/>
    <w:rsid w:val="0CF2426D"/>
    <w:rsid w:val="0CF255C4"/>
    <w:rsid w:val="0CFB69DE"/>
    <w:rsid w:val="0CFC4542"/>
    <w:rsid w:val="0D191EC3"/>
    <w:rsid w:val="0D1A7D70"/>
    <w:rsid w:val="0D1E2739"/>
    <w:rsid w:val="0D232572"/>
    <w:rsid w:val="0D361360"/>
    <w:rsid w:val="0D4045DB"/>
    <w:rsid w:val="0D523072"/>
    <w:rsid w:val="0D527499"/>
    <w:rsid w:val="0D575FB3"/>
    <w:rsid w:val="0D5D6EA1"/>
    <w:rsid w:val="0D650996"/>
    <w:rsid w:val="0D685825"/>
    <w:rsid w:val="0D816B79"/>
    <w:rsid w:val="0D9E5730"/>
    <w:rsid w:val="0DAD6BC9"/>
    <w:rsid w:val="0DAE7D1E"/>
    <w:rsid w:val="0DBE3598"/>
    <w:rsid w:val="0DC66919"/>
    <w:rsid w:val="0DCE465C"/>
    <w:rsid w:val="0DE0768C"/>
    <w:rsid w:val="0DF32D7A"/>
    <w:rsid w:val="0DF540CC"/>
    <w:rsid w:val="0E0038AC"/>
    <w:rsid w:val="0E057C8A"/>
    <w:rsid w:val="0E0D1A6E"/>
    <w:rsid w:val="0E114426"/>
    <w:rsid w:val="0E276085"/>
    <w:rsid w:val="0E2F4723"/>
    <w:rsid w:val="0E37726F"/>
    <w:rsid w:val="0E39045D"/>
    <w:rsid w:val="0E4B437B"/>
    <w:rsid w:val="0E52195F"/>
    <w:rsid w:val="0E5608D6"/>
    <w:rsid w:val="0E615783"/>
    <w:rsid w:val="0E853758"/>
    <w:rsid w:val="0E8C6261"/>
    <w:rsid w:val="0E957B75"/>
    <w:rsid w:val="0E9D177C"/>
    <w:rsid w:val="0EA33418"/>
    <w:rsid w:val="0EA7186A"/>
    <w:rsid w:val="0EAA4628"/>
    <w:rsid w:val="0EB25ADB"/>
    <w:rsid w:val="0EDB1F1D"/>
    <w:rsid w:val="0EE26341"/>
    <w:rsid w:val="0EED0C69"/>
    <w:rsid w:val="0EED22FD"/>
    <w:rsid w:val="0EEF1694"/>
    <w:rsid w:val="0EF94C14"/>
    <w:rsid w:val="0EFD0021"/>
    <w:rsid w:val="0F0063BF"/>
    <w:rsid w:val="0F031835"/>
    <w:rsid w:val="0F0551D3"/>
    <w:rsid w:val="0F0A1DF9"/>
    <w:rsid w:val="0F2C48AA"/>
    <w:rsid w:val="0F3649EA"/>
    <w:rsid w:val="0F3E112D"/>
    <w:rsid w:val="0F450A05"/>
    <w:rsid w:val="0F480FAB"/>
    <w:rsid w:val="0F4A52DE"/>
    <w:rsid w:val="0F4F0551"/>
    <w:rsid w:val="0F557BF8"/>
    <w:rsid w:val="0F5F5CA8"/>
    <w:rsid w:val="0F6E0E90"/>
    <w:rsid w:val="0F7560C5"/>
    <w:rsid w:val="0F772BE0"/>
    <w:rsid w:val="0F934BD4"/>
    <w:rsid w:val="0F9A4637"/>
    <w:rsid w:val="0F9B265D"/>
    <w:rsid w:val="0F9F06F7"/>
    <w:rsid w:val="0FAC4C5F"/>
    <w:rsid w:val="0FB61135"/>
    <w:rsid w:val="0FE82ED6"/>
    <w:rsid w:val="0FEF7F7A"/>
    <w:rsid w:val="10054287"/>
    <w:rsid w:val="10172273"/>
    <w:rsid w:val="101B2ECD"/>
    <w:rsid w:val="10216577"/>
    <w:rsid w:val="103248F4"/>
    <w:rsid w:val="10432CDE"/>
    <w:rsid w:val="10524583"/>
    <w:rsid w:val="10534337"/>
    <w:rsid w:val="105C08FA"/>
    <w:rsid w:val="106B4B1A"/>
    <w:rsid w:val="106E7218"/>
    <w:rsid w:val="10710C93"/>
    <w:rsid w:val="107478D6"/>
    <w:rsid w:val="10815DF3"/>
    <w:rsid w:val="109040B1"/>
    <w:rsid w:val="10A24125"/>
    <w:rsid w:val="10AF225B"/>
    <w:rsid w:val="10B05AA5"/>
    <w:rsid w:val="10B54EF7"/>
    <w:rsid w:val="10C761F4"/>
    <w:rsid w:val="10DC0157"/>
    <w:rsid w:val="10E37236"/>
    <w:rsid w:val="10E44419"/>
    <w:rsid w:val="10E87F18"/>
    <w:rsid w:val="10EA3456"/>
    <w:rsid w:val="10EC6962"/>
    <w:rsid w:val="10ED6F62"/>
    <w:rsid w:val="10F667CF"/>
    <w:rsid w:val="10FA5F74"/>
    <w:rsid w:val="10FC4DAE"/>
    <w:rsid w:val="11003CCF"/>
    <w:rsid w:val="11015E44"/>
    <w:rsid w:val="1109142E"/>
    <w:rsid w:val="11123786"/>
    <w:rsid w:val="112A0463"/>
    <w:rsid w:val="11331863"/>
    <w:rsid w:val="11401B02"/>
    <w:rsid w:val="11477EB7"/>
    <w:rsid w:val="114837BC"/>
    <w:rsid w:val="114C7BEA"/>
    <w:rsid w:val="114E2013"/>
    <w:rsid w:val="115A7B6E"/>
    <w:rsid w:val="116E58C0"/>
    <w:rsid w:val="11887A11"/>
    <w:rsid w:val="118A4F0F"/>
    <w:rsid w:val="118D441F"/>
    <w:rsid w:val="11AB22F6"/>
    <w:rsid w:val="11C35D89"/>
    <w:rsid w:val="11D92ECB"/>
    <w:rsid w:val="11DF5162"/>
    <w:rsid w:val="11ED7290"/>
    <w:rsid w:val="11F2191E"/>
    <w:rsid w:val="11F30640"/>
    <w:rsid w:val="11F32274"/>
    <w:rsid w:val="1202296B"/>
    <w:rsid w:val="121734D3"/>
    <w:rsid w:val="122408C3"/>
    <w:rsid w:val="12381B3A"/>
    <w:rsid w:val="12577258"/>
    <w:rsid w:val="12596ADD"/>
    <w:rsid w:val="125C2907"/>
    <w:rsid w:val="125D2641"/>
    <w:rsid w:val="1299771C"/>
    <w:rsid w:val="12B23E99"/>
    <w:rsid w:val="12C3209B"/>
    <w:rsid w:val="12C62AB4"/>
    <w:rsid w:val="12DA0004"/>
    <w:rsid w:val="12E212FA"/>
    <w:rsid w:val="12EC73C8"/>
    <w:rsid w:val="12ED07E3"/>
    <w:rsid w:val="12F241BA"/>
    <w:rsid w:val="12F450AC"/>
    <w:rsid w:val="12F92A50"/>
    <w:rsid w:val="13020A9F"/>
    <w:rsid w:val="130262C4"/>
    <w:rsid w:val="13030B2B"/>
    <w:rsid w:val="13046C1F"/>
    <w:rsid w:val="1309552F"/>
    <w:rsid w:val="130A5353"/>
    <w:rsid w:val="131524C5"/>
    <w:rsid w:val="1323743D"/>
    <w:rsid w:val="132B4B3A"/>
    <w:rsid w:val="13444F5F"/>
    <w:rsid w:val="134C29E0"/>
    <w:rsid w:val="134F0723"/>
    <w:rsid w:val="135875D7"/>
    <w:rsid w:val="13616775"/>
    <w:rsid w:val="137267FA"/>
    <w:rsid w:val="13742901"/>
    <w:rsid w:val="137C21F2"/>
    <w:rsid w:val="13852496"/>
    <w:rsid w:val="13953E91"/>
    <w:rsid w:val="139B5E1E"/>
    <w:rsid w:val="13AB0854"/>
    <w:rsid w:val="13B70E32"/>
    <w:rsid w:val="13BB4711"/>
    <w:rsid w:val="13CC609E"/>
    <w:rsid w:val="13F44AB9"/>
    <w:rsid w:val="1409537B"/>
    <w:rsid w:val="142A4A78"/>
    <w:rsid w:val="142D3634"/>
    <w:rsid w:val="142E0B67"/>
    <w:rsid w:val="1436023B"/>
    <w:rsid w:val="14863396"/>
    <w:rsid w:val="148E576F"/>
    <w:rsid w:val="149541F0"/>
    <w:rsid w:val="149A1EF2"/>
    <w:rsid w:val="14AE1D2C"/>
    <w:rsid w:val="14B82EDA"/>
    <w:rsid w:val="14B876D1"/>
    <w:rsid w:val="14B93E66"/>
    <w:rsid w:val="14B972DD"/>
    <w:rsid w:val="14D90940"/>
    <w:rsid w:val="14F742F1"/>
    <w:rsid w:val="14F7473F"/>
    <w:rsid w:val="14FE0765"/>
    <w:rsid w:val="14FE41AE"/>
    <w:rsid w:val="15070502"/>
    <w:rsid w:val="152B2D95"/>
    <w:rsid w:val="15403421"/>
    <w:rsid w:val="15476049"/>
    <w:rsid w:val="1563293D"/>
    <w:rsid w:val="15646910"/>
    <w:rsid w:val="1571429F"/>
    <w:rsid w:val="1572793C"/>
    <w:rsid w:val="158C1918"/>
    <w:rsid w:val="15925EE4"/>
    <w:rsid w:val="15995C85"/>
    <w:rsid w:val="159A128A"/>
    <w:rsid w:val="159D34B7"/>
    <w:rsid w:val="159D61C0"/>
    <w:rsid w:val="159E4B80"/>
    <w:rsid w:val="15A637CB"/>
    <w:rsid w:val="15AC6DA3"/>
    <w:rsid w:val="15C24DE5"/>
    <w:rsid w:val="15DD52DC"/>
    <w:rsid w:val="15E05B5A"/>
    <w:rsid w:val="161E602E"/>
    <w:rsid w:val="16414172"/>
    <w:rsid w:val="1642510D"/>
    <w:rsid w:val="16460595"/>
    <w:rsid w:val="164E66E2"/>
    <w:rsid w:val="16587785"/>
    <w:rsid w:val="165B320F"/>
    <w:rsid w:val="166747F5"/>
    <w:rsid w:val="166F7788"/>
    <w:rsid w:val="167A6401"/>
    <w:rsid w:val="16857CF4"/>
    <w:rsid w:val="16A8314F"/>
    <w:rsid w:val="16B16755"/>
    <w:rsid w:val="16B22AC0"/>
    <w:rsid w:val="16B34401"/>
    <w:rsid w:val="16CD3E38"/>
    <w:rsid w:val="16D762CF"/>
    <w:rsid w:val="16DA3FF8"/>
    <w:rsid w:val="16DB37EE"/>
    <w:rsid w:val="16E93593"/>
    <w:rsid w:val="16F31AAA"/>
    <w:rsid w:val="16FC458E"/>
    <w:rsid w:val="16FD7881"/>
    <w:rsid w:val="16FE364C"/>
    <w:rsid w:val="170058B7"/>
    <w:rsid w:val="17134731"/>
    <w:rsid w:val="171F4C62"/>
    <w:rsid w:val="174D7E49"/>
    <w:rsid w:val="175665D9"/>
    <w:rsid w:val="176E7E87"/>
    <w:rsid w:val="17836BED"/>
    <w:rsid w:val="17930310"/>
    <w:rsid w:val="179A522B"/>
    <w:rsid w:val="17A77336"/>
    <w:rsid w:val="17B457C7"/>
    <w:rsid w:val="17C626AA"/>
    <w:rsid w:val="17CF6845"/>
    <w:rsid w:val="17D905BB"/>
    <w:rsid w:val="17E304C2"/>
    <w:rsid w:val="18195A8B"/>
    <w:rsid w:val="181A30AD"/>
    <w:rsid w:val="18221F62"/>
    <w:rsid w:val="183B43AC"/>
    <w:rsid w:val="185019D6"/>
    <w:rsid w:val="18504D21"/>
    <w:rsid w:val="186A2C77"/>
    <w:rsid w:val="18752226"/>
    <w:rsid w:val="187C428F"/>
    <w:rsid w:val="18847056"/>
    <w:rsid w:val="189345FB"/>
    <w:rsid w:val="1898628C"/>
    <w:rsid w:val="189C65BA"/>
    <w:rsid w:val="18AF208B"/>
    <w:rsid w:val="18C07B0D"/>
    <w:rsid w:val="18CD1E7D"/>
    <w:rsid w:val="18DA3BE1"/>
    <w:rsid w:val="18DD6B73"/>
    <w:rsid w:val="18DE674D"/>
    <w:rsid w:val="18E2370A"/>
    <w:rsid w:val="18EE606A"/>
    <w:rsid w:val="18F67D4C"/>
    <w:rsid w:val="190510A1"/>
    <w:rsid w:val="190653E0"/>
    <w:rsid w:val="19197205"/>
    <w:rsid w:val="191D515C"/>
    <w:rsid w:val="1929181D"/>
    <w:rsid w:val="192E4D69"/>
    <w:rsid w:val="193C7C41"/>
    <w:rsid w:val="19543F09"/>
    <w:rsid w:val="19561EB2"/>
    <w:rsid w:val="195F7E78"/>
    <w:rsid w:val="19625900"/>
    <w:rsid w:val="19626F4A"/>
    <w:rsid w:val="196A32DC"/>
    <w:rsid w:val="196E33DC"/>
    <w:rsid w:val="197A3A86"/>
    <w:rsid w:val="19807D09"/>
    <w:rsid w:val="19923117"/>
    <w:rsid w:val="19A31D9A"/>
    <w:rsid w:val="19A64024"/>
    <w:rsid w:val="19B06FFD"/>
    <w:rsid w:val="19B748B4"/>
    <w:rsid w:val="19BD4DB3"/>
    <w:rsid w:val="19BF2633"/>
    <w:rsid w:val="19D24C26"/>
    <w:rsid w:val="19E36D5D"/>
    <w:rsid w:val="19EE47F1"/>
    <w:rsid w:val="19EF669E"/>
    <w:rsid w:val="19FB5F55"/>
    <w:rsid w:val="19FD67E3"/>
    <w:rsid w:val="19FF0FDF"/>
    <w:rsid w:val="1A017A2D"/>
    <w:rsid w:val="1A116F12"/>
    <w:rsid w:val="1A1A75D1"/>
    <w:rsid w:val="1A1B135F"/>
    <w:rsid w:val="1A2443B4"/>
    <w:rsid w:val="1A342417"/>
    <w:rsid w:val="1A3F7FA4"/>
    <w:rsid w:val="1A403BAF"/>
    <w:rsid w:val="1A481282"/>
    <w:rsid w:val="1A485B68"/>
    <w:rsid w:val="1A524D9B"/>
    <w:rsid w:val="1A5A1F07"/>
    <w:rsid w:val="1A6D4D8F"/>
    <w:rsid w:val="1A791911"/>
    <w:rsid w:val="1A871532"/>
    <w:rsid w:val="1A9822F1"/>
    <w:rsid w:val="1A9D4D54"/>
    <w:rsid w:val="1A9F3D20"/>
    <w:rsid w:val="1AA612E2"/>
    <w:rsid w:val="1ABB28BF"/>
    <w:rsid w:val="1ADB06C7"/>
    <w:rsid w:val="1AEA51C4"/>
    <w:rsid w:val="1AFC08B7"/>
    <w:rsid w:val="1AFF12A4"/>
    <w:rsid w:val="1B0E405B"/>
    <w:rsid w:val="1B1442BD"/>
    <w:rsid w:val="1B1A1B11"/>
    <w:rsid w:val="1B1C2884"/>
    <w:rsid w:val="1B44362A"/>
    <w:rsid w:val="1B5A3929"/>
    <w:rsid w:val="1B702D4C"/>
    <w:rsid w:val="1B70730A"/>
    <w:rsid w:val="1BAD69F3"/>
    <w:rsid w:val="1BAE39C1"/>
    <w:rsid w:val="1BB76FAE"/>
    <w:rsid w:val="1BBB39CE"/>
    <w:rsid w:val="1BBF5FB4"/>
    <w:rsid w:val="1BC85727"/>
    <w:rsid w:val="1BCE535F"/>
    <w:rsid w:val="1BD35D71"/>
    <w:rsid w:val="1BD63B81"/>
    <w:rsid w:val="1BDF09CC"/>
    <w:rsid w:val="1BF72C59"/>
    <w:rsid w:val="1C30724A"/>
    <w:rsid w:val="1C3B35F5"/>
    <w:rsid w:val="1C427BA2"/>
    <w:rsid w:val="1C776221"/>
    <w:rsid w:val="1C782BD3"/>
    <w:rsid w:val="1C7A3A71"/>
    <w:rsid w:val="1C837E6C"/>
    <w:rsid w:val="1CB457DF"/>
    <w:rsid w:val="1CC0271E"/>
    <w:rsid w:val="1CD44DE9"/>
    <w:rsid w:val="1CD53F3C"/>
    <w:rsid w:val="1CE030CE"/>
    <w:rsid w:val="1CE819CC"/>
    <w:rsid w:val="1CEC0D90"/>
    <w:rsid w:val="1CFD26F2"/>
    <w:rsid w:val="1D335296"/>
    <w:rsid w:val="1D38416D"/>
    <w:rsid w:val="1D46097F"/>
    <w:rsid w:val="1D4C1E36"/>
    <w:rsid w:val="1D532F28"/>
    <w:rsid w:val="1D552B18"/>
    <w:rsid w:val="1D806748"/>
    <w:rsid w:val="1D8C5A8B"/>
    <w:rsid w:val="1DAF1AA9"/>
    <w:rsid w:val="1DB12606"/>
    <w:rsid w:val="1DB44B12"/>
    <w:rsid w:val="1DB93A55"/>
    <w:rsid w:val="1DBB710C"/>
    <w:rsid w:val="1DC04451"/>
    <w:rsid w:val="1DF12B02"/>
    <w:rsid w:val="1E0137E4"/>
    <w:rsid w:val="1E070710"/>
    <w:rsid w:val="1E183D56"/>
    <w:rsid w:val="1E1B6D86"/>
    <w:rsid w:val="1E231108"/>
    <w:rsid w:val="1E5248CC"/>
    <w:rsid w:val="1E6D174A"/>
    <w:rsid w:val="1E8F54F6"/>
    <w:rsid w:val="1E8F7C25"/>
    <w:rsid w:val="1E9406E9"/>
    <w:rsid w:val="1EAD6683"/>
    <w:rsid w:val="1EB86012"/>
    <w:rsid w:val="1EC76150"/>
    <w:rsid w:val="1ECF44C6"/>
    <w:rsid w:val="1ED418AB"/>
    <w:rsid w:val="1EF47B01"/>
    <w:rsid w:val="1F170346"/>
    <w:rsid w:val="1F2626D1"/>
    <w:rsid w:val="1F3739CF"/>
    <w:rsid w:val="1F3D6270"/>
    <w:rsid w:val="1F3E5B46"/>
    <w:rsid w:val="1F42460C"/>
    <w:rsid w:val="1F57445A"/>
    <w:rsid w:val="1F5C54B6"/>
    <w:rsid w:val="1F61342B"/>
    <w:rsid w:val="1F7C3566"/>
    <w:rsid w:val="1F885EA4"/>
    <w:rsid w:val="1F8E05D9"/>
    <w:rsid w:val="1F9A0F77"/>
    <w:rsid w:val="1FA072EB"/>
    <w:rsid w:val="1FB34C0A"/>
    <w:rsid w:val="1FBF6D38"/>
    <w:rsid w:val="1FC52DBA"/>
    <w:rsid w:val="1FC56CDF"/>
    <w:rsid w:val="1FCD2AAA"/>
    <w:rsid w:val="1FD36554"/>
    <w:rsid w:val="1FE81CE3"/>
    <w:rsid w:val="1FF22B62"/>
    <w:rsid w:val="1FF80C1E"/>
    <w:rsid w:val="1FFC6429"/>
    <w:rsid w:val="200C759B"/>
    <w:rsid w:val="200E1EBB"/>
    <w:rsid w:val="200E4C76"/>
    <w:rsid w:val="20174450"/>
    <w:rsid w:val="20196830"/>
    <w:rsid w:val="202B70A7"/>
    <w:rsid w:val="205D69DE"/>
    <w:rsid w:val="207B415A"/>
    <w:rsid w:val="2085443B"/>
    <w:rsid w:val="208706BB"/>
    <w:rsid w:val="208E444E"/>
    <w:rsid w:val="208F6CC9"/>
    <w:rsid w:val="209253B3"/>
    <w:rsid w:val="209763F1"/>
    <w:rsid w:val="20AD2B9C"/>
    <w:rsid w:val="20C20786"/>
    <w:rsid w:val="20D263E6"/>
    <w:rsid w:val="20D45E90"/>
    <w:rsid w:val="20DF3022"/>
    <w:rsid w:val="20E61DB7"/>
    <w:rsid w:val="20EC0D15"/>
    <w:rsid w:val="20F62F3A"/>
    <w:rsid w:val="20F71053"/>
    <w:rsid w:val="20F71C18"/>
    <w:rsid w:val="21064F07"/>
    <w:rsid w:val="210E3ED0"/>
    <w:rsid w:val="21202395"/>
    <w:rsid w:val="2126281C"/>
    <w:rsid w:val="2130749E"/>
    <w:rsid w:val="213672FD"/>
    <w:rsid w:val="21370155"/>
    <w:rsid w:val="213C108E"/>
    <w:rsid w:val="213D5DFF"/>
    <w:rsid w:val="213E5EE0"/>
    <w:rsid w:val="2149055F"/>
    <w:rsid w:val="214B184A"/>
    <w:rsid w:val="216C75E1"/>
    <w:rsid w:val="21787096"/>
    <w:rsid w:val="218B49CF"/>
    <w:rsid w:val="219243E4"/>
    <w:rsid w:val="21C4324D"/>
    <w:rsid w:val="21CC0070"/>
    <w:rsid w:val="21DE0574"/>
    <w:rsid w:val="21DE532D"/>
    <w:rsid w:val="21DF12CC"/>
    <w:rsid w:val="21E44613"/>
    <w:rsid w:val="21EA7A2A"/>
    <w:rsid w:val="21EB5A8B"/>
    <w:rsid w:val="21FF6CDF"/>
    <w:rsid w:val="22111D35"/>
    <w:rsid w:val="2214735E"/>
    <w:rsid w:val="221F4905"/>
    <w:rsid w:val="22280ABD"/>
    <w:rsid w:val="22427C13"/>
    <w:rsid w:val="22455D51"/>
    <w:rsid w:val="225D3185"/>
    <w:rsid w:val="226132BE"/>
    <w:rsid w:val="226B43F4"/>
    <w:rsid w:val="22755638"/>
    <w:rsid w:val="22895D9B"/>
    <w:rsid w:val="22914CB6"/>
    <w:rsid w:val="229A7974"/>
    <w:rsid w:val="22AB09E3"/>
    <w:rsid w:val="22B76CA7"/>
    <w:rsid w:val="22D42137"/>
    <w:rsid w:val="22DD153C"/>
    <w:rsid w:val="22DF6070"/>
    <w:rsid w:val="22DF6FEF"/>
    <w:rsid w:val="22E93CC7"/>
    <w:rsid w:val="22E94EB2"/>
    <w:rsid w:val="22EC4AD8"/>
    <w:rsid w:val="22F56B4C"/>
    <w:rsid w:val="22FE3C10"/>
    <w:rsid w:val="230962D3"/>
    <w:rsid w:val="230B087E"/>
    <w:rsid w:val="231C16D1"/>
    <w:rsid w:val="231D3D05"/>
    <w:rsid w:val="23217D52"/>
    <w:rsid w:val="237017EF"/>
    <w:rsid w:val="237062E0"/>
    <w:rsid w:val="2373475E"/>
    <w:rsid w:val="23761769"/>
    <w:rsid w:val="238464DA"/>
    <w:rsid w:val="238547B4"/>
    <w:rsid w:val="23877A3B"/>
    <w:rsid w:val="23A24309"/>
    <w:rsid w:val="23AF459A"/>
    <w:rsid w:val="23C31665"/>
    <w:rsid w:val="23CA5BA6"/>
    <w:rsid w:val="23D16249"/>
    <w:rsid w:val="23F80193"/>
    <w:rsid w:val="23FA71BC"/>
    <w:rsid w:val="241D7AF0"/>
    <w:rsid w:val="2423778D"/>
    <w:rsid w:val="24446686"/>
    <w:rsid w:val="244E2977"/>
    <w:rsid w:val="2453676C"/>
    <w:rsid w:val="245D610E"/>
    <w:rsid w:val="246E665B"/>
    <w:rsid w:val="2471637A"/>
    <w:rsid w:val="247B5F08"/>
    <w:rsid w:val="24816262"/>
    <w:rsid w:val="2486145B"/>
    <w:rsid w:val="24891566"/>
    <w:rsid w:val="24894EA0"/>
    <w:rsid w:val="248F4DDE"/>
    <w:rsid w:val="249B5E35"/>
    <w:rsid w:val="24A076B1"/>
    <w:rsid w:val="24A60395"/>
    <w:rsid w:val="24C20D54"/>
    <w:rsid w:val="24CB7C75"/>
    <w:rsid w:val="24DE7331"/>
    <w:rsid w:val="24E91D87"/>
    <w:rsid w:val="24E94023"/>
    <w:rsid w:val="24FE0CDF"/>
    <w:rsid w:val="24FE6A30"/>
    <w:rsid w:val="250F5D47"/>
    <w:rsid w:val="25137BAE"/>
    <w:rsid w:val="251938B0"/>
    <w:rsid w:val="25341526"/>
    <w:rsid w:val="25345F2F"/>
    <w:rsid w:val="253C586F"/>
    <w:rsid w:val="2542426C"/>
    <w:rsid w:val="25441A81"/>
    <w:rsid w:val="254D333E"/>
    <w:rsid w:val="25601FDC"/>
    <w:rsid w:val="25646491"/>
    <w:rsid w:val="256A5FE2"/>
    <w:rsid w:val="2584425C"/>
    <w:rsid w:val="258C6EF5"/>
    <w:rsid w:val="259778F7"/>
    <w:rsid w:val="259D0CF4"/>
    <w:rsid w:val="25A667D6"/>
    <w:rsid w:val="25A742B3"/>
    <w:rsid w:val="25BC57A4"/>
    <w:rsid w:val="25D80D37"/>
    <w:rsid w:val="25DA0A71"/>
    <w:rsid w:val="25ED75AA"/>
    <w:rsid w:val="25F47829"/>
    <w:rsid w:val="25F608E6"/>
    <w:rsid w:val="25FD1F39"/>
    <w:rsid w:val="2612595C"/>
    <w:rsid w:val="26171769"/>
    <w:rsid w:val="264077C3"/>
    <w:rsid w:val="264B480C"/>
    <w:rsid w:val="26632C23"/>
    <w:rsid w:val="266A0D69"/>
    <w:rsid w:val="266B1B0B"/>
    <w:rsid w:val="26714548"/>
    <w:rsid w:val="267B10C6"/>
    <w:rsid w:val="267D42F6"/>
    <w:rsid w:val="26892B7B"/>
    <w:rsid w:val="26A369A8"/>
    <w:rsid w:val="26B648E9"/>
    <w:rsid w:val="26B87718"/>
    <w:rsid w:val="26C30FEA"/>
    <w:rsid w:val="26C65B3C"/>
    <w:rsid w:val="26CE786B"/>
    <w:rsid w:val="26E33F24"/>
    <w:rsid w:val="26EF7DFB"/>
    <w:rsid w:val="26F27976"/>
    <w:rsid w:val="26F30769"/>
    <w:rsid w:val="2702551C"/>
    <w:rsid w:val="27115DE2"/>
    <w:rsid w:val="27125F14"/>
    <w:rsid w:val="27221698"/>
    <w:rsid w:val="272A7E84"/>
    <w:rsid w:val="273C42E8"/>
    <w:rsid w:val="273C5CC3"/>
    <w:rsid w:val="27474FC6"/>
    <w:rsid w:val="274E0A80"/>
    <w:rsid w:val="27614596"/>
    <w:rsid w:val="276B1428"/>
    <w:rsid w:val="27897907"/>
    <w:rsid w:val="279F09C8"/>
    <w:rsid w:val="27A72484"/>
    <w:rsid w:val="27B85093"/>
    <w:rsid w:val="27C830C9"/>
    <w:rsid w:val="27CD39E8"/>
    <w:rsid w:val="27CE7DA4"/>
    <w:rsid w:val="27DF1BEA"/>
    <w:rsid w:val="27EC70D6"/>
    <w:rsid w:val="27F26F54"/>
    <w:rsid w:val="27FD4E90"/>
    <w:rsid w:val="280F1E94"/>
    <w:rsid w:val="281807FF"/>
    <w:rsid w:val="28186EDD"/>
    <w:rsid w:val="28190684"/>
    <w:rsid w:val="282C7B73"/>
    <w:rsid w:val="283143C2"/>
    <w:rsid w:val="283C272B"/>
    <w:rsid w:val="28482D76"/>
    <w:rsid w:val="28486088"/>
    <w:rsid w:val="284C3184"/>
    <w:rsid w:val="28543405"/>
    <w:rsid w:val="2896448B"/>
    <w:rsid w:val="289A00A4"/>
    <w:rsid w:val="289C1112"/>
    <w:rsid w:val="28AF00EF"/>
    <w:rsid w:val="28BB69F6"/>
    <w:rsid w:val="28C74290"/>
    <w:rsid w:val="28C76526"/>
    <w:rsid w:val="28D258AA"/>
    <w:rsid w:val="28D62A6E"/>
    <w:rsid w:val="28F02624"/>
    <w:rsid w:val="28F54804"/>
    <w:rsid w:val="291862BB"/>
    <w:rsid w:val="2923388E"/>
    <w:rsid w:val="292978E8"/>
    <w:rsid w:val="292F320A"/>
    <w:rsid w:val="293E54EF"/>
    <w:rsid w:val="29423FB4"/>
    <w:rsid w:val="29456573"/>
    <w:rsid w:val="295948CA"/>
    <w:rsid w:val="296B3AE9"/>
    <w:rsid w:val="2977546C"/>
    <w:rsid w:val="297B09F3"/>
    <w:rsid w:val="297F11CF"/>
    <w:rsid w:val="299D1A7A"/>
    <w:rsid w:val="29AC1FD6"/>
    <w:rsid w:val="29B71C16"/>
    <w:rsid w:val="29BC4910"/>
    <w:rsid w:val="29CC61D1"/>
    <w:rsid w:val="29EC6F6F"/>
    <w:rsid w:val="2A23268B"/>
    <w:rsid w:val="2A300CCD"/>
    <w:rsid w:val="2A433971"/>
    <w:rsid w:val="2A454FBC"/>
    <w:rsid w:val="2A6028FA"/>
    <w:rsid w:val="2A827A1E"/>
    <w:rsid w:val="2A843F27"/>
    <w:rsid w:val="2A9B61C3"/>
    <w:rsid w:val="2AA36B5F"/>
    <w:rsid w:val="2AA877A4"/>
    <w:rsid w:val="2AA87F80"/>
    <w:rsid w:val="2AC4436A"/>
    <w:rsid w:val="2AD91065"/>
    <w:rsid w:val="2AE52C28"/>
    <w:rsid w:val="2AE54D5B"/>
    <w:rsid w:val="2AE85D04"/>
    <w:rsid w:val="2AF60FBE"/>
    <w:rsid w:val="2B194836"/>
    <w:rsid w:val="2B34797A"/>
    <w:rsid w:val="2B441D16"/>
    <w:rsid w:val="2B4C20EA"/>
    <w:rsid w:val="2B4E269B"/>
    <w:rsid w:val="2B533AB4"/>
    <w:rsid w:val="2B535A2C"/>
    <w:rsid w:val="2B547ED2"/>
    <w:rsid w:val="2B5B64CB"/>
    <w:rsid w:val="2B6C17DA"/>
    <w:rsid w:val="2B6C7973"/>
    <w:rsid w:val="2B872DC9"/>
    <w:rsid w:val="2B9125D6"/>
    <w:rsid w:val="2B9241B8"/>
    <w:rsid w:val="2B99209C"/>
    <w:rsid w:val="2B992B65"/>
    <w:rsid w:val="2BA50A37"/>
    <w:rsid w:val="2BBE424D"/>
    <w:rsid w:val="2C0061E0"/>
    <w:rsid w:val="2C043854"/>
    <w:rsid w:val="2C082DDE"/>
    <w:rsid w:val="2C2005B3"/>
    <w:rsid w:val="2C310BB9"/>
    <w:rsid w:val="2C395A82"/>
    <w:rsid w:val="2C3F400F"/>
    <w:rsid w:val="2C4B69AC"/>
    <w:rsid w:val="2C5801F0"/>
    <w:rsid w:val="2C630AE6"/>
    <w:rsid w:val="2C743646"/>
    <w:rsid w:val="2C792640"/>
    <w:rsid w:val="2C796C69"/>
    <w:rsid w:val="2C8B735E"/>
    <w:rsid w:val="2CAD14CA"/>
    <w:rsid w:val="2CAE05D8"/>
    <w:rsid w:val="2CC448C8"/>
    <w:rsid w:val="2CD6130F"/>
    <w:rsid w:val="2CD747EB"/>
    <w:rsid w:val="2CD97ED7"/>
    <w:rsid w:val="2CE57349"/>
    <w:rsid w:val="2CEA697F"/>
    <w:rsid w:val="2CF07D41"/>
    <w:rsid w:val="2D15439D"/>
    <w:rsid w:val="2D181123"/>
    <w:rsid w:val="2D2F584F"/>
    <w:rsid w:val="2D3702C9"/>
    <w:rsid w:val="2D422A50"/>
    <w:rsid w:val="2D461652"/>
    <w:rsid w:val="2D4D6953"/>
    <w:rsid w:val="2D5859D1"/>
    <w:rsid w:val="2D5C752D"/>
    <w:rsid w:val="2D5D3C06"/>
    <w:rsid w:val="2D5E1836"/>
    <w:rsid w:val="2D7D6ABF"/>
    <w:rsid w:val="2D8D54E4"/>
    <w:rsid w:val="2D975195"/>
    <w:rsid w:val="2D984A51"/>
    <w:rsid w:val="2DAA65E2"/>
    <w:rsid w:val="2DCC1103"/>
    <w:rsid w:val="2DD826E7"/>
    <w:rsid w:val="2DD945CE"/>
    <w:rsid w:val="2DE11E24"/>
    <w:rsid w:val="2DED6716"/>
    <w:rsid w:val="2E032286"/>
    <w:rsid w:val="2E143443"/>
    <w:rsid w:val="2E166456"/>
    <w:rsid w:val="2E2679D0"/>
    <w:rsid w:val="2E435ED6"/>
    <w:rsid w:val="2E58270B"/>
    <w:rsid w:val="2E604AFF"/>
    <w:rsid w:val="2E6345A0"/>
    <w:rsid w:val="2E7379F9"/>
    <w:rsid w:val="2E757B91"/>
    <w:rsid w:val="2EA44CBF"/>
    <w:rsid w:val="2EA63C26"/>
    <w:rsid w:val="2EDF0A0B"/>
    <w:rsid w:val="2EE46DE1"/>
    <w:rsid w:val="2EEC3498"/>
    <w:rsid w:val="2EEC4701"/>
    <w:rsid w:val="2EF93C1F"/>
    <w:rsid w:val="2EFC4430"/>
    <w:rsid w:val="2F10716F"/>
    <w:rsid w:val="2F373A50"/>
    <w:rsid w:val="2F550242"/>
    <w:rsid w:val="2F564F68"/>
    <w:rsid w:val="2F576F95"/>
    <w:rsid w:val="2F5808EB"/>
    <w:rsid w:val="2F58354D"/>
    <w:rsid w:val="2F5B45B5"/>
    <w:rsid w:val="2F5E7D3A"/>
    <w:rsid w:val="2F8A2281"/>
    <w:rsid w:val="2F9565B6"/>
    <w:rsid w:val="2F974B8C"/>
    <w:rsid w:val="2FA63021"/>
    <w:rsid w:val="2FB86297"/>
    <w:rsid w:val="2FBA2587"/>
    <w:rsid w:val="2FBC45F2"/>
    <w:rsid w:val="2FBF030F"/>
    <w:rsid w:val="2FC21414"/>
    <w:rsid w:val="2FCA505E"/>
    <w:rsid w:val="2FD45DE0"/>
    <w:rsid w:val="2FD55524"/>
    <w:rsid w:val="2FDA6E7D"/>
    <w:rsid w:val="2FF70481"/>
    <w:rsid w:val="2FFE2258"/>
    <w:rsid w:val="3000200D"/>
    <w:rsid w:val="300264A9"/>
    <w:rsid w:val="300D18A0"/>
    <w:rsid w:val="302335D5"/>
    <w:rsid w:val="30284A62"/>
    <w:rsid w:val="3043305C"/>
    <w:rsid w:val="305B104D"/>
    <w:rsid w:val="30605C52"/>
    <w:rsid w:val="306F76A8"/>
    <w:rsid w:val="30704F92"/>
    <w:rsid w:val="307B4F65"/>
    <w:rsid w:val="30834282"/>
    <w:rsid w:val="309237F9"/>
    <w:rsid w:val="30951BFC"/>
    <w:rsid w:val="309700AA"/>
    <w:rsid w:val="30980BBB"/>
    <w:rsid w:val="30987964"/>
    <w:rsid w:val="30996C00"/>
    <w:rsid w:val="309D2809"/>
    <w:rsid w:val="30A53824"/>
    <w:rsid w:val="30C03947"/>
    <w:rsid w:val="30C135E3"/>
    <w:rsid w:val="30C30574"/>
    <w:rsid w:val="30C318F4"/>
    <w:rsid w:val="30CC79B3"/>
    <w:rsid w:val="30CD0AD4"/>
    <w:rsid w:val="30DD5421"/>
    <w:rsid w:val="30E616D6"/>
    <w:rsid w:val="30F273DD"/>
    <w:rsid w:val="31133A2C"/>
    <w:rsid w:val="31236F94"/>
    <w:rsid w:val="312D64AC"/>
    <w:rsid w:val="314245BC"/>
    <w:rsid w:val="314F785D"/>
    <w:rsid w:val="31544E5A"/>
    <w:rsid w:val="315547DC"/>
    <w:rsid w:val="315701F2"/>
    <w:rsid w:val="31623F26"/>
    <w:rsid w:val="318A771D"/>
    <w:rsid w:val="319A1B03"/>
    <w:rsid w:val="31A83831"/>
    <w:rsid w:val="31AA34EA"/>
    <w:rsid w:val="31CE735D"/>
    <w:rsid w:val="31D80646"/>
    <w:rsid w:val="31DC5D51"/>
    <w:rsid w:val="31E506E7"/>
    <w:rsid w:val="31EE2DCC"/>
    <w:rsid w:val="31F20088"/>
    <w:rsid w:val="32057D1D"/>
    <w:rsid w:val="32071AED"/>
    <w:rsid w:val="321710A0"/>
    <w:rsid w:val="32311340"/>
    <w:rsid w:val="323315F4"/>
    <w:rsid w:val="324C4498"/>
    <w:rsid w:val="324E0FF3"/>
    <w:rsid w:val="324F2C51"/>
    <w:rsid w:val="3252429D"/>
    <w:rsid w:val="325763C8"/>
    <w:rsid w:val="326300EA"/>
    <w:rsid w:val="32747406"/>
    <w:rsid w:val="32774086"/>
    <w:rsid w:val="328113E4"/>
    <w:rsid w:val="328603F8"/>
    <w:rsid w:val="328858A0"/>
    <w:rsid w:val="32981347"/>
    <w:rsid w:val="329B5EF7"/>
    <w:rsid w:val="32A221C5"/>
    <w:rsid w:val="32A46A5D"/>
    <w:rsid w:val="32AE009D"/>
    <w:rsid w:val="32B9196A"/>
    <w:rsid w:val="32BC76A7"/>
    <w:rsid w:val="32D73DCF"/>
    <w:rsid w:val="32E73A37"/>
    <w:rsid w:val="32F240BC"/>
    <w:rsid w:val="32FA2A04"/>
    <w:rsid w:val="33136C4A"/>
    <w:rsid w:val="33263C88"/>
    <w:rsid w:val="33296443"/>
    <w:rsid w:val="333809DE"/>
    <w:rsid w:val="33557715"/>
    <w:rsid w:val="335E7CBA"/>
    <w:rsid w:val="33606F9E"/>
    <w:rsid w:val="33753436"/>
    <w:rsid w:val="33834685"/>
    <w:rsid w:val="338711F2"/>
    <w:rsid w:val="338B1B97"/>
    <w:rsid w:val="338B532F"/>
    <w:rsid w:val="3397101D"/>
    <w:rsid w:val="33B12738"/>
    <w:rsid w:val="33B12FC3"/>
    <w:rsid w:val="33BA1474"/>
    <w:rsid w:val="33C86F9F"/>
    <w:rsid w:val="33CB656F"/>
    <w:rsid w:val="33D37E15"/>
    <w:rsid w:val="33EC1DEE"/>
    <w:rsid w:val="33F754AE"/>
    <w:rsid w:val="33F87F82"/>
    <w:rsid w:val="33FA0475"/>
    <w:rsid w:val="33FB4C0D"/>
    <w:rsid w:val="34036C9E"/>
    <w:rsid w:val="34127A92"/>
    <w:rsid w:val="341712D0"/>
    <w:rsid w:val="341D2E63"/>
    <w:rsid w:val="34234D80"/>
    <w:rsid w:val="342F4EFB"/>
    <w:rsid w:val="348538D8"/>
    <w:rsid w:val="348C4450"/>
    <w:rsid w:val="3491429F"/>
    <w:rsid w:val="349B328E"/>
    <w:rsid w:val="34B122F8"/>
    <w:rsid w:val="34B13FF9"/>
    <w:rsid w:val="34B14942"/>
    <w:rsid w:val="34B97534"/>
    <w:rsid w:val="34BA5263"/>
    <w:rsid w:val="34C75A69"/>
    <w:rsid w:val="34C90AC0"/>
    <w:rsid w:val="34D266FE"/>
    <w:rsid w:val="34E73359"/>
    <w:rsid w:val="34EB4257"/>
    <w:rsid w:val="34EF19EF"/>
    <w:rsid w:val="34F52A80"/>
    <w:rsid w:val="34F60E45"/>
    <w:rsid w:val="34FB1F4D"/>
    <w:rsid w:val="34FC3C69"/>
    <w:rsid w:val="35010DB4"/>
    <w:rsid w:val="35032503"/>
    <w:rsid w:val="350815EC"/>
    <w:rsid w:val="351C29DE"/>
    <w:rsid w:val="3523064E"/>
    <w:rsid w:val="352D33BE"/>
    <w:rsid w:val="352F318A"/>
    <w:rsid w:val="353049B6"/>
    <w:rsid w:val="353804C5"/>
    <w:rsid w:val="35415CC5"/>
    <w:rsid w:val="35480889"/>
    <w:rsid w:val="35494624"/>
    <w:rsid w:val="355025AF"/>
    <w:rsid w:val="35582CA6"/>
    <w:rsid w:val="356B689E"/>
    <w:rsid w:val="357A6D00"/>
    <w:rsid w:val="3589345D"/>
    <w:rsid w:val="35A617CB"/>
    <w:rsid w:val="35B45A71"/>
    <w:rsid w:val="35CB6696"/>
    <w:rsid w:val="35D00DF7"/>
    <w:rsid w:val="35E0667B"/>
    <w:rsid w:val="35FE27E2"/>
    <w:rsid w:val="3627193C"/>
    <w:rsid w:val="36360DCF"/>
    <w:rsid w:val="36433F95"/>
    <w:rsid w:val="36502E3D"/>
    <w:rsid w:val="36610931"/>
    <w:rsid w:val="36721EAF"/>
    <w:rsid w:val="367E39BA"/>
    <w:rsid w:val="36903323"/>
    <w:rsid w:val="3697159D"/>
    <w:rsid w:val="369B52FF"/>
    <w:rsid w:val="36A617D4"/>
    <w:rsid w:val="36A74600"/>
    <w:rsid w:val="36A924E2"/>
    <w:rsid w:val="36A94409"/>
    <w:rsid w:val="36AC6633"/>
    <w:rsid w:val="36B93898"/>
    <w:rsid w:val="36CF3AA9"/>
    <w:rsid w:val="36D73033"/>
    <w:rsid w:val="36D84C5D"/>
    <w:rsid w:val="36E50687"/>
    <w:rsid w:val="36ED2577"/>
    <w:rsid w:val="370C40B1"/>
    <w:rsid w:val="372C4753"/>
    <w:rsid w:val="376813EB"/>
    <w:rsid w:val="377A5206"/>
    <w:rsid w:val="37816ADB"/>
    <w:rsid w:val="378B6948"/>
    <w:rsid w:val="37A913F9"/>
    <w:rsid w:val="37B16815"/>
    <w:rsid w:val="37B64F7F"/>
    <w:rsid w:val="37BE35FD"/>
    <w:rsid w:val="37BE6397"/>
    <w:rsid w:val="37C02F56"/>
    <w:rsid w:val="37E57E53"/>
    <w:rsid w:val="37F232A7"/>
    <w:rsid w:val="38064362"/>
    <w:rsid w:val="38217ADE"/>
    <w:rsid w:val="383F397D"/>
    <w:rsid w:val="38405CF0"/>
    <w:rsid w:val="384B2C4F"/>
    <w:rsid w:val="384B7517"/>
    <w:rsid w:val="384F487F"/>
    <w:rsid w:val="385612FA"/>
    <w:rsid w:val="385E37AB"/>
    <w:rsid w:val="389C59D6"/>
    <w:rsid w:val="38A87FBB"/>
    <w:rsid w:val="38AB6CE6"/>
    <w:rsid w:val="38C2158E"/>
    <w:rsid w:val="38C31F0F"/>
    <w:rsid w:val="38D40AB5"/>
    <w:rsid w:val="38D71401"/>
    <w:rsid w:val="38DB665C"/>
    <w:rsid w:val="38DD251F"/>
    <w:rsid w:val="38DE13F0"/>
    <w:rsid w:val="38E075A3"/>
    <w:rsid w:val="38E15393"/>
    <w:rsid w:val="38E17486"/>
    <w:rsid w:val="38FA5672"/>
    <w:rsid w:val="39027565"/>
    <w:rsid w:val="391C2899"/>
    <w:rsid w:val="391E2591"/>
    <w:rsid w:val="395A4A24"/>
    <w:rsid w:val="396D6BBB"/>
    <w:rsid w:val="396F0069"/>
    <w:rsid w:val="39904E64"/>
    <w:rsid w:val="399A7363"/>
    <w:rsid w:val="39C8579A"/>
    <w:rsid w:val="39D709A6"/>
    <w:rsid w:val="39DB6D94"/>
    <w:rsid w:val="39DC1478"/>
    <w:rsid w:val="39E22B73"/>
    <w:rsid w:val="39E25379"/>
    <w:rsid w:val="39E3734B"/>
    <w:rsid w:val="39E6170B"/>
    <w:rsid w:val="39F10553"/>
    <w:rsid w:val="39F13E98"/>
    <w:rsid w:val="3A035CD4"/>
    <w:rsid w:val="3A1A3591"/>
    <w:rsid w:val="3A240339"/>
    <w:rsid w:val="3A3316C8"/>
    <w:rsid w:val="3A383736"/>
    <w:rsid w:val="3A3A3DA7"/>
    <w:rsid w:val="3A466183"/>
    <w:rsid w:val="3A4D0C68"/>
    <w:rsid w:val="3A4F198A"/>
    <w:rsid w:val="3A514DE4"/>
    <w:rsid w:val="3A690DF9"/>
    <w:rsid w:val="3A8020EA"/>
    <w:rsid w:val="3A8F48CE"/>
    <w:rsid w:val="3A9813DE"/>
    <w:rsid w:val="3AA57C5F"/>
    <w:rsid w:val="3AAA44BC"/>
    <w:rsid w:val="3AAB73AA"/>
    <w:rsid w:val="3AC9547A"/>
    <w:rsid w:val="3AEA64B7"/>
    <w:rsid w:val="3AED0669"/>
    <w:rsid w:val="3AED3481"/>
    <w:rsid w:val="3AF96796"/>
    <w:rsid w:val="3B0964ED"/>
    <w:rsid w:val="3B1A1C78"/>
    <w:rsid w:val="3B2D67CB"/>
    <w:rsid w:val="3B326D1A"/>
    <w:rsid w:val="3B351BFC"/>
    <w:rsid w:val="3B505310"/>
    <w:rsid w:val="3B5F145C"/>
    <w:rsid w:val="3B784A94"/>
    <w:rsid w:val="3B822912"/>
    <w:rsid w:val="3B873815"/>
    <w:rsid w:val="3B990F98"/>
    <w:rsid w:val="3B9D772A"/>
    <w:rsid w:val="3BA02B4E"/>
    <w:rsid w:val="3BB23508"/>
    <w:rsid w:val="3BB3790D"/>
    <w:rsid w:val="3BBF6E72"/>
    <w:rsid w:val="3BC15D12"/>
    <w:rsid w:val="3BF10322"/>
    <w:rsid w:val="3C0337AE"/>
    <w:rsid w:val="3C0D43F7"/>
    <w:rsid w:val="3C234B4F"/>
    <w:rsid w:val="3C4A052D"/>
    <w:rsid w:val="3C4F1204"/>
    <w:rsid w:val="3C5712BA"/>
    <w:rsid w:val="3C67262F"/>
    <w:rsid w:val="3C687118"/>
    <w:rsid w:val="3C9C465F"/>
    <w:rsid w:val="3CB76A7F"/>
    <w:rsid w:val="3CD04FD4"/>
    <w:rsid w:val="3CE803F9"/>
    <w:rsid w:val="3CEC5C28"/>
    <w:rsid w:val="3CF26B34"/>
    <w:rsid w:val="3CF96A52"/>
    <w:rsid w:val="3CFB49A7"/>
    <w:rsid w:val="3D006A28"/>
    <w:rsid w:val="3D1D385A"/>
    <w:rsid w:val="3D204C27"/>
    <w:rsid w:val="3D3B2EB9"/>
    <w:rsid w:val="3D566151"/>
    <w:rsid w:val="3D5A62B4"/>
    <w:rsid w:val="3D5B369C"/>
    <w:rsid w:val="3D5F1191"/>
    <w:rsid w:val="3D6A4820"/>
    <w:rsid w:val="3D7D177C"/>
    <w:rsid w:val="3D867C33"/>
    <w:rsid w:val="3D982B9C"/>
    <w:rsid w:val="3DB63BCA"/>
    <w:rsid w:val="3DD32F7B"/>
    <w:rsid w:val="3DDB1CF4"/>
    <w:rsid w:val="3DF02F72"/>
    <w:rsid w:val="3E043549"/>
    <w:rsid w:val="3E112566"/>
    <w:rsid w:val="3E362625"/>
    <w:rsid w:val="3E4357A6"/>
    <w:rsid w:val="3E65296D"/>
    <w:rsid w:val="3E690E76"/>
    <w:rsid w:val="3E955C21"/>
    <w:rsid w:val="3E9574A2"/>
    <w:rsid w:val="3EA572C5"/>
    <w:rsid w:val="3EAD1CD6"/>
    <w:rsid w:val="3EC14435"/>
    <w:rsid w:val="3EC1467C"/>
    <w:rsid w:val="3EC23511"/>
    <w:rsid w:val="3EC4412D"/>
    <w:rsid w:val="3ED410EB"/>
    <w:rsid w:val="3EE258C2"/>
    <w:rsid w:val="3EE76533"/>
    <w:rsid w:val="3EE94ABF"/>
    <w:rsid w:val="3EF27B52"/>
    <w:rsid w:val="3EF47AB4"/>
    <w:rsid w:val="3EFA1FBB"/>
    <w:rsid w:val="3F0430CE"/>
    <w:rsid w:val="3F046514"/>
    <w:rsid w:val="3F0F49D0"/>
    <w:rsid w:val="3F1D262A"/>
    <w:rsid w:val="3F201C44"/>
    <w:rsid w:val="3F2B54B3"/>
    <w:rsid w:val="3F3E5A9B"/>
    <w:rsid w:val="3F3F0A74"/>
    <w:rsid w:val="3F400F95"/>
    <w:rsid w:val="3F405659"/>
    <w:rsid w:val="3F452CEE"/>
    <w:rsid w:val="3F530F91"/>
    <w:rsid w:val="3F5860E5"/>
    <w:rsid w:val="3F5A2794"/>
    <w:rsid w:val="3F652E05"/>
    <w:rsid w:val="3F751A29"/>
    <w:rsid w:val="3F8F130E"/>
    <w:rsid w:val="3FA0399D"/>
    <w:rsid w:val="3FAF3AEE"/>
    <w:rsid w:val="3FB876C0"/>
    <w:rsid w:val="3FBB23D0"/>
    <w:rsid w:val="3FBC573B"/>
    <w:rsid w:val="3FCF4E4C"/>
    <w:rsid w:val="3FE32B3A"/>
    <w:rsid w:val="3FFA1502"/>
    <w:rsid w:val="4000052B"/>
    <w:rsid w:val="40113FBA"/>
    <w:rsid w:val="40433C6D"/>
    <w:rsid w:val="40524A96"/>
    <w:rsid w:val="405921A9"/>
    <w:rsid w:val="4074630C"/>
    <w:rsid w:val="409163A3"/>
    <w:rsid w:val="409969B6"/>
    <w:rsid w:val="40A5187E"/>
    <w:rsid w:val="40B03E89"/>
    <w:rsid w:val="40B352C8"/>
    <w:rsid w:val="40B42CAA"/>
    <w:rsid w:val="40CA1589"/>
    <w:rsid w:val="40D46ACE"/>
    <w:rsid w:val="40D53588"/>
    <w:rsid w:val="40DC7785"/>
    <w:rsid w:val="40E107F4"/>
    <w:rsid w:val="40ED5934"/>
    <w:rsid w:val="40FE736E"/>
    <w:rsid w:val="41057C9B"/>
    <w:rsid w:val="41090804"/>
    <w:rsid w:val="4112309F"/>
    <w:rsid w:val="41234BFB"/>
    <w:rsid w:val="412755BD"/>
    <w:rsid w:val="412D1CC3"/>
    <w:rsid w:val="413A2410"/>
    <w:rsid w:val="41474753"/>
    <w:rsid w:val="414E2E44"/>
    <w:rsid w:val="416B52C8"/>
    <w:rsid w:val="416D1EE1"/>
    <w:rsid w:val="41771649"/>
    <w:rsid w:val="41792343"/>
    <w:rsid w:val="417B2387"/>
    <w:rsid w:val="41833C3E"/>
    <w:rsid w:val="419434B5"/>
    <w:rsid w:val="41AC44C7"/>
    <w:rsid w:val="41B97186"/>
    <w:rsid w:val="41BF7E5D"/>
    <w:rsid w:val="41CB228A"/>
    <w:rsid w:val="41CE4F7E"/>
    <w:rsid w:val="41CF0114"/>
    <w:rsid w:val="41D107DC"/>
    <w:rsid w:val="41D17A19"/>
    <w:rsid w:val="41EF4D2A"/>
    <w:rsid w:val="41F354C9"/>
    <w:rsid w:val="41F76057"/>
    <w:rsid w:val="422B5D33"/>
    <w:rsid w:val="42424E2B"/>
    <w:rsid w:val="42436046"/>
    <w:rsid w:val="424E1A22"/>
    <w:rsid w:val="42506478"/>
    <w:rsid w:val="425C68B8"/>
    <w:rsid w:val="42672AA4"/>
    <w:rsid w:val="42672BAA"/>
    <w:rsid w:val="426C536F"/>
    <w:rsid w:val="426F47C3"/>
    <w:rsid w:val="428B0AB4"/>
    <w:rsid w:val="428B6F92"/>
    <w:rsid w:val="429C0749"/>
    <w:rsid w:val="429D6DF6"/>
    <w:rsid w:val="42CA08AB"/>
    <w:rsid w:val="42D13739"/>
    <w:rsid w:val="42DD463F"/>
    <w:rsid w:val="42ED2FE9"/>
    <w:rsid w:val="42FC4CE2"/>
    <w:rsid w:val="42FF0B84"/>
    <w:rsid w:val="42FF24F0"/>
    <w:rsid w:val="43057DD8"/>
    <w:rsid w:val="431D1AB5"/>
    <w:rsid w:val="43254901"/>
    <w:rsid w:val="43282690"/>
    <w:rsid w:val="432C33F8"/>
    <w:rsid w:val="432C4D53"/>
    <w:rsid w:val="43302100"/>
    <w:rsid w:val="433D620C"/>
    <w:rsid w:val="43441284"/>
    <w:rsid w:val="435E5BA8"/>
    <w:rsid w:val="435F68D1"/>
    <w:rsid w:val="4362320A"/>
    <w:rsid w:val="43683A23"/>
    <w:rsid w:val="436D6BD2"/>
    <w:rsid w:val="436E7F7D"/>
    <w:rsid w:val="43706BA1"/>
    <w:rsid w:val="43744791"/>
    <w:rsid w:val="43752570"/>
    <w:rsid w:val="43790837"/>
    <w:rsid w:val="438224CC"/>
    <w:rsid w:val="43995F39"/>
    <w:rsid w:val="43A55CA9"/>
    <w:rsid w:val="43AC23C9"/>
    <w:rsid w:val="43B42D34"/>
    <w:rsid w:val="43BD0C0D"/>
    <w:rsid w:val="43C046C9"/>
    <w:rsid w:val="43F52ECB"/>
    <w:rsid w:val="440A263E"/>
    <w:rsid w:val="44111710"/>
    <w:rsid w:val="44116DDF"/>
    <w:rsid w:val="442211C8"/>
    <w:rsid w:val="442E6AFE"/>
    <w:rsid w:val="44347262"/>
    <w:rsid w:val="443E1AC8"/>
    <w:rsid w:val="443F1622"/>
    <w:rsid w:val="444019DB"/>
    <w:rsid w:val="4441183E"/>
    <w:rsid w:val="4444288F"/>
    <w:rsid w:val="444C6351"/>
    <w:rsid w:val="44546983"/>
    <w:rsid w:val="445826E4"/>
    <w:rsid w:val="446A5BCA"/>
    <w:rsid w:val="44930D8B"/>
    <w:rsid w:val="44965090"/>
    <w:rsid w:val="44983428"/>
    <w:rsid w:val="44A20EAD"/>
    <w:rsid w:val="44A3548D"/>
    <w:rsid w:val="44B72665"/>
    <w:rsid w:val="44C76A36"/>
    <w:rsid w:val="44CA32DA"/>
    <w:rsid w:val="44D05958"/>
    <w:rsid w:val="44E16ED6"/>
    <w:rsid w:val="44E8569F"/>
    <w:rsid w:val="44EA36A2"/>
    <w:rsid w:val="44EF50EA"/>
    <w:rsid w:val="44F55792"/>
    <w:rsid w:val="450008A6"/>
    <w:rsid w:val="450B59A8"/>
    <w:rsid w:val="450D4160"/>
    <w:rsid w:val="4517259F"/>
    <w:rsid w:val="453645D1"/>
    <w:rsid w:val="455A12D9"/>
    <w:rsid w:val="4572728A"/>
    <w:rsid w:val="45741238"/>
    <w:rsid w:val="458060F6"/>
    <w:rsid w:val="458E1911"/>
    <w:rsid w:val="45BE7196"/>
    <w:rsid w:val="45F05143"/>
    <w:rsid w:val="45F13AC8"/>
    <w:rsid w:val="45FA4104"/>
    <w:rsid w:val="46002FBA"/>
    <w:rsid w:val="461F1208"/>
    <w:rsid w:val="46244F73"/>
    <w:rsid w:val="463C1EE1"/>
    <w:rsid w:val="463D26C6"/>
    <w:rsid w:val="46524C29"/>
    <w:rsid w:val="465A5CE3"/>
    <w:rsid w:val="465D3F9B"/>
    <w:rsid w:val="46661ACE"/>
    <w:rsid w:val="466C691A"/>
    <w:rsid w:val="466E0AC9"/>
    <w:rsid w:val="46733D05"/>
    <w:rsid w:val="4693757A"/>
    <w:rsid w:val="46C02AFD"/>
    <w:rsid w:val="46CB4C46"/>
    <w:rsid w:val="46CE1383"/>
    <w:rsid w:val="46E35351"/>
    <w:rsid w:val="46E959DB"/>
    <w:rsid w:val="46F619DB"/>
    <w:rsid w:val="46FD249B"/>
    <w:rsid w:val="470A27C3"/>
    <w:rsid w:val="47163A16"/>
    <w:rsid w:val="471734AF"/>
    <w:rsid w:val="47174CA9"/>
    <w:rsid w:val="47380C4A"/>
    <w:rsid w:val="47447224"/>
    <w:rsid w:val="4751299A"/>
    <w:rsid w:val="475B3B0B"/>
    <w:rsid w:val="476004BE"/>
    <w:rsid w:val="476A067C"/>
    <w:rsid w:val="476C3B0A"/>
    <w:rsid w:val="478B7E7C"/>
    <w:rsid w:val="47A23253"/>
    <w:rsid w:val="47C77C52"/>
    <w:rsid w:val="47CD3318"/>
    <w:rsid w:val="47D36112"/>
    <w:rsid w:val="47D92BE3"/>
    <w:rsid w:val="47DE55F6"/>
    <w:rsid w:val="47F73F54"/>
    <w:rsid w:val="47FF3332"/>
    <w:rsid w:val="480212AB"/>
    <w:rsid w:val="48027359"/>
    <w:rsid w:val="4803299C"/>
    <w:rsid w:val="48033126"/>
    <w:rsid w:val="480962F8"/>
    <w:rsid w:val="482113C4"/>
    <w:rsid w:val="48253225"/>
    <w:rsid w:val="482C385B"/>
    <w:rsid w:val="4830067E"/>
    <w:rsid w:val="484E2C87"/>
    <w:rsid w:val="486729F8"/>
    <w:rsid w:val="48677BFC"/>
    <w:rsid w:val="48767ADA"/>
    <w:rsid w:val="487936A5"/>
    <w:rsid w:val="48822425"/>
    <w:rsid w:val="48847F4B"/>
    <w:rsid w:val="488526D8"/>
    <w:rsid w:val="48891F70"/>
    <w:rsid w:val="489B7F2B"/>
    <w:rsid w:val="489D3738"/>
    <w:rsid w:val="48BF79BD"/>
    <w:rsid w:val="48DA66E1"/>
    <w:rsid w:val="48DB03B3"/>
    <w:rsid w:val="490816C4"/>
    <w:rsid w:val="491C556E"/>
    <w:rsid w:val="492F20CA"/>
    <w:rsid w:val="4936495A"/>
    <w:rsid w:val="494A11AD"/>
    <w:rsid w:val="498D6EDC"/>
    <w:rsid w:val="49A1730B"/>
    <w:rsid w:val="49CE11CF"/>
    <w:rsid w:val="49D229F3"/>
    <w:rsid w:val="49D92F00"/>
    <w:rsid w:val="49DA3B9B"/>
    <w:rsid w:val="49E76B4D"/>
    <w:rsid w:val="49FD63BC"/>
    <w:rsid w:val="4A006708"/>
    <w:rsid w:val="4A0708E8"/>
    <w:rsid w:val="4A1D73F6"/>
    <w:rsid w:val="4A340FA6"/>
    <w:rsid w:val="4A3A24A8"/>
    <w:rsid w:val="4A446614"/>
    <w:rsid w:val="4A4C2CEB"/>
    <w:rsid w:val="4A5165FB"/>
    <w:rsid w:val="4A645F5C"/>
    <w:rsid w:val="4A7125A4"/>
    <w:rsid w:val="4A9E48FC"/>
    <w:rsid w:val="4AA932CB"/>
    <w:rsid w:val="4AC42881"/>
    <w:rsid w:val="4ACA1E9E"/>
    <w:rsid w:val="4ADC1E06"/>
    <w:rsid w:val="4AEA79B9"/>
    <w:rsid w:val="4AEE089A"/>
    <w:rsid w:val="4AF12273"/>
    <w:rsid w:val="4B136269"/>
    <w:rsid w:val="4B1A1FA0"/>
    <w:rsid w:val="4B1B7C67"/>
    <w:rsid w:val="4B27320B"/>
    <w:rsid w:val="4B47347F"/>
    <w:rsid w:val="4B4B6AFE"/>
    <w:rsid w:val="4B665302"/>
    <w:rsid w:val="4B6A4A77"/>
    <w:rsid w:val="4B732656"/>
    <w:rsid w:val="4B780A86"/>
    <w:rsid w:val="4B7D3700"/>
    <w:rsid w:val="4B91163D"/>
    <w:rsid w:val="4B9C7EE6"/>
    <w:rsid w:val="4BA3274E"/>
    <w:rsid w:val="4BB61220"/>
    <w:rsid w:val="4BBE7F36"/>
    <w:rsid w:val="4BC965B6"/>
    <w:rsid w:val="4BD20B53"/>
    <w:rsid w:val="4BE57347"/>
    <w:rsid w:val="4BED6927"/>
    <w:rsid w:val="4BF57B74"/>
    <w:rsid w:val="4BFD09ED"/>
    <w:rsid w:val="4C15282F"/>
    <w:rsid w:val="4C161E81"/>
    <w:rsid w:val="4C1A7D38"/>
    <w:rsid w:val="4C2A0E0A"/>
    <w:rsid w:val="4C345AD4"/>
    <w:rsid w:val="4C38034B"/>
    <w:rsid w:val="4C3924AC"/>
    <w:rsid w:val="4C3C5793"/>
    <w:rsid w:val="4C44171A"/>
    <w:rsid w:val="4C4E226F"/>
    <w:rsid w:val="4C4E7935"/>
    <w:rsid w:val="4C5249E4"/>
    <w:rsid w:val="4C545601"/>
    <w:rsid w:val="4C640D03"/>
    <w:rsid w:val="4C6E1918"/>
    <w:rsid w:val="4C7548EB"/>
    <w:rsid w:val="4C7650BF"/>
    <w:rsid w:val="4C79566F"/>
    <w:rsid w:val="4C853D9F"/>
    <w:rsid w:val="4C88262E"/>
    <w:rsid w:val="4C8C776B"/>
    <w:rsid w:val="4C9478CA"/>
    <w:rsid w:val="4CB232CB"/>
    <w:rsid w:val="4CBE09A6"/>
    <w:rsid w:val="4CC239AB"/>
    <w:rsid w:val="4CD02C84"/>
    <w:rsid w:val="4CD1365E"/>
    <w:rsid w:val="4CE74DA6"/>
    <w:rsid w:val="4CF85E2A"/>
    <w:rsid w:val="4D376461"/>
    <w:rsid w:val="4D620492"/>
    <w:rsid w:val="4D790C63"/>
    <w:rsid w:val="4D7E3E25"/>
    <w:rsid w:val="4D7F3051"/>
    <w:rsid w:val="4D807194"/>
    <w:rsid w:val="4D811F1C"/>
    <w:rsid w:val="4D814D4A"/>
    <w:rsid w:val="4D9C79E3"/>
    <w:rsid w:val="4D9F0EB1"/>
    <w:rsid w:val="4DAB2E13"/>
    <w:rsid w:val="4DBB576A"/>
    <w:rsid w:val="4DC4211A"/>
    <w:rsid w:val="4DC4539E"/>
    <w:rsid w:val="4DD11580"/>
    <w:rsid w:val="4DD97DAF"/>
    <w:rsid w:val="4DE90850"/>
    <w:rsid w:val="4DE9429F"/>
    <w:rsid w:val="4DEC5C79"/>
    <w:rsid w:val="4DFE5697"/>
    <w:rsid w:val="4E003CEA"/>
    <w:rsid w:val="4E012B0D"/>
    <w:rsid w:val="4E093721"/>
    <w:rsid w:val="4E105340"/>
    <w:rsid w:val="4E114C86"/>
    <w:rsid w:val="4E127759"/>
    <w:rsid w:val="4E174F2E"/>
    <w:rsid w:val="4E18052F"/>
    <w:rsid w:val="4E1D336E"/>
    <w:rsid w:val="4E2849AB"/>
    <w:rsid w:val="4E293346"/>
    <w:rsid w:val="4E3D783C"/>
    <w:rsid w:val="4E422A98"/>
    <w:rsid w:val="4E50443F"/>
    <w:rsid w:val="4E610A22"/>
    <w:rsid w:val="4E6A6E54"/>
    <w:rsid w:val="4E712770"/>
    <w:rsid w:val="4E8744D4"/>
    <w:rsid w:val="4E8A6875"/>
    <w:rsid w:val="4E8B7D7F"/>
    <w:rsid w:val="4E8E036E"/>
    <w:rsid w:val="4E8F2FDE"/>
    <w:rsid w:val="4E9C0C8B"/>
    <w:rsid w:val="4E9C6765"/>
    <w:rsid w:val="4EA52579"/>
    <w:rsid w:val="4EAC68F3"/>
    <w:rsid w:val="4EB44AD2"/>
    <w:rsid w:val="4EF2591B"/>
    <w:rsid w:val="4EF4658C"/>
    <w:rsid w:val="4EF95A66"/>
    <w:rsid w:val="4EFA05FF"/>
    <w:rsid w:val="4EFC02F4"/>
    <w:rsid w:val="4F07798B"/>
    <w:rsid w:val="4F215689"/>
    <w:rsid w:val="4F232E67"/>
    <w:rsid w:val="4F243251"/>
    <w:rsid w:val="4F29451C"/>
    <w:rsid w:val="4F2B6CFC"/>
    <w:rsid w:val="4F2E202D"/>
    <w:rsid w:val="4F4162AC"/>
    <w:rsid w:val="4F4A1E20"/>
    <w:rsid w:val="4F4D6BA5"/>
    <w:rsid w:val="4F5D34E1"/>
    <w:rsid w:val="4F5F1376"/>
    <w:rsid w:val="4F70140E"/>
    <w:rsid w:val="4F72636A"/>
    <w:rsid w:val="4F7A3D36"/>
    <w:rsid w:val="4F933C70"/>
    <w:rsid w:val="4F9A41C7"/>
    <w:rsid w:val="4F9B2BC5"/>
    <w:rsid w:val="4F9C192E"/>
    <w:rsid w:val="4FAD47AB"/>
    <w:rsid w:val="4FAE7CB2"/>
    <w:rsid w:val="4FB40010"/>
    <w:rsid w:val="4FC366E7"/>
    <w:rsid w:val="4FC650D9"/>
    <w:rsid w:val="4FCD0F7C"/>
    <w:rsid w:val="4FD740E6"/>
    <w:rsid w:val="4FE13943"/>
    <w:rsid w:val="4FE2746B"/>
    <w:rsid w:val="4FE536C0"/>
    <w:rsid w:val="4FF35BC0"/>
    <w:rsid w:val="4FF9120D"/>
    <w:rsid w:val="4FFB1A4D"/>
    <w:rsid w:val="50174804"/>
    <w:rsid w:val="50312382"/>
    <w:rsid w:val="50345E4E"/>
    <w:rsid w:val="5043693E"/>
    <w:rsid w:val="505668F7"/>
    <w:rsid w:val="50567393"/>
    <w:rsid w:val="505F5A14"/>
    <w:rsid w:val="50744D49"/>
    <w:rsid w:val="507F63E9"/>
    <w:rsid w:val="50967F7E"/>
    <w:rsid w:val="50A02484"/>
    <w:rsid w:val="50A266C0"/>
    <w:rsid w:val="50A64D69"/>
    <w:rsid w:val="50CB7737"/>
    <w:rsid w:val="50DC31A8"/>
    <w:rsid w:val="50E25B01"/>
    <w:rsid w:val="50E42A3A"/>
    <w:rsid w:val="50E73A05"/>
    <w:rsid w:val="50ED34C5"/>
    <w:rsid w:val="50F64804"/>
    <w:rsid w:val="50FC089B"/>
    <w:rsid w:val="51002139"/>
    <w:rsid w:val="5106422C"/>
    <w:rsid w:val="51071118"/>
    <w:rsid w:val="51143E36"/>
    <w:rsid w:val="51234A1F"/>
    <w:rsid w:val="51322A8D"/>
    <w:rsid w:val="5132585B"/>
    <w:rsid w:val="51351BE8"/>
    <w:rsid w:val="514767E8"/>
    <w:rsid w:val="514A1FB9"/>
    <w:rsid w:val="51591468"/>
    <w:rsid w:val="517F16CD"/>
    <w:rsid w:val="518152E4"/>
    <w:rsid w:val="51815569"/>
    <w:rsid w:val="518311FE"/>
    <w:rsid w:val="519350A6"/>
    <w:rsid w:val="519A39CC"/>
    <w:rsid w:val="519C2D2D"/>
    <w:rsid w:val="51A5108F"/>
    <w:rsid w:val="51B5251C"/>
    <w:rsid w:val="51BB243C"/>
    <w:rsid w:val="51C87EE4"/>
    <w:rsid w:val="51C91C81"/>
    <w:rsid w:val="51CF557E"/>
    <w:rsid w:val="51D22EB2"/>
    <w:rsid w:val="51D72070"/>
    <w:rsid w:val="51D826B0"/>
    <w:rsid w:val="51E061A1"/>
    <w:rsid w:val="51E27FCD"/>
    <w:rsid w:val="51EA5D3C"/>
    <w:rsid w:val="51F62227"/>
    <w:rsid w:val="51FA04C1"/>
    <w:rsid w:val="51FA239D"/>
    <w:rsid w:val="51FD5237"/>
    <w:rsid w:val="520305F7"/>
    <w:rsid w:val="52081080"/>
    <w:rsid w:val="521E0065"/>
    <w:rsid w:val="521F7917"/>
    <w:rsid w:val="52227A2A"/>
    <w:rsid w:val="52405909"/>
    <w:rsid w:val="524A3FB4"/>
    <w:rsid w:val="525C547D"/>
    <w:rsid w:val="52605F62"/>
    <w:rsid w:val="52806965"/>
    <w:rsid w:val="52924CE6"/>
    <w:rsid w:val="52AA11D3"/>
    <w:rsid w:val="52AC62C4"/>
    <w:rsid w:val="52AD3817"/>
    <w:rsid w:val="52AE4E78"/>
    <w:rsid w:val="52C90AF5"/>
    <w:rsid w:val="52E40D12"/>
    <w:rsid w:val="52EF5850"/>
    <w:rsid w:val="5302703C"/>
    <w:rsid w:val="53150615"/>
    <w:rsid w:val="532A7941"/>
    <w:rsid w:val="5349426B"/>
    <w:rsid w:val="53511BDB"/>
    <w:rsid w:val="5353094C"/>
    <w:rsid w:val="53545E4C"/>
    <w:rsid w:val="5359297B"/>
    <w:rsid w:val="535D0523"/>
    <w:rsid w:val="535F30A6"/>
    <w:rsid w:val="53647AE4"/>
    <w:rsid w:val="537200FA"/>
    <w:rsid w:val="53844984"/>
    <w:rsid w:val="539230C8"/>
    <w:rsid w:val="53B6661D"/>
    <w:rsid w:val="53C16CB6"/>
    <w:rsid w:val="53CC20AE"/>
    <w:rsid w:val="53D17D36"/>
    <w:rsid w:val="53D25B8D"/>
    <w:rsid w:val="53D54458"/>
    <w:rsid w:val="53E13A43"/>
    <w:rsid w:val="53F47047"/>
    <w:rsid w:val="53F63A5B"/>
    <w:rsid w:val="53F933F4"/>
    <w:rsid w:val="53FC4369"/>
    <w:rsid w:val="53FF2974"/>
    <w:rsid w:val="54040192"/>
    <w:rsid w:val="54330DB9"/>
    <w:rsid w:val="5448228F"/>
    <w:rsid w:val="544B1287"/>
    <w:rsid w:val="54517855"/>
    <w:rsid w:val="54526826"/>
    <w:rsid w:val="5458533D"/>
    <w:rsid w:val="546B06C4"/>
    <w:rsid w:val="5472334E"/>
    <w:rsid w:val="54723681"/>
    <w:rsid w:val="54744689"/>
    <w:rsid w:val="54831600"/>
    <w:rsid w:val="549A0B1E"/>
    <w:rsid w:val="549D355D"/>
    <w:rsid w:val="54AD3355"/>
    <w:rsid w:val="54B7374D"/>
    <w:rsid w:val="54C45D59"/>
    <w:rsid w:val="54D579C0"/>
    <w:rsid w:val="54D671FA"/>
    <w:rsid w:val="54D9161F"/>
    <w:rsid w:val="54E4580A"/>
    <w:rsid w:val="54E64223"/>
    <w:rsid w:val="54F07385"/>
    <w:rsid w:val="54F4029A"/>
    <w:rsid w:val="54F71E24"/>
    <w:rsid w:val="54FA376E"/>
    <w:rsid w:val="551759DE"/>
    <w:rsid w:val="551F6B50"/>
    <w:rsid w:val="55375E0C"/>
    <w:rsid w:val="55377EA9"/>
    <w:rsid w:val="5561474F"/>
    <w:rsid w:val="556354BA"/>
    <w:rsid w:val="55696219"/>
    <w:rsid w:val="556E3A84"/>
    <w:rsid w:val="557012B1"/>
    <w:rsid w:val="557A29D4"/>
    <w:rsid w:val="55884A28"/>
    <w:rsid w:val="558C043F"/>
    <w:rsid w:val="558C5AF6"/>
    <w:rsid w:val="558D578F"/>
    <w:rsid w:val="558E46C8"/>
    <w:rsid w:val="55A334DF"/>
    <w:rsid w:val="55B24A68"/>
    <w:rsid w:val="55C211E9"/>
    <w:rsid w:val="55EE2EA8"/>
    <w:rsid w:val="55F63F27"/>
    <w:rsid w:val="55FC4016"/>
    <w:rsid w:val="56121DC3"/>
    <w:rsid w:val="561B179B"/>
    <w:rsid w:val="561B2A72"/>
    <w:rsid w:val="562107F3"/>
    <w:rsid w:val="56290384"/>
    <w:rsid w:val="563275EC"/>
    <w:rsid w:val="563A60ED"/>
    <w:rsid w:val="5672005D"/>
    <w:rsid w:val="567535C9"/>
    <w:rsid w:val="56887689"/>
    <w:rsid w:val="568B1CA2"/>
    <w:rsid w:val="568F1D3C"/>
    <w:rsid w:val="56905D0C"/>
    <w:rsid w:val="56A613A5"/>
    <w:rsid w:val="56B00762"/>
    <w:rsid w:val="56B1479D"/>
    <w:rsid w:val="56B43073"/>
    <w:rsid w:val="56BE0ACC"/>
    <w:rsid w:val="56C51C5B"/>
    <w:rsid w:val="56C86857"/>
    <w:rsid w:val="56D1687C"/>
    <w:rsid w:val="56D94E70"/>
    <w:rsid w:val="56DA7BB6"/>
    <w:rsid w:val="56DC112E"/>
    <w:rsid w:val="56F9341E"/>
    <w:rsid w:val="56FA57F3"/>
    <w:rsid w:val="57175B19"/>
    <w:rsid w:val="572956BD"/>
    <w:rsid w:val="573B52A1"/>
    <w:rsid w:val="57407237"/>
    <w:rsid w:val="575A3F59"/>
    <w:rsid w:val="575C71A1"/>
    <w:rsid w:val="5792500D"/>
    <w:rsid w:val="5799310E"/>
    <w:rsid w:val="579D048A"/>
    <w:rsid w:val="57AC7793"/>
    <w:rsid w:val="57B27F05"/>
    <w:rsid w:val="57C83E10"/>
    <w:rsid w:val="57C855D7"/>
    <w:rsid w:val="57D720C5"/>
    <w:rsid w:val="57FC1483"/>
    <w:rsid w:val="580A1411"/>
    <w:rsid w:val="581B18D5"/>
    <w:rsid w:val="581B7414"/>
    <w:rsid w:val="581E495D"/>
    <w:rsid w:val="5822619F"/>
    <w:rsid w:val="58226E39"/>
    <w:rsid w:val="5825184F"/>
    <w:rsid w:val="58295909"/>
    <w:rsid w:val="582B1961"/>
    <w:rsid w:val="58404804"/>
    <w:rsid w:val="58414F41"/>
    <w:rsid w:val="58497CF1"/>
    <w:rsid w:val="584C76FB"/>
    <w:rsid w:val="585A5CE5"/>
    <w:rsid w:val="585C5687"/>
    <w:rsid w:val="587176F7"/>
    <w:rsid w:val="58796FC0"/>
    <w:rsid w:val="5881186B"/>
    <w:rsid w:val="58C10BDC"/>
    <w:rsid w:val="58EC1756"/>
    <w:rsid w:val="58F40A71"/>
    <w:rsid w:val="58F703D8"/>
    <w:rsid w:val="58F91823"/>
    <w:rsid w:val="590C17D5"/>
    <w:rsid w:val="590E27D5"/>
    <w:rsid w:val="59195D7D"/>
    <w:rsid w:val="59246B2D"/>
    <w:rsid w:val="5930270E"/>
    <w:rsid w:val="593B2784"/>
    <w:rsid w:val="59600617"/>
    <w:rsid w:val="59630BDE"/>
    <w:rsid w:val="5964244A"/>
    <w:rsid w:val="59737D55"/>
    <w:rsid w:val="5994792B"/>
    <w:rsid w:val="59987AA9"/>
    <w:rsid w:val="599B3347"/>
    <w:rsid w:val="599E791B"/>
    <w:rsid w:val="59AC68EC"/>
    <w:rsid w:val="59AE080A"/>
    <w:rsid w:val="59B46A59"/>
    <w:rsid w:val="59D74DFD"/>
    <w:rsid w:val="59F10141"/>
    <w:rsid w:val="59FC3FBE"/>
    <w:rsid w:val="5A0F694A"/>
    <w:rsid w:val="5A18725A"/>
    <w:rsid w:val="5A1D25C0"/>
    <w:rsid w:val="5A1D410A"/>
    <w:rsid w:val="5A2A3977"/>
    <w:rsid w:val="5A2C52C7"/>
    <w:rsid w:val="5A3753B0"/>
    <w:rsid w:val="5A4E2E49"/>
    <w:rsid w:val="5A5F1050"/>
    <w:rsid w:val="5A635DDE"/>
    <w:rsid w:val="5A683D38"/>
    <w:rsid w:val="5A85504F"/>
    <w:rsid w:val="5A86458C"/>
    <w:rsid w:val="5A8B33BB"/>
    <w:rsid w:val="5A9B4F5A"/>
    <w:rsid w:val="5A9B58D0"/>
    <w:rsid w:val="5AA5526F"/>
    <w:rsid w:val="5AAA00EE"/>
    <w:rsid w:val="5ACF4A5E"/>
    <w:rsid w:val="5AD2433C"/>
    <w:rsid w:val="5AD555FA"/>
    <w:rsid w:val="5AE82F6C"/>
    <w:rsid w:val="5AF66E13"/>
    <w:rsid w:val="5B025BB3"/>
    <w:rsid w:val="5B0D7D27"/>
    <w:rsid w:val="5B1A3F9C"/>
    <w:rsid w:val="5B1A64ED"/>
    <w:rsid w:val="5B3111C9"/>
    <w:rsid w:val="5B3F6DFB"/>
    <w:rsid w:val="5B42144C"/>
    <w:rsid w:val="5B5D6A2D"/>
    <w:rsid w:val="5B620E26"/>
    <w:rsid w:val="5B696ACB"/>
    <w:rsid w:val="5B6B45E8"/>
    <w:rsid w:val="5B6D521A"/>
    <w:rsid w:val="5BB662D5"/>
    <w:rsid w:val="5BBC4F05"/>
    <w:rsid w:val="5BD47A46"/>
    <w:rsid w:val="5BF83A33"/>
    <w:rsid w:val="5BFD47CC"/>
    <w:rsid w:val="5C054FFE"/>
    <w:rsid w:val="5C0A20B9"/>
    <w:rsid w:val="5C1A317F"/>
    <w:rsid w:val="5C2F7682"/>
    <w:rsid w:val="5C335FA8"/>
    <w:rsid w:val="5C3420BD"/>
    <w:rsid w:val="5C536A19"/>
    <w:rsid w:val="5C6157FF"/>
    <w:rsid w:val="5C693D8D"/>
    <w:rsid w:val="5C841E70"/>
    <w:rsid w:val="5C8F3F34"/>
    <w:rsid w:val="5CA96AF6"/>
    <w:rsid w:val="5CAF3971"/>
    <w:rsid w:val="5CBF0186"/>
    <w:rsid w:val="5CBF1E09"/>
    <w:rsid w:val="5CC523BE"/>
    <w:rsid w:val="5CC77913"/>
    <w:rsid w:val="5CD97586"/>
    <w:rsid w:val="5CF30EF8"/>
    <w:rsid w:val="5CFB3EEF"/>
    <w:rsid w:val="5D1033A7"/>
    <w:rsid w:val="5D1478B5"/>
    <w:rsid w:val="5D267E6E"/>
    <w:rsid w:val="5D2861BC"/>
    <w:rsid w:val="5D2C7FD7"/>
    <w:rsid w:val="5D4D7D9E"/>
    <w:rsid w:val="5D5D3C3F"/>
    <w:rsid w:val="5D5F216B"/>
    <w:rsid w:val="5D6937F0"/>
    <w:rsid w:val="5D7863A6"/>
    <w:rsid w:val="5D7B35CB"/>
    <w:rsid w:val="5D7D6B28"/>
    <w:rsid w:val="5D887F75"/>
    <w:rsid w:val="5D900478"/>
    <w:rsid w:val="5D9238E4"/>
    <w:rsid w:val="5D967631"/>
    <w:rsid w:val="5DA23AFF"/>
    <w:rsid w:val="5DAB1072"/>
    <w:rsid w:val="5DB02DB0"/>
    <w:rsid w:val="5DC4409C"/>
    <w:rsid w:val="5DC8035B"/>
    <w:rsid w:val="5DD21301"/>
    <w:rsid w:val="5DDE3802"/>
    <w:rsid w:val="5DE27C1C"/>
    <w:rsid w:val="5DEC120C"/>
    <w:rsid w:val="5DEC505E"/>
    <w:rsid w:val="5DF44B1A"/>
    <w:rsid w:val="5E49669F"/>
    <w:rsid w:val="5E682C04"/>
    <w:rsid w:val="5E7D126D"/>
    <w:rsid w:val="5E9C1D95"/>
    <w:rsid w:val="5EA37F75"/>
    <w:rsid w:val="5EBA7A7A"/>
    <w:rsid w:val="5EBD2A8B"/>
    <w:rsid w:val="5EC8066F"/>
    <w:rsid w:val="5ED935E0"/>
    <w:rsid w:val="5EDE1978"/>
    <w:rsid w:val="5EE0749D"/>
    <w:rsid w:val="5EE338B7"/>
    <w:rsid w:val="5EEA3F79"/>
    <w:rsid w:val="5EFE1C81"/>
    <w:rsid w:val="5F050868"/>
    <w:rsid w:val="5F0F0525"/>
    <w:rsid w:val="5F1871E8"/>
    <w:rsid w:val="5F4156C1"/>
    <w:rsid w:val="5F4255BA"/>
    <w:rsid w:val="5F497001"/>
    <w:rsid w:val="5F525F4E"/>
    <w:rsid w:val="5F571AF0"/>
    <w:rsid w:val="5F5C4AB8"/>
    <w:rsid w:val="5F683681"/>
    <w:rsid w:val="5F6B207F"/>
    <w:rsid w:val="5F6F5774"/>
    <w:rsid w:val="5F732455"/>
    <w:rsid w:val="5F744BB8"/>
    <w:rsid w:val="5F7A15A1"/>
    <w:rsid w:val="5F8E08C2"/>
    <w:rsid w:val="5FB2054C"/>
    <w:rsid w:val="5FBF5D3B"/>
    <w:rsid w:val="5FCA4716"/>
    <w:rsid w:val="5FD24FFC"/>
    <w:rsid w:val="5FDD3D70"/>
    <w:rsid w:val="5FE25A3A"/>
    <w:rsid w:val="5FE43C0B"/>
    <w:rsid w:val="5FE44E33"/>
    <w:rsid w:val="5FE85247"/>
    <w:rsid w:val="60061BAF"/>
    <w:rsid w:val="600A073A"/>
    <w:rsid w:val="60172E67"/>
    <w:rsid w:val="602264F3"/>
    <w:rsid w:val="60243C2E"/>
    <w:rsid w:val="604B0611"/>
    <w:rsid w:val="6051058D"/>
    <w:rsid w:val="605204D7"/>
    <w:rsid w:val="605B4D9F"/>
    <w:rsid w:val="607D4856"/>
    <w:rsid w:val="608C6AE7"/>
    <w:rsid w:val="609726EA"/>
    <w:rsid w:val="60A70823"/>
    <w:rsid w:val="60B303A5"/>
    <w:rsid w:val="60BB69F2"/>
    <w:rsid w:val="60BD2209"/>
    <w:rsid w:val="60C01C5D"/>
    <w:rsid w:val="60CE28B2"/>
    <w:rsid w:val="60D43772"/>
    <w:rsid w:val="60DE6614"/>
    <w:rsid w:val="60E1095A"/>
    <w:rsid w:val="60F326D0"/>
    <w:rsid w:val="60F93E75"/>
    <w:rsid w:val="61083DD4"/>
    <w:rsid w:val="610936A9"/>
    <w:rsid w:val="610F41BD"/>
    <w:rsid w:val="612148C5"/>
    <w:rsid w:val="61227EAA"/>
    <w:rsid w:val="61394E36"/>
    <w:rsid w:val="61523785"/>
    <w:rsid w:val="61574DC6"/>
    <w:rsid w:val="615C160D"/>
    <w:rsid w:val="61624BE2"/>
    <w:rsid w:val="616C3362"/>
    <w:rsid w:val="616F0AD4"/>
    <w:rsid w:val="617B746E"/>
    <w:rsid w:val="61801886"/>
    <w:rsid w:val="6183676A"/>
    <w:rsid w:val="61B40B56"/>
    <w:rsid w:val="61BC1839"/>
    <w:rsid w:val="61C611C4"/>
    <w:rsid w:val="61DA45CD"/>
    <w:rsid w:val="61ED7683"/>
    <w:rsid w:val="61F752D7"/>
    <w:rsid w:val="61FD75D0"/>
    <w:rsid w:val="6201408A"/>
    <w:rsid w:val="620C0E63"/>
    <w:rsid w:val="621131D0"/>
    <w:rsid w:val="621F081A"/>
    <w:rsid w:val="6222203F"/>
    <w:rsid w:val="622B4980"/>
    <w:rsid w:val="623B1FC4"/>
    <w:rsid w:val="6242684C"/>
    <w:rsid w:val="625A681D"/>
    <w:rsid w:val="625B4554"/>
    <w:rsid w:val="625C14D1"/>
    <w:rsid w:val="627651C8"/>
    <w:rsid w:val="627B26E6"/>
    <w:rsid w:val="6280132C"/>
    <w:rsid w:val="628F5D40"/>
    <w:rsid w:val="62970BD7"/>
    <w:rsid w:val="62A12B73"/>
    <w:rsid w:val="62BD058B"/>
    <w:rsid w:val="62C06F9B"/>
    <w:rsid w:val="62CA3D28"/>
    <w:rsid w:val="62D62483"/>
    <w:rsid w:val="62D6425F"/>
    <w:rsid w:val="62DB7C73"/>
    <w:rsid w:val="62E123C8"/>
    <w:rsid w:val="62E27675"/>
    <w:rsid w:val="62E416C5"/>
    <w:rsid w:val="62F66A1B"/>
    <w:rsid w:val="63015B92"/>
    <w:rsid w:val="63184EA6"/>
    <w:rsid w:val="631D56B7"/>
    <w:rsid w:val="6329124F"/>
    <w:rsid w:val="632F4E6E"/>
    <w:rsid w:val="6330680E"/>
    <w:rsid w:val="633A7E34"/>
    <w:rsid w:val="633C574F"/>
    <w:rsid w:val="634D1C88"/>
    <w:rsid w:val="6350614E"/>
    <w:rsid w:val="635942DD"/>
    <w:rsid w:val="636040E8"/>
    <w:rsid w:val="637E33E3"/>
    <w:rsid w:val="63800FCD"/>
    <w:rsid w:val="639A6E96"/>
    <w:rsid w:val="63B35DBD"/>
    <w:rsid w:val="63B76868"/>
    <w:rsid w:val="63B9174E"/>
    <w:rsid w:val="63CB1AB3"/>
    <w:rsid w:val="63D32A54"/>
    <w:rsid w:val="63D80CF3"/>
    <w:rsid w:val="63DD3C48"/>
    <w:rsid w:val="63E315FF"/>
    <w:rsid w:val="63E702EB"/>
    <w:rsid w:val="63EB712D"/>
    <w:rsid w:val="63F846E4"/>
    <w:rsid w:val="6414229C"/>
    <w:rsid w:val="64160DD4"/>
    <w:rsid w:val="643E1A14"/>
    <w:rsid w:val="644214BE"/>
    <w:rsid w:val="64445DE5"/>
    <w:rsid w:val="644C5FB0"/>
    <w:rsid w:val="645A08FE"/>
    <w:rsid w:val="64606144"/>
    <w:rsid w:val="64694C1A"/>
    <w:rsid w:val="647117EF"/>
    <w:rsid w:val="6499728C"/>
    <w:rsid w:val="64A33835"/>
    <w:rsid w:val="64AA7839"/>
    <w:rsid w:val="64AF7279"/>
    <w:rsid w:val="64D052FB"/>
    <w:rsid w:val="64D51274"/>
    <w:rsid w:val="64DB5D01"/>
    <w:rsid w:val="64DC784D"/>
    <w:rsid w:val="64DD1254"/>
    <w:rsid w:val="64F03ECD"/>
    <w:rsid w:val="64F4321F"/>
    <w:rsid w:val="64FA743B"/>
    <w:rsid w:val="64FE03D0"/>
    <w:rsid w:val="65165F77"/>
    <w:rsid w:val="651E345E"/>
    <w:rsid w:val="652F1C95"/>
    <w:rsid w:val="6530528B"/>
    <w:rsid w:val="6531463B"/>
    <w:rsid w:val="65322A5F"/>
    <w:rsid w:val="653A7EB8"/>
    <w:rsid w:val="653D206E"/>
    <w:rsid w:val="65420BA7"/>
    <w:rsid w:val="6548332C"/>
    <w:rsid w:val="65486F98"/>
    <w:rsid w:val="6558012C"/>
    <w:rsid w:val="656015CD"/>
    <w:rsid w:val="656405BB"/>
    <w:rsid w:val="65755E9D"/>
    <w:rsid w:val="658D432B"/>
    <w:rsid w:val="658E743E"/>
    <w:rsid w:val="65966F82"/>
    <w:rsid w:val="65AD349C"/>
    <w:rsid w:val="65B01F28"/>
    <w:rsid w:val="65E5102F"/>
    <w:rsid w:val="65F13805"/>
    <w:rsid w:val="65F22FB3"/>
    <w:rsid w:val="65FC5C0B"/>
    <w:rsid w:val="660C26AE"/>
    <w:rsid w:val="660D2ED6"/>
    <w:rsid w:val="66192E4C"/>
    <w:rsid w:val="662D3578"/>
    <w:rsid w:val="664A03AA"/>
    <w:rsid w:val="664B58B7"/>
    <w:rsid w:val="665B659E"/>
    <w:rsid w:val="66646E5E"/>
    <w:rsid w:val="668B029F"/>
    <w:rsid w:val="668C5269"/>
    <w:rsid w:val="66970374"/>
    <w:rsid w:val="669B13C3"/>
    <w:rsid w:val="66B07C14"/>
    <w:rsid w:val="66EE41A8"/>
    <w:rsid w:val="66F538DA"/>
    <w:rsid w:val="66FF725E"/>
    <w:rsid w:val="6703647E"/>
    <w:rsid w:val="67051F1E"/>
    <w:rsid w:val="671A1657"/>
    <w:rsid w:val="671F5969"/>
    <w:rsid w:val="67246D70"/>
    <w:rsid w:val="672C1A82"/>
    <w:rsid w:val="675F5A77"/>
    <w:rsid w:val="676C6322"/>
    <w:rsid w:val="677264C5"/>
    <w:rsid w:val="67845738"/>
    <w:rsid w:val="67B076D1"/>
    <w:rsid w:val="67B32EF9"/>
    <w:rsid w:val="67CD377F"/>
    <w:rsid w:val="6812737D"/>
    <w:rsid w:val="68153E41"/>
    <w:rsid w:val="68246D76"/>
    <w:rsid w:val="682E4B84"/>
    <w:rsid w:val="68661062"/>
    <w:rsid w:val="686D76C0"/>
    <w:rsid w:val="687C6109"/>
    <w:rsid w:val="687D2044"/>
    <w:rsid w:val="687D6A00"/>
    <w:rsid w:val="68804067"/>
    <w:rsid w:val="68834071"/>
    <w:rsid w:val="68934A25"/>
    <w:rsid w:val="689D6D62"/>
    <w:rsid w:val="68A06FD5"/>
    <w:rsid w:val="68AC2B84"/>
    <w:rsid w:val="68AF6C0E"/>
    <w:rsid w:val="68B95918"/>
    <w:rsid w:val="68BE670A"/>
    <w:rsid w:val="68C23E4B"/>
    <w:rsid w:val="69076303"/>
    <w:rsid w:val="690A1718"/>
    <w:rsid w:val="691224E9"/>
    <w:rsid w:val="69206E80"/>
    <w:rsid w:val="692A1CC9"/>
    <w:rsid w:val="69394D4B"/>
    <w:rsid w:val="693A7972"/>
    <w:rsid w:val="694801FC"/>
    <w:rsid w:val="694875D5"/>
    <w:rsid w:val="69921AC9"/>
    <w:rsid w:val="69934CEA"/>
    <w:rsid w:val="69A077D5"/>
    <w:rsid w:val="69B50662"/>
    <w:rsid w:val="69CA6194"/>
    <w:rsid w:val="69DB2C1B"/>
    <w:rsid w:val="69F14A9F"/>
    <w:rsid w:val="69FF4D34"/>
    <w:rsid w:val="6A5B426A"/>
    <w:rsid w:val="6A6415A4"/>
    <w:rsid w:val="6A657488"/>
    <w:rsid w:val="6A6668A8"/>
    <w:rsid w:val="6A6B2A80"/>
    <w:rsid w:val="6A7E6396"/>
    <w:rsid w:val="6A92007A"/>
    <w:rsid w:val="6A9653B5"/>
    <w:rsid w:val="6AA422BF"/>
    <w:rsid w:val="6AA81A7B"/>
    <w:rsid w:val="6AAD5175"/>
    <w:rsid w:val="6AB63AC9"/>
    <w:rsid w:val="6AC51FCB"/>
    <w:rsid w:val="6AC83870"/>
    <w:rsid w:val="6AD71D6F"/>
    <w:rsid w:val="6AD82E4B"/>
    <w:rsid w:val="6AE11093"/>
    <w:rsid w:val="6AE17590"/>
    <w:rsid w:val="6AEA7F3A"/>
    <w:rsid w:val="6AEB3393"/>
    <w:rsid w:val="6AED6B6D"/>
    <w:rsid w:val="6AF62D7F"/>
    <w:rsid w:val="6B2346BC"/>
    <w:rsid w:val="6B39476E"/>
    <w:rsid w:val="6B3F4400"/>
    <w:rsid w:val="6B5D53F9"/>
    <w:rsid w:val="6B607C5C"/>
    <w:rsid w:val="6B682C27"/>
    <w:rsid w:val="6B6C7BC0"/>
    <w:rsid w:val="6B780FF2"/>
    <w:rsid w:val="6B9702A7"/>
    <w:rsid w:val="6B997650"/>
    <w:rsid w:val="6BA641AA"/>
    <w:rsid w:val="6BAD45E0"/>
    <w:rsid w:val="6BBE45B2"/>
    <w:rsid w:val="6BBF6B79"/>
    <w:rsid w:val="6BE0499F"/>
    <w:rsid w:val="6BF56CCD"/>
    <w:rsid w:val="6BF62DDE"/>
    <w:rsid w:val="6BFF137F"/>
    <w:rsid w:val="6C017DC1"/>
    <w:rsid w:val="6C053A4B"/>
    <w:rsid w:val="6C0C14AB"/>
    <w:rsid w:val="6C157315"/>
    <w:rsid w:val="6C174BB2"/>
    <w:rsid w:val="6C2D626C"/>
    <w:rsid w:val="6C301D0A"/>
    <w:rsid w:val="6C4C159F"/>
    <w:rsid w:val="6C5829F1"/>
    <w:rsid w:val="6C6B0756"/>
    <w:rsid w:val="6C803030"/>
    <w:rsid w:val="6C932A3F"/>
    <w:rsid w:val="6C956968"/>
    <w:rsid w:val="6CAA1CFE"/>
    <w:rsid w:val="6CC12C6C"/>
    <w:rsid w:val="6CC5621E"/>
    <w:rsid w:val="6CD1288B"/>
    <w:rsid w:val="6CD62ECE"/>
    <w:rsid w:val="6CE16718"/>
    <w:rsid w:val="6CE3039D"/>
    <w:rsid w:val="6CE34040"/>
    <w:rsid w:val="6CE80F96"/>
    <w:rsid w:val="6CED10B3"/>
    <w:rsid w:val="6CF60A3D"/>
    <w:rsid w:val="6CFF00DA"/>
    <w:rsid w:val="6D132EA7"/>
    <w:rsid w:val="6D17755B"/>
    <w:rsid w:val="6D285F3C"/>
    <w:rsid w:val="6D3073C6"/>
    <w:rsid w:val="6D3700FB"/>
    <w:rsid w:val="6D535020"/>
    <w:rsid w:val="6D5B4CE7"/>
    <w:rsid w:val="6D5F1962"/>
    <w:rsid w:val="6D68133A"/>
    <w:rsid w:val="6D985E7F"/>
    <w:rsid w:val="6DAE554B"/>
    <w:rsid w:val="6DC17E0B"/>
    <w:rsid w:val="6DDF5593"/>
    <w:rsid w:val="6DE023C8"/>
    <w:rsid w:val="6DFF05C3"/>
    <w:rsid w:val="6E1374F8"/>
    <w:rsid w:val="6E193682"/>
    <w:rsid w:val="6E1B1BEA"/>
    <w:rsid w:val="6E24100B"/>
    <w:rsid w:val="6E2E05FD"/>
    <w:rsid w:val="6E317227"/>
    <w:rsid w:val="6E3C0BF0"/>
    <w:rsid w:val="6E547627"/>
    <w:rsid w:val="6E550974"/>
    <w:rsid w:val="6E655AED"/>
    <w:rsid w:val="6E673D8B"/>
    <w:rsid w:val="6E744CAB"/>
    <w:rsid w:val="6E776B69"/>
    <w:rsid w:val="6E800B0E"/>
    <w:rsid w:val="6E8B20E1"/>
    <w:rsid w:val="6E8D57A4"/>
    <w:rsid w:val="6E951F9C"/>
    <w:rsid w:val="6EC62E05"/>
    <w:rsid w:val="6ECB1B80"/>
    <w:rsid w:val="6EDB1E6E"/>
    <w:rsid w:val="6EFC21A8"/>
    <w:rsid w:val="6EFD6530"/>
    <w:rsid w:val="6EFF06A6"/>
    <w:rsid w:val="6F132006"/>
    <w:rsid w:val="6F2638D9"/>
    <w:rsid w:val="6F2F65B3"/>
    <w:rsid w:val="6F44184B"/>
    <w:rsid w:val="6F4A611B"/>
    <w:rsid w:val="6F571A8F"/>
    <w:rsid w:val="6F5967AC"/>
    <w:rsid w:val="6F710DB7"/>
    <w:rsid w:val="6F7E3097"/>
    <w:rsid w:val="6F8C11AD"/>
    <w:rsid w:val="6F8D7609"/>
    <w:rsid w:val="6F9A394F"/>
    <w:rsid w:val="6F9D30E1"/>
    <w:rsid w:val="6FA36BF6"/>
    <w:rsid w:val="6FA9742E"/>
    <w:rsid w:val="6FAC5CFA"/>
    <w:rsid w:val="6FC6312E"/>
    <w:rsid w:val="6FD7195D"/>
    <w:rsid w:val="6FD85334"/>
    <w:rsid w:val="6FE70C11"/>
    <w:rsid w:val="6FF061A0"/>
    <w:rsid w:val="6FF11EBF"/>
    <w:rsid w:val="6FF330E2"/>
    <w:rsid w:val="6FF356A3"/>
    <w:rsid w:val="70036644"/>
    <w:rsid w:val="700446C0"/>
    <w:rsid w:val="700C4914"/>
    <w:rsid w:val="70190B38"/>
    <w:rsid w:val="701F36FB"/>
    <w:rsid w:val="702C2747"/>
    <w:rsid w:val="702F3415"/>
    <w:rsid w:val="70420D36"/>
    <w:rsid w:val="70454CB8"/>
    <w:rsid w:val="7055396B"/>
    <w:rsid w:val="706E676D"/>
    <w:rsid w:val="70703E97"/>
    <w:rsid w:val="707F33DD"/>
    <w:rsid w:val="70836227"/>
    <w:rsid w:val="708839AB"/>
    <w:rsid w:val="708C39F4"/>
    <w:rsid w:val="708C74F9"/>
    <w:rsid w:val="70915B2A"/>
    <w:rsid w:val="70A051C1"/>
    <w:rsid w:val="70A74564"/>
    <w:rsid w:val="70AC6178"/>
    <w:rsid w:val="70B85CFB"/>
    <w:rsid w:val="70C3215D"/>
    <w:rsid w:val="70C525FF"/>
    <w:rsid w:val="70DA42FD"/>
    <w:rsid w:val="70E3515D"/>
    <w:rsid w:val="71185272"/>
    <w:rsid w:val="71195291"/>
    <w:rsid w:val="71232BCC"/>
    <w:rsid w:val="7125265A"/>
    <w:rsid w:val="712E2FDE"/>
    <w:rsid w:val="713364DE"/>
    <w:rsid w:val="713B37A6"/>
    <w:rsid w:val="71403EC4"/>
    <w:rsid w:val="71423C0D"/>
    <w:rsid w:val="717D0FDB"/>
    <w:rsid w:val="718624A7"/>
    <w:rsid w:val="718A77FB"/>
    <w:rsid w:val="71952D11"/>
    <w:rsid w:val="71B630ED"/>
    <w:rsid w:val="71B80151"/>
    <w:rsid w:val="71C32FE3"/>
    <w:rsid w:val="71C56D5B"/>
    <w:rsid w:val="71D6753D"/>
    <w:rsid w:val="71D97362"/>
    <w:rsid w:val="71E01FA5"/>
    <w:rsid w:val="71E13181"/>
    <w:rsid w:val="71ED442F"/>
    <w:rsid w:val="71EE2EF7"/>
    <w:rsid w:val="71F40CEB"/>
    <w:rsid w:val="720F62DE"/>
    <w:rsid w:val="72134B02"/>
    <w:rsid w:val="72287652"/>
    <w:rsid w:val="722E3159"/>
    <w:rsid w:val="72300ED8"/>
    <w:rsid w:val="72C57698"/>
    <w:rsid w:val="72E639E1"/>
    <w:rsid w:val="72EB4ABB"/>
    <w:rsid w:val="72F8039F"/>
    <w:rsid w:val="7306762B"/>
    <w:rsid w:val="7312468D"/>
    <w:rsid w:val="731A1275"/>
    <w:rsid w:val="731F36EE"/>
    <w:rsid w:val="732A0AED"/>
    <w:rsid w:val="73316A3B"/>
    <w:rsid w:val="735650C1"/>
    <w:rsid w:val="735F52AE"/>
    <w:rsid w:val="73B21CDC"/>
    <w:rsid w:val="73B35EB4"/>
    <w:rsid w:val="73D9426D"/>
    <w:rsid w:val="73E153A7"/>
    <w:rsid w:val="740D5C23"/>
    <w:rsid w:val="74207328"/>
    <w:rsid w:val="74315FF7"/>
    <w:rsid w:val="74644028"/>
    <w:rsid w:val="7466605D"/>
    <w:rsid w:val="74753764"/>
    <w:rsid w:val="747A7805"/>
    <w:rsid w:val="74856C75"/>
    <w:rsid w:val="749374C8"/>
    <w:rsid w:val="749D1097"/>
    <w:rsid w:val="74BC7265"/>
    <w:rsid w:val="74C35E83"/>
    <w:rsid w:val="74CA3755"/>
    <w:rsid w:val="74D64813"/>
    <w:rsid w:val="74D674B3"/>
    <w:rsid w:val="74DB7DB6"/>
    <w:rsid w:val="74E7205E"/>
    <w:rsid w:val="74ED70F5"/>
    <w:rsid w:val="74F84652"/>
    <w:rsid w:val="74F91BF5"/>
    <w:rsid w:val="74FD680C"/>
    <w:rsid w:val="75004AF5"/>
    <w:rsid w:val="75042FD1"/>
    <w:rsid w:val="75055E28"/>
    <w:rsid w:val="75132688"/>
    <w:rsid w:val="751332B1"/>
    <w:rsid w:val="751748D0"/>
    <w:rsid w:val="75236CF6"/>
    <w:rsid w:val="75285C16"/>
    <w:rsid w:val="752E487E"/>
    <w:rsid w:val="753143D6"/>
    <w:rsid w:val="753567E4"/>
    <w:rsid w:val="753627AC"/>
    <w:rsid w:val="753843CD"/>
    <w:rsid w:val="754F7AEE"/>
    <w:rsid w:val="75671555"/>
    <w:rsid w:val="75735611"/>
    <w:rsid w:val="75736ACE"/>
    <w:rsid w:val="75825A34"/>
    <w:rsid w:val="75991528"/>
    <w:rsid w:val="75A35605"/>
    <w:rsid w:val="75B3140A"/>
    <w:rsid w:val="75BD0880"/>
    <w:rsid w:val="75BD29C1"/>
    <w:rsid w:val="75C161BF"/>
    <w:rsid w:val="75CF5661"/>
    <w:rsid w:val="75E65634"/>
    <w:rsid w:val="75FF7B56"/>
    <w:rsid w:val="76032C2D"/>
    <w:rsid w:val="76042151"/>
    <w:rsid w:val="760D75C6"/>
    <w:rsid w:val="761D2801"/>
    <w:rsid w:val="761E4BDE"/>
    <w:rsid w:val="762A170A"/>
    <w:rsid w:val="76397434"/>
    <w:rsid w:val="76486164"/>
    <w:rsid w:val="765816DC"/>
    <w:rsid w:val="76595F13"/>
    <w:rsid w:val="7669764E"/>
    <w:rsid w:val="766C1709"/>
    <w:rsid w:val="767B5044"/>
    <w:rsid w:val="767E6B59"/>
    <w:rsid w:val="76815174"/>
    <w:rsid w:val="76960CC6"/>
    <w:rsid w:val="769D604E"/>
    <w:rsid w:val="769E5DCD"/>
    <w:rsid w:val="769F5926"/>
    <w:rsid w:val="76A018B1"/>
    <w:rsid w:val="76A643DD"/>
    <w:rsid w:val="76B31BBD"/>
    <w:rsid w:val="76C46D6F"/>
    <w:rsid w:val="76CF379E"/>
    <w:rsid w:val="76CF70DD"/>
    <w:rsid w:val="76E77245"/>
    <w:rsid w:val="76F61609"/>
    <w:rsid w:val="770A5C5A"/>
    <w:rsid w:val="770F58A0"/>
    <w:rsid w:val="771F6DA9"/>
    <w:rsid w:val="77273E3E"/>
    <w:rsid w:val="772C4148"/>
    <w:rsid w:val="772D2D9F"/>
    <w:rsid w:val="77434104"/>
    <w:rsid w:val="774B0BA9"/>
    <w:rsid w:val="77553225"/>
    <w:rsid w:val="775A7F45"/>
    <w:rsid w:val="776244EC"/>
    <w:rsid w:val="777349AC"/>
    <w:rsid w:val="777E07EF"/>
    <w:rsid w:val="777F30DE"/>
    <w:rsid w:val="7798366F"/>
    <w:rsid w:val="77A54B9E"/>
    <w:rsid w:val="77B33C85"/>
    <w:rsid w:val="77CC53A2"/>
    <w:rsid w:val="77CC5DE3"/>
    <w:rsid w:val="77F55376"/>
    <w:rsid w:val="77F84529"/>
    <w:rsid w:val="781007A0"/>
    <w:rsid w:val="7822182D"/>
    <w:rsid w:val="783A5F58"/>
    <w:rsid w:val="784F4855"/>
    <w:rsid w:val="78631CA6"/>
    <w:rsid w:val="78654354"/>
    <w:rsid w:val="78703466"/>
    <w:rsid w:val="7874552D"/>
    <w:rsid w:val="788B02FE"/>
    <w:rsid w:val="78921279"/>
    <w:rsid w:val="789434A2"/>
    <w:rsid w:val="78986F25"/>
    <w:rsid w:val="789E38D2"/>
    <w:rsid w:val="78A4516C"/>
    <w:rsid w:val="78C71CF9"/>
    <w:rsid w:val="78CC26F3"/>
    <w:rsid w:val="78D37FAF"/>
    <w:rsid w:val="78D63C88"/>
    <w:rsid w:val="78DA268D"/>
    <w:rsid w:val="78EC4417"/>
    <w:rsid w:val="78F3522E"/>
    <w:rsid w:val="78FB2FEE"/>
    <w:rsid w:val="78FC72C9"/>
    <w:rsid w:val="78FF006C"/>
    <w:rsid w:val="790F18C0"/>
    <w:rsid w:val="79284561"/>
    <w:rsid w:val="79291C6E"/>
    <w:rsid w:val="792E2BA3"/>
    <w:rsid w:val="79482222"/>
    <w:rsid w:val="794842DB"/>
    <w:rsid w:val="79703A50"/>
    <w:rsid w:val="798A6ABA"/>
    <w:rsid w:val="7997527B"/>
    <w:rsid w:val="799956BD"/>
    <w:rsid w:val="79A23AC1"/>
    <w:rsid w:val="79A500A9"/>
    <w:rsid w:val="79B85A12"/>
    <w:rsid w:val="79CA4FD2"/>
    <w:rsid w:val="79F14121"/>
    <w:rsid w:val="79F53FA2"/>
    <w:rsid w:val="79F75862"/>
    <w:rsid w:val="7A197440"/>
    <w:rsid w:val="7A223609"/>
    <w:rsid w:val="7A252828"/>
    <w:rsid w:val="7A326307"/>
    <w:rsid w:val="7A350662"/>
    <w:rsid w:val="7A372B43"/>
    <w:rsid w:val="7A44480C"/>
    <w:rsid w:val="7A505612"/>
    <w:rsid w:val="7A5717E7"/>
    <w:rsid w:val="7A596C15"/>
    <w:rsid w:val="7A677EA2"/>
    <w:rsid w:val="7A710C7F"/>
    <w:rsid w:val="7A802904"/>
    <w:rsid w:val="7A8F3742"/>
    <w:rsid w:val="7A9279F6"/>
    <w:rsid w:val="7A9413AE"/>
    <w:rsid w:val="7AA37E55"/>
    <w:rsid w:val="7AB96681"/>
    <w:rsid w:val="7ABA1851"/>
    <w:rsid w:val="7AC2196B"/>
    <w:rsid w:val="7ACA09C8"/>
    <w:rsid w:val="7AD46321"/>
    <w:rsid w:val="7AE07EBB"/>
    <w:rsid w:val="7AE82733"/>
    <w:rsid w:val="7AEB441B"/>
    <w:rsid w:val="7AEC3C28"/>
    <w:rsid w:val="7B022228"/>
    <w:rsid w:val="7B1B45F0"/>
    <w:rsid w:val="7B355364"/>
    <w:rsid w:val="7B364F1D"/>
    <w:rsid w:val="7B4A11BE"/>
    <w:rsid w:val="7B4B13F7"/>
    <w:rsid w:val="7B4D232C"/>
    <w:rsid w:val="7B527778"/>
    <w:rsid w:val="7B5465F3"/>
    <w:rsid w:val="7B663BB8"/>
    <w:rsid w:val="7B6F6B0A"/>
    <w:rsid w:val="7B731B95"/>
    <w:rsid w:val="7B7965F5"/>
    <w:rsid w:val="7B7C4CCB"/>
    <w:rsid w:val="7B9749E4"/>
    <w:rsid w:val="7BAB345A"/>
    <w:rsid w:val="7BB01100"/>
    <w:rsid w:val="7BC277EE"/>
    <w:rsid w:val="7BC519DE"/>
    <w:rsid w:val="7BE424D4"/>
    <w:rsid w:val="7BFE67CE"/>
    <w:rsid w:val="7C0A31F8"/>
    <w:rsid w:val="7C1A4033"/>
    <w:rsid w:val="7C370588"/>
    <w:rsid w:val="7C3776F2"/>
    <w:rsid w:val="7C555E33"/>
    <w:rsid w:val="7C6243DD"/>
    <w:rsid w:val="7C656B56"/>
    <w:rsid w:val="7CC00796"/>
    <w:rsid w:val="7CC066AD"/>
    <w:rsid w:val="7CCF2277"/>
    <w:rsid w:val="7CD01390"/>
    <w:rsid w:val="7CD439B7"/>
    <w:rsid w:val="7CE54C97"/>
    <w:rsid w:val="7CED707B"/>
    <w:rsid w:val="7CF20143"/>
    <w:rsid w:val="7CFC48B9"/>
    <w:rsid w:val="7D0329AB"/>
    <w:rsid w:val="7D032E2D"/>
    <w:rsid w:val="7D0F0EC3"/>
    <w:rsid w:val="7D164CC3"/>
    <w:rsid w:val="7D18425A"/>
    <w:rsid w:val="7D2E589D"/>
    <w:rsid w:val="7D341239"/>
    <w:rsid w:val="7D345172"/>
    <w:rsid w:val="7D4509A2"/>
    <w:rsid w:val="7D6108FC"/>
    <w:rsid w:val="7D676D8D"/>
    <w:rsid w:val="7D70069E"/>
    <w:rsid w:val="7D790F88"/>
    <w:rsid w:val="7D7B6428"/>
    <w:rsid w:val="7D982F4B"/>
    <w:rsid w:val="7D985324"/>
    <w:rsid w:val="7DA13EA4"/>
    <w:rsid w:val="7DA1452B"/>
    <w:rsid w:val="7DA2269D"/>
    <w:rsid w:val="7DA419BD"/>
    <w:rsid w:val="7DA74F27"/>
    <w:rsid w:val="7DB56EC3"/>
    <w:rsid w:val="7DB7431A"/>
    <w:rsid w:val="7DBF62FB"/>
    <w:rsid w:val="7DDF653D"/>
    <w:rsid w:val="7DEF39BC"/>
    <w:rsid w:val="7E122BD0"/>
    <w:rsid w:val="7E2A3353"/>
    <w:rsid w:val="7E7E09BD"/>
    <w:rsid w:val="7E9B156F"/>
    <w:rsid w:val="7EC329DD"/>
    <w:rsid w:val="7EC85A83"/>
    <w:rsid w:val="7EE24646"/>
    <w:rsid w:val="7EEE633C"/>
    <w:rsid w:val="7EEF7EC5"/>
    <w:rsid w:val="7F096AA5"/>
    <w:rsid w:val="7F535694"/>
    <w:rsid w:val="7F5B1F7D"/>
    <w:rsid w:val="7F6D0E6B"/>
    <w:rsid w:val="7F6F0306"/>
    <w:rsid w:val="7F7E3ED1"/>
    <w:rsid w:val="7F8718CB"/>
    <w:rsid w:val="7F8D0E37"/>
    <w:rsid w:val="7F914B7A"/>
    <w:rsid w:val="7F950FBD"/>
    <w:rsid w:val="7F956660"/>
    <w:rsid w:val="7FB718CB"/>
    <w:rsid w:val="7FC166D5"/>
    <w:rsid w:val="7FC770DA"/>
    <w:rsid w:val="7FCE3564"/>
    <w:rsid w:val="7FD34919"/>
    <w:rsid w:val="7FDF3485"/>
    <w:rsid w:val="7FE5589A"/>
    <w:rsid w:val="7FF81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qFormat="1" w:uiPriority="99"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0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5"/>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link w:val="95"/>
    <w:qFormat/>
    <w:uiPriority w:val="0"/>
    <w:pPr>
      <w:keepNext/>
      <w:keepLines/>
      <w:spacing w:before="260" w:after="260" w:line="413" w:lineRule="auto"/>
      <w:outlineLvl w:val="1"/>
    </w:pPr>
    <w:rPr>
      <w:rFonts w:ascii="Arial" w:hAnsi="Arial" w:eastAsia="黑体"/>
      <w:b/>
      <w:bCs/>
      <w:kern w:val="0"/>
      <w:sz w:val="32"/>
      <w:szCs w:val="32"/>
    </w:rPr>
  </w:style>
  <w:style w:type="paragraph" w:styleId="5">
    <w:name w:val="heading 3"/>
    <w:basedOn w:val="1"/>
    <w:next w:val="1"/>
    <w:link w:val="79"/>
    <w:qFormat/>
    <w:uiPriority w:val="0"/>
    <w:pPr>
      <w:keepNext/>
      <w:keepLines/>
      <w:spacing w:line="416" w:lineRule="auto"/>
      <w:outlineLvl w:val="2"/>
    </w:pPr>
    <w:rPr>
      <w:b/>
      <w:bCs/>
      <w:sz w:val="32"/>
      <w:szCs w:val="32"/>
    </w:rPr>
  </w:style>
  <w:style w:type="paragraph" w:styleId="6">
    <w:name w:val="heading 4"/>
    <w:basedOn w:val="1"/>
    <w:next w:val="1"/>
    <w:link w:val="6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70"/>
    <w:qFormat/>
    <w:uiPriority w:val="0"/>
    <w:pPr>
      <w:keepNext/>
      <w:widowControl/>
      <w:spacing w:before="280" w:after="290" w:line="374" w:lineRule="auto"/>
      <w:outlineLvl w:val="4"/>
    </w:pPr>
    <w:rPr>
      <w:rFonts w:ascii="Calibri" w:hAnsi="Calibri"/>
      <w:b/>
      <w:bCs/>
      <w:kern w:val="0"/>
      <w:sz w:val="28"/>
      <w:szCs w:val="28"/>
    </w:rPr>
  </w:style>
  <w:style w:type="paragraph" w:styleId="8">
    <w:name w:val="heading 6"/>
    <w:basedOn w:val="1"/>
    <w:next w:val="1"/>
    <w:link w:val="71"/>
    <w:qFormat/>
    <w:uiPriority w:val="0"/>
    <w:pPr>
      <w:keepNext/>
      <w:widowControl/>
      <w:spacing w:before="240" w:after="64" w:line="319" w:lineRule="auto"/>
      <w:ind w:left="1152" w:hanging="1152"/>
      <w:jc w:val="left"/>
      <w:outlineLvl w:val="5"/>
    </w:pPr>
    <w:rPr>
      <w:rFonts w:ascii="Arial" w:hAnsi="Arial" w:cs="Arial"/>
      <w:b/>
      <w:bCs/>
      <w:kern w:val="0"/>
      <w:sz w:val="24"/>
    </w:rPr>
  </w:style>
  <w:style w:type="paragraph" w:styleId="9">
    <w:name w:val="heading 7"/>
    <w:basedOn w:val="1"/>
    <w:next w:val="1"/>
    <w:link w:val="72"/>
    <w:qFormat/>
    <w:uiPriority w:val="0"/>
    <w:pPr>
      <w:keepNext/>
      <w:widowControl/>
      <w:spacing w:before="240" w:after="64" w:line="319" w:lineRule="auto"/>
      <w:ind w:left="1296" w:hanging="1296"/>
      <w:jc w:val="left"/>
      <w:outlineLvl w:val="6"/>
    </w:pPr>
    <w:rPr>
      <w:rFonts w:ascii="Calibri" w:hAnsi="Calibri"/>
      <w:b/>
      <w:bCs/>
      <w:kern w:val="0"/>
      <w:sz w:val="24"/>
    </w:rPr>
  </w:style>
  <w:style w:type="paragraph" w:styleId="10">
    <w:name w:val="heading 8"/>
    <w:basedOn w:val="1"/>
    <w:next w:val="1"/>
    <w:link w:val="73"/>
    <w:qFormat/>
    <w:uiPriority w:val="0"/>
    <w:pPr>
      <w:keepNext/>
      <w:widowControl/>
      <w:spacing w:before="240" w:after="64" w:line="319" w:lineRule="auto"/>
      <w:ind w:left="1440" w:hanging="1440"/>
      <w:jc w:val="left"/>
      <w:outlineLvl w:val="7"/>
    </w:pPr>
    <w:rPr>
      <w:rFonts w:ascii="Arial" w:hAnsi="Arial" w:cs="Arial"/>
      <w:kern w:val="0"/>
      <w:sz w:val="24"/>
    </w:rPr>
  </w:style>
  <w:style w:type="paragraph" w:styleId="11">
    <w:name w:val="heading 9"/>
    <w:basedOn w:val="1"/>
    <w:next w:val="1"/>
    <w:link w:val="74"/>
    <w:qFormat/>
    <w:uiPriority w:val="0"/>
    <w:pPr>
      <w:keepNext/>
      <w:widowControl/>
      <w:spacing w:before="240" w:after="64" w:line="319" w:lineRule="auto"/>
      <w:ind w:left="1584" w:hanging="1584"/>
      <w:jc w:val="left"/>
      <w:outlineLvl w:val="8"/>
    </w:pPr>
    <w:rPr>
      <w:rFonts w:ascii="Arial" w:hAnsi="Arial" w:cs="Arial"/>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12">
    <w:name w:val="toc 7"/>
    <w:basedOn w:val="1"/>
    <w:next w:val="1"/>
    <w:qFormat/>
    <w:uiPriority w:val="0"/>
    <w:pPr>
      <w:ind w:left="2520" w:leftChars="1200"/>
    </w:pPr>
    <w:rPr>
      <w:rFonts w:ascii="Calibri" w:hAnsi="Calibri"/>
    </w:rPr>
  </w:style>
  <w:style w:type="paragraph" w:styleId="13">
    <w:name w:val="Document Map"/>
    <w:basedOn w:val="1"/>
    <w:link w:val="238"/>
    <w:qFormat/>
    <w:uiPriority w:val="0"/>
    <w:pPr>
      <w:widowControl/>
    </w:pPr>
    <w:rPr>
      <w:rFonts w:ascii="宋体" w:hAnsi="宋体"/>
      <w:kern w:val="0"/>
      <w:sz w:val="20"/>
      <w:szCs w:val="20"/>
    </w:rPr>
  </w:style>
  <w:style w:type="paragraph" w:styleId="14">
    <w:name w:val="toa heading"/>
    <w:basedOn w:val="1"/>
    <w:next w:val="1"/>
    <w:qFormat/>
    <w:uiPriority w:val="0"/>
    <w:pPr>
      <w:spacing w:before="120"/>
    </w:pPr>
    <w:rPr>
      <w:rFonts w:ascii="Arial" w:hAnsi="Arial"/>
      <w:b/>
      <w:bCs/>
    </w:rPr>
  </w:style>
  <w:style w:type="paragraph" w:styleId="15">
    <w:name w:val="annotation text"/>
    <w:basedOn w:val="1"/>
    <w:link w:val="232"/>
    <w:qFormat/>
    <w:uiPriority w:val="0"/>
    <w:pPr>
      <w:jc w:val="left"/>
    </w:pPr>
  </w:style>
  <w:style w:type="paragraph" w:styleId="16">
    <w:name w:val="Body Text 3"/>
    <w:basedOn w:val="1"/>
    <w:link w:val="78"/>
    <w:qFormat/>
    <w:uiPriority w:val="0"/>
    <w:rPr>
      <w:rFonts w:ascii="宋体"/>
      <w:sz w:val="24"/>
      <w:szCs w:val="20"/>
    </w:rPr>
  </w:style>
  <w:style w:type="paragraph" w:styleId="17">
    <w:name w:val="Body Text"/>
    <w:basedOn w:val="1"/>
    <w:next w:val="1"/>
    <w:link w:val="178"/>
    <w:qFormat/>
    <w:uiPriority w:val="0"/>
    <w:pPr>
      <w:widowControl/>
      <w:spacing w:after="120"/>
    </w:pPr>
    <w:rPr>
      <w:rFonts w:ascii="宋体" w:hAnsi="宋体"/>
      <w:kern w:val="0"/>
      <w:sz w:val="20"/>
      <w:szCs w:val="20"/>
    </w:rPr>
  </w:style>
  <w:style w:type="paragraph" w:styleId="18">
    <w:name w:val="Body Text Indent"/>
    <w:basedOn w:val="1"/>
    <w:link w:val="145"/>
    <w:qFormat/>
    <w:uiPriority w:val="0"/>
    <w:pPr>
      <w:spacing w:after="120"/>
      <w:ind w:left="420" w:leftChars="200"/>
    </w:pPr>
  </w:style>
  <w:style w:type="paragraph" w:styleId="19">
    <w:name w:val="List 2"/>
    <w:basedOn w:val="1"/>
    <w:qFormat/>
    <w:uiPriority w:val="0"/>
    <w:pPr>
      <w:ind w:left="100" w:hanging="200"/>
    </w:pPr>
    <w:rPr>
      <w:rFonts w:ascii="Calibri" w:hAnsi="Calibri"/>
    </w:rPr>
  </w:style>
  <w:style w:type="paragraph" w:styleId="2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21">
    <w:name w:val="toc 5"/>
    <w:basedOn w:val="1"/>
    <w:next w:val="1"/>
    <w:qFormat/>
    <w:uiPriority w:val="0"/>
    <w:pPr>
      <w:ind w:left="1680" w:leftChars="800"/>
    </w:pPr>
    <w:rPr>
      <w:rFonts w:ascii="Calibri" w:hAnsi="Calibri"/>
    </w:rPr>
  </w:style>
  <w:style w:type="paragraph" w:styleId="22">
    <w:name w:val="toc 3"/>
    <w:basedOn w:val="1"/>
    <w:next w:val="1"/>
    <w:qFormat/>
    <w:uiPriority w:val="0"/>
    <w:pPr>
      <w:ind w:left="840" w:leftChars="400"/>
    </w:pPr>
    <w:rPr>
      <w:rFonts w:ascii="Calibri" w:hAnsi="Calibri"/>
    </w:rPr>
  </w:style>
  <w:style w:type="paragraph" w:styleId="23">
    <w:name w:val="Plain Text"/>
    <w:basedOn w:val="1"/>
    <w:link w:val="122"/>
    <w:qFormat/>
    <w:uiPriority w:val="0"/>
    <w:rPr>
      <w:rFonts w:ascii="宋体"/>
      <w:szCs w:val="21"/>
    </w:rPr>
  </w:style>
  <w:style w:type="paragraph" w:styleId="24">
    <w:name w:val="toc 8"/>
    <w:basedOn w:val="1"/>
    <w:next w:val="1"/>
    <w:qFormat/>
    <w:uiPriority w:val="0"/>
    <w:pPr>
      <w:ind w:left="2940" w:leftChars="1400"/>
    </w:pPr>
    <w:rPr>
      <w:rFonts w:ascii="Calibri" w:hAnsi="Calibri"/>
    </w:rPr>
  </w:style>
  <w:style w:type="paragraph" w:styleId="25">
    <w:name w:val="Date"/>
    <w:basedOn w:val="1"/>
    <w:next w:val="1"/>
    <w:link w:val="211"/>
    <w:qFormat/>
    <w:uiPriority w:val="0"/>
    <w:pPr>
      <w:widowControl/>
    </w:pPr>
    <w:rPr>
      <w:rFonts w:ascii="宋体" w:hAnsi="宋体"/>
      <w:kern w:val="0"/>
      <w:sz w:val="20"/>
      <w:szCs w:val="20"/>
    </w:rPr>
  </w:style>
  <w:style w:type="paragraph" w:styleId="26">
    <w:name w:val="Body Text Indent 2"/>
    <w:basedOn w:val="1"/>
    <w:link w:val="220"/>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 w:val="24"/>
      <w:szCs w:val="20"/>
    </w:rPr>
  </w:style>
  <w:style w:type="paragraph" w:styleId="27">
    <w:name w:val="endnote text"/>
    <w:basedOn w:val="1"/>
    <w:link w:val="166"/>
    <w:qFormat/>
    <w:uiPriority w:val="0"/>
    <w:pPr>
      <w:widowControl/>
      <w:snapToGrid w:val="0"/>
      <w:jc w:val="left"/>
    </w:pPr>
    <w:rPr>
      <w:rFonts w:ascii="Calibri" w:hAnsi="Calibri"/>
    </w:rPr>
  </w:style>
  <w:style w:type="paragraph" w:styleId="28">
    <w:name w:val="Balloon Text"/>
    <w:basedOn w:val="1"/>
    <w:link w:val="68"/>
    <w:qFormat/>
    <w:uiPriority w:val="0"/>
    <w:rPr>
      <w:sz w:val="18"/>
      <w:szCs w:val="18"/>
    </w:rPr>
  </w:style>
  <w:style w:type="paragraph" w:styleId="29">
    <w:name w:val="footer"/>
    <w:basedOn w:val="1"/>
    <w:link w:val="92"/>
    <w:qFormat/>
    <w:uiPriority w:val="99"/>
    <w:pPr>
      <w:tabs>
        <w:tab w:val="center" w:pos="4153"/>
        <w:tab w:val="right" w:pos="8306"/>
      </w:tabs>
      <w:snapToGrid w:val="0"/>
      <w:jc w:val="left"/>
    </w:pPr>
    <w:rPr>
      <w:sz w:val="18"/>
      <w:szCs w:val="18"/>
    </w:rPr>
  </w:style>
  <w:style w:type="paragraph" w:styleId="30">
    <w:name w:val="header"/>
    <w:basedOn w:val="1"/>
    <w:link w:val="137"/>
    <w:qFormat/>
    <w:uiPriority w:val="0"/>
    <w:pPr>
      <w:widowControl/>
      <w:snapToGrid w:val="0"/>
      <w:jc w:val="center"/>
    </w:pPr>
    <w:rPr>
      <w:kern w:val="0"/>
      <w:sz w:val="18"/>
      <w:szCs w:val="18"/>
    </w:rPr>
  </w:style>
  <w:style w:type="paragraph" w:styleId="31">
    <w:name w:val="toc 1"/>
    <w:basedOn w:val="1"/>
    <w:next w:val="1"/>
    <w:qFormat/>
    <w:uiPriority w:val="0"/>
    <w:pPr>
      <w:widowControl/>
      <w:spacing w:after="100" w:line="276" w:lineRule="auto"/>
      <w:jc w:val="left"/>
    </w:pPr>
    <w:rPr>
      <w:rFonts w:ascii="Calibri" w:hAnsi="Calibri" w:cs="宋体"/>
      <w:kern w:val="0"/>
      <w:sz w:val="22"/>
      <w:szCs w:val="22"/>
    </w:rPr>
  </w:style>
  <w:style w:type="paragraph" w:styleId="32">
    <w:name w:val="toc 4"/>
    <w:basedOn w:val="1"/>
    <w:next w:val="1"/>
    <w:qFormat/>
    <w:uiPriority w:val="0"/>
    <w:pPr>
      <w:ind w:left="1260" w:leftChars="600"/>
    </w:pPr>
    <w:rPr>
      <w:rFonts w:ascii="Calibri" w:hAnsi="Calibri"/>
    </w:rPr>
  </w:style>
  <w:style w:type="paragraph" w:styleId="33">
    <w:name w:val="Subtitle"/>
    <w:basedOn w:val="1"/>
    <w:link w:val="180"/>
    <w:qFormat/>
    <w:uiPriority w:val="0"/>
    <w:pPr>
      <w:widowControl/>
      <w:spacing w:before="240" w:after="60" w:line="312" w:lineRule="auto"/>
      <w:jc w:val="center"/>
    </w:pPr>
    <w:rPr>
      <w:rFonts w:ascii="Cambria" w:hAnsi="Cambria"/>
      <w:b/>
      <w:bCs/>
      <w:kern w:val="0"/>
      <w:sz w:val="20"/>
      <w:szCs w:val="20"/>
    </w:rPr>
  </w:style>
  <w:style w:type="paragraph" w:styleId="34">
    <w:name w:val="footnote text"/>
    <w:basedOn w:val="1"/>
    <w:link w:val="223"/>
    <w:qFormat/>
    <w:uiPriority w:val="0"/>
    <w:rPr>
      <w:rFonts w:ascii="Calibri" w:hAnsi="Calibri"/>
      <w:sz w:val="20"/>
      <w:szCs w:val="20"/>
    </w:rPr>
  </w:style>
  <w:style w:type="paragraph" w:styleId="35">
    <w:name w:val="toc 6"/>
    <w:basedOn w:val="1"/>
    <w:next w:val="1"/>
    <w:qFormat/>
    <w:uiPriority w:val="0"/>
    <w:pPr>
      <w:ind w:left="2100" w:leftChars="1000"/>
    </w:pPr>
    <w:rPr>
      <w:rFonts w:ascii="Calibri" w:hAnsi="Calibri"/>
    </w:rPr>
  </w:style>
  <w:style w:type="paragraph" w:styleId="36">
    <w:name w:val="Body Text Indent 3"/>
    <w:basedOn w:val="1"/>
    <w:link w:val="206"/>
    <w:qFormat/>
    <w:uiPriority w:val="0"/>
    <w:pPr>
      <w:widowControl/>
      <w:spacing w:after="120"/>
      <w:ind w:left="420"/>
    </w:pPr>
    <w:rPr>
      <w:rFonts w:ascii="宋体" w:hAnsi="宋体"/>
      <w:kern w:val="0"/>
      <w:sz w:val="20"/>
      <w:szCs w:val="20"/>
    </w:rPr>
  </w:style>
  <w:style w:type="paragraph" w:styleId="37">
    <w:name w:val="table of figures"/>
    <w:basedOn w:val="1"/>
    <w:next w:val="1"/>
    <w:qFormat/>
    <w:uiPriority w:val="0"/>
    <w:pPr>
      <w:ind w:left="200" w:leftChars="200" w:hanging="200" w:hangingChars="200"/>
    </w:pPr>
    <w:rPr>
      <w:rFonts w:ascii="Calibri" w:hAnsi="Calibri"/>
    </w:rPr>
  </w:style>
  <w:style w:type="paragraph" w:styleId="38">
    <w:name w:val="toc 2"/>
    <w:basedOn w:val="1"/>
    <w:next w:val="1"/>
    <w:qFormat/>
    <w:uiPriority w:val="0"/>
    <w:pPr>
      <w:ind w:left="420" w:leftChars="200"/>
    </w:pPr>
    <w:rPr>
      <w:rFonts w:ascii="Calibri" w:hAnsi="Calibri"/>
    </w:rPr>
  </w:style>
  <w:style w:type="paragraph" w:styleId="39">
    <w:name w:val="toc 9"/>
    <w:basedOn w:val="1"/>
    <w:next w:val="1"/>
    <w:qFormat/>
    <w:uiPriority w:val="0"/>
    <w:pPr>
      <w:ind w:left="3360" w:leftChars="1600"/>
    </w:pPr>
    <w:rPr>
      <w:rFonts w:ascii="Calibri" w:hAnsi="Calibri"/>
    </w:rPr>
  </w:style>
  <w:style w:type="paragraph" w:styleId="40">
    <w:name w:val="Body Text 2"/>
    <w:basedOn w:val="1"/>
    <w:link w:val="177"/>
    <w:qFormat/>
    <w:uiPriority w:val="0"/>
    <w:pPr>
      <w:widowControl/>
    </w:pPr>
    <w:rPr>
      <w:rFonts w:ascii="宋体" w:hAnsi="宋体"/>
      <w:kern w:val="0"/>
      <w:sz w:val="20"/>
      <w:szCs w:val="20"/>
    </w:rPr>
  </w:style>
  <w:style w:type="paragraph" w:styleId="41">
    <w:name w:val="HTML Preformatted"/>
    <w:basedOn w:val="1"/>
    <w:link w:val="1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jc w:val="left"/>
    </w:pPr>
    <w:rPr>
      <w:rFonts w:ascii="宋体" w:hAnsi="宋体" w:cs="宋体"/>
      <w:kern w:val="0"/>
      <w:sz w:val="20"/>
      <w:szCs w:val="20"/>
    </w:rPr>
  </w:style>
  <w:style w:type="paragraph" w:styleId="42">
    <w:name w:val="Normal (Web)"/>
    <w:basedOn w:val="1"/>
    <w:next w:val="29"/>
    <w:qFormat/>
    <w:uiPriority w:val="0"/>
    <w:pPr>
      <w:widowControl/>
      <w:spacing w:beforeAutospacing="1" w:afterAutospacing="1"/>
      <w:jc w:val="left"/>
    </w:pPr>
    <w:rPr>
      <w:rFonts w:ascii="宋体" w:hAnsi="宋体" w:cs="宋体"/>
      <w:kern w:val="0"/>
      <w:sz w:val="24"/>
    </w:rPr>
  </w:style>
  <w:style w:type="paragraph" w:styleId="43">
    <w:name w:val="index 1"/>
    <w:basedOn w:val="1"/>
    <w:next w:val="1"/>
    <w:qFormat/>
    <w:uiPriority w:val="0"/>
    <w:rPr>
      <w:rFonts w:ascii="Calibri" w:hAnsi="Calibri"/>
      <w:szCs w:val="20"/>
    </w:rPr>
  </w:style>
  <w:style w:type="paragraph" w:styleId="44">
    <w:name w:val="Title"/>
    <w:basedOn w:val="1"/>
    <w:link w:val="190"/>
    <w:qFormat/>
    <w:uiPriority w:val="0"/>
    <w:pPr>
      <w:widowControl/>
      <w:spacing w:before="240" w:after="60"/>
      <w:jc w:val="center"/>
    </w:pPr>
    <w:rPr>
      <w:rFonts w:ascii="Cambria" w:hAnsi="Cambria"/>
      <w:b/>
      <w:bCs/>
      <w:kern w:val="0"/>
      <w:sz w:val="20"/>
      <w:szCs w:val="20"/>
    </w:rPr>
  </w:style>
  <w:style w:type="paragraph" w:styleId="45">
    <w:name w:val="annotation subject"/>
    <w:basedOn w:val="15"/>
    <w:next w:val="15"/>
    <w:link w:val="233"/>
    <w:qFormat/>
    <w:uiPriority w:val="0"/>
    <w:pPr>
      <w:widowControl/>
    </w:pPr>
    <w:rPr>
      <w:b/>
      <w:bCs/>
      <w:kern w:val="0"/>
      <w:sz w:val="20"/>
      <w:szCs w:val="20"/>
    </w:rPr>
  </w:style>
  <w:style w:type="paragraph" w:styleId="46">
    <w:name w:val="Body Text First Indent"/>
    <w:basedOn w:val="17"/>
    <w:link w:val="252"/>
    <w:qFormat/>
    <w:uiPriority w:val="0"/>
    <w:pPr>
      <w:widowControl w:val="0"/>
      <w:ind w:firstLine="420" w:firstLineChars="100"/>
    </w:pPr>
    <w:rPr>
      <w:rFonts w:eastAsia="仿宋_GB2312"/>
      <w:spacing w:val="-20"/>
      <w:kern w:val="2"/>
      <w:sz w:val="21"/>
      <w:szCs w:val="24"/>
    </w:rPr>
  </w:style>
  <w:style w:type="paragraph" w:styleId="47">
    <w:name w:val="Body Text First Indent 2"/>
    <w:basedOn w:val="18"/>
    <w:qFormat/>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0"/>
    <w:rPr>
      <w:rFonts w:cs="Times New Roman"/>
      <w:color w:val="800080"/>
      <w:u w:val="single"/>
    </w:rPr>
  </w:style>
  <w:style w:type="character" w:styleId="54">
    <w:name w:val="Emphasis"/>
    <w:qFormat/>
    <w:uiPriority w:val="0"/>
  </w:style>
  <w:style w:type="character" w:styleId="55">
    <w:name w:val="HTML Definition"/>
    <w:unhideWhenUsed/>
    <w:qFormat/>
    <w:uiPriority w:val="99"/>
  </w:style>
  <w:style w:type="character" w:styleId="56">
    <w:name w:val="HTML Variable"/>
    <w:unhideWhenUsed/>
    <w:qFormat/>
    <w:uiPriority w:val="99"/>
  </w:style>
  <w:style w:type="character" w:styleId="57">
    <w:name w:val="Hyperlink"/>
    <w:qFormat/>
    <w:uiPriority w:val="0"/>
    <w:rPr>
      <w:color w:val="0000FF"/>
      <w:u w:val="none"/>
    </w:rPr>
  </w:style>
  <w:style w:type="character" w:styleId="58">
    <w:name w:val="HTML Code"/>
    <w:unhideWhenUsed/>
    <w:qFormat/>
    <w:uiPriority w:val="99"/>
    <w:rPr>
      <w:rFonts w:hint="default" w:ascii="Courier New" w:hAnsi="Courier New" w:eastAsia="Courier New" w:cs="Courier New"/>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footnote reference"/>
    <w:qFormat/>
    <w:uiPriority w:val="0"/>
    <w:rPr>
      <w:vertAlign w:val="superscript"/>
    </w:rPr>
  </w:style>
  <w:style w:type="character" w:styleId="62">
    <w:name w:val="HTML Keyboard"/>
    <w:unhideWhenUsed/>
    <w:qFormat/>
    <w:uiPriority w:val="99"/>
    <w:rPr>
      <w:rFonts w:ascii="Courier New" w:hAnsi="Courier New" w:eastAsia="Courier New" w:cs="Courier New"/>
      <w:sz w:val="20"/>
    </w:rPr>
  </w:style>
  <w:style w:type="character" w:styleId="63">
    <w:name w:val="HTML Sample"/>
    <w:unhideWhenUsed/>
    <w:qFormat/>
    <w:uiPriority w:val="99"/>
    <w:rPr>
      <w:rFonts w:hint="default" w:ascii="Courier New" w:hAnsi="Courier New" w:eastAsia="Courier New" w:cs="Courier New"/>
    </w:rPr>
  </w:style>
  <w:style w:type="paragraph" w:customStyle="1" w:styleId="6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5">
    <w:name w:val="列出段落2"/>
    <w:basedOn w:val="1"/>
    <w:qFormat/>
    <w:uiPriority w:val="34"/>
    <w:pPr>
      <w:ind w:firstLine="420" w:firstLineChars="200"/>
    </w:pPr>
    <w:rPr>
      <w:sz w:val="24"/>
    </w:rPr>
  </w:style>
  <w:style w:type="paragraph" w:customStyle="1" w:styleId="66">
    <w:name w:val="目录"/>
    <w:basedOn w:val="1"/>
    <w:qFormat/>
    <w:uiPriority w:val="0"/>
    <w:pPr>
      <w:widowControl/>
      <w:jc w:val="center"/>
    </w:pPr>
    <w:rPr>
      <w:rFonts w:ascii="宋体"/>
      <w:b/>
      <w:kern w:val="0"/>
      <w:sz w:val="36"/>
      <w:szCs w:val="20"/>
    </w:rPr>
  </w:style>
  <w:style w:type="paragraph" w:customStyle="1" w:styleId="67">
    <w:name w:val="WPSOffice手动目录 1"/>
    <w:qFormat/>
    <w:uiPriority w:val="0"/>
    <w:rPr>
      <w:rFonts w:ascii="Times New Roman" w:hAnsi="Times New Roman" w:eastAsia="宋体" w:cs="Times New Roman"/>
      <w:lang w:val="en-US" w:eastAsia="zh-CN" w:bidi="ar-SA"/>
    </w:rPr>
  </w:style>
  <w:style w:type="character" w:customStyle="1" w:styleId="68">
    <w:name w:val="批注框文本 Char"/>
    <w:basedOn w:val="50"/>
    <w:link w:val="28"/>
    <w:qFormat/>
    <w:uiPriority w:val="0"/>
    <w:rPr>
      <w:kern w:val="2"/>
      <w:sz w:val="18"/>
      <w:szCs w:val="18"/>
    </w:rPr>
  </w:style>
  <w:style w:type="character" w:customStyle="1" w:styleId="69">
    <w:name w:val="标题 4 Char"/>
    <w:basedOn w:val="50"/>
    <w:link w:val="6"/>
    <w:qFormat/>
    <w:uiPriority w:val="0"/>
    <w:rPr>
      <w:rFonts w:ascii="Arial" w:hAnsi="Arial" w:eastAsia="黑体"/>
      <w:b/>
      <w:bCs/>
      <w:kern w:val="2"/>
      <w:sz w:val="28"/>
      <w:szCs w:val="28"/>
    </w:rPr>
  </w:style>
  <w:style w:type="character" w:customStyle="1" w:styleId="70">
    <w:name w:val="标题 5 Char"/>
    <w:basedOn w:val="50"/>
    <w:link w:val="7"/>
    <w:qFormat/>
    <w:uiPriority w:val="0"/>
    <w:rPr>
      <w:rFonts w:ascii="Calibri" w:hAnsi="Calibri"/>
      <w:b/>
      <w:bCs/>
      <w:sz w:val="28"/>
      <w:szCs w:val="28"/>
    </w:rPr>
  </w:style>
  <w:style w:type="character" w:customStyle="1" w:styleId="71">
    <w:name w:val="标题 6 Char"/>
    <w:basedOn w:val="50"/>
    <w:link w:val="8"/>
    <w:qFormat/>
    <w:uiPriority w:val="0"/>
    <w:rPr>
      <w:rFonts w:ascii="Arial" w:hAnsi="Arial" w:cs="Arial"/>
      <w:b/>
      <w:bCs/>
      <w:sz w:val="24"/>
      <w:szCs w:val="24"/>
    </w:rPr>
  </w:style>
  <w:style w:type="character" w:customStyle="1" w:styleId="72">
    <w:name w:val="标题 7 Char"/>
    <w:basedOn w:val="50"/>
    <w:link w:val="9"/>
    <w:qFormat/>
    <w:uiPriority w:val="0"/>
    <w:rPr>
      <w:rFonts w:ascii="Calibri" w:hAnsi="Calibri"/>
      <w:b/>
      <w:bCs/>
      <w:sz w:val="24"/>
      <w:szCs w:val="24"/>
    </w:rPr>
  </w:style>
  <w:style w:type="character" w:customStyle="1" w:styleId="73">
    <w:name w:val="标题 8 Char"/>
    <w:basedOn w:val="50"/>
    <w:link w:val="10"/>
    <w:qFormat/>
    <w:uiPriority w:val="0"/>
    <w:rPr>
      <w:rFonts w:ascii="Arial" w:hAnsi="Arial" w:cs="Arial"/>
      <w:sz w:val="24"/>
      <w:szCs w:val="24"/>
    </w:rPr>
  </w:style>
  <w:style w:type="character" w:customStyle="1" w:styleId="74">
    <w:name w:val="标题 9 Char"/>
    <w:basedOn w:val="50"/>
    <w:link w:val="11"/>
    <w:qFormat/>
    <w:uiPriority w:val="0"/>
    <w:rPr>
      <w:rFonts w:ascii="Arial" w:hAnsi="Arial" w:cs="Arial"/>
      <w:sz w:val="21"/>
      <w:szCs w:val="21"/>
    </w:rPr>
  </w:style>
  <w:style w:type="character" w:customStyle="1" w:styleId="75">
    <w:name w:val="普通文字 Char1"/>
    <w:qFormat/>
    <w:uiPriority w:val="0"/>
    <w:rPr>
      <w:rFonts w:ascii="宋体" w:hAnsi="Courier New" w:cs="Courier New"/>
      <w:kern w:val="2"/>
      <w:sz w:val="21"/>
      <w:szCs w:val="21"/>
    </w:rPr>
  </w:style>
  <w:style w:type="character" w:customStyle="1" w:styleId="76">
    <w:name w:val="ꌢ 2 Char"/>
    <w:link w:val="77"/>
    <w:qFormat/>
    <w:uiPriority w:val="0"/>
    <w:rPr>
      <w:rFonts w:ascii="Arial" w:hAnsi="Arial"/>
      <w:b/>
      <w:bCs/>
    </w:rPr>
  </w:style>
  <w:style w:type="paragraph" w:customStyle="1" w:styleId="77">
    <w:name w:val="ꌢ 2"/>
    <w:basedOn w:val="1"/>
    <w:link w:val="76"/>
    <w:qFormat/>
    <w:uiPriority w:val="0"/>
    <w:pPr>
      <w:widowControl/>
    </w:pPr>
    <w:rPr>
      <w:rFonts w:ascii="Arial" w:hAnsi="Arial"/>
      <w:b/>
      <w:bCs/>
      <w:kern w:val="0"/>
      <w:sz w:val="20"/>
      <w:szCs w:val="20"/>
    </w:rPr>
  </w:style>
  <w:style w:type="character" w:customStyle="1" w:styleId="78">
    <w:name w:val="正文文本 3 Char"/>
    <w:link w:val="16"/>
    <w:qFormat/>
    <w:uiPriority w:val="0"/>
    <w:rPr>
      <w:rFonts w:ascii="宋体"/>
      <w:kern w:val="2"/>
      <w:sz w:val="24"/>
    </w:rPr>
  </w:style>
  <w:style w:type="character" w:customStyle="1" w:styleId="79">
    <w:name w:val="标题 3 Char"/>
    <w:link w:val="5"/>
    <w:qFormat/>
    <w:uiPriority w:val="0"/>
    <w:rPr>
      <w:b/>
      <w:bCs/>
      <w:kern w:val="2"/>
      <w:sz w:val="32"/>
      <w:szCs w:val="32"/>
    </w:rPr>
  </w:style>
  <w:style w:type="character" w:customStyle="1" w:styleId="80">
    <w:name w:val="引用 Char"/>
    <w:qFormat/>
    <w:uiPriority w:val="0"/>
    <w:rPr>
      <w:i/>
      <w:iCs/>
      <w:color w:val="000000"/>
      <w:kern w:val="2"/>
      <w:sz w:val="21"/>
      <w:szCs w:val="24"/>
    </w:rPr>
  </w:style>
  <w:style w:type="character" w:customStyle="1" w:styleId="81">
    <w:name w:val="Char Char5"/>
    <w:qFormat/>
    <w:uiPriority w:val="0"/>
    <w:rPr>
      <w:rFonts w:ascii="Times New Roman" w:hAnsi="Times New Roman" w:cs="Times New Roman"/>
      <w:sz w:val="24"/>
    </w:rPr>
  </w:style>
  <w:style w:type="character" w:customStyle="1" w:styleId="82">
    <w:name w:val="副标题 Char"/>
    <w:qFormat/>
    <w:uiPriority w:val="0"/>
    <w:rPr>
      <w:rFonts w:ascii="Cambria" w:hAnsi="Cambria"/>
      <w:b/>
      <w:bCs/>
    </w:rPr>
  </w:style>
  <w:style w:type="character" w:customStyle="1" w:styleId="83">
    <w:name w:val="Char Char2"/>
    <w:qFormat/>
    <w:uiPriority w:val="0"/>
    <w:rPr>
      <w:rFonts w:eastAsia="宋体"/>
      <w:kern w:val="2"/>
      <w:sz w:val="21"/>
      <w:szCs w:val="24"/>
      <w:lang w:val="en-US" w:eastAsia="zh-CN" w:bidi="ar-SA"/>
    </w:rPr>
  </w:style>
  <w:style w:type="character" w:customStyle="1" w:styleId="84">
    <w:name w:val="font161"/>
    <w:qFormat/>
    <w:uiPriority w:val="0"/>
    <w:rPr>
      <w:b/>
      <w:bCs/>
      <w:sz w:val="32"/>
      <w:szCs w:val="32"/>
    </w:rPr>
  </w:style>
  <w:style w:type="character" w:customStyle="1" w:styleId="85">
    <w:name w:val="Body Text Indent Char1"/>
    <w:qFormat/>
    <w:uiPriority w:val="0"/>
    <w:rPr>
      <w:rFonts w:ascii="Times New Roman" w:hAnsi="Times New Roman"/>
      <w:szCs w:val="21"/>
    </w:rPr>
  </w:style>
  <w:style w:type="character" w:customStyle="1" w:styleId="86">
    <w:name w:val="Char Char"/>
    <w:qFormat/>
    <w:uiPriority w:val="0"/>
    <w:rPr>
      <w:rFonts w:ascii="Arial" w:hAnsi="Arial" w:eastAsia="黑体"/>
      <w:b/>
      <w:bCs/>
      <w:kern w:val="2"/>
      <w:sz w:val="32"/>
      <w:szCs w:val="32"/>
      <w:lang w:val="en-US" w:eastAsia="zh-CN" w:bidi="ar-SA"/>
    </w:rPr>
  </w:style>
  <w:style w:type="character" w:customStyle="1" w:styleId="87">
    <w:name w:val="正文文字4 Char Char"/>
    <w:qFormat/>
    <w:uiPriority w:val="0"/>
    <w:rPr>
      <w:kern w:val="2"/>
      <w:sz w:val="21"/>
      <w:szCs w:val="24"/>
    </w:rPr>
  </w:style>
  <w:style w:type="character" w:customStyle="1" w:styleId="88">
    <w:name w:val="标题 3 Char Char"/>
    <w:qFormat/>
    <w:uiPriority w:val="0"/>
    <w:rPr>
      <w:rFonts w:eastAsia="黑体"/>
      <w:b/>
      <w:kern w:val="2"/>
      <w:sz w:val="28"/>
      <w:lang w:val="en-US" w:eastAsia="zh-CN" w:bidi="ar-SA"/>
    </w:rPr>
  </w:style>
  <w:style w:type="character" w:customStyle="1" w:styleId="89">
    <w:name w:val="Body Text Indent 3 Char1"/>
    <w:qFormat/>
    <w:uiPriority w:val="0"/>
    <w:rPr>
      <w:rFonts w:ascii="Times New Roman" w:hAnsi="Times New Roman"/>
      <w:sz w:val="16"/>
      <w:szCs w:val="16"/>
    </w:rPr>
  </w:style>
  <w:style w:type="character" w:customStyle="1" w:styleId="90">
    <w:name w:val="普通(网站) Char Char"/>
    <w:link w:val="91"/>
    <w:qFormat/>
    <w:uiPriority w:val="0"/>
    <w:rPr>
      <w:rFonts w:ascii="宋体" w:hAnsi="宋体"/>
      <w:sz w:val="24"/>
    </w:rPr>
  </w:style>
  <w:style w:type="paragraph" w:customStyle="1" w:styleId="91">
    <w:name w:val="普通(网站)1"/>
    <w:basedOn w:val="1"/>
    <w:link w:val="90"/>
    <w:qFormat/>
    <w:uiPriority w:val="0"/>
    <w:pPr>
      <w:widowControl/>
      <w:spacing w:before="100" w:beforeAutospacing="1" w:after="100" w:afterAutospacing="1" w:line="360" w:lineRule="auto"/>
      <w:ind w:firstLine="420" w:firstLineChars="200"/>
      <w:jc w:val="left"/>
    </w:pPr>
    <w:rPr>
      <w:rFonts w:ascii="宋体" w:hAnsi="宋体"/>
      <w:kern w:val="0"/>
      <w:sz w:val="24"/>
      <w:szCs w:val="20"/>
    </w:rPr>
  </w:style>
  <w:style w:type="character" w:customStyle="1" w:styleId="92">
    <w:name w:val="页脚 Char"/>
    <w:link w:val="29"/>
    <w:qFormat/>
    <w:uiPriority w:val="99"/>
    <w:rPr>
      <w:kern w:val="2"/>
      <w:sz w:val="18"/>
      <w:szCs w:val="18"/>
    </w:rPr>
  </w:style>
  <w:style w:type="character" w:customStyle="1" w:styleId="93">
    <w:name w:val="普通(网站) Char"/>
    <w:qFormat/>
    <w:uiPriority w:val="0"/>
    <w:rPr>
      <w:rFonts w:ascii="宋体" w:eastAsia="宋体"/>
      <w:sz w:val="24"/>
      <w:szCs w:val="24"/>
      <w:lang w:bidi="ar-SA"/>
    </w:rPr>
  </w:style>
  <w:style w:type="character" w:customStyle="1" w:styleId="94">
    <w:name w:val="style11"/>
    <w:qFormat/>
    <w:uiPriority w:val="0"/>
  </w:style>
  <w:style w:type="character" w:customStyle="1" w:styleId="95">
    <w:name w:val="标题 2 Char"/>
    <w:link w:val="4"/>
    <w:qFormat/>
    <w:uiPriority w:val="0"/>
    <w:rPr>
      <w:rFonts w:ascii="Arial" w:hAnsi="Arial" w:eastAsia="黑体"/>
      <w:b/>
      <w:bCs/>
      <w:sz w:val="32"/>
      <w:szCs w:val="32"/>
    </w:rPr>
  </w:style>
  <w:style w:type="character" w:customStyle="1" w:styleId="96">
    <w:name w:val="标题 1 Char1"/>
    <w:qFormat/>
    <w:uiPriority w:val="0"/>
    <w:rPr>
      <w:rFonts w:eastAsia="宋体"/>
      <w:b/>
      <w:bCs/>
      <w:kern w:val="44"/>
      <w:sz w:val="32"/>
      <w:szCs w:val="44"/>
      <w:lang w:val="en-US" w:eastAsia="zh-CN" w:bidi="ar-SA"/>
    </w:rPr>
  </w:style>
  <w:style w:type="character" w:customStyle="1" w:styleId="97">
    <w:name w:val="z-窗体底端 Char"/>
    <w:qFormat/>
    <w:uiPriority w:val="0"/>
    <w:rPr>
      <w:rFonts w:ascii="Arial" w:hAnsi="Arial"/>
      <w:vanish/>
      <w:sz w:val="16"/>
      <w:szCs w:val="16"/>
    </w:rPr>
  </w:style>
  <w:style w:type="paragraph" w:customStyle="1" w:styleId="98">
    <w:name w:val="z-窗体底端1"/>
    <w:basedOn w:val="1"/>
    <w:next w:val="1"/>
    <w:link w:val="207"/>
    <w:qFormat/>
    <w:uiPriority w:val="0"/>
    <w:pPr>
      <w:pBdr>
        <w:top w:val="single" w:color="auto" w:sz="6" w:space="1"/>
      </w:pBdr>
      <w:jc w:val="center"/>
    </w:pPr>
    <w:rPr>
      <w:rFonts w:ascii="Arial" w:hAnsi="Arial"/>
      <w:vanish/>
      <w:kern w:val="0"/>
      <w:sz w:val="16"/>
      <w:szCs w:val="16"/>
    </w:rPr>
  </w:style>
  <w:style w:type="character" w:customStyle="1" w:styleId="99">
    <w:name w:val="尾注文本 Char"/>
    <w:qFormat/>
    <w:uiPriority w:val="0"/>
    <w:rPr>
      <w:rFonts w:ascii="Calibri" w:hAnsi="Calibri"/>
      <w:kern w:val="2"/>
      <w:sz w:val="21"/>
      <w:szCs w:val="24"/>
    </w:rPr>
  </w:style>
  <w:style w:type="character" w:customStyle="1" w:styleId="100">
    <w:name w:val="on"/>
    <w:basedOn w:val="50"/>
    <w:qFormat/>
    <w:uiPriority w:val="0"/>
  </w:style>
  <w:style w:type="character" w:customStyle="1" w:styleId="101">
    <w:name w:val="Document Map Char1"/>
    <w:qFormat/>
    <w:uiPriority w:val="0"/>
    <w:rPr>
      <w:rFonts w:ascii="Times New Roman" w:hAnsi="Times New Roman"/>
      <w:sz w:val="16"/>
      <w:szCs w:val="0"/>
    </w:rPr>
  </w:style>
  <w:style w:type="character" w:customStyle="1" w:styleId="102">
    <w:name w:val="正文文本 Char"/>
    <w:qFormat/>
    <w:uiPriority w:val="0"/>
    <w:rPr>
      <w:rFonts w:ascii="宋体" w:hAnsi="宋体"/>
    </w:rPr>
  </w:style>
  <w:style w:type="character" w:customStyle="1" w:styleId="103">
    <w:name w:val="Char Char4"/>
    <w:qFormat/>
    <w:uiPriority w:val="0"/>
    <w:rPr>
      <w:rFonts w:ascii="仿宋_GB2312" w:hAnsi="Times New Roman" w:eastAsia="仿宋_GB2312"/>
      <w:spacing w:val="-20"/>
      <w:kern w:val="2"/>
      <w:sz w:val="28"/>
    </w:rPr>
  </w:style>
  <w:style w:type="character" w:customStyle="1" w:styleId="104">
    <w:name w:val="Char Char7"/>
    <w:qFormat/>
    <w:uiPriority w:val="0"/>
    <w:rPr>
      <w:rFonts w:ascii="Arial" w:hAnsi="Arial" w:eastAsia="黑体"/>
      <w:b/>
      <w:bCs/>
      <w:kern w:val="2"/>
      <w:sz w:val="32"/>
      <w:szCs w:val="32"/>
      <w:lang w:val="en-US" w:eastAsia="zh-CN" w:bidi="ar-SA"/>
    </w:rPr>
  </w:style>
  <w:style w:type="character" w:customStyle="1" w:styleId="105">
    <w:name w:val="Date Char1"/>
    <w:qFormat/>
    <w:uiPriority w:val="0"/>
    <w:rPr>
      <w:rFonts w:ascii="Times New Roman" w:hAnsi="Times New Roman"/>
      <w:szCs w:val="21"/>
    </w:rPr>
  </w:style>
  <w:style w:type="character" w:customStyle="1" w:styleId="106">
    <w:name w:val="Blockquote Char"/>
    <w:link w:val="107"/>
    <w:qFormat/>
    <w:uiPriority w:val="0"/>
    <w:rPr>
      <w:sz w:val="24"/>
    </w:rPr>
  </w:style>
  <w:style w:type="paragraph" w:customStyle="1" w:styleId="107">
    <w:name w:val="Blockquote"/>
    <w:basedOn w:val="1"/>
    <w:link w:val="106"/>
    <w:qFormat/>
    <w:uiPriority w:val="0"/>
    <w:pPr>
      <w:autoSpaceDE w:val="0"/>
      <w:autoSpaceDN w:val="0"/>
      <w:adjustRightInd w:val="0"/>
      <w:spacing w:before="100" w:after="100"/>
      <w:ind w:left="360" w:right="360"/>
      <w:jc w:val="left"/>
    </w:pPr>
    <w:rPr>
      <w:kern w:val="0"/>
      <w:sz w:val="24"/>
      <w:szCs w:val="20"/>
    </w:rPr>
  </w:style>
  <w:style w:type="character" w:customStyle="1" w:styleId="108">
    <w:name w:val="Body Text 3 Char1"/>
    <w:qFormat/>
    <w:uiPriority w:val="0"/>
    <w:rPr>
      <w:rFonts w:ascii="Times New Roman" w:hAnsi="Times New Roman"/>
      <w:sz w:val="16"/>
      <w:szCs w:val="16"/>
    </w:rPr>
  </w:style>
  <w:style w:type="character" w:customStyle="1" w:styleId="109">
    <w:name w:val="Body Text Indent 2 Char1"/>
    <w:qFormat/>
    <w:uiPriority w:val="0"/>
    <w:rPr>
      <w:rFonts w:ascii="Times New Roman" w:hAnsi="Times New Roman"/>
      <w:szCs w:val="21"/>
    </w:rPr>
  </w:style>
  <w:style w:type="character" w:customStyle="1" w:styleId="110">
    <w:name w:val="z-窗体顶端 Char"/>
    <w:qFormat/>
    <w:uiPriority w:val="0"/>
    <w:rPr>
      <w:rFonts w:ascii="Arial" w:hAnsi="Arial"/>
      <w:vanish/>
      <w:sz w:val="16"/>
      <w:szCs w:val="16"/>
    </w:rPr>
  </w:style>
  <w:style w:type="paragraph" w:customStyle="1" w:styleId="111">
    <w:name w:val="z-窗体顶端1"/>
    <w:basedOn w:val="1"/>
    <w:next w:val="1"/>
    <w:link w:val="217"/>
    <w:qFormat/>
    <w:uiPriority w:val="0"/>
    <w:pPr>
      <w:pBdr>
        <w:bottom w:val="single" w:color="auto" w:sz="6" w:space="1"/>
      </w:pBdr>
      <w:jc w:val="center"/>
    </w:pPr>
    <w:rPr>
      <w:rFonts w:ascii="Arial" w:hAnsi="Arial"/>
      <w:vanish/>
      <w:kern w:val="0"/>
      <w:sz w:val="16"/>
      <w:szCs w:val="16"/>
    </w:rPr>
  </w:style>
  <w:style w:type="character" w:customStyle="1" w:styleId="112">
    <w:name w:val="Char Char25"/>
    <w:qFormat/>
    <w:uiPriority w:val="0"/>
    <w:rPr>
      <w:b/>
      <w:bCs/>
      <w:kern w:val="44"/>
      <w:sz w:val="44"/>
      <w:szCs w:val="44"/>
    </w:rPr>
  </w:style>
  <w:style w:type="character" w:customStyle="1" w:styleId="113">
    <w:name w:val="z-Bottom of Form Char1"/>
    <w:qFormat/>
    <w:uiPriority w:val="0"/>
    <w:rPr>
      <w:rFonts w:ascii="Arial" w:hAnsi="Arial" w:cs="Arial"/>
      <w:vanish/>
      <w:sz w:val="16"/>
      <w:szCs w:val="16"/>
    </w:rPr>
  </w:style>
  <w:style w:type="character" w:customStyle="1" w:styleId="114">
    <w:name w:val="尾注文本 Char1"/>
    <w:semiHidden/>
    <w:qFormat/>
    <w:uiPriority w:val="99"/>
    <w:rPr>
      <w:kern w:val="2"/>
      <w:sz w:val="21"/>
      <w:szCs w:val="24"/>
    </w:rPr>
  </w:style>
  <w:style w:type="character" w:customStyle="1" w:styleId="115">
    <w:name w:val="z-Top of Form Char1"/>
    <w:qFormat/>
    <w:uiPriority w:val="0"/>
    <w:rPr>
      <w:rFonts w:ascii="Arial" w:hAnsi="Arial" w:cs="Arial"/>
      <w:vanish/>
      <w:sz w:val="16"/>
      <w:szCs w:val="16"/>
    </w:rPr>
  </w:style>
  <w:style w:type="character" w:customStyle="1" w:styleId="116">
    <w:name w:val="Char Char6"/>
    <w:qFormat/>
    <w:uiPriority w:val="0"/>
    <w:rPr>
      <w:rFonts w:ascii="Times New Roman" w:hAnsi="Times New Roman" w:cs="Times New Roman"/>
      <w:b/>
      <w:bCs/>
      <w:kern w:val="2"/>
      <w:sz w:val="21"/>
      <w:szCs w:val="24"/>
    </w:rPr>
  </w:style>
  <w:style w:type="character" w:customStyle="1" w:styleId="117">
    <w:name w:val="日期 Char"/>
    <w:qFormat/>
    <w:uiPriority w:val="0"/>
    <w:rPr>
      <w:rFonts w:ascii="宋体" w:hAnsi="宋体"/>
    </w:rPr>
  </w:style>
  <w:style w:type="character" w:customStyle="1" w:styleId="118">
    <w:name w:val="Char Char8"/>
    <w:qFormat/>
    <w:uiPriority w:val="0"/>
    <w:rPr>
      <w:rFonts w:ascii="Arial" w:hAnsi="Arial" w:eastAsia="黑体"/>
      <w:b/>
      <w:bCs/>
      <w:kern w:val="2"/>
      <w:sz w:val="32"/>
      <w:szCs w:val="32"/>
      <w:lang w:val="en-US" w:eastAsia="zh-CN" w:bidi="ar-SA"/>
    </w:rPr>
  </w:style>
  <w:style w:type="character" w:customStyle="1" w:styleId="119">
    <w:name w:val="批注文字 Char"/>
    <w:qFormat/>
    <w:uiPriority w:val="0"/>
    <w:rPr>
      <w:rFonts w:eastAsia="宋体"/>
      <w:sz w:val="21"/>
      <w:szCs w:val="21"/>
      <w:lang w:val="en-US" w:eastAsia="zh-CN" w:bidi="ar-SA"/>
    </w:rPr>
  </w:style>
  <w:style w:type="character" w:customStyle="1" w:styleId="120">
    <w:name w:val="ꌢ 3 Char"/>
    <w:link w:val="121"/>
    <w:qFormat/>
    <w:uiPriority w:val="0"/>
    <w:rPr>
      <w:rFonts w:ascii="Ђˎ̥" w:hAnsi="Ђˎ̥"/>
      <w:b/>
      <w:bCs/>
    </w:rPr>
  </w:style>
  <w:style w:type="paragraph" w:customStyle="1" w:styleId="121">
    <w:name w:val="ꌢ 3"/>
    <w:basedOn w:val="1"/>
    <w:link w:val="120"/>
    <w:qFormat/>
    <w:uiPriority w:val="0"/>
    <w:pPr>
      <w:widowControl/>
    </w:pPr>
    <w:rPr>
      <w:rFonts w:ascii="Ђˎ̥" w:hAnsi="Ђˎ̥"/>
      <w:b/>
      <w:bCs/>
      <w:kern w:val="0"/>
      <w:sz w:val="20"/>
      <w:szCs w:val="20"/>
    </w:rPr>
  </w:style>
  <w:style w:type="character" w:customStyle="1" w:styleId="122">
    <w:name w:val="纯文本 Char"/>
    <w:link w:val="23"/>
    <w:qFormat/>
    <w:uiPriority w:val="0"/>
    <w:rPr>
      <w:rFonts w:ascii="宋体"/>
      <w:kern w:val="2"/>
      <w:sz w:val="21"/>
      <w:szCs w:val="21"/>
    </w:rPr>
  </w:style>
  <w:style w:type="character" w:customStyle="1" w:styleId="123">
    <w:name w:val="批注主题 Char"/>
    <w:qFormat/>
    <w:uiPriority w:val="0"/>
    <w:rPr>
      <w:b/>
      <w:bCs/>
    </w:rPr>
  </w:style>
  <w:style w:type="character" w:customStyle="1" w:styleId="124">
    <w:name w:val="标题 3 Char1"/>
    <w:qFormat/>
    <w:uiPriority w:val="0"/>
    <w:rPr>
      <w:rFonts w:ascii="宋体" w:hAnsi="宋体" w:eastAsia="宋体"/>
      <w:bCs/>
      <w:color w:val="000000"/>
      <w:sz w:val="28"/>
      <w:szCs w:val="21"/>
      <w:lang w:val="en-US" w:eastAsia="zh-CN" w:bidi="ar-SA"/>
    </w:rPr>
  </w:style>
  <w:style w:type="character" w:customStyle="1" w:styleId="125">
    <w:name w:val="标题 1 Char"/>
    <w:link w:val="3"/>
    <w:qFormat/>
    <w:uiPriority w:val="0"/>
    <w:rPr>
      <w:rFonts w:ascii="黑体" w:eastAsia="黑体"/>
      <w:sz w:val="52"/>
    </w:rPr>
  </w:style>
  <w:style w:type="character" w:customStyle="1" w:styleId="126">
    <w:name w:val="Body Text Char1"/>
    <w:qFormat/>
    <w:uiPriority w:val="0"/>
    <w:rPr>
      <w:rFonts w:ascii="Times New Roman" w:hAnsi="Times New Roman"/>
      <w:szCs w:val="21"/>
    </w:rPr>
  </w:style>
  <w:style w:type="character" w:customStyle="1" w:styleId="127">
    <w:name w:val="文档结构图 Char"/>
    <w:qFormat/>
    <w:uiPriority w:val="0"/>
    <w:rPr>
      <w:rFonts w:ascii="宋体" w:hAnsi="宋体"/>
    </w:rPr>
  </w:style>
  <w:style w:type="character" w:customStyle="1" w:styleId="128">
    <w:name w:val="正文文本缩进 2 Char"/>
    <w:qFormat/>
    <w:uiPriority w:val="0"/>
    <w:rPr>
      <w:rFonts w:ascii="宋体" w:hAnsi="MS Sans Serif"/>
      <w:spacing w:val="12"/>
      <w:sz w:val="24"/>
    </w:rPr>
  </w:style>
  <w:style w:type="character" w:customStyle="1" w:styleId="129">
    <w:name w:val="Quote Char Char"/>
    <w:link w:val="130"/>
    <w:qFormat/>
    <w:uiPriority w:val="0"/>
    <w:rPr>
      <w:i/>
      <w:iCs/>
      <w:color w:val="000000"/>
      <w:sz w:val="24"/>
      <w:szCs w:val="24"/>
    </w:rPr>
  </w:style>
  <w:style w:type="paragraph" w:customStyle="1" w:styleId="130">
    <w:name w:val="Quote1"/>
    <w:basedOn w:val="1"/>
    <w:next w:val="1"/>
    <w:link w:val="129"/>
    <w:qFormat/>
    <w:uiPriority w:val="0"/>
    <w:rPr>
      <w:i/>
      <w:iCs/>
      <w:color w:val="000000"/>
      <w:kern w:val="0"/>
      <w:sz w:val="24"/>
    </w:rPr>
  </w:style>
  <w:style w:type="character" w:customStyle="1" w:styleId="131">
    <w:name w:val="标题 Char"/>
    <w:qFormat/>
    <w:uiPriority w:val="0"/>
    <w:rPr>
      <w:rFonts w:ascii="Cambria" w:hAnsi="Cambria"/>
      <w:b/>
      <w:bCs/>
    </w:rPr>
  </w:style>
  <w:style w:type="character" w:customStyle="1" w:styleId="132">
    <w:name w:val="Para head"/>
    <w:qFormat/>
    <w:uiPriority w:val="0"/>
    <w:rPr>
      <w:rFonts w:ascii="Arial" w:hAnsi="Arial" w:cs="Times New Roman"/>
      <w:sz w:val="20"/>
    </w:rPr>
  </w:style>
  <w:style w:type="character" w:customStyle="1" w:styleId="133">
    <w:name w:val="不明显强调1"/>
    <w:qFormat/>
    <w:uiPriority w:val="0"/>
    <w:rPr>
      <w:i/>
      <w:iCs/>
      <w:color w:val="808080"/>
    </w:rPr>
  </w:style>
  <w:style w:type="character" w:customStyle="1" w:styleId="134">
    <w:name w:val="Quote Char"/>
    <w:qFormat/>
    <w:uiPriority w:val="0"/>
    <w:rPr>
      <w:rFonts w:eastAsia="宋体"/>
      <w:i/>
      <w:iCs/>
      <w:color w:val="000000"/>
      <w:sz w:val="24"/>
      <w:szCs w:val="24"/>
      <w:lang w:bidi="ar-SA"/>
    </w:rPr>
  </w:style>
  <w:style w:type="character" w:customStyle="1" w:styleId="135">
    <w:name w:val="Char Char1"/>
    <w:qFormat/>
    <w:uiPriority w:val="0"/>
    <w:rPr>
      <w:rFonts w:ascii="Times New Roman" w:hAnsi="Times New Roman" w:eastAsia="仿宋_GB2312"/>
      <w:spacing w:val="-20"/>
      <w:kern w:val="2"/>
      <w:sz w:val="21"/>
      <w:szCs w:val="24"/>
    </w:rPr>
  </w:style>
  <w:style w:type="character" w:customStyle="1" w:styleId="136">
    <w:name w:val="Char Char3"/>
    <w:qFormat/>
    <w:uiPriority w:val="0"/>
    <w:rPr>
      <w:rFonts w:ascii="Cambria" w:hAnsi="Cambria" w:cs="Times New Roman"/>
      <w:b/>
      <w:bCs/>
      <w:kern w:val="2"/>
      <w:sz w:val="32"/>
      <w:szCs w:val="32"/>
    </w:rPr>
  </w:style>
  <w:style w:type="character" w:customStyle="1" w:styleId="137">
    <w:name w:val="页眉 Char"/>
    <w:link w:val="30"/>
    <w:qFormat/>
    <w:uiPriority w:val="0"/>
    <w:rPr>
      <w:sz w:val="18"/>
      <w:szCs w:val="18"/>
    </w:rPr>
  </w:style>
  <w:style w:type="character" w:customStyle="1" w:styleId="138">
    <w:name w:val="Title Char"/>
    <w:qFormat/>
    <w:locked/>
    <w:uiPriority w:val="0"/>
    <w:rPr>
      <w:rFonts w:ascii="Cambria" w:hAnsi="Cambria" w:cs="Times New Roman"/>
      <w:b/>
      <w:bCs/>
      <w:sz w:val="32"/>
      <w:szCs w:val="32"/>
    </w:rPr>
  </w:style>
  <w:style w:type="character" w:customStyle="1" w:styleId="139">
    <w:name w:val="Char Char71"/>
    <w:qFormat/>
    <w:uiPriority w:val="0"/>
    <w:rPr>
      <w:rFonts w:ascii="宋体"/>
      <w:kern w:val="2"/>
      <w:sz w:val="24"/>
    </w:rPr>
  </w:style>
  <w:style w:type="character" w:customStyle="1" w:styleId="140">
    <w:name w:val="正文文本缩进 3 Char"/>
    <w:qFormat/>
    <w:uiPriority w:val="0"/>
    <w:rPr>
      <w:rFonts w:ascii="宋体" w:hAnsi="宋体"/>
    </w:rPr>
  </w:style>
  <w:style w:type="character" w:customStyle="1" w:styleId="141">
    <w:name w:val="Char Char21"/>
    <w:qFormat/>
    <w:uiPriority w:val="0"/>
    <w:rPr>
      <w:kern w:val="2"/>
      <w:sz w:val="18"/>
      <w:szCs w:val="18"/>
    </w:rPr>
  </w:style>
  <w:style w:type="character" w:customStyle="1" w:styleId="142">
    <w:name w:val="手改 Char Char"/>
    <w:qFormat/>
    <w:uiPriority w:val="0"/>
    <w:rPr>
      <w:kern w:val="2"/>
      <w:sz w:val="21"/>
      <w:szCs w:val="24"/>
    </w:rPr>
  </w:style>
  <w:style w:type="character" w:customStyle="1" w:styleId="143">
    <w:name w:val="style61"/>
    <w:qFormat/>
    <w:uiPriority w:val="0"/>
    <w:rPr>
      <w:color w:val="FF0000"/>
    </w:rPr>
  </w:style>
  <w:style w:type="character" w:customStyle="1" w:styleId="144">
    <w:name w:val="h Char"/>
    <w:qFormat/>
    <w:uiPriority w:val="0"/>
    <w:rPr>
      <w:rFonts w:ascii="Bodoni MT" w:hAnsi="Bodoni MT" w:eastAsia="宋体"/>
      <w:kern w:val="2"/>
      <w:sz w:val="18"/>
      <w:szCs w:val="18"/>
      <w:lang w:val="en-US" w:eastAsia="zh-CN" w:bidi="ar-SA"/>
    </w:rPr>
  </w:style>
  <w:style w:type="character" w:customStyle="1" w:styleId="145">
    <w:name w:val="正文文本缩进 Char"/>
    <w:link w:val="18"/>
    <w:qFormat/>
    <w:uiPriority w:val="0"/>
    <w:rPr>
      <w:kern w:val="2"/>
      <w:sz w:val="21"/>
      <w:szCs w:val="24"/>
    </w:rPr>
  </w:style>
  <w:style w:type="character" w:customStyle="1" w:styleId="146">
    <w:name w:val="正文首行缩进 Char"/>
    <w:qFormat/>
    <w:uiPriority w:val="0"/>
    <w:rPr>
      <w:rFonts w:ascii="宋体" w:hAnsi="宋体" w:eastAsia="仿宋_GB2312"/>
      <w:spacing w:val="-20"/>
      <w:kern w:val="2"/>
      <w:sz w:val="21"/>
      <w:szCs w:val="24"/>
    </w:rPr>
  </w:style>
  <w:style w:type="character" w:customStyle="1" w:styleId="147">
    <w:name w:val="引用 Char1"/>
    <w:qFormat/>
    <w:uiPriority w:val="0"/>
    <w:rPr>
      <w:i/>
      <w:iCs/>
      <w:color w:val="000000"/>
      <w:kern w:val="2"/>
      <w:sz w:val="21"/>
      <w:szCs w:val="24"/>
    </w:rPr>
  </w:style>
  <w:style w:type="paragraph" w:styleId="148">
    <w:name w:val="Quote"/>
    <w:basedOn w:val="1"/>
    <w:next w:val="1"/>
    <w:link w:val="236"/>
    <w:qFormat/>
    <w:uiPriority w:val="0"/>
    <w:rPr>
      <w:i/>
      <w:iCs/>
      <w:color w:val="000000"/>
    </w:rPr>
  </w:style>
  <w:style w:type="character" w:customStyle="1" w:styleId="149">
    <w:name w:val="ҳŻ"/>
    <w:link w:val="150"/>
    <w:qFormat/>
    <w:uiPriority w:val="0"/>
    <w:rPr>
      <w:rFonts w:ascii="Arial" w:hAnsi="Arial" w:cs="Arial"/>
      <w:sz w:val="32"/>
      <w:szCs w:val="32"/>
    </w:rPr>
  </w:style>
  <w:style w:type="paragraph" w:customStyle="1" w:styleId="150">
    <w:name w:val="ҳŠChar1"/>
    <w:basedOn w:val="1"/>
    <w:link w:val="149"/>
    <w:qFormat/>
    <w:uiPriority w:val="0"/>
    <w:pPr>
      <w:keepNext/>
      <w:widowControl/>
      <w:spacing w:after="120" w:line="400" w:lineRule="atLeast"/>
      <w:jc w:val="center"/>
    </w:pPr>
    <w:rPr>
      <w:rFonts w:ascii="Arial" w:hAnsi="Arial" w:cs="Arial"/>
      <w:kern w:val="0"/>
      <w:sz w:val="32"/>
      <w:szCs w:val="32"/>
    </w:rPr>
  </w:style>
  <w:style w:type="character" w:customStyle="1" w:styleId="151">
    <w:name w:val="标题 1 Char Char"/>
    <w:qFormat/>
    <w:uiPriority w:val="0"/>
    <w:rPr>
      <w:rFonts w:eastAsia="黑体"/>
      <w:b/>
      <w:kern w:val="2"/>
      <w:sz w:val="28"/>
      <w:lang w:val="en-US" w:eastAsia="zh-CN" w:bidi="ar-SA"/>
    </w:rPr>
  </w:style>
  <w:style w:type="character" w:customStyle="1" w:styleId="152">
    <w:name w:val="hidden1"/>
    <w:qFormat/>
    <w:uiPriority w:val="0"/>
    <w:rPr>
      <w:vanish/>
    </w:rPr>
  </w:style>
  <w:style w:type="character" w:customStyle="1" w:styleId="153">
    <w:name w:val="Balloon Text Char1"/>
    <w:qFormat/>
    <w:uiPriority w:val="0"/>
    <w:rPr>
      <w:rFonts w:ascii="Times New Roman" w:hAnsi="Times New Roman"/>
      <w:sz w:val="16"/>
      <w:szCs w:val="0"/>
    </w:rPr>
  </w:style>
  <w:style w:type="character" w:customStyle="1" w:styleId="154">
    <w:name w:val="正文文本 2 Char"/>
    <w:qFormat/>
    <w:uiPriority w:val="0"/>
    <w:rPr>
      <w:rFonts w:ascii="宋体" w:hAnsi="宋体"/>
    </w:rPr>
  </w:style>
  <w:style w:type="character" w:customStyle="1" w:styleId="155">
    <w:name w:val="msonormal"/>
    <w:basedOn w:val="50"/>
    <w:qFormat/>
    <w:uiPriority w:val="0"/>
  </w:style>
  <w:style w:type="character" w:customStyle="1" w:styleId="156">
    <w:name w:val="明显强调1"/>
    <w:qFormat/>
    <w:uiPriority w:val="0"/>
    <w:rPr>
      <w:rFonts w:eastAsia="仿宋_GB2312"/>
      <w:bCs/>
      <w:iCs/>
      <w:color w:val="auto"/>
      <w:sz w:val="32"/>
    </w:rPr>
  </w:style>
  <w:style w:type="paragraph" w:customStyle="1" w:styleId="157">
    <w:name w:val="font11"/>
    <w:basedOn w:val="1"/>
    <w:qFormat/>
    <w:uiPriority w:val="0"/>
    <w:pPr>
      <w:widowControl/>
      <w:spacing w:before="100" w:beforeAutospacing="1" w:after="100" w:afterAutospacing="1"/>
      <w:jc w:val="left"/>
    </w:pPr>
    <w:rPr>
      <w:rFonts w:ascii="Calibri" w:hAnsi="Calibri" w:eastAsia="Arial Unicode MS"/>
      <w:color w:val="FF0000"/>
      <w:kern w:val="0"/>
      <w:sz w:val="24"/>
    </w:rPr>
  </w:style>
  <w:style w:type="paragraph" w:customStyle="1" w:styleId="1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9">
    <w:name w:val="xl33"/>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160">
    <w:name w:val="xl82"/>
    <w:basedOn w:val="1"/>
    <w:qFormat/>
    <w:uiPriority w:val="0"/>
    <w:pPr>
      <w:widowControl/>
      <w:pBdr>
        <w:top w:val="single" w:color="000000" w:sz="4" w:space="0"/>
        <w:lef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161">
    <w:name w:val="Char1 Char Char Char"/>
    <w:basedOn w:val="1"/>
    <w:qFormat/>
    <w:uiPriority w:val="0"/>
    <w:rPr>
      <w:rFonts w:ascii="Tahoma" w:hAnsi="Tahoma"/>
      <w:sz w:val="24"/>
      <w:szCs w:val="20"/>
    </w:rPr>
  </w:style>
  <w:style w:type="paragraph" w:customStyle="1" w:styleId="162">
    <w:name w:val="Char1 Char Char Char1"/>
    <w:basedOn w:val="1"/>
    <w:qFormat/>
    <w:uiPriority w:val="0"/>
    <w:pPr>
      <w:widowControl/>
      <w:spacing w:after="160" w:line="240" w:lineRule="exact"/>
      <w:jc w:val="left"/>
    </w:pPr>
    <w:rPr>
      <w:rFonts w:ascii="Bodoni MT" w:hAnsi="Bodoni MT"/>
    </w:rPr>
  </w:style>
  <w:style w:type="paragraph" w:customStyle="1" w:styleId="163">
    <w:name w:val="样式 标题 3 + (中文) 黑体 小四 非加粗 段前: 7.8 磅 段后: 0 磅 行距: 固定值 20 磅"/>
    <w:basedOn w:val="5"/>
    <w:qFormat/>
    <w:uiPriority w:val="0"/>
    <w:pPr>
      <w:spacing w:line="400" w:lineRule="exact"/>
      <w:jc w:val="center"/>
    </w:pPr>
    <w:rPr>
      <w:rFonts w:ascii="Calibri" w:hAnsi="Calibri" w:eastAsia="黑体" w:cs="宋体"/>
      <w:b w:val="0"/>
      <w:bCs w:val="0"/>
      <w:sz w:val="24"/>
      <w:szCs w:val="20"/>
    </w:rPr>
  </w:style>
  <w:style w:type="paragraph" w:customStyle="1" w:styleId="164">
    <w:name w:val="样式4"/>
    <w:basedOn w:val="165"/>
    <w:qFormat/>
    <w:uiPriority w:val="0"/>
    <w:pPr>
      <w:ind w:firstLine="562"/>
    </w:pPr>
    <w:rPr>
      <w:bCs/>
    </w:rPr>
  </w:style>
  <w:style w:type="paragraph" w:customStyle="1" w:styleId="165">
    <w:name w:val="样式3"/>
    <w:basedOn w:val="1"/>
    <w:qFormat/>
    <w:uiPriority w:val="0"/>
    <w:pPr>
      <w:ind w:firstLine="560" w:firstLineChars="200"/>
    </w:pPr>
    <w:rPr>
      <w:rFonts w:ascii="黑体" w:hAnsi="Calibri" w:eastAsia="黑体"/>
      <w:b/>
      <w:sz w:val="28"/>
    </w:rPr>
  </w:style>
  <w:style w:type="character" w:customStyle="1" w:styleId="166">
    <w:name w:val="尾注文本 Char2"/>
    <w:basedOn w:val="50"/>
    <w:link w:val="27"/>
    <w:qFormat/>
    <w:uiPriority w:val="0"/>
    <w:rPr>
      <w:kern w:val="2"/>
      <w:sz w:val="21"/>
      <w:szCs w:val="24"/>
    </w:rPr>
  </w:style>
  <w:style w:type="paragraph" w:customStyle="1" w:styleId="167">
    <w:name w:val="Char"/>
    <w:basedOn w:val="1"/>
    <w:qFormat/>
    <w:uiPriority w:val="0"/>
    <w:rPr>
      <w:rFonts w:ascii="仿宋_GB2312" w:hAnsi="Calibri" w:eastAsia="仿宋_GB2312"/>
      <w:b/>
      <w:sz w:val="32"/>
      <w:szCs w:val="32"/>
    </w:rPr>
  </w:style>
  <w:style w:type="paragraph" w:customStyle="1" w:styleId="168">
    <w:name w:val="xl8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69">
    <w:name w:val="框图文字"/>
    <w:basedOn w:val="1"/>
    <w:qFormat/>
    <w:uiPriority w:val="0"/>
    <w:pPr>
      <w:jc w:val="center"/>
    </w:pPr>
    <w:rPr>
      <w:rFonts w:ascii="Calibri" w:hAnsi="Calibri"/>
      <w:spacing w:val="-4"/>
      <w:szCs w:val="21"/>
    </w:rPr>
  </w:style>
  <w:style w:type="paragraph" w:customStyle="1" w:styleId="17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71">
    <w:name w:val="xl29"/>
    <w:basedOn w:val="1"/>
    <w:qFormat/>
    <w:uiPriority w:val="0"/>
    <w:pPr>
      <w:widowControl/>
      <w:spacing w:before="100" w:beforeAutospacing="1" w:after="100" w:afterAutospacing="1"/>
      <w:jc w:val="center"/>
    </w:pPr>
    <w:rPr>
      <w:rFonts w:ascii="Arial Unicode MS" w:hAnsi="Arial Unicode MS" w:eastAsia="Arial Unicode MS" w:cs="Arial Unicode MS"/>
      <w:kern w:val="0"/>
      <w:szCs w:val="21"/>
    </w:rPr>
  </w:style>
  <w:style w:type="paragraph" w:customStyle="1" w:styleId="172">
    <w:name w:val="修订1"/>
    <w:qFormat/>
    <w:uiPriority w:val="0"/>
    <w:rPr>
      <w:rFonts w:ascii="Calibri" w:hAnsi="Calibri" w:eastAsia="宋体" w:cs="Times New Roman"/>
      <w:kern w:val="2"/>
      <w:sz w:val="21"/>
      <w:szCs w:val="21"/>
      <w:lang w:val="en-US" w:eastAsia="zh-CN" w:bidi="ar-SA"/>
    </w:rPr>
  </w:style>
  <w:style w:type="paragraph" w:customStyle="1" w:styleId="173">
    <w:name w:val="xl87"/>
    <w:basedOn w:val="1"/>
    <w:qFormat/>
    <w:uiPriority w:val="0"/>
    <w:pPr>
      <w:widowControl/>
      <w:pBdr>
        <w:top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174">
    <w:name w:val="表格"/>
    <w:basedOn w:val="1"/>
    <w:qFormat/>
    <w:uiPriority w:val="0"/>
    <w:pPr>
      <w:jc w:val="center"/>
      <w:textAlignment w:val="center"/>
    </w:pPr>
    <w:rPr>
      <w:rFonts w:ascii="华文细黑" w:hAnsi="华文细黑"/>
      <w:kern w:val="0"/>
      <w:szCs w:val="20"/>
    </w:rPr>
  </w:style>
  <w:style w:type="character" w:customStyle="1" w:styleId="175">
    <w:name w:val="HTML 预设格式 Char"/>
    <w:basedOn w:val="50"/>
    <w:link w:val="41"/>
    <w:qFormat/>
    <w:uiPriority w:val="0"/>
    <w:rPr>
      <w:rFonts w:ascii="宋体" w:hAnsi="宋体" w:cs="宋体"/>
    </w:rPr>
  </w:style>
  <w:style w:type="paragraph" w:customStyle="1" w:styleId="176">
    <w:name w:val="标题3"/>
    <w:basedOn w:val="1"/>
    <w:qFormat/>
    <w:uiPriority w:val="0"/>
    <w:pPr>
      <w:widowControl/>
      <w:spacing w:line="360" w:lineRule="auto"/>
      <w:ind w:firstLine="482" w:firstLineChars="200"/>
    </w:pPr>
    <w:rPr>
      <w:rFonts w:ascii="宋体" w:hAnsi="宋体"/>
      <w:b/>
      <w:kern w:val="0"/>
      <w:sz w:val="24"/>
    </w:rPr>
  </w:style>
  <w:style w:type="character" w:customStyle="1" w:styleId="177">
    <w:name w:val="正文文本 2 Char1"/>
    <w:basedOn w:val="50"/>
    <w:link w:val="40"/>
    <w:qFormat/>
    <w:uiPriority w:val="0"/>
    <w:rPr>
      <w:kern w:val="2"/>
      <w:sz w:val="21"/>
      <w:szCs w:val="24"/>
    </w:rPr>
  </w:style>
  <w:style w:type="character" w:customStyle="1" w:styleId="178">
    <w:name w:val="正文文本 Char1"/>
    <w:basedOn w:val="50"/>
    <w:link w:val="17"/>
    <w:qFormat/>
    <w:uiPriority w:val="0"/>
    <w:rPr>
      <w:kern w:val="2"/>
      <w:sz w:val="21"/>
      <w:szCs w:val="24"/>
    </w:rPr>
  </w:style>
  <w:style w:type="paragraph" w:customStyle="1" w:styleId="17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character" w:customStyle="1" w:styleId="180">
    <w:name w:val="副标题 Char1"/>
    <w:basedOn w:val="50"/>
    <w:link w:val="33"/>
    <w:qFormat/>
    <w:uiPriority w:val="0"/>
    <w:rPr>
      <w:rFonts w:asciiTheme="majorHAnsi" w:hAnsiTheme="majorHAnsi" w:cstheme="majorBidi"/>
      <w:b/>
      <w:bCs/>
      <w:kern w:val="28"/>
      <w:sz w:val="32"/>
      <w:szCs w:val="32"/>
    </w:rPr>
  </w:style>
  <w:style w:type="paragraph" w:customStyle="1" w:styleId="181">
    <w:name w:val="系统正文"/>
    <w:basedOn w:val="1"/>
    <w:qFormat/>
    <w:uiPriority w:val="0"/>
    <w:pPr>
      <w:spacing w:line="420" w:lineRule="exact"/>
      <w:ind w:firstLine="420" w:firstLineChars="200"/>
    </w:pPr>
    <w:rPr>
      <w:rFonts w:ascii="宋体" w:hAnsi="宋体"/>
    </w:rPr>
  </w:style>
  <w:style w:type="paragraph" w:customStyle="1" w:styleId="182">
    <w:name w:val="Char Char Char Char Char Char"/>
    <w:basedOn w:val="1"/>
    <w:qFormat/>
    <w:uiPriority w:val="0"/>
    <w:pPr>
      <w:widowControl/>
      <w:spacing w:after="160" w:line="240" w:lineRule="exact"/>
      <w:jc w:val="left"/>
    </w:pPr>
    <w:rPr>
      <w:rFonts w:ascii="Arial" w:hAnsi="Arial"/>
      <w:kern w:val="0"/>
      <w:sz w:val="22"/>
      <w:szCs w:val="22"/>
      <w:lang w:eastAsia="en-US"/>
    </w:rPr>
  </w:style>
  <w:style w:type="paragraph" w:customStyle="1" w:styleId="183">
    <w:name w:val="条款节部分"/>
    <w:basedOn w:val="1"/>
    <w:qFormat/>
    <w:uiPriority w:val="0"/>
    <w:pPr>
      <w:tabs>
        <w:tab w:val="left" w:pos="432"/>
        <w:tab w:val="left" w:pos="2850"/>
      </w:tabs>
      <w:ind w:left="432" w:hanging="432"/>
    </w:pPr>
    <w:rPr>
      <w:rFonts w:ascii="Calibri" w:hAnsi="Calibri" w:eastAsia="仿宋_GB2312"/>
      <w:sz w:val="32"/>
      <w:szCs w:val="32"/>
    </w:rPr>
  </w:style>
  <w:style w:type="paragraph" w:customStyle="1" w:styleId="18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185">
    <w:name w:val="xl49"/>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8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188">
    <w:name w:val="xl8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1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character" w:customStyle="1" w:styleId="190">
    <w:name w:val="标题 Char1"/>
    <w:basedOn w:val="50"/>
    <w:link w:val="44"/>
    <w:qFormat/>
    <w:uiPriority w:val="0"/>
    <w:rPr>
      <w:rFonts w:asciiTheme="majorHAnsi" w:hAnsiTheme="majorHAnsi" w:cstheme="majorBidi"/>
      <w:b/>
      <w:bCs/>
      <w:kern w:val="2"/>
      <w:sz w:val="32"/>
      <w:szCs w:val="32"/>
    </w:rPr>
  </w:style>
  <w:style w:type="paragraph" w:customStyle="1" w:styleId="191">
    <w:name w:val="Char1 Char Char Char2"/>
    <w:basedOn w:val="1"/>
    <w:qFormat/>
    <w:uiPriority w:val="0"/>
    <w:rPr>
      <w:rFonts w:ascii="Tahoma" w:hAnsi="Tahoma"/>
      <w:sz w:val="24"/>
      <w:szCs w:val="20"/>
    </w:rPr>
  </w:style>
  <w:style w:type="paragraph" w:customStyle="1" w:styleId="192">
    <w:name w:val="Default Paragraph Font Para Char"/>
    <w:basedOn w:val="1"/>
    <w:qFormat/>
    <w:uiPriority w:val="0"/>
    <w:pPr>
      <w:widowControl/>
      <w:spacing w:after="160" w:line="240" w:lineRule="exact"/>
      <w:jc w:val="left"/>
    </w:pPr>
    <w:rPr>
      <w:rFonts w:ascii="Calibri" w:hAnsi="Calibri"/>
    </w:rPr>
  </w:style>
  <w:style w:type="paragraph" w:customStyle="1" w:styleId="19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94">
    <w:name w:val="xl7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195">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6">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97">
    <w:name w:val="font7"/>
    <w:basedOn w:val="1"/>
    <w:qFormat/>
    <w:uiPriority w:val="0"/>
    <w:pPr>
      <w:widowControl/>
      <w:spacing w:before="100" w:beforeAutospacing="1" w:after="100" w:afterAutospacing="1"/>
      <w:jc w:val="left"/>
    </w:pPr>
    <w:rPr>
      <w:rFonts w:ascii="Calibri" w:hAnsi="Calibri" w:eastAsia="Arial Unicode MS"/>
      <w:kern w:val="0"/>
      <w:sz w:val="22"/>
      <w:szCs w:val="22"/>
    </w:rPr>
  </w:style>
  <w:style w:type="paragraph" w:customStyle="1" w:styleId="198">
    <w:name w:val="style1"/>
    <w:basedOn w:val="1"/>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99">
    <w:name w:val="p0"/>
    <w:basedOn w:val="1"/>
    <w:qFormat/>
    <w:uiPriority w:val="0"/>
    <w:pPr>
      <w:widowControl/>
    </w:pPr>
    <w:rPr>
      <w:rFonts w:ascii="Calibri" w:hAnsi="Calibri"/>
      <w:kern w:val="0"/>
      <w:szCs w:val="20"/>
    </w:rPr>
  </w:style>
  <w:style w:type="paragraph" w:customStyle="1" w:styleId="200">
    <w:name w:val="Char1"/>
    <w:basedOn w:val="1"/>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20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02">
    <w:name w:val="Char Char Char Char"/>
    <w:basedOn w:val="1"/>
    <w:qFormat/>
    <w:uiPriority w:val="0"/>
    <w:rPr>
      <w:rFonts w:ascii="Tahoma" w:hAnsi="Tahoma" w:cs="Tahoma"/>
      <w:sz w:val="24"/>
    </w:rPr>
  </w:style>
  <w:style w:type="paragraph" w:customStyle="1" w:styleId="203">
    <w:name w:val="xl36"/>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204">
    <w:name w:val="样式 标题 2 + Times New Roman 四号 非加粗 段前: 5 磅 段后: 0 磅 行距: 固定值 20..."/>
    <w:basedOn w:val="4"/>
    <w:qFormat/>
    <w:uiPriority w:val="0"/>
    <w:pPr>
      <w:spacing w:before="100" w:after="0" w:line="400" w:lineRule="exact"/>
      <w:jc w:val="center"/>
    </w:pPr>
    <w:rPr>
      <w:rFonts w:ascii="Times New Roman" w:hAnsi="Times New Roman" w:eastAsia="宋体" w:cs="宋体"/>
      <w:b w:val="0"/>
      <w:bCs w:val="0"/>
      <w:kern w:val="2"/>
      <w:sz w:val="28"/>
      <w:szCs w:val="20"/>
    </w:rPr>
  </w:style>
  <w:style w:type="paragraph" w:customStyle="1" w:styleId="205">
    <w:name w:val="xl34"/>
    <w:basedOn w:val="1"/>
    <w:qFormat/>
    <w:uiPriority w:val="0"/>
    <w:pPr>
      <w:widowControl/>
      <w:spacing w:before="100" w:beforeAutospacing="1" w:after="100" w:afterAutospacing="1"/>
      <w:jc w:val="left"/>
    </w:pPr>
    <w:rPr>
      <w:rFonts w:ascii="Arial Unicode MS" w:hAnsi="Arial Unicode MS" w:eastAsia="Arial Unicode MS" w:cs="Arial Unicode MS"/>
      <w:b/>
      <w:bCs/>
      <w:kern w:val="0"/>
      <w:sz w:val="22"/>
      <w:szCs w:val="22"/>
    </w:rPr>
  </w:style>
  <w:style w:type="character" w:customStyle="1" w:styleId="206">
    <w:name w:val="正文文本缩进 3 Char1"/>
    <w:basedOn w:val="50"/>
    <w:link w:val="36"/>
    <w:qFormat/>
    <w:uiPriority w:val="0"/>
    <w:rPr>
      <w:kern w:val="2"/>
      <w:sz w:val="16"/>
      <w:szCs w:val="16"/>
    </w:rPr>
  </w:style>
  <w:style w:type="character" w:customStyle="1" w:styleId="207">
    <w:name w:val="z-窗体底端 Char1"/>
    <w:basedOn w:val="50"/>
    <w:link w:val="98"/>
    <w:semiHidden/>
    <w:qFormat/>
    <w:uiPriority w:val="99"/>
    <w:rPr>
      <w:rFonts w:ascii="Arial" w:hAnsi="Arial" w:cs="Arial"/>
      <w:vanish/>
      <w:kern w:val="2"/>
      <w:sz w:val="16"/>
      <w:szCs w:val="16"/>
    </w:rPr>
  </w:style>
  <w:style w:type="paragraph" w:customStyle="1" w:styleId="208">
    <w:name w:val="font10"/>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209">
    <w:name w:val="表头"/>
    <w:basedOn w:val="1"/>
    <w:qFormat/>
    <w:uiPriority w:val="0"/>
    <w:pPr>
      <w:spacing w:line="360" w:lineRule="auto"/>
      <w:jc w:val="center"/>
    </w:pPr>
    <w:rPr>
      <w:rFonts w:ascii="黑体" w:hAnsi="Calibri" w:eastAsia="黑体"/>
      <w:kern w:val="0"/>
      <w:sz w:val="24"/>
      <w:szCs w:val="20"/>
    </w:rPr>
  </w:style>
  <w:style w:type="paragraph" w:customStyle="1" w:styleId="210">
    <w:name w:val="List Paragraph1"/>
    <w:basedOn w:val="1"/>
    <w:qFormat/>
    <w:uiPriority w:val="0"/>
    <w:pPr>
      <w:ind w:firstLine="200" w:firstLineChars="200"/>
    </w:pPr>
    <w:rPr>
      <w:rFonts w:ascii="Calibri" w:hAnsi="Calibri" w:cs="Calibri"/>
      <w:szCs w:val="21"/>
    </w:rPr>
  </w:style>
  <w:style w:type="character" w:customStyle="1" w:styleId="211">
    <w:name w:val="日期 Char1"/>
    <w:basedOn w:val="50"/>
    <w:link w:val="25"/>
    <w:qFormat/>
    <w:uiPriority w:val="0"/>
    <w:rPr>
      <w:kern w:val="2"/>
      <w:sz w:val="21"/>
      <w:szCs w:val="24"/>
    </w:rPr>
  </w:style>
  <w:style w:type="paragraph" w:customStyle="1" w:styleId="212">
    <w:name w:val="样式 (西文) 黑体 (中文) 黑体 四号 加粗 首行缩进:  2 字符"/>
    <w:basedOn w:val="1"/>
    <w:next w:val="40"/>
    <w:qFormat/>
    <w:uiPriority w:val="0"/>
    <w:pPr>
      <w:ind w:firstLine="562" w:firstLineChars="200"/>
    </w:pPr>
    <w:rPr>
      <w:rFonts w:ascii="黑体" w:hAnsi="Calibri" w:eastAsia="黑体"/>
      <w:b/>
      <w:bCs/>
      <w:sz w:val="28"/>
      <w:szCs w:val="20"/>
    </w:rPr>
  </w:style>
  <w:style w:type="paragraph" w:customStyle="1" w:styleId="2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214">
    <w:name w:val="xl27"/>
    <w:basedOn w:val="1"/>
    <w:qFormat/>
    <w:uiPriority w:val="0"/>
    <w:pPr>
      <w:widowControl/>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215">
    <w:name w:val="Char Char Char Char Char Char Char Char Char Char Char1 Char Char Char Char Char Char Char Char Char Char Char Char"/>
    <w:basedOn w:val="1"/>
    <w:qFormat/>
    <w:uiPriority w:val="0"/>
    <w:rPr>
      <w:rFonts w:ascii="Calibri" w:hAnsi="Calibri"/>
    </w:rPr>
  </w:style>
  <w:style w:type="paragraph" w:customStyle="1" w:styleId="216">
    <w:name w:val="xl25"/>
    <w:basedOn w:val="1"/>
    <w:qFormat/>
    <w:uiPriority w:val="0"/>
    <w:pPr>
      <w:widowControl/>
      <w:spacing w:before="100" w:beforeAutospacing="1" w:after="100" w:afterAutospacing="1"/>
      <w:jc w:val="left"/>
    </w:pPr>
    <w:rPr>
      <w:rFonts w:ascii="Arial Unicode MS" w:hAnsi="Arial Unicode MS" w:eastAsia="Arial Unicode MS" w:cs="Arial Unicode MS"/>
      <w:kern w:val="0"/>
      <w:sz w:val="22"/>
      <w:szCs w:val="22"/>
    </w:rPr>
  </w:style>
  <w:style w:type="character" w:customStyle="1" w:styleId="217">
    <w:name w:val="z-窗体顶端 Char1"/>
    <w:basedOn w:val="50"/>
    <w:link w:val="111"/>
    <w:semiHidden/>
    <w:qFormat/>
    <w:uiPriority w:val="99"/>
    <w:rPr>
      <w:rFonts w:ascii="Arial" w:hAnsi="Arial" w:cs="Arial"/>
      <w:vanish/>
      <w:kern w:val="2"/>
      <w:sz w:val="16"/>
      <w:szCs w:val="16"/>
    </w:rPr>
  </w:style>
  <w:style w:type="paragraph" w:customStyle="1" w:styleId="218">
    <w:name w:val="附件 2"/>
    <w:basedOn w:val="42"/>
    <w:qFormat/>
    <w:uiPriority w:val="0"/>
    <w:pPr>
      <w:spacing w:beforeAutospacing="0" w:afterAutospacing="0" w:line="300" w:lineRule="auto"/>
      <w:jc w:val="both"/>
    </w:pPr>
    <w:rPr>
      <w:rFonts w:cs="Times New Roman"/>
      <w:color w:val="000000"/>
      <w:sz w:val="21"/>
      <w:szCs w:val="18"/>
    </w:rPr>
  </w:style>
  <w:style w:type="paragraph" w:customStyle="1" w:styleId="219">
    <w:name w:val="样式2"/>
    <w:basedOn w:val="31"/>
    <w:qFormat/>
    <w:uiPriority w:val="0"/>
    <w:pPr>
      <w:tabs>
        <w:tab w:val="left" w:pos="1050"/>
        <w:tab w:val="left" w:pos="1260"/>
        <w:tab w:val="right" w:pos="9061"/>
      </w:tabs>
      <w:spacing w:before="120" w:after="120" w:line="240" w:lineRule="auto"/>
      <w:jc w:val="both"/>
    </w:pPr>
    <w:rPr>
      <w:rFonts w:ascii="黑体" w:hAnsi="宋体" w:cs="Times New Roman"/>
      <w:b/>
      <w:bCs/>
      <w:caps/>
      <w:sz w:val="24"/>
      <w:szCs w:val="28"/>
    </w:rPr>
  </w:style>
  <w:style w:type="character" w:customStyle="1" w:styleId="220">
    <w:name w:val="正文文本缩进 2 Char1"/>
    <w:basedOn w:val="50"/>
    <w:link w:val="26"/>
    <w:qFormat/>
    <w:uiPriority w:val="0"/>
    <w:rPr>
      <w:kern w:val="2"/>
      <w:sz w:val="21"/>
      <w:szCs w:val="24"/>
    </w:rPr>
  </w:style>
  <w:style w:type="paragraph" w:customStyle="1" w:styleId="221">
    <w:name w:val="表格标题"/>
    <w:basedOn w:val="1"/>
    <w:qFormat/>
    <w:uiPriority w:val="0"/>
    <w:pPr>
      <w:jc w:val="center"/>
    </w:pPr>
    <w:rPr>
      <w:rFonts w:ascii="Arial Narrow" w:hAnsi="Arial Narrow" w:eastAsia="楷体_GB2312"/>
      <w:snapToGrid w:val="0"/>
      <w:kern w:val="0"/>
      <w:szCs w:val="20"/>
    </w:rPr>
  </w:style>
  <w:style w:type="paragraph" w:customStyle="1" w:styleId="222">
    <w:name w:val="样式 标题 2 + 左侧:  2 字符"/>
    <w:basedOn w:val="4"/>
    <w:qFormat/>
    <w:uiPriority w:val="0"/>
    <w:pPr>
      <w:spacing w:before="380" w:after="380" w:line="415" w:lineRule="auto"/>
      <w:ind w:left="420" w:leftChars="200"/>
    </w:pPr>
    <w:rPr>
      <w:rFonts w:eastAsia="宋体"/>
      <w:kern w:val="2"/>
      <w:sz w:val="30"/>
      <w:szCs w:val="20"/>
    </w:rPr>
  </w:style>
  <w:style w:type="character" w:customStyle="1" w:styleId="223">
    <w:name w:val="脚注文本 Char"/>
    <w:basedOn w:val="50"/>
    <w:link w:val="34"/>
    <w:qFormat/>
    <w:uiPriority w:val="0"/>
    <w:rPr>
      <w:rFonts w:ascii="Calibri" w:hAnsi="Calibri"/>
      <w:kern w:val="2"/>
    </w:rPr>
  </w:style>
  <w:style w:type="paragraph" w:customStyle="1" w:styleId="224">
    <w:name w:val="样式1"/>
    <w:basedOn w:val="1"/>
    <w:next w:val="6"/>
    <w:qFormat/>
    <w:uiPriority w:val="0"/>
    <w:pPr>
      <w:spacing w:line="360" w:lineRule="auto"/>
      <w:ind w:firstLine="420" w:firstLineChars="200"/>
    </w:pPr>
    <w:rPr>
      <w:rFonts w:ascii="宋体" w:hAnsi="宋体"/>
      <w:szCs w:val="21"/>
    </w:rPr>
  </w:style>
  <w:style w:type="paragraph" w:customStyle="1" w:styleId="225">
    <w:name w:val="Revision1"/>
    <w:qFormat/>
    <w:uiPriority w:val="0"/>
    <w:rPr>
      <w:rFonts w:ascii="Bodoni MT" w:hAnsi="Bodoni MT" w:eastAsia="宋体" w:cs="Times New Roman"/>
      <w:kern w:val="2"/>
      <w:sz w:val="21"/>
      <w:szCs w:val="24"/>
      <w:lang w:val="en-US" w:eastAsia="zh-CN" w:bidi="ar-SA"/>
    </w:rPr>
  </w:style>
  <w:style w:type="paragraph" w:customStyle="1" w:styleId="226">
    <w:name w:val="样式 样式 标题 2 + Times New Roman 四号 非加粗 段前: 5 磅 段后: 0 磅 行距: 固定值 20....."/>
    <w:basedOn w:val="204"/>
    <w:qFormat/>
    <w:uiPriority w:val="0"/>
    <w:pPr>
      <w:spacing w:before="0" w:after="234"/>
      <w:jc w:val="both"/>
    </w:pPr>
    <w:rPr>
      <w:rFonts w:eastAsia="黑体"/>
      <w:b/>
      <w:bCs/>
    </w:rPr>
  </w:style>
  <w:style w:type="paragraph" w:customStyle="1" w:styleId="227">
    <w:name w:val="xl26"/>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rPr>
  </w:style>
  <w:style w:type="paragraph" w:customStyle="1" w:styleId="228">
    <w:name w:val="正文1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29">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3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1">
    <w:name w:val="Char Char Char Char Char Char Char"/>
    <w:basedOn w:val="1"/>
    <w:qFormat/>
    <w:uiPriority w:val="0"/>
    <w:rPr>
      <w:rFonts w:ascii="Tahoma" w:hAnsi="Tahoma"/>
      <w:sz w:val="24"/>
      <w:szCs w:val="20"/>
    </w:rPr>
  </w:style>
  <w:style w:type="character" w:customStyle="1" w:styleId="232">
    <w:name w:val="批注文字 Char1"/>
    <w:basedOn w:val="50"/>
    <w:link w:val="15"/>
    <w:qFormat/>
    <w:uiPriority w:val="0"/>
    <w:rPr>
      <w:kern w:val="2"/>
      <w:sz w:val="21"/>
      <w:szCs w:val="24"/>
    </w:rPr>
  </w:style>
  <w:style w:type="character" w:customStyle="1" w:styleId="233">
    <w:name w:val="批注主题 Char1"/>
    <w:basedOn w:val="232"/>
    <w:link w:val="45"/>
    <w:qFormat/>
    <w:uiPriority w:val="0"/>
    <w:rPr>
      <w:kern w:val="2"/>
      <w:sz w:val="21"/>
      <w:szCs w:val="24"/>
    </w:rPr>
  </w:style>
  <w:style w:type="paragraph" w:customStyle="1" w:styleId="234">
    <w:name w:val="TOC 标题1"/>
    <w:basedOn w:val="3"/>
    <w:next w:val="1"/>
    <w:qFormat/>
    <w:uiPriority w:val="0"/>
    <w:pPr>
      <w:keepLines/>
      <w:numPr>
        <w:numId w:val="0"/>
      </w:numPr>
      <w:tabs>
        <w:tab w:val="clear" w:pos="432"/>
      </w:tabs>
      <w:spacing w:before="480" w:line="276" w:lineRule="auto"/>
      <w:jc w:val="left"/>
      <w:outlineLvl w:val="9"/>
    </w:pPr>
    <w:rPr>
      <w:rFonts w:ascii="Cambria" w:hAnsi="Cambria" w:eastAsia="宋体" w:cs="Cambria"/>
      <w:b/>
      <w:bCs/>
      <w:color w:val="365F91"/>
      <w:sz w:val="28"/>
      <w:szCs w:val="28"/>
    </w:rPr>
  </w:style>
  <w:style w:type="paragraph" w:customStyle="1" w:styleId="235">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character" w:customStyle="1" w:styleId="236">
    <w:name w:val="引用 Char2"/>
    <w:basedOn w:val="50"/>
    <w:link w:val="148"/>
    <w:semiHidden/>
    <w:qFormat/>
    <w:uiPriority w:val="99"/>
    <w:rPr>
      <w:i/>
      <w:iCs/>
      <w:color w:val="000000" w:themeColor="text1"/>
      <w:kern w:val="2"/>
      <w:sz w:val="21"/>
      <w:szCs w:val="24"/>
      <w14:textFill>
        <w14:solidFill>
          <w14:schemeClr w14:val="tx1"/>
        </w14:solidFill>
      </w14:textFill>
    </w:rPr>
  </w:style>
  <w:style w:type="paragraph" w:customStyle="1" w:styleId="237">
    <w:name w:val="菲页1"/>
    <w:basedOn w:val="4"/>
    <w:qFormat/>
    <w:uiPriority w:val="0"/>
    <w:pPr>
      <w:widowControl/>
      <w:spacing w:line="416" w:lineRule="auto"/>
      <w:jc w:val="center"/>
    </w:pPr>
    <w:rPr>
      <w:rFonts w:ascii="黑体" w:hAnsi="宋体"/>
      <w:b w:val="0"/>
      <w:bCs w:val="0"/>
      <w:sz w:val="52"/>
      <w:szCs w:val="20"/>
    </w:rPr>
  </w:style>
  <w:style w:type="character" w:customStyle="1" w:styleId="238">
    <w:name w:val="文档结构图 Char1"/>
    <w:basedOn w:val="50"/>
    <w:link w:val="13"/>
    <w:qFormat/>
    <w:uiPriority w:val="0"/>
    <w:rPr>
      <w:rFonts w:ascii="宋体"/>
      <w:kern w:val="2"/>
      <w:sz w:val="18"/>
      <w:szCs w:val="18"/>
    </w:rPr>
  </w:style>
  <w:style w:type="paragraph" w:customStyle="1" w:styleId="239">
    <w:name w:val="xl31"/>
    <w:basedOn w:val="1"/>
    <w:qFormat/>
    <w:uiPriority w:val="0"/>
    <w:pPr>
      <w:widowControl/>
      <w:shd w:val="clear" w:color="auto" w:fill="FFFF00"/>
      <w:spacing w:before="100" w:beforeAutospacing="1" w:after="100" w:afterAutospacing="1"/>
      <w:jc w:val="left"/>
    </w:pPr>
    <w:rPr>
      <w:rFonts w:ascii="Arial Unicode MS" w:hAnsi="Arial Unicode MS" w:eastAsia="Arial Unicode MS" w:cs="Arial Unicode MS"/>
      <w:kern w:val="0"/>
      <w:sz w:val="24"/>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241">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2">
    <w:name w:val="WPS Plain"/>
    <w:qFormat/>
    <w:uiPriority w:val="0"/>
    <w:rPr>
      <w:rFonts w:ascii="Calibri" w:hAnsi="Calibri" w:eastAsia="宋体" w:cs="Times New Roman"/>
      <w:lang w:val="en-US" w:eastAsia="zh-CN" w:bidi="ar-SA"/>
    </w:rPr>
  </w:style>
  <w:style w:type="paragraph" w:customStyle="1" w:styleId="243">
    <w:name w:val="普通(网站)11"/>
    <w:basedOn w:val="1"/>
    <w:qFormat/>
    <w:uiPriority w:val="0"/>
    <w:pPr>
      <w:widowControl/>
      <w:spacing w:before="100" w:beforeAutospacing="1" w:after="100" w:afterAutospacing="1" w:line="360" w:lineRule="auto"/>
      <w:ind w:firstLine="200" w:firstLineChars="200"/>
      <w:jc w:val="left"/>
    </w:pPr>
    <w:rPr>
      <w:rFonts w:ascii="宋体" w:hAnsi="Calibri"/>
      <w:kern w:val="0"/>
      <w:sz w:val="24"/>
    </w:rPr>
  </w:style>
  <w:style w:type="paragraph" w:customStyle="1" w:styleId="244">
    <w:name w:val="TOC Heading1"/>
    <w:basedOn w:val="3"/>
    <w:next w:val="1"/>
    <w:qFormat/>
    <w:uiPriority w:val="0"/>
    <w:pPr>
      <w:keepLines/>
      <w:numPr>
        <w:numId w:val="0"/>
      </w:numPr>
      <w:tabs>
        <w:tab w:val="clear" w:pos="432"/>
      </w:tabs>
      <w:spacing w:before="480" w:line="276" w:lineRule="auto"/>
      <w:jc w:val="left"/>
      <w:outlineLvl w:val="9"/>
    </w:pPr>
    <w:rPr>
      <w:rFonts w:ascii="Cambria" w:hAnsi="Cambria" w:eastAsia="宋体"/>
      <w:b/>
      <w:bCs/>
      <w:color w:val="365F91"/>
      <w:sz w:val="28"/>
      <w:szCs w:val="28"/>
    </w:rPr>
  </w:style>
  <w:style w:type="paragraph" w:customStyle="1" w:styleId="245">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46">
    <w:name w:val="样式 标题 1 + 黑体 三号 非加粗 居中 段前: 6 磅 段后: 6 磅 行距: 固定值 20 磅"/>
    <w:basedOn w:val="3"/>
    <w:qFormat/>
    <w:uiPriority w:val="0"/>
    <w:pPr>
      <w:keepLines/>
      <w:widowControl w:val="0"/>
      <w:numPr>
        <w:numId w:val="0"/>
      </w:numPr>
      <w:tabs>
        <w:tab w:val="clear" w:pos="432"/>
      </w:tabs>
      <w:spacing w:before="120" w:after="120" w:line="400" w:lineRule="exact"/>
    </w:pPr>
    <w:rPr>
      <w:rFonts w:hAnsi="黑体" w:cs="宋体"/>
      <w:kern w:val="44"/>
      <w:sz w:val="32"/>
    </w:rPr>
  </w:style>
  <w:style w:type="paragraph" w:customStyle="1" w:styleId="247">
    <w:name w:val="xl30"/>
    <w:basedOn w:val="1"/>
    <w:qFormat/>
    <w:uiPriority w:val="0"/>
    <w:pPr>
      <w:widowControl/>
      <w:spacing w:before="100" w:beforeAutospacing="1" w:after="100" w:afterAutospacing="1"/>
      <w:jc w:val="left"/>
    </w:pPr>
    <w:rPr>
      <w:rFonts w:ascii="Calibri" w:hAnsi="Calibri" w:eastAsia="Arial Unicode MS"/>
      <w:kern w:val="0"/>
      <w:sz w:val="24"/>
    </w:rPr>
  </w:style>
  <w:style w:type="paragraph" w:styleId="248">
    <w:name w:val="List Paragraph"/>
    <w:basedOn w:val="1"/>
    <w:qFormat/>
    <w:uiPriority w:val="0"/>
    <w:pPr>
      <w:ind w:firstLine="420" w:firstLineChars="200"/>
    </w:pPr>
    <w:rPr>
      <w:rFonts w:ascii="Calibri" w:hAnsi="Calibri"/>
    </w:rPr>
  </w:style>
  <w:style w:type="paragraph" w:customStyle="1" w:styleId="249">
    <w:name w:val="Char Char Char Char1"/>
    <w:basedOn w:val="1"/>
    <w:qFormat/>
    <w:uiPriority w:val="0"/>
    <w:rPr>
      <w:rFonts w:ascii="Tahoma" w:hAnsi="Tahoma"/>
      <w:sz w:val="24"/>
      <w:szCs w:val="20"/>
    </w:rPr>
  </w:style>
  <w:style w:type="paragraph" w:customStyle="1" w:styleId="250">
    <w:name w:val="Char2"/>
    <w:basedOn w:val="1"/>
    <w:qFormat/>
    <w:uiPriority w:val="0"/>
    <w:rPr>
      <w:rFonts w:ascii="Tahoma" w:hAnsi="Tahoma"/>
      <w:sz w:val="24"/>
      <w:szCs w:val="20"/>
    </w:rPr>
  </w:style>
  <w:style w:type="paragraph" w:customStyle="1" w:styleId="251">
    <w:name w:val="菲页(卷)"/>
    <w:basedOn w:val="3"/>
    <w:next w:val="228"/>
    <w:qFormat/>
    <w:uiPriority w:val="0"/>
    <w:pPr>
      <w:numPr>
        <w:numId w:val="0"/>
      </w:numPr>
      <w:ind w:left="432" w:hanging="432"/>
      <w:outlineLvl w:val="1"/>
    </w:pPr>
    <w:rPr>
      <w:rFonts w:hAnsi="Calibri"/>
    </w:rPr>
  </w:style>
  <w:style w:type="character" w:customStyle="1" w:styleId="252">
    <w:name w:val="正文首行缩进 Char1"/>
    <w:basedOn w:val="178"/>
    <w:link w:val="46"/>
    <w:qFormat/>
    <w:uiPriority w:val="0"/>
    <w:rPr>
      <w:kern w:val="2"/>
      <w:sz w:val="21"/>
      <w:szCs w:val="24"/>
    </w:rPr>
  </w:style>
  <w:style w:type="paragraph" w:customStyle="1" w:styleId="253">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254">
    <w:name w:val="xl28"/>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55">
    <w:name w:val="xl67"/>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textAlignment w:val="center"/>
    </w:pPr>
    <w:rPr>
      <w:rFonts w:ascii="宋体" w:hAnsi="宋体" w:cs="宋体"/>
      <w:color w:val="000000"/>
      <w:kern w:val="0"/>
      <w:sz w:val="28"/>
      <w:szCs w:val="28"/>
    </w:rPr>
  </w:style>
  <w:style w:type="paragraph" w:customStyle="1" w:styleId="256">
    <w:name w:val="font12"/>
    <w:basedOn w:val="1"/>
    <w:qFormat/>
    <w:uiPriority w:val="0"/>
    <w:pPr>
      <w:widowControl/>
      <w:spacing w:before="100" w:beforeAutospacing="1" w:after="100" w:afterAutospacing="1"/>
      <w:jc w:val="left"/>
    </w:pPr>
    <w:rPr>
      <w:rFonts w:ascii="Calibri" w:hAnsi="Calibri" w:eastAsia="Arial Unicode MS"/>
      <w:color w:val="000000"/>
      <w:kern w:val="0"/>
      <w:sz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58">
    <w:name w:val="纯文本1"/>
    <w:basedOn w:val="1"/>
    <w:qFormat/>
    <w:uiPriority w:val="0"/>
    <w:pPr>
      <w:adjustRightInd w:val="0"/>
      <w:textAlignment w:val="baseline"/>
    </w:pPr>
    <w:rPr>
      <w:rFonts w:ascii="宋体" w:hAnsi="Courier New"/>
      <w:szCs w:val="20"/>
    </w:rPr>
  </w:style>
  <w:style w:type="paragraph" w:customStyle="1" w:styleId="259">
    <w:name w:val="简单回函地址"/>
    <w:basedOn w:val="1"/>
    <w:qFormat/>
    <w:uiPriority w:val="0"/>
    <w:rPr>
      <w:rFonts w:ascii="Calibri" w:hAnsi="Calibri"/>
    </w:rPr>
  </w:style>
  <w:style w:type="paragraph" w:customStyle="1" w:styleId="260">
    <w:name w:val="节标题"/>
    <w:basedOn w:val="1"/>
    <w:next w:val="1"/>
    <w:qFormat/>
    <w:uiPriority w:val="0"/>
    <w:pPr>
      <w:widowControl/>
      <w:spacing w:line="289" w:lineRule="atLeast"/>
      <w:jc w:val="center"/>
      <w:textAlignment w:val="baseline"/>
    </w:pPr>
    <w:rPr>
      <w:rFonts w:ascii="Calibri" w:hAnsi="Calibri"/>
      <w:color w:val="000000"/>
      <w:kern w:val="0"/>
      <w:sz w:val="28"/>
      <w:szCs w:val="20"/>
      <w:u w:color="000000"/>
    </w:rPr>
  </w:style>
  <w:style w:type="paragraph" w:customStyle="1" w:styleId="2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2">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8"/>
      <w:szCs w:val="28"/>
    </w:rPr>
  </w:style>
  <w:style w:type="paragraph" w:customStyle="1" w:styleId="263">
    <w:name w:val="目录文字"/>
    <w:basedOn w:val="1"/>
    <w:qFormat/>
    <w:uiPriority w:val="0"/>
    <w:pPr>
      <w:widowControl/>
      <w:spacing w:line="480" w:lineRule="auto"/>
      <w:jc w:val="left"/>
    </w:pPr>
    <w:rPr>
      <w:rFonts w:ascii="宋体" w:hAnsi="宋体"/>
      <w:kern w:val="0"/>
      <w:sz w:val="24"/>
      <w:szCs w:val="20"/>
    </w:rPr>
  </w:style>
  <w:style w:type="paragraph" w:customStyle="1" w:styleId="26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65">
    <w:name w:val="xl37"/>
    <w:basedOn w:val="1"/>
    <w:qFormat/>
    <w:uiPriority w:val="0"/>
    <w:pPr>
      <w:widowControl/>
      <w:pBdr>
        <w:bottom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26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8"/>
      <w:szCs w:val="28"/>
    </w:rPr>
  </w:style>
  <w:style w:type="paragraph" w:customStyle="1" w:styleId="267">
    <w:name w:val="Char Char1 Char"/>
    <w:basedOn w:val="1"/>
    <w:qFormat/>
    <w:uiPriority w:val="0"/>
    <w:rPr>
      <w:rFonts w:ascii="Calibri" w:hAnsi="Calibri"/>
    </w:rPr>
  </w:style>
  <w:style w:type="paragraph" w:customStyle="1" w:styleId="268">
    <w:name w:val="normalweb"/>
    <w:basedOn w:val="1"/>
    <w:qFormat/>
    <w:uiPriority w:val="0"/>
    <w:pPr>
      <w:widowControl/>
      <w:spacing w:before="100" w:beforeAutospacing="1" w:after="100" w:afterAutospacing="1" w:line="360" w:lineRule="auto"/>
      <w:ind w:firstLine="420"/>
      <w:jc w:val="left"/>
    </w:pPr>
    <w:rPr>
      <w:rFonts w:ascii="宋体" w:hAnsi="宋体" w:cs="宋体"/>
      <w:kern w:val="0"/>
      <w:sz w:val="24"/>
    </w:rPr>
  </w:style>
  <w:style w:type="paragraph" w:customStyle="1" w:styleId="269">
    <w:name w:val="font8"/>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70">
    <w:name w:val="Char Char Char Char Char Char Char1"/>
    <w:basedOn w:val="1"/>
    <w:qFormat/>
    <w:uiPriority w:val="0"/>
    <w:rPr>
      <w:rFonts w:ascii="仿宋_GB2312" w:hAnsi="Calibri" w:eastAsia="仿宋_GB2312"/>
      <w:b/>
      <w:sz w:val="32"/>
      <w:szCs w:val="32"/>
    </w:rPr>
  </w:style>
  <w:style w:type="paragraph" w:customStyle="1" w:styleId="271">
    <w:name w:val="表格文字"/>
    <w:basedOn w:val="1"/>
    <w:qFormat/>
    <w:uiPriority w:val="0"/>
    <w:pPr>
      <w:adjustRightInd w:val="0"/>
      <w:snapToGrid w:val="0"/>
      <w:spacing w:beforeLines="20" w:line="360" w:lineRule="auto"/>
      <w:ind w:left="-51" w:leftChars="-51" w:hanging="107" w:hangingChars="51"/>
      <w:jc w:val="center"/>
    </w:pPr>
    <w:rPr>
      <w:rFonts w:ascii="Calibri" w:hAnsi="Calibri"/>
      <w:color w:val="000000"/>
    </w:rPr>
  </w:style>
  <w:style w:type="paragraph" w:customStyle="1" w:styleId="272">
    <w:name w:val="图表文字"/>
    <w:basedOn w:val="1"/>
    <w:qFormat/>
    <w:uiPriority w:val="0"/>
    <w:pPr>
      <w:widowControl/>
      <w:adjustRightInd w:val="0"/>
      <w:spacing w:before="120" w:after="120"/>
      <w:jc w:val="center"/>
    </w:pPr>
    <w:rPr>
      <w:rFonts w:ascii="黑体" w:hAnsi="Calibri" w:eastAsia="黑体"/>
      <w:kern w:val="0"/>
      <w:sz w:val="28"/>
      <w:szCs w:val="20"/>
    </w:rPr>
  </w:style>
  <w:style w:type="paragraph" w:customStyle="1" w:styleId="273">
    <w:name w:val="xl32"/>
    <w:basedOn w:val="1"/>
    <w:qFormat/>
    <w:uiPriority w:val="0"/>
    <w:pPr>
      <w:widowControl/>
      <w:spacing w:before="100" w:beforeAutospacing="1" w:after="100" w:afterAutospacing="1"/>
      <w:jc w:val="left"/>
    </w:pPr>
    <w:rPr>
      <w:rFonts w:ascii="Calibri" w:hAnsi="Calibri" w:eastAsia="Arial Unicode MS"/>
      <w:b/>
      <w:bCs/>
      <w:kern w:val="0"/>
      <w:sz w:val="24"/>
    </w:rPr>
  </w:style>
  <w:style w:type="paragraph" w:customStyle="1" w:styleId="274">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75">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27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styleId="277">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278">
    <w:name w:val="标题1"/>
    <w:basedOn w:val="4"/>
    <w:qFormat/>
    <w:uiPriority w:val="0"/>
    <w:pPr>
      <w:spacing w:line="416" w:lineRule="auto"/>
      <w:ind w:firstLine="112" w:firstLineChars="40"/>
    </w:pPr>
    <w:rPr>
      <w:rFonts w:ascii="宋体" w:hAnsi="宋体" w:eastAsia="宋体"/>
      <w:color w:val="000000"/>
      <w:kern w:val="2"/>
      <w:sz w:val="28"/>
      <w:szCs w:val="28"/>
    </w:rPr>
  </w:style>
  <w:style w:type="paragraph" w:customStyle="1" w:styleId="279">
    <w:name w:val="xl88"/>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Cs w:val="21"/>
    </w:rPr>
  </w:style>
  <w:style w:type="paragraph" w:customStyle="1" w:styleId="28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282">
    <w:name w:val="xl80"/>
    <w:basedOn w:val="1"/>
    <w:qFormat/>
    <w:uiPriority w:val="0"/>
    <w:pPr>
      <w:widowControl/>
      <w:pBdr>
        <w:top w:val="single" w:color="000000" w:sz="4" w:space="0"/>
        <w:left w:val="single" w:color="000000" w:sz="4" w:space="0"/>
        <w:bottom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8"/>
      <w:szCs w:val="28"/>
    </w:rPr>
  </w:style>
  <w:style w:type="paragraph" w:customStyle="1" w:styleId="283">
    <w:name w:val="_Style 2"/>
    <w:basedOn w:val="1"/>
    <w:qFormat/>
    <w:uiPriority w:val="0"/>
    <w:rPr>
      <w:rFonts w:ascii="Calibri" w:hAnsi="Calibri"/>
    </w:rPr>
  </w:style>
  <w:style w:type="paragraph" w:customStyle="1" w:styleId="284">
    <w:name w:val="xl52"/>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285">
    <w:name w:val="font9"/>
    <w:basedOn w:val="1"/>
    <w:qFormat/>
    <w:uiPriority w:val="0"/>
    <w:pPr>
      <w:widowControl/>
      <w:spacing w:before="100" w:beforeAutospacing="1" w:after="100" w:afterAutospacing="1"/>
      <w:jc w:val="left"/>
    </w:pPr>
    <w:rPr>
      <w:rFonts w:ascii="Calibri" w:hAnsi="Calibri" w:eastAsia="Arial Unicode MS"/>
      <w:kern w:val="0"/>
      <w:sz w:val="24"/>
    </w:rPr>
  </w:style>
  <w:style w:type="paragraph" w:customStyle="1" w:styleId="286">
    <w:name w:val="Char Char Char Char Char Char Char Char Char Char"/>
    <w:basedOn w:val="1"/>
    <w:qFormat/>
    <w:uiPriority w:val="0"/>
    <w:rPr>
      <w:rFonts w:ascii="仿宋_GB2312" w:hAnsi="Calibri" w:eastAsia="仿宋_GB2312"/>
      <w:b/>
      <w:sz w:val="32"/>
      <w:szCs w:val="32"/>
    </w:rPr>
  </w:style>
  <w:style w:type="paragraph" w:customStyle="1" w:styleId="287">
    <w:name w:val="正文文本1"/>
    <w:basedOn w:val="1"/>
    <w:qFormat/>
    <w:uiPriority w:val="0"/>
    <w:rPr>
      <w:rFonts w:ascii="宋体" w:hAnsi="宋体"/>
      <w:sz w:val="30"/>
      <w:szCs w:val="20"/>
    </w:rPr>
  </w:style>
  <w:style w:type="paragraph" w:customStyle="1" w:styleId="288">
    <w:name w:val="正文文本11"/>
    <w:basedOn w:val="1"/>
    <w:qFormat/>
    <w:uiPriority w:val="0"/>
    <w:rPr>
      <w:rFonts w:ascii="宋体" w:hAnsi="Calibri" w:cs="宋体"/>
      <w:sz w:val="30"/>
      <w:szCs w:val="30"/>
    </w:rPr>
  </w:style>
  <w:style w:type="paragraph" w:customStyle="1" w:styleId="289">
    <w:name w:val="_Style 13"/>
    <w:basedOn w:val="13"/>
    <w:qFormat/>
    <w:uiPriority w:val="0"/>
    <w:pPr>
      <w:widowControl w:val="0"/>
      <w:shd w:val="clear" w:color="auto" w:fill="000080"/>
    </w:pPr>
    <w:rPr>
      <w:rFonts w:ascii="Times New Roman" w:hAnsi="Times New Roman"/>
    </w:rPr>
  </w:style>
  <w:style w:type="paragraph" w:customStyle="1" w:styleId="290">
    <w:name w:val="1"/>
    <w:basedOn w:val="1"/>
    <w:next w:val="1"/>
    <w:qFormat/>
    <w:uiPriority w:val="0"/>
    <w:rPr>
      <w:rFonts w:ascii="Calibri" w:hAnsi="Calibri"/>
    </w:rPr>
  </w:style>
  <w:style w:type="paragraph" w:customStyle="1" w:styleId="291">
    <w:name w:val="xl9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92">
    <w:name w:val="xl35"/>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22"/>
      <w:szCs w:val="22"/>
    </w:rPr>
  </w:style>
  <w:style w:type="paragraph" w:customStyle="1" w:styleId="293">
    <w:name w:val="菲页2"/>
    <w:basedOn w:val="5"/>
    <w:qFormat/>
    <w:uiPriority w:val="0"/>
    <w:pPr>
      <w:widowControl/>
      <w:tabs>
        <w:tab w:val="left" w:pos="720"/>
      </w:tabs>
      <w:spacing w:before="120" w:after="120" w:line="360" w:lineRule="auto"/>
      <w:ind w:left="720" w:hanging="720"/>
      <w:jc w:val="center"/>
    </w:pPr>
    <w:rPr>
      <w:rFonts w:ascii="黑体" w:hAnsi="宋体" w:eastAsia="黑体"/>
      <w:b w:val="0"/>
      <w:bCs w:val="0"/>
      <w:kern w:val="0"/>
      <w:sz w:val="44"/>
      <w:szCs w:val="20"/>
    </w:rPr>
  </w:style>
  <w:style w:type="character" w:customStyle="1" w:styleId="294">
    <w:name w:val="button"/>
    <w:basedOn w:val="50"/>
    <w:qFormat/>
    <w:uiPriority w:val="0"/>
  </w:style>
  <w:style w:type="character" w:customStyle="1" w:styleId="295">
    <w:name w:val="hover3"/>
    <w:basedOn w:val="50"/>
    <w:qFormat/>
    <w:uiPriority w:val="0"/>
    <w:rPr>
      <w:shd w:val="clear" w:color="auto" w:fill="EEEEEE"/>
    </w:rPr>
  </w:style>
  <w:style w:type="character" w:customStyle="1" w:styleId="296">
    <w:name w:val="old"/>
    <w:basedOn w:val="50"/>
    <w:qFormat/>
    <w:uiPriority w:val="0"/>
    <w:rPr>
      <w:color w:val="999999"/>
    </w:rPr>
  </w:style>
  <w:style w:type="character" w:customStyle="1" w:styleId="297">
    <w:name w:val="glyphicon4"/>
    <w:basedOn w:val="50"/>
    <w:qFormat/>
    <w:uiPriority w:val="0"/>
  </w:style>
  <w:style w:type="character" w:customStyle="1" w:styleId="298">
    <w:name w:val="hour_am"/>
    <w:basedOn w:val="50"/>
    <w:qFormat/>
    <w:uiPriority w:val="0"/>
  </w:style>
  <w:style w:type="character" w:customStyle="1" w:styleId="299">
    <w:name w:val="hour_pm"/>
    <w:basedOn w:val="50"/>
    <w:qFormat/>
    <w:uiPriority w:val="0"/>
  </w:style>
  <w:style w:type="character" w:customStyle="1" w:styleId="300">
    <w:name w:val="tmpztreemove_arrow"/>
    <w:basedOn w:val="50"/>
    <w:qFormat/>
    <w:uiPriority w:val="0"/>
    <w:rPr>
      <w:shd w:val="clear" w:color="auto" w:fill="FFFFFF"/>
    </w:rPr>
  </w:style>
  <w:style w:type="character" w:customStyle="1" w:styleId="301">
    <w:name w:val="indent"/>
    <w:basedOn w:val="50"/>
    <w:qFormat/>
    <w:uiPriority w:val="0"/>
  </w:style>
  <w:style w:type="paragraph" w:customStyle="1" w:styleId="302">
    <w:name w:val="title1"/>
    <w:basedOn w:val="1"/>
    <w:qFormat/>
    <w:uiPriority w:val="0"/>
    <w:pPr>
      <w:spacing w:before="150" w:line="450" w:lineRule="atLeast"/>
      <w:jc w:val="left"/>
    </w:pPr>
    <w:rPr>
      <w:b/>
      <w:kern w:val="0"/>
      <w:sz w:val="24"/>
    </w:rPr>
  </w:style>
  <w:style w:type="character" w:customStyle="1" w:styleId="303">
    <w:name w:val="hover2"/>
    <w:basedOn w:val="50"/>
    <w:qFormat/>
    <w:uiPriority w:val="0"/>
    <w:rPr>
      <w:shd w:val="clear" w:color="auto" w:fill="EEEEEE"/>
    </w:rPr>
  </w:style>
  <w:style w:type="paragraph" w:customStyle="1" w:styleId="30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5">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30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307">
    <w:name w:val="UserStyle_102"/>
    <w:basedOn w:val="1"/>
    <w:qFormat/>
    <w:uiPriority w:val="0"/>
    <w:pPr>
      <w:widowControl/>
      <w:spacing w:line="360" w:lineRule="auto"/>
      <w:jc w:val="left"/>
      <w:textAlignment w:val="baseline"/>
    </w:pPr>
    <w:rPr>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108</Pages>
  <Words>49323</Words>
  <Characters>51761</Characters>
  <Lines>402</Lines>
  <Paragraphs>113</Paragraphs>
  <TotalTime>21</TotalTime>
  <ScaleCrop>false</ScaleCrop>
  <LinksUpToDate>false</LinksUpToDate>
  <CharactersWithSpaces>54354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2021-10-20T03:06:00Z</dcterms:created>
  <dc:creator>東山花燈路丶</dc:creator>
  <cp:lastModifiedBy>等海不蓝</cp:lastModifiedBy>
  <dcterms:modified xsi:type="dcterms:W3CDTF">2022-05-11T06:25:40Z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81C9097350524412B5402254299A9420</vt:lpwstr>
  </property>
</Properties>
</file>