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sz w:val="26"/>
          <w:szCs w:val="26"/>
        </w:rPr>
      </w:pPr>
      <w:r>
        <w:rPr>
          <w:sz w:val="28"/>
        </w:rPr>
        <mc:AlternateContent>
          <mc:Choice Requires="wps">
            <w:drawing>
              <wp:anchor distT="0" distB="0" distL="114300" distR="114300" simplePos="0" relativeHeight="251665408" behindDoc="1" locked="0" layoutInCell="1" allowOverlap="1">
                <wp:simplePos x="0" y="0"/>
                <wp:positionH relativeFrom="column">
                  <wp:posOffset>4274185</wp:posOffset>
                </wp:positionH>
                <wp:positionV relativeFrom="paragraph">
                  <wp:posOffset>75565</wp:posOffset>
                </wp:positionV>
                <wp:extent cx="1030605" cy="268605"/>
                <wp:effectExtent l="8255" t="10160" r="8890" b="6985"/>
                <wp:wrapNone/>
                <wp:docPr id="8" name="流程图: 过程 8"/>
                <wp:cNvGraphicFramePr/>
                <a:graphic xmlns:a="http://schemas.openxmlformats.org/drawingml/2006/main">
                  <a:graphicData uri="http://schemas.microsoft.com/office/word/2010/wordprocessingShape">
                    <wps:wsp>
                      <wps:cNvSpPr>
                        <a:spLocks noChangeArrowheads="1"/>
                      </wps:cNvSpPr>
                      <wps:spPr bwMode="auto">
                        <a:xfrm>
                          <a:off x="0" y="0"/>
                          <a:ext cx="1030605" cy="2686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336.55pt;margin-top:5.95pt;height:21.15pt;width:81.15pt;z-index:-251651072;mso-width-relative:page;mso-height-relative:page;" fillcolor="#FFFFFF" filled="t" stroked="t" coordsize="21600,21600" o:gfxdata="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56za7ZAAAACQEAAA8AAAAAAAAAAQAg&#10;AAAAIgAAAGRycy9kb3ducmV2LnhtbFBLAQIUABQAAAAIAIdO4kDl//OtRgIAAIYEAAAOAAAAAAAA&#10;AAEAIAAAACgBAABkcnMvZTJvRG9jLnhtbFBLBQYAAAAABgAGAFkBAADgBQAAAAA=&#10;">
                <v:fill on="t" focussize="0,0"/>
                <v:stroke color="#000000" miterlimit="8" joinstyle="miter"/>
                <v:imagedata o:title=""/>
                <o:lock v:ext="edit" aspectratio="f"/>
              </v:shape>
            </w:pict>
          </mc:Fallback>
        </mc:AlternateContent>
      </w:r>
      <w:r>
        <w:rPr>
          <w:rFonts w:hint="eastAsia" w:ascii="宋体" w:hAnsi="宋体" w:cs="宋体"/>
          <w:b/>
          <w:sz w:val="28"/>
          <w:szCs w:val="28"/>
        </w:rPr>
        <w:t xml:space="preserve"> </w:t>
      </w:r>
      <w:bookmarkStart w:id="0" w:name="page4"/>
      <w:bookmarkEnd w:id="0"/>
      <w:r>
        <w:rPr>
          <w:rFonts w:hint="eastAsia" w:ascii="宋体" w:hAnsi="宋体" w:cs="宋体"/>
          <w:b/>
          <w:sz w:val="28"/>
          <w:szCs w:val="28"/>
        </w:rPr>
        <w:t xml:space="preserve">                                               </w:t>
      </w:r>
      <w:r>
        <w:rPr>
          <w:rFonts w:hint="eastAsia" w:ascii="宋体" w:hAnsi="宋体" w:cs="宋体"/>
          <w:b/>
          <w:sz w:val="26"/>
          <w:szCs w:val="26"/>
        </w:rPr>
        <w:t>政府采购项目</w:t>
      </w: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hint="eastAsia" w:eastAsia="宋体"/>
          <w:sz w:val="44"/>
          <w:szCs w:val="44"/>
          <w:lang w:eastAsia="zh-CN"/>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西安市高陵区创优质均衡发展（高家小学多功能厅改造提升项目）</w:t>
      </w:r>
    </w:p>
    <w:p>
      <w:pPr>
        <w:rPr>
          <w:sz w:val="24"/>
        </w:rPr>
      </w:pPr>
    </w:p>
    <w:p>
      <w:pPr>
        <w:pStyle w:val="2"/>
      </w:pPr>
    </w:p>
    <w:p>
      <w:pPr>
        <w:pStyle w:val="2"/>
      </w:pPr>
    </w:p>
    <w:p>
      <w:pPr>
        <w:pStyle w:val="2"/>
      </w:pPr>
    </w:p>
    <w:p>
      <w:pPr>
        <w:pStyle w:val="2"/>
      </w:pPr>
    </w:p>
    <w:p>
      <w:pPr>
        <w:pStyle w:val="2"/>
      </w:pPr>
    </w:p>
    <w:p>
      <w:pPr>
        <w:pStyle w:val="2"/>
      </w:pPr>
    </w:p>
    <w:p>
      <w:pPr>
        <w:overflowPunct w:val="0"/>
        <w:topLinePunct/>
        <w:spacing w:line="360" w:lineRule="auto"/>
        <w:jc w:val="center"/>
        <w:rPr>
          <w:bCs/>
          <w:sz w:val="56"/>
          <w:szCs w:val="56"/>
        </w:rPr>
      </w:pPr>
      <w:r>
        <w:rPr>
          <w:b/>
          <w:sz w:val="56"/>
          <w:szCs w:val="56"/>
        </w:rPr>
        <w:t>竞争性磋商文件</w:t>
      </w:r>
    </w:p>
    <w:p>
      <w:pPr>
        <w:jc w:val="center"/>
        <w:rPr>
          <w:rFonts w:hint="eastAsia" w:asciiTheme="minorEastAsia" w:hAnsiTheme="minorEastAsia" w:eastAsiaTheme="minorEastAsia" w:cstheme="minorEastAsia"/>
          <w:b/>
          <w:bCs/>
          <w:color w:val="FF0000"/>
          <w:sz w:val="32"/>
          <w:szCs w:val="32"/>
          <w:highlight w:val="yellow"/>
          <w:lang w:eastAsia="zh-CN"/>
        </w:rPr>
      </w:pPr>
      <w:r>
        <w:rPr>
          <w:rFonts w:hint="eastAsia" w:asciiTheme="minorEastAsia" w:hAnsiTheme="minorEastAsia" w:eastAsiaTheme="minorEastAsia" w:cstheme="minorEastAsia"/>
          <w:b/>
          <w:bCs/>
          <w:sz w:val="32"/>
          <w:szCs w:val="32"/>
        </w:rPr>
        <w:t>项目编号：</w:t>
      </w:r>
      <w:r>
        <w:rPr>
          <w:rFonts w:hint="eastAsia" w:asciiTheme="minorEastAsia" w:hAnsiTheme="minorEastAsia" w:eastAsiaTheme="minorEastAsia" w:cstheme="minorEastAsia"/>
          <w:b/>
          <w:bCs/>
          <w:sz w:val="32"/>
          <w:szCs w:val="32"/>
          <w:highlight w:val="none"/>
          <w:lang w:eastAsia="zh-CN"/>
        </w:rPr>
        <w:t>YCZB-2022008C</w:t>
      </w:r>
    </w:p>
    <w:p>
      <w:pPr>
        <w:jc w:val="center"/>
        <w:rPr>
          <w:b/>
          <w:bCs/>
          <w:sz w:val="24"/>
        </w:rPr>
      </w:pPr>
    </w:p>
    <w:p>
      <w:pPr>
        <w:ind w:right="-307" w:rightChars="-146"/>
        <w:rPr>
          <w:b/>
          <w:bCs/>
          <w:sz w:val="24"/>
        </w:rPr>
      </w:pPr>
    </w:p>
    <w:p>
      <w:pPr>
        <w:ind w:left="-199" w:leftChars="-95" w:right="-307" w:rightChars="-146"/>
        <w:rPr>
          <w:b/>
          <w:bCs/>
          <w:sz w:val="24"/>
        </w:rPr>
      </w:pPr>
    </w:p>
    <w:p>
      <w:pPr>
        <w:ind w:left="-199" w:leftChars="-95" w:right="-307" w:rightChars="-146"/>
        <w:rPr>
          <w:b/>
          <w:bCs/>
          <w:sz w:val="24"/>
        </w:rPr>
      </w:pPr>
    </w:p>
    <w:p>
      <w:pPr>
        <w:pStyle w:val="17"/>
      </w:pPr>
    </w:p>
    <w:p>
      <w:pPr>
        <w:rPr>
          <w:b/>
          <w:bCs/>
          <w:sz w:val="24"/>
        </w:rPr>
      </w:pPr>
    </w:p>
    <w:p>
      <w:pPr>
        <w:snapToGrid w:val="0"/>
        <w:spacing w:line="540" w:lineRule="atLeast"/>
        <w:rPr>
          <w:sz w:val="30"/>
          <w:szCs w:val="30"/>
        </w:rPr>
      </w:pPr>
    </w:p>
    <w:p>
      <w:pPr>
        <w:pStyle w:val="2"/>
      </w:pPr>
    </w:p>
    <w:p>
      <w:pPr>
        <w:pStyle w:val="2"/>
        <w:ind w:firstLine="0" w:firstLineChars="0"/>
        <w:rPr>
          <w:sz w:val="30"/>
          <w:szCs w:val="30"/>
        </w:rPr>
      </w:pPr>
    </w:p>
    <w:p>
      <w:pPr>
        <w:snapToGrid w:val="0"/>
        <w:spacing w:line="480" w:lineRule="auto"/>
        <w:ind w:firstLine="1807" w:firstLineChars="600"/>
        <w:rPr>
          <w:rFonts w:asciiTheme="majorEastAsia" w:hAnsiTheme="majorEastAsia" w:cstheme="majorEastAsia"/>
          <w:b/>
          <w:color w:val="000000" w:themeColor="text1"/>
          <w:sz w:val="30"/>
          <w:szCs w:val="30"/>
          <w:u w:val="single"/>
          <w14:textFill>
            <w14:solidFill>
              <w14:schemeClr w14:val="tx1"/>
            </w14:solidFill>
          </w14:textFill>
        </w:rPr>
      </w:pPr>
      <w:r>
        <w:rPr>
          <w:b/>
          <w:sz w:val="30"/>
          <w:szCs w:val="30"/>
        </w:rPr>
        <w:t>采</w:t>
      </w:r>
      <w:r>
        <w:rPr>
          <w:rFonts w:hint="eastAsia"/>
          <w:b/>
          <w:sz w:val="30"/>
          <w:szCs w:val="30"/>
        </w:rPr>
        <w:t xml:space="preserve">   </w:t>
      </w:r>
      <w:r>
        <w:rPr>
          <w:b/>
          <w:sz w:val="30"/>
          <w:szCs w:val="30"/>
        </w:rPr>
        <w:t>购</w:t>
      </w:r>
      <w:r>
        <w:rPr>
          <w:rFonts w:hint="eastAsia"/>
          <w:b/>
          <w:sz w:val="30"/>
          <w:szCs w:val="30"/>
        </w:rPr>
        <w:t xml:space="preserve">   </w:t>
      </w:r>
      <w:r>
        <w:rPr>
          <w:b/>
          <w:sz w:val="30"/>
          <w:szCs w:val="30"/>
        </w:rPr>
        <w:t>人：</w:t>
      </w:r>
      <w:r>
        <w:rPr>
          <w:rFonts w:hint="eastAsia" w:asciiTheme="majorEastAsia" w:hAnsiTheme="majorEastAsia" w:eastAsiaTheme="majorEastAsia" w:cstheme="majorEastAsia"/>
          <w:b/>
          <w:color w:val="000000" w:themeColor="text1"/>
          <w:sz w:val="30"/>
          <w:szCs w:val="30"/>
          <w:u w:val="single"/>
          <w14:textFill>
            <w14:solidFill>
              <w14:schemeClr w14:val="tx1"/>
            </w14:solidFill>
          </w14:textFill>
        </w:rPr>
        <w:t>西安市高陵区教育局</w:t>
      </w:r>
    </w:p>
    <w:p>
      <w:pPr>
        <w:snapToGrid w:val="0"/>
        <w:spacing w:line="480" w:lineRule="auto"/>
        <w:ind w:firstLine="1807" w:firstLineChars="600"/>
        <w:rPr>
          <w:rFonts w:hint="eastAsia" w:eastAsia="宋体"/>
          <w:b/>
          <w:sz w:val="30"/>
          <w:szCs w:val="30"/>
          <w:lang w:eastAsia="zh-CN"/>
        </w:rPr>
      </w:pPr>
      <w:r>
        <w:rPr>
          <w:b/>
          <w:sz w:val="30"/>
          <w:szCs w:val="30"/>
        </w:rPr>
        <w:t>采购代理机构：</w:t>
      </w:r>
      <w:r>
        <w:rPr>
          <w:rFonts w:hint="eastAsia" w:asciiTheme="majorEastAsia" w:hAnsiTheme="majorEastAsia" w:eastAsiaTheme="majorEastAsia" w:cstheme="majorEastAsia"/>
          <w:b/>
          <w:color w:val="000000" w:themeColor="text1"/>
          <w:sz w:val="30"/>
          <w:szCs w:val="30"/>
          <w:u w:val="single"/>
          <w:lang w:eastAsia="zh-CN"/>
          <w14:textFill>
            <w14:solidFill>
              <w14:schemeClr w14:val="tx1"/>
            </w14:solidFill>
          </w14:textFill>
        </w:rPr>
        <w:t>远创项目管理有限公司</w:t>
      </w:r>
    </w:p>
    <w:p>
      <w:pPr>
        <w:snapToGrid w:val="0"/>
        <w:spacing w:line="480" w:lineRule="auto"/>
        <w:ind w:firstLine="1807" w:firstLineChars="600"/>
        <w:rPr>
          <w:b/>
          <w:sz w:val="30"/>
          <w:szCs w:val="30"/>
          <w:highlight w:val="none"/>
        </w:rPr>
      </w:pPr>
      <w:r>
        <w:rPr>
          <w:b/>
          <w:sz w:val="30"/>
          <w:szCs w:val="30"/>
        </w:rPr>
        <w:t xml:space="preserve">日   </w:t>
      </w:r>
      <w:r>
        <w:rPr>
          <w:rFonts w:hint="eastAsia"/>
          <w:b/>
          <w:sz w:val="30"/>
          <w:szCs w:val="30"/>
        </w:rPr>
        <w:t xml:space="preserve">     </w:t>
      </w:r>
      <w:r>
        <w:rPr>
          <w:b/>
          <w:sz w:val="30"/>
          <w:szCs w:val="30"/>
        </w:rPr>
        <w:t>期：</w:t>
      </w:r>
      <w:r>
        <w:rPr>
          <w:b/>
          <w:sz w:val="30"/>
          <w:szCs w:val="30"/>
          <w:highlight w:val="none"/>
        </w:rPr>
        <w:t>二〇二</w:t>
      </w:r>
      <w:r>
        <w:rPr>
          <w:rFonts w:hint="eastAsia"/>
          <w:b/>
          <w:sz w:val="30"/>
          <w:szCs w:val="30"/>
          <w:highlight w:val="none"/>
          <w:lang w:val="en-US" w:eastAsia="zh-CN"/>
        </w:rPr>
        <w:t>二</w:t>
      </w:r>
      <w:r>
        <w:rPr>
          <w:b/>
          <w:sz w:val="30"/>
          <w:szCs w:val="30"/>
          <w:highlight w:val="none"/>
        </w:rPr>
        <w:t>年</w:t>
      </w:r>
      <w:r>
        <w:rPr>
          <w:rFonts w:hint="eastAsia"/>
          <w:b/>
          <w:sz w:val="30"/>
          <w:szCs w:val="30"/>
          <w:highlight w:val="none"/>
          <w:lang w:val="en-US" w:eastAsia="zh-CN"/>
        </w:rPr>
        <w:t>五</w:t>
      </w:r>
      <w:r>
        <w:rPr>
          <w:b/>
          <w:sz w:val="30"/>
          <w:szCs w:val="30"/>
          <w:highlight w:val="none"/>
        </w:rPr>
        <w:t>月</w:t>
      </w:r>
    </w:p>
    <w:p>
      <w:pPr>
        <w:rPr>
          <w:b/>
          <w:sz w:val="30"/>
          <w:szCs w:val="30"/>
          <w:highlight w:val="none"/>
        </w:rPr>
      </w:pPr>
      <w:r>
        <w:rPr>
          <w:b/>
          <w:sz w:val="30"/>
          <w:szCs w:val="30"/>
          <w:highlight w:val="none"/>
        </w:rPr>
        <w:br w:type="page"/>
      </w:r>
    </w:p>
    <w:p>
      <w:pPr>
        <w:jc w:val="center"/>
        <w:rPr>
          <w:rFonts w:hint="eastAsia"/>
          <w:b/>
          <w:bCs/>
          <w:sz w:val="40"/>
          <w:szCs w:val="48"/>
          <w:lang w:eastAsia="zh-CN"/>
        </w:rPr>
      </w:pPr>
      <w:r>
        <w:rPr>
          <w:rFonts w:hint="eastAsia"/>
          <w:b/>
          <w:bCs/>
          <w:sz w:val="40"/>
          <w:szCs w:val="48"/>
          <w:lang w:eastAsia="zh-CN"/>
        </w:rPr>
        <w:t>温馨提示</w:t>
      </w:r>
    </w:p>
    <w:p>
      <w:pPr>
        <w:pStyle w:val="2"/>
        <w:rPr>
          <w:rFonts w:hint="eastAsia"/>
          <w:sz w:val="28"/>
          <w:szCs w:val="36"/>
          <w:lang w:eastAsia="zh-CN"/>
        </w:rPr>
      </w:pPr>
    </w:p>
    <w:p>
      <w:pPr>
        <w:pStyle w:val="2"/>
        <w:rPr>
          <w:rFonts w:hint="eastAsia"/>
          <w:sz w:val="28"/>
          <w:szCs w:val="36"/>
          <w:lang w:eastAsia="zh-CN"/>
        </w:rPr>
      </w:pPr>
      <w:r>
        <w:rPr>
          <w:rFonts w:hint="eastAsia"/>
          <w:sz w:val="28"/>
          <w:szCs w:val="36"/>
          <w:lang w:eastAsia="zh-CN"/>
        </w:rPr>
        <w:t>潜在供应商在获取采购文件后，请认真仔细阅读所有条款，如需问题，请及时来电咨询，电话：</w:t>
      </w:r>
      <w:r>
        <w:rPr>
          <w:rFonts w:hint="eastAsia"/>
          <w:sz w:val="28"/>
          <w:szCs w:val="36"/>
          <w:lang w:val="en-US" w:eastAsia="zh-CN"/>
        </w:rPr>
        <w:t>18791915545</w:t>
      </w:r>
      <w:r>
        <w:rPr>
          <w:rFonts w:hint="eastAsia"/>
          <w:sz w:val="28"/>
          <w:szCs w:val="36"/>
          <w:lang w:eastAsia="zh-CN"/>
        </w:rPr>
        <w:t>。</w:t>
      </w:r>
    </w:p>
    <w:p>
      <w:pPr>
        <w:pStyle w:val="2"/>
        <w:rPr>
          <w:rFonts w:hint="eastAsia"/>
          <w:sz w:val="28"/>
          <w:szCs w:val="36"/>
          <w:lang w:eastAsia="zh-CN"/>
        </w:rPr>
      </w:pPr>
      <w:r>
        <w:rPr>
          <w:rFonts w:hint="eastAsia"/>
          <w:sz w:val="28"/>
          <w:szCs w:val="36"/>
          <w:lang w:eastAsia="zh-CN"/>
        </w:rPr>
        <w:t>属于西安市（含区县）政府采购项目的，获取采购文件的潜在供应商，如决定不参加磋商，应当在磋商截止日前1日以书面形式通知采购代理机构；否则，采购代理机构将向监管部门反映，在全市范围内累计达到3次以上的，将被财政部门列入失信名单。</w:t>
      </w:r>
    </w:p>
    <w:p>
      <w:pPr>
        <w:pStyle w:val="2"/>
        <w:jc w:val="center"/>
        <w:rPr>
          <w:b/>
          <w:bCs/>
          <w:sz w:val="40"/>
          <w:szCs w:val="48"/>
        </w:rPr>
        <w:sectPr>
          <w:footerReference r:id="rId5" w:type="first"/>
          <w:headerReference r:id="rId3" w:type="default"/>
          <w:footerReference r:id="rId4" w:type="even"/>
          <w:pgSz w:w="11906" w:h="16838"/>
          <w:pgMar w:top="1440" w:right="1457" w:bottom="1440" w:left="1463" w:header="851" w:footer="992" w:gutter="0"/>
          <w:pgNumType w:start="1"/>
          <w:cols w:space="0" w:num="1"/>
          <w:titlePg/>
          <w:docGrid w:type="lines" w:linePitch="312" w:charSpace="0"/>
        </w:sectPr>
      </w:pPr>
    </w:p>
    <w:sdt>
      <w:sdtPr>
        <w:rPr>
          <w:rFonts w:ascii="宋体" w:hAnsi="宋体"/>
          <w:sz w:val="32"/>
          <w:szCs w:val="32"/>
        </w:rPr>
        <w:id w:val="147475742"/>
        <w:docPartObj>
          <w:docPartGallery w:val="Table of Contents"/>
          <w:docPartUnique/>
        </w:docPartObj>
      </w:sdtPr>
      <w:sdtEndPr>
        <w:rPr>
          <w:rFonts w:ascii="Times New Roman" w:hAnsi="Times New Roman"/>
          <w:sz w:val="21"/>
          <w:szCs w:val="28"/>
        </w:rPr>
      </w:sdtEndPr>
      <w:sdtContent>
        <w:p>
          <w:pPr>
            <w:jc w:val="center"/>
            <w:rPr>
              <w:rFonts w:ascii="宋体" w:hAnsi="宋体"/>
              <w:sz w:val="32"/>
              <w:szCs w:val="32"/>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pPr>
            <w:pStyle w:val="17"/>
            <w:rPr>
              <w:sz w:val="24"/>
              <w:szCs w:val="24"/>
            </w:rPr>
          </w:pPr>
        </w:p>
        <w:p>
          <w:pPr>
            <w:rPr>
              <w:rFonts w:ascii="宋体" w:hAnsi="宋体"/>
              <w:sz w:val="24"/>
            </w:rPr>
          </w:pPr>
        </w:p>
        <w:p>
          <w:pPr>
            <w:pStyle w:val="17"/>
            <w:rPr>
              <w:sz w:val="24"/>
              <w:szCs w:val="24"/>
            </w:rPr>
          </w:pPr>
        </w:p>
        <w:p/>
        <w:p>
          <w:pPr>
            <w:pStyle w:val="67"/>
            <w:tabs>
              <w:tab w:val="right" w:leader="dot" w:pos="8986"/>
            </w:tabs>
            <w:spacing w:line="360" w:lineRule="auto"/>
            <w:rPr>
              <w:rFonts w:ascii="宋体" w:hAnsi="宋体" w:cs="宋体"/>
              <w:sz w:val="32"/>
              <w:szCs w:val="32"/>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"_Toc12126" </w:instrText>
          </w:r>
          <w:r>
            <w:fldChar w:fldCharType="separate"/>
          </w:r>
          <w:r>
            <w:rPr>
              <w:rFonts w:hint="eastAsia" w:ascii="宋体" w:hAnsi="宋体" w:cs="宋体"/>
              <w:bCs/>
              <w:sz w:val="32"/>
              <w:szCs w:val="32"/>
            </w:rPr>
            <w:t>第一章　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_Toc12126 </w:instrText>
          </w:r>
          <w:r>
            <w:rPr>
              <w:rFonts w:hint="eastAsia" w:ascii="宋体" w:hAnsi="宋体" w:cs="宋体"/>
              <w:sz w:val="32"/>
              <w:szCs w:val="32"/>
            </w:rPr>
            <w:fldChar w:fldCharType="separate"/>
          </w:r>
          <w:r>
            <w:rPr>
              <w:rFonts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"_Toc27252" </w:instrText>
          </w:r>
          <w:r>
            <w:fldChar w:fldCharType="separate"/>
          </w:r>
          <w:r>
            <w:rPr>
              <w:rFonts w:hint="eastAsia" w:ascii="宋体" w:hAnsi="宋体" w:cs="宋体"/>
              <w:bCs/>
              <w:sz w:val="32"/>
              <w:szCs w:val="32"/>
            </w:rPr>
            <w:t>第二章　磋商须知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_Toc27252 </w:instrText>
          </w:r>
          <w:r>
            <w:rPr>
              <w:rFonts w:hint="eastAsia" w:ascii="宋体" w:hAnsi="宋体" w:cs="宋体"/>
              <w:sz w:val="32"/>
              <w:szCs w:val="32"/>
            </w:rPr>
            <w:fldChar w:fldCharType="separate"/>
          </w:r>
          <w:r>
            <w:rPr>
              <w:rFonts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"_Toc22384" </w:instrText>
          </w:r>
          <w:r>
            <w:fldChar w:fldCharType="separate"/>
          </w:r>
          <w:r>
            <w:rPr>
              <w:rFonts w:hint="eastAsia" w:ascii="宋体" w:hAnsi="宋体" w:cs="宋体"/>
              <w:bCs/>
              <w:kern w:val="2"/>
              <w:sz w:val="32"/>
              <w:szCs w:val="32"/>
            </w:rPr>
            <w:t>第三章　磋商响应单位资格证明文件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_Toc22384 </w:instrText>
          </w:r>
          <w:r>
            <w:rPr>
              <w:rFonts w:hint="eastAsia" w:ascii="宋体" w:hAnsi="宋体" w:cs="宋体"/>
              <w:sz w:val="32"/>
              <w:szCs w:val="32"/>
            </w:rPr>
            <w:fldChar w:fldCharType="separate"/>
          </w:r>
          <w:r>
            <w:rPr>
              <w:rFonts w:ascii="宋体" w:hAnsi="宋体" w:cs="宋体"/>
              <w:sz w:val="32"/>
              <w:szCs w:val="32"/>
            </w:rPr>
            <w:t>19</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"_Toc23091" </w:instrText>
          </w:r>
          <w:r>
            <w:fldChar w:fldCharType="separate"/>
          </w:r>
          <w:r>
            <w:rPr>
              <w:rFonts w:hint="eastAsia" w:ascii="宋体" w:hAnsi="宋体" w:cs="宋体"/>
              <w:bCs/>
              <w:sz w:val="32"/>
              <w:szCs w:val="32"/>
            </w:rPr>
            <w:t>第四章　磋商及评审办法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_Toc23091 </w:instrText>
          </w:r>
          <w:r>
            <w:rPr>
              <w:rFonts w:hint="eastAsia" w:ascii="宋体" w:hAnsi="宋体" w:cs="宋体"/>
              <w:sz w:val="32"/>
              <w:szCs w:val="32"/>
            </w:rPr>
            <w:fldChar w:fldCharType="separate"/>
          </w:r>
          <w:r>
            <w:rPr>
              <w:rFonts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"_Toc18298" </w:instrText>
          </w:r>
          <w:r>
            <w:fldChar w:fldCharType="separate"/>
          </w:r>
          <w:r>
            <w:rPr>
              <w:rFonts w:hint="eastAsia" w:ascii="宋体" w:hAnsi="宋体" w:cs="宋体"/>
              <w:bCs/>
              <w:kern w:val="2"/>
              <w:sz w:val="32"/>
              <w:szCs w:val="32"/>
              <w:lang w:val="zh-CN"/>
            </w:rPr>
            <w:t>第五章</w:t>
          </w:r>
          <w:r>
            <w:rPr>
              <w:rFonts w:hint="eastAsia" w:ascii="宋体" w:hAnsi="宋体" w:cs="宋体"/>
              <w:sz w:val="32"/>
              <w:szCs w:val="32"/>
              <w:lang w:val="zh-CN"/>
            </w:rPr>
            <w:t>　</w:t>
          </w:r>
          <w:r>
            <w:rPr>
              <w:rFonts w:hint="eastAsia" w:ascii="宋体" w:hAnsi="宋体" w:cs="宋体"/>
              <w:bCs/>
              <w:kern w:val="2"/>
              <w:sz w:val="32"/>
              <w:szCs w:val="32"/>
            </w:rPr>
            <w:t>采购内容及要求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_Toc18298 </w:instrText>
          </w:r>
          <w:r>
            <w:rPr>
              <w:rFonts w:hint="eastAsia" w:ascii="宋体" w:hAnsi="宋体" w:cs="宋体"/>
              <w:sz w:val="32"/>
              <w:szCs w:val="32"/>
            </w:rPr>
            <w:fldChar w:fldCharType="separate"/>
          </w:r>
          <w:r>
            <w:rPr>
              <w:rFonts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"_Toc26337" </w:instrText>
          </w:r>
          <w:r>
            <w:fldChar w:fldCharType="separate"/>
          </w:r>
          <w:r>
            <w:rPr>
              <w:rFonts w:hint="eastAsia" w:ascii="宋体" w:hAnsi="宋体" w:cs="宋体"/>
              <w:bCs/>
              <w:sz w:val="32"/>
              <w:szCs w:val="32"/>
            </w:rPr>
            <w:t>第六章　合同草案条款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_Toc26337 </w:instrText>
          </w:r>
          <w:r>
            <w:rPr>
              <w:rFonts w:hint="eastAsia" w:ascii="宋体" w:hAnsi="宋体" w:cs="宋体"/>
              <w:sz w:val="32"/>
              <w:szCs w:val="32"/>
            </w:rPr>
            <w:fldChar w:fldCharType="separate"/>
          </w:r>
          <w:r>
            <w:rPr>
              <w:rFonts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"_Toc17185" </w:instrText>
          </w:r>
          <w:r>
            <w:fldChar w:fldCharType="separate"/>
          </w:r>
          <w:r>
            <w:rPr>
              <w:rFonts w:hint="eastAsia" w:ascii="宋体" w:hAnsi="宋体" w:cs="宋体"/>
              <w:bCs/>
              <w:sz w:val="32"/>
              <w:szCs w:val="32"/>
              <w:lang w:val="zh-CN"/>
            </w:rPr>
            <w:t>第七章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_Toc17185 </w:instrText>
          </w:r>
          <w:r>
            <w:rPr>
              <w:rFonts w:hint="eastAsia" w:ascii="宋体" w:hAnsi="宋体" w:cs="宋体"/>
              <w:sz w:val="32"/>
              <w:szCs w:val="32"/>
            </w:rPr>
            <w:fldChar w:fldCharType="separate"/>
          </w:r>
          <w:r>
            <w:rPr>
              <w:rFonts w:ascii="宋体" w:hAnsi="宋体" w:cs="宋体"/>
              <w:sz w:val="32"/>
              <w:szCs w:val="32"/>
            </w:rPr>
            <w:t>71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pPr>
        </w:p>
        <w:p>
          <w:pPr>
            <w:jc w:val="left"/>
            <w:rPr>
              <w:sz w:val="28"/>
              <w:szCs w:val="28"/>
            </w:rPr>
          </w:pPr>
          <w:r>
            <w:rPr>
              <w:szCs w:val="28"/>
            </w:rPr>
            <w:fldChar w:fldCharType="end"/>
          </w:r>
        </w:p>
      </w:sdtContent>
    </w:sdt>
    <w:p>
      <w:pPr>
        <w:jc w:val="left"/>
        <w:rPr>
          <w:sz w:val="28"/>
          <w:szCs w:val="28"/>
        </w:rPr>
      </w:pPr>
    </w:p>
    <w:p>
      <w:pPr>
        <w:pStyle w:val="3"/>
        <w:numPr>
          <w:ilvl w:val="0"/>
          <w:numId w:val="0"/>
        </w:numPr>
        <w:adjustRightInd w:val="0"/>
        <w:snapToGrid w:val="0"/>
        <w:spacing w:after="156" w:afterLines="50" w:line="360" w:lineRule="auto"/>
        <w:rPr>
          <w:rFonts w:ascii="Times New Roman" w:eastAsia="宋体"/>
          <w:b/>
          <w:bCs/>
          <w:sz w:val="32"/>
          <w:szCs w:val="32"/>
        </w:rPr>
        <w:sectPr>
          <w:headerReference r:id="rId7" w:type="first"/>
          <w:footerReference r:id="rId9" w:type="first"/>
          <w:headerReference r:id="rId6" w:type="default"/>
          <w:footerReference r:id="rId8" w:type="default"/>
          <w:pgSz w:w="11906" w:h="16838"/>
          <w:pgMar w:top="1440" w:right="1457" w:bottom="1440" w:left="1463" w:header="851" w:footer="992" w:gutter="0"/>
          <w:pgNumType w:start="1"/>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rPr>
      </w:pPr>
      <w:bookmarkStart w:id="1" w:name="_Toc12126"/>
      <w:r>
        <w:rPr>
          <w:rFonts w:hint="eastAsia" w:asciiTheme="majorEastAsia" w:hAnsiTheme="majorEastAsia" w:eastAsiaTheme="majorEastAsia" w:cstheme="majorEastAsia"/>
          <w:b/>
          <w:bCs/>
          <w:sz w:val="32"/>
          <w:szCs w:val="32"/>
        </w:rPr>
        <w:t>第一章　竞争性磋商公告</w:t>
      </w:r>
      <w:bookmarkEnd w:id="1"/>
    </w:p>
    <w:p>
      <w:pPr>
        <w:pStyle w:val="42"/>
        <w:spacing w:beforeAutospacing="0" w:afterAutospacing="0" w:line="360" w:lineRule="auto"/>
        <w:jc w:val="both"/>
        <w:rPr>
          <w:rFonts w:hint="eastAsia"/>
          <w:b/>
          <w:bCs w:val="0"/>
          <w:lang w:eastAsia="zh-CN"/>
        </w:rPr>
      </w:pPr>
      <w:r>
        <w:rPr>
          <w:rFonts w:hint="eastAsia"/>
          <w:b/>
          <w:bCs w:val="0"/>
          <w:lang w:eastAsia="zh-CN"/>
        </w:rPr>
        <w:t>项目概况</w:t>
      </w:r>
    </w:p>
    <w:p>
      <w:pPr>
        <w:pStyle w:val="42"/>
        <w:spacing w:beforeAutospacing="0" w:afterAutospacing="0" w:line="360" w:lineRule="auto"/>
        <w:ind w:firstLine="480" w:firstLineChars="200"/>
        <w:jc w:val="both"/>
        <w:rPr>
          <w:b/>
        </w:rPr>
      </w:pPr>
      <w:r>
        <w:rPr>
          <w:rFonts w:hint="eastAsia"/>
          <w:bCs/>
          <w:lang w:eastAsia="zh-CN"/>
        </w:rPr>
        <w:t>西安市高陵区创优质均衡发展（高家小学多功能厅改造提升项目）采购</w:t>
      </w:r>
      <w:r>
        <w:rPr>
          <w:rFonts w:hint="eastAsia"/>
          <w:bCs/>
        </w:rPr>
        <w:t>项目</w:t>
      </w:r>
      <w:r>
        <w:rPr>
          <w:rFonts w:hint="eastAsia"/>
          <w:bCs/>
          <w:lang w:eastAsia="zh-CN"/>
        </w:rPr>
        <w:t>的</w:t>
      </w:r>
      <w:r>
        <w:rPr>
          <w:rFonts w:hint="eastAsia"/>
          <w:bCs/>
        </w:rPr>
        <w:t>潜在供应商</w:t>
      </w:r>
      <w:r>
        <w:rPr>
          <w:rFonts w:hint="eastAsia"/>
          <w:bCs/>
          <w:lang w:eastAsia="zh-CN"/>
        </w:rPr>
        <w:t>应</w:t>
      </w:r>
      <w:r>
        <w:rPr>
          <w:rFonts w:hint="eastAsia"/>
          <w:bCs/>
          <w:highlight w:val="none"/>
        </w:rPr>
        <w:t>在</w:t>
      </w:r>
      <w:r>
        <w:rPr>
          <w:rFonts w:hint="eastAsia"/>
          <w:bCs/>
          <w:highlight w:val="none"/>
          <w:lang w:eastAsia="zh-CN"/>
        </w:rPr>
        <w:t>远创项目管理有限公司（西安市未央区凤城九路与明光路十字中登文景大厦B座701室）</w:t>
      </w:r>
      <w:r>
        <w:rPr>
          <w:rFonts w:hint="eastAsia"/>
          <w:bCs/>
          <w:highlight w:val="none"/>
        </w:rPr>
        <w:t>获取采购文件，并于</w:t>
      </w: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06</w:t>
      </w:r>
      <w:r>
        <w:rPr>
          <w:rFonts w:hint="eastAsia"/>
          <w:highlight w:val="none"/>
        </w:rPr>
        <w:t>月</w:t>
      </w:r>
      <w:r>
        <w:rPr>
          <w:rFonts w:hint="eastAsia"/>
          <w:highlight w:val="none"/>
          <w:lang w:val="en-US" w:eastAsia="zh-CN"/>
        </w:rPr>
        <w:t>09</w:t>
      </w:r>
      <w:r>
        <w:rPr>
          <w:rFonts w:hint="eastAsia"/>
          <w:highlight w:val="none"/>
        </w:rPr>
        <w:t>日 09</w:t>
      </w:r>
      <w:r>
        <w:rPr>
          <w:rFonts w:hint="eastAsia"/>
          <w:highlight w:val="none"/>
          <w:lang w:eastAsia="zh-CN"/>
        </w:rPr>
        <w:t>时</w:t>
      </w:r>
      <w:r>
        <w:rPr>
          <w:rFonts w:hint="eastAsia"/>
          <w:highlight w:val="none"/>
          <w:lang w:val="en-US" w:eastAsia="zh-CN"/>
        </w:rPr>
        <w:t>30分（北京时间）</w:t>
      </w:r>
      <w:r>
        <w:rPr>
          <w:rFonts w:hint="eastAsia"/>
          <w:bCs/>
        </w:rPr>
        <w:t>前</w:t>
      </w:r>
      <w:r>
        <w:rPr>
          <w:rFonts w:hint="eastAsia"/>
          <w:bCs/>
          <w:lang w:eastAsia="zh-CN"/>
        </w:rPr>
        <w:t>提交</w:t>
      </w:r>
      <w:r>
        <w:rPr>
          <w:rFonts w:hint="eastAsia"/>
          <w:bCs/>
        </w:rPr>
        <w:t>响应文件。</w:t>
      </w:r>
    </w:p>
    <w:p>
      <w:pPr>
        <w:pStyle w:val="42"/>
        <w:numPr>
          <w:ilvl w:val="0"/>
          <w:numId w:val="2"/>
        </w:numPr>
        <w:spacing w:beforeAutospacing="0" w:afterAutospacing="0" w:line="360" w:lineRule="auto"/>
        <w:rPr>
          <w:sz w:val="28"/>
          <w:szCs w:val="28"/>
        </w:rPr>
      </w:pPr>
      <w:r>
        <w:rPr>
          <w:rFonts w:hint="eastAsia"/>
          <w:b/>
          <w:sz w:val="28"/>
          <w:szCs w:val="28"/>
        </w:rPr>
        <w:t>项目基本情况：</w:t>
      </w:r>
    </w:p>
    <w:p>
      <w:pPr>
        <w:pStyle w:val="42"/>
        <w:spacing w:beforeAutospacing="0" w:afterAutospacing="0" w:line="360" w:lineRule="auto"/>
        <w:ind w:firstLine="420"/>
        <w:rPr>
          <w:rFonts w:hint="eastAsia" w:eastAsia="宋体"/>
          <w:lang w:eastAsia="zh-CN"/>
        </w:rPr>
      </w:pPr>
      <w:r>
        <w:rPr>
          <w:rFonts w:hint="eastAsia"/>
        </w:rPr>
        <w:t>1、项目编号：</w:t>
      </w:r>
      <w:r>
        <w:rPr>
          <w:rFonts w:hint="eastAsia"/>
          <w:lang w:eastAsia="zh-CN"/>
        </w:rPr>
        <w:t>YCZB-2022008C</w:t>
      </w:r>
    </w:p>
    <w:p>
      <w:pPr>
        <w:pStyle w:val="42"/>
        <w:spacing w:beforeAutospacing="0" w:afterAutospacing="0" w:line="360" w:lineRule="auto"/>
        <w:ind w:firstLine="420"/>
        <w:rPr>
          <w:rFonts w:hint="eastAsia" w:eastAsia="宋体"/>
          <w:lang w:eastAsia="zh-CN"/>
        </w:rPr>
      </w:pPr>
      <w:r>
        <w:rPr>
          <w:rFonts w:hint="eastAsia"/>
        </w:rPr>
        <w:t>2、项目名称：</w:t>
      </w:r>
      <w:r>
        <w:rPr>
          <w:rFonts w:hint="eastAsia"/>
          <w:lang w:eastAsia="zh-CN"/>
        </w:rPr>
        <w:t>西安市高陵区创优质均衡发展（高家小学多功能厅改造提升项目）</w:t>
      </w:r>
    </w:p>
    <w:p>
      <w:pPr>
        <w:pStyle w:val="42"/>
        <w:spacing w:beforeAutospacing="0" w:afterAutospacing="0" w:line="360" w:lineRule="auto"/>
        <w:ind w:firstLine="420"/>
        <w:rPr>
          <w:rFonts w:hint="eastAsia" w:eastAsia="宋体"/>
          <w:lang w:eastAsia="zh-CN"/>
        </w:rPr>
      </w:pPr>
      <w:r>
        <w:rPr>
          <w:rFonts w:hint="eastAsia"/>
        </w:rPr>
        <w:t>3、</w:t>
      </w:r>
      <w:r>
        <w:rPr>
          <w:rFonts w:hint="eastAsia"/>
          <w:lang w:eastAsia="zh-CN"/>
        </w:rPr>
        <w:t>采购方式：竞争性磋商</w:t>
      </w:r>
    </w:p>
    <w:p>
      <w:pPr>
        <w:pStyle w:val="42"/>
        <w:spacing w:beforeAutospacing="0" w:afterAutospacing="0" w:line="360" w:lineRule="auto"/>
        <w:ind w:firstLine="420"/>
      </w:pPr>
      <w:r>
        <w:rPr>
          <w:rFonts w:hint="eastAsia"/>
        </w:rPr>
        <w:t>4、预算金额：</w:t>
      </w:r>
      <w:r>
        <w:rPr>
          <w:rFonts w:hint="eastAsia"/>
          <w:highlight w:val="none"/>
          <w:lang w:eastAsia="zh-CN"/>
        </w:rPr>
        <w:t>2400000.00</w:t>
      </w:r>
      <w:r>
        <w:rPr>
          <w:rFonts w:hint="eastAsia"/>
        </w:rPr>
        <w:t>元</w:t>
      </w:r>
    </w:p>
    <w:p>
      <w:pPr>
        <w:pStyle w:val="42"/>
        <w:spacing w:beforeAutospacing="0" w:afterAutospacing="0" w:line="360" w:lineRule="auto"/>
        <w:ind w:firstLine="420"/>
        <w:rPr>
          <w:rFonts w:hint="eastAsia"/>
        </w:rPr>
      </w:pPr>
      <w:r>
        <w:rPr>
          <w:rFonts w:hint="eastAsia"/>
        </w:rPr>
        <w:t>5、采购需求：</w:t>
      </w:r>
    </w:p>
    <w:p>
      <w:pPr>
        <w:pStyle w:val="42"/>
        <w:spacing w:beforeAutospacing="0" w:afterAutospacing="0" w:line="360" w:lineRule="auto"/>
        <w:ind w:firstLine="420"/>
        <w:rPr>
          <w:highlight w:val="none"/>
        </w:rPr>
      </w:pPr>
      <w:r>
        <w:rPr>
          <w:rFonts w:hint="eastAsia"/>
          <w:lang w:eastAsia="zh-CN"/>
        </w:rPr>
        <w:t>西安市高陵区创优质均衡发展（高家小学多功能厅改造提升项目）</w:t>
      </w:r>
      <w:r>
        <w:rPr>
          <w:rFonts w:hint="eastAsia"/>
        </w:rPr>
        <w:t>，1项，</w:t>
      </w:r>
      <w:r>
        <w:rPr>
          <w:rFonts w:hint="eastAsia"/>
          <w:highlight w:val="none"/>
        </w:rPr>
        <w:t>采购预算：</w:t>
      </w:r>
      <w:r>
        <w:rPr>
          <w:rFonts w:hint="eastAsia"/>
          <w:highlight w:val="none"/>
          <w:lang w:eastAsia="zh-CN"/>
        </w:rPr>
        <w:t>2400000.00</w:t>
      </w:r>
      <w:r>
        <w:rPr>
          <w:rFonts w:hint="eastAsia"/>
          <w:highlight w:val="none"/>
        </w:rPr>
        <w:t>元</w:t>
      </w:r>
      <w:r>
        <w:rPr>
          <w:rFonts w:hint="eastAsia"/>
          <w:highlight w:val="none"/>
          <w:lang w:eastAsia="zh-CN"/>
        </w:rPr>
        <w:t>，最高限价：</w:t>
      </w:r>
      <w:r>
        <w:rPr>
          <w:rFonts w:hint="eastAsia"/>
          <w:highlight w:val="none"/>
          <w:lang w:val="en-US" w:eastAsia="zh-CN"/>
        </w:rPr>
        <w:t>2393244.38元。</w:t>
      </w:r>
      <w:r>
        <w:rPr>
          <w:rFonts w:hint="eastAsia"/>
          <w:highlight w:val="none"/>
        </w:rPr>
        <w:t>项目概况：</w:t>
      </w:r>
      <w:r>
        <w:rPr>
          <w:rFonts w:hint="eastAsia"/>
          <w:highlight w:val="none"/>
          <w:lang w:eastAsia="zh-CN"/>
        </w:rPr>
        <w:t>西安市高陵区创优</w:t>
      </w:r>
      <w:r>
        <w:rPr>
          <w:rFonts w:hint="eastAsia"/>
          <w:lang w:eastAsia="zh-CN"/>
        </w:rPr>
        <w:t>质均衡发展（高家小学多功能厅改造提升项目）</w:t>
      </w:r>
      <w:r>
        <w:rPr>
          <w:rFonts w:hint="eastAsia" w:ascii="宋体" w:hAnsi="宋体" w:eastAsia="宋体" w:cs="宋体"/>
          <w:color w:val="auto"/>
          <w:kern w:val="2"/>
          <w:szCs w:val="28"/>
        </w:rPr>
        <w:t>，</w:t>
      </w:r>
      <w:r>
        <w:rPr>
          <w:rFonts w:hint="eastAsia" w:ascii="宋体" w:hAnsi="宋体" w:cs="仿宋"/>
          <w:kern w:val="2"/>
          <w:szCs w:val="28"/>
        </w:rPr>
        <w:t>包括</w:t>
      </w:r>
      <w:r>
        <w:rPr>
          <w:rFonts w:hint="eastAsia" w:ascii="宋体" w:hAnsi="宋体" w:cs="仿宋"/>
          <w:kern w:val="2"/>
          <w:szCs w:val="28"/>
          <w:lang w:eastAsia="zh-CN"/>
        </w:rPr>
        <w:t>多功能厅装修、拆除、电气、弱电、火灾报警、空调等改造内容</w:t>
      </w:r>
      <w:r>
        <w:rPr>
          <w:rFonts w:hint="eastAsia" w:ascii="宋体" w:hAnsi="宋体" w:eastAsia="宋体" w:cs="宋体"/>
          <w:color w:val="auto"/>
          <w:kern w:val="2"/>
          <w:szCs w:val="28"/>
        </w:rPr>
        <w:t>。</w:t>
      </w:r>
      <w:r>
        <w:rPr>
          <w:rFonts w:hint="eastAsia"/>
          <w:highlight w:val="none"/>
        </w:rPr>
        <w:t>简要技术要求、用途：自用。</w:t>
      </w:r>
    </w:p>
    <w:p>
      <w:pPr>
        <w:pStyle w:val="42"/>
        <w:numPr>
          <w:ilvl w:val="0"/>
          <w:numId w:val="2"/>
        </w:numPr>
        <w:spacing w:beforeAutospacing="0" w:afterAutospacing="0" w:line="360" w:lineRule="auto"/>
        <w:rPr>
          <w:sz w:val="28"/>
          <w:szCs w:val="28"/>
        </w:rPr>
      </w:pPr>
      <w:r>
        <w:rPr>
          <w:rFonts w:hint="eastAsia"/>
          <w:b/>
          <w:sz w:val="28"/>
          <w:szCs w:val="28"/>
        </w:rPr>
        <w:t xml:space="preserve">响应供应商的资格要求 </w:t>
      </w:r>
    </w:p>
    <w:p>
      <w:pPr>
        <w:pStyle w:val="42"/>
        <w:spacing w:beforeAutospacing="0" w:afterAutospacing="0" w:line="360" w:lineRule="auto"/>
        <w:rPr>
          <w:rFonts w:hint="eastAsia" w:eastAsia="宋体"/>
          <w:lang w:eastAsia="zh-CN"/>
        </w:rPr>
      </w:pPr>
      <w:r>
        <w:rPr>
          <w:rFonts w:hint="eastAsia"/>
        </w:rPr>
        <w:t>1、满足《中华人民共和国政府采购法》第二十二条规定</w:t>
      </w:r>
      <w:r>
        <w:rPr>
          <w:rFonts w:hint="eastAsia"/>
          <w:lang w:eastAsia="zh-CN"/>
        </w:rPr>
        <w:t>；</w:t>
      </w:r>
    </w:p>
    <w:p>
      <w:pPr>
        <w:pStyle w:val="42"/>
        <w:spacing w:beforeAutospacing="0" w:afterAutospacing="0" w:line="360" w:lineRule="auto"/>
        <w:rPr>
          <w:rFonts w:hint="eastAsia"/>
        </w:rPr>
      </w:pPr>
      <w:r>
        <w:rPr>
          <w:rFonts w:hint="eastAsia"/>
        </w:rPr>
        <w:t>2、落实政府采购政策需满足的资格要求：</w:t>
      </w:r>
    </w:p>
    <w:p>
      <w:pPr>
        <w:pStyle w:val="42"/>
        <w:spacing w:beforeAutospacing="0" w:afterAutospacing="0" w:line="360" w:lineRule="auto"/>
        <w:ind w:firstLine="420"/>
        <w:rPr>
          <w:rFonts w:hint="eastAsia"/>
        </w:rPr>
      </w:pPr>
      <w:r>
        <w:rPr>
          <w:rFonts w:hint="eastAsia"/>
        </w:rPr>
        <w:t>合同包1(</w:t>
      </w:r>
      <w:r>
        <w:rPr>
          <w:rFonts w:hint="eastAsia"/>
          <w:lang w:eastAsia="zh-CN"/>
        </w:rPr>
        <w:t>西安市高陵区创优质均衡发展（高家小学多功能厅改造提升项目）</w:t>
      </w:r>
      <w:r>
        <w:rPr>
          <w:rFonts w:hint="eastAsia"/>
        </w:rPr>
        <w:t>)落实政府采购政策需满足的资格要求如下:</w:t>
      </w:r>
    </w:p>
    <w:p>
      <w:pPr>
        <w:pStyle w:val="42"/>
        <w:spacing w:beforeAutospacing="0" w:afterAutospacing="0" w:line="360" w:lineRule="auto"/>
        <w:ind w:firstLine="420"/>
      </w:pPr>
      <w:r>
        <w:rPr>
          <w:rFonts w:hint="eastAsia"/>
        </w:rPr>
        <w:t>1、《政府采购促进中小企业发展管理办法》（财库〔2020〕46号）；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陕西省财政厅关于印发《陕西省中小企业政府采购信用融资办法》（陕财办采〔2018〕23号）；8、《关于运用政府采购政策支持乡村产业振兴的通知》（财库〔2021〕19号）；9、其他需要落实的政府采购政策。</w:t>
      </w:r>
    </w:p>
    <w:p>
      <w:pPr>
        <w:autoSpaceDE w:val="0"/>
        <w:autoSpaceDN w:val="0"/>
        <w:spacing w:line="360" w:lineRule="auto"/>
        <w:jc w:val="left"/>
        <w:rPr>
          <w:rFonts w:hint="eastAsia" w:ascii="宋体" w:hAnsi="宋体" w:cs="宋体"/>
          <w:kern w:val="0"/>
          <w:sz w:val="24"/>
          <w:szCs w:val="22"/>
        </w:rPr>
      </w:pPr>
      <w:r>
        <w:rPr>
          <w:rFonts w:hint="eastAsia" w:ascii="宋体" w:hAnsi="宋体" w:cs="宋体"/>
          <w:kern w:val="0"/>
          <w:sz w:val="24"/>
          <w:szCs w:val="22"/>
        </w:rPr>
        <w:t>3、本项目的特定资格要求：</w:t>
      </w:r>
    </w:p>
    <w:p>
      <w:pPr>
        <w:autoSpaceDE w:val="0"/>
        <w:autoSpaceDN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sz w:val="24"/>
        </w:rPr>
        <w:t>1、具有合格有效的企业法人营业执照、税务登记证、组织机构代码证（或三证合一营业执照）；2、磋商响应单位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宋体" w:hAnsi="宋体" w:cs="宋体"/>
          <w:sz w:val="24"/>
          <w:highlight w:val="none"/>
        </w:rPr>
        <w:t>3、具备建筑工程施工总承包三级（含）及以上资质或具备建筑装修装饰工程专业承包贰级（含）以上资质，具有有效的安全生产许可证；4、拟委派项目经理须具有建筑工程</w:t>
      </w:r>
      <w:r>
        <w:rPr>
          <w:rFonts w:hint="eastAsia" w:ascii="宋体" w:hAnsi="宋体" w:cs="宋体"/>
          <w:sz w:val="24"/>
          <w:highlight w:val="none"/>
          <w:lang w:val="en-US" w:eastAsia="zh-CN"/>
        </w:rPr>
        <w:t xml:space="preserve"> </w:t>
      </w:r>
      <w:r>
        <w:rPr>
          <w:rFonts w:hint="eastAsia" w:ascii="宋体" w:hAnsi="宋体" w:cs="宋体"/>
          <w:sz w:val="24"/>
          <w:highlight w:val="none"/>
        </w:rPr>
        <w:t>专业贰级（含）以上注册建造师资质并具有安全生产考核合格证，在本单位注册且无在建工程；</w:t>
      </w:r>
      <w:r>
        <w:rPr>
          <w:rFonts w:hint="eastAsia" w:ascii="宋体" w:hAnsi="宋体" w:cs="宋体"/>
          <w:sz w:val="24"/>
        </w:rPr>
        <w:t>5、</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中列入失信被执行人和税收违法黑名单的供应商，不得为中国政府采购网（www.ccgp.gov.cn）政府采购严重违法失信行为记录名单中被财政部门禁止参加政府采购活动的供应商</w:t>
      </w: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8、财务状况报告：提供供应商2020年经审计的财务报告或磋商前三个月内开户银行开具的资信证明；9、参加政府采购活动前三年内，在经营活动中没有重大违法记录的书面声明；10、磋商响应单位负责人不得为同一人或者存在控股、管理关系。</w:t>
      </w: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p>
      <w:pPr>
        <w:pStyle w:val="42"/>
        <w:spacing w:beforeAutospacing="0" w:afterAutospacing="0" w:line="360" w:lineRule="auto"/>
        <w:ind w:firstLine="420"/>
        <w:rPr>
          <w:rFonts w:hint="eastAsia"/>
        </w:rPr>
      </w:pPr>
      <w:r>
        <w:rPr>
          <w:rFonts w:hint="eastAsia" w:cs="宋体"/>
          <w:kern w:val="0"/>
          <w:sz w:val="24"/>
          <w:szCs w:val="24"/>
          <w:highlight w:val="none"/>
          <w:lang w:eastAsia="zh-CN"/>
        </w:rPr>
        <w:t>注：</w:t>
      </w:r>
      <w:r>
        <w:rPr>
          <w:rFonts w:hint="eastAsia"/>
        </w:rPr>
        <w:t>本项目</w:t>
      </w:r>
      <w:r>
        <w:rPr>
          <w:rFonts w:hint="eastAsia"/>
          <w:lang w:eastAsia="zh-CN"/>
        </w:rPr>
        <w:t>不</w:t>
      </w:r>
      <w:r>
        <w:rPr>
          <w:rFonts w:hint="eastAsia"/>
        </w:rPr>
        <w:t>接受联合体磋商</w:t>
      </w:r>
    </w:p>
    <w:p>
      <w:pPr>
        <w:pStyle w:val="42"/>
        <w:numPr>
          <w:ilvl w:val="0"/>
          <w:numId w:val="2"/>
        </w:numPr>
        <w:spacing w:beforeAutospacing="0" w:afterAutospacing="0" w:line="360" w:lineRule="auto"/>
        <w:rPr>
          <w:sz w:val="28"/>
          <w:szCs w:val="28"/>
        </w:rPr>
      </w:pPr>
      <w:r>
        <w:rPr>
          <w:rFonts w:hint="eastAsia"/>
          <w:b/>
          <w:sz w:val="28"/>
          <w:szCs w:val="28"/>
        </w:rPr>
        <w:t>获取采购文件</w:t>
      </w:r>
    </w:p>
    <w:p>
      <w:pPr>
        <w:pStyle w:val="42"/>
        <w:spacing w:beforeAutospacing="0" w:afterAutospacing="0" w:line="360" w:lineRule="auto"/>
        <w:ind w:firstLine="420"/>
        <w:rPr>
          <w:rFonts w:hint="eastAsia"/>
        </w:rPr>
      </w:pPr>
      <w:r>
        <w:rPr>
          <w:rFonts w:hint="eastAsia"/>
        </w:rPr>
        <w:t>时间：</w:t>
      </w:r>
      <w:r>
        <w:rPr>
          <w:rFonts w:hint="eastAsia"/>
          <w:highlight w:val="none"/>
        </w:rPr>
        <w:t>2022年0</w:t>
      </w:r>
      <w:r>
        <w:rPr>
          <w:rFonts w:hint="eastAsia"/>
          <w:highlight w:val="none"/>
          <w:lang w:val="en-US" w:eastAsia="zh-CN"/>
        </w:rPr>
        <w:t>5</w:t>
      </w:r>
      <w:r>
        <w:rPr>
          <w:rFonts w:hint="eastAsia"/>
          <w:highlight w:val="none"/>
        </w:rPr>
        <w:t>月2</w:t>
      </w:r>
      <w:r>
        <w:rPr>
          <w:rFonts w:hint="eastAsia"/>
          <w:highlight w:val="none"/>
          <w:lang w:val="en-US" w:eastAsia="zh-CN"/>
        </w:rPr>
        <w:t>0</w:t>
      </w:r>
      <w:r>
        <w:rPr>
          <w:rFonts w:hint="eastAsia"/>
          <w:highlight w:val="none"/>
        </w:rPr>
        <w:t>日 至 2022年0</w:t>
      </w:r>
      <w:r>
        <w:rPr>
          <w:rFonts w:hint="eastAsia"/>
          <w:highlight w:val="none"/>
          <w:lang w:val="en-US" w:eastAsia="zh-CN"/>
        </w:rPr>
        <w:t>5</w:t>
      </w:r>
      <w:r>
        <w:rPr>
          <w:rFonts w:hint="eastAsia"/>
          <w:highlight w:val="none"/>
        </w:rPr>
        <w:t>月</w:t>
      </w:r>
      <w:r>
        <w:rPr>
          <w:rFonts w:hint="eastAsia"/>
          <w:highlight w:val="none"/>
          <w:lang w:val="en-US" w:eastAsia="zh-CN"/>
        </w:rPr>
        <w:t>26</w:t>
      </w:r>
      <w:r>
        <w:rPr>
          <w:rFonts w:hint="eastAsia"/>
          <w:highlight w:val="none"/>
        </w:rPr>
        <w:t xml:space="preserve">日 </w:t>
      </w:r>
      <w:r>
        <w:rPr>
          <w:rFonts w:hint="eastAsia"/>
        </w:rPr>
        <w:t>，每天上午 09:00:00 至 12:00:00 ，下午 14:00:00 至 17:00:00 （北京时间,法定节假日除外）</w:t>
      </w:r>
    </w:p>
    <w:p>
      <w:pPr>
        <w:pStyle w:val="42"/>
        <w:spacing w:beforeAutospacing="0" w:afterAutospacing="0" w:line="360" w:lineRule="auto"/>
        <w:ind w:firstLine="420"/>
        <w:rPr>
          <w:rFonts w:hint="eastAsia"/>
        </w:rPr>
      </w:pPr>
      <w:r>
        <w:rPr>
          <w:rFonts w:hint="eastAsia"/>
        </w:rPr>
        <w:t>地点：</w:t>
      </w:r>
      <w:r>
        <w:rPr>
          <w:rFonts w:hint="eastAsia"/>
          <w:lang w:eastAsia="zh-CN"/>
        </w:rPr>
        <w:t>远创项目管理有限公司（西安市未央区凤城九路与明光路十字中登文景大厦B座701室）</w:t>
      </w:r>
    </w:p>
    <w:p>
      <w:pPr>
        <w:pStyle w:val="42"/>
        <w:spacing w:beforeAutospacing="0" w:afterAutospacing="0" w:line="360" w:lineRule="auto"/>
        <w:ind w:firstLine="420"/>
      </w:pPr>
      <w:r>
        <w:rPr>
          <w:rFonts w:hint="eastAsia"/>
        </w:rPr>
        <w:t>方式：现场购买</w:t>
      </w:r>
    </w:p>
    <w:p>
      <w:pPr>
        <w:pStyle w:val="42"/>
        <w:spacing w:beforeAutospacing="0" w:afterAutospacing="0" w:line="360" w:lineRule="auto"/>
        <w:ind w:firstLine="420"/>
      </w:pPr>
      <w:r>
        <w:rPr>
          <w:rFonts w:hint="eastAsia"/>
        </w:rPr>
        <w:t>售价：免费</w:t>
      </w:r>
      <w:r>
        <w:rPr>
          <w:rFonts w:hint="eastAsia"/>
          <w:lang w:eastAsia="zh-CN"/>
        </w:rPr>
        <w:t>获取</w:t>
      </w:r>
      <w:r>
        <w:rPr>
          <w:rFonts w:hint="eastAsia"/>
        </w:rPr>
        <w:t xml:space="preserve"> </w:t>
      </w:r>
    </w:p>
    <w:p>
      <w:pPr>
        <w:pStyle w:val="42"/>
        <w:spacing w:beforeAutospacing="0" w:afterAutospacing="0" w:line="360" w:lineRule="auto"/>
        <w:rPr>
          <w:b/>
          <w:sz w:val="28"/>
          <w:szCs w:val="28"/>
        </w:rPr>
      </w:pPr>
      <w:r>
        <w:rPr>
          <w:rFonts w:hint="eastAsia"/>
          <w:b/>
          <w:sz w:val="28"/>
          <w:szCs w:val="28"/>
        </w:rPr>
        <w:t>四、响应文件</w:t>
      </w:r>
      <w:r>
        <w:rPr>
          <w:rFonts w:hint="eastAsia"/>
          <w:b/>
          <w:sz w:val="28"/>
          <w:szCs w:val="28"/>
          <w:lang w:eastAsia="zh-CN"/>
        </w:rPr>
        <w:t>提交</w:t>
      </w:r>
      <w:r>
        <w:rPr>
          <w:rFonts w:hint="eastAsia"/>
          <w:b/>
          <w:sz w:val="28"/>
          <w:szCs w:val="28"/>
        </w:rPr>
        <w:t xml:space="preserve"> </w:t>
      </w:r>
    </w:p>
    <w:p>
      <w:pPr>
        <w:pStyle w:val="42"/>
        <w:spacing w:beforeAutospacing="0" w:afterAutospacing="0" w:line="360" w:lineRule="auto"/>
        <w:ind w:firstLine="420"/>
        <w:rPr>
          <w:rFonts w:hint="eastAsia"/>
        </w:rPr>
      </w:pPr>
      <w:r>
        <w:rPr>
          <w:rFonts w:hint="eastAsia"/>
        </w:rPr>
        <w:t>截止时间： 2022年</w:t>
      </w:r>
      <w:r>
        <w:rPr>
          <w:rFonts w:hint="eastAsia"/>
          <w:highlight w:val="none"/>
        </w:rPr>
        <w:t>0</w:t>
      </w:r>
      <w:r>
        <w:rPr>
          <w:rFonts w:hint="eastAsia"/>
          <w:highlight w:val="none"/>
          <w:lang w:val="en-US" w:eastAsia="zh-CN"/>
        </w:rPr>
        <w:t>6</w:t>
      </w:r>
      <w:r>
        <w:rPr>
          <w:rFonts w:hint="eastAsia"/>
          <w:highlight w:val="none"/>
        </w:rPr>
        <w:t>月</w:t>
      </w:r>
      <w:r>
        <w:rPr>
          <w:rFonts w:hint="eastAsia"/>
          <w:highlight w:val="none"/>
          <w:lang w:val="en-US" w:eastAsia="zh-CN"/>
        </w:rPr>
        <w:t>09</w:t>
      </w:r>
      <w:r>
        <w:rPr>
          <w:rFonts w:hint="eastAsia"/>
          <w:highlight w:val="none"/>
        </w:rPr>
        <w:t>日 09时30分0</w:t>
      </w:r>
      <w:r>
        <w:rPr>
          <w:rFonts w:hint="eastAsia"/>
        </w:rPr>
        <w:t>0秒 （北京时间）</w:t>
      </w:r>
    </w:p>
    <w:p>
      <w:pPr>
        <w:pStyle w:val="42"/>
        <w:spacing w:beforeAutospacing="0" w:afterAutospacing="0" w:line="360" w:lineRule="auto"/>
        <w:ind w:firstLine="420"/>
        <w:rPr>
          <w:rFonts w:hint="eastAsia"/>
          <w:lang w:eastAsia="zh-CN"/>
        </w:rPr>
      </w:pPr>
      <w:r>
        <w:rPr>
          <w:rFonts w:hint="eastAsia"/>
        </w:rPr>
        <w:t>地点：</w:t>
      </w:r>
      <w:r>
        <w:rPr>
          <w:rFonts w:hint="eastAsia"/>
          <w:lang w:eastAsia="zh-CN"/>
        </w:rPr>
        <w:t>远创项目管理有限公司（西安市未央区凤城九路与明光路十字中登文景大厦B座701室）</w:t>
      </w:r>
    </w:p>
    <w:p>
      <w:pPr>
        <w:pStyle w:val="29"/>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五、开启</w:t>
      </w:r>
    </w:p>
    <w:p>
      <w:pPr>
        <w:pStyle w:val="29"/>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 2022年</w:t>
      </w:r>
      <w:r>
        <w:rPr>
          <w:rFonts w:hint="eastAsia" w:ascii="宋体" w:hAnsi="宋体" w:eastAsia="宋体" w:cs="宋体"/>
          <w:kern w:val="0"/>
          <w:sz w:val="24"/>
          <w:szCs w:val="24"/>
          <w:highlight w:val="none"/>
          <w:lang w:val="en-US" w:eastAsia="zh-CN" w:bidi="ar-SA"/>
        </w:rPr>
        <w:t>0</w:t>
      </w:r>
      <w:r>
        <w:rPr>
          <w:rFonts w:hint="eastAsia"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月</w:t>
      </w:r>
      <w:r>
        <w:rPr>
          <w:rFonts w:hint="eastAsia" w:ascii="宋体" w:hAnsi="宋体" w:cs="宋体"/>
          <w:kern w:val="0"/>
          <w:sz w:val="24"/>
          <w:szCs w:val="24"/>
          <w:highlight w:val="none"/>
          <w:lang w:val="en-US" w:eastAsia="zh-CN" w:bidi="ar-SA"/>
        </w:rPr>
        <w:t>09</w:t>
      </w:r>
      <w:r>
        <w:rPr>
          <w:rFonts w:hint="eastAsia" w:ascii="宋体" w:hAnsi="宋体" w:eastAsia="宋体" w:cs="宋体"/>
          <w:kern w:val="0"/>
          <w:sz w:val="24"/>
          <w:szCs w:val="24"/>
          <w:highlight w:val="none"/>
          <w:lang w:val="en-US" w:eastAsia="zh-CN" w:bidi="ar-SA"/>
        </w:rPr>
        <w:t>日 09时30分00</w:t>
      </w:r>
      <w:r>
        <w:rPr>
          <w:rFonts w:hint="eastAsia" w:ascii="宋体" w:hAnsi="宋体" w:eastAsia="宋体" w:cs="宋体"/>
          <w:kern w:val="0"/>
          <w:sz w:val="24"/>
          <w:szCs w:val="24"/>
          <w:lang w:val="en-US" w:eastAsia="zh-CN" w:bidi="ar-SA"/>
        </w:rPr>
        <w:t>秒 （北京时间）</w:t>
      </w:r>
    </w:p>
    <w:p>
      <w:pPr>
        <w:pStyle w:val="29"/>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w:t>
      </w:r>
      <w:r>
        <w:rPr>
          <w:rFonts w:hint="eastAsia" w:ascii="宋体" w:hAnsi="宋体" w:cs="宋体"/>
          <w:kern w:val="0"/>
          <w:sz w:val="24"/>
          <w:szCs w:val="24"/>
          <w:lang w:val="en-US" w:eastAsia="zh-CN" w:bidi="ar-SA"/>
        </w:rPr>
        <w:t>远创项目管理有限公司（西安市未央区凤城九路与明光路十字中登文景大厦B座701室）</w:t>
      </w:r>
    </w:p>
    <w:p>
      <w:pPr>
        <w:pStyle w:val="42"/>
        <w:keepNext w:val="0"/>
        <w:keepLines w:val="0"/>
        <w:pageBreakBefore w:val="0"/>
        <w:kinsoku/>
        <w:wordWrap/>
        <w:overflowPunct/>
        <w:topLinePunct w:val="0"/>
        <w:autoSpaceDE/>
        <w:autoSpaceDN/>
        <w:bidi w:val="0"/>
        <w:adjustRightInd/>
        <w:spacing w:beforeAutospacing="0" w:afterAutospacing="0" w:line="360" w:lineRule="auto"/>
        <w:textAlignment w:val="auto"/>
        <w:rPr>
          <w:b/>
          <w:sz w:val="28"/>
          <w:szCs w:val="28"/>
        </w:rPr>
      </w:pPr>
      <w:r>
        <w:rPr>
          <w:rFonts w:hint="eastAsia"/>
          <w:b/>
          <w:sz w:val="28"/>
          <w:szCs w:val="28"/>
          <w:lang w:eastAsia="zh-CN"/>
        </w:rPr>
        <w:t>六、</w:t>
      </w:r>
      <w:r>
        <w:rPr>
          <w:rFonts w:hint="eastAsia"/>
          <w:b/>
          <w:sz w:val="28"/>
          <w:szCs w:val="28"/>
        </w:rPr>
        <w:t>公告期限</w:t>
      </w:r>
    </w:p>
    <w:p>
      <w:pPr>
        <w:pStyle w:val="42"/>
        <w:spacing w:beforeAutospacing="0" w:afterAutospacing="0" w:line="360" w:lineRule="auto"/>
        <w:ind w:firstLine="420"/>
      </w:pPr>
      <w:r>
        <w:rPr>
          <w:rFonts w:hint="eastAsia"/>
        </w:rPr>
        <w:t>自本公告发布之日起3个工作日。</w:t>
      </w:r>
    </w:p>
    <w:p>
      <w:pPr>
        <w:pStyle w:val="42"/>
        <w:numPr>
          <w:ilvl w:val="0"/>
          <w:numId w:val="0"/>
        </w:numPr>
        <w:spacing w:beforeAutospacing="0" w:afterAutospacing="0" w:line="360" w:lineRule="auto"/>
        <w:rPr>
          <w:b/>
          <w:sz w:val="28"/>
          <w:szCs w:val="28"/>
        </w:rPr>
      </w:pPr>
      <w:r>
        <w:rPr>
          <w:rFonts w:hint="eastAsia"/>
          <w:b/>
          <w:sz w:val="28"/>
          <w:szCs w:val="28"/>
          <w:lang w:eastAsia="zh-CN"/>
        </w:rPr>
        <w:t>七、</w:t>
      </w:r>
      <w:r>
        <w:rPr>
          <w:rFonts w:hint="eastAsia"/>
          <w:b/>
          <w:sz w:val="28"/>
          <w:szCs w:val="28"/>
        </w:rPr>
        <w:t>其他补充事宜</w:t>
      </w:r>
    </w:p>
    <w:p>
      <w:pPr>
        <w:pStyle w:val="42"/>
        <w:spacing w:beforeAutospacing="0" w:afterAutospacing="0" w:line="360" w:lineRule="auto"/>
        <w:ind w:firstLine="420"/>
      </w:pPr>
      <w:r>
        <w:rPr>
          <w:rStyle w:val="51"/>
          <w:rFonts w:hint="eastAsia"/>
          <w:b w:val="0"/>
        </w:rPr>
        <w:t>注：获取采购文件时请携带单位介绍信和经办人身份证原件及加盖鲜章的复印件。</w:t>
      </w:r>
    </w:p>
    <w:p>
      <w:pPr>
        <w:pStyle w:val="42"/>
        <w:spacing w:beforeAutospacing="0" w:afterAutospacing="0" w:line="360" w:lineRule="auto"/>
        <w:rPr>
          <w:b/>
          <w:sz w:val="28"/>
          <w:szCs w:val="28"/>
        </w:rPr>
      </w:pPr>
      <w:r>
        <w:rPr>
          <w:rFonts w:hint="eastAsia"/>
          <w:b/>
          <w:sz w:val="28"/>
          <w:szCs w:val="28"/>
          <w:lang w:eastAsia="zh-CN"/>
        </w:rPr>
        <w:t>八、凡</w:t>
      </w:r>
      <w:r>
        <w:rPr>
          <w:rFonts w:hint="eastAsia"/>
          <w:b/>
          <w:sz w:val="28"/>
          <w:szCs w:val="28"/>
        </w:rPr>
        <w:t>对本次采购提出询问，请按以下方式联系</w:t>
      </w:r>
    </w:p>
    <w:p>
      <w:pPr>
        <w:pStyle w:val="42"/>
        <w:spacing w:beforeAutospacing="0" w:afterAutospacing="0" w:line="360" w:lineRule="auto"/>
      </w:pPr>
      <w:r>
        <w:rPr>
          <w:rFonts w:hint="eastAsia"/>
        </w:rPr>
        <w:t>1、采购人信息</w:t>
      </w:r>
    </w:p>
    <w:p>
      <w:pPr>
        <w:pStyle w:val="42"/>
        <w:spacing w:beforeAutospacing="0" w:afterAutospacing="0" w:line="360" w:lineRule="auto"/>
        <w:ind w:firstLine="720" w:firstLineChars="300"/>
        <w:rPr>
          <w:rFonts w:hint="eastAsia"/>
        </w:rPr>
      </w:pPr>
      <w:r>
        <w:rPr>
          <w:rFonts w:hint="eastAsia"/>
        </w:rPr>
        <w:t>名称：西安市高陵区教育局</w:t>
      </w:r>
    </w:p>
    <w:p>
      <w:pPr>
        <w:pStyle w:val="42"/>
        <w:spacing w:beforeAutospacing="0" w:afterAutospacing="0" w:line="360" w:lineRule="auto"/>
        <w:ind w:firstLine="720" w:firstLineChars="300"/>
        <w:rPr>
          <w:rFonts w:hint="eastAsia"/>
        </w:rPr>
      </w:pPr>
      <w:r>
        <w:rPr>
          <w:rFonts w:hint="eastAsia"/>
        </w:rPr>
        <w:t>地址：高陵区文卫路290号</w:t>
      </w:r>
    </w:p>
    <w:p>
      <w:pPr>
        <w:pStyle w:val="42"/>
        <w:spacing w:beforeAutospacing="0" w:afterAutospacing="0" w:line="360" w:lineRule="auto"/>
        <w:ind w:firstLine="720" w:firstLineChars="300"/>
        <w:rPr>
          <w:highlight w:val="none"/>
        </w:rPr>
      </w:pPr>
      <w:r>
        <w:rPr>
          <w:rFonts w:hint="eastAsia"/>
          <w:highlight w:val="none"/>
        </w:rPr>
        <w:t>联系方式：029-86921342</w:t>
      </w:r>
    </w:p>
    <w:p>
      <w:pPr>
        <w:pStyle w:val="42"/>
        <w:spacing w:beforeAutospacing="0" w:afterAutospacing="0" w:line="360" w:lineRule="auto"/>
        <w:rPr>
          <w:rFonts w:hint="eastAsia"/>
          <w:lang w:val="en-US" w:eastAsia="zh-CN"/>
        </w:rPr>
      </w:pPr>
      <w:r>
        <w:rPr>
          <w:rFonts w:hint="eastAsia"/>
          <w:lang w:val="en-US" w:eastAsia="zh-CN"/>
        </w:rPr>
        <w:t>2、釆购代理机构信息</w:t>
      </w:r>
    </w:p>
    <w:p>
      <w:pPr>
        <w:pStyle w:val="42"/>
        <w:spacing w:beforeAutospacing="0" w:afterAutospacing="0" w:line="360" w:lineRule="auto"/>
        <w:ind w:firstLine="720" w:firstLineChars="300"/>
        <w:rPr>
          <w:rFonts w:hint="eastAsia"/>
          <w:lang w:val="en-US" w:eastAsia="zh-CN"/>
        </w:rPr>
      </w:pPr>
      <w:r>
        <w:rPr>
          <w:rFonts w:hint="eastAsia"/>
          <w:lang w:val="en-US" w:eastAsia="zh-CN"/>
        </w:rPr>
        <w:t>名称：远创项目管理有限公司</w:t>
      </w:r>
    </w:p>
    <w:p>
      <w:pPr>
        <w:pStyle w:val="42"/>
        <w:spacing w:beforeAutospacing="0" w:afterAutospacing="0" w:line="360" w:lineRule="auto"/>
        <w:ind w:firstLine="720" w:firstLineChars="300"/>
        <w:rPr>
          <w:rFonts w:hint="eastAsia"/>
          <w:lang w:val="en-US" w:eastAsia="zh-CN"/>
        </w:rPr>
      </w:pPr>
      <w:r>
        <w:rPr>
          <w:rFonts w:hint="eastAsia"/>
          <w:lang w:val="en-US" w:eastAsia="zh-CN"/>
        </w:rPr>
        <w:t>地址：陕西省西安市未央区西安市经开区凤城九路明光路十字中登文景大厦B座07层</w:t>
      </w:r>
    </w:p>
    <w:p>
      <w:pPr>
        <w:pStyle w:val="42"/>
        <w:spacing w:beforeAutospacing="0" w:afterAutospacing="0" w:line="360" w:lineRule="auto"/>
        <w:ind w:firstLine="720" w:firstLineChars="300"/>
        <w:rPr>
          <w:rFonts w:hint="eastAsia"/>
          <w:lang w:val="en-US" w:eastAsia="zh-CN"/>
        </w:rPr>
      </w:pPr>
      <w:r>
        <w:rPr>
          <w:rFonts w:hint="eastAsia"/>
          <w:lang w:val="en-US" w:eastAsia="zh-CN"/>
        </w:rPr>
        <w:t>联系方式：18791915545</w:t>
      </w:r>
    </w:p>
    <w:p>
      <w:pPr>
        <w:pStyle w:val="42"/>
        <w:spacing w:beforeAutospacing="0" w:afterAutospacing="0" w:line="360" w:lineRule="auto"/>
      </w:pPr>
      <w:r>
        <w:rPr>
          <w:rFonts w:hint="eastAsia"/>
        </w:rPr>
        <w:t>3、项目联系方式</w:t>
      </w:r>
    </w:p>
    <w:p>
      <w:pPr>
        <w:pStyle w:val="42"/>
        <w:spacing w:beforeAutospacing="0" w:afterAutospacing="0" w:line="360" w:lineRule="auto"/>
        <w:ind w:firstLine="720" w:firstLineChars="300"/>
        <w:rPr>
          <w:rFonts w:hint="eastAsia" w:eastAsia="宋体"/>
          <w:lang w:eastAsia="zh-CN"/>
        </w:rPr>
      </w:pPr>
      <w:r>
        <w:rPr>
          <w:rFonts w:hint="eastAsia"/>
        </w:rPr>
        <w:t>项目联系人：</w:t>
      </w:r>
      <w:r>
        <w:rPr>
          <w:rFonts w:hint="eastAsia"/>
          <w:lang w:eastAsia="zh-CN"/>
        </w:rPr>
        <w:t>陈工</w:t>
      </w:r>
    </w:p>
    <w:p>
      <w:pPr>
        <w:pStyle w:val="42"/>
        <w:spacing w:beforeAutospacing="0" w:afterAutospacing="0" w:line="360" w:lineRule="auto"/>
        <w:ind w:firstLine="720" w:firstLineChars="300"/>
        <w:rPr>
          <w:rFonts w:hint="eastAsia" w:eastAsia="宋体"/>
          <w:lang w:eastAsia="zh-CN"/>
        </w:rPr>
      </w:pPr>
      <w:r>
        <w:rPr>
          <w:rFonts w:hint="eastAsia"/>
        </w:rPr>
        <w:t>电话：</w:t>
      </w:r>
      <w:r>
        <w:rPr>
          <w:rFonts w:hint="eastAsia"/>
          <w:lang w:eastAsia="zh-CN"/>
        </w:rPr>
        <w:t>18791915545</w:t>
      </w:r>
    </w:p>
    <w:p/>
    <w:p>
      <w:pPr>
        <w:pStyle w:val="47"/>
        <w:ind w:left="0" w:leftChars="0" w:firstLine="0" w:firstLineChars="0"/>
        <w:rPr>
          <w:rFonts w:ascii="宋体" w:hAnsi="宋体" w:cs="宋体"/>
          <w:kern w:val="0"/>
          <w:sz w:val="24"/>
        </w:rPr>
      </w:pPr>
    </w:p>
    <w:p>
      <w:pPr>
        <w:pStyle w:val="47"/>
        <w:ind w:firstLine="480"/>
        <w:jc w:val="right"/>
        <w:rPr>
          <w:rFonts w:ascii="宋体" w:hAnsi="宋体" w:cs="宋体"/>
          <w:kern w:val="0"/>
          <w:sz w:val="24"/>
          <w:highlight w:val="none"/>
        </w:rPr>
        <w:sectPr>
          <w:footerReference r:id="rId11" w:type="first"/>
          <w:footerReference r:id="rId10" w:type="default"/>
          <w:pgSz w:w="11906" w:h="16838"/>
          <w:pgMar w:top="1440" w:right="1403" w:bottom="1440" w:left="1463" w:header="851" w:footer="992" w:gutter="0"/>
          <w:pgNumType w:start="1"/>
          <w:cols w:space="0" w:num="1"/>
          <w:docGrid w:type="lines" w:linePitch="312" w:charSpace="0"/>
        </w:sect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19</w:t>
      </w:r>
      <w:r>
        <w:rPr>
          <w:rFonts w:hint="eastAsia" w:ascii="宋体" w:hAnsi="宋体" w:cs="宋体"/>
          <w:kern w:val="0"/>
          <w:sz w:val="24"/>
          <w:highlight w:val="none"/>
        </w:rPr>
        <w:t>日</w:t>
      </w:r>
    </w:p>
    <w:p>
      <w:pPr>
        <w:spacing w:line="360" w:lineRule="auto"/>
        <w:jc w:val="center"/>
        <w:outlineLvl w:val="0"/>
        <w:rPr>
          <w:rFonts w:asciiTheme="majorEastAsia" w:hAnsiTheme="majorEastAsia" w:eastAsiaTheme="majorEastAsia" w:cstheme="majorEastAsia"/>
          <w:sz w:val="32"/>
          <w:szCs w:val="32"/>
        </w:rPr>
      </w:pPr>
      <w:bookmarkStart w:id="2" w:name="_Toc27252"/>
      <w:r>
        <w:rPr>
          <w:rFonts w:hint="eastAsia" w:asciiTheme="majorEastAsia" w:hAnsiTheme="majorEastAsia" w:eastAsiaTheme="majorEastAsia" w:cstheme="majorEastAsia"/>
          <w:b/>
          <w:bCs/>
          <w:sz w:val="32"/>
          <w:szCs w:val="32"/>
        </w:rPr>
        <w:t>第二章　磋商须知</w:t>
      </w:r>
      <w:bookmarkEnd w:id="2"/>
    </w:p>
    <w:p>
      <w:pPr>
        <w:spacing w:line="360" w:lineRule="auto"/>
        <w:jc w:val="center"/>
        <w:rPr>
          <w:sz w:val="28"/>
          <w:szCs w:val="28"/>
        </w:rPr>
      </w:pPr>
      <w:bookmarkStart w:id="3" w:name="_Toc220257383"/>
      <w:r>
        <w:rPr>
          <w:sz w:val="28"/>
          <w:szCs w:val="28"/>
        </w:rPr>
        <w:t>磋商须知前附表</w:t>
      </w:r>
      <w:bookmarkEnd w:id="3"/>
    </w:p>
    <w:tbl>
      <w:tblPr>
        <w:tblStyle w:val="48"/>
        <w:tblW w:w="9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83"/>
        <w:gridCol w:w="2313"/>
        <w:gridCol w:w="6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8" w:hRule="atLeast"/>
          <w:jc w:val="center"/>
        </w:trPr>
        <w:tc>
          <w:tcPr>
            <w:tcW w:w="583" w:type="dxa"/>
            <w:shd w:val="clear" w:color="auto" w:fill="auto"/>
            <w:tcMar>
              <w:left w:w="108" w:type="dxa"/>
              <w:right w:w="108" w:type="dxa"/>
            </w:tcMar>
            <w:vAlign w:val="center"/>
          </w:tcPr>
          <w:p>
            <w:pPr>
              <w:widowControl/>
              <w:spacing w:line="360" w:lineRule="auto"/>
              <w:jc w:val="center"/>
              <w:rPr>
                <w:sz w:val="24"/>
              </w:rPr>
            </w:pPr>
            <w:r>
              <w:rPr>
                <w:kern w:val="0"/>
                <w:sz w:val="24"/>
              </w:rPr>
              <w:t>序号</w:t>
            </w:r>
          </w:p>
        </w:tc>
        <w:tc>
          <w:tcPr>
            <w:tcW w:w="2313" w:type="dxa"/>
            <w:shd w:val="clear" w:color="auto" w:fill="auto"/>
            <w:tcMar>
              <w:left w:w="108" w:type="dxa"/>
              <w:right w:w="108" w:type="dxa"/>
            </w:tcMar>
            <w:vAlign w:val="center"/>
          </w:tcPr>
          <w:p>
            <w:pPr>
              <w:widowControl/>
              <w:spacing w:line="360" w:lineRule="auto"/>
              <w:jc w:val="center"/>
              <w:rPr>
                <w:sz w:val="24"/>
              </w:rPr>
            </w:pPr>
            <w:r>
              <w:rPr>
                <w:kern w:val="0"/>
                <w:sz w:val="24"/>
              </w:rPr>
              <w:t>条款名称</w:t>
            </w:r>
          </w:p>
        </w:tc>
        <w:tc>
          <w:tcPr>
            <w:tcW w:w="6462" w:type="dxa"/>
            <w:shd w:val="clear" w:color="auto" w:fill="auto"/>
            <w:tcMar>
              <w:left w:w="108" w:type="dxa"/>
              <w:right w:w="108" w:type="dxa"/>
            </w:tcMar>
            <w:vAlign w:val="center"/>
          </w:tcPr>
          <w:p>
            <w:pPr>
              <w:widowControl/>
              <w:spacing w:line="360" w:lineRule="auto"/>
              <w:jc w:val="center"/>
              <w:rPr>
                <w:sz w:val="24"/>
              </w:rPr>
            </w:pPr>
            <w:r>
              <w:rPr>
                <w:kern w:val="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68" w:hRule="atLeast"/>
          <w:jc w:val="center"/>
        </w:trPr>
        <w:tc>
          <w:tcPr>
            <w:tcW w:w="583" w:type="dxa"/>
            <w:shd w:val="clear" w:color="auto" w:fill="auto"/>
            <w:tcMar>
              <w:left w:w="108" w:type="dxa"/>
              <w:right w:w="108" w:type="dxa"/>
            </w:tcMar>
            <w:vAlign w:val="center"/>
          </w:tcPr>
          <w:p>
            <w:pPr>
              <w:widowControl/>
              <w:spacing w:line="360" w:lineRule="auto"/>
              <w:jc w:val="center"/>
              <w:rPr>
                <w:sz w:val="24"/>
              </w:rPr>
            </w:pPr>
            <w:r>
              <w:rPr>
                <w:kern w:val="0"/>
                <w:sz w:val="24"/>
              </w:rPr>
              <w:t>1</w:t>
            </w:r>
          </w:p>
        </w:tc>
        <w:tc>
          <w:tcPr>
            <w:tcW w:w="2313"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采购人</w:t>
            </w:r>
          </w:p>
        </w:tc>
        <w:tc>
          <w:tcPr>
            <w:tcW w:w="6462" w:type="dxa"/>
            <w:shd w:val="clear" w:color="auto" w:fill="auto"/>
            <w:tcMar>
              <w:left w:w="108" w:type="dxa"/>
              <w:right w:w="108" w:type="dxa"/>
            </w:tcMar>
            <w:vAlign w:val="center"/>
          </w:tcPr>
          <w:p>
            <w:pPr>
              <w:pStyle w:val="304"/>
              <w:spacing w:line="360" w:lineRule="auto"/>
              <w:rPr>
                <w:kern w:val="2"/>
                <w:lang w:val="zh-CN"/>
              </w:rPr>
            </w:pPr>
            <w:r>
              <w:rPr>
                <w:rFonts w:hint="eastAsia"/>
                <w:kern w:val="2"/>
                <w:lang w:val="zh-CN"/>
              </w:rPr>
              <w:t>采购人名称：</w:t>
            </w:r>
            <w:r>
              <w:rPr>
                <w:rFonts w:hint="eastAsia"/>
                <w:kern w:val="2"/>
              </w:rPr>
              <w:t>西安市高陵区教育局</w:t>
            </w:r>
          </w:p>
          <w:p>
            <w:pPr>
              <w:pStyle w:val="304"/>
              <w:spacing w:line="360" w:lineRule="auto"/>
              <w:rPr>
                <w:kern w:val="2"/>
              </w:rPr>
            </w:pPr>
            <w:r>
              <w:rPr>
                <w:rFonts w:hint="eastAsia"/>
                <w:kern w:val="2"/>
              </w:rPr>
              <w:t>地址：高陵区文卫路290号</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联系人：秦老师</w:t>
            </w:r>
          </w:p>
          <w:p>
            <w:pPr>
              <w:adjustRightInd w:val="0"/>
              <w:snapToGrid w:val="0"/>
              <w:spacing w:line="360" w:lineRule="auto"/>
              <w:rPr>
                <w:sz w:val="24"/>
              </w:rPr>
            </w:pPr>
            <w:r>
              <w:rPr>
                <w:rFonts w:hint="eastAsia" w:ascii="宋体" w:hAnsi="宋体" w:cs="宋体"/>
                <w:color w:val="000000" w:themeColor="text1"/>
                <w:sz w:val="24"/>
                <w14:textFill>
                  <w14:solidFill>
                    <w14:schemeClr w14:val="tx1"/>
                  </w14:solidFill>
                </w14:textFill>
              </w:rPr>
              <w:t>电话：029-86921342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68" w:hRule="atLeast"/>
          <w:jc w:val="center"/>
        </w:trPr>
        <w:tc>
          <w:tcPr>
            <w:tcW w:w="583" w:type="dxa"/>
            <w:shd w:val="clear" w:color="auto" w:fill="auto"/>
            <w:tcMar>
              <w:left w:w="108" w:type="dxa"/>
              <w:right w:w="108" w:type="dxa"/>
            </w:tcMar>
            <w:vAlign w:val="center"/>
          </w:tcPr>
          <w:p>
            <w:pPr>
              <w:widowControl/>
              <w:spacing w:line="360" w:lineRule="auto"/>
              <w:jc w:val="center"/>
              <w:rPr>
                <w:sz w:val="24"/>
              </w:rPr>
            </w:pPr>
            <w:r>
              <w:rPr>
                <w:kern w:val="0"/>
                <w:sz w:val="24"/>
              </w:rPr>
              <w:t>2</w:t>
            </w:r>
          </w:p>
        </w:tc>
        <w:tc>
          <w:tcPr>
            <w:tcW w:w="2313"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采购代理机构</w:t>
            </w:r>
          </w:p>
        </w:tc>
        <w:tc>
          <w:tcPr>
            <w:tcW w:w="6462" w:type="dxa"/>
            <w:shd w:val="clear" w:color="auto" w:fill="auto"/>
            <w:tcMar>
              <w:left w:w="108" w:type="dxa"/>
              <w:right w:w="108" w:type="dxa"/>
            </w:tcMar>
            <w:vAlign w:val="center"/>
          </w:tcPr>
          <w:p>
            <w:pPr>
              <w:pStyle w:val="304"/>
              <w:spacing w:line="360" w:lineRule="auto"/>
              <w:rPr>
                <w:rFonts w:cs="Times New Roman"/>
                <w:kern w:val="2"/>
                <w:lang w:val="zh-CN"/>
              </w:rPr>
            </w:pPr>
            <w:r>
              <w:rPr>
                <w:rFonts w:hint="eastAsia" w:cs="Times New Roman"/>
                <w:kern w:val="2"/>
                <w:lang w:val="zh-CN"/>
              </w:rPr>
              <w:t>名  称: 远创项目管理有限公司</w:t>
            </w:r>
          </w:p>
          <w:p>
            <w:pPr>
              <w:pStyle w:val="304"/>
              <w:spacing w:line="360" w:lineRule="auto"/>
              <w:rPr>
                <w:rFonts w:cs="Times New Roman"/>
                <w:kern w:val="2"/>
              </w:rPr>
            </w:pPr>
            <w:r>
              <w:rPr>
                <w:rFonts w:hint="eastAsia" w:cs="Times New Roman"/>
                <w:kern w:val="2"/>
                <w:lang w:val="zh-CN"/>
              </w:rPr>
              <w:t>地  址:</w:t>
            </w:r>
            <w:r>
              <w:rPr>
                <w:rFonts w:hint="eastAsia" w:cs="Times New Roman"/>
                <w:kern w:val="2"/>
              </w:rPr>
              <w:t xml:space="preserve"> 西安市未央区凤城九路与明光路十字中登文景大厦A座1508室</w:t>
            </w:r>
          </w:p>
          <w:p>
            <w:pPr>
              <w:pStyle w:val="304"/>
              <w:spacing w:line="360" w:lineRule="auto"/>
              <w:rPr>
                <w:rFonts w:hint="eastAsia" w:eastAsia="宋体" w:cs="Times New Roman"/>
                <w:kern w:val="2"/>
                <w:lang w:val="zh-CN" w:eastAsia="zh-CN"/>
              </w:rPr>
            </w:pPr>
            <w:r>
              <w:rPr>
                <w:rFonts w:hint="eastAsia" w:cs="Times New Roman"/>
                <w:kern w:val="2"/>
                <w:lang w:val="zh-CN"/>
              </w:rPr>
              <w:t>联系人:</w:t>
            </w:r>
            <w:r>
              <w:rPr>
                <w:rFonts w:hint="eastAsia" w:cs="Times New Roman"/>
                <w:kern w:val="2"/>
              </w:rPr>
              <w:t xml:space="preserve"> </w:t>
            </w:r>
            <w:r>
              <w:rPr>
                <w:rFonts w:hint="eastAsia"/>
                <w:lang w:eastAsia="zh-CN"/>
              </w:rPr>
              <w:t>陈工</w:t>
            </w:r>
          </w:p>
          <w:p>
            <w:pPr>
              <w:overflowPunct w:val="0"/>
              <w:topLinePunct/>
              <w:spacing w:line="400" w:lineRule="exact"/>
              <w:rPr>
                <w:rFonts w:hint="eastAsia" w:eastAsia="宋体"/>
                <w:sz w:val="24"/>
                <w:lang w:val="en-US" w:eastAsia="zh-CN"/>
              </w:rPr>
            </w:pPr>
            <w:r>
              <w:rPr>
                <w:rFonts w:hint="eastAsia" w:ascii="宋体" w:hAnsi="宋体"/>
                <w:sz w:val="24"/>
                <w:lang w:val="zh-CN"/>
              </w:rPr>
              <w:t>联系方式：</w:t>
            </w:r>
            <w:r>
              <w:rPr>
                <w:rFonts w:hint="eastAsia" w:ascii="宋体" w:hAnsi="宋体"/>
                <w:sz w:val="24"/>
                <w:lang w:eastAsia="zh-CN"/>
              </w:rPr>
              <w:t>18791915545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9" w:hRule="atLeast"/>
          <w:jc w:val="center"/>
        </w:trPr>
        <w:tc>
          <w:tcPr>
            <w:tcW w:w="583" w:type="dxa"/>
            <w:shd w:val="clear" w:color="auto" w:fill="auto"/>
            <w:tcMar>
              <w:left w:w="108" w:type="dxa"/>
              <w:right w:w="108" w:type="dxa"/>
            </w:tcMar>
            <w:vAlign w:val="center"/>
          </w:tcPr>
          <w:p>
            <w:pPr>
              <w:widowControl/>
              <w:spacing w:line="360" w:lineRule="auto"/>
              <w:jc w:val="center"/>
              <w:rPr>
                <w:sz w:val="24"/>
              </w:rPr>
            </w:pPr>
            <w:r>
              <w:rPr>
                <w:kern w:val="0"/>
                <w:sz w:val="24"/>
              </w:rPr>
              <w:t>3</w:t>
            </w:r>
          </w:p>
        </w:tc>
        <w:tc>
          <w:tcPr>
            <w:tcW w:w="2313" w:type="dxa"/>
            <w:shd w:val="clear" w:color="auto" w:fill="auto"/>
            <w:tcMar>
              <w:left w:w="108" w:type="dxa"/>
              <w:right w:w="108" w:type="dxa"/>
            </w:tcMar>
            <w:vAlign w:val="center"/>
          </w:tcPr>
          <w:p>
            <w:pPr>
              <w:widowControl/>
              <w:spacing w:line="360" w:lineRule="auto"/>
              <w:jc w:val="center"/>
              <w:rPr>
                <w:kern w:val="0"/>
                <w:sz w:val="24"/>
              </w:rPr>
            </w:pPr>
            <w:r>
              <w:rPr>
                <w:kern w:val="0"/>
                <w:sz w:val="24"/>
              </w:rPr>
              <w:t>项目名称</w:t>
            </w:r>
          </w:p>
        </w:tc>
        <w:tc>
          <w:tcPr>
            <w:tcW w:w="6462" w:type="dxa"/>
            <w:shd w:val="clear" w:color="auto" w:fill="auto"/>
            <w:tcMar>
              <w:left w:w="108" w:type="dxa"/>
              <w:right w:w="108" w:type="dxa"/>
            </w:tcMar>
            <w:vAlign w:val="center"/>
          </w:tcPr>
          <w:p>
            <w:pPr>
              <w:widowControl/>
              <w:spacing w:line="400" w:lineRule="exact"/>
              <w:jc w:val="left"/>
              <w:rPr>
                <w:rFonts w:hint="eastAsia" w:eastAsia="宋体"/>
                <w:sz w:val="24"/>
                <w:lang w:eastAsia="zh-CN"/>
              </w:rPr>
            </w:pPr>
            <w:r>
              <w:rPr>
                <w:rFonts w:hint="eastAsia"/>
                <w:sz w:val="24"/>
                <w:lang w:eastAsia="zh-CN"/>
              </w:rPr>
              <w:t>西安市高陵区创优质均衡发展（高家小学多功能厅改造提升项目）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1"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4</w:t>
            </w:r>
          </w:p>
        </w:tc>
        <w:tc>
          <w:tcPr>
            <w:tcW w:w="2313" w:type="dxa"/>
            <w:shd w:val="clear" w:color="auto" w:fill="auto"/>
            <w:tcMar>
              <w:left w:w="108" w:type="dxa"/>
              <w:right w:w="108" w:type="dxa"/>
            </w:tcMar>
            <w:vAlign w:val="center"/>
          </w:tcPr>
          <w:p>
            <w:pPr>
              <w:widowControl/>
              <w:spacing w:line="360" w:lineRule="auto"/>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资金来源</w:t>
            </w:r>
          </w:p>
        </w:tc>
        <w:tc>
          <w:tcPr>
            <w:tcW w:w="6462" w:type="dxa"/>
            <w:shd w:val="clear" w:color="auto" w:fill="auto"/>
            <w:tcMar>
              <w:left w:w="108" w:type="dxa"/>
              <w:right w:w="108" w:type="dxa"/>
            </w:tcMar>
            <w:vAlign w:val="center"/>
          </w:tcPr>
          <w:p>
            <w:pPr>
              <w:widowControl/>
              <w:spacing w:line="400" w:lineRule="exact"/>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2"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5</w:t>
            </w:r>
          </w:p>
        </w:tc>
        <w:tc>
          <w:tcPr>
            <w:tcW w:w="2313" w:type="dxa"/>
            <w:shd w:val="clear" w:color="auto" w:fill="auto"/>
            <w:tcMar>
              <w:left w:w="108" w:type="dxa"/>
              <w:right w:w="108" w:type="dxa"/>
            </w:tcMar>
            <w:vAlign w:val="center"/>
          </w:tcPr>
          <w:p>
            <w:pPr>
              <w:widowControl/>
              <w:spacing w:line="360" w:lineRule="auto"/>
              <w:jc w:val="center"/>
              <w:rPr>
                <w:kern w:val="0"/>
                <w:sz w:val="24"/>
              </w:rPr>
            </w:pPr>
            <w:r>
              <w:rPr>
                <w:color w:val="000000" w:themeColor="text1"/>
                <w:sz w:val="24"/>
                <w14:textFill>
                  <w14:solidFill>
                    <w14:schemeClr w14:val="tx1"/>
                  </w14:solidFill>
                </w14:textFill>
              </w:rPr>
              <w:t>项目概算</w:t>
            </w:r>
          </w:p>
        </w:tc>
        <w:tc>
          <w:tcPr>
            <w:tcW w:w="6462" w:type="dxa"/>
            <w:shd w:val="clear" w:color="auto" w:fill="auto"/>
            <w:tcMar>
              <w:left w:w="108" w:type="dxa"/>
              <w:right w:w="108" w:type="dxa"/>
            </w:tcMar>
            <w:vAlign w:val="center"/>
          </w:tcPr>
          <w:p>
            <w:pPr>
              <w:widowControl/>
              <w:jc w:val="left"/>
              <w:rPr>
                <w:rFonts w:eastAsiaTheme="minorEastAsia"/>
                <w:sz w:val="24"/>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2400000.00</w:t>
            </w:r>
            <w:r>
              <w:rPr>
                <w:rFonts w:hint="eastAsia" w:asciiTheme="minorEastAsia" w:hAnsiTheme="minorEastAsia" w:eastAsiaTheme="minorEastAsia"/>
                <w:color w:val="000000" w:themeColor="text1"/>
                <w:sz w:val="24"/>
                <w:highlight w:val="none"/>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6</w:t>
            </w:r>
          </w:p>
        </w:tc>
        <w:tc>
          <w:tcPr>
            <w:tcW w:w="2313" w:type="dxa"/>
            <w:shd w:val="clear" w:color="auto" w:fill="auto"/>
            <w:tcMar>
              <w:left w:w="108" w:type="dxa"/>
              <w:right w:w="108" w:type="dxa"/>
            </w:tcMar>
            <w:vAlign w:val="center"/>
          </w:tcPr>
          <w:p>
            <w:pPr>
              <w:widowControl/>
              <w:spacing w:line="360" w:lineRule="auto"/>
              <w:jc w:val="center"/>
              <w:rPr>
                <w:sz w:val="24"/>
              </w:rPr>
            </w:pPr>
            <w:r>
              <w:rPr>
                <w:sz w:val="24"/>
              </w:rPr>
              <w:t>采购方式</w:t>
            </w:r>
          </w:p>
        </w:tc>
        <w:tc>
          <w:tcPr>
            <w:tcW w:w="6462" w:type="dxa"/>
            <w:shd w:val="clear" w:color="auto" w:fill="auto"/>
            <w:tcMar>
              <w:left w:w="108" w:type="dxa"/>
              <w:right w:w="108" w:type="dxa"/>
            </w:tcMar>
            <w:vAlign w:val="center"/>
          </w:tcPr>
          <w:p>
            <w:pPr>
              <w:widowControl/>
              <w:spacing w:line="400" w:lineRule="exact"/>
              <w:rPr>
                <w:rFonts w:ascii="宋体" w:hAnsi="宋体" w:cs="宋体"/>
                <w:sz w:val="24"/>
              </w:rPr>
            </w:pPr>
            <w:r>
              <w:rPr>
                <w:rFonts w:hint="eastAsia" w:ascii="宋体" w:hAnsi="宋体" w:cs="宋体"/>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7"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7</w:t>
            </w:r>
          </w:p>
        </w:tc>
        <w:tc>
          <w:tcPr>
            <w:tcW w:w="2313" w:type="dxa"/>
            <w:shd w:val="clear" w:color="auto" w:fill="auto"/>
            <w:tcMar>
              <w:left w:w="108" w:type="dxa"/>
              <w:right w:w="108" w:type="dxa"/>
            </w:tcMar>
            <w:vAlign w:val="center"/>
          </w:tcPr>
          <w:p>
            <w:pPr>
              <w:widowControl/>
              <w:spacing w:line="360" w:lineRule="auto"/>
              <w:jc w:val="center"/>
              <w:rPr>
                <w:bCs/>
                <w:sz w:val="24"/>
                <w:highlight w:val="none"/>
              </w:rPr>
            </w:pPr>
            <w:r>
              <w:rPr>
                <w:bCs/>
                <w:sz w:val="24"/>
                <w:highlight w:val="none"/>
              </w:rPr>
              <w:t>采购内容</w:t>
            </w:r>
          </w:p>
        </w:tc>
        <w:tc>
          <w:tcPr>
            <w:tcW w:w="6462" w:type="dxa"/>
            <w:shd w:val="clear" w:color="auto" w:fill="auto"/>
            <w:tcMar>
              <w:left w:w="108" w:type="dxa"/>
              <w:right w:w="108" w:type="dxa"/>
            </w:tcMar>
            <w:vAlign w:val="center"/>
          </w:tcPr>
          <w:p>
            <w:pPr>
              <w:widowControl/>
              <w:spacing w:line="360" w:lineRule="auto"/>
              <w:jc w:val="left"/>
              <w:rPr>
                <w:sz w:val="24"/>
                <w:highlight w:val="none"/>
              </w:rPr>
            </w:pPr>
            <w:r>
              <w:rPr>
                <w:rFonts w:hint="eastAsia"/>
                <w:sz w:val="24"/>
                <w:highlight w:val="none"/>
              </w:rPr>
              <w:t>西安市高陵区创优质均衡发展（高家小学多功能厅改造提升项目），包括多功能厅装修、拆除、电气、弱电、火灾报警、空调等改造内容。具体详见工程量清单。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9"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8</w:t>
            </w:r>
          </w:p>
        </w:tc>
        <w:tc>
          <w:tcPr>
            <w:tcW w:w="2313" w:type="dxa"/>
            <w:shd w:val="clear" w:color="auto" w:fill="auto"/>
            <w:tcMar>
              <w:left w:w="108" w:type="dxa"/>
              <w:right w:w="108" w:type="dxa"/>
            </w:tcMar>
            <w:vAlign w:val="center"/>
          </w:tcPr>
          <w:p>
            <w:pPr>
              <w:widowControl/>
              <w:spacing w:line="360" w:lineRule="auto"/>
              <w:jc w:val="center"/>
              <w:rPr>
                <w:kern w:val="0"/>
                <w:sz w:val="24"/>
              </w:rPr>
            </w:pPr>
            <w:r>
              <w:rPr>
                <w:kern w:val="0"/>
                <w:sz w:val="24"/>
              </w:rPr>
              <w:t>磋商有效期</w:t>
            </w:r>
          </w:p>
        </w:tc>
        <w:tc>
          <w:tcPr>
            <w:tcW w:w="6462" w:type="dxa"/>
            <w:shd w:val="clear" w:color="auto" w:fill="auto"/>
            <w:tcMar>
              <w:left w:w="108" w:type="dxa"/>
              <w:right w:w="108" w:type="dxa"/>
            </w:tcMar>
            <w:vAlign w:val="center"/>
          </w:tcPr>
          <w:p>
            <w:pPr>
              <w:widowControl/>
              <w:spacing w:line="400" w:lineRule="exact"/>
              <w:jc w:val="left"/>
              <w:rPr>
                <w:rFonts w:ascii="宋体" w:hAnsi="宋体" w:cs="宋体"/>
                <w:kern w:val="0"/>
                <w:sz w:val="24"/>
              </w:rPr>
            </w:pPr>
            <w:r>
              <w:rPr>
                <w:rFonts w:hint="eastAsia" w:ascii="宋体" w:hAnsi="宋体" w:cs="宋体"/>
                <w:kern w:val="0"/>
                <w:sz w:val="24"/>
              </w:rPr>
              <w:t>自磋商响应文件递交之日起</w:t>
            </w:r>
            <w:r>
              <w:rPr>
                <w:rFonts w:hint="eastAsia" w:ascii="宋体" w:hAnsi="宋体" w:cs="宋体"/>
                <w:kern w:val="0"/>
                <w:sz w:val="24"/>
                <w:u w:val="single"/>
              </w:rPr>
              <w:t>90</w:t>
            </w:r>
            <w:r>
              <w:rPr>
                <w:rFonts w:hint="eastAsia" w:ascii="宋体" w:hAnsi="宋体" w:cs="宋体"/>
                <w:kern w:val="0"/>
                <w:sz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9"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9</w:t>
            </w:r>
          </w:p>
        </w:tc>
        <w:tc>
          <w:tcPr>
            <w:tcW w:w="2313" w:type="dxa"/>
            <w:shd w:val="clear" w:color="auto" w:fill="auto"/>
            <w:tcMar>
              <w:left w:w="108" w:type="dxa"/>
              <w:right w:w="108" w:type="dxa"/>
            </w:tcMar>
            <w:vAlign w:val="center"/>
          </w:tcPr>
          <w:p>
            <w:pPr>
              <w:adjustRightInd w:val="0"/>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工期</w:t>
            </w:r>
          </w:p>
        </w:tc>
        <w:tc>
          <w:tcPr>
            <w:tcW w:w="6462" w:type="dxa"/>
            <w:shd w:val="clear" w:color="auto" w:fill="auto"/>
            <w:tcMar>
              <w:left w:w="108" w:type="dxa"/>
              <w:right w:w="108" w:type="dxa"/>
            </w:tcMar>
            <w:vAlign w:val="center"/>
          </w:tcPr>
          <w:p>
            <w:pPr>
              <w:adjustRightInd w:val="0"/>
              <w:snapToGrid w:val="0"/>
              <w:spacing w:line="400" w:lineRule="exact"/>
              <w:rPr>
                <w:rFonts w:ascii="宋体" w:hAnsi="宋体" w:cs="宋体"/>
                <w:sz w:val="24"/>
                <w:highlight w:val="none"/>
              </w:rPr>
            </w:pPr>
            <w:r>
              <w:rPr>
                <w:rFonts w:hint="eastAsia" w:ascii="宋体" w:hAnsi="宋体" w:cs="宋体"/>
                <w:sz w:val="24"/>
                <w:highlight w:val="none"/>
                <w:lang w:val="en-US" w:eastAsia="zh-CN"/>
              </w:rPr>
              <w:t>70</w:t>
            </w:r>
            <w:r>
              <w:rPr>
                <w:rFonts w:hint="eastAsia" w:ascii="宋体" w:hAnsi="宋体" w:cs="宋体"/>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4"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10</w:t>
            </w:r>
          </w:p>
        </w:tc>
        <w:tc>
          <w:tcPr>
            <w:tcW w:w="2313" w:type="dxa"/>
            <w:shd w:val="clear" w:color="auto" w:fill="auto"/>
            <w:tcMar>
              <w:left w:w="108" w:type="dxa"/>
              <w:right w:w="108" w:type="dxa"/>
            </w:tcMar>
            <w:vAlign w:val="center"/>
          </w:tcPr>
          <w:p>
            <w:pPr>
              <w:widowControl/>
              <w:spacing w:line="360" w:lineRule="auto"/>
              <w:jc w:val="center"/>
              <w:rPr>
                <w:kern w:val="0"/>
                <w:sz w:val="24"/>
              </w:rPr>
            </w:pPr>
            <w:r>
              <w:rPr>
                <w:kern w:val="0"/>
                <w:sz w:val="24"/>
              </w:rPr>
              <w:t>质量</w:t>
            </w:r>
            <w:r>
              <w:rPr>
                <w:rFonts w:hint="eastAsia"/>
                <w:kern w:val="0"/>
                <w:sz w:val="24"/>
              </w:rPr>
              <w:t>标准</w:t>
            </w:r>
          </w:p>
        </w:tc>
        <w:tc>
          <w:tcPr>
            <w:tcW w:w="6462" w:type="dxa"/>
            <w:shd w:val="clear" w:color="auto" w:fill="auto"/>
            <w:tcMar>
              <w:left w:w="108" w:type="dxa"/>
              <w:right w:w="108" w:type="dxa"/>
            </w:tcMar>
            <w:vAlign w:val="center"/>
          </w:tcPr>
          <w:p>
            <w:pPr>
              <w:adjustRightInd w:val="0"/>
              <w:snapToGrid w:val="0"/>
              <w:spacing w:line="400" w:lineRule="exact"/>
              <w:rPr>
                <w:szCs w:val="21"/>
              </w:rPr>
            </w:pPr>
            <w:r>
              <w:rPr>
                <w:kern w:val="0"/>
                <w:sz w:val="24"/>
              </w:rPr>
              <w:t>达到国家相关质量合格标准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68"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1</w:t>
            </w:r>
          </w:p>
        </w:tc>
        <w:tc>
          <w:tcPr>
            <w:tcW w:w="2313" w:type="dxa"/>
            <w:shd w:val="clear" w:color="auto" w:fill="auto"/>
            <w:tcMar>
              <w:left w:w="108" w:type="dxa"/>
              <w:right w:w="108" w:type="dxa"/>
            </w:tcMar>
            <w:vAlign w:val="center"/>
          </w:tcPr>
          <w:p>
            <w:pPr>
              <w:widowControl/>
              <w:spacing w:line="360" w:lineRule="auto"/>
              <w:jc w:val="center"/>
              <w:rPr>
                <w:kern w:val="0"/>
                <w:sz w:val="24"/>
              </w:rPr>
            </w:pPr>
            <w:r>
              <w:rPr>
                <w:rFonts w:hint="eastAsia" w:asciiTheme="minorEastAsia" w:hAnsiTheme="minorEastAsia" w:eastAsiaTheme="minorEastAsia" w:cstheme="minorEastAsia"/>
                <w:sz w:val="24"/>
              </w:rPr>
              <w:t>磋商响应单位资格条件、能力</w:t>
            </w:r>
          </w:p>
        </w:tc>
        <w:tc>
          <w:tcPr>
            <w:tcW w:w="6462" w:type="dxa"/>
            <w:shd w:val="clear" w:color="auto" w:fill="auto"/>
            <w:tcMar>
              <w:left w:w="108" w:type="dxa"/>
              <w:right w:w="108" w:type="dxa"/>
            </w:tcMar>
            <w:vAlign w:val="center"/>
          </w:tcPr>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磋商响应单位除应具备《中华人民共和国政府采购法》第二十二条规定的条件外还需：</w:t>
            </w:r>
          </w:p>
          <w:p>
            <w:pPr>
              <w:numPr>
                <w:ilvl w:val="0"/>
                <w:numId w:val="3"/>
              </w:numPr>
              <w:overflowPunct w:val="0"/>
              <w:topLinePunct/>
              <w:spacing w:line="360" w:lineRule="auto"/>
              <w:rPr>
                <w:rFonts w:hint="eastAsia" w:ascii="宋体" w:hAnsi="宋体" w:cs="宋体"/>
                <w:sz w:val="24"/>
              </w:rPr>
            </w:pPr>
            <w:r>
              <w:rPr>
                <w:rFonts w:hint="eastAsia" w:ascii="宋体" w:hAnsi="宋体" w:cs="宋体"/>
                <w:sz w:val="24"/>
              </w:rPr>
              <w:t>具有合格有效的企业法人营业执照、税务登记证、组织机构代码证（或三证合一营业执照）；</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highlight w:val="none"/>
              </w:rPr>
              <w:t>具备建筑工程施工总承包三级（含）及以上资质或具备建筑装修装饰工程专业承包贰级（含）以上资质，具有有效的安全生产许可证；</w:t>
            </w:r>
          </w:p>
          <w:p>
            <w:pPr>
              <w:numPr>
                <w:ilvl w:val="0"/>
                <w:numId w:val="3"/>
              </w:numPr>
              <w:overflowPunct w:val="0"/>
              <w:topLinePunct/>
              <w:spacing w:line="360" w:lineRule="auto"/>
              <w:ind w:left="0" w:leftChars="0" w:firstLine="0" w:firstLineChars="0"/>
              <w:rPr>
                <w:rFonts w:hint="eastAsia" w:ascii="宋体" w:hAnsi="宋体" w:cs="宋体"/>
                <w:sz w:val="24"/>
                <w:highlight w:val="none"/>
              </w:rPr>
            </w:pPr>
            <w:r>
              <w:rPr>
                <w:rFonts w:hint="eastAsia" w:ascii="宋体" w:hAnsi="宋体" w:cs="宋体"/>
                <w:sz w:val="24"/>
                <w:highlight w:val="none"/>
              </w:rPr>
              <w:t>拟委派项目经理须具有建筑工程专业贰级（含）以上注册建造师资质并具有安全生产考核合格证，在本单位注册且无在建工程；</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中列入失信被执行人和税收违法黑名单的供应商，不得为中国政府采购网（www.ccgp.gov.cn）政府采购严重违法失信行为记录名单中被财政部门禁止参加政府采购活动的供应商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财务状况报告：提供供应商2020年经审计的财务报告或磋商前三个月内开户银行开具的资信证明；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参加政府采购活动前三年内，在经营活动中没有重大违法记录的书面声明；</w:t>
            </w:r>
          </w:p>
          <w:p>
            <w:pPr>
              <w:numPr>
                <w:ilvl w:val="0"/>
                <w:numId w:val="3"/>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ascii="宋体" w:hAnsi="宋体" w:cs="宋体"/>
                <w:sz w:val="24"/>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9"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2</w:t>
            </w:r>
          </w:p>
        </w:tc>
        <w:tc>
          <w:tcPr>
            <w:tcW w:w="2313" w:type="dxa"/>
            <w:shd w:val="clear" w:color="auto" w:fill="auto"/>
            <w:tcMar>
              <w:left w:w="108" w:type="dxa"/>
              <w:right w:w="108" w:type="dxa"/>
            </w:tcMar>
            <w:vAlign w:val="center"/>
          </w:tcPr>
          <w:p>
            <w:pPr>
              <w:widowControl/>
              <w:spacing w:line="360" w:lineRule="auto"/>
              <w:jc w:val="center"/>
              <w:rPr>
                <w:kern w:val="0"/>
                <w:sz w:val="24"/>
                <w:highlight w:val="red"/>
              </w:rPr>
            </w:pPr>
            <w:r>
              <w:rPr>
                <w:sz w:val="24"/>
              </w:rPr>
              <w:t>磋商答疑会</w:t>
            </w:r>
          </w:p>
        </w:tc>
        <w:tc>
          <w:tcPr>
            <w:tcW w:w="6462" w:type="dxa"/>
            <w:shd w:val="clear" w:color="auto" w:fill="auto"/>
            <w:tcMar>
              <w:left w:w="108" w:type="dxa"/>
              <w:right w:w="108" w:type="dxa"/>
            </w:tcMar>
            <w:vAlign w:val="center"/>
          </w:tcPr>
          <w:p>
            <w:pPr>
              <w:widowControl/>
              <w:spacing w:line="400" w:lineRule="exact"/>
              <w:rPr>
                <w:rFonts w:ascii="宋体" w:hAnsi="宋体" w:cs="宋体"/>
                <w:kern w:val="0"/>
                <w:sz w:val="24"/>
                <w:highlight w:val="red"/>
              </w:rPr>
            </w:pPr>
            <w:r>
              <w:rPr>
                <w:rFonts w:hint="eastAsia" w:ascii="宋体" w:hAnsi="宋体" w:cs="宋体"/>
                <w:sz w:val="24"/>
              </w:rPr>
              <w:t>不召开，相关事宜以书面提问和答复方式进行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83" w:hRule="atLeast"/>
          <w:jc w:val="center"/>
        </w:trPr>
        <w:tc>
          <w:tcPr>
            <w:tcW w:w="583"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2313" w:type="dxa"/>
            <w:shd w:val="clear" w:color="auto" w:fill="auto"/>
            <w:tcMar>
              <w:left w:w="108" w:type="dxa"/>
              <w:right w:w="108" w:type="dxa"/>
            </w:tcMar>
            <w:vAlign w:val="center"/>
          </w:tcPr>
          <w:p>
            <w:pPr>
              <w:adjustRightInd w:val="0"/>
              <w:snapToGrid w:val="0"/>
              <w:spacing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响应</w:t>
            </w:r>
            <w:r>
              <w:rPr>
                <w:rFonts w:hint="eastAsia" w:asciiTheme="minorEastAsia" w:hAnsiTheme="minorEastAsia" w:eastAsiaTheme="minorEastAsia" w:cstheme="minorEastAsia"/>
                <w:bCs/>
                <w:sz w:val="24"/>
                <w:highlight w:val="none"/>
              </w:rPr>
              <w:t>文件份数</w:t>
            </w:r>
          </w:p>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响应文件的装订、密封和标记</w:t>
            </w:r>
          </w:p>
        </w:tc>
        <w:tc>
          <w:tcPr>
            <w:tcW w:w="6462" w:type="dxa"/>
            <w:shd w:val="clear" w:color="auto" w:fill="auto"/>
            <w:tcMar>
              <w:left w:w="108" w:type="dxa"/>
              <w:right w:w="108" w:type="dxa"/>
            </w:tcMar>
            <w:vAlign w:val="center"/>
          </w:tcPr>
          <w:p>
            <w:pPr>
              <w:widowControl/>
              <w:spacing w:line="360" w:lineRule="auto"/>
              <w:jc w:val="both"/>
              <w:rPr>
                <w:rFonts w:hint="eastAsia"/>
                <w:sz w:val="24"/>
              </w:rPr>
            </w:pPr>
            <w:r>
              <w:rPr>
                <w:rFonts w:hint="eastAsia"/>
                <w:sz w:val="24"/>
              </w:rPr>
              <w:t>正本 1 份、副本 2 份、电子文件（Ｕ盘） 1 份</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响应文件正、副本分别装订成册，胶装（不允许用可换页的活页夹装订），装订应牢固，内容较多时可分册装订但应注明册序号。</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pPr>
            <w:r>
              <w:rPr>
                <w:rFonts w:hint="eastAsia" w:asciiTheme="minorEastAsia" w:hAnsiTheme="minorEastAsia" w:eastAsiaTheme="minorEastAsia" w:cstheme="minorEastAsia"/>
                <w:bCs/>
                <w:sz w:val="24"/>
                <w:highlight w:val="none"/>
              </w:rPr>
              <w:t>3 电子版文件载体上应标明磋商响应单位名称。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4</w:t>
            </w:r>
          </w:p>
        </w:tc>
        <w:tc>
          <w:tcPr>
            <w:tcW w:w="2313" w:type="dxa"/>
            <w:shd w:val="clear" w:color="auto" w:fill="auto"/>
            <w:tcMar>
              <w:left w:w="108" w:type="dxa"/>
              <w:right w:w="108" w:type="dxa"/>
            </w:tcMar>
            <w:vAlign w:val="center"/>
          </w:tcPr>
          <w:p>
            <w:pPr>
              <w:overflowPunct w:val="0"/>
              <w:topLinePunct/>
              <w:spacing w:line="400" w:lineRule="exact"/>
              <w:jc w:val="center"/>
              <w:rPr>
                <w:sz w:val="24"/>
              </w:rPr>
            </w:pPr>
            <w:r>
              <w:rPr>
                <w:rStyle w:val="306"/>
                <w:rFonts w:ascii="宋体" w:hAnsi="宋体" w:eastAsia="宋体"/>
                <w:b w:val="0"/>
                <w:i w:val="0"/>
                <w:caps w:val="0"/>
                <w:spacing w:val="0"/>
                <w:w w:val="100"/>
                <w:kern w:val="2"/>
                <w:sz w:val="24"/>
                <w:szCs w:val="24"/>
                <w:highlight w:val="none"/>
                <w:lang w:val="en-US" w:eastAsia="zh-CN" w:bidi="ar-SA"/>
              </w:rPr>
              <w:t>封套</w:t>
            </w:r>
            <w:r>
              <w:rPr>
                <w:rStyle w:val="306"/>
                <w:rFonts w:hint="eastAsia" w:ascii="宋体" w:hAnsi="宋体"/>
                <w:b w:val="0"/>
                <w:i w:val="0"/>
                <w:caps w:val="0"/>
                <w:spacing w:val="0"/>
                <w:w w:val="100"/>
                <w:kern w:val="2"/>
                <w:sz w:val="24"/>
                <w:szCs w:val="24"/>
                <w:highlight w:val="none"/>
                <w:lang w:val="en-US" w:eastAsia="zh-CN" w:bidi="ar-SA"/>
              </w:rPr>
              <w:t>要求</w:t>
            </w:r>
          </w:p>
        </w:tc>
        <w:tc>
          <w:tcPr>
            <w:tcW w:w="6462"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Style w:val="306"/>
                <w:rFonts w:ascii="宋体" w:hAnsi="宋体" w:eastAsia="宋体"/>
                <w:b w:val="0"/>
                <w:i w:val="0"/>
                <w:caps w:val="0"/>
                <w:spacing w:val="0"/>
                <w:w w:val="100"/>
                <w:kern w:val="0"/>
                <w:sz w:val="24"/>
                <w:szCs w:val="24"/>
                <w:highlight w:val="none"/>
                <w:lang w:val="en-US" w:eastAsia="zh-CN" w:bidi="ar-SA"/>
              </w:rPr>
            </w:pP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2"/>
                <w:sz w:val="24"/>
                <w:szCs w:val="24"/>
                <w:highlight w:val="none"/>
                <w:lang w:val="en-US" w:eastAsia="zh-CN" w:bidi="ar-SA"/>
              </w:rPr>
              <w:t>写明</w:t>
            </w: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项目名称</w:t>
            </w:r>
            <w:r>
              <w:rPr>
                <w:rStyle w:val="306"/>
                <w:rFonts w:hint="eastAsia" w:ascii="宋体" w:hAnsi="宋体"/>
                <w:b w:val="0"/>
                <w:i w:val="0"/>
                <w:caps w:val="0"/>
                <w:spacing w:val="0"/>
                <w:w w:val="100"/>
                <w:kern w:val="0"/>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项目编号：</w:t>
            </w:r>
            <w:r>
              <w:rPr>
                <w:rStyle w:val="306"/>
                <w:rFonts w:hint="eastAsia" w:ascii="宋体" w:hAnsi="宋体" w:eastAsia="宋体"/>
                <w:b w:val="0"/>
                <w:i w:val="0"/>
                <w:caps w:val="0"/>
                <w:spacing w:val="0"/>
                <w:w w:val="100"/>
                <w:kern w:val="0"/>
                <w:sz w:val="24"/>
                <w:szCs w:val="24"/>
                <w:highlight w:val="none"/>
                <w:lang w:val="en-US" w:eastAsia="zh-CN" w:bidi="ar-SA"/>
              </w:rPr>
              <w:t>磋商响应单位</w:t>
            </w:r>
            <w:r>
              <w:rPr>
                <w:rStyle w:val="306"/>
                <w:rFonts w:ascii="宋体" w:hAnsi="宋体" w:eastAsia="宋体"/>
                <w:b w:val="0"/>
                <w:i w:val="0"/>
                <w:caps w:val="0"/>
                <w:spacing w:val="0"/>
                <w:w w:val="100"/>
                <w:kern w:val="0"/>
                <w:sz w:val="24"/>
                <w:szCs w:val="24"/>
                <w:highlight w:val="none"/>
                <w:lang w:val="en-US" w:eastAsia="zh-CN" w:bidi="ar-SA"/>
              </w:rPr>
              <w:t>名称：</w:t>
            </w:r>
          </w:p>
          <w:p>
            <w:pPr>
              <w:overflowPunct w:val="0"/>
              <w:topLinePunct/>
              <w:spacing w:line="400" w:lineRule="exact"/>
              <w:rPr>
                <w:rFonts w:ascii="宋体" w:hAnsi="宋体" w:cs="宋体"/>
                <w:kern w:val="0"/>
                <w:sz w:val="24"/>
              </w:rPr>
            </w:pPr>
            <w:r>
              <w:rPr>
                <w:rStyle w:val="306"/>
                <w:rFonts w:hint="eastAsia" w:ascii="宋体" w:hAnsi="宋体" w:eastAsia="宋体"/>
                <w:b w:val="0"/>
                <w:i w:val="0"/>
                <w:caps w:val="0"/>
                <w:spacing w:val="0"/>
                <w:w w:val="100"/>
                <w:kern w:val="0"/>
                <w:sz w:val="24"/>
                <w:szCs w:val="24"/>
                <w:highlight w:val="none"/>
                <w:lang w:val="en-US" w:eastAsia="zh-CN" w:bidi="ar-SA"/>
              </w:rPr>
              <w:t>磋商响应单位地址：</w:t>
            </w:r>
            <w:r>
              <w:rPr>
                <w:rStyle w:val="306"/>
                <w:rFonts w:ascii="宋体" w:hAnsi="宋体" w:eastAsia="宋体"/>
                <w:b w:val="0"/>
                <w:i w:val="0"/>
                <w:caps w:val="0"/>
                <w:spacing w:val="0"/>
                <w:w w:val="100"/>
                <w:kern w:val="0"/>
                <w:sz w:val="24"/>
                <w:szCs w:val="24"/>
                <w:highlight w:val="none"/>
                <w:lang w:val="en-US" w:eastAsia="zh-CN" w:bidi="ar-SA"/>
              </w:rPr>
              <w:t>磋商响应文件在</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eastAsia="宋体"/>
                <w:b w:val="0"/>
                <w:i w:val="0"/>
                <w:caps w:val="0"/>
                <w:spacing w:val="0"/>
                <w:w w:val="100"/>
                <w:kern w:val="0"/>
                <w:sz w:val="24"/>
                <w:szCs w:val="24"/>
                <w:highlight w:val="none"/>
                <w:u w:val="single"/>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年</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月</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日</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时</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分前不得开启</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b w:val="0"/>
                <w:i w:val="0"/>
                <w:caps w:val="0"/>
                <w:spacing w:val="0"/>
                <w:w w:val="100"/>
                <w:kern w:val="0"/>
                <w:sz w:val="24"/>
                <w:szCs w:val="24"/>
                <w:highlight w:val="none"/>
                <w:lang w:val="en-US" w:eastAsia="zh-CN" w:bidi="ar-SA"/>
              </w:rPr>
              <w:t>等</w:t>
            </w:r>
            <w:r>
              <w:rPr>
                <w:rStyle w:val="306"/>
                <w:rFonts w:ascii="宋体" w:hAnsi="宋体" w:eastAsia="宋体"/>
                <w:b w:val="0"/>
                <w:i w:val="0"/>
                <w:caps w:val="0"/>
                <w:spacing w:val="0"/>
                <w:w w:val="100"/>
                <w:kern w:val="0"/>
                <w:sz w:val="24"/>
                <w:szCs w:val="24"/>
                <w:highlight w:val="none"/>
                <w:lang w:val="en-US" w:eastAsia="zh-CN" w:bidi="ar-SA"/>
              </w:rPr>
              <w:t>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40" w:hRule="atLeast"/>
          <w:jc w:val="center"/>
        </w:trPr>
        <w:tc>
          <w:tcPr>
            <w:tcW w:w="583"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15</w:t>
            </w:r>
          </w:p>
        </w:tc>
        <w:tc>
          <w:tcPr>
            <w:tcW w:w="2313"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sz w:val="24"/>
              </w:rPr>
            </w:pPr>
            <w:r>
              <w:rPr>
                <w:rFonts w:hint="eastAsia" w:asciiTheme="minorEastAsia" w:hAnsiTheme="minorEastAsia" w:cstheme="minorEastAsia"/>
                <w:sz w:val="24"/>
              </w:rPr>
              <w:t>首次响应文件</w:t>
            </w:r>
          </w:p>
          <w:p>
            <w:pPr>
              <w:snapToGrid w:val="0"/>
              <w:spacing w:before="0" w:beforeAutospacing="0" w:after="0" w:afterAutospacing="0" w:line="360" w:lineRule="auto"/>
              <w:jc w:val="center"/>
              <w:textAlignment w:val="baseline"/>
              <w:rPr>
                <w:rFonts w:hint="eastAsia" w:asciiTheme="minorEastAsia" w:hAnsiTheme="minorEastAsia" w:cstheme="minorEastAsia"/>
                <w:sz w:val="24"/>
              </w:rPr>
            </w:pPr>
            <w:r>
              <w:rPr>
                <w:rFonts w:hint="eastAsia" w:asciiTheme="minorEastAsia" w:hAnsiTheme="minorEastAsia" w:cstheme="minorEastAsia"/>
                <w:sz w:val="24"/>
              </w:rPr>
              <w:t>递交地点</w:t>
            </w:r>
          </w:p>
        </w:tc>
        <w:tc>
          <w:tcPr>
            <w:tcW w:w="6462"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Fonts w:hint="eastAsia" w:ascii="宋体" w:hAnsi="宋体" w:cs="宋体"/>
                <w:sz w:val="24"/>
              </w:rPr>
            </w:pPr>
            <w:r>
              <w:rPr>
                <w:rFonts w:hint="eastAsia" w:ascii="宋体" w:hAnsi="宋体" w:cs="宋体"/>
                <w:sz w:val="24"/>
                <w:lang w:eastAsia="zh-CN"/>
              </w:rPr>
              <w:t>远创项目管理有限公司</w:t>
            </w:r>
            <w:r>
              <w:rPr>
                <w:rFonts w:hint="eastAsia" w:ascii="宋体" w:hAnsi="宋体" w:cs="宋体"/>
                <w:sz w:val="24"/>
              </w:rPr>
              <w:t>会议室（西安市未央区凤城九路与明光路十字中登文景大厦A座150</w:t>
            </w:r>
            <w:r>
              <w:rPr>
                <w:rFonts w:hint="eastAsia" w:ascii="宋体" w:hAnsi="宋体" w:cs="宋体"/>
                <w:sz w:val="24"/>
                <w:lang w:val="en-US" w:eastAsia="zh-CN"/>
              </w:rPr>
              <w:t>1</w:t>
            </w:r>
            <w:r>
              <w:rPr>
                <w:rFonts w:hint="eastAsia" w:ascii="宋体" w:hAnsi="宋体" w:cs="宋体"/>
                <w:sz w:val="24"/>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9" w:hRule="atLeast"/>
          <w:jc w:val="center"/>
        </w:trPr>
        <w:tc>
          <w:tcPr>
            <w:tcW w:w="583"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6</w:t>
            </w:r>
          </w:p>
        </w:tc>
        <w:tc>
          <w:tcPr>
            <w:tcW w:w="2313"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首次响应文件</w:t>
            </w:r>
          </w:p>
          <w:p>
            <w:pPr>
              <w:overflowPunct w:val="0"/>
              <w:topLinePunct/>
              <w:spacing w:line="400" w:lineRule="exact"/>
              <w:jc w:val="center"/>
              <w:rPr>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递交截止时间</w:t>
            </w:r>
          </w:p>
        </w:tc>
        <w:tc>
          <w:tcPr>
            <w:tcW w:w="6462" w:type="dxa"/>
            <w:shd w:val="clear" w:color="auto" w:fill="auto"/>
            <w:tcMar>
              <w:left w:w="108" w:type="dxa"/>
              <w:right w:w="108" w:type="dxa"/>
            </w:tcMar>
            <w:vAlign w:val="center"/>
          </w:tcPr>
          <w:p>
            <w:pPr>
              <w:adjustRightInd w:val="0"/>
              <w:snapToGrid w:val="0"/>
              <w:spacing w:line="360" w:lineRule="auto"/>
              <w:rPr>
                <w:rFonts w:ascii="宋体" w:hAnsi="宋体" w:cs="宋体"/>
                <w:kern w:val="0"/>
                <w:sz w:val="24"/>
              </w:r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09</w:t>
            </w:r>
            <w:r>
              <w:rPr>
                <w:rFonts w:hint="eastAsia" w:ascii="宋体" w:hAnsi="宋体" w:cs="宋体"/>
                <w:kern w:val="0"/>
                <w:sz w:val="24"/>
                <w:highlight w:val="none"/>
              </w:rPr>
              <w:t>日 09时30分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09" w:hRule="atLeast"/>
          <w:jc w:val="center"/>
        </w:trPr>
        <w:tc>
          <w:tcPr>
            <w:tcW w:w="583"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7</w:t>
            </w:r>
          </w:p>
        </w:tc>
        <w:tc>
          <w:tcPr>
            <w:tcW w:w="2313" w:type="dxa"/>
            <w:shd w:val="clear" w:color="auto" w:fill="auto"/>
            <w:tcMar>
              <w:left w:w="108" w:type="dxa"/>
              <w:right w:w="108" w:type="dxa"/>
            </w:tcMar>
            <w:vAlign w:val="center"/>
          </w:tcPr>
          <w:p>
            <w:pPr>
              <w:widowControl/>
              <w:spacing w:line="360" w:lineRule="auto"/>
              <w:jc w:val="center"/>
              <w:rPr>
                <w:kern w:val="0"/>
                <w:sz w:val="24"/>
              </w:rPr>
            </w:pPr>
            <w:r>
              <w:rPr>
                <w:sz w:val="24"/>
              </w:rPr>
              <w:t>磋商时间和地点</w:t>
            </w:r>
          </w:p>
        </w:tc>
        <w:tc>
          <w:tcPr>
            <w:tcW w:w="6462" w:type="dxa"/>
            <w:shd w:val="clear" w:color="auto" w:fill="auto"/>
            <w:tcMar>
              <w:left w:w="108" w:type="dxa"/>
              <w:right w:w="108" w:type="dxa"/>
            </w:tcMar>
            <w:vAlign w:val="center"/>
          </w:tcPr>
          <w:p>
            <w:pPr>
              <w:overflowPunct w:val="0"/>
              <w:topLinePunct/>
              <w:spacing w:line="400" w:lineRule="exact"/>
              <w:rPr>
                <w:rFonts w:asciiTheme="minorEastAsia" w:hAnsiTheme="minorEastAsia" w:cstheme="minorEastAsia"/>
                <w:sz w:val="24"/>
              </w:rPr>
            </w:pPr>
            <w:r>
              <w:rPr>
                <w:rFonts w:hint="eastAsia" w:asciiTheme="minorEastAsia" w:hAnsiTheme="minorEastAsia" w:cstheme="minorEastAsia"/>
                <w:sz w:val="24"/>
              </w:rPr>
              <w:t>磋商时间</w:t>
            </w:r>
            <w:r>
              <w:rPr>
                <w:rFonts w:hint="eastAsia" w:asciiTheme="minorEastAsia" w:hAnsiTheme="minorEastAsia" w:cstheme="minorEastAsia"/>
                <w:sz w:val="24"/>
                <w:highlight w:val="none"/>
              </w:rPr>
              <w:t>：</w:t>
            </w: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06</w:t>
            </w:r>
            <w:r>
              <w:rPr>
                <w:rFonts w:hint="eastAsia" w:ascii="宋体" w:hAnsi="宋体" w:cs="宋体"/>
                <w:kern w:val="0"/>
                <w:sz w:val="24"/>
                <w:highlight w:val="none"/>
              </w:rPr>
              <w:t>月</w:t>
            </w:r>
            <w:r>
              <w:rPr>
                <w:rFonts w:hint="eastAsia" w:ascii="宋体" w:hAnsi="宋体" w:cs="宋体"/>
                <w:kern w:val="0"/>
                <w:sz w:val="24"/>
                <w:highlight w:val="none"/>
                <w:lang w:val="en-US" w:eastAsia="zh-CN"/>
              </w:rPr>
              <w:t>09</w:t>
            </w:r>
            <w:r>
              <w:rPr>
                <w:rFonts w:hint="eastAsia" w:ascii="宋体" w:hAnsi="宋体" w:cs="宋体"/>
                <w:kern w:val="0"/>
                <w:sz w:val="24"/>
                <w:highlight w:val="none"/>
              </w:rPr>
              <w:t>日 09时30分</w:t>
            </w:r>
          </w:p>
          <w:p>
            <w:pPr>
              <w:overflowPunct w:val="0"/>
              <w:topLinePunct/>
              <w:spacing w:line="400" w:lineRule="exact"/>
              <w:rPr>
                <w:sz w:val="24"/>
              </w:rPr>
            </w:pPr>
            <w:r>
              <w:rPr>
                <w:rFonts w:hint="eastAsia" w:asciiTheme="minorEastAsia" w:hAnsiTheme="minorEastAsia" w:cstheme="minorEastAsia"/>
                <w:sz w:val="24"/>
              </w:rPr>
              <w:t>磋商地点：同递交响应文件地点。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37" w:hRule="atLeast"/>
          <w:jc w:val="center"/>
        </w:trPr>
        <w:tc>
          <w:tcPr>
            <w:tcW w:w="583"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8</w:t>
            </w:r>
          </w:p>
        </w:tc>
        <w:tc>
          <w:tcPr>
            <w:tcW w:w="2313" w:type="dxa"/>
            <w:shd w:val="clear" w:color="auto" w:fill="auto"/>
            <w:tcMar>
              <w:left w:w="108" w:type="dxa"/>
              <w:right w:w="108" w:type="dxa"/>
            </w:tcMar>
            <w:vAlign w:val="center"/>
          </w:tcPr>
          <w:p>
            <w:pPr>
              <w:widowControl/>
              <w:spacing w:line="360" w:lineRule="auto"/>
              <w:jc w:val="center"/>
              <w:rPr>
                <w:kern w:val="0"/>
                <w:sz w:val="24"/>
              </w:rPr>
            </w:pPr>
            <w:r>
              <w:rPr>
                <w:sz w:val="24"/>
              </w:rPr>
              <w:t>磋商小组的组建</w:t>
            </w:r>
          </w:p>
        </w:tc>
        <w:tc>
          <w:tcPr>
            <w:tcW w:w="6462" w:type="dxa"/>
            <w:shd w:val="clear" w:color="auto" w:fill="auto"/>
            <w:tcMar>
              <w:left w:w="108" w:type="dxa"/>
              <w:right w:w="108" w:type="dxa"/>
            </w:tcMar>
            <w:vAlign w:val="center"/>
          </w:tcPr>
          <w:p>
            <w:pPr>
              <w:pStyle w:val="30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磋商小组构成：3人</w:t>
            </w:r>
            <w:r>
              <w:rPr>
                <w:rFonts w:hint="eastAsia"/>
                <w:color w:val="000000" w:themeColor="text1"/>
                <w14:textFill>
                  <w14:solidFill>
                    <w14:schemeClr w14:val="tx1"/>
                  </w14:solidFill>
                </w14:textFill>
              </w:rPr>
              <w:t>，</w:t>
            </w:r>
            <w:r>
              <w:rPr>
                <w:rFonts w:hint="eastAsia"/>
                <w:color w:val="000000" w:themeColor="text1"/>
                <w:lang w:val="zh-CN"/>
                <w14:textFill>
                  <w14:solidFill>
                    <w14:schemeClr w14:val="tx1"/>
                  </w14:solidFill>
                </w14:textFill>
              </w:rPr>
              <w:t>其中采购人代表</w:t>
            </w:r>
            <w:r>
              <w:rPr>
                <w:rFonts w:hint="eastAsia"/>
                <w:color w:val="000000" w:themeColor="text1"/>
                <w:u w:val="single"/>
                <w14:textFill>
                  <w14:solidFill>
                    <w14:schemeClr w14:val="tx1"/>
                  </w14:solidFill>
                </w14:textFill>
              </w:rPr>
              <w:t xml:space="preserve"> 1 </w:t>
            </w:r>
            <w:r>
              <w:rPr>
                <w:rFonts w:hint="eastAsia"/>
                <w:color w:val="000000" w:themeColor="text1"/>
                <w:lang w:val="zh-CN"/>
                <w14:textFill>
                  <w14:solidFill>
                    <w14:schemeClr w14:val="tx1"/>
                  </w14:solidFill>
                </w14:textFill>
              </w:rPr>
              <w:t>人，磋商专家</w:t>
            </w:r>
            <w:r>
              <w:rPr>
                <w:rFonts w:hint="eastAsia"/>
                <w:color w:val="000000" w:themeColor="text1"/>
                <w:u w:val="single"/>
                <w14:textFill>
                  <w14:solidFill>
                    <w14:schemeClr w14:val="tx1"/>
                  </w14:solidFill>
                </w14:textFill>
              </w:rPr>
              <w:t xml:space="preserve"> 2 </w:t>
            </w:r>
            <w:r>
              <w:rPr>
                <w:rFonts w:hint="eastAsia"/>
                <w:color w:val="000000" w:themeColor="text1"/>
                <w:lang w:val="zh-CN"/>
                <w14:textFill>
                  <w14:solidFill>
                    <w14:schemeClr w14:val="tx1"/>
                  </w14:solidFill>
                </w14:textFill>
              </w:rPr>
              <w:t>人。</w:t>
            </w:r>
          </w:p>
          <w:p>
            <w:pPr>
              <w:widowControl/>
              <w:spacing w:line="400" w:lineRule="exact"/>
              <w:rPr>
                <w:sz w:val="24"/>
              </w:rPr>
            </w:pPr>
            <w:r>
              <w:rPr>
                <w:sz w:val="24"/>
              </w:rPr>
              <w:t>磋商专家确定方式：按照相关规定，专家评委在陕西省财政厅《政府采购评审专家库》中随机抽取。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9" w:hRule="atLeast"/>
          <w:jc w:val="center"/>
        </w:trPr>
        <w:tc>
          <w:tcPr>
            <w:tcW w:w="583"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9</w:t>
            </w:r>
          </w:p>
        </w:tc>
        <w:tc>
          <w:tcPr>
            <w:tcW w:w="2313" w:type="dxa"/>
            <w:shd w:val="clear" w:color="auto" w:fill="auto"/>
            <w:tcMar>
              <w:left w:w="108" w:type="dxa"/>
              <w:right w:w="108" w:type="dxa"/>
            </w:tcMar>
            <w:vAlign w:val="center"/>
          </w:tcPr>
          <w:p>
            <w:pPr>
              <w:widowControl/>
              <w:spacing w:line="360" w:lineRule="auto"/>
              <w:jc w:val="center"/>
              <w:rPr>
                <w:kern w:val="0"/>
                <w:sz w:val="24"/>
              </w:rPr>
            </w:pPr>
            <w:r>
              <w:rPr>
                <w:sz w:val="24"/>
              </w:rPr>
              <w:t>磋商办法</w:t>
            </w:r>
          </w:p>
        </w:tc>
        <w:tc>
          <w:tcPr>
            <w:tcW w:w="6462" w:type="dxa"/>
            <w:shd w:val="clear" w:color="auto" w:fill="auto"/>
            <w:tcMar>
              <w:left w:w="108" w:type="dxa"/>
              <w:right w:w="108" w:type="dxa"/>
            </w:tcMar>
            <w:vAlign w:val="center"/>
          </w:tcPr>
          <w:p>
            <w:pPr>
              <w:widowControl/>
              <w:spacing w:line="400" w:lineRule="exact"/>
              <w:rPr>
                <w:sz w:val="24"/>
              </w:rPr>
            </w:pPr>
            <w:r>
              <w:rPr>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95" w:hRule="atLeast"/>
          <w:jc w:val="center"/>
        </w:trPr>
        <w:tc>
          <w:tcPr>
            <w:tcW w:w="583"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20</w:t>
            </w:r>
          </w:p>
        </w:tc>
        <w:tc>
          <w:tcPr>
            <w:tcW w:w="2313" w:type="dxa"/>
            <w:shd w:val="clear" w:color="auto" w:fill="auto"/>
            <w:tcMar>
              <w:left w:w="108" w:type="dxa"/>
              <w:right w:w="108" w:type="dxa"/>
            </w:tcMar>
            <w:vAlign w:val="center"/>
          </w:tcPr>
          <w:p>
            <w:pPr>
              <w:snapToGrid w:val="0"/>
              <w:spacing w:line="360" w:lineRule="auto"/>
              <w:jc w:val="center"/>
              <w:rPr>
                <w:kern w:val="0"/>
                <w:sz w:val="24"/>
              </w:rPr>
            </w:pPr>
            <w:r>
              <w:rPr>
                <w:sz w:val="24"/>
              </w:rPr>
              <w:t>复印件或扫描件</w:t>
            </w:r>
          </w:p>
        </w:tc>
        <w:tc>
          <w:tcPr>
            <w:tcW w:w="6462" w:type="dxa"/>
            <w:shd w:val="clear" w:color="auto" w:fill="auto"/>
            <w:tcMar>
              <w:left w:w="108" w:type="dxa"/>
              <w:right w:w="108" w:type="dxa"/>
            </w:tcMar>
            <w:vAlign w:val="center"/>
          </w:tcPr>
          <w:p>
            <w:pPr>
              <w:snapToGrid w:val="0"/>
              <w:spacing w:line="400" w:lineRule="exact"/>
              <w:rPr>
                <w:sz w:val="24"/>
              </w:rPr>
            </w:pPr>
            <w:r>
              <w:rPr>
                <w:b/>
                <w:bCs/>
                <w:sz w:val="24"/>
              </w:rPr>
              <w:t>正本中的复印件（或扫描件）必须加盖</w:t>
            </w:r>
            <w:r>
              <w:rPr>
                <w:rFonts w:hint="eastAsia"/>
                <w:b/>
                <w:bCs/>
                <w:sz w:val="24"/>
              </w:rPr>
              <w:t>磋商响应单位</w:t>
            </w:r>
            <w:r>
              <w:rPr>
                <w:b/>
                <w:bCs/>
                <w:sz w:val="24"/>
              </w:rPr>
              <w:t>的公章（</w:t>
            </w:r>
            <w:r>
              <w:rPr>
                <w:rFonts w:hint="eastAsia"/>
                <w:b/>
                <w:bCs/>
                <w:sz w:val="24"/>
              </w:rPr>
              <w:t>鲜</w:t>
            </w:r>
            <w:r>
              <w:rPr>
                <w:b/>
                <w:bCs/>
                <w:sz w:val="24"/>
              </w:rPr>
              <w:t>章），否则按无效文件处理</w:t>
            </w:r>
            <w:r>
              <w:rPr>
                <w:sz w:val="24"/>
              </w:rPr>
              <w:t>。</w:t>
            </w:r>
          </w:p>
          <w:p>
            <w:pPr>
              <w:snapToGrid w:val="0"/>
              <w:spacing w:line="400" w:lineRule="exact"/>
              <w:rPr>
                <w:kern w:val="0"/>
                <w:sz w:val="24"/>
              </w:rPr>
            </w:pPr>
            <w:r>
              <w:rPr>
                <w:sz w:val="24"/>
              </w:rPr>
              <w:t>所有复印件（或扫描件）（含</w:t>
            </w:r>
            <w:r>
              <w:rPr>
                <w:rFonts w:hint="eastAsia"/>
                <w:sz w:val="24"/>
              </w:rPr>
              <w:t>磋商响应单位</w:t>
            </w:r>
            <w:r>
              <w:rPr>
                <w:sz w:val="24"/>
              </w:rPr>
              <w:t>认为须提交的其他证明材料复印件、扫描件、网页截图等）应是最新、有效、清晰的。因复印件（或扫描件）不清晰而可能导致资料无效，由</w:t>
            </w:r>
            <w:r>
              <w:rPr>
                <w:rFonts w:hint="eastAsia"/>
                <w:sz w:val="24"/>
              </w:rPr>
              <w:t>磋商响应单位</w:t>
            </w:r>
            <w:r>
              <w:rPr>
                <w:sz w:val="24"/>
              </w:rPr>
              <w:t>自行负责。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0"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1</w:t>
            </w:r>
          </w:p>
        </w:tc>
        <w:tc>
          <w:tcPr>
            <w:tcW w:w="2313" w:type="dxa"/>
            <w:shd w:val="clear" w:color="auto" w:fill="auto"/>
            <w:tcMar>
              <w:left w:w="108" w:type="dxa"/>
              <w:right w:w="108" w:type="dxa"/>
            </w:tcMar>
            <w:vAlign w:val="center"/>
          </w:tcPr>
          <w:p>
            <w:pPr>
              <w:widowControl/>
              <w:spacing w:line="360" w:lineRule="auto"/>
              <w:jc w:val="center"/>
              <w:rPr>
                <w:kern w:val="0"/>
                <w:sz w:val="24"/>
              </w:rPr>
            </w:pPr>
            <w:r>
              <w:rPr>
                <w:kern w:val="0"/>
                <w:sz w:val="24"/>
              </w:rPr>
              <w:t>解释权</w:t>
            </w:r>
          </w:p>
        </w:tc>
        <w:tc>
          <w:tcPr>
            <w:tcW w:w="6462" w:type="dxa"/>
            <w:shd w:val="clear" w:color="auto" w:fill="auto"/>
            <w:tcMar>
              <w:left w:w="108" w:type="dxa"/>
              <w:right w:w="108" w:type="dxa"/>
            </w:tcMar>
            <w:vAlign w:val="center"/>
          </w:tcPr>
          <w:p>
            <w:pPr>
              <w:widowControl/>
              <w:spacing w:line="400" w:lineRule="exact"/>
              <w:rPr>
                <w:kern w:val="0"/>
                <w:sz w:val="24"/>
              </w:rPr>
            </w:pPr>
            <w:r>
              <w:rPr>
                <w:kern w:val="0"/>
                <w:sz w:val="24"/>
              </w:rPr>
              <w:t>本磋商文件解释权归采购人和采购代理机构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02"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2</w:t>
            </w:r>
          </w:p>
        </w:tc>
        <w:tc>
          <w:tcPr>
            <w:tcW w:w="2313" w:type="dxa"/>
            <w:shd w:val="clear" w:color="auto" w:fill="auto"/>
            <w:tcMar>
              <w:left w:w="108" w:type="dxa"/>
              <w:right w:w="108" w:type="dxa"/>
            </w:tcMar>
            <w:vAlign w:val="center"/>
          </w:tcPr>
          <w:p>
            <w:pPr>
              <w:widowControl/>
              <w:spacing w:line="360" w:lineRule="auto"/>
              <w:jc w:val="center"/>
              <w:rPr>
                <w:rFonts w:eastAsiaTheme="minorEastAsia"/>
                <w:kern w:val="0"/>
                <w:sz w:val="24"/>
              </w:rPr>
            </w:pPr>
            <w:r>
              <w:rPr>
                <w:rFonts w:hint="eastAsia" w:asciiTheme="minorEastAsia" w:hAnsiTheme="minorEastAsia" w:eastAsiaTheme="minorEastAsia" w:cstheme="minorEastAsia"/>
                <w:sz w:val="24"/>
              </w:rPr>
              <w:t>招标代理服务费及造价咨询费</w:t>
            </w:r>
          </w:p>
        </w:tc>
        <w:tc>
          <w:tcPr>
            <w:tcW w:w="6462" w:type="dxa"/>
            <w:shd w:val="clear" w:color="auto" w:fill="auto"/>
            <w:tcMar>
              <w:left w:w="108" w:type="dxa"/>
              <w:right w:w="108" w:type="dxa"/>
            </w:tcMar>
            <w:vAlign w:val="center"/>
          </w:tcPr>
          <w:p>
            <w:pPr>
              <w:widowControl/>
              <w:spacing w:line="400" w:lineRule="exact"/>
              <w:jc w:val="left"/>
              <w:rPr>
                <w:sz w:val="24"/>
              </w:rPr>
            </w:pP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7" w:hRule="atLeast"/>
          <w:jc w:val="center"/>
        </w:trPr>
        <w:tc>
          <w:tcPr>
            <w:tcW w:w="583" w:type="dxa"/>
            <w:shd w:val="clear" w:color="auto" w:fill="auto"/>
            <w:tcMar>
              <w:left w:w="108" w:type="dxa"/>
              <w:right w:w="108" w:type="dxa"/>
            </w:tcMar>
            <w:vAlign w:val="center"/>
          </w:tcPr>
          <w:p>
            <w:pPr>
              <w:widowControl/>
              <w:spacing w:line="360" w:lineRule="auto"/>
              <w:jc w:val="center"/>
              <w:rPr>
                <w:sz w:val="24"/>
              </w:rPr>
            </w:pPr>
            <w:r>
              <w:rPr>
                <w:kern w:val="0"/>
                <w:sz w:val="24"/>
              </w:rPr>
              <w:t>2</w:t>
            </w:r>
            <w:r>
              <w:rPr>
                <w:rFonts w:hint="eastAsia"/>
                <w:kern w:val="0"/>
                <w:sz w:val="24"/>
              </w:rPr>
              <w:t>3</w:t>
            </w:r>
          </w:p>
        </w:tc>
        <w:tc>
          <w:tcPr>
            <w:tcW w:w="2313"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磋商最高限价</w:t>
            </w:r>
          </w:p>
        </w:tc>
        <w:tc>
          <w:tcPr>
            <w:tcW w:w="6462" w:type="dxa"/>
            <w:shd w:val="clear" w:color="auto" w:fill="auto"/>
            <w:tcMar>
              <w:left w:w="108" w:type="dxa"/>
              <w:right w:w="108" w:type="dxa"/>
            </w:tcMar>
            <w:vAlign w:val="center"/>
          </w:tcPr>
          <w:p>
            <w:pPr>
              <w:widowControl/>
              <w:spacing w:line="360" w:lineRule="auto"/>
              <w:ind w:right="-195" w:rightChars="-93"/>
              <w:jc w:val="left"/>
              <w:rPr>
                <w:kern w:val="0"/>
                <w:sz w:val="24"/>
              </w:rPr>
            </w:pPr>
            <w:r>
              <w:rPr>
                <w:rFonts w:hint="eastAsia" w:ascii="宋体" w:hAnsi="宋体" w:cs="宋体"/>
                <w:color w:val="000000" w:themeColor="text1"/>
                <w:kern w:val="0"/>
                <w:sz w:val="24"/>
                <w14:textFill>
                  <w14:solidFill>
                    <w14:schemeClr w14:val="tx1"/>
                  </w14:solidFill>
                </w14:textFill>
              </w:rPr>
              <w:t>本项目采购预算为人民币</w:t>
            </w:r>
            <w:r>
              <w:rPr>
                <w:rFonts w:hint="eastAsia" w:ascii="宋体" w:hAnsi="宋体" w:cs="宋体"/>
                <w:color w:val="000000" w:themeColor="text1"/>
                <w:kern w:val="0"/>
                <w:sz w:val="24"/>
                <w:highlight w:val="none"/>
                <w:lang w:eastAsia="zh-CN"/>
                <w14:textFill>
                  <w14:solidFill>
                    <w14:schemeClr w14:val="tx1"/>
                  </w14:solidFill>
                </w14:textFill>
              </w:rPr>
              <w:t>2400000.00</w:t>
            </w:r>
            <w:r>
              <w:rPr>
                <w:rFonts w:hint="eastAsia" w:ascii="宋体" w:hAnsi="宋体" w:cs="宋体"/>
                <w:color w:val="000000" w:themeColor="text1"/>
                <w:kern w:val="0"/>
                <w:sz w:val="24"/>
                <w:highlight w:val="none"/>
                <w14:textFill>
                  <w14:solidFill>
                    <w14:schemeClr w14:val="tx1"/>
                  </w14:solidFill>
                </w14:textFill>
              </w:rPr>
              <w:t>元，最高限价:</w:t>
            </w:r>
            <w:r>
              <w:rPr>
                <w:rFonts w:hint="eastAsia" w:ascii="宋体" w:hAnsi="宋体" w:cs="宋体"/>
                <w:color w:val="000000" w:themeColor="text1"/>
                <w:kern w:val="0"/>
                <w:sz w:val="24"/>
                <w:highlight w:val="none"/>
                <w:lang w:eastAsia="zh-CN"/>
                <w14:textFill>
                  <w14:solidFill>
                    <w14:schemeClr w14:val="tx1"/>
                  </w14:solidFill>
                </w14:textFill>
              </w:rPr>
              <w:t>2393244.38</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14:textFill>
                  <w14:solidFill>
                    <w14:schemeClr w14:val="tx1"/>
                  </w14:solidFill>
                </w14:textFill>
              </w:rPr>
              <w:t>首次报价超出最高限价的磋商响应单位不进入下一步磋商程序。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33" w:hRule="atLeast"/>
          <w:jc w:val="center"/>
        </w:trPr>
        <w:tc>
          <w:tcPr>
            <w:tcW w:w="583"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24</w:t>
            </w:r>
          </w:p>
        </w:tc>
        <w:tc>
          <w:tcPr>
            <w:tcW w:w="2313" w:type="dxa"/>
            <w:shd w:val="clear" w:color="auto" w:fill="auto"/>
            <w:tcMar>
              <w:left w:w="108" w:type="dxa"/>
              <w:right w:w="108" w:type="dxa"/>
            </w:tcMar>
            <w:vAlign w:val="center"/>
          </w:tcPr>
          <w:p>
            <w:pPr>
              <w:widowControl/>
              <w:spacing w:line="360" w:lineRule="auto"/>
              <w:jc w:val="center"/>
              <w:rPr>
                <w:color w:val="FF0000"/>
                <w:kern w:val="0"/>
                <w:sz w:val="24"/>
                <w:highlight w:val="none"/>
              </w:rPr>
            </w:pPr>
            <w:r>
              <w:rPr>
                <w:rFonts w:hint="eastAsia"/>
                <w:color w:val="000000" w:themeColor="text1"/>
                <w:kern w:val="0"/>
                <w:sz w:val="24"/>
                <w:highlight w:val="none"/>
                <w14:textFill>
                  <w14:solidFill>
                    <w14:schemeClr w14:val="tx1"/>
                  </w14:solidFill>
                </w14:textFill>
              </w:rPr>
              <w:t>工程计价方式</w:t>
            </w:r>
          </w:p>
        </w:tc>
        <w:tc>
          <w:tcPr>
            <w:tcW w:w="6462" w:type="dxa"/>
            <w:shd w:val="clear" w:color="auto" w:fill="auto"/>
            <w:tcMar>
              <w:left w:w="108" w:type="dxa"/>
              <w:right w:w="108" w:type="dxa"/>
            </w:tcMar>
            <w:vAlign w:val="center"/>
          </w:tcPr>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陕西省建设工程工程量清单计价规则》（2009）和《陕西建筑装饰工程消耗量定额》（2004）及其补充定额、《陕西省安装工程消耗量定额》（2004）及其补充定额、《陕西省建筑装饰工程价目表》（2009）、《陕西省安装工程价目表》（2009）、《全统修缮定额土建工程陕西省价目表》（2001）及其配套的费用文件；</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2.税金按陕建发【2019】45号文件综合系数调整计入，税金县城、镇计入；</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3.主要材料价依据高陵区2022年第2期信息价并结合近期市场价计入； </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4.人工费执行《陕西省住房和城乡建设厅文件》陕建发[2021]1097号；</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5.采用广联达云计价平台GCCP6.0（6.3000.23.110）版本；</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6.本工程混凝土全部采用商品混凝土；</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．本工程灰土全部采用袋装熟石灰；</w:t>
            </w:r>
          </w:p>
          <w:p>
            <w:pPr>
              <w:widowControl/>
              <w:spacing w:line="360" w:lineRule="auto"/>
              <w:ind w:right="-195" w:rightChars="-93"/>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．本工程砂浆全部采用预拌砂浆。</w:t>
            </w:r>
          </w:p>
          <w:p>
            <w:pPr>
              <w:widowControl/>
              <w:spacing w:line="360" w:lineRule="auto"/>
              <w:ind w:right="-195" w:rightChars="-93"/>
              <w:jc w:val="left"/>
              <w:rPr>
                <w:rFonts w:eastAsiaTheme="minorEastAsia"/>
                <w:color w:val="FF0000"/>
                <w:kern w:val="0"/>
                <w:sz w:val="24"/>
                <w:highlight w:val="none"/>
              </w:rPr>
            </w:pP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．其他未尽事宜详见工程量清单。</w:t>
            </w: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widowControl/>
        <w:jc w:val="left"/>
        <w:rPr>
          <w:rFonts w:asciiTheme="minorEastAsia" w:hAnsiTheme="minorEastAsia" w:eastAsiaTheme="minorEastAsia" w:cstheme="minorEastAsia"/>
          <w:b/>
          <w:sz w:val="24"/>
        </w:rPr>
      </w:pPr>
      <w:r>
        <w:rPr>
          <w:rFonts w:asciiTheme="minorEastAsia" w:hAnsiTheme="minorEastAsia" w:eastAsiaTheme="minorEastAsia" w:cstheme="minorEastAsia"/>
          <w:b/>
          <w:sz w:val="24"/>
        </w:rPr>
        <w:br w:type="page"/>
      </w:r>
    </w:p>
    <w:p>
      <w:pPr>
        <w:adjustRightInd w:val="0"/>
        <w:snapToGrid w:val="0"/>
        <w:spacing w:after="24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  则</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1、适用范围</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1.1本磋商文件仅适用于本磋商文件中所述项目的采购。</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2、有关定义</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2.1采购人：西安市高陵区教育局</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2.2监督机构：西安市高陵区财政局</w:t>
      </w:r>
    </w:p>
    <w:p>
      <w:pPr>
        <w:adjustRightInd w:val="0"/>
        <w:snapToGrid w:val="0"/>
        <w:spacing w:line="360" w:lineRule="auto"/>
        <w:ind w:firstLine="480" w:firstLineChars="20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2.3采购代理机构：</w:t>
      </w:r>
      <w:r>
        <w:rPr>
          <w:rFonts w:hint="eastAsia" w:asciiTheme="minorEastAsia" w:hAnsiTheme="minorEastAsia" w:eastAsiaTheme="minorEastAsia" w:cstheme="minorEastAsia"/>
          <w:bCs/>
          <w:sz w:val="24"/>
          <w:highlight w:val="none"/>
          <w:lang w:eastAsia="zh-CN"/>
        </w:rPr>
        <w:t>远创项目管理有限公司</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2.4</w:t>
      </w:r>
      <w:r>
        <w:rPr>
          <w:rFonts w:hint="eastAsia" w:asciiTheme="minorEastAsia" w:hAnsiTheme="minorEastAsia" w:eastAsiaTheme="minorEastAsia" w:cstheme="minorEastAsia"/>
          <w:bCs/>
          <w:sz w:val="24"/>
          <w:lang w:val="zh-CN"/>
        </w:rPr>
        <w:t>磋商响应单位（也称投标人）：响应磋商并且符合磋商文件规定的资格条件、参加磋商竞争的合法企业。</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3、服务</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3.1“服务”系指合同规定磋商响应单位须承担的拟进行工程施工全过程服务。</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4、合格的磋商响应单位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4.1合格磋商响应单位应具备磋商公告中要求磋商响应单位需具备的资格条件和能力。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4.2合</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格磋商响应单位是响应磋商公告、已在采购人或采购代理机构处领购磋商文件并参加磋商的法人。任何未在采购人或采购代理机构处领购磋商文件的法人或其他组织均不得参加磋商。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4.3限制磋商的磋商响应单位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4.3.1 单位负责人为同一人或者存在直接控股、管理关系的不同磋商响应单位，不得参加同一合同项下的政府采购活动，如出现同时参加同一项目的投标均按无效投标处理。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4.3.2 本项目不接受联合体磋商。</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 磋商费用</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供应商准备和参加谈判釆购活动所发生的各种费用由供应商自行承担。</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 语言文字和计量单位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6.1磋商文件以及磋商响应单位与采购代理机构和采购人就有关磋商的所有来往函电均应使用简体中文书写。专用术语使用外文的，应附有中文注释。</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6.2除磋商文件另有规定外，均使用中华人民共和国法定计量单位。</w:t>
      </w:r>
    </w:p>
    <w:p>
      <w:pPr>
        <w:adjustRightInd w:val="0"/>
        <w:snapToGrid w:val="0"/>
        <w:spacing w:line="360" w:lineRule="auto"/>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7. 现场踏勘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7.1 </w:t>
      </w:r>
      <w:r>
        <w:rPr>
          <w:rFonts w:hint="eastAsia" w:asciiTheme="minorEastAsia" w:hAnsiTheme="minorEastAsia" w:eastAsiaTheme="minorEastAsia" w:cstheme="minorEastAsia"/>
          <w:bCs/>
          <w:color w:val="000000" w:themeColor="text1"/>
          <w:sz w:val="24"/>
          <w14:textFill>
            <w14:solidFill>
              <w14:schemeClr w14:val="tx1"/>
            </w14:solidFill>
          </w14:textFill>
        </w:rPr>
        <w:t>磋商响应单位自行组织踏勘项目现场</w:t>
      </w:r>
      <w:r>
        <w:rPr>
          <w:rFonts w:hint="eastAsia" w:asciiTheme="minorEastAsia" w:hAnsiTheme="minorEastAsia" w:eastAsiaTheme="minorEastAsia" w:cstheme="minorEastAsia"/>
          <w:bCs/>
          <w:sz w:val="24"/>
        </w:rPr>
        <w:t xml:space="preserve">。 </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 磋商响应单位踏勘现场发生的费用自理。磋商响应单位自行负责在踏勘现场中所发生的人员伤亡和财产损失。磋商响应单位也不得因进入现场的踏勘而使采购人承担有关的责任和蒙受损失。</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 在踏勘现场中采购人介绍的项目场地和相关的周边环境情况以及有关现场的数据和资料，是采购人现有的能被磋商响应单位作参考使用的资料，供磋商响应单位在编制磋商响应文件时参考，采购人不对磋商响应单位据此作出的判断、推论、理解和决策负责。</w:t>
      </w:r>
    </w:p>
    <w:p>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7.4 磋商响应单位应当根据踏勘的现场实际情况及其影响因素在磋商报价中综合考虑。一旦响应成交，不得再以现场条件复杂、不清楚、报价时未考虑等各种理由要求对报价进行调整。</w:t>
      </w:r>
    </w:p>
    <w:p>
      <w:pPr>
        <w:adjustRightInd w:val="0"/>
        <w:snapToGrid w:val="0"/>
        <w:spacing w:line="360" w:lineRule="auto"/>
        <w:ind w:firstLine="482"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sz w:val="24"/>
        </w:rPr>
        <w:t>8. 磋商答疑会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见“磋商须知前附表”。</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二、磋商文件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1、磋商文件的构成</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1.1本磋商文件包括下列内容：</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第一章　磋商公告</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第二章  磋商须知</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磋商响应单位资格证明文件</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第四章  磋商及评标标准</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第五章  采购内容及要求</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第六章  合同草案条款</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第七章  磋商文件格式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1.2采购代理机构以书面形式发给磋商响应单位的关于对磋商文件的澄清、修改、补充通知等均是本磋商文件的组成部分，对采购人和磋商响应单位起约束作用。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2、澄清与答疑</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任何要求对磋商文件进行澄清（答疑）的磋商响应单位，应在磋商截止日期3天前以书面形式（加盖磋商响应单位公章并注明单位名称、联系人及电话）送达采购代理机构。采购代理机构将在陕西省政府采购网发布澄清公告，各磋商响应单位应密切关注网站发布的有关澄清公告。</w:t>
      </w:r>
    </w:p>
    <w:p>
      <w:pPr>
        <w:adjustRightInd w:val="0"/>
        <w:snapToGrid w:val="0"/>
        <w:spacing w:line="360" w:lineRule="auto"/>
        <w:ind w:firstLine="420" w:firstLineChars="200"/>
        <w:rPr>
          <w:rFonts w:asciiTheme="minorEastAsia" w:hAnsiTheme="minorEastAsia" w:eastAsiaTheme="minorEastAsia" w:cstheme="minorEastAsia"/>
          <w:bCs/>
          <w:sz w:val="24"/>
        </w:rPr>
      </w:pPr>
      <w:r>
        <w:rPr>
          <w:rFonts w:hint="eastAsia"/>
        </w:rPr>
        <w:t xml:space="preserve"> </w:t>
      </w:r>
      <w:r>
        <w:rPr>
          <w:rFonts w:hint="eastAsia" w:asciiTheme="minorEastAsia" w:hAnsiTheme="minorEastAsia" w:eastAsiaTheme="minorEastAsia" w:cstheme="minorEastAsia"/>
          <w:bCs/>
          <w:sz w:val="24"/>
        </w:rPr>
        <w:t>2.2磋商响应单位在规定的时间内未对磋商文件要求澄清或提出疑问的，采购代理机构将视其为同意。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3、磋商文件的修改</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 xml:space="preserve">    3.1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单位；不足5日的，采购人、采购代理机构应当顺延提交首次响应文件截止时间。</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rPr>
        <w:t xml:space="preserve">    </w:t>
      </w:r>
      <w:r>
        <w:rPr>
          <w:rFonts w:hint="eastAsia" w:asciiTheme="minorEastAsia" w:hAnsiTheme="minorEastAsia" w:eastAsiaTheme="minorEastAsia" w:cstheme="minorEastAsia"/>
          <w:bCs/>
          <w:snapToGrid w:val="0"/>
          <w:kern w:val="0"/>
          <w:sz w:val="24"/>
        </w:rPr>
        <w:t>3.2补充（变更）公告将在陕西省政府采购网上公布。磋商响应单位有义务在采购活动期间预览陕西政府采购网，采购代理机构在网上公布的与本次磋商项目有关的信息视为已送达各磋商响应单位。修改后的内容是磋商文件的组成部分。</w:t>
      </w:r>
    </w:p>
    <w:p>
      <w:pPr>
        <w:widowControl/>
        <w:adjustRightInd w:val="0"/>
        <w:snapToGrid w:val="0"/>
        <w:spacing w:line="360" w:lineRule="auto"/>
        <w:rPr>
          <w:rFonts w:asciiTheme="minorEastAsia" w:hAnsiTheme="minorEastAsia" w:eastAsiaTheme="minorEastAsia" w:cstheme="minorEastAsia"/>
          <w:bCs/>
          <w:snapToGrid w:val="0"/>
          <w:kern w:val="0"/>
          <w:sz w:val="24"/>
          <w:lang w:val="zh-CN"/>
        </w:rPr>
      </w:pPr>
      <w:r>
        <w:rPr>
          <w:rFonts w:hint="eastAsia" w:asciiTheme="minorEastAsia" w:hAnsiTheme="minorEastAsia" w:eastAsiaTheme="minorEastAsia" w:cstheme="minorEastAsia"/>
          <w:bCs/>
          <w:snapToGrid w:val="0"/>
          <w:kern w:val="0"/>
          <w:sz w:val="24"/>
        </w:rPr>
        <w:t>　　3.3</w:t>
      </w:r>
      <w:r>
        <w:rPr>
          <w:rFonts w:hint="eastAsia" w:asciiTheme="minorEastAsia" w:hAnsiTheme="minorEastAsia" w:eastAsiaTheme="minorEastAsia" w:cstheme="minorEastAsia"/>
          <w:bCs/>
          <w:snapToGrid w:val="0"/>
          <w:kern w:val="0"/>
          <w:sz w:val="24"/>
          <w:lang w:val="zh-CN"/>
        </w:rPr>
        <w:t>磋商文件的解释权归采购人和采购代理机构。</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1、响应文件编制</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bCs/>
          <w:sz w:val="24"/>
          <w:lang w:val="zh-CN"/>
        </w:rPr>
        <w:t>各磋商响应单位应仔细阅读磋商文件中的所有事项、格式、条款和要求，对磋商文件的实质性要求和条件作出响应、提交相应资料。</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以下内容如有缺失或无效按无效文件处理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 磋商响应单位资格证明文件：</w:t>
      </w:r>
    </w:p>
    <w:p>
      <w:pPr>
        <w:numPr>
          <w:ilvl w:val="0"/>
          <w:numId w:val="0"/>
        </w:numPr>
        <w:overflowPunct w:val="0"/>
        <w:topLinePunct/>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具备建筑工程施工总承包三级（含）及以上资质或具备建筑装修装饰工程专业承包贰级（含）以上资质，具有有效的安全生产许可证；</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中列入失信被执行人和税收违法黑名单的供应商，不得为中国政府采购网（www.ccgp.gov.cn）政府采购严重违法失信行为记录名单中被财政部门禁止参加政府采购活动的供应商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财务状况报告：提供供应商2020年经审计的财务报告或磋商前三个月内开户银行开具的资信证明；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 商务文件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（2）首次报价一览表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（3）工程量清单报价表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（4）磋商响应单位一般情况表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（5）商务条款偏离表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（6）业绩</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（7）保修期服务承诺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1.2.3 技术文件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（1）磋商响应单位根据磋商文件采购内容和评分因素，结合自身实际情况编制响应磋商文件的施工组织设计。</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1.3 </w:t>
      </w:r>
      <w:r>
        <w:rPr>
          <w:rFonts w:hint="eastAsia" w:asciiTheme="minorEastAsia" w:hAnsiTheme="minorEastAsia" w:eastAsiaTheme="minorEastAsia" w:cstheme="minorEastAsia"/>
          <w:bCs/>
          <w:sz w:val="24"/>
          <w:lang w:val="zh-CN"/>
        </w:rPr>
        <w:t>磋商响应单位应以采购代理机构提供的响应文件格式编制响应文件，</w:t>
      </w:r>
      <w:r>
        <w:rPr>
          <w:rFonts w:hint="eastAsia" w:asciiTheme="minorEastAsia" w:hAnsiTheme="minorEastAsia" w:eastAsiaTheme="minorEastAsia" w:cstheme="minorEastAsia"/>
          <w:bCs/>
          <w:sz w:val="24"/>
        </w:rPr>
        <w:t>响应文件格式中的表格不能满足填写时可按照格式表格扩展。</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1.4磋商响应单位必须保证响应文件所提供的全部信息和资料是真实和有效的，提供虚假信息和资料的，除按无效文件处理外，还将按照政府采购的有关规定进行处罚。</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磋商响应单位提交的资料将被保密，且不予退还（原件除外）。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2、响应文件的印制及签署</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 磋商响应文件的正本和所有的副本均需用A4幅面纸张打印（宜双面打印）或用不褪色的蓝（黑）墨水填写，注明“正本”“副本”字样。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 本次磋商需提交纸质响应文件共三份，其中正本1份，副本2份，电子版文件（U盘）1份。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 磋商响应单位应在响应文件中指定落款处，按文件要求盖章或签字；</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磋商响应单位名称应填写全称，否则按无效投标处理（含不填）；</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 响应文件的任何行间插字、涂改和增删，必须由法定代表人或被授权人在改动处签字或盖章方为有效；</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响应文件因字迹潦草或表达不清所引起的对磋商响应单位不利后果由磋商响应单位自行负责；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以电报、电话、传真、电子邮件等形式的响应磋商一概不予接受。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3、响应文件的装订、密封和标记</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 响应文件正、副本分别装订成册，胶装（不允许用可换页的活页夹装订），装订应牢固，内容较多时可分册装订但应注明册序号。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 电子版文件载体上应标明磋商响应单位名称。</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 xml:space="preserve">  ★ </w:t>
      </w:r>
      <w:r>
        <w:rPr>
          <w:rFonts w:hint="eastAsia" w:asciiTheme="minorEastAsia" w:hAnsiTheme="minorEastAsia" w:eastAsiaTheme="minorEastAsia" w:cstheme="minorEastAsia"/>
          <w:b/>
          <w:sz w:val="24"/>
        </w:rPr>
        <w:t>3.4如果响应文件未按上述要求装订、密封、签署、标识的，采购代理机构将拒绝接收或按无效文件处理。</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评标所需的原件资料用文件袋袋装提供不需密封（如需），</w:t>
      </w:r>
      <w:r>
        <w:rPr>
          <w:rFonts w:hint="eastAsia" w:asciiTheme="minorEastAsia" w:hAnsiTheme="minorEastAsia" w:eastAsiaTheme="minorEastAsia" w:cstheme="minorEastAsia"/>
          <w:bCs/>
          <w:sz w:val="24"/>
        </w:rPr>
        <w:t>文件袋上应标明单位名称。</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4、报价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 磋商响应单位应按照磋商文件规定的服务要求，在责任范围和合同条件下进行报价，在响应文件中的首次报价一览表上按要求标明投标总价等项，任何有选择或可调整的报价将不予接受，并按无效投标处理。</w:t>
      </w:r>
    </w:p>
    <w:p>
      <w:pPr>
        <w:widowControl/>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根据</w:t>
      </w:r>
      <w:r>
        <w:rPr>
          <w:rFonts w:hint="eastAsia" w:asciiTheme="minorEastAsia" w:hAnsiTheme="minorEastAsia" w:eastAsiaTheme="minorEastAsia" w:cstheme="minorEastAsia"/>
          <w:color w:val="000000" w:themeColor="text1"/>
          <w:sz w:val="24"/>
          <w14:textFill>
            <w14:solidFill>
              <w14:schemeClr w14:val="tx1"/>
            </w14:solidFill>
          </w14:textFill>
        </w:rPr>
        <w:t>陕西省住房和城乡建设厅陕建发[2009]199号文件规定，本工程的投标报价和竣工结算的计价方式采用工程量清单计价方式，按综合单价法进行计价。投标报价应由投标人按照招标人给定的工程量清单（</w:t>
      </w:r>
      <w:r>
        <w:rPr>
          <w:rFonts w:hint="eastAsia" w:asciiTheme="minorEastAsia" w:hAnsiTheme="minorEastAsia" w:eastAsiaTheme="minorEastAsia" w:cstheme="minorEastAsia"/>
          <w:sz w:val="24"/>
        </w:rPr>
        <w:t>招标人给定清单的工作内容和工程量不允许有任何改变），按照“清单编制说明”，结合施工现场条件、工程特点及拟定的投标施工组织设计或方案以及市场价格信息、企业自身技术力量、设备装备水平、企业管理水平等自主进行报价。</w:t>
      </w:r>
    </w:p>
    <w:p>
      <w:pPr>
        <w:widowControl/>
        <w:spacing w:line="360" w:lineRule="auto"/>
        <w:ind w:firstLine="480" w:firstLineChars="200"/>
        <w:jc w:val="left"/>
        <w:rPr>
          <w:rFonts w:eastAsiaTheme="minorEastAsia"/>
          <w:color w:val="FF0000"/>
          <w:kern w:val="0"/>
          <w:sz w:val="24"/>
        </w:rPr>
      </w:pPr>
      <w:r>
        <w:rPr>
          <w:rFonts w:hint="eastAsia" w:asciiTheme="minorEastAsia" w:hAnsiTheme="minorEastAsia" w:eastAsiaTheme="minorEastAsia" w:cstheme="minorEastAsia"/>
          <w:bCs/>
          <w:sz w:val="24"/>
        </w:rPr>
        <w:t>4.2 磋商</w:t>
      </w:r>
      <w:r>
        <w:rPr>
          <w:rFonts w:hint="eastAsia" w:eastAsiaTheme="minorEastAsia"/>
          <w:color w:val="000000" w:themeColor="text1"/>
          <w:kern w:val="0"/>
          <w:sz w:val="24"/>
          <w14:textFill>
            <w14:solidFill>
              <w14:schemeClr w14:val="tx1"/>
            </w14:solidFill>
          </w14:textFill>
        </w:rPr>
        <w:t>响应单位磋商报价金额不得超过</w:t>
      </w:r>
      <w:r>
        <w:rPr>
          <w:rFonts w:hint="eastAsia" w:eastAsiaTheme="minorEastAsia"/>
          <w:kern w:val="0"/>
          <w:sz w:val="24"/>
        </w:rPr>
        <w:t>采购预算或者最高限价，</w:t>
      </w:r>
      <w:r>
        <w:rPr>
          <w:rFonts w:hint="eastAsia" w:eastAsiaTheme="minorEastAsia"/>
          <w:color w:val="000000" w:themeColor="text1"/>
          <w:kern w:val="0"/>
          <w:sz w:val="24"/>
          <w14:textFill>
            <w14:solidFill>
              <w14:schemeClr w14:val="tx1"/>
            </w14:solidFill>
          </w14:textFill>
        </w:rPr>
        <w:t>首次</w:t>
      </w:r>
      <w:r>
        <w:rPr>
          <w:rFonts w:hint="eastAsia" w:eastAsiaTheme="minorEastAsia"/>
          <w:kern w:val="0"/>
          <w:sz w:val="24"/>
        </w:rPr>
        <w:t>报价超出采购预算或者最高限价的磋商响应单位不进入下一步磋商程序。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 最低报价不是中标的唯一依据。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4.4 投标货币：一律用人民币填报。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4.5 本项目采用两次报价。响应文件中的报价为第一次报价，磋商最终响应函中的报价为第二次报价即最终报价，报价不得超过磋商最高限价，最终报价不得超过第一次报价，评审以最终报价为依据。</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4.6 磋商响应单位的最终报价在合同执行过程中固定不变，不得以任何理由予以变更。</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5、首次响应文件递交</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法定代表人或其授权代表人应在磋商须知前附表规定的首次响应文件递交截止时间前将响应文件（须密封）和评标所需原件（如有）送达指定地点，在截止时间后送达的响应文件和任何补充资料采购代理机构将拒绝接收。</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6、响应文件的补充、修改和撤回</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在首次响应文件递交截止时间前，磋商响应单位可以书面形式提出补充、修改或撤回其递交的响应文件。</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磋商响应单位的补充、修改材料或撤回通知，应按规定进行编制、密封、标记和递交，且在密封袋上标明“磋商响应文件补充”“磋商响应文件修改”或“磋商响应文件撤回通知”字样。</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在首次响应文件递交截止时间至磋商文件规定的磋商有效期终止日之间的这段时间内，磋商响应单位不能撤回响应文件，否则其响应保证金将不予退还（磋商后退出除外）。</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四、磋商与评审</w:t>
      </w:r>
    </w:p>
    <w:p>
      <w:pPr>
        <w:pStyle w:val="2"/>
        <w:spacing w:line="360" w:lineRule="auto"/>
        <w:ind w:firstLine="480"/>
        <w:rPr>
          <w:rFonts w:ascii="宋体" w:hAnsi="宋体" w:cs="宋体"/>
          <w:sz w:val="24"/>
        </w:rPr>
      </w:pPr>
      <w:r>
        <w:rPr>
          <w:rFonts w:hint="eastAsia" w:asciiTheme="minorEastAsia" w:hAnsiTheme="minorEastAsia" w:eastAsiaTheme="minorEastAsia" w:cstheme="minorEastAsia"/>
          <w:bCs/>
          <w:sz w:val="24"/>
        </w:rPr>
        <w:t>1</w:t>
      </w:r>
      <w:r>
        <w:rPr>
          <w:rFonts w:hint="eastAsia" w:ascii="宋体" w:hAnsi="宋体" w:cs="宋体"/>
          <w:sz w:val="24"/>
        </w:rPr>
        <w:t>、磋商</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1.1采购代理机构将在规定的时间和地点组织召开磋商大会。</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应派法定代表人或授权代表参加，参加磋商的代表应签名报到以证明其出席。政府采购监督管理部门可以视情况到场监督磋商情况。</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1.2磋商大会由采购代理机构主持，会议主要内容：</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（1）宣布会场纪律；</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（2）介绍参加磋商大会的单位及工作人员；</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）所有</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共同检查响应文件的密封情况，当众宣布检查结果；</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）现场工作人员按</w:t>
      </w:r>
      <w:r>
        <w:rPr>
          <w:rFonts w:hint="eastAsia" w:asciiTheme="minorEastAsia" w:hAnsiTheme="minorEastAsia" w:eastAsiaTheme="minorEastAsia" w:cstheme="minorEastAsia"/>
          <w:sz w:val="24"/>
        </w:rPr>
        <w:t>签到先后</w:t>
      </w:r>
      <w:r>
        <w:rPr>
          <w:rFonts w:asciiTheme="minorEastAsia" w:hAnsiTheme="minorEastAsia" w:eastAsiaTheme="minorEastAsia" w:cstheme="minorEastAsia"/>
          <w:sz w:val="24"/>
        </w:rPr>
        <w:t>顺序当众开启响应文件；</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）响应文件初审（</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离场）；</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6</w:t>
      </w:r>
      <w:r>
        <w:rPr>
          <w:rFonts w:asciiTheme="minorEastAsia" w:hAnsiTheme="minorEastAsia" w:eastAsiaTheme="minorEastAsia" w:cstheme="minorEastAsia"/>
          <w:sz w:val="24"/>
        </w:rPr>
        <w:t>）根据情况，磋商小组集中与单一</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一对一磋商；</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磋商响应及递交最终响应函（含最终报价）；</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）磋商大会结束；</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2、响应文件的评</w:t>
      </w:r>
      <w:r>
        <w:rPr>
          <w:rFonts w:hint="eastAsia" w:asciiTheme="minorEastAsia" w:hAnsiTheme="minorEastAsia" w:eastAsiaTheme="minorEastAsia" w:cstheme="minorEastAsia"/>
          <w:sz w:val="24"/>
        </w:rPr>
        <w:t>审</w:t>
      </w:r>
      <w:r>
        <w:rPr>
          <w:rFonts w:asciiTheme="minorEastAsia" w:hAnsiTheme="minorEastAsia" w:eastAsiaTheme="minorEastAsia" w:cstheme="minorEastAsia"/>
          <w:sz w:val="24"/>
        </w:rPr>
        <w:t>和比较</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2.1 磋商小组将按照磋商文件规定的评审办法进行评审。</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2.2 磋商方法具体见第四章。</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3、推荐成交候选人</w:t>
      </w:r>
    </w:p>
    <w:p>
      <w:pPr>
        <w:adjustRightInd w:val="0"/>
        <w:snapToGrid w:val="0"/>
        <w:spacing w:line="360" w:lineRule="auto"/>
        <w:ind w:firstLine="480" w:firstLineChars="200"/>
        <w:rPr>
          <w:bCs/>
          <w:sz w:val="24"/>
        </w:rPr>
      </w:pPr>
      <w:r>
        <w:rPr>
          <w:rFonts w:hint="eastAsia" w:ascii="宋体" w:hAnsi="宋体" w:cs="宋体"/>
          <w:bCs/>
          <w:sz w:val="24"/>
        </w:rPr>
        <w:t xml:space="preserve">3.1 </w:t>
      </w:r>
      <w:r>
        <w:rPr>
          <w:rFonts w:hint="eastAsia" w:ascii="宋体" w:hAnsi="宋体" w:cs="宋体"/>
          <w:bCs/>
          <w:spacing w:val="-4"/>
          <w:sz w:val="24"/>
        </w:rPr>
        <w:t>磋</w:t>
      </w:r>
      <w:r>
        <w:rPr>
          <w:bCs/>
          <w:spacing w:val="-4"/>
          <w:sz w:val="24"/>
        </w:rPr>
        <w:t>商小组将磋商情况及评审结果写成书面报告，按照综合得分由高至低顺序，推荐3名成交候选</w:t>
      </w:r>
      <w:r>
        <w:rPr>
          <w:bCs/>
          <w:sz w:val="24"/>
        </w:rPr>
        <w:t>人。</w:t>
      </w:r>
    </w:p>
    <w:p>
      <w:pPr>
        <w:adjustRightInd w:val="0"/>
        <w:snapToGrid w:val="0"/>
        <w:spacing w:line="360" w:lineRule="auto"/>
        <w:ind w:firstLine="480"/>
        <w:rPr>
          <w:bCs/>
          <w:sz w:val="24"/>
        </w:rPr>
      </w:pPr>
      <w:r>
        <w:rPr>
          <w:rFonts w:hint="eastAsia" w:ascii="宋体" w:hAnsi="宋体" w:cs="宋体"/>
          <w:bCs/>
          <w:sz w:val="24"/>
        </w:rPr>
        <w:t xml:space="preserve">3.2 </w:t>
      </w:r>
      <w:r>
        <w:rPr>
          <w:bCs/>
          <w:sz w:val="24"/>
        </w:rPr>
        <w:t>成交候选人综合得分相同的，按磋商报价由低到高顺序排列。得分且磋商报价相同的，按技术指标优劣顺序排列。</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4、磋商过程的保密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凡属于对响应文件的审查、澄清、评审和比较有关的资料、成交候选人的推荐情况，以及与磋商有关的其它任何情况均严格保密，任何磋商响应单位不得向磋商小组人员或其他有关人员索问磋商过程的情况和材料。采购代理机构不向未成交磋商响应单位解释未成交原因，不退还响应文件。</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五、确定磋商响应单位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1、确定磋商响应单位的原则</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采购人根据磋商小组推荐的成交候选人名单，按排序确定磋商响应单位。</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2、确定磋商响应单位的程序</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采购代理机构在磋商结束后</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个工作日内将磋商报告送采购人。</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 采购人在收到磋商报告后</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个工作日内，按照磋商报告中推荐的成交候选人顺序确定成交人，同时函复采购代理机构。</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2.3采购代理机构收到采购人定标通知（成交复函）后，在陕西省政府采购网发布公告，公示期满无异议后，以书面形式发出成交通知书。如有特殊原因也可延期发出，但发出时间不超过磋商有效期。</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成交通知书作为签订合同的法律依据。成交通知书发出后，采购人改变磋商结果，或者成交人无正当理由放弃的，应当承担相应的法律责任。</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3、磋商结果的公示和异议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 磋商结束后，采购人或采购代理机构自成交磋商响应单位确定之日起1个工作日在陕西省政府采购网公告成交结果，公示期1个工作日。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 磋商响应单位或者其他利害关系人对磋商结果有异议的，可以在知道或者应知其权益受到损害之日起7个工作日内，以书面形式向采购人或代理机构提出质疑。</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六、签订合同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1、签订合同</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 采购人和成交磋商响应单位应当自成交通知书发出之日起30天内，根据磋商文件和成交磋商响应单位的响应文件订立书面合同。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成交通知书、磋商文件、响应文件及其澄清文件等，均为合同的组成部分，与合同具有同等法律效力。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发出成交通知书后，因成交磋商响应单位的原因，不与采购人签订合同的，采购人将废除其成交资格。</w:t>
      </w:r>
    </w:p>
    <w:p>
      <w:pPr>
        <w:numPr>
          <w:ilvl w:val="0"/>
          <w:numId w:val="4"/>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履约保证金</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成交磋商响应单位与采购人签订合同后，成交磋商响应单位应向采购人提交履约保证金，形式见合同要求。</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3、签订合同时变更数量的权力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采购合同履行过程中，采购人需要追加与合同标的相同的货物或者服务的，在不改变合同其他条款的前提下，可以与成交磋商响应单位协商签订补充合同，但不得超过原合同采购金额的百分之十。</w:t>
      </w:r>
    </w:p>
    <w:p>
      <w:pPr>
        <w:pStyle w:val="4"/>
        <w:adjustRightInd w:val="0"/>
        <w:snapToGrid w:val="0"/>
        <w:spacing w:before="0" w:after="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zh-CN"/>
        </w:rPr>
        <w:t>询问与质疑</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zh-CN"/>
        </w:rPr>
        <w:t>磋商程序受《中华人民共和国政府采购法》和相关法律及行政命令约束，并受到严格的内部监督，以确保授予合同过程的公平公正。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2、采购代理机构质疑受理：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联系电话：</w:t>
      </w:r>
      <w:r>
        <w:rPr>
          <w:rFonts w:hint="eastAsia" w:ascii="宋体" w:hAnsi="宋体" w:eastAsiaTheme="minorEastAsia"/>
          <w:color w:val="000000"/>
          <w:kern w:val="0"/>
          <w:sz w:val="24"/>
          <w:lang w:eastAsia="zh-CN"/>
        </w:rPr>
        <w:t>18791915545</w:t>
      </w:r>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eastAsia="zh-CN"/>
        </w:rPr>
        <w:t>陈工</w:t>
      </w:r>
      <w:r>
        <w:rPr>
          <w:rFonts w:hint="eastAsia" w:asciiTheme="minorEastAsia" w:hAnsiTheme="minorEastAsia" w:eastAsiaTheme="minorEastAsia" w:cstheme="minorEastAsia"/>
          <w:bCs/>
          <w:sz w:val="24"/>
        </w:rPr>
        <w:t>。</w:t>
      </w:r>
    </w:p>
    <w:p>
      <w:pPr>
        <w:adjustRightInd w:val="0"/>
        <w:snapToGrid w:val="0"/>
        <w:spacing w:line="360" w:lineRule="auto"/>
        <w:ind w:firstLine="480" w:firstLineChars="200"/>
        <w:rPr>
          <w:rFonts w:ascii="宋体" w:hAnsi="宋体" w:cs="宋体"/>
          <w:color w:val="000000"/>
          <w:kern w:val="0"/>
          <w:sz w:val="24"/>
          <w:lang w:val="zh-CN"/>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zh-CN"/>
        </w:rPr>
        <w:t>磋商响应单位对磋商文件条款或技术、商务参数有异议的，应当在磋商前通过</w:t>
      </w:r>
      <w:r>
        <w:rPr>
          <w:rFonts w:hint="eastAsia" w:ascii="宋体" w:hAnsi="宋体" w:cs="宋体"/>
          <w:color w:val="000000"/>
          <w:kern w:val="0"/>
          <w:sz w:val="24"/>
          <w:lang w:val="zh-CN"/>
        </w:rPr>
        <w:t>澄清或修改程序提出。</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磋商响应单位对采购事项有疑问的，可以向采购代理机构（或采购人）提出询问。</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磋商响应单位认为其磋商响应文件未获公平评审或采购过程和磋商结果使自己的合法权益受到损害的，应当在知道或者应知其权益受到损害之日起7个工作日内提出质疑。</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质疑应当以书面形式向采购代理机构（或采购人）提出，经法定代表人签字并加盖公章。</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质疑书应当包括以下主要内容：被质疑项目名称、项目编号、磋商公告发布时间、质疑事项、法律依据（具体条款）、质疑人全称、法定代表人签字、盖章、有效联系方式（包括手机、传真号码）。</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8、</w:t>
      </w:r>
      <w:r>
        <w:rPr>
          <w:rFonts w:hint="eastAsia" w:ascii="宋体" w:hAnsi="宋体" w:cs="宋体"/>
          <w:color w:val="000000"/>
          <w:kern w:val="0"/>
          <w:sz w:val="24"/>
          <w:lang w:val="zh-CN"/>
        </w:rPr>
        <w:t>质疑应按照“谁主张、谁举证”的原则，质疑书应当附相关证明材料。质疑材料应为简体中文，一式二份。</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9、</w:t>
      </w:r>
      <w:r>
        <w:rPr>
          <w:rFonts w:hint="eastAsia" w:ascii="宋体" w:hAnsi="宋体" w:cs="宋体"/>
          <w:color w:val="000000"/>
          <w:kern w:val="0"/>
          <w:sz w:val="24"/>
          <w:lang w:val="zh-CN"/>
        </w:rPr>
        <w:t>有下列情形之一的，属于无效质疑，采购代理机构（或采购人）可不予受理：</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（1）未在有效期限内提出质疑的；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（2）质疑未以书面形式提出的；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（3）所提交材料未明示属于质疑材料的；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（4）质疑书没有法定代表人签署本人姓名或印盖本人姓名章并加盖单位公章的；质疑书由参加采购项目的授权代表签署本人姓名或印盖本人姓名章，但没有法定代表人特别授权的；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（5）质疑书未提供有效联系人或联系方式的；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（6）质疑事项已经进入投诉或者行政复议或者诉讼程序的；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（7）质疑书未附相关证明材料，被视为无有效证据支持的。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（8）磋商响应单位对磋商文件条款或技术参数有异议，未在评审前通过澄清或修改程序提出，并且磋商响应单位已经参与磋商，而于评审后对磋商文件提出质疑的；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（9）在提出本次质疑前半年内连续三次质疑而无事实依据的；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（10）其它不符合受理条件的情形。</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10、</w:t>
      </w:r>
      <w:r>
        <w:rPr>
          <w:rFonts w:hint="eastAsia" w:ascii="宋体" w:hAnsi="宋体" w:cs="宋体"/>
          <w:color w:val="000000"/>
          <w:kern w:val="0"/>
          <w:sz w:val="24"/>
          <w:lang w:val="zh-CN"/>
        </w:rPr>
        <w:t>采购代理机构（或采购人）将在收到书面质疑后7个工作日内审查质疑事项，做出答复或相关处理决定，并以书面形式通知质疑磋商响应单位和其他有关磋商响应单位，但答复的内容不涉及商业秘密。</w:t>
      </w:r>
    </w:p>
    <w:p>
      <w:pPr>
        <w:pStyle w:val="18"/>
        <w:adjustRightInd w:val="0"/>
        <w:snapToGrid w:val="0"/>
        <w:spacing w:after="0" w:line="360" w:lineRule="auto"/>
        <w:ind w:left="0" w:leftChars="0"/>
        <w:rPr>
          <w:rFonts w:asciiTheme="minorEastAsia" w:hAnsiTheme="minorEastAsia" w:eastAsiaTheme="minorEastAsia" w:cstheme="minorEastAsia"/>
          <w:sz w:val="24"/>
        </w:rPr>
      </w:pPr>
      <w:r>
        <w:rPr>
          <w:rFonts w:hint="eastAsia" w:ascii="宋体" w:hAnsi="宋体" w:cs="宋体"/>
          <w:color w:val="000000"/>
          <w:kern w:val="0"/>
          <w:sz w:val="24"/>
        </w:rPr>
        <w:t>　　11、</w:t>
      </w:r>
      <w:r>
        <w:rPr>
          <w:rFonts w:hint="eastAsia" w:ascii="宋体" w:hAnsi="宋体" w:cs="宋体"/>
          <w:color w:val="000000"/>
          <w:kern w:val="0"/>
          <w:sz w:val="24"/>
          <w:lang w:val="zh-CN"/>
        </w:rPr>
        <w:t>质疑磋商响应单位对采购代理机构（或采购人）的答复不满意以及采购代理机构（或采购人）未在规定的时间内做出答复的，可以在答复期满后15个工作日内向政府采购监管部门投诉。</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八、其 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1、招标代理服务费</w:t>
      </w:r>
      <w:r>
        <w:rPr>
          <w:rFonts w:hint="eastAsia" w:asciiTheme="minorEastAsia" w:hAnsiTheme="minorEastAsia" w:eastAsiaTheme="minorEastAsia" w:cstheme="minorEastAsia"/>
          <w:sz w:val="24"/>
        </w:rPr>
        <w:t>及造价咨询费用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1.2 成交磋商响应单位应依据以上内容在领取中标通知书前向采购代理机构足额</w:t>
      </w:r>
      <w:r>
        <w:rPr>
          <w:rFonts w:hint="eastAsia" w:asciiTheme="minorEastAsia" w:hAnsiTheme="minorEastAsia" w:eastAsiaTheme="minorEastAsia" w:cstheme="minorEastAsia"/>
          <w:bCs/>
          <w:sz w:val="24"/>
        </w:rPr>
        <w:t>交纳招标代理服务费及造价咨询费。</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招标代理服务费及造价咨询费以银行转账形式缴纳。</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成交磋商响应单位服务费交纳信息</w:t>
      </w:r>
    </w:p>
    <w:p>
      <w:pPr>
        <w:adjustRightInd w:val="0"/>
        <w:snapToGrid w:val="0"/>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户    名：</w:t>
      </w:r>
      <w:r>
        <w:rPr>
          <w:rFonts w:hint="eastAsia" w:asciiTheme="minorEastAsia" w:hAnsiTheme="minorEastAsia" w:eastAsiaTheme="minorEastAsia" w:cstheme="minorEastAsia"/>
          <w:bCs/>
          <w:sz w:val="24"/>
          <w:lang w:eastAsia="zh-CN"/>
        </w:rPr>
        <w:t>远创项目管理有限公司</w:t>
      </w:r>
    </w:p>
    <w:p>
      <w:pPr>
        <w:adjustRightInd w:val="0"/>
        <w:snapToGrid w:val="0"/>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开户银行：</w:t>
      </w:r>
      <w:r>
        <w:rPr>
          <w:rFonts w:hint="eastAsia" w:asciiTheme="minorEastAsia" w:hAnsiTheme="minorEastAsia" w:eastAsiaTheme="minorEastAsia" w:cstheme="minorEastAsia"/>
          <w:bCs/>
          <w:sz w:val="24"/>
          <w:lang w:eastAsia="zh-CN"/>
        </w:rPr>
        <w:t>西安银行股份有限公司长安西路支行</w:t>
      </w:r>
    </w:p>
    <w:p>
      <w:pPr>
        <w:adjustRightInd w:val="0"/>
        <w:snapToGrid w:val="0"/>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账    号：</w:t>
      </w:r>
      <w:r>
        <w:rPr>
          <w:rFonts w:hint="eastAsia" w:asciiTheme="minorEastAsia" w:hAnsiTheme="minorEastAsia" w:eastAsiaTheme="minorEastAsia" w:cstheme="minorEastAsia"/>
          <w:bCs/>
          <w:sz w:val="24"/>
          <w:lang w:val="en-US" w:eastAsia="zh-CN"/>
        </w:rPr>
        <w:t>515011580000143343</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2、本项目落实的政府采购政策：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投标企业政府采购政策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2.1.1中小企业落实政府采购政策</w:t>
      </w:r>
    </w:p>
    <w:p>
      <w:pPr>
        <w:adjustRightInd w:val="0"/>
        <w:snapToGrid w:val="0"/>
        <w:spacing w:line="360"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　　（1）中小企业应符合工信部联企业[2011]300号文件规定，采购活动执行《政府采购促进中小企业发展管理办法》的规定。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磋商响应单位应如实提供以上证明文件，如存在虚假应标，将取消其投标资格。</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3</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在采购过程中符合要求磋商响应单位或者报价未超出采购预算的磋商响应单位不足</w:t>
      </w:r>
      <w:r>
        <w:rPr>
          <w:rFonts w:hint="eastAsia" w:asciiTheme="minorEastAsia" w:hAnsiTheme="minorEastAsia" w:eastAsiaTheme="minorEastAsia" w:cstheme="minorEastAsia"/>
          <w:sz w:val="24"/>
          <w:lang w:val="zh-CN"/>
        </w:rPr>
        <w:t>3家的，采购代理机构请示监督机构后，终止竞争性磋商活动或继续磋商。</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4</w:t>
      </w:r>
      <w:r>
        <w:rPr>
          <w:rFonts w:hint="eastAsia" w:asciiTheme="minorEastAsia" w:hAnsiTheme="minorEastAsia" w:eastAsiaTheme="minorEastAsia" w:cstheme="minorEastAsia"/>
          <w:sz w:val="24"/>
          <w:lang w:val="zh-CN"/>
        </w:rPr>
        <w:t>、确定成交单位后，成交单位无正当理由拖延或拒签合同，采购人有权取消其成交资格，并报请监督机构予以通报，取消其进入政府采购市场的资格，并按规定予以处罚。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bookmarkStart w:id="4" w:name="_Toc1185"/>
      <w:bookmarkStart w:id="5" w:name="_Toc7524"/>
      <w:r>
        <w:rPr>
          <w:rFonts w:hint="eastAsia" w:asciiTheme="minorEastAsia" w:hAnsiTheme="minorEastAsia" w:eastAsiaTheme="minorEastAsia" w:cstheme="minorEastAsia"/>
          <w:sz w:val="24"/>
        </w:rPr>
        <w:t>信用担保</w:t>
      </w:r>
      <w:bookmarkEnd w:id="4"/>
      <w:r>
        <w:rPr>
          <w:rFonts w:hint="eastAsia" w:asciiTheme="minorEastAsia" w:hAnsiTheme="minorEastAsia" w:eastAsiaTheme="minorEastAsia" w:cstheme="minorEastAsia"/>
          <w:sz w:val="24"/>
        </w:rPr>
        <w:t>及信用融资</w:t>
      </w:r>
      <w:bookmarkEnd w:id="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5.1陕西省政府采购信用担保及信用融资政策：</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cs="宋体"/>
          <w:b w:val="0"/>
          <w:bCs w:val="0"/>
          <w:sz w:val="24"/>
          <w:szCs w:val="24"/>
          <w:highlight w:val="none"/>
          <w:lang w:val="en-US" w:eastAsia="zh-CN"/>
        </w:rPr>
        <w:t>（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w:t>
      </w:r>
      <w:r>
        <w:rPr>
          <w:rFonts w:hint="eastAsia"/>
          <w:highlight w:val="none"/>
          <w:lang w:val="en-US" w:eastAsia="zh-CN"/>
        </w:rPr>
        <w:tab/>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（3）陕西省政府采购支持中小企业信用融资合作银行名单详见（陕西省政府采购网-采购动态-重要通知http://www.ccgp-shaanxi.gov.cn/）。</w:t>
      </w:r>
    </w:p>
    <w:p>
      <w:pPr>
        <w:pStyle w:val="17"/>
        <w:rPr>
          <w:lang w:val="zh-CN"/>
        </w:rPr>
      </w:pPr>
    </w:p>
    <w:p>
      <w:pPr>
        <w:pStyle w:val="17"/>
        <w:rPr>
          <w:lang w:val="zh-CN"/>
        </w:rPr>
      </w:pPr>
      <w:r>
        <w:rPr>
          <w:lang w:val="zh-CN"/>
        </w:rPr>
        <w:br w:type="page"/>
      </w:r>
    </w:p>
    <w:p>
      <w:pPr>
        <w:pStyle w:val="3"/>
        <w:numPr>
          <w:ilvl w:val="0"/>
          <w:numId w:val="0"/>
        </w:numPr>
        <w:adjustRightInd w:val="0"/>
        <w:snapToGrid w:val="0"/>
        <w:spacing w:after="156" w:afterLines="50" w:line="360" w:lineRule="auto"/>
        <w:ind w:firstLine="1606" w:firstLineChars="500"/>
        <w:jc w:val="both"/>
        <w:rPr>
          <w:bCs/>
          <w:sz w:val="24"/>
        </w:rPr>
      </w:pPr>
      <w:bookmarkStart w:id="6" w:name="_Toc22384"/>
      <w:bookmarkStart w:id="7" w:name="_Toc22540"/>
      <w:bookmarkStart w:id="8" w:name="_Toc414957515"/>
      <w:bookmarkStart w:id="9" w:name="_Toc414957201"/>
      <w:r>
        <w:rPr>
          <w:rFonts w:hint="eastAsia" w:asciiTheme="majorEastAsia" w:hAnsiTheme="majorEastAsia" w:eastAsiaTheme="majorEastAsia" w:cstheme="majorEastAsia"/>
          <w:b/>
          <w:bCs/>
          <w:kern w:val="2"/>
          <w:sz w:val="32"/>
          <w:szCs w:val="32"/>
        </w:rPr>
        <w:t>第三章</w:t>
      </w:r>
      <w:bookmarkStart w:id="10" w:name="OLE_LINK11"/>
      <w:r>
        <w:rPr>
          <w:rFonts w:hint="eastAsia" w:asciiTheme="majorEastAsia" w:hAnsiTheme="majorEastAsia" w:eastAsiaTheme="majorEastAsia" w:cstheme="majorEastAsia"/>
          <w:b/>
          <w:bCs/>
          <w:kern w:val="2"/>
          <w:sz w:val="32"/>
          <w:szCs w:val="32"/>
        </w:rPr>
        <w:t>　磋商响应单位资格证明</w:t>
      </w:r>
      <w:bookmarkEnd w:id="10"/>
      <w:r>
        <w:rPr>
          <w:rFonts w:hint="eastAsia" w:asciiTheme="majorEastAsia" w:hAnsiTheme="majorEastAsia" w:eastAsiaTheme="majorEastAsia" w:cstheme="majorEastAsia"/>
          <w:b/>
          <w:bCs/>
          <w:kern w:val="2"/>
          <w:sz w:val="32"/>
          <w:szCs w:val="32"/>
        </w:rPr>
        <w:t>文件</w:t>
      </w:r>
      <w:bookmarkEnd w:id="6"/>
    </w:p>
    <w:p>
      <w:pPr>
        <w:pStyle w:val="18"/>
        <w:kinsoku w:val="0"/>
        <w:autoSpaceDE w:val="0"/>
        <w:autoSpaceDN w:val="0"/>
        <w:adjustRightInd w:val="0"/>
        <w:snapToGrid w:val="0"/>
        <w:spacing w:after="0" w:line="360" w:lineRule="auto"/>
        <w:ind w:left="0" w:leftChars="0"/>
        <w:rPr>
          <w:rFonts w:ascii="宋体" w:hAnsi="宋体" w:cs="宋体"/>
          <w:bCs/>
          <w:sz w:val="24"/>
        </w:rPr>
      </w:pPr>
      <w:r>
        <w:rPr>
          <w:bCs/>
          <w:sz w:val="24"/>
        </w:rPr>
        <w:t xml:space="preserve"> </w:t>
      </w:r>
      <w:r>
        <w:rPr>
          <w:rFonts w:hint="eastAsia" w:ascii="宋体" w:hAnsi="宋体" w:cs="宋体"/>
          <w:bCs/>
          <w:sz w:val="24"/>
        </w:rPr>
        <w:t xml:space="preserve">   1、磋商响应单位参加本次磋商必须提供以下资格证明文件： </w:t>
      </w:r>
    </w:p>
    <w:p>
      <w:pPr>
        <w:adjustRightInd w:val="0"/>
        <w:snapToGrid w:val="0"/>
        <w:spacing w:line="360" w:lineRule="auto"/>
        <w:rPr>
          <w:rFonts w:ascii="宋体" w:hAnsi="宋体" w:cs="宋体"/>
          <w:bCs/>
          <w:sz w:val="24"/>
        </w:rPr>
      </w:pPr>
      <w:r>
        <w:rPr>
          <w:rFonts w:hint="eastAsia" w:ascii="宋体" w:hAnsi="宋体" w:cs="宋体"/>
          <w:bCs/>
          <w:sz w:val="24"/>
        </w:rPr>
        <w:t>磋商响应单位除应具备《中华人民共和国政府采购法》第二十二条规定的条件外还需：</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firstLine="480" w:firstLineChars="200"/>
        <w:rPr>
          <w:rFonts w:hint="eastAsia" w:ascii="宋体" w:hAnsi="宋体" w:cs="宋体"/>
          <w:sz w:val="24"/>
          <w:highlight w:val="yellow"/>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具备建筑工程施工总承包三级（含）及以上资质或具备建筑装修装饰工程专业承包贰级（含）以上资质，具有有效的安全生产许可证；</w:t>
      </w:r>
    </w:p>
    <w:p>
      <w:pPr>
        <w:numPr>
          <w:ilvl w:val="0"/>
          <w:numId w:val="0"/>
        </w:numPr>
        <w:overflowPunct w:val="0"/>
        <w:topLinePunct/>
        <w:spacing w:line="360" w:lineRule="auto"/>
        <w:ind w:leftChars="0"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中列入失信被执行人和税收违法黑名单的供应商，不得为中国政府采购网（www.ccgp.gov.cn）政府采购严重违法失信行为记录名单中被财政部门禁止参加政府采购活动的供应商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财务状况报告：提供供应商2020年经审计的财务报告或磋商前三个月内开户银行开具的资信证明；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firstLine="480" w:firstLineChars="20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rPr>
          <w:rFonts w:ascii="宋体" w:hAnsi="宋体" w:cs="宋体"/>
          <w:bCs/>
          <w:sz w:val="24"/>
        </w:rPr>
      </w:pPr>
      <w:r>
        <w:rPr>
          <w:rFonts w:hint="eastAsia" w:ascii="宋体" w:hAnsi="宋体" w:cs="宋体"/>
          <w:bCs/>
          <w:sz w:val="24"/>
        </w:rPr>
        <w:t xml:space="preserve">    2、说明：</w:t>
      </w:r>
    </w:p>
    <w:p>
      <w:pPr>
        <w:adjustRightInd w:val="0"/>
        <w:snapToGrid w:val="0"/>
        <w:spacing w:line="360" w:lineRule="auto"/>
        <w:ind w:firstLine="464" w:firstLineChars="200"/>
        <w:rPr>
          <w:rFonts w:ascii="宋体" w:hAnsi="宋体" w:cs="宋体"/>
          <w:sz w:val="24"/>
          <w:highlight w:val="none"/>
        </w:rPr>
      </w:pPr>
      <w:r>
        <w:rPr>
          <w:rFonts w:hint="eastAsia" w:ascii="宋体" w:hAnsi="宋体" w:cs="宋体"/>
          <w:bCs/>
          <w:spacing w:val="-4"/>
          <w:kern w:val="24"/>
          <w:sz w:val="24"/>
          <w:highlight w:val="none"/>
        </w:rPr>
        <w:t>2.1 上述资料项为必备资质，在响应文件中附原件或复印件加盖磋商响应单位公章。由采购人或采购代理机构进行资格审查。</w:t>
      </w:r>
    </w:p>
    <w:p>
      <w:pPr>
        <w:snapToGrid w:val="0"/>
        <w:spacing w:after="120" w:line="360" w:lineRule="auto"/>
        <w:jc w:val="center"/>
        <w:outlineLvl w:val="0"/>
        <w:rPr>
          <w:rFonts w:asciiTheme="majorEastAsia" w:hAnsiTheme="majorEastAsia" w:eastAsiaTheme="majorEastAsia" w:cstheme="majorEastAsia"/>
          <w:b/>
          <w:bCs/>
          <w:sz w:val="30"/>
          <w:szCs w:val="30"/>
        </w:rPr>
      </w:pPr>
      <w:r>
        <w:rPr>
          <w:b/>
          <w:bCs/>
          <w:sz w:val="30"/>
          <w:szCs w:val="30"/>
        </w:rPr>
        <w:br w:type="page"/>
      </w:r>
      <w:bookmarkStart w:id="11" w:name="_Toc23091"/>
      <w:r>
        <w:rPr>
          <w:rFonts w:hint="eastAsia" w:asciiTheme="majorEastAsia" w:hAnsiTheme="majorEastAsia" w:eastAsiaTheme="majorEastAsia" w:cstheme="majorEastAsia"/>
          <w:b/>
          <w:bCs/>
          <w:sz w:val="32"/>
          <w:szCs w:val="32"/>
        </w:rPr>
        <w:t>第四章　磋商及评审</w:t>
      </w:r>
      <w:bookmarkEnd w:id="7"/>
      <w:bookmarkEnd w:id="8"/>
      <w:bookmarkEnd w:id="9"/>
      <w:r>
        <w:rPr>
          <w:rFonts w:hint="eastAsia" w:asciiTheme="majorEastAsia" w:hAnsiTheme="majorEastAsia" w:eastAsiaTheme="majorEastAsia" w:cstheme="majorEastAsia"/>
          <w:b/>
          <w:bCs/>
          <w:sz w:val="32"/>
          <w:szCs w:val="32"/>
        </w:rPr>
        <w:t>办法</w:t>
      </w:r>
      <w:bookmarkEnd w:id="11"/>
    </w:p>
    <w:p>
      <w:pPr>
        <w:adjustRightInd w:val="0"/>
        <w:snapToGrid w:val="0"/>
        <w:spacing w:line="360" w:lineRule="auto"/>
        <w:ind w:firstLine="480" w:firstLineChars="200"/>
        <w:rPr>
          <w:rFonts w:ascii="宋体" w:hAnsi="宋体" w:cs="宋体"/>
          <w:sz w:val="24"/>
        </w:rPr>
      </w:pPr>
      <w:r>
        <w:rPr>
          <w:rFonts w:hint="eastAsia" w:ascii="宋体" w:hAnsi="宋体" w:cs="宋体"/>
          <w:sz w:val="24"/>
        </w:rPr>
        <w:t>1、总则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根据《政府采购竞争性磋商采购方式管理暂行办法》等法律规章，结合采购项目特点制定本磋商办法。</w:t>
      </w:r>
    </w:p>
    <w:p>
      <w:pPr>
        <w:adjustRightInd w:val="0"/>
        <w:snapToGrid w:val="0"/>
        <w:spacing w:line="360" w:lineRule="auto"/>
        <w:rPr>
          <w:rFonts w:hint="eastAsia" w:ascii="宋体" w:hAnsi="宋体" w:eastAsia="宋体" w:cs="宋体"/>
          <w:sz w:val="24"/>
          <w:lang w:val="en-US" w:eastAsia="zh-CN"/>
        </w:rPr>
      </w:pPr>
      <w:r>
        <w:rPr>
          <w:rFonts w:hint="eastAsia" w:ascii="宋体" w:hAnsi="宋体" w:cs="宋体"/>
          <w:sz w:val="24"/>
        </w:rPr>
        <w:t>　　</w:t>
      </w:r>
      <w:r>
        <w:rPr>
          <w:rFonts w:hint="eastAsia" w:ascii="宋体" w:hAnsi="宋体" w:cs="宋体"/>
          <w:sz w:val="24"/>
          <w:lang w:val="en-US" w:eastAsia="zh-CN"/>
        </w:rPr>
        <w:t>2、</w:t>
      </w:r>
      <w:r>
        <w:rPr>
          <w:rFonts w:hint="eastAsia" w:ascii="宋体" w:hAnsi="宋体" w:cs="宋体"/>
          <w:sz w:val="24"/>
        </w:rPr>
        <w:t>磋商小组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 磋商小组组成：在磋商开始前，组建磋商小组，磋商小组由采购人代表和有关专业评审专家共3人以上单数组成，其中评审专家人数不得少于磋商小组成员总数的2/3。</w:t>
      </w:r>
    </w:p>
    <w:p>
      <w:pPr>
        <w:adjustRightInd w:val="0"/>
        <w:snapToGrid w:val="0"/>
        <w:spacing w:line="360" w:lineRule="auto"/>
        <w:rPr>
          <w:rFonts w:ascii="宋体" w:hAnsi="宋体" w:cs="宋体"/>
          <w:sz w:val="24"/>
          <w:highlight w:val="none"/>
        </w:rPr>
      </w:pPr>
      <w:r>
        <w:rPr>
          <w:rFonts w:hint="eastAsia" w:ascii="宋体" w:hAnsi="宋体" w:cs="宋体"/>
          <w:sz w:val="24"/>
        </w:rPr>
        <w:t>　</w:t>
      </w:r>
      <w:r>
        <w:rPr>
          <w:rFonts w:hint="eastAsia" w:ascii="宋体" w:hAnsi="宋体" w:cs="宋体"/>
          <w:sz w:val="24"/>
          <w:highlight w:val="none"/>
        </w:rPr>
        <w:t>　2.2 磋商小组按照磋商文件规定的磋商方法和评审标准进行磋商、评审，并独立履行下列职责：</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（1）审查磋商响应文件是否符合磋商文件要求，并作出评价；</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（2）要求磋商响应单位对其文件有关事项作出解释或者澄清；</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（3）推荐成交候选磋商响应单位名单；</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（4）向采购单位或者有关部门报告非法干预磋商工作的行为。</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（5）解答有关方面对政府采购评审工作中有关问题的询问，配合采购人或者政府采购代理机构答复磋商响应单位质疑，配合财政部门的投诉处理工作等事宜。</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（6）法律、法规和规章规定的其他义务。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 采用综合评审法。</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3.2 评审程序：初步评审、磋商、详细评审。每一步评审不符合者，不进入下一步评审。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4、初步评审及无效投标文件评定</w:t>
      </w:r>
    </w:p>
    <w:p>
      <w:pPr>
        <w:pStyle w:val="15"/>
        <w:widowControl/>
        <w:adjustRightInd w:val="0"/>
        <w:snapToGrid w:val="0"/>
        <w:spacing w:line="360" w:lineRule="auto"/>
        <w:ind w:firstLine="480" w:firstLineChars="200"/>
        <w:jc w:val="both"/>
        <w:rPr>
          <w:rFonts w:ascii="宋体" w:hAnsi="宋体" w:cs="宋体"/>
          <w:sz w:val="24"/>
        </w:rPr>
      </w:pPr>
      <w:r>
        <w:rPr>
          <w:rFonts w:hint="eastAsia" w:ascii="宋体" w:hAnsi="宋体" w:cs="宋体"/>
          <w:sz w:val="24"/>
        </w:rPr>
        <w:t>4.1初步评审分为资格性审查和符合性审查。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4.2无效磋商响应文件评定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（1）磋商响应单位没有经过正常渠道</w:t>
      </w:r>
      <w:r>
        <w:rPr>
          <w:rFonts w:hint="eastAsia" w:ascii="宋体" w:hAnsi="宋体" w:cs="宋体"/>
          <w:sz w:val="24"/>
          <w:lang w:eastAsia="zh-CN"/>
        </w:rPr>
        <w:t>获取</w:t>
      </w:r>
      <w:r>
        <w:rPr>
          <w:rFonts w:hint="eastAsia" w:ascii="宋体" w:hAnsi="宋体" w:cs="宋体"/>
          <w:sz w:val="24"/>
        </w:rPr>
        <w:t>磋商文件或磋商响应单位的名称与登记领取磋商文件单位的名称或与营业执照不符；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（2）响应文件中未提交法定代表人授权书（法定代表人直接投标未按要求提交其有效身份证）或授权书的合法性或有效性不符合磋商文件规定。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）响应文件未按招标文件的规定进行签署、盖章的；响应文件份数不符合磋商文件规定的；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）不具备磋商文件中规定的资格要求的或证明文件不齐全的；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）报价超过规定的最高限价的；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）响应文件中含有采购人不能接受的附加条件的;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）无磋商有效期或磋商有效期不足的；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）磋商内容出现严重漏项或数量与要求不符的；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）报价明显低于其他通过符合性审查磋商响应单位的报价，且在现场规定的时间内不能提供有效证明材料、经评委认定形成不正当竞争的。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）提供虚假证明，开具虚假资质，出现虚假应答或故意隐瞒行为，除按无效标处理外，还进行相应的处罚。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）不符合法律、法规和磋商文件规定的其他实质性要求的。</w:t>
      </w:r>
    </w:p>
    <w:p>
      <w:pPr>
        <w:pStyle w:val="2"/>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）被列入失信被执行人、税收违法黑名单、政府采购严重违法失信行为记录名单的单位。</w:t>
      </w:r>
    </w:p>
    <w:p>
      <w:pPr>
        <w:adjustRightInd w:val="0"/>
        <w:snapToGrid w:val="0"/>
        <w:spacing w:line="360" w:lineRule="auto"/>
        <w:ind w:firstLine="480" w:firstLineChars="200"/>
        <w:rPr>
          <w:sz w:val="24"/>
        </w:rPr>
      </w:pPr>
    </w:p>
    <w:p>
      <w:pPr>
        <w:adjustRightInd w:val="0"/>
        <w:snapToGrid w:val="0"/>
        <w:spacing w:line="324" w:lineRule="auto"/>
        <w:jc w:val="center"/>
        <w:outlineLvl w:val="1"/>
        <w:rPr>
          <w:b/>
          <w:bCs/>
          <w:spacing w:val="-6"/>
          <w:sz w:val="24"/>
        </w:rPr>
      </w:pPr>
    </w:p>
    <w:p>
      <w:pPr>
        <w:adjustRightInd w:val="0"/>
        <w:snapToGrid w:val="0"/>
        <w:spacing w:line="324" w:lineRule="auto"/>
        <w:jc w:val="center"/>
        <w:outlineLvl w:val="1"/>
        <w:rPr>
          <w:b/>
          <w:bCs/>
          <w:spacing w:val="-6"/>
          <w:sz w:val="24"/>
        </w:rPr>
      </w:pPr>
      <w:r>
        <w:rPr>
          <w:b/>
          <w:bCs/>
          <w:spacing w:val="-6"/>
          <w:sz w:val="24"/>
        </w:rPr>
        <w:br w:type="page"/>
      </w:r>
      <w:r>
        <w:rPr>
          <w:b/>
          <w:bCs/>
          <w:spacing w:val="-6"/>
          <w:sz w:val="24"/>
        </w:rPr>
        <w:t>初步审查标准</w:t>
      </w:r>
    </w:p>
    <w:tbl>
      <w:tblPr>
        <w:tblStyle w:val="48"/>
        <w:tblpPr w:leftFromText="180" w:rightFromText="180" w:vertAnchor="text" w:horzAnchor="page" w:tblpX="1607" w:tblpY="426"/>
        <w:tblOverlap w:val="never"/>
        <w:tblW w:w="9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618"/>
        <w:gridCol w:w="2153"/>
        <w:gridCol w:w="5429"/>
        <w:gridCol w:w="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175" w:type="dxa"/>
            <w:gridSpan w:val="2"/>
            <w:vAlign w:val="center"/>
          </w:tcPr>
          <w:p>
            <w:pPr>
              <w:spacing w:line="273" w:lineRule="auto"/>
              <w:jc w:val="center"/>
              <w:rPr>
                <w:b/>
                <w:bCs/>
                <w:sz w:val="24"/>
              </w:rPr>
            </w:pPr>
            <w:r>
              <w:rPr>
                <w:b/>
                <w:bCs/>
                <w:sz w:val="24"/>
              </w:rPr>
              <w:t>条款号</w:t>
            </w:r>
          </w:p>
        </w:tc>
        <w:tc>
          <w:tcPr>
            <w:tcW w:w="2153" w:type="dxa"/>
            <w:vAlign w:val="center"/>
          </w:tcPr>
          <w:p>
            <w:pPr>
              <w:jc w:val="center"/>
              <w:rPr>
                <w:b/>
                <w:bCs/>
                <w:sz w:val="24"/>
              </w:rPr>
            </w:pPr>
            <w:r>
              <w:rPr>
                <w:b/>
                <w:bCs/>
                <w:sz w:val="24"/>
              </w:rPr>
              <w:t>审查因素</w:t>
            </w:r>
          </w:p>
        </w:tc>
        <w:tc>
          <w:tcPr>
            <w:tcW w:w="5429" w:type="dxa"/>
            <w:vAlign w:val="center"/>
          </w:tcPr>
          <w:p>
            <w:pPr>
              <w:jc w:val="center"/>
              <w:rPr>
                <w:b/>
                <w:bCs/>
                <w:sz w:val="24"/>
              </w:rPr>
            </w:pPr>
            <w:r>
              <w:rPr>
                <w:b/>
                <w:bCs/>
                <w:sz w:val="24"/>
              </w:rPr>
              <w:t>审查标准</w:t>
            </w:r>
          </w:p>
        </w:tc>
        <w:tc>
          <w:tcPr>
            <w:tcW w:w="463" w:type="dxa"/>
            <w:vAlign w:val="center"/>
          </w:tcPr>
          <w:p>
            <w:pPr>
              <w:jc w:val="center"/>
              <w:rPr>
                <w:b/>
                <w:bCs/>
                <w:sz w:val="24"/>
              </w:rPr>
            </w:pPr>
            <w:r>
              <w:rPr>
                <w:b/>
                <w:bCs/>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vAlign w:val="center"/>
          </w:tcPr>
          <w:p>
            <w:pPr>
              <w:spacing w:line="273" w:lineRule="auto"/>
              <w:jc w:val="center"/>
              <w:rPr>
                <w:b/>
                <w:bCs/>
                <w:sz w:val="24"/>
              </w:rPr>
            </w:pPr>
            <w:r>
              <w:rPr>
                <w:b/>
                <w:bCs/>
                <w:sz w:val="24"/>
              </w:rPr>
              <w:t>3.1</w:t>
            </w:r>
          </w:p>
        </w:tc>
        <w:tc>
          <w:tcPr>
            <w:tcW w:w="618" w:type="dxa"/>
            <w:vMerge w:val="restart"/>
            <w:vAlign w:val="center"/>
          </w:tcPr>
          <w:p>
            <w:pPr>
              <w:jc w:val="center"/>
              <w:rPr>
                <w:sz w:val="24"/>
              </w:rPr>
            </w:pPr>
            <w:r>
              <w:rPr>
                <w:sz w:val="24"/>
              </w:rPr>
              <w:t>资格</w:t>
            </w:r>
          </w:p>
          <w:p>
            <w:pPr>
              <w:jc w:val="center"/>
              <w:rPr>
                <w:sz w:val="24"/>
              </w:rPr>
            </w:pPr>
            <w:r>
              <w:rPr>
                <w:sz w:val="24"/>
              </w:rPr>
              <w:t>审查</w:t>
            </w:r>
          </w:p>
          <w:p>
            <w:pPr>
              <w:jc w:val="center"/>
              <w:rPr>
                <w:b/>
                <w:bCs/>
                <w:sz w:val="24"/>
              </w:rPr>
            </w:pPr>
            <w:r>
              <w:rPr>
                <w:sz w:val="24"/>
              </w:rPr>
              <w:t>标准</w:t>
            </w:r>
          </w:p>
        </w:tc>
        <w:tc>
          <w:tcPr>
            <w:tcW w:w="2153" w:type="dxa"/>
            <w:vAlign w:val="center"/>
          </w:tcPr>
          <w:p>
            <w:pPr>
              <w:spacing w:line="360" w:lineRule="auto"/>
              <w:jc w:val="center"/>
              <w:rPr>
                <w:rFonts w:ascii="宋体" w:hAnsi="宋体" w:cs="宋体"/>
                <w:sz w:val="24"/>
              </w:rPr>
            </w:pPr>
            <w:r>
              <w:rPr>
                <w:rFonts w:hint="eastAsia" w:ascii="宋体" w:hAnsi="宋体" w:cs="宋体"/>
                <w:sz w:val="24"/>
              </w:rPr>
              <w:t>营业执照（副本）</w:t>
            </w:r>
          </w:p>
        </w:tc>
        <w:tc>
          <w:tcPr>
            <w:tcW w:w="5429" w:type="dxa"/>
            <w:vAlign w:val="center"/>
          </w:tcPr>
          <w:p>
            <w:pPr>
              <w:spacing w:line="360" w:lineRule="auto"/>
              <w:rPr>
                <w:rFonts w:ascii="宋体" w:hAnsi="宋体" w:cs="宋体"/>
                <w:sz w:val="24"/>
              </w:rPr>
            </w:pPr>
            <w:r>
              <w:rPr>
                <w:rFonts w:hint="eastAsia" w:ascii="宋体" w:hAnsi="宋体" w:cs="宋体"/>
                <w:sz w:val="24"/>
              </w:rPr>
              <w:t>具有合格有效的企业法人营业执照、税务登记证、组织机构代码证（或三证合一营业执照）；</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磋商响应单位代表身份</w:t>
            </w:r>
          </w:p>
        </w:tc>
        <w:tc>
          <w:tcPr>
            <w:tcW w:w="5429" w:type="dxa"/>
            <w:vAlign w:val="center"/>
          </w:tcPr>
          <w:p>
            <w:pPr>
              <w:spacing w:line="360" w:lineRule="auto"/>
              <w:rPr>
                <w:rFonts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企业资质</w:t>
            </w:r>
          </w:p>
        </w:tc>
        <w:tc>
          <w:tcPr>
            <w:tcW w:w="5429" w:type="dxa"/>
            <w:vAlign w:val="center"/>
          </w:tcPr>
          <w:p>
            <w:pPr>
              <w:spacing w:line="360" w:lineRule="auto"/>
              <w:rPr>
                <w:rFonts w:ascii="宋体" w:hAnsi="宋体" w:cs="宋体"/>
                <w:sz w:val="24"/>
                <w:highlight w:val="yellow"/>
              </w:rPr>
            </w:pPr>
            <w:r>
              <w:rPr>
                <w:rFonts w:hint="eastAsia" w:ascii="宋体" w:hAnsi="宋体" w:cs="宋体"/>
                <w:sz w:val="24"/>
                <w:highlight w:val="none"/>
              </w:rPr>
              <w:t>具备建筑工程施工总承包三级（含）及以上资质或具备建筑装修装饰工程专业承包贰级（含）以上资质，具有有效的安全生产许可证；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项目经理</w:t>
            </w:r>
          </w:p>
        </w:tc>
        <w:tc>
          <w:tcPr>
            <w:tcW w:w="5429" w:type="dxa"/>
            <w:vAlign w:val="center"/>
          </w:tcPr>
          <w:p>
            <w:pPr>
              <w:spacing w:line="360" w:lineRule="auto"/>
              <w:rPr>
                <w:rFonts w:ascii="宋体" w:hAnsi="宋体" w:cs="宋体"/>
                <w:sz w:val="24"/>
                <w:highlight w:val="yellow"/>
              </w:rPr>
            </w:pPr>
            <w:r>
              <w:rPr>
                <w:rFonts w:hint="eastAsia" w:ascii="宋体" w:hAnsi="宋体" w:cs="宋体"/>
                <w:sz w:val="24"/>
                <w:highlight w:val="none"/>
              </w:rPr>
              <w:t>拟委派项目经理须具有建筑工程专业贰级（含）以上注册建造师资质并具有安全生产考核合格证，在本单位注册且无在建工程；</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供应商</w:t>
            </w:r>
          </w:p>
        </w:tc>
        <w:tc>
          <w:tcPr>
            <w:tcW w:w="5429" w:type="dxa"/>
            <w:vAlign w:val="center"/>
          </w:tcPr>
          <w:p>
            <w:pPr>
              <w:numPr>
                <w:ilvl w:val="0"/>
                <w:numId w:val="0"/>
              </w:numPr>
              <w:overflowPunct w:val="0"/>
              <w:topLinePunct/>
              <w:spacing w:line="360" w:lineRule="auto"/>
              <w:ind w:leftChars="0"/>
              <w:rPr>
                <w:rFonts w:ascii="宋体" w:hAnsi="宋体" w:cs="宋体"/>
                <w:sz w:val="24"/>
              </w:rPr>
            </w:pP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中列入失信被执行人和税收违法黑名单的供应商，不得为中国政府采购网（www.ccgp.gov.cn）政府采购严重违法失信行为记录名单中被财政部门禁止参加政府采购活动的供应商</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税收缴纳证明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社会保障资金缴纳证明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财务状况</w:t>
            </w:r>
          </w:p>
        </w:tc>
        <w:tc>
          <w:tcPr>
            <w:tcW w:w="5429" w:type="dxa"/>
            <w:vAlign w:val="center"/>
          </w:tcPr>
          <w:p>
            <w:pPr>
              <w:numPr>
                <w:ilvl w:val="0"/>
                <w:numId w:val="0"/>
              </w:numPr>
              <w:overflowPunct w:val="0"/>
              <w:topLinePunct/>
              <w:spacing w:line="360" w:lineRule="auto"/>
              <w:ind w:leftChars="0"/>
              <w:rPr>
                <w:rFonts w:ascii="宋体" w:hAnsi="宋体" w:cs="宋体"/>
                <w:bCs/>
                <w:sz w:val="24"/>
              </w:rPr>
            </w:pPr>
            <w:r>
              <w:rPr>
                <w:rFonts w:hint="eastAsia" w:ascii="宋体" w:hAnsi="宋体" w:cs="宋体"/>
                <w:sz w:val="24"/>
              </w:rPr>
              <w:t>提供供应商2020年经审计的财务报告或磋商前三个月内开户银行开具的资信证明；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经营活动</w:t>
            </w:r>
          </w:p>
        </w:tc>
        <w:tc>
          <w:tcPr>
            <w:tcW w:w="5429" w:type="dxa"/>
            <w:vAlign w:val="center"/>
          </w:tcPr>
          <w:p>
            <w:pPr>
              <w:spacing w:line="360" w:lineRule="auto"/>
              <w:rPr>
                <w:rFonts w:ascii="宋体" w:hAnsi="宋体" w:cs="宋体"/>
                <w:kern w:val="0"/>
                <w:sz w:val="24"/>
              </w:rPr>
            </w:pPr>
            <w:r>
              <w:rPr>
                <w:rFonts w:hint="eastAsia" w:ascii="宋体" w:hAnsi="宋体" w:cs="宋体"/>
                <w:sz w:val="24"/>
              </w:rPr>
              <w:t>参加政府采购活动前三年内，在经营活动中没有重大违法记录的书面声明；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控股、管理关系</w:t>
            </w:r>
          </w:p>
        </w:tc>
        <w:tc>
          <w:tcPr>
            <w:tcW w:w="5429" w:type="dxa"/>
            <w:vAlign w:val="center"/>
          </w:tcPr>
          <w:p>
            <w:pPr>
              <w:spacing w:line="360" w:lineRule="auto"/>
              <w:rPr>
                <w:rFonts w:ascii="宋体" w:hAnsi="宋体" w:cs="宋体"/>
                <w:bCs/>
                <w:sz w:val="24"/>
              </w:rPr>
            </w:pPr>
            <w:r>
              <w:rPr>
                <w:rFonts w:hint="eastAsia" w:ascii="宋体" w:hAnsi="宋体" w:cs="宋体"/>
                <w:sz w:val="24"/>
              </w:rPr>
              <w:t>磋商响应单位负责人不得为同一人或者存在控股、管理关系。</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vMerge w:val="continue"/>
            <w:tcBorders>
              <w:bottom w:val="single" w:color="auto" w:sz="12" w:space="0"/>
            </w:tcBorders>
          </w:tcPr>
          <w:p>
            <w:pPr>
              <w:spacing w:line="360" w:lineRule="auto"/>
              <w:rPr>
                <w:b/>
                <w:bCs/>
                <w:sz w:val="24"/>
              </w:rPr>
            </w:pPr>
          </w:p>
        </w:tc>
        <w:tc>
          <w:tcPr>
            <w:tcW w:w="618" w:type="dxa"/>
            <w:vMerge w:val="continue"/>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ascii="宋体" w:hAnsi="宋体" w:cs="宋体"/>
                <w:kern w:val="0"/>
                <w:sz w:val="24"/>
              </w:rPr>
            </w:pPr>
            <w:r>
              <w:rPr>
                <w:rFonts w:hint="eastAsia" w:ascii="宋体" w:hAnsi="宋体" w:eastAsia="宋体" w:cs="宋体"/>
                <w:kern w:val="0"/>
                <w:sz w:val="24"/>
                <w:szCs w:val="24"/>
                <w:highlight w:val="none"/>
              </w:rPr>
              <w:t>所必需的设备和专业技术能力</w:t>
            </w:r>
          </w:p>
        </w:tc>
        <w:tc>
          <w:tcPr>
            <w:tcW w:w="5429" w:type="dxa"/>
            <w:tcBorders>
              <w:bottom w:val="single" w:color="auto" w:sz="12" w:space="0"/>
            </w:tcBorders>
            <w:vAlign w:val="center"/>
          </w:tcPr>
          <w:p>
            <w:pPr>
              <w:spacing w:line="360" w:lineRule="auto"/>
              <w:rPr>
                <w:rFonts w:ascii="宋体" w:hAnsi="宋体" w:cs="宋体"/>
                <w:kern w:val="0"/>
                <w:sz w:val="24"/>
              </w:rPr>
            </w:pP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tcBorders>
              <w:bottom w:val="single" w:color="auto" w:sz="12" w:space="0"/>
            </w:tcBorders>
          </w:tcPr>
          <w:p>
            <w:pPr>
              <w:spacing w:line="360" w:lineRule="auto"/>
              <w:rPr>
                <w:b/>
                <w:bCs/>
                <w:sz w:val="24"/>
              </w:rPr>
            </w:pPr>
          </w:p>
        </w:tc>
        <w:tc>
          <w:tcPr>
            <w:tcW w:w="618" w:type="dxa"/>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rPr>
              <w:t>联合体磋商</w:t>
            </w:r>
          </w:p>
        </w:tc>
        <w:tc>
          <w:tcPr>
            <w:tcW w:w="5429" w:type="dxa"/>
            <w:tcBorders>
              <w:bottom w:val="single" w:color="auto" w:sz="12"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cs="宋体"/>
                <w:kern w:val="0"/>
                <w:sz w:val="24"/>
              </w:rPr>
              <w:t>不接受</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tcBorders>
              <w:top w:val="single" w:color="auto" w:sz="12" w:space="0"/>
              <w:bottom w:val="single" w:color="auto" w:sz="6" w:space="0"/>
            </w:tcBorders>
            <w:vAlign w:val="center"/>
          </w:tcPr>
          <w:p>
            <w:pPr>
              <w:spacing w:line="273" w:lineRule="auto"/>
              <w:rPr>
                <w:b/>
                <w:bCs/>
                <w:sz w:val="24"/>
              </w:rPr>
            </w:pPr>
            <w:r>
              <w:rPr>
                <w:b/>
                <w:bCs/>
                <w:sz w:val="24"/>
              </w:rPr>
              <w:t>3.2</w:t>
            </w:r>
          </w:p>
        </w:tc>
        <w:tc>
          <w:tcPr>
            <w:tcW w:w="618" w:type="dxa"/>
            <w:vMerge w:val="restart"/>
            <w:tcBorders>
              <w:top w:val="single" w:color="auto" w:sz="12" w:space="0"/>
              <w:bottom w:val="single" w:color="auto" w:sz="6" w:space="0"/>
            </w:tcBorders>
            <w:vAlign w:val="center"/>
          </w:tcPr>
          <w:p>
            <w:pPr>
              <w:spacing w:line="360" w:lineRule="auto"/>
              <w:jc w:val="center"/>
              <w:rPr>
                <w:b/>
                <w:bCs/>
                <w:sz w:val="24"/>
              </w:rPr>
            </w:pPr>
            <w:r>
              <w:rPr>
                <w:sz w:val="24"/>
              </w:rPr>
              <w:t>符合性审查标准</w:t>
            </w:r>
          </w:p>
        </w:tc>
        <w:tc>
          <w:tcPr>
            <w:tcW w:w="2153" w:type="dxa"/>
            <w:tcBorders>
              <w:top w:val="single" w:color="auto" w:sz="12"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磋商响应单位名称</w:t>
            </w:r>
          </w:p>
        </w:tc>
        <w:tc>
          <w:tcPr>
            <w:tcW w:w="5429" w:type="dxa"/>
            <w:tcBorders>
              <w:top w:val="single" w:color="auto" w:sz="12"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与营业执照一致</w:t>
            </w:r>
          </w:p>
        </w:tc>
        <w:tc>
          <w:tcPr>
            <w:tcW w:w="463" w:type="dxa"/>
            <w:tcBorders>
              <w:top w:val="single" w:color="auto" w:sz="12"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响应文件签字盖章</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在磋商响应文件中指定落款处，按文件要求盖章或签字</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磋商响应文件格式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符合磋商文件的格式要求无重大偏离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响应文件数量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1正2副，电子版文件1份</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响应（投标）内容</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与磋商内容一致，无重大偏离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磋商有效期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自磋商响应文件递交之日起不少于90个日历天</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首次磋商报价</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未超过磋商最高限价</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工期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符合磋商文件要求</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Borders>
              <w:top w:val="single" w:color="auto" w:sz="6" w:space="0"/>
              <w:bottom w:val="single" w:color="auto" w:sz="12" w:space="0"/>
            </w:tcBorders>
          </w:tcPr>
          <w:p>
            <w:pPr>
              <w:spacing w:line="273" w:lineRule="auto"/>
              <w:rPr>
                <w:b/>
                <w:bCs/>
                <w:sz w:val="24"/>
              </w:rPr>
            </w:pPr>
          </w:p>
        </w:tc>
        <w:tc>
          <w:tcPr>
            <w:tcW w:w="618" w:type="dxa"/>
            <w:vMerge w:val="continue"/>
            <w:tcBorders>
              <w:top w:val="single" w:color="auto" w:sz="6" w:space="0"/>
              <w:bottom w:val="single" w:color="auto" w:sz="12" w:space="0"/>
            </w:tcBorders>
          </w:tcPr>
          <w:p>
            <w:pPr>
              <w:spacing w:line="360" w:lineRule="auto"/>
              <w:rPr>
                <w:sz w:val="24"/>
              </w:rPr>
            </w:pPr>
          </w:p>
        </w:tc>
        <w:tc>
          <w:tcPr>
            <w:tcW w:w="2153" w:type="dxa"/>
            <w:tcBorders>
              <w:top w:val="single" w:color="auto" w:sz="6" w:space="0"/>
              <w:bottom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质量标准</w:t>
            </w:r>
          </w:p>
        </w:tc>
        <w:tc>
          <w:tcPr>
            <w:tcW w:w="5429" w:type="dxa"/>
            <w:tcBorders>
              <w:top w:val="single" w:color="auto" w:sz="6" w:space="0"/>
              <w:bottom w:val="single" w:color="auto" w:sz="12" w:space="0"/>
            </w:tcBorders>
            <w:vAlign w:val="center"/>
          </w:tcPr>
          <w:p>
            <w:pPr>
              <w:spacing w:line="360" w:lineRule="auto"/>
              <w:rPr>
                <w:rFonts w:ascii="宋体" w:hAnsi="宋体" w:cs="宋体"/>
                <w:sz w:val="24"/>
              </w:rPr>
            </w:pPr>
            <w:r>
              <w:rPr>
                <w:kern w:val="0"/>
                <w:sz w:val="24"/>
              </w:rPr>
              <w:t>达到国家相关质量合格标准</w:t>
            </w:r>
          </w:p>
        </w:tc>
        <w:tc>
          <w:tcPr>
            <w:tcW w:w="463" w:type="dxa"/>
            <w:tcBorders>
              <w:top w:val="single" w:color="auto" w:sz="6" w:space="0"/>
              <w:bottom w:val="single" w:color="auto" w:sz="12" w:space="0"/>
            </w:tcBorders>
            <w:vAlign w:val="center"/>
          </w:tcPr>
          <w:p>
            <w:pPr>
              <w:rPr>
                <w:sz w:val="24"/>
              </w:rPr>
            </w:pPr>
          </w:p>
        </w:tc>
      </w:tr>
    </w:tbl>
    <w:p>
      <w:pPr>
        <w:adjustRightInd w:val="0"/>
        <w:snapToGrid w:val="0"/>
        <w:spacing w:before="156" w:beforeLines="50" w:line="324" w:lineRule="auto"/>
        <w:rPr>
          <w:rFonts w:ascii="宋体" w:hAnsi="宋体" w:cs="宋体"/>
          <w:sz w:val="24"/>
        </w:rPr>
      </w:pPr>
      <w:r>
        <w:rPr>
          <w:sz w:val="24"/>
        </w:rPr>
        <w:t xml:space="preserve">   </w:t>
      </w:r>
      <w:r>
        <w:rPr>
          <w:rFonts w:hint="eastAsia" w:ascii="宋体" w:hAnsi="宋体" w:cs="宋体"/>
          <w:sz w:val="24"/>
        </w:rPr>
        <w:t xml:space="preserve"> 4.3 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要求磋商响应单位澄清、说明或者更正响应文件应当以书面形式作出。磋商响应单位的澄清、说明或者更正应当由法定代表人或其授权代表签字或者加盖公章。由授权代表签字的，应当附法定代表人授权书。磋商响应单位为自然人的，应当由本人签字并附身份证明。</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只和通过初审的磋商响应单位进行磋商。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5.1磋商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磋商小组可根据需要，由磋商小组所有成员集中与单一磋商响应单位分别进行磋商。采购代理机构对磋商过程和重要磋商内容进行记录，磋商小组召集人和磋商响应单位在记录上签字确认。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 在磋商过程中，磋商小组可以根据磋商文件和磋商情况实质性变动采购需求中的技术、服务要求以及合同草案条款，但不得变动磋商文件中的其他内容。实质性变动的内容，须经采购人代表确认，并成为磋商文件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 最终响应（第二次报价）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响应单位根据磋商情况和磋商文件修改书面通知（如有）对原响应文件进行修正，并在现场规定时间内将修正文件（如有）和最终报价由磋商响应单位法定代表人或其授权委托人签字或盖章后送交磋商小组。逾时不交的，视同放弃磋商。修正文件与磋商响应文件同具法律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5.4 所有磋商响应单位的最终响应未超过政府采购预算不足3家，磋商活动终止。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5.5 磋商过程由政府采购代理机构指定专人负责记录，并存档备查。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6、详细评审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lang w:eastAsia="zh-CN"/>
        </w:rPr>
        <w:t>磋商小组</w:t>
      </w:r>
      <w:r>
        <w:rPr>
          <w:rFonts w:hint="eastAsia" w:ascii="宋体" w:hAnsi="宋体" w:cs="宋体"/>
          <w:sz w:val="24"/>
        </w:rPr>
        <w:t>只对磋商最终响应的磋商响应单位进行评审和比较。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 本次磋商采用综合评分法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 磋商响应单位的评审总得分满分100分（商务标</w:t>
      </w:r>
      <w:r>
        <w:rPr>
          <w:rFonts w:hint="eastAsia" w:ascii="宋体" w:hAnsi="宋体" w:cs="宋体"/>
          <w:sz w:val="24"/>
          <w:lang w:val="en-US" w:eastAsia="zh-CN"/>
        </w:rPr>
        <w:t>35</w:t>
      </w:r>
      <w:r>
        <w:rPr>
          <w:rFonts w:hint="eastAsia" w:ascii="宋体" w:hAnsi="宋体" w:cs="宋体"/>
          <w:sz w:val="24"/>
        </w:rPr>
        <w:t>分、技术标</w:t>
      </w:r>
      <w:r>
        <w:rPr>
          <w:rFonts w:hint="eastAsia" w:ascii="宋体" w:hAnsi="宋体" w:cs="宋体"/>
          <w:sz w:val="24"/>
          <w:lang w:val="en-US" w:eastAsia="zh-CN"/>
        </w:rPr>
        <w:t>6</w:t>
      </w:r>
      <w:r>
        <w:rPr>
          <w:rFonts w:hint="eastAsia" w:ascii="宋体" w:hAnsi="宋体" w:cs="宋体"/>
          <w:sz w:val="24"/>
        </w:rPr>
        <w:t>5分）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评分标准</w:t>
      </w:r>
    </w:p>
    <w:p>
      <w:pPr>
        <w:pStyle w:val="17"/>
      </w:pPr>
      <w:r>
        <w:br w:type="page"/>
      </w:r>
    </w:p>
    <w:tbl>
      <w:tblPr>
        <w:tblStyle w:val="48"/>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6"/>
        <w:gridCol w:w="6525"/>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20" w:type="dxa"/>
            <w:tcBorders>
              <w:tl2br w:val="nil"/>
              <w:tr2bl w:val="nil"/>
            </w:tcBorders>
            <w:vAlign w:val="center"/>
          </w:tcPr>
          <w:p>
            <w:pPr>
              <w:widowControl/>
              <w:jc w:val="center"/>
              <w:rPr>
                <w:bCs/>
                <w:kern w:val="0"/>
                <w:sz w:val="24"/>
              </w:rPr>
            </w:pPr>
            <w:r>
              <w:rPr>
                <w:bCs/>
                <w:kern w:val="0"/>
                <w:sz w:val="24"/>
              </w:rPr>
              <w:t>项别</w:t>
            </w:r>
          </w:p>
        </w:tc>
        <w:tc>
          <w:tcPr>
            <w:tcW w:w="816" w:type="dxa"/>
            <w:tcBorders>
              <w:tl2br w:val="nil"/>
              <w:tr2bl w:val="nil"/>
            </w:tcBorders>
            <w:vAlign w:val="center"/>
          </w:tcPr>
          <w:p>
            <w:pPr>
              <w:widowControl/>
              <w:jc w:val="center"/>
              <w:rPr>
                <w:bCs/>
                <w:kern w:val="0"/>
                <w:sz w:val="24"/>
              </w:rPr>
            </w:pPr>
            <w:r>
              <w:rPr>
                <w:bCs/>
                <w:kern w:val="0"/>
                <w:sz w:val="24"/>
              </w:rPr>
              <w:t>分值</w:t>
            </w:r>
          </w:p>
        </w:tc>
        <w:tc>
          <w:tcPr>
            <w:tcW w:w="6525" w:type="dxa"/>
            <w:tcBorders>
              <w:tl2br w:val="nil"/>
              <w:tr2bl w:val="nil"/>
            </w:tcBorders>
            <w:vAlign w:val="center"/>
          </w:tcPr>
          <w:p>
            <w:pPr>
              <w:widowControl/>
              <w:jc w:val="center"/>
              <w:rPr>
                <w:bCs/>
                <w:kern w:val="0"/>
                <w:sz w:val="24"/>
              </w:rPr>
            </w:pPr>
            <w:r>
              <w:rPr>
                <w:bCs/>
                <w:kern w:val="0"/>
                <w:sz w:val="24"/>
              </w:rPr>
              <w:t>评标要素</w:t>
            </w:r>
          </w:p>
        </w:tc>
        <w:tc>
          <w:tcPr>
            <w:tcW w:w="913" w:type="dxa"/>
            <w:tcBorders>
              <w:tl2br w:val="nil"/>
              <w:tr2bl w:val="nil"/>
            </w:tcBorders>
            <w:vAlign w:val="center"/>
          </w:tcPr>
          <w:p>
            <w:pPr>
              <w:widowControl/>
              <w:jc w:val="center"/>
              <w:rPr>
                <w:bCs/>
                <w:kern w:val="0"/>
                <w:sz w:val="24"/>
              </w:rPr>
            </w:pPr>
            <w:r>
              <w:rPr>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74" w:type="dxa"/>
            <w:gridSpan w:val="4"/>
            <w:tcBorders>
              <w:tl2br w:val="nil"/>
              <w:tr2bl w:val="nil"/>
            </w:tcBorders>
            <w:vAlign w:val="center"/>
          </w:tcPr>
          <w:p>
            <w:pPr>
              <w:widowControl/>
              <w:jc w:val="center"/>
              <w:rPr>
                <w:b/>
                <w:bCs/>
                <w:kern w:val="0"/>
                <w:sz w:val="24"/>
              </w:rPr>
            </w:pPr>
            <w:r>
              <w:rPr>
                <w:rFonts w:hint="eastAsia" w:ascii="宋体" w:hAnsi="宋体" w:cs="宋体"/>
                <w:b/>
                <w:bCs/>
                <w:kern w:val="0"/>
                <w:sz w:val="24"/>
              </w:rPr>
              <w:t>商务标（</w:t>
            </w:r>
            <w:r>
              <w:rPr>
                <w:rFonts w:hint="eastAsia" w:ascii="宋体" w:hAnsi="宋体" w:cs="宋体"/>
                <w:b/>
                <w:bCs/>
                <w:kern w:val="0"/>
                <w:sz w:val="24"/>
                <w:lang w:val="en-US" w:eastAsia="zh-CN"/>
              </w:rPr>
              <w:t>3</w:t>
            </w:r>
            <w:r>
              <w:rPr>
                <w:rFonts w:hint="eastAsia" w:ascii="宋体" w:hAnsi="宋体" w:cs="宋体"/>
                <w:b/>
                <w:bCs/>
                <w:kern w:val="0"/>
                <w:sz w:val="24"/>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9" w:hRule="atLeast"/>
          <w:jc w:val="center"/>
        </w:trPr>
        <w:tc>
          <w:tcPr>
            <w:tcW w:w="820" w:type="dxa"/>
            <w:tcBorders>
              <w:tl2br w:val="nil"/>
              <w:tr2bl w:val="nil"/>
            </w:tcBorders>
            <w:vAlign w:val="center"/>
          </w:tcPr>
          <w:p>
            <w:pPr>
              <w:widowControl/>
              <w:jc w:val="center"/>
              <w:rPr>
                <w:bCs/>
                <w:kern w:val="0"/>
                <w:sz w:val="24"/>
                <w:highlight w:val="none"/>
              </w:rPr>
            </w:pPr>
            <w:r>
              <w:rPr>
                <w:bCs/>
                <w:kern w:val="0"/>
                <w:sz w:val="24"/>
                <w:highlight w:val="none"/>
              </w:rPr>
              <w:t>价格</w:t>
            </w:r>
          </w:p>
        </w:tc>
        <w:tc>
          <w:tcPr>
            <w:tcW w:w="816" w:type="dxa"/>
            <w:tcBorders>
              <w:tl2br w:val="nil"/>
              <w:tr2bl w:val="nil"/>
            </w:tcBorders>
            <w:vAlign w:val="center"/>
          </w:tcPr>
          <w:p>
            <w:pPr>
              <w:widowControl/>
              <w:jc w:val="center"/>
              <w:rPr>
                <w:rFonts w:hint="default" w:eastAsia="宋体"/>
                <w:sz w:val="24"/>
                <w:highlight w:val="none"/>
                <w:lang w:val="en-US" w:eastAsia="zh-CN"/>
              </w:rPr>
            </w:pPr>
            <w:r>
              <w:rPr>
                <w:rFonts w:hint="eastAsia" w:ascii="宋体" w:hAnsi="宋体" w:cs="宋体"/>
                <w:sz w:val="24"/>
                <w:highlight w:val="none"/>
              </w:rPr>
              <w:t>0-</w:t>
            </w:r>
            <w:r>
              <w:rPr>
                <w:rFonts w:hint="eastAsia" w:ascii="宋体" w:hAnsi="宋体" w:cs="宋体"/>
                <w:sz w:val="24"/>
                <w:highlight w:val="none"/>
                <w:lang w:val="en-US" w:eastAsia="zh-CN"/>
              </w:rPr>
              <w:t>30</w:t>
            </w:r>
          </w:p>
        </w:tc>
        <w:tc>
          <w:tcPr>
            <w:tcW w:w="6525" w:type="dxa"/>
            <w:tcBorders>
              <w:tl2br w:val="nil"/>
              <w:tr2bl w:val="nil"/>
            </w:tcBorders>
            <w:vAlign w:val="center"/>
          </w:tcPr>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磋商报价分应当采用最低价优先法计算，即满足磋商文件要求且投标价格最低的磋商报价为磋商基准价，其价格分为满分。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磋商基准价=评审报价的最低值，评审报价等于磋商基准价的得满分</w:t>
            </w:r>
            <w:r>
              <w:rPr>
                <w:rFonts w:hint="eastAsia" w:ascii="宋体" w:hAnsi="宋体" w:cs="宋体"/>
                <w:sz w:val="24"/>
                <w:highlight w:val="none"/>
                <w:lang w:val="en-US" w:eastAsia="zh-CN"/>
              </w:rPr>
              <w:t>30</w:t>
            </w:r>
            <w:r>
              <w:rPr>
                <w:rFonts w:hint="eastAsia" w:ascii="宋体" w:hAnsi="宋体" w:cs="宋体"/>
                <w:sz w:val="24"/>
                <w:highlight w:val="none"/>
              </w:rPr>
              <w:t>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 xml:space="preserve">磋商报价得分=（磋商基准价/评审报价）× </w:t>
            </w:r>
            <w:r>
              <w:rPr>
                <w:rFonts w:hint="eastAsia" w:ascii="宋体" w:hAnsi="宋体" w:cs="宋体"/>
                <w:sz w:val="24"/>
                <w:highlight w:val="none"/>
                <w:lang w:val="en-US" w:eastAsia="zh-CN"/>
              </w:rPr>
              <w:t>30</w:t>
            </w:r>
            <w:r>
              <w:rPr>
                <w:rFonts w:hint="eastAsia" w:ascii="宋体" w:hAnsi="宋体" w:cs="宋体"/>
                <w:sz w:val="24"/>
                <w:highlight w:val="none"/>
              </w:rPr>
              <w:t>。</w:t>
            </w:r>
          </w:p>
          <w:p>
            <w:pPr>
              <w:widowControl/>
              <w:spacing w:line="360" w:lineRule="auto"/>
              <w:jc w:val="left"/>
              <w:rPr>
                <w:rFonts w:ascii="宋体" w:hAnsi="宋体" w:cs="宋体"/>
                <w:sz w:val="24"/>
                <w:highlight w:val="none"/>
              </w:rPr>
            </w:pPr>
            <w:r>
              <w:rPr>
                <w:rFonts w:hint="eastAsia" w:ascii="宋体" w:hAnsi="宋体" w:cs="宋体"/>
                <w:sz w:val="24"/>
                <w:highlight w:val="none"/>
              </w:rPr>
              <w:t>若磋商响应单位的报价明显低于成本价，或报价明显无法达到服务要求，</w:t>
            </w:r>
            <w:r>
              <w:rPr>
                <w:rFonts w:hint="eastAsia" w:ascii="宋体" w:hAnsi="宋体" w:cs="宋体"/>
                <w:sz w:val="24"/>
                <w:highlight w:val="none"/>
                <w:lang w:eastAsia="zh-CN"/>
              </w:rPr>
              <w:t>磋商小组</w:t>
            </w:r>
            <w:r>
              <w:rPr>
                <w:rFonts w:hint="eastAsia" w:ascii="宋体" w:hAnsi="宋体" w:cs="宋体"/>
                <w:sz w:val="24"/>
                <w:highlight w:val="none"/>
              </w:rPr>
              <w:t>有权要求磋商响应单位做出报价澄清并提供相关证明，若在限定时间内无法澄清或无法出具合理的证明，经</w:t>
            </w:r>
            <w:r>
              <w:rPr>
                <w:rFonts w:hint="eastAsia" w:ascii="宋体" w:hAnsi="宋体" w:cs="宋体"/>
                <w:sz w:val="24"/>
                <w:highlight w:val="none"/>
                <w:lang w:eastAsia="zh-CN"/>
              </w:rPr>
              <w:t>磋商小组</w:t>
            </w:r>
            <w:r>
              <w:rPr>
                <w:rFonts w:hint="eastAsia" w:ascii="宋体" w:hAnsi="宋体" w:cs="宋体"/>
                <w:sz w:val="24"/>
                <w:highlight w:val="none"/>
              </w:rPr>
              <w:t>二分之一以上成员认定，该报价为无效报价。</w:t>
            </w:r>
          </w:p>
          <w:p>
            <w:pPr>
              <w:widowControl/>
              <w:spacing w:line="360" w:lineRule="auto"/>
              <w:jc w:val="left"/>
              <w:rPr>
                <w:sz w:val="24"/>
                <w:highlight w:val="none"/>
              </w:rPr>
            </w:pPr>
            <w:r>
              <w:rPr>
                <w:rFonts w:hint="eastAsia" w:ascii="宋体" w:hAnsi="宋体" w:cs="宋体"/>
                <w:sz w:val="24"/>
                <w:highlight w:val="none"/>
              </w:rPr>
              <w:t>符合磋商文件规定的小微企业、监狱、福利企业企业优惠条件的磋商响应单位，价格给予3%的扣除，用扣除后的价格参与评审</w:t>
            </w:r>
            <w:r>
              <w:rPr>
                <w:sz w:val="24"/>
                <w:highlight w:val="none"/>
              </w:rPr>
              <w:t>。</w:t>
            </w:r>
          </w:p>
        </w:tc>
        <w:tc>
          <w:tcPr>
            <w:tcW w:w="913" w:type="dxa"/>
            <w:tcBorders>
              <w:tl2br w:val="nil"/>
              <w:tr2bl w:val="nil"/>
            </w:tcBorders>
            <w:vAlign w:val="center"/>
          </w:tcPr>
          <w:p>
            <w:pPr>
              <w:spacing w:line="30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类似项目业绩</w:t>
            </w:r>
          </w:p>
        </w:tc>
        <w:tc>
          <w:tcPr>
            <w:tcW w:w="816" w:type="dxa"/>
            <w:tcBorders>
              <w:tl2br w:val="nil"/>
              <w:tr2bl w:val="nil"/>
            </w:tcBorders>
            <w:vAlign w:val="center"/>
          </w:tcPr>
          <w:p>
            <w:pPr>
              <w:widowControl/>
              <w:spacing w:line="360" w:lineRule="auto"/>
              <w:jc w:val="center"/>
              <w:rPr>
                <w:rFonts w:ascii="宋体" w:hAnsi="宋体" w:cs="宋体"/>
                <w:sz w:val="24"/>
              </w:rPr>
            </w:pPr>
            <w:r>
              <w:rPr>
                <w:rFonts w:hint="eastAsia" w:ascii="宋体" w:hAnsi="宋体" w:cs="宋体"/>
                <w:sz w:val="24"/>
              </w:rPr>
              <w:t>0-5</w:t>
            </w:r>
          </w:p>
        </w:tc>
        <w:tc>
          <w:tcPr>
            <w:tcW w:w="6525" w:type="dxa"/>
            <w:tcBorders>
              <w:tl2br w:val="nil"/>
              <w:tr2bl w:val="nil"/>
            </w:tcBorders>
            <w:vAlign w:val="center"/>
          </w:tcPr>
          <w:p>
            <w:pPr>
              <w:widowControl/>
              <w:spacing w:line="360" w:lineRule="auto"/>
              <w:jc w:val="left"/>
              <w:rPr>
                <w:rFonts w:ascii="宋体" w:hAnsi="宋体" w:cs="宋体"/>
                <w:sz w:val="24"/>
              </w:rPr>
            </w:pPr>
            <w:r>
              <w:rPr>
                <w:rFonts w:hint="eastAsia" w:ascii="宋体" w:hAnsi="宋体" w:cs="宋体"/>
                <w:sz w:val="24"/>
              </w:rPr>
              <w:t>201</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lang w:val="en-US" w:eastAsia="zh-CN"/>
              </w:rPr>
              <w:t>5月</w:t>
            </w:r>
            <w:r>
              <w:rPr>
                <w:rFonts w:hint="eastAsia" w:ascii="宋体" w:hAnsi="宋体" w:cs="宋体"/>
                <w:sz w:val="24"/>
              </w:rPr>
              <w:t>至今完成类似项目业绩，有1项得1分；每增加1项，加1分，最高得5分（以合同协议书</w:t>
            </w:r>
            <w:r>
              <w:rPr>
                <w:rFonts w:hint="eastAsia" w:ascii="宋体" w:hAnsi="宋体" w:cs="宋体"/>
                <w:sz w:val="24"/>
                <w:lang w:eastAsia="zh-CN"/>
              </w:rPr>
              <w:t>或</w:t>
            </w:r>
            <w:r>
              <w:rPr>
                <w:rFonts w:hint="eastAsia" w:ascii="宋体" w:hAnsi="宋体" w:cs="宋体"/>
                <w:sz w:val="24"/>
              </w:rPr>
              <w:t>中标通知书为准）</w:t>
            </w:r>
          </w:p>
        </w:tc>
        <w:tc>
          <w:tcPr>
            <w:tcW w:w="913" w:type="dxa"/>
            <w:tcBorders>
              <w:tl2br w:val="nil"/>
              <w:tr2bl w:val="nil"/>
            </w:tcBorders>
            <w:vAlign w:val="center"/>
          </w:tcPr>
          <w:p>
            <w:pPr>
              <w:spacing w:line="360" w:lineRule="auto"/>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74" w:type="dxa"/>
            <w:gridSpan w:val="4"/>
            <w:tcBorders>
              <w:tl2br w:val="nil"/>
              <w:tr2bl w:val="nil"/>
            </w:tcBorders>
            <w:vAlign w:val="center"/>
          </w:tcPr>
          <w:p>
            <w:pPr>
              <w:spacing w:line="360" w:lineRule="auto"/>
              <w:jc w:val="center"/>
              <w:rPr>
                <w:rFonts w:ascii="宋体" w:hAnsi="宋体" w:cs="宋体"/>
                <w:b/>
                <w:sz w:val="24"/>
              </w:rPr>
            </w:pPr>
            <w:r>
              <w:rPr>
                <w:rFonts w:hint="eastAsia" w:ascii="宋体" w:hAnsi="宋体" w:cs="宋体"/>
                <w:b/>
                <w:sz w:val="24"/>
              </w:rPr>
              <w:t>技术标（</w:t>
            </w:r>
            <w:r>
              <w:rPr>
                <w:rFonts w:hint="eastAsia" w:ascii="宋体" w:hAnsi="宋体" w:cs="宋体"/>
                <w:b/>
                <w:sz w:val="24"/>
                <w:lang w:val="en-US" w:eastAsia="zh-CN"/>
              </w:rPr>
              <w:t>6</w:t>
            </w:r>
            <w:r>
              <w:rPr>
                <w:rFonts w:hint="eastAsia" w:ascii="宋体" w:hAnsi="宋体" w:cs="宋体"/>
                <w:b/>
                <w:sz w:val="24"/>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20" w:type="dxa"/>
            <w:vMerge w:val="restart"/>
            <w:tcBorders>
              <w:tl2br w:val="nil"/>
              <w:tr2bl w:val="nil"/>
            </w:tcBorders>
            <w:vAlign w:val="center"/>
          </w:tcPr>
          <w:p>
            <w:pPr>
              <w:tabs>
                <w:tab w:val="left" w:pos="540"/>
              </w:tabs>
              <w:spacing w:line="360" w:lineRule="auto"/>
              <w:ind w:right="105" w:rightChars="50"/>
              <w:jc w:val="center"/>
              <w:rPr>
                <w:rFonts w:ascii="宋体" w:hAnsi="宋体" w:cs="宋体"/>
                <w:sz w:val="24"/>
                <w:highlight w:val="none"/>
              </w:rPr>
            </w:pPr>
            <w:r>
              <w:rPr>
                <w:rFonts w:hint="eastAsia" w:ascii="宋体" w:hAnsi="宋体" w:cs="宋体"/>
                <w:bCs/>
                <w:kern w:val="0"/>
                <w:sz w:val="24"/>
                <w:highlight w:val="none"/>
              </w:rPr>
              <w:t>施工组织设计</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5分</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项目管理机构及项目经理部组成</w:t>
            </w:r>
          </w:p>
        </w:tc>
        <w:tc>
          <w:tcPr>
            <w:tcW w:w="913" w:type="dxa"/>
            <w:vMerge w:val="restart"/>
            <w:tcBorders>
              <w:tl2br w:val="nil"/>
              <w:tr2bl w:val="nil"/>
            </w:tcBorders>
            <w:vAlign w:val="center"/>
          </w:tcPr>
          <w:p>
            <w:pPr>
              <w:tabs>
                <w:tab w:val="left" w:pos="540"/>
              </w:tabs>
              <w:spacing w:line="360" w:lineRule="auto"/>
              <w:ind w:right="105" w:rightChars="50"/>
              <w:rPr>
                <w:rFonts w:ascii="宋体" w:hAnsi="宋体" w:cs="宋体"/>
                <w:sz w:val="24"/>
              </w:rPr>
            </w:pPr>
            <w:r>
              <w:rPr>
                <w:rFonts w:hint="eastAsia" w:ascii="宋体" w:hAnsi="宋体" w:cs="宋体"/>
                <w:sz w:val="24"/>
              </w:rPr>
              <w:t>有严重错误或</w:t>
            </w:r>
          </w:p>
          <w:p>
            <w:pPr>
              <w:tabs>
                <w:tab w:val="left" w:pos="540"/>
              </w:tabs>
              <w:spacing w:line="360" w:lineRule="auto"/>
              <w:ind w:right="105" w:rightChars="50"/>
              <w:jc w:val="center"/>
              <w:rPr>
                <w:rFonts w:ascii="宋体" w:hAnsi="宋体" w:cs="宋体"/>
                <w:sz w:val="24"/>
              </w:rPr>
            </w:pPr>
            <w:r>
              <w:rPr>
                <w:rFonts w:hint="eastAsia" w:ascii="宋体" w:hAnsi="宋体" w:cs="宋体"/>
                <w:sz w:val="24"/>
              </w:rPr>
              <w:t>漏项，该分项得0分</w:t>
            </w:r>
          </w:p>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0" w:type="dxa"/>
            <w:vMerge w:val="continue"/>
            <w:tcBorders>
              <w:tl2br w:val="nil"/>
              <w:tr2bl w:val="nil"/>
            </w:tcBorders>
            <w:vAlign w:val="center"/>
          </w:tcPr>
          <w:p>
            <w:pPr>
              <w:tabs>
                <w:tab w:val="left" w:pos="540"/>
              </w:tabs>
              <w:spacing w:line="360" w:lineRule="auto"/>
              <w:ind w:right="105" w:rightChars="50"/>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施工方案</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确保安全生产的技术组织措施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确保文明工地的技术组织措施及环境保护</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劳动力计划及主要材料供应计划</w:t>
            </w:r>
            <w:bookmarkStart w:id="71" w:name="_GoBack"/>
            <w:bookmarkEnd w:id="71"/>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施工机械设备供应计划表</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确保工程质量保证措施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施工进度计划及确保工期的技术措施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雨季施工管理防范措施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垃圾清运的计划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20" w:type="dxa"/>
            <w:vMerge w:val="continue"/>
            <w:tcBorders>
              <w:tl2br w:val="nil"/>
              <w:tr2bl w:val="nil"/>
            </w:tcBorders>
            <w:vAlign w:val="center"/>
          </w:tcPr>
          <w:p>
            <w:pPr>
              <w:widowControl/>
              <w:spacing w:line="360" w:lineRule="auto"/>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0-</w:t>
            </w:r>
            <w:r>
              <w:rPr>
                <w:rFonts w:hint="eastAsia" w:ascii="宋体" w:hAnsi="宋体" w:cs="宋体"/>
                <w:sz w:val="24"/>
                <w:highlight w:val="none"/>
                <w:lang w:val="en-US" w:eastAsia="zh-CN"/>
              </w:rPr>
              <w:t>5</w:t>
            </w:r>
          </w:p>
        </w:tc>
        <w:tc>
          <w:tcPr>
            <w:tcW w:w="6525" w:type="dxa"/>
            <w:tcBorders>
              <w:tl2br w:val="nil"/>
              <w:tr2bl w:val="nil"/>
            </w:tcBorders>
            <w:vAlign w:val="center"/>
          </w:tcPr>
          <w:p>
            <w:pPr>
              <w:widowControl/>
              <w:spacing w:line="360" w:lineRule="auto"/>
              <w:jc w:val="left"/>
              <w:rPr>
                <w:rFonts w:ascii="宋体" w:hAnsi="宋体" w:cs="宋体"/>
                <w:bCs/>
                <w:kern w:val="0"/>
                <w:sz w:val="24"/>
                <w:highlight w:val="none"/>
              </w:rPr>
            </w:pPr>
            <w:r>
              <w:rPr>
                <w:rFonts w:hint="eastAsia" w:ascii="宋体" w:hAnsi="宋体" w:cs="宋体"/>
                <w:sz w:val="24"/>
                <w:highlight w:val="none"/>
              </w:rPr>
              <w:t>对项目经理及主要人员竣工前不得更换做出实质性承诺，不拖欠农民工工资承诺，确保工程进度不拖延工期承诺，评委自主赋分</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工程质量承诺</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完全承诺招标文件和合同条款，并针对本项目实际需求提供实质性承诺或合理化建议</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后续服务</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后续服务条款具体、可行；并有详细的后续服务措施承诺且具体、可行</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bl>
    <w:p>
      <w:pPr>
        <w:widowControl/>
        <w:adjustRightInd w:val="0"/>
        <w:snapToGrid w:val="0"/>
        <w:spacing w:before="156" w:beforeLines="50" w:line="360" w:lineRule="auto"/>
        <w:rPr>
          <w:rFonts w:ascii="宋体" w:hAnsi="宋体" w:cs="宋体"/>
          <w:sz w:val="24"/>
        </w:rPr>
      </w:pPr>
      <w:r>
        <w:rPr>
          <w:rFonts w:hint="eastAsia" w:ascii="宋体" w:hAnsi="宋体" w:cs="宋体"/>
          <w:sz w:val="24"/>
        </w:rPr>
        <w:t>注：各种计算数字“四舍五入”保留两位小数。</w:t>
      </w:r>
    </w:p>
    <w:p>
      <w:pPr>
        <w:widowControl/>
        <w:adjustRightInd w:val="0"/>
        <w:snapToGrid w:val="0"/>
        <w:spacing w:before="156" w:beforeLines="50" w:line="360" w:lineRule="auto"/>
        <w:rPr>
          <w:rFonts w:ascii="宋体" w:hAnsi="宋体" w:cs="宋体"/>
          <w:sz w:val="24"/>
        </w:rPr>
      </w:pPr>
      <w:r>
        <w:rPr>
          <w:rFonts w:hint="eastAsia"/>
        </w:rPr>
        <w:t xml:space="preserve">   </w:t>
      </w:r>
      <w:r>
        <w:rPr>
          <w:rFonts w:hint="eastAsia" w:ascii="宋体" w:hAnsi="宋体" w:cs="宋体"/>
          <w:sz w:val="24"/>
        </w:rPr>
        <w:t xml:space="preserve"> 7、在竞争性磋商中，出现下列情形之一的，应予废标：</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7.1最终磋商响应单位或对响应文件实质性响应不足3家的；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7.2出现影响采购公正的违法、违规行为的；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7.3磋商响应单位的最终磋商报价超过采购预算或最高限价，采购人不能支付的；</w:t>
      </w:r>
    </w:p>
    <w:p>
      <w:pPr>
        <w:widowControl/>
        <w:adjustRightInd w:val="0"/>
        <w:snapToGrid w:val="0"/>
        <w:spacing w:before="156" w:beforeLines="50" w:line="360" w:lineRule="auto"/>
        <w:rPr>
          <w:rFonts w:ascii="宋体" w:hAnsi="宋体" w:cs="宋体"/>
          <w:sz w:val="24"/>
        </w:rPr>
      </w:pPr>
      <w:r>
        <w:rPr>
          <w:sz w:val="24"/>
        </w:rPr>
        <w:t xml:space="preserve">   </w:t>
      </w:r>
      <w:r>
        <w:rPr>
          <w:rFonts w:hint="eastAsia" w:ascii="宋体" w:hAnsi="宋体" w:cs="宋体"/>
          <w:sz w:val="24"/>
        </w:rPr>
        <w:t xml:space="preserve"> 7.4因重大变故，采购任务取消的；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7.5法律、法规规定其他满足废标情况的。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8、推荐成交候选人</w:t>
      </w:r>
    </w:p>
    <w:p>
      <w:pPr>
        <w:adjustRightInd w:val="0"/>
        <w:snapToGrid w:val="0"/>
        <w:spacing w:line="360" w:lineRule="auto"/>
        <w:rPr>
          <w:rFonts w:ascii="宋体" w:hAnsi="宋体" w:cs="宋体"/>
          <w:sz w:val="24"/>
        </w:rPr>
      </w:pPr>
      <w:r>
        <w:rPr>
          <w:rFonts w:hint="eastAsia" w:ascii="宋体" w:hAnsi="宋体" w:cs="宋体"/>
          <w:sz w:val="24"/>
        </w:rPr>
        <w:t xml:space="preserve">    按评审后得分由高到低顺序排列。得分相同的，按磋商报价由低到高顺序排列。得分且磋商报价相同的，按技术指标优劣顺序排列。</w:t>
      </w:r>
    </w:p>
    <w:p>
      <w:pPr>
        <w:adjustRightInd w:val="0"/>
        <w:snapToGrid w:val="0"/>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9、评标报告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磋商小组完成评标后，应当向招标人提交书面评标报告。评标报告应由全体磋商小组成员签字。</w:t>
      </w:r>
    </w:p>
    <w:p>
      <w:pPr>
        <w:pStyle w:val="3"/>
        <w:numPr>
          <w:ilvl w:val="0"/>
          <w:numId w:val="0"/>
        </w:numPr>
        <w:spacing w:line="360" w:lineRule="auto"/>
        <w:rPr>
          <w:rFonts w:asciiTheme="majorEastAsia" w:hAnsiTheme="majorEastAsia" w:eastAsiaTheme="majorEastAsia" w:cstheme="majorEastAsia"/>
          <w:b/>
          <w:bCs/>
          <w:kern w:val="2"/>
          <w:sz w:val="32"/>
          <w:szCs w:val="32"/>
        </w:rPr>
      </w:pPr>
      <w:bookmarkStart w:id="12" w:name="_Toc444269702"/>
      <w:r>
        <w:rPr>
          <w:rFonts w:ascii="Times New Roman" w:eastAsia="宋体"/>
          <w:sz w:val="24"/>
          <w:szCs w:val="24"/>
          <w:lang w:val="zh-CN"/>
        </w:rPr>
        <w:br w:type="page"/>
      </w:r>
      <w:bookmarkStart w:id="13" w:name="_Toc18298"/>
      <w:r>
        <w:rPr>
          <w:rFonts w:hint="eastAsia" w:asciiTheme="majorEastAsia" w:hAnsiTheme="majorEastAsia" w:eastAsiaTheme="majorEastAsia" w:cstheme="majorEastAsia"/>
          <w:b/>
          <w:bCs/>
          <w:kern w:val="2"/>
          <w:sz w:val="32"/>
          <w:szCs w:val="32"/>
          <w:highlight w:val="none"/>
          <w:lang w:val="zh-CN"/>
        </w:rPr>
        <w:t>第五章</w:t>
      </w:r>
      <w:r>
        <w:rPr>
          <w:rFonts w:hint="eastAsia" w:asciiTheme="majorEastAsia" w:hAnsiTheme="majorEastAsia" w:eastAsiaTheme="majorEastAsia" w:cstheme="majorEastAsia"/>
          <w:sz w:val="32"/>
          <w:szCs w:val="32"/>
          <w:highlight w:val="none"/>
          <w:lang w:val="zh-CN"/>
        </w:rPr>
        <w:t>　</w:t>
      </w:r>
      <w:r>
        <w:rPr>
          <w:rFonts w:hint="eastAsia" w:asciiTheme="majorEastAsia" w:hAnsiTheme="majorEastAsia" w:eastAsiaTheme="majorEastAsia" w:cstheme="majorEastAsia"/>
          <w:b/>
          <w:bCs/>
          <w:kern w:val="2"/>
          <w:sz w:val="32"/>
          <w:szCs w:val="32"/>
          <w:highlight w:val="none"/>
        </w:rPr>
        <w:t>采购内容及要求</w:t>
      </w:r>
      <w:bookmarkEnd w:id="13"/>
    </w:p>
    <w:p/>
    <w:p>
      <w:pPr>
        <w:numPr>
          <w:ilvl w:val="0"/>
          <w:numId w:val="5"/>
        </w:numPr>
        <w:jc w:val="left"/>
        <w:rPr>
          <w:rFonts w:ascii="宋体" w:hAnsi="宋体" w:cs="宋体"/>
          <w:b/>
          <w:sz w:val="28"/>
          <w:szCs w:val="28"/>
          <w:highlight w:val="none"/>
        </w:rPr>
      </w:pPr>
      <w:r>
        <w:rPr>
          <w:rFonts w:hint="eastAsia" w:ascii="宋体" w:hAnsi="宋体" w:cs="宋体"/>
          <w:b/>
          <w:sz w:val="28"/>
          <w:szCs w:val="28"/>
          <w:highlight w:val="none"/>
        </w:rPr>
        <w:t xml:space="preserve">工程概况： </w:t>
      </w:r>
    </w:p>
    <w:p>
      <w:pPr>
        <w:numPr>
          <w:ilvl w:val="0"/>
          <w:numId w:val="0"/>
        </w:numPr>
        <w:ind w:leftChars="0" w:firstLine="560" w:firstLineChars="200"/>
        <w:jc w:val="left"/>
        <w:rPr>
          <w:rFonts w:hint="eastAsia" w:ascii="宋体" w:hAnsi="宋体" w:cs="宋体"/>
          <w:b w:val="0"/>
          <w:bCs/>
          <w:sz w:val="28"/>
          <w:szCs w:val="28"/>
          <w:highlight w:val="none"/>
          <w:lang w:eastAsia="zh-CN"/>
        </w:rPr>
      </w:pPr>
      <w:r>
        <w:rPr>
          <w:rFonts w:hint="eastAsia" w:ascii="宋体" w:hAnsi="宋体" w:cs="宋体"/>
          <w:b w:val="0"/>
          <w:bCs/>
          <w:sz w:val="28"/>
          <w:szCs w:val="28"/>
          <w:highlight w:val="none"/>
          <w:lang w:eastAsia="zh-CN"/>
        </w:rPr>
        <w:t>西安市高陵区创优质均衡发展（高家小学多功能厅改造提升项目），包括多功能厅装修、拆除、电气、弱电、火灾报警、空调等改造内容。</w:t>
      </w:r>
    </w:p>
    <w:p>
      <w:pPr>
        <w:numPr>
          <w:ilvl w:val="0"/>
          <w:numId w:val="0"/>
        </w:numPr>
        <w:ind w:leftChars="0"/>
        <w:jc w:val="left"/>
        <w:rPr>
          <w:rFonts w:hint="eastAsia" w:ascii="宋体" w:hAnsi="宋体" w:cs="宋体"/>
          <w:b/>
          <w:sz w:val="28"/>
          <w:szCs w:val="28"/>
          <w:highlight w:val="none"/>
          <w:lang w:val="en-US" w:eastAsia="zh-CN"/>
        </w:rPr>
      </w:pPr>
      <w:r>
        <w:rPr>
          <w:rFonts w:hint="eastAsia" w:ascii="宋体" w:hAnsi="宋体" w:cs="宋体"/>
          <w:b/>
          <w:sz w:val="28"/>
          <w:szCs w:val="28"/>
          <w:highlight w:val="none"/>
          <w:lang w:eastAsia="zh-CN"/>
        </w:rPr>
        <w:t>二、工期</w:t>
      </w:r>
      <w:r>
        <w:rPr>
          <w:rFonts w:hint="eastAsia" w:ascii="宋体" w:hAnsi="宋体" w:cs="宋体"/>
          <w:b/>
          <w:sz w:val="28"/>
          <w:szCs w:val="28"/>
          <w:highlight w:val="none"/>
        </w:rPr>
        <w:t>：</w:t>
      </w:r>
      <w:r>
        <w:rPr>
          <w:rFonts w:hint="eastAsia" w:ascii="宋体" w:hAnsi="宋体" w:cs="仿宋"/>
          <w:color w:val="auto"/>
          <w:kern w:val="2"/>
          <w:sz w:val="28"/>
          <w:szCs w:val="28"/>
          <w:highlight w:val="none"/>
          <w:lang w:val="en-US" w:eastAsia="zh-CN"/>
        </w:rPr>
        <w:t>70日历天</w:t>
      </w:r>
    </w:p>
    <w:p>
      <w:pPr>
        <w:pStyle w:val="17"/>
        <w:numPr>
          <w:ilvl w:val="0"/>
          <w:numId w:val="0"/>
        </w:numPr>
        <w:ind w:leftChars="0"/>
        <w:rPr>
          <w:rFonts w:hint="default" w:ascii="宋体" w:hAnsi="宋体" w:eastAsia="宋体" w:cs="宋体"/>
          <w:b w:val="0"/>
          <w:bCs/>
          <w:kern w:val="2"/>
          <w:sz w:val="28"/>
          <w:szCs w:val="28"/>
          <w:highlight w:val="none"/>
          <w:lang w:val="en-US" w:eastAsia="zh-CN" w:bidi="ar-SA"/>
        </w:rPr>
      </w:pPr>
      <w:r>
        <w:rPr>
          <w:rFonts w:hint="eastAsia"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工程地点：</w:t>
      </w:r>
      <w:r>
        <w:rPr>
          <w:rFonts w:hint="eastAsia" w:ascii="宋体" w:hAnsi="宋体" w:eastAsia="宋体" w:cs="宋体"/>
          <w:b w:val="0"/>
          <w:bCs/>
          <w:kern w:val="2"/>
          <w:sz w:val="28"/>
          <w:szCs w:val="28"/>
          <w:highlight w:val="none"/>
          <w:lang w:val="en-US" w:eastAsia="zh-CN" w:bidi="ar-SA"/>
        </w:rPr>
        <w:t>高家小学</w:t>
      </w:r>
    </w:p>
    <w:p>
      <w:pPr>
        <w:numPr>
          <w:ilvl w:val="0"/>
          <w:numId w:val="0"/>
        </w:numPr>
        <w:ind w:leftChars="0"/>
        <w:rPr>
          <w:rFonts w:hint="default"/>
          <w:lang w:val="en-US" w:eastAsia="zh-CN"/>
        </w:rPr>
      </w:pPr>
      <w:r>
        <w:rPr>
          <w:rFonts w:hint="eastAsia" w:ascii="宋体" w:hAnsi="宋体" w:eastAsia="宋体" w:cs="宋体"/>
          <w:b/>
          <w:kern w:val="2"/>
          <w:sz w:val="28"/>
          <w:szCs w:val="28"/>
          <w:highlight w:val="none"/>
          <w:lang w:val="en-US" w:eastAsia="zh-CN" w:bidi="ar-SA"/>
        </w:rPr>
        <w:t>四、质量标准：</w:t>
      </w:r>
      <w:r>
        <w:rPr>
          <w:rFonts w:hint="eastAsia" w:ascii="宋体" w:hAnsi="宋体" w:eastAsia="宋体" w:cs="宋体"/>
          <w:b w:val="0"/>
          <w:bCs/>
          <w:kern w:val="2"/>
          <w:sz w:val="28"/>
          <w:szCs w:val="28"/>
          <w:highlight w:val="none"/>
          <w:lang w:val="en-US" w:eastAsia="zh-CN" w:bidi="ar-SA"/>
        </w:rPr>
        <w:t>达到国家相关质量合格标准</w:t>
      </w:r>
    </w:p>
    <w:p>
      <w:pPr>
        <w:pStyle w:val="2"/>
        <w:ind w:firstLine="480"/>
        <w:rPr>
          <w:sz w:val="24"/>
          <w:highlight w:val="red"/>
        </w:rPr>
      </w:pPr>
    </w:p>
    <w:p>
      <w:pPr>
        <w:pStyle w:val="2"/>
        <w:ind w:firstLine="480"/>
        <w:rPr>
          <w:sz w:val="24"/>
        </w:rPr>
      </w:pPr>
    </w:p>
    <w:p>
      <w:pPr>
        <w:pStyle w:val="2"/>
        <w:ind w:firstLine="562"/>
        <w:rPr>
          <w:rFonts w:ascii="宋体" w:hAnsi="宋体" w:cs="宋体"/>
          <w:b/>
          <w:bCs/>
          <w:sz w:val="28"/>
          <w:szCs w:val="28"/>
        </w:rPr>
      </w:pPr>
      <w:r>
        <w:rPr>
          <w:rFonts w:ascii="宋体" w:hAnsi="宋体" w:cs="宋体"/>
          <w:b/>
          <w:bCs/>
          <w:sz w:val="28"/>
          <w:szCs w:val="28"/>
        </w:rPr>
        <w:t>注：工程量清单另附</w:t>
      </w:r>
    </w:p>
    <w:p>
      <w:pPr>
        <w:pStyle w:val="2"/>
        <w:ind w:firstLine="480"/>
        <w:rPr>
          <w:sz w:val="24"/>
        </w:rPr>
      </w:pPr>
    </w:p>
    <w:p>
      <w:pPr>
        <w:spacing w:line="360" w:lineRule="auto"/>
        <w:rPr>
          <w:sz w:val="24"/>
        </w:rPr>
      </w:pPr>
    </w:p>
    <w:p>
      <w:pPr>
        <w:widowControl/>
        <w:jc w:val="left"/>
        <w:rPr>
          <w:rFonts w:asciiTheme="majorEastAsia" w:hAnsiTheme="majorEastAsia" w:eastAsiaTheme="majorEastAsia" w:cstheme="majorEastAsia"/>
          <w:b/>
          <w:bCs/>
          <w:sz w:val="32"/>
          <w:szCs w:val="32"/>
        </w:rPr>
      </w:pPr>
      <w:bookmarkStart w:id="14" w:name="_Toc26337"/>
      <w:r>
        <w:rPr>
          <w:rFonts w:asciiTheme="majorEastAsia" w:hAnsiTheme="majorEastAsia" w:eastAsiaTheme="majorEastAsia" w:cstheme="majorEastAsia"/>
          <w:b/>
          <w:bCs/>
          <w:sz w:val="32"/>
          <w:szCs w:val="32"/>
        </w:rPr>
        <w:br w:type="page"/>
      </w:r>
    </w:p>
    <w:p>
      <w:pPr>
        <w:spacing w:line="440" w:lineRule="exact"/>
        <w:jc w:val="center"/>
        <w:outlineLvl w:val="0"/>
        <w:rPr>
          <w:b/>
          <w:bCs/>
          <w:sz w:val="32"/>
          <w:szCs w:val="32"/>
          <w:highlight w:val="none"/>
        </w:rPr>
      </w:pPr>
      <w:r>
        <w:rPr>
          <w:rFonts w:hint="eastAsia" w:asciiTheme="majorEastAsia" w:hAnsiTheme="majorEastAsia" w:eastAsiaTheme="majorEastAsia" w:cstheme="majorEastAsia"/>
          <w:b/>
          <w:bCs/>
          <w:sz w:val="32"/>
          <w:szCs w:val="32"/>
          <w:highlight w:val="none"/>
        </w:rPr>
        <w:t>第六章　合同草案条款</w:t>
      </w:r>
      <w:bookmarkEnd w:id="14"/>
    </w:p>
    <w:p>
      <w:pPr>
        <w:tabs>
          <w:tab w:val="left" w:pos="0"/>
          <w:tab w:val="left" w:pos="993"/>
          <w:tab w:val="left" w:pos="1134"/>
        </w:tabs>
        <w:wordWrap w:val="0"/>
        <w:adjustRightInd w:val="0"/>
        <w:snapToGrid w:val="0"/>
        <w:spacing w:line="400" w:lineRule="exact"/>
        <w:ind w:firstLine="7440" w:firstLineChars="3100"/>
        <w:rPr>
          <w:snapToGrid w:val="0"/>
          <w:sz w:val="24"/>
        </w:rPr>
      </w:pPr>
      <w:r>
        <w:rPr>
          <w:rFonts w:hint="eastAsia"/>
          <w:snapToGrid w:val="0"/>
          <w:sz w:val="24"/>
        </w:rPr>
        <w:t>编号：</w:t>
      </w:r>
    </w:p>
    <w:p>
      <w:pPr>
        <w:tabs>
          <w:tab w:val="left" w:pos="0"/>
          <w:tab w:val="left" w:pos="993"/>
          <w:tab w:val="left" w:pos="1134"/>
        </w:tabs>
        <w:adjustRightInd w:val="0"/>
        <w:snapToGrid w:val="0"/>
        <w:spacing w:line="400" w:lineRule="exact"/>
        <w:ind w:firstLine="480" w:firstLineChars="200"/>
        <w:rPr>
          <w:snapToGrid w:val="0"/>
          <w:sz w:val="24"/>
        </w:rPr>
      </w:pPr>
    </w:p>
    <w:p>
      <w:pPr>
        <w:tabs>
          <w:tab w:val="left" w:pos="0"/>
          <w:tab w:val="left" w:pos="993"/>
          <w:tab w:val="left" w:pos="1134"/>
        </w:tabs>
        <w:adjustRightInd w:val="0"/>
        <w:snapToGrid w:val="0"/>
        <w:spacing w:line="400" w:lineRule="exact"/>
        <w:ind w:firstLine="480" w:firstLineChars="200"/>
        <w:rPr>
          <w:snapToGrid w:val="0"/>
          <w:sz w:val="24"/>
        </w:rPr>
      </w:pPr>
    </w:p>
    <w:p>
      <w:pPr>
        <w:widowControl/>
        <w:jc w:val="center"/>
        <w:rPr>
          <w:rFonts w:hint="eastAsia" w:ascii="宋体" w:hAnsi="宋体" w:eastAsia="宋体"/>
          <w:b/>
          <w:bCs/>
          <w:kern w:val="0"/>
          <w:sz w:val="36"/>
          <w:szCs w:val="36"/>
          <w:lang w:eastAsia="zh-CN"/>
        </w:rPr>
      </w:pPr>
      <w:r>
        <w:rPr>
          <w:rFonts w:hint="eastAsia" w:ascii="宋体" w:hAnsi="宋体"/>
          <w:b/>
          <w:bCs/>
          <w:kern w:val="0"/>
          <w:sz w:val="36"/>
          <w:szCs w:val="36"/>
          <w:lang w:eastAsia="zh-CN"/>
        </w:rPr>
        <w:t>西安市高陵区创优质均衡发展（高家小学多功能厅改造提升项目）</w:t>
      </w:r>
    </w:p>
    <w:p>
      <w:pPr>
        <w:widowControl/>
        <w:jc w:val="center"/>
        <w:rPr>
          <w:rFonts w:ascii="宋体" w:hAnsi="宋体"/>
          <w:b/>
          <w:bCs/>
          <w:kern w:val="0"/>
          <w:sz w:val="36"/>
          <w:szCs w:val="36"/>
        </w:rPr>
      </w:pPr>
      <w:r>
        <w:rPr>
          <w:rFonts w:hint="eastAsia" w:ascii="宋体" w:hAnsi="宋体"/>
          <w:b/>
          <w:bCs/>
          <w:kern w:val="0"/>
          <w:sz w:val="36"/>
          <w:szCs w:val="36"/>
        </w:rPr>
        <w:t>施工合同（参考）</w:t>
      </w:r>
    </w:p>
    <w:p>
      <w:pPr>
        <w:widowControl/>
        <w:ind w:firstLine="200"/>
        <w:jc w:val="center"/>
        <w:rPr>
          <w:b/>
          <w:bCs/>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jc w:val="center"/>
        <w:rPr>
          <w:b/>
          <w:bCs/>
          <w:kern w:val="0"/>
          <w:sz w:val="32"/>
          <w:szCs w:val="32"/>
        </w:rPr>
      </w:pPr>
      <w:r>
        <w:rPr>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100330</wp:posOffset>
                </wp:positionV>
                <wp:extent cx="685800" cy="594360"/>
                <wp:effectExtent l="4445" t="4445" r="14605" b="10795"/>
                <wp:wrapNone/>
                <wp:docPr id="1" name="矩形 2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宋体" w:hAnsi="宋体"/>
                                <w:b/>
                                <w:sz w:val="32"/>
                                <w:szCs w:val="32"/>
                              </w:rPr>
                            </w:pPr>
                            <w:r>
                              <w:rPr>
                                <w:rFonts w:hint="eastAsia" w:ascii="宋体" w:hAnsi="宋体"/>
                                <w:b/>
                                <w:sz w:val="32"/>
                                <w:szCs w:val="32"/>
                              </w:rPr>
                              <w:t>制</w:t>
                            </w:r>
                          </w:p>
                        </w:txbxContent>
                      </wps:txbx>
                      <wps:bodyPr upright="1"/>
                    </wps:wsp>
                  </a:graphicData>
                </a:graphic>
              </wp:anchor>
            </w:drawing>
          </mc:Choice>
          <mc:Fallback>
            <w:pict>
              <v:rect id="矩形 22" o:spid="_x0000_s1026" o:spt="1" style="position:absolute;left:0pt;margin-left:315pt;margin-top:7.9pt;height:46.8pt;width:54pt;z-index:251659264;mso-width-relative:page;mso-height-relative:page;" fillcolor="#FFFFFF" filled="t" stroked="t" coordsize="21600,21600" o:gfxdata="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Nv7XAAAACgEAAA8AAAAAAAAAAQAgAAAAIgAAAGRycy9k&#10;b3ducmV2LnhtbFBLAQIUABQAAAAIAIdO4kADZY3QAwIAADcEAAAOAAAAAAAAAAEAIAAAACYBAABk&#10;cnMvZTJvRG9jLnhtbFBLBQYAAAAABgAGAFkBAACbBQAAAAA=&#10;">
                <v:fill on="t" focussize="0,0"/>
                <v:stroke color="#FFFFFF" joinstyle="miter"/>
                <v:imagedata o:title=""/>
                <o:lock v:ext="edit" aspectratio="f"/>
                <v:textbox>
                  <w:txbxContent>
                    <w:p>
                      <w:pPr>
                        <w:rPr>
                          <w:rFonts w:ascii="宋体" w:hAnsi="宋体"/>
                          <w:b/>
                          <w:sz w:val="32"/>
                          <w:szCs w:val="32"/>
                        </w:rPr>
                      </w:pPr>
                      <w:r>
                        <w:rPr>
                          <w:rFonts w:hint="eastAsia" w:ascii="宋体" w:hAnsi="宋体"/>
                          <w:b/>
                          <w:sz w:val="32"/>
                          <w:szCs w:val="32"/>
                        </w:rPr>
                        <w:t>制</w:t>
                      </w:r>
                    </w:p>
                  </w:txbxContent>
                </v:textbox>
              </v:rect>
            </w:pict>
          </mc:Fallback>
        </mc:AlternateContent>
      </w:r>
      <w:r>
        <w:rPr>
          <w:b/>
          <w:bCs/>
          <w:spacing w:val="95"/>
          <w:kern w:val="0"/>
          <w:sz w:val="32"/>
          <w:szCs w:val="32"/>
        </w:rPr>
        <w:t>陕西省建设</w:t>
      </w:r>
      <w:r>
        <w:rPr>
          <w:b/>
          <w:bCs/>
          <w:kern w:val="0"/>
          <w:sz w:val="32"/>
          <w:szCs w:val="32"/>
        </w:rPr>
        <w:t>厅</w:t>
      </w:r>
    </w:p>
    <w:p>
      <w:pPr>
        <w:widowControl/>
        <w:jc w:val="center"/>
        <w:rPr>
          <w:b/>
          <w:bCs/>
          <w:kern w:val="0"/>
          <w:sz w:val="32"/>
          <w:szCs w:val="32"/>
        </w:rPr>
      </w:pPr>
      <w:r>
        <w:rPr>
          <w:b/>
          <w:bCs/>
          <w:w w:val="81"/>
          <w:kern w:val="0"/>
          <w:sz w:val="32"/>
          <w:szCs w:val="32"/>
        </w:rPr>
        <w:t>陕西省工商行政管理局</w:t>
      </w:r>
    </w:p>
    <w:p>
      <w:pPr>
        <w:widowControl/>
        <w:jc w:val="center"/>
        <w:rPr>
          <w:sz w:val="28"/>
          <w:szCs w:val="28"/>
        </w:rPr>
      </w:pPr>
      <w:r>
        <w:rPr>
          <w:b/>
          <w:bCs/>
          <w:w w:val="81"/>
          <w:kern w:val="0"/>
          <w:sz w:val="32"/>
          <w:szCs w:val="32"/>
        </w:rPr>
        <w:t>二零</w:t>
      </w:r>
      <w:r>
        <w:rPr>
          <w:rFonts w:hint="eastAsia"/>
          <w:b/>
          <w:bCs/>
          <w:w w:val="81"/>
          <w:kern w:val="0"/>
          <w:sz w:val="32"/>
          <w:szCs w:val="32"/>
        </w:rPr>
        <w:t>二</w:t>
      </w:r>
      <w:r>
        <w:rPr>
          <w:rFonts w:hint="eastAsia"/>
          <w:b/>
          <w:bCs/>
          <w:w w:val="81"/>
          <w:kern w:val="0"/>
          <w:sz w:val="32"/>
          <w:szCs w:val="32"/>
          <w:lang w:eastAsia="zh-CN"/>
        </w:rPr>
        <w:t>二</w:t>
      </w:r>
      <w:r>
        <w:rPr>
          <w:b/>
          <w:bCs/>
          <w:w w:val="81"/>
          <w:kern w:val="0"/>
          <w:sz w:val="32"/>
          <w:szCs w:val="32"/>
        </w:rPr>
        <w:t>年</w:t>
      </w:r>
      <w:bookmarkStart w:id="15" w:name="_Toc231459932"/>
      <w:r>
        <w:rPr>
          <w:rFonts w:hint="eastAsia"/>
          <w:b/>
          <w:bCs/>
          <w:w w:val="81"/>
          <w:kern w:val="0"/>
          <w:sz w:val="32"/>
          <w:szCs w:val="32"/>
        </w:rPr>
        <w:t xml:space="preserve">   月 </w:t>
      </w:r>
      <w:r>
        <w:rPr>
          <w:sz w:val="24"/>
        </w:rPr>
        <w:br w:type="page"/>
      </w:r>
      <w:r>
        <w:rPr>
          <w:sz w:val="28"/>
          <w:szCs w:val="28"/>
        </w:rPr>
        <w:t>第一部分  协议书</w:t>
      </w:r>
      <w:bookmarkEnd w:id="15"/>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发包人（全称）：</w:t>
      </w:r>
      <w:r>
        <w:rPr>
          <w:rFonts w:hint="eastAsia" w:asciiTheme="minorEastAsia" w:hAnsiTheme="minorEastAsia" w:eastAsiaTheme="minorEastAsia"/>
          <w:kern w:val="0"/>
          <w:sz w:val="24"/>
        </w:rPr>
        <w:t xml:space="preserve"> </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b/>
          <w:kern w:val="0"/>
          <w:sz w:val="24"/>
          <w:u w:val="single"/>
        </w:rPr>
      </w:pPr>
      <w:r>
        <w:rPr>
          <w:rFonts w:asciiTheme="minorEastAsia" w:hAnsiTheme="minorEastAsia" w:eastAsiaTheme="minorEastAsia"/>
          <w:kern w:val="0"/>
          <w:sz w:val="24"/>
        </w:rPr>
        <w:t>承包人（全称）：</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依照《中华人民共和国</w:t>
      </w:r>
      <w:r>
        <w:rPr>
          <w:rFonts w:hint="eastAsia" w:asciiTheme="minorEastAsia" w:hAnsiTheme="minorEastAsia" w:eastAsiaTheme="minorEastAsia"/>
          <w:kern w:val="0"/>
          <w:sz w:val="24"/>
          <w:lang w:eastAsia="zh-CN"/>
        </w:rPr>
        <w:t>民法典</w:t>
      </w:r>
      <w:r>
        <w:rPr>
          <w:rFonts w:asciiTheme="minorEastAsia" w:hAnsiTheme="minorEastAsia" w:eastAsiaTheme="minorEastAsia"/>
          <w:kern w:val="0"/>
          <w:sz w:val="24"/>
        </w:rPr>
        <w:t>》、《中华人民共和国建筑法》及其他有关法律、行政法规，遵循平等、自愿、公平和诚实信用的原则，双方就本建设工程施工协商一致，订立本合同。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一、工程概况</w:t>
      </w:r>
    </w:p>
    <w:p>
      <w:pPr>
        <w:adjustRightInd w:val="0"/>
        <w:snapToGrid w:val="0"/>
        <w:spacing w:line="360" w:lineRule="auto"/>
        <w:ind w:firstLine="480" w:firstLineChars="200"/>
        <w:jc w:val="left"/>
        <w:rPr>
          <w:rFonts w:hint="eastAsia" w:asciiTheme="minorEastAsia" w:hAnsiTheme="minorEastAsia" w:eastAsiaTheme="minorEastAsia"/>
          <w:kern w:val="0"/>
          <w:sz w:val="24"/>
          <w:u w:val="single"/>
          <w:lang w:eastAsia="zh-CN"/>
        </w:rPr>
      </w:pPr>
      <w:r>
        <w:rPr>
          <w:rFonts w:asciiTheme="minorEastAsia" w:hAnsiTheme="minorEastAsia" w:eastAsiaTheme="minorEastAsia"/>
          <w:kern w:val="0"/>
          <w:sz w:val="24"/>
        </w:rPr>
        <w:t>工程名称：</w:t>
      </w:r>
      <w:r>
        <w:rPr>
          <w:rFonts w:hint="eastAsia" w:asciiTheme="minorEastAsia" w:hAnsiTheme="minorEastAsia" w:eastAsiaTheme="minorEastAsia"/>
          <w:kern w:val="0"/>
          <w:sz w:val="24"/>
          <w:u w:val="single"/>
          <w:lang w:eastAsia="zh-CN"/>
        </w:rPr>
        <w:t>西安市高陵区创优质均衡发展（高家小学多功能厅改造提升项目）</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工程地点：</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结构形式：</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asciiTheme="minorEastAsia" w:hAnsiTheme="minorEastAsia" w:eastAsiaTheme="minorEastAsia"/>
          <w:kern w:val="0"/>
          <w:sz w:val="24"/>
        </w:rPr>
        <w:t>　　建筑面积：</w:t>
      </w:r>
      <w:r>
        <w:rPr>
          <w:rFonts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群体工程应附承包人承揽工程项目一览表（附件1）</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工程立项文号：</w:t>
      </w:r>
    </w:p>
    <w:p>
      <w:pPr>
        <w:widowControl/>
        <w:spacing w:line="360" w:lineRule="auto"/>
        <w:ind w:firstLine="480" w:firstLineChars="200"/>
        <w:jc w:val="left"/>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资金来源：</w:t>
      </w:r>
      <w:r>
        <w:rPr>
          <w:rFonts w:hint="eastAsia" w:asciiTheme="minorEastAsia" w:hAnsiTheme="minorEastAsia" w:eastAsiaTheme="minorEastAsia" w:cstheme="minorEastAsia"/>
          <w:color w:val="000000" w:themeColor="text1"/>
          <w:sz w:val="24"/>
          <w14:textFill>
            <w14:solidFill>
              <w14:schemeClr w14:val="tx1"/>
            </w14:solidFill>
          </w14:textFill>
        </w:rPr>
        <w:t>财政资金</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二、工程承包范围</w:t>
      </w:r>
    </w:p>
    <w:p>
      <w:pPr>
        <w:pStyle w:val="40"/>
        <w:spacing w:line="360" w:lineRule="auto"/>
        <w:ind w:left="433" w:leftChars="206" w:firstLine="480" w:firstLineChars="200"/>
        <w:rPr>
          <w:rFonts w:asciiTheme="minorEastAsia" w:hAnsiTheme="minorEastAsia" w:eastAsiaTheme="minorEastAsia"/>
          <w:snapToGrid w:val="0"/>
          <w:sz w:val="24"/>
          <w:u w:val="single"/>
        </w:rPr>
      </w:pPr>
      <w:r>
        <w:rPr>
          <w:rFonts w:asciiTheme="minorEastAsia" w:hAnsiTheme="minorEastAsia" w:eastAsiaTheme="minorEastAsia"/>
          <w:sz w:val="24"/>
        </w:rPr>
        <w:t>承包范围：</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三、合同工期：</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总日历天数</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日历天</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开工日期：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竣工日期：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四、质量标准</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工程质量标准：</w:t>
      </w:r>
      <w:r>
        <w:rPr>
          <w:rFonts w:asciiTheme="minorEastAsia" w:hAnsiTheme="minorEastAsia" w:eastAsiaTheme="minorEastAsia"/>
          <w:kern w:val="0"/>
          <w:sz w:val="24"/>
          <w:u w:val="single"/>
        </w:rPr>
        <w:t xml:space="preserve"> 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格</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五、合同价款</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1、合同总价（大写）：</w:t>
      </w:r>
      <w:r>
        <w:rPr>
          <w:rFonts w:asciiTheme="minorEastAsia" w:hAnsiTheme="minorEastAsia" w:eastAsiaTheme="minorEastAsia"/>
          <w:sz w:val="24"/>
        </w:rPr>
        <w:t>人民币</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u w:val="single"/>
        </w:rPr>
        <w:t>（小写）￥：</w:t>
      </w:r>
      <w:r>
        <w:rPr>
          <w:rFonts w:hint="eastAsia" w:asciiTheme="minorEastAsia" w:hAnsiTheme="minorEastAsia" w:eastAsiaTheme="minorEastAsia"/>
          <w:sz w:val="24"/>
          <w:u w:val="single"/>
        </w:rPr>
        <w:t xml:space="preserve">      </w:t>
      </w:r>
      <w:r>
        <w:rPr>
          <w:rFonts w:asciiTheme="minorEastAsia" w:hAnsiTheme="minorEastAsia" w:eastAsiaTheme="minorEastAsia"/>
          <w:kern w:val="0"/>
          <w:sz w:val="24"/>
          <w:u w:val="single"/>
        </w:rPr>
        <w:t>元</w:t>
      </w:r>
      <w:r>
        <w:rPr>
          <w:rFonts w:asciiTheme="minorEastAsia" w:hAnsiTheme="minorEastAsia" w:eastAsiaTheme="minorEastAsia"/>
          <w:kern w:val="0"/>
          <w:sz w:val="24"/>
        </w:rPr>
        <w:t>（其中：工程预留金</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元，零星工作费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元，安全防护、文明施工措施费</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元，工程分包和材料购置费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总承包服务费</w:t>
      </w:r>
      <w:r>
        <w:rPr>
          <w:rFonts w:hint="eastAsia" w:asciiTheme="minorEastAsia" w:hAnsiTheme="minorEastAsia" w:eastAsiaTheme="minorEastAsia"/>
          <w:kern w:val="0"/>
          <w:sz w:val="24"/>
          <w:u w:val="single"/>
        </w:rPr>
        <w:t xml:space="preserve">   /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元。)</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2、综合单价：详见承包人的报价书。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六、组成合同的文件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组成本合同的文件包括：</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1、本合同协议书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2、本合同专用条款</w:t>
      </w:r>
    </w:p>
    <w:p>
      <w:pPr>
        <w:widowControl/>
        <w:spacing w:line="360" w:lineRule="auto"/>
        <w:ind w:firstLine="480" w:firstLineChars="200"/>
        <w:jc w:val="left"/>
        <w:rPr>
          <w:rFonts w:asciiTheme="minorEastAsia" w:hAnsiTheme="minorEastAsia" w:eastAsiaTheme="minorEastAsia"/>
          <w:b/>
          <w:bCs/>
          <w:kern w:val="0"/>
          <w:sz w:val="24"/>
        </w:rPr>
      </w:pPr>
      <w:r>
        <w:rPr>
          <w:rFonts w:asciiTheme="minorEastAsia" w:hAnsiTheme="minorEastAsia" w:eastAsiaTheme="minorEastAsia"/>
          <w:kern w:val="0"/>
          <w:sz w:val="24"/>
        </w:rPr>
        <w:t>3、本合同通用条款</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成交</w:t>
      </w:r>
      <w:r>
        <w:rPr>
          <w:rFonts w:asciiTheme="minorEastAsia" w:hAnsiTheme="minorEastAsia" w:eastAsiaTheme="minorEastAsia"/>
          <w:kern w:val="0"/>
          <w:sz w:val="24"/>
        </w:rPr>
        <w:t>通知书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5、投标书、工程报价单或预算书及其附件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6、招标文件、答疑纪要及工程量清单</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7、图纸</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8、标准、规范及有关技术文件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9、本工程招标期间</w:t>
      </w:r>
      <w:r>
        <w:rPr>
          <w:rFonts w:hint="eastAsia" w:asciiTheme="minorEastAsia" w:hAnsiTheme="minorEastAsia" w:eastAsiaTheme="minorEastAsia"/>
          <w:kern w:val="0"/>
          <w:sz w:val="24"/>
        </w:rPr>
        <w:t>采购人</w:t>
      </w:r>
      <w:r>
        <w:rPr>
          <w:rFonts w:asciiTheme="minorEastAsia" w:hAnsiTheme="minorEastAsia" w:eastAsiaTheme="minorEastAsia"/>
          <w:kern w:val="0"/>
          <w:sz w:val="24"/>
        </w:rPr>
        <w:t>的书面澄清文件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双方为履行本合同的有关洽商、变更等书面协议、文件，视为本合同的组成部分。</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七、本协议书中有关词语含义与本合同第二部分《通用条款》中赋予的定义相同。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八、承包人按照合同约定进行施工、竣工并在质量保修期内承担工程质量保修责任。</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九、发包人按照合同约定的期限和方式支付合同价款及其他应当支付的款项。</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十、合同生效</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合同订立时间：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月</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合同订立地点：</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本合同双方约定_</w:t>
      </w:r>
      <w:r>
        <w:rPr>
          <w:rFonts w:hint="eastAsia" w:asciiTheme="minorEastAsia" w:hAnsiTheme="minorEastAsia" w:eastAsiaTheme="minorEastAsia"/>
          <w:kern w:val="0"/>
          <w:sz w:val="24"/>
          <w:u w:val="single"/>
        </w:rPr>
        <w:t>双方法定代表人或委托代理人</w:t>
      </w:r>
      <w:r>
        <w:rPr>
          <w:rFonts w:hint="eastAsia" w:asciiTheme="minorEastAsia" w:hAnsiTheme="minorEastAsia" w:eastAsiaTheme="minorEastAsia"/>
          <w:kern w:val="0"/>
          <w:sz w:val="24"/>
        </w:rPr>
        <w:t>签字</w:t>
      </w:r>
      <w:r>
        <w:rPr>
          <w:rFonts w:asciiTheme="minorEastAsia" w:hAnsiTheme="minorEastAsia" w:eastAsiaTheme="minorEastAsia"/>
          <w:kern w:val="0"/>
          <w:sz w:val="24"/>
        </w:rPr>
        <w:t>后生效。</w:t>
      </w:r>
    </w:p>
    <w:p>
      <w:pPr>
        <w:widowControl/>
        <w:spacing w:line="360" w:lineRule="auto"/>
        <w:ind w:firstLine="480" w:firstLineChars="200"/>
        <w:jc w:val="left"/>
        <w:rPr>
          <w:rFonts w:asciiTheme="minorEastAsia" w:hAnsiTheme="minorEastAsia" w:eastAsiaTheme="minorEastAsia"/>
          <w:kern w:val="0"/>
          <w:sz w:val="24"/>
        </w:rPr>
      </w:pPr>
    </w:p>
    <w:p>
      <w:pPr>
        <w:widowControl/>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乙方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p>
    <w:p>
      <w:pPr>
        <w:autoSpaceDE w:val="0"/>
        <w:autoSpaceDN w:val="0"/>
        <w:adjustRightInd w:val="0"/>
        <w:spacing w:line="360" w:lineRule="auto"/>
        <w:ind w:left="4559" w:leftChars="228" w:hanging="4080" w:hangingChars="1700"/>
        <w:rPr>
          <w:rFonts w:asciiTheme="minorEastAsia" w:hAnsiTheme="minorEastAsia" w:eastAsiaTheme="minorEastAsia"/>
          <w:kern w:val="0"/>
          <w:sz w:val="24"/>
          <w:u w:val="single"/>
        </w:rPr>
      </w:pP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电话：</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电话：</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p>
    <w:p>
      <w:pPr>
        <w:widowControl/>
        <w:spacing w:line="360" w:lineRule="auto"/>
        <w:ind w:left="5519" w:leftChars="228" w:hanging="5040" w:hangingChars="2100"/>
        <w:jc w:val="left"/>
        <w:rPr>
          <w:rFonts w:asciiTheme="minorEastAsia" w:hAnsiTheme="minorEastAsia" w:eastAsiaTheme="minorEastAsia"/>
          <w:kern w:val="0"/>
          <w:sz w:val="24"/>
        </w:rPr>
      </w:pPr>
      <w:r>
        <w:rPr>
          <w:rFonts w:asciiTheme="minorEastAsia" w:hAnsiTheme="minorEastAsia" w:eastAsiaTheme="minorEastAsia"/>
          <w:kern w:val="0"/>
          <w:sz w:val="24"/>
        </w:rPr>
        <w:t xml:space="preserve">开户银行：______________         </w:t>
      </w:r>
      <w:r>
        <w:rPr>
          <w:rFonts w:hint="eastAsia" w:asciiTheme="minorEastAsia" w:hAnsiTheme="minorEastAsia" w:eastAsiaTheme="minorEastAsia"/>
          <w:kern w:val="0"/>
          <w:sz w:val="24"/>
        </w:rPr>
        <w:t>　　　</w:t>
      </w:r>
      <w:r>
        <w:rPr>
          <w:rFonts w:asciiTheme="minorEastAsia" w:hAnsiTheme="minorEastAsia" w:eastAsiaTheme="minorEastAsia"/>
          <w:kern w:val="0"/>
          <w:sz w:val="24"/>
        </w:rPr>
        <w:t>开户银行：</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p>
    <w:p>
      <w:pPr>
        <w:widowControl/>
        <w:spacing w:line="360" w:lineRule="auto"/>
        <w:ind w:firstLine="482" w:firstLineChars="200"/>
        <w:jc w:val="center"/>
        <w:rPr>
          <w:b/>
          <w:bCs/>
          <w:kern w:val="0"/>
          <w:sz w:val="24"/>
        </w:rPr>
      </w:pPr>
    </w:p>
    <w:p>
      <w:pPr>
        <w:spacing w:line="400" w:lineRule="exact"/>
        <w:rPr>
          <w:bCs/>
          <w:kern w:val="0"/>
          <w:sz w:val="24"/>
        </w:rPr>
        <w:sectPr>
          <w:pgSz w:w="11906" w:h="16838"/>
          <w:pgMar w:top="1440" w:right="1457" w:bottom="1440" w:left="1463" w:header="851" w:footer="992" w:gutter="0"/>
          <w:cols w:space="0" w:num="1"/>
          <w:docGrid w:type="lines" w:linePitch="312" w:charSpace="0"/>
        </w:sectPr>
      </w:pPr>
    </w:p>
    <w:p>
      <w:pPr>
        <w:pStyle w:val="4"/>
        <w:spacing w:line="400" w:lineRule="exact"/>
        <w:jc w:val="center"/>
        <w:rPr>
          <w:rFonts w:ascii="Times New Roman" w:hAnsi="Times New Roman" w:eastAsia="宋体"/>
          <w:sz w:val="24"/>
          <w:szCs w:val="24"/>
        </w:rPr>
      </w:pPr>
      <w:bookmarkStart w:id="16" w:name="_Toc231459933"/>
      <w:r>
        <w:rPr>
          <w:rFonts w:ascii="Times New Roman" w:hAnsi="Times New Roman" w:eastAsia="宋体"/>
        </w:rPr>
        <w:t>第二部分  通用条款</w:t>
      </w:r>
      <w:bookmarkEnd w:id="16"/>
    </w:p>
    <w:p>
      <w:pPr>
        <w:widowControl/>
        <w:spacing w:line="360" w:lineRule="auto"/>
        <w:ind w:firstLine="482" w:firstLineChars="200"/>
        <w:jc w:val="left"/>
        <w:rPr>
          <w:rFonts w:asciiTheme="minorEastAsia" w:hAnsiTheme="minorEastAsia" w:eastAsiaTheme="minorEastAsia" w:cstheme="minorEastAsia"/>
          <w:b/>
          <w:kern w:val="0"/>
          <w:sz w:val="24"/>
        </w:rPr>
      </w:pPr>
      <w:bookmarkStart w:id="17" w:name="_Toc15144"/>
      <w:r>
        <w:rPr>
          <w:rFonts w:hint="eastAsia" w:asciiTheme="minorEastAsia" w:hAnsiTheme="minorEastAsia" w:eastAsiaTheme="minorEastAsia" w:cstheme="minorEastAsia"/>
          <w:b/>
          <w:kern w:val="0"/>
          <w:sz w:val="24"/>
        </w:rPr>
        <w:t>一、词语定义及合同文件</w:t>
      </w:r>
      <w:bookmarkEnd w:id="17"/>
    </w:p>
    <w:p>
      <w:pPr>
        <w:widowControl/>
        <w:spacing w:line="360" w:lineRule="auto"/>
        <w:ind w:firstLine="480" w:firstLineChars="200"/>
        <w:jc w:val="left"/>
        <w:rPr>
          <w:rFonts w:asciiTheme="minorEastAsia" w:hAnsiTheme="minorEastAsia" w:eastAsiaTheme="minorEastAsia" w:cstheme="minorEastAsia"/>
          <w:kern w:val="0"/>
          <w:sz w:val="24"/>
        </w:rPr>
      </w:pPr>
      <w:bookmarkStart w:id="18" w:name="_Toc11858"/>
      <w:r>
        <w:rPr>
          <w:rFonts w:hint="eastAsia" w:asciiTheme="minorEastAsia" w:hAnsiTheme="minorEastAsia" w:eastAsiaTheme="minorEastAsia" w:cstheme="minorEastAsia"/>
          <w:kern w:val="0"/>
          <w:sz w:val="24"/>
        </w:rPr>
        <w:t>1、词语定义</w:t>
      </w:r>
      <w:bookmarkEnd w:id="18"/>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下列词语除专用条款另有约定外，应具有本条所赋予的定义：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1.1通用条款：是根据法律、行政法规规定及建设工程施工的需要订立，通用于建设工程施工的条款。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1.2专用条款：是发包人与承包人根据法律、行政法规规定，结合具体工程实际，经协商达成一致意见的条款，是对通用条款的具体化、补充或修改。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1.3发包人：指在协议书中约定，具有工程发包主体资格和支付工程价款能力的当事人以及取得该当事人资格的合法继承人。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1.4承包人：指在协议书中约定，被发包人接受的具有工程施工承包主体资格的当事人以及取得该当事人资格的合法继承人。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1.5项目经理：指承包人在专用条款中指定的具有执业资格的负责施工管理和合同履行的代表。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1.6设计单位：指发包人委托的负责本工程设计并取得相应工程设计资质等级证书的单位。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1.7监理单位：指发包人委托的负责本工程监理并取得相应工程监理资质等级证书的单位。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1.8工程师：指本工程监理单位委派的总监理工程师或发包人指定的履行本合同的代表，其具体身份和职权由发包人承包人在专用条款中约定。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1.9工程造价管理部门：指国务院有关部门、县级以上人民政府建设行政主管部门或其委托的工程造价管理机构。</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1.10工程：指发包人承包人在协议书中约定的承包范围内的工程。</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1.11工程量清单：表现拟建工程的分部分项工程项目、措施项目、其他项目名称和相应数量的明细清单。</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1.12综合单价：完成工程量清单中一个规定计量单位项目所需的人工费、材料费、机械使用费、管理费和利润，并考虑风险因素。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1.13合同价款：指发包人承包人在协议书中约定，发包人用以支付承包人按照合同约定完成承包范围内全部工程并承担质量保修责任的款项。</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1.14预留金：指发包人为可能发生的工程量变更而预留的款额。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1.15工程分包和材料购置费：指发包人将按有关规定准予分包的工作、指定分包人或指定材料供应商供应材料而预留的款额。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1.16总承包服务费：为配合协调发包人进行的工程分包和材料采购所需的费用。</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1.17零星工作项目费：完成发包人提出的工程量暂估的零星工作所需的费用。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1.18追加合同价款：指在合同履行中发生需要增加合同价款的情况，经发包人确认后按计算合同价款的方法增加的合同价款。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1.19费用：指不包含在合同价款之内的应当由发包人或承包人承担的经济支出。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1.20工期：指发包人承包人在协议书中约定，按总日历天数（包括法定节假日）计算的承包天数。</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1.21开工日期：指发包人承包人在协议书中约定，承包人开始施工的绝对或相对的日期。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1.22竣工日期：指发包人承包人在协议书中约定，承包人完成承包范围内工程的绝对或相对的日期。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1.23图纸：指由发包人提供或由承包人提供并经发包人批准，满足承包人施工需要的所有图纸（包括配套说明和有关资料）。</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1.24施工场地：指由发包人提供的用于工程施工的场所以及发包人在图纸中具体指定的供施工使用的任何其他场所。</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1.25书面形式：指合同书、信件和数据电文（包括电报、电传、传真、电子数据交换和电子邮件）等可以有形地表现所载内容的形式。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1.26违约责任：指合同一方不履行合同义务或履行合同义务不符合约定所应承担的责任。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1.27索赔：指在合同履行过程中，对于并非自己的过错，而是应由对方承担责任的情况造成的实际损失，向对方提出经济补偿和（或）工期顺延的要求。</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1.28不可抗力：指不能预见、不能避免并不能克服的客观情况。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２、合同文件及解释顺序</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2.1合同文件应能相互解释，互为说明。除专用条款另有约定外，组成本合同的文件及优先解释顺序如下：</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2.1.1本合同协议书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2.1.2本合同专用条款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2.1.3本合同通用条款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2.1.4成交通知书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2.1.5投标书、工程报价单或预算书及其附件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2.1.6招标文件、答疑纪要及工程量清单　</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2.1.7图纸</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2.1.8标准、规范及有关技术文件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双方为履行本合同的有关洽商、变更等书面协议、文件，视为本合同的组成部分。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3、语言文字和适用法律、标准及规范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3.1语言文字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本合同文件使用汉语语言文字书写、解释和说明。如专用条款约定使用两种以上（含两种）语言文字时，汉语应为解释和说明本合同的标准语言文字。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3.2适用法律和法规</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本合同文件适用国家的法律和行政法规。需要明示的法律、行政法规，由双方在专用条款中约定。</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3.3适用标准、规范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本条所发生的购买、翻译标准、规范或制定施工工艺的费用，由发包人承担。</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４、图纸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4.2承包人未经发包人同意，不得将本工程图纸转给第三人。工程质量保修期满后，除承包人存档需要的图纸外，应将全部图纸退还给发包人。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4.3承包人应在施工现场保留一套完整图纸，供工程师及有关人员进行工程检查时使用。</w:t>
      </w:r>
    </w:p>
    <w:p>
      <w:pPr>
        <w:widowControl/>
        <w:spacing w:line="360" w:lineRule="auto"/>
        <w:ind w:firstLine="482" w:firstLineChars="200"/>
        <w:jc w:val="left"/>
        <w:rPr>
          <w:rFonts w:ascii="宋体" w:hAnsi="宋体" w:cs="宋体"/>
          <w:b/>
          <w:kern w:val="0"/>
          <w:sz w:val="24"/>
        </w:rPr>
      </w:pPr>
      <w:bookmarkStart w:id="19" w:name="_Toc11911"/>
      <w:r>
        <w:rPr>
          <w:rFonts w:hint="eastAsia" w:ascii="宋体" w:hAnsi="宋体" w:cs="宋体"/>
          <w:b/>
          <w:kern w:val="0"/>
          <w:sz w:val="24"/>
        </w:rPr>
        <w:t>二、双方一般权利和义务</w:t>
      </w:r>
      <w:bookmarkEnd w:id="19"/>
    </w:p>
    <w:p>
      <w:pPr>
        <w:widowControl/>
        <w:spacing w:line="360" w:lineRule="auto"/>
        <w:ind w:firstLine="480" w:firstLineChars="200"/>
        <w:jc w:val="left"/>
        <w:rPr>
          <w:rFonts w:ascii="宋体" w:hAnsi="宋体" w:cs="宋体"/>
          <w:kern w:val="0"/>
          <w:sz w:val="24"/>
        </w:rPr>
      </w:pPr>
      <w:bookmarkStart w:id="20" w:name="_Toc25533"/>
      <w:r>
        <w:rPr>
          <w:rFonts w:hint="eastAsia" w:ascii="宋体" w:hAnsi="宋体" w:cs="宋体"/>
          <w:kern w:val="0"/>
          <w:sz w:val="24"/>
        </w:rPr>
        <w:t>５、工程师</w:t>
      </w:r>
      <w:bookmarkEnd w:id="20"/>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5.1实行工程监理的，发包人应在实施监理前将委托的监理单位名称、监理内容及监理权限以书面形式通知承包人。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5.5除合同内有明确约定或经发包人同意外，负责监理的工程师无权解除本合同约定的承包人的任何权利与义务。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5.6不实行工程监理的，本合同中工程师专指发包人派驻施工场地履行合同的代表，其具体职权由发包人在专用条款内写明。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bookmarkStart w:id="21" w:name="_Toc6605"/>
      <w:r>
        <w:rPr>
          <w:rFonts w:hint="eastAsia" w:asciiTheme="minorEastAsia" w:hAnsiTheme="minorEastAsia" w:eastAsiaTheme="minorEastAsia" w:cstheme="minorEastAsia"/>
          <w:kern w:val="0"/>
          <w:sz w:val="24"/>
        </w:rPr>
        <w:t>６、工程师的委派和指令</w:t>
      </w:r>
      <w:bookmarkEnd w:id="21"/>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除工程师或工程师代表外，发包人派驻工地的其他人员均无权向承包人发出任何指令。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本款规定同样适用于由工程师代表发出的指令、通知。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6.4如需更换工程师，发包人应至少提前7天以书面形式通知承包人，后任继续行使合同文件约定的前任的职权，履行前任的义务。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bookmarkStart w:id="22" w:name="_Toc20723"/>
      <w:r>
        <w:rPr>
          <w:rFonts w:hint="eastAsia" w:asciiTheme="minorEastAsia" w:hAnsiTheme="minorEastAsia" w:eastAsiaTheme="minorEastAsia" w:cstheme="minorEastAsia"/>
          <w:kern w:val="0"/>
          <w:sz w:val="24"/>
        </w:rPr>
        <w:t>７、项目经理</w:t>
      </w:r>
      <w:bookmarkEnd w:id="22"/>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7.1项目经理的姓名、职务在专用条款内写明。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7.2承包人依据合同发出的通知，以书面形式由项目经理签字后送交工程师，工程师在回执上签署姓名和收到时间后生效。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7.4承包人如需要更换项目经理，应至少提前7天以书面形式通知发包人，</w:t>
      </w:r>
      <w:r>
        <w:rPr>
          <w:rFonts w:hint="eastAsia" w:asciiTheme="minorEastAsia" w:hAnsiTheme="minorEastAsia" w:eastAsiaTheme="minorEastAsia" w:cstheme="minorEastAsia"/>
          <w:bCs/>
          <w:kern w:val="0"/>
          <w:sz w:val="24"/>
        </w:rPr>
        <w:t>并</w:t>
      </w:r>
      <w:r>
        <w:rPr>
          <w:rFonts w:hint="eastAsia" w:asciiTheme="minorEastAsia" w:hAnsiTheme="minorEastAsia" w:eastAsiaTheme="minorEastAsia" w:cstheme="minorEastAsia"/>
          <w:kern w:val="0"/>
          <w:sz w:val="24"/>
        </w:rPr>
        <w:t>征得发包人同意。后任继续行使合同文件约定的前任的职权，履行前任的义务。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7.5发包人可以与承包人协商，建议更换其认为不称职的项目经理。</w:t>
      </w:r>
    </w:p>
    <w:p>
      <w:pPr>
        <w:widowControl/>
        <w:spacing w:line="360" w:lineRule="auto"/>
        <w:ind w:firstLine="480" w:firstLineChars="200"/>
        <w:jc w:val="left"/>
        <w:rPr>
          <w:rFonts w:asciiTheme="minorEastAsia" w:hAnsiTheme="minorEastAsia" w:eastAsiaTheme="minorEastAsia" w:cstheme="minorEastAsia"/>
          <w:kern w:val="0"/>
          <w:sz w:val="24"/>
        </w:rPr>
      </w:pPr>
      <w:bookmarkStart w:id="23" w:name="_Toc20532"/>
      <w:r>
        <w:rPr>
          <w:rFonts w:hint="eastAsia" w:asciiTheme="minorEastAsia" w:hAnsiTheme="minorEastAsia" w:eastAsiaTheme="minorEastAsia" w:cstheme="minorEastAsia"/>
          <w:kern w:val="0"/>
          <w:sz w:val="24"/>
        </w:rPr>
        <w:t>８、发包人工作</w:t>
      </w:r>
      <w:bookmarkEnd w:id="23"/>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8.1发包人按专用条款约定的内容和时间完成以下工作：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（1）办理土地征用、拆迁补偿、平整施工场地等工作，使施工场地具备施工条件，在开工后继续负责解决以上事项遗留问题；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（2）将施工所需水、电、电讯线路从施工场地外部接至专用条款约定地点，保证施工期间的需要；</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（3）开通施工场地与城乡公共道路的通道，以及专用条款约定的施工场地内的主要道路，满足施工运输的需要，保证施工期间的畅通；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（4）向承包人提供施工场地的工程地质和地下管线资料，对资料的真实准确性负责；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（5）办理施工许可证及其它施工所需批件和临时用地、停水、停电、中断道路交通、爆破作业等的证件申请批准手续（证明承包人自身资质的证件除外）；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（6）确定水准点与坐标控制点，以书面形式交给承包人，进行现场交验；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（7）组织承包人和设计单位进行图纸会审和设计交底；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（8）协调处理施工场地周围地下管线和邻近建筑物、构筑物（包括文物保护建筑）、古树名木的保护工作、承担有关费用；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（9）发包人应做的其他工作，双方在专用条款内约定。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8.2发包人可以将8.1款部分工作委托承包人办理，双方在专用条款内约定，其费用由发包人承担。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8.3发包人未能履行8.1款各项义务，导致工期延误或给承包人造成损失的，发包人赔偿承包人有关损失，顺延延误的工期。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bookmarkStart w:id="24" w:name="_Toc4679"/>
      <w:r>
        <w:rPr>
          <w:rFonts w:hint="eastAsia" w:asciiTheme="minorEastAsia" w:hAnsiTheme="minorEastAsia" w:eastAsiaTheme="minorEastAsia" w:cstheme="minorEastAsia"/>
          <w:kern w:val="0"/>
          <w:sz w:val="24"/>
        </w:rPr>
        <w:t>９、承包人工作</w:t>
      </w:r>
      <w:bookmarkEnd w:id="24"/>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9.1承包人按专用条款约定的内容和时间完成以下工作：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（1）根据发包人委托，在其设计资质等级和业务允许的范围内，完成施工图设计或与工程配套的设计，经工程师确认后使用，发包人承担由此发生的费用；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（2）向工程师提供年、季、月度工程进度计划及相应进度统计报表；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（3）根据工程需要，提供和维修非夜间施工使用的照明、围栏设施；负责施工现场安全保卫；</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（4）按专用条款约定的数量和要求，向发包人提供施工场地办公和生活的房屋及设施，发包人承担由此发生的费用；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（5）遵守政府有关主管部门对施工场地安全防护、文明施工、环境保护以及场地交通等的管理规定，按规定办理有关手续，并以书面形式通知发包人。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（7）按专用条款约定做好施工场地地下管线和邻近建筑物、构筑物（包括文物保护建筑）、古树名木的保护工作</w:t>
      </w:r>
      <w:r>
        <w:rPr>
          <w:rFonts w:hint="eastAsia" w:asciiTheme="minorEastAsia" w:hAnsiTheme="minorEastAsia" w:eastAsiaTheme="minorEastAsia" w:cstheme="minorEastAsia"/>
          <w:b/>
          <w:bCs/>
          <w:kern w:val="0"/>
          <w:sz w:val="24"/>
        </w:rPr>
        <w:t>；</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（8）保证施工场地清洁符合环境卫生管理的有关规定，交工前清理现场达到专用条款约定的要求，承担因自身原因违反有关规定造成的损失和罚款；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（9）承包人应做的其他工作，双方在专用条款内约定。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9.2承包人未能履行9.1款各项义务，造成发包人损失的，承包人赔偿发包人有关损失。</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5" w:name="_Toc17079"/>
      <w:r>
        <w:rPr>
          <w:rFonts w:hint="eastAsia" w:asciiTheme="minorEastAsia" w:hAnsiTheme="minorEastAsia" w:eastAsiaTheme="minorEastAsia" w:cstheme="minorEastAsia"/>
          <w:b/>
          <w:kern w:val="0"/>
          <w:sz w:val="24"/>
        </w:rPr>
        <w:t>三、施工组织设计和工期</w:t>
      </w:r>
      <w:bookmarkEnd w:id="25"/>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10、进度计划</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10.2群体工程中单位工程分期进行施工的，承包人应按照发包人提供图纸及有关资料的时间，按单位工程编制进度计划，其具体内容双方在专用条款中约定。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11、开工及延期开工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12、暂停施工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13、工期延误</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13.1因以下原因造成工期延误，经工程师确认，工期相应顺延：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（1）发包人未能按专用条款的约定提供图纸及开工条件；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（2）发包人未能按约定日期支付工程预付款、进度款，致使施工不能正常进行；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（3）工程师未按合同约定提供所需指令、批准等，致使施工不能正常进行；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（4）设计变更和工程量增加；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（5）一周内非承包人原因停水、停电、停气造成停工累计超过8小时；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（6）不可抗力；</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（7）专用条款中约定或工程师同意工期顺延的其他情况。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14、工程竣工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14.1承包人必须按照协议书约定的竣工日期或工程师同意顺延的工期竣工。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14.2因承包人原因不能按照协议书约定的竣工日期或工程师同意顺延的工期竣工的，承包人承担违约责任。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6" w:name="_Toc27358"/>
      <w:r>
        <w:rPr>
          <w:rFonts w:hint="eastAsia" w:asciiTheme="minorEastAsia" w:hAnsiTheme="minorEastAsia" w:eastAsiaTheme="minorEastAsia" w:cstheme="minorEastAsia"/>
          <w:b/>
          <w:kern w:val="0"/>
          <w:sz w:val="24"/>
        </w:rPr>
        <w:t>四、质量与检验</w:t>
      </w:r>
      <w:bookmarkEnd w:id="26"/>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15、工程质量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15.2双方对工程质量有争议，由双方同意的工程质量检测机构鉴定，所需费用及因此造成的损失，由责任方承担。双方均有责任，由双方根据其责任分别承担。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16、检查和返工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16.1承包人应认真按照标准、规范和设计图纸要求以及工程师依据合同发出的指令施工，随时接受工程师的检查检验，为检查检验提供便利条件。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16.4因工程师指令失误或其他非承包人原因发生的追加合同价款，由发包人承担。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17、隐蔽工程和中间验收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18、重新检验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19、工程试车</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19.1双方约定需要试车的，试车内容应与承包人承包的安装范围相一致。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19.5双方责任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（3）由于承包人施工原因试车达不到验收要求，承包人按工程师要求重新安装和试车，并承担重新安装和试车的费用，工期不予顺延。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（4）试车费用除已包括在合同价款之内或专用条款另有约定外，均由发包人承担。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（5）工程师在试车合格后不在试车记录上签字，试车结束24小时后，视为工程师已经认可试车记录，承包人可继续施工或办理竣工手续。</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19.6投料试车应在工程竣工验收后由发包人负责，如发包人要求在工程竣工验收前进行或需要承包人配合时，应征得承包人同意，另行签订补充协议。</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7" w:name="_Toc11702"/>
      <w:r>
        <w:rPr>
          <w:rFonts w:hint="eastAsia" w:asciiTheme="minorEastAsia" w:hAnsiTheme="minorEastAsia" w:eastAsiaTheme="minorEastAsia" w:cstheme="minorEastAsia"/>
          <w:b/>
          <w:kern w:val="0"/>
          <w:sz w:val="24"/>
        </w:rPr>
        <w:t>五、安全防护、文明施工</w:t>
      </w:r>
      <w:bookmarkEnd w:id="27"/>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20、发包人责任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20．1发包人应遵守安全防护和文明施工的规定，督促承包人落实安全防护、文明施工措施，并按规定支付安全防护、文明施工措施费。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20．2发包人应对其在施工现场人员进行安全防护、文明施工教育，并对他们的安全负责。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20．4发包人违反上述规定或由于发包人原因导致安全事故的，由发包人承担相应责任和费用，顺延延误的工期。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21、承包人责任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21.1承包人应遵守安全防护和文明施工的规定，建立健全安全防护和文明施工的制度，对其在施工现场人员进行安全防护、文明施工教育，并对他们的安全负责。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21.2完善安全防护和文明施工条件，严格按照安全防护和文明施工的规定组织施工，采取必要的安全防护措施，消除事故隐患，自觉接受和配合依法实施的监督检查。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21.4应按规定的范围使用安全文明措施费，保证专款专用，不得挪作它用。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21.5承包人对合同工程的安全施工负责，并应及时、如实报告生产安全事故。承包人违反上述规定或由于承包人原因造成的安全事故，由承包人承担相应责任和费用，工期不予顺延。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24、事故处理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24.1发生伤亡及其他安全事故，承包人应按有关规定立即上报有关部门并通知工程师，同时按政府有关部门要求处理，由事故责任方承担发生的费用。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24.2发包人承包人对事故责任有争议时，应按政府有关部门的认定处理。</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8" w:name="_Toc15413"/>
      <w:r>
        <w:rPr>
          <w:rFonts w:hint="eastAsia" w:asciiTheme="minorEastAsia" w:hAnsiTheme="minorEastAsia" w:eastAsiaTheme="minorEastAsia" w:cstheme="minorEastAsia"/>
          <w:b/>
          <w:kern w:val="0"/>
          <w:sz w:val="24"/>
        </w:rPr>
        <w:t>六、合同价款</w:t>
      </w:r>
      <w:bookmarkEnd w:id="28"/>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25、工程的计量规则和计价办法以《陕西省建设工</w:t>
      </w:r>
      <w:r>
        <w:rPr>
          <w:rFonts w:hint="eastAsia" w:asciiTheme="minorEastAsia" w:hAnsiTheme="minorEastAsia" w:eastAsiaTheme="minorEastAsia" w:cstheme="minorEastAsia"/>
          <w:kern w:val="0"/>
          <w:sz w:val="24"/>
          <w:lang w:eastAsia="zh-CN"/>
        </w:rPr>
        <w:t>陈工</w:t>
      </w:r>
      <w:r>
        <w:rPr>
          <w:rFonts w:hint="eastAsia" w:asciiTheme="minorEastAsia" w:hAnsiTheme="minorEastAsia" w:eastAsiaTheme="minorEastAsia" w:cstheme="minorEastAsia"/>
          <w:kern w:val="0"/>
          <w:sz w:val="24"/>
        </w:rPr>
        <w:t>程量清单计价规则》及相关规定为准，工程师应按照合同约定，依据上述规定进行工程计量和计价。</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26、合同价款约定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26.1招标工程的合同价款由发包人承包人依据成交通知书中的成交价格在协议书内约定。非招标工程的合同价款由发包人承包人依据双方确认的工程预算书在协议书内约定。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26.2合同价款在协议书内约定后，任何一方不得擅自改变。下列三种确定合同价款的方式，双方可在专用条款内约定采用其中一种：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（1）固定总价合同。合同工期较短且工程合同总价较低的工程，可以采用固定总价合同方式。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（3）可调价格合同。可调价格包括可调综合单价和措施项目费用等，双方应在专用条款内约定综合单价和措施项目费的调整方法。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27、合同价款调整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27.1价格中工程量、综合单价、措施项目费用的调整因素包括：</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（1）法律、行政法规和国家有关政策变化影响合同价款；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（2）工程造价管理机构的价格调整；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（3）经批准的设计变更；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（4）发包人更改经审定批准的施工组织设计（修正错误除外）造成费用变化；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（5）工程量清单的工程数量与实际工程量不符，按实际工程量进行调整计算；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（6）费用索赔事件或发包人负责的其他情况；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（7）双方在专用条款中约定的其他因素。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28、工程预付款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29、已完工程量确认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29.3对承包人超出设计图纸（含设计变更）范围和因承包人原因造成返工的工程量，工程师不予计量。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30、工程进度款结算与支付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30.1双方应在专用条款内约定工程进度款结算支付方式。结算支付方式分为按月结算支付与分阶段结算支付。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30.3本通用条款第27条确定调整的合同价款，第35条工程变更调整的合同价款及其他条款中约定的追加合同价款，应与工程进度款同期调整支付。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30.5发包人不按合同约定支付工程进度款，双方又未达成延期付款协议，导致施工无法进行，承包人可停止施工，由发包人承担违约责任。</w:t>
      </w:r>
    </w:p>
    <w:p>
      <w:pPr>
        <w:widowControl/>
        <w:spacing w:line="360" w:lineRule="auto"/>
        <w:ind w:firstLine="482" w:firstLineChars="200"/>
        <w:rPr>
          <w:rFonts w:asciiTheme="minorEastAsia" w:hAnsiTheme="minorEastAsia" w:eastAsiaTheme="minorEastAsia" w:cstheme="minorEastAsia"/>
          <w:b/>
          <w:kern w:val="0"/>
          <w:sz w:val="24"/>
        </w:rPr>
      </w:pPr>
      <w:bookmarkStart w:id="29" w:name="_Toc12497"/>
      <w:r>
        <w:rPr>
          <w:rFonts w:hint="eastAsia" w:asciiTheme="minorEastAsia" w:hAnsiTheme="minorEastAsia" w:eastAsiaTheme="minorEastAsia" w:cstheme="minorEastAsia"/>
          <w:b/>
          <w:kern w:val="0"/>
          <w:sz w:val="24"/>
        </w:rPr>
        <w:t>七、材料设备供应</w:t>
      </w:r>
      <w:bookmarkEnd w:id="29"/>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31、发包人供应材料设备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31.4发包人供应的材料设备与一览表不符时，发包人承担有关责任。发包人应承担责任的具体内容，双方根据下列情况在专用条款内约定：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（1）材料设备单价与一览表不符，由发包人承担所有价差；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（2）材料设备的品种、规格、型号、质量等级与一览表不符，承包人可拒绝接收保管，由发包人运出施工场地并重新采购；</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（3）发包人供应的材料规格、型号与一览表不符，经发包人同意，承包人可代为调剂串换，由发包人承担相应费用；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（4）到货地点与一览表不符，由发包人负责运至一览表指定地点；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（5）供应数量少于一览表约定的数量时，由发包人补齐，多于一览表约定数量时，发包人负责将多出部分运出施工场地；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31.5发包人供应的材料设备使用前，由承包人负责检验或试验，不合格的不得使用，检验或试验费用由发包人承担。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31.6发包人供应材料设备的结算方法，双方在专用条款内约定。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32、承包人采购材料设备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32.3承包人采购的材料设备在使用前，承包人应按工程师的要求进行检验或试验，不合格的不得使用，检验或试验费用由承包人承担。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32.5承包人需要使用代用材料时，应经工程师认可后才能使用，由此增减的合同价款双方以书面形式议定。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32.6由承包人采购的材料设备，发包人不得指定生产厂或供应商。</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八、工程变更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33、工程设计变更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（1）更改工程有关部分的标高、基线、位置和尺寸；</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（2）增减合同中约定的工程量；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（3）改变有关工程的施工时间和顺序；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（4）其他有关工程变更需要的附加工作。</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因变更导致合同价款的增减及造成的承包人损失，由发包人承担，延误的工期相应顺延。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33.2施工中承包人不得对原工程设计进行变更。因承包人擅自变更设计发生的费用和由此导致发包人的直接损失，由承包人承担，延误的工期不予顺延。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34、其他变更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合同履行中发包人要求变更工程质量标准及发生其他实质性变更，由双方协商解决。</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35、确定变更价款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35.1承包人在工程变更确定后14天内，提出变更工程价款的报告，经工程师确认后调整合同价款。变更合同价款按下列方法进行：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（1）合同中已有适用于变更工程的综合单价或价格，按合同已有的综合单价或价格变更合同价款；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（2）合同中只有类似于变更工程的综合单价或价格，可以参照类似综合单价或价格变更合同价款；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（3）合同中没有适用或类似于变更工程的综合单价或价格，由承包人或发包人提出综合单价或价格，经双方确认后执行。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35.4发承包双方对变更价款不能达成一致时，按本通用条款第41条关于争议的约定处理。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35.5因承包人自身原因导致的工程变更，承包人无权要求追加合同价款。</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九、竣工验收与结算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36、竣工验收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36.3发包人收到承包人送交的竣工验收报告后28天内不组织验收，或验收后14天内不提出修改意见，视为竣工验收报告已被认可。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36.5发包人收到承包人竣工验收报告后28天内不组织验收，从第29天起承担工程保管及一切意外责任。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36.6中间交工工程的范围和竣工时间，双方在专用条款内约定，其验收程序按本通用条款36.1款至36.4款办理。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36.7因特殊原因，发包人要求部分单位工程或工程部位甩项竣工的，双方另行签订甩项竣工协议，明确双方责任和工程价款的支付方法。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36.8工程未经竣工验收或竣工验收未通过的，发包人不得使用。发包人强行使用时，由此发生的质量及其他问题，由发包人承担责任。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37.1工程竣工结算分为单位工程竣工结算、单项工程竣工结算和建设项目竣工总结算。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37.2承包人应在工程通过竣工验收后，工程竣工结算报告金额在500万元以下的工程一般在20天以内、工程竣工结算报告金额在500万元以上的工程一般在</w:t>
      </w:r>
      <w:r>
        <w:rPr>
          <w:rFonts w:hint="eastAsia" w:asciiTheme="minorEastAsia" w:hAnsiTheme="minorEastAsia" w:eastAsiaTheme="minorEastAsia" w:cstheme="minorEastAsia"/>
          <w:color w:val="000000" w:themeColor="text1"/>
          <w:kern w:val="0"/>
          <w:sz w:val="24"/>
          <w14:textFill>
            <w14:solidFill>
              <w14:schemeClr w14:val="tx1"/>
            </w14:solidFill>
          </w14:textFill>
        </w:rPr>
        <w:t>60</w:t>
      </w:r>
      <w:r>
        <w:rPr>
          <w:rFonts w:hint="eastAsia" w:asciiTheme="minorEastAsia" w:hAnsiTheme="minorEastAsia" w:eastAsiaTheme="minorEastAsia" w:cstheme="minorEastAsia"/>
          <w:kern w:val="0"/>
          <w:sz w:val="24"/>
        </w:rPr>
        <w:t>天以内向发包人递交竣工结算报告及完整的结算资料，双方按照协议书约定的合同价款及专用条款约定的合同价款调整内容，进行工程竣工结算。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建设项目总结算在最后一个单项工程竣工结算审查确认后，一般在15天以内向发包人提交竣工结算汇总资料。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37.4承包人收到竣工结算价款后14天内将竣工工程交付发包人。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37.5发包人收到承包人建设项目竣工总结算汇总资料后30天内，审查完成。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37.6发包人收到竣工结算报告及结算资料后，在本条规定期限内对结算报告及资料没有提出意见则视同认可。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37.9发包人承包人对工程竣工结算价款发生争议时，按本通用条款第41条关于争议的约定处理。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38、质量保证</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38.1承包人应按法律、行政法规或国家关于工程质量保修的有关规定，对交付发包人使用的工程在质量保修期内承担质量保修责任。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（1）保证金预留、返还方式；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（2）保证金预留比例、期限；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（3）保证金是否计付利息，如计利息，利息的计算方式；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（4）缺陷责任期的期限及计算方式；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（5）保证金预留、返还及工程维修质量、费用等争议的处理程序；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（6）缺陷责任期内出现缺陷的索赔方式。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38.3质量保修书的主要内容包括：</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（1）质量保修项目内容及范围；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（2）质量保修期；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（4）质量保修金的支付方法。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38.4质量保证金按工程价款结算总额5%以内的比例预留。</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十、违约、索赔和争议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39、违约</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39.1发包人违约。当发生下列情况时：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（1）本通用条款第28.1款提到的发包人不按时支付工程预付款；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（2）本通用条款第30.5款提到的发包人不按合同约定支付工程款，导致施工无法进行；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（3）本通用条款第37.6款提到的发包人无正当理由不支付工程竣工结算价款；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39.2承包人违约。当发生下列情况时：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（1）本通用条款第14.2款提到的因承包人原因不能按照协议书约定的竣工日期或工程师同意顺延的工期竣工；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（2）本通用条款第15.1款提到的因承包人原因工程质量达不到协议书约定的质量标准；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（3）承包人不履行合同义务或不按合同约定履行义务的其他情况。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39.3一方违约后，另一方要求违约方继续履行合同时，违约方承担上述违约责任后仍应继续履行合同。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40.1当一方向另一方提出索赔时，要有正当索赔理由，且有索赔事件发生时的有效证据。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（1）索赔事件发生后28天内，向工程师发出索赔意向通知；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（2）发出索赔意向通知后28天内，向工程师提出延长工期和（或）补偿经济损失的索赔报告及有关资料；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（3）工程师在收到承包人送交的索赔报告和有关资料后，于28天内给予答复，或要求承包人进一步补充索赔理由和证据；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（4）工程师在收到承包人送交的索赔报告和有关资料后28天内未予答复或未对承包人作进一步要求，视为该项索赔已经认可；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40.3承包人未能按合同约定履行自己的各项义务或发生错误，给发包人造成经济损失，发包人可按40.2款确定的时限向承包人提出索赔。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41.2发生争议后，除非出现下列情况的，双方都应继续履行合同，保持施工连续，保护好已完工程：</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（1）单方违约导致合同确已无法履行，双方协议停止施工；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（2）调解要求停止施工，且为双方接受；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（3）仲裁机构要求停止施工；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（4）法院要求停止施工。</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十一、其他</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42、工程分包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42.1承包人需要将专业工程或劳务进行分包的，应分包给具有相应资质的专业或劳务企业，并与分包企业签订分包合同。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42.2承包人不得将其承包的工程转包给他人，也不得将其承包的工程以分包的名义转包给他人。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42.4分包工程价款由承包人与分包单位结算。发包人未经承包人同意不得以任何形式向分包单位支付各种工程款项。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43、不可抗力</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43.1不可抗力包括因战争、动乱、空中飞行物体坠落或其他非发包人承包人责任造成的爆炸、火灾，以及专用条款约定的风、雨、雪、洪、震等自然灾害。</w:t>
      </w:r>
    </w:p>
    <w:p>
      <w:pPr>
        <w:widowControl/>
        <w:spacing w:line="360" w:lineRule="auto"/>
        <w:ind w:firstLine="480" w:firstLineChars="200"/>
        <w:rPr>
          <w:rFonts w:ascii="宋体" w:hAnsi="宋体" w:cs="宋体"/>
          <w:kern w:val="0"/>
          <w:sz w:val="24"/>
        </w:rPr>
      </w:pPr>
      <w:r>
        <w:rPr>
          <w:rFonts w:hint="eastAsia" w:asciiTheme="minorEastAsia" w:hAnsiTheme="minorEastAsia" w:eastAsiaTheme="minorEastAsia" w:cstheme="minorEastAsia"/>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w:t>
      </w:r>
      <w:r>
        <w:rPr>
          <w:rFonts w:hint="eastAsia" w:ascii="宋体" w:hAnsi="宋体" w:cs="宋体"/>
          <w:kern w:val="0"/>
          <w:sz w:val="24"/>
        </w:rPr>
        <w:t>天向工程师报告一次受害情况。不可抗力事件结束后14天内，承包人向工程师提交清理和修复费用的正式报告及有关资料。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43.3因不可抗力事件导致的费用及延误的工期由双方按以下方法分别承担：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（1）工程本身的损害、因工程损害导致第三人人员伤亡和财产损失以及运至施工场地用于施工的材料和待安装的设备的损害，由发包人承担；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（2）发包人承包人人员伤亡由其所在单位负责，并承担相应费用；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（3）承包人机械设备损坏及停工损失，由承包人承担；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（4）停工期间，承包人应工程师要求留在施工场地的必要的管理人员及保卫人员的费用由发包人承担；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（5）工程所需清理、修复费用，由发包人承担；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（6）延误的工期相应顺延。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43.4因合同一方迟延履行合同后发生不可抗力的，不能免除迟延履行方的相应责任。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44.1工程开工前，发包人为建设工程和施工现场内的自有人员及第三人人员生命财产办理保险，支付保险费用。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44.2发包人供应的运至施工场地内用于工程的材料设备，由发包人办理保险，并支付保险费用。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44.3发包人可以将有关保险事项委托承包人办理，费用由发包人承担。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44.4承包人必须为施工场地内施工人员办理意外伤害保险和工伤保险，并为施工场地内的施工机械设备办理财产保险，支付保险费用。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44.5保险事故发生时，发包人承包人有责任尽力采取必要的措施，防止或者减少损失。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44.6具体投保内容和相关责任，发包人承包人在专用条款中约定。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45.1发包人承包人为了全面履行合同，应互相提供以下担保：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（1）发包人向承包人提供支付担保，按合同约定支付工程价款及履行合同约定的其他义务。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（2）承包人向发包人提供履约担保，按合同约定履行自己的各项义务。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45.2一方违约后，另一方可要求提供担保的第三人承担相应责任。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45.3提供担保的内容、方式和相关责任，发包人承包人除在专用条款中约定外，被担保方与担保方还应签订担保合同，作为本合同附件。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46、专利技术及特殊工艺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46.2擅自使用专利技术侵犯他人专利权的，责任者依法承担相应责任。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47、文物和地下障碍物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如发现后隐瞒不报，致使文物遭受破坏，责任者依法承担相应责任。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所发现的地下障碍物有归属单位时，发包人应报请有关部门协同处置。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48、合同解除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48.1发包人承包人协商一致，可以解除合同。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48.2发生本通用条款第30.5款情况，停止施工超过56天，发包人仍不支付工程款（进度款），承包人有权解除合同。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48.3发生本通用条款第42.2款禁止的情况，发包人有权解除合同。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48.4有下列情形之一的，发包人承包人可以解除合同：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（1）因不可抗力致使合同无法履行；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（2）因一方违约（包括因发包人原因造成工程停建或缓建）致使合同无法履行。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48.7合同解除后，不影响双方在合同中约定的结算和清理条款的效力。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49、合同生效与终止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49.1双方在协议书中约定合同生效方式。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49.2除本通用条款第38条外，发包人承包人履行合同全部义务，竣工结算价款支付完毕，承包人向发包人交付竣工工程后，本合同即告终止。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49.3合同的权利义务终止后，发包人承包人应当遵循诚实信用原则，履行通知、协助、保密等义务。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50.1本合同正本两份，具有同等效力，由发包人承包人分别保存一份。</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50.2本合同副本份数，由双方根据需要在专用条款内约定。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双方根据有关法律、行政法规规定，结合工程实际经协商一致后，可对本通用条款内容具体化、补充或修改，在专用条款内约定。</w:t>
      </w: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widowControl/>
        <w:spacing w:line="360" w:lineRule="auto"/>
        <w:rPr>
          <w:rFonts w:ascii="宋体" w:hAnsi="宋体" w:cs="宋体"/>
          <w:kern w:val="0"/>
          <w:sz w:val="24"/>
        </w:rPr>
      </w:pPr>
    </w:p>
    <w:p>
      <w:pPr>
        <w:pStyle w:val="4"/>
        <w:spacing w:line="400" w:lineRule="exact"/>
        <w:jc w:val="center"/>
        <w:rPr>
          <w:rFonts w:ascii="宋体" w:hAnsi="宋体" w:eastAsia="宋体" w:cs="宋体"/>
          <w:sz w:val="24"/>
          <w:szCs w:val="24"/>
        </w:rPr>
      </w:pPr>
      <w:bookmarkStart w:id="30" w:name="_Toc231459934"/>
      <w:r>
        <w:rPr>
          <w:rFonts w:hint="eastAsia" w:ascii="宋体" w:hAnsi="宋体" w:eastAsia="宋体" w:cs="宋体"/>
        </w:rPr>
        <w:t>第三部分  专用条款</w:t>
      </w:r>
      <w:bookmarkEnd w:id="30"/>
    </w:p>
    <w:p>
      <w:pPr>
        <w:widowControl/>
        <w:spacing w:line="360" w:lineRule="auto"/>
        <w:ind w:firstLine="482" w:firstLineChars="200"/>
        <w:rPr>
          <w:rFonts w:ascii="宋体" w:hAnsi="宋体" w:cs="宋体"/>
          <w:b/>
          <w:kern w:val="0"/>
          <w:sz w:val="24"/>
        </w:rPr>
      </w:pPr>
      <w:bookmarkStart w:id="31" w:name="_Toc231459935"/>
      <w:r>
        <w:rPr>
          <w:rFonts w:hint="eastAsia" w:ascii="宋体" w:hAnsi="宋体" w:cs="宋体"/>
          <w:b/>
          <w:kern w:val="0"/>
          <w:sz w:val="24"/>
        </w:rPr>
        <w:t>一、词语定义及合同文件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2、合同文件及解释顺序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合同文件组成及解释顺序：_</w:t>
      </w:r>
      <w:r>
        <w:rPr>
          <w:rFonts w:hint="eastAsia" w:ascii="宋体" w:hAnsi="宋体" w:cs="宋体"/>
          <w:kern w:val="0"/>
          <w:sz w:val="24"/>
          <w:u w:val="single"/>
        </w:rPr>
        <w:t>本合同合同协议书、专用条款、通用条款、变更通知、成交通知书、答疑纪要、招标文件、图纸、投标书、有关技术标准、规范。</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3、语言文字和适用法律、标准及规范</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0288" behindDoc="0" locked="0" layoutInCell="1" allowOverlap="1">
                <wp:simplePos x="0" y="0"/>
                <wp:positionH relativeFrom="column">
                  <wp:posOffset>2741930</wp:posOffset>
                </wp:positionH>
                <wp:positionV relativeFrom="paragraph">
                  <wp:posOffset>-19050</wp:posOffset>
                </wp:positionV>
                <wp:extent cx="1485900" cy="198120"/>
                <wp:effectExtent l="635" t="4445" r="18415" b="6985"/>
                <wp:wrapNone/>
                <wp:docPr id="2" name="直线 23"/>
                <wp:cNvGraphicFramePr/>
                <a:graphic xmlns:a="http://schemas.openxmlformats.org/drawingml/2006/main">
                  <a:graphicData uri="http://schemas.microsoft.com/office/word/2010/wordprocessingShape">
                    <wps:wsp>
                      <wps:cNvCnPr/>
                      <wps:spPr>
                        <a:xfrm flipV="1">
                          <a:off x="0" y="0"/>
                          <a:ext cx="148590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3" o:spid="_x0000_s1026" o:spt="20" style="position:absolute;left:0pt;flip:y;margin-left:215.9pt;margin-top:-1.5pt;height:15.6pt;width:117pt;z-index:251660288;mso-width-relative:page;mso-height-relative:page;" filled="f" stroked="t" coordsize="21600,21600" o:gfxdata="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6mIf1wAAAAkBAAAPAAAAAAAAAAEAIAAAACIAAABkcnMvZG93bnJldi54bWxQSwECFAAU&#10;AAAACACHTuJA6FFkpvIBAADt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cs="宋体"/>
          <w:kern w:val="0"/>
          <w:sz w:val="24"/>
        </w:rPr>
        <w:t>3.1本合同除使用汉语外，还使用______________________________语言文字。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3.2适用法律和法规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需要明示的法律、行政法规：</w:t>
      </w:r>
      <w:r>
        <w:rPr>
          <w:rFonts w:hint="eastAsia" w:ascii="宋体" w:hAnsi="宋体" w:cs="宋体"/>
          <w:kern w:val="0"/>
          <w:sz w:val="24"/>
          <w:u w:val="single"/>
        </w:rPr>
        <w:t>《中华人民共和国建筑法》、《中华人民共和国民法典》及陕西省、西安市有关建设工程质量、安全、文明施工等管理规定。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3.3适用标准、规范</w:t>
      </w:r>
    </w:p>
    <w:p>
      <w:pPr>
        <w:spacing w:line="480" w:lineRule="exact"/>
        <w:ind w:firstLine="480" w:firstLineChars="200"/>
        <w:rPr>
          <w:rFonts w:ascii="宋体" w:hAnsi="宋体" w:cs="宋体"/>
          <w:sz w:val="24"/>
          <w:u w:val="single"/>
        </w:rPr>
      </w:pPr>
      <w:r>
        <w:rPr>
          <w:rFonts w:hint="eastAsia" w:ascii="宋体" w:hAnsi="宋体" w:cs="宋体"/>
          <w:kern w:val="0"/>
          <w:sz w:val="24"/>
        </w:rPr>
        <w:t>适用标准、规范的名称：</w:t>
      </w:r>
      <w:r>
        <w:rPr>
          <w:rFonts w:hint="eastAsia" w:ascii="宋体" w:hAnsi="宋体" w:cs="宋体"/>
          <w:kern w:val="0"/>
          <w:sz w:val="24"/>
          <w:u w:val="single"/>
        </w:rPr>
        <w:t xml:space="preserve"> </w:t>
      </w:r>
      <w:r>
        <w:rPr>
          <w:rFonts w:hint="eastAsia" w:ascii="宋体" w:hAnsi="宋体" w:cs="宋体"/>
          <w:sz w:val="24"/>
          <w:u w:val="single"/>
        </w:rPr>
        <w:t>执行国家建筑工程施工及验收规范标准以及材料、设备所涉及的现行国家、省、市或行业的工程建设标准、规范的要求。主要标准、规范包括但不限于：《建筑工程质量统一验收标准》(GBJ05300-2001)、《建筑工程施工现场供用电安全规范》(GBJ50194-93)、《</w:t>
      </w:r>
      <w:r>
        <w:rPr>
          <w:rFonts w:hint="eastAsia" w:ascii="宋体" w:hAnsi="宋体" w:cs="宋体"/>
          <w:snapToGrid w:val="0"/>
          <w:sz w:val="24"/>
          <w:u w:val="single"/>
        </w:rPr>
        <w:t>建筑施工安全检查标准</w:t>
      </w:r>
      <w:r>
        <w:rPr>
          <w:rFonts w:hint="eastAsia" w:ascii="宋体" w:hAnsi="宋体" w:cs="宋体"/>
          <w:sz w:val="24"/>
          <w:u w:val="single"/>
        </w:rPr>
        <w:t>》</w:t>
      </w:r>
      <w:r>
        <w:rPr>
          <w:rFonts w:hint="eastAsia" w:ascii="宋体" w:hAnsi="宋体" w:cs="宋体"/>
          <w:snapToGrid w:val="0"/>
          <w:sz w:val="24"/>
          <w:u w:val="single"/>
        </w:rPr>
        <w:t>（JGJ59-99）、《施工现场临时用电安全技术规范》（JFJ46-88）、《建设工程文件归档整理规范》（GB/T50328-2001）。</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发包人提供标准、规范的时间：</w:t>
      </w:r>
      <w:r>
        <w:rPr>
          <w:rFonts w:hint="eastAsia" w:ascii="宋体" w:hAnsi="宋体" w:cs="宋体"/>
          <w:sz w:val="24"/>
          <w:u w:val="single"/>
        </w:rPr>
        <w:t>发包人在招标时，已将上述标准、规范名称提供给承包人。这些标准和规范由承包人自行购买，并承担相关费用。</w:t>
      </w:r>
    </w:p>
    <w:p>
      <w:pPr>
        <w:widowControl/>
        <w:spacing w:line="360" w:lineRule="auto"/>
        <w:rPr>
          <w:rFonts w:ascii="宋体" w:hAnsi="宋体" w:cs="宋体"/>
          <w:kern w:val="0"/>
          <w:sz w:val="24"/>
        </w:rPr>
      </w:pPr>
      <w:r>
        <w:rPr>
          <w:rFonts w:hint="eastAsia" w:ascii="宋体" w:hAnsi="宋体" w:cs="宋体"/>
          <w:kern w:val="0"/>
          <w:sz w:val="24"/>
        </w:rPr>
        <w:t>　　国内没有相应标准、规范时的约定：_</w:t>
      </w:r>
      <w:r>
        <w:rPr>
          <w:rFonts w:hint="eastAsia" w:ascii="宋体" w:hAnsi="宋体" w:cs="宋体"/>
          <w:sz w:val="24"/>
          <w:u w:val="single"/>
        </w:rPr>
        <w:t>按行业通常做法或生产企业在技术监督局的备案标准、并经监理工程师和业主同意。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4、图纸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4.1发包人向承包人提供图纸日期和套数：_</w:t>
      </w:r>
      <w:r>
        <w:rPr>
          <w:rFonts w:hint="eastAsia" w:ascii="宋体" w:hAnsi="宋体" w:cs="宋体"/>
          <w:sz w:val="24"/>
          <w:u w:val="single"/>
        </w:rPr>
        <w:t>在合同签订3天内提供一套图纸。</w:t>
      </w:r>
    </w:p>
    <w:p>
      <w:pPr>
        <w:widowControl/>
        <w:spacing w:line="360" w:lineRule="auto"/>
        <w:ind w:firstLine="480" w:firstLineChars="200"/>
        <w:rPr>
          <w:rFonts w:ascii="宋体" w:hAnsi="宋体" w:cs="宋体"/>
          <w:b/>
          <w:kern w:val="0"/>
          <w:sz w:val="24"/>
        </w:rPr>
      </w:pPr>
      <w:r>
        <w:rPr>
          <w:rFonts w:hint="eastAsia" w:ascii="宋体" w:hAnsi="宋体" w:cs="宋体"/>
          <w:kern w:val="0"/>
          <w:sz w:val="24"/>
        </w:rPr>
        <w:t>发包人对图纸的保密要求：_</w:t>
      </w:r>
      <w:r>
        <w:rPr>
          <w:rFonts w:hint="eastAsia" w:ascii="宋体" w:hAnsi="宋体" w:cs="宋体"/>
          <w:b/>
          <w:sz w:val="24"/>
          <w:u w:val="single"/>
        </w:rPr>
        <w:t>除监理和发包方外，承包方不得将本工程的设计图纸向其它方提供。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使用国外图纸的要求及费用承担：_</w:t>
      </w:r>
      <w:r>
        <w:rPr>
          <w:rFonts w:hint="eastAsia" w:ascii="宋体" w:hAnsi="宋体" w:cs="宋体"/>
          <w:sz w:val="24"/>
          <w:u w:val="single"/>
        </w:rPr>
        <w:t>本工程不使用国外图纸。</w:t>
      </w:r>
      <w:r>
        <w:rPr>
          <w:rFonts w:hint="eastAsia" w:ascii="宋体" w:hAnsi="宋体" w:cs="宋体"/>
          <w:kern w:val="0"/>
          <w:sz w:val="24"/>
        </w:rPr>
        <w:t>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二、双方一般权利和义务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5.2监理单位委派的工程师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姓名：________职务：____</w:t>
      </w:r>
      <w:r>
        <w:rPr>
          <w:rFonts w:hint="eastAsia" w:ascii="宋体" w:hAnsi="宋体" w:cs="宋体"/>
          <w:kern w:val="0"/>
          <w:sz w:val="24"/>
          <w:u w:val="single"/>
        </w:rPr>
        <w:t>监理工程师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发包人委托的职权：_</w:t>
      </w:r>
      <w:r>
        <w:rPr>
          <w:rFonts w:hint="eastAsia" w:ascii="宋体" w:hAnsi="宋体" w:cs="宋体"/>
          <w:sz w:val="24"/>
          <w:u w:val="single"/>
        </w:rPr>
        <w:t>按照发包方与监理单位签订的“监理合同”中约定的发包方授权和委托，对本工程施工过程的质量、安全、进度控制、合同管理和信息管理，施工中各种矛盾组织协调工作及全程监理。</w:t>
      </w:r>
    </w:p>
    <w:p>
      <w:pPr>
        <w:spacing w:line="360" w:lineRule="auto"/>
        <w:ind w:firstLine="480" w:firstLineChars="200"/>
        <w:rPr>
          <w:rFonts w:ascii="宋体" w:hAnsi="宋体" w:cs="宋体"/>
          <w:kern w:val="0"/>
          <w:sz w:val="24"/>
        </w:rPr>
      </w:pPr>
      <w:r>
        <w:rPr>
          <w:rFonts w:hint="eastAsia" w:ascii="宋体" w:hAnsi="宋体" w:cs="宋体"/>
          <w:kern w:val="0"/>
          <w:sz w:val="24"/>
        </w:rPr>
        <w:t>需要取得发包人批准才能行使的职权：</w:t>
      </w:r>
      <w:r>
        <w:rPr>
          <w:rFonts w:hint="eastAsia" w:ascii="宋体" w:hAnsi="宋体" w:cs="宋体"/>
          <w:sz w:val="24"/>
          <w:u w:val="single"/>
        </w:rPr>
        <w:t>重大工程洽商、设计变更、现场签证、发包人指定价的认质认价等在决策之前需经发包人同意。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5.4发包人派驻的工程师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w:t>
      </w:r>
      <w:r>
        <w:rPr>
          <w:rFonts w:hint="eastAsia" w:ascii="宋体" w:hAnsi="宋体" w:cs="宋体"/>
          <w:kern w:val="0"/>
          <w:sz w:val="24"/>
        </w:rPr>
        <w:t>职务：</w:t>
      </w:r>
      <w:r>
        <w:rPr>
          <w:rFonts w:hint="eastAsia" w:ascii="宋体" w:hAnsi="宋体" w:cs="宋体"/>
          <w:sz w:val="24"/>
          <w:u w:val="single"/>
        </w:rPr>
        <w:t>发包人驻工地代表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职权：_</w:t>
      </w:r>
      <w:r>
        <w:rPr>
          <w:rFonts w:hint="eastAsia" w:ascii="宋体" w:hAnsi="宋体" w:cs="宋体"/>
          <w:sz w:val="24"/>
          <w:u w:val="single"/>
        </w:rPr>
        <w:t>负责施工全过程内、外部关系协调、处理往来文件，对工程进度、质量、造价进行监督管理。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5.6不实行监理的，工程师的职权：</w:t>
      </w:r>
      <w:r>
        <w:rPr>
          <w:rFonts w:hint="eastAsia" w:ascii="宋体" w:hAnsi="宋体" w:cs="宋体"/>
          <w:sz w:val="24"/>
          <w:u w:val="single"/>
        </w:rPr>
        <w:t>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7、项目经理</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职务：</w:t>
      </w:r>
      <w:r>
        <w:rPr>
          <w:rFonts w:hint="eastAsia" w:ascii="宋体" w:hAnsi="宋体" w:cs="宋体"/>
          <w:kern w:val="0"/>
          <w:sz w:val="24"/>
          <w:u w:val="single"/>
        </w:rPr>
        <w:t xml:space="preserve">项目经理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8、发包人工作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8.1发包人应按约定的时间和要求完成以下工作：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（1）施工场地具备施工条件的要求及完成的时间：_</w:t>
      </w:r>
      <w:r>
        <w:rPr>
          <w:rFonts w:hint="eastAsia" w:ascii="宋体" w:hAnsi="宋体" w:cs="宋体"/>
          <w:kern w:val="0"/>
          <w:sz w:val="24"/>
          <w:u w:val="single"/>
        </w:rPr>
        <w:t>_开工前5日内。</w:t>
      </w:r>
      <w:r>
        <w:rPr>
          <w:rFonts w:hint="eastAsia" w:ascii="宋体" w:hAnsi="宋体" w:cs="宋体"/>
          <w:kern w:val="0"/>
          <w:sz w:val="24"/>
        </w:rPr>
        <w:t>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（2）将施工所需的水、电、电讯线路接至施工场地的时间、地点和供应要求：</w:t>
      </w:r>
    </w:p>
    <w:p>
      <w:pPr>
        <w:widowControl/>
        <w:spacing w:line="360" w:lineRule="auto"/>
        <w:rPr>
          <w:rFonts w:ascii="宋体" w:hAnsi="宋体" w:cs="宋体"/>
          <w:kern w:val="0"/>
          <w:sz w:val="24"/>
        </w:rPr>
      </w:pPr>
      <w:r>
        <w:rPr>
          <w:rFonts w:hint="eastAsia" w:ascii="宋体" w:hAnsi="宋体" w:cs="宋体"/>
          <w:color w:val="FF0000"/>
          <w:kern w:val="0"/>
          <w:sz w:val="24"/>
        </w:rPr>
        <w:t>　　</w:t>
      </w:r>
      <w:r>
        <w:rPr>
          <w:rFonts w:hint="eastAsia" w:ascii="宋体" w:hAnsi="宋体" w:cs="宋体"/>
          <w:kern w:val="0"/>
          <w:sz w:val="24"/>
        </w:rPr>
        <w:t>提供满足乙方施工的用水、用电条件。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其计量和计价方法为：</w:t>
      </w:r>
      <w:r>
        <w:rPr>
          <w:rFonts w:hint="eastAsia" w:ascii="宋体" w:hAnsi="宋体" w:cs="宋体"/>
          <w:kern w:val="0"/>
          <w:sz w:val="24"/>
          <w:u w:val="single"/>
        </w:rPr>
        <w:t>按相关部门的规定和计量计价方法计算</w:t>
      </w:r>
      <w:r>
        <w:rPr>
          <w:rFonts w:hint="eastAsia" w:ascii="宋体" w:hAnsi="宋体" w:cs="宋体"/>
          <w:kern w:val="0"/>
          <w:sz w:val="24"/>
        </w:rPr>
        <w:t>。</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（3）施工场地与公共道路的通道开通时间和要求：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（4）工程地质和地下管线资料的提供时间：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（5）由发包人办理的施工所需证件、批件的名称和完成时间： </w:t>
      </w:r>
      <w:r>
        <w:rPr>
          <w:rFonts w:hint="eastAsia" w:ascii="宋体" w:hAnsi="宋体" w:cs="宋体"/>
          <w:sz w:val="24"/>
          <w:u w:val="single"/>
        </w:rPr>
        <w:t>工程开工前5日内。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（6）水准点与坐标控制点交验要求：</w:t>
      </w:r>
      <w:r>
        <w:rPr>
          <w:rFonts w:hint="eastAsia" w:ascii="宋体" w:hAnsi="宋体" w:cs="宋体"/>
          <w:sz w:val="24"/>
          <w:u w:val="single"/>
        </w:rPr>
        <w:t>　　　/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（7）图纸会审和设计交底时间：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（8）协调处理施工场地周围地下管线和邻近建筑物、构筑物（含文物保护建筑）、古树名木的保护工作：__</w:t>
      </w:r>
      <w:r>
        <w:rPr>
          <w:rFonts w:hint="eastAsia" w:ascii="宋体" w:hAnsi="宋体" w:cs="宋体"/>
          <w:kern w:val="0"/>
          <w:sz w:val="24"/>
          <w:u w:val="single"/>
        </w:rPr>
        <w:t xml:space="preserve">执行《通用条款》8.1.（8）款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（9）双方约定发包人应做的其他工作：</w:t>
      </w:r>
      <w:r>
        <w:rPr>
          <w:rFonts w:hint="eastAsia" w:ascii="宋体" w:hAnsi="宋体" w:cs="宋体"/>
          <w:kern w:val="0"/>
          <w:sz w:val="24"/>
          <w:u w:val="single"/>
        </w:rPr>
        <w:t>　　　</w:t>
      </w:r>
      <w:r>
        <w:rPr>
          <w:rFonts w:hint="eastAsia" w:ascii="宋体" w:hAnsi="宋体" w:cs="宋体"/>
          <w:kern w:val="0"/>
          <w:sz w:val="24"/>
          <w:u w:val="single"/>
        </w:rPr>
        <w:tab/>
      </w:r>
      <w:r>
        <w:rPr>
          <w:rFonts w:hint="eastAsia" w:ascii="宋体" w:hAnsi="宋体" w:cs="宋体"/>
          <w:kern w:val="0"/>
          <w:sz w:val="24"/>
          <w:u w:val="single"/>
        </w:rPr>
        <w:t>无　　　　</w:t>
      </w:r>
    </w:p>
    <w:p>
      <w:pPr>
        <w:widowControl/>
        <w:spacing w:line="360" w:lineRule="auto"/>
        <w:ind w:firstLine="480"/>
        <w:rPr>
          <w:rFonts w:ascii="宋体" w:hAnsi="宋体" w:cs="宋体"/>
          <w:kern w:val="0"/>
          <w:sz w:val="24"/>
        </w:rPr>
      </w:pPr>
      <w:r>
        <w:rPr>
          <w:rFonts w:hint="eastAsia" w:ascii="宋体" w:hAnsi="宋体" w:cs="宋体"/>
          <w:kern w:val="0"/>
          <w:sz w:val="24"/>
        </w:rPr>
        <w:t>8.2发包人委托承包人办理的工作：</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9、承包人工作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9.1承包人应按约定时间和要求，完成以下工作：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（1）需由设计资质等级和业务范围允许的承包人完成的设计文件提交时间：__</w:t>
      </w:r>
      <w:r>
        <w:rPr>
          <w:rFonts w:hint="eastAsia" w:ascii="宋体" w:hAnsi="宋体" w:cs="宋体"/>
          <w:kern w:val="0"/>
          <w:sz w:val="24"/>
          <w:u w:val="single"/>
        </w:rPr>
        <w:t>本工程没有须由承包人完成的设计工作</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（2）应提供计划、报表的名称及完成时间：</w:t>
      </w:r>
      <w:r>
        <w:rPr>
          <w:rFonts w:hint="eastAsia" w:ascii="宋体" w:hAnsi="宋体" w:cs="宋体"/>
          <w:kern w:val="0"/>
          <w:sz w:val="24"/>
          <w:u w:val="single"/>
        </w:rPr>
        <w:t>　每月25日向业主、监理单位报送叁份《通用条款》9.1.（2）款规定的报表</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（3）承担施工安全保卫工作及非夜间施工照明的的有关内容责任和要求：_</w:t>
      </w:r>
      <w:r>
        <w:rPr>
          <w:rFonts w:hint="eastAsia" w:ascii="宋体" w:hAnsi="宋体" w:cs="宋体"/>
          <w:kern w:val="0"/>
          <w:sz w:val="24"/>
          <w:u w:val="single"/>
        </w:rPr>
        <w:t>执行《通用条款》9.1.（3）款和附件中的“安全生产责任协议书”的有关内容。</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（4）向发包人提供的办公和生活房屋及设施的要求：</w:t>
      </w:r>
      <w:r>
        <w:rPr>
          <w:rFonts w:hint="eastAsia" w:ascii="宋体" w:hAnsi="宋体" w:cs="宋体"/>
          <w:kern w:val="0"/>
          <w:sz w:val="24"/>
          <w:u w:val="single"/>
        </w:rPr>
        <w:t>　　/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（5）需承包人办理的有关施工场地交通、环卫和施工噪音管理等手续：_</w:t>
      </w:r>
      <w:r>
        <w:rPr>
          <w:rFonts w:hint="eastAsia" w:ascii="宋体" w:hAnsi="宋体" w:cs="宋体"/>
          <w:kern w:val="0"/>
          <w:sz w:val="24"/>
          <w:u w:val="single"/>
        </w:rPr>
        <w:t>执行《通用条款》9.1.（5）款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（6）已完工程成品保护的特殊要求及费用承担：</w:t>
      </w:r>
      <w:r>
        <w:rPr>
          <w:rFonts w:hint="eastAsia" w:ascii="宋体" w:hAnsi="宋体" w:cs="宋体"/>
          <w:kern w:val="0"/>
          <w:sz w:val="24"/>
          <w:u w:val="single"/>
        </w:rPr>
        <w:t>执行《通用条款》9.1.（6）款</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（7）施工场地周围地下管线和邻近建筑物、构筑物（含文物保护建筑）、古树名木的保护要求及费用承担：_</w:t>
      </w:r>
      <w:r>
        <w:rPr>
          <w:rFonts w:hint="eastAsia" w:ascii="宋体" w:hAnsi="宋体" w:cs="宋体"/>
          <w:kern w:val="0"/>
          <w:sz w:val="24"/>
          <w:u w:val="single"/>
        </w:rPr>
        <w:t>执行《通用条款》9.1.（7）款</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（8）施工场地清洁卫生的要求：_</w:t>
      </w:r>
      <w:r>
        <w:rPr>
          <w:rFonts w:hint="eastAsia" w:ascii="宋体" w:hAnsi="宋体" w:cs="宋体"/>
          <w:kern w:val="0"/>
          <w:sz w:val="24"/>
          <w:u w:val="single"/>
        </w:rPr>
        <w:t>执行《通用条款》9.1.（8）款</w:t>
      </w:r>
      <w:r>
        <w:rPr>
          <w:rFonts w:hint="eastAsia" w:ascii="宋体" w:hAnsi="宋体" w:cs="宋体"/>
          <w:kern w:val="0"/>
          <w:sz w:val="24"/>
        </w:rPr>
        <w:t>_</w:t>
      </w:r>
    </w:p>
    <w:p>
      <w:pPr>
        <w:spacing w:line="360" w:lineRule="auto"/>
        <w:ind w:firstLine="480" w:firstLineChars="200"/>
        <w:rPr>
          <w:rFonts w:ascii="宋体" w:hAnsi="宋体" w:cs="宋体"/>
          <w:sz w:val="24"/>
          <w:u w:val="single"/>
        </w:rPr>
      </w:pPr>
      <w:r>
        <w:rPr>
          <w:rFonts w:hint="eastAsia" w:ascii="宋体" w:hAnsi="宋体" w:cs="宋体"/>
          <w:kern w:val="0"/>
          <w:sz w:val="24"/>
        </w:rPr>
        <w:t>（9）双方约定承包人应做的其他工作：__</w:t>
      </w:r>
      <w:r>
        <w:rPr>
          <w:rFonts w:hint="eastAsia" w:ascii="宋体" w:hAnsi="宋体" w:cs="宋体"/>
          <w:sz w:val="24"/>
          <w:u w:val="single"/>
        </w:rPr>
        <w:t>承包人应将其在审阅合同文件及施工过程中发现的工程设计或技术规范的任何错误、遗漏、误差或其他缺陷及时通知工程师，并给发包方一份复印件。</w:t>
      </w:r>
    </w:p>
    <w:p>
      <w:pPr>
        <w:spacing w:line="360" w:lineRule="auto"/>
        <w:ind w:firstLine="480" w:firstLineChars="200"/>
        <w:rPr>
          <w:rFonts w:ascii="宋体" w:hAnsi="宋体" w:cs="宋体"/>
          <w:sz w:val="24"/>
          <w:u w:val="single"/>
        </w:rPr>
      </w:pPr>
      <w:r>
        <w:rPr>
          <w:rFonts w:hint="eastAsia" w:ascii="宋体" w:hAnsi="宋体" w:cs="宋体"/>
          <w:sz w:val="24"/>
          <w:u w:val="single"/>
        </w:rPr>
        <w:t>承包人应对整个现场操作和施工方法的完备性、稳定性和安全性负全责。</w:t>
      </w:r>
    </w:p>
    <w:p>
      <w:pPr>
        <w:spacing w:line="360" w:lineRule="auto"/>
        <w:ind w:firstLine="480" w:firstLineChars="200"/>
        <w:rPr>
          <w:rFonts w:ascii="宋体" w:hAnsi="宋体" w:cs="宋体"/>
          <w:kern w:val="0"/>
          <w:sz w:val="24"/>
        </w:rPr>
      </w:pPr>
      <w:r>
        <w:rPr>
          <w:rFonts w:hint="eastAsia" w:ascii="宋体" w:hAnsi="宋体" w:cs="宋体"/>
          <w:sz w:val="24"/>
          <w:u w:val="single"/>
        </w:rPr>
        <w:t>承包人应对其采用的施工工艺、施工方法等涉及到知识产权的行为的合法性负全责。</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三、施工组织设计和工期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10、进度计划</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10.1承包人提供施工组织设计（施工方案）和进度计划的时间：</w:t>
      </w:r>
      <w:r>
        <w:rPr>
          <w:rFonts w:hint="eastAsia" w:ascii="宋体" w:hAnsi="宋体" w:cs="宋体"/>
          <w:kern w:val="0"/>
          <w:sz w:val="24"/>
          <w:u w:val="single"/>
        </w:rPr>
        <w:t>开工前十日内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工程师确认的时间：_</w:t>
      </w:r>
      <w:r>
        <w:rPr>
          <w:rFonts w:hint="eastAsia" w:ascii="宋体" w:hAnsi="宋体" w:cs="宋体"/>
          <w:kern w:val="0"/>
          <w:sz w:val="24"/>
          <w:u w:val="single"/>
        </w:rPr>
        <w:t>_7日内___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10.2群体工程中有关进度计划的要求： 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13、工期延误</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13.1双方约定工期顺延的其他情况：_</w:t>
      </w:r>
      <w:r>
        <w:rPr>
          <w:rFonts w:hint="eastAsia" w:ascii="宋体" w:hAnsi="宋体" w:cs="宋体"/>
          <w:sz w:val="24"/>
          <w:u w:val="single"/>
        </w:rPr>
        <w:t>执行《通用条款》11条：工期提前无奖励。工期每推迟一天除按1000元处罚外,若影响到发包人使用时应赔偿由此给甲方造成的损失。</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四、质量与检验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17、隐蔽工程和中间验收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17.1双方约定中间验收部位：</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19、工程试车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19.1试车费用的承担：</w:t>
      </w:r>
      <w:r>
        <w:rPr>
          <w:rFonts w:hint="eastAsia" w:ascii="宋体" w:hAnsi="宋体" w:cs="宋体"/>
          <w:sz w:val="24"/>
          <w:u w:val="single"/>
        </w:rPr>
        <w:t>　　　　　　　　　</w:t>
      </w:r>
      <w:r>
        <w:rPr>
          <w:rFonts w:hint="eastAsia" w:ascii="宋体" w:hAnsi="宋体" w:cs="宋体"/>
          <w:kern w:val="0"/>
          <w:sz w:val="24"/>
        </w:rPr>
        <w:t>__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五、安全防护、文明施工</w:t>
      </w:r>
    </w:p>
    <w:p>
      <w:pPr>
        <w:spacing w:line="360" w:lineRule="auto"/>
        <w:ind w:firstLine="480" w:firstLineChars="200"/>
        <w:rPr>
          <w:rFonts w:ascii="宋体" w:hAnsi="宋体" w:cs="宋体"/>
          <w:sz w:val="24"/>
          <w:u w:val="single"/>
        </w:rPr>
      </w:pPr>
      <w:r>
        <w:rPr>
          <w:rFonts w:hint="eastAsia" w:ascii="宋体" w:hAnsi="宋体" w:cs="宋体"/>
          <w:sz w:val="24"/>
          <w:szCs w:val="21"/>
          <w:u w:val="single"/>
        </w:rPr>
        <w:t>执行《通用条款》第五条全部条款和国家、省、市关于安全文明施工的各项要求和规定。必须按照省级文明工地要求标准进行安全文明施工。制定切实可行的安全施工措施和安</w:t>
      </w:r>
      <w:r>
        <w:rPr>
          <w:rFonts w:hint="eastAsia" w:ascii="宋体" w:hAnsi="宋体" w:cs="宋体"/>
          <w:sz w:val="24"/>
          <w:u w:val="single"/>
        </w:rPr>
        <w:t>全管理制度，承包人承担工程施工期间的安全责任，确保本工程施工安全。因施工安全所引起发生的经济和法律责任由承包人全部负责并承担责任，其费用包含在合同价内。</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六、合同价款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26、合同价款约定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26.2本合同价款采用_</w:t>
      </w:r>
      <w:r>
        <w:rPr>
          <w:rFonts w:hint="eastAsia" w:ascii="宋体" w:hAnsi="宋体" w:cs="宋体"/>
          <w:sz w:val="24"/>
          <w:u w:val="single"/>
        </w:rPr>
        <w:t>固定综合单价合同</w:t>
      </w:r>
      <w:r>
        <w:rPr>
          <w:rFonts w:hint="eastAsia" w:ascii="宋体" w:hAnsi="宋体" w:cs="宋体"/>
          <w:kern w:val="0"/>
          <w:sz w:val="24"/>
        </w:rPr>
        <w:t>_方式确定。</w:t>
      </w:r>
    </w:p>
    <w:p>
      <w:pPr>
        <w:spacing w:line="360" w:lineRule="auto"/>
        <w:ind w:firstLine="480" w:firstLineChars="200"/>
        <w:rPr>
          <w:rFonts w:ascii="宋体" w:hAnsi="宋体" w:cs="宋体"/>
          <w:sz w:val="24"/>
        </w:rPr>
      </w:pPr>
      <w:r>
        <w:rPr>
          <w:rFonts w:hint="eastAsia" w:ascii="宋体" w:hAnsi="宋体" w:cs="宋体"/>
          <w:kern w:val="0"/>
          <w:sz w:val="24"/>
        </w:rPr>
        <w:t>（1）采用固定综合单价合同，综合单价中包括的风险范围：</w:t>
      </w:r>
      <w:r>
        <w:rPr>
          <w:rFonts w:hint="eastAsia" w:ascii="宋体" w:hAnsi="宋体" w:cs="宋体"/>
          <w:sz w:val="24"/>
          <w:u w:val="single"/>
        </w:rPr>
        <w:t>合同价款中包括的风险范围：人工费、材料费、机械费社会价格浮动，本合同第43条规定以外发生的自然灾害、停水、停电</w:t>
      </w:r>
      <w:r>
        <w:rPr>
          <w:rFonts w:hint="eastAsia" w:ascii="宋体" w:hAnsi="宋体" w:cs="宋体"/>
          <w:sz w:val="24"/>
          <w:szCs w:val="21"/>
          <w:u w:val="single"/>
        </w:rPr>
        <w:t>等引起的停窝工机械和人工费用</w:t>
      </w:r>
      <w:r>
        <w:rPr>
          <w:rFonts w:hint="eastAsia" w:ascii="宋体" w:hAnsi="宋体" w:cs="宋体"/>
          <w:sz w:val="24"/>
          <w:u w:val="single"/>
        </w:rPr>
        <w:t>。</w:t>
      </w:r>
    </w:p>
    <w:p>
      <w:pPr>
        <w:spacing w:line="360" w:lineRule="auto"/>
        <w:ind w:firstLine="410" w:firstLineChars="171"/>
        <w:rPr>
          <w:rFonts w:ascii="宋体" w:hAnsi="宋体" w:cs="宋体"/>
          <w:sz w:val="24"/>
          <w:szCs w:val="21"/>
          <w:u w:val="single"/>
        </w:rPr>
      </w:pPr>
      <w:r>
        <w:rPr>
          <w:rFonts w:hint="eastAsia" w:ascii="宋体" w:hAnsi="宋体" w:cs="宋体"/>
          <w:sz w:val="24"/>
        </w:rPr>
        <w:t xml:space="preserve"> </w:t>
      </w:r>
      <w:r>
        <w:rPr>
          <w:rFonts w:hint="eastAsia" w:ascii="宋体" w:hAnsi="宋体" w:cs="宋体"/>
          <w:sz w:val="24"/>
          <w:szCs w:val="21"/>
          <w:u w:val="single"/>
        </w:rPr>
        <w:t>法律、行政法规和国家有关政策变化影响合同价款时，双方协商解决。</w:t>
      </w:r>
    </w:p>
    <w:p>
      <w:pPr>
        <w:spacing w:line="360" w:lineRule="auto"/>
        <w:ind w:firstLine="360" w:firstLineChars="150"/>
        <w:rPr>
          <w:rFonts w:ascii="宋体" w:hAnsi="宋体" w:cs="宋体"/>
          <w:sz w:val="24"/>
          <w:szCs w:val="21"/>
        </w:rPr>
      </w:pPr>
      <w:r>
        <w:rPr>
          <w:rFonts w:hint="eastAsia" w:ascii="宋体" w:hAnsi="宋体" w:cs="宋体"/>
          <w:sz w:val="24"/>
          <w:szCs w:val="21"/>
        </w:rPr>
        <w:t>（2）主要材料发包人已认质认价。</w:t>
      </w:r>
    </w:p>
    <w:p>
      <w:pPr>
        <w:spacing w:line="360" w:lineRule="auto"/>
        <w:ind w:firstLine="361" w:firstLineChars="150"/>
        <w:rPr>
          <w:rFonts w:ascii="宋体" w:hAnsi="宋体" w:cs="宋体"/>
          <w:b/>
          <w:bCs/>
          <w:sz w:val="24"/>
          <w:szCs w:val="21"/>
        </w:rPr>
      </w:pPr>
      <w:r>
        <w:rPr>
          <w:rFonts w:hint="eastAsia" w:ascii="宋体" w:hAnsi="宋体" w:cs="宋体"/>
          <w:b/>
          <w:bCs/>
          <w:sz w:val="24"/>
          <w:szCs w:val="21"/>
        </w:rPr>
        <w:t>（3）不平衡报价：投标完成后，发包人将对承包人投标单价与拦标价对应项目进行核对，对投标单价与拦标价相差超过±15%的，将对投标单价进行修正。</w:t>
      </w:r>
    </w:p>
    <w:p>
      <w:pPr>
        <w:spacing w:line="360" w:lineRule="auto"/>
        <w:ind w:firstLine="482" w:firstLineChars="200"/>
        <w:rPr>
          <w:rFonts w:ascii="宋体" w:hAnsi="宋体" w:cs="宋体"/>
          <w:b/>
          <w:bCs/>
          <w:sz w:val="24"/>
          <w:szCs w:val="21"/>
        </w:rPr>
      </w:pPr>
      <w:r>
        <w:rPr>
          <w:rFonts w:hint="eastAsia" w:ascii="宋体" w:hAnsi="宋体" w:cs="宋体"/>
          <w:b/>
          <w:bCs/>
          <w:sz w:val="24"/>
          <w:szCs w:val="21"/>
        </w:rPr>
        <w:t>修正办法：将拦标价中综合单价按照成交价同比例下浮后做为对应项目综合单价，差价部分费用在措施费中调整，合同总价不变。</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27、合同价款调整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27.1双方约定合同价款的其他调整因素：</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kern w:val="0"/>
          <w:sz w:val="24"/>
          <w:u w:val="single"/>
        </w:rPr>
        <w:t>（1）除设计变更、现场签证情况外，分部分项工程量清单按国家有关规定调整。依据设计变更、现场签证、洽商文件、发包人认质认价单及承包人投标承诺执行本合同第35条。</w:t>
      </w:r>
    </w:p>
    <w:p>
      <w:pPr>
        <w:autoSpaceDE w:val="0"/>
        <w:autoSpaceDN w:val="0"/>
        <w:spacing w:line="440" w:lineRule="exact"/>
        <w:ind w:firstLine="480" w:firstLineChars="200"/>
        <w:rPr>
          <w:rFonts w:ascii="宋体" w:hAnsi="宋体" w:cs="宋体"/>
          <w:sz w:val="24"/>
          <w:szCs w:val="21"/>
          <w:u w:val="single"/>
        </w:rPr>
      </w:pPr>
      <w:r>
        <w:rPr>
          <w:rFonts w:hint="eastAsia" w:ascii="宋体" w:hAnsi="宋体" w:cs="宋体"/>
          <w:kern w:val="0"/>
          <w:sz w:val="24"/>
          <w:u w:val="single"/>
        </w:rPr>
        <w:t>（2）</w:t>
      </w:r>
      <w:r>
        <w:rPr>
          <w:rFonts w:hint="eastAsia" w:ascii="宋体" w:hAnsi="宋体" w:cs="宋体"/>
          <w:sz w:val="24"/>
          <w:szCs w:val="21"/>
          <w:u w:val="single"/>
        </w:rPr>
        <w:t xml:space="preserve">工程发生变更，若清单中已有适用于新工程量清单项目的价格，按已有价格结算；若清单中没有适用于新工程量清单项目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 </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sz w:val="24"/>
          <w:szCs w:val="21"/>
          <w:u w:val="single"/>
        </w:rPr>
        <w:t>（3）</w:t>
      </w:r>
      <w:r>
        <w:rPr>
          <w:rFonts w:hint="eastAsia" w:ascii="宋体" w:hAnsi="宋体" w:cs="宋体"/>
          <w:kern w:val="0"/>
          <w:sz w:val="24"/>
          <w:u w:val="single"/>
        </w:rPr>
        <w:t>清单工程量中零工量实际发生时，按签证量为准，但零工投标单价不变。清单量若与实际量不符时，经工程师会同双方核实签认后，以签认量进行增减并按本条款第27.1条原则办理结算。</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（4）</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eastAsia="zh-CN"/>
        </w:rPr>
        <w:t>陈工</w:t>
      </w:r>
      <w:r>
        <w:rPr>
          <w:rFonts w:hint="eastAsia" w:ascii="宋体" w:hAnsi="宋体" w:cs="宋体"/>
          <w:kern w:val="0"/>
          <w:sz w:val="24"/>
          <w:u w:val="single"/>
        </w:rPr>
        <w:t>程量计价规则》调整此部分措施。</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（5）</w:t>
      </w:r>
      <w:r>
        <w:rPr>
          <w:rFonts w:hint="eastAsia" w:ascii="宋体" w:hAnsi="宋体" w:cs="宋体"/>
          <w:sz w:val="24"/>
          <w:u w:val="single"/>
        </w:rPr>
        <w:t>因甲方设计变更应依照招标文件、答疑纪要、设计变更、现场签证、洽商文件、发包人认质认价单、及承包人成交下浮比例进行调整。合同价款（成交价）及因承包人漏报的项目不予调整。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28、工程预付款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发包人向承包人预付工程款的时间和金额或占合同价款总额的比例：</w:t>
      </w:r>
      <w:r>
        <w:rPr>
          <w:rFonts w:hint="eastAsia" w:ascii="宋体" w:hAnsi="宋体" w:cs="宋体"/>
          <w:sz w:val="24"/>
          <w:u w:val="single"/>
        </w:rPr>
        <w:t>本工程无预付款。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29.1承包人向工程师提交已完工程量报告的时间：</w:t>
      </w:r>
      <w:r>
        <w:rPr>
          <w:rFonts w:hint="eastAsia" w:ascii="宋体" w:hAnsi="宋体" w:cs="宋体"/>
          <w:kern w:val="0"/>
          <w:sz w:val="24"/>
          <w:u w:val="single"/>
        </w:rPr>
        <w:t>每月25日</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30、工程进度款结算与支付</w:t>
      </w:r>
    </w:p>
    <w:p>
      <w:pPr>
        <w:widowControl/>
        <w:spacing w:line="360" w:lineRule="auto"/>
        <w:ind w:firstLine="480" w:firstLineChars="200"/>
        <w:rPr>
          <w:rFonts w:ascii="宋体" w:hAnsi="宋体" w:cs="宋体"/>
          <w:color w:val="FF0000"/>
          <w:kern w:val="0"/>
          <w:sz w:val="24"/>
          <w:u w:val="single"/>
        </w:rPr>
      </w:pPr>
      <w:r>
        <w:rPr>
          <w:rFonts w:hint="eastAsia" w:ascii="宋体" w:hAnsi="宋体" w:cs="宋体"/>
          <w:sz w:val="24"/>
          <w:u w:val="single"/>
        </w:rPr>
        <w:t>工程付款采取进度付款的形式，项目施工完毕并经竣工验收合格后30天内，乙方持《竣工验收报告》原件在甲方处办理至百分之七十（70%）工程款的支付手续，待审计结束后支付剩余款项（扣除3%质保金，待合同签订质保期过后30日内无任何工程质量及纠纷办理支付手续）。</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七、材料设备供应</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31、发包人供应材料设备</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31.4发包人供应的材料设备与一览表不符时，双方约定发包人承担责任如下：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（1）材料设备单价与一览表不符：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执行《通用条款》31.4.（1）款。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（2）材料设备的品种、规格、型号、质量等级与一览表不符：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执行《通用条款》31.4（2）款。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（3）承包人可代为调剂串换的材料：</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执行《通用条款》31.4（3）款。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（4）到货地点与一览表不符：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执行《通用条款》31.4（4）款。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（5）供应数量与一览表不符：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（6）到货时间与一览表不符：</w:t>
      </w:r>
    </w:p>
    <w:p>
      <w:pPr>
        <w:widowControl/>
        <w:spacing w:line="360" w:lineRule="auto"/>
        <w:ind w:firstLine="360" w:firstLineChars="150"/>
        <w:rPr>
          <w:rFonts w:ascii="宋体" w:hAnsi="宋体" w:cs="宋体"/>
          <w:kern w:val="0"/>
          <w:sz w:val="24"/>
        </w:rPr>
      </w:pPr>
      <w:r>
        <w:rPr>
          <w:rFonts w:hint="eastAsia" w:ascii="宋体" w:hAnsi="宋体" w:cs="宋体"/>
          <w:sz w:val="24"/>
          <w:u w:val="single"/>
        </w:rPr>
        <w:t>执行《通用条款》31.4（6）款。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31.6发包人供应材料设备的结算方法：</w:t>
      </w:r>
    </w:p>
    <w:p>
      <w:pPr>
        <w:widowControl/>
        <w:spacing w:line="360" w:lineRule="auto"/>
        <w:rPr>
          <w:rFonts w:ascii="宋体" w:hAnsi="宋体" w:cs="宋体"/>
          <w:kern w:val="0"/>
          <w:sz w:val="24"/>
        </w:rPr>
      </w:pPr>
      <w:r>
        <w:rPr>
          <w:rFonts w:hint="eastAsia" w:ascii="宋体" w:hAnsi="宋体" w:cs="宋体"/>
          <w:kern w:val="0"/>
          <w:sz w:val="24"/>
        </w:rPr>
        <w:t>___</w:t>
      </w:r>
      <w:r>
        <w:rPr>
          <w:rFonts w:hint="eastAsia" w:ascii="宋体" w:hAnsi="宋体" w:cs="宋体"/>
          <w:sz w:val="24"/>
          <w:u w:val="single"/>
        </w:rPr>
        <w:t>发包人按甲供材料表供应材料设备，并对所供材料设备的质量负责，按指定价从发包人的合同价中扣除。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32、承包人采购材料设备</w:t>
      </w:r>
    </w:p>
    <w:p>
      <w:pPr>
        <w:spacing w:line="360" w:lineRule="auto"/>
        <w:ind w:firstLine="480" w:firstLineChars="200"/>
        <w:rPr>
          <w:rFonts w:ascii="宋体" w:hAnsi="宋体" w:cs="宋体"/>
          <w:spacing w:val="-6"/>
          <w:sz w:val="24"/>
          <w:szCs w:val="21"/>
          <w:u w:val="single"/>
        </w:rPr>
      </w:pPr>
      <w:r>
        <w:rPr>
          <w:rFonts w:hint="eastAsia" w:ascii="宋体" w:hAnsi="宋体" w:cs="宋体"/>
          <w:kern w:val="0"/>
          <w:sz w:val="24"/>
        </w:rPr>
        <w:t>32.1承包人采购材料设备的约定：</w:t>
      </w:r>
      <w:r>
        <w:rPr>
          <w:rFonts w:hint="eastAsia" w:ascii="宋体" w:hAnsi="宋体" w:cs="宋体"/>
          <w:spacing w:val="-6"/>
          <w:sz w:val="24"/>
          <w:szCs w:val="21"/>
          <w:u w:val="single"/>
        </w:rPr>
        <w:t>⑴发包人暂定价材料由承包人根据施工进度并充分考虑材料设备采购时间，提前60天向发包人提交材料设备供应计划，并写清材料、设备进场时间。若因此造成承包人停工待料等问题，概由承包人负责。（承包方提前60天申报所需要确定的材料设备计划，发包人提前一周认质认价或督促设备到位）。</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⑵认质认价材料、设备结算方法：</w:t>
      </w:r>
      <w:r>
        <w:rPr>
          <w:rFonts w:hint="eastAsia" w:ascii="宋体" w:hAnsi="宋体" w:cs="宋体"/>
          <w:b/>
          <w:spacing w:val="-6"/>
          <w:sz w:val="24"/>
          <w:szCs w:val="21"/>
          <w:u w:val="single"/>
        </w:rPr>
        <w:t>发包人招标时暂定价的主要材料设备仅为材料设备本身价格，承包人在投标报价组价时自行考虑其损耗、加工、制作、运输、安装、二次搬迁、收口收边、成活、税金、利润等其它因素所产生的费用，暂定价材料设备须经发包人认质认价确定后进货和使用。</w:t>
      </w:r>
      <w:r>
        <w:rPr>
          <w:rFonts w:hint="eastAsia" w:ascii="宋体" w:hAnsi="宋体" w:cs="宋体"/>
          <w:spacing w:val="-6"/>
          <w:sz w:val="24"/>
          <w:szCs w:val="21"/>
          <w:u w:val="single"/>
        </w:rPr>
        <w:t xml:space="preserve">材料设备的认质认价若与暂定价不一致时按材料差价计入结算总价，不再计取或调整投标报价中的其他费用，（差价只计税金，其余费用不计）。 </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⑶承包人采购的材料、设备均应满足设计和规范及发包人要求品牌和质量等级，并须向发包人和监理提供产品合格证和检验资料，待发包人、监理同意后采购进场，否则按不合格品处理，并拒绝支付该项费用。材料设备进场后立即向监理和发包人报验，否则发包人有权要求承包人无条件退货。因材料质量引起工程质量问题由承包人承担所造成的一切损失。如发包人或监理对该部分材料的质量有异议，有权提出停止使用或再次取样复试的要求，若若异议属实，由此发生的一切费用由承包人承担。国家规定的常规材料检验、随机抽检、见证取样检验、监理抽检和强制检验材料的检验费由承包人负责。</w:t>
      </w:r>
    </w:p>
    <w:p>
      <w:pPr>
        <w:spacing w:line="360" w:lineRule="auto"/>
        <w:ind w:firstLine="474" w:firstLineChars="208"/>
        <w:rPr>
          <w:rFonts w:ascii="宋体" w:hAnsi="宋体" w:cs="宋体"/>
          <w:kern w:val="0"/>
          <w:sz w:val="24"/>
        </w:rPr>
      </w:pPr>
      <w:r>
        <w:rPr>
          <w:rFonts w:hint="eastAsia" w:ascii="宋体" w:hAnsi="宋体" w:cs="宋体"/>
          <w:spacing w:val="-6"/>
          <w:sz w:val="24"/>
          <w:szCs w:val="21"/>
          <w:u w:val="single"/>
        </w:rPr>
        <w:t>⑷</w:t>
      </w:r>
      <w:r>
        <w:rPr>
          <w:rFonts w:hint="eastAsia" w:ascii="宋体" w:hAnsi="宋体" w:cs="宋体"/>
          <w:b/>
          <w:spacing w:val="-6"/>
          <w:sz w:val="24"/>
          <w:szCs w:val="21"/>
          <w:u w:val="single"/>
        </w:rPr>
        <w:t>本工程所用材料品牌均为中档次以上产品。</w:t>
      </w:r>
      <w:r>
        <w:rPr>
          <w:rFonts w:hint="eastAsia" w:ascii="宋体" w:hAnsi="宋体" w:cs="宋体"/>
          <w:spacing w:val="-6"/>
          <w:sz w:val="24"/>
          <w:szCs w:val="21"/>
          <w:u w:val="single"/>
        </w:rPr>
        <w:t xml:space="preserve">除暂定价材料设备外，所有用于本工程的材料、设备或发包人有特别要求的材料、设备，承包人须事先向发包人及监理提供不少于三家的同档次产品资料及样品，同样发包人也可以提供资料及样品。经发包人考察筛选确定后再采购，使用或安装之前仍需履行必要的检验、检测程序。 </w:t>
      </w:r>
    </w:p>
    <w:p>
      <w:pPr>
        <w:widowControl/>
        <w:spacing w:line="360" w:lineRule="auto"/>
        <w:ind w:firstLine="480"/>
        <w:rPr>
          <w:rFonts w:ascii="宋体" w:hAnsi="宋体" w:cs="宋体"/>
          <w:b/>
          <w:kern w:val="0"/>
          <w:sz w:val="24"/>
        </w:rPr>
      </w:pPr>
      <w:r>
        <w:rPr>
          <w:rFonts w:hint="eastAsia" w:ascii="宋体" w:hAnsi="宋体" w:cs="宋体"/>
          <w:b/>
          <w:kern w:val="0"/>
          <w:sz w:val="24"/>
        </w:rPr>
        <w:t>八、工程变更</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33.1图纸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响应文件主材价格计算，若响应文件中无主材单价时，由发承包双方共同认质认价，主材差价只计取税金，其余费用不计；合同中没有适用或类似于工程变更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eastAsia="zh-CN"/>
        </w:rPr>
        <w:t>陈工</w:t>
      </w:r>
      <w:r>
        <w:rPr>
          <w:rFonts w:hint="eastAsia" w:ascii="宋体" w:hAnsi="宋体" w:cs="宋体"/>
          <w:kern w:val="0"/>
          <w:sz w:val="24"/>
          <w:u w:val="single"/>
        </w:rPr>
        <w:t>程量计价规则》调整此部分措施。</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设计变更和现场签证的工程量在进度款中暂不予计算和支付，统一在竣工结算时计算并进入总造价。其余情况执行《通用条款》第八条有关条款。</w:t>
      </w:r>
    </w:p>
    <w:p>
      <w:pPr>
        <w:spacing w:line="360" w:lineRule="auto"/>
        <w:rPr>
          <w:rFonts w:ascii="宋体" w:hAnsi="宋体" w:cs="宋体"/>
          <w:sz w:val="24"/>
          <w:szCs w:val="21"/>
          <w:u w:val="single"/>
        </w:rPr>
      </w:pPr>
      <w:r>
        <w:rPr>
          <w:rFonts w:hint="eastAsia" w:ascii="宋体" w:hAnsi="宋体" w:cs="宋体"/>
          <w:sz w:val="24"/>
          <w:szCs w:val="21"/>
        </w:rPr>
        <w:t>　　</w:t>
      </w:r>
      <w:r>
        <w:rPr>
          <w:rFonts w:hint="eastAsia" w:ascii="宋体" w:hAnsi="宋体" w:cs="宋体"/>
          <w:sz w:val="24"/>
          <w:szCs w:val="21"/>
          <w:u w:val="single"/>
        </w:rPr>
        <w:t>33.2承包人在施工中对设计原因造成的变更，应在未施工该分项工程前10天报告发包人代表人和监理工程师，办理设计变更，否则因此造成的一切损失均由承包人承担，延误工期不予顺延。</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33.3施工图以外未列项目的零星工程发生时，工程量以实际签证为准，若所用材料为少量，且未认质认价，材料价及零工费用以签证中各方明确的单价为准。签证应于零星工程发生14日内完成，否则视为无效签证。</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33.4承包人不得对原工程设计进行变更。因承包人擅自变更设计发生的费用和由此导致发包人蒙受的损失由承包人承担，延误的工期不予顺延。因承包人自身原因导致的工程变更，承包人无权要求追加合同价款。</w:t>
      </w:r>
    </w:p>
    <w:p>
      <w:pPr>
        <w:spacing w:line="360" w:lineRule="auto"/>
        <w:ind w:firstLine="499" w:firstLineChars="208"/>
        <w:rPr>
          <w:rFonts w:ascii="宋体" w:hAnsi="宋体" w:cs="宋体"/>
          <w:bCs/>
          <w:sz w:val="24"/>
          <w:szCs w:val="21"/>
          <w:u w:val="single"/>
        </w:rPr>
      </w:pPr>
      <w:r>
        <w:rPr>
          <w:rFonts w:hint="eastAsia" w:ascii="宋体" w:hAnsi="宋体" w:cs="宋体"/>
          <w:sz w:val="24"/>
          <w:szCs w:val="21"/>
          <w:u w:val="single"/>
        </w:rPr>
        <w:t>33.5变更签证的确认程序：根据监理单位及发包人确认的变更签证，由三方现场实际核</w:t>
      </w:r>
      <w:r>
        <w:rPr>
          <w:rFonts w:hint="eastAsia" w:ascii="宋体" w:hAnsi="宋体" w:cs="宋体"/>
          <w:bCs/>
          <w:sz w:val="24"/>
          <w:szCs w:val="21"/>
          <w:u w:val="single"/>
        </w:rPr>
        <w:t>对实际完成的工作内容并进行签认。变更签证必须有发包人现场负责人、总监和承包人项目经理的签字并加盖公章后方可生效。</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九、竣工验收与结算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36、竣工验收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36.1承包人提供竣工图的约定：</w:t>
      </w:r>
    </w:p>
    <w:p>
      <w:pPr>
        <w:widowControl/>
        <w:spacing w:line="360" w:lineRule="auto"/>
        <w:rPr>
          <w:rFonts w:ascii="宋体" w:hAnsi="宋体" w:cs="宋体"/>
          <w:kern w:val="0"/>
          <w:sz w:val="24"/>
        </w:rPr>
      </w:pPr>
      <w:r>
        <w:rPr>
          <w:rFonts w:hint="eastAsia" w:ascii="宋体" w:hAnsi="宋体" w:cs="宋体"/>
          <w:kern w:val="0"/>
          <w:sz w:val="24"/>
          <w:u w:val="single"/>
        </w:rPr>
        <w:t xml:space="preserve">竣工验收后一个月内，交竣工图及资料文件肆套。 </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5080</wp:posOffset>
                </wp:positionV>
                <wp:extent cx="685800" cy="99060"/>
                <wp:effectExtent l="635" t="4445" r="18415" b="10795"/>
                <wp:wrapNone/>
                <wp:docPr id="3" name="直线 24"/>
                <wp:cNvGraphicFramePr/>
                <a:graphic xmlns:a="http://schemas.openxmlformats.org/drawingml/2006/main">
                  <a:graphicData uri="http://schemas.microsoft.com/office/word/2010/wordprocessingShape">
                    <wps:wsp>
                      <wps:cNvCnPr/>
                      <wps:spPr>
                        <a:xfrm flipV="1">
                          <a:off x="0" y="0"/>
                          <a:ext cx="6858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4" o:spid="_x0000_s1026" o:spt="20" style="position:absolute;left:0pt;flip:y;margin-left:234pt;margin-top:0.4pt;height:7.8pt;width:54pt;z-index:251661312;mso-width-relative:page;mso-height-relative:page;" filled="f" stroked="t" coordsize="21600,21600" o:gfxdata="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8IhX1QAAAAcBAAAPAAAAAAAAAAEAIAAAACIAAABkcnMvZG93bnJldi54bWxQSwECFAAUAAAA&#10;CACHTuJAVjD+pPEBAADr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 w:val="24"/>
        </w:rPr>
        <w:t>36.2中间交工工程的范围和竣工时间：____________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37、竣工结算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结算审查期限：</w:t>
      </w:r>
      <w:r>
        <w:rPr>
          <w:rFonts w:hint="eastAsia" w:ascii="宋体" w:hAnsi="宋体" w:cs="宋体"/>
          <w:kern w:val="0"/>
          <w:sz w:val="24"/>
          <w:u w:val="single"/>
        </w:rPr>
        <w:t xml:space="preserve"> </w:t>
      </w:r>
      <w:r>
        <w:rPr>
          <w:rFonts w:hint="eastAsia" w:ascii="宋体" w:hAnsi="宋体" w:cs="宋体"/>
          <w:sz w:val="24"/>
          <w:u w:val="single"/>
        </w:rPr>
        <w:t>竣工结算经发包方委托审价机构审定后，待甲方资金到位后60日内一次付清除预留审定造价3%保修金外的全部工程尾款。</w:t>
      </w:r>
      <w:r>
        <w:rPr>
          <w:rFonts w:hint="eastAsia" w:ascii="宋体" w:hAnsi="宋体" w:cs="宋体"/>
          <w:kern w:val="0"/>
          <w:sz w:val="24"/>
          <w:u w:val="single"/>
        </w:rPr>
        <w:t xml:space="preserve"> </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十、违约、索赔和争议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39、违约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39.1本合同中关于发包人违约的具体责任如下：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本合同通用条款第28.1条约定发包人违约应承担的违约责任：_</w:t>
      </w:r>
      <w:r>
        <w:rPr>
          <w:rFonts w:hint="eastAsia" w:ascii="宋体" w:hAnsi="宋体" w:cs="宋体"/>
          <w:sz w:val="24"/>
          <w:u w:val="single"/>
        </w:rPr>
        <w:t>参照《通用条款》第39条款。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本合同通用条款第30.5款约定发包人违约应承担的违约责任：</w:t>
      </w:r>
      <w:r>
        <w:rPr>
          <w:rFonts w:hint="eastAsia" w:ascii="宋体" w:hAnsi="宋体" w:cs="宋体"/>
          <w:sz w:val="24"/>
          <w:u w:val="single"/>
        </w:rPr>
        <w:t>《通用条款》</w:t>
      </w:r>
      <w:r>
        <w:rPr>
          <w:rFonts w:hint="eastAsia" w:ascii="宋体" w:hAnsi="宋体" w:cs="宋体"/>
          <w:kern w:val="0"/>
          <w:sz w:val="24"/>
          <w:u w:val="single"/>
        </w:rPr>
        <w:t>30.5</w:t>
      </w:r>
      <w:r>
        <w:rPr>
          <w:rFonts w:hint="eastAsia" w:ascii="宋体" w:hAnsi="宋体" w:cs="宋体"/>
          <w:sz w:val="24"/>
          <w:u w:val="single"/>
        </w:rPr>
        <w:t>条改为：由于</w:t>
      </w:r>
      <w:r>
        <w:rPr>
          <w:rFonts w:hint="eastAsia" w:ascii="宋体" w:hAnsi="宋体" w:cs="宋体"/>
          <w:kern w:val="0"/>
          <w:sz w:val="24"/>
          <w:u w:val="single"/>
        </w:rPr>
        <w:t>发包人资金原因未按合同约定支付工程进度款，</w:t>
      </w:r>
      <w:r>
        <w:rPr>
          <w:rFonts w:hint="eastAsia" w:ascii="宋体" w:hAnsi="宋体" w:cs="宋体"/>
          <w:sz w:val="24"/>
          <w:u w:val="single"/>
        </w:rPr>
        <w:t>承包人不追究发包人违约责任。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本合同通用条款第37.6款约定发包人违约应承担的违约责任：__</w:t>
      </w:r>
      <w:r>
        <w:rPr>
          <w:rFonts w:hint="eastAsia" w:ascii="宋体" w:hAnsi="宋体" w:cs="宋体"/>
          <w:sz w:val="24"/>
          <w:u w:val="single"/>
        </w:rPr>
        <w:t>《通用条款》37.6条改为：竣工结算经有资质的审价机构核定后，支付除3%的保修金外的余款。</w:t>
      </w:r>
      <w:r>
        <w:rPr>
          <w:rFonts w:hint="eastAsia" w:ascii="宋体" w:hAnsi="宋体" w:cs="宋体"/>
          <w:kern w:val="0"/>
          <w:sz w:val="24"/>
        </w:rPr>
        <w:t>_</w:t>
      </w:r>
    </w:p>
    <w:p>
      <w:pPr>
        <w:widowControl/>
        <w:spacing w:line="360" w:lineRule="auto"/>
        <w:ind w:firstLine="480" w:firstLineChars="24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55245</wp:posOffset>
                </wp:positionV>
                <wp:extent cx="800100" cy="99060"/>
                <wp:effectExtent l="635" t="4445" r="18415" b="10795"/>
                <wp:wrapNone/>
                <wp:docPr id="4" name="直线 25"/>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5" o:spid="_x0000_s1026" o:spt="20" style="position:absolute;left:0pt;flip:y;margin-left:225pt;margin-top:4.35pt;height:7.8pt;width:63pt;z-index:251662336;mso-width-relative:page;mso-height-relative:page;" filled="f" stroked="t" coordsize="21600,21600" o:gfxdata="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9lF9YAAAAIAQAADwAAAAAAAAABACAAAAAiAAAAZHJzL2Rvd25yZXYueG1sUEsBAhQAFAAAAAgA&#10;h07iQEUHL1buAQAA6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kern w:val="0"/>
          <w:sz w:val="24"/>
        </w:rPr>
        <w:t>双方约定的发包人其他违约责任：________________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39.2本合同中关于承包人违约的具体责任如下：</w:t>
      </w:r>
      <w:r>
        <w:rPr>
          <w:rFonts w:hint="eastAsia" w:ascii="宋体" w:hAnsi="宋体" w:cs="宋体"/>
          <w:kern w:val="0"/>
          <w:sz w:val="24"/>
          <w:u w:val="single"/>
        </w:rPr>
        <w:t>因乙方原因造成的工期、质量、安全、其它承诺条件达不到合同约定的标准时造成的违约，除扣履约保证金外，并保留追究由此给甲方带来的直接和间接损失的权利。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双方约定的承包人其他违约责任：</w:t>
      </w:r>
      <w:r>
        <w:rPr>
          <w:rFonts w:hint="eastAsia" w:ascii="宋体" w:hAnsi="宋体" w:cs="宋体"/>
          <w:sz w:val="24"/>
          <w:u w:val="single"/>
        </w:rPr>
        <w:t>如果通过竣工验收一个月后，承包人不能提供完成的竣工结算资料，每推迟一天罚2000元，累计推迟超过14天时，取消承包方下次投标资格。</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41.1双方当事人约定，在履行合同过程中产生争议时：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（1）请</w:t>
      </w:r>
      <w:r>
        <w:rPr>
          <w:rFonts w:hint="eastAsia" w:ascii="宋体" w:hAnsi="宋体" w:cs="宋体"/>
          <w:sz w:val="24"/>
          <w:u w:val="single"/>
        </w:rPr>
        <w:t>合同主管部门和造价主管部门</w:t>
      </w:r>
      <w:r>
        <w:rPr>
          <w:rFonts w:hint="eastAsia" w:ascii="宋体" w:hAnsi="宋体" w:cs="宋体"/>
          <w:kern w:val="0"/>
          <w:sz w:val="24"/>
        </w:rPr>
        <w:t>_调解；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（2）合同争议调解不成的，按下列第</w:t>
      </w:r>
      <w:r>
        <w:rPr>
          <w:rFonts w:hint="eastAsia" w:ascii="宋体" w:hAnsi="宋体" w:cs="宋体"/>
          <w:kern w:val="0"/>
          <w:sz w:val="24"/>
          <w:u w:val="single"/>
        </w:rPr>
        <w:t>　一　</w:t>
      </w:r>
      <w:r>
        <w:rPr>
          <w:rFonts w:hint="eastAsia" w:ascii="宋体" w:hAnsi="宋体" w:cs="宋体"/>
          <w:kern w:val="0"/>
          <w:sz w:val="24"/>
        </w:rPr>
        <w:t>种方式解决：</w:t>
      </w:r>
    </w:p>
    <w:p>
      <w:pPr>
        <w:widowControl/>
        <w:spacing w:line="360" w:lineRule="auto"/>
        <w:ind w:firstLine="720" w:firstLineChars="300"/>
        <w:rPr>
          <w:rFonts w:ascii="宋体" w:hAnsi="宋体" w:cs="宋体"/>
          <w:kern w:val="0"/>
          <w:sz w:val="24"/>
        </w:rPr>
      </w:pPr>
      <w:r>
        <w:rPr>
          <w:rFonts w:hint="eastAsia" w:ascii="宋体" w:hAnsi="宋体" w:cs="宋体"/>
          <w:kern w:val="0"/>
          <w:sz w:val="24"/>
        </w:rPr>
        <w:t>1）提交</w:t>
      </w:r>
      <w:r>
        <w:rPr>
          <w:rFonts w:hint="eastAsia" w:ascii="宋体" w:hAnsi="宋体" w:cs="宋体"/>
          <w:kern w:val="0"/>
          <w:sz w:val="24"/>
          <w:u w:val="single"/>
        </w:rPr>
        <w:t>西安市仲裁</w:t>
      </w:r>
      <w:r>
        <w:rPr>
          <w:rFonts w:hint="eastAsia" w:ascii="宋体" w:hAnsi="宋体" w:cs="宋体"/>
          <w:kern w:val="0"/>
          <w:sz w:val="24"/>
        </w:rPr>
        <w:t>委员会申请仲裁；</w:t>
      </w:r>
    </w:p>
    <w:p>
      <w:pPr>
        <w:widowControl/>
        <w:spacing w:line="360" w:lineRule="auto"/>
        <w:ind w:firstLine="720" w:firstLineChars="300"/>
        <w:rPr>
          <w:rFonts w:ascii="宋体" w:hAnsi="宋体" w:cs="宋体"/>
          <w:kern w:val="0"/>
          <w:sz w:val="24"/>
        </w:rPr>
      </w:pPr>
      <w:r>
        <w:rPr>
          <w:rFonts w:hint="eastAsia" w:ascii="宋体" w:hAnsi="宋体" w:cs="宋体"/>
          <w:kern w:val="0"/>
          <w:sz w:val="24"/>
        </w:rPr>
        <w:t>2）依法向</w:t>
      </w:r>
      <w:r>
        <w:rPr>
          <w:rFonts w:hint="eastAsia" w:ascii="宋体" w:hAnsi="宋体" w:cs="宋体"/>
          <w:kern w:val="0"/>
          <w:sz w:val="24"/>
          <w:u w:val="single"/>
        </w:rPr>
        <w:t>具有管辖权的</w:t>
      </w:r>
      <w:r>
        <w:rPr>
          <w:rFonts w:hint="eastAsia" w:ascii="宋体" w:hAnsi="宋体" w:cs="宋体"/>
          <w:kern w:val="0"/>
          <w:sz w:val="24"/>
        </w:rPr>
        <w:t>人民法院提起诉讼。</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十一、其他</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42、工程分包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42.1本工程发包人同意承包人分包的专业工程：</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分包施工单位为：_________________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43、不可抗力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43.1双方关于不可抗力的约定：</w:t>
      </w:r>
    </w:p>
    <w:p>
      <w:pPr>
        <w:widowControl/>
        <w:spacing w:line="360" w:lineRule="auto"/>
        <w:rPr>
          <w:rFonts w:ascii="宋体" w:hAnsi="宋体" w:cs="宋体"/>
          <w:kern w:val="0"/>
          <w:sz w:val="24"/>
        </w:rPr>
      </w:pPr>
      <w:r>
        <w:rPr>
          <w:rFonts w:hint="eastAsia" w:ascii="宋体" w:hAnsi="宋体" w:cs="宋体"/>
          <w:kern w:val="0"/>
          <w:sz w:val="24"/>
        </w:rPr>
        <w:t>__</w:t>
      </w:r>
      <w:r>
        <w:rPr>
          <w:rFonts w:hint="eastAsia" w:ascii="宋体" w:hAnsi="宋体" w:cs="宋体"/>
          <w:kern w:val="0"/>
          <w:sz w:val="24"/>
          <w:u w:val="single"/>
        </w:rPr>
        <w:t>执行《通用条款》第43条。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44.6本工程双方约定投保内容如下：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（1）发包人投保内容：</w:t>
      </w:r>
      <w:r>
        <w:rPr>
          <w:rFonts w:hint="eastAsia" w:ascii="宋体" w:hAnsi="宋体" w:cs="宋体"/>
          <w:kern w:val="0"/>
          <w:sz w:val="24"/>
          <w:u w:val="single"/>
        </w:rPr>
        <w:t>本合同通用条款44.1 44.2保险，发包人暂不办理。</w:t>
      </w:r>
    </w:p>
    <w:p>
      <w:pPr>
        <w:spacing w:line="360" w:lineRule="auto"/>
        <w:rPr>
          <w:rFonts w:ascii="宋体" w:hAnsi="宋体" w:cs="宋体"/>
          <w:sz w:val="24"/>
          <w:u w:val="single"/>
        </w:rPr>
      </w:pPr>
      <w:r>
        <w:rPr>
          <w:rFonts w:hint="eastAsia" w:ascii="宋体" w:hAnsi="宋体" w:cs="宋体"/>
          <w:kern w:val="0"/>
          <w:sz w:val="24"/>
        </w:rPr>
        <w:t>发包人委托承包人办理的保险事项：__</w:t>
      </w:r>
      <w:r>
        <w:rPr>
          <w:rFonts w:hint="eastAsia" w:ascii="宋体" w:hAnsi="宋体" w:cs="宋体"/>
          <w:sz w:val="24"/>
          <w:u w:val="single"/>
        </w:rPr>
        <w:t>本工程无发包人委托承包人办理的保险事宜。</w:t>
      </w:r>
    </w:p>
    <w:p>
      <w:pPr>
        <w:widowControl/>
        <w:spacing w:line="360" w:lineRule="auto"/>
        <w:rPr>
          <w:rFonts w:ascii="宋体" w:hAnsi="宋体" w:cs="宋体"/>
          <w:kern w:val="0"/>
          <w:sz w:val="24"/>
        </w:rPr>
      </w:pPr>
      <w:r>
        <w:rPr>
          <w:rFonts w:hint="eastAsia" w:ascii="宋体" w:hAnsi="宋体" w:cs="宋体"/>
          <w:sz w:val="24"/>
        </w:rPr>
        <w:t xml:space="preserve">    </w:t>
      </w:r>
      <w:r>
        <w:rPr>
          <w:rFonts w:hint="eastAsia" w:ascii="宋体" w:hAnsi="宋体" w:cs="宋体"/>
          <w:sz w:val="24"/>
          <w:u w:val="single"/>
        </w:rPr>
        <w:t>失业、医疗、工伤、残疾人就业保险，已包含在合同价款中，结算时，承包方凭参加保险票据，在标准范围内办理结算。本合同44.1、44.2保险费已由发包人委托承包人投保。保险费已包含在成交价中。</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（2）承包人投保内容：_</w:t>
      </w:r>
      <w:r>
        <w:rPr>
          <w:rFonts w:hint="eastAsia" w:ascii="宋体" w:hAnsi="宋体" w:cs="宋体"/>
          <w:sz w:val="24"/>
          <w:u w:val="single"/>
        </w:rPr>
        <w:t>具体投保内容由承包人自行决定，并承担相关责任。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45.3本工程双方约定担保事项如下：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（1）发包人向承包人提供支付担保，担保方式为：</w:t>
      </w:r>
      <w:r>
        <w:rPr>
          <w:rFonts w:hint="eastAsia" w:ascii="宋体" w:hAnsi="宋体" w:cs="宋体"/>
          <w:sz w:val="24"/>
          <w:u w:val="single"/>
        </w:rPr>
        <w:t xml:space="preserve">   无  </w:t>
      </w:r>
      <w:r>
        <w:rPr>
          <w:rFonts w:hint="eastAsia" w:ascii="宋体" w:hAnsi="宋体" w:cs="宋体"/>
          <w:kern w:val="0"/>
          <w:sz w:val="24"/>
        </w:rPr>
        <w:t>。</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3328670</wp:posOffset>
                </wp:positionH>
                <wp:positionV relativeFrom="paragraph">
                  <wp:posOffset>58420</wp:posOffset>
                </wp:positionV>
                <wp:extent cx="800100" cy="99060"/>
                <wp:effectExtent l="635" t="4445" r="18415" b="10795"/>
                <wp:wrapNone/>
                <wp:docPr id="5" name="直线 26"/>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flip:y;margin-left:262.1pt;margin-top:4.6pt;height:7.8pt;width:63pt;z-index:251663360;mso-width-relative:page;mso-height-relative:page;" filled="f" stroked="t" coordsize="21600,21600" o:gfxdata="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iBk/XAAAACAEAAA8AAAAAAAAAAQAgAAAAIgAAAGRycy9kb3ducmV2LnhtbFBLAQIUABQAAAAI&#10;AIdO4kBi1h1I7gEAAOs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cs="宋体"/>
          <w:kern w:val="0"/>
          <w:sz w:val="24"/>
        </w:rPr>
        <w:t>（2）双方约定的其他担保事项：__________________________________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50.2双方约定合同副本份数：_</w:t>
      </w:r>
      <w:r>
        <w:rPr>
          <w:rFonts w:hint="eastAsia" w:ascii="宋体" w:hAnsi="宋体" w:cs="宋体"/>
          <w:sz w:val="24"/>
          <w:u w:val="single"/>
        </w:rPr>
        <w:t>正本贰份，副本捌份；发、承包双方各持正本壹份、副本肆份。</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51、补充条款（注：本条款作为合同的一部分，不得更改，否则视为违约。）</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51.1本工程竣工后，应免费将施工现场清除干净；无建筑材料、无建筑设备、无临时垃圾、无坑池渠沟、无掩埋的硬化道路和垃圾，场地整洁。否则发包人不予支付工程款。并按每延期一天罚款2000元进行处罚。</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51.2 必须按照</w:t>
      </w:r>
      <w:r>
        <w:rPr>
          <w:rFonts w:hint="eastAsia" w:ascii="宋体" w:hAnsi="宋体" w:cs="宋体"/>
          <w:kern w:val="0"/>
          <w:sz w:val="24"/>
          <w:szCs w:val="21"/>
          <w:u w:val="single"/>
        </w:rPr>
        <w:t>文明工地标准进行安全文明施工管理。</w:t>
      </w:r>
      <w:r>
        <w:rPr>
          <w:rFonts w:hint="eastAsia" w:ascii="宋体" w:hAnsi="宋体" w:cs="宋体"/>
          <w:sz w:val="24"/>
          <w:szCs w:val="21"/>
          <w:u w:val="single"/>
        </w:rPr>
        <w:t xml:space="preserve">设立专用垃圾场，不得在施工区内任意堆放或乱倒垃圾，定期将建筑垃圾清理外运。施工人员必须挂牌上岗（标明姓名、年龄、职务并贴照片）。 </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51.3施工过程中，资料和工程进度必须同步。每月发包人管理人员对施工进度和资料进行检查，出现问题限期整改，否则每次罚款1000元人民币。在工程竣工验收前，承包人要按规定将竣工资料交监理验收，由监理出据相应证明后，发包人方可组织验收。</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51.4安全管理人员必须持证上岗，并负责检查现场和施工人员安全情况，如监理和发包人管理人员发现有不安全因素存在，经指出仍未纠正的每次罚款500元人民币；出现安全事故，施工单位自负。</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 xml:space="preserve">51.5现场用电必须按照发包人要求，三相五线制，一机一闸必须带漏电保护，不许用电炉。如施工现场出现用电漏电或短路跳闸，造成停电、影响发包人用电，每次罚款2000元人民币。 </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51.6承包人必须严格执行规章制度和工程施工管理办法。承包人必须执行发包人现场管理人员和监理的指令，服从管理，否则发包人有权更换相关人员。</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51.7竣工验收时，承包人须向发包人提供《工程质量保修书》、使用说明书。</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51.8对图纸中存在的问题及需要联系的事宜，由发包方联系解决，承包人、监理不得同设计院联系或取得资料。</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51.9承包人须与聘用的农民工签订劳务合同，并到相应单位办理手续。按时发放农民工工资，当承包人申报当期进度款计划时应一并报已发农民工工资表给发包人，发包人有权监督承包人在支付的当期进度款中发放农民工工资或在支付当月工程款中代扣。</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51.10本工程拆除费用按照建筑面积报价，学校已在开标前组织承包方勘察现场，承包方自行现场核对拆除工程量，自主报价，随后，承包方不得以拆除工程量变化和垃圾外运等问题提出经济补偿和工期拖延要求。</w:t>
      </w:r>
    </w:p>
    <w:p>
      <w:pPr>
        <w:spacing w:line="420" w:lineRule="exact"/>
        <w:ind w:firstLine="480" w:firstLineChars="200"/>
        <w:rPr>
          <w:rFonts w:ascii="宋体" w:hAnsi="宋体" w:cs="宋体"/>
          <w:sz w:val="24"/>
          <w:szCs w:val="21"/>
          <w:u w:val="single"/>
        </w:rPr>
        <w:sectPr>
          <w:headerReference r:id="rId12" w:type="first"/>
          <w:pgSz w:w="11906" w:h="16838"/>
          <w:pgMar w:top="1440" w:right="1457" w:bottom="1440" w:left="1463" w:header="851" w:footer="992" w:gutter="0"/>
          <w:cols w:space="0" w:num="1"/>
          <w:titlePg/>
          <w:docGrid w:type="lines" w:linePitch="312" w:charSpace="0"/>
        </w:sectPr>
      </w:pPr>
    </w:p>
    <w:p>
      <w:pPr>
        <w:spacing w:line="520" w:lineRule="exact"/>
        <w:jc w:val="center"/>
        <w:outlineLvl w:val="1"/>
        <w:rPr>
          <w:rFonts w:ascii="宋体" w:hAnsi="宋体" w:cs="宋体"/>
          <w:sz w:val="36"/>
          <w:szCs w:val="36"/>
        </w:rPr>
      </w:pPr>
      <w:r>
        <w:rPr>
          <w:rFonts w:hint="eastAsia" w:ascii="宋体" w:hAnsi="宋体" w:cs="宋体"/>
          <w:bCs/>
          <w:sz w:val="36"/>
          <w:szCs w:val="36"/>
        </w:rPr>
        <w:t>安全生产责任书</w:t>
      </w:r>
    </w:p>
    <w:p>
      <w:pPr>
        <w:spacing w:line="520" w:lineRule="exact"/>
        <w:rPr>
          <w:rFonts w:ascii="宋体" w:hAnsi="宋体" w:cs="宋体"/>
          <w:sz w:val="28"/>
        </w:rPr>
      </w:pPr>
    </w:p>
    <w:p>
      <w:pPr>
        <w:spacing w:line="520" w:lineRule="exact"/>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
          <w:sz w:val="24"/>
        </w:rPr>
        <w:t xml:space="preserve">         </w:t>
      </w:r>
    </w:p>
    <w:p>
      <w:pPr>
        <w:spacing w:line="520" w:lineRule="exact"/>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 xml:space="preserve">                     </w:t>
      </w:r>
    </w:p>
    <w:p>
      <w:pPr>
        <w:spacing w:line="520" w:lineRule="exact"/>
        <w:ind w:firstLine="480" w:firstLineChars="200"/>
        <w:rPr>
          <w:rFonts w:ascii="宋体" w:hAnsi="宋体" w:cs="宋体"/>
          <w:sz w:val="24"/>
        </w:rPr>
      </w:pPr>
      <w:r>
        <w:rPr>
          <w:rFonts w:hint="eastAsia" w:ascii="宋体" w:hAnsi="宋体" w:cs="宋体"/>
          <w:sz w:val="24"/>
        </w:rPr>
        <w:t>为了认真贯彻落实《中华人民共和国安全生产法》、《国务院302号令》、《陕西省安全生产条例》和省厅关于安全生产的各项规定，确保</w:t>
      </w:r>
      <w:r>
        <w:rPr>
          <w:rFonts w:hint="eastAsia" w:ascii="宋体" w:hAnsi="宋体" w:cs="宋体"/>
          <w:sz w:val="24"/>
          <w:u w:val="single"/>
        </w:rPr>
        <w:t xml:space="preserve"> </w:t>
      </w:r>
      <w:r>
        <w:rPr>
          <w:rFonts w:hint="eastAsia" w:ascii="宋体" w:hAnsi="宋体" w:cs="宋体"/>
          <w:sz w:val="24"/>
          <w:u w:val="single"/>
          <w:lang w:eastAsia="zh-CN"/>
        </w:rPr>
        <w:t>西安市高陵区创优质均衡发展（高家小学多功能厅改造提升项目）</w:t>
      </w:r>
      <w:r>
        <w:rPr>
          <w:rFonts w:hint="eastAsia" w:ascii="宋体" w:hAnsi="宋体" w:cs="宋体"/>
          <w:sz w:val="24"/>
        </w:rPr>
        <w:t>安全生产的顺利进行，特制定本责任书。</w:t>
      </w:r>
    </w:p>
    <w:p>
      <w:pPr>
        <w:spacing w:line="520" w:lineRule="exact"/>
        <w:ind w:firstLine="480" w:firstLineChars="200"/>
        <w:rPr>
          <w:rFonts w:ascii="宋体" w:hAnsi="宋体" w:cs="宋体"/>
          <w:sz w:val="24"/>
        </w:rPr>
      </w:pPr>
      <w:r>
        <w:rPr>
          <w:rFonts w:hint="eastAsia" w:ascii="宋体" w:hAnsi="宋体" w:cs="宋体"/>
          <w:sz w:val="24"/>
        </w:rPr>
        <w:t>一、落实由项目经理主要负责的逐级安全生产责任制，要求做到逐级签订责任书，并进行安全生产目标责任制的落实。</w:t>
      </w:r>
    </w:p>
    <w:p>
      <w:pPr>
        <w:spacing w:line="520" w:lineRule="exact"/>
        <w:ind w:firstLine="480" w:firstLineChars="200"/>
        <w:rPr>
          <w:rFonts w:ascii="宋体" w:hAnsi="宋体" w:cs="宋体"/>
          <w:sz w:val="24"/>
        </w:rPr>
      </w:pPr>
      <w:r>
        <w:rPr>
          <w:rFonts w:hint="eastAsia" w:ascii="宋体" w:hAnsi="宋体" w:cs="宋体"/>
          <w:sz w:val="24"/>
        </w:rPr>
        <w:t>二、建立健全安全生产组织机构、建立安全生产规章制度，建立安全生产操作规程，并确保安全生产的资金投入。</w:t>
      </w:r>
    </w:p>
    <w:p>
      <w:pPr>
        <w:spacing w:line="520" w:lineRule="exact"/>
        <w:ind w:firstLine="480" w:firstLineChars="200"/>
        <w:rPr>
          <w:rFonts w:ascii="宋体" w:hAnsi="宋体" w:cs="宋体"/>
          <w:sz w:val="24"/>
        </w:rPr>
      </w:pPr>
      <w:r>
        <w:rPr>
          <w:rFonts w:hint="eastAsia" w:ascii="宋体" w:hAnsi="宋体" w:cs="宋体"/>
          <w:sz w:val="24"/>
        </w:rPr>
        <w:t>三、经常开展安全生产大检查，对存在的问题和薄弱环节，采取有力措施及时督促整改，逐项落实。</w:t>
      </w:r>
    </w:p>
    <w:p>
      <w:pPr>
        <w:spacing w:line="520" w:lineRule="exact"/>
        <w:ind w:firstLine="480" w:firstLineChars="200"/>
        <w:rPr>
          <w:rFonts w:ascii="宋体" w:hAnsi="宋体" w:cs="宋体"/>
          <w:sz w:val="24"/>
        </w:rPr>
      </w:pPr>
      <w:r>
        <w:rPr>
          <w:rFonts w:hint="eastAsia" w:ascii="宋体" w:hAnsi="宋体" w:cs="宋体"/>
          <w:sz w:val="24"/>
        </w:rPr>
        <w:t>四、搞好工地安全生产的宣传和教育，张贴安全生产宣传栏，设立警示标志。要对进场工人进行安全教育，每周召开一次安全专题会议，对每天发生的安全质量及时整改。</w:t>
      </w:r>
    </w:p>
    <w:p>
      <w:pPr>
        <w:spacing w:line="520" w:lineRule="exact"/>
        <w:ind w:firstLine="480" w:firstLineChars="200"/>
        <w:rPr>
          <w:rFonts w:ascii="宋体" w:hAnsi="宋体" w:cs="宋体"/>
          <w:sz w:val="24"/>
        </w:rPr>
      </w:pPr>
      <w:r>
        <w:rPr>
          <w:rFonts w:hint="eastAsia" w:ascii="宋体" w:hAnsi="宋体" w:cs="宋体"/>
          <w:sz w:val="24"/>
        </w:rPr>
        <w:t>五、制定安全事故应急救援预案，建立重、特大事故报告制度，上报时间不得超过事故发生后30分钟。</w:t>
      </w:r>
    </w:p>
    <w:p>
      <w:pPr>
        <w:spacing w:line="520" w:lineRule="exact"/>
        <w:ind w:firstLine="480" w:firstLineChars="200"/>
        <w:jc w:val="left"/>
        <w:rPr>
          <w:rFonts w:ascii="宋体" w:hAnsi="宋体" w:cs="宋体"/>
          <w:sz w:val="24"/>
        </w:rPr>
      </w:pPr>
      <w:r>
        <w:rPr>
          <w:rFonts w:hint="eastAsia" w:ascii="宋体" w:hAnsi="宋体" w:cs="宋体"/>
          <w:sz w:val="24"/>
        </w:rPr>
        <w:t>六、租用的机械设备和施工机具及配件，应当具有厂家资质、生产(制造)许可证、产品合格证等材料。特种设备须经国家有关部门检测，并出具准运证明。</w:t>
      </w:r>
    </w:p>
    <w:p>
      <w:pPr>
        <w:spacing w:line="520" w:lineRule="exact"/>
        <w:ind w:firstLine="480" w:firstLineChars="200"/>
        <w:jc w:val="left"/>
        <w:rPr>
          <w:rFonts w:ascii="宋体" w:hAnsi="宋体" w:cs="宋体"/>
          <w:sz w:val="24"/>
        </w:rPr>
      </w:pPr>
      <w:r>
        <w:rPr>
          <w:rFonts w:hint="eastAsia" w:ascii="宋体" w:hAnsi="宋体" w:cs="宋体"/>
          <w:sz w:val="24"/>
        </w:rPr>
        <w:t>七、现场所有人员必须佩带安全帽，高空作业必须佩带安全带。</w:t>
      </w:r>
    </w:p>
    <w:p>
      <w:pPr>
        <w:spacing w:line="520" w:lineRule="exact"/>
        <w:ind w:firstLine="480" w:firstLineChars="200"/>
        <w:jc w:val="left"/>
        <w:rPr>
          <w:rFonts w:ascii="宋体" w:hAnsi="宋体" w:cs="宋体"/>
          <w:sz w:val="24"/>
        </w:rPr>
      </w:pPr>
      <w:r>
        <w:rPr>
          <w:rFonts w:hint="eastAsia" w:ascii="宋体" w:hAnsi="宋体" w:cs="宋体"/>
          <w:sz w:val="24"/>
        </w:rPr>
        <w:t>八、施工现场的安全防护用具、机械设备、施工机具及配件应当设专人管理，定期进行检查、维修和保养。</w:t>
      </w:r>
    </w:p>
    <w:p>
      <w:pPr>
        <w:spacing w:line="520" w:lineRule="exact"/>
        <w:ind w:firstLine="480" w:firstLineChars="200"/>
        <w:jc w:val="left"/>
        <w:rPr>
          <w:rFonts w:ascii="宋体" w:hAnsi="宋体" w:cs="宋体"/>
          <w:sz w:val="24"/>
        </w:rPr>
      </w:pPr>
      <w:r>
        <w:rPr>
          <w:rFonts w:hint="eastAsia" w:ascii="宋体" w:hAnsi="宋体" w:cs="宋体"/>
          <w:sz w:val="24"/>
        </w:rPr>
        <w:t>九、施工单位接用水、电时必须安装总表。现场用电三相五线制，一机一闸，带漏电保护。不准私拉乱扯电缆线，严格按规范用电要求使用。</w:t>
      </w:r>
    </w:p>
    <w:p>
      <w:pPr>
        <w:spacing w:line="520" w:lineRule="exact"/>
        <w:ind w:firstLine="480" w:firstLineChars="200"/>
        <w:rPr>
          <w:rFonts w:ascii="宋体" w:hAnsi="宋体" w:cs="宋体"/>
          <w:sz w:val="24"/>
        </w:rPr>
      </w:pPr>
      <w:r>
        <w:rPr>
          <w:rFonts w:hint="eastAsia" w:ascii="宋体" w:hAnsi="宋体" w:cs="宋体"/>
          <w:sz w:val="24"/>
        </w:rPr>
        <w:t>十、特殊工种必须持证上岗，专职人员操作，无证人员不得上岗。</w:t>
      </w:r>
    </w:p>
    <w:p>
      <w:pPr>
        <w:spacing w:line="520" w:lineRule="exact"/>
        <w:ind w:firstLine="480" w:firstLineChars="200"/>
        <w:rPr>
          <w:rFonts w:ascii="宋体" w:hAnsi="宋体" w:cs="宋体"/>
          <w:sz w:val="24"/>
        </w:rPr>
      </w:pPr>
      <w:r>
        <w:rPr>
          <w:rFonts w:hint="eastAsia" w:ascii="宋体" w:hAnsi="宋体" w:cs="宋体"/>
          <w:sz w:val="24"/>
        </w:rPr>
        <w:t>十一、定期对从业人员进行健康检查，老弱病残和未成年人不得上岗。</w:t>
      </w:r>
    </w:p>
    <w:p>
      <w:pPr>
        <w:spacing w:line="520" w:lineRule="exact"/>
        <w:ind w:firstLine="480" w:firstLineChars="200"/>
        <w:rPr>
          <w:rFonts w:ascii="宋体" w:hAnsi="宋体" w:cs="宋体"/>
          <w:sz w:val="24"/>
        </w:rPr>
      </w:pPr>
      <w:r>
        <w:rPr>
          <w:rFonts w:hint="eastAsia" w:ascii="宋体" w:hAnsi="宋体" w:cs="宋体"/>
          <w:sz w:val="24"/>
        </w:rPr>
        <w:t>十二、严格门禁制度，非施工人员严禁进入施工现场。夜间和假期派专人值班，做好防火、防盗和防事故工作。</w:t>
      </w:r>
    </w:p>
    <w:p>
      <w:pPr>
        <w:spacing w:line="520" w:lineRule="exact"/>
        <w:ind w:firstLine="480" w:firstLineChars="200"/>
        <w:rPr>
          <w:rFonts w:ascii="宋体" w:hAnsi="宋体" w:cs="宋体"/>
          <w:sz w:val="24"/>
        </w:rPr>
      </w:pPr>
      <w:r>
        <w:rPr>
          <w:rFonts w:hint="eastAsia" w:ascii="宋体" w:hAnsi="宋体" w:cs="宋体"/>
          <w:sz w:val="24"/>
        </w:rPr>
        <w:t>十三、建立食品安全制度，确保饮食安全。</w:t>
      </w:r>
    </w:p>
    <w:p>
      <w:pPr>
        <w:spacing w:line="520" w:lineRule="exact"/>
        <w:ind w:firstLine="480" w:firstLineChars="200"/>
        <w:rPr>
          <w:rFonts w:ascii="宋体" w:hAnsi="宋体" w:cs="宋体"/>
          <w:sz w:val="24"/>
        </w:rPr>
      </w:pPr>
      <w:r>
        <w:rPr>
          <w:rFonts w:hint="eastAsia" w:ascii="宋体" w:hAnsi="宋体" w:cs="宋体"/>
          <w:sz w:val="24"/>
        </w:rPr>
        <w:t>十四、施工单位必须设立专职安全员，全面负责施工期间的安全工作，并接受监理和甲方安全监督员的管理。</w:t>
      </w:r>
    </w:p>
    <w:p>
      <w:pPr>
        <w:spacing w:line="520" w:lineRule="exact"/>
        <w:ind w:firstLine="480" w:firstLineChars="200"/>
        <w:rPr>
          <w:rFonts w:ascii="宋体" w:hAnsi="宋体" w:cs="宋体"/>
          <w:sz w:val="24"/>
        </w:rPr>
      </w:pPr>
      <w:r>
        <w:rPr>
          <w:rFonts w:hint="eastAsia" w:ascii="宋体" w:hAnsi="宋体" w:cs="宋体"/>
          <w:sz w:val="24"/>
        </w:rPr>
        <w:t>十五、所有工作人员必须遵守施工规范或规程，不得野蛮施工，不顾安全施工，造成安全事故由施工单位负责。</w:t>
      </w:r>
    </w:p>
    <w:p>
      <w:pPr>
        <w:spacing w:line="520" w:lineRule="exact"/>
        <w:ind w:firstLine="480" w:firstLineChars="200"/>
        <w:rPr>
          <w:rFonts w:ascii="宋体" w:hAnsi="宋体" w:cs="宋体"/>
          <w:sz w:val="24"/>
        </w:rPr>
      </w:pPr>
      <w:r>
        <w:rPr>
          <w:rFonts w:hint="eastAsia" w:ascii="宋体" w:hAnsi="宋体" w:cs="宋体"/>
          <w:sz w:val="24"/>
        </w:rPr>
        <w:t>十六、施工单位负责职工的安全教育，负责施工人员和机械的安全，并全部承担由此引起的经济和法律责任。</w:t>
      </w:r>
    </w:p>
    <w:p>
      <w:pPr>
        <w:spacing w:line="520" w:lineRule="exact"/>
        <w:ind w:firstLine="480" w:firstLineChars="200"/>
        <w:rPr>
          <w:rFonts w:ascii="宋体" w:hAnsi="宋体" w:cs="宋体"/>
          <w:sz w:val="24"/>
        </w:rPr>
      </w:pPr>
      <w:r>
        <w:rPr>
          <w:rFonts w:hint="eastAsia" w:ascii="宋体" w:hAnsi="宋体" w:cs="宋体"/>
          <w:sz w:val="24"/>
        </w:rPr>
        <w:t>十七、施工单位加强对工人的监管，严禁与学校师生发生口角与肢体冲突，否则重罚。</w:t>
      </w:r>
    </w:p>
    <w:p>
      <w:pPr>
        <w:spacing w:line="520" w:lineRule="exact"/>
        <w:ind w:firstLine="480" w:firstLineChars="200"/>
        <w:rPr>
          <w:rFonts w:ascii="宋体" w:hAnsi="宋体" w:cs="宋体"/>
          <w:sz w:val="24"/>
        </w:rPr>
      </w:pPr>
      <w:r>
        <w:rPr>
          <w:rFonts w:hint="eastAsia" w:ascii="宋体" w:hAnsi="宋体" w:cs="宋体"/>
          <w:sz w:val="24"/>
        </w:rPr>
        <w:t>十八、施工单位负责外部环境的协调工作，加强职工法律意识，工地发生的任何冲突和纠纷，与学院无关，施工单位承担由此引起的全部经济和法律责任。</w:t>
      </w:r>
    </w:p>
    <w:p>
      <w:pPr>
        <w:spacing w:line="520" w:lineRule="exact"/>
        <w:ind w:firstLine="480" w:firstLineChars="200"/>
        <w:rPr>
          <w:rFonts w:ascii="宋体" w:hAnsi="宋体" w:cs="宋体"/>
          <w:sz w:val="24"/>
        </w:rPr>
      </w:pPr>
    </w:p>
    <w:p>
      <w:pPr>
        <w:spacing w:line="520" w:lineRule="exact"/>
        <w:ind w:left="5458" w:leftChars="142" w:hanging="5160" w:hangingChars="2150"/>
        <w:rPr>
          <w:rFonts w:ascii="宋体" w:hAnsi="宋体" w:cs="宋体"/>
          <w:sz w:val="24"/>
        </w:rPr>
      </w:pPr>
      <w:r>
        <w:rPr>
          <w:rFonts w:hint="eastAsia" w:ascii="宋体" w:hAnsi="宋体" w:cs="宋体"/>
          <w:sz w:val="24"/>
        </w:rPr>
        <w:t xml:space="preserve">甲方：                                 乙方： </w:t>
      </w:r>
    </w:p>
    <w:p>
      <w:pPr>
        <w:spacing w:line="520" w:lineRule="exact"/>
        <w:rPr>
          <w:rFonts w:ascii="宋体" w:hAnsi="宋体" w:cs="宋体"/>
          <w:sz w:val="24"/>
        </w:rPr>
      </w:pPr>
      <w:r>
        <w:rPr>
          <w:rFonts w:hint="eastAsia" w:ascii="宋体" w:hAnsi="宋体" w:cs="宋体"/>
          <w:sz w:val="24"/>
        </w:rPr>
        <w:t>（盖章）                                （盖章）</w:t>
      </w:r>
    </w:p>
    <w:p>
      <w:pPr>
        <w:spacing w:line="520" w:lineRule="exact"/>
        <w:ind w:firstLine="480" w:firstLineChars="200"/>
        <w:rPr>
          <w:rFonts w:ascii="宋体" w:hAnsi="宋体" w:cs="宋体"/>
          <w:sz w:val="24"/>
        </w:rPr>
      </w:pPr>
    </w:p>
    <w:p>
      <w:pPr>
        <w:tabs>
          <w:tab w:val="left" w:pos="5145"/>
        </w:tabs>
        <w:spacing w:line="520" w:lineRule="exact"/>
        <w:ind w:firstLine="240" w:firstLineChars="100"/>
        <w:rPr>
          <w:rFonts w:ascii="宋体" w:hAnsi="宋体" w:cs="宋体"/>
          <w:sz w:val="24"/>
        </w:rPr>
      </w:pPr>
      <w:r>
        <w:rPr>
          <w:rFonts w:hint="eastAsia" w:ascii="宋体" w:hAnsi="宋体" w:cs="宋体"/>
          <w:sz w:val="24"/>
        </w:rPr>
        <w:t>负责人：                               负责人：</w:t>
      </w:r>
    </w:p>
    <w:p>
      <w:pPr>
        <w:tabs>
          <w:tab w:val="left" w:pos="5145"/>
        </w:tabs>
        <w:spacing w:line="520" w:lineRule="exact"/>
        <w:ind w:firstLine="480" w:firstLineChars="200"/>
        <w:rPr>
          <w:rFonts w:ascii="宋体" w:hAnsi="宋体" w:cs="宋体"/>
          <w:sz w:val="24"/>
        </w:rPr>
      </w:pPr>
      <w:r>
        <w:rPr>
          <w:rFonts w:hint="eastAsia" w:ascii="宋体" w:hAnsi="宋体" w:cs="宋体"/>
          <w:sz w:val="24"/>
        </w:rPr>
        <w:t xml:space="preserve">        年   月   日                         年   月   日</w:t>
      </w:r>
    </w:p>
    <w:bookmarkEnd w:id="31"/>
    <w:p>
      <w:pPr>
        <w:spacing w:line="420" w:lineRule="exact"/>
        <w:ind w:firstLine="480" w:firstLineChars="200"/>
        <w:rPr>
          <w:rFonts w:asciiTheme="minorEastAsia" w:hAnsiTheme="minorEastAsia" w:eastAsiaTheme="minorEastAsia" w:cstheme="minorEastAsia"/>
          <w:sz w:val="24"/>
          <w:u w:val="single"/>
        </w:rPr>
      </w:pPr>
    </w:p>
    <w:p>
      <w:pPr>
        <w:pStyle w:val="2"/>
        <w:ind w:firstLine="602"/>
        <w:rPr>
          <w:b/>
          <w:bCs/>
          <w:sz w:val="30"/>
          <w:szCs w:val="30"/>
        </w:rPr>
      </w:pPr>
    </w:p>
    <w:p>
      <w:pPr>
        <w:spacing w:line="440" w:lineRule="exact"/>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spacing w:line="520" w:lineRule="exact"/>
        <w:jc w:val="center"/>
        <w:outlineLvl w:val="1"/>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建设工程廉政合同</w:t>
      </w:r>
    </w:p>
    <w:p>
      <w:pPr>
        <w:spacing w:line="520" w:lineRule="exact"/>
        <w:rPr>
          <w:sz w:val="30"/>
          <w:szCs w:val="30"/>
        </w:rPr>
      </w:pPr>
    </w:p>
    <w:p>
      <w:pPr>
        <w:spacing w:line="520" w:lineRule="exact"/>
        <w:rPr>
          <w:sz w:val="24"/>
          <w:u w:val="single"/>
        </w:rPr>
      </w:pPr>
      <w:r>
        <w:rPr>
          <w:rFonts w:hint="eastAsia"/>
          <w:sz w:val="24"/>
        </w:rPr>
        <w:t>建设单位（以下简称甲方）：西安市高陵区教育局</w:t>
      </w:r>
    </w:p>
    <w:p>
      <w:pPr>
        <w:spacing w:line="520" w:lineRule="exact"/>
        <w:rPr>
          <w:sz w:val="24"/>
          <w:u w:val="single"/>
        </w:rPr>
      </w:pPr>
      <w:r>
        <w:rPr>
          <w:rFonts w:hint="eastAsia"/>
          <w:sz w:val="24"/>
        </w:rPr>
        <w:t>施工单位（以下简称乙方）：</w:t>
      </w:r>
      <w:r>
        <w:rPr>
          <w:rFonts w:hint="eastAsia"/>
          <w:sz w:val="24"/>
          <w:u w:val="single"/>
        </w:rPr>
        <w:t xml:space="preserve">                        </w:t>
      </w:r>
    </w:p>
    <w:p>
      <w:pPr>
        <w:spacing w:line="520" w:lineRule="exact"/>
        <w:ind w:firstLine="484" w:firstLineChars="202"/>
        <w:rPr>
          <w:sz w:val="24"/>
          <w:u w:val="single"/>
        </w:rPr>
      </w:pPr>
      <w:r>
        <w:rPr>
          <w:rFonts w:hint="eastAsia"/>
          <w:sz w:val="24"/>
        </w:rPr>
        <w:t>根据国家建设工程廉政建设相关规定、交通部《关于在交通基础设施建设中加强廉政建设的若干意见》以及有关工程建设、廉政建设的规定，为做好工程建设中的党风廉政建设，保证工程建设高效优质、保证建设资金的安全和有效使用以及投资效益，特订立如下合同。</w:t>
      </w:r>
    </w:p>
    <w:p>
      <w:pPr>
        <w:spacing w:line="520" w:lineRule="exact"/>
        <w:ind w:firstLine="477" w:firstLineChars="198"/>
        <w:rPr>
          <w:b/>
          <w:sz w:val="24"/>
        </w:rPr>
      </w:pPr>
      <w:r>
        <w:rPr>
          <w:rFonts w:hint="eastAsia"/>
          <w:b/>
          <w:sz w:val="24"/>
        </w:rPr>
        <w:t>第一条  甲乙双方的权利和义务</w:t>
      </w:r>
    </w:p>
    <w:p>
      <w:pPr>
        <w:spacing w:line="520" w:lineRule="exact"/>
        <w:ind w:firstLine="600" w:firstLineChars="250"/>
        <w:rPr>
          <w:sz w:val="24"/>
        </w:rPr>
      </w:pPr>
      <w:r>
        <w:rPr>
          <w:rFonts w:hint="eastAsia"/>
          <w:sz w:val="24"/>
        </w:rPr>
        <w:t>（一）严格遵守党和国家有关法律法规及建设部的有关规定。</w:t>
      </w:r>
    </w:p>
    <w:p>
      <w:pPr>
        <w:spacing w:line="520" w:lineRule="exact"/>
        <w:ind w:firstLine="600" w:firstLineChars="250"/>
        <w:rPr>
          <w:sz w:val="24"/>
        </w:rPr>
      </w:pPr>
      <w:r>
        <w:rPr>
          <w:rFonts w:hint="eastAsia"/>
          <w:sz w:val="24"/>
        </w:rPr>
        <w:t>（二）严格执行</w:t>
      </w:r>
      <w:r>
        <w:rPr>
          <w:rFonts w:hint="eastAsia"/>
          <w:sz w:val="24"/>
          <w:u w:val="single"/>
          <w:lang w:eastAsia="zh-CN"/>
        </w:rPr>
        <w:t>西安市高陵区创优质均衡发展（高家小学多功能厅改造提升项目）</w:t>
      </w:r>
      <w:r>
        <w:rPr>
          <w:rFonts w:hint="eastAsia"/>
          <w:sz w:val="24"/>
        </w:rPr>
        <w:t>的合同文件，自觉按合同办事。</w:t>
      </w:r>
    </w:p>
    <w:p>
      <w:pPr>
        <w:spacing w:line="520" w:lineRule="exact"/>
        <w:ind w:firstLine="600" w:firstLineChars="250"/>
        <w:rPr>
          <w:sz w:val="24"/>
        </w:rPr>
      </w:pPr>
      <w:r>
        <w:rPr>
          <w:rFonts w:hint="eastAsia"/>
          <w:sz w:val="24"/>
        </w:rPr>
        <w:t>（三）双方的业务活动坚持公开、公平、公正、诚信和透明的原则（除法律认定的商业秘密和合同文件另有规定之外），不得损害国家和集体利益，违反工程建设管理规章制度。</w:t>
      </w:r>
    </w:p>
    <w:p>
      <w:pPr>
        <w:spacing w:line="520" w:lineRule="exact"/>
        <w:ind w:firstLine="600" w:firstLineChars="250"/>
        <w:rPr>
          <w:sz w:val="24"/>
        </w:rPr>
      </w:pPr>
      <w:r>
        <w:rPr>
          <w:rFonts w:hint="eastAsia"/>
          <w:sz w:val="24"/>
        </w:rPr>
        <w:t>（四）建立健全廉政制度，开展廉政教育，设立廉政告示牌，公布举报电话，监督并认真查处违法违纪行为。</w:t>
      </w:r>
    </w:p>
    <w:p>
      <w:pPr>
        <w:spacing w:line="520" w:lineRule="exact"/>
        <w:ind w:firstLine="600" w:firstLineChars="250"/>
        <w:rPr>
          <w:sz w:val="24"/>
        </w:rPr>
      </w:pPr>
      <w:r>
        <w:rPr>
          <w:rFonts w:hint="eastAsia"/>
          <w:sz w:val="24"/>
        </w:rPr>
        <w:t>（五）发现对方在业务活动中有违反廉政规定的行为，有及时提醒对方纠正的权利和义务。</w:t>
      </w:r>
    </w:p>
    <w:p>
      <w:pPr>
        <w:spacing w:line="520" w:lineRule="exact"/>
        <w:ind w:firstLine="600" w:firstLineChars="250"/>
        <w:rPr>
          <w:sz w:val="24"/>
        </w:rPr>
      </w:pPr>
      <w:r>
        <w:rPr>
          <w:rFonts w:hint="eastAsia"/>
          <w:sz w:val="24"/>
        </w:rPr>
        <w:t>（六）发现对方严重违反本合同义务条款的行为，有向其上级有关部门举报、建议给予处理并要求告知处理结果的权利。</w:t>
      </w:r>
    </w:p>
    <w:p>
      <w:pPr>
        <w:spacing w:line="520" w:lineRule="exact"/>
        <w:ind w:firstLine="595" w:firstLineChars="247"/>
        <w:rPr>
          <w:b/>
          <w:sz w:val="24"/>
        </w:rPr>
      </w:pPr>
      <w:r>
        <w:rPr>
          <w:rFonts w:hint="eastAsia"/>
          <w:b/>
          <w:sz w:val="24"/>
        </w:rPr>
        <w:t>第二条  甲方的义务</w:t>
      </w:r>
    </w:p>
    <w:p>
      <w:pPr>
        <w:spacing w:line="520" w:lineRule="exact"/>
        <w:ind w:firstLine="480" w:firstLineChars="200"/>
        <w:rPr>
          <w:sz w:val="24"/>
        </w:rPr>
      </w:pPr>
      <w:r>
        <w:rPr>
          <w:rFonts w:hint="eastAsia"/>
          <w:sz w:val="24"/>
        </w:rPr>
        <w:t>（一）甲方及其工作人员不得索要或接受乙方的礼金、有价证券和贵重物品，不得在乙方报销任何应甲方或个人支付的费用等。</w:t>
      </w:r>
    </w:p>
    <w:p>
      <w:pPr>
        <w:spacing w:line="520" w:lineRule="exact"/>
        <w:ind w:firstLine="480" w:firstLineChars="200"/>
        <w:rPr>
          <w:sz w:val="24"/>
        </w:rPr>
      </w:pPr>
      <w:r>
        <w:rPr>
          <w:rFonts w:hint="eastAsia"/>
          <w:sz w:val="24"/>
        </w:rPr>
        <w:t>（二）甲方工作人员不得参加乙方安排的超标准宴请和娱乐活动；不得接受乙方提供的通讯工具、交通工具和高档办公用品等。</w:t>
      </w:r>
    </w:p>
    <w:p>
      <w:pPr>
        <w:spacing w:line="520" w:lineRule="exact"/>
        <w:ind w:firstLine="480" w:firstLineChars="200"/>
        <w:rPr>
          <w:sz w:val="24"/>
        </w:rPr>
      </w:pPr>
      <w:r>
        <w:rPr>
          <w:rFonts w:hint="eastAsia"/>
          <w:sz w:val="24"/>
        </w:rPr>
        <w:t>（三）甲方及其工作人员不得要求或者接受乙方为其住房装修、婚丧嫁娶活动、配偶子女的工作安排以及出国出境、旅游等提供方便等。</w:t>
      </w:r>
    </w:p>
    <w:p>
      <w:pPr>
        <w:spacing w:line="520" w:lineRule="exact"/>
        <w:ind w:firstLine="480" w:firstLineChars="200"/>
        <w:rPr>
          <w:sz w:val="24"/>
        </w:rPr>
      </w:pPr>
      <w:r>
        <w:rPr>
          <w:rFonts w:hint="eastAsia"/>
          <w:sz w:val="24"/>
        </w:rPr>
        <w:t>（四）甲方工作人员的配偶、子女不得从事与甲方工程有关的材料设备供应、工程分包、劳务等经济活动等。</w:t>
      </w:r>
    </w:p>
    <w:p>
      <w:pPr>
        <w:spacing w:line="520" w:lineRule="exact"/>
        <w:ind w:firstLine="480" w:firstLineChars="200"/>
        <w:rPr>
          <w:sz w:val="24"/>
        </w:rPr>
      </w:pPr>
      <w:r>
        <w:rPr>
          <w:rFonts w:hint="eastAsia"/>
          <w:sz w:val="24"/>
        </w:rPr>
        <w:t>（五）甲方及其工作人员不得以任何理由向乙方推荐分包单位，不得要求乙方购买合同规定外材料和设备。</w:t>
      </w:r>
    </w:p>
    <w:p>
      <w:pPr>
        <w:spacing w:line="520" w:lineRule="exact"/>
        <w:ind w:firstLine="475" w:firstLineChars="197"/>
        <w:rPr>
          <w:b/>
          <w:sz w:val="24"/>
        </w:rPr>
      </w:pPr>
      <w:r>
        <w:rPr>
          <w:rFonts w:hint="eastAsia"/>
          <w:b/>
          <w:sz w:val="24"/>
        </w:rPr>
        <w:t>第三条  乙方义务</w:t>
      </w:r>
    </w:p>
    <w:p>
      <w:pPr>
        <w:spacing w:line="520" w:lineRule="exact"/>
        <w:ind w:firstLine="480" w:firstLineChars="200"/>
        <w:rPr>
          <w:sz w:val="24"/>
        </w:rPr>
      </w:pPr>
      <w:r>
        <w:rPr>
          <w:rFonts w:hint="eastAsia"/>
          <w:sz w:val="24"/>
        </w:rPr>
        <w:t>（一）乙方不得以任何理由向甲方及其工作人员行贿或馈赠礼金、有价证券、贵重礼品。</w:t>
      </w:r>
    </w:p>
    <w:p>
      <w:pPr>
        <w:spacing w:line="520" w:lineRule="exact"/>
        <w:ind w:firstLine="480" w:firstLineChars="200"/>
        <w:rPr>
          <w:sz w:val="24"/>
        </w:rPr>
      </w:pPr>
      <w:r>
        <w:rPr>
          <w:rFonts w:hint="eastAsia"/>
          <w:sz w:val="24"/>
        </w:rPr>
        <w:t>（二）乙方不得以任何名义为甲方及其工作人员报销应由甲方单位或个人支付的任何费用。</w:t>
      </w:r>
    </w:p>
    <w:p>
      <w:pPr>
        <w:spacing w:line="520" w:lineRule="exact"/>
        <w:ind w:firstLine="480" w:firstLineChars="200"/>
        <w:rPr>
          <w:sz w:val="24"/>
        </w:rPr>
      </w:pPr>
      <w:r>
        <w:rPr>
          <w:rFonts w:hint="eastAsia"/>
          <w:sz w:val="24"/>
        </w:rPr>
        <w:t>（三）乙方不得以任何理由安排甲方工作人员参加超标准宴请及娱乐活动。</w:t>
      </w:r>
    </w:p>
    <w:p>
      <w:pPr>
        <w:spacing w:line="520" w:lineRule="exact"/>
        <w:ind w:firstLine="480" w:firstLineChars="200"/>
        <w:rPr>
          <w:sz w:val="24"/>
        </w:rPr>
      </w:pPr>
      <w:r>
        <w:rPr>
          <w:rFonts w:hint="eastAsia"/>
          <w:sz w:val="24"/>
        </w:rPr>
        <w:t>（四）乙方不得为甲方单位和个人购置或提供通讯工具、交通工具和高档办公用品等。</w:t>
      </w:r>
    </w:p>
    <w:p>
      <w:pPr>
        <w:spacing w:line="520" w:lineRule="exact"/>
        <w:ind w:firstLine="477" w:firstLineChars="198"/>
        <w:rPr>
          <w:b/>
          <w:sz w:val="24"/>
        </w:rPr>
      </w:pPr>
      <w:r>
        <w:rPr>
          <w:rFonts w:hint="eastAsia"/>
          <w:b/>
          <w:sz w:val="24"/>
        </w:rPr>
        <w:t>第四条  违约责任</w:t>
      </w:r>
    </w:p>
    <w:p>
      <w:pPr>
        <w:spacing w:line="520" w:lineRule="exact"/>
        <w:ind w:firstLine="480" w:firstLineChars="200"/>
        <w:rPr>
          <w:sz w:val="24"/>
        </w:rPr>
      </w:pPr>
      <w:r>
        <w:rPr>
          <w:rFonts w:hint="eastAsia"/>
          <w:sz w:val="24"/>
        </w:rPr>
        <w:t>（一）甲方及其工作人员违反本合同第一、二条，按管理权限，依据有关规定给予党纪、政纪或组织处理；涉嫌犯罪的，移交司法机关追究刑事责任；给乙方单位造成经济损失的，应予以赔偿。</w:t>
      </w:r>
    </w:p>
    <w:p>
      <w:pPr>
        <w:spacing w:line="520" w:lineRule="exact"/>
        <w:ind w:firstLine="480" w:firstLineChars="200"/>
        <w:rPr>
          <w:sz w:val="24"/>
        </w:rPr>
      </w:pPr>
      <w:r>
        <w:rPr>
          <w:rFonts w:hint="eastAsia"/>
          <w:sz w:val="24"/>
        </w:rPr>
        <w:t>（二）乙方及其工作人员违反本合同第一、三条，按管理权限，依据有关规定，给予党纪、政纪或组织处理；给甲方单位造成经济损失的，应予以赔偿；情节严重的，甲方建议建筑工程建设主管部门给予乙方一至三年内不得进入其主管的建筑工程建设市场的处罚。</w:t>
      </w:r>
    </w:p>
    <w:p>
      <w:pPr>
        <w:spacing w:line="520" w:lineRule="exact"/>
        <w:ind w:firstLine="482" w:firstLineChars="200"/>
        <w:rPr>
          <w:b/>
          <w:sz w:val="24"/>
        </w:rPr>
      </w:pPr>
      <w:r>
        <w:rPr>
          <w:rFonts w:hint="eastAsia"/>
          <w:b/>
          <w:sz w:val="24"/>
        </w:rPr>
        <w:t>第五条  双方约定：</w:t>
      </w:r>
    </w:p>
    <w:p>
      <w:pPr>
        <w:spacing w:line="520" w:lineRule="exact"/>
        <w:ind w:firstLine="480" w:firstLineChars="200"/>
        <w:rPr>
          <w:sz w:val="24"/>
        </w:rPr>
      </w:pPr>
      <w:r>
        <w:rPr>
          <w:rFonts w:hint="eastAsia"/>
          <w:sz w:val="24"/>
        </w:rPr>
        <w:t>本合同由双方或双方上级单位的纪检监察机关负责监督。由甲方或甲方上级单位的纪检监察机关的约请乙方或乙方上级单位纪检监察机关对本合同履行情况进行检查，提出在本合同规定范围内的裁定意见。</w:t>
      </w:r>
    </w:p>
    <w:p>
      <w:pPr>
        <w:spacing w:line="520" w:lineRule="exact"/>
        <w:ind w:firstLine="482" w:firstLineChars="200"/>
        <w:rPr>
          <w:sz w:val="24"/>
        </w:rPr>
      </w:pPr>
      <w:r>
        <w:rPr>
          <w:rFonts w:hint="eastAsia"/>
          <w:b/>
          <w:sz w:val="24"/>
        </w:rPr>
        <w:t xml:space="preserve">第六条 </w:t>
      </w:r>
      <w:r>
        <w:rPr>
          <w:rFonts w:hint="eastAsia"/>
          <w:sz w:val="24"/>
        </w:rPr>
        <w:t xml:space="preserve"> 本合同有效期为甲、乙双方签署之日起至该工程项目竣工验收后止。</w:t>
      </w:r>
    </w:p>
    <w:p>
      <w:pPr>
        <w:spacing w:line="520" w:lineRule="exact"/>
        <w:ind w:firstLine="482" w:firstLineChars="200"/>
        <w:rPr>
          <w:sz w:val="24"/>
        </w:rPr>
      </w:pPr>
      <w:r>
        <w:rPr>
          <w:rFonts w:hint="eastAsia"/>
          <w:b/>
          <w:sz w:val="24"/>
        </w:rPr>
        <w:t xml:space="preserve">第七条 </w:t>
      </w:r>
      <w:r>
        <w:rPr>
          <w:rFonts w:hint="eastAsia"/>
          <w:sz w:val="24"/>
        </w:rPr>
        <w:t xml:space="preserve"> 本合同作为</w:t>
      </w:r>
      <w:r>
        <w:rPr>
          <w:rFonts w:hint="eastAsia"/>
          <w:sz w:val="24"/>
          <w:u w:val="single"/>
          <w:lang w:eastAsia="zh-CN"/>
        </w:rPr>
        <w:t>西安市高陵区创优质均衡发展（高家小学多功能厅改造提升项目）</w:t>
      </w:r>
      <w:r>
        <w:rPr>
          <w:rFonts w:hint="eastAsia"/>
          <w:sz w:val="24"/>
        </w:rPr>
        <w:t>施工合同的附件，与工程施工合同具有同等的法律效力，经合同双方签署立即生效。</w:t>
      </w:r>
    </w:p>
    <w:p>
      <w:pPr>
        <w:spacing w:line="520" w:lineRule="exact"/>
        <w:ind w:firstLine="482" w:firstLineChars="200"/>
        <w:rPr>
          <w:b/>
          <w:sz w:val="24"/>
        </w:rPr>
      </w:pPr>
      <w:r>
        <w:rPr>
          <w:rFonts w:hint="eastAsia"/>
          <w:b/>
          <w:sz w:val="24"/>
        </w:rPr>
        <w:t xml:space="preserve">第八条   </w:t>
      </w:r>
      <w:r>
        <w:rPr>
          <w:rFonts w:hint="eastAsia"/>
          <w:sz w:val="24"/>
        </w:rPr>
        <w:t>本合同甲乙双方各执一份。</w:t>
      </w:r>
    </w:p>
    <w:p>
      <w:pPr>
        <w:spacing w:line="520" w:lineRule="exact"/>
        <w:rPr>
          <w:sz w:val="28"/>
          <w:szCs w:val="28"/>
        </w:rPr>
      </w:pPr>
    </w:p>
    <w:p>
      <w:pPr>
        <w:spacing w:line="520" w:lineRule="exact"/>
        <w:rPr>
          <w:sz w:val="28"/>
          <w:szCs w:val="28"/>
        </w:rPr>
      </w:pPr>
    </w:p>
    <w:p>
      <w:pPr>
        <w:spacing w:line="520" w:lineRule="exact"/>
        <w:rPr>
          <w:sz w:val="24"/>
        </w:rPr>
      </w:pPr>
      <w:r>
        <w:rPr>
          <w:rFonts w:hint="eastAsia"/>
          <w:sz w:val="24"/>
        </w:rPr>
        <w:t>建设单位：（盖章）                 施工单位：（盖章）</w:t>
      </w:r>
    </w:p>
    <w:p>
      <w:pPr>
        <w:spacing w:line="520" w:lineRule="exact"/>
        <w:rPr>
          <w:sz w:val="24"/>
        </w:rPr>
      </w:pPr>
    </w:p>
    <w:p>
      <w:pPr>
        <w:spacing w:line="520" w:lineRule="exact"/>
        <w:rPr>
          <w:sz w:val="24"/>
        </w:rPr>
      </w:pPr>
    </w:p>
    <w:p>
      <w:pPr>
        <w:tabs>
          <w:tab w:val="left" w:pos="4800"/>
        </w:tabs>
        <w:spacing w:line="520" w:lineRule="exact"/>
        <w:rPr>
          <w:sz w:val="24"/>
        </w:rPr>
      </w:pPr>
      <w:r>
        <w:rPr>
          <w:rFonts w:hint="eastAsia"/>
          <w:sz w:val="24"/>
        </w:rPr>
        <w:t>法定代表人：</w:t>
      </w:r>
      <w:r>
        <w:rPr>
          <w:sz w:val="24"/>
        </w:rPr>
        <w:tab/>
      </w:r>
      <w:r>
        <w:rPr>
          <w:rFonts w:hint="eastAsia"/>
          <w:sz w:val="24"/>
        </w:rPr>
        <w:t>法定代表人：</w:t>
      </w:r>
    </w:p>
    <w:p>
      <w:pPr>
        <w:tabs>
          <w:tab w:val="left" w:pos="4800"/>
        </w:tabs>
        <w:spacing w:line="520" w:lineRule="exact"/>
        <w:rPr>
          <w:sz w:val="24"/>
        </w:rPr>
      </w:pPr>
      <w:r>
        <w:rPr>
          <w:rFonts w:hint="eastAsia"/>
          <w:sz w:val="24"/>
        </w:rPr>
        <w:t>委托代理人：</w:t>
      </w:r>
      <w:r>
        <w:rPr>
          <w:sz w:val="24"/>
        </w:rPr>
        <w:tab/>
      </w:r>
      <w:r>
        <w:rPr>
          <w:rFonts w:hint="eastAsia"/>
          <w:sz w:val="24"/>
        </w:rPr>
        <w:t>委托代理人：</w:t>
      </w:r>
    </w:p>
    <w:p>
      <w:pPr>
        <w:tabs>
          <w:tab w:val="left" w:pos="4800"/>
        </w:tabs>
        <w:spacing w:line="520" w:lineRule="exact"/>
        <w:rPr>
          <w:sz w:val="24"/>
        </w:rPr>
      </w:pPr>
      <w:r>
        <w:rPr>
          <w:rFonts w:hint="eastAsia"/>
          <w:sz w:val="24"/>
        </w:rPr>
        <w:t>经手人：</w:t>
      </w:r>
      <w:r>
        <w:rPr>
          <w:sz w:val="24"/>
        </w:rPr>
        <w:tab/>
      </w:r>
      <w:r>
        <w:rPr>
          <w:rFonts w:hint="eastAsia"/>
          <w:sz w:val="24"/>
        </w:rPr>
        <w:t>经手人：</w:t>
      </w:r>
    </w:p>
    <w:p>
      <w:pPr>
        <w:tabs>
          <w:tab w:val="left" w:pos="4800"/>
        </w:tabs>
        <w:spacing w:line="520" w:lineRule="exact"/>
        <w:rPr>
          <w:sz w:val="24"/>
        </w:rPr>
      </w:pPr>
      <w:r>
        <w:rPr>
          <w:rFonts w:hint="eastAsia"/>
          <w:sz w:val="24"/>
        </w:rPr>
        <w:t>地址：　</w:t>
      </w:r>
      <w:r>
        <w:rPr>
          <w:sz w:val="24"/>
        </w:rPr>
        <w:tab/>
      </w:r>
      <w:r>
        <w:rPr>
          <w:rFonts w:hint="eastAsia"/>
          <w:sz w:val="24"/>
        </w:rPr>
        <w:t>地址：</w:t>
      </w:r>
    </w:p>
    <w:p>
      <w:pPr>
        <w:tabs>
          <w:tab w:val="left" w:pos="4800"/>
        </w:tabs>
        <w:spacing w:line="520" w:lineRule="exact"/>
        <w:rPr>
          <w:sz w:val="24"/>
        </w:rPr>
      </w:pPr>
      <w:r>
        <w:rPr>
          <w:rFonts w:hint="eastAsia"/>
          <w:sz w:val="24"/>
        </w:rPr>
        <w:t>联系电话：　</w:t>
      </w:r>
      <w:r>
        <w:rPr>
          <w:sz w:val="24"/>
        </w:rPr>
        <w:tab/>
      </w:r>
      <w:r>
        <w:rPr>
          <w:rFonts w:hint="eastAsia"/>
          <w:sz w:val="24"/>
        </w:rPr>
        <w:t>电话：</w:t>
      </w:r>
    </w:p>
    <w:p>
      <w:pPr>
        <w:spacing w:line="520" w:lineRule="exact"/>
        <w:rPr>
          <w:sz w:val="24"/>
        </w:rPr>
      </w:pPr>
      <w:r>
        <w:rPr>
          <w:rFonts w:hint="eastAsia"/>
          <w:sz w:val="24"/>
        </w:rPr>
        <w:t>签定日期：                              签订日期：</w:t>
      </w:r>
    </w:p>
    <w:p>
      <w:pPr>
        <w:spacing w:line="520" w:lineRule="exact"/>
        <w:rPr>
          <w:sz w:val="24"/>
        </w:rPr>
      </w:pPr>
    </w:p>
    <w:p>
      <w:pPr>
        <w:spacing w:line="700" w:lineRule="exact"/>
        <w:rPr>
          <w:sz w:val="24"/>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0" w:firstLineChars="0"/>
      </w:pPr>
    </w:p>
    <w:bookmarkEnd w:id="12"/>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sectPr>
          <w:footerReference r:id="rId13" w:type="default"/>
          <w:pgSz w:w="11906" w:h="16838"/>
          <w:pgMar w:top="1440" w:right="1457" w:bottom="1440" w:left="1463" w:header="851" w:footer="992" w:gutter="0"/>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pPr>
      <w:bookmarkStart w:id="32" w:name="_Toc17185"/>
      <w:r>
        <w:rPr>
          <w:rFonts w:hint="eastAsia" w:asciiTheme="majorEastAsia" w:hAnsiTheme="majorEastAsia" w:eastAsiaTheme="majorEastAsia" w:cstheme="majorEastAsia"/>
          <w:b/>
          <w:bCs/>
          <w:sz w:val="32"/>
          <w:szCs w:val="32"/>
          <w:lang w:val="zh-CN"/>
        </w:rPr>
        <w:t>第七章　响应文件格式</w:t>
      </w:r>
      <w:bookmarkEnd w:id="32"/>
    </w:p>
    <w:p>
      <w:pPr>
        <w:outlineLvl w:val="0"/>
        <w:rPr>
          <w:kern w:val="0"/>
          <w:sz w:val="24"/>
        </w:rPr>
      </w:pPr>
      <w:bookmarkStart w:id="33" w:name="_Toc2678"/>
      <w:r>
        <w:rPr>
          <w:sz w:val="28"/>
        </w:rPr>
        <w:t>采购编号：</w:t>
      </w:r>
      <w:r>
        <w:rPr>
          <w:rFonts w:hint="eastAsia" w:asciiTheme="minorEastAsia" w:hAnsiTheme="minorEastAsia" w:eastAsiaTheme="minorEastAsia" w:cstheme="minorEastAsia"/>
          <w:b/>
          <w:bCs/>
          <w:sz w:val="32"/>
          <w:szCs w:val="32"/>
          <w:lang w:eastAsia="zh-CN"/>
        </w:rPr>
        <w:t>YCZB-2022008C</w:t>
      </w:r>
      <w:r>
        <w:rPr>
          <w:kern w:val="0"/>
          <w:sz w:val="24"/>
        </w:rPr>
        <w:t xml:space="preserve">                           </w:t>
      </w:r>
      <w:r>
        <w:rPr>
          <w:kern w:val="0"/>
          <w:sz w:val="28"/>
        </w:rPr>
        <w:t>（正本或副本）</w:t>
      </w:r>
      <w:bookmarkEnd w:id="33"/>
    </w:p>
    <w:p/>
    <w:p>
      <w:pPr>
        <w:pStyle w:val="17"/>
      </w:pPr>
    </w:p>
    <w:p/>
    <w:p>
      <w:pPr>
        <w:jc w:val="center"/>
        <w:rPr>
          <w:rFonts w:hint="eastAsia"/>
          <w:b/>
          <w:bCs/>
          <w:sz w:val="44"/>
          <w:szCs w:val="52"/>
        </w:rPr>
      </w:pPr>
    </w:p>
    <w:p>
      <w:pPr>
        <w:jc w:val="center"/>
        <w:rPr>
          <w:rFonts w:hint="eastAsia" w:eastAsia="宋体"/>
          <w:b/>
          <w:bCs/>
          <w:sz w:val="44"/>
          <w:szCs w:val="52"/>
          <w:lang w:eastAsia="zh-CN"/>
        </w:rPr>
      </w:pPr>
      <w:r>
        <w:rPr>
          <w:rFonts w:hint="eastAsia"/>
          <w:b/>
          <w:bCs/>
          <w:sz w:val="44"/>
          <w:szCs w:val="52"/>
        </w:rPr>
        <w:t xml:space="preserve"> </w:t>
      </w:r>
      <w:r>
        <w:rPr>
          <w:rFonts w:hint="eastAsia"/>
          <w:b/>
          <w:bCs/>
          <w:sz w:val="44"/>
          <w:szCs w:val="52"/>
          <w:lang w:eastAsia="zh-CN"/>
        </w:rPr>
        <w:t>西安市高陵区创优质均衡发展（高家小学多功能厅改造提升项目）</w:t>
      </w:r>
    </w:p>
    <w:p/>
    <w:p>
      <w:pPr>
        <w:rPr>
          <w:b/>
          <w:sz w:val="24"/>
        </w:rPr>
      </w:pPr>
    </w:p>
    <w:p>
      <w:pPr>
        <w:pStyle w:val="2"/>
      </w:pPr>
    </w:p>
    <w:p/>
    <w:p>
      <w:pPr>
        <w:pStyle w:val="17"/>
      </w:pPr>
    </w:p>
    <w:p/>
    <w:p>
      <w:pPr>
        <w:pStyle w:val="17"/>
      </w:pPr>
    </w:p>
    <w:p/>
    <w:p/>
    <w:p>
      <w:pPr>
        <w:pStyle w:val="3"/>
        <w:numPr>
          <w:ilvl w:val="0"/>
          <w:numId w:val="0"/>
        </w:numPr>
        <w:adjustRightInd w:val="0"/>
        <w:snapToGrid w:val="0"/>
        <w:spacing w:line="312" w:lineRule="auto"/>
        <w:ind w:left="431" w:hanging="431"/>
        <w:rPr>
          <w:rFonts w:asciiTheme="minorEastAsia" w:hAnsiTheme="minorEastAsia" w:eastAsiaTheme="minorEastAsia" w:cstheme="minorEastAsia"/>
          <w:b/>
          <w:sz w:val="44"/>
          <w:szCs w:val="44"/>
        </w:rPr>
      </w:pPr>
      <w:bookmarkStart w:id="34" w:name="_Toc3483"/>
      <w:r>
        <w:rPr>
          <w:rFonts w:hint="eastAsia" w:asciiTheme="minorEastAsia" w:hAnsiTheme="minorEastAsia" w:eastAsiaTheme="minorEastAsia" w:cstheme="minorEastAsia"/>
          <w:b/>
          <w:sz w:val="44"/>
          <w:szCs w:val="44"/>
        </w:rPr>
        <w:t>响应文件</w:t>
      </w:r>
      <w:bookmarkEnd w:id="34"/>
    </w:p>
    <w:p>
      <w:pPr>
        <w:spacing w:line="360" w:lineRule="auto"/>
        <w:rPr>
          <w:b/>
          <w:sz w:val="24"/>
        </w:rPr>
      </w:pPr>
    </w:p>
    <w:p>
      <w:pPr>
        <w:spacing w:line="360" w:lineRule="auto"/>
        <w:rPr>
          <w:b/>
          <w:sz w:val="24"/>
          <w:u w:val="single"/>
        </w:rPr>
      </w:pPr>
    </w:p>
    <w:p>
      <w:pPr>
        <w:spacing w:line="360" w:lineRule="auto"/>
        <w:ind w:firstLine="2626" w:firstLineChars="1090"/>
        <w:rPr>
          <w:b/>
          <w:sz w:val="24"/>
          <w:u w:val="single"/>
        </w:rPr>
      </w:pPr>
      <w:r>
        <w:rPr>
          <w:b/>
          <w:sz w:val="24"/>
        </w:rPr>
        <w:t xml:space="preserve"> </w:t>
      </w:r>
    </w:p>
    <w:p/>
    <w:p>
      <w:pPr>
        <w:pStyle w:val="17"/>
      </w:pPr>
    </w:p>
    <w:p/>
    <w:p>
      <w:pPr>
        <w:spacing w:line="360" w:lineRule="auto"/>
        <w:rPr>
          <w:b/>
          <w:sz w:val="24"/>
        </w:rPr>
      </w:pPr>
      <w:r>
        <w:rPr>
          <w:b/>
          <w:sz w:val="24"/>
        </w:rPr>
        <w:t xml:space="preserve">  </w:t>
      </w:r>
    </w:p>
    <w:p>
      <w:pPr>
        <w:spacing w:line="600" w:lineRule="auto"/>
        <w:jc w:val="center"/>
        <w:rPr>
          <w:b/>
          <w:sz w:val="28"/>
          <w:u w:val="single"/>
        </w:rPr>
      </w:pPr>
      <w:r>
        <w:rPr>
          <w:rFonts w:hint="eastAsia"/>
          <w:b/>
          <w:sz w:val="28"/>
        </w:rPr>
        <w:t>磋商响应单位</w:t>
      </w:r>
      <w:r>
        <w:rPr>
          <w:b/>
          <w:sz w:val="28"/>
        </w:rPr>
        <w:t>：</w:t>
      </w:r>
      <w:r>
        <w:rPr>
          <w:bCs/>
          <w:sz w:val="28"/>
          <w:u w:val="single"/>
        </w:rPr>
        <w:t xml:space="preserve">                          </w:t>
      </w:r>
      <w:r>
        <w:rPr>
          <w:b/>
          <w:sz w:val="28"/>
        </w:rPr>
        <w:t>（盖章）</w:t>
      </w:r>
    </w:p>
    <w:p>
      <w:pPr>
        <w:spacing w:line="600" w:lineRule="auto"/>
        <w:ind w:firstLine="562" w:firstLineChars="200"/>
        <w:outlineLvl w:val="0"/>
        <w:rPr>
          <w:b/>
          <w:sz w:val="28"/>
        </w:rPr>
      </w:pPr>
      <w:r>
        <w:rPr>
          <w:b/>
          <w:sz w:val="28"/>
        </w:rPr>
        <w:t xml:space="preserve"> </w:t>
      </w:r>
      <w:r>
        <w:rPr>
          <w:rFonts w:hint="eastAsia"/>
          <w:b/>
          <w:sz w:val="28"/>
          <w:lang w:val="en-US" w:eastAsia="zh-CN"/>
        </w:rPr>
        <w:t xml:space="preserve">  </w:t>
      </w:r>
      <w:r>
        <w:rPr>
          <w:b/>
          <w:sz w:val="28"/>
        </w:rPr>
        <w:t xml:space="preserve"> </w:t>
      </w:r>
      <w:bookmarkStart w:id="35" w:name="_Toc15600"/>
      <w:r>
        <w:rPr>
          <w:b/>
          <w:sz w:val="28"/>
        </w:rPr>
        <w:t>法定代表人或其授权代理人：</w:t>
      </w:r>
      <w:r>
        <w:rPr>
          <w:bCs/>
          <w:sz w:val="28"/>
          <w:u w:val="single"/>
        </w:rPr>
        <w:t xml:space="preserve">            </w:t>
      </w:r>
      <w:r>
        <w:rPr>
          <w:b/>
          <w:sz w:val="28"/>
        </w:rPr>
        <w:t>（签字或盖章）</w:t>
      </w:r>
      <w:bookmarkEnd w:id="35"/>
    </w:p>
    <w:p>
      <w:pPr>
        <w:spacing w:line="600" w:lineRule="auto"/>
        <w:ind w:firstLine="562" w:firstLineChars="200"/>
        <w:outlineLvl w:val="0"/>
        <w:rPr>
          <w:bCs/>
          <w:sz w:val="28"/>
          <w:u w:val="single"/>
        </w:rPr>
      </w:pPr>
      <w:r>
        <w:rPr>
          <w:b/>
          <w:sz w:val="28"/>
        </w:rPr>
        <w:t xml:space="preserve"> </w:t>
      </w:r>
      <w:r>
        <w:rPr>
          <w:rFonts w:hint="eastAsia"/>
          <w:b/>
          <w:sz w:val="28"/>
          <w:lang w:val="en-US" w:eastAsia="zh-CN"/>
        </w:rPr>
        <w:t xml:space="preserve">  </w:t>
      </w:r>
      <w:r>
        <w:rPr>
          <w:b/>
          <w:sz w:val="28"/>
        </w:rPr>
        <w:t xml:space="preserve"> </w:t>
      </w:r>
      <w:bookmarkStart w:id="36" w:name="_Toc30736"/>
      <w:r>
        <w:rPr>
          <w:rFonts w:hint="eastAsia"/>
          <w:b/>
          <w:sz w:val="28"/>
        </w:rPr>
        <w:t>日    期</w:t>
      </w:r>
      <w:r>
        <w:rPr>
          <w:b/>
          <w:sz w:val="28"/>
        </w:rPr>
        <w:t>：</w:t>
      </w:r>
      <w:bookmarkEnd w:id="36"/>
      <w:r>
        <w:rPr>
          <w:bCs/>
          <w:sz w:val="28"/>
          <w:u w:val="single"/>
        </w:rPr>
        <w:t xml:space="preserve">                 </w:t>
      </w:r>
      <w:r>
        <w:rPr>
          <w:rFonts w:hint="eastAsia"/>
          <w:bCs/>
          <w:sz w:val="28"/>
          <w:u w:val="single"/>
        </w:rPr>
        <w:t>　　　　　　　</w:t>
      </w:r>
      <w:r>
        <w:rPr>
          <w:bCs/>
          <w:sz w:val="28"/>
          <w:u w:val="single"/>
        </w:rPr>
        <w:t xml:space="preserve">         </w:t>
      </w:r>
    </w:p>
    <w:p>
      <w:pPr>
        <w:spacing w:line="360" w:lineRule="auto"/>
        <w:ind w:firstLine="482" w:firstLineChars="200"/>
        <w:jc w:val="center"/>
        <w:rPr>
          <w:b/>
          <w:sz w:val="24"/>
        </w:rPr>
        <w:sectPr>
          <w:pgSz w:w="11906" w:h="16838"/>
          <w:pgMar w:top="1440" w:right="1457" w:bottom="1440" w:left="1463" w:header="851" w:footer="992" w:gutter="0"/>
          <w:cols w:space="0" w:num="1"/>
          <w:titlePg/>
          <w:docGrid w:type="lines" w:linePitch="312" w:charSpace="0"/>
        </w:sectPr>
      </w:pPr>
    </w:p>
    <w:p>
      <w:pPr>
        <w:spacing w:line="360" w:lineRule="auto"/>
        <w:ind w:firstLine="482" w:firstLineChars="200"/>
        <w:jc w:val="center"/>
        <w:outlineLvl w:val="1"/>
        <w:rPr>
          <w:b/>
          <w:bCs/>
          <w:sz w:val="30"/>
          <w:szCs w:val="30"/>
        </w:rPr>
      </w:pPr>
      <w:r>
        <w:rPr>
          <w:b/>
          <w:sz w:val="24"/>
        </w:rPr>
        <w:t xml:space="preserve"> </w:t>
      </w:r>
      <w:r>
        <w:rPr>
          <w:b/>
          <w:bCs/>
          <w:sz w:val="30"/>
          <w:szCs w:val="30"/>
        </w:rPr>
        <w:t>目   录</w:t>
      </w:r>
    </w:p>
    <w:p>
      <w:pPr>
        <w:spacing w:line="360" w:lineRule="auto"/>
        <w:ind w:firstLine="562" w:firstLineChars="200"/>
        <w:outlineLvl w:val="0"/>
        <w:rPr>
          <w:sz w:val="24"/>
        </w:rPr>
      </w:pPr>
      <w:bookmarkStart w:id="37" w:name="_Toc20742"/>
      <w:r>
        <w:rPr>
          <w:rFonts w:hint="eastAsia"/>
          <w:b/>
          <w:bCs/>
          <w:sz w:val="28"/>
          <w:szCs w:val="28"/>
        </w:rPr>
        <w:t>资格证明文件</w:t>
      </w:r>
      <w:bookmarkEnd w:id="37"/>
    </w:p>
    <w:p>
      <w:pPr>
        <w:pStyle w:val="2"/>
        <w:spacing w:line="360" w:lineRule="auto"/>
        <w:ind w:firstLine="480"/>
        <w:outlineLvl w:val="0"/>
        <w:rPr>
          <w:rFonts w:ascii="宋体" w:hAnsi="宋体" w:cs="宋体"/>
          <w:sz w:val="24"/>
        </w:rPr>
      </w:pPr>
      <w:r>
        <w:rPr>
          <w:rFonts w:hint="eastAsia" w:ascii="宋体" w:hAnsi="宋体" w:cs="宋体"/>
          <w:sz w:val="24"/>
        </w:rPr>
        <w:t>1、具有合格有效的企业法人营业执照、税务登记证、组织机构代码证（或三证合一营业执照）；</w:t>
      </w:r>
    </w:p>
    <w:p>
      <w:pPr>
        <w:pStyle w:val="2"/>
        <w:spacing w:line="360" w:lineRule="auto"/>
        <w:ind w:firstLine="480"/>
        <w:outlineLvl w:val="0"/>
        <w:rPr>
          <w:rFonts w:ascii="宋体" w:hAnsi="宋体" w:cs="宋体"/>
          <w:sz w:val="24"/>
        </w:rPr>
      </w:pPr>
      <w:r>
        <w:rPr>
          <w:rFonts w:hint="eastAsia" w:ascii="宋体" w:hAnsi="宋体" w:cs="宋体"/>
          <w:sz w:val="24"/>
        </w:rPr>
        <w:t>2、磋商响应单位应授权合法的人员参加磋商全过程，其中法定代表人直接参加磋商的，须出具法人身份证，并与营业执照上信息一致。法定代表人授权代表参加磋商的，须出具法定代表人授权书及授权代表身份证；</w:t>
      </w:r>
    </w:p>
    <w:p>
      <w:pPr>
        <w:pStyle w:val="2"/>
        <w:spacing w:line="360" w:lineRule="auto"/>
        <w:ind w:firstLine="480"/>
        <w:outlineLvl w:val="0"/>
        <w:rPr>
          <w:rFonts w:ascii="宋体" w:hAnsi="宋体" w:cs="宋体"/>
          <w:sz w:val="24"/>
          <w:highlight w:val="yellow"/>
        </w:rPr>
      </w:pPr>
      <w:r>
        <w:rPr>
          <w:rFonts w:hint="eastAsia" w:ascii="宋体" w:hAnsi="宋体" w:cs="宋体"/>
          <w:sz w:val="24"/>
        </w:rPr>
        <w:t>3、</w:t>
      </w:r>
      <w:r>
        <w:rPr>
          <w:rFonts w:hint="eastAsia" w:ascii="宋体" w:hAnsi="宋体" w:cs="宋体"/>
          <w:sz w:val="24"/>
          <w:highlight w:val="none"/>
        </w:rPr>
        <w:t>具备建筑工程施工总承包三级（含）及以上资质或具备建筑装修装饰工程专业承包贰级（含）以上资质，具有有效的安全生产许可证；</w:t>
      </w:r>
    </w:p>
    <w:p>
      <w:pPr>
        <w:pStyle w:val="2"/>
        <w:spacing w:line="360" w:lineRule="auto"/>
        <w:ind w:firstLine="480"/>
        <w:outlineLvl w:val="0"/>
        <w:rPr>
          <w:rFonts w:ascii="宋体" w:hAnsi="宋体" w:cs="宋体"/>
          <w:sz w:val="24"/>
          <w:highlight w:val="none"/>
        </w:rPr>
      </w:pPr>
      <w:r>
        <w:rPr>
          <w:rFonts w:hint="eastAsia" w:ascii="宋体" w:hAnsi="宋体" w:cs="宋体"/>
          <w:sz w:val="24"/>
          <w:highlight w:val="none"/>
        </w:rPr>
        <w:t>4、拟委派项目经理须具有建筑工程专业贰级（含）以上注册建造师资质并具有安全生产考核合格证，在本单位注册且无在建工程；</w:t>
      </w:r>
    </w:p>
    <w:p>
      <w:pPr>
        <w:pStyle w:val="2"/>
        <w:spacing w:line="360" w:lineRule="auto"/>
        <w:ind w:firstLine="480"/>
        <w:outlineLvl w:val="0"/>
        <w:rPr>
          <w:rFonts w:ascii="宋体" w:hAnsi="宋体" w:cs="宋体"/>
          <w:sz w:val="24"/>
        </w:rPr>
      </w:pPr>
      <w:r>
        <w:rPr>
          <w:rFonts w:hint="eastAsia" w:ascii="宋体" w:hAnsi="宋体" w:cs="宋体"/>
          <w:sz w:val="24"/>
        </w:rPr>
        <w:t>5、供应商不得为“信用中国”网站（www.creditchina.gov.cn）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rPr>
        <w:t>中列入失信被执行人和税收违法黑名单的供应商，不得为中国政府采购网（www.ccgp.gov.cn）政府采购严重违法失信行为记录名单中被财政部门禁止参加政府采购活动的供应商；</w:t>
      </w:r>
    </w:p>
    <w:p>
      <w:pPr>
        <w:pStyle w:val="2"/>
        <w:spacing w:line="360" w:lineRule="auto"/>
        <w:ind w:firstLine="480"/>
        <w:outlineLvl w:val="0"/>
        <w:rPr>
          <w:rFonts w:ascii="宋体" w:hAnsi="宋体" w:cs="宋体"/>
          <w:sz w:val="24"/>
        </w:rPr>
      </w:pP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pStyle w:val="2"/>
        <w:spacing w:line="360" w:lineRule="auto"/>
        <w:ind w:firstLine="480"/>
        <w:outlineLvl w:val="0"/>
        <w:rPr>
          <w:rFonts w:ascii="宋体" w:hAnsi="宋体" w:cs="宋体"/>
          <w:sz w:val="24"/>
        </w:rPr>
      </w:pPr>
      <w:r>
        <w:rPr>
          <w:rFonts w:hint="eastAsia" w:ascii="宋体" w:hAnsi="宋体" w:cs="宋体"/>
          <w:sz w:val="24"/>
        </w:rPr>
        <w:t>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pStyle w:val="2"/>
        <w:spacing w:line="360" w:lineRule="auto"/>
        <w:ind w:firstLine="480"/>
        <w:outlineLvl w:val="0"/>
        <w:rPr>
          <w:rFonts w:ascii="宋体" w:hAnsi="宋体" w:cs="宋体"/>
          <w:sz w:val="24"/>
        </w:rPr>
      </w:pPr>
      <w:r>
        <w:rPr>
          <w:rFonts w:hint="eastAsia" w:ascii="宋体" w:hAnsi="宋体" w:cs="宋体"/>
          <w:sz w:val="24"/>
        </w:rPr>
        <w:t>8、财务状况报告：提供供应商2020年经审计的财务报告或磋商前三个月内开户银行开具的资信证明；</w:t>
      </w:r>
    </w:p>
    <w:p>
      <w:pPr>
        <w:pStyle w:val="2"/>
        <w:spacing w:line="360" w:lineRule="auto"/>
        <w:ind w:firstLine="480"/>
        <w:outlineLvl w:val="0"/>
        <w:rPr>
          <w:rFonts w:ascii="宋体" w:hAnsi="宋体" w:cs="宋体"/>
          <w:sz w:val="24"/>
        </w:rPr>
      </w:pPr>
      <w:r>
        <w:rPr>
          <w:rFonts w:hint="eastAsia" w:ascii="宋体" w:hAnsi="宋体" w:cs="宋体"/>
          <w:sz w:val="24"/>
        </w:rPr>
        <w:t>9、参加政府采购活动前三年内，在经营活动中没有重大违法记录的书面声明；</w:t>
      </w:r>
    </w:p>
    <w:p>
      <w:pPr>
        <w:pStyle w:val="2"/>
        <w:spacing w:line="360" w:lineRule="auto"/>
        <w:ind w:firstLine="480"/>
        <w:outlineLvl w:val="0"/>
        <w:rPr>
          <w:rFonts w:hint="eastAsia" w:ascii="宋体" w:hAnsi="宋体" w:cs="宋体"/>
          <w:sz w:val="24"/>
        </w:rPr>
      </w:pPr>
      <w:r>
        <w:rPr>
          <w:rFonts w:hint="eastAsia" w:ascii="宋体" w:hAnsi="宋体" w:cs="宋体"/>
          <w:sz w:val="24"/>
        </w:rPr>
        <w:t>10、磋商响应单位负责人不得为同一人或者存在控股、管理关系。</w:t>
      </w:r>
    </w:p>
    <w:p>
      <w:pPr>
        <w:pStyle w:val="2"/>
        <w:spacing w:line="360" w:lineRule="auto"/>
        <w:ind w:firstLine="480"/>
        <w:outlineLvl w:val="0"/>
        <w:rPr>
          <w:rFonts w:hint="default"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p>
      <w:pPr>
        <w:widowControl/>
        <w:jc w:val="left"/>
        <w:rPr>
          <w:b/>
          <w:bCs/>
          <w:sz w:val="28"/>
          <w:szCs w:val="28"/>
        </w:rPr>
      </w:pPr>
      <w:bookmarkStart w:id="38" w:name="_Toc12835_WPSOffice_Level1"/>
      <w:bookmarkStart w:id="39" w:name="_Toc5089"/>
      <w:r>
        <w:rPr>
          <w:b/>
          <w:bCs/>
          <w:sz w:val="28"/>
          <w:szCs w:val="28"/>
        </w:rPr>
        <w:br w:type="page"/>
      </w:r>
    </w:p>
    <w:p>
      <w:pPr>
        <w:spacing w:line="360" w:lineRule="auto"/>
        <w:ind w:firstLine="562" w:firstLineChars="200"/>
        <w:outlineLvl w:val="0"/>
        <w:rPr>
          <w:b/>
          <w:bCs/>
          <w:sz w:val="28"/>
          <w:szCs w:val="28"/>
        </w:rPr>
      </w:pPr>
      <w:r>
        <w:rPr>
          <w:rFonts w:hint="eastAsia"/>
          <w:b/>
          <w:bCs/>
          <w:sz w:val="28"/>
          <w:szCs w:val="28"/>
        </w:rPr>
        <w:t>商务文件</w:t>
      </w:r>
      <w:bookmarkEnd w:id="38"/>
      <w:bookmarkEnd w:id="39"/>
    </w:p>
    <w:p>
      <w:pPr>
        <w:adjustRightInd w:val="0"/>
        <w:snapToGrid w:val="0"/>
        <w:spacing w:line="360" w:lineRule="auto"/>
        <w:ind w:firstLine="480" w:firstLineChars="200"/>
        <w:outlineLvl w:val="0"/>
        <w:rPr>
          <w:sz w:val="24"/>
        </w:rPr>
      </w:pPr>
      <w:bookmarkStart w:id="40" w:name="_Toc23831"/>
      <w:bookmarkStart w:id="41" w:name="_Toc27179_WPSOffice_Level1"/>
      <w:r>
        <w:rPr>
          <w:sz w:val="24"/>
        </w:rPr>
        <w:t>一、磋商响应函</w:t>
      </w:r>
      <w:bookmarkEnd w:id="40"/>
      <w:bookmarkEnd w:id="41"/>
    </w:p>
    <w:p>
      <w:pPr>
        <w:adjustRightInd w:val="0"/>
        <w:snapToGrid w:val="0"/>
        <w:spacing w:line="360" w:lineRule="auto"/>
        <w:ind w:firstLine="480" w:firstLineChars="200"/>
        <w:outlineLvl w:val="0"/>
        <w:rPr>
          <w:sz w:val="24"/>
        </w:rPr>
      </w:pPr>
      <w:bookmarkStart w:id="42" w:name="_Toc11184_WPSOffice_Level1"/>
      <w:bookmarkStart w:id="43" w:name="_Toc4166"/>
      <w:r>
        <w:rPr>
          <w:sz w:val="24"/>
        </w:rPr>
        <w:t>二、首次报价一览表</w:t>
      </w:r>
      <w:bookmarkEnd w:id="42"/>
      <w:bookmarkEnd w:id="43"/>
    </w:p>
    <w:p>
      <w:pPr>
        <w:adjustRightInd w:val="0"/>
        <w:snapToGrid w:val="0"/>
        <w:spacing w:line="360" w:lineRule="auto"/>
        <w:ind w:firstLine="480" w:firstLineChars="200"/>
        <w:outlineLvl w:val="0"/>
        <w:rPr>
          <w:sz w:val="24"/>
        </w:rPr>
      </w:pPr>
      <w:bookmarkStart w:id="44" w:name="_Toc10677"/>
      <w:bookmarkStart w:id="45" w:name="_Toc24822_WPSOffice_Level1"/>
      <w:r>
        <w:rPr>
          <w:rFonts w:hint="eastAsia"/>
          <w:sz w:val="24"/>
        </w:rPr>
        <w:t>三、工程量清单报价表</w:t>
      </w:r>
      <w:bookmarkEnd w:id="44"/>
      <w:bookmarkEnd w:id="45"/>
    </w:p>
    <w:p>
      <w:pPr>
        <w:adjustRightInd w:val="0"/>
        <w:snapToGrid w:val="0"/>
        <w:spacing w:line="360" w:lineRule="auto"/>
        <w:ind w:firstLine="480" w:firstLineChars="200"/>
        <w:outlineLvl w:val="0"/>
        <w:rPr>
          <w:sz w:val="24"/>
        </w:rPr>
      </w:pPr>
      <w:bookmarkStart w:id="46" w:name="_Toc28563_WPSOffice_Level1"/>
      <w:bookmarkStart w:id="47" w:name="_Toc26147"/>
      <w:r>
        <w:rPr>
          <w:sz w:val="24"/>
        </w:rPr>
        <w:t>四、</w:t>
      </w:r>
      <w:r>
        <w:rPr>
          <w:rFonts w:hint="eastAsia"/>
          <w:sz w:val="24"/>
        </w:rPr>
        <w:t>磋商响应单位</w:t>
      </w:r>
      <w:r>
        <w:rPr>
          <w:sz w:val="24"/>
        </w:rPr>
        <w:t>一般情况表</w:t>
      </w:r>
      <w:bookmarkEnd w:id="46"/>
      <w:bookmarkEnd w:id="47"/>
    </w:p>
    <w:p>
      <w:pPr>
        <w:adjustRightInd w:val="0"/>
        <w:snapToGrid w:val="0"/>
        <w:spacing w:line="360" w:lineRule="auto"/>
        <w:ind w:firstLine="480" w:firstLineChars="200"/>
        <w:outlineLvl w:val="0"/>
        <w:rPr>
          <w:sz w:val="24"/>
        </w:rPr>
      </w:pPr>
      <w:bookmarkStart w:id="48" w:name="_Toc29082"/>
      <w:bookmarkStart w:id="49" w:name="_Toc9379_WPSOffice_Level1"/>
      <w:r>
        <w:rPr>
          <w:sz w:val="24"/>
        </w:rPr>
        <w:t>五、商务条款偏离表</w:t>
      </w:r>
      <w:bookmarkEnd w:id="48"/>
      <w:bookmarkEnd w:id="49"/>
    </w:p>
    <w:p>
      <w:pPr>
        <w:adjustRightInd w:val="0"/>
        <w:snapToGrid w:val="0"/>
        <w:spacing w:line="360" w:lineRule="auto"/>
        <w:ind w:firstLine="480" w:firstLineChars="200"/>
        <w:outlineLvl w:val="0"/>
        <w:rPr>
          <w:sz w:val="24"/>
        </w:rPr>
      </w:pPr>
      <w:bookmarkStart w:id="50" w:name="_Toc15391"/>
      <w:bookmarkStart w:id="51" w:name="_Toc24108_WPSOffice_Level1"/>
      <w:r>
        <w:rPr>
          <w:sz w:val="24"/>
        </w:rPr>
        <w:t>六、业绩</w:t>
      </w:r>
      <w:bookmarkEnd w:id="50"/>
      <w:bookmarkEnd w:id="51"/>
    </w:p>
    <w:p>
      <w:pPr>
        <w:adjustRightInd w:val="0"/>
        <w:snapToGrid w:val="0"/>
        <w:spacing w:line="360" w:lineRule="auto"/>
        <w:ind w:firstLine="480" w:firstLineChars="200"/>
        <w:outlineLvl w:val="0"/>
        <w:rPr>
          <w:sz w:val="24"/>
        </w:rPr>
      </w:pPr>
      <w:bookmarkStart w:id="52" w:name="_Toc29978_WPSOffice_Level1"/>
      <w:bookmarkStart w:id="53" w:name="_Toc18499"/>
      <w:r>
        <w:rPr>
          <w:sz w:val="24"/>
        </w:rPr>
        <w:t>七、保修期服务承诺</w:t>
      </w:r>
      <w:bookmarkEnd w:id="52"/>
      <w:bookmarkEnd w:id="53"/>
    </w:p>
    <w:p>
      <w:pPr>
        <w:widowControl/>
        <w:jc w:val="left"/>
        <w:rPr>
          <w:b/>
          <w:bCs/>
          <w:sz w:val="28"/>
          <w:szCs w:val="28"/>
        </w:rPr>
      </w:pPr>
      <w:bookmarkStart w:id="54" w:name="_Toc2414"/>
      <w:bookmarkStart w:id="55" w:name="_Toc15524_WPSOffice_Level1"/>
      <w:r>
        <w:rPr>
          <w:b/>
          <w:bCs/>
          <w:sz w:val="28"/>
          <w:szCs w:val="28"/>
        </w:rPr>
        <w:br w:type="page"/>
      </w:r>
    </w:p>
    <w:p>
      <w:pPr>
        <w:spacing w:line="360" w:lineRule="auto"/>
        <w:ind w:firstLine="562" w:firstLineChars="200"/>
        <w:outlineLvl w:val="0"/>
        <w:rPr>
          <w:b/>
          <w:bCs/>
          <w:color w:val="auto"/>
          <w:sz w:val="28"/>
          <w:szCs w:val="28"/>
          <w:highlight w:val="none"/>
        </w:rPr>
      </w:pPr>
      <w:r>
        <w:rPr>
          <w:rFonts w:hint="eastAsia"/>
          <w:b/>
          <w:bCs/>
          <w:color w:val="auto"/>
          <w:sz w:val="28"/>
          <w:szCs w:val="28"/>
          <w:highlight w:val="none"/>
        </w:rPr>
        <w:t>技术文件</w:t>
      </w:r>
      <w:bookmarkEnd w:id="54"/>
      <w:bookmarkEnd w:id="55"/>
    </w:p>
    <w:p>
      <w:pPr>
        <w:autoSpaceDE w:val="0"/>
        <w:autoSpaceDN w:val="0"/>
        <w:adjustRightInd w:val="0"/>
        <w:snapToGrid w:val="0"/>
        <w:spacing w:line="360" w:lineRule="auto"/>
        <w:ind w:firstLine="480" w:firstLineChars="200"/>
        <w:jc w:val="left"/>
        <w:rPr>
          <w:sz w:val="24"/>
        </w:rPr>
      </w:pPr>
      <w:r>
        <w:rPr>
          <w:rFonts w:hint="eastAsia"/>
          <w:sz w:val="24"/>
        </w:rPr>
        <w:t>一、磋商响应单位根据磋商文件采购内容和评分因素，结合自身实际情况编制响应磋商文件的施工组织设计。（格式自拟）</w:t>
      </w:r>
    </w:p>
    <w:p>
      <w:pPr>
        <w:tabs>
          <w:tab w:val="left" w:pos="2115"/>
        </w:tabs>
        <w:autoSpaceDE w:val="0"/>
        <w:autoSpaceDN w:val="0"/>
        <w:adjustRightInd w:val="0"/>
        <w:snapToGrid w:val="0"/>
        <w:spacing w:after="120" w:line="360" w:lineRule="auto"/>
        <w:rPr>
          <w:sz w:val="24"/>
        </w:rPr>
      </w:pPr>
      <w:r>
        <w:rPr>
          <w:rFonts w:hint="eastAsia"/>
          <w:sz w:val="24"/>
        </w:rPr>
        <w:t>　　二、工程质量承诺（格式自拟）</w:t>
      </w:r>
    </w:p>
    <w:p>
      <w:pPr>
        <w:tabs>
          <w:tab w:val="left" w:pos="2115"/>
        </w:tabs>
        <w:autoSpaceDE w:val="0"/>
        <w:autoSpaceDN w:val="0"/>
        <w:adjustRightInd w:val="0"/>
        <w:snapToGrid w:val="0"/>
        <w:spacing w:after="156" w:afterLines="50" w:line="360" w:lineRule="auto"/>
        <w:ind w:firstLine="480" w:firstLineChars="200"/>
        <w:rPr>
          <w:sz w:val="24"/>
        </w:rPr>
      </w:pPr>
      <w:r>
        <w:rPr>
          <w:rFonts w:hint="eastAsia"/>
          <w:sz w:val="24"/>
          <w:lang w:val="en-US" w:eastAsia="zh-CN"/>
        </w:rPr>
        <w:t>三、</w:t>
      </w:r>
      <w:r>
        <w:rPr>
          <w:rFonts w:hint="eastAsia"/>
          <w:sz w:val="24"/>
        </w:rPr>
        <w:t>后续服务（格式自拟）</w:t>
      </w: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52"/>
          <w:szCs w:val="52"/>
        </w:rPr>
      </w:pPr>
      <w:r>
        <w:rPr>
          <w:b/>
          <w:bCs/>
          <w:sz w:val="52"/>
          <w:szCs w:val="52"/>
        </w:rPr>
        <w:t>资格证明文件</w:t>
      </w:r>
    </w:p>
    <w:p>
      <w:pPr>
        <w:spacing w:line="360" w:lineRule="auto"/>
        <w:rPr>
          <w:sz w:val="24"/>
        </w:rPr>
      </w:pPr>
      <w:r>
        <w:rPr>
          <w:sz w:val="24"/>
        </w:rPr>
        <w:br w:type="page"/>
      </w:r>
    </w:p>
    <w:p>
      <w:pPr>
        <w:spacing w:after="50" w:line="360" w:lineRule="auto"/>
        <w:jc w:val="center"/>
        <w:outlineLvl w:val="1"/>
        <w:rPr>
          <w:b/>
          <w:bCs/>
          <w:sz w:val="30"/>
          <w:szCs w:val="30"/>
        </w:rPr>
      </w:pPr>
      <w:r>
        <w:rPr>
          <w:rFonts w:hint="eastAsia"/>
          <w:b/>
          <w:bCs/>
          <w:sz w:val="30"/>
          <w:szCs w:val="30"/>
        </w:rPr>
        <w:t>一</w:t>
      </w:r>
      <w:r>
        <w:rPr>
          <w:b/>
          <w:bCs/>
          <w:sz w:val="30"/>
          <w:szCs w:val="30"/>
        </w:rPr>
        <w:t>、营业执照复印件</w:t>
      </w:r>
    </w:p>
    <w:p>
      <w:pPr>
        <w:spacing w:after="50" w:line="360" w:lineRule="auto"/>
        <w:jc w:val="center"/>
        <w:outlineLvl w:val="1"/>
        <w:rPr>
          <w:sz w:val="30"/>
          <w:szCs w:val="30"/>
        </w:rPr>
      </w:pPr>
      <w:r>
        <w:rPr>
          <w:b/>
          <w:bCs/>
          <w:sz w:val="30"/>
          <w:szCs w:val="30"/>
        </w:rPr>
        <w:br w:type="page"/>
      </w:r>
      <w:r>
        <w:rPr>
          <w:rFonts w:hint="eastAsia"/>
          <w:b/>
          <w:bCs/>
          <w:sz w:val="30"/>
          <w:szCs w:val="30"/>
        </w:rPr>
        <w:t>二</w:t>
      </w:r>
      <w:r>
        <w:rPr>
          <w:b/>
          <w:bCs/>
          <w:sz w:val="30"/>
          <w:szCs w:val="30"/>
        </w:rPr>
        <w:t>、</w:t>
      </w:r>
      <w:r>
        <w:rPr>
          <w:rFonts w:hint="eastAsia"/>
          <w:b/>
          <w:bCs/>
          <w:sz w:val="30"/>
          <w:szCs w:val="30"/>
        </w:rPr>
        <w:t>磋商响应单位</w:t>
      </w:r>
      <w:r>
        <w:rPr>
          <w:b/>
          <w:bCs/>
          <w:sz w:val="30"/>
          <w:szCs w:val="30"/>
        </w:rPr>
        <w:t>法定代表人证明书</w:t>
      </w:r>
      <w:r>
        <w:rPr>
          <w:rFonts w:hint="eastAsia"/>
          <w:b/>
          <w:bCs/>
          <w:sz w:val="30"/>
          <w:szCs w:val="30"/>
        </w:rPr>
        <w:t>及</w:t>
      </w:r>
      <w:r>
        <w:rPr>
          <w:b/>
          <w:bCs/>
          <w:sz w:val="30"/>
          <w:szCs w:val="30"/>
        </w:rPr>
        <w:t>法定代表人授权委托书</w:t>
      </w:r>
    </w:p>
    <w:p>
      <w:pPr>
        <w:tabs>
          <w:tab w:val="left" w:pos="210"/>
        </w:tabs>
        <w:spacing w:line="320" w:lineRule="exact"/>
        <w:jc w:val="center"/>
        <w:rPr>
          <w:b/>
          <w:kern w:val="0"/>
          <w:sz w:val="32"/>
          <w:szCs w:val="32"/>
        </w:rPr>
      </w:pPr>
    </w:p>
    <w:tbl>
      <w:tblPr>
        <w:tblStyle w:val="48"/>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vAlign w:val="center"/>
          </w:tcPr>
          <w:p>
            <w:pPr>
              <w:tabs>
                <w:tab w:val="left" w:pos="210"/>
              </w:tabs>
              <w:spacing w:line="320" w:lineRule="exact"/>
              <w:rPr>
                <w:rFonts w:hint="eastAsia" w:eastAsia="宋体"/>
                <w:kern w:val="0"/>
                <w:sz w:val="24"/>
                <w:lang w:eastAsia="zh-CN"/>
              </w:rPr>
            </w:pPr>
            <w:r>
              <w:rPr>
                <w:sz w:val="24"/>
              </w:rPr>
              <w:t>致：</w:t>
            </w:r>
            <w:r>
              <w:rPr>
                <w:rFonts w:hint="eastAsia"/>
                <w:sz w:val="24"/>
                <w:lang w:eastAsia="zh-CN"/>
              </w:rPr>
              <w:t>远创项目管理有限公司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企</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业</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法</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人</w:t>
            </w:r>
          </w:p>
        </w:tc>
        <w:tc>
          <w:tcPr>
            <w:tcW w:w="2065" w:type="dxa"/>
            <w:vAlign w:val="center"/>
          </w:tcPr>
          <w:p>
            <w:pPr>
              <w:tabs>
                <w:tab w:val="left" w:pos="210"/>
              </w:tabs>
              <w:spacing w:line="320" w:lineRule="exact"/>
              <w:jc w:val="center"/>
              <w:rPr>
                <w:kern w:val="0"/>
                <w:sz w:val="24"/>
              </w:rPr>
            </w:pPr>
            <w:r>
              <w:rPr>
                <w:kern w:val="0"/>
                <w:sz w:val="24"/>
              </w:rPr>
              <w:t>企业名称</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法定地址</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邮政编码</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工商登记机关</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税务登记机关</w:t>
            </w:r>
          </w:p>
        </w:tc>
        <w:tc>
          <w:tcPr>
            <w:tcW w:w="6360" w:type="dxa"/>
            <w:gridSpan w:val="3"/>
            <w:vAlign w:val="center"/>
          </w:tcPr>
          <w:p>
            <w:pPr>
              <w:tabs>
                <w:tab w:val="left" w:pos="210"/>
              </w:tabs>
              <w:spacing w:line="320" w:lineRule="exact"/>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机构代码证号</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法定代表人</w:t>
            </w:r>
          </w:p>
        </w:tc>
        <w:tc>
          <w:tcPr>
            <w:tcW w:w="2065" w:type="dxa"/>
            <w:vAlign w:val="center"/>
          </w:tcPr>
          <w:p>
            <w:pPr>
              <w:tabs>
                <w:tab w:val="left" w:pos="210"/>
              </w:tabs>
              <w:spacing w:line="320" w:lineRule="exact"/>
              <w:jc w:val="center"/>
              <w:rPr>
                <w:kern w:val="0"/>
                <w:sz w:val="24"/>
              </w:rPr>
            </w:pPr>
            <w:r>
              <w:rPr>
                <w:kern w:val="0"/>
                <w:sz w:val="24"/>
              </w:rPr>
              <w:t>姓 名</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性  别</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职 务</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联系电话</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传 真</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vAlign w:val="center"/>
          </w:tcPr>
          <w:p>
            <w:pPr>
              <w:tabs>
                <w:tab w:val="left" w:pos="210"/>
              </w:tabs>
              <w:spacing w:line="320" w:lineRule="exact"/>
              <w:jc w:val="center"/>
              <w:rPr>
                <w:kern w:val="0"/>
                <w:sz w:val="24"/>
              </w:rPr>
            </w:pPr>
            <w:r>
              <w:rPr>
                <w:kern w:val="0"/>
                <w:sz w:val="24"/>
              </w:rPr>
              <w:t>法定代表人身份证复印件</w:t>
            </w:r>
          </w:p>
        </w:tc>
        <w:tc>
          <w:tcPr>
            <w:tcW w:w="8425" w:type="dxa"/>
            <w:gridSpan w:val="4"/>
            <w:vAlign w:val="center"/>
          </w:tcPr>
          <w:p>
            <w:pPr>
              <w:tabs>
                <w:tab w:val="left" w:pos="210"/>
              </w:tabs>
              <w:spacing w:line="320" w:lineRule="exact"/>
              <w:jc w:val="center"/>
              <w:rPr>
                <w:kern w:val="0"/>
                <w:sz w:val="24"/>
              </w:rPr>
            </w:pPr>
            <w:r>
              <w:rPr>
                <w:rFonts w:hint="eastAsia"/>
                <w:kern w:val="0"/>
                <w:sz w:val="24"/>
              </w:rPr>
              <w:t>（</w:t>
            </w:r>
            <w:r>
              <w:rPr>
                <w:kern w:val="0"/>
                <w:sz w:val="24"/>
              </w:rPr>
              <w:t>法定代表人身份证复印件</w:t>
            </w:r>
            <w:r>
              <w:rPr>
                <w:rFonts w:hint="eastAsia"/>
                <w:kern w:val="0"/>
                <w:sz w:val="24"/>
              </w:rPr>
              <w:t>）</w:t>
            </w: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pStyle w:val="2"/>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rPr>
                <w:kern w:val="0"/>
                <w:sz w:val="24"/>
              </w:rPr>
            </w:pPr>
            <w:r>
              <w:rPr>
                <w:kern w:val="0"/>
                <w:sz w:val="24"/>
              </w:rPr>
              <w:t xml:space="preserve"> </w:t>
            </w:r>
          </w:p>
        </w:tc>
      </w:tr>
    </w:tbl>
    <w:p>
      <w:pPr>
        <w:autoSpaceDE w:val="0"/>
        <w:autoSpaceDN w:val="0"/>
        <w:adjustRightInd w:val="0"/>
        <w:spacing w:line="360" w:lineRule="auto"/>
        <w:rPr>
          <w:sz w:val="24"/>
        </w:rPr>
      </w:pPr>
    </w:p>
    <w:p>
      <w:pPr>
        <w:autoSpaceDE w:val="0"/>
        <w:autoSpaceDN w:val="0"/>
        <w:adjustRightInd w:val="0"/>
        <w:spacing w:line="360" w:lineRule="auto"/>
        <w:rPr>
          <w:b/>
          <w:sz w:val="24"/>
        </w:rPr>
      </w:pPr>
      <w:r>
        <w:rPr>
          <w:b/>
          <w:sz w:val="22"/>
        </w:rPr>
        <w:t>注：</w:t>
      </w:r>
      <w:r>
        <w:rPr>
          <w:rFonts w:hint="eastAsia"/>
          <w:b/>
          <w:sz w:val="22"/>
        </w:rPr>
        <w:t>磋商响应单位</w:t>
      </w:r>
      <w:r>
        <w:rPr>
          <w:b/>
          <w:sz w:val="22"/>
        </w:rPr>
        <w:t>法定代表人直接参加磋商，仅填写本表不需填写授权书</w:t>
      </w:r>
      <w:r>
        <w:rPr>
          <w:b/>
          <w:sz w:val="28"/>
        </w:rPr>
        <w:t>。</w:t>
      </w:r>
    </w:p>
    <w:p>
      <w:pPr>
        <w:adjustRightInd w:val="0"/>
        <w:snapToGrid w:val="0"/>
        <w:spacing w:after="300" w:line="360" w:lineRule="auto"/>
        <w:jc w:val="center"/>
        <w:outlineLvl w:val="1"/>
        <w:rPr>
          <w:b/>
          <w:bCs/>
          <w:sz w:val="28"/>
          <w:szCs w:val="28"/>
        </w:rPr>
      </w:pPr>
      <w:r>
        <w:rPr>
          <w:sz w:val="28"/>
          <w:szCs w:val="28"/>
        </w:rPr>
        <w:br w:type="page"/>
      </w:r>
      <w:r>
        <w:rPr>
          <w:b/>
          <w:bCs/>
          <w:sz w:val="30"/>
          <w:szCs w:val="30"/>
        </w:rPr>
        <w:t>法定代表人授权委托书（格式）</w:t>
      </w:r>
    </w:p>
    <w:p>
      <w:pPr>
        <w:adjustRightInd w:val="0"/>
        <w:snapToGrid w:val="0"/>
        <w:spacing w:line="360" w:lineRule="auto"/>
        <w:ind w:firstLine="480" w:firstLineChars="200"/>
        <w:jc w:val="left"/>
        <w:rPr>
          <w:sz w:val="24"/>
          <w:szCs w:val="28"/>
        </w:rPr>
      </w:pPr>
      <w:r>
        <w:rPr>
          <w:sz w:val="24"/>
          <w:szCs w:val="28"/>
        </w:rPr>
        <w:t>本人</w:t>
      </w:r>
      <w:r>
        <w:rPr>
          <w:sz w:val="24"/>
          <w:szCs w:val="28"/>
          <w:u w:val="single"/>
        </w:rPr>
        <w:t xml:space="preserve">       </w:t>
      </w:r>
      <w:r>
        <w:rPr>
          <w:sz w:val="24"/>
          <w:szCs w:val="28"/>
        </w:rPr>
        <w:t>（姓名）系</w:t>
      </w:r>
      <w:r>
        <w:rPr>
          <w:sz w:val="24"/>
          <w:szCs w:val="28"/>
          <w:u w:val="single"/>
        </w:rPr>
        <w:t xml:space="preserve">          </w:t>
      </w:r>
      <w:r>
        <w:rPr>
          <w:sz w:val="24"/>
          <w:szCs w:val="28"/>
        </w:rPr>
        <w:t>（</w:t>
      </w:r>
      <w:r>
        <w:rPr>
          <w:rFonts w:hint="eastAsia"/>
          <w:sz w:val="24"/>
          <w:szCs w:val="28"/>
        </w:rPr>
        <w:t>磋商响应单位</w:t>
      </w:r>
      <w:r>
        <w:rPr>
          <w:sz w:val="24"/>
          <w:szCs w:val="28"/>
        </w:rPr>
        <w:t>名称）的法定代表人，现委托</w:t>
      </w:r>
      <w:r>
        <w:rPr>
          <w:sz w:val="24"/>
          <w:szCs w:val="28"/>
          <w:u w:val="single"/>
        </w:rPr>
        <w:t xml:space="preserve">      </w:t>
      </w:r>
      <w:r>
        <w:rPr>
          <w:sz w:val="24"/>
          <w:szCs w:val="28"/>
        </w:rPr>
        <w:t>（姓名）为我方代理人。代理人根据授权，以我方名义参加、签署、澄清、说明、补正、递交、撤回、修改</w:t>
      </w:r>
      <w:r>
        <w:rPr>
          <w:sz w:val="24"/>
          <w:szCs w:val="28"/>
          <w:u w:val="single"/>
        </w:rPr>
        <w:t xml:space="preserve"> （项目名称）</w:t>
      </w:r>
      <w:r>
        <w:rPr>
          <w:sz w:val="24"/>
          <w:szCs w:val="28"/>
        </w:rPr>
        <w:t>项目响应文件、参加磋商、签订合同和处理有关事宜，其法律后果由我方承担。</w:t>
      </w:r>
    </w:p>
    <w:p>
      <w:pPr>
        <w:adjustRightInd w:val="0"/>
        <w:snapToGrid w:val="0"/>
        <w:spacing w:line="360" w:lineRule="auto"/>
        <w:ind w:firstLine="480" w:firstLineChars="200"/>
        <w:rPr>
          <w:sz w:val="24"/>
          <w:szCs w:val="28"/>
        </w:rPr>
      </w:pPr>
      <w:r>
        <w:rPr>
          <w:sz w:val="24"/>
          <w:szCs w:val="28"/>
        </w:rPr>
        <w:t>委托期限：自</w:t>
      </w:r>
      <w:r>
        <w:rPr>
          <w:rFonts w:hint="eastAsia"/>
          <w:sz w:val="24"/>
          <w:szCs w:val="28"/>
        </w:rPr>
        <w:t>磋商响应文件递交之日起</w:t>
      </w:r>
      <w:r>
        <w:rPr>
          <w:sz w:val="24"/>
          <w:szCs w:val="28"/>
        </w:rPr>
        <w:t>90个日历天</w:t>
      </w:r>
    </w:p>
    <w:p>
      <w:pPr>
        <w:adjustRightInd w:val="0"/>
        <w:snapToGrid w:val="0"/>
        <w:spacing w:line="360" w:lineRule="auto"/>
        <w:ind w:firstLine="480" w:firstLineChars="200"/>
        <w:rPr>
          <w:sz w:val="24"/>
          <w:szCs w:val="28"/>
        </w:rPr>
      </w:pPr>
      <w:r>
        <w:rPr>
          <w:sz w:val="24"/>
          <w:szCs w:val="28"/>
        </w:rPr>
        <w:t>代理人无转委托权。</w:t>
      </w:r>
    </w:p>
    <w:p>
      <w:pPr>
        <w:adjustRightInd w:val="0"/>
        <w:snapToGrid w:val="0"/>
        <w:spacing w:line="360" w:lineRule="auto"/>
        <w:ind w:firstLine="480" w:firstLineChars="200"/>
        <w:rPr>
          <w:rFonts w:hint="eastAsia" w:eastAsia="宋体"/>
          <w:sz w:val="24"/>
          <w:szCs w:val="28"/>
          <w:lang w:eastAsia="zh-CN"/>
        </w:rPr>
      </w:pPr>
      <w:r>
        <w:rPr>
          <w:sz w:val="24"/>
          <w:szCs w:val="28"/>
        </w:rPr>
        <w:t>附：法定代表人身份证</w:t>
      </w:r>
      <w:r>
        <w:rPr>
          <w:rFonts w:hint="eastAsia"/>
          <w:sz w:val="24"/>
          <w:szCs w:val="28"/>
          <w:lang w:val="en-US" w:eastAsia="zh-CN"/>
        </w:rPr>
        <w:t>复印件</w:t>
      </w:r>
    </w:p>
    <w:p>
      <w:pPr>
        <w:spacing w:line="360" w:lineRule="auto"/>
        <w:ind w:firstLine="480" w:firstLineChars="200"/>
        <w:rPr>
          <w:rFonts w:hint="eastAsia" w:eastAsia="宋体"/>
          <w:sz w:val="24"/>
          <w:lang w:val="en-US" w:eastAsia="zh-CN"/>
        </w:rPr>
      </w:pPr>
      <w:r>
        <w:rPr>
          <w:sz w:val="24"/>
          <w:szCs w:val="28"/>
        </w:rPr>
        <w:t>附：</w:t>
      </w:r>
      <w:r>
        <w:rPr>
          <w:sz w:val="24"/>
        </w:rPr>
        <w:t>委托代理人身份证</w:t>
      </w:r>
      <w:r>
        <w:rPr>
          <w:rFonts w:hint="eastAsia"/>
          <w:sz w:val="24"/>
          <w:lang w:val="en-US" w:eastAsia="zh-CN"/>
        </w:rPr>
        <w:t>复印件</w:t>
      </w: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adjustRightInd w:val="0"/>
        <w:snapToGrid w:val="0"/>
        <w:spacing w:line="360" w:lineRule="auto"/>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（公章）</w:t>
      </w:r>
    </w:p>
    <w:p>
      <w:pPr>
        <w:adjustRightInd w:val="0"/>
        <w:snapToGrid w:val="0"/>
        <w:spacing w:line="360" w:lineRule="auto"/>
        <w:rPr>
          <w:sz w:val="24"/>
          <w:szCs w:val="28"/>
        </w:rPr>
      </w:pPr>
      <w:r>
        <w:rPr>
          <w:sz w:val="24"/>
          <w:szCs w:val="28"/>
        </w:rPr>
        <w:t>法定代表人：</w:t>
      </w:r>
      <w:r>
        <w:rPr>
          <w:sz w:val="24"/>
          <w:szCs w:val="28"/>
          <w:u w:val="single"/>
        </w:rPr>
        <w:t xml:space="preserve">                      </w:t>
      </w:r>
      <w:r>
        <w:rPr>
          <w:sz w:val="24"/>
          <w:szCs w:val="28"/>
        </w:rPr>
        <w:t>（签字或盖章）</w:t>
      </w:r>
    </w:p>
    <w:p>
      <w:pPr>
        <w:adjustRightInd w:val="0"/>
        <w:snapToGrid w:val="0"/>
        <w:spacing w:line="360" w:lineRule="auto"/>
        <w:rPr>
          <w:sz w:val="24"/>
          <w:szCs w:val="28"/>
        </w:rPr>
      </w:pPr>
      <w:r>
        <w:rPr>
          <w:sz w:val="24"/>
          <w:szCs w:val="28"/>
        </w:rPr>
        <w:t>委托代理人：</w:t>
      </w:r>
      <w:r>
        <w:rPr>
          <w:sz w:val="24"/>
          <w:szCs w:val="28"/>
          <w:u w:val="single"/>
        </w:rPr>
        <w:t xml:space="preserve">                      </w:t>
      </w:r>
      <w:r>
        <w:rPr>
          <w:sz w:val="24"/>
          <w:szCs w:val="28"/>
        </w:rPr>
        <w:t>（签字或盖章）</w:t>
      </w:r>
    </w:p>
    <w:p>
      <w:pPr>
        <w:adjustRightInd w:val="0"/>
        <w:snapToGrid w:val="0"/>
        <w:spacing w:line="360" w:lineRule="auto"/>
        <w:ind w:left="240" w:hanging="240" w:hangingChars="100"/>
        <w:rPr>
          <w:sz w:val="24"/>
          <w:szCs w:val="28"/>
        </w:rPr>
      </w:pPr>
      <w:r>
        <w:rPr>
          <w:sz w:val="24"/>
          <w:szCs w:val="28"/>
        </w:rPr>
        <w:t>日  期</w:t>
      </w:r>
      <w:r>
        <w:rPr>
          <w:rFonts w:hint="eastAsia"/>
          <w:sz w:val="24"/>
          <w:szCs w:val="28"/>
        </w:rPr>
        <w:t xml:space="preserve"> ：</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 xml:space="preserve">日    </w:t>
      </w:r>
    </w:p>
    <w:p>
      <w:pPr>
        <w:autoSpaceDE w:val="0"/>
        <w:autoSpaceDN w:val="0"/>
        <w:adjustRightInd w:val="0"/>
        <w:snapToGrid w:val="0"/>
        <w:spacing w:line="360" w:lineRule="auto"/>
        <w:ind w:firstLine="602" w:firstLineChars="200"/>
        <w:jc w:val="left"/>
        <w:rPr>
          <w:sz w:val="24"/>
          <w:szCs w:val="28"/>
        </w:rPr>
      </w:pPr>
      <w:r>
        <w:rPr>
          <w:b/>
          <w:bCs/>
          <w:sz w:val="30"/>
          <w:szCs w:val="30"/>
        </w:rPr>
        <w:br w:type="page"/>
      </w:r>
    </w:p>
    <w:p>
      <w:pPr>
        <w:adjustRightInd w:val="0"/>
        <w:snapToGrid w:val="0"/>
        <w:spacing w:after="300" w:line="360" w:lineRule="auto"/>
        <w:jc w:val="center"/>
        <w:outlineLvl w:val="0"/>
        <w:rPr>
          <w:b/>
          <w:bCs/>
          <w:sz w:val="30"/>
          <w:szCs w:val="30"/>
        </w:rPr>
      </w:pPr>
      <w:bookmarkStart w:id="56" w:name="_Toc31797_WPSOffice_Level1"/>
      <w:bookmarkStart w:id="57" w:name="_Toc23316"/>
      <w:r>
        <w:rPr>
          <w:rFonts w:hint="eastAsia"/>
          <w:b/>
          <w:bCs/>
          <w:sz w:val="30"/>
          <w:szCs w:val="30"/>
        </w:rPr>
        <w:t>三</w:t>
      </w:r>
      <w:r>
        <w:rPr>
          <w:b/>
          <w:bCs/>
          <w:sz w:val="30"/>
          <w:szCs w:val="30"/>
        </w:rPr>
        <w:t>、</w:t>
      </w:r>
      <w:bookmarkEnd w:id="56"/>
      <w:bookmarkEnd w:id="57"/>
      <w:r>
        <w:rPr>
          <w:rFonts w:hint="eastAsia"/>
          <w:b/>
          <w:bCs/>
          <w:sz w:val="30"/>
          <w:szCs w:val="30"/>
        </w:rPr>
        <w:t>具备建筑工程施工总承包三级（含）及以上资质或具备建筑装修装饰工程专业承包贰级（含）以上资质，具有有效的安全生产许可证</w:t>
      </w:r>
    </w:p>
    <w:p>
      <w:pPr>
        <w:autoSpaceDE w:val="0"/>
        <w:autoSpaceDN w:val="0"/>
        <w:adjustRightInd w:val="0"/>
        <w:snapToGrid w:val="0"/>
        <w:spacing w:line="360" w:lineRule="auto"/>
        <w:jc w:val="center"/>
        <w:rPr>
          <w:b/>
          <w:bCs/>
          <w:sz w:val="30"/>
          <w:szCs w:val="30"/>
        </w:rPr>
      </w:pPr>
      <w:r>
        <w:rPr>
          <w:sz w:val="28"/>
          <w:szCs w:val="28"/>
        </w:rPr>
        <w:br w:type="page"/>
      </w:r>
    </w:p>
    <w:p>
      <w:pPr>
        <w:adjustRightInd w:val="0"/>
        <w:snapToGrid w:val="0"/>
        <w:spacing w:line="360" w:lineRule="auto"/>
        <w:jc w:val="center"/>
        <w:outlineLvl w:val="0"/>
        <w:rPr>
          <w:b/>
          <w:bCs/>
          <w:sz w:val="30"/>
          <w:szCs w:val="30"/>
        </w:rPr>
      </w:pPr>
      <w:bookmarkStart w:id="58" w:name="_Toc4854_WPSOffice_Level1"/>
      <w:bookmarkStart w:id="59" w:name="_Toc20655"/>
      <w:r>
        <w:rPr>
          <w:rFonts w:hint="eastAsia"/>
          <w:b/>
          <w:bCs/>
          <w:sz w:val="30"/>
          <w:szCs w:val="30"/>
        </w:rPr>
        <w:t>四、</w:t>
      </w:r>
      <w:r>
        <w:rPr>
          <w:rFonts w:hint="eastAsia"/>
          <w:b/>
          <w:bCs/>
          <w:sz w:val="30"/>
          <w:szCs w:val="30"/>
          <w:highlight w:val="none"/>
        </w:rPr>
        <w:t>注册建造师证及安全生产考核合格证复印件</w:t>
      </w:r>
      <w:bookmarkEnd w:id="58"/>
      <w:bookmarkEnd w:id="59"/>
    </w:p>
    <w:p>
      <w:pPr>
        <w:adjustRightInd w:val="0"/>
        <w:snapToGrid w:val="0"/>
        <w:spacing w:after="300" w:line="360" w:lineRule="auto"/>
        <w:jc w:val="center"/>
        <w:outlineLvl w:val="1"/>
        <w:rPr>
          <w:b/>
          <w:bCs/>
          <w:sz w:val="28"/>
          <w:szCs w:val="28"/>
        </w:rPr>
      </w:pPr>
      <w:r>
        <w:rPr>
          <w:rFonts w:hint="eastAsia"/>
          <w:b/>
          <w:bCs/>
          <w:sz w:val="28"/>
          <w:szCs w:val="28"/>
        </w:rPr>
        <w:t>（提供在本单位注册且无在建工程的证明）</w:t>
      </w:r>
    </w:p>
    <w:p>
      <w:pPr>
        <w:pStyle w:val="2"/>
        <w:ind w:firstLine="562"/>
        <w:jc w:val="center"/>
      </w:pPr>
      <w:r>
        <w:rPr>
          <w:rFonts w:hint="eastAsia"/>
          <w:b/>
          <w:bCs/>
          <w:sz w:val="28"/>
          <w:szCs w:val="28"/>
        </w:rPr>
        <w:t>（格式自拟）</w:t>
      </w:r>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Pr>
        <w:pStyle w:val="2"/>
      </w:pPr>
    </w:p>
    <w:p>
      <w:pPr>
        <w:pStyle w:val="2"/>
      </w:pPr>
    </w:p>
    <w:p>
      <w:pPr>
        <w:pStyle w:val="2"/>
      </w:pPr>
    </w:p>
    <w:p>
      <w:pPr>
        <w:pStyle w:val="2"/>
      </w:pPr>
    </w:p>
    <w:p>
      <w:pPr>
        <w:pStyle w:val="2"/>
      </w:pPr>
    </w:p>
    <w:p>
      <w:pPr>
        <w:pStyle w:val="2"/>
      </w:pPr>
    </w:p>
    <w:p>
      <w:pPr>
        <w:pStyle w:val="2"/>
      </w:pPr>
    </w:p>
    <w:p/>
    <w:p/>
    <w:p>
      <w:pPr>
        <w:adjustRightInd w:val="0"/>
        <w:snapToGrid w:val="0"/>
        <w:spacing w:after="300" w:line="360" w:lineRule="auto"/>
        <w:jc w:val="center"/>
        <w:outlineLvl w:val="0"/>
        <w:rPr>
          <w:b/>
          <w:bCs/>
          <w:sz w:val="30"/>
          <w:szCs w:val="30"/>
        </w:rPr>
        <w:sectPr>
          <w:pgSz w:w="11906" w:h="16838"/>
          <w:pgMar w:top="1440" w:right="1457" w:bottom="1440" w:left="1463" w:header="851" w:footer="992" w:gutter="0"/>
          <w:cols w:space="0" w:num="1"/>
          <w:titlePg/>
          <w:docGrid w:type="lines" w:linePitch="312" w:charSpace="0"/>
        </w:sectPr>
      </w:pPr>
      <w:bookmarkStart w:id="60" w:name="_Toc25823_WPSOffice_Level1"/>
      <w:bookmarkStart w:id="61" w:name="_Toc16727"/>
    </w:p>
    <w:bookmarkEnd w:id="60"/>
    <w:bookmarkEnd w:id="61"/>
    <w:p>
      <w:pPr>
        <w:pStyle w:val="2"/>
        <w:ind w:firstLine="0" w:firstLineChars="0"/>
        <w:outlineLvl w:val="1"/>
        <w:rPr>
          <w:rFonts w:ascii="宋体" w:hAnsi="宋体"/>
          <w:b/>
          <w:bCs/>
          <w:kern w:val="0"/>
          <w:sz w:val="32"/>
          <w:szCs w:val="32"/>
        </w:rPr>
      </w:pPr>
      <w:r>
        <w:rPr>
          <w:rFonts w:hint="eastAsia"/>
          <w:b/>
          <w:bCs/>
          <w:sz w:val="30"/>
          <w:szCs w:val="30"/>
        </w:rPr>
        <w:t>五、供应商不得为“信用中国”网站（www.creditchina.gov.cn）（中国执行信息公开网）中列入失信被执行人和税收违法黑名单的供应商，不得为中国政府采购网（www.ccgp.gov.cn）政府采购严重违法失信行为记录名单中被财政部门禁止参加政府采购活动的供应商；</w:t>
      </w: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left="420" w:firstLine="0" w:firstLineChars="0"/>
        <w:jc w:val="left"/>
        <w:outlineLvl w:val="0"/>
        <w:rPr>
          <w:rFonts w:ascii="宋体" w:hAnsi="宋体"/>
          <w:b/>
          <w:bCs/>
          <w:kern w:val="0"/>
          <w:sz w:val="32"/>
          <w:szCs w:val="32"/>
        </w:rPr>
      </w:pPr>
      <w:r>
        <w:rPr>
          <w:rFonts w:hint="eastAsia" w:ascii="宋体" w:hAnsi="宋体"/>
          <w:b/>
          <w:bCs/>
          <w:kern w:val="0"/>
          <w:sz w:val="32"/>
          <w:szCs w:val="32"/>
        </w:rPr>
        <w:t>六、税收缴纳证明：提供2021年</w:t>
      </w:r>
      <w:r>
        <w:rPr>
          <w:rFonts w:hint="eastAsia" w:ascii="宋体" w:hAnsi="宋体"/>
          <w:b/>
          <w:bCs/>
          <w:kern w:val="0"/>
          <w:sz w:val="32"/>
          <w:szCs w:val="32"/>
          <w:lang w:val="en-US" w:eastAsia="zh-CN"/>
        </w:rPr>
        <w:t>6</w:t>
      </w:r>
      <w:r>
        <w:rPr>
          <w:rFonts w:hint="eastAsia" w:ascii="宋体" w:hAnsi="宋体"/>
          <w:b/>
          <w:bCs/>
          <w:kern w:val="0"/>
          <w:sz w:val="32"/>
          <w:szCs w:val="32"/>
        </w:rPr>
        <w:t>月至今已缴纳的至少一个月的纳税证明或完税证明（任意税种），依法免税的单位应提供相关证明材料</w:t>
      </w:r>
    </w:p>
    <w:p/>
    <w:p/>
    <w:p/>
    <w:p/>
    <w:p>
      <w:pPr>
        <w:tabs>
          <w:tab w:val="center" w:pos="4493"/>
        </w:tabs>
        <w:jc w:val="left"/>
      </w:pPr>
      <w:r>
        <w:rPr>
          <w:rFonts w:hint="eastAsia"/>
        </w:rP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0"/>
        </w:numPr>
        <w:ind w:left="432"/>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bookmarkStart w:id="62" w:name="_Toc15081"/>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七、社会保障资金缴纳证明：提供2021年</w:t>
      </w:r>
      <w:r>
        <w:rPr>
          <w:rFonts w:hint="eastAsia" w:ascii="宋体" w:hAnsi="宋体" w:eastAsia="宋体"/>
          <w:b/>
          <w:bCs/>
          <w:sz w:val="32"/>
          <w:szCs w:val="32"/>
          <w:lang w:val="en-US" w:eastAsia="zh-CN"/>
        </w:rPr>
        <w:t>6</w:t>
      </w:r>
      <w:r>
        <w:rPr>
          <w:rFonts w:hint="eastAsia" w:ascii="宋体" w:hAnsi="宋体" w:eastAsia="宋体"/>
          <w:b/>
          <w:bCs/>
          <w:sz w:val="32"/>
          <w:szCs w:val="32"/>
        </w:rPr>
        <w:t>月至今已缴存的至少一个月的社会保障资金缴存单据或社保机构开具的社会保险参保缴费情况证明，依法不需要缴纳社会保障资金的单位应提供相关证明材料</w:t>
      </w: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八、财务状况报告：提供供应商2020年经审计的财务报告或磋商前三个月内开户银行开具的资信证明</w:t>
      </w:r>
    </w:p>
    <w:p>
      <w:pPr>
        <w:pStyle w:val="3"/>
        <w:numPr>
          <w:ilvl w:val="0"/>
          <w:numId w:val="0"/>
        </w:numPr>
        <w:ind w:left="432"/>
        <w:jc w:val="left"/>
        <w:rPr>
          <w:rFonts w:ascii="宋体" w:hAnsi="宋体" w:eastAsia="宋体"/>
          <w:b/>
          <w:bCs/>
          <w:sz w:val="32"/>
          <w:szCs w:val="32"/>
        </w:rPr>
      </w:pPr>
      <w:r>
        <w:rPr>
          <w:rFonts w:hint="eastAsia" w:ascii="宋体" w:hAnsi="宋体" w:eastAsia="宋体"/>
          <w:b/>
          <w:bCs/>
          <w:sz w:val="32"/>
          <w:szCs w:val="32"/>
        </w:rPr>
        <w:t>九、参加政府采购活动前三年内，在经营活动中没有重大违法记录的书面声明</w:t>
      </w:r>
    </w:p>
    <w:p>
      <w:pPr>
        <w:rPr>
          <w:rFonts w:ascii="宋体" w:hAnsi="宋体"/>
          <w:b/>
          <w:bCs/>
          <w:sz w:val="32"/>
          <w:szCs w:val="32"/>
        </w:rPr>
      </w:pPr>
    </w:p>
    <w:p>
      <w:pPr>
        <w:autoSpaceDE w:val="0"/>
        <w:autoSpaceDN w:val="0"/>
        <w:adjustRightInd w:val="0"/>
        <w:snapToGrid w:val="0"/>
        <w:spacing w:before="468" w:beforeLines="150" w:after="312" w:afterLines="100" w:line="360" w:lineRule="auto"/>
        <w:jc w:val="center"/>
        <w:rPr>
          <w:b/>
          <w:sz w:val="28"/>
          <w:szCs w:val="28"/>
        </w:rPr>
      </w:pPr>
      <w:r>
        <w:rPr>
          <w:b/>
          <w:sz w:val="36"/>
          <w:szCs w:val="28"/>
        </w:rPr>
        <w:t>声  明</w:t>
      </w:r>
    </w:p>
    <w:p>
      <w:pPr>
        <w:autoSpaceDE w:val="0"/>
        <w:autoSpaceDN w:val="0"/>
        <w:adjustRightInd w:val="0"/>
        <w:snapToGrid w:val="0"/>
        <w:spacing w:line="360" w:lineRule="auto"/>
        <w:ind w:firstLine="480" w:firstLineChars="200"/>
        <w:jc w:val="left"/>
        <w:rPr>
          <w:sz w:val="24"/>
          <w:szCs w:val="28"/>
        </w:rPr>
      </w:pPr>
      <w:r>
        <w:rPr>
          <w:sz w:val="24"/>
          <w:szCs w:val="28"/>
        </w:rPr>
        <w:t>我公司</w:t>
      </w:r>
      <w:r>
        <w:rPr>
          <w:sz w:val="24"/>
          <w:szCs w:val="28"/>
          <w:u w:val="single"/>
        </w:rPr>
        <w:t>（单位）</w:t>
      </w:r>
      <w:r>
        <w:rPr>
          <w:sz w:val="24"/>
          <w:szCs w:val="28"/>
        </w:rPr>
        <w:t>近三年（成立不足三年的将“近三年”改为“自成立之日起至今”）在参加政府采购活动和经营活动中无重大违法记录。执业期间无违规、违纪等不良执业记录。</w:t>
      </w:r>
    </w:p>
    <w:p>
      <w:pPr>
        <w:autoSpaceDE w:val="0"/>
        <w:autoSpaceDN w:val="0"/>
        <w:adjustRightInd w:val="0"/>
        <w:snapToGrid w:val="0"/>
        <w:spacing w:line="360" w:lineRule="auto"/>
        <w:ind w:firstLine="480" w:firstLineChars="200"/>
        <w:jc w:val="left"/>
        <w:rPr>
          <w:sz w:val="24"/>
          <w:szCs w:val="28"/>
        </w:rPr>
      </w:pPr>
    </w:p>
    <w:p>
      <w:pPr>
        <w:autoSpaceDE w:val="0"/>
        <w:autoSpaceDN w:val="0"/>
        <w:adjustRightInd w:val="0"/>
        <w:snapToGrid w:val="0"/>
        <w:spacing w:line="360" w:lineRule="auto"/>
        <w:ind w:firstLine="480" w:firstLineChars="200"/>
        <w:jc w:val="left"/>
        <w:rPr>
          <w:sz w:val="24"/>
          <w:szCs w:val="28"/>
        </w:rPr>
      </w:pPr>
      <w:r>
        <w:rPr>
          <w:sz w:val="24"/>
          <w:szCs w:val="28"/>
        </w:rPr>
        <w:t>注：重大违法记录是指</w:t>
      </w:r>
      <w:r>
        <w:rPr>
          <w:rFonts w:hint="eastAsia"/>
          <w:sz w:val="24"/>
          <w:szCs w:val="28"/>
        </w:rPr>
        <w:t>磋商响应单位</w:t>
      </w:r>
      <w:r>
        <w:rPr>
          <w:sz w:val="24"/>
          <w:szCs w:val="28"/>
        </w:rPr>
        <w:t>因违法经营受到刑事处罚或者责令停产停业,吊销许可证或者执照、较大数额罚款等行政处罚。</w:t>
      </w:r>
    </w:p>
    <w:p>
      <w:pPr>
        <w:autoSpaceDE w:val="0"/>
        <w:autoSpaceDN w:val="0"/>
        <w:adjustRightInd w:val="0"/>
        <w:snapToGrid w:val="0"/>
        <w:spacing w:line="300" w:lineRule="auto"/>
        <w:jc w:val="left"/>
        <w:rPr>
          <w:sz w:val="28"/>
          <w:szCs w:val="28"/>
        </w:rPr>
      </w:pPr>
    </w:p>
    <w:p>
      <w:pPr>
        <w:autoSpaceDE w:val="0"/>
        <w:autoSpaceDN w:val="0"/>
        <w:adjustRightInd w:val="0"/>
        <w:spacing w:line="360" w:lineRule="auto"/>
        <w:jc w:val="left"/>
        <w:rPr>
          <w:sz w:val="28"/>
          <w:szCs w:val="28"/>
        </w:rPr>
      </w:pPr>
    </w:p>
    <w:p>
      <w:pPr>
        <w:autoSpaceDE w:val="0"/>
        <w:autoSpaceDN w:val="0"/>
        <w:adjustRightInd w:val="0"/>
        <w:spacing w:line="360" w:lineRule="auto"/>
        <w:ind w:firstLine="480" w:firstLineChars="200"/>
        <w:jc w:val="left"/>
        <w:rPr>
          <w:sz w:val="24"/>
          <w:szCs w:val="28"/>
        </w:rPr>
      </w:pPr>
      <w:r>
        <w:rPr>
          <w:sz w:val="24"/>
          <w:szCs w:val="28"/>
        </w:rPr>
        <w:t>特此声明。</w:t>
      </w:r>
    </w:p>
    <w:p>
      <w:pPr>
        <w:autoSpaceDE w:val="0"/>
        <w:autoSpaceDN w:val="0"/>
        <w:adjustRightInd w:val="0"/>
        <w:spacing w:line="36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napToGrid w:val="0"/>
        <w:spacing w:line="360" w:lineRule="auto"/>
        <w:ind w:firstLine="480" w:firstLineChars="200"/>
        <w:jc w:val="left"/>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（单位公章）</w:t>
      </w:r>
    </w:p>
    <w:p>
      <w:pPr>
        <w:autoSpaceDE w:val="0"/>
        <w:autoSpaceDN w:val="0"/>
        <w:adjustRightInd w:val="0"/>
        <w:snapToGrid w:val="0"/>
        <w:spacing w:line="360" w:lineRule="auto"/>
        <w:ind w:firstLine="480" w:firstLineChars="200"/>
        <w:jc w:val="left"/>
        <w:rPr>
          <w:sz w:val="24"/>
          <w:szCs w:val="28"/>
          <w:u w:val="single"/>
        </w:rPr>
      </w:pPr>
      <w:r>
        <w:rPr>
          <w:sz w:val="24"/>
          <w:szCs w:val="28"/>
        </w:rPr>
        <w:t>法定代表人或授权代表人：</w:t>
      </w:r>
      <w:r>
        <w:rPr>
          <w:sz w:val="24"/>
          <w:szCs w:val="28"/>
          <w:u w:val="single"/>
        </w:rPr>
        <w:t xml:space="preserve">             </w:t>
      </w:r>
      <w:r>
        <w:rPr>
          <w:sz w:val="24"/>
          <w:szCs w:val="28"/>
        </w:rPr>
        <w:t>（签字或盖章）</w:t>
      </w:r>
    </w:p>
    <w:p>
      <w:pPr>
        <w:autoSpaceDE w:val="0"/>
        <w:autoSpaceDN w:val="0"/>
        <w:adjustRightInd w:val="0"/>
        <w:snapToGrid w:val="0"/>
        <w:spacing w:line="360" w:lineRule="auto"/>
        <w:ind w:firstLine="480" w:firstLineChars="200"/>
        <w:jc w:val="left"/>
        <w:rPr>
          <w:sz w:val="24"/>
          <w:szCs w:val="28"/>
        </w:rPr>
      </w:pPr>
      <w:r>
        <w:rPr>
          <w:sz w:val="24"/>
          <w:szCs w:val="28"/>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47"/>
        <w:sectPr>
          <w:pgSz w:w="11906" w:h="16838"/>
          <w:pgMar w:top="1440" w:right="1457" w:bottom="1440" w:left="1463" w:header="851" w:footer="992" w:gutter="0"/>
          <w:cols w:space="0" w:num="1"/>
          <w:titlePg/>
          <w:docGrid w:type="lines" w:linePitch="312" w:charSpace="0"/>
        </w:sectPr>
      </w:pP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十、磋商响应单位负责人不得为同一人或者存在控股、管理关系（格式自拟）</w:t>
      </w:r>
    </w:p>
    <w:bookmarkEnd w:id="62"/>
    <w:p>
      <w:pPr>
        <w:pStyle w:val="3"/>
        <w:numPr>
          <w:ilvl w:val="0"/>
          <w:numId w:val="0"/>
        </w:numPr>
        <w:jc w:val="left"/>
        <w:rPr>
          <w:rFonts w:hint="eastAsia" w:ascii="宋体" w:hAnsi="宋体" w:eastAsia="宋体"/>
          <w:b/>
          <w:bCs/>
          <w:sz w:val="32"/>
          <w:szCs w:val="32"/>
          <w:lang w:eastAsia="zh-CN"/>
        </w:rPr>
      </w:pPr>
      <w:r>
        <w:rPr>
          <w:rFonts w:hint="eastAsia" w:ascii="宋体" w:hAnsi="宋体" w:eastAsia="宋体"/>
          <w:b/>
          <w:bCs/>
          <w:sz w:val="32"/>
          <w:szCs w:val="32"/>
          <w:lang w:val="en-US" w:eastAsia="zh-CN"/>
        </w:rPr>
        <w:t>十一、具</w:t>
      </w:r>
      <w:r>
        <w:rPr>
          <w:rFonts w:hint="eastAsia" w:ascii="宋体" w:hAnsi="宋体" w:eastAsia="宋体"/>
          <w:b/>
          <w:bCs/>
          <w:sz w:val="32"/>
          <w:szCs w:val="32"/>
        </w:rPr>
        <w:t>有履行本合同所必需的设备和专业技术能力</w:t>
      </w:r>
      <w:r>
        <w:rPr>
          <w:rFonts w:hint="eastAsia" w:ascii="宋体" w:hAnsi="宋体" w:eastAsia="宋体"/>
          <w:b/>
          <w:bCs/>
          <w:sz w:val="32"/>
          <w:szCs w:val="32"/>
          <w:lang w:eastAsia="zh-CN"/>
        </w:rPr>
        <w:t>；</w:t>
      </w:r>
    </w:p>
    <w:p>
      <w:pPr>
        <w:pStyle w:val="3"/>
        <w:numPr>
          <w:ilvl w:val="0"/>
          <w:numId w:val="0"/>
        </w:numPr>
        <w:jc w:val="center"/>
        <w:rPr>
          <w:rFonts w:hint="eastAsia"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格式自拟</w:t>
      </w:r>
      <w:r>
        <w:rPr>
          <w:rFonts w:hint="eastAsia" w:ascii="宋体" w:hAnsi="宋体" w:eastAsia="宋体"/>
          <w:b/>
          <w:bCs/>
          <w:sz w:val="32"/>
          <w:szCs w:val="32"/>
          <w:lang w:eastAsia="zh-CN"/>
        </w:rPr>
        <w:t>）</w:t>
      </w:r>
    </w:p>
    <w:p>
      <w:pPr>
        <w:jc w:val="center"/>
        <w:rPr>
          <w:b/>
          <w:bCs/>
          <w:sz w:val="32"/>
          <w:szCs w:val="32"/>
        </w:rPr>
      </w:pPr>
      <w:r>
        <w:rPr>
          <w:rFonts w:hint="eastAsia"/>
          <w:b/>
          <w:bCs/>
          <w:sz w:val="32"/>
          <w:szCs w:val="32"/>
        </w:rPr>
        <w:t>十</w:t>
      </w:r>
      <w:r>
        <w:rPr>
          <w:rFonts w:hint="eastAsia"/>
          <w:b/>
          <w:bCs/>
          <w:sz w:val="32"/>
          <w:szCs w:val="32"/>
          <w:lang w:val="en-US" w:eastAsia="zh-CN"/>
        </w:rPr>
        <w:t>二</w:t>
      </w:r>
      <w:r>
        <w:rPr>
          <w:rFonts w:hint="eastAsia"/>
          <w:b/>
          <w:bCs/>
          <w:sz w:val="32"/>
          <w:szCs w:val="32"/>
        </w:rPr>
        <w:t>、陕西省政府采购供应商拒绝政府采购领域商业贿赂承诺书</w:t>
      </w:r>
    </w:p>
    <w:p/>
    <w:p>
      <w:pPr>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为响应党中央、国务院关于治理政府采购领域商业贿赂行为的号召，我公司在此庄严承诺：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1、在参与政府采购活动中遵纪守法、诚信经营、公平竞标。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2、不向政府采购人、采购代理机构和政府采购评审专家进行任何形式的商业贿赂以谋取交易机会。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4、不采取“围标、陪标”等商业欺诈手段获得政府采购定单。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5、不采取不正当手段诋毁、排挤其他供应商。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6、不在提供商品和服务时“偷梁换柱、以次充好”损害采购人的合法权益。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9、不发生其他有悖于政府采购公开、公平、公正和诚信原则的行为。</w:t>
      </w:r>
    </w:p>
    <w:p>
      <w:pPr>
        <w:spacing w:line="360" w:lineRule="auto"/>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磋商响应单位名称：           （盖章）</w:t>
      </w:r>
    </w:p>
    <w:p>
      <w:pPr>
        <w:spacing w:line="360" w:lineRule="auto"/>
        <w:rPr>
          <w:rFonts w:ascii="宋体" w:hAnsi="宋体" w:cs="宋体"/>
          <w:sz w:val="24"/>
        </w:rPr>
      </w:pPr>
      <w:r>
        <w:rPr>
          <w:rFonts w:hint="eastAsia" w:ascii="宋体" w:hAnsi="宋体" w:cs="宋体"/>
          <w:sz w:val="24"/>
        </w:rPr>
        <w:t>法定代表人或授权代表人：（签字并盖章）</w:t>
      </w:r>
    </w:p>
    <w:p>
      <w:pPr>
        <w:spacing w:line="360" w:lineRule="auto"/>
        <w:rPr>
          <w:rFonts w:ascii="宋体" w:hAnsi="宋体" w:cs="宋体"/>
          <w:sz w:val="24"/>
        </w:rPr>
      </w:pPr>
      <w:r>
        <w:rPr>
          <w:rFonts w:hint="eastAsia" w:ascii="宋体" w:hAnsi="宋体" w:cs="宋体"/>
          <w:sz w:val="24"/>
        </w:rPr>
        <w:t>地  址：                        </w:t>
      </w:r>
    </w:p>
    <w:p>
      <w:pPr>
        <w:spacing w:line="360" w:lineRule="auto"/>
        <w:rPr>
          <w:rFonts w:ascii="宋体" w:hAnsi="宋体" w:cs="宋体"/>
          <w:sz w:val="24"/>
        </w:rPr>
      </w:pPr>
      <w:r>
        <w:rPr>
          <w:rFonts w:hint="eastAsia" w:ascii="宋体" w:hAnsi="宋体" w:cs="宋体"/>
          <w:sz w:val="24"/>
        </w:rPr>
        <w:t>邮  编：</w:t>
      </w:r>
    </w:p>
    <w:p>
      <w:pPr>
        <w:spacing w:line="360" w:lineRule="auto"/>
        <w:ind w:left="960" w:hanging="960" w:hangingChars="400"/>
        <w:rPr>
          <w:rFonts w:ascii="宋体" w:hAnsi="宋体" w:cs="宋体"/>
          <w:sz w:val="24"/>
        </w:rPr>
      </w:pPr>
      <w:r>
        <w:rPr>
          <w:rFonts w:hint="eastAsia" w:ascii="宋体" w:hAnsi="宋体" w:cs="宋体"/>
          <w:sz w:val="24"/>
        </w:rPr>
        <w:t>电  话：                                年  月  日</w:t>
      </w:r>
    </w:p>
    <w:p/>
    <w:p/>
    <w:p>
      <w:pPr>
        <w:pStyle w:val="2"/>
        <w:ind w:firstLine="0" w:firstLineChars="0"/>
        <w:rPr>
          <w:b/>
          <w:bCs/>
          <w:sz w:val="30"/>
          <w:szCs w:val="30"/>
        </w:rPr>
      </w:pPr>
    </w:p>
    <w:p>
      <w:pPr>
        <w:pStyle w:val="2"/>
        <w:ind w:firstLine="0" w:firstLineChars="0"/>
        <w:rPr>
          <w:b/>
          <w:bCs/>
          <w:sz w:val="30"/>
          <w:szCs w:val="30"/>
        </w:rPr>
      </w:pPr>
    </w:p>
    <w:p>
      <w:pPr>
        <w:pStyle w:val="2"/>
        <w:ind w:firstLine="0" w:firstLineChars="0"/>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outlineLvl w:val="1"/>
        <w:rPr>
          <w:b/>
          <w:bCs/>
          <w:sz w:val="52"/>
          <w:szCs w:val="52"/>
        </w:rPr>
      </w:pPr>
      <w:r>
        <w:rPr>
          <w:b/>
          <w:bCs/>
          <w:sz w:val="52"/>
          <w:szCs w:val="52"/>
        </w:rPr>
        <w:t>商务文件</w:t>
      </w:r>
    </w:p>
    <w:p>
      <w:pPr>
        <w:tabs>
          <w:tab w:val="left" w:pos="4035"/>
        </w:tabs>
        <w:autoSpaceDE w:val="0"/>
        <w:autoSpaceDN w:val="0"/>
        <w:adjustRightInd w:val="0"/>
        <w:snapToGrid w:val="0"/>
        <w:spacing w:after="156" w:afterLines="50" w:line="360" w:lineRule="auto"/>
        <w:rPr>
          <w:sz w:val="24"/>
        </w:rPr>
      </w:pPr>
    </w:p>
    <w:p>
      <w:pPr>
        <w:autoSpaceDE w:val="0"/>
        <w:autoSpaceDN w:val="0"/>
        <w:adjustRightInd w:val="0"/>
        <w:snapToGrid w:val="0"/>
        <w:spacing w:after="156" w:afterLines="50" w:line="360" w:lineRule="auto"/>
        <w:jc w:val="center"/>
        <w:rPr>
          <w:rFonts w:asciiTheme="minorEastAsia" w:hAnsiTheme="minorEastAsia" w:eastAsiaTheme="minorEastAsia" w:cstheme="minorEastAsia"/>
          <w:bCs/>
          <w:sz w:val="30"/>
          <w:szCs w:val="30"/>
        </w:rPr>
      </w:pPr>
      <w:r>
        <w:rPr>
          <w:sz w:val="24"/>
        </w:rPr>
        <w:br w:type="page"/>
      </w:r>
      <w:r>
        <w:rPr>
          <w:rFonts w:hint="eastAsia"/>
          <w:b/>
          <w:bCs/>
          <w:sz w:val="30"/>
          <w:szCs w:val="30"/>
        </w:rPr>
        <w:t>一、磋商响应函</w:t>
      </w:r>
    </w:p>
    <w:p>
      <w:pPr>
        <w:pStyle w:val="2"/>
        <w:spacing w:line="360" w:lineRule="auto"/>
        <w:ind w:firstLine="0" w:firstLineChars="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远创项目管理有限公司</w:t>
      </w:r>
    </w:p>
    <w:p>
      <w:pPr>
        <w:pStyle w:val="2"/>
        <w:spacing w:line="360" w:lineRule="auto"/>
        <w:ind w:firstLine="0" w:firstLineChars="0"/>
        <w:rPr>
          <w:rFonts w:ascii="宋体" w:hAnsi="宋体" w:cs="宋体"/>
          <w:sz w:val="24"/>
        </w:rPr>
      </w:pPr>
      <w:r>
        <w:rPr>
          <w:rFonts w:hint="eastAsia" w:asciiTheme="minorEastAsia" w:hAnsiTheme="minorEastAsia" w:eastAsiaTheme="minorEastAsia" w:cstheme="minorEastAsia"/>
          <w:sz w:val="24"/>
        </w:rPr>
        <w:t xml:space="preserve">   </w:t>
      </w:r>
      <w:r>
        <w:rPr>
          <w:rFonts w:hint="eastAsia" w:ascii="宋体" w:hAnsi="宋体" w:cs="宋体"/>
          <w:sz w:val="24"/>
        </w:rPr>
        <w:t xml:space="preserve"> 根据贵方</w:t>
      </w:r>
      <w:r>
        <w:rPr>
          <w:rFonts w:hint="eastAsia" w:ascii="宋体" w:hAnsi="宋体" w:cs="宋体"/>
          <w:sz w:val="24"/>
          <w:u w:val="single"/>
        </w:rPr>
        <w:t>             </w:t>
      </w:r>
      <w:r>
        <w:rPr>
          <w:rFonts w:hint="eastAsia" w:ascii="宋体" w:hAnsi="宋体" w:cs="宋体"/>
          <w:sz w:val="24"/>
        </w:rPr>
        <w:t>项目的邀请，正式授权（姓名）代表（磋商响应单位的名称），提交本项目磋商响应文件正本壹份，副本贰份、电子文件（U盘）壹份。在此我方承诺如下：</w:t>
      </w:r>
    </w:p>
    <w:p>
      <w:pPr>
        <w:pStyle w:val="2"/>
        <w:spacing w:line="360" w:lineRule="auto"/>
        <w:ind w:firstLine="0" w:firstLineChars="0"/>
        <w:rPr>
          <w:rFonts w:ascii="宋体" w:hAnsi="宋体" w:cs="宋体"/>
          <w:sz w:val="24"/>
        </w:rPr>
      </w:pPr>
      <w:r>
        <w:rPr>
          <w:rFonts w:hint="eastAsia" w:ascii="宋体" w:hAnsi="宋体" w:cs="宋体"/>
          <w:sz w:val="24"/>
        </w:rPr>
        <w:t xml:space="preserve">    1、我方已详细审查全部磋商文件，包括修改文件（如有）以及全部参考资料和有关附件。我们已完全理解磋商文件并对磋商文件不存在任何异议。</w:t>
      </w:r>
    </w:p>
    <w:p>
      <w:pPr>
        <w:pStyle w:val="2"/>
        <w:spacing w:line="360" w:lineRule="auto"/>
        <w:ind w:firstLine="0" w:firstLineChars="0"/>
        <w:rPr>
          <w:rFonts w:ascii="宋体" w:hAnsi="宋体" w:cs="宋体"/>
          <w:sz w:val="24"/>
        </w:rPr>
      </w:pPr>
      <w:r>
        <w:rPr>
          <w:rFonts w:hint="eastAsia" w:ascii="宋体" w:hAnsi="宋体" w:cs="宋体"/>
          <w:sz w:val="24"/>
        </w:rPr>
        <w:t xml:space="preserve">    2、本响应（投标）自磋商之日起有效期为 90 个日历天。</w:t>
      </w:r>
    </w:p>
    <w:p>
      <w:pPr>
        <w:pStyle w:val="2"/>
        <w:spacing w:line="360" w:lineRule="auto"/>
        <w:ind w:firstLine="480"/>
        <w:rPr>
          <w:rFonts w:ascii="宋体" w:hAnsi="宋体" w:cs="宋体"/>
          <w:sz w:val="24"/>
        </w:rPr>
      </w:pPr>
      <w:r>
        <w:rPr>
          <w:rFonts w:hint="eastAsia" w:ascii="宋体" w:hAnsi="宋体" w:cs="宋体"/>
          <w:sz w:val="24"/>
        </w:rPr>
        <w:t>3、我方承诺所递交的响应文件及有关资料真实有效。</w:t>
      </w:r>
    </w:p>
    <w:p>
      <w:pPr>
        <w:pStyle w:val="2"/>
        <w:spacing w:line="360" w:lineRule="auto"/>
        <w:ind w:firstLine="480"/>
        <w:rPr>
          <w:rFonts w:ascii="宋体" w:hAnsi="宋体" w:cs="宋体"/>
          <w:sz w:val="24"/>
        </w:rPr>
      </w:pPr>
      <w:r>
        <w:rPr>
          <w:rFonts w:hint="eastAsia" w:ascii="宋体" w:hAnsi="宋体" w:cs="宋体"/>
          <w:sz w:val="24"/>
        </w:rPr>
        <w:t>4、如我方成交（中标），依成交通知规定的时间与采购人签订合同，并按合同规定履行合同责任和义务。</w:t>
      </w:r>
    </w:p>
    <w:p>
      <w:pPr>
        <w:pStyle w:val="2"/>
        <w:spacing w:line="360" w:lineRule="auto"/>
        <w:ind w:firstLine="0" w:firstLineChars="0"/>
        <w:rPr>
          <w:rFonts w:ascii="宋体" w:hAnsi="宋体" w:cs="宋体"/>
          <w:sz w:val="24"/>
        </w:rPr>
      </w:pPr>
      <w:r>
        <w:rPr>
          <w:rFonts w:hint="eastAsia" w:ascii="宋体" w:hAnsi="宋体" w:cs="宋体"/>
          <w:sz w:val="24"/>
        </w:rPr>
        <w:t xml:space="preserve">    5、我方同意提供按照采购人可能要求与其采购有关的一切数据或资料，完全理解贵方不一定接受最低价的投标或其他任何投标。</w:t>
      </w:r>
    </w:p>
    <w:p>
      <w:pPr>
        <w:pStyle w:val="2"/>
        <w:spacing w:line="360" w:lineRule="auto"/>
        <w:ind w:firstLine="0" w:firstLineChars="0"/>
        <w:rPr>
          <w:rFonts w:ascii="宋体" w:hAnsi="宋体" w:cs="宋体"/>
          <w:sz w:val="24"/>
        </w:rPr>
      </w:pPr>
      <w:r>
        <w:rPr>
          <w:rFonts w:hint="eastAsia" w:ascii="宋体" w:hAnsi="宋体" w:cs="宋体"/>
          <w:sz w:val="24"/>
        </w:rPr>
        <w:t xml:space="preserve">     与本磋商有关的一切正式往来通讯请寄：</w:t>
      </w:r>
    </w:p>
    <w:p>
      <w:pPr>
        <w:pStyle w:val="2"/>
        <w:spacing w:line="360" w:lineRule="auto"/>
        <w:ind w:firstLine="0" w:firstLineChars="0"/>
        <w:rPr>
          <w:rFonts w:asciiTheme="minorEastAsia" w:hAnsiTheme="minorEastAsia" w:eastAsiaTheme="minorEastAsia" w:cstheme="minorEastAsia"/>
          <w:sz w:val="24"/>
        </w:rPr>
      </w:pP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 真：</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rPr>
      </w:pPr>
    </w:p>
    <w:p>
      <w:pPr>
        <w:pStyle w:val="2"/>
        <w:spacing w:line="360" w:lineRule="auto"/>
        <w:ind w:firstLine="0" w:firstLineChars="0"/>
        <w:rPr>
          <w:rFonts w:asciiTheme="minorEastAsia" w:hAnsiTheme="minorEastAsia" w:eastAsiaTheme="minorEastAsia" w:cstheme="minorEastAsia"/>
          <w:sz w:val="24"/>
        </w:rPr>
      </w:pPr>
    </w:p>
    <w:p>
      <w:pPr>
        <w:overflowPunct w:val="0"/>
        <w:topLinePunct/>
        <w:adjustRightInd w:val="0"/>
        <w:snapToGrid w:val="0"/>
        <w:spacing w:line="360" w:lineRule="auto"/>
        <w:rPr>
          <w:rFonts w:asciiTheme="minorEastAsia" w:hAnsiTheme="minorEastAsia" w:eastAsiaTheme="minorEastAsia" w:cstheme="minorEastAsia"/>
          <w:sz w:val="24"/>
        </w:rPr>
      </w:pP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磋商响应单位名称：</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xml:space="preserve">（公章） </w:t>
      </w: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sz w:val="24"/>
        </w:rPr>
        <w:t>法定代表人或授权代表人：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（签字或签章）</w:t>
      </w:r>
    </w:p>
    <w:p>
      <w:pPr>
        <w:overflowPunct w:val="0"/>
        <w:topLinePunct/>
        <w:adjustRightInd w:val="0"/>
        <w:snapToGrid w:val="0"/>
        <w:spacing w:line="480" w:lineRule="auto"/>
        <w:ind w:firstLine="5040" w:firstLineChars="2100"/>
        <w:rPr>
          <w:rFonts w:asciiTheme="minorEastAsia" w:hAnsiTheme="minorEastAsia" w:eastAsiaTheme="minorEastAsia" w:cstheme="minorEastAsia"/>
          <w:kern w:val="0"/>
          <w:sz w:val="24"/>
        </w:rPr>
      </w:pP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r>
        <w:rPr>
          <w:rFonts w:hint="eastAsia" w:asciiTheme="minorEastAsia" w:hAnsiTheme="minorEastAsia" w:eastAsiaTheme="minorEastAsia" w:cstheme="minorEastAsia"/>
          <w:kern w:val="0"/>
          <w:sz w:val="24"/>
          <w:shd w:val="clear" w:color="auto" w:fill="FFFFFF"/>
        </w:rPr>
        <w:t>  </w:t>
      </w:r>
    </w:p>
    <w:p>
      <w:pPr>
        <w:autoSpaceDE w:val="0"/>
        <w:autoSpaceDN w:val="0"/>
        <w:adjustRightInd w:val="0"/>
        <w:snapToGrid w:val="0"/>
        <w:spacing w:after="156" w:afterLines="50" w:line="360" w:lineRule="auto"/>
        <w:jc w:val="center"/>
        <w:rPr>
          <w:kern w:val="0"/>
          <w:sz w:val="30"/>
          <w:szCs w:val="30"/>
          <w:shd w:val="clear" w:color="auto" w:fill="FFFFFF"/>
        </w:rPr>
      </w:pPr>
      <w:r>
        <w:rPr>
          <w:sz w:val="24"/>
        </w:rPr>
        <w:br w:type="page"/>
      </w:r>
      <w:bookmarkStart w:id="63" w:name="_Toc293934824"/>
      <w:bookmarkEnd w:id="63"/>
      <w:r>
        <w:rPr>
          <w:rFonts w:hint="eastAsia"/>
          <w:b/>
          <w:bCs/>
          <w:sz w:val="30"/>
          <w:szCs w:val="30"/>
        </w:rPr>
        <w:t>二、首次报价一览表</w:t>
      </w:r>
    </w:p>
    <w:p>
      <w:pPr>
        <w:adjustRightInd w:val="0"/>
        <w:snapToGrid w:val="0"/>
        <w:spacing w:line="360" w:lineRule="auto"/>
        <w:rPr>
          <w:sz w:val="24"/>
          <w:u w:val="single"/>
        </w:rPr>
      </w:pPr>
      <w:r>
        <w:rPr>
          <w:sz w:val="24"/>
        </w:rPr>
        <w:t>项目名称：</w:t>
      </w:r>
      <w:r>
        <w:rPr>
          <w:sz w:val="24"/>
          <w:u w:val="single"/>
        </w:rPr>
        <w:t xml:space="preserve">                    </w:t>
      </w:r>
      <w:r>
        <w:rPr>
          <w:rFonts w:hint="eastAsia"/>
          <w:sz w:val="24"/>
          <w:u w:val="single"/>
        </w:rPr>
        <w:t>　　　　　　　　　　　　　　　　　</w:t>
      </w:r>
      <w:r>
        <w:rPr>
          <w:sz w:val="24"/>
          <w:u w:val="single"/>
        </w:rPr>
        <w:t xml:space="preserve">        </w:t>
      </w:r>
    </w:p>
    <w:tbl>
      <w:tblPr>
        <w:tblStyle w:val="48"/>
        <w:tblpPr w:leftFromText="180" w:rightFromText="180" w:vertAnchor="page" w:horzAnchor="page" w:tblpX="1607" w:tblpY="2977"/>
        <w:tblW w:w="89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827"/>
        <w:gridCol w:w="1796"/>
        <w:gridCol w:w="1731"/>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2" w:hRule="atLeast"/>
        </w:trPr>
        <w:tc>
          <w:tcPr>
            <w:tcW w:w="2060" w:type="dxa"/>
            <w:tcBorders>
              <w:top w:val="single" w:color="auto" w:sz="12" w:space="0"/>
              <w:bottom w:val="single" w:color="auto" w:sz="6" w:space="0"/>
              <w:tl2br w:val="single" w:color="auto" w:sz="6" w:space="0"/>
            </w:tcBorders>
          </w:tcPr>
          <w:p>
            <w:pPr>
              <w:tabs>
                <w:tab w:val="center" w:pos="1062"/>
              </w:tabs>
              <w:spacing w:line="360" w:lineRule="auto"/>
              <w:ind w:firstLine="240" w:firstLineChars="100"/>
              <w:jc w:val="both"/>
              <w:rPr>
                <w:sz w:val="24"/>
              </w:rPr>
            </w:pPr>
          </w:p>
          <w:p>
            <w:pPr>
              <w:tabs>
                <w:tab w:val="center" w:pos="1062"/>
              </w:tabs>
              <w:spacing w:line="360" w:lineRule="auto"/>
              <w:ind w:firstLine="720" w:firstLineChars="300"/>
              <w:jc w:val="both"/>
              <w:rPr>
                <w:sz w:val="24"/>
              </w:rPr>
            </w:pPr>
            <w:r>
              <w:rPr>
                <w:sz w:val="24"/>
              </w:rPr>
              <w:t>报价内容</w:t>
            </w:r>
          </w:p>
          <w:p>
            <w:pPr>
              <w:spacing w:line="360" w:lineRule="auto"/>
              <w:jc w:val="left"/>
              <w:rPr>
                <w:sz w:val="24"/>
              </w:rPr>
            </w:pPr>
          </w:p>
          <w:p>
            <w:pPr>
              <w:spacing w:line="360" w:lineRule="auto"/>
              <w:jc w:val="left"/>
              <w:rPr>
                <w:rFonts w:hint="eastAsia" w:eastAsia="宋体"/>
                <w:sz w:val="24"/>
                <w:lang w:eastAsia="zh-CN"/>
              </w:rPr>
            </w:pPr>
            <w:r>
              <w:rPr>
                <w:rFonts w:hint="eastAsia"/>
                <w:sz w:val="24"/>
                <w:lang w:val="en-US" w:eastAsia="zh-CN"/>
              </w:rPr>
              <w:t>项目名称</w:t>
            </w:r>
          </w:p>
        </w:tc>
        <w:tc>
          <w:tcPr>
            <w:tcW w:w="1827" w:type="dxa"/>
          </w:tcPr>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lang w:val="en-US" w:eastAsia="zh-CN"/>
              </w:rPr>
              <w:t>响应</w:t>
            </w:r>
            <w:r>
              <w:rPr>
                <w:sz w:val="24"/>
              </w:rPr>
              <w:t>总价</w:t>
            </w:r>
          </w:p>
          <w:p>
            <w:pPr>
              <w:spacing w:line="360" w:lineRule="exact"/>
              <w:jc w:val="center"/>
              <w:rPr>
                <w:sz w:val="24"/>
              </w:rPr>
            </w:pPr>
            <w:r>
              <w:rPr>
                <w:sz w:val="24"/>
              </w:rPr>
              <w:t>（元）</w:t>
            </w:r>
          </w:p>
        </w:tc>
        <w:tc>
          <w:tcPr>
            <w:tcW w:w="1796"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工期</w:t>
            </w:r>
          </w:p>
          <w:p>
            <w:pPr>
              <w:spacing w:line="360" w:lineRule="exact"/>
              <w:jc w:val="center"/>
              <w:rPr>
                <w:sz w:val="24"/>
              </w:rPr>
            </w:pPr>
            <w:r>
              <w:rPr>
                <w:sz w:val="24"/>
              </w:rPr>
              <w:t>（</w:t>
            </w:r>
            <w:r>
              <w:rPr>
                <w:rFonts w:hint="eastAsia"/>
                <w:sz w:val="24"/>
              </w:rPr>
              <w:t>日历</w:t>
            </w:r>
            <w:r>
              <w:rPr>
                <w:sz w:val="24"/>
              </w:rPr>
              <w:t>天）</w:t>
            </w:r>
          </w:p>
        </w:tc>
        <w:tc>
          <w:tcPr>
            <w:tcW w:w="1731"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质量</w:t>
            </w:r>
            <w:r>
              <w:rPr>
                <w:rFonts w:hint="eastAsia"/>
                <w:sz w:val="24"/>
              </w:rPr>
              <w:t>标准</w:t>
            </w:r>
          </w:p>
          <w:p>
            <w:pPr>
              <w:spacing w:line="360" w:lineRule="exact"/>
              <w:jc w:val="center"/>
              <w:rPr>
                <w:sz w:val="24"/>
              </w:rPr>
            </w:pPr>
          </w:p>
        </w:tc>
        <w:tc>
          <w:tcPr>
            <w:tcW w:w="1513"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2060" w:type="dxa"/>
            <w:tcBorders>
              <w:top w:val="single" w:color="auto" w:sz="6" w:space="0"/>
            </w:tcBorders>
            <w:vAlign w:val="center"/>
          </w:tcPr>
          <w:p>
            <w:pPr>
              <w:spacing w:line="276" w:lineRule="auto"/>
              <w:jc w:val="center"/>
              <w:rPr>
                <w:szCs w:val="21"/>
              </w:rPr>
            </w:pPr>
          </w:p>
        </w:tc>
        <w:tc>
          <w:tcPr>
            <w:tcW w:w="1827" w:type="dxa"/>
            <w:vAlign w:val="center"/>
          </w:tcPr>
          <w:p>
            <w:pPr>
              <w:spacing w:line="360" w:lineRule="auto"/>
              <w:jc w:val="center"/>
              <w:rPr>
                <w:sz w:val="24"/>
              </w:rPr>
            </w:pPr>
          </w:p>
        </w:tc>
        <w:tc>
          <w:tcPr>
            <w:tcW w:w="1796" w:type="dxa"/>
            <w:vAlign w:val="center"/>
          </w:tcPr>
          <w:p>
            <w:pPr>
              <w:spacing w:line="360" w:lineRule="auto"/>
              <w:jc w:val="center"/>
              <w:rPr>
                <w:sz w:val="24"/>
              </w:rPr>
            </w:pPr>
          </w:p>
        </w:tc>
        <w:tc>
          <w:tcPr>
            <w:tcW w:w="1731" w:type="dxa"/>
            <w:vAlign w:val="center"/>
          </w:tcPr>
          <w:p>
            <w:pPr>
              <w:spacing w:line="360" w:lineRule="auto"/>
              <w:rPr>
                <w:sz w:val="24"/>
              </w:rPr>
            </w:pPr>
          </w:p>
        </w:tc>
        <w:tc>
          <w:tcPr>
            <w:tcW w:w="1513"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trPr>
        <w:tc>
          <w:tcPr>
            <w:tcW w:w="2060" w:type="dxa"/>
            <w:vAlign w:val="center"/>
          </w:tcPr>
          <w:p>
            <w:pPr>
              <w:spacing w:line="360" w:lineRule="auto"/>
              <w:jc w:val="center"/>
              <w:rPr>
                <w:sz w:val="24"/>
              </w:rPr>
            </w:pPr>
            <w:r>
              <w:rPr>
                <w:rFonts w:hint="eastAsia"/>
                <w:sz w:val="24"/>
                <w:lang w:val="en-US" w:eastAsia="zh-CN"/>
              </w:rPr>
              <w:t>响应</w:t>
            </w:r>
            <w:r>
              <w:rPr>
                <w:sz w:val="24"/>
              </w:rPr>
              <w:t>总报价</w:t>
            </w:r>
          </w:p>
        </w:tc>
        <w:tc>
          <w:tcPr>
            <w:tcW w:w="6867" w:type="dxa"/>
            <w:gridSpan w:val="4"/>
            <w:vAlign w:val="center"/>
          </w:tcPr>
          <w:p>
            <w:pPr>
              <w:spacing w:line="360" w:lineRule="auto"/>
              <w:ind w:left="270"/>
              <w:jc w:val="left"/>
              <w:rPr>
                <w:sz w:val="24"/>
                <w:u w:val="single"/>
              </w:rPr>
            </w:pPr>
            <w:r>
              <w:rPr>
                <w:sz w:val="24"/>
              </w:rPr>
              <w:t>大写：</w:t>
            </w:r>
            <w:r>
              <w:rPr>
                <w:sz w:val="24"/>
                <w:u w:val="single"/>
              </w:rPr>
              <w:t xml:space="preserve">           </w:t>
            </w:r>
            <w:r>
              <w:rPr>
                <w:rFonts w:hint="eastAsia"/>
                <w:sz w:val="24"/>
                <w:u w:val="single"/>
              </w:rPr>
              <w:t>　　　　　　　　　</w:t>
            </w:r>
            <w:r>
              <w:rPr>
                <w:sz w:val="24"/>
                <w:u w:val="single"/>
              </w:rPr>
              <w:t xml:space="preserve">      </w:t>
            </w:r>
            <w:r>
              <w:rPr>
                <w:sz w:val="24"/>
              </w:rPr>
              <w:t xml:space="preserve"> </w:t>
            </w:r>
          </w:p>
        </w:tc>
      </w:tr>
    </w:tbl>
    <w:p>
      <w:pPr>
        <w:adjustRightInd w:val="0"/>
        <w:snapToGrid w:val="0"/>
        <w:spacing w:line="360" w:lineRule="auto"/>
        <w:rPr>
          <w:b/>
          <w:bCs/>
          <w:sz w:val="24"/>
        </w:rPr>
      </w:pPr>
      <w:r>
        <w:rPr>
          <w:rFonts w:hint="eastAsia"/>
          <w:b/>
          <w:bCs/>
          <w:sz w:val="24"/>
        </w:rPr>
        <w:t>注：报价以元为单位保留到小数点后两位。</w:t>
      </w:r>
    </w:p>
    <w:p>
      <w:pPr>
        <w:adjustRightInd w:val="0"/>
        <w:snapToGrid w:val="0"/>
        <w:spacing w:line="480" w:lineRule="auto"/>
        <w:rPr>
          <w:bCs/>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（签字或盖章）</w:t>
      </w:r>
    </w:p>
    <w:p>
      <w:pPr>
        <w:adjustRightInd w:val="0"/>
        <w:snapToGrid w:val="0"/>
        <w:spacing w:line="480" w:lineRule="auto"/>
        <w:rPr>
          <w:sz w:val="24"/>
        </w:rPr>
      </w:pPr>
      <w:r>
        <w:rPr>
          <w:bCs/>
          <w:sz w:val="24"/>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napToGrid w:val="0"/>
        <w:spacing w:after="156" w:afterLines="50" w:line="360" w:lineRule="auto"/>
        <w:ind w:left="420" w:leftChars="200"/>
        <w:jc w:val="center"/>
        <w:rPr>
          <w:b/>
          <w:bCs/>
          <w:sz w:val="30"/>
          <w:szCs w:val="30"/>
        </w:rPr>
      </w:pPr>
      <w:r>
        <w:rPr>
          <w:sz w:val="24"/>
        </w:rPr>
        <w:br w:type="page"/>
      </w:r>
      <w:r>
        <w:rPr>
          <w:rFonts w:hint="eastAsia"/>
          <w:b/>
          <w:bCs/>
          <w:sz w:val="30"/>
          <w:szCs w:val="30"/>
        </w:rPr>
        <w:t>三、</w:t>
      </w:r>
      <w:r>
        <w:rPr>
          <w:b/>
          <w:bCs/>
          <w:sz w:val="30"/>
          <w:szCs w:val="30"/>
        </w:rPr>
        <w:t>工程量清单报价表</w:t>
      </w:r>
    </w:p>
    <w:p>
      <w:pPr>
        <w:spacing w:line="360" w:lineRule="auto"/>
        <w:rPr>
          <w:sz w:val="24"/>
        </w:rPr>
      </w:pPr>
      <w:r>
        <w:rPr>
          <w:sz w:val="24"/>
        </w:rPr>
        <w:t>包括以下内容：（以广联达计价软件打印格式为准）</w:t>
      </w:r>
    </w:p>
    <w:p>
      <w:pPr>
        <w:spacing w:line="360" w:lineRule="auto"/>
        <w:rPr>
          <w:rFonts w:ascii="宋体" w:hAnsi="宋体" w:cs="宋体"/>
          <w:sz w:val="24"/>
        </w:rPr>
      </w:pPr>
      <w:r>
        <w:rPr>
          <w:sz w:val="24"/>
        </w:rPr>
        <w:t xml:space="preserve"> </w:t>
      </w:r>
      <w:r>
        <w:rPr>
          <w:rFonts w:hint="eastAsia" w:ascii="宋体" w:hAnsi="宋体" w:cs="宋体"/>
          <w:sz w:val="24"/>
        </w:rPr>
        <w:t xml:space="preserve"> （1）磋商总价</w:t>
      </w:r>
    </w:p>
    <w:p>
      <w:pPr>
        <w:widowControl/>
        <w:spacing w:line="360" w:lineRule="auto"/>
        <w:jc w:val="left"/>
        <w:rPr>
          <w:rFonts w:ascii="宋体" w:hAnsi="宋体" w:cs="宋体"/>
          <w:sz w:val="24"/>
        </w:rPr>
      </w:pPr>
      <w:r>
        <w:rPr>
          <w:rFonts w:hint="eastAsia" w:ascii="宋体" w:hAnsi="宋体" w:cs="宋体"/>
          <w:sz w:val="24"/>
        </w:rPr>
        <w:t xml:space="preserve">  （2）工程项目总造价表</w:t>
      </w:r>
    </w:p>
    <w:p>
      <w:pPr>
        <w:widowControl/>
        <w:spacing w:line="360" w:lineRule="auto"/>
        <w:jc w:val="left"/>
        <w:rPr>
          <w:rFonts w:ascii="宋体" w:hAnsi="宋体" w:cs="宋体"/>
          <w:sz w:val="24"/>
        </w:rPr>
      </w:pPr>
      <w:r>
        <w:rPr>
          <w:rFonts w:hint="eastAsia" w:ascii="宋体" w:hAnsi="宋体" w:cs="宋体"/>
          <w:sz w:val="24"/>
        </w:rPr>
        <w:t xml:space="preserve">  （3）单项工程造价汇总表</w:t>
      </w:r>
    </w:p>
    <w:p>
      <w:pPr>
        <w:widowControl/>
        <w:spacing w:line="360" w:lineRule="auto"/>
        <w:jc w:val="left"/>
        <w:rPr>
          <w:rFonts w:ascii="宋体" w:hAnsi="宋体" w:cs="宋体"/>
          <w:sz w:val="24"/>
        </w:rPr>
      </w:pPr>
      <w:r>
        <w:rPr>
          <w:rFonts w:hint="eastAsia" w:ascii="宋体" w:hAnsi="宋体" w:cs="宋体"/>
          <w:sz w:val="24"/>
        </w:rPr>
        <w:t xml:space="preserve">  （4）单位工程造价汇总表</w:t>
      </w:r>
    </w:p>
    <w:p>
      <w:pPr>
        <w:widowControl/>
        <w:spacing w:line="360" w:lineRule="auto"/>
        <w:jc w:val="left"/>
        <w:rPr>
          <w:rFonts w:ascii="宋体" w:hAnsi="宋体" w:cs="宋体"/>
          <w:sz w:val="24"/>
        </w:rPr>
      </w:pPr>
      <w:r>
        <w:rPr>
          <w:rFonts w:hint="eastAsia" w:ascii="宋体" w:hAnsi="宋体" w:cs="宋体"/>
          <w:sz w:val="24"/>
        </w:rPr>
        <w:t xml:space="preserve">  （5）分部分项工程量清单计价表</w:t>
      </w:r>
    </w:p>
    <w:p>
      <w:pPr>
        <w:widowControl/>
        <w:spacing w:line="360" w:lineRule="auto"/>
        <w:jc w:val="left"/>
        <w:rPr>
          <w:rFonts w:ascii="宋体" w:hAnsi="宋体" w:cs="宋体"/>
          <w:sz w:val="24"/>
        </w:rPr>
      </w:pPr>
      <w:r>
        <w:rPr>
          <w:rFonts w:hint="eastAsia" w:ascii="宋体" w:hAnsi="宋体" w:cs="宋体"/>
          <w:sz w:val="24"/>
        </w:rPr>
        <w:t xml:space="preserve">  （6）措施项目清单计价表</w:t>
      </w:r>
    </w:p>
    <w:p>
      <w:pPr>
        <w:widowControl/>
        <w:spacing w:line="360" w:lineRule="auto"/>
        <w:jc w:val="left"/>
        <w:rPr>
          <w:rFonts w:ascii="宋体" w:hAnsi="宋体" w:cs="宋体"/>
          <w:sz w:val="24"/>
        </w:rPr>
      </w:pPr>
      <w:r>
        <w:rPr>
          <w:rFonts w:hint="eastAsia" w:ascii="宋体" w:hAnsi="宋体" w:cs="宋体"/>
          <w:sz w:val="24"/>
        </w:rPr>
        <w:t xml:space="preserve">  （7）其他项目清单计价表</w:t>
      </w:r>
    </w:p>
    <w:p>
      <w:pPr>
        <w:widowControl/>
        <w:spacing w:line="360" w:lineRule="auto"/>
        <w:jc w:val="left"/>
        <w:rPr>
          <w:rFonts w:ascii="宋体" w:hAnsi="宋体" w:cs="宋体"/>
          <w:sz w:val="24"/>
        </w:rPr>
      </w:pPr>
      <w:r>
        <w:rPr>
          <w:rFonts w:hint="eastAsia" w:ascii="宋体" w:hAnsi="宋体" w:cs="宋体"/>
          <w:sz w:val="24"/>
        </w:rPr>
        <w:t xml:space="preserve">  （8）规费、税金项目清单计价表</w:t>
      </w:r>
    </w:p>
    <w:p>
      <w:pPr>
        <w:widowControl/>
        <w:spacing w:line="360" w:lineRule="auto"/>
        <w:jc w:val="left"/>
        <w:rPr>
          <w:rFonts w:ascii="宋体" w:hAnsi="宋体" w:cs="宋体"/>
          <w:sz w:val="24"/>
        </w:rPr>
      </w:pPr>
      <w:r>
        <w:rPr>
          <w:rFonts w:hint="eastAsia" w:ascii="宋体" w:hAnsi="宋体" w:cs="宋体"/>
          <w:sz w:val="24"/>
        </w:rPr>
        <w:t xml:space="preserve">  （9）主要材料价格表</w:t>
      </w:r>
    </w:p>
    <w:p>
      <w:pPr>
        <w:autoSpaceDE w:val="0"/>
        <w:autoSpaceDN w:val="0"/>
        <w:adjustRightInd w:val="0"/>
        <w:snapToGrid w:val="0"/>
        <w:spacing w:after="156" w:afterLines="50" w:line="360" w:lineRule="auto"/>
        <w:jc w:val="center"/>
        <w:rPr>
          <w:b/>
          <w:bCs/>
          <w:sz w:val="30"/>
          <w:szCs w:val="30"/>
        </w:rPr>
      </w:pPr>
      <w:r>
        <w:rPr>
          <w:b/>
          <w:bCs/>
          <w:sz w:val="24"/>
        </w:rPr>
        <w:br w:type="page"/>
      </w:r>
      <w:r>
        <w:rPr>
          <w:b/>
          <w:bCs/>
          <w:sz w:val="30"/>
          <w:szCs w:val="30"/>
        </w:rPr>
        <w:t>四、</w:t>
      </w:r>
      <w:r>
        <w:rPr>
          <w:rFonts w:hint="eastAsia"/>
          <w:b/>
          <w:bCs/>
          <w:sz w:val="30"/>
          <w:szCs w:val="30"/>
        </w:rPr>
        <w:t>磋商响应单位</w:t>
      </w:r>
      <w:r>
        <w:rPr>
          <w:b/>
          <w:bCs/>
          <w:sz w:val="30"/>
          <w:szCs w:val="30"/>
        </w:rPr>
        <w:t>一般情况表</w:t>
      </w:r>
    </w:p>
    <w:tbl>
      <w:tblPr>
        <w:tblStyle w:val="48"/>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63"/>
        <w:gridCol w:w="1390"/>
        <w:gridCol w:w="1771"/>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top w:val="single" w:color="auto" w:sz="12" w:space="0"/>
              <w:left w:val="single" w:color="auto" w:sz="12" w:space="0"/>
            </w:tcBorders>
            <w:vAlign w:val="center"/>
          </w:tcPr>
          <w:p>
            <w:pPr>
              <w:autoSpaceDE w:val="0"/>
              <w:autoSpaceDN w:val="0"/>
              <w:adjustRightInd w:val="0"/>
              <w:jc w:val="center"/>
              <w:rPr>
                <w:sz w:val="24"/>
              </w:rPr>
            </w:pPr>
            <w:r>
              <w:rPr>
                <w:rFonts w:hint="eastAsia"/>
                <w:sz w:val="24"/>
              </w:rPr>
              <w:t>磋商响应单位</w:t>
            </w:r>
            <w:r>
              <w:rPr>
                <w:sz w:val="24"/>
              </w:rPr>
              <w:t>全称</w:t>
            </w:r>
          </w:p>
        </w:tc>
        <w:tc>
          <w:tcPr>
            <w:tcW w:w="3053" w:type="dxa"/>
            <w:gridSpan w:val="2"/>
            <w:tcBorders>
              <w:top w:val="single" w:color="auto" w:sz="12" w:space="0"/>
            </w:tcBorders>
            <w:vAlign w:val="center"/>
          </w:tcPr>
          <w:p>
            <w:pPr>
              <w:autoSpaceDE w:val="0"/>
              <w:autoSpaceDN w:val="0"/>
              <w:adjustRightInd w:val="0"/>
              <w:rPr>
                <w:sz w:val="24"/>
              </w:rPr>
            </w:pPr>
          </w:p>
        </w:tc>
        <w:tc>
          <w:tcPr>
            <w:tcW w:w="1771" w:type="dxa"/>
            <w:tcBorders>
              <w:top w:val="single" w:color="auto" w:sz="12" w:space="0"/>
            </w:tcBorders>
            <w:vAlign w:val="center"/>
          </w:tcPr>
          <w:p>
            <w:pPr>
              <w:autoSpaceDE w:val="0"/>
              <w:autoSpaceDN w:val="0"/>
              <w:adjustRightInd w:val="0"/>
              <w:jc w:val="center"/>
              <w:rPr>
                <w:sz w:val="24"/>
              </w:rPr>
            </w:pPr>
            <w:r>
              <w:rPr>
                <w:sz w:val="24"/>
              </w:rPr>
              <w:t>法定代表人</w:t>
            </w:r>
          </w:p>
        </w:tc>
        <w:tc>
          <w:tcPr>
            <w:tcW w:w="2641" w:type="dxa"/>
            <w:tcBorders>
              <w:top w:val="single" w:color="auto" w:sz="12" w:space="0"/>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地 址</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工商登记机关</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注册资金</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单位性质</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主营范围</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财务状况</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联系人</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电 话</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公司资质</w:t>
            </w:r>
          </w:p>
          <w:p>
            <w:pPr>
              <w:autoSpaceDE w:val="0"/>
              <w:autoSpaceDN w:val="0"/>
              <w:adjustRightInd w:val="0"/>
              <w:jc w:val="center"/>
              <w:rPr>
                <w:sz w:val="24"/>
              </w:rPr>
            </w:pPr>
            <w:r>
              <w:rPr>
                <w:sz w:val="24"/>
              </w:rPr>
              <w:t>等级证书</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磋商人是否小微企业</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体系认证</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restart"/>
            <w:tcBorders>
              <w:left w:val="single" w:color="auto" w:sz="12" w:space="0"/>
            </w:tcBorders>
            <w:vAlign w:val="center"/>
          </w:tcPr>
          <w:p>
            <w:pPr>
              <w:autoSpaceDE w:val="0"/>
              <w:autoSpaceDN w:val="0"/>
              <w:adjustRightInd w:val="0"/>
              <w:spacing w:line="624" w:lineRule="exact"/>
              <w:jc w:val="center"/>
              <w:rPr>
                <w:sz w:val="24"/>
              </w:rPr>
            </w:pPr>
            <w:r>
              <w:rPr>
                <w:sz w:val="24"/>
              </w:rPr>
              <w:t>人员情况</w:t>
            </w:r>
          </w:p>
        </w:tc>
        <w:tc>
          <w:tcPr>
            <w:tcW w:w="3053" w:type="dxa"/>
            <w:gridSpan w:val="2"/>
            <w:vAlign w:val="center"/>
          </w:tcPr>
          <w:p>
            <w:pPr>
              <w:autoSpaceDE w:val="0"/>
              <w:autoSpaceDN w:val="0"/>
              <w:adjustRightInd w:val="0"/>
              <w:spacing w:line="360" w:lineRule="auto"/>
              <w:rPr>
                <w:sz w:val="24"/>
              </w:rPr>
            </w:pPr>
            <w:r>
              <w:rPr>
                <w:sz w:val="24"/>
              </w:rPr>
              <w:t>总人数</w:t>
            </w:r>
            <w:r>
              <w:rPr>
                <w:rFonts w:hint="eastAsia"/>
                <w:sz w:val="24"/>
              </w:rPr>
              <w:t>：</w:t>
            </w:r>
          </w:p>
        </w:tc>
        <w:tc>
          <w:tcPr>
            <w:tcW w:w="1771" w:type="dxa"/>
            <w:vAlign w:val="center"/>
          </w:tcPr>
          <w:p>
            <w:pPr>
              <w:autoSpaceDE w:val="0"/>
              <w:autoSpaceDN w:val="0"/>
              <w:adjustRightInd w:val="0"/>
              <w:spacing w:line="360" w:lineRule="auto"/>
              <w:jc w:val="center"/>
              <w:rPr>
                <w:sz w:val="24"/>
              </w:rPr>
            </w:pPr>
            <w:r>
              <w:rPr>
                <w:sz w:val="24"/>
              </w:rPr>
              <w:t>管理人员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restart"/>
            <w:vAlign w:val="center"/>
          </w:tcPr>
          <w:p>
            <w:pPr>
              <w:autoSpaceDE w:val="0"/>
              <w:autoSpaceDN w:val="0"/>
              <w:adjustRightInd w:val="0"/>
              <w:spacing w:line="624" w:lineRule="exact"/>
              <w:jc w:val="center"/>
              <w:rPr>
                <w:sz w:val="24"/>
              </w:rPr>
            </w:pPr>
            <w:r>
              <w:rPr>
                <w:sz w:val="24"/>
              </w:rPr>
              <w:t>技术人员</w:t>
            </w:r>
          </w:p>
        </w:tc>
        <w:tc>
          <w:tcPr>
            <w:tcW w:w="3161" w:type="dxa"/>
            <w:gridSpan w:val="2"/>
            <w:vAlign w:val="center"/>
          </w:tcPr>
          <w:p>
            <w:pPr>
              <w:autoSpaceDE w:val="0"/>
              <w:autoSpaceDN w:val="0"/>
              <w:adjustRightInd w:val="0"/>
              <w:spacing w:line="360" w:lineRule="auto"/>
              <w:rPr>
                <w:sz w:val="24"/>
              </w:rPr>
            </w:pPr>
            <w:r>
              <w:rPr>
                <w:sz w:val="24"/>
              </w:rPr>
              <w:t>总人数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continue"/>
            <w:vAlign w:val="center"/>
          </w:tcPr>
          <w:p>
            <w:pPr>
              <w:autoSpaceDE w:val="0"/>
              <w:autoSpaceDN w:val="0"/>
              <w:adjustRightInd w:val="0"/>
              <w:spacing w:line="624" w:lineRule="exact"/>
              <w:rPr>
                <w:sz w:val="24"/>
              </w:rPr>
            </w:pPr>
          </w:p>
        </w:tc>
        <w:tc>
          <w:tcPr>
            <w:tcW w:w="3161" w:type="dxa"/>
            <w:gridSpan w:val="2"/>
            <w:vAlign w:val="center"/>
          </w:tcPr>
          <w:p>
            <w:pPr>
              <w:autoSpaceDE w:val="0"/>
              <w:autoSpaceDN w:val="0"/>
              <w:adjustRightInd w:val="0"/>
              <w:spacing w:line="360" w:lineRule="auto"/>
              <w:rPr>
                <w:sz w:val="24"/>
              </w:rPr>
            </w:pPr>
            <w:r>
              <w:rPr>
                <w:sz w:val="24"/>
              </w:rPr>
              <w:t>具有高级技术职称人数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4824" w:type="dxa"/>
            <w:gridSpan w:val="3"/>
            <w:vAlign w:val="center"/>
          </w:tcPr>
          <w:p>
            <w:pPr>
              <w:autoSpaceDE w:val="0"/>
              <w:autoSpaceDN w:val="0"/>
              <w:adjustRightInd w:val="0"/>
              <w:spacing w:line="360" w:lineRule="auto"/>
              <w:jc w:val="center"/>
              <w:rPr>
                <w:sz w:val="24"/>
              </w:rPr>
            </w:pPr>
            <w:r>
              <w:rPr>
                <w:sz w:val="24"/>
              </w:rPr>
              <w:t>其他人员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962" w:type="dxa"/>
            <w:gridSpan w:val="5"/>
            <w:tcBorders>
              <w:left w:val="single" w:color="auto" w:sz="12" w:space="0"/>
              <w:bottom w:val="single" w:color="auto" w:sz="12" w:space="0"/>
              <w:right w:val="single" w:color="auto" w:sz="12" w:space="0"/>
            </w:tcBorders>
          </w:tcPr>
          <w:p>
            <w:pPr>
              <w:autoSpaceDE w:val="0"/>
              <w:autoSpaceDN w:val="0"/>
              <w:adjustRightInd w:val="0"/>
              <w:spacing w:line="624" w:lineRule="exact"/>
              <w:rPr>
                <w:sz w:val="24"/>
              </w:rPr>
            </w:pPr>
            <w:r>
              <w:rPr>
                <w:sz w:val="24"/>
              </w:rPr>
              <w:t>其他需要说明的情况：</w:t>
            </w:r>
          </w:p>
        </w:tc>
      </w:tr>
    </w:tbl>
    <w:p>
      <w:pPr>
        <w:autoSpaceDE w:val="0"/>
        <w:autoSpaceDN w:val="0"/>
        <w:adjustRightInd w:val="0"/>
        <w:spacing w:line="400" w:lineRule="exact"/>
        <w:rPr>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 xml:space="preserve">（签字或盖章）           </w:t>
      </w:r>
      <w:bookmarkStart w:id="64" w:name="OLE_LINK8"/>
    </w:p>
    <w:p>
      <w:pPr>
        <w:adjustRightInd w:val="0"/>
        <w:snapToGrid w:val="0"/>
        <w:spacing w:line="480" w:lineRule="auto"/>
        <w:rPr>
          <w:sz w:val="24"/>
        </w:rPr>
      </w:pPr>
      <w:r>
        <w:rPr>
          <w:bCs/>
          <w:sz w:val="24"/>
        </w:rPr>
        <w:t>日</w:t>
      </w:r>
      <w:r>
        <w:rPr>
          <w:rFonts w:hint="eastAsia"/>
          <w:bCs/>
          <w:sz w:val="24"/>
        </w:rPr>
        <w:t xml:space="preserve">  </w:t>
      </w:r>
      <w:r>
        <w:rPr>
          <w:bCs/>
          <w:sz w:val="24"/>
        </w:rPr>
        <w:t>期：</w:t>
      </w:r>
      <w:bookmarkEnd w:id="64"/>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r>
        <w:rPr>
          <w:sz w:val="24"/>
        </w:rPr>
        <w:br w:type="page"/>
      </w:r>
    </w:p>
    <w:p>
      <w:pPr>
        <w:adjustRightInd w:val="0"/>
        <w:snapToGrid w:val="0"/>
        <w:spacing w:line="324" w:lineRule="auto"/>
        <w:rPr>
          <w:rFonts w:hAnsi="宋体"/>
          <w:b/>
          <w:sz w:val="24"/>
        </w:rPr>
      </w:pPr>
      <w:r>
        <w:rPr>
          <w:rFonts w:hint="eastAsia" w:ascii="宋体" w:hAnsi="宋体" w:cs="宋体"/>
          <w:sz w:val="24"/>
        </w:rPr>
        <w:t xml:space="preserve">附件4-1 </w:t>
      </w:r>
      <w:r>
        <w:rPr>
          <w:rFonts w:hint="eastAsia" w:hAnsi="宋体"/>
          <w:b/>
          <w:sz w:val="24"/>
        </w:rPr>
        <w:t>：</w:t>
      </w:r>
    </w:p>
    <w:p>
      <w:pPr>
        <w:spacing w:before="100" w:beforeAutospacing="1" w:after="156" w:afterLines="50"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中小企业声明函</w:t>
      </w:r>
    </w:p>
    <w:p>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本公司郑重声明，根据《政府采购促进中小企业发展管理办法》（财库﹝2020﹞46 号）的规定，本公司参加</w:t>
      </w:r>
      <w:r>
        <w:rPr>
          <w:rFonts w:hint="eastAsia" w:ascii="宋体" w:hAnsi="宋体" w:cs="宋体"/>
          <w:i/>
          <w:sz w:val="24"/>
          <w:u w:val="single"/>
        </w:rPr>
        <w:t>（单位名称</w:t>
      </w:r>
      <w:r>
        <w:rPr>
          <w:rFonts w:hint="eastAsia" w:ascii="宋体" w:hAnsi="宋体" w:cs="宋体"/>
          <w:sz w:val="24"/>
          <w:u w:val="single"/>
        </w:rPr>
        <w:t>）</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（标的名称）</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，从业人员______人，营业收入为____万元，资产总额为____万元，属于</w:t>
      </w:r>
      <w:r>
        <w:rPr>
          <w:rFonts w:hint="eastAsia" w:ascii="宋体" w:hAnsi="宋体" w:cs="宋体"/>
          <w:i/>
          <w:sz w:val="24"/>
          <w:u w:val="single"/>
        </w:rPr>
        <w:t>（中型企业、 小型企业、微型企业）</w:t>
      </w:r>
      <w:r>
        <w:rPr>
          <w:rFonts w:hint="eastAsia" w:ascii="宋体" w:hAnsi="宋体" w:cs="宋体"/>
          <w:sz w:val="24"/>
        </w:rPr>
        <w:t xml:space="preserve">； </w:t>
      </w:r>
    </w:p>
    <w:p>
      <w:pPr>
        <w:numPr>
          <w:ilvl w:val="0"/>
          <w:numId w:val="6"/>
        </w:numPr>
        <w:spacing w:line="360" w:lineRule="auto"/>
        <w:ind w:firstLine="480" w:firstLineChars="200"/>
        <w:rPr>
          <w:rFonts w:ascii="宋体" w:hAnsi="宋体" w:cs="宋体"/>
          <w:sz w:val="24"/>
        </w:rPr>
      </w:pPr>
      <w:r>
        <w:rPr>
          <w:rFonts w:hint="eastAsia" w:ascii="宋体" w:hAnsi="宋体" w:cs="宋体"/>
          <w:i/>
          <w:sz w:val="24"/>
          <w:u w:val="single"/>
        </w:rPr>
        <w:t xml:space="preserve">（标的名称）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，从业人员_____人，营业 收入为_____万元，资产总额为____万元，属于</w:t>
      </w:r>
      <w:r>
        <w:rPr>
          <w:rFonts w:hint="eastAsia" w:ascii="宋体" w:hAnsi="宋体" w:cs="宋体"/>
          <w:i/>
          <w:sz w:val="24"/>
          <w:u w:val="single"/>
        </w:rPr>
        <w:t>（中型企业、 小型企业、微型企业）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 </w:t>
      </w:r>
    </w:p>
    <w:p>
      <w:pPr>
        <w:spacing w:line="360" w:lineRule="auto"/>
        <w:ind w:firstLine="480" w:firstLineChars="200"/>
        <w:rPr>
          <w:rFonts w:ascii="宋体" w:hAnsi="宋体" w:cs="宋体"/>
          <w:sz w:val="24"/>
        </w:rPr>
      </w:pPr>
      <w:r>
        <w:rPr>
          <w:rFonts w:hint="eastAsia" w:ascii="宋体" w:hAnsi="宋体" w:cs="宋体"/>
          <w:sz w:val="24"/>
        </w:rPr>
        <w:t xml:space="preserve">以上企业，不属于大企业的分支机构，不存在控股股东 为大企业的情形，也不存在与大企业的负责人为同一人的情形。 </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 法承担相应责任。</w:t>
      </w:r>
    </w:p>
    <w:p>
      <w:pPr>
        <w:pStyle w:val="2"/>
      </w:pPr>
    </w:p>
    <w:p>
      <w:pPr>
        <w:spacing w:line="500" w:lineRule="exact"/>
        <w:ind w:firstLine="3840" w:firstLineChars="1600"/>
        <w:rPr>
          <w:rFonts w:ascii="宋体" w:hAnsi="宋体" w:cs="宋体"/>
          <w:color w:val="FFFFFF"/>
          <w:sz w:val="24"/>
          <w:u w:val="single" w:color="000000"/>
        </w:rPr>
      </w:pPr>
      <w:r>
        <w:rPr>
          <w:rFonts w:hint="eastAsia" w:ascii="宋体" w:hAnsi="宋体" w:cs="宋体"/>
          <w:sz w:val="24"/>
        </w:rPr>
        <w:t>企业名称（盖章）：</w:t>
      </w:r>
      <w:r>
        <w:rPr>
          <w:rFonts w:hint="eastAsia" w:ascii="宋体" w:hAnsi="宋体" w:cs="宋体"/>
          <w:color w:val="FFFFFF"/>
          <w:sz w:val="24"/>
          <w:u w:val="single" w:color="000000"/>
        </w:rPr>
        <w:t>________________</w:t>
      </w:r>
    </w:p>
    <w:p>
      <w:pPr>
        <w:pStyle w:val="2"/>
      </w:pPr>
    </w:p>
    <w:p>
      <w:pPr>
        <w:spacing w:line="500" w:lineRule="exact"/>
        <w:ind w:firstLine="3840" w:firstLineChars="1600"/>
        <w:rPr>
          <w:rFonts w:ascii="宋体" w:hAnsi="宋体" w:cs="宋体"/>
          <w:sz w:val="24"/>
        </w:rPr>
      </w:pPr>
      <w:r>
        <w:rPr>
          <w:rFonts w:hint="eastAsia" w:ascii="宋体" w:hAnsi="宋体" w:cs="宋体"/>
          <w:sz w:val="24"/>
        </w:rPr>
        <w:t>日  期：__________________________</w:t>
      </w:r>
    </w:p>
    <w:p>
      <w:pPr>
        <w:pStyle w:val="17"/>
      </w:pPr>
    </w:p>
    <w:p/>
    <w:p>
      <w:pPr>
        <w:pStyle w:val="17"/>
      </w:pPr>
    </w:p>
    <w:p>
      <w:pPr>
        <w:pStyle w:val="17"/>
      </w:pPr>
    </w:p>
    <w:p>
      <w:pPr>
        <w:pStyle w:val="2"/>
        <w:spacing w:line="360" w:lineRule="auto"/>
        <w:ind w:firstLine="360" w:firstLineChars="150"/>
        <w:rPr>
          <w:rFonts w:ascii="宋体" w:hAnsi="宋体" w:cs="宋体"/>
          <w:sz w:val="24"/>
        </w:rPr>
      </w:pPr>
      <w:r>
        <w:rPr>
          <w:rFonts w:hint="eastAsia" w:ascii="宋体" w:hAnsi="宋体" w:cs="宋体"/>
          <w:sz w:val="24"/>
        </w:rPr>
        <w:t>从业人员、营业收入、资产总额填报上一年度数据，无上一年度数据的新成立企业可不填报。</w:t>
      </w:r>
    </w:p>
    <w:p>
      <w:pPr>
        <w:widowControl/>
        <w:jc w:val="left"/>
        <w:rPr>
          <w:rFonts w:ascii="宋体" w:hAnsi="宋体" w:cs="宋体"/>
          <w:sz w:val="24"/>
        </w:rPr>
      </w:pPr>
      <w:r>
        <w:rPr>
          <w:rFonts w:ascii="宋体" w:hAnsi="宋体" w:cs="宋体"/>
          <w:sz w:val="24"/>
        </w:rPr>
        <w:br w:type="page"/>
      </w:r>
    </w:p>
    <w:p>
      <w:pPr>
        <w:pStyle w:val="2"/>
        <w:ind w:firstLine="0" w:firstLineChars="0"/>
        <w:rPr>
          <w:rFonts w:hAnsi="宋体"/>
          <w:b/>
          <w:sz w:val="24"/>
        </w:rPr>
      </w:pPr>
      <w:r>
        <w:rPr>
          <w:rFonts w:hint="eastAsia" w:ascii="宋体" w:hAnsi="宋体" w:cs="宋体"/>
          <w:sz w:val="24"/>
        </w:rPr>
        <w:t>附件4-2</w:t>
      </w:r>
      <w:r>
        <w:rPr>
          <w:sz w:val="24"/>
        </w:rPr>
        <w:t xml:space="preserve"> </w:t>
      </w:r>
      <w:r>
        <w:rPr>
          <w:rFonts w:hint="eastAsia" w:hAnsi="宋体"/>
          <w:b/>
          <w:sz w:val="24"/>
        </w:rPr>
        <w:t>（如有）：</w:t>
      </w:r>
    </w:p>
    <w:p>
      <w:pPr>
        <w:spacing w:line="600" w:lineRule="exact"/>
        <w:jc w:val="center"/>
        <w:rPr>
          <w:rFonts w:hAnsi="宋体"/>
          <w:b/>
          <w:sz w:val="28"/>
          <w:szCs w:val="28"/>
        </w:rPr>
      </w:pPr>
      <w:r>
        <w:rPr>
          <w:rFonts w:hint="eastAsia" w:hAnsi="宋体"/>
          <w:b/>
          <w:sz w:val="28"/>
          <w:szCs w:val="28"/>
        </w:rPr>
        <w:t>投标产品属</w:t>
      </w:r>
      <w:r>
        <w:rPr>
          <w:rFonts w:hAnsi="宋体"/>
          <w:b/>
          <w:sz w:val="28"/>
          <w:szCs w:val="28"/>
        </w:rPr>
        <w:t>节能</w:t>
      </w:r>
      <w:r>
        <w:rPr>
          <w:rFonts w:hint="eastAsia" w:hAnsi="宋体"/>
          <w:b/>
          <w:sz w:val="28"/>
          <w:szCs w:val="28"/>
        </w:rPr>
        <w:t>、环境标志</w:t>
      </w:r>
      <w:r>
        <w:rPr>
          <w:rFonts w:hAnsi="宋体"/>
          <w:b/>
          <w:sz w:val="28"/>
          <w:szCs w:val="28"/>
        </w:rPr>
        <w:t>产品</w:t>
      </w:r>
      <w:r>
        <w:rPr>
          <w:rFonts w:hint="eastAsia" w:hAnsi="宋体"/>
          <w:b/>
          <w:sz w:val="28"/>
          <w:szCs w:val="28"/>
        </w:rPr>
        <w:t>列表</w:t>
      </w:r>
    </w:p>
    <w:p>
      <w:pPr>
        <w:spacing w:line="6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48"/>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单价（元）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总价（元）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保留小数点后两位。</w:t>
            </w:r>
          </w:p>
        </w:tc>
      </w:tr>
    </w:tbl>
    <w:p>
      <w:pPr>
        <w:adjustRightInd w:val="0"/>
        <w:snapToGrid w:val="0"/>
        <w:spacing w:line="360" w:lineRule="auto"/>
        <w:rPr>
          <w:rFonts w:asciiTheme="minorEastAsia" w:hAnsiTheme="minorEastAsia" w:eastAsiaTheme="minorEastAsia" w:cstheme="minorEastAsia"/>
          <w:color w:val="000000"/>
          <w:sz w:val="24"/>
        </w:rPr>
      </w:pPr>
    </w:p>
    <w:p>
      <w:pPr>
        <w:adjustRightInd w:val="0"/>
        <w:snapToGrid w:val="0"/>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说明：1、投标人提供的产品属于《节能产品政府采购清单》中节能产品，《环境标志产品政府采购清单》中环境标志产品，应按招标文件要求提供相关证明材料。</w:t>
      </w:r>
    </w:p>
    <w:p>
      <w:pPr>
        <w:pStyle w:val="200"/>
        <w:widowControl w:val="0"/>
        <w:tabs>
          <w:tab w:val="left" w:pos="360"/>
        </w:tabs>
        <w:spacing w:line="360" w:lineRule="auto"/>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Cs/>
          <w:color w:val="000000"/>
          <w:sz w:val="24"/>
          <w:szCs w:val="24"/>
          <w:lang w:eastAsia="zh-CN"/>
        </w:rPr>
        <w:t>2、未按上述要求提供、</w:t>
      </w:r>
      <w:r>
        <w:rPr>
          <w:rFonts w:hint="eastAsia" w:asciiTheme="minorEastAsia" w:hAnsiTheme="minorEastAsia" w:eastAsiaTheme="minorEastAsia" w:cstheme="minorEastAsia"/>
          <w:color w:val="000000"/>
          <w:sz w:val="24"/>
          <w:szCs w:val="24"/>
          <w:lang w:eastAsia="zh-CN"/>
        </w:rPr>
        <w:t>填写</w:t>
      </w:r>
      <w:r>
        <w:rPr>
          <w:rFonts w:hint="eastAsia" w:asciiTheme="minorEastAsia" w:hAnsiTheme="minorEastAsia" w:eastAsiaTheme="minorEastAsia" w:cstheme="minorEastAsia"/>
          <w:bCs/>
          <w:color w:val="000000"/>
          <w:sz w:val="24"/>
          <w:szCs w:val="24"/>
          <w:lang w:eastAsia="zh-CN"/>
        </w:rPr>
        <w:t>的，评标时不予以考虑。</w:t>
      </w:r>
    </w:p>
    <w:p>
      <w:pPr>
        <w:pStyle w:val="2"/>
        <w:ind w:firstLine="0" w:firstLineChars="0"/>
        <w:rPr>
          <w:rFonts w:asciiTheme="minorEastAsia" w:hAnsiTheme="minorEastAsia" w:eastAsiaTheme="minorEastAsia" w:cstheme="minorEastAsia"/>
          <w:b/>
          <w:sz w:val="24"/>
        </w:rPr>
      </w:pPr>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2"/>
        <w:ind w:firstLine="0" w:firstLineChars="0"/>
        <w:rPr>
          <w:sz w:val="24"/>
        </w:rPr>
      </w:pPr>
    </w:p>
    <w:p>
      <w:pPr>
        <w:pStyle w:val="2"/>
        <w:ind w:firstLine="0" w:firstLineChars="0"/>
        <w:rPr>
          <w:sz w:val="24"/>
        </w:rPr>
      </w:pPr>
    </w:p>
    <w:p>
      <w:pPr>
        <w:pStyle w:val="2"/>
        <w:ind w:firstLine="0" w:firstLineChars="0"/>
        <w:rPr>
          <w:sz w:val="24"/>
        </w:rPr>
      </w:pPr>
    </w:p>
    <w:p>
      <w:pPr>
        <w:pStyle w:val="2"/>
        <w:ind w:firstLine="0" w:firstLineChars="0"/>
        <w:rPr>
          <w:rFonts w:hAnsi="宋体"/>
          <w:b/>
          <w:sz w:val="24"/>
        </w:rPr>
      </w:pPr>
      <w:r>
        <w:rPr>
          <w:sz w:val="24"/>
        </w:rPr>
        <w:t>附件4-</w:t>
      </w:r>
      <w:r>
        <w:rPr>
          <w:rFonts w:hint="eastAsia"/>
          <w:sz w:val="24"/>
        </w:rPr>
        <w:t>3</w:t>
      </w:r>
      <w:r>
        <w:rPr>
          <w:sz w:val="24"/>
        </w:rPr>
        <w:t xml:space="preserve"> </w:t>
      </w:r>
      <w:r>
        <w:rPr>
          <w:rFonts w:hint="eastAsia" w:hAnsi="宋体"/>
          <w:b/>
          <w:sz w:val="24"/>
        </w:rPr>
        <w:t>（如有）：</w:t>
      </w:r>
    </w:p>
    <w:p>
      <w:pPr>
        <w:spacing w:line="588" w:lineRule="exact"/>
        <w:jc w:val="center"/>
        <w:rPr>
          <w:rFonts w:ascii="宋体" w:hAnsi="宋体" w:cs="宋体"/>
          <w:b/>
          <w:spacing w:val="6"/>
          <w:sz w:val="32"/>
          <w:szCs w:val="32"/>
        </w:rPr>
      </w:pPr>
      <w:bookmarkStart w:id="65" w:name="OLE_LINK13"/>
      <w:bookmarkStart w:id="66" w:name="OLE_LINK14"/>
      <w:r>
        <w:rPr>
          <w:rFonts w:hint="eastAsia" w:ascii="宋体" w:hAnsi="宋体" w:cs="宋体"/>
          <w:b/>
          <w:spacing w:val="6"/>
          <w:sz w:val="32"/>
          <w:szCs w:val="32"/>
        </w:rPr>
        <w:t>残疾人福利性单位声明函</w:t>
      </w:r>
    </w:p>
    <w:bookmarkEnd w:id="65"/>
    <w:bookmarkEnd w:id="6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pStyle w:val="17"/>
      </w:pPr>
    </w:p>
    <w:p/>
    <w:p>
      <w:pPr>
        <w:pStyle w:val="17"/>
      </w:pPr>
    </w:p>
    <w:p/>
    <w:p>
      <w:pPr>
        <w:pStyle w:val="17"/>
      </w:pPr>
    </w:p>
    <w:p/>
    <w:p>
      <w:pPr>
        <w:pStyle w:val="17"/>
      </w:pPr>
    </w:p>
    <w:p/>
    <w:p>
      <w:pPr>
        <w:pStyle w:val="17"/>
      </w:pPr>
    </w:p>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p>
    <w:p>
      <w:pPr>
        <w:widowControl/>
        <w:rPr>
          <w:sz w:val="24"/>
        </w:rPr>
      </w:pPr>
    </w:p>
    <w:p>
      <w:pPr>
        <w:autoSpaceDE w:val="0"/>
        <w:autoSpaceDN w:val="0"/>
        <w:adjustRightInd w:val="0"/>
        <w:snapToGrid w:val="0"/>
        <w:spacing w:after="156" w:afterLines="50" w:line="360" w:lineRule="auto"/>
        <w:jc w:val="center"/>
        <w:rPr>
          <w:b/>
          <w:sz w:val="24"/>
        </w:rPr>
      </w:pPr>
      <w:r>
        <w:rPr>
          <w:sz w:val="24"/>
        </w:rPr>
        <w:br w:type="page"/>
      </w:r>
      <w:r>
        <w:rPr>
          <w:b/>
          <w:bCs/>
          <w:sz w:val="30"/>
          <w:szCs w:val="30"/>
        </w:rPr>
        <w:t>五、商务条款偏离表</w:t>
      </w:r>
    </w:p>
    <w:tbl>
      <w:tblPr>
        <w:tblStyle w:val="48"/>
        <w:tblpPr w:leftFromText="180" w:rightFromText="180" w:vertAnchor="text" w:horzAnchor="margin" w:tblpX="108" w:tblpY="2"/>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68"/>
        <w:gridCol w:w="2426"/>
        <w:gridCol w:w="2412"/>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47" w:type="dxa"/>
            <w:tcBorders>
              <w:top w:val="single" w:color="auto" w:sz="12" w:space="0"/>
              <w:left w:val="single" w:color="auto" w:sz="12" w:space="0"/>
            </w:tcBorders>
            <w:vAlign w:val="center"/>
          </w:tcPr>
          <w:p>
            <w:pPr>
              <w:autoSpaceDE w:val="0"/>
              <w:autoSpaceDN w:val="0"/>
              <w:adjustRightInd w:val="0"/>
              <w:jc w:val="center"/>
              <w:rPr>
                <w:sz w:val="24"/>
              </w:rPr>
            </w:pPr>
            <w:r>
              <w:rPr>
                <w:sz w:val="24"/>
              </w:rPr>
              <w:t>序号</w:t>
            </w:r>
          </w:p>
        </w:tc>
        <w:tc>
          <w:tcPr>
            <w:tcW w:w="1368" w:type="dxa"/>
            <w:tcBorders>
              <w:top w:val="single" w:color="auto" w:sz="12" w:space="0"/>
            </w:tcBorders>
            <w:vAlign w:val="center"/>
          </w:tcPr>
          <w:p>
            <w:pPr>
              <w:autoSpaceDE w:val="0"/>
              <w:autoSpaceDN w:val="0"/>
              <w:adjustRightInd w:val="0"/>
              <w:jc w:val="center"/>
              <w:rPr>
                <w:sz w:val="24"/>
              </w:rPr>
            </w:pPr>
            <w:r>
              <w:rPr>
                <w:sz w:val="24"/>
              </w:rPr>
              <w:t>商务条款</w:t>
            </w:r>
          </w:p>
        </w:tc>
        <w:tc>
          <w:tcPr>
            <w:tcW w:w="2426" w:type="dxa"/>
            <w:tcBorders>
              <w:top w:val="single" w:color="auto" w:sz="12" w:space="0"/>
            </w:tcBorders>
            <w:vAlign w:val="center"/>
          </w:tcPr>
          <w:p>
            <w:pPr>
              <w:autoSpaceDE w:val="0"/>
              <w:autoSpaceDN w:val="0"/>
              <w:adjustRightInd w:val="0"/>
              <w:jc w:val="center"/>
              <w:rPr>
                <w:sz w:val="24"/>
              </w:rPr>
            </w:pPr>
            <w:r>
              <w:rPr>
                <w:sz w:val="24"/>
              </w:rPr>
              <w:t>磋商文件的商务要求</w:t>
            </w:r>
          </w:p>
        </w:tc>
        <w:tc>
          <w:tcPr>
            <w:tcW w:w="2412" w:type="dxa"/>
            <w:tcBorders>
              <w:top w:val="single" w:color="auto" w:sz="12" w:space="0"/>
            </w:tcBorders>
            <w:vAlign w:val="center"/>
          </w:tcPr>
          <w:p>
            <w:pPr>
              <w:autoSpaceDE w:val="0"/>
              <w:autoSpaceDN w:val="0"/>
              <w:adjustRightInd w:val="0"/>
              <w:jc w:val="center"/>
              <w:rPr>
                <w:sz w:val="24"/>
              </w:rPr>
            </w:pPr>
            <w:r>
              <w:rPr>
                <w:sz w:val="24"/>
              </w:rPr>
              <w:t>响应文件的商务响应</w:t>
            </w:r>
          </w:p>
        </w:tc>
        <w:tc>
          <w:tcPr>
            <w:tcW w:w="2074" w:type="dxa"/>
            <w:tcBorders>
              <w:top w:val="single" w:color="auto" w:sz="12" w:space="0"/>
              <w:right w:val="single" w:color="auto" w:sz="12" w:space="0"/>
            </w:tcBorders>
            <w:vAlign w:val="center"/>
          </w:tcPr>
          <w:p>
            <w:pPr>
              <w:autoSpaceDE w:val="0"/>
              <w:autoSpaceDN w:val="0"/>
              <w:adjustRightInd w:val="0"/>
              <w:jc w:val="center"/>
              <w:rPr>
                <w:sz w:val="24"/>
              </w:rPr>
            </w:pPr>
            <w:r>
              <w:rPr>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7" w:type="dxa"/>
            <w:tcBorders>
              <w:left w:val="single" w:color="auto" w:sz="12" w:space="0"/>
              <w:bottom w:val="single" w:color="auto" w:sz="12" w:space="0"/>
            </w:tcBorders>
          </w:tcPr>
          <w:p>
            <w:pPr>
              <w:rPr>
                <w:sz w:val="24"/>
              </w:rPr>
            </w:pPr>
          </w:p>
        </w:tc>
        <w:tc>
          <w:tcPr>
            <w:tcW w:w="1368" w:type="dxa"/>
            <w:tcBorders>
              <w:bottom w:val="single" w:color="auto" w:sz="12" w:space="0"/>
            </w:tcBorders>
          </w:tcPr>
          <w:p>
            <w:pPr>
              <w:rPr>
                <w:sz w:val="24"/>
              </w:rPr>
            </w:pPr>
          </w:p>
        </w:tc>
        <w:tc>
          <w:tcPr>
            <w:tcW w:w="2426" w:type="dxa"/>
            <w:tcBorders>
              <w:bottom w:val="single" w:color="auto" w:sz="12" w:space="0"/>
            </w:tcBorders>
          </w:tcPr>
          <w:p>
            <w:pPr>
              <w:rPr>
                <w:sz w:val="24"/>
              </w:rPr>
            </w:pPr>
          </w:p>
        </w:tc>
        <w:tc>
          <w:tcPr>
            <w:tcW w:w="2412" w:type="dxa"/>
            <w:tcBorders>
              <w:bottom w:val="single" w:color="auto" w:sz="12" w:space="0"/>
            </w:tcBorders>
          </w:tcPr>
          <w:p>
            <w:pPr>
              <w:rPr>
                <w:sz w:val="24"/>
              </w:rPr>
            </w:pPr>
          </w:p>
        </w:tc>
        <w:tc>
          <w:tcPr>
            <w:tcW w:w="2074" w:type="dxa"/>
            <w:tcBorders>
              <w:bottom w:val="single" w:color="auto" w:sz="12" w:space="0"/>
              <w:right w:val="single" w:color="auto" w:sz="12" w:space="0"/>
            </w:tcBorders>
          </w:tcPr>
          <w:p>
            <w:pPr>
              <w:rPr>
                <w:sz w:val="24"/>
              </w:rPr>
            </w:pPr>
          </w:p>
        </w:tc>
      </w:tr>
    </w:tbl>
    <w:p>
      <w:pPr>
        <w:autoSpaceDE w:val="0"/>
        <w:autoSpaceDN w:val="0"/>
        <w:adjustRightInd w:val="0"/>
        <w:spacing w:line="400" w:lineRule="exact"/>
        <w:rPr>
          <w:sz w:val="24"/>
          <w:lang w:val="zh-TW"/>
        </w:rPr>
      </w:pPr>
      <w:r>
        <w:rPr>
          <w:sz w:val="24"/>
          <w:lang w:val="zh-TW" w:eastAsia="zh-TW"/>
        </w:rPr>
        <w:t>注：</w:t>
      </w:r>
      <w:r>
        <w:rPr>
          <w:sz w:val="24"/>
        </w:rPr>
        <w:t>1、</w:t>
      </w:r>
      <w:r>
        <w:rPr>
          <w:sz w:val="24"/>
          <w:lang w:val="zh-TW"/>
        </w:rPr>
        <w:t>偏离</w:t>
      </w:r>
      <w:r>
        <w:rPr>
          <w:sz w:val="24"/>
          <w:lang w:val="zh-TW" w:eastAsia="zh-TW"/>
        </w:rPr>
        <w:t>说明填写：优于、相同、低于</w:t>
      </w:r>
      <w:r>
        <w:rPr>
          <w:sz w:val="24"/>
          <w:lang w:val="zh-TW"/>
        </w:rPr>
        <w:t>。</w:t>
      </w:r>
    </w:p>
    <w:p>
      <w:pPr>
        <w:pStyle w:val="2"/>
        <w:ind w:firstLine="480"/>
        <w:rPr>
          <w:sz w:val="24"/>
          <w:lang w:val="zh-TW"/>
        </w:rPr>
      </w:pPr>
    </w:p>
    <w:p>
      <w:pPr>
        <w:pStyle w:val="2"/>
        <w:ind w:firstLine="480"/>
        <w:rPr>
          <w:sz w:val="24"/>
          <w:lang w:val="zh-TW"/>
        </w:rPr>
      </w:pPr>
    </w:p>
    <w:p>
      <w:pPr>
        <w:pStyle w:val="2"/>
        <w:ind w:firstLine="480"/>
        <w:rPr>
          <w:sz w:val="24"/>
          <w:lang w:val="zh-TW"/>
        </w:rPr>
      </w:pPr>
    </w:p>
    <w:p>
      <w:pPr>
        <w:pStyle w:val="2"/>
        <w:ind w:firstLine="480"/>
        <w:rPr>
          <w:sz w:val="24"/>
          <w:lang w:val="zh-TW"/>
        </w:rPr>
      </w:pPr>
    </w:p>
    <w:p>
      <w:pPr>
        <w:spacing w:line="720" w:lineRule="auto"/>
        <w:rPr>
          <w:bCs/>
          <w:sz w:val="24"/>
        </w:rPr>
      </w:pPr>
      <w:r>
        <w:rPr>
          <w:rFonts w:hint="eastAsia"/>
          <w:bCs/>
          <w:sz w:val="24"/>
        </w:rPr>
        <w:t>磋商响应单位</w:t>
      </w:r>
      <w:r>
        <w:rPr>
          <w:bCs/>
          <w:sz w:val="24"/>
        </w:rPr>
        <w:t>名称：</w:t>
      </w:r>
      <w:r>
        <w:rPr>
          <w:rFonts w:hint="eastAsia"/>
          <w:bCs/>
          <w:sz w:val="24"/>
          <w:u w:val="single"/>
        </w:rPr>
        <w:t>　　　　　　　　　　　　　　　　　　</w:t>
      </w:r>
      <w:r>
        <w:rPr>
          <w:bCs/>
          <w:sz w:val="24"/>
        </w:rPr>
        <w:t>（公章）</w:t>
      </w:r>
    </w:p>
    <w:p>
      <w:pPr>
        <w:spacing w:line="720" w:lineRule="auto"/>
        <w:rPr>
          <w:sz w:val="24"/>
        </w:rPr>
      </w:pPr>
      <w:r>
        <w:rPr>
          <w:bCs/>
          <w:sz w:val="24"/>
        </w:rPr>
        <w:t>法定代表人或授权代表人：</w:t>
      </w:r>
      <w:r>
        <w:rPr>
          <w:rFonts w:hint="eastAsia"/>
          <w:bCs/>
          <w:sz w:val="24"/>
          <w:u w:val="single"/>
        </w:rPr>
        <w:t>　　　　　　　　　　</w:t>
      </w:r>
      <w:r>
        <w:rPr>
          <w:sz w:val="24"/>
        </w:rPr>
        <w:t xml:space="preserve">（签字或盖章）           </w:t>
      </w:r>
    </w:p>
    <w:p>
      <w:pPr>
        <w:adjustRightInd w:val="0"/>
        <w:snapToGrid w:val="0"/>
        <w:spacing w:line="480" w:lineRule="auto"/>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widowControl/>
        <w:jc w:val="left"/>
        <w:rPr>
          <w:b/>
          <w:bCs/>
          <w:sz w:val="30"/>
          <w:szCs w:val="30"/>
        </w:rPr>
      </w:pPr>
      <w:r>
        <w:rPr>
          <w:b/>
          <w:bCs/>
          <w:sz w:val="30"/>
          <w:szCs w:val="30"/>
        </w:rPr>
        <w:br w:type="page"/>
      </w:r>
    </w:p>
    <w:p>
      <w:pPr>
        <w:autoSpaceDE w:val="0"/>
        <w:autoSpaceDN w:val="0"/>
        <w:adjustRightInd w:val="0"/>
        <w:spacing w:line="360" w:lineRule="auto"/>
        <w:jc w:val="center"/>
        <w:rPr>
          <w:b/>
          <w:bCs/>
          <w:sz w:val="30"/>
          <w:szCs w:val="30"/>
        </w:rPr>
      </w:pPr>
      <w:r>
        <w:rPr>
          <w:b/>
          <w:bCs/>
          <w:sz w:val="30"/>
          <w:szCs w:val="30"/>
        </w:rPr>
        <w:t>六、业绩</w:t>
      </w:r>
    </w:p>
    <w:tbl>
      <w:tblPr>
        <w:tblStyle w:val="4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sz w:val="24"/>
              </w:rPr>
            </w:pPr>
            <w:r>
              <w:rPr>
                <w:sz w:val="24"/>
              </w:rPr>
              <w:t>项目名称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sz w:val="24"/>
              </w:rPr>
            </w:pPr>
            <w:r>
              <w:rPr>
                <w:sz w:val="24"/>
              </w:rPr>
              <w:t>项目所在地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sz w:val="24"/>
              </w:rPr>
            </w:pPr>
            <w:r>
              <w:rPr>
                <w:sz w:val="24"/>
              </w:rPr>
              <w:t>发包人名称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sz w:val="24"/>
              </w:rPr>
            </w:pPr>
            <w:r>
              <w:rPr>
                <w:sz w:val="24"/>
              </w:rPr>
              <w:t>发包人地址</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sz w:val="24"/>
              </w:rPr>
            </w:pPr>
            <w:r>
              <w:rPr>
                <w:sz w:val="24"/>
              </w:rPr>
              <w:t>发包人电话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合同价格</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开工日期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sz w:val="24"/>
              </w:rPr>
            </w:pPr>
            <w:r>
              <w:rPr>
                <w:sz w:val="24"/>
              </w:rPr>
              <w:t>竣工日期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sz w:val="24"/>
              </w:rPr>
            </w:pPr>
            <w:r>
              <w:rPr>
                <w:sz w:val="24"/>
              </w:rPr>
              <w:t>承担的工作</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sz w:val="24"/>
              </w:rPr>
            </w:pPr>
            <w:r>
              <w:rPr>
                <w:sz w:val="24"/>
              </w:rPr>
              <w:t>工程质量</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sz w:val="24"/>
              </w:rPr>
            </w:pPr>
            <w:r>
              <w:rPr>
                <w:sz w:val="24"/>
              </w:rPr>
              <w:t>项目经理</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sz w:val="24"/>
              </w:rPr>
            </w:pPr>
            <w:r>
              <w:rPr>
                <w:rFonts w:hint="eastAsia"/>
                <w:sz w:val="24"/>
              </w:rPr>
              <w:t>项目</w:t>
            </w:r>
            <w:r>
              <w:rPr>
                <w:sz w:val="24"/>
              </w:rPr>
              <w:t>技术负责人</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项目总工程师及电话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项目描述</w:t>
            </w:r>
          </w:p>
        </w:tc>
        <w:tc>
          <w:tcPr>
            <w:tcW w:w="6479"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269"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备注</w:t>
            </w:r>
          </w:p>
        </w:tc>
        <w:tc>
          <w:tcPr>
            <w:tcW w:w="6479" w:type="dxa"/>
            <w:vAlign w:val="center"/>
          </w:tcPr>
          <w:p>
            <w:pPr>
              <w:rPr>
                <w:rFonts w:asciiTheme="minorEastAsia" w:hAnsiTheme="minorEastAsia" w:eastAsiaTheme="minorEastAsia"/>
                <w:b/>
                <w:bCs/>
                <w:sz w:val="24"/>
              </w:rPr>
            </w:pPr>
            <w:r>
              <w:rPr>
                <w:rFonts w:asciiTheme="minorEastAsia" w:hAnsiTheme="minorEastAsia" w:eastAsiaTheme="minorEastAsia"/>
                <w:b/>
                <w:bCs/>
                <w:sz w:val="24"/>
              </w:rPr>
              <w:t>1.每张表格只填写一个工程项目，并标明表序。</w:t>
            </w:r>
          </w:p>
          <w:p>
            <w:pPr>
              <w:spacing w:line="400" w:lineRule="exact"/>
              <w:ind w:left="241" w:hanging="241" w:hangingChars="100"/>
              <w:rPr>
                <w:rFonts w:asciiTheme="minorEastAsia" w:hAnsiTheme="minorEastAsia" w:eastAsiaTheme="minorEastAsia"/>
                <w:sz w:val="24"/>
              </w:rPr>
            </w:pPr>
            <w:r>
              <w:rPr>
                <w:rFonts w:asciiTheme="minorEastAsia" w:hAnsiTheme="minorEastAsia" w:eastAsiaTheme="minorEastAsia"/>
                <w:b/>
                <w:bCs/>
                <w:sz w:val="24"/>
              </w:rPr>
              <w:t>2.</w:t>
            </w:r>
            <w:r>
              <w:rPr>
                <w:rFonts w:hint="eastAsia" w:asciiTheme="minorEastAsia" w:hAnsiTheme="minorEastAsia" w:eastAsiaTheme="minorEastAsia"/>
                <w:b/>
                <w:bCs/>
                <w:sz w:val="24"/>
                <w:highlight w:val="none"/>
              </w:rPr>
              <w:t>近三年（201</w:t>
            </w:r>
            <w:r>
              <w:rPr>
                <w:rFonts w:hint="eastAsia" w:asciiTheme="minorEastAsia" w:hAnsiTheme="minorEastAsia" w:eastAsiaTheme="minorEastAsia"/>
                <w:b/>
                <w:bCs/>
                <w:sz w:val="24"/>
                <w:highlight w:val="none"/>
                <w:lang w:val="en-US" w:eastAsia="zh-CN"/>
              </w:rPr>
              <w:t>9</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5</w:t>
            </w:r>
            <w:r>
              <w:rPr>
                <w:rFonts w:hint="eastAsia" w:asciiTheme="minorEastAsia" w:hAnsiTheme="minorEastAsia" w:eastAsiaTheme="minorEastAsia"/>
                <w:b/>
                <w:bCs/>
                <w:sz w:val="24"/>
                <w:highlight w:val="none"/>
              </w:rPr>
              <w:t>月至今</w:t>
            </w:r>
            <w:r>
              <w:rPr>
                <w:rFonts w:hint="eastAsia" w:asciiTheme="minorEastAsia" w:hAnsiTheme="minorEastAsia" w:eastAsiaTheme="minorEastAsia"/>
                <w:b/>
                <w:bCs/>
                <w:sz w:val="24"/>
              </w:rPr>
              <w:t>）</w:t>
            </w:r>
            <w:r>
              <w:rPr>
                <w:rFonts w:asciiTheme="minorEastAsia" w:hAnsiTheme="minorEastAsia" w:eastAsiaTheme="minorEastAsia"/>
                <w:b/>
                <w:bCs/>
                <w:sz w:val="24"/>
              </w:rPr>
              <w:t>类似项目业绩须附施工合同</w:t>
            </w:r>
            <w:r>
              <w:rPr>
                <w:rFonts w:hint="eastAsia" w:asciiTheme="minorEastAsia" w:hAnsiTheme="minorEastAsia" w:eastAsiaTheme="minorEastAsia"/>
                <w:b/>
                <w:bCs/>
                <w:sz w:val="24"/>
              </w:rPr>
              <w:t>协议书或</w:t>
            </w:r>
            <w:r>
              <w:rPr>
                <w:rFonts w:asciiTheme="minorEastAsia" w:hAnsiTheme="minorEastAsia" w:eastAsiaTheme="minorEastAsia"/>
                <w:b/>
                <w:bCs/>
                <w:sz w:val="24"/>
              </w:rPr>
              <w:t>中标通知书复印件</w:t>
            </w:r>
            <w:r>
              <w:rPr>
                <w:rFonts w:hint="eastAsia" w:asciiTheme="minorEastAsia" w:hAnsiTheme="minorEastAsia" w:eastAsiaTheme="minorEastAsia"/>
                <w:b/>
                <w:bCs/>
                <w:sz w:val="24"/>
              </w:rPr>
              <w:t>证明资料</w:t>
            </w:r>
            <w:r>
              <w:rPr>
                <w:rFonts w:asciiTheme="minorEastAsia" w:hAnsiTheme="minorEastAsia" w:eastAsiaTheme="minorEastAsia"/>
                <w:b/>
                <w:bCs/>
                <w:sz w:val="24"/>
              </w:rPr>
              <w:t>并加盖单位公章。</w:t>
            </w:r>
          </w:p>
        </w:tc>
      </w:tr>
    </w:tbl>
    <w:p>
      <w:pPr>
        <w:autoSpaceDE w:val="0"/>
        <w:autoSpaceDN w:val="0"/>
        <w:adjustRightInd w:val="0"/>
        <w:spacing w:line="360" w:lineRule="auto"/>
        <w:jc w:val="center"/>
        <w:rPr>
          <w:b/>
          <w:szCs w:val="21"/>
        </w:rPr>
      </w:pPr>
      <w:r>
        <w:rPr>
          <w:sz w:val="24"/>
        </w:rPr>
        <w:br w:type="page"/>
      </w:r>
    </w:p>
    <w:p>
      <w:pPr>
        <w:autoSpaceDE w:val="0"/>
        <w:autoSpaceDN w:val="0"/>
        <w:adjustRightInd w:val="0"/>
        <w:spacing w:line="360" w:lineRule="auto"/>
        <w:jc w:val="center"/>
        <w:rPr>
          <w:b/>
          <w:sz w:val="30"/>
          <w:szCs w:val="30"/>
        </w:rPr>
      </w:pPr>
      <w:r>
        <w:rPr>
          <w:rFonts w:hint="eastAsia"/>
          <w:b/>
          <w:sz w:val="30"/>
          <w:szCs w:val="30"/>
        </w:rPr>
        <w:t>七、</w:t>
      </w:r>
      <w:r>
        <w:rPr>
          <w:b/>
          <w:sz w:val="30"/>
          <w:szCs w:val="30"/>
        </w:rPr>
        <w:t>保修期服务承诺</w:t>
      </w:r>
    </w:p>
    <w:p>
      <w:pPr>
        <w:autoSpaceDE w:val="0"/>
        <w:autoSpaceDN w:val="0"/>
        <w:adjustRightInd w:val="0"/>
        <w:spacing w:line="360" w:lineRule="auto"/>
        <w:jc w:val="center"/>
        <w:rPr>
          <w:b/>
          <w:sz w:val="28"/>
          <w:szCs w:val="28"/>
        </w:rPr>
      </w:pPr>
      <w:bookmarkStart w:id="67" w:name="_Toc9040_WPSOffice_Level1"/>
      <w:r>
        <w:rPr>
          <w:b/>
          <w:sz w:val="28"/>
          <w:szCs w:val="28"/>
        </w:rPr>
        <w:t>（格式自拟）</w:t>
      </w:r>
      <w:bookmarkEnd w:id="67"/>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outlineLvl w:val="0"/>
        <w:rPr>
          <w:b/>
          <w:sz w:val="52"/>
          <w:szCs w:val="52"/>
        </w:rPr>
      </w:pPr>
      <w:bookmarkStart w:id="68" w:name="_Toc25007"/>
      <w:bookmarkStart w:id="69" w:name="_Toc18034_WPSOffice_Level1"/>
      <w:r>
        <w:rPr>
          <w:b/>
          <w:sz w:val="52"/>
          <w:szCs w:val="52"/>
        </w:rPr>
        <w:t>技术文件</w:t>
      </w:r>
      <w:bookmarkEnd w:id="68"/>
      <w:bookmarkEnd w:id="69"/>
    </w:p>
    <w:p>
      <w:pPr>
        <w:adjustRightInd w:val="0"/>
        <w:snapToGrid w:val="0"/>
        <w:spacing w:after="312" w:afterLines="100"/>
        <w:jc w:val="center"/>
        <w:rPr>
          <w:b/>
          <w:szCs w:val="21"/>
        </w:rPr>
      </w:pPr>
      <w:r>
        <w:rPr>
          <w:b/>
          <w:szCs w:val="21"/>
        </w:rPr>
        <w:br w:type="page"/>
      </w:r>
    </w:p>
    <w:p>
      <w:pPr>
        <w:autoSpaceDE w:val="0"/>
        <w:autoSpaceDN w:val="0"/>
        <w:adjustRightInd w:val="0"/>
        <w:snapToGrid w:val="0"/>
        <w:spacing w:line="336" w:lineRule="auto"/>
        <w:jc w:val="left"/>
        <w:rPr>
          <w:b/>
          <w:bCs/>
          <w:sz w:val="30"/>
          <w:szCs w:val="30"/>
        </w:rPr>
      </w:pPr>
      <w:r>
        <w:rPr>
          <w:rFonts w:hint="eastAsia"/>
          <w:b/>
          <w:bCs/>
          <w:sz w:val="30"/>
          <w:szCs w:val="30"/>
        </w:rPr>
        <w:t>一、</w:t>
      </w:r>
      <w:r>
        <w:rPr>
          <w:rFonts w:hint="eastAsia"/>
          <w:b/>
          <w:bCs/>
          <w:sz w:val="30"/>
          <w:szCs w:val="30"/>
          <w:highlight w:val="none"/>
        </w:rPr>
        <w:t>磋商响应单位</w:t>
      </w:r>
      <w:r>
        <w:rPr>
          <w:b/>
          <w:bCs/>
          <w:sz w:val="30"/>
          <w:szCs w:val="30"/>
          <w:highlight w:val="none"/>
        </w:rPr>
        <w:t>根据磋商文件采购内容和评分因素，结合自身实际情况编制响应磋商文件的施工组织设计。</w:t>
      </w:r>
      <w:r>
        <w:rPr>
          <w:b/>
          <w:bCs/>
          <w:color w:val="000000"/>
          <w:sz w:val="30"/>
          <w:szCs w:val="30"/>
          <w:highlight w:val="none"/>
        </w:rPr>
        <w:t>（</w:t>
      </w:r>
      <w:r>
        <w:rPr>
          <w:b/>
          <w:bCs/>
          <w:sz w:val="30"/>
          <w:szCs w:val="30"/>
          <w:highlight w:val="none"/>
        </w:rPr>
        <w:t>格式自拟）</w:t>
      </w:r>
    </w:p>
    <w:p>
      <w:pPr>
        <w:adjustRightInd w:val="0"/>
        <w:snapToGrid w:val="0"/>
        <w:spacing w:after="312" w:afterLines="100" w:line="336" w:lineRule="auto"/>
        <w:jc w:val="center"/>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pStyle w:val="6"/>
      </w:pPr>
    </w:p>
    <w:p>
      <w:pPr>
        <w:autoSpaceDE w:val="0"/>
        <w:autoSpaceDN w:val="0"/>
        <w:adjustRightInd w:val="0"/>
        <w:snapToGrid w:val="0"/>
        <w:spacing w:line="360" w:lineRule="auto"/>
        <w:jc w:val="center"/>
        <w:rPr>
          <w:b/>
          <w:bCs/>
          <w:sz w:val="32"/>
          <w:szCs w:val="32"/>
        </w:rPr>
      </w:pPr>
    </w:p>
    <w:p>
      <w:pPr>
        <w:tabs>
          <w:tab w:val="left" w:pos="2115"/>
        </w:tabs>
        <w:autoSpaceDE w:val="0"/>
        <w:autoSpaceDN w:val="0"/>
        <w:adjustRightInd w:val="0"/>
        <w:snapToGrid w:val="0"/>
        <w:spacing w:after="120" w:line="360" w:lineRule="auto"/>
        <w:rPr>
          <w:rFonts w:hint="eastAsia"/>
          <w:sz w:val="24"/>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b/>
          <w:bCs/>
          <w:sz w:val="32"/>
          <w:szCs w:val="32"/>
        </w:rPr>
      </w:pPr>
      <w:r>
        <w:rPr>
          <w:rFonts w:hint="eastAsia"/>
          <w:b/>
          <w:bCs/>
          <w:sz w:val="32"/>
          <w:szCs w:val="32"/>
        </w:rPr>
        <w:t>二、工程质量承诺（格式自拟）</w:t>
      </w:r>
    </w:p>
    <w:p>
      <w:pPr>
        <w:tabs>
          <w:tab w:val="left" w:pos="2115"/>
        </w:tabs>
        <w:autoSpaceDE w:val="0"/>
        <w:autoSpaceDN w:val="0"/>
        <w:adjustRightInd w:val="0"/>
        <w:snapToGrid w:val="0"/>
        <w:spacing w:after="156" w:afterLines="50" w:line="360" w:lineRule="auto"/>
        <w:ind w:firstLine="480" w:firstLineChars="200"/>
        <w:rPr>
          <w:rFonts w:hint="eastAsia"/>
          <w:sz w:val="24"/>
          <w:lang w:val="en-US" w:eastAsia="zh-CN"/>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rFonts w:hint="eastAsia" w:ascii="Times New Roman" w:hAnsi="Times New Roman" w:cs="Times New Roman"/>
          <w:b/>
          <w:bCs/>
          <w:sz w:val="32"/>
          <w:szCs w:val="32"/>
        </w:rPr>
      </w:pPr>
      <w:r>
        <w:rPr>
          <w:rFonts w:hint="eastAsia" w:ascii="Times New Roman" w:hAnsi="Times New Roman" w:cs="Times New Roman"/>
          <w:b/>
          <w:bCs/>
          <w:sz w:val="32"/>
          <w:szCs w:val="32"/>
          <w:lang w:val="en-US" w:eastAsia="zh-CN"/>
        </w:rPr>
        <w:t>三、</w:t>
      </w:r>
      <w:r>
        <w:rPr>
          <w:rFonts w:hint="eastAsia" w:ascii="Times New Roman" w:hAnsi="Times New Roman" w:cs="Times New Roman"/>
          <w:b/>
          <w:bCs/>
          <w:sz w:val="32"/>
          <w:szCs w:val="32"/>
        </w:rPr>
        <w:t>后续服务（格式自拟）</w:t>
      </w:r>
    </w:p>
    <w:p>
      <w:pPr>
        <w:widowControl/>
        <w:snapToGrid w:val="0"/>
        <w:spacing w:after="156" w:afterLines="50" w:line="360" w:lineRule="auto"/>
        <w:rPr>
          <w:b/>
          <w:kern w:val="0"/>
          <w:sz w:val="24"/>
          <w:shd w:val="clear" w:color="auto" w:fill="FFFFFF"/>
        </w:rPr>
      </w:pPr>
      <w:r>
        <w:rPr>
          <w:b/>
          <w:bCs/>
          <w:sz w:val="32"/>
          <w:szCs w:val="32"/>
        </w:rPr>
        <w:br w:type="page"/>
      </w:r>
    </w:p>
    <w:p>
      <w:pPr>
        <w:pStyle w:val="2"/>
        <w:ind w:firstLine="0" w:firstLineChars="0"/>
        <w:jc w:val="center"/>
        <w:rPr>
          <w:sz w:val="24"/>
        </w:rPr>
      </w:pPr>
      <w:r>
        <w:rPr>
          <w:b/>
          <w:kern w:val="0"/>
          <w:sz w:val="24"/>
          <w:shd w:val="clear" w:color="auto" w:fill="FFFFFF"/>
        </w:rPr>
        <w:t xml:space="preserve">  </w:t>
      </w:r>
      <w:bookmarkStart w:id="70" w:name="_Toc5171_WPSOffice_Level1"/>
      <w:r>
        <w:rPr>
          <w:b/>
          <w:bCs/>
          <w:sz w:val="30"/>
          <w:szCs w:val="30"/>
        </w:rPr>
        <w:t>封袋（包）正面标识式样</w:t>
      </w:r>
      <w:bookmarkEnd w:id="70"/>
    </w:p>
    <w:p>
      <w:pPr>
        <w:spacing w:line="360" w:lineRule="auto"/>
        <w:rPr>
          <w:b/>
          <w:sz w:val="24"/>
        </w:rPr>
      </w:pPr>
    </w:p>
    <w:p>
      <w:pPr>
        <w:spacing w:line="360" w:lineRule="auto"/>
        <w:ind w:firstLine="360" w:firstLineChars="150"/>
        <w:rPr>
          <w:sz w:val="24"/>
        </w:rPr>
      </w:pPr>
      <w:r>
        <w:rPr>
          <w:sz w:val="24"/>
        </w:rPr>
        <w:t>响应文件封袋正面标识式样</w:t>
      </w:r>
    </w:p>
    <w:p>
      <w:pPr>
        <w:rPr>
          <w:rFonts w:hint="eastAsia" w:eastAsia="宋体"/>
          <w:sz w:val="28"/>
          <w:szCs w:val="28"/>
          <w:lang w:eastAsia="zh-CN"/>
        </w:rPr>
      </w:pPr>
      <w:r>
        <w:rPr>
          <w:rFonts w:hint="eastAsia"/>
          <w:sz w:val="28"/>
          <w:szCs w:val="28"/>
        </w:rPr>
        <w:t>致：</w:t>
      </w:r>
      <w:r>
        <w:rPr>
          <w:rFonts w:hint="eastAsia"/>
          <w:sz w:val="28"/>
          <w:szCs w:val="28"/>
          <w:lang w:eastAsia="zh-CN"/>
        </w:rPr>
        <w:t>远创项目管理有限公司</w:t>
      </w:r>
    </w:p>
    <w:p>
      <w:pPr>
        <w:rPr>
          <w:color w:val="FF0000"/>
          <w:sz w:val="28"/>
          <w:szCs w:val="28"/>
        </w:rPr>
      </w:pPr>
      <w:r>
        <w:rPr>
          <w:rFonts w:hint="eastAsia"/>
          <w:sz w:val="28"/>
          <w:szCs w:val="28"/>
        </w:rPr>
        <w:t xml:space="preserve">采购编号：                                       </w:t>
      </w:r>
    </w:p>
    <w:p>
      <w:pPr>
        <w:pStyle w:val="2"/>
        <w:ind w:firstLine="0" w:firstLineChars="0"/>
        <w:rPr>
          <w:sz w:val="28"/>
          <w:szCs w:val="28"/>
        </w:rPr>
      </w:pPr>
      <w:r>
        <w:rPr>
          <w:rFonts w:hint="eastAsia"/>
          <w:sz w:val="28"/>
          <w:szCs w:val="28"/>
        </w:rPr>
        <w:t>项目名称：</w:t>
      </w:r>
    </w:p>
    <w:p>
      <w:pPr>
        <w:pStyle w:val="2"/>
        <w:ind w:firstLine="0" w:firstLineChars="0"/>
        <w:rPr>
          <w:sz w:val="28"/>
          <w:szCs w:val="28"/>
        </w:rPr>
      </w:pPr>
    </w:p>
    <w:p>
      <w:pPr>
        <w:jc w:val="center"/>
        <w:rPr>
          <w:b/>
          <w:sz w:val="44"/>
          <w:szCs w:val="44"/>
        </w:rPr>
      </w:pPr>
      <w:r>
        <w:rPr>
          <w:rFonts w:hint="eastAsia"/>
          <w:b/>
          <w:sz w:val="44"/>
          <w:szCs w:val="44"/>
        </w:rPr>
        <w:t>响应文件（正本、副本及电子版文件）</w:t>
      </w:r>
    </w:p>
    <w:p>
      <w:pPr>
        <w:jc w:val="center"/>
        <w:rPr>
          <w:szCs w:val="21"/>
        </w:rPr>
      </w:pPr>
    </w:p>
    <w:p>
      <w:pPr>
        <w:jc w:val="center"/>
        <w:rPr>
          <w:szCs w:val="21"/>
        </w:rPr>
      </w:pPr>
      <w:r>
        <w:rPr>
          <w:rFonts w:hint="eastAsia"/>
          <w:szCs w:val="21"/>
        </w:rPr>
        <w:t>（</w:t>
      </w: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w:t>
      </w:r>
      <w:r>
        <w:rPr>
          <w:rFonts w:hint="eastAsia" w:ascii="宋体" w:hAnsi="宋体"/>
          <w:szCs w:val="21"/>
        </w:rPr>
        <w:t>分前不得开启</w:t>
      </w:r>
      <w:r>
        <w:rPr>
          <w:rFonts w:hint="eastAsia"/>
          <w:szCs w:val="21"/>
        </w:rPr>
        <w:t>）</w:t>
      </w:r>
    </w:p>
    <w:p>
      <w:pPr>
        <w:pStyle w:val="2"/>
      </w:pPr>
    </w:p>
    <w:p>
      <w:pPr>
        <w:rPr>
          <w:sz w:val="28"/>
          <w:szCs w:val="28"/>
        </w:rPr>
      </w:pPr>
      <w:r>
        <w:rPr>
          <w:rFonts w:hint="eastAsia"/>
          <w:sz w:val="28"/>
          <w:szCs w:val="28"/>
        </w:rPr>
        <w:t>磋商响应单位名称：（公章）</w:t>
      </w:r>
    </w:p>
    <w:p>
      <w:pPr>
        <w:pStyle w:val="2"/>
        <w:ind w:firstLine="0" w:firstLineChars="0"/>
        <w:rPr>
          <w:sz w:val="28"/>
          <w:szCs w:val="28"/>
        </w:rPr>
      </w:pPr>
      <w:r>
        <w:rPr>
          <w:rFonts w:hint="eastAsia"/>
          <w:sz w:val="28"/>
          <w:szCs w:val="28"/>
        </w:rPr>
        <w:t xml:space="preserve">磋商响应单位地址：                                                                                                          </w:t>
      </w:r>
    </w:p>
    <w:sectPr>
      <w:pgSz w:w="11906" w:h="16838"/>
      <w:pgMar w:top="1440" w:right="1457" w:bottom="1440" w:left="146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auto"/>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9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kF58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X16jxWVPXoqjMM9DLQ1cxwpmGgPbbDpS4QY5Und81VdNUQm06X1ar0uKSUpNzuEXzxd9wHjWwWW&#10;JaPmgZ4vqypO7zGOpXNJ6ubgQRuTn9C4vwKEOUZU3oHpdmIyTpysOOyHid4emjOx62kPau5o7Tkz&#10;7xzJnFZmNsJs7Gfj6IM+dDToMk+J/u4YaaQ8aeowwhLD5NADZq7TsqUN+dPPVU8/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pBefOAQAAqAMAAA4AAAAAAAAAAQAgAAAAHgEAAGRycy9l&#10;Mm9Eb2MueG1sUEsFBgAAAAAGAAYAWQEAAF4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COOccBAACc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Yv&#10;kz69x4rK7jwVxuEtDLQ1cxwpmGgPbbDpS4QY5Und81VdNUQm06X1ar0uKSUpNzuEXzxc9wHjOwWW&#10;JaPmgZ4vqypOHzCOpXNJ6ubgVhuTn9C4vwKEOUZU3oHpdmIyTpysOOyHid4emjOx62kPau5o7Tkz&#10;7x3JnFZmNsJs7CcjdUT/5hhpjDxdQh2hiFVy6NEyv2nB0lb86eeqh5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7COOccBAACcAwAADgAAAAAAAAABACAAAAAeAQAAZHJzL2Uyb0RvYy54&#10;bWxQSwUGAAAAAAYABgBZAQAAVw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tabs>
        <w:tab w:val="center" w:pos="4153"/>
        <w:tab w:val="right" w:pos="8306"/>
      </w:tabs>
      <w:jc w:val="both"/>
      <w:rPr>
        <w:rFonts w:hint="default"/>
        <w:u w:val="single"/>
        <w:lang w:val="en-US"/>
      </w:rPr>
    </w:pPr>
    <w:r>
      <w:rPr>
        <w:rFonts w:hint="eastAsia"/>
        <w:lang w:eastAsia="zh-CN"/>
      </w:rPr>
      <w:t>西安市高陵区创优质均衡发展（高家小学多功能厅改造提升项目）</w:t>
    </w:r>
    <w:r>
      <w:rPr>
        <w:rFonts w:hint="eastAsia"/>
        <w:lang w:val="en-US" w:eastAsia="zh-CN"/>
      </w:rPr>
      <w:t xml:space="preserve">                            </w:t>
    </w:r>
    <w:r>
      <w:rPr>
        <w:rFonts w:hint="eastAsia"/>
        <w:lang w:eastAsia="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0"/>
      </w:pBdr>
      <w:jc w:val="both"/>
    </w:pPr>
    <w:r>
      <w:rPr>
        <w:rFonts w:hint="eastAsia"/>
        <w:lang w:eastAsia="zh-CN"/>
      </w:rPr>
      <w:t>西安市高陵区创优质均衡发展（高家小学多功能厅改造提升项目）</w:t>
    </w:r>
    <w:r>
      <w:rPr>
        <w:rFonts w:hint="eastAsia"/>
        <w:lang w:val="en-US" w:eastAsia="zh-CN"/>
      </w:rPr>
      <w:t xml:space="preserve">                            </w:t>
    </w:r>
    <w:r>
      <w:rPr>
        <w:rFonts w:hint="eastAsia"/>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AD04CA7"/>
    <w:multiLevelType w:val="multilevel"/>
    <w:tmpl w:val="1AD04C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B50080"/>
    <w:multiLevelType w:val="singleLevel"/>
    <w:tmpl w:val="29B50080"/>
    <w:lvl w:ilvl="0" w:tentative="0">
      <w:start w:val="1"/>
      <w:numFmt w:val="chineseCounting"/>
      <w:suff w:val="nothing"/>
      <w:lvlText w:val="%1、"/>
      <w:lvlJc w:val="left"/>
      <w:rPr>
        <w:rFonts w:hint="eastAsia"/>
      </w:rPr>
    </w:lvl>
  </w:abstractNum>
  <w:abstractNum w:abstractNumId="3">
    <w:nsid w:val="441B1801"/>
    <w:multiLevelType w:val="singleLevel"/>
    <w:tmpl w:val="441B1801"/>
    <w:lvl w:ilvl="0" w:tentative="0">
      <w:start w:val="1"/>
      <w:numFmt w:val="decimal"/>
      <w:suff w:val="space"/>
      <w:lvlText w:val="%1."/>
      <w:lvlJc w:val="left"/>
    </w:lvl>
  </w:abstractNum>
  <w:abstractNum w:abstractNumId="4">
    <w:nsid w:val="5504C0CA"/>
    <w:multiLevelType w:val="singleLevel"/>
    <w:tmpl w:val="5504C0CA"/>
    <w:lvl w:ilvl="0" w:tentative="0">
      <w:start w:val="1"/>
      <w:numFmt w:val="decimal"/>
      <w:suff w:val="nothing"/>
      <w:lvlText w:val="%1、"/>
      <w:lvlJc w:val="left"/>
    </w:lvl>
  </w:abstractNum>
  <w:abstractNum w:abstractNumId="5">
    <w:nsid w:val="5937C3F8"/>
    <w:multiLevelType w:val="singleLevel"/>
    <w:tmpl w:val="5937C3F8"/>
    <w:lvl w:ilvl="0" w:tentative="0">
      <w:start w:val="2"/>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OTU3ZWMyY2M2ZDMwOGQ0MDcxZDA5YWNiYWNmYTIifQ=="/>
  </w:docVars>
  <w:rsids>
    <w:rsidRoot w:val="00172A27"/>
    <w:rsid w:val="000118A6"/>
    <w:rsid w:val="00020033"/>
    <w:rsid w:val="000278FD"/>
    <w:rsid w:val="00035DDE"/>
    <w:rsid w:val="0004086F"/>
    <w:rsid w:val="000729B1"/>
    <w:rsid w:val="00077DC4"/>
    <w:rsid w:val="0008076A"/>
    <w:rsid w:val="00083D34"/>
    <w:rsid w:val="000A2EE8"/>
    <w:rsid w:val="000A6D8D"/>
    <w:rsid w:val="000C50D1"/>
    <w:rsid w:val="00112040"/>
    <w:rsid w:val="001226A4"/>
    <w:rsid w:val="00137BF8"/>
    <w:rsid w:val="00171D1A"/>
    <w:rsid w:val="00172A27"/>
    <w:rsid w:val="001975B4"/>
    <w:rsid w:val="001E6EA5"/>
    <w:rsid w:val="001F00FA"/>
    <w:rsid w:val="001F7DDA"/>
    <w:rsid w:val="00212A28"/>
    <w:rsid w:val="00213301"/>
    <w:rsid w:val="002149E7"/>
    <w:rsid w:val="002719F7"/>
    <w:rsid w:val="00294E0D"/>
    <w:rsid w:val="002B45FB"/>
    <w:rsid w:val="002D28A5"/>
    <w:rsid w:val="00322449"/>
    <w:rsid w:val="00342556"/>
    <w:rsid w:val="003632E5"/>
    <w:rsid w:val="0037466B"/>
    <w:rsid w:val="003F3D04"/>
    <w:rsid w:val="00401674"/>
    <w:rsid w:val="004023FA"/>
    <w:rsid w:val="00457D5C"/>
    <w:rsid w:val="00470EA3"/>
    <w:rsid w:val="00481960"/>
    <w:rsid w:val="00483A05"/>
    <w:rsid w:val="004960B2"/>
    <w:rsid w:val="004A4B7D"/>
    <w:rsid w:val="004B6504"/>
    <w:rsid w:val="004E2DDD"/>
    <w:rsid w:val="004F29D0"/>
    <w:rsid w:val="00554FED"/>
    <w:rsid w:val="00562C55"/>
    <w:rsid w:val="005664CE"/>
    <w:rsid w:val="0056776E"/>
    <w:rsid w:val="005D3FB8"/>
    <w:rsid w:val="005F34F6"/>
    <w:rsid w:val="00606614"/>
    <w:rsid w:val="006276E6"/>
    <w:rsid w:val="00651A05"/>
    <w:rsid w:val="0067022E"/>
    <w:rsid w:val="00671525"/>
    <w:rsid w:val="00674C9B"/>
    <w:rsid w:val="006D2E93"/>
    <w:rsid w:val="006D3DDA"/>
    <w:rsid w:val="006D6603"/>
    <w:rsid w:val="006E6468"/>
    <w:rsid w:val="006F37BC"/>
    <w:rsid w:val="00784799"/>
    <w:rsid w:val="007B640D"/>
    <w:rsid w:val="007C0B26"/>
    <w:rsid w:val="00823E0E"/>
    <w:rsid w:val="00840D24"/>
    <w:rsid w:val="00846811"/>
    <w:rsid w:val="00867068"/>
    <w:rsid w:val="00873E44"/>
    <w:rsid w:val="00880216"/>
    <w:rsid w:val="008D3F32"/>
    <w:rsid w:val="008E5731"/>
    <w:rsid w:val="008F2DB3"/>
    <w:rsid w:val="0092263A"/>
    <w:rsid w:val="00940B81"/>
    <w:rsid w:val="00947657"/>
    <w:rsid w:val="0095185C"/>
    <w:rsid w:val="00972ED4"/>
    <w:rsid w:val="00974AD1"/>
    <w:rsid w:val="00984CBC"/>
    <w:rsid w:val="00991B16"/>
    <w:rsid w:val="009B123B"/>
    <w:rsid w:val="009B6EBD"/>
    <w:rsid w:val="009C39F1"/>
    <w:rsid w:val="009F15A6"/>
    <w:rsid w:val="00A071B1"/>
    <w:rsid w:val="00A31A56"/>
    <w:rsid w:val="00A40ABE"/>
    <w:rsid w:val="00A551CF"/>
    <w:rsid w:val="00A8528F"/>
    <w:rsid w:val="00A97829"/>
    <w:rsid w:val="00A97BD4"/>
    <w:rsid w:val="00AA2F0C"/>
    <w:rsid w:val="00AA6B5A"/>
    <w:rsid w:val="00AC680A"/>
    <w:rsid w:val="00B23DDB"/>
    <w:rsid w:val="00B858CE"/>
    <w:rsid w:val="00BA0D01"/>
    <w:rsid w:val="00C4526F"/>
    <w:rsid w:val="00CE61CA"/>
    <w:rsid w:val="00CF4E7C"/>
    <w:rsid w:val="00D50E2B"/>
    <w:rsid w:val="00D63540"/>
    <w:rsid w:val="00DA6CE6"/>
    <w:rsid w:val="00DB004A"/>
    <w:rsid w:val="00DD2393"/>
    <w:rsid w:val="00DF5997"/>
    <w:rsid w:val="00E12E9D"/>
    <w:rsid w:val="00E309F1"/>
    <w:rsid w:val="00E36C27"/>
    <w:rsid w:val="00E6307D"/>
    <w:rsid w:val="00E74EB1"/>
    <w:rsid w:val="00EA5BC3"/>
    <w:rsid w:val="00EA6A42"/>
    <w:rsid w:val="00EB5EED"/>
    <w:rsid w:val="00F06647"/>
    <w:rsid w:val="00F525C4"/>
    <w:rsid w:val="00F54779"/>
    <w:rsid w:val="00F66623"/>
    <w:rsid w:val="00F92F08"/>
    <w:rsid w:val="00FF72A8"/>
    <w:rsid w:val="01086C64"/>
    <w:rsid w:val="01087C9F"/>
    <w:rsid w:val="010C58BC"/>
    <w:rsid w:val="01164BFE"/>
    <w:rsid w:val="011E7A41"/>
    <w:rsid w:val="0129206B"/>
    <w:rsid w:val="01356835"/>
    <w:rsid w:val="01396E1E"/>
    <w:rsid w:val="013C3FDB"/>
    <w:rsid w:val="0154536E"/>
    <w:rsid w:val="015B456C"/>
    <w:rsid w:val="015F07A8"/>
    <w:rsid w:val="01677C43"/>
    <w:rsid w:val="017E1F09"/>
    <w:rsid w:val="01870CD3"/>
    <w:rsid w:val="01966AE8"/>
    <w:rsid w:val="019841FA"/>
    <w:rsid w:val="019C07AC"/>
    <w:rsid w:val="01A16B52"/>
    <w:rsid w:val="01A372B8"/>
    <w:rsid w:val="01BE3132"/>
    <w:rsid w:val="01BF025E"/>
    <w:rsid w:val="01C67C8E"/>
    <w:rsid w:val="01EB13A6"/>
    <w:rsid w:val="01FE11DD"/>
    <w:rsid w:val="021178DF"/>
    <w:rsid w:val="02117DC5"/>
    <w:rsid w:val="021835A3"/>
    <w:rsid w:val="021E3D99"/>
    <w:rsid w:val="02232CDC"/>
    <w:rsid w:val="023A31EA"/>
    <w:rsid w:val="02702364"/>
    <w:rsid w:val="02732292"/>
    <w:rsid w:val="02740BC1"/>
    <w:rsid w:val="027E3833"/>
    <w:rsid w:val="028529F6"/>
    <w:rsid w:val="028753C1"/>
    <w:rsid w:val="02B27F97"/>
    <w:rsid w:val="02C276F2"/>
    <w:rsid w:val="02C37900"/>
    <w:rsid w:val="02C71E7B"/>
    <w:rsid w:val="02D745A3"/>
    <w:rsid w:val="030D20D8"/>
    <w:rsid w:val="030D6559"/>
    <w:rsid w:val="03134779"/>
    <w:rsid w:val="03340C74"/>
    <w:rsid w:val="03342008"/>
    <w:rsid w:val="033670E2"/>
    <w:rsid w:val="033B4572"/>
    <w:rsid w:val="03497734"/>
    <w:rsid w:val="03720D3D"/>
    <w:rsid w:val="03791FC8"/>
    <w:rsid w:val="0380772A"/>
    <w:rsid w:val="038A1CCF"/>
    <w:rsid w:val="03A9350C"/>
    <w:rsid w:val="03B056C1"/>
    <w:rsid w:val="03BA25A3"/>
    <w:rsid w:val="03CC1F3F"/>
    <w:rsid w:val="03E47515"/>
    <w:rsid w:val="03EE2DB6"/>
    <w:rsid w:val="040F6767"/>
    <w:rsid w:val="041065E3"/>
    <w:rsid w:val="04260532"/>
    <w:rsid w:val="04356715"/>
    <w:rsid w:val="043A617E"/>
    <w:rsid w:val="04421CDF"/>
    <w:rsid w:val="045418E9"/>
    <w:rsid w:val="045A4C00"/>
    <w:rsid w:val="045C0111"/>
    <w:rsid w:val="046C5452"/>
    <w:rsid w:val="04865A0D"/>
    <w:rsid w:val="049539F5"/>
    <w:rsid w:val="04996A90"/>
    <w:rsid w:val="04A25D40"/>
    <w:rsid w:val="04AD2120"/>
    <w:rsid w:val="04B14BFB"/>
    <w:rsid w:val="04BB0E0D"/>
    <w:rsid w:val="04C87100"/>
    <w:rsid w:val="04CA4D78"/>
    <w:rsid w:val="04D56B94"/>
    <w:rsid w:val="04E85114"/>
    <w:rsid w:val="04FF5445"/>
    <w:rsid w:val="050F2D5D"/>
    <w:rsid w:val="051B5AFD"/>
    <w:rsid w:val="052D2AB1"/>
    <w:rsid w:val="05355D38"/>
    <w:rsid w:val="05382C92"/>
    <w:rsid w:val="053C6237"/>
    <w:rsid w:val="05405242"/>
    <w:rsid w:val="05432CC2"/>
    <w:rsid w:val="05512434"/>
    <w:rsid w:val="055819A6"/>
    <w:rsid w:val="0563380C"/>
    <w:rsid w:val="05636827"/>
    <w:rsid w:val="05782372"/>
    <w:rsid w:val="057845E6"/>
    <w:rsid w:val="05800F65"/>
    <w:rsid w:val="058536B2"/>
    <w:rsid w:val="058E06F6"/>
    <w:rsid w:val="05905BF1"/>
    <w:rsid w:val="05911A52"/>
    <w:rsid w:val="0599238B"/>
    <w:rsid w:val="05BF732D"/>
    <w:rsid w:val="05D425CE"/>
    <w:rsid w:val="05E675A2"/>
    <w:rsid w:val="05FC16A2"/>
    <w:rsid w:val="06062500"/>
    <w:rsid w:val="06194873"/>
    <w:rsid w:val="063110D8"/>
    <w:rsid w:val="06423D9D"/>
    <w:rsid w:val="06612714"/>
    <w:rsid w:val="068B2CB1"/>
    <w:rsid w:val="06937501"/>
    <w:rsid w:val="069B053B"/>
    <w:rsid w:val="06B5096F"/>
    <w:rsid w:val="06B6599E"/>
    <w:rsid w:val="06CE2DB9"/>
    <w:rsid w:val="06D2060F"/>
    <w:rsid w:val="06D42A05"/>
    <w:rsid w:val="06DC407B"/>
    <w:rsid w:val="07087DBA"/>
    <w:rsid w:val="0710121F"/>
    <w:rsid w:val="07112C54"/>
    <w:rsid w:val="07116F7D"/>
    <w:rsid w:val="071C4551"/>
    <w:rsid w:val="071D36E8"/>
    <w:rsid w:val="07225724"/>
    <w:rsid w:val="072405F5"/>
    <w:rsid w:val="07346A53"/>
    <w:rsid w:val="074814BA"/>
    <w:rsid w:val="074A5107"/>
    <w:rsid w:val="074D3351"/>
    <w:rsid w:val="075500DB"/>
    <w:rsid w:val="07923495"/>
    <w:rsid w:val="079D03CA"/>
    <w:rsid w:val="07B34014"/>
    <w:rsid w:val="07B94355"/>
    <w:rsid w:val="07C65BAD"/>
    <w:rsid w:val="07D03CED"/>
    <w:rsid w:val="07D61F6D"/>
    <w:rsid w:val="07D9338B"/>
    <w:rsid w:val="07E61E2B"/>
    <w:rsid w:val="081D7743"/>
    <w:rsid w:val="082A70AF"/>
    <w:rsid w:val="082A747D"/>
    <w:rsid w:val="08445D98"/>
    <w:rsid w:val="084C768F"/>
    <w:rsid w:val="08616CCE"/>
    <w:rsid w:val="08774F58"/>
    <w:rsid w:val="087D15BB"/>
    <w:rsid w:val="08843C93"/>
    <w:rsid w:val="08A70BD3"/>
    <w:rsid w:val="08A743E4"/>
    <w:rsid w:val="08AA1E06"/>
    <w:rsid w:val="08BE0969"/>
    <w:rsid w:val="08C07E24"/>
    <w:rsid w:val="08DB1659"/>
    <w:rsid w:val="08F91439"/>
    <w:rsid w:val="08FB15CE"/>
    <w:rsid w:val="09171199"/>
    <w:rsid w:val="09172624"/>
    <w:rsid w:val="09181CFD"/>
    <w:rsid w:val="09192FF2"/>
    <w:rsid w:val="092803CD"/>
    <w:rsid w:val="094311D8"/>
    <w:rsid w:val="09677578"/>
    <w:rsid w:val="098174E9"/>
    <w:rsid w:val="099759F9"/>
    <w:rsid w:val="099811F9"/>
    <w:rsid w:val="099C4507"/>
    <w:rsid w:val="099D2CA1"/>
    <w:rsid w:val="09A33B60"/>
    <w:rsid w:val="09A83253"/>
    <w:rsid w:val="09B52A27"/>
    <w:rsid w:val="09B95084"/>
    <w:rsid w:val="09B97B8C"/>
    <w:rsid w:val="09BA7B09"/>
    <w:rsid w:val="09C30B0C"/>
    <w:rsid w:val="09CB607F"/>
    <w:rsid w:val="09D36D1D"/>
    <w:rsid w:val="09F41FAF"/>
    <w:rsid w:val="0A14116A"/>
    <w:rsid w:val="0A186776"/>
    <w:rsid w:val="0A1A30C8"/>
    <w:rsid w:val="0A1D691B"/>
    <w:rsid w:val="0A1F1E71"/>
    <w:rsid w:val="0A2A78D6"/>
    <w:rsid w:val="0A2B760D"/>
    <w:rsid w:val="0A3219BF"/>
    <w:rsid w:val="0A35072C"/>
    <w:rsid w:val="0A3A34A0"/>
    <w:rsid w:val="0A3F3FAA"/>
    <w:rsid w:val="0A3F5003"/>
    <w:rsid w:val="0A41795F"/>
    <w:rsid w:val="0A426137"/>
    <w:rsid w:val="0A4A3E4A"/>
    <w:rsid w:val="0A4E3A7E"/>
    <w:rsid w:val="0A525023"/>
    <w:rsid w:val="0A580DB3"/>
    <w:rsid w:val="0A5C5694"/>
    <w:rsid w:val="0A5E3497"/>
    <w:rsid w:val="0A601778"/>
    <w:rsid w:val="0A8612C8"/>
    <w:rsid w:val="0A872679"/>
    <w:rsid w:val="0ABA4ED8"/>
    <w:rsid w:val="0AC13531"/>
    <w:rsid w:val="0ADE1599"/>
    <w:rsid w:val="0AF25B09"/>
    <w:rsid w:val="0B076D01"/>
    <w:rsid w:val="0B161675"/>
    <w:rsid w:val="0B263468"/>
    <w:rsid w:val="0B2F3ABC"/>
    <w:rsid w:val="0B3246FA"/>
    <w:rsid w:val="0B5718C7"/>
    <w:rsid w:val="0B574884"/>
    <w:rsid w:val="0B6438AA"/>
    <w:rsid w:val="0B791BFE"/>
    <w:rsid w:val="0B860213"/>
    <w:rsid w:val="0B9C0230"/>
    <w:rsid w:val="0BA957B5"/>
    <w:rsid w:val="0BAB15A1"/>
    <w:rsid w:val="0BBD4120"/>
    <w:rsid w:val="0BC105FE"/>
    <w:rsid w:val="0BCE479A"/>
    <w:rsid w:val="0C071333"/>
    <w:rsid w:val="0C092799"/>
    <w:rsid w:val="0C1D176D"/>
    <w:rsid w:val="0C1E31EF"/>
    <w:rsid w:val="0C254C56"/>
    <w:rsid w:val="0C282886"/>
    <w:rsid w:val="0C2911DD"/>
    <w:rsid w:val="0C2959CB"/>
    <w:rsid w:val="0C41686B"/>
    <w:rsid w:val="0C4B27B4"/>
    <w:rsid w:val="0C4F4CAB"/>
    <w:rsid w:val="0C502837"/>
    <w:rsid w:val="0C515227"/>
    <w:rsid w:val="0C705FEA"/>
    <w:rsid w:val="0C8036B2"/>
    <w:rsid w:val="0C8E3016"/>
    <w:rsid w:val="0C8E42AB"/>
    <w:rsid w:val="0C923CBB"/>
    <w:rsid w:val="0C934EA4"/>
    <w:rsid w:val="0C954E6C"/>
    <w:rsid w:val="0C9B09E6"/>
    <w:rsid w:val="0CA13339"/>
    <w:rsid w:val="0CAF0101"/>
    <w:rsid w:val="0CB02D55"/>
    <w:rsid w:val="0CBF6E1E"/>
    <w:rsid w:val="0CC802F4"/>
    <w:rsid w:val="0CEA640D"/>
    <w:rsid w:val="0CEC1358"/>
    <w:rsid w:val="0CF2426D"/>
    <w:rsid w:val="0CF255C4"/>
    <w:rsid w:val="0CFB69DE"/>
    <w:rsid w:val="0CFC4542"/>
    <w:rsid w:val="0D191EC3"/>
    <w:rsid w:val="0D1E2739"/>
    <w:rsid w:val="0D232572"/>
    <w:rsid w:val="0D361360"/>
    <w:rsid w:val="0D4045DB"/>
    <w:rsid w:val="0D527499"/>
    <w:rsid w:val="0D575FB3"/>
    <w:rsid w:val="0D5D6EA1"/>
    <w:rsid w:val="0D650996"/>
    <w:rsid w:val="0D685825"/>
    <w:rsid w:val="0D816B79"/>
    <w:rsid w:val="0D9E5730"/>
    <w:rsid w:val="0DAE7D1E"/>
    <w:rsid w:val="0DBE3598"/>
    <w:rsid w:val="0DC66919"/>
    <w:rsid w:val="0DCE465C"/>
    <w:rsid w:val="0DE0768C"/>
    <w:rsid w:val="0DF32D7A"/>
    <w:rsid w:val="0E0038AC"/>
    <w:rsid w:val="0E057C8A"/>
    <w:rsid w:val="0E0D1A6E"/>
    <w:rsid w:val="0E114426"/>
    <w:rsid w:val="0E276085"/>
    <w:rsid w:val="0E2F4723"/>
    <w:rsid w:val="0E37726F"/>
    <w:rsid w:val="0E4B437B"/>
    <w:rsid w:val="0E52195F"/>
    <w:rsid w:val="0E5608D6"/>
    <w:rsid w:val="0E615783"/>
    <w:rsid w:val="0E8C6261"/>
    <w:rsid w:val="0E957B75"/>
    <w:rsid w:val="0E9D177C"/>
    <w:rsid w:val="0EAA4628"/>
    <w:rsid w:val="0EB25ADB"/>
    <w:rsid w:val="0EDB1F1D"/>
    <w:rsid w:val="0EE26341"/>
    <w:rsid w:val="0EED0C69"/>
    <w:rsid w:val="0EED22FD"/>
    <w:rsid w:val="0EEF1694"/>
    <w:rsid w:val="0EF94C14"/>
    <w:rsid w:val="0EFD0021"/>
    <w:rsid w:val="0F0063BF"/>
    <w:rsid w:val="0F031835"/>
    <w:rsid w:val="0F0551D3"/>
    <w:rsid w:val="0F2C48AA"/>
    <w:rsid w:val="0F3649EA"/>
    <w:rsid w:val="0F3E112D"/>
    <w:rsid w:val="0F450A05"/>
    <w:rsid w:val="0F480FAB"/>
    <w:rsid w:val="0F4A52DE"/>
    <w:rsid w:val="0F4F0551"/>
    <w:rsid w:val="0F557BF8"/>
    <w:rsid w:val="0F5F5CA8"/>
    <w:rsid w:val="0F6E0E90"/>
    <w:rsid w:val="0F772BE0"/>
    <w:rsid w:val="0F934BD4"/>
    <w:rsid w:val="0F9A4637"/>
    <w:rsid w:val="0F9B265D"/>
    <w:rsid w:val="0F9F06F7"/>
    <w:rsid w:val="0FB61135"/>
    <w:rsid w:val="0FEF7F7A"/>
    <w:rsid w:val="10172273"/>
    <w:rsid w:val="101B2ECD"/>
    <w:rsid w:val="103248F4"/>
    <w:rsid w:val="10432CDE"/>
    <w:rsid w:val="10524583"/>
    <w:rsid w:val="10534337"/>
    <w:rsid w:val="105C08FA"/>
    <w:rsid w:val="106B4B1A"/>
    <w:rsid w:val="106E7218"/>
    <w:rsid w:val="10710C93"/>
    <w:rsid w:val="107478D6"/>
    <w:rsid w:val="10815DF3"/>
    <w:rsid w:val="109040B1"/>
    <w:rsid w:val="10AF225B"/>
    <w:rsid w:val="10B05AA5"/>
    <w:rsid w:val="10B54EF7"/>
    <w:rsid w:val="10DC0157"/>
    <w:rsid w:val="10E37236"/>
    <w:rsid w:val="10E44419"/>
    <w:rsid w:val="10EA3456"/>
    <w:rsid w:val="10EC6962"/>
    <w:rsid w:val="10ED6F62"/>
    <w:rsid w:val="10F667CF"/>
    <w:rsid w:val="10FA5F74"/>
    <w:rsid w:val="10FC4DAE"/>
    <w:rsid w:val="11003CCF"/>
    <w:rsid w:val="11015E44"/>
    <w:rsid w:val="1109142E"/>
    <w:rsid w:val="11123786"/>
    <w:rsid w:val="112A0463"/>
    <w:rsid w:val="11331863"/>
    <w:rsid w:val="11477EB7"/>
    <w:rsid w:val="114837BC"/>
    <w:rsid w:val="114C7BEA"/>
    <w:rsid w:val="114E2013"/>
    <w:rsid w:val="116E58C0"/>
    <w:rsid w:val="11887A11"/>
    <w:rsid w:val="118A4F0F"/>
    <w:rsid w:val="118D441F"/>
    <w:rsid w:val="11AB22F6"/>
    <w:rsid w:val="11C35D89"/>
    <w:rsid w:val="11D92ECB"/>
    <w:rsid w:val="11DF5162"/>
    <w:rsid w:val="11ED7290"/>
    <w:rsid w:val="11F2191E"/>
    <w:rsid w:val="11F30640"/>
    <w:rsid w:val="11F32274"/>
    <w:rsid w:val="1202296B"/>
    <w:rsid w:val="122408C3"/>
    <w:rsid w:val="12381B3A"/>
    <w:rsid w:val="12577258"/>
    <w:rsid w:val="12596ADD"/>
    <w:rsid w:val="125C2907"/>
    <w:rsid w:val="125D2641"/>
    <w:rsid w:val="12B23E99"/>
    <w:rsid w:val="12C3209B"/>
    <w:rsid w:val="12C62AB4"/>
    <w:rsid w:val="12DA0004"/>
    <w:rsid w:val="12E212FA"/>
    <w:rsid w:val="12EC73C8"/>
    <w:rsid w:val="12ED07E3"/>
    <w:rsid w:val="12F241BA"/>
    <w:rsid w:val="12F450AC"/>
    <w:rsid w:val="12F92A50"/>
    <w:rsid w:val="13020A9F"/>
    <w:rsid w:val="130262C4"/>
    <w:rsid w:val="13030B2B"/>
    <w:rsid w:val="13046C1F"/>
    <w:rsid w:val="1309552F"/>
    <w:rsid w:val="130A5353"/>
    <w:rsid w:val="131524C5"/>
    <w:rsid w:val="1323743D"/>
    <w:rsid w:val="132B4B3A"/>
    <w:rsid w:val="13444F5F"/>
    <w:rsid w:val="13616775"/>
    <w:rsid w:val="13742901"/>
    <w:rsid w:val="137C21F2"/>
    <w:rsid w:val="13852496"/>
    <w:rsid w:val="13953E91"/>
    <w:rsid w:val="139B5E1E"/>
    <w:rsid w:val="13AB0854"/>
    <w:rsid w:val="13B70E32"/>
    <w:rsid w:val="13BB4711"/>
    <w:rsid w:val="13CC609E"/>
    <w:rsid w:val="13F44AB9"/>
    <w:rsid w:val="1409537B"/>
    <w:rsid w:val="142A4A78"/>
    <w:rsid w:val="142D3634"/>
    <w:rsid w:val="142E0B67"/>
    <w:rsid w:val="1436023B"/>
    <w:rsid w:val="14863396"/>
    <w:rsid w:val="148E576F"/>
    <w:rsid w:val="149541F0"/>
    <w:rsid w:val="149A1EF2"/>
    <w:rsid w:val="14B82EDA"/>
    <w:rsid w:val="14B876D1"/>
    <w:rsid w:val="14B93E66"/>
    <w:rsid w:val="14B972DD"/>
    <w:rsid w:val="14D90940"/>
    <w:rsid w:val="14F742F1"/>
    <w:rsid w:val="14F7473F"/>
    <w:rsid w:val="14FE0765"/>
    <w:rsid w:val="15070502"/>
    <w:rsid w:val="152B2D95"/>
    <w:rsid w:val="15403421"/>
    <w:rsid w:val="15476049"/>
    <w:rsid w:val="1563293D"/>
    <w:rsid w:val="15646910"/>
    <w:rsid w:val="1571429F"/>
    <w:rsid w:val="1572793C"/>
    <w:rsid w:val="158C1918"/>
    <w:rsid w:val="15925EE4"/>
    <w:rsid w:val="159A128A"/>
    <w:rsid w:val="159D34B7"/>
    <w:rsid w:val="159D61C0"/>
    <w:rsid w:val="159E4B80"/>
    <w:rsid w:val="15A637CB"/>
    <w:rsid w:val="15AC6DA3"/>
    <w:rsid w:val="15C24DE5"/>
    <w:rsid w:val="15DD52DC"/>
    <w:rsid w:val="15E05B5A"/>
    <w:rsid w:val="161E602E"/>
    <w:rsid w:val="16414172"/>
    <w:rsid w:val="1642510D"/>
    <w:rsid w:val="16460595"/>
    <w:rsid w:val="164E66E2"/>
    <w:rsid w:val="16587785"/>
    <w:rsid w:val="165B320F"/>
    <w:rsid w:val="166747F5"/>
    <w:rsid w:val="166F7788"/>
    <w:rsid w:val="167A6401"/>
    <w:rsid w:val="16857CF4"/>
    <w:rsid w:val="16B16755"/>
    <w:rsid w:val="16B22AC0"/>
    <w:rsid w:val="16B34401"/>
    <w:rsid w:val="16DA3FF8"/>
    <w:rsid w:val="16DB37EE"/>
    <w:rsid w:val="16E93593"/>
    <w:rsid w:val="16F31AAA"/>
    <w:rsid w:val="16FC458E"/>
    <w:rsid w:val="16FD7881"/>
    <w:rsid w:val="16FE364C"/>
    <w:rsid w:val="170058B7"/>
    <w:rsid w:val="17134731"/>
    <w:rsid w:val="171F4C62"/>
    <w:rsid w:val="174D7E49"/>
    <w:rsid w:val="175665D9"/>
    <w:rsid w:val="176E7E87"/>
    <w:rsid w:val="17930310"/>
    <w:rsid w:val="179A522B"/>
    <w:rsid w:val="17B457C7"/>
    <w:rsid w:val="17C626AA"/>
    <w:rsid w:val="17CF6845"/>
    <w:rsid w:val="17E304C2"/>
    <w:rsid w:val="18195A8B"/>
    <w:rsid w:val="183B43AC"/>
    <w:rsid w:val="185019D6"/>
    <w:rsid w:val="186A2C77"/>
    <w:rsid w:val="18752226"/>
    <w:rsid w:val="187C428F"/>
    <w:rsid w:val="18847056"/>
    <w:rsid w:val="189345FB"/>
    <w:rsid w:val="1898628C"/>
    <w:rsid w:val="189C65BA"/>
    <w:rsid w:val="18AF208B"/>
    <w:rsid w:val="18C07B0D"/>
    <w:rsid w:val="18CD1E7D"/>
    <w:rsid w:val="18DA3BE1"/>
    <w:rsid w:val="18DD6B73"/>
    <w:rsid w:val="18DE674D"/>
    <w:rsid w:val="18E2370A"/>
    <w:rsid w:val="18E83A63"/>
    <w:rsid w:val="18EE606A"/>
    <w:rsid w:val="18F67D4C"/>
    <w:rsid w:val="190510A1"/>
    <w:rsid w:val="19197205"/>
    <w:rsid w:val="191D515C"/>
    <w:rsid w:val="1929181D"/>
    <w:rsid w:val="192E4D69"/>
    <w:rsid w:val="193C7C41"/>
    <w:rsid w:val="19543F09"/>
    <w:rsid w:val="19561EB2"/>
    <w:rsid w:val="195F7E78"/>
    <w:rsid w:val="19625900"/>
    <w:rsid w:val="19626F4A"/>
    <w:rsid w:val="196A32DC"/>
    <w:rsid w:val="196E33DC"/>
    <w:rsid w:val="197A3A86"/>
    <w:rsid w:val="19807D09"/>
    <w:rsid w:val="19A31D9A"/>
    <w:rsid w:val="19A64024"/>
    <w:rsid w:val="19B06FFD"/>
    <w:rsid w:val="19B748B4"/>
    <w:rsid w:val="19BD4DB3"/>
    <w:rsid w:val="19BF2633"/>
    <w:rsid w:val="19D24C26"/>
    <w:rsid w:val="19E36D5D"/>
    <w:rsid w:val="19EF669E"/>
    <w:rsid w:val="19FB5F55"/>
    <w:rsid w:val="19FF0FDF"/>
    <w:rsid w:val="1A017A2D"/>
    <w:rsid w:val="1A1A75D1"/>
    <w:rsid w:val="1A2443B4"/>
    <w:rsid w:val="1A342417"/>
    <w:rsid w:val="1A3F7FA4"/>
    <w:rsid w:val="1A403BAF"/>
    <w:rsid w:val="1A481282"/>
    <w:rsid w:val="1A485B68"/>
    <w:rsid w:val="1A524D9B"/>
    <w:rsid w:val="1A5A1F07"/>
    <w:rsid w:val="1A6D4D8F"/>
    <w:rsid w:val="1A791911"/>
    <w:rsid w:val="1A871532"/>
    <w:rsid w:val="1A9822F1"/>
    <w:rsid w:val="1A9D4D54"/>
    <w:rsid w:val="1A9F3D20"/>
    <w:rsid w:val="1AA612E2"/>
    <w:rsid w:val="1ABB28BF"/>
    <w:rsid w:val="1ADB06C7"/>
    <w:rsid w:val="1AEA51C4"/>
    <w:rsid w:val="1AFC08B7"/>
    <w:rsid w:val="1AFF12A4"/>
    <w:rsid w:val="1B0E405B"/>
    <w:rsid w:val="1B1442BD"/>
    <w:rsid w:val="1B1A1B11"/>
    <w:rsid w:val="1B1C2884"/>
    <w:rsid w:val="1B44362A"/>
    <w:rsid w:val="1B5A3929"/>
    <w:rsid w:val="1B702D4C"/>
    <w:rsid w:val="1B70730A"/>
    <w:rsid w:val="1BAD69F3"/>
    <w:rsid w:val="1BAE39C1"/>
    <w:rsid w:val="1BB76FAE"/>
    <w:rsid w:val="1BBB39CE"/>
    <w:rsid w:val="1BBF5FB4"/>
    <w:rsid w:val="1BC85727"/>
    <w:rsid w:val="1BCE535F"/>
    <w:rsid w:val="1BD35D71"/>
    <w:rsid w:val="1BD63B81"/>
    <w:rsid w:val="1BDF09CC"/>
    <w:rsid w:val="1BF72C59"/>
    <w:rsid w:val="1C30724A"/>
    <w:rsid w:val="1C3B35F5"/>
    <w:rsid w:val="1C427BA2"/>
    <w:rsid w:val="1C776221"/>
    <w:rsid w:val="1C782BD3"/>
    <w:rsid w:val="1C7A3A71"/>
    <w:rsid w:val="1C837E6C"/>
    <w:rsid w:val="1CB457DF"/>
    <w:rsid w:val="1CC0271E"/>
    <w:rsid w:val="1CD44DE9"/>
    <w:rsid w:val="1CD53F3C"/>
    <w:rsid w:val="1CE030CE"/>
    <w:rsid w:val="1CFD26F2"/>
    <w:rsid w:val="1D335296"/>
    <w:rsid w:val="1D38416D"/>
    <w:rsid w:val="1D46097F"/>
    <w:rsid w:val="1D4C1E36"/>
    <w:rsid w:val="1D532F28"/>
    <w:rsid w:val="1D552B18"/>
    <w:rsid w:val="1D8C5A8B"/>
    <w:rsid w:val="1DAF1AA9"/>
    <w:rsid w:val="1DB12606"/>
    <w:rsid w:val="1DB44B12"/>
    <w:rsid w:val="1DB93A55"/>
    <w:rsid w:val="1DBB710C"/>
    <w:rsid w:val="1DC04451"/>
    <w:rsid w:val="1E0137E4"/>
    <w:rsid w:val="1E070710"/>
    <w:rsid w:val="1E183D56"/>
    <w:rsid w:val="1E1B6D86"/>
    <w:rsid w:val="1E231108"/>
    <w:rsid w:val="1E5248CC"/>
    <w:rsid w:val="1E6D174A"/>
    <w:rsid w:val="1E9406E9"/>
    <w:rsid w:val="1EAD6683"/>
    <w:rsid w:val="1EB86012"/>
    <w:rsid w:val="1EC76150"/>
    <w:rsid w:val="1ED418AB"/>
    <w:rsid w:val="1EF47B01"/>
    <w:rsid w:val="1F2626D1"/>
    <w:rsid w:val="1F3D6270"/>
    <w:rsid w:val="1F3E5B46"/>
    <w:rsid w:val="1F42460C"/>
    <w:rsid w:val="1F57445A"/>
    <w:rsid w:val="1F5C54B6"/>
    <w:rsid w:val="1F61342B"/>
    <w:rsid w:val="1F7C3566"/>
    <w:rsid w:val="1F885EA4"/>
    <w:rsid w:val="1F8E05D9"/>
    <w:rsid w:val="1FA072EB"/>
    <w:rsid w:val="1FB34C0A"/>
    <w:rsid w:val="1FBF6D38"/>
    <w:rsid w:val="1FC52DBA"/>
    <w:rsid w:val="1FC56CDF"/>
    <w:rsid w:val="1FCD2AAA"/>
    <w:rsid w:val="1FD36554"/>
    <w:rsid w:val="1FF80C1E"/>
    <w:rsid w:val="1FFC6429"/>
    <w:rsid w:val="20174450"/>
    <w:rsid w:val="20196830"/>
    <w:rsid w:val="202B70A7"/>
    <w:rsid w:val="205D69DE"/>
    <w:rsid w:val="207B415A"/>
    <w:rsid w:val="2085443B"/>
    <w:rsid w:val="208706BB"/>
    <w:rsid w:val="208E444E"/>
    <w:rsid w:val="208F6CC9"/>
    <w:rsid w:val="209253B3"/>
    <w:rsid w:val="209763F1"/>
    <w:rsid w:val="20AD2B9C"/>
    <w:rsid w:val="20D263E6"/>
    <w:rsid w:val="20D45E90"/>
    <w:rsid w:val="20DF3022"/>
    <w:rsid w:val="20E61DB7"/>
    <w:rsid w:val="20EC0D15"/>
    <w:rsid w:val="20F71053"/>
    <w:rsid w:val="20F71C18"/>
    <w:rsid w:val="21064F07"/>
    <w:rsid w:val="210E3ED0"/>
    <w:rsid w:val="21202395"/>
    <w:rsid w:val="2126281C"/>
    <w:rsid w:val="213672FD"/>
    <w:rsid w:val="21370155"/>
    <w:rsid w:val="213C108E"/>
    <w:rsid w:val="213D5DFF"/>
    <w:rsid w:val="213E5EE0"/>
    <w:rsid w:val="214B184A"/>
    <w:rsid w:val="216C75E1"/>
    <w:rsid w:val="218B49CF"/>
    <w:rsid w:val="219243E4"/>
    <w:rsid w:val="21C4324D"/>
    <w:rsid w:val="21CC0070"/>
    <w:rsid w:val="21DE0574"/>
    <w:rsid w:val="21DE532D"/>
    <w:rsid w:val="21DF12CC"/>
    <w:rsid w:val="21E32D9E"/>
    <w:rsid w:val="21E44613"/>
    <w:rsid w:val="21EB5A8B"/>
    <w:rsid w:val="21FF6CDF"/>
    <w:rsid w:val="22111D35"/>
    <w:rsid w:val="2214735E"/>
    <w:rsid w:val="221F4905"/>
    <w:rsid w:val="22427C13"/>
    <w:rsid w:val="22455D51"/>
    <w:rsid w:val="225D3185"/>
    <w:rsid w:val="226132BE"/>
    <w:rsid w:val="226B43F4"/>
    <w:rsid w:val="22755638"/>
    <w:rsid w:val="22895D9B"/>
    <w:rsid w:val="22914CB6"/>
    <w:rsid w:val="229A7974"/>
    <w:rsid w:val="22AB09E3"/>
    <w:rsid w:val="22B76CA7"/>
    <w:rsid w:val="22D42137"/>
    <w:rsid w:val="22DD153C"/>
    <w:rsid w:val="22DF6070"/>
    <w:rsid w:val="22DF6FEF"/>
    <w:rsid w:val="22E93CC7"/>
    <w:rsid w:val="22E94EB2"/>
    <w:rsid w:val="22EC4AD8"/>
    <w:rsid w:val="22F56B4C"/>
    <w:rsid w:val="22FE3C10"/>
    <w:rsid w:val="230962D3"/>
    <w:rsid w:val="230B087E"/>
    <w:rsid w:val="231C16D1"/>
    <w:rsid w:val="231D3D05"/>
    <w:rsid w:val="23217D52"/>
    <w:rsid w:val="237017EF"/>
    <w:rsid w:val="237062E0"/>
    <w:rsid w:val="2373475E"/>
    <w:rsid w:val="23761769"/>
    <w:rsid w:val="238464DA"/>
    <w:rsid w:val="238547B4"/>
    <w:rsid w:val="23877A3B"/>
    <w:rsid w:val="23A24309"/>
    <w:rsid w:val="23AF459A"/>
    <w:rsid w:val="23C31665"/>
    <w:rsid w:val="23CA5BA6"/>
    <w:rsid w:val="23D16249"/>
    <w:rsid w:val="23F80193"/>
    <w:rsid w:val="23FA71BC"/>
    <w:rsid w:val="241D7AF0"/>
    <w:rsid w:val="24446686"/>
    <w:rsid w:val="244E2977"/>
    <w:rsid w:val="2453676C"/>
    <w:rsid w:val="245D610E"/>
    <w:rsid w:val="246E665B"/>
    <w:rsid w:val="2471637A"/>
    <w:rsid w:val="247B5F08"/>
    <w:rsid w:val="2486145B"/>
    <w:rsid w:val="24891566"/>
    <w:rsid w:val="24894EA0"/>
    <w:rsid w:val="248F4DDE"/>
    <w:rsid w:val="249B5E35"/>
    <w:rsid w:val="24A076B1"/>
    <w:rsid w:val="24A60395"/>
    <w:rsid w:val="24CB7C75"/>
    <w:rsid w:val="24DE7331"/>
    <w:rsid w:val="24E91D87"/>
    <w:rsid w:val="24FE0CDF"/>
    <w:rsid w:val="24FE6A30"/>
    <w:rsid w:val="250F5D47"/>
    <w:rsid w:val="25137BAE"/>
    <w:rsid w:val="251938B0"/>
    <w:rsid w:val="25345F2F"/>
    <w:rsid w:val="253C586F"/>
    <w:rsid w:val="2542426C"/>
    <w:rsid w:val="25441A81"/>
    <w:rsid w:val="254D333E"/>
    <w:rsid w:val="25601FDC"/>
    <w:rsid w:val="25646491"/>
    <w:rsid w:val="256A5FE2"/>
    <w:rsid w:val="258C6EF5"/>
    <w:rsid w:val="259778F7"/>
    <w:rsid w:val="259D0CF4"/>
    <w:rsid w:val="25A667D6"/>
    <w:rsid w:val="25A742B3"/>
    <w:rsid w:val="25D80D37"/>
    <w:rsid w:val="25DA0A71"/>
    <w:rsid w:val="25ED75AA"/>
    <w:rsid w:val="25F47829"/>
    <w:rsid w:val="25F608E6"/>
    <w:rsid w:val="25FD1F39"/>
    <w:rsid w:val="2612595C"/>
    <w:rsid w:val="26171769"/>
    <w:rsid w:val="264077C3"/>
    <w:rsid w:val="264B480C"/>
    <w:rsid w:val="26632C23"/>
    <w:rsid w:val="266A0D69"/>
    <w:rsid w:val="266B1B0B"/>
    <w:rsid w:val="26714548"/>
    <w:rsid w:val="267B10C6"/>
    <w:rsid w:val="267D42F6"/>
    <w:rsid w:val="26892B7B"/>
    <w:rsid w:val="26A369A8"/>
    <w:rsid w:val="26B87718"/>
    <w:rsid w:val="26C30FEA"/>
    <w:rsid w:val="26C65B3C"/>
    <w:rsid w:val="26CE786B"/>
    <w:rsid w:val="26E33F24"/>
    <w:rsid w:val="26F27976"/>
    <w:rsid w:val="26F30769"/>
    <w:rsid w:val="2702551C"/>
    <w:rsid w:val="27115DE2"/>
    <w:rsid w:val="27125F14"/>
    <w:rsid w:val="27221698"/>
    <w:rsid w:val="272A7E84"/>
    <w:rsid w:val="273C42E8"/>
    <w:rsid w:val="273C5CC3"/>
    <w:rsid w:val="27474FC6"/>
    <w:rsid w:val="274E0A80"/>
    <w:rsid w:val="27614596"/>
    <w:rsid w:val="276B1428"/>
    <w:rsid w:val="279F09C8"/>
    <w:rsid w:val="27B85093"/>
    <w:rsid w:val="27C830C9"/>
    <w:rsid w:val="27CD39E8"/>
    <w:rsid w:val="27CE7DA4"/>
    <w:rsid w:val="27DF1BEA"/>
    <w:rsid w:val="27EC70D6"/>
    <w:rsid w:val="27F26F54"/>
    <w:rsid w:val="27FD4E90"/>
    <w:rsid w:val="280F1E94"/>
    <w:rsid w:val="281807FF"/>
    <w:rsid w:val="28190684"/>
    <w:rsid w:val="28285A52"/>
    <w:rsid w:val="282C7B73"/>
    <w:rsid w:val="283143C2"/>
    <w:rsid w:val="283C272B"/>
    <w:rsid w:val="28482D76"/>
    <w:rsid w:val="28486088"/>
    <w:rsid w:val="284C3184"/>
    <w:rsid w:val="28543405"/>
    <w:rsid w:val="2896448B"/>
    <w:rsid w:val="289A00A4"/>
    <w:rsid w:val="289C1112"/>
    <w:rsid w:val="28AF00EF"/>
    <w:rsid w:val="28C74290"/>
    <w:rsid w:val="28C76526"/>
    <w:rsid w:val="28D258AA"/>
    <w:rsid w:val="28D62A6E"/>
    <w:rsid w:val="28F02624"/>
    <w:rsid w:val="28F36C47"/>
    <w:rsid w:val="28F54804"/>
    <w:rsid w:val="291862BB"/>
    <w:rsid w:val="2923388E"/>
    <w:rsid w:val="292978E8"/>
    <w:rsid w:val="292F320A"/>
    <w:rsid w:val="293E54EF"/>
    <w:rsid w:val="29456573"/>
    <w:rsid w:val="295948CA"/>
    <w:rsid w:val="296B3AE9"/>
    <w:rsid w:val="2977546C"/>
    <w:rsid w:val="297B09F3"/>
    <w:rsid w:val="297F11CF"/>
    <w:rsid w:val="299D1A7A"/>
    <w:rsid w:val="29AC1FD6"/>
    <w:rsid w:val="29B71C16"/>
    <w:rsid w:val="29BC4910"/>
    <w:rsid w:val="29EC6F6F"/>
    <w:rsid w:val="2A23268B"/>
    <w:rsid w:val="2A300CCD"/>
    <w:rsid w:val="2A433971"/>
    <w:rsid w:val="2A454FBC"/>
    <w:rsid w:val="2A827A1E"/>
    <w:rsid w:val="2A843F27"/>
    <w:rsid w:val="2A9B61C3"/>
    <w:rsid w:val="2AA36B5F"/>
    <w:rsid w:val="2AA877A4"/>
    <w:rsid w:val="2AA87F80"/>
    <w:rsid w:val="2AC4436A"/>
    <w:rsid w:val="2AD91065"/>
    <w:rsid w:val="2AE52C28"/>
    <w:rsid w:val="2AE54D5B"/>
    <w:rsid w:val="2AE85D04"/>
    <w:rsid w:val="2AF60FBE"/>
    <w:rsid w:val="2B194836"/>
    <w:rsid w:val="2B34797A"/>
    <w:rsid w:val="2B441D16"/>
    <w:rsid w:val="2B4C20EA"/>
    <w:rsid w:val="2B4E269B"/>
    <w:rsid w:val="2B533AB4"/>
    <w:rsid w:val="2B535A2C"/>
    <w:rsid w:val="2B547ED2"/>
    <w:rsid w:val="2B5B64CB"/>
    <w:rsid w:val="2B6C17DA"/>
    <w:rsid w:val="2B6C7973"/>
    <w:rsid w:val="2B872DC9"/>
    <w:rsid w:val="2B9125D6"/>
    <w:rsid w:val="2B9241B8"/>
    <w:rsid w:val="2B99209C"/>
    <w:rsid w:val="2B992B65"/>
    <w:rsid w:val="2BA50A37"/>
    <w:rsid w:val="2BBE424D"/>
    <w:rsid w:val="2C0061E0"/>
    <w:rsid w:val="2C043854"/>
    <w:rsid w:val="2C082DDE"/>
    <w:rsid w:val="2C2005B3"/>
    <w:rsid w:val="2C310BB9"/>
    <w:rsid w:val="2C395A82"/>
    <w:rsid w:val="2C4B69AC"/>
    <w:rsid w:val="2C630AE6"/>
    <w:rsid w:val="2C743646"/>
    <w:rsid w:val="2C796C69"/>
    <w:rsid w:val="2C8B735E"/>
    <w:rsid w:val="2CAD14CA"/>
    <w:rsid w:val="2CAE05D8"/>
    <w:rsid w:val="2CC448C8"/>
    <w:rsid w:val="2CD6130F"/>
    <w:rsid w:val="2CD97ED7"/>
    <w:rsid w:val="2CE57349"/>
    <w:rsid w:val="2CEA697F"/>
    <w:rsid w:val="2CF07D41"/>
    <w:rsid w:val="2D15439D"/>
    <w:rsid w:val="2D181123"/>
    <w:rsid w:val="2D2F584F"/>
    <w:rsid w:val="2D3702C9"/>
    <w:rsid w:val="2D422A50"/>
    <w:rsid w:val="2D461652"/>
    <w:rsid w:val="2D4D6953"/>
    <w:rsid w:val="2D5C752D"/>
    <w:rsid w:val="2D5D3C06"/>
    <w:rsid w:val="2D7D6ABF"/>
    <w:rsid w:val="2D8D54E4"/>
    <w:rsid w:val="2D975195"/>
    <w:rsid w:val="2D984A51"/>
    <w:rsid w:val="2DAA65E2"/>
    <w:rsid w:val="2DCC1103"/>
    <w:rsid w:val="2DD826E7"/>
    <w:rsid w:val="2DD945CE"/>
    <w:rsid w:val="2DE11E24"/>
    <w:rsid w:val="2E032286"/>
    <w:rsid w:val="2E143443"/>
    <w:rsid w:val="2E166456"/>
    <w:rsid w:val="2E2679D0"/>
    <w:rsid w:val="2E435ED6"/>
    <w:rsid w:val="2E58270B"/>
    <w:rsid w:val="2E604AFF"/>
    <w:rsid w:val="2E6345A0"/>
    <w:rsid w:val="2E7379F9"/>
    <w:rsid w:val="2E757B91"/>
    <w:rsid w:val="2EA44CBF"/>
    <w:rsid w:val="2EA63C26"/>
    <w:rsid w:val="2EE46DE1"/>
    <w:rsid w:val="2EEC3498"/>
    <w:rsid w:val="2EEC4701"/>
    <w:rsid w:val="2EF93C1F"/>
    <w:rsid w:val="2EFC4430"/>
    <w:rsid w:val="2F10716F"/>
    <w:rsid w:val="2F373A50"/>
    <w:rsid w:val="2F550242"/>
    <w:rsid w:val="2F564F68"/>
    <w:rsid w:val="2F576F95"/>
    <w:rsid w:val="2F5808EB"/>
    <w:rsid w:val="2F58354D"/>
    <w:rsid w:val="2F5B45B5"/>
    <w:rsid w:val="2F5E7D3A"/>
    <w:rsid w:val="2F8A2281"/>
    <w:rsid w:val="2F9565B6"/>
    <w:rsid w:val="2FB86297"/>
    <w:rsid w:val="2FBA2587"/>
    <w:rsid w:val="2FBF030F"/>
    <w:rsid w:val="2FC21414"/>
    <w:rsid w:val="2FCA505E"/>
    <w:rsid w:val="2FD55524"/>
    <w:rsid w:val="2FDA6E7D"/>
    <w:rsid w:val="2FF70481"/>
    <w:rsid w:val="2FFE2258"/>
    <w:rsid w:val="3000200D"/>
    <w:rsid w:val="300D18A0"/>
    <w:rsid w:val="302335D5"/>
    <w:rsid w:val="30284A62"/>
    <w:rsid w:val="3043305C"/>
    <w:rsid w:val="305B104D"/>
    <w:rsid w:val="30605C52"/>
    <w:rsid w:val="306F76A8"/>
    <w:rsid w:val="30704F92"/>
    <w:rsid w:val="307B4F65"/>
    <w:rsid w:val="30834282"/>
    <w:rsid w:val="30951BFC"/>
    <w:rsid w:val="309700AA"/>
    <w:rsid w:val="30987964"/>
    <w:rsid w:val="30996C00"/>
    <w:rsid w:val="309D2809"/>
    <w:rsid w:val="30A53824"/>
    <w:rsid w:val="30C03947"/>
    <w:rsid w:val="30C135E3"/>
    <w:rsid w:val="30C30574"/>
    <w:rsid w:val="30C318F4"/>
    <w:rsid w:val="30CC79B3"/>
    <w:rsid w:val="30CD0AD4"/>
    <w:rsid w:val="30DD5421"/>
    <w:rsid w:val="30F273DD"/>
    <w:rsid w:val="31133A2C"/>
    <w:rsid w:val="31236F94"/>
    <w:rsid w:val="312D64AC"/>
    <w:rsid w:val="314245BC"/>
    <w:rsid w:val="314F785D"/>
    <w:rsid w:val="31544E5A"/>
    <w:rsid w:val="315547DC"/>
    <w:rsid w:val="315701F2"/>
    <w:rsid w:val="31623F26"/>
    <w:rsid w:val="318A771D"/>
    <w:rsid w:val="319A1B03"/>
    <w:rsid w:val="31AA34EA"/>
    <w:rsid w:val="31CE735D"/>
    <w:rsid w:val="31D80646"/>
    <w:rsid w:val="31DC5D51"/>
    <w:rsid w:val="31E506E7"/>
    <w:rsid w:val="31EE2DCC"/>
    <w:rsid w:val="31F20088"/>
    <w:rsid w:val="32057D1D"/>
    <w:rsid w:val="32071AED"/>
    <w:rsid w:val="321710A0"/>
    <w:rsid w:val="323315F4"/>
    <w:rsid w:val="324C4498"/>
    <w:rsid w:val="324E0FF3"/>
    <w:rsid w:val="324F2C51"/>
    <w:rsid w:val="3252429D"/>
    <w:rsid w:val="325763C8"/>
    <w:rsid w:val="326300EA"/>
    <w:rsid w:val="32774086"/>
    <w:rsid w:val="328113E4"/>
    <w:rsid w:val="328603F8"/>
    <w:rsid w:val="328858A0"/>
    <w:rsid w:val="329B5EF7"/>
    <w:rsid w:val="32A46A5D"/>
    <w:rsid w:val="32AE009D"/>
    <w:rsid w:val="32B9196A"/>
    <w:rsid w:val="32BC76A7"/>
    <w:rsid w:val="32F240BC"/>
    <w:rsid w:val="32FA2A04"/>
    <w:rsid w:val="33136C4A"/>
    <w:rsid w:val="33263C88"/>
    <w:rsid w:val="333809DE"/>
    <w:rsid w:val="33557715"/>
    <w:rsid w:val="335E7CBA"/>
    <w:rsid w:val="33606F9E"/>
    <w:rsid w:val="338711F2"/>
    <w:rsid w:val="338B1B97"/>
    <w:rsid w:val="338B532F"/>
    <w:rsid w:val="3397101D"/>
    <w:rsid w:val="33B12738"/>
    <w:rsid w:val="33B12FC3"/>
    <w:rsid w:val="33BA1474"/>
    <w:rsid w:val="33C86F9F"/>
    <w:rsid w:val="33CB656F"/>
    <w:rsid w:val="33D37E15"/>
    <w:rsid w:val="33EC1DEE"/>
    <w:rsid w:val="33F87F82"/>
    <w:rsid w:val="34036C9E"/>
    <w:rsid w:val="34127A92"/>
    <w:rsid w:val="341712D0"/>
    <w:rsid w:val="341D2E63"/>
    <w:rsid w:val="342F4EFB"/>
    <w:rsid w:val="348538D8"/>
    <w:rsid w:val="348C4450"/>
    <w:rsid w:val="3491429F"/>
    <w:rsid w:val="349B328E"/>
    <w:rsid w:val="34B122F8"/>
    <w:rsid w:val="34B13FF9"/>
    <w:rsid w:val="34B97534"/>
    <w:rsid w:val="34BA5263"/>
    <w:rsid w:val="34C75A69"/>
    <w:rsid w:val="34C90AC0"/>
    <w:rsid w:val="34D266FE"/>
    <w:rsid w:val="34E73359"/>
    <w:rsid w:val="34EF19EF"/>
    <w:rsid w:val="34F60E45"/>
    <w:rsid w:val="34FB1F4D"/>
    <w:rsid w:val="34FC3C69"/>
    <w:rsid w:val="35010DB4"/>
    <w:rsid w:val="35032503"/>
    <w:rsid w:val="350815EC"/>
    <w:rsid w:val="351C29DE"/>
    <w:rsid w:val="352D33BE"/>
    <w:rsid w:val="352F318A"/>
    <w:rsid w:val="353049B6"/>
    <w:rsid w:val="353804C5"/>
    <w:rsid w:val="35480889"/>
    <w:rsid w:val="35494624"/>
    <w:rsid w:val="355025AF"/>
    <w:rsid w:val="35582CA6"/>
    <w:rsid w:val="357A6D00"/>
    <w:rsid w:val="3589345D"/>
    <w:rsid w:val="35A617CB"/>
    <w:rsid w:val="35B45A71"/>
    <w:rsid w:val="35CB6696"/>
    <w:rsid w:val="35E0667B"/>
    <w:rsid w:val="35FE27E2"/>
    <w:rsid w:val="3627193C"/>
    <w:rsid w:val="36360DCF"/>
    <w:rsid w:val="36433F95"/>
    <w:rsid w:val="36502E3D"/>
    <w:rsid w:val="36610931"/>
    <w:rsid w:val="367E39BA"/>
    <w:rsid w:val="36903323"/>
    <w:rsid w:val="3697159D"/>
    <w:rsid w:val="369B52FF"/>
    <w:rsid w:val="36A617D4"/>
    <w:rsid w:val="36A74600"/>
    <w:rsid w:val="36A924E2"/>
    <w:rsid w:val="36A94409"/>
    <w:rsid w:val="36AC6633"/>
    <w:rsid w:val="36B93898"/>
    <w:rsid w:val="36CF3AA9"/>
    <w:rsid w:val="36D73033"/>
    <w:rsid w:val="36D84C5D"/>
    <w:rsid w:val="36E50687"/>
    <w:rsid w:val="36ED2577"/>
    <w:rsid w:val="376813EB"/>
    <w:rsid w:val="377A5206"/>
    <w:rsid w:val="37816ADB"/>
    <w:rsid w:val="378B6948"/>
    <w:rsid w:val="37A913F9"/>
    <w:rsid w:val="37B16815"/>
    <w:rsid w:val="37B64F7F"/>
    <w:rsid w:val="37BE35FD"/>
    <w:rsid w:val="37BE6397"/>
    <w:rsid w:val="37C02F56"/>
    <w:rsid w:val="37E57E53"/>
    <w:rsid w:val="38064362"/>
    <w:rsid w:val="38217ADE"/>
    <w:rsid w:val="383F397D"/>
    <w:rsid w:val="38405CF0"/>
    <w:rsid w:val="384B2C4F"/>
    <w:rsid w:val="384B7517"/>
    <w:rsid w:val="384F487F"/>
    <w:rsid w:val="385612FA"/>
    <w:rsid w:val="385E37AB"/>
    <w:rsid w:val="389C59D6"/>
    <w:rsid w:val="38A87FBB"/>
    <w:rsid w:val="38AB6CE6"/>
    <w:rsid w:val="38C2158E"/>
    <w:rsid w:val="38C31F0F"/>
    <w:rsid w:val="38D40AB5"/>
    <w:rsid w:val="38D71401"/>
    <w:rsid w:val="38DB665C"/>
    <w:rsid w:val="38DD251F"/>
    <w:rsid w:val="38DE13F0"/>
    <w:rsid w:val="38E15393"/>
    <w:rsid w:val="38E17486"/>
    <w:rsid w:val="39027565"/>
    <w:rsid w:val="391C2899"/>
    <w:rsid w:val="395A4A24"/>
    <w:rsid w:val="396D6BBB"/>
    <w:rsid w:val="396F0069"/>
    <w:rsid w:val="39904E64"/>
    <w:rsid w:val="399A7363"/>
    <w:rsid w:val="39C8579A"/>
    <w:rsid w:val="39D709A6"/>
    <w:rsid w:val="39DB6D94"/>
    <w:rsid w:val="39DC1478"/>
    <w:rsid w:val="39E22B73"/>
    <w:rsid w:val="39E6170B"/>
    <w:rsid w:val="39F10553"/>
    <w:rsid w:val="39F13E98"/>
    <w:rsid w:val="3A035CD4"/>
    <w:rsid w:val="3A1A3591"/>
    <w:rsid w:val="3A240339"/>
    <w:rsid w:val="3A3316C8"/>
    <w:rsid w:val="3A383736"/>
    <w:rsid w:val="3A466183"/>
    <w:rsid w:val="3A4F198A"/>
    <w:rsid w:val="3A514DE4"/>
    <w:rsid w:val="3A690DF9"/>
    <w:rsid w:val="3A8020EA"/>
    <w:rsid w:val="3A8F48CE"/>
    <w:rsid w:val="3A9813DE"/>
    <w:rsid w:val="3AA57C5F"/>
    <w:rsid w:val="3AAA44BC"/>
    <w:rsid w:val="3AAB73AA"/>
    <w:rsid w:val="3AC9547A"/>
    <w:rsid w:val="3AED0669"/>
    <w:rsid w:val="3AED3481"/>
    <w:rsid w:val="3AF96796"/>
    <w:rsid w:val="3B0964ED"/>
    <w:rsid w:val="3B1A1C78"/>
    <w:rsid w:val="3B2D67CB"/>
    <w:rsid w:val="3B326D1A"/>
    <w:rsid w:val="3B351BFC"/>
    <w:rsid w:val="3B505310"/>
    <w:rsid w:val="3B784A94"/>
    <w:rsid w:val="3B822912"/>
    <w:rsid w:val="3B873815"/>
    <w:rsid w:val="3B990F98"/>
    <w:rsid w:val="3B9D772A"/>
    <w:rsid w:val="3BA02B4E"/>
    <w:rsid w:val="3BB23508"/>
    <w:rsid w:val="3BB3790D"/>
    <w:rsid w:val="3BBF6E72"/>
    <w:rsid w:val="3BC15D12"/>
    <w:rsid w:val="3BF10322"/>
    <w:rsid w:val="3C0337AE"/>
    <w:rsid w:val="3C0D43F7"/>
    <w:rsid w:val="3C234B4F"/>
    <w:rsid w:val="3C4A052D"/>
    <w:rsid w:val="3C4F1204"/>
    <w:rsid w:val="3C5712BA"/>
    <w:rsid w:val="3C67262F"/>
    <w:rsid w:val="3C9C465F"/>
    <w:rsid w:val="3CB76A7F"/>
    <w:rsid w:val="3CC40B50"/>
    <w:rsid w:val="3CD04FD4"/>
    <w:rsid w:val="3CE803F9"/>
    <w:rsid w:val="3CEC5C28"/>
    <w:rsid w:val="3CF26B34"/>
    <w:rsid w:val="3CF96A52"/>
    <w:rsid w:val="3CFB49A7"/>
    <w:rsid w:val="3D006A28"/>
    <w:rsid w:val="3D1D385A"/>
    <w:rsid w:val="3D204C27"/>
    <w:rsid w:val="3D566151"/>
    <w:rsid w:val="3D5A62B4"/>
    <w:rsid w:val="3D5F1191"/>
    <w:rsid w:val="3D6A4820"/>
    <w:rsid w:val="3D7D177C"/>
    <w:rsid w:val="3D867C33"/>
    <w:rsid w:val="3D982B9C"/>
    <w:rsid w:val="3DB63BCA"/>
    <w:rsid w:val="3DD32F7B"/>
    <w:rsid w:val="3DDB1CF4"/>
    <w:rsid w:val="3DF02F72"/>
    <w:rsid w:val="3E043549"/>
    <w:rsid w:val="3E112566"/>
    <w:rsid w:val="3E362625"/>
    <w:rsid w:val="3E4357A6"/>
    <w:rsid w:val="3E65296D"/>
    <w:rsid w:val="3E690E76"/>
    <w:rsid w:val="3E955C21"/>
    <w:rsid w:val="3E9574A2"/>
    <w:rsid w:val="3EC14435"/>
    <w:rsid w:val="3EC1467C"/>
    <w:rsid w:val="3EC23511"/>
    <w:rsid w:val="3EC4412D"/>
    <w:rsid w:val="3ED410EB"/>
    <w:rsid w:val="3EE258C2"/>
    <w:rsid w:val="3EE76533"/>
    <w:rsid w:val="3EF27B52"/>
    <w:rsid w:val="3EF47AB4"/>
    <w:rsid w:val="3EFA1FBB"/>
    <w:rsid w:val="3F0430CE"/>
    <w:rsid w:val="3F046514"/>
    <w:rsid w:val="3F0F49D0"/>
    <w:rsid w:val="3F1D262A"/>
    <w:rsid w:val="3F201C44"/>
    <w:rsid w:val="3F2B54B3"/>
    <w:rsid w:val="3F3E5A9B"/>
    <w:rsid w:val="3F3F0A74"/>
    <w:rsid w:val="3F400F95"/>
    <w:rsid w:val="3F405659"/>
    <w:rsid w:val="3F530F91"/>
    <w:rsid w:val="3F5A2794"/>
    <w:rsid w:val="3F652E05"/>
    <w:rsid w:val="3F751A29"/>
    <w:rsid w:val="3F8F130E"/>
    <w:rsid w:val="3FA0399D"/>
    <w:rsid w:val="3FAF3AEE"/>
    <w:rsid w:val="3FB876C0"/>
    <w:rsid w:val="3FBC573B"/>
    <w:rsid w:val="3FCF4E4C"/>
    <w:rsid w:val="3FFA1502"/>
    <w:rsid w:val="40113FBA"/>
    <w:rsid w:val="40433C6D"/>
    <w:rsid w:val="40524A96"/>
    <w:rsid w:val="405921A9"/>
    <w:rsid w:val="4074630C"/>
    <w:rsid w:val="409163A3"/>
    <w:rsid w:val="40A5187E"/>
    <w:rsid w:val="40B03E89"/>
    <w:rsid w:val="40B352C8"/>
    <w:rsid w:val="40B42CAA"/>
    <w:rsid w:val="40CA1589"/>
    <w:rsid w:val="40D46ACE"/>
    <w:rsid w:val="40DC7785"/>
    <w:rsid w:val="40E107F4"/>
    <w:rsid w:val="40ED5934"/>
    <w:rsid w:val="40FE736E"/>
    <w:rsid w:val="41057C9B"/>
    <w:rsid w:val="41090804"/>
    <w:rsid w:val="4112309F"/>
    <w:rsid w:val="41234BFB"/>
    <w:rsid w:val="412755BD"/>
    <w:rsid w:val="412D1CC3"/>
    <w:rsid w:val="413A2410"/>
    <w:rsid w:val="41474753"/>
    <w:rsid w:val="414E2E44"/>
    <w:rsid w:val="416B52C8"/>
    <w:rsid w:val="416D1EE1"/>
    <w:rsid w:val="41771649"/>
    <w:rsid w:val="417B2387"/>
    <w:rsid w:val="41833C3E"/>
    <w:rsid w:val="419434B5"/>
    <w:rsid w:val="41B97186"/>
    <w:rsid w:val="41BF7E5D"/>
    <w:rsid w:val="41CB228A"/>
    <w:rsid w:val="41CE4F7E"/>
    <w:rsid w:val="41CF0114"/>
    <w:rsid w:val="41D107DC"/>
    <w:rsid w:val="41D17A19"/>
    <w:rsid w:val="41EF4D2A"/>
    <w:rsid w:val="41F354C9"/>
    <w:rsid w:val="41F76057"/>
    <w:rsid w:val="422B5D33"/>
    <w:rsid w:val="42436046"/>
    <w:rsid w:val="42506478"/>
    <w:rsid w:val="425C68B8"/>
    <w:rsid w:val="42672BAA"/>
    <w:rsid w:val="426C536F"/>
    <w:rsid w:val="426F47C3"/>
    <w:rsid w:val="428B0AB4"/>
    <w:rsid w:val="428B6F92"/>
    <w:rsid w:val="429C0749"/>
    <w:rsid w:val="429D6DF6"/>
    <w:rsid w:val="42CA08AB"/>
    <w:rsid w:val="42D13739"/>
    <w:rsid w:val="42DD463F"/>
    <w:rsid w:val="42ED2FE9"/>
    <w:rsid w:val="42FC4CE2"/>
    <w:rsid w:val="42FF0B84"/>
    <w:rsid w:val="42FF24F0"/>
    <w:rsid w:val="43057DD8"/>
    <w:rsid w:val="431D1AB5"/>
    <w:rsid w:val="43254901"/>
    <w:rsid w:val="43282690"/>
    <w:rsid w:val="432C33F8"/>
    <w:rsid w:val="432C4D53"/>
    <w:rsid w:val="43302100"/>
    <w:rsid w:val="433D620C"/>
    <w:rsid w:val="43441284"/>
    <w:rsid w:val="435E5BA8"/>
    <w:rsid w:val="435F68D1"/>
    <w:rsid w:val="4362320A"/>
    <w:rsid w:val="43683A23"/>
    <w:rsid w:val="436D6BD2"/>
    <w:rsid w:val="436E7F7D"/>
    <w:rsid w:val="43706BA1"/>
    <w:rsid w:val="43744791"/>
    <w:rsid w:val="43752570"/>
    <w:rsid w:val="43790837"/>
    <w:rsid w:val="438224CC"/>
    <w:rsid w:val="43995F39"/>
    <w:rsid w:val="43A55CA9"/>
    <w:rsid w:val="43AC23C9"/>
    <w:rsid w:val="43B42D34"/>
    <w:rsid w:val="43C046C9"/>
    <w:rsid w:val="43F52ECB"/>
    <w:rsid w:val="440A263E"/>
    <w:rsid w:val="44111710"/>
    <w:rsid w:val="44116DDF"/>
    <w:rsid w:val="442211C8"/>
    <w:rsid w:val="442E6AFE"/>
    <w:rsid w:val="44347262"/>
    <w:rsid w:val="443E1AC8"/>
    <w:rsid w:val="444019DB"/>
    <w:rsid w:val="4444288F"/>
    <w:rsid w:val="444C6351"/>
    <w:rsid w:val="44546983"/>
    <w:rsid w:val="446A5BCA"/>
    <w:rsid w:val="44930D8B"/>
    <w:rsid w:val="44965090"/>
    <w:rsid w:val="44983428"/>
    <w:rsid w:val="44A20EAD"/>
    <w:rsid w:val="44A3548D"/>
    <w:rsid w:val="44B72665"/>
    <w:rsid w:val="44C76A36"/>
    <w:rsid w:val="44CA32DA"/>
    <w:rsid w:val="44D05958"/>
    <w:rsid w:val="44E16ED6"/>
    <w:rsid w:val="44E8569F"/>
    <w:rsid w:val="44EA36A2"/>
    <w:rsid w:val="44EF50EA"/>
    <w:rsid w:val="44F55792"/>
    <w:rsid w:val="450008A6"/>
    <w:rsid w:val="450D4160"/>
    <w:rsid w:val="4517259F"/>
    <w:rsid w:val="453645D1"/>
    <w:rsid w:val="455A12D9"/>
    <w:rsid w:val="4572728A"/>
    <w:rsid w:val="45741238"/>
    <w:rsid w:val="458060F6"/>
    <w:rsid w:val="458E1911"/>
    <w:rsid w:val="45BE7196"/>
    <w:rsid w:val="45F05143"/>
    <w:rsid w:val="45F13AC8"/>
    <w:rsid w:val="45FA4104"/>
    <w:rsid w:val="46002FBA"/>
    <w:rsid w:val="461F1208"/>
    <w:rsid w:val="463C1EE1"/>
    <w:rsid w:val="463D26C6"/>
    <w:rsid w:val="465A5CE3"/>
    <w:rsid w:val="46661ACE"/>
    <w:rsid w:val="466E0AC9"/>
    <w:rsid w:val="46733D05"/>
    <w:rsid w:val="46C02AFD"/>
    <w:rsid w:val="46CB4C46"/>
    <w:rsid w:val="46E35351"/>
    <w:rsid w:val="46E959DB"/>
    <w:rsid w:val="46F619DB"/>
    <w:rsid w:val="46FD249B"/>
    <w:rsid w:val="470A27C3"/>
    <w:rsid w:val="47163A16"/>
    <w:rsid w:val="471734AF"/>
    <w:rsid w:val="47174CA9"/>
    <w:rsid w:val="47380C4A"/>
    <w:rsid w:val="47447224"/>
    <w:rsid w:val="4751299A"/>
    <w:rsid w:val="475B3B0B"/>
    <w:rsid w:val="476004BE"/>
    <w:rsid w:val="476A067C"/>
    <w:rsid w:val="476C3B0A"/>
    <w:rsid w:val="478B7E7C"/>
    <w:rsid w:val="47A23253"/>
    <w:rsid w:val="47C77C52"/>
    <w:rsid w:val="47CD3318"/>
    <w:rsid w:val="47D36112"/>
    <w:rsid w:val="47D92BE3"/>
    <w:rsid w:val="47F73F54"/>
    <w:rsid w:val="47FF3332"/>
    <w:rsid w:val="480212AB"/>
    <w:rsid w:val="48027359"/>
    <w:rsid w:val="4803299C"/>
    <w:rsid w:val="48033126"/>
    <w:rsid w:val="480962F8"/>
    <w:rsid w:val="482113C4"/>
    <w:rsid w:val="48253225"/>
    <w:rsid w:val="482C385B"/>
    <w:rsid w:val="4830067E"/>
    <w:rsid w:val="484E2C87"/>
    <w:rsid w:val="486729F8"/>
    <w:rsid w:val="48677BFC"/>
    <w:rsid w:val="48767ADA"/>
    <w:rsid w:val="487936A5"/>
    <w:rsid w:val="488526D8"/>
    <w:rsid w:val="48891F70"/>
    <w:rsid w:val="489B7F2B"/>
    <w:rsid w:val="489D3738"/>
    <w:rsid w:val="48BF79BD"/>
    <w:rsid w:val="48DA66E1"/>
    <w:rsid w:val="48DB03B3"/>
    <w:rsid w:val="490816C4"/>
    <w:rsid w:val="491C556E"/>
    <w:rsid w:val="492F20CA"/>
    <w:rsid w:val="4936495A"/>
    <w:rsid w:val="494A11AD"/>
    <w:rsid w:val="498D6EDC"/>
    <w:rsid w:val="49A1730B"/>
    <w:rsid w:val="49CE11CF"/>
    <w:rsid w:val="49D229F3"/>
    <w:rsid w:val="49D92F00"/>
    <w:rsid w:val="49E76B4D"/>
    <w:rsid w:val="4A006708"/>
    <w:rsid w:val="4A0708E8"/>
    <w:rsid w:val="4A340FA6"/>
    <w:rsid w:val="4A5165FB"/>
    <w:rsid w:val="4A645F5C"/>
    <w:rsid w:val="4A7125A4"/>
    <w:rsid w:val="4A9E48FC"/>
    <w:rsid w:val="4AA932CB"/>
    <w:rsid w:val="4ACA1E9E"/>
    <w:rsid w:val="4ADC1E06"/>
    <w:rsid w:val="4AEA79B9"/>
    <w:rsid w:val="4AEE089A"/>
    <w:rsid w:val="4B136269"/>
    <w:rsid w:val="4B1A1FA0"/>
    <w:rsid w:val="4B1B7C67"/>
    <w:rsid w:val="4B27320B"/>
    <w:rsid w:val="4B47347F"/>
    <w:rsid w:val="4B6A4A77"/>
    <w:rsid w:val="4B732656"/>
    <w:rsid w:val="4B780A86"/>
    <w:rsid w:val="4B7D3700"/>
    <w:rsid w:val="4B91163D"/>
    <w:rsid w:val="4B9C7EE6"/>
    <w:rsid w:val="4BA3274E"/>
    <w:rsid w:val="4BB61220"/>
    <w:rsid w:val="4BBE7F36"/>
    <w:rsid w:val="4BC965B6"/>
    <w:rsid w:val="4BD20B53"/>
    <w:rsid w:val="4BE57347"/>
    <w:rsid w:val="4BED6927"/>
    <w:rsid w:val="4BF57B74"/>
    <w:rsid w:val="4BFD09ED"/>
    <w:rsid w:val="4C15282F"/>
    <w:rsid w:val="4C161E81"/>
    <w:rsid w:val="4C1A7D38"/>
    <w:rsid w:val="4C345AD4"/>
    <w:rsid w:val="4C38034B"/>
    <w:rsid w:val="4C3924AC"/>
    <w:rsid w:val="4C3C5793"/>
    <w:rsid w:val="4C44171A"/>
    <w:rsid w:val="4C4E226F"/>
    <w:rsid w:val="4C4E7935"/>
    <w:rsid w:val="4C5249E4"/>
    <w:rsid w:val="4C545601"/>
    <w:rsid w:val="4C640D03"/>
    <w:rsid w:val="4C7548EB"/>
    <w:rsid w:val="4C7650BF"/>
    <w:rsid w:val="4C79566F"/>
    <w:rsid w:val="4C853D9F"/>
    <w:rsid w:val="4C88262E"/>
    <w:rsid w:val="4C8C776B"/>
    <w:rsid w:val="4C9478CA"/>
    <w:rsid w:val="4CB232CB"/>
    <w:rsid w:val="4CBE09A6"/>
    <w:rsid w:val="4CC239AB"/>
    <w:rsid w:val="4CE74DA6"/>
    <w:rsid w:val="4CF85E2A"/>
    <w:rsid w:val="4D376461"/>
    <w:rsid w:val="4D620492"/>
    <w:rsid w:val="4D790C63"/>
    <w:rsid w:val="4D7E3E25"/>
    <w:rsid w:val="4D7F3051"/>
    <w:rsid w:val="4D807194"/>
    <w:rsid w:val="4D811F1C"/>
    <w:rsid w:val="4D814D4A"/>
    <w:rsid w:val="4D9C79E3"/>
    <w:rsid w:val="4D9F0EB1"/>
    <w:rsid w:val="4DAB2E13"/>
    <w:rsid w:val="4DBB576A"/>
    <w:rsid w:val="4DC4211A"/>
    <w:rsid w:val="4DC4539E"/>
    <w:rsid w:val="4DD11580"/>
    <w:rsid w:val="4DD97DAF"/>
    <w:rsid w:val="4DE9429F"/>
    <w:rsid w:val="4DEC5C79"/>
    <w:rsid w:val="4DFE5697"/>
    <w:rsid w:val="4E003CEA"/>
    <w:rsid w:val="4E012B0D"/>
    <w:rsid w:val="4E093721"/>
    <w:rsid w:val="4E105340"/>
    <w:rsid w:val="4E114C86"/>
    <w:rsid w:val="4E127759"/>
    <w:rsid w:val="4E174F2E"/>
    <w:rsid w:val="4E1D336E"/>
    <w:rsid w:val="4E293346"/>
    <w:rsid w:val="4E3D783C"/>
    <w:rsid w:val="4E422A98"/>
    <w:rsid w:val="4E50443F"/>
    <w:rsid w:val="4E610A22"/>
    <w:rsid w:val="4E6A6E54"/>
    <w:rsid w:val="4E8744D4"/>
    <w:rsid w:val="4E8A6875"/>
    <w:rsid w:val="4E8B7D7F"/>
    <w:rsid w:val="4E8E036E"/>
    <w:rsid w:val="4E8F2FDE"/>
    <w:rsid w:val="4E9C0C8B"/>
    <w:rsid w:val="4E9C6765"/>
    <w:rsid w:val="4EA52579"/>
    <w:rsid w:val="4EAC68F3"/>
    <w:rsid w:val="4EB44AD2"/>
    <w:rsid w:val="4EF2591B"/>
    <w:rsid w:val="4EF4658C"/>
    <w:rsid w:val="4EF95A66"/>
    <w:rsid w:val="4EFA05FF"/>
    <w:rsid w:val="4EFC02F4"/>
    <w:rsid w:val="4F07798B"/>
    <w:rsid w:val="4F215689"/>
    <w:rsid w:val="4F232E67"/>
    <w:rsid w:val="4F243251"/>
    <w:rsid w:val="4F29451C"/>
    <w:rsid w:val="4F2B6CFC"/>
    <w:rsid w:val="4F2E202D"/>
    <w:rsid w:val="4F4162AC"/>
    <w:rsid w:val="4F4A1E20"/>
    <w:rsid w:val="4F4D6BA5"/>
    <w:rsid w:val="4F5D34E1"/>
    <w:rsid w:val="4F5F1376"/>
    <w:rsid w:val="4F70140E"/>
    <w:rsid w:val="4F72636A"/>
    <w:rsid w:val="4F7A3D36"/>
    <w:rsid w:val="4F933C70"/>
    <w:rsid w:val="4F9A41C7"/>
    <w:rsid w:val="4F9B2BC5"/>
    <w:rsid w:val="4F9C192E"/>
    <w:rsid w:val="4FAD47AB"/>
    <w:rsid w:val="4FAE7CB2"/>
    <w:rsid w:val="4FB40010"/>
    <w:rsid w:val="4FC366E7"/>
    <w:rsid w:val="4FC650D9"/>
    <w:rsid w:val="4FCD0F7C"/>
    <w:rsid w:val="4FD740E6"/>
    <w:rsid w:val="4FE13943"/>
    <w:rsid w:val="4FE2746B"/>
    <w:rsid w:val="4FE536C0"/>
    <w:rsid w:val="4FF35BC0"/>
    <w:rsid w:val="4FF9120D"/>
    <w:rsid w:val="4FFB1A4D"/>
    <w:rsid w:val="50174804"/>
    <w:rsid w:val="50312382"/>
    <w:rsid w:val="50345E4E"/>
    <w:rsid w:val="505668F7"/>
    <w:rsid w:val="50567393"/>
    <w:rsid w:val="505F5A14"/>
    <w:rsid w:val="50744D49"/>
    <w:rsid w:val="507F63E9"/>
    <w:rsid w:val="50967F7E"/>
    <w:rsid w:val="50A02484"/>
    <w:rsid w:val="50A266C0"/>
    <w:rsid w:val="50A64D69"/>
    <w:rsid w:val="50CB7737"/>
    <w:rsid w:val="50DC31A8"/>
    <w:rsid w:val="50E25B01"/>
    <w:rsid w:val="50E42A3A"/>
    <w:rsid w:val="50E73A05"/>
    <w:rsid w:val="50ED34C5"/>
    <w:rsid w:val="50F64804"/>
    <w:rsid w:val="5106422C"/>
    <w:rsid w:val="51071118"/>
    <w:rsid w:val="51234A1F"/>
    <w:rsid w:val="51322A8D"/>
    <w:rsid w:val="5132585B"/>
    <w:rsid w:val="51351BE8"/>
    <w:rsid w:val="514767E8"/>
    <w:rsid w:val="514A1FB9"/>
    <w:rsid w:val="51591468"/>
    <w:rsid w:val="516052CE"/>
    <w:rsid w:val="517F16CD"/>
    <w:rsid w:val="518152E4"/>
    <w:rsid w:val="51815569"/>
    <w:rsid w:val="518311FE"/>
    <w:rsid w:val="519350A6"/>
    <w:rsid w:val="519A39CC"/>
    <w:rsid w:val="519C2D2D"/>
    <w:rsid w:val="51A5108F"/>
    <w:rsid w:val="51B5251C"/>
    <w:rsid w:val="51BB243C"/>
    <w:rsid w:val="51C87EE4"/>
    <w:rsid w:val="51C91C81"/>
    <w:rsid w:val="51CF557E"/>
    <w:rsid w:val="51D22EB2"/>
    <w:rsid w:val="51D72070"/>
    <w:rsid w:val="51D826B0"/>
    <w:rsid w:val="51E061A1"/>
    <w:rsid w:val="51E27FCD"/>
    <w:rsid w:val="51EA5D3C"/>
    <w:rsid w:val="51F62227"/>
    <w:rsid w:val="51FA04C1"/>
    <w:rsid w:val="51FA239D"/>
    <w:rsid w:val="51FD5237"/>
    <w:rsid w:val="520305F7"/>
    <w:rsid w:val="52081080"/>
    <w:rsid w:val="521E0065"/>
    <w:rsid w:val="521F7917"/>
    <w:rsid w:val="52227A2A"/>
    <w:rsid w:val="525C547D"/>
    <w:rsid w:val="52605F62"/>
    <w:rsid w:val="52806965"/>
    <w:rsid w:val="52924CE6"/>
    <w:rsid w:val="52AC62C4"/>
    <w:rsid w:val="52AE4E78"/>
    <w:rsid w:val="52E40D12"/>
    <w:rsid w:val="52EF5850"/>
    <w:rsid w:val="5302703C"/>
    <w:rsid w:val="53150615"/>
    <w:rsid w:val="53511BDB"/>
    <w:rsid w:val="53545E4C"/>
    <w:rsid w:val="5359297B"/>
    <w:rsid w:val="535D0523"/>
    <w:rsid w:val="535F30A6"/>
    <w:rsid w:val="53647AE4"/>
    <w:rsid w:val="537200FA"/>
    <w:rsid w:val="53844984"/>
    <w:rsid w:val="539230C8"/>
    <w:rsid w:val="53B6661D"/>
    <w:rsid w:val="53C16CB6"/>
    <w:rsid w:val="53CC20AE"/>
    <w:rsid w:val="53D17D36"/>
    <w:rsid w:val="53D25B8D"/>
    <w:rsid w:val="53D54458"/>
    <w:rsid w:val="53E13A43"/>
    <w:rsid w:val="53F47047"/>
    <w:rsid w:val="53F63A5B"/>
    <w:rsid w:val="53F933F4"/>
    <w:rsid w:val="53FC4369"/>
    <w:rsid w:val="53FF2974"/>
    <w:rsid w:val="54330DB9"/>
    <w:rsid w:val="5439164D"/>
    <w:rsid w:val="5448228F"/>
    <w:rsid w:val="544B1287"/>
    <w:rsid w:val="54517855"/>
    <w:rsid w:val="54526826"/>
    <w:rsid w:val="5458533D"/>
    <w:rsid w:val="546B06C4"/>
    <w:rsid w:val="54723681"/>
    <w:rsid w:val="54744689"/>
    <w:rsid w:val="54831600"/>
    <w:rsid w:val="549A0B1E"/>
    <w:rsid w:val="549D355D"/>
    <w:rsid w:val="54AD3355"/>
    <w:rsid w:val="54D579C0"/>
    <w:rsid w:val="54E4580A"/>
    <w:rsid w:val="54E64223"/>
    <w:rsid w:val="54F07385"/>
    <w:rsid w:val="54F4029A"/>
    <w:rsid w:val="54F71E24"/>
    <w:rsid w:val="54FA376E"/>
    <w:rsid w:val="551759DE"/>
    <w:rsid w:val="55375E0C"/>
    <w:rsid w:val="55377EA9"/>
    <w:rsid w:val="5561474F"/>
    <w:rsid w:val="556354BA"/>
    <w:rsid w:val="55696219"/>
    <w:rsid w:val="556E3A84"/>
    <w:rsid w:val="557012B1"/>
    <w:rsid w:val="557A29D4"/>
    <w:rsid w:val="55884A28"/>
    <w:rsid w:val="558C5AF6"/>
    <w:rsid w:val="558D578F"/>
    <w:rsid w:val="558E46C8"/>
    <w:rsid w:val="55A334DF"/>
    <w:rsid w:val="55B24A68"/>
    <w:rsid w:val="55C211E9"/>
    <w:rsid w:val="55F63F27"/>
    <w:rsid w:val="55FC4016"/>
    <w:rsid w:val="561B179B"/>
    <w:rsid w:val="561B2A72"/>
    <w:rsid w:val="562107F3"/>
    <w:rsid w:val="56290384"/>
    <w:rsid w:val="563275EC"/>
    <w:rsid w:val="563A60ED"/>
    <w:rsid w:val="5672005D"/>
    <w:rsid w:val="56887689"/>
    <w:rsid w:val="568B1CA2"/>
    <w:rsid w:val="568F1D3C"/>
    <w:rsid w:val="56905D0C"/>
    <w:rsid w:val="56A613A5"/>
    <w:rsid w:val="56B00762"/>
    <w:rsid w:val="56B1479D"/>
    <w:rsid w:val="56B43073"/>
    <w:rsid w:val="56BE0ACC"/>
    <w:rsid w:val="56C51C5B"/>
    <w:rsid w:val="56C86857"/>
    <w:rsid w:val="56D94E70"/>
    <w:rsid w:val="56DA7BB6"/>
    <w:rsid w:val="56DC112E"/>
    <w:rsid w:val="56F9341E"/>
    <w:rsid w:val="56FA57F3"/>
    <w:rsid w:val="57175B19"/>
    <w:rsid w:val="572956BD"/>
    <w:rsid w:val="573B52A1"/>
    <w:rsid w:val="57407237"/>
    <w:rsid w:val="575A3F59"/>
    <w:rsid w:val="575C71A1"/>
    <w:rsid w:val="5792500D"/>
    <w:rsid w:val="5799310E"/>
    <w:rsid w:val="579D048A"/>
    <w:rsid w:val="57C83E10"/>
    <w:rsid w:val="57C855D7"/>
    <w:rsid w:val="57D720C5"/>
    <w:rsid w:val="57FC1483"/>
    <w:rsid w:val="580A1411"/>
    <w:rsid w:val="581B18D5"/>
    <w:rsid w:val="581B7414"/>
    <w:rsid w:val="581E495D"/>
    <w:rsid w:val="5822619F"/>
    <w:rsid w:val="5825184F"/>
    <w:rsid w:val="58295909"/>
    <w:rsid w:val="58404804"/>
    <w:rsid w:val="58414F41"/>
    <w:rsid w:val="58497CF1"/>
    <w:rsid w:val="584C76FB"/>
    <w:rsid w:val="585A5CE5"/>
    <w:rsid w:val="585C5687"/>
    <w:rsid w:val="587176F7"/>
    <w:rsid w:val="58796FC0"/>
    <w:rsid w:val="5881186B"/>
    <w:rsid w:val="58931BBA"/>
    <w:rsid w:val="58C10BDC"/>
    <w:rsid w:val="58EC1756"/>
    <w:rsid w:val="58F40A71"/>
    <w:rsid w:val="58F703D8"/>
    <w:rsid w:val="58F91823"/>
    <w:rsid w:val="590C17D5"/>
    <w:rsid w:val="590E27D5"/>
    <w:rsid w:val="59195D7D"/>
    <w:rsid w:val="59246B2D"/>
    <w:rsid w:val="5930270E"/>
    <w:rsid w:val="593B2784"/>
    <w:rsid w:val="59600617"/>
    <w:rsid w:val="59630BDE"/>
    <w:rsid w:val="5964244A"/>
    <w:rsid w:val="59737D55"/>
    <w:rsid w:val="5994792B"/>
    <w:rsid w:val="599E791B"/>
    <w:rsid w:val="59AC68EC"/>
    <w:rsid w:val="59AE080A"/>
    <w:rsid w:val="59B46A59"/>
    <w:rsid w:val="59D74DFD"/>
    <w:rsid w:val="59F10141"/>
    <w:rsid w:val="59FC3FBE"/>
    <w:rsid w:val="5A0F694A"/>
    <w:rsid w:val="5A18725A"/>
    <w:rsid w:val="5A1D25C0"/>
    <w:rsid w:val="5A1D410A"/>
    <w:rsid w:val="5A2A3977"/>
    <w:rsid w:val="5A2C52C7"/>
    <w:rsid w:val="5A3753B0"/>
    <w:rsid w:val="5A4E2E49"/>
    <w:rsid w:val="5A5F1050"/>
    <w:rsid w:val="5A635DDE"/>
    <w:rsid w:val="5A683D38"/>
    <w:rsid w:val="5A85504F"/>
    <w:rsid w:val="5A86458C"/>
    <w:rsid w:val="5A8B33BB"/>
    <w:rsid w:val="5A9B4F5A"/>
    <w:rsid w:val="5A9B58D0"/>
    <w:rsid w:val="5AA5526F"/>
    <w:rsid w:val="5AAA00EE"/>
    <w:rsid w:val="5ABD7A43"/>
    <w:rsid w:val="5ACF4A5E"/>
    <w:rsid w:val="5AD2433C"/>
    <w:rsid w:val="5AD555FA"/>
    <w:rsid w:val="5AE82F6C"/>
    <w:rsid w:val="5AF66E13"/>
    <w:rsid w:val="5B025BB3"/>
    <w:rsid w:val="5B0D7D27"/>
    <w:rsid w:val="5B1A3F9C"/>
    <w:rsid w:val="5B3111C9"/>
    <w:rsid w:val="5B3F6DFB"/>
    <w:rsid w:val="5B5D6A2D"/>
    <w:rsid w:val="5B620E26"/>
    <w:rsid w:val="5B696ACB"/>
    <w:rsid w:val="5B6B45E8"/>
    <w:rsid w:val="5B6D521A"/>
    <w:rsid w:val="5BBC4F05"/>
    <w:rsid w:val="5BD47A46"/>
    <w:rsid w:val="5BF83A33"/>
    <w:rsid w:val="5BFD47CC"/>
    <w:rsid w:val="5C0A20B9"/>
    <w:rsid w:val="5C1A317F"/>
    <w:rsid w:val="5C2F7682"/>
    <w:rsid w:val="5C335FA8"/>
    <w:rsid w:val="5C536A19"/>
    <w:rsid w:val="5C6157FF"/>
    <w:rsid w:val="5C693D8D"/>
    <w:rsid w:val="5C8F3F34"/>
    <w:rsid w:val="5CA96AF6"/>
    <w:rsid w:val="5CAF3971"/>
    <w:rsid w:val="5CBF0186"/>
    <w:rsid w:val="5CBF1E09"/>
    <w:rsid w:val="5CC523BE"/>
    <w:rsid w:val="5CC77913"/>
    <w:rsid w:val="5CD97586"/>
    <w:rsid w:val="5CF30EF8"/>
    <w:rsid w:val="5CFB3EEF"/>
    <w:rsid w:val="5D1033A7"/>
    <w:rsid w:val="5D1478B5"/>
    <w:rsid w:val="5D267E6E"/>
    <w:rsid w:val="5D2861BC"/>
    <w:rsid w:val="5D2C7FD7"/>
    <w:rsid w:val="5D4D7D9E"/>
    <w:rsid w:val="5D5C755F"/>
    <w:rsid w:val="5D5D3C3F"/>
    <w:rsid w:val="5D5F216B"/>
    <w:rsid w:val="5D6937F0"/>
    <w:rsid w:val="5D7863A6"/>
    <w:rsid w:val="5D7B35CB"/>
    <w:rsid w:val="5D7D6B28"/>
    <w:rsid w:val="5D887F75"/>
    <w:rsid w:val="5D900478"/>
    <w:rsid w:val="5D9238E4"/>
    <w:rsid w:val="5D967631"/>
    <w:rsid w:val="5DA23AFF"/>
    <w:rsid w:val="5DAB1072"/>
    <w:rsid w:val="5DB02DB0"/>
    <w:rsid w:val="5DC4409C"/>
    <w:rsid w:val="5DC8035B"/>
    <w:rsid w:val="5DE27C1C"/>
    <w:rsid w:val="5DEC120C"/>
    <w:rsid w:val="5DEC505E"/>
    <w:rsid w:val="5DF44B1A"/>
    <w:rsid w:val="5E49669F"/>
    <w:rsid w:val="5E682C04"/>
    <w:rsid w:val="5E9C1D95"/>
    <w:rsid w:val="5EA37F75"/>
    <w:rsid w:val="5EBA7A7A"/>
    <w:rsid w:val="5EBD2A8B"/>
    <w:rsid w:val="5ED935E0"/>
    <w:rsid w:val="5EDE1978"/>
    <w:rsid w:val="5EE0749D"/>
    <w:rsid w:val="5EE338B7"/>
    <w:rsid w:val="5EEA3F79"/>
    <w:rsid w:val="5EFE1C81"/>
    <w:rsid w:val="5F050868"/>
    <w:rsid w:val="5F0F0525"/>
    <w:rsid w:val="5F4156C1"/>
    <w:rsid w:val="5F4255BA"/>
    <w:rsid w:val="5F497001"/>
    <w:rsid w:val="5F525F4E"/>
    <w:rsid w:val="5F571AF0"/>
    <w:rsid w:val="5F5C4AB8"/>
    <w:rsid w:val="5F683681"/>
    <w:rsid w:val="5F6B207F"/>
    <w:rsid w:val="5F6F5774"/>
    <w:rsid w:val="5F744BB8"/>
    <w:rsid w:val="5F7A15A1"/>
    <w:rsid w:val="5F8E08C2"/>
    <w:rsid w:val="5FB2054C"/>
    <w:rsid w:val="5FBF5D3B"/>
    <w:rsid w:val="5FCA4716"/>
    <w:rsid w:val="5FD24FFC"/>
    <w:rsid w:val="5FE25A3A"/>
    <w:rsid w:val="5FE43C0B"/>
    <w:rsid w:val="5FE44E33"/>
    <w:rsid w:val="5FE85247"/>
    <w:rsid w:val="60061BAF"/>
    <w:rsid w:val="600A073A"/>
    <w:rsid w:val="60172E67"/>
    <w:rsid w:val="602264F3"/>
    <w:rsid w:val="60243C2E"/>
    <w:rsid w:val="604B0611"/>
    <w:rsid w:val="6051058D"/>
    <w:rsid w:val="605B4D9F"/>
    <w:rsid w:val="607D4856"/>
    <w:rsid w:val="608C6AE7"/>
    <w:rsid w:val="609726EA"/>
    <w:rsid w:val="60B303A5"/>
    <w:rsid w:val="60BB69F2"/>
    <w:rsid w:val="60BD2209"/>
    <w:rsid w:val="60C01C5D"/>
    <w:rsid w:val="60CE28B2"/>
    <w:rsid w:val="60D43772"/>
    <w:rsid w:val="60DE6614"/>
    <w:rsid w:val="60E1095A"/>
    <w:rsid w:val="60F326D0"/>
    <w:rsid w:val="60F93E75"/>
    <w:rsid w:val="61083DD4"/>
    <w:rsid w:val="610936A9"/>
    <w:rsid w:val="610F41BD"/>
    <w:rsid w:val="612148C5"/>
    <w:rsid w:val="61394E36"/>
    <w:rsid w:val="61523785"/>
    <w:rsid w:val="61574DC6"/>
    <w:rsid w:val="61624BE2"/>
    <w:rsid w:val="616C3362"/>
    <w:rsid w:val="616F0AD4"/>
    <w:rsid w:val="617B746E"/>
    <w:rsid w:val="61801886"/>
    <w:rsid w:val="6183676A"/>
    <w:rsid w:val="61B40B56"/>
    <w:rsid w:val="61C611C4"/>
    <w:rsid w:val="61DA45CD"/>
    <w:rsid w:val="61ED7683"/>
    <w:rsid w:val="61F752D7"/>
    <w:rsid w:val="61FD75D0"/>
    <w:rsid w:val="620C0E63"/>
    <w:rsid w:val="621131D0"/>
    <w:rsid w:val="621F081A"/>
    <w:rsid w:val="6222203F"/>
    <w:rsid w:val="622B4980"/>
    <w:rsid w:val="623B1FC4"/>
    <w:rsid w:val="6242684C"/>
    <w:rsid w:val="625A681D"/>
    <w:rsid w:val="625B4554"/>
    <w:rsid w:val="625C14D1"/>
    <w:rsid w:val="627651C8"/>
    <w:rsid w:val="628F5D40"/>
    <w:rsid w:val="62970BD7"/>
    <w:rsid w:val="62A12B73"/>
    <w:rsid w:val="62BD058B"/>
    <w:rsid w:val="62C06F9B"/>
    <w:rsid w:val="62CA3D28"/>
    <w:rsid w:val="62D62483"/>
    <w:rsid w:val="62D6425F"/>
    <w:rsid w:val="62DB7C73"/>
    <w:rsid w:val="62E123C8"/>
    <w:rsid w:val="62E27675"/>
    <w:rsid w:val="62E416C5"/>
    <w:rsid w:val="62F66A1B"/>
    <w:rsid w:val="63015B92"/>
    <w:rsid w:val="63184EA6"/>
    <w:rsid w:val="631D56B7"/>
    <w:rsid w:val="6329124F"/>
    <w:rsid w:val="632F4E6E"/>
    <w:rsid w:val="6330680E"/>
    <w:rsid w:val="633A7E34"/>
    <w:rsid w:val="633C574F"/>
    <w:rsid w:val="634D1C88"/>
    <w:rsid w:val="6350614E"/>
    <w:rsid w:val="635942DD"/>
    <w:rsid w:val="636040E8"/>
    <w:rsid w:val="637E33E3"/>
    <w:rsid w:val="63800FCD"/>
    <w:rsid w:val="639A6E96"/>
    <w:rsid w:val="63B35DBD"/>
    <w:rsid w:val="63B76868"/>
    <w:rsid w:val="63B9174E"/>
    <w:rsid w:val="63CB1AB3"/>
    <w:rsid w:val="63D11983"/>
    <w:rsid w:val="63D32A54"/>
    <w:rsid w:val="63DD3C48"/>
    <w:rsid w:val="63E315FF"/>
    <w:rsid w:val="63E702EB"/>
    <w:rsid w:val="63EB712D"/>
    <w:rsid w:val="63F846E4"/>
    <w:rsid w:val="6414229C"/>
    <w:rsid w:val="64160DD4"/>
    <w:rsid w:val="643E1A14"/>
    <w:rsid w:val="644214BE"/>
    <w:rsid w:val="64445DE5"/>
    <w:rsid w:val="644C5FB0"/>
    <w:rsid w:val="645A08FE"/>
    <w:rsid w:val="64606144"/>
    <w:rsid w:val="64694C1A"/>
    <w:rsid w:val="647117EF"/>
    <w:rsid w:val="6499728C"/>
    <w:rsid w:val="64A33835"/>
    <w:rsid w:val="64AA7839"/>
    <w:rsid w:val="64AF7279"/>
    <w:rsid w:val="64D052FB"/>
    <w:rsid w:val="64D51274"/>
    <w:rsid w:val="64DB5D01"/>
    <w:rsid w:val="64DC784D"/>
    <w:rsid w:val="64DD1254"/>
    <w:rsid w:val="64F03ECD"/>
    <w:rsid w:val="64F4321F"/>
    <w:rsid w:val="64FA743B"/>
    <w:rsid w:val="64FE03D0"/>
    <w:rsid w:val="65165F77"/>
    <w:rsid w:val="651E345E"/>
    <w:rsid w:val="652F1C95"/>
    <w:rsid w:val="6531463B"/>
    <w:rsid w:val="65322A5F"/>
    <w:rsid w:val="653D206E"/>
    <w:rsid w:val="65420BA7"/>
    <w:rsid w:val="6548332C"/>
    <w:rsid w:val="65486F98"/>
    <w:rsid w:val="6558012C"/>
    <w:rsid w:val="656015CD"/>
    <w:rsid w:val="656405BB"/>
    <w:rsid w:val="65755E9D"/>
    <w:rsid w:val="658D432B"/>
    <w:rsid w:val="658E743E"/>
    <w:rsid w:val="65966F82"/>
    <w:rsid w:val="65AD349C"/>
    <w:rsid w:val="65E5102F"/>
    <w:rsid w:val="65F13805"/>
    <w:rsid w:val="65F22FB3"/>
    <w:rsid w:val="65FC5C0B"/>
    <w:rsid w:val="660C26AE"/>
    <w:rsid w:val="66192E4C"/>
    <w:rsid w:val="664A03AA"/>
    <w:rsid w:val="664B58B7"/>
    <w:rsid w:val="665B659E"/>
    <w:rsid w:val="66646E5E"/>
    <w:rsid w:val="668C5269"/>
    <w:rsid w:val="66970374"/>
    <w:rsid w:val="669B13C3"/>
    <w:rsid w:val="66B07C14"/>
    <w:rsid w:val="66EE41A8"/>
    <w:rsid w:val="66F538DA"/>
    <w:rsid w:val="66FF725E"/>
    <w:rsid w:val="6703647E"/>
    <w:rsid w:val="671A1657"/>
    <w:rsid w:val="671F5969"/>
    <w:rsid w:val="67246D70"/>
    <w:rsid w:val="675F5A77"/>
    <w:rsid w:val="677264C5"/>
    <w:rsid w:val="67845738"/>
    <w:rsid w:val="67B076D1"/>
    <w:rsid w:val="67B32EF9"/>
    <w:rsid w:val="67CD377F"/>
    <w:rsid w:val="6812737D"/>
    <w:rsid w:val="68153E41"/>
    <w:rsid w:val="68246D76"/>
    <w:rsid w:val="682E4B84"/>
    <w:rsid w:val="68661062"/>
    <w:rsid w:val="686D76C0"/>
    <w:rsid w:val="687C6109"/>
    <w:rsid w:val="687D2044"/>
    <w:rsid w:val="68804067"/>
    <w:rsid w:val="68834071"/>
    <w:rsid w:val="68934A25"/>
    <w:rsid w:val="689D6D62"/>
    <w:rsid w:val="68A06FD5"/>
    <w:rsid w:val="68AC2B84"/>
    <w:rsid w:val="68AF6C0E"/>
    <w:rsid w:val="68B95918"/>
    <w:rsid w:val="690A1718"/>
    <w:rsid w:val="691224E9"/>
    <w:rsid w:val="69206E80"/>
    <w:rsid w:val="692A1CC9"/>
    <w:rsid w:val="69394D4B"/>
    <w:rsid w:val="693A7972"/>
    <w:rsid w:val="694801FC"/>
    <w:rsid w:val="694875D5"/>
    <w:rsid w:val="69921AC9"/>
    <w:rsid w:val="69934CEA"/>
    <w:rsid w:val="69A077D5"/>
    <w:rsid w:val="69B50662"/>
    <w:rsid w:val="69CA6194"/>
    <w:rsid w:val="69DB2C1B"/>
    <w:rsid w:val="69FF4D34"/>
    <w:rsid w:val="6A5B426A"/>
    <w:rsid w:val="6A6415A4"/>
    <w:rsid w:val="6A657488"/>
    <w:rsid w:val="6A6668A8"/>
    <w:rsid w:val="6A6B2A80"/>
    <w:rsid w:val="6A7E6396"/>
    <w:rsid w:val="6A92007A"/>
    <w:rsid w:val="6A9653B5"/>
    <w:rsid w:val="6AA81A7B"/>
    <w:rsid w:val="6AB63AC9"/>
    <w:rsid w:val="6AC51FCB"/>
    <w:rsid w:val="6AD71D6F"/>
    <w:rsid w:val="6AD82E4B"/>
    <w:rsid w:val="6AE11093"/>
    <w:rsid w:val="6AE17590"/>
    <w:rsid w:val="6AEA7F3A"/>
    <w:rsid w:val="6AEB3393"/>
    <w:rsid w:val="6AED6B6D"/>
    <w:rsid w:val="6AF62D7F"/>
    <w:rsid w:val="6B2346BC"/>
    <w:rsid w:val="6B3F4400"/>
    <w:rsid w:val="6B5D53F9"/>
    <w:rsid w:val="6B607C5C"/>
    <w:rsid w:val="6B682C27"/>
    <w:rsid w:val="6B6C7BC0"/>
    <w:rsid w:val="6B780FF2"/>
    <w:rsid w:val="6B9702A7"/>
    <w:rsid w:val="6B997650"/>
    <w:rsid w:val="6BA641AA"/>
    <w:rsid w:val="6BAD45E0"/>
    <w:rsid w:val="6BBE45B2"/>
    <w:rsid w:val="6BBF6B79"/>
    <w:rsid w:val="6BE0499F"/>
    <w:rsid w:val="6BF56CCD"/>
    <w:rsid w:val="6BF62DDE"/>
    <w:rsid w:val="6BFF137F"/>
    <w:rsid w:val="6C017DC1"/>
    <w:rsid w:val="6C053A4B"/>
    <w:rsid w:val="6C0C14AB"/>
    <w:rsid w:val="6C157315"/>
    <w:rsid w:val="6C174BB2"/>
    <w:rsid w:val="6C2D626C"/>
    <w:rsid w:val="6C301D0A"/>
    <w:rsid w:val="6C4C159F"/>
    <w:rsid w:val="6C5829F1"/>
    <w:rsid w:val="6C6B0756"/>
    <w:rsid w:val="6C803030"/>
    <w:rsid w:val="6C956968"/>
    <w:rsid w:val="6CAA1CFE"/>
    <w:rsid w:val="6CC5621E"/>
    <w:rsid w:val="6CD1288B"/>
    <w:rsid w:val="6CD62ECE"/>
    <w:rsid w:val="6CE16718"/>
    <w:rsid w:val="6CE3039D"/>
    <w:rsid w:val="6CE34040"/>
    <w:rsid w:val="6CE80F96"/>
    <w:rsid w:val="6CED10B3"/>
    <w:rsid w:val="6CFF00DA"/>
    <w:rsid w:val="6D132EA7"/>
    <w:rsid w:val="6D17755B"/>
    <w:rsid w:val="6D285F3C"/>
    <w:rsid w:val="6D3073C6"/>
    <w:rsid w:val="6D3700FB"/>
    <w:rsid w:val="6D535020"/>
    <w:rsid w:val="6D5B4CE7"/>
    <w:rsid w:val="6D985E7F"/>
    <w:rsid w:val="6DAE554B"/>
    <w:rsid w:val="6DC17E0B"/>
    <w:rsid w:val="6DDF5593"/>
    <w:rsid w:val="6DE023C8"/>
    <w:rsid w:val="6DFF05C3"/>
    <w:rsid w:val="6E1374F8"/>
    <w:rsid w:val="6E193682"/>
    <w:rsid w:val="6E1B1BEA"/>
    <w:rsid w:val="6E24100B"/>
    <w:rsid w:val="6E2E05FD"/>
    <w:rsid w:val="6E317227"/>
    <w:rsid w:val="6E3C0BF0"/>
    <w:rsid w:val="6E547627"/>
    <w:rsid w:val="6E550974"/>
    <w:rsid w:val="6E655AED"/>
    <w:rsid w:val="6E673D8B"/>
    <w:rsid w:val="6E744CAB"/>
    <w:rsid w:val="6E776B69"/>
    <w:rsid w:val="6E800B0E"/>
    <w:rsid w:val="6E8B20E1"/>
    <w:rsid w:val="6E8D57A4"/>
    <w:rsid w:val="6E951F9C"/>
    <w:rsid w:val="6EC62E05"/>
    <w:rsid w:val="6EDB1E6E"/>
    <w:rsid w:val="6EFC21A8"/>
    <w:rsid w:val="6EFD6530"/>
    <w:rsid w:val="6F132006"/>
    <w:rsid w:val="6F2638D9"/>
    <w:rsid w:val="6F44184B"/>
    <w:rsid w:val="6F4A611B"/>
    <w:rsid w:val="6F571A8F"/>
    <w:rsid w:val="6F5967AC"/>
    <w:rsid w:val="6F710DB7"/>
    <w:rsid w:val="6F8C11AD"/>
    <w:rsid w:val="6F8D7609"/>
    <w:rsid w:val="6F9A394F"/>
    <w:rsid w:val="6F9D30E1"/>
    <w:rsid w:val="6FA36BF6"/>
    <w:rsid w:val="6FA9742E"/>
    <w:rsid w:val="6FAC5CFA"/>
    <w:rsid w:val="6FC6312E"/>
    <w:rsid w:val="6FD7195D"/>
    <w:rsid w:val="6FD85334"/>
    <w:rsid w:val="6FE70C11"/>
    <w:rsid w:val="6FF061A0"/>
    <w:rsid w:val="6FF11EBF"/>
    <w:rsid w:val="6FF330E2"/>
    <w:rsid w:val="6FF356A3"/>
    <w:rsid w:val="70036644"/>
    <w:rsid w:val="700446C0"/>
    <w:rsid w:val="700C4914"/>
    <w:rsid w:val="70190B38"/>
    <w:rsid w:val="701F36FB"/>
    <w:rsid w:val="702C2747"/>
    <w:rsid w:val="702F3415"/>
    <w:rsid w:val="70420D36"/>
    <w:rsid w:val="70454CB8"/>
    <w:rsid w:val="7055396B"/>
    <w:rsid w:val="706E676D"/>
    <w:rsid w:val="70703E97"/>
    <w:rsid w:val="707F33DD"/>
    <w:rsid w:val="70836227"/>
    <w:rsid w:val="708839AB"/>
    <w:rsid w:val="708C39F4"/>
    <w:rsid w:val="708C74F9"/>
    <w:rsid w:val="70915B2A"/>
    <w:rsid w:val="70A051C1"/>
    <w:rsid w:val="70A74564"/>
    <w:rsid w:val="70AC6178"/>
    <w:rsid w:val="70B85CFB"/>
    <w:rsid w:val="70C3215D"/>
    <w:rsid w:val="70E3515D"/>
    <w:rsid w:val="71185272"/>
    <w:rsid w:val="71195291"/>
    <w:rsid w:val="71232BCC"/>
    <w:rsid w:val="7125265A"/>
    <w:rsid w:val="712E2FDE"/>
    <w:rsid w:val="713364DE"/>
    <w:rsid w:val="713B37A6"/>
    <w:rsid w:val="71403EC4"/>
    <w:rsid w:val="71423C0D"/>
    <w:rsid w:val="717D0FDB"/>
    <w:rsid w:val="718624A7"/>
    <w:rsid w:val="718A77FB"/>
    <w:rsid w:val="71952D11"/>
    <w:rsid w:val="71B80151"/>
    <w:rsid w:val="71D6753D"/>
    <w:rsid w:val="71D97362"/>
    <w:rsid w:val="71E01FA5"/>
    <w:rsid w:val="71E13181"/>
    <w:rsid w:val="71ED442F"/>
    <w:rsid w:val="71EE2EF7"/>
    <w:rsid w:val="71F40CEB"/>
    <w:rsid w:val="720F62DE"/>
    <w:rsid w:val="72134B02"/>
    <w:rsid w:val="72287652"/>
    <w:rsid w:val="722E3159"/>
    <w:rsid w:val="72300ED8"/>
    <w:rsid w:val="72C57698"/>
    <w:rsid w:val="72E639E1"/>
    <w:rsid w:val="72EB4ABB"/>
    <w:rsid w:val="72F8039F"/>
    <w:rsid w:val="7312468D"/>
    <w:rsid w:val="731A1275"/>
    <w:rsid w:val="731F36EE"/>
    <w:rsid w:val="732A0AED"/>
    <w:rsid w:val="73316A3B"/>
    <w:rsid w:val="735650C1"/>
    <w:rsid w:val="735F52AE"/>
    <w:rsid w:val="73B21CDC"/>
    <w:rsid w:val="73B35EB4"/>
    <w:rsid w:val="73D9426D"/>
    <w:rsid w:val="740D5C23"/>
    <w:rsid w:val="74207328"/>
    <w:rsid w:val="74315FF7"/>
    <w:rsid w:val="74644028"/>
    <w:rsid w:val="7466605D"/>
    <w:rsid w:val="74753764"/>
    <w:rsid w:val="747A7805"/>
    <w:rsid w:val="749374C8"/>
    <w:rsid w:val="749D1097"/>
    <w:rsid w:val="74C35E83"/>
    <w:rsid w:val="74CA3755"/>
    <w:rsid w:val="74D64813"/>
    <w:rsid w:val="74DB7DB6"/>
    <w:rsid w:val="74E7205E"/>
    <w:rsid w:val="74F84652"/>
    <w:rsid w:val="74F91BF5"/>
    <w:rsid w:val="75004AF5"/>
    <w:rsid w:val="75042FD1"/>
    <w:rsid w:val="75055E28"/>
    <w:rsid w:val="75132688"/>
    <w:rsid w:val="751332B1"/>
    <w:rsid w:val="751748D0"/>
    <w:rsid w:val="75236CF6"/>
    <w:rsid w:val="752E487E"/>
    <w:rsid w:val="753143D6"/>
    <w:rsid w:val="753567E4"/>
    <w:rsid w:val="753627AC"/>
    <w:rsid w:val="753843CD"/>
    <w:rsid w:val="754F7AEE"/>
    <w:rsid w:val="75671555"/>
    <w:rsid w:val="75735611"/>
    <w:rsid w:val="75825A34"/>
    <w:rsid w:val="75991528"/>
    <w:rsid w:val="75B3140A"/>
    <w:rsid w:val="75BD0880"/>
    <w:rsid w:val="75BD29C1"/>
    <w:rsid w:val="75C161BF"/>
    <w:rsid w:val="75CF5661"/>
    <w:rsid w:val="75E65634"/>
    <w:rsid w:val="75FF7B56"/>
    <w:rsid w:val="76032C2D"/>
    <w:rsid w:val="76042151"/>
    <w:rsid w:val="760D75C6"/>
    <w:rsid w:val="761D2801"/>
    <w:rsid w:val="761E4BDE"/>
    <w:rsid w:val="762A170A"/>
    <w:rsid w:val="76397434"/>
    <w:rsid w:val="76486164"/>
    <w:rsid w:val="765816DC"/>
    <w:rsid w:val="76595F13"/>
    <w:rsid w:val="7669764E"/>
    <w:rsid w:val="766C1709"/>
    <w:rsid w:val="767B5044"/>
    <w:rsid w:val="767E6B59"/>
    <w:rsid w:val="76815174"/>
    <w:rsid w:val="769D604E"/>
    <w:rsid w:val="769F5926"/>
    <w:rsid w:val="76A018B1"/>
    <w:rsid w:val="76A643DD"/>
    <w:rsid w:val="76B31BBD"/>
    <w:rsid w:val="76C46D6F"/>
    <w:rsid w:val="76CF379E"/>
    <w:rsid w:val="76CF70DD"/>
    <w:rsid w:val="76E77245"/>
    <w:rsid w:val="76F61609"/>
    <w:rsid w:val="770A5C5A"/>
    <w:rsid w:val="770F58A0"/>
    <w:rsid w:val="771F6DA9"/>
    <w:rsid w:val="77273E3E"/>
    <w:rsid w:val="772D2D9F"/>
    <w:rsid w:val="77434104"/>
    <w:rsid w:val="774B0BA9"/>
    <w:rsid w:val="77553225"/>
    <w:rsid w:val="776244EC"/>
    <w:rsid w:val="777349AC"/>
    <w:rsid w:val="777F30DE"/>
    <w:rsid w:val="7798366F"/>
    <w:rsid w:val="77A01267"/>
    <w:rsid w:val="77A54B9E"/>
    <w:rsid w:val="77AF4966"/>
    <w:rsid w:val="77CC53A2"/>
    <w:rsid w:val="77CC5DE3"/>
    <w:rsid w:val="77F55376"/>
    <w:rsid w:val="77F84529"/>
    <w:rsid w:val="781007A0"/>
    <w:rsid w:val="7822182D"/>
    <w:rsid w:val="783A5F58"/>
    <w:rsid w:val="784F4855"/>
    <w:rsid w:val="78631CA6"/>
    <w:rsid w:val="78654354"/>
    <w:rsid w:val="78703466"/>
    <w:rsid w:val="7874552D"/>
    <w:rsid w:val="788B02FE"/>
    <w:rsid w:val="78921279"/>
    <w:rsid w:val="789434A2"/>
    <w:rsid w:val="78986F25"/>
    <w:rsid w:val="789E38D2"/>
    <w:rsid w:val="78A4516C"/>
    <w:rsid w:val="78C71CF9"/>
    <w:rsid w:val="78CC26F3"/>
    <w:rsid w:val="78D63C88"/>
    <w:rsid w:val="78DA268D"/>
    <w:rsid w:val="78EC4417"/>
    <w:rsid w:val="78F3522E"/>
    <w:rsid w:val="78FB2FEE"/>
    <w:rsid w:val="78FC72C9"/>
    <w:rsid w:val="78FF006C"/>
    <w:rsid w:val="790F18C0"/>
    <w:rsid w:val="79284561"/>
    <w:rsid w:val="79291C6E"/>
    <w:rsid w:val="792E2BA3"/>
    <w:rsid w:val="79482222"/>
    <w:rsid w:val="794842DB"/>
    <w:rsid w:val="798A6ABA"/>
    <w:rsid w:val="7997527B"/>
    <w:rsid w:val="799956BD"/>
    <w:rsid w:val="79A23AC1"/>
    <w:rsid w:val="79A500A9"/>
    <w:rsid w:val="79B85A12"/>
    <w:rsid w:val="79CA4FD2"/>
    <w:rsid w:val="79F14121"/>
    <w:rsid w:val="79F53FA2"/>
    <w:rsid w:val="79F75862"/>
    <w:rsid w:val="7A197440"/>
    <w:rsid w:val="7A223609"/>
    <w:rsid w:val="7A252828"/>
    <w:rsid w:val="7A326307"/>
    <w:rsid w:val="7A350662"/>
    <w:rsid w:val="7A372B43"/>
    <w:rsid w:val="7A44480C"/>
    <w:rsid w:val="7A505612"/>
    <w:rsid w:val="7A5717E7"/>
    <w:rsid w:val="7A596C15"/>
    <w:rsid w:val="7A677EA2"/>
    <w:rsid w:val="7A710C7F"/>
    <w:rsid w:val="7A802904"/>
    <w:rsid w:val="7A8F3742"/>
    <w:rsid w:val="7A9413AE"/>
    <w:rsid w:val="7AA37E55"/>
    <w:rsid w:val="7AB96681"/>
    <w:rsid w:val="7ABA1851"/>
    <w:rsid w:val="7AC2196B"/>
    <w:rsid w:val="7ACA09C8"/>
    <w:rsid w:val="7AD46321"/>
    <w:rsid w:val="7AE07EBB"/>
    <w:rsid w:val="7AE82733"/>
    <w:rsid w:val="7AEB441B"/>
    <w:rsid w:val="7AEC3C28"/>
    <w:rsid w:val="7B022228"/>
    <w:rsid w:val="7B1B45F0"/>
    <w:rsid w:val="7B355364"/>
    <w:rsid w:val="7B364F1D"/>
    <w:rsid w:val="7B4B13F7"/>
    <w:rsid w:val="7B4D232C"/>
    <w:rsid w:val="7B527778"/>
    <w:rsid w:val="7B5465F3"/>
    <w:rsid w:val="7B663BB8"/>
    <w:rsid w:val="7B6F6B0A"/>
    <w:rsid w:val="7B731B95"/>
    <w:rsid w:val="7B7965F5"/>
    <w:rsid w:val="7B7C4CCB"/>
    <w:rsid w:val="7B9749E4"/>
    <w:rsid w:val="7BAB345A"/>
    <w:rsid w:val="7BB01100"/>
    <w:rsid w:val="7BC277EE"/>
    <w:rsid w:val="7BC519DE"/>
    <w:rsid w:val="7BFE67CE"/>
    <w:rsid w:val="7C0A31F8"/>
    <w:rsid w:val="7C1A4033"/>
    <w:rsid w:val="7C370588"/>
    <w:rsid w:val="7C3776F2"/>
    <w:rsid w:val="7C555E33"/>
    <w:rsid w:val="7C6243DD"/>
    <w:rsid w:val="7C656B56"/>
    <w:rsid w:val="7CC00796"/>
    <w:rsid w:val="7CC066AD"/>
    <w:rsid w:val="7CCF2277"/>
    <w:rsid w:val="7CD01390"/>
    <w:rsid w:val="7CD439B7"/>
    <w:rsid w:val="7CE54C97"/>
    <w:rsid w:val="7CED707B"/>
    <w:rsid w:val="7CF20143"/>
    <w:rsid w:val="7CFC48B9"/>
    <w:rsid w:val="7D0329AB"/>
    <w:rsid w:val="7D032E2D"/>
    <w:rsid w:val="7D0F0EC3"/>
    <w:rsid w:val="7D164CC3"/>
    <w:rsid w:val="7D18425A"/>
    <w:rsid w:val="7D2E589D"/>
    <w:rsid w:val="7D345172"/>
    <w:rsid w:val="7D4509A2"/>
    <w:rsid w:val="7D6108FC"/>
    <w:rsid w:val="7D676D8D"/>
    <w:rsid w:val="7D70069E"/>
    <w:rsid w:val="7D790F88"/>
    <w:rsid w:val="7D7B6428"/>
    <w:rsid w:val="7D982F4B"/>
    <w:rsid w:val="7DA13EA4"/>
    <w:rsid w:val="7DA1452B"/>
    <w:rsid w:val="7DA2269D"/>
    <w:rsid w:val="7DA419BD"/>
    <w:rsid w:val="7DA74F27"/>
    <w:rsid w:val="7DB56EC3"/>
    <w:rsid w:val="7DB7431A"/>
    <w:rsid w:val="7DBF62FB"/>
    <w:rsid w:val="7DDF653D"/>
    <w:rsid w:val="7DEF39BC"/>
    <w:rsid w:val="7E122BD0"/>
    <w:rsid w:val="7E2A3353"/>
    <w:rsid w:val="7EC329DD"/>
    <w:rsid w:val="7EC85A83"/>
    <w:rsid w:val="7EE24646"/>
    <w:rsid w:val="7EEE633C"/>
    <w:rsid w:val="7F096AA5"/>
    <w:rsid w:val="7F535694"/>
    <w:rsid w:val="7F5B1F7D"/>
    <w:rsid w:val="7F6D0E6B"/>
    <w:rsid w:val="7F7E3ED1"/>
    <w:rsid w:val="7F8718CB"/>
    <w:rsid w:val="7F8D0E37"/>
    <w:rsid w:val="7F914B7A"/>
    <w:rsid w:val="7F950FBD"/>
    <w:rsid w:val="7F956660"/>
    <w:rsid w:val="7FB718CB"/>
    <w:rsid w:val="7FC166D5"/>
    <w:rsid w:val="7FC770DA"/>
    <w:rsid w:val="7FCE3564"/>
    <w:rsid w:val="7FD34919"/>
    <w:rsid w:val="7FDF3485"/>
    <w:rsid w:val="7FE5589A"/>
    <w:rsid w:val="7FF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95"/>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9"/>
    <w:qFormat/>
    <w:uiPriority w:val="0"/>
    <w:pPr>
      <w:keepNext/>
      <w:keepLines/>
      <w:spacing w:line="416" w:lineRule="auto"/>
      <w:outlineLvl w:val="2"/>
    </w:pPr>
    <w:rPr>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70"/>
    <w:qFormat/>
    <w:uiPriority w:val="0"/>
    <w:pPr>
      <w:keepNext/>
      <w:widowControl/>
      <w:spacing w:before="280" w:after="290" w:line="374" w:lineRule="auto"/>
      <w:outlineLvl w:val="4"/>
    </w:pPr>
    <w:rPr>
      <w:rFonts w:ascii="Calibri" w:hAnsi="Calibri"/>
      <w:b/>
      <w:bCs/>
      <w:kern w:val="0"/>
      <w:sz w:val="28"/>
      <w:szCs w:val="28"/>
    </w:rPr>
  </w:style>
  <w:style w:type="paragraph" w:styleId="8">
    <w:name w:val="heading 6"/>
    <w:basedOn w:val="1"/>
    <w:next w:val="1"/>
    <w:link w:val="71"/>
    <w:qFormat/>
    <w:uiPriority w:val="0"/>
    <w:pPr>
      <w:keepNext/>
      <w:widowControl/>
      <w:spacing w:before="240" w:after="64" w:line="319" w:lineRule="auto"/>
      <w:ind w:left="1152" w:hanging="1152"/>
      <w:jc w:val="left"/>
      <w:outlineLvl w:val="5"/>
    </w:pPr>
    <w:rPr>
      <w:rFonts w:ascii="Arial" w:hAnsi="Arial" w:cs="Arial"/>
      <w:b/>
      <w:bCs/>
      <w:kern w:val="0"/>
      <w:sz w:val="24"/>
    </w:rPr>
  </w:style>
  <w:style w:type="paragraph" w:styleId="9">
    <w:name w:val="heading 7"/>
    <w:basedOn w:val="1"/>
    <w:next w:val="1"/>
    <w:link w:val="72"/>
    <w:qFormat/>
    <w:uiPriority w:val="0"/>
    <w:pPr>
      <w:keepNext/>
      <w:widowControl/>
      <w:spacing w:before="240" w:after="64" w:line="319" w:lineRule="auto"/>
      <w:ind w:left="1296" w:hanging="1296"/>
      <w:jc w:val="left"/>
      <w:outlineLvl w:val="6"/>
    </w:pPr>
    <w:rPr>
      <w:rFonts w:ascii="Calibri" w:hAnsi="Calibri"/>
      <w:b/>
      <w:bCs/>
      <w:kern w:val="0"/>
      <w:sz w:val="24"/>
    </w:rPr>
  </w:style>
  <w:style w:type="paragraph" w:styleId="10">
    <w:name w:val="heading 8"/>
    <w:basedOn w:val="1"/>
    <w:next w:val="1"/>
    <w:link w:val="73"/>
    <w:qFormat/>
    <w:uiPriority w:val="0"/>
    <w:pPr>
      <w:keepNext/>
      <w:widowControl/>
      <w:spacing w:before="240" w:after="64" w:line="319" w:lineRule="auto"/>
      <w:ind w:left="1440" w:hanging="1440"/>
      <w:jc w:val="left"/>
      <w:outlineLvl w:val="7"/>
    </w:pPr>
    <w:rPr>
      <w:rFonts w:ascii="Arial" w:hAnsi="Arial" w:cs="Arial"/>
      <w:kern w:val="0"/>
      <w:sz w:val="24"/>
    </w:rPr>
  </w:style>
  <w:style w:type="paragraph" w:styleId="11">
    <w:name w:val="heading 9"/>
    <w:basedOn w:val="1"/>
    <w:next w:val="1"/>
    <w:link w:val="74"/>
    <w:qFormat/>
    <w:uiPriority w:val="0"/>
    <w:pPr>
      <w:keepNext/>
      <w:widowControl/>
      <w:spacing w:before="240" w:after="64" w:line="319" w:lineRule="auto"/>
      <w:ind w:left="1584" w:hanging="1584"/>
      <w:jc w:val="left"/>
      <w:outlineLvl w:val="8"/>
    </w:pPr>
    <w:rPr>
      <w:rFonts w:ascii="Arial" w:hAnsi="Arial" w:cs="Arial"/>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oc 7"/>
    <w:basedOn w:val="1"/>
    <w:next w:val="1"/>
    <w:qFormat/>
    <w:uiPriority w:val="0"/>
    <w:pPr>
      <w:ind w:left="2520" w:leftChars="1200"/>
    </w:pPr>
    <w:rPr>
      <w:rFonts w:ascii="Calibri" w:hAnsi="Calibri"/>
    </w:rPr>
  </w:style>
  <w:style w:type="paragraph" w:styleId="13">
    <w:name w:val="Document Map"/>
    <w:basedOn w:val="1"/>
    <w:link w:val="238"/>
    <w:qFormat/>
    <w:uiPriority w:val="0"/>
    <w:pPr>
      <w:widowControl/>
    </w:pPr>
    <w:rPr>
      <w:rFonts w:ascii="宋体" w:hAnsi="宋体"/>
      <w:kern w:val="0"/>
      <w:sz w:val="20"/>
      <w:szCs w:val="20"/>
    </w:rPr>
  </w:style>
  <w:style w:type="paragraph" w:styleId="14">
    <w:name w:val="toa heading"/>
    <w:basedOn w:val="1"/>
    <w:next w:val="1"/>
    <w:qFormat/>
    <w:uiPriority w:val="0"/>
    <w:pPr>
      <w:spacing w:before="120"/>
    </w:pPr>
    <w:rPr>
      <w:rFonts w:ascii="Arial" w:hAnsi="Arial"/>
      <w:b/>
      <w:bCs/>
    </w:rPr>
  </w:style>
  <w:style w:type="paragraph" w:styleId="15">
    <w:name w:val="annotation text"/>
    <w:basedOn w:val="1"/>
    <w:link w:val="232"/>
    <w:qFormat/>
    <w:uiPriority w:val="0"/>
    <w:pPr>
      <w:jc w:val="left"/>
    </w:pPr>
  </w:style>
  <w:style w:type="paragraph" w:styleId="16">
    <w:name w:val="Body Text 3"/>
    <w:basedOn w:val="1"/>
    <w:link w:val="78"/>
    <w:qFormat/>
    <w:uiPriority w:val="0"/>
    <w:rPr>
      <w:rFonts w:ascii="宋体"/>
      <w:sz w:val="24"/>
      <w:szCs w:val="20"/>
    </w:rPr>
  </w:style>
  <w:style w:type="paragraph" w:styleId="17">
    <w:name w:val="Body Text"/>
    <w:basedOn w:val="1"/>
    <w:next w:val="1"/>
    <w:link w:val="178"/>
    <w:qFormat/>
    <w:uiPriority w:val="0"/>
    <w:pPr>
      <w:widowControl/>
      <w:spacing w:after="120"/>
    </w:pPr>
    <w:rPr>
      <w:rFonts w:ascii="宋体" w:hAnsi="宋体"/>
      <w:kern w:val="0"/>
      <w:sz w:val="20"/>
      <w:szCs w:val="20"/>
    </w:rPr>
  </w:style>
  <w:style w:type="paragraph" w:styleId="18">
    <w:name w:val="Body Text Indent"/>
    <w:basedOn w:val="1"/>
    <w:link w:val="145"/>
    <w:qFormat/>
    <w:uiPriority w:val="0"/>
    <w:pPr>
      <w:spacing w:after="120"/>
      <w:ind w:left="420" w:leftChars="200"/>
    </w:pPr>
  </w:style>
  <w:style w:type="paragraph" w:styleId="19">
    <w:name w:val="List 2"/>
    <w:basedOn w:val="1"/>
    <w:qFormat/>
    <w:uiPriority w:val="0"/>
    <w:pPr>
      <w:ind w:left="100" w:hanging="200"/>
    </w:pPr>
    <w:rPr>
      <w:rFonts w:ascii="Calibri" w:hAnsi="Calibri"/>
    </w:rPr>
  </w:style>
  <w:style w:type="paragraph" w:styleId="20">
    <w:name w:val="Block Text"/>
    <w:basedOn w:val="1"/>
    <w:qFormat/>
    <w:uiPriority w:val="0"/>
    <w:pPr>
      <w:adjustRightInd w:val="0"/>
      <w:ind w:left="420" w:right="33"/>
      <w:jc w:val="left"/>
      <w:textAlignment w:val="baseline"/>
    </w:pPr>
    <w:rPr>
      <w:rFonts w:ascii="Calibri" w:hAnsi="Calibri"/>
      <w:kern w:val="0"/>
      <w:sz w:val="24"/>
      <w:szCs w:val="20"/>
    </w:rPr>
  </w:style>
  <w:style w:type="paragraph" w:styleId="21">
    <w:name w:val="toc 5"/>
    <w:basedOn w:val="1"/>
    <w:next w:val="1"/>
    <w:qFormat/>
    <w:uiPriority w:val="0"/>
    <w:pPr>
      <w:ind w:left="1680" w:leftChars="800"/>
    </w:pPr>
    <w:rPr>
      <w:rFonts w:ascii="Calibri" w:hAnsi="Calibri"/>
    </w:rPr>
  </w:style>
  <w:style w:type="paragraph" w:styleId="22">
    <w:name w:val="toc 3"/>
    <w:basedOn w:val="1"/>
    <w:next w:val="1"/>
    <w:qFormat/>
    <w:uiPriority w:val="0"/>
    <w:pPr>
      <w:ind w:left="840" w:leftChars="400"/>
    </w:pPr>
    <w:rPr>
      <w:rFonts w:ascii="Calibri" w:hAnsi="Calibri"/>
    </w:rPr>
  </w:style>
  <w:style w:type="paragraph" w:styleId="23">
    <w:name w:val="Plain Text"/>
    <w:basedOn w:val="1"/>
    <w:link w:val="122"/>
    <w:qFormat/>
    <w:uiPriority w:val="0"/>
    <w:rPr>
      <w:rFonts w:ascii="宋体"/>
      <w:szCs w:val="21"/>
    </w:rPr>
  </w:style>
  <w:style w:type="paragraph" w:styleId="24">
    <w:name w:val="toc 8"/>
    <w:basedOn w:val="1"/>
    <w:next w:val="1"/>
    <w:qFormat/>
    <w:uiPriority w:val="0"/>
    <w:pPr>
      <w:ind w:left="2940" w:leftChars="1400"/>
    </w:pPr>
    <w:rPr>
      <w:rFonts w:ascii="Calibri" w:hAnsi="Calibri"/>
    </w:rPr>
  </w:style>
  <w:style w:type="paragraph" w:styleId="25">
    <w:name w:val="Date"/>
    <w:basedOn w:val="1"/>
    <w:next w:val="1"/>
    <w:link w:val="211"/>
    <w:qFormat/>
    <w:uiPriority w:val="0"/>
    <w:pPr>
      <w:widowControl/>
    </w:pPr>
    <w:rPr>
      <w:rFonts w:ascii="宋体" w:hAnsi="宋体"/>
      <w:kern w:val="0"/>
      <w:sz w:val="20"/>
      <w:szCs w:val="20"/>
    </w:rPr>
  </w:style>
  <w:style w:type="paragraph" w:styleId="26">
    <w:name w:val="Body Text Indent 2"/>
    <w:basedOn w:val="1"/>
    <w:link w:val="220"/>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7">
    <w:name w:val="endnote text"/>
    <w:basedOn w:val="1"/>
    <w:link w:val="166"/>
    <w:qFormat/>
    <w:uiPriority w:val="0"/>
    <w:pPr>
      <w:widowControl/>
      <w:snapToGrid w:val="0"/>
      <w:jc w:val="left"/>
    </w:pPr>
    <w:rPr>
      <w:rFonts w:ascii="Calibri" w:hAnsi="Calibri"/>
    </w:rPr>
  </w:style>
  <w:style w:type="paragraph" w:styleId="28">
    <w:name w:val="Balloon Text"/>
    <w:basedOn w:val="1"/>
    <w:link w:val="68"/>
    <w:qFormat/>
    <w:uiPriority w:val="0"/>
    <w:rPr>
      <w:sz w:val="18"/>
      <w:szCs w:val="18"/>
    </w:rPr>
  </w:style>
  <w:style w:type="paragraph" w:styleId="29">
    <w:name w:val="footer"/>
    <w:basedOn w:val="1"/>
    <w:link w:val="92"/>
    <w:qFormat/>
    <w:uiPriority w:val="99"/>
    <w:pPr>
      <w:tabs>
        <w:tab w:val="center" w:pos="4153"/>
        <w:tab w:val="right" w:pos="8306"/>
      </w:tabs>
      <w:snapToGrid w:val="0"/>
      <w:jc w:val="left"/>
    </w:pPr>
    <w:rPr>
      <w:sz w:val="18"/>
      <w:szCs w:val="18"/>
    </w:rPr>
  </w:style>
  <w:style w:type="paragraph" w:styleId="30">
    <w:name w:val="header"/>
    <w:basedOn w:val="1"/>
    <w:link w:val="137"/>
    <w:qFormat/>
    <w:uiPriority w:val="0"/>
    <w:pPr>
      <w:widowControl/>
      <w:snapToGrid w:val="0"/>
      <w:jc w:val="center"/>
    </w:pPr>
    <w:rPr>
      <w:kern w:val="0"/>
      <w:sz w:val="18"/>
      <w:szCs w:val="18"/>
    </w:rPr>
  </w:style>
  <w:style w:type="paragraph" w:styleId="31">
    <w:name w:val="toc 1"/>
    <w:basedOn w:val="1"/>
    <w:next w:val="1"/>
    <w:qFormat/>
    <w:uiPriority w:val="0"/>
    <w:pPr>
      <w:widowControl/>
      <w:spacing w:after="100" w:line="276" w:lineRule="auto"/>
      <w:jc w:val="left"/>
    </w:pPr>
    <w:rPr>
      <w:rFonts w:ascii="Calibri" w:hAnsi="Calibri" w:cs="宋体"/>
      <w:kern w:val="0"/>
      <w:sz w:val="22"/>
      <w:szCs w:val="22"/>
    </w:rPr>
  </w:style>
  <w:style w:type="paragraph" w:styleId="32">
    <w:name w:val="toc 4"/>
    <w:basedOn w:val="1"/>
    <w:next w:val="1"/>
    <w:qFormat/>
    <w:uiPriority w:val="0"/>
    <w:pPr>
      <w:ind w:left="1260" w:leftChars="600"/>
    </w:pPr>
    <w:rPr>
      <w:rFonts w:ascii="Calibri" w:hAnsi="Calibri"/>
    </w:rPr>
  </w:style>
  <w:style w:type="paragraph" w:styleId="33">
    <w:name w:val="Subtitle"/>
    <w:basedOn w:val="1"/>
    <w:link w:val="180"/>
    <w:qFormat/>
    <w:uiPriority w:val="0"/>
    <w:pPr>
      <w:widowControl/>
      <w:spacing w:before="240" w:after="60" w:line="312" w:lineRule="auto"/>
      <w:jc w:val="center"/>
    </w:pPr>
    <w:rPr>
      <w:rFonts w:ascii="Cambria" w:hAnsi="Cambria"/>
      <w:b/>
      <w:bCs/>
      <w:kern w:val="0"/>
      <w:sz w:val="20"/>
      <w:szCs w:val="20"/>
    </w:rPr>
  </w:style>
  <w:style w:type="paragraph" w:styleId="34">
    <w:name w:val="footnote text"/>
    <w:basedOn w:val="1"/>
    <w:link w:val="223"/>
    <w:qFormat/>
    <w:uiPriority w:val="0"/>
    <w:rPr>
      <w:rFonts w:ascii="Calibri" w:hAnsi="Calibri"/>
      <w:sz w:val="20"/>
      <w:szCs w:val="20"/>
    </w:rPr>
  </w:style>
  <w:style w:type="paragraph" w:styleId="35">
    <w:name w:val="toc 6"/>
    <w:basedOn w:val="1"/>
    <w:next w:val="1"/>
    <w:qFormat/>
    <w:uiPriority w:val="0"/>
    <w:pPr>
      <w:ind w:left="2100" w:leftChars="1000"/>
    </w:pPr>
    <w:rPr>
      <w:rFonts w:ascii="Calibri" w:hAnsi="Calibri"/>
    </w:rPr>
  </w:style>
  <w:style w:type="paragraph" w:styleId="36">
    <w:name w:val="Body Text Indent 3"/>
    <w:basedOn w:val="1"/>
    <w:link w:val="206"/>
    <w:qFormat/>
    <w:uiPriority w:val="0"/>
    <w:pPr>
      <w:widowControl/>
      <w:spacing w:after="120"/>
      <w:ind w:left="420"/>
    </w:pPr>
    <w:rPr>
      <w:rFonts w:ascii="宋体" w:hAnsi="宋体"/>
      <w:kern w:val="0"/>
      <w:sz w:val="20"/>
      <w:szCs w:val="20"/>
    </w:rPr>
  </w:style>
  <w:style w:type="paragraph" w:styleId="37">
    <w:name w:val="table of figures"/>
    <w:basedOn w:val="1"/>
    <w:next w:val="1"/>
    <w:qFormat/>
    <w:uiPriority w:val="0"/>
    <w:pPr>
      <w:ind w:left="200" w:leftChars="200" w:hanging="200" w:hangingChars="200"/>
    </w:pPr>
    <w:rPr>
      <w:rFonts w:ascii="Calibri" w:hAnsi="Calibri"/>
    </w:rPr>
  </w:style>
  <w:style w:type="paragraph" w:styleId="38">
    <w:name w:val="toc 2"/>
    <w:basedOn w:val="1"/>
    <w:next w:val="1"/>
    <w:qFormat/>
    <w:uiPriority w:val="0"/>
    <w:pPr>
      <w:ind w:left="420" w:leftChars="200"/>
    </w:pPr>
    <w:rPr>
      <w:rFonts w:ascii="Calibri" w:hAnsi="Calibri"/>
    </w:rPr>
  </w:style>
  <w:style w:type="paragraph" w:styleId="39">
    <w:name w:val="toc 9"/>
    <w:basedOn w:val="1"/>
    <w:next w:val="1"/>
    <w:qFormat/>
    <w:uiPriority w:val="0"/>
    <w:pPr>
      <w:ind w:left="3360" w:leftChars="1600"/>
    </w:pPr>
    <w:rPr>
      <w:rFonts w:ascii="Calibri" w:hAnsi="Calibri"/>
    </w:rPr>
  </w:style>
  <w:style w:type="paragraph" w:styleId="40">
    <w:name w:val="Body Text 2"/>
    <w:basedOn w:val="1"/>
    <w:link w:val="177"/>
    <w:qFormat/>
    <w:uiPriority w:val="0"/>
    <w:pPr>
      <w:widowControl/>
    </w:pPr>
    <w:rPr>
      <w:rFonts w:ascii="宋体" w:hAnsi="宋体"/>
      <w:kern w:val="0"/>
      <w:sz w:val="20"/>
      <w:szCs w:val="20"/>
    </w:rPr>
  </w:style>
  <w:style w:type="paragraph" w:styleId="41">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jc w:val="left"/>
    </w:pPr>
    <w:rPr>
      <w:rFonts w:ascii="宋体" w:hAnsi="宋体" w:cs="宋体"/>
      <w:kern w:val="0"/>
      <w:sz w:val="20"/>
      <w:szCs w:val="20"/>
    </w:rPr>
  </w:style>
  <w:style w:type="paragraph" w:styleId="42">
    <w:name w:val="Normal (Web)"/>
    <w:basedOn w:val="1"/>
    <w:next w:val="29"/>
    <w:qFormat/>
    <w:uiPriority w:val="0"/>
    <w:pPr>
      <w:widowControl/>
      <w:spacing w:beforeAutospacing="1" w:afterAutospacing="1"/>
      <w:jc w:val="left"/>
    </w:pPr>
    <w:rPr>
      <w:rFonts w:ascii="宋体" w:hAnsi="宋体" w:cs="宋体"/>
      <w:kern w:val="0"/>
      <w:sz w:val="24"/>
    </w:rPr>
  </w:style>
  <w:style w:type="paragraph" w:styleId="43">
    <w:name w:val="index 1"/>
    <w:basedOn w:val="1"/>
    <w:next w:val="1"/>
    <w:qFormat/>
    <w:uiPriority w:val="0"/>
    <w:rPr>
      <w:rFonts w:ascii="Calibri" w:hAnsi="Calibri"/>
      <w:szCs w:val="20"/>
    </w:rPr>
  </w:style>
  <w:style w:type="paragraph" w:styleId="44">
    <w:name w:val="Title"/>
    <w:basedOn w:val="1"/>
    <w:link w:val="190"/>
    <w:qFormat/>
    <w:uiPriority w:val="0"/>
    <w:pPr>
      <w:widowControl/>
      <w:spacing w:before="240" w:after="60"/>
      <w:jc w:val="center"/>
    </w:pPr>
    <w:rPr>
      <w:rFonts w:ascii="Cambria" w:hAnsi="Cambria"/>
      <w:b/>
      <w:bCs/>
      <w:kern w:val="0"/>
      <w:sz w:val="20"/>
      <w:szCs w:val="20"/>
    </w:rPr>
  </w:style>
  <w:style w:type="paragraph" w:styleId="45">
    <w:name w:val="annotation subject"/>
    <w:basedOn w:val="15"/>
    <w:next w:val="15"/>
    <w:link w:val="233"/>
    <w:qFormat/>
    <w:uiPriority w:val="0"/>
    <w:pPr>
      <w:widowControl/>
    </w:pPr>
    <w:rPr>
      <w:b/>
      <w:bCs/>
      <w:kern w:val="0"/>
      <w:sz w:val="20"/>
      <w:szCs w:val="20"/>
    </w:rPr>
  </w:style>
  <w:style w:type="paragraph" w:styleId="46">
    <w:name w:val="Body Text First Indent"/>
    <w:basedOn w:val="17"/>
    <w:link w:val="252"/>
    <w:qFormat/>
    <w:uiPriority w:val="0"/>
    <w:pPr>
      <w:widowControl w:val="0"/>
      <w:ind w:firstLine="420" w:firstLineChars="100"/>
    </w:pPr>
    <w:rPr>
      <w:rFonts w:eastAsia="仿宋_GB2312"/>
      <w:spacing w:val="-20"/>
      <w:kern w:val="2"/>
      <w:sz w:val="21"/>
      <w:szCs w:val="24"/>
    </w:rPr>
  </w:style>
  <w:style w:type="paragraph" w:styleId="47">
    <w:name w:val="Body Text First Indent 2"/>
    <w:basedOn w:val="18"/>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rFonts w:cs="Times New Roman"/>
      <w:color w:val="800080"/>
      <w:u w:val="single"/>
    </w:rPr>
  </w:style>
  <w:style w:type="character" w:styleId="54">
    <w:name w:val="Emphasis"/>
    <w:qFormat/>
    <w:uiPriority w:val="0"/>
  </w:style>
  <w:style w:type="character" w:styleId="55">
    <w:name w:val="HTML Definition"/>
    <w:unhideWhenUsed/>
    <w:qFormat/>
    <w:uiPriority w:val="99"/>
  </w:style>
  <w:style w:type="character" w:styleId="56">
    <w:name w:val="HTML Variable"/>
    <w:unhideWhenUsed/>
    <w:qFormat/>
    <w:uiPriority w:val="99"/>
  </w:style>
  <w:style w:type="character" w:styleId="57">
    <w:name w:val="Hyperlink"/>
    <w:qFormat/>
    <w:uiPriority w:val="0"/>
    <w:rPr>
      <w:color w:val="0000FF"/>
      <w:u w:val="none"/>
    </w:rPr>
  </w:style>
  <w:style w:type="character" w:styleId="58">
    <w:name w:val="HTML Code"/>
    <w:unhideWhenUsed/>
    <w:qFormat/>
    <w:uiPriority w:val="99"/>
    <w:rPr>
      <w:rFonts w:hint="default"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footnote reference"/>
    <w:qFormat/>
    <w:uiPriority w:val="0"/>
    <w:rPr>
      <w:vertAlign w:val="superscript"/>
    </w:rPr>
  </w:style>
  <w:style w:type="character" w:styleId="62">
    <w:name w:val="HTML Keyboard"/>
    <w:unhideWhenUsed/>
    <w:qFormat/>
    <w:uiPriority w:val="99"/>
    <w:rPr>
      <w:rFonts w:ascii="Courier New" w:hAnsi="Courier New" w:eastAsia="Courier New" w:cs="Courier New"/>
      <w:sz w:val="20"/>
    </w:rPr>
  </w:style>
  <w:style w:type="character" w:styleId="63">
    <w:name w:val="HTML Sample"/>
    <w:unhideWhenUsed/>
    <w:qFormat/>
    <w:uiPriority w:val="99"/>
    <w:rPr>
      <w:rFonts w:hint="default" w:ascii="Courier New" w:hAnsi="Courier New" w:eastAsia="Courier New" w:cs="Courier New"/>
    </w:rPr>
  </w:style>
  <w:style w:type="paragraph" w:customStyle="1" w:styleId="6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5">
    <w:name w:val="列出段落2"/>
    <w:basedOn w:val="1"/>
    <w:qFormat/>
    <w:uiPriority w:val="34"/>
    <w:pPr>
      <w:ind w:firstLine="420" w:firstLineChars="200"/>
    </w:pPr>
    <w:rPr>
      <w:sz w:val="24"/>
    </w:rPr>
  </w:style>
  <w:style w:type="paragraph" w:customStyle="1" w:styleId="66">
    <w:name w:val="目录"/>
    <w:basedOn w:val="1"/>
    <w:qFormat/>
    <w:uiPriority w:val="0"/>
    <w:pPr>
      <w:widowControl/>
      <w:jc w:val="center"/>
    </w:pPr>
    <w:rPr>
      <w:rFonts w:ascii="宋体"/>
      <w:b/>
      <w:kern w:val="0"/>
      <w:sz w:val="36"/>
      <w:szCs w:val="20"/>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批注框文本 Char"/>
    <w:basedOn w:val="50"/>
    <w:link w:val="28"/>
    <w:qFormat/>
    <w:uiPriority w:val="0"/>
    <w:rPr>
      <w:kern w:val="2"/>
      <w:sz w:val="18"/>
      <w:szCs w:val="18"/>
    </w:rPr>
  </w:style>
  <w:style w:type="character" w:customStyle="1" w:styleId="69">
    <w:name w:val="标题 4 Char"/>
    <w:basedOn w:val="50"/>
    <w:link w:val="6"/>
    <w:qFormat/>
    <w:uiPriority w:val="0"/>
    <w:rPr>
      <w:rFonts w:ascii="Arial" w:hAnsi="Arial" w:eastAsia="黑体"/>
      <w:b/>
      <w:bCs/>
      <w:kern w:val="2"/>
      <w:sz w:val="28"/>
      <w:szCs w:val="28"/>
    </w:rPr>
  </w:style>
  <w:style w:type="character" w:customStyle="1" w:styleId="70">
    <w:name w:val="标题 5 Char"/>
    <w:basedOn w:val="50"/>
    <w:link w:val="7"/>
    <w:qFormat/>
    <w:uiPriority w:val="0"/>
    <w:rPr>
      <w:rFonts w:ascii="Calibri" w:hAnsi="Calibri"/>
      <w:b/>
      <w:bCs/>
      <w:sz w:val="28"/>
      <w:szCs w:val="28"/>
    </w:rPr>
  </w:style>
  <w:style w:type="character" w:customStyle="1" w:styleId="71">
    <w:name w:val="标题 6 Char"/>
    <w:basedOn w:val="50"/>
    <w:link w:val="8"/>
    <w:qFormat/>
    <w:uiPriority w:val="0"/>
    <w:rPr>
      <w:rFonts w:ascii="Arial" w:hAnsi="Arial" w:cs="Arial"/>
      <w:b/>
      <w:bCs/>
      <w:sz w:val="24"/>
      <w:szCs w:val="24"/>
    </w:rPr>
  </w:style>
  <w:style w:type="character" w:customStyle="1" w:styleId="72">
    <w:name w:val="标题 7 Char"/>
    <w:basedOn w:val="50"/>
    <w:link w:val="9"/>
    <w:qFormat/>
    <w:uiPriority w:val="0"/>
    <w:rPr>
      <w:rFonts w:ascii="Calibri" w:hAnsi="Calibri"/>
      <w:b/>
      <w:bCs/>
      <w:sz w:val="24"/>
      <w:szCs w:val="24"/>
    </w:rPr>
  </w:style>
  <w:style w:type="character" w:customStyle="1" w:styleId="73">
    <w:name w:val="标题 8 Char"/>
    <w:basedOn w:val="50"/>
    <w:link w:val="10"/>
    <w:qFormat/>
    <w:uiPriority w:val="0"/>
    <w:rPr>
      <w:rFonts w:ascii="Arial" w:hAnsi="Arial" w:cs="Arial"/>
      <w:sz w:val="24"/>
      <w:szCs w:val="24"/>
    </w:rPr>
  </w:style>
  <w:style w:type="character" w:customStyle="1" w:styleId="74">
    <w:name w:val="标题 9 Char"/>
    <w:basedOn w:val="50"/>
    <w:link w:val="11"/>
    <w:qFormat/>
    <w:uiPriority w:val="0"/>
    <w:rPr>
      <w:rFonts w:ascii="Arial" w:hAnsi="Arial" w:cs="Arial"/>
      <w:sz w:val="21"/>
      <w:szCs w:val="21"/>
    </w:rPr>
  </w:style>
  <w:style w:type="character" w:customStyle="1" w:styleId="75">
    <w:name w:val="普通文字 Char1"/>
    <w:qFormat/>
    <w:uiPriority w:val="0"/>
    <w:rPr>
      <w:rFonts w:ascii="宋体" w:hAnsi="Courier New" w:cs="Courier New"/>
      <w:kern w:val="2"/>
      <w:sz w:val="21"/>
      <w:szCs w:val="21"/>
    </w:rPr>
  </w:style>
  <w:style w:type="character" w:customStyle="1" w:styleId="76">
    <w:name w:val="ꌢ 2 Char"/>
    <w:link w:val="77"/>
    <w:qFormat/>
    <w:uiPriority w:val="0"/>
    <w:rPr>
      <w:rFonts w:ascii="Arial" w:hAnsi="Arial"/>
      <w:b/>
      <w:bCs/>
    </w:rPr>
  </w:style>
  <w:style w:type="paragraph" w:customStyle="1" w:styleId="77">
    <w:name w:val="ꌢ 2"/>
    <w:basedOn w:val="1"/>
    <w:link w:val="76"/>
    <w:qFormat/>
    <w:uiPriority w:val="0"/>
    <w:pPr>
      <w:widowControl/>
    </w:pPr>
    <w:rPr>
      <w:rFonts w:ascii="Arial" w:hAnsi="Arial"/>
      <w:b/>
      <w:bCs/>
      <w:kern w:val="0"/>
      <w:sz w:val="20"/>
      <w:szCs w:val="20"/>
    </w:rPr>
  </w:style>
  <w:style w:type="character" w:customStyle="1" w:styleId="78">
    <w:name w:val="正文文本 3 Char"/>
    <w:link w:val="16"/>
    <w:qFormat/>
    <w:uiPriority w:val="0"/>
    <w:rPr>
      <w:rFonts w:ascii="宋体"/>
      <w:kern w:val="2"/>
      <w:sz w:val="24"/>
    </w:rPr>
  </w:style>
  <w:style w:type="character" w:customStyle="1" w:styleId="79">
    <w:name w:val="标题 3 Char"/>
    <w:link w:val="5"/>
    <w:qFormat/>
    <w:uiPriority w:val="0"/>
    <w:rPr>
      <w:b/>
      <w:bCs/>
      <w:kern w:val="2"/>
      <w:sz w:val="32"/>
      <w:szCs w:val="32"/>
    </w:rPr>
  </w:style>
  <w:style w:type="character" w:customStyle="1" w:styleId="80">
    <w:name w:val="引用 Char"/>
    <w:qFormat/>
    <w:uiPriority w:val="0"/>
    <w:rPr>
      <w:i/>
      <w:iCs/>
      <w:color w:val="000000"/>
      <w:kern w:val="2"/>
      <w:sz w:val="21"/>
      <w:szCs w:val="24"/>
    </w:rPr>
  </w:style>
  <w:style w:type="character" w:customStyle="1" w:styleId="81">
    <w:name w:val="Char Char5"/>
    <w:qFormat/>
    <w:uiPriority w:val="0"/>
    <w:rPr>
      <w:rFonts w:ascii="Times New Roman" w:hAnsi="Times New Roman" w:cs="Times New Roman"/>
      <w:sz w:val="24"/>
    </w:rPr>
  </w:style>
  <w:style w:type="character" w:customStyle="1" w:styleId="82">
    <w:name w:val="副标题 Char"/>
    <w:qFormat/>
    <w:uiPriority w:val="0"/>
    <w:rPr>
      <w:rFonts w:ascii="Cambria" w:hAnsi="Cambria"/>
      <w:b/>
      <w:bCs/>
    </w:rPr>
  </w:style>
  <w:style w:type="character" w:customStyle="1" w:styleId="83">
    <w:name w:val="Char Char2"/>
    <w:qFormat/>
    <w:uiPriority w:val="0"/>
    <w:rPr>
      <w:rFonts w:eastAsia="宋体"/>
      <w:kern w:val="2"/>
      <w:sz w:val="21"/>
      <w:szCs w:val="24"/>
      <w:lang w:val="en-US" w:eastAsia="zh-CN" w:bidi="ar-SA"/>
    </w:rPr>
  </w:style>
  <w:style w:type="character" w:customStyle="1" w:styleId="84">
    <w:name w:val="font161"/>
    <w:qFormat/>
    <w:uiPriority w:val="0"/>
    <w:rPr>
      <w:b/>
      <w:bCs/>
      <w:sz w:val="32"/>
      <w:szCs w:val="32"/>
    </w:rPr>
  </w:style>
  <w:style w:type="character" w:customStyle="1" w:styleId="85">
    <w:name w:val="Body Text Indent Char1"/>
    <w:qFormat/>
    <w:uiPriority w:val="0"/>
    <w:rPr>
      <w:rFonts w:ascii="Times New Roman" w:hAnsi="Times New Roman"/>
      <w:szCs w:val="21"/>
    </w:rPr>
  </w:style>
  <w:style w:type="character" w:customStyle="1" w:styleId="86">
    <w:name w:val="Char Char"/>
    <w:qFormat/>
    <w:uiPriority w:val="0"/>
    <w:rPr>
      <w:rFonts w:ascii="Arial" w:hAnsi="Arial" w:eastAsia="黑体"/>
      <w:b/>
      <w:bCs/>
      <w:kern w:val="2"/>
      <w:sz w:val="32"/>
      <w:szCs w:val="32"/>
      <w:lang w:val="en-US" w:eastAsia="zh-CN" w:bidi="ar-SA"/>
    </w:rPr>
  </w:style>
  <w:style w:type="character" w:customStyle="1" w:styleId="87">
    <w:name w:val="正文文字4 Char Char"/>
    <w:qFormat/>
    <w:uiPriority w:val="0"/>
    <w:rPr>
      <w:kern w:val="2"/>
      <w:sz w:val="21"/>
      <w:szCs w:val="24"/>
    </w:rPr>
  </w:style>
  <w:style w:type="character" w:customStyle="1" w:styleId="88">
    <w:name w:val="标题 3 Char Char"/>
    <w:qFormat/>
    <w:uiPriority w:val="0"/>
    <w:rPr>
      <w:rFonts w:eastAsia="黑体"/>
      <w:b/>
      <w:kern w:val="2"/>
      <w:sz w:val="28"/>
      <w:lang w:val="en-US" w:eastAsia="zh-CN" w:bidi="ar-SA"/>
    </w:rPr>
  </w:style>
  <w:style w:type="character" w:customStyle="1" w:styleId="89">
    <w:name w:val="Body Text Indent 3 Char1"/>
    <w:qFormat/>
    <w:uiPriority w:val="0"/>
    <w:rPr>
      <w:rFonts w:ascii="Times New Roman" w:hAnsi="Times New Roman"/>
      <w:sz w:val="16"/>
      <w:szCs w:val="16"/>
    </w:rPr>
  </w:style>
  <w:style w:type="character" w:customStyle="1" w:styleId="90">
    <w:name w:val="普通(网站) Char Char"/>
    <w:link w:val="91"/>
    <w:qFormat/>
    <w:uiPriority w:val="0"/>
    <w:rPr>
      <w:rFonts w:ascii="宋体" w:hAnsi="宋体"/>
      <w:sz w:val="24"/>
    </w:rPr>
  </w:style>
  <w:style w:type="paragraph" w:customStyle="1" w:styleId="91">
    <w:name w:val="普通(网站)1"/>
    <w:basedOn w:val="1"/>
    <w:link w:val="90"/>
    <w:qFormat/>
    <w:uiPriority w:val="0"/>
    <w:pPr>
      <w:widowControl/>
      <w:spacing w:before="100" w:beforeAutospacing="1" w:after="100" w:afterAutospacing="1" w:line="360" w:lineRule="auto"/>
      <w:ind w:firstLine="420" w:firstLineChars="200"/>
      <w:jc w:val="left"/>
    </w:pPr>
    <w:rPr>
      <w:rFonts w:ascii="宋体" w:hAnsi="宋体"/>
      <w:kern w:val="0"/>
      <w:sz w:val="24"/>
      <w:szCs w:val="20"/>
    </w:rPr>
  </w:style>
  <w:style w:type="character" w:customStyle="1" w:styleId="92">
    <w:name w:val="页脚 Char"/>
    <w:link w:val="29"/>
    <w:qFormat/>
    <w:uiPriority w:val="99"/>
    <w:rPr>
      <w:kern w:val="2"/>
      <w:sz w:val="18"/>
      <w:szCs w:val="18"/>
    </w:rPr>
  </w:style>
  <w:style w:type="character" w:customStyle="1" w:styleId="93">
    <w:name w:val="普通(网站) Char"/>
    <w:qFormat/>
    <w:uiPriority w:val="0"/>
    <w:rPr>
      <w:rFonts w:ascii="宋体" w:eastAsia="宋体"/>
      <w:sz w:val="24"/>
      <w:szCs w:val="24"/>
      <w:lang w:bidi="ar-SA"/>
    </w:rPr>
  </w:style>
  <w:style w:type="character" w:customStyle="1" w:styleId="94">
    <w:name w:val="style11"/>
    <w:qFormat/>
    <w:uiPriority w:val="0"/>
  </w:style>
  <w:style w:type="character" w:customStyle="1" w:styleId="95">
    <w:name w:val="标题 2 Char"/>
    <w:link w:val="4"/>
    <w:qFormat/>
    <w:uiPriority w:val="0"/>
    <w:rPr>
      <w:rFonts w:ascii="Arial" w:hAnsi="Arial" w:eastAsia="黑体"/>
      <w:b/>
      <w:bCs/>
      <w:sz w:val="32"/>
      <w:szCs w:val="32"/>
    </w:rPr>
  </w:style>
  <w:style w:type="character" w:customStyle="1" w:styleId="96">
    <w:name w:val="标题 1 Char1"/>
    <w:qFormat/>
    <w:uiPriority w:val="0"/>
    <w:rPr>
      <w:rFonts w:eastAsia="宋体"/>
      <w:b/>
      <w:bCs/>
      <w:kern w:val="44"/>
      <w:sz w:val="32"/>
      <w:szCs w:val="44"/>
      <w:lang w:val="en-US" w:eastAsia="zh-CN" w:bidi="ar-SA"/>
    </w:rPr>
  </w:style>
  <w:style w:type="character" w:customStyle="1" w:styleId="97">
    <w:name w:val="z-窗体底端 Char"/>
    <w:qFormat/>
    <w:uiPriority w:val="0"/>
    <w:rPr>
      <w:rFonts w:ascii="Arial" w:hAnsi="Arial"/>
      <w:vanish/>
      <w:sz w:val="16"/>
      <w:szCs w:val="16"/>
    </w:rPr>
  </w:style>
  <w:style w:type="paragraph" w:customStyle="1" w:styleId="98">
    <w:name w:val="z-窗体底端1"/>
    <w:basedOn w:val="1"/>
    <w:next w:val="1"/>
    <w:link w:val="207"/>
    <w:qFormat/>
    <w:uiPriority w:val="0"/>
    <w:pPr>
      <w:pBdr>
        <w:top w:val="single" w:color="auto" w:sz="6" w:space="1"/>
      </w:pBdr>
      <w:jc w:val="center"/>
    </w:pPr>
    <w:rPr>
      <w:rFonts w:ascii="Arial" w:hAnsi="Arial"/>
      <w:vanish/>
      <w:kern w:val="0"/>
      <w:sz w:val="16"/>
      <w:szCs w:val="16"/>
    </w:rPr>
  </w:style>
  <w:style w:type="character" w:customStyle="1" w:styleId="99">
    <w:name w:val="尾注文本 Char"/>
    <w:qFormat/>
    <w:uiPriority w:val="0"/>
    <w:rPr>
      <w:rFonts w:ascii="Calibri" w:hAnsi="Calibri"/>
      <w:kern w:val="2"/>
      <w:sz w:val="21"/>
      <w:szCs w:val="24"/>
    </w:rPr>
  </w:style>
  <w:style w:type="character" w:customStyle="1" w:styleId="100">
    <w:name w:val="on"/>
    <w:basedOn w:val="50"/>
    <w:qFormat/>
    <w:uiPriority w:val="0"/>
  </w:style>
  <w:style w:type="character" w:customStyle="1" w:styleId="101">
    <w:name w:val="Document Map Char1"/>
    <w:qFormat/>
    <w:uiPriority w:val="0"/>
    <w:rPr>
      <w:rFonts w:ascii="Times New Roman" w:hAnsi="Times New Roman"/>
      <w:sz w:val="16"/>
      <w:szCs w:val="0"/>
    </w:rPr>
  </w:style>
  <w:style w:type="character" w:customStyle="1" w:styleId="102">
    <w:name w:val="正文文本 Char"/>
    <w:qFormat/>
    <w:uiPriority w:val="0"/>
    <w:rPr>
      <w:rFonts w:ascii="宋体" w:hAnsi="宋体"/>
    </w:rPr>
  </w:style>
  <w:style w:type="character" w:customStyle="1" w:styleId="103">
    <w:name w:val="Char Char4"/>
    <w:qFormat/>
    <w:uiPriority w:val="0"/>
    <w:rPr>
      <w:rFonts w:ascii="仿宋_GB2312" w:hAnsi="Times New Roman" w:eastAsia="仿宋_GB2312"/>
      <w:spacing w:val="-20"/>
      <w:kern w:val="2"/>
      <w:sz w:val="28"/>
    </w:rPr>
  </w:style>
  <w:style w:type="character" w:customStyle="1" w:styleId="104">
    <w:name w:val="Char Char7"/>
    <w:qFormat/>
    <w:uiPriority w:val="0"/>
    <w:rPr>
      <w:rFonts w:ascii="Arial" w:hAnsi="Arial" w:eastAsia="黑体"/>
      <w:b/>
      <w:bCs/>
      <w:kern w:val="2"/>
      <w:sz w:val="32"/>
      <w:szCs w:val="32"/>
      <w:lang w:val="en-US" w:eastAsia="zh-CN" w:bidi="ar-SA"/>
    </w:rPr>
  </w:style>
  <w:style w:type="character" w:customStyle="1" w:styleId="105">
    <w:name w:val="Date Char1"/>
    <w:qFormat/>
    <w:uiPriority w:val="0"/>
    <w:rPr>
      <w:rFonts w:ascii="Times New Roman" w:hAnsi="Times New Roman"/>
      <w:szCs w:val="21"/>
    </w:r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kern w:val="0"/>
      <w:sz w:val="24"/>
      <w:szCs w:val="20"/>
    </w:rPr>
  </w:style>
  <w:style w:type="character" w:customStyle="1" w:styleId="108">
    <w:name w:val="Body Text 3 Char1"/>
    <w:qFormat/>
    <w:uiPriority w:val="0"/>
    <w:rPr>
      <w:rFonts w:ascii="Times New Roman" w:hAnsi="Times New Roman"/>
      <w:sz w:val="16"/>
      <w:szCs w:val="16"/>
    </w:rPr>
  </w:style>
  <w:style w:type="character" w:customStyle="1" w:styleId="109">
    <w:name w:val="Body Text Indent 2 Char1"/>
    <w:qFormat/>
    <w:uiPriority w:val="0"/>
    <w:rPr>
      <w:rFonts w:ascii="Times New Roman" w:hAnsi="Times New Roman"/>
      <w:szCs w:val="21"/>
    </w:rPr>
  </w:style>
  <w:style w:type="character" w:customStyle="1" w:styleId="110">
    <w:name w:val="z-窗体顶端 Char"/>
    <w:qFormat/>
    <w:uiPriority w:val="0"/>
    <w:rPr>
      <w:rFonts w:ascii="Arial" w:hAnsi="Arial"/>
      <w:vanish/>
      <w:sz w:val="16"/>
      <w:szCs w:val="16"/>
    </w:rPr>
  </w:style>
  <w:style w:type="paragraph" w:customStyle="1" w:styleId="111">
    <w:name w:val="z-窗体顶端1"/>
    <w:basedOn w:val="1"/>
    <w:next w:val="1"/>
    <w:link w:val="217"/>
    <w:qFormat/>
    <w:uiPriority w:val="0"/>
    <w:pPr>
      <w:pBdr>
        <w:bottom w:val="single" w:color="auto" w:sz="6" w:space="1"/>
      </w:pBdr>
      <w:jc w:val="center"/>
    </w:pPr>
    <w:rPr>
      <w:rFonts w:ascii="Arial" w:hAnsi="Arial"/>
      <w:vanish/>
      <w:kern w:val="0"/>
      <w:sz w:val="16"/>
      <w:szCs w:val="16"/>
    </w:rPr>
  </w:style>
  <w:style w:type="character" w:customStyle="1" w:styleId="112">
    <w:name w:val="Char Char25"/>
    <w:qFormat/>
    <w:uiPriority w:val="0"/>
    <w:rPr>
      <w:b/>
      <w:bCs/>
      <w:kern w:val="44"/>
      <w:sz w:val="44"/>
      <w:szCs w:val="44"/>
    </w:rPr>
  </w:style>
  <w:style w:type="character" w:customStyle="1" w:styleId="113">
    <w:name w:val="z-Bottom of Form Char1"/>
    <w:qFormat/>
    <w:uiPriority w:val="0"/>
    <w:rPr>
      <w:rFonts w:ascii="Arial" w:hAnsi="Arial" w:cs="Arial"/>
      <w:vanish/>
      <w:sz w:val="16"/>
      <w:szCs w:val="16"/>
    </w:rPr>
  </w:style>
  <w:style w:type="character" w:customStyle="1" w:styleId="114">
    <w:name w:val="尾注文本 Char1"/>
    <w:semiHidden/>
    <w:qFormat/>
    <w:uiPriority w:val="99"/>
    <w:rPr>
      <w:kern w:val="2"/>
      <w:sz w:val="21"/>
      <w:szCs w:val="24"/>
    </w:rPr>
  </w:style>
  <w:style w:type="character" w:customStyle="1" w:styleId="115">
    <w:name w:val="z-Top of Form Char1"/>
    <w:qFormat/>
    <w:uiPriority w:val="0"/>
    <w:rPr>
      <w:rFonts w:ascii="Arial" w:hAnsi="Arial" w:cs="Arial"/>
      <w:vanish/>
      <w:sz w:val="16"/>
      <w:szCs w:val="16"/>
    </w:rPr>
  </w:style>
  <w:style w:type="character" w:customStyle="1" w:styleId="116">
    <w:name w:val="Char Char6"/>
    <w:qFormat/>
    <w:uiPriority w:val="0"/>
    <w:rPr>
      <w:rFonts w:ascii="Times New Roman" w:hAnsi="Times New Roman" w:cs="Times New Roman"/>
      <w:b/>
      <w:bCs/>
      <w:kern w:val="2"/>
      <w:sz w:val="21"/>
      <w:szCs w:val="24"/>
    </w:rPr>
  </w:style>
  <w:style w:type="character" w:customStyle="1" w:styleId="117">
    <w:name w:val="日期 Char"/>
    <w:qFormat/>
    <w:uiPriority w:val="0"/>
    <w:rPr>
      <w:rFonts w:ascii="宋体" w:hAnsi="宋体"/>
    </w:rPr>
  </w:style>
  <w:style w:type="character" w:customStyle="1" w:styleId="118">
    <w:name w:val="Char Char8"/>
    <w:qFormat/>
    <w:uiPriority w:val="0"/>
    <w:rPr>
      <w:rFonts w:ascii="Arial" w:hAnsi="Arial" w:eastAsia="黑体"/>
      <w:b/>
      <w:bCs/>
      <w:kern w:val="2"/>
      <w:sz w:val="32"/>
      <w:szCs w:val="32"/>
      <w:lang w:val="en-US" w:eastAsia="zh-CN" w:bidi="ar-SA"/>
    </w:rPr>
  </w:style>
  <w:style w:type="character" w:customStyle="1" w:styleId="119">
    <w:name w:val="批注文字 Char"/>
    <w:qFormat/>
    <w:uiPriority w:val="0"/>
    <w:rPr>
      <w:rFonts w:eastAsia="宋体"/>
      <w:sz w:val="21"/>
      <w:szCs w:val="21"/>
      <w:lang w:val="en-US" w:eastAsia="zh-CN" w:bidi="ar-SA"/>
    </w:rPr>
  </w:style>
  <w:style w:type="character" w:customStyle="1" w:styleId="120">
    <w:name w:val="ꌢ 3 Char"/>
    <w:link w:val="121"/>
    <w:qFormat/>
    <w:uiPriority w:val="0"/>
    <w:rPr>
      <w:rFonts w:ascii="Ђˎ̥" w:hAnsi="Ђˎ̥"/>
      <w:b/>
      <w:bCs/>
    </w:rPr>
  </w:style>
  <w:style w:type="paragraph" w:customStyle="1" w:styleId="121">
    <w:name w:val="ꌢ 3"/>
    <w:basedOn w:val="1"/>
    <w:link w:val="120"/>
    <w:qFormat/>
    <w:uiPriority w:val="0"/>
    <w:pPr>
      <w:widowControl/>
    </w:pPr>
    <w:rPr>
      <w:rFonts w:ascii="Ђˎ̥" w:hAnsi="Ђˎ̥"/>
      <w:b/>
      <w:bCs/>
      <w:kern w:val="0"/>
      <w:sz w:val="20"/>
      <w:szCs w:val="20"/>
    </w:rPr>
  </w:style>
  <w:style w:type="character" w:customStyle="1" w:styleId="122">
    <w:name w:val="纯文本 Char"/>
    <w:link w:val="23"/>
    <w:qFormat/>
    <w:uiPriority w:val="0"/>
    <w:rPr>
      <w:rFonts w:ascii="宋体"/>
      <w:kern w:val="2"/>
      <w:sz w:val="21"/>
      <w:szCs w:val="21"/>
    </w:rPr>
  </w:style>
  <w:style w:type="character" w:customStyle="1" w:styleId="123">
    <w:name w:val="批注主题 Char"/>
    <w:qFormat/>
    <w:uiPriority w:val="0"/>
    <w:rPr>
      <w:b/>
      <w:bCs/>
    </w:rPr>
  </w:style>
  <w:style w:type="character" w:customStyle="1" w:styleId="124">
    <w:name w:val="标题 3 Char1"/>
    <w:qFormat/>
    <w:uiPriority w:val="0"/>
    <w:rPr>
      <w:rFonts w:ascii="宋体" w:hAnsi="宋体" w:eastAsia="宋体"/>
      <w:bCs/>
      <w:color w:val="000000"/>
      <w:sz w:val="28"/>
      <w:szCs w:val="21"/>
      <w:lang w:val="en-US" w:eastAsia="zh-CN" w:bidi="ar-SA"/>
    </w:rPr>
  </w:style>
  <w:style w:type="character" w:customStyle="1" w:styleId="125">
    <w:name w:val="标题 1 Char"/>
    <w:link w:val="3"/>
    <w:qFormat/>
    <w:uiPriority w:val="0"/>
    <w:rPr>
      <w:rFonts w:ascii="黑体" w:eastAsia="黑体"/>
      <w:sz w:val="52"/>
    </w:rPr>
  </w:style>
  <w:style w:type="character" w:customStyle="1" w:styleId="126">
    <w:name w:val="Body Text Char1"/>
    <w:qFormat/>
    <w:uiPriority w:val="0"/>
    <w:rPr>
      <w:rFonts w:ascii="Times New Roman" w:hAnsi="Times New Roman"/>
      <w:szCs w:val="21"/>
    </w:rPr>
  </w:style>
  <w:style w:type="character" w:customStyle="1" w:styleId="127">
    <w:name w:val="文档结构图 Char"/>
    <w:qFormat/>
    <w:uiPriority w:val="0"/>
    <w:rPr>
      <w:rFonts w:ascii="宋体" w:hAnsi="宋体"/>
    </w:rPr>
  </w:style>
  <w:style w:type="character" w:customStyle="1" w:styleId="128">
    <w:name w:val="正文文本缩进 2 Char"/>
    <w:qFormat/>
    <w:uiPriority w:val="0"/>
    <w:rPr>
      <w:rFonts w:ascii="宋体" w:hAnsi="MS Sans Serif"/>
      <w:spacing w:val="12"/>
      <w:sz w:val="24"/>
    </w:rPr>
  </w:style>
  <w:style w:type="character" w:customStyle="1" w:styleId="129">
    <w:name w:val="Quote Char Char"/>
    <w:link w:val="130"/>
    <w:qFormat/>
    <w:uiPriority w:val="0"/>
    <w:rPr>
      <w:i/>
      <w:iCs/>
      <w:color w:val="000000"/>
      <w:sz w:val="24"/>
      <w:szCs w:val="24"/>
    </w:rPr>
  </w:style>
  <w:style w:type="paragraph" w:customStyle="1" w:styleId="130">
    <w:name w:val="Quote1"/>
    <w:basedOn w:val="1"/>
    <w:next w:val="1"/>
    <w:link w:val="129"/>
    <w:qFormat/>
    <w:uiPriority w:val="0"/>
    <w:rPr>
      <w:i/>
      <w:iCs/>
      <w:color w:val="000000"/>
      <w:kern w:val="0"/>
      <w:sz w:val="24"/>
    </w:rPr>
  </w:style>
  <w:style w:type="character" w:customStyle="1" w:styleId="131">
    <w:name w:val="标题 Char"/>
    <w:qFormat/>
    <w:uiPriority w:val="0"/>
    <w:rPr>
      <w:rFonts w:ascii="Cambria" w:hAnsi="Cambria"/>
      <w:b/>
      <w:bCs/>
    </w:rPr>
  </w:style>
  <w:style w:type="character" w:customStyle="1" w:styleId="132">
    <w:name w:val="Para head"/>
    <w:qFormat/>
    <w:uiPriority w:val="0"/>
    <w:rPr>
      <w:rFonts w:ascii="Arial" w:hAnsi="Arial" w:cs="Times New Roman"/>
      <w:sz w:val="20"/>
    </w:rPr>
  </w:style>
  <w:style w:type="character" w:customStyle="1" w:styleId="133">
    <w:name w:val="不明显强调1"/>
    <w:qFormat/>
    <w:uiPriority w:val="0"/>
    <w:rPr>
      <w:i/>
      <w:iCs/>
      <w:color w:val="808080"/>
    </w:rPr>
  </w:style>
  <w:style w:type="character" w:customStyle="1" w:styleId="134">
    <w:name w:val="Quote Char"/>
    <w:qFormat/>
    <w:uiPriority w:val="0"/>
    <w:rPr>
      <w:rFonts w:eastAsia="宋体"/>
      <w:i/>
      <w:iCs/>
      <w:color w:val="000000"/>
      <w:sz w:val="24"/>
      <w:szCs w:val="24"/>
      <w:lang w:bidi="ar-SA"/>
    </w:rPr>
  </w:style>
  <w:style w:type="character" w:customStyle="1" w:styleId="135">
    <w:name w:val="Char Char1"/>
    <w:qFormat/>
    <w:uiPriority w:val="0"/>
    <w:rPr>
      <w:rFonts w:ascii="Times New Roman" w:hAnsi="Times New Roman" w:eastAsia="仿宋_GB2312"/>
      <w:spacing w:val="-20"/>
      <w:kern w:val="2"/>
      <w:sz w:val="21"/>
      <w:szCs w:val="24"/>
    </w:rPr>
  </w:style>
  <w:style w:type="character" w:customStyle="1" w:styleId="136">
    <w:name w:val="Char Char3"/>
    <w:qFormat/>
    <w:uiPriority w:val="0"/>
    <w:rPr>
      <w:rFonts w:ascii="Cambria" w:hAnsi="Cambria" w:cs="Times New Roman"/>
      <w:b/>
      <w:bCs/>
      <w:kern w:val="2"/>
      <w:sz w:val="32"/>
      <w:szCs w:val="32"/>
    </w:rPr>
  </w:style>
  <w:style w:type="character" w:customStyle="1" w:styleId="137">
    <w:name w:val="页眉 Char"/>
    <w:link w:val="30"/>
    <w:qFormat/>
    <w:uiPriority w:val="0"/>
    <w:rPr>
      <w:sz w:val="18"/>
      <w:szCs w:val="18"/>
    </w:rPr>
  </w:style>
  <w:style w:type="character" w:customStyle="1" w:styleId="138">
    <w:name w:val="Title Char"/>
    <w:qFormat/>
    <w:locked/>
    <w:uiPriority w:val="0"/>
    <w:rPr>
      <w:rFonts w:ascii="Cambria" w:hAnsi="Cambria" w:cs="Times New Roman"/>
      <w:b/>
      <w:bCs/>
      <w:sz w:val="32"/>
      <w:szCs w:val="32"/>
    </w:rPr>
  </w:style>
  <w:style w:type="character" w:customStyle="1" w:styleId="139">
    <w:name w:val="Char Char71"/>
    <w:qFormat/>
    <w:uiPriority w:val="0"/>
    <w:rPr>
      <w:rFonts w:ascii="宋体"/>
      <w:kern w:val="2"/>
      <w:sz w:val="24"/>
    </w:rPr>
  </w:style>
  <w:style w:type="character" w:customStyle="1" w:styleId="140">
    <w:name w:val="正文文本缩进 3 Char"/>
    <w:qFormat/>
    <w:uiPriority w:val="0"/>
    <w:rPr>
      <w:rFonts w:ascii="宋体" w:hAnsi="宋体"/>
    </w:rPr>
  </w:style>
  <w:style w:type="character" w:customStyle="1" w:styleId="141">
    <w:name w:val="Char Char21"/>
    <w:qFormat/>
    <w:uiPriority w:val="0"/>
    <w:rPr>
      <w:kern w:val="2"/>
      <w:sz w:val="18"/>
      <w:szCs w:val="18"/>
    </w:rPr>
  </w:style>
  <w:style w:type="character" w:customStyle="1" w:styleId="142">
    <w:name w:val="手改 Char Char"/>
    <w:qFormat/>
    <w:uiPriority w:val="0"/>
    <w:rPr>
      <w:kern w:val="2"/>
      <w:sz w:val="21"/>
      <w:szCs w:val="24"/>
    </w:rPr>
  </w:style>
  <w:style w:type="character" w:customStyle="1" w:styleId="143">
    <w:name w:val="style61"/>
    <w:qFormat/>
    <w:uiPriority w:val="0"/>
    <w:rPr>
      <w:color w:val="FF0000"/>
    </w:rPr>
  </w:style>
  <w:style w:type="character" w:customStyle="1" w:styleId="144">
    <w:name w:val="h Char"/>
    <w:qFormat/>
    <w:uiPriority w:val="0"/>
    <w:rPr>
      <w:rFonts w:ascii="Bodoni MT" w:hAnsi="Bodoni MT" w:eastAsia="宋体"/>
      <w:kern w:val="2"/>
      <w:sz w:val="18"/>
      <w:szCs w:val="18"/>
      <w:lang w:val="en-US" w:eastAsia="zh-CN" w:bidi="ar-SA"/>
    </w:rPr>
  </w:style>
  <w:style w:type="character" w:customStyle="1" w:styleId="145">
    <w:name w:val="正文文本缩进 Char"/>
    <w:link w:val="18"/>
    <w:qFormat/>
    <w:uiPriority w:val="0"/>
    <w:rPr>
      <w:kern w:val="2"/>
      <w:sz w:val="21"/>
      <w:szCs w:val="24"/>
    </w:rPr>
  </w:style>
  <w:style w:type="character" w:customStyle="1" w:styleId="146">
    <w:name w:val="正文首行缩进 Char"/>
    <w:qFormat/>
    <w:uiPriority w:val="0"/>
    <w:rPr>
      <w:rFonts w:ascii="宋体" w:hAnsi="宋体" w:eastAsia="仿宋_GB2312"/>
      <w:spacing w:val="-20"/>
      <w:kern w:val="2"/>
      <w:sz w:val="21"/>
      <w:szCs w:val="24"/>
    </w:rPr>
  </w:style>
  <w:style w:type="character" w:customStyle="1" w:styleId="147">
    <w:name w:val="引用 Char1"/>
    <w:qFormat/>
    <w:uiPriority w:val="0"/>
    <w:rPr>
      <w:i/>
      <w:iCs/>
      <w:color w:val="000000"/>
      <w:kern w:val="2"/>
      <w:sz w:val="21"/>
      <w:szCs w:val="24"/>
    </w:rPr>
  </w:style>
  <w:style w:type="paragraph" w:styleId="148">
    <w:name w:val="Quote"/>
    <w:basedOn w:val="1"/>
    <w:next w:val="1"/>
    <w:link w:val="236"/>
    <w:qFormat/>
    <w:uiPriority w:val="0"/>
    <w:rPr>
      <w:i/>
      <w:iCs/>
      <w:color w:val="000000"/>
    </w:rPr>
  </w:style>
  <w:style w:type="character" w:customStyle="1" w:styleId="149">
    <w:name w:val="ҳŻ"/>
    <w:link w:val="150"/>
    <w:qFormat/>
    <w:uiPriority w:val="0"/>
    <w:rPr>
      <w:rFonts w:ascii="Arial" w:hAnsi="Arial" w:cs="Arial"/>
      <w:sz w:val="32"/>
      <w:szCs w:val="32"/>
    </w:rPr>
  </w:style>
  <w:style w:type="paragraph" w:customStyle="1" w:styleId="150">
    <w:name w:val="ҳŠChar1"/>
    <w:basedOn w:val="1"/>
    <w:link w:val="149"/>
    <w:qFormat/>
    <w:uiPriority w:val="0"/>
    <w:pPr>
      <w:keepNext/>
      <w:widowControl/>
      <w:spacing w:after="120" w:line="400" w:lineRule="atLeast"/>
      <w:jc w:val="center"/>
    </w:pPr>
    <w:rPr>
      <w:rFonts w:ascii="Arial" w:hAnsi="Arial" w:cs="Arial"/>
      <w:kern w:val="0"/>
      <w:sz w:val="32"/>
      <w:szCs w:val="32"/>
    </w:rPr>
  </w:style>
  <w:style w:type="character" w:customStyle="1" w:styleId="151">
    <w:name w:val="标题 1 Char Char"/>
    <w:qFormat/>
    <w:uiPriority w:val="0"/>
    <w:rPr>
      <w:rFonts w:eastAsia="黑体"/>
      <w:b/>
      <w:kern w:val="2"/>
      <w:sz w:val="28"/>
      <w:lang w:val="en-US" w:eastAsia="zh-CN" w:bidi="ar-SA"/>
    </w:rPr>
  </w:style>
  <w:style w:type="character" w:customStyle="1" w:styleId="152">
    <w:name w:val="hidden1"/>
    <w:qFormat/>
    <w:uiPriority w:val="0"/>
    <w:rPr>
      <w:vanish/>
    </w:rPr>
  </w:style>
  <w:style w:type="character" w:customStyle="1" w:styleId="153">
    <w:name w:val="Balloon Text Char1"/>
    <w:qFormat/>
    <w:uiPriority w:val="0"/>
    <w:rPr>
      <w:rFonts w:ascii="Times New Roman" w:hAnsi="Times New Roman"/>
      <w:sz w:val="16"/>
      <w:szCs w:val="0"/>
    </w:rPr>
  </w:style>
  <w:style w:type="character" w:customStyle="1" w:styleId="154">
    <w:name w:val="正文文本 2 Char"/>
    <w:qFormat/>
    <w:uiPriority w:val="0"/>
    <w:rPr>
      <w:rFonts w:ascii="宋体" w:hAnsi="宋体"/>
    </w:rPr>
  </w:style>
  <w:style w:type="character" w:customStyle="1" w:styleId="155">
    <w:name w:val="msonormal"/>
    <w:basedOn w:val="50"/>
    <w:qFormat/>
    <w:uiPriority w:val="0"/>
  </w:style>
  <w:style w:type="character" w:customStyle="1" w:styleId="156">
    <w:name w:val="明显强调1"/>
    <w:qFormat/>
    <w:uiPriority w:val="0"/>
    <w:rPr>
      <w:rFonts w:eastAsia="仿宋_GB2312"/>
      <w:bCs/>
      <w:iCs/>
      <w:color w:val="auto"/>
      <w:sz w:val="32"/>
    </w:rPr>
  </w:style>
  <w:style w:type="paragraph" w:customStyle="1" w:styleId="157">
    <w:name w:val="font11"/>
    <w:basedOn w:val="1"/>
    <w:qFormat/>
    <w:uiPriority w:val="0"/>
    <w:pPr>
      <w:widowControl/>
      <w:spacing w:before="100" w:beforeAutospacing="1" w:after="100" w:afterAutospacing="1"/>
      <w:jc w:val="left"/>
    </w:pPr>
    <w:rPr>
      <w:rFonts w:ascii="Calibri" w:hAnsi="Calibri" w:eastAsia="Arial Unicode MS"/>
      <w:color w:val="FF0000"/>
      <w:kern w:val="0"/>
      <w:sz w:val="24"/>
    </w:rPr>
  </w:style>
  <w:style w:type="paragraph" w:customStyle="1" w:styleId="1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9">
    <w:name w:val="xl33"/>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60">
    <w:name w:val="xl82"/>
    <w:basedOn w:val="1"/>
    <w:qFormat/>
    <w:uiPriority w:val="0"/>
    <w:pPr>
      <w:widowControl/>
      <w:pBdr>
        <w:top w:val="single" w:color="000000" w:sz="4" w:space="0"/>
        <w:lef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161">
    <w:name w:val="Char1 Char Char Char"/>
    <w:basedOn w:val="1"/>
    <w:qFormat/>
    <w:uiPriority w:val="0"/>
    <w:rPr>
      <w:rFonts w:ascii="Tahoma" w:hAnsi="Tahoma"/>
      <w:sz w:val="24"/>
      <w:szCs w:val="20"/>
    </w:rPr>
  </w:style>
  <w:style w:type="paragraph" w:customStyle="1" w:styleId="162">
    <w:name w:val="Char1 Char Char Char1"/>
    <w:basedOn w:val="1"/>
    <w:qFormat/>
    <w:uiPriority w:val="0"/>
    <w:pPr>
      <w:widowControl/>
      <w:spacing w:after="160" w:line="240" w:lineRule="exact"/>
      <w:jc w:val="left"/>
    </w:pPr>
    <w:rPr>
      <w:rFonts w:ascii="Bodoni MT" w:hAnsi="Bodoni MT"/>
    </w:rPr>
  </w:style>
  <w:style w:type="paragraph" w:customStyle="1" w:styleId="163">
    <w:name w:val="样式 标题 3 + (中文) 黑体 小四 非加粗 段前: 7.8 磅 段后: 0 磅 行距: 固定值 20 磅"/>
    <w:basedOn w:val="5"/>
    <w:qFormat/>
    <w:uiPriority w:val="0"/>
    <w:pPr>
      <w:spacing w:line="400" w:lineRule="exact"/>
      <w:jc w:val="center"/>
    </w:pPr>
    <w:rPr>
      <w:rFonts w:ascii="Calibri" w:hAnsi="Calibri" w:eastAsia="黑体" w:cs="宋体"/>
      <w:b w:val="0"/>
      <w:bCs w:val="0"/>
      <w:sz w:val="24"/>
      <w:szCs w:val="20"/>
    </w:rPr>
  </w:style>
  <w:style w:type="paragraph" w:customStyle="1" w:styleId="164">
    <w:name w:val="样式4"/>
    <w:basedOn w:val="165"/>
    <w:qFormat/>
    <w:uiPriority w:val="0"/>
    <w:pPr>
      <w:ind w:firstLine="562"/>
    </w:pPr>
    <w:rPr>
      <w:bCs/>
    </w:rPr>
  </w:style>
  <w:style w:type="paragraph" w:customStyle="1" w:styleId="165">
    <w:name w:val="样式3"/>
    <w:basedOn w:val="1"/>
    <w:qFormat/>
    <w:uiPriority w:val="0"/>
    <w:pPr>
      <w:ind w:firstLine="560" w:firstLineChars="200"/>
    </w:pPr>
    <w:rPr>
      <w:rFonts w:ascii="黑体" w:hAnsi="Calibri" w:eastAsia="黑体"/>
      <w:b/>
      <w:sz w:val="28"/>
    </w:rPr>
  </w:style>
  <w:style w:type="character" w:customStyle="1" w:styleId="166">
    <w:name w:val="尾注文本 Char2"/>
    <w:basedOn w:val="50"/>
    <w:link w:val="27"/>
    <w:qFormat/>
    <w:uiPriority w:val="0"/>
    <w:rPr>
      <w:kern w:val="2"/>
      <w:sz w:val="21"/>
      <w:szCs w:val="24"/>
    </w:rPr>
  </w:style>
  <w:style w:type="paragraph" w:customStyle="1" w:styleId="167">
    <w:name w:val="Char"/>
    <w:basedOn w:val="1"/>
    <w:qFormat/>
    <w:uiPriority w:val="0"/>
    <w:rPr>
      <w:rFonts w:ascii="仿宋_GB2312" w:hAnsi="Calibri" w:eastAsia="仿宋_GB2312"/>
      <w:b/>
      <w:sz w:val="32"/>
      <w:szCs w:val="32"/>
    </w:rPr>
  </w:style>
  <w:style w:type="paragraph" w:customStyle="1" w:styleId="168">
    <w:name w:val="xl8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69">
    <w:name w:val="框图文字"/>
    <w:basedOn w:val="1"/>
    <w:qFormat/>
    <w:uiPriority w:val="0"/>
    <w:pPr>
      <w:jc w:val="center"/>
    </w:pPr>
    <w:rPr>
      <w:rFonts w:ascii="Calibri" w:hAnsi="Calibri"/>
      <w:spacing w:val="-4"/>
      <w:szCs w:val="21"/>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71">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Cs w:val="21"/>
    </w:rPr>
  </w:style>
  <w:style w:type="paragraph" w:customStyle="1" w:styleId="172">
    <w:name w:val="修订1"/>
    <w:qFormat/>
    <w:uiPriority w:val="0"/>
    <w:rPr>
      <w:rFonts w:ascii="Calibri" w:hAnsi="Calibri" w:eastAsia="宋体" w:cs="Times New Roman"/>
      <w:kern w:val="2"/>
      <w:sz w:val="21"/>
      <w:szCs w:val="21"/>
      <w:lang w:val="en-US" w:eastAsia="zh-CN" w:bidi="ar-SA"/>
    </w:rPr>
  </w:style>
  <w:style w:type="paragraph" w:customStyle="1" w:styleId="173">
    <w:name w:val="xl87"/>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174">
    <w:name w:val="表格"/>
    <w:basedOn w:val="1"/>
    <w:qFormat/>
    <w:uiPriority w:val="0"/>
    <w:pPr>
      <w:jc w:val="center"/>
      <w:textAlignment w:val="center"/>
    </w:pPr>
    <w:rPr>
      <w:rFonts w:ascii="华文细黑" w:hAnsi="华文细黑"/>
      <w:kern w:val="0"/>
      <w:szCs w:val="20"/>
    </w:rPr>
  </w:style>
  <w:style w:type="character" w:customStyle="1" w:styleId="175">
    <w:name w:val="HTML 预设格式 Char"/>
    <w:basedOn w:val="50"/>
    <w:link w:val="41"/>
    <w:qFormat/>
    <w:uiPriority w:val="0"/>
    <w:rPr>
      <w:rFonts w:ascii="宋体" w:hAnsi="宋体" w:cs="宋体"/>
    </w:rPr>
  </w:style>
  <w:style w:type="paragraph" w:customStyle="1" w:styleId="176">
    <w:name w:val="标题3"/>
    <w:basedOn w:val="1"/>
    <w:qFormat/>
    <w:uiPriority w:val="0"/>
    <w:pPr>
      <w:widowControl/>
      <w:spacing w:line="360" w:lineRule="auto"/>
      <w:ind w:firstLine="482" w:firstLineChars="200"/>
    </w:pPr>
    <w:rPr>
      <w:rFonts w:ascii="宋体" w:hAnsi="宋体"/>
      <w:b/>
      <w:kern w:val="0"/>
      <w:sz w:val="24"/>
    </w:rPr>
  </w:style>
  <w:style w:type="character" w:customStyle="1" w:styleId="177">
    <w:name w:val="正文文本 2 Char1"/>
    <w:basedOn w:val="50"/>
    <w:link w:val="40"/>
    <w:qFormat/>
    <w:uiPriority w:val="0"/>
    <w:rPr>
      <w:kern w:val="2"/>
      <w:sz w:val="21"/>
      <w:szCs w:val="24"/>
    </w:rPr>
  </w:style>
  <w:style w:type="character" w:customStyle="1" w:styleId="178">
    <w:name w:val="正文文本 Char1"/>
    <w:basedOn w:val="50"/>
    <w:link w:val="17"/>
    <w:qFormat/>
    <w:uiPriority w:val="0"/>
    <w:rPr>
      <w:kern w:val="2"/>
      <w:sz w:val="21"/>
      <w:szCs w:val="24"/>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180">
    <w:name w:val="副标题 Char1"/>
    <w:basedOn w:val="50"/>
    <w:link w:val="33"/>
    <w:qFormat/>
    <w:uiPriority w:val="0"/>
    <w:rPr>
      <w:rFonts w:asciiTheme="majorHAnsi" w:hAnsiTheme="majorHAnsi" w:cstheme="majorBidi"/>
      <w:b/>
      <w:bCs/>
      <w:kern w:val="28"/>
      <w:sz w:val="32"/>
      <w:szCs w:val="32"/>
    </w:rPr>
  </w:style>
  <w:style w:type="paragraph" w:customStyle="1" w:styleId="181">
    <w:name w:val="系统正文"/>
    <w:basedOn w:val="1"/>
    <w:qFormat/>
    <w:uiPriority w:val="0"/>
    <w:pPr>
      <w:spacing w:line="420" w:lineRule="exact"/>
      <w:ind w:firstLine="420" w:firstLineChars="200"/>
    </w:pPr>
    <w:rPr>
      <w:rFonts w:ascii="宋体" w:hAnsi="宋体"/>
    </w:rPr>
  </w:style>
  <w:style w:type="paragraph" w:customStyle="1" w:styleId="182">
    <w:name w:val="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183">
    <w:name w:val="条款节部分"/>
    <w:basedOn w:val="1"/>
    <w:qFormat/>
    <w:uiPriority w:val="0"/>
    <w:pPr>
      <w:tabs>
        <w:tab w:val="left" w:pos="432"/>
        <w:tab w:val="left" w:pos="2850"/>
      </w:tabs>
      <w:ind w:left="432" w:hanging="432"/>
    </w:pPr>
    <w:rPr>
      <w:rFonts w:ascii="Calibri" w:hAnsi="Calibri" w:eastAsia="仿宋_GB2312"/>
      <w:sz w:val="32"/>
      <w:szCs w:val="32"/>
    </w:rPr>
  </w:style>
  <w:style w:type="paragraph" w:customStyle="1" w:styleId="1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85">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88">
    <w:name w:val="xl8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190">
    <w:name w:val="标题 Char1"/>
    <w:basedOn w:val="50"/>
    <w:link w:val="44"/>
    <w:qFormat/>
    <w:uiPriority w:val="0"/>
    <w:rPr>
      <w:rFonts w:asciiTheme="majorHAnsi" w:hAnsiTheme="majorHAnsi" w:cstheme="majorBidi"/>
      <w:b/>
      <w:bCs/>
      <w:kern w:val="2"/>
      <w:sz w:val="32"/>
      <w:szCs w:val="32"/>
    </w:rPr>
  </w:style>
  <w:style w:type="paragraph" w:customStyle="1" w:styleId="191">
    <w:name w:val="Char1 Char Char Char2"/>
    <w:basedOn w:val="1"/>
    <w:qFormat/>
    <w:uiPriority w:val="0"/>
    <w:rPr>
      <w:rFonts w:ascii="Tahoma" w:hAnsi="Tahoma"/>
      <w:sz w:val="24"/>
      <w:szCs w:val="20"/>
    </w:rPr>
  </w:style>
  <w:style w:type="paragraph" w:customStyle="1" w:styleId="192">
    <w:name w:val="Default Paragraph Font Para Char"/>
    <w:basedOn w:val="1"/>
    <w:qFormat/>
    <w:uiPriority w:val="0"/>
    <w:pPr>
      <w:widowControl/>
      <w:spacing w:after="160" w:line="240" w:lineRule="exact"/>
      <w:jc w:val="left"/>
    </w:pPr>
    <w:rPr>
      <w:rFonts w:ascii="Calibri" w:hAnsi="Calibri"/>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4">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9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6">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7">
    <w:name w:val="font7"/>
    <w:basedOn w:val="1"/>
    <w:qFormat/>
    <w:uiPriority w:val="0"/>
    <w:pPr>
      <w:widowControl/>
      <w:spacing w:before="100" w:beforeAutospacing="1" w:after="100" w:afterAutospacing="1"/>
      <w:jc w:val="left"/>
    </w:pPr>
    <w:rPr>
      <w:rFonts w:ascii="Calibri" w:hAnsi="Calibri" w:eastAsia="Arial Unicode MS"/>
      <w:kern w:val="0"/>
      <w:sz w:val="22"/>
      <w:szCs w:val="22"/>
    </w:rPr>
  </w:style>
  <w:style w:type="paragraph" w:customStyle="1" w:styleId="198">
    <w:name w:val="style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99">
    <w:name w:val="p0"/>
    <w:basedOn w:val="1"/>
    <w:qFormat/>
    <w:uiPriority w:val="0"/>
    <w:pPr>
      <w:widowControl/>
    </w:pPr>
    <w:rPr>
      <w:rFonts w:ascii="Calibri" w:hAnsi="Calibri"/>
      <w:kern w:val="0"/>
      <w:szCs w:val="20"/>
    </w:rPr>
  </w:style>
  <w:style w:type="paragraph" w:customStyle="1" w:styleId="200">
    <w:name w:val="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02">
    <w:name w:val="Char Char Char Char"/>
    <w:basedOn w:val="1"/>
    <w:qFormat/>
    <w:uiPriority w:val="0"/>
    <w:rPr>
      <w:rFonts w:ascii="Tahoma" w:hAnsi="Tahoma" w:cs="Tahoma"/>
      <w:sz w:val="24"/>
    </w:rPr>
  </w:style>
  <w:style w:type="paragraph" w:customStyle="1" w:styleId="203">
    <w:name w:val="xl3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04">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宋体" w:cs="宋体"/>
      <w:b w:val="0"/>
      <w:bCs w:val="0"/>
      <w:kern w:val="2"/>
      <w:sz w:val="28"/>
      <w:szCs w:val="20"/>
    </w:rPr>
  </w:style>
  <w:style w:type="paragraph" w:customStyle="1" w:styleId="205">
    <w:name w:val="xl34"/>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character" w:customStyle="1" w:styleId="206">
    <w:name w:val="正文文本缩进 3 Char1"/>
    <w:basedOn w:val="50"/>
    <w:link w:val="36"/>
    <w:qFormat/>
    <w:uiPriority w:val="0"/>
    <w:rPr>
      <w:kern w:val="2"/>
      <w:sz w:val="16"/>
      <w:szCs w:val="16"/>
    </w:rPr>
  </w:style>
  <w:style w:type="character" w:customStyle="1" w:styleId="207">
    <w:name w:val="z-窗体底端 Char1"/>
    <w:basedOn w:val="50"/>
    <w:link w:val="98"/>
    <w:semiHidden/>
    <w:qFormat/>
    <w:uiPriority w:val="99"/>
    <w:rPr>
      <w:rFonts w:ascii="Arial" w:hAnsi="Arial" w:cs="Arial"/>
      <w:vanish/>
      <w:kern w:val="2"/>
      <w:sz w:val="16"/>
      <w:szCs w:val="16"/>
    </w:rPr>
  </w:style>
  <w:style w:type="paragraph" w:customStyle="1" w:styleId="208">
    <w:name w:val="font10"/>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209">
    <w:name w:val="表头"/>
    <w:basedOn w:val="1"/>
    <w:qFormat/>
    <w:uiPriority w:val="0"/>
    <w:pPr>
      <w:spacing w:line="360" w:lineRule="auto"/>
      <w:jc w:val="center"/>
    </w:pPr>
    <w:rPr>
      <w:rFonts w:ascii="黑体" w:hAnsi="Calibri" w:eastAsia="黑体"/>
      <w:kern w:val="0"/>
      <w:sz w:val="24"/>
      <w:szCs w:val="20"/>
    </w:rPr>
  </w:style>
  <w:style w:type="paragraph" w:customStyle="1" w:styleId="210">
    <w:name w:val="List Paragraph1"/>
    <w:basedOn w:val="1"/>
    <w:qFormat/>
    <w:uiPriority w:val="0"/>
    <w:pPr>
      <w:ind w:firstLine="200" w:firstLineChars="200"/>
    </w:pPr>
    <w:rPr>
      <w:rFonts w:ascii="Calibri" w:hAnsi="Calibri" w:cs="Calibri"/>
      <w:szCs w:val="21"/>
    </w:rPr>
  </w:style>
  <w:style w:type="character" w:customStyle="1" w:styleId="211">
    <w:name w:val="日期 Char1"/>
    <w:basedOn w:val="50"/>
    <w:link w:val="25"/>
    <w:qFormat/>
    <w:uiPriority w:val="0"/>
    <w:rPr>
      <w:kern w:val="2"/>
      <w:sz w:val="21"/>
      <w:szCs w:val="24"/>
    </w:rPr>
  </w:style>
  <w:style w:type="paragraph" w:customStyle="1" w:styleId="212">
    <w:name w:val="样式 (西文) 黑体 (中文) 黑体 四号 加粗 首行缩进:  2 字符"/>
    <w:basedOn w:val="1"/>
    <w:next w:val="40"/>
    <w:qFormat/>
    <w:uiPriority w:val="0"/>
    <w:pPr>
      <w:ind w:firstLine="562" w:firstLineChars="200"/>
    </w:pPr>
    <w:rPr>
      <w:rFonts w:ascii="黑体" w:hAnsi="Calibri" w:eastAsia="黑体"/>
      <w:b/>
      <w:bCs/>
      <w:sz w:val="28"/>
      <w:szCs w:val="20"/>
    </w:rPr>
  </w:style>
  <w:style w:type="paragraph" w:customStyle="1" w:styleId="2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21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215">
    <w:name w:val="Char Char Char Char Char Char Char Char Char Char Char1 Char Char Char Char Char Char Char Char Char Char Char Char"/>
    <w:basedOn w:val="1"/>
    <w:qFormat/>
    <w:uiPriority w:val="0"/>
    <w:rPr>
      <w:rFonts w:ascii="Calibri" w:hAnsi="Calibri"/>
    </w:rPr>
  </w:style>
  <w:style w:type="paragraph" w:customStyle="1" w:styleId="216">
    <w:name w:val="xl25"/>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character" w:customStyle="1" w:styleId="217">
    <w:name w:val="z-窗体顶端 Char1"/>
    <w:basedOn w:val="50"/>
    <w:link w:val="111"/>
    <w:semiHidden/>
    <w:qFormat/>
    <w:uiPriority w:val="99"/>
    <w:rPr>
      <w:rFonts w:ascii="Arial" w:hAnsi="Arial" w:cs="Arial"/>
      <w:vanish/>
      <w:kern w:val="2"/>
      <w:sz w:val="16"/>
      <w:szCs w:val="16"/>
    </w:rPr>
  </w:style>
  <w:style w:type="paragraph" w:customStyle="1" w:styleId="218">
    <w:name w:val="附件 2"/>
    <w:basedOn w:val="42"/>
    <w:qFormat/>
    <w:uiPriority w:val="0"/>
    <w:pPr>
      <w:spacing w:beforeAutospacing="0" w:afterAutospacing="0" w:line="300" w:lineRule="auto"/>
      <w:jc w:val="both"/>
    </w:pPr>
    <w:rPr>
      <w:rFonts w:cs="Times New Roman"/>
      <w:color w:val="000000"/>
      <w:sz w:val="21"/>
      <w:szCs w:val="18"/>
    </w:rPr>
  </w:style>
  <w:style w:type="paragraph" w:customStyle="1" w:styleId="219">
    <w:name w:val="样式2"/>
    <w:basedOn w:val="31"/>
    <w:qFormat/>
    <w:uiPriority w:val="0"/>
    <w:pPr>
      <w:tabs>
        <w:tab w:val="left" w:pos="1050"/>
        <w:tab w:val="left" w:pos="1260"/>
        <w:tab w:val="right" w:pos="9061"/>
      </w:tabs>
      <w:spacing w:before="120" w:after="120" w:line="240" w:lineRule="auto"/>
      <w:jc w:val="both"/>
    </w:pPr>
    <w:rPr>
      <w:rFonts w:ascii="黑体" w:hAnsi="宋体" w:cs="Times New Roman"/>
      <w:b/>
      <w:bCs/>
      <w:caps/>
      <w:sz w:val="24"/>
      <w:szCs w:val="28"/>
    </w:rPr>
  </w:style>
  <w:style w:type="character" w:customStyle="1" w:styleId="220">
    <w:name w:val="正文文本缩进 2 Char1"/>
    <w:basedOn w:val="50"/>
    <w:link w:val="26"/>
    <w:qFormat/>
    <w:uiPriority w:val="0"/>
    <w:rPr>
      <w:kern w:val="2"/>
      <w:sz w:val="21"/>
      <w:szCs w:val="24"/>
    </w:rPr>
  </w:style>
  <w:style w:type="paragraph" w:customStyle="1" w:styleId="221">
    <w:name w:val="表格标题"/>
    <w:basedOn w:val="1"/>
    <w:qFormat/>
    <w:uiPriority w:val="0"/>
    <w:pPr>
      <w:jc w:val="center"/>
    </w:pPr>
    <w:rPr>
      <w:rFonts w:ascii="Arial Narrow" w:hAnsi="Arial Narrow" w:eastAsia="楷体_GB2312"/>
      <w:snapToGrid w:val="0"/>
      <w:kern w:val="0"/>
      <w:szCs w:val="20"/>
    </w:rPr>
  </w:style>
  <w:style w:type="paragraph" w:customStyle="1" w:styleId="222">
    <w:name w:val="样式 标题 2 + 左侧:  2 字符"/>
    <w:basedOn w:val="4"/>
    <w:qFormat/>
    <w:uiPriority w:val="0"/>
    <w:pPr>
      <w:spacing w:before="380" w:after="380" w:line="415" w:lineRule="auto"/>
      <w:ind w:left="420" w:leftChars="200"/>
    </w:pPr>
    <w:rPr>
      <w:rFonts w:eastAsia="宋体"/>
      <w:kern w:val="2"/>
      <w:sz w:val="30"/>
      <w:szCs w:val="20"/>
    </w:rPr>
  </w:style>
  <w:style w:type="character" w:customStyle="1" w:styleId="223">
    <w:name w:val="脚注文本 Char"/>
    <w:basedOn w:val="50"/>
    <w:link w:val="34"/>
    <w:qFormat/>
    <w:uiPriority w:val="0"/>
    <w:rPr>
      <w:rFonts w:ascii="Calibri" w:hAnsi="Calibri"/>
      <w:kern w:val="2"/>
    </w:rPr>
  </w:style>
  <w:style w:type="paragraph" w:customStyle="1" w:styleId="224">
    <w:name w:val="样式1"/>
    <w:basedOn w:val="1"/>
    <w:next w:val="6"/>
    <w:qFormat/>
    <w:uiPriority w:val="0"/>
    <w:pPr>
      <w:spacing w:line="360" w:lineRule="auto"/>
      <w:ind w:firstLine="420" w:firstLineChars="200"/>
    </w:pPr>
    <w:rPr>
      <w:rFonts w:ascii="宋体" w:hAnsi="宋体"/>
      <w:szCs w:val="21"/>
    </w:rPr>
  </w:style>
  <w:style w:type="paragraph" w:customStyle="1" w:styleId="225">
    <w:name w:val="Revision1"/>
    <w:qFormat/>
    <w:uiPriority w:val="0"/>
    <w:rPr>
      <w:rFonts w:ascii="Bodoni MT" w:hAnsi="Bodoni MT" w:eastAsia="宋体" w:cs="Times New Roman"/>
      <w:kern w:val="2"/>
      <w:sz w:val="21"/>
      <w:szCs w:val="24"/>
      <w:lang w:val="en-US" w:eastAsia="zh-CN" w:bidi="ar-SA"/>
    </w:rPr>
  </w:style>
  <w:style w:type="paragraph" w:customStyle="1" w:styleId="226">
    <w:name w:val="样式 样式 标题 2 + Times New Roman 四号 非加粗 段前: 5 磅 段后: 0 磅 行距: 固定值 20....."/>
    <w:basedOn w:val="204"/>
    <w:qFormat/>
    <w:uiPriority w:val="0"/>
    <w:pPr>
      <w:spacing w:before="0" w:after="234"/>
      <w:jc w:val="both"/>
    </w:pPr>
    <w:rPr>
      <w:rFonts w:eastAsia="黑体"/>
      <w:b/>
      <w:bCs/>
    </w:rPr>
  </w:style>
  <w:style w:type="paragraph" w:customStyle="1" w:styleId="227">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28">
    <w:name w:val="正文1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2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3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1">
    <w:name w:val="Char Char Char Char Char Char Char"/>
    <w:basedOn w:val="1"/>
    <w:qFormat/>
    <w:uiPriority w:val="0"/>
    <w:rPr>
      <w:rFonts w:ascii="Tahoma" w:hAnsi="Tahoma"/>
      <w:sz w:val="24"/>
      <w:szCs w:val="20"/>
    </w:rPr>
  </w:style>
  <w:style w:type="character" w:customStyle="1" w:styleId="232">
    <w:name w:val="批注文字 Char1"/>
    <w:basedOn w:val="50"/>
    <w:link w:val="15"/>
    <w:qFormat/>
    <w:uiPriority w:val="0"/>
    <w:rPr>
      <w:kern w:val="2"/>
      <w:sz w:val="21"/>
      <w:szCs w:val="24"/>
    </w:rPr>
  </w:style>
  <w:style w:type="character" w:customStyle="1" w:styleId="233">
    <w:name w:val="批注主题 Char1"/>
    <w:basedOn w:val="232"/>
    <w:link w:val="45"/>
    <w:qFormat/>
    <w:uiPriority w:val="0"/>
    <w:rPr>
      <w:kern w:val="2"/>
      <w:sz w:val="21"/>
      <w:szCs w:val="24"/>
    </w:rPr>
  </w:style>
  <w:style w:type="paragraph" w:customStyle="1" w:styleId="234">
    <w:name w:val="TOC 标题1"/>
    <w:basedOn w:val="3"/>
    <w:next w:val="1"/>
    <w:qFormat/>
    <w:uiPriority w:val="0"/>
    <w:pPr>
      <w:keepLines/>
      <w:numPr>
        <w:numId w:val="0"/>
      </w:numPr>
      <w:tabs>
        <w:tab w:val="clear" w:pos="432"/>
      </w:tabs>
      <w:spacing w:before="480" w:line="276" w:lineRule="auto"/>
      <w:jc w:val="left"/>
      <w:outlineLvl w:val="9"/>
    </w:pPr>
    <w:rPr>
      <w:rFonts w:ascii="Cambria" w:hAnsi="Cambria" w:eastAsia="宋体" w:cs="Cambria"/>
      <w:b/>
      <w:bCs/>
      <w:color w:val="365F91"/>
      <w:sz w:val="28"/>
      <w:szCs w:val="28"/>
    </w:rPr>
  </w:style>
  <w:style w:type="paragraph" w:customStyle="1" w:styleId="235">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character" w:customStyle="1" w:styleId="236">
    <w:name w:val="引用 Char2"/>
    <w:basedOn w:val="50"/>
    <w:link w:val="148"/>
    <w:semiHidden/>
    <w:qFormat/>
    <w:uiPriority w:val="99"/>
    <w:rPr>
      <w:i/>
      <w:iCs/>
      <w:color w:val="000000" w:themeColor="text1"/>
      <w:kern w:val="2"/>
      <w:sz w:val="21"/>
      <w:szCs w:val="24"/>
      <w14:textFill>
        <w14:solidFill>
          <w14:schemeClr w14:val="tx1"/>
        </w14:solidFill>
      </w14:textFill>
    </w:rPr>
  </w:style>
  <w:style w:type="paragraph" w:customStyle="1" w:styleId="237">
    <w:name w:val="菲页1"/>
    <w:basedOn w:val="4"/>
    <w:qFormat/>
    <w:uiPriority w:val="0"/>
    <w:pPr>
      <w:widowControl/>
      <w:spacing w:line="416" w:lineRule="auto"/>
      <w:jc w:val="center"/>
    </w:pPr>
    <w:rPr>
      <w:rFonts w:ascii="黑体" w:hAnsi="宋体"/>
      <w:b w:val="0"/>
      <w:bCs w:val="0"/>
      <w:sz w:val="52"/>
      <w:szCs w:val="20"/>
    </w:rPr>
  </w:style>
  <w:style w:type="character" w:customStyle="1" w:styleId="238">
    <w:name w:val="文档结构图 Char1"/>
    <w:basedOn w:val="50"/>
    <w:link w:val="13"/>
    <w:qFormat/>
    <w:uiPriority w:val="0"/>
    <w:rPr>
      <w:rFonts w:ascii="宋体"/>
      <w:kern w:val="2"/>
      <w:sz w:val="18"/>
      <w:szCs w:val="18"/>
    </w:rPr>
  </w:style>
  <w:style w:type="paragraph" w:customStyle="1" w:styleId="239">
    <w:name w:val="xl31"/>
    <w:basedOn w:val="1"/>
    <w:qFormat/>
    <w:uiPriority w:val="0"/>
    <w:pPr>
      <w:widowControl/>
      <w:shd w:val="clear" w:color="auto" w:fill="FFFF00"/>
      <w:spacing w:before="100" w:beforeAutospacing="1" w:after="100" w:afterAutospacing="1"/>
      <w:jc w:val="left"/>
    </w:pPr>
    <w:rPr>
      <w:rFonts w:ascii="Arial Unicode MS" w:hAnsi="Arial Unicode MS" w:eastAsia="Arial Unicode MS" w:cs="Arial Unicode MS"/>
      <w:kern w:val="0"/>
      <w:sz w:val="24"/>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41">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2">
    <w:name w:val="WPS Plain"/>
    <w:qFormat/>
    <w:uiPriority w:val="0"/>
    <w:rPr>
      <w:rFonts w:ascii="Calibri" w:hAnsi="Calibri" w:eastAsia="宋体" w:cs="Times New Roman"/>
      <w:lang w:val="en-US" w:eastAsia="zh-CN" w:bidi="ar-SA"/>
    </w:rPr>
  </w:style>
  <w:style w:type="paragraph" w:customStyle="1" w:styleId="243">
    <w:name w:val="普通(网站)11"/>
    <w:basedOn w:val="1"/>
    <w:qFormat/>
    <w:uiPriority w:val="0"/>
    <w:pPr>
      <w:widowControl/>
      <w:spacing w:before="100" w:beforeAutospacing="1" w:after="100" w:afterAutospacing="1" w:line="360" w:lineRule="auto"/>
      <w:ind w:firstLine="200" w:firstLineChars="200"/>
      <w:jc w:val="left"/>
    </w:pPr>
    <w:rPr>
      <w:rFonts w:ascii="宋体" w:hAnsi="Calibri"/>
      <w:kern w:val="0"/>
      <w:sz w:val="24"/>
    </w:rPr>
  </w:style>
  <w:style w:type="paragraph" w:customStyle="1" w:styleId="244">
    <w:name w:val="TOC Heading1"/>
    <w:basedOn w:val="3"/>
    <w:next w:val="1"/>
    <w:qFormat/>
    <w:uiPriority w:val="0"/>
    <w:pPr>
      <w:keepLines/>
      <w:numPr>
        <w:numId w:val="0"/>
      </w:numPr>
      <w:tabs>
        <w:tab w:val="clear" w:pos="432"/>
      </w:tabs>
      <w:spacing w:before="480" w:line="276" w:lineRule="auto"/>
      <w:jc w:val="left"/>
      <w:outlineLvl w:val="9"/>
    </w:pPr>
    <w:rPr>
      <w:rFonts w:ascii="Cambria" w:hAnsi="Cambria" w:eastAsia="宋体"/>
      <w:b/>
      <w:bCs/>
      <w:color w:val="365F91"/>
      <w:sz w:val="28"/>
      <w:szCs w:val="28"/>
    </w:rPr>
  </w:style>
  <w:style w:type="paragraph" w:customStyle="1" w:styleId="245">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6">
    <w:name w:val="样式 标题 1 + 黑体 三号 非加粗 居中 段前: 6 磅 段后: 6 磅 行距: 固定值 20 磅"/>
    <w:basedOn w:val="3"/>
    <w:qFormat/>
    <w:uiPriority w:val="0"/>
    <w:pPr>
      <w:keepLines/>
      <w:widowControl w:val="0"/>
      <w:numPr>
        <w:numId w:val="0"/>
      </w:numPr>
      <w:tabs>
        <w:tab w:val="clear" w:pos="432"/>
      </w:tabs>
      <w:spacing w:before="120" w:after="120" w:line="400" w:lineRule="exact"/>
    </w:pPr>
    <w:rPr>
      <w:rFonts w:hAnsi="黑体" w:cs="宋体"/>
      <w:kern w:val="44"/>
      <w:sz w:val="32"/>
    </w:rPr>
  </w:style>
  <w:style w:type="paragraph" w:customStyle="1" w:styleId="247">
    <w:name w:val="xl30"/>
    <w:basedOn w:val="1"/>
    <w:qFormat/>
    <w:uiPriority w:val="0"/>
    <w:pPr>
      <w:widowControl/>
      <w:spacing w:before="100" w:beforeAutospacing="1" w:after="100" w:afterAutospacing="1"/>
      <w:jc w:val="left"/>
    </w:pPr>
    <w:rPr>
      <w:rFonts w:ascii="Calibri" w:hAnsi="Calibri" w:eastAsia="Arial Unicode MS"/>
      <w:kern w:val="0"/>
      <w:sz w:val="24"/>
    </w:rPr>
  </w:style>
  <w:style w:type="paragraph" w:styleId="248">
    <w:name w:val="List Paragraph"/>
    <w:basedOn w:val="1"/>
    <w:qFormat/>
    <w:uiPriority w:val="0"/>
    <w:pPr>
      <w:ind w:firstLine="420" w:firstLineChars="200"/>
    </w:pPr>
    <w:rPr>
      <w:rFonts w:ascii="Calibri" w:hAnsi="Calibri"/>
    </w:rPr>
  </w:style>
  <w:style w:type="paragraph" w:customStyle="1" w:styleId="249">
    <w:name w:val="Char Char Char Char1"/>
    <w:basedOn w:val="1"/>
    <w:qFormat/>
    <w:uiPriority w:val="0"/>
    <w:rPr>
      <w:rFonts w:ascii="Tahoma" w:hAnsi="Tahoma"/>
      <w:sz w:val="24"/>
      <w:szCs w:val="20"/>
    </w:rPr>
  </w:style>
  <w:style w:type="paragraph" w:customStyle="1" w:styleId="250">
    <w:name w:val="Char2"/>
    <w:basedOn w:val="1"/>
    <w:qFormat/>
    <w:uiPriority w:val="0"/>
    <w:rPr>
      <w:rFonts w:ascii="Tahoma" w:hAnsi="Tahoma"/>
      <w:sz w:val="24"/>
      <w:szCs w:val="20"/>
    </w:rPr>
  </w:style>
  <w:style w:type="paragraph" w:customStyle="1" w:styleId="251">
    <w:name w:val="菲页(卷)"/>
    <w:basedOn w:val="3"/>
    <w:next w:val="228"/>
    <w:qFormat/>
    <w:uiPriority w:val="0"/>
    <w:pPr>
      <w:numPr>
        <w:numId w:val="0"/>
      </w:numPr>
      <w:ind w:left="432" w:hanging="432"/>
      <w:outlineLvl w:val="1"/>
    </w:pPr>
    <w:rPr>
      <w:rFonts w:hAnsi="Calibri"/>
    </w:rPr>
  </w:style>
  <w:style w:type="character" w:customStyle="1" w:styleId="252">
    <w:name w:val="正文首行缩进 Char1"/>
    <w:basedOn w:val="178"/>
    <w:link w:val="46"/>
    <w:qFormat/>
    <w:uiPriority w:val="0"/>
    <w:rPr>
      <w:kern w:val="2"/>
      <w:sz w:val="21"/>
      <w:szCs w:val="24"/>
    </w:rPr>
  </w:style>
  <w:style w:type="paragraph" w:customStyle="1" w:styleId="2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54">
    <w:name w:val="xl28"/>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xl67"/>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256">
    <w:name w:val="font12"/>
    <w:basedOn w:val="1"/>
    <w:qFormat/>
    <w:uiPriority w:val="0"/>
    <w:pPr>
      <w:widowControl/>
      <w:spacing w:before="100" w:beforeAutospacing="1" w:after="100" w:afterAutospacing="1"/>
      <w:jc w:val="left"/>
    </w:pPr>
    <w:rPr>
      <w:rFonts w:ascii="Calibri" w:hAnsi="Calibri" w:eastAsia="Arial Unicode MS"/>
      <w:color w:val="000000"/>
      <w:kern w:val="0"/>
      <w:sz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8">
    <w:name w:val="纯文本1"/>
    <w:basedOn w:val="1"/>
    <w:qFormat/>
    <w:uiPriority w:val="0"/>
    <w:pPr>
      <w:adjustRightInd w:val="0"/>
      <w:textAlignment w:val="baseline"/>
    </w:pPr>
    <w:rPr>
      <w:rFonts w:ascii="宋体" w:hAnsi="Courier New"/>
      <w:szCs w:val="20"/>
    </w:rPr>
  </w:style>
  <w:style w:type="paragraph" w:customStyle="1" w:styleId="259">
    <w:name w:val="简单回函地址"/>
    <w:basedOn w:val="1"/>
    <w:qFormat/>
    <w:uiPriority w:val="0"/>
    <w:rPr>
      <w:rFonts w:ascii="Calibri" w:hAnsi="Calibri"/>
    </w:rPr>
  </w:style>
  <w:style w:type="paragraph" w:customStyle="1" w:styleId="260">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paragraph" w:customStyle="1" w:styleId="2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263">
    <w:name w:val="目录文字"/>
    <w:basedOn w:val="1"/>
    <w:qFormat/>
    <w:uiPriority w:val="0"/>
    <w:pPr>
      <w:widowControl/>
      <w:spacing w:line="480" w:lineRule="auto"/>
      <w:jc w:val="left"/>
    </w:pPr>
    <w:rPr>
      <w:rFonts w:ascii="宋体" w:hAnsi="宋体"/>
      <w:kern w:val="0"/>
      <w:sz w:val="24"/>
      <w:szCs w:val="20"/>
    </w:rPr>
  </w:style>
  <w:style w:type="paragraph" w:customStyle="1" w:styleId="264">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2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67">
    <w:name w:val="Char Char1 Char"/>
    <w:basedOn w:val="1"/>
    <w:qFormat/>
    <w:uiPriority w:val="0"/>
    <w:rPr>
      <w:rFonts w:ascii="Calibri" w:hAnsi="Calibri"/>
    </w:rPr>
  </w:style>
  <w:style w:type="paragraph" w:customStyle="1" w:styleId="268">
    <w:name w:val="normalweb"/>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69">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0">
    <w:name w:val="Char Char Char Char Char Char Char1"/>
    <w:basedOn w:val="1"/>
    <w:qFormat/>
    <w:uiPriority w:val="0"/>
    <w:rPr>
      <w:rFonts w:ascii="仿宋_GB2312" w:hAnsi="Calibri" w:eastAsia="仿宋_GB2312"/>
      <w:b/>
      <w:sz w:val="32"/>
      <w:szCs w:val="32"/>
    </w:rPr>
  </w:style>
  <w:style w:type="paragraph" w:customStyle="1" w:styleId="271">
    <w:name w:val="表格文字"/>
    <w:basedOn w:val="1"/>
    <w:qFormat/>
    <w:uiPriority w:val="0"/>
    <w:pPr>
      <w:adjustRightInd w:val="0"/>
      <w:snapToGrid w:val="0"/>
      <w:spacing w:beforeLines="20" w:line="360" w:lineRule="auto"/>
      <w:ind w:left="-51" w:leftChars="-51" w:hanging="107" w:hangingChars="51"/>
      <w:jc w:val="center"/>
    </w:pPr>
    <w:rPr>
      <w:rFonts w:ascii="Calibri" w:hAnsi="Calibri"/>
      <w:color w:val="000000"/>
    </w:rPr>
  </w:style>
  <w:style w:type="paragraph" w:customStyle="1" w:styleId="272">
    <w:name w:val="图表文字"/>
    <w:basedOn w:val="1"/>
    <w:qFormat/>
    <w:uiPriority w:val="0"/>
    <w:pPr>
      <w:widowControl/>
      <w:adjustRightInd w:val="0"/>
      <w:spacing w:before="120" w:after="120"/>
      <w:jc w:val="center"/>
    </w:pPr>
    <w:rPr>
      <w:rFonts w:ascii="黑体" w:hAnsi="Calibri" w:eastAsia="黑体"/>
      <w:kern w:val="0"/>
      <w:sz w:val="28"/>
      <w:szCs w:val="20"/>
    </w:rPr>
  </w:style>
  <w:style w:type="paragraph" w:customStyle="1" w:styleId="273">
    <w:name w:val="xl32"/>
    <w:basedOn w:val="1"/>
    <w:qFormat/>
    <w:uiPriority w:val="0"/>
    <w:pPr>
      <w:widowControl/>
      <w:spacing w:before="100" w:beforeAutospacing="1" w:after="100" w:afterAutospacing="1"/>
      <w:jc w:val="left"/>
    </w:pPr>
    <w:rPr>
      <w:rFonts w:ascii="Calibri" w:hAnsi="Calibri" w:eastAsia="Arial Unicode MS"/>
      <w:b/>
      <w:bCs/>
      <w:kern w:val="0"/>
      <w:sz w:val="24"/>
    </w:rPr>
  </w:style>
  <w:style w:type="paragraph" w:customStyle="1" w:styleId="27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75">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styleId="27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78">
    <w:name w:val="标题1"/>
    <w:basedOn w:val="4"/>
    <w:qFormat/>
    <w:uiPriority w:val="0"/>
    <w:pPr>
      <w:spacing w:line="416" w:lineRule="auto"/>
      <w:ind w:firstLine="112" w:firstLineChars="40"/>
    </w:pPr>
    <w:rPr>
      <w:rFonts w:ascii="宋体" w:hAnsi="宋体" w:eastAsia="宋体"/>
      <w:color w:val="000000"/>
      <w:kern w:val="2"/>
      <w:sz w:val="28"/>
      <w:szCs w:val="28"/>
    </w:rPr>
  </w:style>
  <w:style w:type="paragraph" w:customStyle="1" w:styleId="279">
    <w:name w:val="xl8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Cs w:val="21"/>
    </w:rPr>
  </w:style>
  <w:style w:type="paragraph" w:customStyle="1" w:styleId="2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2">
    <w:name w:val="xl80"/>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283">
    <w:name w:val="_Style 2"/>
    <w:basedOn w:val="1"/>
    <w:qFormat/>
    <w:uiPriority w:val="0"/>
    <w:rPr>
      <w:rFonts w:ascii="Calibri" w:hAnsi="Calibri"/>
    </w:rPr>
  </w:style>
  <w:style w:type="paragraph" w:customStyle="1" w:styleId="284">
    <w:name w:val="xl5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85">
    <w:name w:val="font9"/>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86">
    <w:name w:val="Char Char Char Char Char Char Char Char Char Char"/>
    <w:basedOn w:val="1"/>
    <w:qFormat/>
    <w:uiPriority w:val="0"/>
    <w:rPr>
      <w:rFonts w:ascii="仿宋_GB2312" w:hAnsi="Calibri" w:eastAsia="仿宋_GB2312"/>
      <w:b/>
      <w:sz w:val="32"/>
      <w:szCs w:val="32"/>
    </w:rPr>
  </w:style>
  <w:style w:type="paragraph" w:customStyle="1" w:styleId="287">
    <w:name w:val="正文文本1"/>
    <w:basedOn w:val="1"/>
    <w:qFormat/>
    <w:uiPriority w:val="0"/>
    <w:rPr>
      <w:rFonts w:ascii="宋体" w:hAnsi="宋体"/>
      <w:sz w:val="30"/>
      <w:szCs w:val="20"/>
    </w:rPr>
  </w:style>
  <w:style w:type="paragraph" w:customStyle="1" w:styleId="288">
    <w:name w:val="正文文本11"/>
    <w:basedOn w:val="1"/>
    <w:qFormat/>
    <w:uiPriority w:val="0"/>
    <w:rPr>
      <w:rFonts w:ascii="宋体" w:hAnsi="Calibri" w:cs="宋体"/>
      <w:sz w:val="30"/>
      <w:szCs w:val="30"/>
    </w:rPr>
  </w:style>
  <w:style w:type="paragraph" w:customStyle="1" w:styleId="289">
    <w:name w:val="_Style 13"/>
    <w:basedOn w:val="13"/>
    <w:qFormat/>
    <w:uiPriority w:val="0"/>
    <w:pPr>
      <w:widowControl w:val="0"/>
      <w:shd w:val="clear" w:color="auto" w:fill="000080"/>
    </w:pPr>
    <w:rPr>
      <w:rFonts w:ascii="Times New Roman" w:hAnsi="Times New Roman"/>
    </w:rPr>
  </w:style>
  <w:style w:type="paragraph" w:customStyle="1" w:styleId="290">
    <w:name w:val="1"/>
    <w:basedOn w:val="1"/>
    <w:next w:val="1"/>
    <w:qFormat/>
    <w:uiPriority w:val="0"/>
    <w:rPr>
      <w:rFonts w:ascii="Calibri" w:hAnsi="Calibri"/>
    </w:rPr>
  </w:style>
  <w:style w:type="paragraph" w:customStyle="1" w:styleId="291">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92">
    <w:name w:val="xl3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293">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character" w:customStyle="1" w:styleId="294">
    <w:name w:val="button"/>
    <w:basedOn w:val="50"/>
    <w:qFormat/>
    <w:uiPriority w:val="0"/>
  </w:style>
  <w:style w:type="character" w:customStyle="1" w:styleId="295">
    <w:name w:val="hover3"/>
    <w:basedOn w:val="50"/>
    <w:qFormat/>
    <w:uiPriority w:val="0"/>
    <w:rPr>
      <w:shd w:val="clear" w:color="auto" w:fill="EEEEEE"/>
    </w:rPr>
  </w:style>
  <w:style w:type="character" w:customStyle="1" w:styleId="296">
    <w:name w:val="old"/>
    <w:basedOn w:val="50"/>
    <w:qFormat/>
    <w:uiPriority w:val="0"/>
    <w:rPr>
      <w:color w:val="999999"/>
    </w:rPr>
  </w:style>
  <w:style w:type="character" w:customStyle="1" w:styleId="297">
    <w:name w:val="glyphicon4"/>
    <w:basedOn w:val="50"/>
    <w:qFormat/>
    <w:uiPriority w:val="0"/>
  </w:style>
  <w:style w:type="character" w:customStyle="1" w:styleId="298">
    <w:name w:val="hour_am"/>
    <w:basedOn w:val="50"/>
    <w:qFormat/>
    <w:uiPriority w:val="0"/>
  </w:style>
  <w:style w:type="character" w:customStyle="1" w:styleId="299">
    <w:name w:val="hour_pm"/>
    <w:basedOn w:val="50"/>
    <w:qFormat/>
    <w:uiPriority w:val="0"/>
  </w:style>
  <w:style w:type="character" w:customStyle="1" w:styleId="300">
    <w:name w:val="tmpztreemove_arrow"/>
    <w:basedOn w:val="50"/>
    <w:qFormat/>
    <w:uiPriority w:val="0"/>
    <w:rPr>
      <w:shd w:val="clear" w:color="auto" w:fill="FFFFFF"/>
    </w:rPr>
  </w:style>
  <w:style w:type="character" w:customStyle="1" w:styleId="301">
    <w:name w:val="indent"/>
    <w:basedOn w:val="50"/>
    <w:qFormat/>
    <w:uiPriority w:val="0"/>
  </w:style>
  <w:style w:type="paragraph" w:customStyle="1" w:styleId="302">
    <w:name w:val="title1"/>
    <w:basedOn w:val="1"/>
    <w:qFormat/>
    <w:uiPriority w:val="0"/>
    <w:pPr>
      <w:spacing w:before="150" w:line="450" w:lineRule="atLeast"/>
      <w:jc w:val="left"/>
    </w:pPr>
    <w:rPr>
      <w:b/>
      <w:kern w:val="0"/>
      <w:sz w:val="24"/>
    </w:rPr>
  </w:style>
  <w:style w:type="character" w:customStyle="1" w:styleId="303">
    <w:name w:val="hover2"/>
    <w:basedOn w:val="50"/>
    <w:qFormat/>
    <w:uiPriority w:val="0"/>
    <w:rPr>
      <w:shd w:val="clear" w:color="auto" w:fill="EEEEEE"/>
    </w:rPr>
  </w:style>
  <w:style w:type="paragraph" w:customStyle="1" w:styleId="3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0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7">
    <w:name w:val="UserStyle_102"/>
    <w:basedOn w:val="1"/>
    <w:qFormat/>
    <w:uiPriority w:val="0"/>
    <w:pPr>
      <w:widowControl/>
      <w:spacing w:line="360" w:lineRule="auto"/>
      <w:jc w:val="left"/>
      <w:textAlignment w:val="baseline"/>
    </w:pPr>
    <w:rPr>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107</Pages>
  <Words>49355</Words>
  <Characters>51792</Characters>
  <Lines>402</Lines>
  <Paragraphs>113</Paragraphs>
  <TotalTime>11</TotalTime>
  <ScaleCrop>false</ScaleCrop>
  <LinksUpToDate>false</LinksUpToDate>
  <CharactersWithSpaces>54383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2021-10-20T03:06:00Z</dcterms:created>
  <dc:creator>東山花燈路丶</dc:creator>
  <cp:lastModifiedBy>等海不蓝</cp:lastModifiedBy>
  <dcterms:modified xsi:type="dcterms:W3CDTF">2022-05-24T01:44:46Z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FD048AFDB74646F6A6FC46FA0DC490B4</vt:lpwstr>
  </property>
</Properties>
</file>