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sz w:val="36"/>
          <w:szCs w:val="36"/>
          <w:highlight w:val="none"/>
        </w:rPr>
      </w:pPr>
    </w:p>
    <w:p>
      <w:pPr>
        <w:spacing w:line="560" w:lineRule="exact"/>
        <w:rPr>
          <w:rFonts w:ascii="仿宋" w:hAnsi="仿宋" w:eastAsia="仿宋" w:cs="仿宋"/>
          <w:sz w:val="36"/>
          <w:highlight w:val="none"/>
        </w:rPr>
      </w:pPr>
      <w:r>
        <w:rPr>
          <w:rFonts w:ascii="仿宋" w:hAnsi="仿宋" w:eastAsia="仿宋" w:cs="仿宋"/>
          <w:sz w:val="36"/>
          <w:highlight w:val="none"/>
        </w:rPr>
        <w:pict>
          <v:shape id="_x0000_s1036" o:spid="_x0000_s1036" o:spt="202" type="#_x0000_t202" style="position:absolute;left:0pt;margin-left:326.15pt;margin-top:-20.4pt;height:29.15pt;width:117.7pt;z-index:251668480;mso-width-relative:page;mso-height-relative:page;" coordsize="21600,2160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spacing w:line="560" w:lineRule="exact"/>
        <w:ind w:left="-240" w:leftChars="-100" w:firstLine="239" w:firstLineChars="66"/>
        <w:rPr>
          <w:rFonts w:ascii="仿宋" w:hAnsi="仿宋" w:eastAsia="仿宋" w:cs="仿宋"/>
          <w:b/>
          <w:sz w:val="15"/>
          <w:szCs w:val="15"/>
          <w:highlight w:val="none"/>
        </w:rPr>
      </w:pPr>
      <w:r>
        <w:rPr>
          <w:rFonts w:hint="eastAsia" w:ascii="仿宋" w:hAnsi="仿宋" w:eastAsia="仿宋" w:cs="仿宋"/>
          <w:b/>
          <w:sz w:val="36"/>
          <w:szCs w:val="36"/>
          <w:highlight w:val="none"/>
        </w:rPr>
        <w:t>文件编号:HZGH-2022-086</w:t>
      </w:r>
    </w:p>
    <w:p>
      <w:pPr>
        <w:widowControl/>
        <w:wordWrap w:val="0"/>
        <w:spacing w:line="560" w:lineRule="exact"/>
        <w:rPr>
          <w:rFonts w:ascii="仿宋" w:hAnsi="仿宋" w:eastAsia="仿宋" w:cs="仿宋"/>
          <w:b/>
          <w:bCs/>
          <w:spacing w:val="20"/>
          <w:kern w:val="0"/>
          <w:sz w:val="84"/>
          <w:szCs w:val="84"/>
          <w:highlight w:val="none"/>
        </w:rPr>
      </w:pPr>
    </w:p>
    <w:p>
      <w:pPr>
        <w:widowControl/>
        <w:spacing w:line="560" w:lineRule="exact"/>
        <w:rPr>
          <w:rFonts w:ascii="仿宋" w:hAnsi="仿宋" w:eastAsia="仿宋" w:cs="仿宋"/>
          <w:b/>
          <w:sz w:val="52"/>
          <w:szCs w:val="52"/>
          <w:highlight w:val="none"/>
        </w:rPr>
      </w:pPr>
    </w:p>
    <w:p>
      <w:pPr>
        <w:spacing w:beforeLines="50" w:line="560" w:lineRule="exact"/>
        <w:jc w:val="center"/>
        <w:rPr>
          <w:rFonts w:ascii="仿宋" w:hAnsi="仿宋" w:eastAsia="仿宋" w:cs="仿宋"/>
          <w:b/>
          <w:bCs/>
          <w:spacing w:val="20"/>
          <w:kern w:val="0"/>
          <w:sz w:val="72"/>
          <w:szCs w:val="72"/>
          <w:highlight w:val="none"/>
        </w:rPr>
      </w:pPr>
    </w:p>
    <w:p>
      <w:pPr>
        <w:spacing w:beforeLines="50" w:line="560" w:lineRule="exact"/>
        <w:jc w:val="center"/>
        <w:rPr>
          <w:rFonts w:ascii="仿宋" w:hAnsi="仿宋" w:eastAsia="仿宋" w:cs="仿宋"/>
          <w:b/>
          <w:bCs/>
          <w:spacing w:val="20"/>
          <w:kern w:val="0"/>
          <w:sz w:val="56"/>
          <w:szCs w:val="56"/>
          <w:highlight w:val="none"/>
        </w:rPr>
      </w:pPr>
      <w:r>
        <w:rPr>
          <w:rFonts w:hint="eastAsia" w:ascii="仿宋" w:hAnsi="仿宋" w:eastAsia="仿宋" w:cs="仿宋"/>
          <w:b/>
          <w:bCs/>
          <w:spacing w:val="20"/>
          <w:kern w:val="0"/>
          <w:sz w:val="56"/>
          <w:szCs w:val="56"/>
          <w:highlight w:val="none"/>
        </w:rPr>
        <w:t>高清设备改造</w:t>
      </w:r>
    </w:p>
    <w:p>
      <w:pPr>
        <w:spacing w:beforeLines="50" w:line="560" w:lineRule="exact"/>
        <w:jc w:val="center"/>
        <w:rPr>
          <w:rFonts w:ascii="仿宋" w:hAnsi="仿宋" w:eastAsia="仿宋" w:cs="仿宋"/>
          <w:b/>
          <w:bCs/>
          <w:spacing w:val="20"/>
          <w:kern w:val="0"/>
          <w:sz w:val="72"/>
          <w:szCs w:val="72"/>
          <w:highlight w:val="none"/>
        </w:rPr>
      </w:pPr>
    </w:p>
    <w:p>
      <w:pPr>
        <w:spacing w:beforeLines="50" w:line="560" w:lineRule="exact"/>
        <w:jc w:val="center"/>
        <w:rPr>
          <w:rFonts w:ascii="仿宋" w:hAnsi="仿宋" w:eastAsia="仿宋" w:cs="仿宋"/>
          <w:b/>
          <w:bCs/>
          <w:spacing w:val="20"/>
          <w:kern w:val="0"/>
          <w:sz w:val="72"/>
          <w:szCs w:val="72"/>
          <w:highlight w:val="none"/>
        </w:rPr>
      </w:pPr>
    </w:p>
    <w:p>
      <w:pPr>
        <w:spacing w:beforeLines="50" w:line="560" w:lineRule="exact"/>
        <w:jc w:val="center"/>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公开招标文件</w:t>
      </w:r>
    </w:p>
    <w:p>
      <w:pPr>
        <w:pStyle w:val="36"/>
        <w:ind w:firstLine="1526"/>
        <w:rPr>
          <w:rFonts w:ascii="仿宋" w:hAnsi="仿宋" w:eastAsia="仿宋" w:cs="仿宋"/>
          <w:b/>
          <w:bCs/>
          <w:spacing w:val="20"/>
          <w:kern w:val="0"/>
          <w:sz w:val="72"/>
          <w:szCs w:val="72"/>
          <w:highlight w:val="none"/>
        </w:rPr>
      </w:pPr>
    </w:p>
    <w:p>
      <w:pPr>
        <w:spacing w:beforeLines="70" w:line="560" w:lineRule="exact"/>
        <w:rPr>
          <w:rFonts w:ascii="仿宋" w:hAnsi="仿宋" w:eastAsia="仿宋" w:cs="仿宋"/>
          <w:b/>
          <w:bCs/>
          <w:sz w:val="32"/>
          <w:szCs w:val="32"/>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3"/>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ascii="仿宋" w:hAnsi="仿宋" w:eastAsia="仿宋" w:cs="仿宋"/>
          <w:b/>
          <w:bCs/>
          <w:sz w:val="32"/>
          <w:szCs w:val="32"/>
          <w:highlight w:val="none"/>
        </w:rPr>
      </w:pPr>
    </w:p>
    <w:p>
      <w:pPr>
        <w:spacing w:beforeLines="70" w:line="560" w:lineRule="exact"/>
        <w:ind w:firstLine="2570" w:firstLineChars="800"/>
        <w:rPr>
          <w:rFonts w:ascii="仿宋" w:hAnsi="仿宋" w:eastAsia="仿宋" w:cs="仿宋"/>
          <w:b/>
          <w:bCs/>
          <w:sz w:val="32"/>
          <w:szCs w:val="32"/>
          <w:highlight w:val="none"/>
        </w:rPr>
      </w:pPr>
    </w:p>
    <w:p>
      <w:pPr>
        <w:spacing w:beforeLines="70" w:line="560" w:lineRule="exact"/>
        <w:ind w:firstLine="2570" w:firstLineChars="800"/>
        <w:rPr>
          <w:rFonts w:ascii="仿宋" w:hAnsi="仿宋" w:eastAsia="仿宋" w:cs="仿宋"/>
          <w:b/>
          <w:bCs/>
          <w:sz w:val="32"/>
          <w:szCs w:val="32"/>
          <w:highlight w:val="none"/>
        </w:rPr>
      </w:pPr>
    </w:p>
    <w:p>
      <w:pPr>
        <w:spacing w:beforeLines="70" w:line="560" w:lineRule="exact"/>
        <w:ind w:firstLine="2570" w:firstLineChars="800"/>
        <w:rPr>
          <w:rFonts w:ascii="仿宋" w:hAnsi="仿宋" w:eastAsia="仿宋" w:cs="仿宋"/>
          <w:b/>
          <w:bCs/>
          <w:sz w:val="32"/>
          <w:szCs w:val="32"/>
          <w:highlight w:val="none"/>
        </w:rPr>
      </w:pPr>
    </w:p>
    <w:p>
      <w:pPr>
        <w:pStyle w:val="16"/>
        <w:rPr>
          <w:rFonts w:ascii="仿宋" w:hAnsi="仿宋" w:eastAsia="仿宋" w:cs="仿宋"/>
          <w:highlight w:val="none"/>
        </w:rPr>
      </w:pPr>
    </w:p>
    <w:p>
      <w:pPr>
        <w:pStyle w:val="2"/>
        <w:spacing w:line="640" w:lineRule="exact"/>
        <w:ind w:firstLine="1446" w:firstLineChars="450"/>
        <w:rPr>
          <w:rFonts w:ascii="仿宋" w:hAnsi="仿宋" w:eastAsia="仿宋" w:cs="仿宋"/>
          <w:b/>
          <w:bCs/>
          <w:sz w:val="32"/>
          <w:szCs w:val="32"/>
          <w:highlight w:val="none"/>
        </w:rPr>
      </w:pPr>
      <w:r>
        <w:rPr>
          <w:rFonts w:hint="eastAsia" w:ascii="仿宋" w:hAnsi="仿宋" w:eastAsia="仿宋" w:cs="仿宋"/>
          <w:b/>
          <w:bCs/>
          <w:sz w:val="32"/>
          <w:szCs w:val="32"/>
          <w:highlight w:val="none"/>
        </w:rPr>
        <w:t>采购人：西安市高陵区融媒体中心（区广播电视台）</w:t>
      </w:r>
    </w:p>
    <w:p>
      <w:pPr>
        <w:pStyle w:val="2"/>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二零二二年九月</w:t>
      </w:r>
    </w:p>
    <w:p>
      <w:pPr>
        <w:rPr>
          <w:rFonts w:ascii="仿宋" w:hAnsi="仿宋" w:eastAsia="仿宋" w:cs="仿宋"/>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start="1"/>
          <w:cols w:space="0" w:num="1"/>
          <w:titlePg/>
          <w:docGrid w:linePitch="312" w:charSpace="0"/>
        </w:sectPr>
      </w:pPr>
      <w:r>
        <w:rPr>
          <w:rFonts w:hint="eastAsia" w:ascii="仿宋" w:hAnsi="仿宋" w:eastAsia="仿宋" w:cs="仿宋"/>
          <w:sz w:val="48"/>
          <w:szCs w:val="48"/>
          <w:highlight w:val="none"/>
          <w:lang w:val="zh-CN"/>
        </w:rPr>
        <w:br w:type="page"/>
      </w:r>
    </w:p>
    <w:p>
      <w:pPr>
        <w:jc w:val="center"/>
        <w:rPr>
          <w:rFonts w:ascii="仿宋" w:hAnsi="仿宋" w:eastAsia="仿宋" w:cs="仿宋"/>
          <w:sz w:val="48"/>
          <w:szCs w:val="48"/>
          <w:highlight w:val="none"/>
          <w:lang w:val="zh-CN"/>
        </w:r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spacing w:line="560" w:lineRule="exact"/>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tabs>
          <w:tab w:val="left" w:pos="1064"/>
        </w:tabs>
        <w:spacing w:line="560" w:lineRule="exact"/>
        <w:ind w:firstLine="422"/>
        <w:rPr>
          <w:rFonts w:ascii="仿宋" w:hAnsi="仿宋" w:eastAsia="仿宋" w:cs="仿宋"/>
          <w:b/>
          <w:bCs/>
          <w:szCs w:val="24"/>
          <w:highlight w:val="none"/>
        </w:rPr>
      </w:pPr>
      <w:r>
        <w:rPr>
          <w:rFonts w:hint="eastAsia" w:ascii="仿宋" w:hAnsi="仿宋" w:eastAsia="仿宋" w:cs="仿宋"/>
          <w:b/>
          <w:bCs/>
          <w:szCs w:val="24"/>
          <w:highlight w:val="none"/>
        </w:rPr>
        <w:t>5、如在投标文件递交截止时间前放弃本次投标，请以书面形式发出弃标函。</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6、请您于2022年9月30日10:00前，准时到华招广和项目管理有限公司会议室（西安市朱雀大街南段1号汇成天玺C座18层1818室）递交投标文件并参加开标会议，避免迟误。</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7、请您到达开标会议地点后及时到签到处签字登记。</w:t>
      </w:r>
    </w:p>
    <w:p>
      <w:pPr>
        <w:tabs>
          <w:tab w:val="left" w:pos="1064"/>
        </w:tabs>
        <w:spacing w:line="560" w:lineRule="exact"/>
        <w:ind w:firstLine="420"/>
        <w:rPr>
          <w:rFonts w:ascii="仿宋" w:hAnsi="仿宋" w:eastAsia="仿宋" w:cs="仿宋"/>
          <w:highlight w:val="none"/>
        </w:rPr>
      </w:pPr>
      <w:r>
        <w:rPr>
          <w:rFonts w:hint="eastAsia" w:ascii="仿宋" w:hAnsi="仿宋" w:eastAsia="仿宋" w:cs="仿宋"/>
          <w:b/>
          <w:bCs/>
          <w:szCs w:val="24"/>
          <w:highlight w:val="none"/>
        </w:rPr>
        <w:t>8、请您按照《陕西省财政厅关于政府采购供应商注册登记有关事项的通知》中的要求，通过陕西省政府采购网（http://www.ccgp-shaanxi.gov.cn/）注册登记加入陕西省政府采购供应商库，并接受财政部门的监督管理。</w:t>
      </w:r>
    </w:p>
    <w:p>
      <w:pPr>
        <w:tabs>
          <w:tab w:val="left" w:pos="1064"/>
        </w:tabs>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9、投标人只需拟派1人参与本项目招标会议，须注册西安市“一码通”且为绿码，现场测量体温不得超过37℃，参与招标会议的人员均需佩戴口罩。</w:t>
      </w:r>
    </w:p>
    <w:p>
      <w:pPr>
        <w:tabs>
          <w:tab w:val="left" w:pos="1064"/>
        </w:tabs>
        <w:spacing w:line="560" w:lineRule="exact"/>
        <w:ind w:firstLine="420"/>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ascii="仿宋" w:hAnsi="仿宋" w:eastAsia="仿宋" w:cs="仿宋"/>
          <w:sz w:val="48"/>
          <w:szCs w:val="48"/>
          <w:highlight w:val="none"/>
          <w:lang w:val="zh-CN"/>
        </w:rPr>
      </w:pPr>
    </w:p>
    <w:p>
      <w:pPr>
        <w:pStyle w:val="38"/>
        <w:spacing w:before="0" w:line="560" w:lineRule="exact"/>
        <w:jc w:val="center"/>
        <w:rPr>
          <w:rFonts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start="1"/>
          <w:cols w:space="0" w:num="1"/>
          <w:titlePg/>
          <w:docGrid w:linePitch="312" w:charSpace="0"/>
        </w:sectPr>
      </w:pPr>
    </w:p>
    <w:p>
      <w:pPr>
        <w:pStyle w:val="38"/>
        <w:spacing w:before="0" w:line="560" w:lineRule="exact"/>
        <w:jc w:val="center"/>
        <w:rPr>
          <w:rFonts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ascii="仿宋" w:hAnsi="仿宋" w:eastAsia="仿宋" w:cs="仿宋"/>
          <w:highlight w:val="none"/>
          <w:lang w:val="zh-CN"/>
        </w:rPr>
      </w:pPr>
    </w:p>
    <w:p>
      <w:pPr>
        <w:pStyle w:val="16"/>
        <w:tabs>
          <w:tab w:val="right" w:leader="dot" w:pos="9071"/>
        </w:tabs>
        <w:spacing w:line="480" w:lineRule="auto"/>
        <w:rPr>
          <w:rFonts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r>
        <w:rPr>
          <w:highlight w:val="none"/>
        </w:rPr>
        <w:fldChar w:fldCharType="begin"/>
      </w:r>
      <w:r>
        <w:rPr>
          <w:highlight w:val="none"/>
        </w:rPr>
        <w:instrText xml:space="preserve"> HYPERLINK \l "_Toc8848" </w:instrText>
      </w:r>
      <w:r>
        <w:rPr>
          <w:highlight w:val="none"/>
        </w:rPr>
        <w:fldChar w:fldCharType="separate"/>
      </w:r>
      <w:r>
        <w:rPr>
          <w:rFonts w:hint="eastAsia" w:ascii="仿宋" w:hAnsi="仿宋" w:eastAsia="仿宋" w:cs="仿宋"/>
          <w:sz w:val="24"/>
          <w:highlight w:val="none"/>
        </w:rPr>
        <w:t>第一章  招标公告</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_Toc8848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1"/>
        </w:tabs>
        <w:spacing w:line="480" w:lineRule="auto"/>
        <w:rPr>
          <w:rFonts w:ascii="仿宋" w:hAnsi="仿宋" w:eastAsia="仿宋" w:cs="仿宋"/>
          <w:sz w:val="24"/>
          <w:highlight w:val="none"/>
        </w:rPr>
      </w:pPr>
      <w:r>
        <w:rPr>
          <w:highlight w:val="none"/>
        </w:rPr>
        <w:fldChar w:fldCharType="begin"/>
      </w:r>
      <w:r>
        <w:rPr>
          <w:highlight w:val="none"/>
        </w:rPr>
        <w:instrText xml:space="preserve"> HYPERLINK \l "_Toc5261" </w:instrText>
      </w:r>
      <w:r>
        <w:rPr>
          <w:highlight w:val="none"/>
        </w:rPr>
        <w:fldChar w:fldCharType="separate"/>
      </w:r>
      <w:r>
        <w:rPr>
          <w:rFonts w:hint="eastAsia" w:ascii="仿宋" w:hAnsi="仿宋" w:eastAsia="仿宋" w:cs="仿宋"/>
          <w:sz w:val="24"/>
          <w:highlight w:val="none"/>
        </w:rPr>
        <w:t>第二章  投标人须知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_Toc5261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"_Toc8251" </w:instrText>
      </w:r>
      <w:r>
        <w:rPr>
          <w:highlight w:val="none"/>
        </w:rPr>
        <w:fldChar w:fldCharType="separate"/>
      </w:r>
      <w:r>
        <w:rPr>
          <w:rFonts w:hint="eastAsia" w:ascii="仿宋" w:hAnsi="仿宋" w:eastAsia="仿宋" w:cs="仿宋"/>
          <w:sz w:val="24"/>
          <w:highlight w:val="none"/>
        </w:rPr>
        <w:t>一、投标人须知前附表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_Toc8251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"_Toc13358" </w:instrText>
      </w:r>
      <w:r>
        <w:rPr>
          <w:highlight w:val="none"/>
        </w:rPr>
        <w:fldChar w:fldCharType="separate"/>
      </w:r>
      <w:r>
        <w:rPr>
          <w:rFonts w:hint="eastAsia" w:ascii="仿宋" w:hAnsi="仿宋" w:eastAsia="仿宋" w:cs="仿宋"/>
          <w:kern w:val="0"/>
          <w:sz w:val="24"/>
          <w:highlight w:val="none"/>
        </w:rPr>
        <w:t>二、项目说明</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_Toc13358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"_Toc32654" </w:instrText>
      </w:r>
      <w:r>
        <w:rPr>
          <w:highlight w:val="none"/>
        </w:rPr>
        <w:fldChar w:fldCharType="separate"/>
      </w:r>
      <w:r>
        <w:rPr>
          <w:rFonts w:hint="eastAsia" w:ascii="仿宋" w:hAnsi="仿宋" w:eastAsia="仿宋" w:cs="仿宋"/>
          <w:kern w:val="0"/>
          <w:sz w:val="24"/>
          <w:highlight w:val="none"/>
        </w:rPr>
        <w:t>三、招标文件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_Toc32654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"_Toc17207" </w:instrText>
      </w:r>
      <w:r>
        <w:rPr>
          <w:highlight w:val="none"/>
        </w:rPr>
        <w:fldChar w:fldCharType="separate"/>
      </w:r>
      <w:r>
        <w:rPr>
          <w:rFonts w:hint="eastAsia" w:ascii="仿宋" w:hAnsi="仿宋" w:eastAsia="仿宋" w:cs="仿宋"/>
          <w:kern w:val="0"/>
          <w:sz w:val="24"/>
          <w:highlight w:val="none"/>
        </w:rPr>
        <w:t>四、投标文件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_Toc17207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"_Toc25183" </w:instrText>
      </w:r>
      <w:r>
        <w:rPr>
          <w:highlight w:val="none"/>
        </w:rPr>
        <w:fldChar w:fldCharType="separate"/>
      </w:r>
      <w:r>
        <w:rPr>
          <w:rFonts w:hint="eastAsia" w:ascii="仿宋" w:hAnsi="仿宋" w:eastAsia="仿宋" w:cs="仿宋"/>
          <w:sz w:val="24"/>
          <w:szCs w:val="24"/>
          <w:highlight w:val="none"/>
          <w:lang w:val="en-US" w:eastAsia="zh-CN"/>
        </w:rPr>
        <w:t>五</w:t>
      </w:r>
      <w:r>
        <w:rPr>
          <w:rFonts w:hint="eastAsia" w:ascii="仿宋" w:hAnsi="仿宋" w:eastAsia="仿宋" w:cs="仿宋"/>
          <w:kern w:val="0"/>
          <w:sz w:val="24"/>
          <w:highlight w:val="none"/>
        </w:rPr>
        <w:t>、投标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_Toc25183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"_Toc11905" </w:instrText>
      </w:r>
      <w:r>
        <w:rPr>
          <w:highlight w:val="none"/>
        </w:rPr>
        <w:fldChar w:fldCharType="separate"/>
      </w:r>
      <w:r>
        <w:rPr>
          <w:rFonts w:hint="eastAsia" w:ascii="仿宋" w:hAnsi="仿宋" w:eastAsia="仿宋" w:cs="仿宋"/>
          <w:kern w:val="0"/>
          <w:sz w:val="24"/>
          <w:highlight w:val="none"/>
          <w:lang w:val="en-US" w:eastAsia="zh-CN"/>
        </w:rPr>
        <w:t>六</w:t>
      </w:r>
      <w:r>
        <w:rPr>
          <w:rFonts w:hint="eastAsia" w:ascii="仿宋" w:hAnsi="仿宋" w:eastAsia="仿宋" w:cs="仿宋"/>
          <w:kern w:val="0"/>
          <w:sz w:val="24"/>
          <w:highlight w:val="none"/>
        </w:rPr>
        <w:t>、开标、资格审查、评标和定标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_Toc11905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"_Toc30729" </w:instrText>
      </w:r>
      <w:r>
        <w:rPr>
          <w:highlight w:val="none"/>
        </w:rPr>
        <w:fldChar w:fldCharType="separate"/>
      </w:r>
      <w:r>
        <w:rPr>
          <w:rFonts w:hint="eastAsia" w:ascii="仿宋" w:hAnsi="仿宋" w:eastAsia="仿宋" w:cs="仿宋"/>
          <w:kern w:val="0"/>
          <w:sz w:val="24"/>
          <w:highlight w:val="none"/>
          <w:lang w:val="en-US" w:eastAsia="zh-CN"/>
        </w:rPr>
        <w:t>七</w:t>
      </w:r>
      <w:r>
        <w:rPr>
          <w:rFonts w:hint="eastAsia" w:ascii="仿宋" w:hAnsi="仿宋" w:eastAsia="仿宋" w:cs="仿宋"/>
          <w:kern w:val="0"/>
          <w:sz w:val="24"/>
          <w:highlight w:val="none"/>
        </w:rPr>
        <w:t>、合同</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_Toc30729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"_Toc26201" </w:instrText>
      </w:r>
      <w:r>
        <w:rPr>
          <w:highlight w:val="none"/>
        </w:rPr>
        <w:fldChar w:fldCharType="separate"/>
      </w:r>
      <w:r>
        <w:rPr>
          <w:rFonts w:hint="eastAsia" w:ascii="仿宋" w:hAnsi="仿宋" w:eastAsia="仿宋" w:cs="仿宋"/>
          <w:kern w:val="0"/>
          <w:sz w:val="24"/>
          <w:highlight w:val="none"/>
          <w:lang w:val="en-US" w:eastAsia="zh-CN"/>
        </w:rPr>
        <w:t>八</w:t>
      </w:r>
      <w:r>
        <w:rPr>
          <w:rFonts w:hint="eastAsia" w:ascii="仿宋" w:hAnsi="仿宋" w:eastAsia="仿宋" w:cs="仿宋"/>
          <w:kern w:val="0"/>
          <w:sz w:val="24"/>
          <w:highlight w:val="none"/>
        </w:rPr>
        <w:t>、合同的履约验收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_Toc26201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"_Toc31905" </w:instrText>
      </w:r>
      <w:r>
        <w:rPr>
          <w:highlight w:val="none"/>
        </w:rPr>
        <w:fldChar w:fldCharType="separate"/>
      </w:r>
      <w:r>
        <w:rPr>
          <w:rFonts w:hint="eastAsia" w:ascii="仿宋" w:hAnsi="仿宋" w:eastAsia="仿宋" w:cs="仿宋"/>
          <w:kern w:val="0"/>
          <w:sz w:val="24"/>
          <w:highlight w:val="none"/>
          <w:lang w:val="en-US" w:eastAsia="zh-CN"/>
        </w:rPr>
        <w:t>九</w:t>
      </w:r>
      <w:r>
        <w:rPr>
          <w:rFonts w:hint="eastAsia" w:ascii="仿宋" w:hAnsi="仿宋" w:eastAsia="仿宋" w:cs="仿宋"/>
          <w:kern w:val="0"/>
          <w:sz w:val="24"/>
          <w:highlight w:val="none"/>
        </w:rPr>
        <w:t>、招标服务费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_Toc31905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"_Toc4176" </w:instrText>
      </w:r>
      <w:r>
        <w:rPr>
          <w:highlight w:val="none"/>
        </w:rPr>
        <w:fldChar w:fldCharType="separate"/>
      </w:r>
      <w:r>
        <w:rPr>
          <w:rFonts w:hint="eastAsia" w:ascii="仿宋" w:hAnsi="仿宋" w:eastAsia="仿宋" w:cs="仿宋"/>
          <w:kern w:val="0"/>
          <w:sz w:val="24"/>
          <w:highlight w:val="none"/>
        </w:rPr>
        <w:t>十、重新组织采购活动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_Toc4176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"_Toc8992" </w:instrText>
      </w:r>
      <w:r>
        <w:rPr>
          <w:highlight w:val="none"/>
        </w:rPr>
        <w:fldChar w:fldCharType="separate"/>
      </w:r>
      <w:r>
        <w:rPr>
          <w:rFonts w:hint="eastAsia" w:ascii="仿宋" w:hAnsi="仿宋" w:eastAsia="仿宋" w:cs="仿宋"/>
          <w:kern w:val="0"/>
          <w:sz w:val="24"/>
          <w:highlight w:val="none"/>
        </w:rPr>
        <w:t>十</w:t>
      </w:r>
      <w:r>
        <w:rPr>
          <w:rFonts w:hint="eastAsia" w:ascii="仿宋" w:hAnsi="仿宋" w:eastAsia="仿宋" w:cs="仿宋"/>
          <w:kern w:val="0"/>
          <w:sz w:val="24"/>
          <w:highlight w:val="none"/>
          <w:lang w:val="en-US" w:eastAsia="zh-CN"/>
        </w:rPr>
        <w:t>一</w:t>
      </w:r>
      <w:r>
        <w:rPr>
          <w:rFonts w:hint="eastAsia" w:ascii="仿宋" w:hAnsi="仿宋" w:eastAsia="仿宋" w:cs="仿宋"/>
          <w:kern w:val="0"/>
          <w:sz w:val="24"/>
          <w:highlight w:val="none"/>
        </w:rPr>
        <w:t>、询问、质疑与投诉</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_Toc8992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1"/>
        </w:tabs>
        <w:spacing w:line="480" w:lineRule="auto"/>
        <w:ind w:left="480"/>
        <w:rPr>
          <w:rFonts w:ascii="仿宋" w:hAnsi="仿宋" w:eastAsia="仿宋" w:cs="仿宋"/>
          <w:sz w:val="24"/>
          <w:highlight w:val="none"/>
        </w:rPr>
      </w:pPr>
      <w:r>
        <w:rPr>
          <w:highlight w:val="none"/>
        </w:rPr>
        <w:fldChar w:fldCharType="begin"/>
      </w:r>
      <w:r>
        <w:rPr>
          <w:highlight w:val="none"/>
        </w:rPr>
        <w:instrText xml:space="preserve"> HYPERLINK \l "_Toc19651" </w:instrText>
      </w:r>
      <w:r>
        <w:rPr>
          <w:highlight w:val="none"/>
        </w:rPr>
        <w:fldChar w:fldCharType="separate"/>
      </w:r>
      <w:r>
        <w:rPr>
          <w:rFonts w:hint="eastAsia" w:ascii="仿宋" w:hAnsi="仿宋" w:eastAsia="仿宋" w:cs="仿宋"/>
          <w:kern w:val="0"/>
          <w:sz w:val="24"/>
          <w:highlight w:val="none"/>
        </w:rPr>
        <w:t>十</w:t>
      </w:r>
      <w:r>
        <w:rPr>
          <w:rFonts w:hint="eastAsia" w:ascii="仿宋" w:hAnsi="仿宋" w:eastAsia="仿宋" w:cs="仿宋"/>
          <w:kern w:val="0"/>
          <w:sz w:val="24"/>
          <w:highlight w:val="none"/>
          <w:lang w:val="en-US" w:eastAsia="zh-CN"/>
        </w:rPr>
        <w:t>二</w:t>
      </w:r>
      <w:r>
        <w:rPr>
          <w:rFonts w:hint="eastAsia" w:ascii="仿宋" w:hAnsi="仿宋" w:eastAsia="仿宋" w:cs="仿宋"/>
          <w:kern w:val="0"/>
          <w:sz w:val="24"/>
          <w:highlight w:val="none"/>
        </w:rPr>
        <w:t>、拒绝商业贿赂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_Toc19651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1"/>
        </w:tabs>
        <w:spacing w:line="480" w:lineRule="auto"/>
        <w:rPr>
          <w:rFonts w:ascii="仿宋" w:hAnsi="仿宋" w:eastAsia="仿宋" w:cs="仿宋"/>
          <w:sz w:val="24"/>
          <w:highlight w:val="none"/>
        </w:rPr>
      </w:pPr>
      <w:r>
        <w:rPr>
          <w:highlight w:val="none"/>
        </w:rPr>
        <w:fldChar w:fldCharType="begin"/>
      </w:r>
      <w:r>
        <w:rPr>
          <w:highlight w:val="none"/>
        </w:rPr>
        <w:instrText xml:space="preserve"> HYPERLINK \l "_Toc1684" </w:instrText>
      </w:r>
      <w:r>
        <w:rPr>
          <w:highlight w:val="none"/>
        </w:rPr>
        <w:fldChar w:fldCharType="separate"/>
      </w:r>
      <w:r>
        <w:rPr>
          <w:rFonts w:hint="eastAsia" w:ascii="仿宋" w:hAnsi="仿宋" w:eastAsia="仿宋" w:cs="仿宋"/>
          <w:kern w:val="0"/>
          <w:sz w:val="24"/>
          <w:highlight w:val="none"/>
        </w:rPr>
        <w:t>第三章 采购内容及技术要求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_Toc1684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38</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1"/>
        </w:tabs>
        <w:spacing w:line="480" w:lineRule="auto"/>
        <w:rPr>
          <w:rFonts w:ascii="仿宋" w:hAnsi="仿宋" w:eastAsia="仿宋" w:cs="仿宋"/>
          <w:sz w:val="24"/>
          <w:highlight w:val="none"/>
        </w:rPr>
      </w:pPr>
      <w:r>
        <w:rPr>
          <w:highlight w:val="none"/>
        </w:rPr>
        <w:fldChar w:fldCharType="begin"/>
      </w:r>
      <w:r>
        <w:rPr>
          <w:highlight w:val="none"/>
        </w:rPr>
        <w:instrText xml:space="preserve"> HYPERLINK \l "_Toc24102" </w:instrText>
      </w:r>
      <w:r>
        <w:rPr>
          <w:highlight w:val="none"/>
        </w:rPr>
        <w:fldChar w:fldCharType="separate"/>
      </w:r>
      <w:r>
        <w:rPr>
          <w:rFonts w:hint="eastAsia" w:ascii="仿宋" w:hAnsi="仿宋" w:eastAsia="仿宋" w:cs="仿宋"/>
          <w:sz w:val="24"/>
          <w:highlight w:val="none"/>
        </w:rPr>
        <w:t>第四章 商务要求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_Toc24102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94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1"/>
        </w:tabs>
        <w:spacing w:line="480" w:lineRule="auto"/>
        <w:rPr>
          <w:rFonts w:ascii="仿宋" w:hAnsi="仿宋" w:eastAsia="仿宋" w:cs="仿宋"/>
          <w:sz w:val="24"/>
          <w:highlight w:val="none"/>
        </w:rPr>
      </w:pPr>
      <w:r>
        <w:rPr>
          <w:highlight w:val="none"/>
        </w:rPr>
        <w:fldChar w:fldCharType="begin"/>
      </w:r>
      <w:r>
        <w:rPr>
          <w:highlight w:val="none"/>
        </w:rPr>
        <w:instrText xml:space="preserve"> HYPERLINK \l "_Toc3277" </w:instrText>
      </w:r>
      <w:r>
        <w:rPr>
          <w:highlight w:val="none"/>
        </w:rPr>
        <w:fldChar w:fldCharType="separate"/>
      </w:r>
      <w:r>
        <w:rPr>
          <w:rFonts w:hint="eastAsia" w:ascii="仿宋" w:hAnsi="仿宋" w:eastAsia="仿宋" w:cs="仿宋"/>
          <w:sz w:val="24"/>
          <w:highlight w:val="none"/>
        </w:rPr>
        <w:t>第五章 合同条款（仅供参考）</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_Toc3277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97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1"/>
        </w:tabs>
        <w:spacing w:line="480" w:lineRule="auto"/>
        <w:rPr>
          <w:rFonts w:ascii="仿宋" w:hAnsi="仿宋" w:eastAsia="仿宋" w:cs="仿宋"/>
          <w:sz w:val="24"/>
          <w:highlight w:val="none"/>
        </w:rPr>
      </w:pPr>
      <w:r>
        <w:rPr>
          <w:highlight w:val="none"/>
        </w:rPr>
        <w:fldChar w:fldCharType="begin"/>
      </w:r>
      <w:r>
        <w:rPr>
          <w:highlight w:val="none"/>
        </w:rPr>
        <w:instrText xml:space="preserve"> HYPERLINK \l "_Toc21361" </w:instrText>
      </w:r>
      <w:r>
        <w:rPr>
          <w:highlight w:val="none"/>
        </w:rPr>
        <w:fldChar w:fldCharType="separate"/>
      </w:r>
      <w:r>
        <w:rPr>
          <w:rFonts w:hint="eastAsia" w:ascii="仿宋" w:hAnsi="仿宋" w:eastAsia="仿宋" w:cs="仿宋"/>
          <w:sz w:val="24"/>
          <w:highlight w:val="none"/>
        </w:rPr>
        <w:t>第六章 投标文件格式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_Toc21361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109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3"/>
        <w:numPr>
          <w:ilvl w:val="0"/>
          <w:numId w:val="2"/>
        </w:numPr>
        <w:spacing w:line="480" w:lineRule="auto"/>
        <w:jc w:val="center"/>
        <w:rPr>
          <w:rFonts w:ascii="仿宋" w:hAnsi="仿宋" w:eastAsia="仿宋" w:cs="仿宋"/>
          <w:highlight w:val="none"/>
        </w:rPr>
      </w:pPr>
      <w:r>
        <w:rPr>
          <w:rFonts w:hint="eastAsia" w:ascii="仿宋" w:hAnsi="仿宋" w:eastAsia="仿宋" w:cs="仿宋"/>
          <w:sz w:val="24"/>
          <w:szCs w:val="24"/>
          <w:highlight w:val="none"/>
        </w:rPr>
        <w:fldChar w:fldCharType="end"/>
      </w:r>
      <w:bookmarkStart w:id="0" w:name="_Toc30185"/>
      <w:bookmarkStart w:id="1" w:name="_Toc8848"/>
      <w:bookmarkStart w:id="2" w:name="_Toc19866"/>
      <w:bookmarkStart w:id="3" w:name="_Toc458617729"/>
      <w:bookmarkStart w:id="4" w:name="_Toc458617452"/>
      <w:r>
        <w:rPr>
          <w:rFonts w:hint="eastAsia" w:ascii="仿宋" w:hAnsi="仿宋" w:eastAsia="仿宋" w:cs="仿宋"/>
          <w:highlight w:val="none"/>
        </w:rPr>
        <w:t xml:space="preserve"> 招标公告</w:t>
      </w:r>
      <w:bookmarkEnd w:id="0"/>
      <w:bookmarkEnd w:id="1"/>
      <w:bookmarkEnd w:id="2"/>
      <w:bookmarkEnd w:id="3"/>
      <w:bookmarkEnd w:id="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color w:val="auto"/>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高清设备改造招标项目的潜在投标人应在西安市朱雀大街南段1号汇成天玺C座18层1812室获取招标文件，并于 2022年09月30日 10时00分 （北京时间）前递交投标文件。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项目编号：HZGH-2022-086</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项目名称：高清设备改造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预算金额：4,547,800.00元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合同包1(高清设备改造项目):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合同包预算金额：4,547,800.00元</w:t>
      </w:r>
    </w:p>
    <w:tbl>
      <w:tblPr>
        <w:tblStyle w:val="23"/>
        <w:tblW w:w="101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3"/>
        <w:gridCol w:w="2676"/>
        <w:gridCol w:w="1982"/>
        <w:gridCol w:w="818"/>
        <w:gridCol w:w="1503"/>
        <w:gridCol w:w="1680"/>
        <w:gridCol w:w="9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2" w:hRule="atLeast"/>
          <w:tblHeader/>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2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4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1"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其他广播、电视、电影设备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高清设备改造</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4,547,800.00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w:t>
            </w:r>
          </w:p>
        </w:tc>
      </w:tr>
    </w:tbl>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合同包1(高清设备改造项目)落实政府采购政策需满足的资格要求如下: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合同包1(高清设备改造项目)特定资格要求如下:</w:t>
      </w:r>
    </w:p>
    <w:p>
      <w:pPr>
        <w:pStyle w:val="1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firstLine="0" w:firstLineChars="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基本资格条件：符合《中华人民共和国政府采购法》第二十二条的规定：</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3、税收缴纳证明：提供2022年1月1日至今任意一个月的缴费凭据；（依法免税的投标人应提供相关文件证明）。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4、社会保障资金缴纳证明：提供2022年1月1日至今任意一个月的社保缴费凭据或社保机构开具的社会保险参保缴费情况证明；（依法不需要缴纳社会保障资金的投标人应提供相关证明）。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5、提供具有履行本合同所必需的设备和专业技术能力的说明及承诺；（格式自拟，加盖投标人公章）</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6、提供参加政府采购活动前三年内在经营活动中没有重大违法记录的书面声明。（格式自拟，加盖投标人公章）</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（2）、特定资格条件：</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 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4、单位负责人为同一人或者存在直接控股、管理关系的不同投标人，不得参加同一合同项下的政府采购活动；（提供书面承诺函，格式自拟加盖投标人公章）</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5、本项目不接受联合体投标。</w:t>
      </w:r>
      <w:r>
        <w:rPr>
          <w:rFonts w:hint="eastAsia" w:ascii="仿宋" w:hAnsi="仿宋" w:eastAsia="仿宋" w:cs="仿宋"/>
          <w:i w:val="0"/>
          <w:iCs w:val="0"/>
          <w:caps w:val="0"/>
          <w:color w:val="auto"/>
          <w:spacing w:val="0"/>
          <w:sz w:val="24"/>
          <w:szCs w:val="24"/>
          <w:highlight w:val="none"/>
          <w:shd w:val="clear" w:fill="FFFFFF"/>
        </w:rPr>
        <w:br w:type="textWrapping"/>
      </w:r>
      <w:r>
        <w:rPr>
          <w:rStyle w:val="26"/>
          <w:rFonts w:hint="eastAsia" w:ascii="仿宋" w:hAnsi="仿宋" w:eastAsia="仿宋" w:cs="仿宋"/>
          <w:b/>
          <w:bCs/>
          <w:i w:val="0"/>
          <w:iCs w:val="0"/>
          <w:caps w:val="0"/>
          <w:color w:val="auto"/>
          <w:spacing w:val="0"/>
          <w:sz w:val="24"/>
          <w:szCs w:val="24"/>
          <w:highlight w:val="none"/>
          <w:shd w:val="clear" w:fill="FFFFFF"/>
        </w:rPr>
        <w:t>三、获取招标文件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2022年09月09日 至 2022年09月19日 ，每天上午 09:00:00 至 12:00:00 ，下午 14:00:00 至 17:00:00 （北京时间,法定节假日除外）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地点：西安市朱雀大街南段1号汇成天玺C座18层1812室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售价： 免费获取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2022年09月30日 10时00分00秒 （北京时间）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提交投标文件地点：西安市朱雀大街南段1号汇成天玺C座18层1818室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开标地点：西安市朱雀大街南段1号汇成天玺C座18层1818室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五、公告期限</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六、其他补充事宜</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注：获取招标文件时（9：00-12：00，14：00-17：00（节假日除外）），请携带有效的单位介绍信及被介绍人身份证复印件，加盖投标人公章（鲜章），可自带U盘拷贝电子文件（本项目仅支持现场报名获取，谢绝邮寄），售后不退。</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仿宋" w:hAnsi="仿宋" w:eastAsia="仿宋" w:cs="仿宋"/>
          <w:b/>
          <w:bCs/>
          <w:i w:val="0"/>
          <w:iCs w:val="0"/>
          <w:caps w:val="0"/>
          <w:color w:val="auto"/>
          <w:spacing w:val="0"/>
          <w:kern w:val="0"/>
          <w:sz w:val="24"/>
          <w:szCs w:val="24"/>
          <w:highlight w:val="none"/>
          <w:shd w:val="clear"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fill="FFFFFF"/>
          <w:lang w:val="en-US" w:eastAsia="zh-CN" w:bidi="ar"/>
        </w:rPr>
        <w:t>七、对本次招标提出询问，请按以下方式联系。</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名称：西安市高陵区融媒体中心（区广播电视台）</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地址：西安市高陵区东二环路333号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联系方式：029-86917916</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名称：华招广和项目管理有限公司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地址：西安市朱雀大街南段1号汇成天玺C座18层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联系方式：029-87592321</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项目联系人：成工</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电话：029-87592321</w:t>
      </w:r>
    </w:p>
    <w:p>
      <w:pPr>
        <w:rPr>
          <w:highlight w:val="none"/>
        </w:rPr>
      </w:pPr>
      <w:r>
        <w:rPr>
          <w:rFonts w:ascii="仿宋" w:hAnsi="仿宋" w:eastAsia="仿宋" w:cs="仿宋"/>
          <w:b/>
          <w:highlight w:val="none"/>
        </w:rPr>
        <w:pict>
          <v:shape id="Text Box 2" o:spid="_x0000_s1026" o:spt="202" type="#_x0000_t202" style="position:absolute;left:0pt;margin-left:7.5pt;margin-top:19.9pt;height:69.8pt;width:462.95pt;mso-wrap-distance-bottom:0pt;mso-wrap-distance-left:9pt;mso-wrap-distance-right:9pt;mso-wrap-distance-top:0pt;z-index:251660288;mso-width-relative:page;mso-height-relative:page;"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focussize="0,0"/>
            <v:stroke joinstyle="miter"/>
            <v:imagedata o:title=""/>
            <o:lock v:ext="edit"/>
            <v:textbo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v:textbox>
            <w10:wrap type="square"/>
          </v:shape>
        </w:pict>
      </w:r>
    </w:p>
    <w:p>
      <w:pPr>
        <w:rPr>
          <w:rFonts w:ascii="仿宋" w:hAnsi="仿宋" w:eastAsia="仿宋" w:cs="仿宋"/>
          <w:sz w:val="44"/>
          <w:szCs w:val="44"/>
          <w:highlight w:val="none"/>
        </w:rPr>
      </w:pPr>
      <w:bookmarkStart w:id="5" w:name="_Toc458617453"/>
      <w:bookmarkStart w:id="6" w:name="_Toc458617730"/>
    </w:p>
    <w:p>
      <w:pPr>
        <w:pStyle w:val="3"/>
        <w:spacing w:line="360" w:lineRule="auto"/>
        <w:jc w:val="center"/>
        <w:rPr>
          <w:rFonts w:ascii="仿宋" w:hAnsi="仿宋" w:eastAsia="仿宋" w:cs="仿宋"/>
          <w:highlight w:val="none"/>
        </w:rPr>
      </w:pPr>
      <w:bookmarkStart w:id="7" w:name="_Toc5261"/>
      <w:r>
        <w:rPr>
          <w:rFonts w:hint="eastAsia" w:ascii="仿宋" w:hAnsi="仿宋" w:eastAsia="仿宋" w:cs="仿宋"/>
          <w:highlight w:val="none"/>
        </w:rPr>
        <w:t>第二章  投标人须知</w:t>
      </w:r>
      <w:bookmarkEnd w:id="5"/>
      <w:bookmarkEnd w:id="6"/>
      <w:bookmarkEnd w:id="7"/>
    </w:p>
    <w:p>
      <w:pPr>
        <w:pStyle w:val="4"/>
        <w:spacing w:line="360" w:lineRule="auto"/>
        <w:jc w:val="center"/>
        <w:rPr>
          <w:rFonts w:ascii="仿宋" w:hAnsi="仿宋" w:eastAsia="仿宋" w:cs="仿宋"/>
          <w:sz w:val="15"/>
          <w:szCs w:val="15"/>
          <w:highlight w:val="none"/>
        </w:rPr>
      </w:pPr>
      <w:bookmarkStart w:id="8" w:name="_Toc8251"/>
      <w:bookmarkStart w:id="9" w:name="_Toc458617454"/>
      <w:bookmarkStart w:id="10" w:name="_Toc458617731"/>
      <w:r>
        <w:rPr>
          <w:rFonts w:hint="eastAsia" w:ascii="仿宋" w:hAnsi="仿宋" w:eastAsia="仿宋" w:cs="仿宋"/>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41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条款名称</w:t>
            </w:r>
          </w:p>
        </w:tc>
        <w:tc>
          <w:tcPr>
            <w:tcW w:w="6336"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采购人</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名    称：西安市高陵区融媒体中心（区广播电视台）</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地    址：西安市高陵区东二环路333号</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联系方式：029-86917916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采购代理机构</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地  址：西安市朱雀大街南段1号汇成天玺C座18层</w:t>
            </w:r>
          </w:p>
          <w:p>
            <w:pPr>
              <w:spacing w:line="560" w:lineRule="exact"/>
              <w:rPr>
                <w:rFonts w:ascii="仿宋" w:hAnsi="仿宋" w:eastAsia="仿宋" w:cs="仿宋"/>
                <w:szCs w:val="24"/>
                <w:highlight w:val="none"/>
                <w:u w:val="wavyHeavy" w:color="FF0000"/>
              </w:rPr>
            </w:pPr>
            <w:r>
              <w:rPr>
                <w:rFonts w:hint="eastAsia" w:ascii="仿宋" w:hAnsi="仿宋" w:eastAsia="仿宋" w:cs="仿宋"/>
                <w:szCs w:val="24"/>
                <w:highlight w:val="none"/>
              </w:rPr>
              <w:t>联系人：成工</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3</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监督管理机构</w:t>
            </w:r>
          </w:p>
        </w:tc>
        <w:tc>
          <w:tcPr>
            <w:tcW w:w="6336"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西安市高陵区财政局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4</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项目名称</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高清设备改造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5</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项目编号</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HZGH-2022-086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6</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资金性质</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7</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项目预算</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4547800.00元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8</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项目用途</w:t>
            </w:r>
          </w:p>
        </w:tc>
        <w:tc>
          <w:tcPr>
            <w:tcW w:w="6336"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高清设备改造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9</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采购内容和要求</w:t>
            </w:r>
          </w:p>
        </w:tc>
        <w:tc>
          <w:tcPr>
            <w:tcW w:w="6336" w:type="dxa"/>
            <w:vAlign w:val="center"/>
          </w:tcPr>
          <w:p>
            <w:pPr>
              <w:pStyle w:val="19"/>
              <w:widowControl/>
              <w:spacing w:line="360" w:lineRule="atLeast"/>
              <w:jc w:val="both"/>
              <w:rPr>
                <w:rFonts w:ascii="仿宋" w:hAnsi="仿宋" w:eastAsia="仿宋" w:cs="仿宋"/>
                <w:szCs w:val="24"/>
                <w:highlight w:val="none"/>
              </w:rPr>
            </w:pPr>
            <w:r>
              <w:rPr>
                <w:rFonts w:hint="eastAsia" w:ascii="仿宋" w:hAnsi="仿宋" w:eastAsia="仿宋" w:cs="仿宋"/>
                <w:szCs w:val="24"/>
                <w:highlight w:val="none"/>
              </w:rPr>
              <w:t>高清设备改造（具体要求详见招标文件第三章采购内容及技术要求）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10</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响应</w:t>
            </w:r>
            <w:r>
              <w:rPr>
                <w:highlight w:val="none"/>
              </w:rPr>
              <w:fldChar w:fldCharType="begin"/>
            </w:r>
            <w:r>
              <w:rPr>
                <w:highlight w:val="none"/>
              </w:rPr>
              <w:instrText xml:space="preserve"> HYPERLINK "http://baike.baidu.com/view/8707.htm" \t "_blank" </w:instrText>
            </w:r>
            <w:r>
              <w:rPr>
                <w:highlight w:val="none"/>
              </w:rPr>
              <w:fldChar w:fldCharType="separate"/>
            </w:r>
            <w:r>
              <w:rPr>
                <w:rFonts w:hint="eastAsia" w:ascii="仿宋" w:hAnsi="仿宋" w:eastAsia="仿宋" w:cs="仿宋"/>
                <w:szCs w:val="24"/>
                <w:highlight w:val="none"/>
              </w:rPr>
              <w:t>招标</w:t>
            </w:r>
            <w:r>
              <w:rPr>
                <w:rFonts w:hint="eastAsia" w:ascii="仿宋" w:hAnsi="仿宋" w:eastAsia="仿宋" w:cs="仿宋"/>
                <w:szCs w:val="24"/>
                <w:highlight w:val="none"/>
              </w:rPr>
              <w:fldChar w:fldCharType="end"/>
            </w:r>
            <w:r>
              <w:rPr>
                <w:rFonts w:hint="eastAsia" w:ascii="仿宋" w:hAnsi="仿宋" w:eastAsia="仿宋" w:cs="仿宋"/>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11</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投标人资格要求</w:t>
            </w:r>
          </w:p>
        </w:tc>
        <w:tc>
          <w:tcPr>
            <w:tcW w:w="6336" w:type="dxa"/>
          </w:tcPr>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9"/>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3、税收缴纳证明：提供2022年1月1日至今任意一个月的缴费凭据；（依法免税的投标人应提供相关文件证明）。</w:t>
            </w:r>
          </w:p>
          <w:p>
            <w:pPr>
              <w:pStyle w:val="39"/>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 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9"/>
              <w:wordWrap w:val="0"/>
              <w:topLinePunct/>
              <w:spacing w:line="52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4、单位负责人为同一人或者存在直接控股、管理关系的不同投标人，不得参加同一合同项下的政府采购活动；（提供书面承诺函，格式自拟加盖投标人公章）</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12</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交货期、交货地点</w:t>
            </w:r>
          </w:p>
        </w:tc>
        <w:tc>
          <w:tcPr>
            <w:tcW w:w="6336" w:type="dxa"/>
          </w:tcPr>
          <w:p>
            <w:pPr>
              <w:spacing w:line="560" w:lineRule="exact"/>
              <w:rPr>
                <w:rFonts w:ascii="仿宋" w:hAnsi="仿宋" w:eastAsia="仿宋" w:cs="仿宋"/>
                <w:sz w:val="32"/>
                <w:szCs w:val="32"/>
                <w:highlight w:val="none"/>
              </w:rPr>
            </w:pPr>
            <w:r>
              <w:rPr>
                <w:rFonts w:hint="eastAsia" w:ascii="仿宋" w:hAnsi="仿宋" w:eastAsia="仿宋" w:cs="仿宋"/>
                <w:szCs w:val="24"/>
                <w:highlight w:val="none"/>
              </w:rPr>
              <w:t>交 货 期：自合同签订之日起60个工作日内交付完毕。</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交货地点：西安市高陵区融媒体中心（区广播电视台）指定地点。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13</w:t>
            </w:r>
          </w:p>
        </w:tc>
        <w:tc>
          <w:tcPr>
            <w:tcW w:w="2411" w:type="dxa"/>
            <w:vAlign w:val="center"/>
          </w:tcPr>
          <w:p>
            <w:pPr>
              <w:spacing w:line="560" w:lineRule="exact"/>
              <w:jc w:val="center"/>
              <w:rPr>
                <w:rFonts w:ascii="仿宋" w:hAnsi="仿宋" w:eastAsia="仿宋" w:cs="仿宋"/>
                <w:szCs w:val="24"/>
                <w:highlight w:val="none"/>
                <w:u w:val="wavyHeavy" w:color="5B9BD5" w:themeColor="accent1"/>
              </w:rPr>
            </w:pPr>
            <w:r>
              <w:rPr>
                <w:rFonts w:hint="eastAsia" w:ascii="仿宋" w:hAnsi="仿宋" w:eastAsia="仿宋" w:cs="仿宋"/>
                <w:szCs w:val="24"/>
                <w:highlight w:val="none"/>
              </w:rPr>
              <w:t>招标文件发售</w:t>
            </w:r>
          </w:p>
        </w:tc>
        <w:tc>
          <w:tcPr>
            <w:tcW w:w="6336" w:type="dxa"/>
          </w:tcPr>
          <w:p>
            <w:pPr>
              <w:pStyle w:val="40"/>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发售时间：2022年9月9日至2022年9月19日上午9:00-12:00，下午2:00-5:00时止（节假日除外）。</w:t>
            </w:r>
          </w:p>
          <w:p>
            <w:pPr>
              <w:pStyle w:val="40"/>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14</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联合体投标</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15</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现场勘查、标前答疑会</w:t>
            </w:r>
          </w:p>
        </w:tc>
        <w:tc>
          <w:tcPr>
            <w:tcW w:w="6336"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16</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投标人对招标文件提出质疑的时间</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17</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构成招标文件的其他文件</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18</w:t>
            </w:r>
          </w:p>
        </w:tc>
        <w:tc>
          <w:tcPr>
            <w:tcW w:w="2411" w:type="dxa"/>
            <w:vAlign w:val="center"/>
          </w:tcPr>
          <w:p>
            <w:pPr>
              <w:pStyle w:val="40"/>
              <w:spacing w:line="560" w:lineRule="exact"/>
              <w:rPr>
                <w:rFonts w:ascii="仿宋" w:hAnsi="仿宋" w:eastAsia="仿宋" w:cs="仿宋"/>
                <w:sz w:val="24"/>
                <w:szCs w:val="24"/>
                <w:highlight w:val="none"/>
                <w:u w:val="wavyHeavy" w:color="FF0000"/>
              </w:rPr>
            </w:pPr>
          </w:p>
          <w:p>
            <w:pPr>
              <w:pStyle w:val="40"/>
              <w:spacing w:line="560" w:lineRule="exact"/>
              <w:rPr>
                <w:rFonts w:ascii="仿宋" w:hAnsi="仿宋" w:eastAsia="仿宋" w:cs="仿宋"/>
                <w:szCs w:val="24"/>
                <w:highlight w:val="none"/>
              </w:rPr>
            </w:pPr>
            <w:r>
              <w:rPr>
                <w:rFonts w:hint="eastAsia" w:ascii="仿宋" w:hAnsi="仿宋" w:eastAsia="仿宋" w:cs="仿宋"/>
                <w:sz w:val="24"/>
                <w:szCs w:val="24"/>
                <w:highlight w:val="none"/>
              </w:rPr>
              <w:t>投标文件递交截止时间及开标时间和地点</w:t>
            </w:r>
          </w:p>
        </w:tc>
        <w:tc>
          <w:tcPr>
            <w:tcW w:w="6336" w:type="dxa"/>
          </w:tcPr>
          <w:p>
            <w:pPr>
              <w:pStyle w:val="40"/>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1、投标文件递交截止时间：2022年9月30日10:00</w:t>
            </w:r>
          </w:p>
          <w:p>
            <w:pPr>
              <w:pStyle w:val="40"/>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2、投标地点：华招广和项目管理有限公司会议室（西安市朱雀大街南段1号汇成天玺C座18层1818室）</w:t>
            </w:r>
          </w:p>
          <w:p>
            <w:pPr>
              <w:pStyle w:val="39"/>
              <w:spacing w:line="560" w:lineRule="exact"/>
              <w:ind w:firstLine="0" w:firstLineChars="0"/>
              <w:rPr>
                <w:rFonts w:ascii="仿宋" w:hAnsi="仿宋" w:eastAsia="仿宋" w:cs="仿宋"/>
                <w:b/>
                <w:sz w:val="18"/>
                <w:szCs w:val="18"/>
                <w:highlight w:val="none"/>
              </w:rPr>
            </w:pPr>
            <w:r>
              <w:rPr>
                <w:rFonts w:hint="eastAsia" w:ascii="仿宋" w:hAnsi="仿宋" w:eastAsia="仿宋" w:cs="仿宋"/>
                <w:sz w:val="24"/>
                <w:szCs w:val="24"/>
                <w:highlight w:val="none"/>
              </w:rPr>
              <w:t>3、开标时间：2022年9月30日10:00</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4、开标地点：华招广和项目管理有限公司会议室（西安市朱雀大街南段1号汇成天玺C座18层1818室）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19</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投标有效期</w:t>
            </w:r>
          </w:p>
        </w:tc>
        <w:tc>
          <w:tcPr>
            <w:tcW w:w="6336"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20</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汇款账户</w:t>
            </w:r>
          </w:p>
        </w:tc>
        <w:tc>
          <w:tcPr>
            <w:tcW w:w="6336" w:type="dxa"/>
          </w:tcPr>
          <w:p>
            <w:pPr>
              <w:pStyle w:val="39"/>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中国建设银行：招标服务费（交纳账户）</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39"/>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39"/>
              <w:spacing w:line="560" w:lineRule="exact"/>
              <w:ind w:firstLine="0" w:firstLineChars="0"/>
              <w:rPr>
                <w:rFonts w:ascii="仿宋" w:hAnsi="仿宋" w:eastAsia="仿宋" w:cs="仿宋"/>
                <w:sz w:val="24"/>
                <w:szCs w:val="24"/>
                <w:highlight w:val="none"/>
              </w:rPr>
            </w:pPr>
            <w:r>
              <w:rPr>
                <w:rFonts w:hint="eastAsia" w:ascii="仿宋" w:hAnsi="仿宋" w:eastAsia="仿宋" w:cs="仿宋"/>
                <w:b/>
                <w:sz w:val="24"/>
                <w:szCs w:val="24"/>
                <w:highlight w:val="none"/>
              </w:rPr>
              <w:t>注:招标服务费可以采用转账、现金形式交纳。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21</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备选投标方案</w:t>
            </w:r>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和报价</w:t>
            </w:r>
          </w:p>
        </w:tc>
        <w:tc>
          <w:tcPr>
            <w:tcW w:w="6336"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22</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盖章签字</w:t>
            </w:r>
          </w:p>
        </w:tc>
        <w:tc>
          <w:tcPr>
            <w:tcW w:w="6336"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23</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投标文件数量、装订</w:t>
            </w:r>
          </w:p>
        </w:tc>
        <w:tc>
          <w:tcPr>
            <w:tcW w:w="6336"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24</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投标报价</w:t>
            </w:r>
          </w:p>
        </w:tc>
        <w:tc>
          <w:tcPr>
            <w:tcW w:w="6336" w:type="dxa"/>
            <w:vAlign w:val="center"/>
          </w:tcPr>
          <w:p>
            <w:pPr>
              <w:pStyle w:val="40"/>
              <w:spacing w:line="560" w:lineRule="exact"/>
              <w:rPr>
                <w:rFonts w:ascii="仿宋" w:hAnsi="仿宋" w:eastAsia="仿宋" w:cs="仿宋"/>
                <w:sz w:val="24"/>
                <w:szCs w:val="24"/>
                <w:highlight w:val="none"/>
              </w:rPr>
            </w:pPr>
            <w:r>
              <w:rPr>
                <w:rFonts w:hint="eastAsia" w:ascii="仿宋" w:hAnsi="仿宋" w:eastAsia="仿宋" w:cs="仿宋"/>
                <w:kern w:val="2"/>
                <w:sz w:val="24"/>
                <w:szCs w:val="24"/>
                <w:highlight w:val="none"/>
              </w:rPr>
              <w:t>本项目属于交钥匙项目，投标报价=设备价（含税）+运输费+安装费+调试费+培训费+产品辅材费+售后服务费+保险费+相关伴随费用等。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25</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评标办法及标准</w:t>
            </w:r>
          </w:p>
        </w:tc>
        <w:tc>
          <w:tcPr>
            <w:tcW w:w="6336" w:type="dxa"/>
            <w:vAlign w:val="center"/>
          </w:tcPr>
          <w:p>
            <w:pPr>
              <w:pStyle w:val="40"/>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26</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其它事项</w:t>
            </w:r>
          </w:p>
        </w:tc>
        <w:tc>
          <w:tcPr>
            <w:tcW w:w="6336"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kern w:val="0"/>
                <w:szCs w:val="24"/>
                <w:highlight w:val="none"/>
              </w:rPr>
              <w:t>中标人无正当理由不得放弃中标。</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highlight w:val="none"/>
              </w:rPr>
              <w:t>27</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highlight w:val="none"/>
              </w:rPr>
              <w:t>本项目是否专门面向中小企业</w:t>
            </w:r>
          </w:p>
        </w:tc>
        <w:tc>
          <w:tcPr>
            <w:tcW w:w="6336" w:type="dxa"/>
            <w:vAlign w:val="center"/>
          </w:tcPr>
          <w:p>
            <w:pPr>
              <w:pStyle w:val="40"/>
              <w:spacing w:line="560" w:lineRule="exact"/>
              <w:rPr>
                <w:rFonts w:ascii="仿宋" w:hAnsi="仿宋" w:eastAsia="仿宋" w:cs="仿宋"/>
                <w:szCs w:val="24"/>
                <w:highlight w:val="none"/>
              </w:rPr>
            </w:pPr>
            <w:r>
              <w:rPr>
                <w:rFonts w:hint="eastAsia" w:ascii="仿宋" w:hAnsi="仿宋" w:eastAsia="仿宋" w:cs="仿宋"/>
                <w:kern w:val="2"/>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28</w:t>
            </w:r>
          </w:p>
        </w:tc>
        <w:tc>
          <w:tcPr>
            <w:tcW w:w="2411"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本项目所属行业</w:t>
            </w:r>
          </w:p>
        </w:tc>
        <w:tc>
          <w:tcPr>
            <w:tcW w:w="6336"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t>工业</w:t>
            </w:r>
          </w:p>
        </w:tc>
      </w:tr>
    </w:tbl>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4"/>
        <w:spacing w:line="560" w:lineRule="exact"/>
        <w:rPr>
          <w:rFonts w:ascii="仿宋" w:hAnsi="仿宋" w:eastAsia="仿宋" w:cs="仿宋"/>
          <w:kern w:val="0"/>
          <w:sz w:val="28"/>
          <w:szCs w:val="28"/>
          <w:highlight w:val="none"/>
        </w:rPr>
      </w:pPr>
      <w:bookmarkStart w:id="11" w:name="_Toc13358"/>
      <w:r>
        <w:rPr>
          <w:rFonts w:hint="eastAsia" w:ascii="仿宋" w:hAnsi="仿宋" w:eastAsia="仿宋" w:cs="仿宋"/>
          <w:kern w:val="0"/>
          <w:sz w:val="28"/>
          <w:szCs w:val="28"/>
          <w:highlight w:val="none"/>
        </w:rPr>
        <w:t>二、项目说明</w:t>
      </w:r>
      <w:bookmarkEnd w:id="11"/>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1、本项目说明详见投标人须知前附表。</w:t>
      </w:r>
      <w:bookmarkStart w:id="12" w:name="_Toc458617732"/>
      <w:bookmarkStart w:id="13" w:name="_Toc458617455"/>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ascii="仿宋" w:hAnsi="仿宋" w:eastAsia="仿宋" w:cs="仿宋"/>
          <w:kern w:val="0"/>
          <w:sz w:val="28"/>
          <w:szCs w:val="28"/>
          <w:highlight w:val="none"/>
        </w:rPr>
      </w:pPr>
      <w:bookmarkStart w:id="14" w:name="_Toc32654"/>
      <w:bookmarkStart w:id="15" w:name="_Toc458617733"/>
      <w:bookmarkStart w:id="16" w:name="_Toc458617456"/>
      <w:r>
        <w:rPr>
          <w:rFonts w:hint="eastAsia" w:ascii="仿宋" w:hAnsi="仿宋" w:eastAsia="仿宋" w:cs="仿宋"/>
          <w:kern w:val="0"/>
          <w:sz w:val="28"/>
          <w:szCs w:val="28"/>
          <w:highlight w:val="none"/>
        </w:rPr>
        <w:t>三、招标文件</w:t>
      </w:r>
      <w:bookmarkEnd w:id="14"/>
      <w:bookmarkEnd w:id="15"/>
      <w:bookmarkEnd w:id="16"/>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2、招标文件的组成：包括目录中所列的前五章。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4、招标文件的澄清或修改：</w:t>
      </w:r>
    </w:p>
    <w:p>
      <w:pPr>
        <w:spacing w:line="560" w:lineRule="exact"/>
        <w:ind w:firstLine="480" w:firstLineChars="200"/>
        <w:rPr>
          <w:rFonts w:ascii="仿宋" w:hAnsi="仿宋" w:eastAsia="仿宋" w:cs="仿宋"/>
          <w:b/>
          <w:kern w:val="0"/>
          <w:sz w:val="18"/>
          <w:szCs w:val="18"/>
          <w:highlight w:val="none"/>
          <w:u w:color="FF0000"/>
        </w:rPr>
      </w:pPr>
      <w:bookmarkStart w:id="17" w:name="_Toc458617457"/>
      <w:bookmarkStart w:id="18" w:name="_Toc458617734"/>
      <w:r>
        <w:rPr>
          <w:rFonts w:hint="eastAsia" w:ascii="仿宋" w:hAnsi="仿宋" w:eastAsia="仿宋" w:cs="仿宋"/>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5、投标人若对招标文件有任何疑问，可以以书面形式向采购代理机构提出询问。</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6、投标人认为招标文件使自己的权益受到损害的，在收到采购文件之日</w:t>
      </w:r>
      <w:r>
        <w:rPr>
          <w:rFonts w:hint="eastAsia" w:ascii="仿宋" w:hAnsi="仿宋" w:eastAsia="仿宋" w:cs="仿宋"/>
          <w:kern w:val="0"/>
          <w:szCs w:val="24"/>
          <w:highlight w:val="none"/>
        </w:rPr>
        <w:t>起七个工作日内</w:t>
      </w:r>
      <w:r>
        <w:rPr>
          <w:rFonts w:hint="eastAsia" w:ascii="仿宋" w:hAnsi="仿宋" w:eastAsia="仿宋" w:cs="仿宋"/>
          <w:szCs w:val="24"/>
          <w:highlight w:val="none"/>
        </w:rPr>
        <w:t>以书面形式向采购代理机构提出质疑，逾期提出的无效，</w:t>
      </w:r>
      <w:bookmarkStart w:id="19" w:name="OLE_LINK6"/>
      <w:r>
        <w:rPr>
          <w:rFonts w:hint="eastAsia" w:ascii="仿宋" w:hAnsi="仿宋" w:eastAsia="仿宋" w:cs="仿宋"/>
          <w:szCs w:val="24"/>
          <w:highlight w:val="none"/>
        </w:rPr>
        <w:t>因此带来的一切不利后果由投标人自负。</w:t>
      </w:r>
      <w:bookmarkEnd w:id="19"/>
    </w:p>
    <w:p>
      <w:pPr>
        <w:kinsoku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szCs w:val="24"/>
          <w:highlight w:val="none"/>
        </w:rPr>
        <w:t>采购代理机构和投标人的权利和义务将受到新的截止期的约束。</w:t>
      </w:r>
    </w:p>
    <w:bookmarkEnd w:id="20"/>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9、如发现招标文件内容与现行法律法规不相符的情况，以现行法律法规为准。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10、现场勘查、标前答疑会：见须知前附表。</w:t>
      </w:r>
    </w:p>
    <w:p>
      <w:pPr>
        <w:pStyle w:val="4"/>
        <w:spacing w:line="560" w:lineRule="exact"/>
        <w:rPr>
          <w:rFonts w:ascii="仿宋" w:hAnsi="仿宋" w:eastAsia="仿宋" w:cs="仿宋"/>
          <w:kern w:val="0"/>
          <w:sz w:val="28"/>
          <w:szCs w:val="28"/>
          <w:highlight w:val="none"/>
        </w:rPr>
      </w:pPr>
      <w:bookmarkStart w:id="21" w:name="_Toc17207"/>
      <w:r>
        <w:rPr>
          <w:rFonts w:hint="eastAsia" w:ascii="仿宋" w:hAnsi="仿宋" w:eastAsia="仿宋" w:cs="仿宋"/>
          <w:kern w:val="0"/>
          <w:sz w:val="28"/>
          <w:szCs w:val="28"/>
          <w:highlight w:val="none"/>
        </w:rPr>
        <w:t>四、投标文件</w:t>
      </w:r>
      <w:bookmarkEnd w:id="17"/>
      <w:bookmarkEnd w:id="18"/>
      <w:bookmarkEnd w:id="21"/>
    </w:p>
    <w:p>
      <w:pPr>
        <w:spacing w:line="560" w:lineRule="exact"/>
        <w:rPr>
          <w:rFonts w:ascii="仿宋" w:hAnsi="仿宋" w:eastAsia="仿宋" w:cs="仿宋"/>
          <w:highlight w:val="none"/>
        </w:rPr>
      </w:pPr>
      <w:r>
        <w:rPr>
          <w:rFonts w:hint="eastAsia" w:ascii="仿宋" w:hAnsi="仿宋" w:eastAsia="仿宋" w:cs="仿宋"/>
          <w:highlight w:val="none"/>
        </w:rPr>
        <w:t>1、投标人资格要求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（1）基本资格条件：符合《中华人民共和国政府采购法》第二十二条的规定：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1-3、税收缴纳证明：提供2022年1月1日至今任意一个月的缴费凭据；（依法免税的投标人应提供相关文件证明）。</w:t>
      </w:r>
    </w:p>
    <w:p>
      <w:pPr>
        <w:pStyle w:val="39"/>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1-4、社会保障资金缴纳证明：提供2022年1月1日至今任意一个月的社保缴费凭据或社保机构开具的社会保险参保缴费情况证明；（依法不需要缴纳社会保障资金的投标人应提供相关证明）。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1-5、提供具有履行本合同所必需的设备和专业技术能力的说明及承诺；（格式自拟，加盖投标人公章）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（2）、特定资格条件：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2-2、被授权人参与投标时需提供法定代表人或负责人授权委托书（附法定代表人或负责人及被授权人身份证复印件）；（被授权人须提供身份证原件，身份证原件可由本人持有）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2-5、本项目不接受联合体投标。</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2、合格投标人</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szCs w:val="24"/>
          <w:highlight w:val="none"/>
        </w:rPr>
        <w:t>及其实施条例等有关法律法规的规定</w:t>
      </w:r>
      <w:bookmarkEnd w:id="22"/>
      <w:r>
        <w:rPr>
          <w:rFonts w:hint="eastAsia" w:ascii="仿宋" w:hAnsi="仿宋" w:eastAsia="仿宋" w:cs="仿宋"/>
          <w:szCs w:val="24"/>
          <w:highlight w:val="none"/>
        </w:rPr>
        <w:t>并满足本项目资格条件。不符合上述规定的投标人，投标无效。</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3、投标人信用信息：</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3-2、特别说明：</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（1）投标人如在中标通知书发出前出现违法失信行为，采购人仍有权利提请评标委员会取消其中标资格；</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（2）投标人在投标文件中已出具的信用查询结果并不能取代采购人或采购代理机构在评标前进行复查。</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 xml:space="preserve">4、投标文件的组成 </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4-1、投标函（格式）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4-2、开标一览表（格式）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4-3、投标分项报价表（格式）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4-4、节能环保、环境标志产品明细表（格式，若有）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4-5、选配件报价表（格式，若有）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4-6、货物说明一览表（格式）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4-7、技术响应及偏离表（格式）</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4-8、商务响应及偏离表（格式）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4-9、资格证明文件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4-10、业绩证明材料（以合同为准，复印件加盖公章）</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4-11、产品的合法渠道证明文件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4-12、项目实施方案</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4-13、产品的技术文件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4-14、质量保证</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4-15、售后服务及培训计划</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4-16、招标文件要求的其他证明资料及投标人认为需要提供的资料。</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5、投标文件编写说明</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5-1、投标文件</w:t>
      </w:r>
      <w:r>
        <w:rPr>
          <w:rFonts w:hint="eastAsia" w:ascii="仿宋" w:hAnsi="仿宋" w:eastAsia="仿宋" w:cs="仿宋"/>
          <w:kern w:val="0"/>
          <w:szCs w:val="24"/>
          <w:highlight w:val="none"/>
        </w:rPr>
        <w:t>格式：投标文件应当按照招标文件给定的格式和要求编制，格式之外的可自行编写。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ascii="仿宋" w:hAnsi="仿宋" w:eastAsia="仿宋" w:cs="仿宋"/>
          <w:highlight w:val="none"/>
        </w:rPr>
      </w:pPr>
      <w:r>
        <w:rPr>
          <w:rFonts w:hint="eastAsia" w:ascii="仿宋" w:hAnsi="仿宋" w:eastAsia="仿宋" w:cs="仿宋"/>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5-4、投标文件的正本和副本均需打印或用不褪色、不变质的墨水书写。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5-5、投标文件因书写潦草、内容表达不清、印章或证明材料内容模糊难辨等导致的不利后果由投标人自行承担。</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5-6、投标文件电子版内容须与投标文件纸质版正本中的内容一致。</w:t>
      </w:r>
    </w:p>
    <w:p>
      <w:pPr>
        <w:spacing w:line="560" w:lineRule="exact"/>
        <w:ind w:firstLine="232" w:firstLineChars="100"/>
        <w:rPr>
          <w:rFonts w:ascii="仿宋" w:hAnsi="仿宋" w:eastAsia="仿宋" w:cs="仿宋"/>
          <w:szCs w:val="24"/>
          <w:highlight w:val="none"/>
        </w:rPr>
      </w:pPr>
      <w:r>
        <w:rPr>
          <w:rFonts w:hint="eastAsia" w:ascii="仿宋" w:hAnsi="仿宋" w:eastAsia="仿宋" w:cs="仿宋"/>
          <w:spacing w:val="-4"/>
          <w:szCs w:val="24"/>
          <w:highlight w:val="none"/>
        </w:rPr>
        <w:t>5-7、“开标一览表”为在开标会议上唱标的内</w:t>
      </w:r>
      <w:r>
        <w:rPr>
          <w:rFonts w:hint="eastAsia" w:ascii="仿宋" w:hAnsi="仿宋" w:eastAsia="仿宋" w:cs="仿宋"/>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5-8、开标一览表必须由法定代表人或被授权人签字并加盖投标人公章，否则将作为无效投标处理。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6、投标文件的装订及密封</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-2、装订要求：投标文件一律采用书籍（胶装）方式装订，在投标文件书脊处必须写明项目名称、项目编号及投标人名称。投标文件正本一份，副本四份，电子文件一份（用U盘或移动硬盘拷贝，谢绝光盘），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版放置“开标一览表”标袋内。</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7、投标文件的计量单位</w:t>
      </w:r>
    </w:p>
    <w:p>
      <w:pPr>
        <w:spacing w:line="560" w:lineRule="exact"/>
        <w:ind w:firstLine="480" w:firstLineChars="200"/>
        <w:rPr>
          <w:rFonts w:ascii="仿宋" w:hAnsi="仿宋" w:eastAsia="仿宋" w:cs="仿宋"/>
          <w:b/>
          <w:bCs/>
          <w:szCs w:val="24"/>
          <w:highlight w:val="none"/>
        </w:rPr>
      </w:pPr>
      <w:r>
        <w:rPr>
          <w:rFonts w:hint="eastAsia" w:ascii="仿宋" w:hAnsi="仿宋" w:eastAsia="仿宋" w:cs="仿宋"/>
          <w:szCs w:val="24"/>
          <w:highlight w:val="none"/>
        </w:rPr>
        <w:t>投标文件中所使用的计量单位，除有特殊要求外，均采用国家法定计量单位。</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bCs/>
          <w:szCs w:val="24"/>
          <w:highlight w:val="none"/>
        </w:rPr>
        <w:t>8、投标报价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8-1、投标货币：人民币      单位:元（保留小数点后两位）。</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8-2、投标</w:t>
      </w:r>
      <w:bookmarkStart w:id="23" w:name="OLE_LINK11"/>
      <w:r>
        <w:rPr>
          <w:rFonts w:hint="eastAsia" w:ascii="仿宋" w:hAnsi="仿宋" w:eastAsia="仿宋" w:cs="仿宋"/>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8-3、本项目为交钥匙项目，投标报价=设备价（含税）</w:t>
      </w:r>
      <w:r>
        <w:rPr>
          <w:rFonts w:hint="eastAsia" w:ascii="仿宋" w:hAnsi="仿宋" w:eastAsia="仿宋" w:cs="仿宋"/>
          <w:szCs w:val="24"/>
          <w:highlight w:val="none"/>
        </w:rPr>
        <w:t>+</w:t>
      </w:r>
      <w:r>
        <w:rPr>
          <w:rFonts w:hint="eastAsia" w:ascii="仿宋" w:hAnsi="仿宋" w:eastAsia="仿宋" w:cs="仿宋"/>
          <w:b/>
          <w:szCs w:val="24"/>
          <w:highlight w:val="none"/>
        </w:rPr>
        <w:t>运输费+安装费+调试费+培训费+产品辅材费+售后服务费+保险费+相关伴随费用等。</w:t>
      </w:r>
    </w:p>
    <w:bookmarkEnd w:id="23"/>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ascii="仿宋" w:hAnsi="仿宋" w:eastAsia="仿宋" w:cs="仿宋"/>
          <w:szCs w:val="24"/>
          <w:highlight w:val="none"/>
        </w:rPr>
      </w:pPr>
      <w:r>
        <w:rPr>
          <w:rFonts w:hint="eastAsia" w:ascii="仿宋" w:hAnsi="仿宋" w:eastAsia="仿宋" w:cs="仿宋"/>
          <w:szCs w:val="24"/>
          <w:highlight w:val="none"/>
        </w:rPr>
        <w:t>8-5、不接受超过招标文件中规定的预算金额或者最高限价的报价、可变动性报价、赠送及“零”报价，</w:t>
      </w:r>
      <w:r>
        <w:rPr>
          <w:rFonts w:hint="eastAsia" w:ascii="仿宋" w:hAnsi="仿宋" w:eastAsia="仿宋" w:cs="仿宋"/>
          <w:b/>
          <w:bCs/>
          <w:szCs w:val="24"/>
          <w:highlight w:val="none"/>
        </w:rPr>
        <w:t>否则视为无效投标</w:t>
      </w:r>
      <w:r>
        <w:rPr>
          <w:rFonts w:hint="eastAsia" w:ascii="仿宋" w:hAnsi="仿宋" w:eastAsia="仿宋" w:cs="仿宋"/>
          <w:szCs w:val="24"/>
          <w:highlight w:val="none"/>
        </w:rPr>
        <w:t>。</w:t>
      </w:r>
    </w:p>
    <w:p>
      <w:pPr>
        <w:spacing w:line="560" w:lineRule="exact"/>
        <w:ind w:firstLine="588" w:firstLineChars="245"/>
        <w:rPr>
          <w:rFonts w:ascii="仿宋" w:hAnsi="仿宋" w:eastAsia="仿宋" w:cs="仿宋"/>
          <w:b/>
          <w:bCs/>
          <w:szCs w:val="24"/>
          <w:highlight w:val="none"/>
        </w:rPr>
      </w:pPr>
      <w:r>
        <w:rPr>
          <w:rFonts w:hint="eastAsia" w:ascii="仿宋" w:hAnsi="仿宋" w:eastAsia="仿宋" w:cs="仿宋"/>
          <w:szCs w:val="24"/>
          <w:highlight w:val="none"/>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（1）所投货物的设备价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（2）备品备件价（根据招标文件要求和货物技术状况列出质量保证期内需要的备品备件清单和价格）</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（3）专用工具价（如果需要使用）</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（4）安装调试费用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（5）货物运至指定地点的运输（含保险）费用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（6）售后服务费</w:t>
      </w:r>
    </w:p>
    <w:p>
      <w:pPr>
        <w:spacing w:line="560" w:lineRule="exact"/>
        <w:ind w:firstLine="470" w:firstLineChars="196"/>
        <w:rPr>
          <w:rFonts w:ascii="仿宋" w:hAnsi="仿宋" w:eastAsia="仿宋" w:cs="仿宋"/>
          <w:highlight w:val="none"/>
        </w:rPr>
      </w:pPr>
      <w:r>
        <w:rPr>
          <w:rFonts w:hint="eastAsia" w:ascii="仿宋" w:hAnsi="仿宋" w:eastAsia="仿宋" w:cs="仿宋"/>
          <w:szCs w:val="24"/>
          <w:highlight w:val="none"/>
        </w:rPr>
        <w:t>（7）培训费</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（8）招标文件要求的所有伴随服务的费用</w:t>
      </w:r>
      <w:r>
        <w:rPr>
          <w:rFonts w:hint="eastAsia" w:ascii="仿宋" w:hAnsi="仿宋" w:eastAsia="仿宋" w:cs="仿宋"/>
          <w:szCs w:val="24"/>
          <w:highlight w:val="none"/>
        </w:rPr>
        <w:tab/>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8-8、选配件是投标产品的附件，仅作为采购人后期选择购买，其报价不包含在本次投标总价内。</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9、对投标人的其他要求：</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9-1、投标人不得以他人名义投标和串通投标。</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9-2、必须根据招标文件要求进行生产、供货等。</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9-4、接受采购人委托的相关单位对货物内容、质量、进度、实施方案、价款支付与结算审核等的监督和管理。</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458"/>
      <w:bookmarkStart w:id="25" w:name="_Toc458617735"/>
    </w:p>
    <w:bookmarkEnd w:id="24"/>
    <w:bookmarkEnd w:id="25"/>
    <w:p>
      <w:pPr>
        <w:pStyle w:val="4"/>
        <w:spacing w:line="560" w:lineRule="exact"/>
        <w:rPr>
          <w:rFonts w:ascii="仿宋" w:hAnsi="仿宋" w:eastAsia="仿宋" w:cs="仿宋"/>
          <w:kern w:val="0"/>
          <w:sz w:val="28"/>
          <w:szCs w:val="28"/>
          <w:highlight w:val="none"/>
        </w:rPr>
      </w:pPr>
      <w:bookmarkStart w:id="26" w:name="_Toc458617459"/>
      <w:bookmarkStart w:id="27" w:name="_Toc25183"/>
      <w:bookmarkStart w:id="28" w:name="_Toc458617736"/>
      <w:r>
        <w:rPr>
          <w:rFonts w:hint="eastAsia" w:ascii="仿宋" w:hAnsi="仿宋" w:eastAsia="仿宋" w:cs="仿宋"/>
          <w:kern w:val="0"/>
          <w:sz w:val="28"/>
          <w:szCs w:val="28"/>
          <w:highlight w:val="none"/>
        </w:rPr>
        <w:t>五、投标</w:t>
      </w:r>
      <w:bookmarkEnd w:id="26"/>
      <w:bookmarkEnd w:id="27"/>
      <w:bookmarkEnd w:id="28"/>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1、投标文件、必备资质文件的提交：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1-1、投标人应在投标截止时间前将投标文件密封送达投标地点；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1-2、逾期送达或者未按照招标文件要求密封的投标文件，将被拒收；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1-3、逾期送达的必备资质文件，将被拒收；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1-4、本次招标不接受邮寄的投标文件、必备资质文件。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2、投标文件的补充、修改与撤回：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2-2、投标人提出修改要求的，须在投标截止时间前密封送到采购代理机构，并在封面上加注“修改”字样。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2-4、投标截止时间之后，投标人不得补充、修改投标文件。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2-5、在投标截止时间至投标有效期满之前，投标人不得撤回其投标文件。提供投标担保的投标人将由专业担保机构先行偿付采购人损失。</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3、投标有效期：</w:t>
      </w:r>
    </w:p>
    <w:p>
      <w:pPr>
        <w:pStyle w:val="39"/>
        <w:spacing w:line="560" w:lineRule="exact"/>
        <w:ind w:firstLine="464"/>
        <w:rPr>
          <w:rFonts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w:t>
      </w:r>
      <w:bookmarkStart w:id="29" w:name="OLE_LINK15"/>
      <w:r>
        <w:rPr>
          <w:rFonts w:hint="eastAsia" w:ascii="仿宋" w:hAnsi="仿宋" w:eastAsia="仿宋" w:cs="仿宋"/>
          <w:spacing w:val="-4"/>
          <w:sz w:val="24"/>
          <w:szCs w:val="24"/>
          <w:highlight w:val="none"/>
        </w:rPr>
        <w:t>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39"/>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3-2、在原投标有效期结束前，采购代理机构可要求投标人延长投标有效期。拒绝延长投标有效期的投标人不得参与该项目后续采购活动。同意延长投标有效期的投标人不得修改投标文件的实质性内容。</w:t>
      </w:r>
      <w:bookmarkEnd w:id="29"/>
      <w:bookmarkStart w:id="30" w:name="_Toc458617737"/>
      <w:bookmarkStart w:id="31" w:name="_Toc458617460"/>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4-1、投标人直接或者间接从采购人或采购代理机构处获得其他投标人的相关情况并修改其投标文件；</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4-2、投标人按照采购人或采购代理机构的授意撤换、修改投标文件；</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4-3、投标人之间协商报价、技术方案等投标文件的实质性内容；</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4-4、属于同一集团、协会、商会等组织成员的投标人按照该组织要求协同参加政府采购活动；</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4-5、投标人之间事先约定由某一特定投标人中标；</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4-6、投标人之间商定部分投标人放弃参加政府采购活动或放弃中标；</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4-7、投标人相互之间，为谋求特定投标人中标或排斥其他投标人的其他串通行为。</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5、有下列情形之一的，视为投标人串通投标，其投标无效：</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39"/>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4"/>
        <w:spacing w:line="560" w:lineRule="exact"/>
        <w:rPr>
          <w:rFonts w:ascii="仿宋" w:hAnsi="仿宋" w:eastAsia="仿宋" w:cs="仿宋"/>
          <w:kern w:val="0"/>
          <w:sz w:val="28"/>
          <w:szCs w:val="28"/>
          <w:highlight w:val="none"/>
        </w:rPr>
      </w:pPr>
      <w:bookmarkStart w:id="32" w:name="_Toc11905"/>
      <w:r>
        <w:rPr>
          <w:rFonts w:hint="eastAsia" w:ascii="仿宋" w:hAnsi="仿宋" w:eastAsia="仿宋" w:cs="仿宋"/>
          <w:kern w:val="0"/>
          <w:sz w:val="28"/>
          <w:szCs w:val="28"/>
          <w:highlight w:val="none"/>
        </w:rPr>
        <w:t>六、开标、资格审查、评标和定标</w:t>
      </w:r>
      <w:bookmarkEnd w:id="30"/>
      <w:bookmarkEnd w:id="31"/>
      <w:bookmarkEnd w:id="32"/>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bCs/>
          <w:szCs w:val="24"/>
          <w:highlight w:val="none"/>
        </w:rPr>
        <w:t>1、开标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1-1、采购代理机构按招标文件规定的时间和地点组织开标。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1-2、所有参会人员应签名报到，以证明其出席。投标人未参加开标的，视同认可开标结果。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1-3、开标会议由采购代理机构主持。主持人宣读开标会议开始，宣读会场纪律，宣布参加会议的投标人名单。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1-4、投标人的法定代表人或被授权人与监标人当众检查所有投标文件的密封情况，签字确认并宣读检查结果。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1-6、主持人宣布开标会议结束，所有投标人离场。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1-7、采购代理机构对开标过程进行全程录音录像，并存档备查。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2、资格审查</w:t>
      </w:r>
    </w:p>
    <w:p>
      <w:pPr>
        <w:wordWrap w:val="0"/>
        <w:topLinePunct/>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开标结束后，由采购人依法对投标人的资格进行审查，审查合格的投标人方可进入评标阶段，缺项或一项不符合要求即不合格，不合格的投标人其投标无效。资格证明文件须装订在每份投标文件中。资格审查以投标文件“正本”为准。</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（1）基本资格条件：符合《中华人民共和国政府采购法》第二十二条的规定：</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1、具有独立承担民事责任能力的法人、其他组织或自然人，并出具合法有效的营业执照或事业单位法人证书等国家规定的相关证明，自然人参与的提供其身份证明。 </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9"/>
        <w:wordWrap w:val="0"/>
        <w:topLinePunct/>
        <w:spacing w:line="560" w:lineRule="exact"/>
        <w:ind w:firstLine="480"/>
        <w:rPr>
          <w:rFonts w:ascii="仿宋" w:hAnsi="仿宋" w:eastAsia="仿宋" w:cs="仿宋"/>
          <w:sz w:val="24"/>
          <w:highlight w:val="none"/>
        </w:rPr>
      </w:pPr>
      <w:r>
        <w:rPr>
          <w:rFonts w:hint="eastAsia" w:ascii="仿宋" w:hAnsi="仿宋" w:eastAsia="仿宋" w:cs="仿宋"/>
          <w:sz w:val="24"/>
          <w:highlight w:val="none"/>
        </w:rPr>
        <w:t>3、税收缴纳证明：提供2022年1月1日至今任意一个月的缴费凭据；（依法免税的投标人应提供相关文件证明）。</w:t>
      </w:r>
    </w:p>
    <w:p>
      <w:pPr>
        <w:pStyle w:val="39"/>
        <w:wordWrap w:val="0"/>
        <w:topLinePunct/>
        <w:spacing w:line="560" w:lineRule="exact"/>
        <w:ind w:firstLine="480"/>
        <w:rPr>
          <w:rFonts w:ascii="仿宋" w:hAnsi="仿宋" w:eastAsia="仿宋" w:cs="仿宋"/>
          <w:bCs/>
          <w:szCs w:val="24"/>
          <w:highlight w:val="none"/>
        </w:rPr>
      </w:pPr>
      <w:r>
        <w:rPr>
          <w:rFonts w:hint="eastAsia" w:ascii="仿宋" w:hAnsi="仿宋" w:eastAsia="仿宋" w:cs="仿宋"/>
          <w:sz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5、提供具有履行本合同所必需的设备和专业技术能力的说明及承诺；（格式自拟，加盖投标人公章）</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6、提供参加政府采购活动前三年内在经营活动中没有重大违法记录的书面声明。（格式自拟，加盖投标人公章）</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（2）、特定资格条件：</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2、被授权人参与投标时需提供法定代表人或负责人授权委托书（附法定代表人或负责人及被授权人身份证复印件）；（被授权人须提供身份证原件，身份证原件可由本人持有）       </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wordWrap w:val="0"/>
        <w:topLinePunct/>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4、单位负责人为同一人或者存在直接控股、管理关系的不同投标人，不得参加同一合同项下的政府采购活动；（提供书面承诺函，格式自拟加盖投标人公章）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w:t>
      </w:r>
      <w:r>
        <w:rPr>
          <w:rFonts w:hint="eastAsia" w:ascii="仿宋" w:hAnsi="仿宋" w:eastAsia="仿宋" w:cs="仿宋"/>
          <w:bCs/>
          <w:szCs w:val="24"/>
          <w:highlight w:val="none"/>
        </w:rPr>
        <w:t>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（2）采购人派代表进入评标委员会时，须向采购代理机构出具授权函。</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（4）评标委员会成员不得参加开标活动。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（5）评标委员会成员应当遵守并履行下列职责义务：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a、遵纪守法，客观、公正、认真负责地履行职责，根据招标文件规定的评标程序、评标方法和评标标准审查投标文件；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b、符合性审查、评价投标文件是否符合招标文件的商务、技术等实质性要求；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c、要求投标人对投标文件有关事项作出澄清或者说明；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d、对投标文件进行比较和评价；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e、确定中标候选人名单，以及根据采购人委托直接确定中标人；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f、向采购人、采购代理机构或者有关部门报告评标中发现的违法行为；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g、对评标过程及各投标人的商业机密予以保密；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h、配合采购人、采购代理机构答复各投标人提出的质疑；</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i、配合各部门的投诉处理和监督检查工作。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3-2、在政府采购活动中，采购人员及相关人员（包括评标委员会）与投标人有下列利害关系之一的，应当回避：</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（1）参加采购活动前3年内与投标人存在劳动关系；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（2）参加采购活动前3年内担任投标人的董事、监事；</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（3）参加采购活动前3年内是投标人的控股股东或者实际控制人；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（4）与投标人的法定代表人或者负责人有夫妻、直系血亲、三代以内旁系血亲或者近姻亲关系；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（5）与投标人有其他可能影响政府采购活动公平、公正进行的关系。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3-4、有关人员对评标情况以及在评标过程中获悉的国家秘密、商业秘密负有保密责任。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3-5、评标原则：</w:t>
      </w:r>
      <w:r>
        <w:rPr>
          <w:rFonts w:hint="eastAsia" w:ascii="仿宋" w:hAnsi="仿宋" w:eastAsia="仿宋" w:cs="仿宋"/>
          <w:szCs w:val="24"/>
          <w:highlight w:val="none"/>
        </w:rPr>
        <w:t>坚持公平、公正、科学、择优原则，禁止不正当竞争。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3-6、评标办法</w:t>
      </w:r>
      <w:r>
        <w:rPr>
          <w:rFonts w:hint="eastAsia" w:ascii="仿宋" w:hAnsi="仿宋" w:eastAsia="仿宋" w:cs="仿宋"/>
          <w:szCs w:val="24"/>
          <w:highlight w:val="none"/>
        </w:rPr>
        <w:t>：本次招标采用综合评分法（详见本节评分标准）。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3-7、评标工作程序：</w:t>
      </w:r>
      <w:r>
        <w:rPr>
          <w:rFonts w:hint="eastAsia" w:ascii="仿宋" w:hAnsi="仿宋" w:eastAsia="仿宋" w:cs="仿宋"/>
          <w:szCs w:val="24"/>
          <w:highlight w:val="none"/>
        </w:rPr>
        <w:t>符合性审查、澄清、评价、推荐中标候选人的工作程序进行评标。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3-7-1、投标文件符合性审查</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（1）投标人名称与购买招标文件的单位名称不一致；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（2）投标文件未按照招标文件的要求盖章签字；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（3）投标文件不符合招标文件要求的数量；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（4）针对同一项目提交两份或多份内容不同的投标文件，未书面声明哪一份是有效的或出现选择性报价的；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（5）投标报价超过采购预算；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（6）投标有效期不符合招标文件的要求；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（7）未对招标文件商务要求作出明确且实质性响应。</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 xml:space="preserve"> 3-7-2、投标文件的澄清：</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（2）书写错误的评审标准：</w:t>
      </w:r>
    </w:p>
    <w:p>
      <w:pPr>
        <w:overflowPunct w:val="0"/>
        <w:adjustRightInd w:val="0"/>
        <w:snapToGrid w:val="0"/>
        <w:spacing w:line="560" w:lineRule="exact"/>
        <w:ind w:firstLine="720" w:firstLineChars="300"/>
        <w:rPr>
          <w:rFonts w:ascii="仿宋" w:hAnsi="仿宋" w:eastAsia="仿宋" w:cs="仿宋"/>
          <w:highlight w:val="none"/>
        </w:rPr>
      </w:pPr>
      <w:r>
        <w:rPr>
          <w:rFonts w:hint="eastAsia" w:ascii="仿宋" w:hAnsi="仿宋" w:eastAsia="仿宋" w:cs="仿宋"/>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w:t>
      </w:r>
      <w:r>
        <w:rPr>
          <w:rFonts w:hint="eastAsia" w:ascii="仿宋" w:hAnsi="仿宋" w:eastAsia="仿宋" w:cs="仿宋"/>
          <w:szCs w:val="24"/>
          <w:highlight w:val="none"/>
        </w:rPr>
        <w:t>投标文件有关内容与“开标一览表”不一致的，以“开标一览表”为准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b、</w:t>
      </w:r>
      <w:r>
        <w:rPr>
          <w:rFonts w:hint="eastAsia" w:ascii="仿宋" w:hAnsi="仿宋" w:eastAsia="仿宋" w:cs="仿宋"/>
          <w:szCs w:val="24"/>
          <w:highlight w:val="none"/>
        </w:rPr>
        <w:t>大写金额与小写金额不一致的，以大写金额为准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c、单价金额小数点或者百分比有明显错位的，以“</w:t>
      </w:r>
      <w:r>
        <w:rPr>
          <w:rFonts w:hint="eastAsia" w:ascii="仿宋" w:hAnsi="仿宋" w:eastAsia="仿宋" w:cs="仿宋"/>
          <w:szCs w:val="24"/>
          <w:highlight w:val="none"/>
        </w:rPr>
        <w:t>开标一览表</w:t>
      </w:r>
      <w:r>
        <w:rPr>
          <w:rFonts w:hint="eastAsia" w:ascii="仿宋" w:hAnsi="仿宋" w:eastAsia="仿宋" w:cs="仿宋"/>
          <w:highlight w:val="none"/>
        </w:rPr>
        <w:t>”的总价为准，并修改单价；</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d、总价金额与按</w:t>
      </w:r>
      <w:r>
        <w:rPr>
          <w:rFonts w:hint="eastAsia" w:ascii="仿宋" w:hAnsi="仿宋" w:eastAsia="仿宋" w:cs="仿宋"/>
          <w:szCs w:val="24"/>
          <w:highlight w:val="none"/>
        </w:rPr>
        <w:t>单价汇总金额不一致的，以单价乘以数量的计算结果为准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e、</w:t>
      </w:r>
      <w:r>
        <w:rPr>
          <w:rFonts w:hint="eastAsia" w:ascii="仿宋" w:hAnsi="仿宋" w:eastAsia="仿宋" w:cs="仿宋"/>
          <w:szCs w:val="24"/>
          <w:highlight w:val="none"/>
        </w:rPr>
        <w:t>投标文件图表与文字不符时，以文字为准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f、投标文件正本与副本不符时，以正本为准；</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g、对不同文字文本投标文件的解释发生异议的，以中文文本为准；</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h、</w:t>
      </w:r>
      <w:r>
        <w:rPr>
          <w:rFonts w:hint="eastAsia" w:ascii="仿宋" w:hAnsi="仿宋" w:eastAsia="仿宋" w:cs="仿宋"/>
          <w:szCs w:val="24"/>
          <w:highlight w:val="none"/>
        </w:rPr>
        <w:t>多处内容交叉不符时，以评标委员会评审结果为准。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3-7-3、评价：</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（3）其他需说明的情况：</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b、最低报价不是中标的唯一条件；</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d、</w:t>
      </w:r>
      <w:r>
        <w:rPr>
          <w:rFonts w:hint="eastAsia" w:ascii="仿宋" w:hAnsi="仿宋" w:eastAsia="仿宋" w:cs="仿宋"/>
          <w:szCs w:val="24"/>
          <w:highlight w:val="none"/>
        </w:rPr>
        <w:t>无论投标的结果如何，投标期间一切费用自理。</w:t>
      </w:r>
    </w:p>
    <w:p>
      <w:pPr>
        <w:spacing w:line="560" w:lineRule="exact"/>
        <w:ind w:firstLine="600" w:firstLineChars="249"/>
        <w:rPr>
          <w:rFonts w:ascii="仿宋" w:hAnsi="仿宋" w:eastAsia="仿宋" w:cs="仿宋"/>
          <w:b/>
          <w:szCs w:val="24"/>
          <w:highlight w:val="none"/>
        </w:rPr>
      </w:pPr>
      <w:r>
        <w:rPr>
          <w:rFonts w:hint="eastAsia" w:ascii="仿宋" w:hAnsi="仿宋" w:eastAsia="仿宋" w:cs="仿宋"/>
          <w:b/>
          <w:szCs w:val="24"/>
          <w:highlight w:val="none"/>
        </w:rPr>
        <w:t>3-8、评分标准：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108" w:rightChars="-45"/>
              <w:jc w:val="center"/>
              <w:rPr>
                <w:rFonts w:ascii="仿宋" w:hAnsi="仿宋" w:eastAsia="仿宋" w:cs="仿宋"/>
                <w:szCs w:val="24"/>
                <w:highlight w:val="none"/>
              </w:rPr>
            </w:pPr>
            <w:r>
              <w:rPr>
                <w:rFonts w:hint="eastAsia" w:ascii="仿宋" w:hAnsi="仿宋" w:eastAsia="仿宋" w:cs="仿宋"/>
                <w:szCs w:val="24"/>
                <w:highlight w:val="none"/>
              </w:rPr>
              <w:t>报价</w:t>
            </w:r>
          </w:p>
        </w:tc>
        <w:tc>
          <w:tcPr>
            <w:tcW w:w="766" w:type="dxa"/>
            <w:vAlign w:val="center"/>
          </w:tcPr>
          <w:p>
            <w:pPr>
              <w:spacing w:line="560" w:lineRule="exact"/>
              <w:ind w:left="-134" w:leftChars="-56" w:right="-108" w:rightChars="-45"/>
              <w:jc w:val="center"/>
              <w:rPr>
                <w:rFonts w:ascii="仿宋" w:hAnsi="仿宋" w:eastAsia="仿宋" w:cs="仿宋"/>
                <w:szCs w:val="24"/>
                <w:highlight w:val="none"/>
              </w:rPr>
            </w:pPr>
            <w:r>
              <w:rPr>
                <w:rFonts w:hint="eastAsia" w:ascii="仿宋" w:hAnsi="仿宋" w:eastAsia="仿宋" w:cs="仿宋"/>
                <w:szCs w:val="24"/>
                <w:highlight w:val="none"/>
              </w:rPr>
              <w:t>30分</w:t>
            </w:r>
          </w:p>
        </w:tc>
        <w:tc>
          <w:tcPr>
            <w:tcW w:w="8084" w:type="dxa"/>
            <w:vAlign w:val="center"/>
          </w:tcPr>
          <w:p>
            <w:pPr>
              <w:pStyle w:val="41"/>
              <w:spacing w:line="560" w:lineRule="exact"/>
              <w:ind w:firstLine="480" w:firstLineChars="200"/>
              <w:rPr>
                <w:rFonts w:ascii="仿宋" w:hAnsi="仿宋" w:eastAsia="仿宋" w:cs="仿宋"/>
                <w:kern w:val="2"/>
                <w:sz w:val="24"/>
                <w:szCs w:val="24"/>
                <w:highlight w:val="none"/>
              </w:rPr>
            </w:pPr>
            <w:r>
              <w:rPr>
                <w:rFonts w:hint="eastAsia" w:ascii="仿宋" w:hAnsi="仿宋" w:eastAsia="仿宋" w:cs="仿宋"/>
                <w:sz w:val="24"/>
                <w:szCs w:val="24"/>
                <w:highlight w:val="none"/>
              </w:rPr>
              <w:t>按照财政部《政府采购货物和服务招标投标管理办法》（财政部令第87号）的有关规定：</w:t>
            </w:r>
            <w:r>
              <w:rPr>
                <w:rFonts w:hint="eastAsia" w:ascii="仿宋" w:hAnsi="仿宋" w:eastAsia="仿宋" w:cs="仿宋"/>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pacing w:line="560" w:lineRule="exact"/>
              <w:ind w:firstLine="480" w:firstLineChars="200"/>
              <w:jc w:val="left"/>
              <w:rPr>
                <w:rFonts w:ascii="仿宋" w:hAnsi="仿宋" w:eastAsia="仿宋" w:cs="仿宋"/>
                <w:szCs w:val="24"/>
                <w:highlight w:val="none"/>
              </w:rPr>
            </w:pPr>
            <w:r>
              <w:rPr>
                <w:rFonts w:hint="eastAsia" w:ascii="仿宋" w:hAnsi="仿宋" w:eastAsia="仿宋" w:cs="仿宋"/>
                <w:szCs w:val="24"/>
                <w:highlight w:val="none"/>
              </w:rPr>
              <w:t>投标报价得分=（评标基准价/投标报价）×价格权值×100</w:t>
            </w:r>
          </w:p>
          <w:p>
            <w:pPr>
              <w:widowControl/>
              <w:spacing w:line="560" w:lineRule="exact"/>
              <w:ind w:firstLine="240" w:firstLineChars="100"/>
              <w:jc w:val="left"/>
              <w:rPr>
                <w:rFonts w:ascii="仿宋" w:hAnsi="仿宋" w:eastAsia="仿宋" w:cs="仿宋"/>
                <w:szCs w:val="24"/>
                <w:highlight w:val="none"/>
              </w:rPr>
            </w:pPr>
            <w:r>
              <w:rPr>
                <w:rFonts w:hint="eastAsia" w:ascii="仿宋" w:hAnsi="仿宋" w:eastAsia="仿宋" w:cs="仿宋"/>
                <w:szCs w:val="24"/>
                <w:highlight w:val="none"/>
              </w:rPr>
              <w:t>（因落实政府采购政策进行价格调整的，以调整后的价格计算评标基准价和投标报价，详见3-9-1至3-9-3）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108" w:rightChars="-45"/>
              <w:jc w:val="center"/>
              <w:rPr>
                <w:rFonts w:ascii="仿宋" w:hAnsi="仿宋" w:eastAsia="仿宋" w:cs="仿宋"/>
                <w:szCs w:val="24"/>
                <w:highlight w:val="none"/>
              </w:rPr>
            </w:pPr>
            <w:r>
              <w:rPr>
                <w:rFonts w:hint="eastAsia" w:ascii="仿宋" w:hAnsi="仿宋" w:eastAsia="仿宋" w:cs="仿宋"/>
                <w:szCs w:val="24"/>
                <w:highlight w:val="none"/>
              </w:rPr>
              <w:t>节能、环保产品</w:t>
            </w:r>
          </w:p>
        </w:tc>
        <w:tc>
          <w:tcPr>
            <w:tcW w:w="766" w:type="dxa"/>
            <w:vAlign w:val="center"/>
          </w:tcPr>
          <w:p>
            <w:pPr>
              <w:spacing w:line="560" w:lineRule="exact"/>
              <w:ind w:left="-134" w:leftChars="-56" w:right="-108" w:rightChars="-45"/>
              <w:jc w:val="center"/>
              <w:rPr>
                <w:rFonts w:ascii="仿宋" w:hAnsi="仿宋" w:eastAsia="仿宋" w:cs="仿宋"/>
                <w:szCs w:val="24"/>
                <w:highlight w:val="none"/>
              </w:rPr>
            </w:pPr>
            <w:r>
              <w:rPr>
                <w:rFonts w:hint="eastAsia" w:ascii="仿宋" w:hAnsi="仿宋" w:eastAsia="仿宋" w:cs="仿宋"/>
                <w:szCs w:val="24"/>
                <w:highlight w:val="none"/>
              </w:rPr>
              <w:t>2分</w:t>
            </w:r>
          </w:p>
        </w:tc>
        <w:tc>
          <w:tcPr>
            <w:tcW w:w="8084" w:type="dxa"/>
            <w:vAlign w:val="center"/>
          </w:tcPr>
          <w:p>
            <w:pPr>
              <w:widowControl/>
              <w:spacing w:line="560" w:lineRule="exact"/>
              <w:jc w:val="left"/>
              <w:rPr>
                <w:rFonts w:ascii="仿宋" w:hAnsi="仿宋" w:eastAsia="仿宋" w:cs="仿宋"/>
                <w:szCs w:val="24"/>
                <w:highlight w:val="none"/>
              </w:rPr>
            </w:pPr>
            <w:r>
              <w:rPr>
                <w:rFonts w:hint="eastAsia" w:ascii="仿宋" w:hAnsi="仿宋" w:eastAsia="仿宋" w:cs="仿宋"/>
                <w:szCs w:val="24"/>
                <w:highlight w:val="none"/>
              </w:rPr>
              <w:t>投标人投标设备中每有一项为节能产品的得0.5分，每有一项为环境标志产品的得0.5分，投标人投标产品中每有一项产品同时为节能产品和环境标志产品的得1分，最多得2分。（提供证明资料，详见3-9-4）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kern w:val="0"/>
                <w:szCs w:val="24"/>
                <w:highlight w:val="none"/>
              </w:rPr>
            </w:pPr>
            <w:r>
              <w:rPr>
                <w:rFonts w:hint="eastAsia" w:ascii="仿宋" w:hAnsi="仿宋" w:eastAsia="仿宋" w:cs="仿宋"/>
                <w:kern w:val="0"/>
                <w:szCs w:val="24"/>
                <w:highlight w:val="none"/>
              </w:rPr>
              <w:t>技术</w:t>
            </w:r>
          </w:p>
          <w:p>
            <w:pPr>
              <w:spacing w:line="560" w:lineRule="exact"/>
              <w:jc w:val="center"/>
              <w:rPr>
                <w:rFonts w:ascii="仿宋" w:hAnsi="仿宋" w:eastAsia="仿宋" w:cs="仿宋"/>
                <w:kern w:val="0"/>
                <w:szCs w:val="24"/>
                <w:highlight w:val="none"/>
              </w:rPr>
            </w:pPr>
            <w:r>
              <w:rPr>
                <w:rFonts w:hint="eastAsia" w:ascii="仿宋" w:hAnsi="仿宋" w:eastAsia="仿宋" w:cs="仿宋"/>
                <w:kern w:val="0"/>
                <w:szCs w:val="24"/>
                <w:highlight w:val="none"/>
              </w:rPr>
              <w:t>响应</w:t>
            </w:r>
          </w:p>
        </w:tc>
        <w:tc>
          <w:tcPr>
            <w:tcW w:w="766" w:type="dxa"/>
            <w:vAlign w:val="center"/>
          </w:tcPr>
          <w:p>
            <w:pPr>
              <w:spacing w:line="560" w:lineRule="exact"/>
              <w:jc w:val="center"/>
              <w:rPr>
                <w:rFonts w:ascii="仿宋" w:hAnsi="仿宋" w:eastAsia="仿宋" w:cs="仿宋"/>
                <w:kern w:val="0"/>
                <w:szCs w:val="24"/>
                <w:highlight w:val="none"/>
              </w:rPr>
            </w:pPr>
            <w:r>
              <w:rPr>
                <w:rFonts w:hint="eastAsia" w:ascii="仿宋" w:hAnsi="仿宋" w:eastAsia="仿宋" w:cs="仿宋"/>
                <w:kern w:val="0"/>
                <w:szCs w:val="24"/>
                <w:highlight w:val="none"/>
              </w:rPr>
              <w:t>35分</w:t>
            </w:r>
          </w:p>
        </w:tc>
        <w:tc>
          <w:tcPr>
            <w:tcW w:w="8084" w:type="dxa"/>
          </w:tcPr>
          <w:p>
            <w:pPr>
              <w:widowControl/>
              <w:spacing w:line="560" w:lineRule="exact"/>
              <w:ind w:firstLine="480" w:firstLineChars="200"/>
              <w:jc w:val="left"/>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1、★项为重要参数，投标人所投产品的技术参数完全满足并能提供响应的功能证明材料（提供佐证资料，包括但不限于检测报告、官网截图、软件截图等）得20分，有一项不满足扣2分，扣完为止。</w:t>
            </w:r>
          </w:p>
          <w:p>
            <w:pPr>
              <w:widowControl/>
              <w:spacing w:line="560" w:lineRule="exact"/>
              <w:ind w:firstLine="480" w:firstLineChars="200"/>
              <w:jc w:val="left"/>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2、除★项以外的技术参数和性能要求（10分），完全满足或优于招标文件要求的得8-10分；基本满足得5-8分。部分满足得0-5分</w:t>
            </w:r>
          </w:p>
          <w:p>
            <w:pPr>
              <w:widowControl/>
              <w:spacing w:line="560" w:lineRule="exact"/>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Cs w:val="24"/>
                <w:highlight w:val="none"/>
                <w:lang w:val="en-US" w:eastAsia="zh-CN"/>
              </w:rPr>
              <w:t>3、项目实施方案：项目组织实施计划完整可行，资金等保障措施可靠，能够保证按期供货，具有明确的项目组织机构及实施方案，评标委员会从备货、供货进度及保证措施、人员安排及责任制度、产品安装、检测、调试等方面保证措施方面进行比较后赋分，满分5分，</w:t>
            </w:r>
            <w:r>
              <w:rPr>
                <w:rFonts w:hint="eastAsia" w:ascii="仿宋" w:hAnsi="仿宋" w:eastAsia="仿宋" w:cs="仿宋"/>
                <w:sz w:val="24"/>
                <w:szCs w:val="24"/>
                <w:highlight w:val="none"/>
              </w:rPr>
              <w:t>全面</w:t>
            </w:r>
            <w:r>
              <w:rPr>
                <w:rFonts w:hint="eastAsia" w:ascii="仿宋" w:hAnsi="仿宋" w:eastAsia="仿宋" w:cs="仿宋"/>
                <w:szCs w:val="24"/>
                <w:highlight w:val="none"/>
                <w:lang w:val="en-US" w:eastAsia="zh-CN"/>
              </w:rPr>
              <w:t>（4-5]分，</w:t>
            </w:r>
            <w:r>
              <w:rPr>
                <w:rFonts w:hint="eastAsia" w:ascii="仿宋" w:hAnsi="仿宋" w:eastAsia="仿宋" w:cs="仿宋"/>
                <w:sz w:val="24"/>
                <w:szCs w:val="24"/>
                <w:highlight w:val="none"/>
              </w:rPr>
              <w:t>较为全面</w:t>
            </w:r>
            <w:r>
              <w:rPr>
                <w:rFonts w:hint="eastAsia" w:ascii="仿宋" w:hAnsi="仿宋" w:eastAsia="仿宋" w:cs="仿宋"/>
                <w:szCs w:val="24"/>
                <w:highlight w:val="none"/>
                <w:lang w:val="en-US" w:eastAsia="zh-CN"/>
              </w:rPr>
              <w:t>（3-4]分，一般[1-3]分，</w:t>
            </w:r>
            <w:r>
              <w:rPr>
                <w:rFonts w:hint="eastAsia" w:ascii="仿宋" w:hAnsi="仿宋" w:eastAsia="仿宋" w:cs="仿宋"/>
                <w:sz w:val="24"/>
                <w:szCs w:val="24"/>
                <w:highlight w:val="none"/>
              </w:rPr>
              <w:t>未提供不得分</w:t>
            </w:r>
            <w:r>
              <w:rPr>
                <w:rFonts w:hint="eastAsia" w:ascii="仿宋" w:hAnsi="仿宋" w:eastAsia="仿宋" w:cs="仿宋"/>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95"/>
              <w:jc w:val="center"/>
              <w:rPr>
                <w:rFonts w:ascii="仿宋" w:hAnsi="仿宋" w:eastAsia="仿宋" w:cs="仿宋"/>
                <w:kern w:val="0"/>
                <w:szCs w:val="24"/>
                <w:highlight w:val="none"/>
              </w:rPr>
            </w:pPr>
            <w:r>
              <w:rPr>
                <w:rFonts w:hint="eastAsia" w:ascii="仿宋" w:hAnsi="仿宋" w:eastAsia="仿宋" w:cs="仿宋"/>
                <w:kern w:val="0"/>
                <w:szCs w:val="24"/>
                <w:highlight w:val="none"/>
              </w:rPr>
              <w:t>质量</w:t>
            </w:r>
          </w:p>
          <w:p>
            <w:pPr>
              <w:spacing w:line="560" w:lineRule="exact"/>
              <w:ind w:right="-95"/>
              <w:jc w:val="center"/>
              <w:rPr>
                <w:rFonts w:ascii="仿宋" w:hAnsi="仿宋" w:eastAsia="仿宋" w:cs="仿宋"/>
                <w:kern w:val="0"/>
                <w:szCs w:val="24"/>
                <w:highlight w:val="none"/>
              </w:rPr>
            </w:pPr>
            <w:r>
              <w:rPr>
                <w:rFonts w:hint="eastAsia" w:ascii="仿宋" w:hAnsi="仿宋" w:eastAsia="仿宋" w:cs="仿宋"/>
                <w:kern w:val="0"/>
                <w:szCs w:val="24"/>
                <w:highlight w:val="none"/>
              </w:rPr>
              <w:t>保证</w:t>
            </w:r>
          </w:p>
        </w:tc>
        <w:tc>
          <w:tcPr>
            <w:tcW w:w="766" w:type="dxa"/>
            <w:vAlign w:val="center"/>
          </w:tcPr>
          <w:p>
            <w:pPr>
              <w:spacing w:line="560" w:lineRule="exact"/>
              <w:ind w:right="-95"/>
              <w:rPr>
                <w:rFonts w:ascii="仿宋" w:hAnsi="仿宋" w:eastAsia="仿宋" w:cs="仿宋"/>
                <w:kern w:val="0"/>
                <w:szCs w:val="24"/>
                <w:highlight w:val="none"/>
              </w:rPr>
            </w:pPr>
            <w:r>
              <w:rPr>
                <w:rFonts w:hint="eastAsia" w:ascii="仿宋" w:hAnsi="仿宋" w:eastAsia="仿宋" w:cs="仿宋"/>
                <w:kern w:val="0"/>
                <w:szCs w:val="24"/>
                <w:highlight w:val="none"/>
              </w:rPr>
              <w:t>8分</w:t>
            </w:r>
          </w:p>
        </w:tc>
        <w:tc>
          <w:tcPr>
            <w:tcW w:w="8084" w:type="dxa"/>
            <w:vAlign w:val="center"/>
          </w:tcPr>
          <w:p>
            <w:pPr>
              <w:pStyle w:val="41"/>
              <w:spacing w:line="560" w:lineRule="exact"/>
              <w:ind w:firstLine="240" w:firstLineChars="100"/>
              <w:jc w:val="left"/>
              <w:rPr>
                <w:rFonts w:ascii="仿宋" w:hAnsi="仿宋" w:eastAsia="仿宋" w:cs="仿宋"/>
                <w:szCs w:val="24"/>
                <w:highlight w:val="none"/>
              </w:rPr>
            </w:pPr>
            <w:r>
              <w:rPr>
                <w:rFonts w:hint="eastAsia" w:ascii="仿宋" w:hAnsi="仿宋" w:eastAsia="仿宋" w:cs="仿宋"/>
                <w:sz w:val="24"/>
                <w:szCs w:val="24"/>
                <w:highlight w:val="none"/>
              </w:rPr>
              <w:t>所投产品制造厂家有可靠、完善的管理制度；有具体可行的质量保证承诺，保证使用单位能熟练操作维护和正常使用，需提供相应的证明文件，全面（5-8]分，较为全面（3-5]分，一般[1-3]分，未提供不得分。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产品</w:t>
            </w:r>
          </w:p>
          <w:p>
            <w:pPr>
              <w:spacing w:line="560" w:lineRule="exact"/>
              <w:jc w:val="center"/>
              <w:rPr>
                <w:rFonts w:ascii="仿宋" w:hAnsi="仿宋" w:eastAsia="仿宋" w:cs="仿宋"/>
                <w:kern w:val="0"/>
                <w:szCs w:val="24"/>
                <w:highlight w:val="none"/>
              </w:rPr>
            </w:pPr>
            <w:r>
              <w:rPr>
                <w:rFonts w:hint="eastAsia" w:ascii="仿宋" w:hAnsi="仿宋" w:eastAsia="仿宋" w:cs="仿宋"/>
                <w:szCs w:val="24"/>
                <w:highlight w:val="none"/>
              </w:rPr>
              <w:t>渠道</w:t>
            </w:r>
          </w:p>
        </w:tc>
        <w:tc>
          <w:tcPr>
            <w:tcW w:w="766" w:type="dxa"/>
            <w:vAlign w:val="center"/>
          </w:tcPr>
          <w:p>
            <w:pPr>
              <w:spacing w:line="560" w:lineRule="exact"/>
              <w:jc w:val="center"/>
              <w:rPr>
                <w:rFonts w:ascii="仿宋" w:hAnsi="仿宋" w:eastAsia="仿宋" w:cs="仿宋"/>
                <w:kern w:val="0"/>
                <w:szCs w:val="24"/>
                <w:highlight w:val="none"/>
              </w:rPr>
            </w:pPr>
            <w:r>
              <w:rPr>
                <w:rFonts w:hint="eastAsia" w:ascii="仿宋" w:hAnsi="仿宋" w:eastAsia="仿宋" w:cs="仿宋"/>
                <w:szCs w:val="24"/>
                <w:highlight w:val="none"/>
              </w:rPr>
              <w:t>3分</w:t>
            </w:r>
          </w:p>
        </w:tc>
        <w:tc>
          <w:tcPr>
            <w:tcW w:w="8084" w:type="dxa"/>
            <w:vAlign w:val="center"/>
          </w:tcPr>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能提供所投主要产品（包括虚拟演播室系统、媒体资产管理系统、播控系统）的合法来源渠道证明文件（包括但不限于产品制造商授权、销售协议、代理协议等）的计3分，未提供或提供不全的不得分。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FFFFFF"/>
            <w:vAlign w:val="center"/>
          </w:tcPr>
          <w:p>
            <w:pPr>
              <w:widowControl/>
              <w:spacing w:line="560" w:lineRule="exact"/>
              <w:ind w:right="-95"/>
              <w:jc w:val="center"/>
              <w:rPr>
                <w:rFonts w:ascii="仿宋" w:hAnsi="仿宋" w:eastAsia="仿宋" w:cs="仿宋"/>
                <w:kern w:val="0"/>
                <w:szCs w:val="24"/>
                <w:highlight w:val="none"/>
              </w:rPr>
            </w:pPr>
            <w:r>
              <w:rPr>
                <w:rFonts w:hint="eastAsia" w:ascii="仿宋" w:hAnsi="仿宋" w:eastAsia="仿宋" w:cs="仿宋"/>
                <w:kern w:val="0"/>
                <w:szCs w:val="24"/>
                <w:highlight w:val="none"/>
              </w:rPr>
              <w:t>业绩</w:t>
            </w:r>
          </w:p>
        </w:tc>
        <w:tc>
          <w:tcPr>
            <w:tcW w:w="766" w:type="dxa"/>
            <w:shd w:val="clear" w:color="auto" w:fill="FFFFFF"/>
            <w:vAlign w:val="center"/>
          </w:tcPr>
          <w:p>
            <w:pPr>
              <w:widowControl/>
              <w:spacing w:line="560" w:lineRule="exact"/>
              <w:ind w:right="-95"/>
              <w:jc w:val="center"/>
              <w:rPr>
                <w:rFonts w:ascii="仿宋" w:hAnsi="仿宋" w:eastAsia="仿宋" w:cs="仿宋"/>
                <w:kern w:val="0"/>
                <w:szCs w:val="24"/>
                <w:highlight w:val="none"/>
              </w:rPr>
            </w:pPr>
            <w:r>
              <w:rPr>
                <w:rFonts w:hint="eastAsia" w:ascii="仿宋" w:hAnsi="仿宋" w:eastAsia="仿宋" w:cs="仿宋"/>
                <w:kern w:val="0"/>
                <w:szCs w:val="24"/>
                <w:highlight w:val="none"/>
              </w:rPr>
              <w:t>3分</w:t>
            </w:r>
          </w:p>
        </w:tc>
        <w:tc>
          <w:tcPr>
            <w:tcW w:w="8084" w:type="dxa"/>
            <w:shd w:val="clear" w:color="auto" w:fill="FFFFFF"/>
            <w:vAlign w:val="center"/>
          </w:tcPr>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以合同复印件形式提供投标人2019年1月1日至今类似项目业绩，每份计1分，计满3分为止。</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kern w:val="0"/>
                <w:szCs w:val="24"/>
                <w:highlight w:val="none"/>
              </w:rPr>
            </w:pPr>
            <w:r>
              <w:rPr>
                <w:rFonts w:hint="eastAsia" w:ascii="仿宋" w:hAnsi="仿宋" w:eastAsia="仿宋" w:cs="仿宋"/>
                <w:kern w:val="0"/>
                <w:szCs w:val="24"/>
                <w:highlight w:val="none"/>
              </w:rPr>
              <w:t>售后</w:t>
            </w:r>
          </w:p>
          <w:p>
            <w:pPr>
              <w:spacing w:line="560" w:lineRule="exact"/>
              <w:jc w:val="center"/>
              <w:rPr>
                <w:rFonts w:ascii="仿宋" w:hAnsi="仿宋" w:eastAsia="仿宋" w:cs="仿宋"/>
                <w:kern w:val="0"/>
                <w:szCs w:val="24"/>
                <w:highlight w:val="none"/>
              </w:rPr>
            </w:pPr>
            <w:r>
              <w:rPr>
                <w:rFonts w:hint="eastAsia" w:ascii="仿宋" w:hAnsi="仿宋" w:eastAsia="仿宋" w:cs="仿宋"/>
                <w:kern w:val="0"/>
                <w:szCs w:val="24"/>
                <w:highlight w:val="none"/>
              </w:rPr>
              <w:t>服务及培训计划</w:t>
            </w:r>
          </w:p>
        </w:tc>
        <w:tc>
          <w:tcPr>
            <w:tcW w:w="766" w:type="dxa"/>
            <w:vAlign w:val="center"/>
          </w:tcPr>
          <w:p>
            <w:pPr>
              <w:spacing w:line="560" w:lineRule="exact"/>
              <w:jc w:val="center"/>
              <w:rPr>
                <w:rFonts w:ascii="仿宋" w:hAnsi="仿宋" w:eastAsia="仿宋" w:cs="仿宋"/>
                <w:kern w:val="0"/>
                <w:szCs w:val="24"/>
                <w:highlight w:val="none"/>
              </w:rPr>
            </w:pPr>
            <w:r>
              <w:rPr>
                <w:rFonts w:hint="eastAsia" w:ascii="仿宋" w:hAnsi="仿宋" w:eastAsia="仿宋" w:cs="仿宋"/>
                <w:kern w:val="0"/>
                <w:szCs w:val="24"/>
                <w:highlight w:val="none"/>
              </w:rPr>
              <w:t>19分</w:t>
            </w:r>
          </w:p>
        </w:tc>
        <w:tc>
          <w:tcPr>
            <w:tcW w:w="8084"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1、售后服务方案详细、具体、可行（包括投标人售后服务网点的设定、拟投入售后服务人员配置情况、项目交付用户后出现故障响应时间等）。全面（4-7]分，较为全面（2-4]分，一般[1-2]分，未提供不得分；</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2、售后服务承诺及保证措施详细、具体，备品备件及耗材情况明确。全面（4-7]分，较为全面（2-4]分，一般[1-2]分，未提供不得分；</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3、提供详尽的培训方案及培训计划，并列出培训的具体内容及方式，确保使用人员能够独立操作，并进行简单故障排查处理。全面（4-5]分，较为全面（2-4]分，一般[1-2]分，未提供不得分。</w:t>
            </w:r>
          </w:p>
        </w:tc>
      </w:tr>
    </w:tbl>
    <w:p>
      <w:pPr>
        <w:spacing w:line="560" w:lineRule="exact"/>
        <w:rPr>
          <w:rFonts w:hint="eastAsia" w:ascii="仿宋" w:hAnsi="仿宋" w:eastAsia="仿宋" w:cs="仿宋"/>
          <w:szCs w:val="24"/>
          <w:highlight w:val="none"/>
        </w:rPr>
      </w:pPr>
    </w:p>
    <w:p>
      <w:pPr>
        <w:spacing w:line="560" w:lineRule="exact"/>
        <w:rPr>
          <w:rFonts w:ascii="仿宋" w:hAnsi="仿宋" w:eastAsia="仿宋" w:cs="仿宋"/>
          <w:szCs w:val="24"/>
          <w:highlight w:val="none"/>
        </w:rPr>
      </w:pPr>
      <w:r>
        <w:rPr>
          <w:rFonts w:hint="eastAsia" w:ascii="仿宋" w:hAnsi="仿宋" w:eastAsia="仿宋" w:cs="仿宋"/>
          <w:szCs w:val="24"/>
          <w:highlight w:val="none"/>
        </w:rPr>
        <w:t>注：1）评委打分超过得分界限或未按本方法赋分时，该评委的打分按废票处理。</w:t>
      </w:r>
    </w:p>
    <w:p>
      <w:pPr>
        <w:numPr>
          <w:ilvl w:val="0"/>
          <w:numId w:val="4"/>
        </w:num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各种计算数字均保留两位小数，第三位“四舍五入”。 </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bCs/>
          <w:szCs w:val="24"/>
          <w:highlight w:val="none"/>
        </w:rPr>
        <w:t>3）特殊情况处理</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a、当投标人某评分项出现未报、漏报或零报价时，该分项得零分，并不参与投标报价分的计算。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b、相同品牌产品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非单一产品采购项目，多家投标人提供的核心产品</w:t>
      </w:r>
      <w:r>
        <w:rPr>
          <w:rFonts w:hint="eastAsia" w:ascii="仿宋" w:hAnsi="仿宋" w:eastAsia="仿宋" w:cs="仿宋"/>
          <w:szCs w:val="24"/>
          <w:highlight w:val="none"/>
          <w:lang w:eastAsia="zh-CN"/>
        </w:rPr>
        <w:t>（1、数据库服务器2、媒资核心服务器3、融媒体虚拟演播系统）</w:t>
      </w:r>
      <w:r>
        <w:rPr>
          <w:rFonts w:hint="eastAsia" w:ascii="仿宋" w:hAnsi="仿宋" w:eastAsia="仿宋" w:cs="仿宋"/>
          <w:szCs w:val="24"/>
          <w:highlight w:val="none"/>
        </w:rPr>
        <w:t>品牌相同的，按照前款规定处理。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d、评标过程中，若出现本评标方法以外的特殊情况时，将暂停评标，待评委商榷后再进行复会。</w:t>
      </w:r>
    </w:p>
    <w:p>
      <w:pPr>
        <w:spacing w:line="560" w:lineRule="exact"/>
        <w:ind w:firstLine="600" w:firstLineChars="249"/>
        <w:rPr>
          <w:rFonts w:ascii="仿宋" w:hAnsi="仿宋" w:eastAsia="仿宋" w:cs="仿宋"/>
          <w:b/>
          <w:bCs/>
          <w:szCs w:val="24"/>
          <w:highlight w:val="none"/>
        </w:rPr>
      </w:pPr>
      <w:r>
        <w:rPr>
          <w:rFonts w:hint="eastAsia" w:ascii="仿宋" w:hAnsi="仿宋" w:eastAsia="仿宋" w:cs="仿宋"/>
          <w:b/>
          <w:bCs/>
          <w:szCs w:val="24"/>
          <w:highlight w:val="none"/>
        </w:rPr>
        <w:t>3-9、政府采购政策评分标准</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3-9-1、小微企业的价格评分标准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（1）根据《政府采购促进中小企业发展管理办法》（财库【2020】46号）的办法及</w:t>
      </w:r>
      <w:bookmarkStart w:id="33" w:name="_Toc14639"/>
      <w:r>
        <w:rPr>
          <w:rFonts w:hint="eastAsia" w:ascii="仿宋" w:hAnsi="仿宋" w:eastAsia="仿宋" w:cs="仿宋"/>
          <w:szCs w:val="24"/>
          <w:highlight w:val="none"/>
        </w:rPr>
        <w:t>《关于进一步加大政府采购支持中小企业力度的通知》（财库【2022】19号）</w:t>
      </w:r>
      <w:bookmarkEnd w:id="33"/>
      <w:r>
        <w:rPr>
          <w:rFonts w:hint="eastAsia" w:ascii="仿宋" w:hAnsi="仿宋" w:eastAsia="仿宋" w:cs="仿宋"/>
          <w:szCs w:val="24"/>
          <w:highlight w:val="none"/>
        </w:rPr>
        <w:t>的通知，对于非专门面向中小企业的项目，对小型、微型企业产品的价格给予10%的扣除，用扣除后的价格参与评审，其评标价=投标报价*（1-10%）。</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共同参加非专门面向中小企业的政府采购活动，联合协议中约定，小型和微型企业的协议合同金额占到联合体协议合同金额的30%以上的，可给予联合体4%的价格扣除，用扣除后的价格参与评审，其评标价=投标报价*（1-4%）。</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3-9-2、监狱企业的价格评分标准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在政府采购活动中，监狱企业视同小型、微型企业，享受预留份额、评审中价格扣除等政府采购促进中小企业发展的政府采购政策。对监狱企业产品的价格给予10%的扣除，用扣除后的价格参与评审，其评标价=投标报价*（1-10%）。</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（2）监狱企业</w:t>
      </w:r>
      <w:r>
        <w:rPr>
          <w:rFonts w:hint="eastAsia" w:ascii="仿宋" w:hAnsi="仿宋" w:eastAsia="仿宋" w:cs="仿宋"/>
          <w:kern w:val="0"/>
          <w:szCs w:val="24"/>
          <w:highlight w:val="none"/>
        </w:rPr>
        <w:t xml:space="preserve">属于小型、微型企业的，不重复享受政策。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（4）监狱企业按《财政部、司法部关于政府采购支持监狱企业发展有关问题的通知》（财库〔2014〕68号）文件规定标准执行。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3-9-3、残疾人福利性单位的价格评分标准</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1-10%）。</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w:t>
      </w:r>
      <w:r>
        <w:rPr>
          <w:rFonts w:hint="eastAsia" w:ascii="仿宋" w:hAnsi="仿宋" w:eastAsia="仿宋" w:cs="仿宋"/>
          <w:kern w:val="0"/>
          <w:szCs w:val="24"/>
          <w:highlight w:val="none"/>
        </w:rPr>
        <w:t>残疾人福利性单位属于小型、微型企业的，不重复享受政策。</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（3）</w:t>
      </w:r>
      <w:r>
        <w:rPr>
          <w:rFonts w:hint="eastAsia" w:ascii="仿宋" w:hAnsi="仿宋" w:eastAsia="仿宋" w:cs="仿宋"/>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szCs w:val="24"/>
          <w:highlight w:val="none"/>
        </w:rPr>
        <w:t>未提供的不视为</w:t>
      </w:r>
      <w:r>
        <w:rPr>
          <w:rFonts w:hint="eastAsia" w:ascii="仿宋" w:hAnsi="仿宋" w:eastAsia="仿宋" w:cs="仿宋"/>
          <w:kern w:val="0"/>
          <w:szCs w:val="24"/>
          <w:highlight w:val="none"/>
        </w:rPr>
        <w:t xml:space="preserve">残疾人福利性单位。 </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3-9-4、节能产品、环境标志产品政策</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（1）根据《财政部、国家发展改革委、生态环境部、市场监管总局&lt;关于调整优化节能产品、环境标志产品政府采购执行机制&gt;的通知》的</w:t>
      </w:r>
      <w:r>
        <w:rPr>
          <w:rFonts w:hint="eastAsia" w:ascii="仿宋" w:hAnsi="仿宋" w:eastAsia="仿宋" w:cs="仿宋"/>
          <w:szCs w:val="24"/>
          <w:highlight w:val="none"/>
        </w:rPr>
        <w:t>有关规定</w:t>
      </w:r>
      <w:r>
        <w:rPr>
          <w:rFonts w:hint="eastAsia" w:ascii="仿宋" w:hAnsi="仿宋" w:eastAsia="仿宋" w:cs="仿宋"/>
          <w:bCs/>
          <w:highlight w:val="none"/>
        </w:rPr>
        <w:t>，依据品目清单和认证证书实施政府采购优先采购和强制采购。采购人拟采购</w:t>
      </w:r>
      <w:bookmarkStart w:id="291" w:name="_GoBack"/>
      <w:bookmarkEnd w:id="291"/>
      <w:r>
        <w:rPr>
          <w:rFonts w:hint="eastAsia" w:ascii="仿宋" w:hAnsi="仿宋" w:eastAsia="仿宋" w:cs="仿宋"/>
          <w:bCs/>
          <w:highlight w:val="none"/>
        </w:rPr>
        <w:t>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（4）若节能、环境标志品目清单内的产品仅是构成投标产品的部件、组件或零件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的，则该投标产品不享受鼓励优惠政策。 </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（5）节能、环境标志产品部分计分只对属于品目清单内的非强制类产品进行计分，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强制类产品不给予计分。 </w:t>
      </w:r>
    </w:p>
    <w:p>
      <w:pPr>
        <w:spacing w:line="560" w:lineRule="exact"/>
        <w:ind w:firstLine="482" w:firstLineChars="200"/>
        <w:rPr>
          <w:rFonts w:ascii="仿宋" w:hAnsi="仿宋" w:eastAsia="仿宋" w:cs="仿宋"/>
          <w:b/>
          <w:highlight w:val="none"/>
        </w:rPr>
      </w:pPr>
      <w:r>
        <w:rPr>
          <w:rFonts w:hint="eastAsia" w:ascii="仿宋" w:hAnsi="仿宋" w:eastAsia="仿宋" w:cs="仿宋"/>
          <w:b/>
          <w:highlight w:val="none"/>
        </w:rPr>
        <w:t>3-10、</w:t>
      </w:r>
      <w:bookmarkStart w:id="34" w:name="_Toc14886425"/>
      <w:bookmarkStart w:id="35" w:name="_Toc22138"/>
      <w:r>
        <w:rPr>
          <w:rFonts w:hint="eastAsia" w:ascii="仿宋" w:hAnsi="仿宋" w:eastAsia="仿宋" w:cs="仿宋"/>
          <w:b/>
          <w:highlight w:val="none"/>
        </w:rPr>
        <w:t>信用担保</w:t>
      </w:r>
      <w:bookmarkEnd w:id="34"/>
      <w:bookmarkEnd w:id="35"/>
      <w:r>
        <w:rPr>
          <w:rFonts w:hint="eastAsia" w:ascii="仿宋" w:hAnsi="仿宋" w:eastAsia="仿宋" w:cs="仿宋"/>
          <w:b/>
          <w:highlight w:val="none"/>
        </w:rPr>
        <w:t>及融资</w:t>
      </w:r>
    </w:p>
    <w:p>
      <w:pPr>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4、</w:t>
      </w:r>
      <w:r>
        <w:rPr>
          <w:rFonts w:hint="eastAsia" w:ascii="仿宋" w:hAnsi="仿宋" w:eastAsia="仿宋" w:cs="仿宋"/>
          <w:b/>
          <w:bCs/>
          <w:szCs w:val="24"/>
          <w:highlight w:val="none"/>
        </w:rPr>
        <w:t>定标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4-1、定标程序</w:t>
      </w:r>
    </w:p>
    <w:p>
      <w:pPr>
        <w:numPr>
          <w:ilvl w:val="0"/>
          <w:numId w:val="5"/>
        </w:num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szCs w:val="24"/>
          <w:highlight w:val="none"/>
        </w:rPr>
        <w:t>评标</w:t>
      </w:r>
      <w:bookmarkEnd w:id="36"/>
      <w:r>
        <w:rPr>
          <w:rFonts w:hint="eastAsia" w:ascii="仿宋" w:hAnsi="仿宋" w:eastAsia="仿宋" w:cs="仿宋"/>
          <w:szCs w:val="24"/>
          <w:highlight w:val="none"/>
        </w:rPr>
        <w:t>报告。</w:t>
      </w:r>
    </w:p>
    <w:p>
      <w:pPr>
        <w:numPr>
          <w:ilvl w:val="0"/>
          <w:numId w:val="5"/>
        </w:numPr>
        <w:spacing w:line="560" w:lineRule="exact"/>
        <w:ind w:firstLine="480" w:firstLineChars="200"/>
        <w:rPr>
          <w:rFonts w:ascii="仿宋" w:hAnsi="仿宋" w:eastAsia="仿宋" w:cs="仿宋"/>
          <w:szCs w:val="24"/>
          <w:highlight w:val="none"/>
        </w:rPr>
      </w:pPr>
      <w:bookmarkStart w:id="37" w:name="OLE_LINK18"/>
      <w:r>
        <w:rPr>
          <w:rFonts w:hint="eastAsia" w:ascii="仿宋" w:hAnsi="仿宋" w:eastAsia="仿宋" w:cs="仿宋"/>
          <w:szCs w:val="24"/>
          <w:highlight w:val="none"/>
        </w:rPr>
        <w:t>评标委员会成员应当在评标报告上签字，对自己的评审意见承担法律责任。</w:t>
      </w:r>
      <w:r>
        <w:rPr>
          <w:rFonts w:hint="eastAsia" w:ascii="仿宋" w:hAnsi="仿宋" w:eastAsia="仿宋" w:cs="仿宋"/>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5"/>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应当自评审结束之日起1个工作日内将评标报告送交采购人。采购人在收到评审报告4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5"/>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采购代理机构接到采购人的《定标复函》后，在1个工作日内，将中标结果在陕西省政府采购网上进行公告。公告发布1个工作日，其他投标人若有异议，按《政府采购法》第52条执行。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ascii="仿宋" w:hAnsi="仿宋" w:eastAsia="仿宋" w:cs="仿宋"/>
          <w:szCs w:val="24"/>
          <w:highlight w:val="none"/>
        </w:rPr>
      </w:pPr>
      <w:bookmarkStart w:id="38" w:name="_Toc458617461"/>
      <w:bookmarkStart w:id="39" w:name="_Toc458617738"/>
      <w:r>
        <w:rPr>
          <w:rFonts w:hint="eastAsia" w:ascii="仿宋" w:hAnsi="仿宋" w:eastAsia="仿宋" w:cs="仿宋"/>
          <w:b/>
          <w:szCs w:val="24"/>
          <w:highlight w:val="none"/>
        </w:rPr>
        <w:t>5、投标无效的情形：</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5-1、投标文件未按招标文件要求签署、盖章的；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5-2、不具备招标文件中规定的资格要求的；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5-3、报价超过招标文件中规定的预算金额的；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5-4、投标文件含有采购人不能接受的附加条件的；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5-5、</w:t>
      </w:r>
      <w:r>
        <w:rPr>
          <w:rFonts w:hint="eastAsia" w:ascii="仿宋" w:hAnsi="仿宋" w:eastAsia="仿宋" w:cs="仿宋"/>
          <w:kern w:val="0"/>
          <w:szCs w:val="24"/>
          <w:highlight w:val="none"/>
        </w:rPr>
        <w:t>提供虚假材料谋取中标的；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5-6、采取不正当手段诋毁、排挤其他投标人的；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5-7、</w:t>
      </w:r>
      <w:r>
        <w:rPr>
          <w:rFonts w:hint="eastAsia" w:ascii="仿宋" w:hAnsi="仿宋" w:eastAsia="仿宋" w:cs="仿宋"/>
          <w:szCs w:val="24"/>
          <w:highlight w:val="none"/>
        </w:rPr>
        <w:t>法律、法规和招标文件规定的其他无效情形。</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6、中标通知</w:t>
      </w:r>
      <w:bookmarkEnd w:id="38"/>
      <w:bookmarkEnd w:id="39"/>
      <w:r>
        <w:rPr>
          <w:rFonts w:hint="eastAsia" w:ascii="仿宋" w:hAnsi="仿宋" w:eastAsia="仿宋" w:cs="仿宋"/>
          <w:b/>
          <w:szCs w:val="24"/>
          <w:highlight w:val="none"/>
        </w:rPr>
        <w:t>书及未中标通知书</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6-2、中标人应在接到采购代理机构通知之日起七日内领取中标通知书。</w:t>
      </w:r>
      <w:bookmarkStart w:id="40" w:name="_Toc458617462"/>
      <w:bookmarkStart w:id="41" w:name="_Toc458617739"/>
      <w:bookmarkStart w:id="42" w:name="_Toc458617790"/>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6-3、</w:t>
      </w:r>
      <w:r>
        <w:rPr>
          <w:rFonts w:hint="eastAsia" w:ascii="仿宋" w:hAnsi="仿宋" w:eastAsia="仿宋" w:cs="仿宋"/>
          <w:kern w:val="0"/>
          <w:szCs w:val="24"/>
          <w:highlight w:val="none"/>
        </w:rPr>
        <w:t>中标通知书发出后，采购人不得违法改变中标结果，中标人无正当理由不得弃中标。</w:t>
      </w:r>
    </w:p>
    <w:p>
      <w:pPr>
        <w:pStyle w:val="4"/>
        <w:spacing w:line="560" w:lineRule="exact"/>
        <w:rPr>
          <w:rFonts w:ascii="仿宋" w:hAnsi="仿宋" w:eastAsia="仿宋" w:cs="仿宋"/>
          <w:kern w:val="0"/>
          <w:sz w:val="28"/>
          <w:szCs w:val="28"/>
          <w:highlight w:val="none"/>
        </w:rPr>
      </w:pPr>
      <w:bookmarkStart w:id="43" w:name="_Toc30729"/>
      <w:r>
        <w:rPr>
          <w:rFonts w:hint="eastAsia" w:ascii="仿宋" w:hAnsi="仿宋" w:eastAsia="仿宋" w:cs="仿宋"/>
          <w:kern w:val="0"/>
          <w:sz w:val="28"/>
          <w:szCs w:val="28"/>
          <w:highlight w:val="none"/>
          <w:lang w:val="en-US" w:eastAsia="zh-CN"/>
        </w:rPr>
        <w:t>七</w:t>
      </w:r>
      <w:r>
        <w:rPr>
          <w:rFonts w:hint="eastAsia" w:ascii="仿宋" w:hAnsi="仿宋" w:eastAsia="仿宋" w:cs="仿宋"/>
          <w:kern w:val="0"/>
          <w:sz w:val="28"/>
          <w:szCs w:val="28"/>
          <w:highlight w:val="none"/>
        </w:rPr>
        <w:t>、合同</w:t>
      </w:r>
      <w:bookmarkEnd w:id="40"/>
      <w:bookmarkEnd w:id="41"/>
      <w:bookmarkEnd w:id="42"/>
      <w:bookmarkEnd w:id="43"/>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1、中标人在收到中标通知书后三十（30）个日历日内，应按招标文件的要求与采购人签订合同。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2、中标人因自身原因不按规定与采购人签订供货合同或者拒绝与采购人签订合同的，则采购人将废除授标。给采购人造成损失的，应当予以赔偿，并依法承担相应法律责任。</w:t>
      </w:r>
      <w:r>
        <w:rPr>
          <w:rFonts w:hint="eastAsia" w:ascii="仿宋" w:hAnsi="仿宋" w:eastAsia="仿宋" w:cs="仿宋"/>
          <w:highlight w:val="none"/>
        </w:rPr>
        <w:t>同时，采购人可以按照评审报告推荐的中标候选人名单排序，确定下一候选人为中标人，</w:t>
      </w:r>
      <w:r>
        <w:rPr>
          <w:rFonts w:hint="eastAsia" w:ascii="仿宋" w:hAnsi="仿宋" w:eastAsia="仿宋" w:cs="仿宋"/>
          <w:szCs w:val="24"/>
          <w:highlight w:val="none"/>
        </w:rPr>
        <w:t>以此类推，</w:t>
      </w:r>
      <w:r>
        <w:rPr>
          <w:rFonts w:hint="eastAsia" w:ascii="仿宋" w:hAnsi="仿宋" w:eastAsia="仿宋" w:cs="仿宋"/>
          <w:highlight w:val="none"/>
        </w:rPr>
        <w:t>也可以重新开展政府采购活动。</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5、所签订的合同不得对招标文件确定的事项和中标人投标文件作实质性修改。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463"/>
      <w:bookmarkStart w:id="45" w:name="_Toc458617740"/>
    </w:p>
    <w:p>
      <w:pPr>
        <w:pStyle w:val="4"/>
        <w:spacing w:line="560" w:lineRule="exact"/>
        <w:rPr>
          <w:rFonts w:ascii="仿宋" w:hAnsi="仿宋" w:eastAsia="仿宋" w:cs="仿宋"/>
          <w:kern w:val="0"/>
          <w:sz w:val="28"/>
          <w:szCs w:val="28"/>
          <w:highlight w:val="none"/>
        </w:rPr>
      </w:pPr>
      <w:bookmarkStart w:id="46" w:name="_Toc26201"/>
      <w:r>
        <w:rPr>
          <w:rFonts w:hint="eastAsia" w:ascii="仿宋" w:hAnsi="仿宋" w:eastAsia="仿宋" w:cs="仿宋"/>
          <w:kern w:val="0"/>
          <w:sz w:val="28"/>
          <w:szCs w:val="28"/>
          <w:highlight w:val="none"/>
          <w:lang w:val="en-US" w:eastAsia="zh-CN"/>
        </w:rPr>
        <w:t>八</w:t>
      </w:r>
      <w:r>
        <w:rPr>
          <w:rFonts w:hint="eastAsia" w:ascii="仿宋" w:hAnsi="仿宋" w:eastAsia="仿宋" w:cs="仿宋"/>
          <w:kern w:val="0"/>
          <w:sz w:val="28"/>
          <w:szCs w:val="28"/>
          <w:highlight w:val="none"/>
        </w:rPr>
        <w:t>、合同的履约验收</w:t>
      </w:r>
      <w:bookmarkEnd w:id="46"/>
    </w:p>
    <w:p>
      <w:pPr>
        <w:spacing w:line="560" w:lineRule="exact"/>
        <w:rPr>
          <w:rFonts w:ascii="仿宋" w:hAnsi="仿宋" w:eastAsia="仿宋" w:cs="仿宋"/>
          <w:highlight w:val="none"/>
        </w:rPr>
      </w:pPr>
      <w:r>
        <w:rPr>
          <w:rFonts w:hint="eastAsia" w:ascii="仿宋" w:hAnsi="仿宋" w:eastAsia="仿宋" w:cs="仿宋"/>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ascii="仿宋" w:hAnsi="仿宋" w:eastAsia="仿宋" w:cs="仿宋"/>
          <w:kern w:val="0"/>
          <w:sz w:val="28"/>
          <w:szCs w:val="28"/>
          <w:highlight w:val="none"/>
        </w:rPr>
      </w:pPr>
      <w:bookmarkStart w:id="47" w:name="_Toc31905"/>
      <w:r>
        <w:rPr>
          <w:rFonts w:hint="eastAsia" w:ascii="仿宋" w:hAnsi="仿宋" w:eastAsia="仿宋" w:cs="仿宋"/>
          <w:kern w:val="0"/>
          <w:sz w:val="28"/>
          <w:szCs w:val="28"/>
          <w:highlight w:val="none"/>
          <w:lang w:val="en-US" w:eastAsia="zh-CN"/>
        </w:rPr>
        <w:t>九</w:t>
      </w:r>
      <w:r>
        <w:rPr>
          <w:rFonts w:hint="eastAsia" w:ascii="仿宋" w:hAnsi="仿宋" w:eastAsia="仿宋" w:cs="仿宋"/>
          <w:kern w:val="0"/>
          <w:sz w:val="28"/>
          <w:szCs w:val="28"/>
          <w:highlight w:val="none"/>
        </w:rPr>
        <w:t>、招标服务费</w:t>
      </w:r>
      <w:bookmarkEnd w:id="44"/>
      <w:bookmarkEnd w:id="45"/>
      <w:bookmarkEnd w:id="47"/>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1、</w:t>
      </w:r>
      <w:r>
        <w:rPr>
          <w:rFonts w:hint="eastAsia" w:ascii="仿宋" w:hAnsi="仿宋" w:eastAsia="仿宋" w:cs="仿宋"/>
          <w:szCs w:val="24"/>
          <w:highlight w:val="none"/>
        </w:rPr>
        <w:t>中标人在领取中标通知书时，</w:t>
      </w:r>
      <w:bookmarkStart w:id="48" w:name="_Toc193187089"/>
      <w:bookmarkStart w:id="49" w:name="_Toc188808820"/>
      <w:bookmarkStart w:id="50" w:name="_Toc194663910"/>
      <w:bookmarkStart w:id="51" w:name="_Toc193126874"/>
      <w:r>
        <w:rPr>
          <w:rFonts w:hint="eastAsia" w:ascii="仿宋" w:hAnsi="仿宋" w:eastAsia="仿宋" w:cs="仿宋"/>
          <w:szCs w:val="24"/>
          <w:highlight w:val="none"/>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2、招标服务费应采用转账、现金形式交纳。</w:t>
      </w:r>
    </w:p>
    <w:p>
      <w:pPr>
        <w:pStyle w:val="4"/>
        <w:spacing w:line="560" w:lineRule="exact"/>
        <w:rPr>
          <w:rFonts w:ascii="仿宋" w:hAnsi="仿宋" w:eastAsia="仿宋" w:cs="仿宋"/>
          <w:kern w:val="0"/>
          <w:sz w:val="28"/>
          <w:szCs w:val="28"/>
          <w:highlight w:val="none"/>
        </w:rPr>
      </w:pPr>
      <w:bookmarkStart w:id="52" w:name="_Toc458617741"/>
      <w:bookmarkStart w:id="53" w:name="_Toc458617464"/>
      <w:bookmarkStart w:id="54" w:name="_Toc4176"/>
      <w:r>
        <w:rPr>
          <w:rFonts w:hint="eastAsia" w:ascii="仿宋" w:hAnsi="仿宋" w:eastAsia="仿宋" w:cs="仿宋"/>
          <w:kern w:val="0"/>
          <w:sz w:val="28"/>
          <w:szCs w:val="28"/>
          <w:highlight w:val="none"/>
        </w:rPr>
        <w:t>十、</w:t>
      </w:r>
      <w:bookmarkEnd w:id="48"/>
      <w:bookmarkEnd w:id="49"/>
      <w:bookmarkEnd w:id="50"/>
      <w:bookmarkEnd w:id="51"/>
      <w:bookmarkEnd w:id="52"/>
      <w:bookmarkEnd w:id="53"/>
      <w:r>
        <w:rPr>
          <w:rFonts w:hint="eastAsia" w:ascii="仿宋" w:hAnsi="仿宋" w:eastAsia="仿宋" w:cs="仿宋"/>
          <w:kern w:val="0"/>
          <w:sz w:val="28"/>
          <w:szCs w:val="28"/>
          <w:highlight w:val="none"/>
        </w:rPr>
        <w:t>重新组织采购活动</w:t>
      </w:r>
      <w:bookmarkEnd w:id="54"/>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（1）因重大变故，采购任务取消的；</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（2）招标文件存在不合理条款或者招标程序不符合规定的；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96"/>
          <w:szCs w:val="24"/>
          <w:highlight w:val="none"/>
        </w:rPr>
        <w:t>（3）</w:t>
      </w:r>
      <w:r>
        <w:rPr>
          <w:rFonts w:hint="eastAsia" w:ascii="仿宋" w:hAnsi="仿宋" w:eastAsia="仿宋" w:cs="仿宋"/>
          <w:szCs w:val="24"/>
          <w:highlight w:val="none"/>
        </w:rPr>
        <w:t>出现影响采购公正的违法、违规行为的；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（4）投标截止后投标人不足3家或者通过资格审查或符合性审查的投标人不足3家的；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（5）所有投标人的报价均超出采购预算或最高限价，采购人不能支付的。</w:t>
      </w:r>
    </w:p>
    <w:p>
      <w:pPr>
        <w:pStyle w:val="4"/>
        <w:tabs>
          <w:tab w:val="left" w:pos="6899"/>
        </w:tabs>
        <w:spacing w:line="560" w:lineRule="exact"/>
        <w:rPr>
          <w:rFonts w:ascii="仿宋" w:hAnsi="仿宋" w:eastAsia="仿宋" w:cs="仿宋"/>
          <w:kern w:val="0"/>
          <w:sz w:val="28"/>
          <w:szCs w:val="28"/>
          <w:highlight w:val="none"/>
        </w:rPr>
      </w:pPr>
      <w:bookmarkStart w:id="55" w:name="_Toc458617465"/>
      <w:bookmarkStart w:id="56" w:name="_Toc458617742"/>
      <w:bookmarkStart w:id="57" w:name="_Toc8992"/>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一</w:t>
      </w:r>
      <w:r>
        <w:rPr>
          <w:rFonts w:hint="eastAsia" w:ascii="仿宋" w:hAnsi="仿宋" w:eastAsia="仿宋" w:cs="仿宋"/>
          <w:kern w:val="0"/>
          <w:sz w:val="28"/>
          <w:szCs w:val="28"/>
          <w:highlight w:val="none"/>
        </w:rPr>
        <w:t>、</w:t>
      </w:r>
      <w:bookmarkEnd w:id="55"/>
      <w:bookmarkEnd w:id="56"/>
      <w:bookmarkStart w:id="58" w:name="_Toc458617743"/>
      <w:bookmarkStart w:id="59" w:name="_Toc458617466"/>
      <w:r>
        <w:rPr>
          <w:rFonts w:hint="eastAsia" w:ascii="仿宋" w:hAnsi="仿宋" w:eastAsia="仿宋" w:cs="仿宋"/>
          <w:kern w:val="0"/>
          <w:sz w:val="28"/>
          <w:szCs w:val="28"/>
          <w:highlight w:val="none"/>
        </w:rPr>
        <w:t>询问、质疑与投诉</w:t>
      </w:r>
      <w:bookmarkEnd w:id="57"/>
      <w:r>
        <w:rPr>
          <w:rFonts w:hint="eastAsia" w:ascii="仿宋" w:hAnsi="仿宋" w:eastAsia="仿宋" w:cs="仿宋"/>
          <w:kern w:val="0"/>
          <w:sz w:val="28"/>
          <w:szCs w:val="28"/>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2、质疑</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（2）对采购过程提出质疑的，为各采购程序环节结束之日；</w:t>
      </w:r>
    </w:p>
    <w:p>
      <w:pPr>
        <w:spacing w:line="560" w:lineRule="exact"/>
        <w:ind w:firstLine="240" w:firstLineChars="100"/>
        <w:jc w:val="center"/>
        <w:rPr>
          <w:rFonts w:ascii="仿宋" w:hAnsi="仿宋" w:eastAsia="仿宋" w:cs="仿宋"/>
          <w:kern w:val="0"/>
          <w:szCs w:val="24"/>
          <w:highlight w:val="none"/>
        </w:rPr>
      </w:pPr>
      <w:r>
        <w:rPr>
          <w:rFonts w:hint="eastAsia" w:ascii="仿宋" w:hAnsi="仿宋" w:eastAsia="仿宋" w:cs="仿宋"/>
          <w:highlight w:val="none"/>
        </w:rPr>
        <w:t xml:space="preserve">  （3）对中标或者成交结果提出质疑的，为中标或者成交结果公告期限届满之日。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2-3、投标人须按照财政部发布的《政府采购供应商质疑函范本》及其制作说明提出质疑，详见“中国政府采购网（www.ccgp.gov.cn）”下载专区。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2-6、投标人应在法定期限内以书面形式提出质疑，联系人： 成工，联系方式：029-87592321，地址：华招广和项目管理有限公司（西安市朱雀大街南段1号汇成天玺C座18层1812室）。</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3、投诉</w:t>
      </w:r>
    </w:p>
    <w:p>
      <w:pPr>
        <w:pStyle w:val="39"/>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9"/>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highlight w:val="none"/>
          <w:u w:val="single"/>
          <w:lang w:eastAsia="zh-CN"/>
        </w:rPr>
        <w:t>西安市高陵区财政局</w:t>
      </w:r>
      <w:r>
        <w:rPr>
          <w:rFonts w:hint="eastAsia" w:ascii="仿宋" w:hAnsi="仿宋" w:eastAsia="仿宋" w:cs="仿宋"/>
          <w:kern w:val="2"/>
          <w:sz w:val="24"/>
          <w:szCs w:val="20"/>
          <w:highlight w:val="none"/>
        </w:rPr>
        <w:t>提起投诉。</w:t>
      </w:r>
    </w:p>
    <w:p>
      <w:pPr>
        <w:pStyle w:val="4"/>
        <w:spacing w:line="560" w:lineRule="exact"/>
        <w:rPr>
          <w:rFonts w:ascii="仿宋" w:hAnsi="仿宋" w:eastAsia="仿宋" w:cs="仿宋"/>
          <w:kern w:val="0"/>
          <w:sz w:val="28"/>
          <w:szCs w:val="28"/>
          <w:highlight w:val="none"/>
        </w:rPr>
      </w:pPr>
      <w:bookmarkStart w:id="60" w:name="_Toc19651"/>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二</w:t>
      </w:r>
      <w:r>
        <w:rPr>
          <w:rFonts w:hint="eastAsia" w:ascii="仿宋" w:hAnsi="仿宋" w:eastAsia="仿宋" w:cs="仿宋"/>
          <w:kern w:val="0"/>
          <w:sz w:val="28"/>
          <w:szCs w:val="28"/>
          <w:highlight w:val="none"/>
        </w:rPr>
        <w:t>、拒绝商业贿赂</w:t>
      </w:r>
      <w:bookmarkEnd w:id="58"/>
      <w:bookmarkEnd w:id="59"/>
      <w:bookmarkEnd w:id="60"/>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2、投标人必须填写《拒绝政府采购领域商业贿赂承诺书》并附在投标文件中，同时应保证投标文件正、副本中一致。</w:t>
      </w:r>
    </w:p>
    <w:p>
      <w:pPr>
        <w:pStyle w:val="3"/>
        <w:spacing w:line="560" w:lineRule="exact"/>
        <w:rPr>
          <w:rFonts w:ascii="仿宋" w:hAnsi="仿宋" w:eastAsia="仿宋" w:cs="仿宋"/>
          <w:kern w:val="0"/>
          <w:highlight w:val="none"/>
        </w:rPr>
        <w:sectPr>
          <w:headerReference r:id="rId13" w:type="first"/>
          <w:footerReference r:id="rId15" w:type="first"/>
          <w:headerReference r:id="rId12" w:type="default"/>
          <w:footerReference r:id="rId14" w:type="default"/>
          <w:pgSz w:w="11905" w:h="16840"/>
          <w:pgMar w:top="1417" w:right="1417" w:bottom="1417" w:left="1417" w:header="935" w:footer="771" w:gutter="0"/>
          <w:pgNumType w:start="4"/>
          <w:cols w:space="0" w:num="1"/>
          <w:titlePg/>
          <w:docGrid w:linePitch="312" w:charSpace="0"/>
        </w:sectPr>
      </w:pPr>
      <w:bookmarkStart w:id="61" w:name="_Toc458617744"/>
      <w:bookmarkStart w:id="62" w:name="_Toc458617467"/>
    </w:p>
    <w:p>
      <w:pPr>
        <w:pStyle w:val="3"/>
        <w:numPr>
          <w:ilvl w:val="0"/>
          <w:numId w:val="6"/>
        </w:numPr>
        <w:spacing w:line="480" w:lineRule="auto"/>
        <w:jc w:val="center"/>
        <w:rPr>
          <w:rFonts w:ascii="仿宋" w:hAnsi="仿宋" w:eastAsia="仿宋" w:cs="仿宋"/>
          <w:kern w:val="0"/>
          <w:highlight w:val="none"/>
        </w:rPr>
      </w:pPr>
      <w:bookmarkStart w:id="63" w:name="_Toc1684"/>
      <w:r>
        <w:rPr>
          <w:rFonts w:hint="eastAsia" w:ascii="仿宋" w:hAnsi="仿宋" w:eastAsia="仿宋" w:cs="仿宋"/>
          <w:kern w:val="0"/>
          <w:highlight w:val="none"/>
        </w:rPr>
        <w:t>采购内容及技术要求</w:t>
      </w:r>
      <w:bookmarkEnd w:id="61"/>
      <w:bookmarkEnd w:id="62"/>
      <w:bookmarkEnd w:id="63"/>
      <w:bookmarkStart w:id="64" w:name="_Toc458617745"/>
      <w:bookmarkStart w:id="65" w:name="_Toc458617468"/>
    </w:p>
    <w:bookmarkEnd w:id="64"/>
    <w:bookmarkEnd w:id="65"/>
    <w:p>
      <w:pPr>
        <w:pStyle w:val="6"/>
        <w:spacing w:line="640" w:lineRule="exact"/>
        <w:rPr>
          <w:rFonts w:ascii="仿宋" w:hAnsi="仿宋" w:eastAsia="仿宋" w:cs="仿宋"/>
          <w:bCs/>
          <w:color w:val="000000"/>
          <w:szCs w:val="24"/>
          <w:highlight w:val="none"/>
        </w:rPr>
      </w:pPr>
      <w:r>
        <w:rPr>
          <w:rFonts w:hint="eastAsia" w:ascii="仿宋" w:hAnsi="仿宋" w:eastAsia="仿宋" w:cs="仿宋"/>
          <w:bCs/>
          <w:color w:val="000000"/>
          <w:szCs w:val="24"/>
          <w:highlight w:val="none"/>
        </w:rPr>
        <w:t>一、项目概况</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发展高清电视，是广播电视技术进步的必然趋势，也是广电提高服务水平和服务质量的必然要求。为积极顺应这一形势，进一步强化党的意识形态主阵地建设，改变区融媒体中心设备仍处于标清的落后现状，按照2021年4月22日市文化旅游局安全播出检查组提出的整改意见,以及《西安市文化和旅游局转发〈陕西省广播电视局关于加快推进我省高清电视发展工作的通知〉的通知》（市文旅发〔2020〕104号）中提出“要采取超强措施，加快推进频道的高清化改造工作”要求，</w:t>
      </w:r>
      <w:r>
        <w:rPr>
          <w:rFonts w:hint="eastAsia" w:ascii="仿宋" w:hAnsi="仿宋" w:eastAsia="仿宋" w:cs="仿宋"/>
          <w:highlight w:val="none"/>
        </w:rPr>
        <w:t>西安市高陵区融媒体中心</w:t>
      </w:r>
      <w:r>
        <w:rPr>
          <w:rFonts w:hint="eastAsia" w:ascii="仿宋" w:hAnsi="仿宋" w:eastAsia="仿宋" w:cs="仿宋"/>
          <w:color w:val="000000"/>
          <w:highlight w:val="none"/>
        </w:rPr>
        <w:t>拟对设备系统进行高清化改造。</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整个系统设计主要依据国家广播电影电视总局有关电视台建设标准，技术指标应符合国家及广播电影电视总局颁布的有关标准，符合ITU-R BT.601，SMPTE259M等有关标准，AES/EBU数字演播室音频有关标准的要求。</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本系统视音频指标要符合如下标准：</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CCIR（ITU-R601）601</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CCIR（ITU-R656）656</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GB/T14857-1993《演播室数字电视编码参数》</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 3174-1995《PAL-D电视广播技术规范》</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GB/T17953-2000《4：2：2数字分量图像信号的接口》</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GY/T107-92  《电视中心播控系统维护规程》</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GY/T152-2000《电视中心制作系统运行维护规程》</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GY/T158-2000《演播室数字音频信号接口》</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GY/T160-2000《数字分量演播室接口中的附属数据信号格式》</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GY/T161-2000《数字电视附属数据空间内数字音频和辅助数据的传输规范》</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GY/T164-2000《演播室串行数字光纤传输系统》</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GY/T165-2000《电视中心播控系统数字播出通路技术指标和测量方法》</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 xml:space="preserve">GY/T167-2000《数字分量演播室的同步基准信号》。 </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GB/T17953-2000《4:2:2数字分量图像信号的接口》</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 155-2000《高清晰度电视节目制作及交换用视频参数值》</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 152-2000《电视中心制作系统运行维护规程》</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GB/T 17544-1998 《信息技术 软件包 质量要求和测试》</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GB/T 16260-1996 《信息技术 软件产品评价 质量特性及其使用指南》</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ANSI/TIA/EIA-568-B.2商业建筑通信布线系统标准 第二部分：平衡双绞线布线系统</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GB/T21671-2008 《基于以太网技术的局域网系统验收测评规范》</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ITU-R  BT.601-2《数字电视编码标准》</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GY/T134-1998数字电视图像质量主观评价方法；</w:t>
      </w:r>
    </w:p>
    <w:p>
      <w:pPr>
        <w:numPr>
          <w:ilvl w:val="0"/>
          <w:numId w:val="7"/>
        </w:numPr>
        <w:spacing w:line="640" w:lineRule="exact"/>
        <w:rPr>
          <w:rFonts w:ascii="仿宋" w:hAnsi="仿宋" w:eastAsia="仿宋" w:cs="仿宋"/>
          <w:color w:val="000000"/>
          <w:szCs w:val="21"/>
          <w:highlight w:val="none"/>
        </w:rPr>
      </w:pPr>
      <w:r>
        <w:rPr>
          <w:rFonts w:hint="eastAsia" w:ascii="仿宋" w:hAnsi="仿宋" w:eastAsia="仿宋" w:cs="仿宋"/>
          <w:color w:val="000000"/>
          <w:szCs w:val="21"/>
          <w:highlight w:val="none"/>
        </w:rPr>
        <w:t>国家广播电影电视总局其他有关数字电视设备系统的标准；</w:t>
      </w:r>
    </w:p>
    <w:p>
      <w:pPr>
        <w:numPr>
          <w:ilvl w:val="0"/>
          <w:numId w:val="7"/>
        </w:numPr>
        <w:spacing w:line="640" w:lineRule="exact"/>
        <w:rPr>
          <w:rFonts w:ascii="仿宋" w:hAnsi="仿宋" w:eastAsia="仿宋" w:cs="仿宋"/>
          <w:color w:val="000000"/>
          <w:highlight w:val="none"/>
        </w:rPr>
      </w:pPr>
      <w:r>
        <w:rPr>
          <w:rFonts w:hint="eastAsia" w:ascii="仿宋" w:hAnsi="仿宋" w:eastAsia="仿宋" w:cs="仿宋"/>
          <w:color w:val="000000"/>
          <w:szCs w:val="21"/>
          <w:highlight w:val="none"/>
        </w:rPr>
        <w:t>国家广播电影电视总局其他有关省级电视台建设的标准；</w:t>
      </w:r>
    </w:p>
    <w:p>
      <w:pPr>
        <w:pStyle w:val="6"/>
        <w:spacing w:line="640" w:lineRule="exact"/>
        <w:rPr>
          <w:rFonts w:ascii="仿宋" w:hAnsi="仿宋" w:eastAsia="仿宋" w:cs="仿宋"/>
          <w:color w:val="000000"/>
          <w:sz w:val="24"/>
          <w:highlight w:val="none"/>
        </w:rPr>
      </w:pPr>
      <w:bookmarkStart w:id="66" w:name="_Toc107383607"/>
      <w:bookmarkStart w:id="67" w:name="_Toc107723589"/>
      <w:bookmarkStart w:id="68" w:name="_Toc131904887"/>
      <w:bookmarkStart w:id="69" w:name="_Toc28489471"/>
      <w:bookmarkStart w:id="70" w:name="_Toc131904886"/>
      <w:bookmarkStart w:id="71" w:name="_Toc123532809"/>
      <w:bookmarkStart w:id="72" w:name="_Toc155011299"/>
      <w:bookmarkStart w:id="73" w:name="_Toc102620120"/>
      <w:bookmarkStart w:id="74" w:name="_Toc138506064"/>
      <w:bookmarkStart w:id="75" w:name="_Toc99959609"/>
      <w:bookmarkStart w:id="76" w:name="_Toc99943760"/>
      <w:bookmarkStart w:id="77" w:name="_Toc163962940"/>
      <w:bookmarkStart w:id="78" w:name="_Toc144103554"/>
      <w:bookmarkStart w:id="79" w:name="_Toc102206237"/>
      <w:bookmarkStart w:id="80" w:name="_Toc99868129"/>
      <w:bookmarkStart w:id="81" w:name="_Toc131922345"/>
      <w:bookmarkStart w:id="82" w:name="_Toc26775996"/>
      <w:bookmarkStart w:id="83" w:name="_Toc138568644"/>
      <w:bookmarkStart w:id="84" w:name="_Toc60236031"/>
      <w:bookmarkStart w:id="85" w:name="_Toc107385277"/>
      <w:bookmarkStart w:id="86" w:name="_Toc67911902"/>
      <w:bookmarkStart w:id="87" w:name="_Toc131922460"/>
      <w:bookmarkStart w:id="88" w:name="_Toc131922344"/>
      <w:bookmarkStart w:id="89" w:name="_Toc109467889"/>
      <w:bookmarkStart w:id="90" w:name="_Toc149044503"/>
      <w:bookmarkStart w:id="91" w:name="_Toc148784643"/>
      <w:bookmarkStart w:id="92" w:name="_Toc66722072"/>
      <w:bookmarkStart w:id="93" w:name="_Toc131922401"/>
      <w:bookmarkStart w:id="94" w:name="_Toc107459970"/>
      <w:bookmarkStart w:id="95" w:name="_Toc131922402"/>
      <w:bookmarkStart w:id="96" w:name="_Toc95304184"/>
      <w:bookmarkStart w:id="97" w:name="_Toc131922461"/>
      <w:r>
        <w:rPr>
          <w:rFonts w:hint="eastAsia" w:ascii="仿宋" w:hAnsi="仿宋" w:eastAsia="仿宋" w:cs="仿宋"/>
          <w:color w:val="000000"/>
          <w:highlight w:val="none"/>
        </w:rPr>
        <w:t>二、设备技术要求</w:t>
      </w:r>
    </w:p>
    <w:p>
      <w:pPr>
        <w:spacing w:line="640" w:lineRule="exact"/>
        <w:rPr>
          <w:rFonts w:ascii="仿宋" w:hAnsi="仿宋" w:eastAsia="仿宋" w:cs="仿宋"/>
          <w:b/>
          <w:color w:val="000000"/>
          <w:kern w:val="0"/>
          <w:highlight w:val="none"/>
        </w:rPr>
      </w:pPr>
      <w:r>
        <w:rPr>
          <w:rFonts w:hint="eastAsia" w:ascii="仿宋" w:hAnsi="仿宋" w:eastAsia="仿宋" w:cs="仿宋"/>
          <w:b/>
          <w:color w:val="000000"/>
          <w:kern w:val="0"/>
          <w:highlight w:val="none"/>
        </w:rPr>
        <w:t>（一）系统总体建设要求：</w:t>
      </w:r>
    </w:p>
    <w:p>
      <w:pPr>
        <w:numPr>
          <w:ilvl w:val="0"/>
          <w:numId w:val="8"/>
        </w:numPr>
        <w:adjustRightInd w:val="0"/>
        <w:spacing w:line="640" w:lineRule="exact"/>
        <w:jc w:val="left"/>
        <w:textAlignment w:val="baseline"/>
        <w:rPr>
          <w:rFonts w:ascii="仿宋" w:hAnsi="仿宋" w:eastAsia="仿宋" w:cs="仿宋"/>
          <w:color w:val="000000"/>
          <w:highlight w:val="none"/>
        </w:rPr>
      </w:pPr>
      <w:r>
        <w:rPr>
          <w:rFonts w:hint="eastAsia" w:ascii="仿宋" w:hAnsi="仿宋" w:eastAsia="仿宋" w:cs="仿宋"/>
          <w:color w:val="000000"/>
          <w:highlight w:val="none"/>
        </w:rPr>
        <w:t>标准性原则：设备须符合国标及广电总局制定的相关行业标准，若国内无相关标准，应符合相关国际广播电视标准。</w:t>
      </w:r>
    </w:p>
    <w:p>
      <w:pPr>
        <w:numPr>
          <w:ilvl w:val="0"/>
          <w:numId w:val="8"/>
        </w:numPr>
        <w:adjustRightInd w:val="0"/>
        <w:spacing w:line="640" w:lineRule="exact"/>
        <w:jc w:val="left"/>
        <w:textAlignment w:val="baseline"/>
        <w:rPr>
          <w:rFonts w:ascii="仿宋" w:hAnsi="仿宋" w:eastAsia="仿宋" w:cs="仿宋"/>
          <w:color w:val="000000"/>
          <w:highlight w:val="none"/>
        </w:rPr>
      </w:pPr>
      <w:r>
        <w:rPr>
          <w:rFonts w:hint="eastAsia" w:ascii="仿宋" w:hAnsi="仿宋" w:eastAsia="仿宋" w:cs="仿宋"/>
          <w:color w:val="000000"/>
          <w:highlight w:val="none"/>
        </w:rPr>
        <w:t>扩展性原则：系统应具有较强的升级扩容能力，要求在网络结构基本不变、现有设备基本无须替换的情况下具有大规模的存储扩充和站点扩展能力。并预留其它业务无缝连接（如收录系统、播出系统、远程传输系统等）的扩容接口。</w:t>
      </w:r>
    </w:p>
    <w:p>
      <w:pPr>
        <w:numPr>
          <w:ilvl w:val="0"/>
          <w:numId w:val="8"/>
        </w:numPr>
        <w:adjustRightInd w:val="0"/>
        <w:spacing w:line="640" w:lineRule="exact"/>
        <w:jc w:val="left"/>
        <w:textAlignment w:val="baseline"/>
        <w:rPr>
          <w:rFonts w:ascii="仿宋" w:hAnsi="仿宋" w:eastAsia="仿宋" w:cs="仿宋"/>
          <w:color w:val="000000"/>
          <w:highlight w:val="none"/>
        </w:rPr>
      </w:pPr>
      <w:r>
        <w:rPr>
          <w:rFonts w:hint="eastAsia" w:ascii="仿宋" w:hAnsi="仿宋" w:eastAsia="仿宋" w:cs="仿宋"/>
          <w:color w:val="000000"/>
          <w:highlight w:val="none"/>
        </w:rPr>
        <w:t>安全性原则：系统必须具备完善的系统管理功能，可以根据用户需求定制网络工作流程，能实现基于个人的用户管理、设备管理、素材管理、日志管理、存储空间管理等功能。通过严格的权限控制，保证系统的使用安全。</w:t>
      </w:r>
    </w:p>
    <w:p>
      <w:pPr>
        <w:numPr>
          <w:ilvl w:val="0"/>
          <w:numId w:val="8"/>
        </w:numPr>
        <w:adjustRightInd w:val="0"/>
        <w:spacing w:line="640" w:lineRule="exact"/>
        <w:jc w:val="left"/>
        <w:textAlignment w:val="baseline"/>
        <w:rPr>
          <w:rFonts w:ascii="仿宋" w:hAnsi="仿宋" w:eastAsia="仿宋" w:cs="仿宋"/>
          <w:color w:val="000000"/>
          <w:highlight w:val="none"/>
        </w:rPr>
      </w:pPr>
      <w:r>
        <w:rPr>
          <w:rFonts w:hint="eastAsia" w:ascii="仿宋" w:hAnsi="仿宋" w:eastAsia="仿宋" w:cs="仿宋"/>
          <w:color w:val="000000"/>
          <w:highlight w:val="none"/>
        </w:rPr>
        <w:t>先进性原则：采用符合国际国内标准的、稳定成熟的先进技术，兼顾广播电视领域新技术的发展方向，适应数字技术发展的要求。</w:t>
      </w:r>
    </w:p>
    <w:p>
      <w:pPr>
        <w:numPr>
          <w:ilvl w:val="0"/>
          <w:numId w:val="8"/>
        </w:numPr>
        <w:adjustRightInd w:val="0"/>
        <w:spacing w:line="640" w:lineRule="exact"/>
        <w:jc w:val="left"/>
        <w:textAlignment w:val="baseline"/>
        <w:rPr>
          <w:rFonts w:ascii="仿宋" w:hAnsi="仿宋" w:eastAsia="仿宋" w:cs="仿宋"/>
          <w:color w:val="000000"/>
          <w:highlight w:val="none"/>
        </w:rPr>
      </w:pPr>
      <w:r>
        <w:rPr>
          <w:rFonts w:hint="eastAsia" w:ascii="仿宋" w:hAnsi="仿宋" w:eastAsia="仿宋" w:cs="仿宋"/>
          <w:color w:val="000000"/>
          <w:highlight w:val="none"/>
        </w:rPr>
        <w:t>实用性原则：系统应根据我单位节目制作的实际要求，使配置合理、功能完善、界面简单，易于操作。所有服务器、工作站点均需采用国际知名品牌全球发售的产品。非线性网络、媒资网络需解决好资源整合、互联互通等问题。</w:t>
      </w:r>
    </w:p>
    <w:p>
      <w:pPr>
        <w:numPr>
          <w:ilvl w:val="0"/>
          <w:numId w:val="8"/>
        </w:numPr>
        <w:adjustRightInd w:val="0"/>
        <w:spacing w:line="640" w:lineRule="exact"/>
        <w:jc w:val="left"/>
        <w:textAlignment w:val="baseline"/>
        <w:rPr>
          <w:rFonts w:ascii="仿宋" w:hAnsi="仿宋" w:eastAsia="仿宋" w:cs="仿宋"/>
          <w:color w:val="000000"/>
          <w:highlight w:val="none"/>
        </w:rPr>
      </w:pPr>
      <w:r>
        <w:rPr>
          <w:rFonts w:hint="eastAsia" w:ascii="仿宋" w:hAnsi="仿宋" w:eastAsia="仿宋" w:cs="仿宋"/>
          <w:color w:val="000000"/>
          <w:highlight w:val="none"/>
        </w:rPr>
        <w:t>灵活性原则：系统包含非编制作、文稿编辑、网络管理、节目审查、媒体资源管理、高清播出等多个模块，要求各模块之间不但能互联互通、实现资源共享，也要能独立运行。</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spacing w:line="640" w:lineRule="exact"/>
        <w:rPr>
          <w:rFonts w:ascii="仿宋" w:hAnsi="仿宋" w:eastAsia="仿宋" w:cs="仿宋"/>
          <w:b/>
          <w:color w:val="000000"/>
          <w:kern w:val="0"/>
          <w:highlight w:val="none"/>
        </w:rPr>
      </w:pPr>
      <w:r>
        <w:rPr>
          <w:rFonts w:hint="eastAsia" w:ascii="仿宋" w:hAnsi="仿宋" w:eastAsia="仿宋" w:cs="仿宋"/>
          <w:b/>
          <w:color w:val="000000"/>
          <w:kern w:val="0"/>
          <w:highlight w:val="none"/>
        </w:rPr>
        <w:t>（二）非线性编辑系统功能要求</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要求支持准高清、标清兼容的编辑环境，未来发展具有更好延展性</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要求具有Windows风格的编辑桌面，用来承载各种窗口，自由安排用户界面；</w:t>
      </w:r>
    </w:p>
    <w:p>
      <w:pPr>
        <w:tabs>
          <w:tab w:val="left" w:pos="420"/>
        </w:tabs>
        <w:spacing w:line="640" w:lineRule="exact"/>
        <w:ind w:firstLine="720" w:firstLineChars="300"/>
        <w:rPr>
          <w:rFonts w:ascii="仿宋" w:hAnsi="仿宋" w:eastAsia="仿宋" w:cs="仿宋"/>
          <w:color w:val="000000"/>
          <w:kern w:val="0"/>
          <w:highlight w:val="none"/>
        </w:rPr>
      </w:pPr>
      <w:r>
        <w:rPr>
          <w:rFonts w:hint="eastAsia" w:ascii="仿宋" w:hAnsi="仿宋" w:eastAsia="仿宋" w:cs="仿宋"/>
          <w:color w:val="000000"/>
          <w:kern w:val="0"/>
          <w:highlight w:val="none"/>
        </w:rPr>
        <w:t>要求支持Windows 7 64bit操作系统；</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可以在非编系统的资源管理器中像操作windows的资源管理器一样进行复制、拷贝、粘贴、排序、查看、新建、删除、重命名操作；</w:t>
      </w:r>
    </w:p>
    <w:p>
      <w:pPr>
        <w:tabs>
          <w:tab w:val="left" w:pos="420"/>
        </w:tabs>
        <w:spacing w:line="640" w:lineRule="exact"/>
        <w:ind w:firstLine="720" w:firstLineChars="300"/>
        <w:rPr>
          <w:rFonts w:ascii="仿宋" w:hAnsi="仿宋" w:eastAsia="仿宋" w:cs="仿宋"/>
          <w:color w:val="000000"/>
          <w:kern w:val="0"/>
          <w:highlight w:val="none"/>
        </w:rPr>
      </w:pPr>
      <w:r>
        <w:rPr>
          <w:rFonts w:hint="eastAsia" w:ascii="仿宋" w:hAnsi="仿宋" w:eastAsia="仿宋" w:cs="仿宋"/>
          <w:color w:val="000000"/>
          <w:kern w:val="0"/>
          <w:highlight w:val="none"/>
        </w:rPr>
        <w:t>要求支持MPEG2-I、MPEG2-IBP、DVCPRO50（25）、DVCAM、MPEG2编码的TS等多种格式的混编；支持HDV、SD格式在时间线上的混合编辑；</w:t>
      </w:r>
    </w:p>
    <w:p>
      <w:pPr>
        <w:tabs>
          <w:tab w:val="left" w:pos="420"/>
        </w:tabs>
        <w:spacing w:line="640" w:lineRule="exact"/>
        <w:ind w:firstLine="720" w:firstLineChars="300"/>
        <w:rPr>
          <w:rFonts w:ascii="仿宋" w:hAnsi="仿宋" w:eastAsia="仿宋" w:cs="仿宋"/>
          <w:b/>
          <w:color w:val="000000"/>
          <w:highlight w:val="none"/>
        </w:rPr>
      </w:pPr>
      <w:r>
        <w:rPr>
          <w:rFonts w:hint="eastAsia" w:ascii="仿宋" w:hAnsi="仿宋" w:eastAsia="仿宋" w:cs="仿宋"/>
          <w:color w:val="000000"/>
          <w:kern w:val="0"/>
          <w:highlight w:val="none"/>
        </w:rPr>
        <w:t>要求支持高标清实时上下变换；</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 xml:space="preserve">要求在同一项目下可以支持HD1920*1080、HDV 1440*1080、PAL 720*576多种制式的时间线； </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支持模拟分量、复合以及SDI等接口输入输出，支持1394接口上载HDV；</w:t>
      </w:r>
    </w:p>
    <w:p>
      <w:pPr>
        <w:tabs>
          <w:tab w:val="left" w:pos="420"/>
        </w:tabs>
        <w:spacing w:line="640" w:lineRule="exact"/>
        <w:rPr>
          <w:rFonts w:ascii="仿宋" w:hAnsi="仿宋" w:eastAsia="仿宋" w:cs="仿宋"/>
          <w:color w:val="000000"/>
          <w:highlight w:val="none"/>
        </w:rPr>
      </w:pPr>
      <w:r>
        <w:rPr>
          <w:rFonts w:hint="eastAsia" w:ascii="仿宋" w:hAnsi="仿宋" w:eastAsia="仿宋" w:cs="仿宋"/>
          <w:color w:val="000000"/>
          <w:highlight w:val="none"/>
        </w:rPr>
        <w:t>支持</w:t>
      </w:r>
      <w:r>
        <w:rPr>
          <w:rFonts w:hint="eastAsia" w:ascii="仿宋" w:hAnsi="仿宋" w:eastAsia="仿宋" w:cs="仿宋"/>
          <w:color w:val="000000"/>
          <w:kern w:val="0"/>
          <w:highlight w:val="none"/>
        </w:rPr>
        <w:t>高清节目，标清下载，也支持标清节目实时高清文件生成；</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支持CD、DVD采集；</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要求在标清情况下可以实现4层及以上标清25M实时编辑和输出；</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要求具有无限轨的音频编辑轨道、4路以上实时音频输出；</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要求具有多时间线编辑，多层字幕，视音频内容嵌套的容器功能</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可以将时间线内某一入出点间所有的视频，音频，字幕等素材虚拟压缩为一个容器素材，同时容器素材支持二次特技编辑；</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支持将以前编辑好的时间线作为容器素材，引入至当前时间线进行编辑；</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良好的支持多层容器嵌套，容器可展开为原有形态或者以时间线方式打开进行再次编辑；</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要求具有快速灵活的时间线节目编辑功能</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要求软件界面保持简洁明快的编辑风格，上手简便，灵活快速；</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要求支持时间线填充和替换，时码快速定位技术；</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要求短素材和黑场能进行自动检测；</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要求支持一键式闪入闪出、帧匹配、替换素材等操作；</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可全局自定义功能按钮及快捷键；</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要求支持添加标记点，可快速定位到各个标记点上；</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要求支持插入、覆盖、填充、替换模式上轨，支持三点编辑模式；</w:t>
      </w:r>
    </w:p>
    <w:p>
      <w:pPr>
        <w:tabs>
          <w:tab w:val="left" w:pos="42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提供历史面板，可将所有操作恢复到任意一步；</w:t>
      </w:r>
      <w:r>
        <w:rPr>
          <w:rFonts w:hint="eastAsia" w:ascii="仿宋" w:hAnsi="仿宋" w:eastAsia="仿宋" w:cs="仿宋"/>
          <w:color w:val="000000"/>
          <w:kern w:val="0"/>
          <w:highlight w:val="none"/>
        </w:rPr>
        <w:t>素材和时间线可安全多次恢复，保证素材、节目的安全性；</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要求具有复杂节目编辑制作能力</w:t>
      </w:r>
    </w:p>
    <w:p>
      <w:pPr>
        <w:tabs>
          <w:tab w:val="left" w:pos="1260"/>
        </w:tabs>
        <w:spacing w:line="640" w:lineRule="exact"/>
        <w:ind w:firstLine="720" w:firstLineChars="300"/>
        <w:rPr>
          <w:rFonts w:ascii="仿宋" w:hAnsi="仿宋" w:eastAsia="仿宋" w:cs="仿宋"/>
          <w:b/>
          <w:color w:val="000000"/>
          <w:highlight w:val="none"/>
        </w:rPr>
      </w:pPr>
      <w:r>
        <w:rPr>
          <w:rFonts w:hint="eastAsia" w:ascii="仿宋" w:hAnsi="仿宋" w:eastAsia="仿宋" w:cs="仿宋"/>
          <w:color w:val="000000"/>
          <w:highlight w:val="none"/>
        </w:rPr>
        <w:t>要求具有多时间线、时间线容器、字幕容器和容器嵌套等功能，为复杂节目编辑提供强大工具集；</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要求支持面向结果的可视化特技参数调整，在进行3D特技调整时，可以在时间线结果回放窗中直接对大小、位置、裁切、旋转进行调整；</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要求提供高效的A.R.T引擎驱动技术；</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曲线变速功能，在同一个界面中可对视频同时进行快/慢/静帧特技的调整，快/慢动作特技参数采用渐变alpha曲线方式进行调整；</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实时多点画面动态跟踪（可同时跟踪8个画面以上），跟踪区域可叠加任意特技；</w:t>
      </w:r>
    </w:p>
    <w:p>
      <w:pPr>
        <w:spacing w:line="640" w:lineRule="exact"/>
        <w:rPr>
          <w:rFonts w:ascii="仿宋" w:hAnsi="仿宋" w:eastAsia="仿宋" w:cs="仿宋"/>
          <w:color w:val="000000"/>
          <w:highlight w:val="none"/>
        </w:rPr>
      </w:pPr>
      <w:r>
        <w:rPr>
          <w:rFonts w:hint="eastAsia" w:ascii="仿宋" w:hAnsi="仿宋" w:eastAsia="仿宋" w:cs="仿宋"/>
          <w:color w:val="000000"/>
          <w:highlight w:val="none"/>
        </w:rPr>
        <w:t>提供多种方式的实时颜色处理，如：颜色校正、色彩调节等；</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要求提供强大的调音台功能，具有完整的master、mix、gain三级调音控制，可对每轨音频、每个输入输出通道进行调节；</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要求具有完善的音频编辑功能，音频VU表显示，支持VST音频特技插件，提供常用的混响、均衡、变调等音频特技效果；</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提供节目导入导出功能；</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要求具有强大的CG图文创作能力</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要求具有功能完善、能提供丰富创意能力的高标清图文字幕系统；</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能与视频编辑完全一体化设计，可在统一的预监窗口中进行视频和动态图文的编辑；实现编辑图文字幕时可以实时回放最终效果；</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能提供字幕时间线与视频时间线创建编辑一体化的编辑方式，简便操作；</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支持使用视频特技、字幕时间线编辑、运动轨迹设置、字幕滤镜等先进的图文字幕操作；</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支持可切换的简单字幕和复杂字幕两种工作模式，完美兼顾快捷灵活与炫目效果在操作上的不同要求；</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支持时间轴方式进行滚屏速度与方式的调整，调整过程要求清晰易控；</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支持唱词展开功能，手拍完时序后，可以单独调整每个段落的内容以及时码；</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支持图片序列的导入，支持动画文件的上轨，支持EXCEL图表导入；</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支持字幕模板的操作，系统提供了大量的字幕模板，可将任意类型的字幕素材做为模板保存，可根据文字内容套换不同的模板使用；</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具有视频特技效果库</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支持多层运动字幕、视频和字幕特技共享；</w:t>
      </w:r>
    </w:p>
    <w:p>
      <w:pPr>
        <w:tabs>
          <w:tab w:val="left" w:pos="1260"/>
        </w:tabs>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支持独立总特技轨、独立键轨道、独立整轨特技；</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支持特技嵌套和区域特技技术；</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要求能支持3D立体模板特技，实时真实三维空间视频特技；</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支持火焰字，体积光，文本特效，粒子，等实时特技；</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支持各种2D/3D特技：粒子、光晕、体积光、三维模型特技、超级轨间合成、二级色彩校 正、吸色、自动白平衡、自动色彩匹配等；</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kern w:val="0"/>
          <w:highlight w:val="none"/>
        </w:rPr>
        <w:t>3D特技可视化调整、特技曲线关键帧调整；</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支持三维爆炸，三维转场等全新的GPU实时特技，支持多种实时光晕调节；</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要求字幕能提供全新的玻璃/塑料/珐琅/黑玻璃/白玻璃/材质玻璃/网页玻璃/硬塑料等3D材质，以便可以创建出更绚丽的效果；</w:t>
      </w:r>
    </w:p>
    <w:p>
      <w:pPr>
        <w:spacing w:line="640" w:lineRule="exact"/>
        <w:ind w:firstLine="720" w:firstLineChars="300"/>
        <w:rPr>
          <w:rFonts w:ascii="仿宋" w:hAnsi="仿宋" w:eastAsia="仿宋" w:cs="仿宋"/>
          <w:color w:val="000000"/>
          <w:szCs w:val="21"/>
          <w:highlight w:val="none"/>
        </w:rPr>
      </w:pPr>
      <w:r>
        <w:rPr>
          <w:rFonts w:hint="eastAsia" w:ascii="仿宋" w:hAnsi="仿宋" w:eastAsia="仿宋" w:cs="仿宋"/>
          <w:color w:val="000000"/>
          <w:highlight w:val="none"/>
        </w:rPr>
        <w:t>要求随非编系统提供DVD的素材库。素材库要求包括：动态背景、字幕模版、转场动画、字幕底版、光效动画和字幕遮罩等创作效果。</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highlight w:val="none"/>
        </w:rPr>
        <w:t>具有对索尼XDCAM专业</w:t>
      </w:r>
      <w:r>
        <w:rPr>
          <w:rFonts w:hint="eastAsia" w:ascii="仿宋" w:hAnsi="仿宋" w:eastAsia="仿宋" w:cs="仿宋"/>
          <w:color w:val="000000"/>
          <w:highlight w:val="none"/>
        </w:rPr>
        <w:t>光盘以及松下P2 设备的完美兼容</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非编连接XDCAM专业光盘设备后，可以直接浏览光盘内容，迅速将光盘上素材的图标传输到非编的资源管理器中；</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在FAM接口方式下实现不采集任何素材，仅下载图标就开始编辑的超快速编辑新流程：将需要的素材图标直接拖上时间线，系统自动快速上载低码率素材（1/20上载速率）；进行低码率素材编辑的同时，系统自动进行该段素材的高码率素材上载，上载完成后，可以自动将该段素材替换为高码率素材；编辑工作完成时，上载工作同步完成。</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要求支持P2 设备的数据拷贝传输技术；</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要求支持光盘素材、P2 素材能与非编中其他素材混合编辑与输出；</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要求支持蓝光、P2的卡内编辑，将EDL按需上载，也可以将EDL直接写回卡内，不经上载过程，直接完成编辑</w:t>
      </w:r>
    </w:p>
    <w:p>
      <w:pPr>
        <w:numPr>
          <w:ilvl w:val="0"/>
          <w:numId w:val="9"/>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上下载及编辑格式支持</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高标清全制式编辑</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1080i(50、60、59.94），1080P（25、30、24、23.98）</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720P（25、30、24）</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576i（PAL)，480i(NTSC)</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支持TS、MOV、DNXHD、MXF、WMV、Windows AVI、TGA、BMP、JPEG等多格式文件</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DVCPRO 50/25</w:t>
      </w:r>
    </w:p>
    <w:p>
      <w:pPr>
        <w:spacing w:line="640" w:lineRule="exact"/>
        <w:ind w:firstLine="720" w:firstLineChars="300"/>
        <w:rPr>
          <w:rFonts w:ascii="仿宋" w:hAnsi="仿宋" w:eastAsia="仿宋" w:cs="仿宋"/>
          <w:color w:val="000000"/>
          <w:highlight w:val="none"/>
        </w:rPr>
      </w:pPr>
      <w:r>
        <w:rPr>
          <w:rFonts w:hint="eastAsia" w:ascii="仿宋" w:hAnsi="仿宋" w:eastAsia="仿宋" w:cs="仿宋"/>
          <w:color w:val="000000"/>
          <w:highlight w:val="none"/>
        </w:rPr>
        <w:t>XDCAM HD 35M，XDCAM HD50M，XDCAM EX，XDCAM SD（IMX/DVCAM)</w:t>
      </w:r>
    </w:p>
    <w:p>
      <w:pPr>
        <w:numPr>
          <w:ilvl w:val="0"/>
          <w:numId w:val="10"/>
        </w:numPr>
        <w:spacing w:line="640" w:lineRule="exact"/>
        <w:rPr>
          <w:rFonts w:ascii="仿宋" w:hAnsi="仿宋" w:eastAsia="仿宋" w:cs="仿宋"/>
          <w:b/>
          <w:color w:val="000000"/>
          <w:kern w:val="0"/>
          <w:highlight w:val="none"/>
        </w:rPr>
      </w:pPr>
      <w:r>
        <w:rPr>
          <w:rFonts w:hint="eastAsia" w:ascii="仿宋" w:hAnsi="仿宋" w:eastAsia="仿宋" w:cs="仿宋"/>
          <w:b/>
          <w:color w:val="000000"/>
          <w:kern w:val="0"/>
          <w:highlight w:val="none"/>
        </w:rPr>
        <w:t>文稿系统部分功能要求</w:t>
      </w:r>
    </w:p>
    <w:p>
      <w:pPr>
        <w:spacing w:line="640" w:lineRule="exact"/>
        <w:ind w:left="204" w:leftChars="85" w:right="410" w:rightChars="171" w:firstLine="480" w:firstLineChars="200"/>
        <w:rPr>
          <w:rFonts w:ascii="仿宋" w:hAnsi="仿宋" w:eastAsia="仿宋" w:cs="仿宋"/>
          <w:color w:val="000000"/>
          <w:highlight w:val="none"/>
        </w:rPr>
      </w:pPr>
      <w:r>
        <w:rPr>
          <w:rFonts w:hint="eastAsia" w:ascii="仿宋" w:hAnsi="仿宋" w:eastAsia="仿宋" w:cs="仿宋"/>
          <w:color w:val="000000"/>
          <w:highlight w:val="none"/>
        </w:rPr>
        <w:t>文稿软件的使用能够有效的提高新闻节目制作编辑的效率，同时能够完成对节目制作流程的监控和管理，在文稿系统软件中，要求按照模块化方式进行设计，每个功能模块完成相应的功能。用户可以根据自身实际情况选择使用所需要的模块来完成所需要的任务。</w:t>
      </w:r>
    </w:p>
    <w:p>
      <w:pPr>
        <w:numPr>
          <w:ilvl w:val="0"/>
          <w:numId w:val="11"/>
        </w:numPr>
        <w:tabs>
          <w:tab w:val="left" w:pos="420"/>
          <w:tab w:val="clear" w:pos="660"/>
        </w:tabs>
        <w:spacing w:line="640" w:lineRule="exact"/>
        <w:ind w:left="420"/>
        <w:rPr>
          <w:rFonts w:ascii="仿宋" w:hAnsi="仿宋" w:eastAsia="仿宋" w:cs="仿宋"/>
          <w:b/>
          <w:color w:val="000000"/>
          <w:highlight w:val="none"/>
        </w:rPr>
      </w:pPr>
      <w:r>
        <w:rPr>
          <w:rFonts w:hint="eastAsia" w:ascii="仿宋" w:hAnsi="仿宋" w:eastAsia="仿宋" w:cs="仿宋"/>
          <w:b/>
          <w:color w:val="000000"/>
          <w:highlight w:val="none"/>
        </w:rPr>
        <w:t>选题管理</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选题管理是针对电视台对于新闻采访的必要性而设定的一种管理机制，采访人员根据采访内容提出采访申请，相关领导根据采访内容决定是否进行该新闻的采访和批示采访计划。</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在选题管理模块中，采访人员根据采访内容填写相应的事件内容、发生地点、发生时间、所需所有设备和相关协助人员等基本信息后报相关领导审批，相关领导根据该选题所报相关信息决定是否进行采访，只有被相关领导批准的选题，采访人员才能领取相应设备外出进行采访。</w:t>
      </w:r>
    </w:p>
    <w:p>
      <w:pPr>
        <w:numPr>
          <w:ilvl w:val="0"/>
          <w:numId w:val="11"/>
        </w:numPr>
        <w:tabs>
          <w:tab w:val="left" w:pos="420"/>
          <w:tab w:val="clear" w:pos="660"/>
        </w:tabs>
        <w:spacing w:line="640" w:lineRule="exact"/>
        <w:ind w:left="420"/>
        <w:rPr>
          <w:rFonts w:ascii="仿宋" w:hAnsi="仿宋" w:eastAsia="仿宋" w:cs="仿宋"/>
          <w:b/>
          <w:color w:val="000000"/>
          <w:highlight w:val="none"/>
        </w:rPr>
      </w:pPr>
      <w:r>
        <w:rPr>
          <w:rFonts w:hint="eastAsia" w:ascii="仿宋" w:hAnsi="仿宋" w:eastAsia="仿宋" w:cs="仿宋"/>
          <w:b/>
          <w:color w:val="000000"/>
          <w:highlight w:val="none"/>
        </w:rPr>
        <w:t>文稿编辑</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在进行节目编辑前，编辑人员首先需要编辑该节目的文字稿件内容。要求文稿编辑时提供如下编辑内容：</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标题：用于描述该条内容的主题内容。</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稿件来源：用于描述该条新闻的来源。（可在事先设定的类别中选取，如：自拍稿件、通讯员稿件、地方台交流稿件等）</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记者：用于描述该条节目的采访制作人员。</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编稿人：用于描述该条稿件的文字编辑人员。</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栏目：用于描述该条稿件对应的播出栏目。</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报播时间：用于描述该条稿件预计的播出时间。</w:t>
      </w:r>
    </w:p>
    <w:p>
      <w:pPr>
        <w:numPr>
          <w:ilvl w:val="0"/>
          <w:numId w:val="12"/>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稿件内容：按照事先设定的类别分类输入对应内容。（如分类可以有：导语、正文、配音、同期声、字幕等）</w:t>
      </w:r>
    </w:p>
    <w:p>
      <w:pPr>
        <w:numPr>
          <w:ilvl w:val="0"/>
          <w:numId w:val="11"/>
        </w:numPr>
        <w:tabs>
          <w:tab w:val="left" w:pos="420"/>
          <w:tab w:val="clear" w:pos="660"/>
        </w:tabs>
        <w:spacing w:line="640" w:lineRule="exact"/>
        <w:ind w:left="420"/>
        <w:rPr>
          <w:rFonts w:ascii="仿宋" w:hAnsi="仿宋" w:eastAsia="仿宋" w:cs="仿宋"/>
          <w:b/>
          <w:color w:val="000000"/>
          <w:highlight w:val="none"/>
        </w:rPr>
      </w:pPr>
      <w:r>
        <w:rPr>
          <w:rFonts w:hint="eastAsia" w:ascii="仿宋" w:hAnsi="仿宋" w:eastAsia="仿宋" w:cs="仿宋"/>
          <w:b/>
          <w:color w:val="000000"/>
          <w:highlight w:val="none"/>
        </w:rPr>
        <w:t>文稿查询</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要求文稿查询模块提供对所有稿件的快速准确的查询功能。在查询方式上要求提供多种条件的查询方式，并且能够将提供的多种查询方式组合提高查询效率，对于查询到的稿件直接观看稿件内容。</w:t>
      </w:r>
    </w:p>
    <w:p>
      <w:pPr>
        <w:numPr>
          <w:ilvl w:val="0"/>
          <w:numId w:val="11"/>
        </w:numPr>
        <w:tabs>
          <w:tab w:val="left" w:pos="420"/>
          <w:tab w:val="clear" w:pos="660"/>
        </w:tabs>
        <w:spacing w:line="640" w:lineRule="exact"/>
        <w:ind w:left="420"/>
        <w:rPr>
          <w:rFonts w:ascii="仿宋" w:hAnsi="仿宋" w:eastAsia="仿宋" w:cs="仿宋"/>
          <w:b/>
          <w:color w:val="000000"/>
          <w:highlight w:val="none"/>
        </w:rPr>
      </w:pPr>
      <w:r>
        <w:rPr>
          <w:rFonts w:hint="eastAsia" w:ascii="仿宋" w:hAnsi="仿宋" w:eastAsia="仿宋" w:cs="仿宋"/>
          <w:b/>
          <w:color w:val="000000"/>
          <w:highlight w:val="none"/>
        </w:rPr>
        <w:t>文稿审查</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按照文稿编辑的工作流程，所有编辑完成的稿件都必须提交相关领导进行稿件内容的审查。负责对稿件审查的相关领导可以对进行审查的稿件内容进行修改，对于稿件的审查结果满意时《通过》审查，对于不满意或不采用的稿件可以采取《弃稿》处理。通过审查的稿件，只有具有更高权限的人员才能进行再次修改，其它人员无权修改。</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要求对于稿件的修改部分，系统提供修改轨迹的查询功能，通过修改轨迹的查询，可以了解和掌握稿件的修改内容和修改人员。</w:t>
      </w:r>
    </w:p>
    <w:p>
      <w:pPr>
        <w:tabs>
          <w:tab w:val="left" w:pos="420"/>
          <w:tab w:val="left" w:pos="720"/>
          <w:tab w:val="left" w:pos="1440"/>
        </w:tabs>
        <w:spacing w:beforeLines="50" w:afterLines="50" w:line="640" w:lineRule="exact"/>
        <w:ind w:left="904" w:hanging="904" w:hangingChars="375"/>
        <w:jc w:val="left"/>
        <w:rPr>
          <w:rFonts w:ascii="仿宋" w:hAnsi="仿宋" w:eastAsia="仿宋" w:cs="仿宋"/>
          <w:b/>
          <w:color w:val="000000"/>
          <w:highlight w:val="none"/>
        </w:rPr>
      </w:pPr>
      <w:r>
        <w:rPr>
          <w:rFonts w:hint="eastAsia" w:ascii="仿宋" w:hAnsi="仿宋" w:eastAsia="仿宋" w:cs="仿宋"/>
          <w:b/>
          <w:color w:val="000000"/>
          <w:kern w:val="0"/>
          <w:highlight w:val="none"/>
        </w:rPr>
        <w:t>（四）网络管理部分功能要求</w:t>
      </w:r>
    </w:p>
    <w:p>
      <w:pPr>
        <w:spacing w:line="640" w:lineRule="exact"/>
        <w:rPr>
          <w:rFonts w:ascii="仿宋" w:hAnsi="仿宋" w:eastAsia="仿宋" w:cs="仿宋"/>
          <w:b/>
          <w:color w:val="000000"/>
          <w:highlight w:val="none"/>
        </w:rPr>
      </w:pPr>
      <w:r>
        <w:rPr>
          <w:rFonts w:hint="eastAsia" w:ascii="仿宋" w:hAnsi="仿宋" w:eastAsia="仿宋" w:cs="仿宋"/>
          <w:b/>
          <w:color w:val="000000"/>
          <w:highlight w:val="none"/>
        </w:rPr>
        <w:t>栏目、帐号管理</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在网络中进行节目的制作编辑时，记者隶属于不同的部门和栏目，要对所有的编辑制作人员进行有效的管理，按照编辑人员所属的部门和栏目进行分类。</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要求对所有参与网络编辑的节目制作人员按照其隶属的部门、栏目、身份进行合理的分类管理。从而提高在管理、查询、检索上的效率。</w:t>
      </w:r>
    </w:p>
    <w:p>
      <w:pPr>
        <w:spacing w:line="640" w:lineRule="exact"/>
        <w:rPr>
          <w:rFonts w:ascii="仿宋" w:hAnsi="仿宋" w:eastAsia="仿宋" w:cs="仿宋"/>
          <w:b/>
          <w:color w:val="000000"/>
          <w:highlight w:val="none"/>
        </w:rPr>
      </w:pPr>
      <w:r>
        <w:rPr>
          <w:rFonts w:hint="eastAsia" w:ascii="仿宋" w:hAnsi="仿宋" w:eastAsia="仿宋" w:cs="仿宋"/>
          <w:b/>
          <w:color w:val="000000"/>
          <w:highlight w:val="none"/>
        </w:rPr>
        <w:t>使用权限管理</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在网络中进行节目编辑制作的记者由于其角色不同，为了保证网络中节目制作的和节目素材的安全，要求对于不同的角色人员分配不同的网络编辑使用权限，通过网络编辑权限的限制，有效的防止在网络编辑中发生以外的事故。</w:t>
      </w:r>
    </w:p>
    <w:p>
      <w:pPr>
        <w:spacing w:line="640" w:lineRule="exact"/>
        <w:rPr>
          <w:rFonts w:ascii="仿宋" w:hAnsi="仿宋" w:eastAsia="仿宋" w:cs="仿宋"/>
          <w:b/>
          <w:color w:val="000000"/>
          <w:highlight w:val="none"/>
        </w:rPr>
      </w:pPr>
      <w:bookmarkStart w:id="98" w:name="_Toc155005637"/>
      <w:r>
        <w:rPr>
          <w:rFonts w:hint="eastAsia" w:ascii="仿宋" w:hAnsi="仿宋" w:eastAsia="仿宋" w:cs="仿宋"/>
          <w:b/>
          <w:color w:val="000000"/>
          <w:highlight w:val="none"/>
        </w:rPr>
        <w:t>多级磁盘空间管理</w:t>
      </w:r>
      <w:bookmarkEnd w:id="98"/>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按照栏目、用户级别进行多级磁盘的空间管理，某级使用磁盘空间的总和受上级分配空间的限制。</w:t>
      </w:r>
    </w:p>
    <w:p>
      <w:pPr>
        <w:spacing w:line="640" w:lineRule="exact"/>
        <w:rPr>
          <w:rFonts w:ascii="仿宋" w:hAnsi="仿宋" w:eastAsia="仿宋" w:cs="仿宋"/>
          <w:b/>
          <w:color w:val="000000"/>
          <w:highlight w:val="none"/>
        </w:rPr>
      </w:pPr>
      <w:r>
        <w:rPr>
          <w:rFonts w:hint="eastAsia" w:ascii="仿宋" w:hAnsi="仿宋" w:eastAsia="仿宋" w:cs="仿宋"/>
          <w:b/>
          <w:color w:val="000000"/>
          <w:highlight w:val="none"/>
        </w:rPr>
        <w:t>在线工作站查询</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通过对编辑人员使用编辑站点和编辑软件在线情况的监控，可以方便的了解和掌握网络使用的繁忙程度和各个编辑站点的运行状况。</w:t>
      </w:r>
    </w:p>
    <w:p>
      <w:pPr>
        <w:spacing w:line="640" w:lineRule="exact"/>
        <w:rPr>
          <w:rFonts w:ascii="仿宋" w:hAnsi="仿宋" w:eastAsia="仿宋" w:cs="仿宋"/>
          <w:b/>
          <w:color w:val="000000"/>
          <w:highlight w:val="none"/>
        </w:rPr>
      </w:pPr>
      <w:r>
        <w:rPr>
          <w:rFonts w:hint="eastAsia" w:ascii="仿宋" w:hAnsi="仿宋" w:eastAsia="仿宋" w:cs="仿宋"/>
          <w:b/>
          <w:color w:val="000000"/>
          <w:highlight w:val="none"/>
        </w:rPr>
        <w:t>集成子系统插件</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网络管理系统除了实现对基础网络数据进行配置、管理外，还集成了各子系统的管理模块，实现对文稿、媒资等各子系统单元的独特参数的集成，从而实现了在一个软件上管理整个网络的各个环节的功能。</w:t>
      </w:r>
    </w:p>
    <w:p>
      <w:pPr>
        <w:numPr>
          <w:ilvl w:val="0"/>
          <w:numId w:val="10"/>
        </w:numPr>
        <w:spacing w:line="640" w:lineRule="exact"/>
        <w:rPr>
          <w:rFonts w:ascii="仿宋" w:hAnsi="仿宋" w:eastAsia="仿宋" w:cs="仿宋"/>
          <w:b/>
          <w:color w:val="000000"/>
          <w:kern w:val="0"/>
          <w:highlight w:val="none"/>
        </w:rPr>
      </w:pPr>
      <w:r>
        <w:rPr>
          <w:rFonts w:hint="eastAsia" w:ascii="仿宋" w:hAnsi="仿宋" w:eastAsia="仿宋" w:cs="仿宋"/>
          <w:b/>
          <w:color w:val="000000"/>
          <w:kern w:val="0"/>
          <w:highlight w:val="none"/>
        </w:rPr>
        <w:t>审片部分功能要求</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要求能够实时通过审片系统完成对成片的审批及管理。</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软件主要功能/特点</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文字或音频审批意见</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审片权限控制</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审核后的节目自动传送</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文稿、视音频同步审片</w:t>
      </w:r>
    </w:p>
    <w:p>
      <w:pPr>
        <w:spacing w:line="640" w:lineRule="exact"/>
        <w:rPr>
          <w:rFonts w:ascii="仿宋" w:hAnsi="仿宋" w:eastAsia="仿宋" w:cs="仿宋"/>
          <w:highlight w:val="none"/>
        </w:rPr>
      </w:pPr>
      <w:r>
        <w:rPr>
          <w:rFonts w:hint="eastAsia" w:ascii="仿宋" w:hAnsi="仿宋" w:eastAsia="仿宋" w:cs="仿宋"/>
          <w:b/>
          <w:color w:val="000000"/>
          <w:kern w:val="0"/>
          <w:highlight w:val="none"/>
        </w:rPr>
        <w:t>（六）播出系统功能要求</w:t>
      </w:r>
    </w:p>
    <w:p>
      <w:pPr>
        <w:numPr>
          <w:ilvl w:val="0"/>
          <w:numId w:val="13"/>
        </w:numPr>
        <w:spacing w:line="640" w:lineRule="exact"/>
        <w:ind w:left="709"/>
        <w:rPr>
          <w:rFonts w:ascii="仿宋" w:hAnsi="仿宋" w:eastAsia="仿宋" w:cs="仿宋"/>
          <w:color w:val="000000"/>
          <w:highlight w:val="none"/>
        </w:rPr>
      </w:pPr>
      <w:bookmarkStart w:id="99" w:name="_Toc462054509"/>
      <w:r>
        <w:rPr>
          <w:rFonts w:hint="eastAsia" w:ascii="仿宋" w:hAnsi="仿宋" w:eastAsia="仿宋" w:cs="仿宋"/>
          <w:color w:val="000000"/>
          <w:highlight w:val="none"/>
        </w:rPr>
        <w:t>素材文件标准要求</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播出素材文件需支持如下标准：</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视频编码：MPEG-1、MPEG-2、H.264 、H.265等主流编码格式</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音频编码：MP2、MP3、AAC、AC3等主流编码格式</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视频幅面：720*576、1280*720、1920*1080、3840*2160等主流图像幅面</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视频帧率：25、29.97</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文件格式：avi+wav、TS、MP4、mpg、MOV、MKV、mxf等主流文件格式</w:t>
      </w:r>
    </w:p>
    <w:p>
      <w:pPr>
        <w:numPr>
          <w:ilvl w:val="0"/>
          <w:numId w:val="13"/>
        </w:numPr>
        <w:spacing w:line="640" w:lineRule="exact"/>
        <w:ind w:left="709"/>
        <w:rPr>
          <w:rFonts w:ascii="仿宋" w:hAnsi="仿宋" w:eastAsia="仿宋" w:cs="仿宋"/>
          <w:color w:val="000000"/>
          <w:highlight w:val="none"/>
        </w:rPr>
      </w:pPr>
      <w:bookmarkStart w:id="100" w:name="_Toc462054511"/>
      <w:r>
        <w:rPr>
          <w:rFonts w:hint="eastAsia" w:ascii="仿宋" w:hAnsi="仿宋" w:eastAsia="仿宋" w:cs="仿宋"/>
          <w:color w:val="000000"/>
          <w:highlight w:val="none"/>
        </w:rPr>
        <w:t>上载/导入</w:t>
      </w:r>
      <w:bookmarkEnd w:id="100"/>
      <w:r>
        <w:rPr>
          <w:rFonts w:hint="eastAsia" w:ascii="仿宋" w:hAnsi="仿宋" w:eastAsia="仿宋" w:cs="仿宋"/>
          <w:color w:val="000000"/>
          <w:highlight w:val="none"/>
        </w:rPr>
        <w:t>要求</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支持对嵌入数字视音频信号的定时、定长、手动三种采集上载模式，采集上载素材信息直接进入播出数据库。</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支持DVD光盘文件上载以及文件转码上载功，导入时可对DVD光盘上的节目进行打点编辑，支持声道选择，字幕选择上载，文件转码及采集上载支持音频均衡混音功能；</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支持N制素材文件导入并支持对上载素材进行打点编辑。</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支持对外部完整素材进行自动导入，并且在入库阶段自动完成节目素材的分类。</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支持对上载后节目素材进行实时、快速播放浏览和再次编辑。</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支持批量手动或者自动批量上载。</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支持在素材上载/导入时添加/修改AFD信息。</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上载工作站实时显示硬盘的剩余容量，方便硬盘空间的合理分配使用。硬盘的空间可以由系统管理员按照频道来划分，限定使用，保证每个频道的正常播出。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支持实时预监上载转码过程图像画面，支持随时停止转码或上载。</w:t>
      </w:r>
    </w:p>
    <w:p>
      <w:pPr>
        <w:numPr>
          <w:ilvl w:val="0"/>
          <w:numId w:val="13"/>
        </w:numPr>
        <w:spacing w:line="640" w:lineRule="exact"/>
        <w:ind w:left="709"/>
        <w:rPr>
          <w:rFonts w:ascii="仿宋" w:hAnsi="仿宋" w:eastAsia="仿宋" w:cs="仿宋"/>
          <w:color w:val="000000"/>
          <w:highlight w:val="none"/>
        </w:rPr>
      </w:pPr>
      <w:bookmarkStart w:id="101" w:name="_Toc462054513"/>
      <w:r>
        <w:rPr>
          <w:rFonts w:hint="eastAsia" w:ascii="仿宋" w:hAnsi="仿宋" w:eastAsia="仿宋" w:cs="仿宋"/>
          <w:color w:val="000000"/>
          <w:highlight w:val="none"/>
        </w:rPr>
        <w:t>自动技审</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上载素材文件完成后，系统支持在任意上载站点完成自动技审功能。</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自动技审功能需要同时对手动上载及自动上载支持。</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自动技审内容至少包括：视频如黑场、彩条、静帧；音频如静音、电平、响度等基本检测检测；</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支持对自动技审未通过的素材文件进行人工复审，同时需提供统一的复审操作界面。</w:t>
      </w:r>
    </w:p>
    <w:p>
      <w:pPr>
        <w:numPr>
          <w:ilvl w:val="0"/>
          <w:numId w:val="13"/>
        </w:numPr>
        <w:spacing w:line="640" w:lineRule="exact"/>
        <w:ind w:left="709"/>
        <w:rPr>
          <w:rFonts w:ascii="仿宋" w:hAnsi="仿宋" w:eastAsia="仿宋" w:cs="仿宋"/>
          <w:color w:val="000000"/>
          <w:highlight w:val="none"/>
        </w:rPr>
      </w:pPr>
      <w:bookmarkStart w:id="102" w:name="_Toc462054512"/>
      <w:r>
        <w:rPr>
          <w:rFonts w:hint="eastAsia" w:ascii="仿宋" w:hAnsi="仿宋" w:eastAsia="仿宋" w:cs="仿宋"/>
          <w:color w:val="000000"/>
          <w:highlight w:val="none"/>
        </w:rPr>
        <w:t>节目单编辑</w:t>
      </w:r>
      <w:bookmarkEnd w:id="102"/>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支持播出节目单模板编辑，通过播出节目单模板修改及替换节目进行快速播出节目单编辑。</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节目单表中需具备节目标题等基本内容，包括节目状态、报警提示、累计时间、信息提示、信号源、插播状态等多种辅助信息。</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支持对节目单时间逻辑检查功能，可对播出单进行时间的逻辑检查，检查是否存在间隙和碰撞，如发生问题，支持快速切换至问题节点。</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支持自动优化时间逻辑不对的节目单，可通过自动重新排列定时节目或者自动拆分节目等多种方式完成自动优化。</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支持离线播出节目单编辑，通过离线节目单编辑模式提前编辑完成各频道播出节目单。</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具备按条目或组方式编单功能， 如广告及电视剧可按组进行编单。</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支持广告独立编单，广告单自动嵌入总节目单。</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支持条目及组内插播节目编单，可在不解散节目组的情况下，在节目组内进行插播。</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支持对节目单中节目进行二次编辑，其编辑结果仅针对本节目单有效。</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支持在线播出节目单修改，对当天在播节目单进行修改，修改后的节目单能够被播控工作站自动刷新。</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支持对节目单中已有素材更改/修改AFD信息。</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支持播出图文编辑，在编单工作站上完成播出台标、角标、时钟、倒计时、游动字幕的编辑，并自动与播出节目关联。</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支持对节目素材进行播放及快速浏览。</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支持对未审核通过节目素材加入播出节目单。</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显示播出节目单中节目素材的审核信息。</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具备节目单自动优化功能。能够自动检查节目单，自动优化播出时间；检查节目审核状态，并有相应的提醒机制。</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支持节目单打印功能。</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支持播出图文与播出节目单绑定编辑</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支持独立图文播出节目单编辑。</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可对播出节目单中的条目及组进行动画台标、动画角标（至少3个）、时钟、倒计时、游动字幕编辑，编辑完成后即与该节目条目或节目组完成配对。</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具备倒计时与节目条目或节目组时长自动关联功能，无需手动设置倒计时的时长。</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支持外部编辑节目单导入，节目编排功能精度必须精确到帧。</w:t>
      </w:r>
    </w:p>
    <w:p>
      <w:pPr>
        <w:numPr>
          <w:ilvl w:val="0"/>
          <w:numId w:val="13"/>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节目/节目单审核</w:t>
      </w:r>
      <w:bookmarkEnd w:id="101"/>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支持三级审片机制。</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支持审核机制可配置。</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支持对审片素材重新进行打点编辑和修改AFD信息。</w:t>
      </w:r>
    </w:p>
    <w:p>
      <w:pPr>
        <w:numPr>
          <w:ilvl w:val="0"/>
          <w:numId w:val="13"/>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节目播出</w:t>
      </w:r>
      <w:bookmarkEnd w:id="99"/>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支持高清数字及标清数字信号同时输出，支持高清、标清、节目素材的混播。</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可灵活定义播出节目是高清或标清，并自动对转播、本地素材播出按AFD要求完成实时上下变换。</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支持对转播节目及本地播出节目音频自动均衡调整。</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支持断电后接续播出。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支持高清及标清信号的转播。</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支持N+1备份方式，备份服务器能够替换任意主服务器提供备份输出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支持动态台标、动态角标、时钟、倒计时、游动字幕的同步叠加播出控制，所有播出图文均可对本地文件播出及转播节目播出进行叠加后播出。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支持在数据库服务器、播控工作站全部宕机后完成当天节目的播出。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自动根据在线播出节目单中节目内容检查在线素材存储，并自动将不在在线存储的节目素材从二级存储迁移池到在线存储池。</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对迁移素材文件进行有效性检查，迁移后不符合播出规范的节目素材自动重新迁移。</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支持图文与节目绑定播出、独立图文播出节目单播出、独立即时播出模式。</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具备角标循环播出功能，可灵活设置角标播出时间、间隔时间、循环次数。</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具备倒计时与节目条目或节目组时长自动关联功能，无需手动设置倒计时的时长。</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支持倒推定时播出及智能定时播出。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播出服务器采用的播出卡支持转播信号断电直通。</w:t>
      </w:r>
    </w:p>
    <w:p>
      <w:pPr>
        <w:numPr>
          <w:ilvl w:val="0"/>
          <w:numId w:val="13"/>
        </w:numPr>
        <w:spacing w:line="640" w:lineRule="exact"/>
        <w:ind w:left="709"/>
        <w:rPr>
          <w:rFonts w:ascii="仿宋" w:hAnsi="仿宋" w:eastAsia="仿宋" w:cs="仿宋"/>
          <w:color w:val="000000"/>
          <w:highlight w:val="none"/>
        </w:rPr>
      </w:pPr>
      <w:bookmarkStart w:id="103" w:name="_Toc462054510"/>
      <w:r>
        <w:rPr>
          <w:rFonts w:hint="eastAsia" w:ascii="仿宋" w:hAnsi="仿宋" w:eastAsia="仿宋" w:cs="仿宋"/>
          <w:color w:val="000000"/>
          <w:highlight w:val="none"/>
        </w:rPr>
        <w:t>播出控制</w:t>
      </w:r>
      <w:bookmarkEnd w:id="103"/>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支持各类切换台、切换矩阵、主/备播出控制机、视频服务器等设备，支持多种控制协议。对各相关设备的控制要求必须达到帧精度。</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主、备播出服务器中各播出控制软件均能独立完成全频道播出的任务，可通过控制信号倒换装置，实现播出相关设备的共享控制。</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自动完成跨天播出节目单调取及播出，无需人工干预。</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应有触发、延时、紧急信号等处理节目播出的应急措施,系统手动控制的优先级应高于自动控制,播出值班员在应急时可手动干预播出，提供保持、手动切换、主从切换、垫片播出等多种手动干预手段。</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完备的日志记录。对用户操作日志、软件运行日志、节目播出日志有详细的记录，并且要求查询方便，可读性强。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对所有的可以控制设备均能提供实时的状态检测和提示。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支持节目单快照功能，能够在每条节目的时间记录当前节目的播出信息及状态。</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具备对在线节目单中未审查通过节目素材进行提示或自动删除。</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自动根据在线播出节目单中节目内容检查在线素材存储，并自动将不在在线存储的节目素材从二级存储迁移池到在线存储池。</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支持在节目内及节目组内节目目进行多次插播。</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支持手动对节目单中任意节目素材进行触发播出，手动触发播出后，后续节目播出时间自动变更。</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可对在线节目单中任意播出节目素材进行播放及快速浏览。</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具备清晰明了的节目播出状态显示，如已播节目、在播节目、待播节目的状态直观显示。</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具备清晰明了的节目素材播出方式显示，如节目素材播出的顺播、插播、定时播、定长播的清晰显示。</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具备当前标准时间、当前已播节目时间、当前节目剩余时间的准确显示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支持对矩阵、播出录像机的联动播出控制。</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支持对播出服务器、矩阵、图文服务状态的监控及报警。</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支持对在线、二级存储池的状态进行监控及报警。</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可锁定播控界面，避免误操作产生的播出事故，解锁锁定界面需输入帐户密码。</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支持播出系统异常后，系统恢复，支持从当前时间点继续播放节目。</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节目单支持定时、顺序、触发等多种节目播出类型。</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支持对打开的播出表要进行合法性检测，对播出列表中的素材进行存在性检测，不存在的素材将提前给出醒目的提示。</w:t>
      </w:r>
    </w:p>
    <w:p>
      <w:pPr>
        <w:numPr>
          <w:ilvl w:val="0"/>
          <w:numId w:val="13"/>
        </w:numPr>
        <w:spacing w:line="640" w:lineRule="exact"/>
        <w:ind w:left="709"/>
        <w:rPr>
          <w:rFonts w:ascii="仿宋" w:hAnsi="仿宋" w:eastAsia="仿宋" w:cs="仿宋"/>
          <w:color w:val="000000"/>
          <w:highlight w:val="none"/>
        </w:rPr>
      </w:pPr>
      <w:bookmarkStart w:id="104" w:name="_Toc462054514"/>
      <w:r>
        <w:rPr>
          <w:rFonts w:hint="eastAsia" w:ascii="仿宋" w:hAnsi="仿宋" w:eastAsia="仿宋" w:cs="仿宋"/>
          <w:color w:val="000000"/>
          <w:highlight w:val="none"/>
        </w:rPr>
        <w:t>素材管理</w:t>
      </w:r>
      <w:bookmarkEnd w:id="104"/>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具备在线存储、二级存储的多级存储管理功能；二级存储支持多个存储</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能通过用户权限设置，向不同级别的用户开放不同的素材管理权限。</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具备多级素材分类管理，可自定义素材多级分类级数和名称。</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具备按素材名、入库时间段快速检索功能。</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具备对不同存储中的所有素材进行快速浏览、编辑。</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具备对播出节目素材生命周期管理，不同的存储上的素材可设置不同的生命周期，系统对达到生命周期的节目素材自动进行删除。</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可灵活设定播出节目素材的自动迁移提前量，在提前量内的素材将提前自动迁移至播出服务器本地存储。</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素材管理器中的素材列表和子素材列表（素材段）均可以根据使用习惯自行定义表格的列项和宽度；</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可内嵌于上载审片软件、节目单编辑软件、自动播出软件等不同系统软件中，具有高兼容性，同时方便不同岗位的操作人员对节目素材的管理。</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素材迁移信息统计：对每条素材迁移信息的统计，包含节目源，迁移的目的地，迁移时间，用时等信息的统计。</w:t>
      </w:r>
    </w:p>
    <w:p>
      <w:pPr>
        <w:numPr>
          <w:ilvl w:val="0"/>
          <w:numId w:val="13"/>
        </w:numPr>
        <w:spacing w:line="640" w:lineRule="exact"/>
        <w:ind w:left="709"/>
        <w:rPr>
          <w:rFonts w:ascii="仿宋" w:hAnsi="仿宋" w:eastAsia="仿宋" w:cs="仿宋"/>
          <w:color w:val="000000"/>
          <w:highlight w:val="none"/>
        </w:rPr>
      </w:pPr>
      <w:bookmarkStart w:id="105" w:name="_Toc462054515"/>
      <w:r>
        <w:rPr>
          <w:rFonts w:hint="eastAsia" w:ascii="仿宋" w:hAnsi="仿宋" w:eastAsia="仿宋" w:cs="仿宋"/>
          <w:color w:val="000000"/>
          <w:highlight w:val="none"/>
        </w:rPr>
        <w:t>统计管理</w:t>
      </w:r>
      <w:bookmarkEnd w:id="105"/>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具备对各类节目素材按时间段进行播出次数、播出时间的查询、统计、打印</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具备对各类图文按时间段进行播出次数、播出时间的查询、打印</w:t>
      </w:r>
    </w:p>
    <w:p>
      <w:pPr>
        <w:numPr>
          <w:ilvl w:val="0"/>
          <w:numId w:val="13"/>
        </w:numPr>
        <w:spacing w:line="640" w:lineRule="exact"/>
        <w:ind w:left="709"/>
        <w:rPr>
          <w:rFonts w:ascii="仿宋" w:hAnsi="仿宋" w:eastAsia="仿宋" w:cs="仿宋"/>
          <w:color w:val="000000"/>
          <w:highlight w:val="none"/>
        </w:rPr>
      </w:pPr>
      <w:bookmarkStart w:id="106" w:name="_Toc462054516"/>
      <w:r>
        <w:rPr>
          <w:rFonts w:hint="eastAsia" w:ascii="仿宋" w:hAnsi="仿宋" w:eastAsia="仿宋" w:cs="仿宋"/>
          <w:color w:val="000000"/>
          <w:highlight w:val="none"/>
        </w:rPr>
        <w:t>系统管理</w:t>
      </w:r>
      <w:bookmarkEnd w:id="106"/>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具备频道管理、用户管理、设备管理、日志（上机日志、操作日志）管理、存储空间管理等功能</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具备用户帐户对存储访问、素材访问、软件模块访问权限分配管理</w:t>
      </w:r>
    </w:p>
    <w:p>
      <w:pPr>
        <w:numPr>
          <w:ilvl w:val="0"/>
          <w:numId w:val="13"/>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语音报警</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支持对系统核心服务状态、控制状态的实时监测，异常时语音报警提示异常状态。</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支持对多画面监测/监看信号出现异常时进行语音报警。</w:t>
      </w:r>
    </w:p>
    <w:p>
      <w:pPr>
        <w:numPr>
          <w:ilvl w:val="0"/>
          <w:numId w:val="13"/>
        </w:numPr>
        <w:spacing w:line="640" w:lineRule="exact"/>
        <w:ind w:left="709"/>
        <w:rPr>
          <w:rFonts w:ascii="仿宋" w:hAnsi="仿宋" w:eastAsia="仿宋" w:cs="仿宋"/>
          <w:color w:val="000000"/>
          <w:highlight w:val="none"/>
        </w:rPr>
      </w:pPr>
      <w:bookmarkStart w:id="107" w:name="_Toc462054517"/>
      <w:r>
        <w:rPr>
          <w:rFonts w:hint="eastAsia" w:ascii="仿宋" w:hAnsi="仿宋" w:eastAsia="仿宋" w:cs="仿宋"/>
          <w:color w:val="000000"/>
          <w:highlight w:val="none"/>
        </w:rPr>
        <w:t>播出周边</w:t>
      </w:r>
      <w:bookmarkEnd w:id="107"/>
    </w:p>
    <w:p>
      <w:pPr>
        <w:numPr>
          <w:ilvl w:val="0"/>
          <w:numId w:val="14"/>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双时基数字高清切换器</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播出控制矩阵需支持高清。</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播出控制矩阵需带同步锁相、带主备232控制输入端口、232遥控面板控制输入端口。</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播出控制矩阵需带线缆均衡、断电直通、实时仲裁切换。</w:t>
      </w:r>
    </w:p>
    <w:p>
      <w:pPr>
        <w:numPr>
          <w:ilvl w:val="0"/>
          <w:numId w:val="14"/>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高清数字自动倒换器</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需具备主备数字输入、应急信号输入（共3路SDI输入），2个数字分配输出，带断电直通。</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播出应急倒换器需支持对播出节目的静帧、静音、EDH自动检测、报警、自动倒换；</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播出应急倒换器支持对播出服务器工作状态进行监控，并根据播出服务器状态达到0帧精度的自动倒换。</w:t>
      </w:r>
    </w:p>
    <w:p>
      <w:pPr>
        <w:numPr>
          <w:ilvl w:val="0"/>
          <w:numId w:val="14"/>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高清数字帧同步卡</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要求1路HD/SD-SDI信号进行帧同步和时钟恢复处理后输出4路HD/SD-SDI信号；同步信号支持模拟复合和三电平同步信号；</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带帧同步功能：要求支持内同步、外同步选择，支持输出视频信号行、场相位调整。</w:t>
      </w:r>
    </w:p>
    <w:p>
      <w:pPr>
        <w:numPr>
          <w:ilvl w:val="0"/>
          <w:numId w:val="14"/>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同步/测试信号发生器</w:t>
      </w:r>
    </w:p>
    <w:p>
      <w:pPr>
        <w:pStyle w:val="36"/>
        <w:widowControl/>
        <w:snapToGrid w:val="0"/>
        <w:spacing w:after="200" w:line="640" w:lineRule="exact"/>
        <w:ind w:left="480" w:firstLine="0" w:firstLineChars="0"/>
        <w:contextualSpacing/>
        <w:jc w:val="left"/>
        <w:rPr>
          <w:rFonts w:ascii="仿宋" w:hAnsi="仿宋" w:eastAsia="仿宋" w:cs="仿宋"/>
          <w:color w:val="000000"/>
          <w:szCs w:val="24"/>
          <w:highlight w:val="none"/>
        </w:rPr>
      </w:pPr>
      <w:r>
        <w:rPr>
          <w:rFonts w:hint="eastAsia" w:ascii="仿宋" w:hAnsi="仿宋" w:eastAsia="仿宋" w:cs="仿宋"/>
          <w:color w:val="000000"/>
          <w:szCs w:val="24"/>
          <w:highlight w:val="none"/>
        </w:rPr>
        <w:t>主机面板上需支持外同步信号输入，内外同步切换功能。</w:t>
      </w:r>
    </w:p>
    <w:p>
      <w:pPr>
        <w:pStyle w:val="36"/>
        <w:widowControl/>
        <w:snapToGrid w:val="0"/>
        <w:spacing w:after="200" w:line="640" w:lineRule="exact"/>
        <w:ind w:left="480" w:firstLine="0" w:firstLineChars="0"/>
        <w:contextualSpacing/>
        <w:jc w:val="left"/>
        <w:rPr>
          <w:rFonts w:ascii="仿宋" w:hAnsi="仿宋" w:eastAsia="仿宋" w:cs="仿宋"/>
          <w:color w:val="000000"/>
          <w:szCs w:val="24"/>
          <w:highlight w:val="none"/>
        </w:rPr>
      </w:pPr>
      <w:r>
        <w:rPr>
          <w:rFonts w:hint="eastAsia" w:ascii="仿宋" w:hAnsi="仿宋" w:eastAsia="仿宋" w:cs="仿宋"/>
          <w:color w:val="000000"/>
          <w:szCs w:val="24"/>
          <w:highlight w:val="none"/>
        </w:rPr>
        <w:t>需具备断电参数保存，一键恢复出厂设置功能。</w:t>
      </w:r>
    </w:p>
    <w:p>
      <w:pPr>
        <w:pStyle w:val="36"/>
        <w:widowControl/>
        <w:snapToGrid w:val="0"/>
        <w:spacing w:after="200" w:line="640" w:lineRule="exact"/>
        <w:ind w:left="480" w:firstLine="0" w:firstLineChars="0"/>
        <w:contextualSpacing/>
        <w:jc w:val="left"/>
        <w:rPr>
          <w:rFonts w:ascii="仿宋" w:hAnsi="仿宋" w:eastAsia="仿宋" w:cs="仿宋"/>
          <w:color w:val="000000"/>
          <w:szCs w:val="24"/>
          <w:highlight w:val="none"/>
        </w:rPr>
      </w:pPr>
      <w:r>
        <w:rPr>
          <w:rFonts w:hint="eastAsia" w:ascii="仿宋" w:hAnsi="仿宋" w:eastAsia="仿宋" w:cs="仿宋"/>
          <w:color w:val="000000"/>
          <w:szCs w:val="24"/>
          <w:highlight w:val="none"/>
        </w:rPr>
        <w:t>主机面板上需具备手动可调行场相位按键。</w:t>
      </w:r>
    </w:p>
    <w:p>
      <w:pPr>
        <w:numPr>
          <w:ilvl w:val="0"/>
          <w:numId w:val="14"/>
        </w:numPr>
        <w:spacing w:line="640" w:lineRule="exact"/>
        <w:rPr>
          <w:rFonts w:ascii="仿宋" w:hAnsi="仿宋" w:eastAsia="仿宋" w:cs="仿宋"/>
          <w:color w:val="000000"/>
          <w:highlight w:val="none"/>
        </w:rPr>
      </w:pPr>
      <w:r>
        <w:rPr>
          <w:rFonts w:hint="eastAsia" w:ascii="仿宋" w:hAnsi="仿宋" w:eastAsia="仿宋" w:cs="仿宋"/>
          <w:color w:val="000000"/>
          <w:highlight w:val="none"/>
        </w:rPr>
        <w:t>多通道高标清流程监测处理器</w:t>
      </w:r>
    </w:p>
    <w:p>
      <w:pPr>
        <w:pStyle w:val="52"/>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机架式服务器</w:t>
      </w:r>
    </w:p>
    <w:p>
      <w:pPr>
        <w:pStyle w:val="52"/>
        <w:spacing w:line="640" w:lineRule="exact"/>
        <w:ind w:left="480" w:firstLine="0" w:firstLineChars="0"/>
        <w:rPr>
          <w:rFonts w:ascii="仿宋" w:hAnsi="仿宋" w:eastAsia="仿宋" w:cs="仿宋"/>
          <w:color w:val="000000"/>
          <w:kern w:val="0"/>
          <w:szCs w:val="24"/>
          <w:highlight w:val="none"/>
        </w:rPr>
      </w:pPr>
      <w:r>
        <w:rPr>
          <w:rFonts w:hint="eastAsia" w:ascii="仿宋" w:hAnsi="仿宋" w:eastAsia="仿宋" w:cs="仿宋"/>
          <w:color w:val="000000"/>
          <w:szCs w:val="24"/>
          <w:highlight w:val="none"/>
        </w:rPr>
        <w:t>输入接口：</w:t>
      </w:r>
      <w:r>
        <w:rPr>
          <w:rFonts w:hint="eastAsia" w:ascii="仿宋" w:hAnsi="仿宋" w:eastAsia="仿宋" w:cs="仿宋"/>
          <w:color w:val="000000"/>
          <w:kern w:val="0"/>
          <w:szCs w:val="24"/>
          <w:highlight w:val="none"/>
        </w:rPr>
        <w:t>≥8 HD-SDI</w:t>
      </w:r>
    </w:p>
    <w:p>
      <w:pPr>
        <w:pStyle w:val="52"/>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输出接口：</w:t>
      </w:r>
      <w:r>
        <w:rPr>
          <w:rFonts w:hint="eastAsia" w:ascii="仿宋" w:hAnsi="仿宋" w:eastAsia="仿宋" w:cs="仿宋"/>
          <w:color w:val="000000"/>
          <w:kern w:val="0"/>
          <w:szCs w:val="24"/>
          <w:highlight w:val="none"/>
        </w:rPr>
        <w:t>≥2 HDMI/DP数字输出 支持双屏同时输出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高标清SDI信号自适应输入，在同一画面同时输出显示。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支持对所有通道进行静音、静帧、黑场、彩条进行监测并报警</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支持对主备播出信号内容对比（精确到1帧）</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报警方式：支持屏幕文字显示报警、语音报警、短信报警</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支持通道独立报警配置，报警方式可根据通道不同自由配置</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短信报警支持将通道信息、异常信息、异常发生时间发送到多个手机，手机号码可按通道独立配置。</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支持自定义显示窗口任意布局，支持通道内容跨屏显示，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通道显示窗口无边框</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显示窗口支持图片、文字、时钟显示</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支持将当前画面布局方式保存为模板</w:t>
      </w:r>
    </w:p>
    <w:p>
      <w:pPr>
        <w:pStyle w:val="36"/>
        <w:snapToGrid w:val="0"/>
        <w:spacing w:line="640" w:lineRule="exact"/>
        <w:ind w:left="480" w:firstLine="0" w:firstLineChars="0"/>
        <w:rPr>
          <w:rFonts w:ascii="仿宋" w:hAnsi="仿宋" w:eastAsia="仿宋" w:cs="仿宋"/>
          <w:color w:val="000000"/>
          <w:szCs w:val="24"/>
          <w:highlight w:val="none"/>
        </w:rPr>
      </w:pPr>
      <w:r>
        <w:rPr>
          <w:rFonts w:hint="eastAsia" w:ascii="仿宋" w:hAnsi="仿宋" w:eastAsia="仿宋" w:cs="仿宋"/>
          <w:color w:val="000000"/>
          <w:szCs w:val="24"/>
          <w:highlight w:val="none"/>
        </w:rPr>
        <w:t>时钟支持数码时钟和表盘时钟，数码时钟支持当前时间、播出时间、倒计时等多种显示方式</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支持对每个通道的UMD文字的字体、颜色、大小、透明度、位置及背景颜色、透明度等参数进行个性化设置</w:t>
      </w:r>
    </w:p>
    <w:p>
      <w:pPr>
        <w:pStyle w:val="36"/>
        <w:snapToGrid w:val="0"/>
        <w:spacing w:line="640" w:lineRule="exact"/>
        <w:ind w:firstLine="480"/>
        <w:rPr>
          <w:rFonts w:ascii="仿宋" w:hAnsi="仿宋" w:eastAsia="仿宋" w:cs="仿宋"/>
          <w:color w:val="000000"/>
          <w:szCs w:val="24"/>
          <w:highlight w:val="none"/>
        </w:rPr>
      </w:pPr>
      <w:r>
        <w:rPr>
          <w:rFonts w:hint="eastAsia" w:ascii="仿宋" w:hAnsi="仿宋" w:eastAsia="仿宋" w:cs="仿宋"/>
          <w:color w:val="000000"/>
          <w:szCs w:val="24"/>
          <w:highlight w:val="none"/>
        </w:rPr>
        <w:t>支持对每个通道显示音频UV音柱大小、间隔、位置、透明度、摆放方式（左、右、左右各一）进行个性化设置</w:t>
      </w:r>
    </w:p>
    <w:p>
      <w:pPr>
        <w:pStyle w:val="36"/>
        <w:snapToGrid w:val="0"/>
        <w:spacing w:line="640" w:lineRule="exact"/>
        <w:ind w:left="480" w:firstLine="0" w:firstLineChars="0"/>
        <w:rPr>
          <w:rFonts w:ascii="仿宋" w:hAnsi="仿宋" w:eastAsia="仿宋" w:cs="仿宋"/>
          <w:highlight w:val="none"/>
        </w:rPr>
      </w:pPr>
      <w:r>
        <w:rPr>
          <w:rFonts w:hint="eastAsia" w:ascii="仿宋" w:hAnsi="仿宋" w:eastAsia="仿宋" w:cs="仿宋"/>
          <w:color w:val="000000"/>
          <w:szCs w:val="24"/>
          <w:highlight w:val="none"/>
        </w:rPr>
        <w:t>支持任意通道一键满屏显示，并输出当前满屏通道声音</w:t>
      </w:r>
    </w:p>
    <w:p>
      <w:pPr>
        <w:spacing w:line="640" w:lineRule="exact"/>
        <w:rPr>
          <w:rFonts w:ascii="仿宋" w:hAnsi="仿宋" w:eastAsia="仿宋" w:cs="仿宋"/>
          <w:b/>
          <w:color w:val="000000"/>
          <w:kern w:val="0"/>
          <w:highlight w:val="none"/>
        </w:rPr>
      </w:pPr>
      <w:bookmarkStart w:id="108" w:name="_Toc9773"/>
      <w:r>
        <w:rPr>
          <w:rFonts w:hint="eastAsia" w:ascii="仿宋" w:hAnsi="仿宋" w:eastAsia="仿宋" w:cs="仿宋"/>
          <w:b/>
          <w:color w:val="000000"/>
          <w:kern w:val="0"/>
          <w:highlight w:val="none"/>
        </w:rPr>
        <w:t>（七）媒资系统要求：</w:t>
      </w:r>
      <w:bookmarkEnd w:id="108"/>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系统软件的核心业务功能要求全部采用B/S结构实现，通过浏览器即可实现常规操作，为素材管理提供内容支撑，实现数字资源导入、编目、管理、检索、导出等操作。</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系统中所有的应用及模块集成在一个基于Web的用户界面框架中，支持HTML5格式的浏览器无需安装插件即可直接运行。提供一站式的用户界面，支持多任务窗口，提高台里工作体验和工作效率，降低系统维护难度和成本。</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 xml:space="preserve">为确保核心内容管理平台的安全性，技术架构上要求核心媒体平台采用Linux类操作系统（媒体处理可以采用Windows平台），中心媒资系统具有分布式数据平台架构的能力；分布式系统服务随时处于活跃状态，即随时都是自动负载均衡和自动故障切换，而不是采用HA方式实现备机切换。任意一个系统服务（包括数据库）所处的虚拟服务器宕机时，业务运行无缝接续，业务数据无损续写。为了保障分布式媒体服务平台的性能和升级迭代能力。 </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为便于媒体资源管理中心系统功能的扩展，要求核心媒体平台采用虚拟化技术，且支持将来在不改变核心平台配置功能，不影响核心平台正常运行的情况下可实现新增功能模块的安装部署。</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要求视音频资源的数字化主存储格式为MXF格式，同时也要支持按照资源文件源格式存储的模式，能实现视音频可变码率、多格式混合存储。</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视音频代理码率采用H.264及以上格式，用于在线快速预览和编目。</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支持数字资源自定义资料集管理，资料集不同于一般文件夹，资料集本身具备元数据信息管理。可对媒体文件资料集进行分类管理。</w:t>
      </w:r>
    </w:p>
    <w:p>
      <w:pPr>
        <w:spacing w:line="6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系统支持数据统计功能，支持入库统计、出库统计、编目统计；支持统计通过不同方式入库到媒资库的素材相关信息，按照类型、来源、部门、用户统计；支持统计从媒资库出库的素材相关信息，按照类型、出库目标、部门、用户统计；支持统计编目和审核相关信息，包括编目用户统计、审核用户统计；支持将统计信息导出为Excel报表针对该功能要求提供支撑材料，包含但不限于第三方检测报告、彩页及官网截图。</w:t>
      </w:r>
    </w:p>
    <w:p>
      <w:pPr>
        <w:numPr>
          <w:ilvl w:val="0"/>
          <w:numId w:val="15"/>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编目功能</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系统中需预置国家广电总局制定的广播电视多层编目规范中所涉及到分类规范、元数据信息规范，对影音资料做出合理的分类。</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 xml:space="preserve">可实时在线对各种视音频文件进行基于时间线操作方式的多级编目操作（包括场景层、片段层、镜头层）。为保证编目工作的灵活性，该操作实现应基于B/S浏览器，不允许采用单独应用程序完成。编目功能支持快速编目和按流程编目的模式定义，允许根据自己的需求更改编目模式。  </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图片资源的编目应尽量继承图片原有EXIF信息，减少编目工作量，并支持同一目录图片的连续快速编目；图片编目的操作也应基于B/S浏览器窗口实现，不应采用独立程序方式实现。</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支持对资源元数据的批量修改，以提升编目效率。</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支持自定义编目字段，可自定义编目对象，满足对不同资源编目自定义的要求。</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支持后台设置中开启或关闭是否先入库后编目，还是先编目后入库功能，开启先编目后入库后，默认上传的资料将自动进入编目任务认领列表。</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支持编目任务管理，不同人员可领取编目任务，可通过后台配置编目角色及编目审核角色。</w:t>
      </w:r>
    </w:p>
    <w:p>
      <w:pPr>
        <w:numPr>
          <w:ilvl w:val="0"/>
          <w:numId w:val="15"/>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检索功能</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检索系统要提供视音频浏览服务，支持全文、分类、关键字、组合查询等多种检索方式。对节目资料的检索提供方便、快捷的检索方式，可以通过各种匹配检索、全文检索查到所需资料。</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对于视音频素材，可按素材入库时间，素材类型，编目分类等条件进行检索，也可以输入素材精确信息或全文模糊查询进行检索。</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支持对图片、视音频、文档、资料集等类型进行快速过滤。</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支持对文档元数据进行全文检索。</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可支持透出到公网的话，并支持通过移动设备端（手机、平板、iPad等）的浏览器对系统进行查询检索，并发起出库申请。</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要求面向视音频、图片、文档提供不同的资源详情浏览页面，在线方便的查看浏览资源内容。</w:t>
      </w:r>
    </w:p>
    <w:p>
      <w:pPr>
        <w:numPr>
          <w:ilvl w:val="0"/>
          <w:numId w:val="15"/>
        </w:numPr>
        <w:spacing w:line="640" w:lineRule="exact"/>
        <w:ind w:left="709"/>
        <w:rPr>
          <w:rFonts w:ascii="仿宋" w:hAnsi="仿宋" w:eastAsia="仿宋" w:cs="仿宋"/>
          <w:color w:val="000000"/>
          <w:highlight w:val="none"/>
        </w:rPr>
      </w:pPr>
      <w:r>
        <w:rPr>
          <w:rFonts w:hint="eastAsia" w:ascii="仿宋" w:hAnsi="仿宋" w:eastAsia="仿宋" w:cs="仿宋"/>
          <w:color w:val="000000"/>
          <w:highlight w:val="none"/>
        </w:rPr>
        <w:t>下载出库功能</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支持将检索查询到的素材进行下载，既可进行单条素材下载也可批量下载。下载无需其他软件支持，只需要通过B/S浏览器自带的下载功能即可将素材下载到本地。</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可支持将检索查询到的素材推送到预先指定的目录或系统内，实现系统内素材传输交换的自动化和流程化。可实现对检索素材的打点标记，只推送标记的部分，无需推送整段素材。推送的素材可指定格式，系统自动实现格式转换。</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 xml:space="preserve">可将检索到的素材导出到各种类型的非编客户端（单机系统、非编系统、FCP系统等）； </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在导出素材到客户端时可设置多种转码格式。</w:t>
      </w:r>
    </w:p>
    <w:p>
      <w:pPr>
        <w:spacing w:line="640" w:lineRule="exact"/>
        <w:rPr>
          <w:rFonts w:ascii="仿宋" w:hAnsi="仿宋" w:eastAsia="仿宋" w:cs="仿宋"/>
          <w:b/>
          <w:color w:val="000000"/>
          <w:kern w:val="0"/>
          <w:highlight w:val="none"/>
        </w:rPr>
      </w:pPr>
      <w:r>
        <w:rPr>
          <w:rFonts w:hint="eastAsia" w:ascii="仿宋" w:hAnsi="仿宋" w:eastAsia="仿宋" w:cs="仿宋"/>
          <w:b/>
          <w:color w:val="000000"/>
          <w:kern w:val="0"/>
          <w:highlight w:val="none"/>
        </w:rPr>
        <w:t>（八）虚拟系统要求：</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虚拟演播系统要求共具备多个讯道，以虚拟演播室为核心，辅以摄像机，调音台、虚拟演播系统、专业非编等其它设备，搭建一套高集成度、全功能、虚拟演播与实景演播相结合、视频信号输出的数字化视频制作系统，要求适用于电视台新闻直播，录播，嘉宾访谈，虚拟教学课程录制，节目后期制作等多场景应用，实现演播室和后期制作双重功能，能够满足电视台日常节目制作。</w:t>
      </w:r>
    </w:p>
    <w:p>
      <w:pPr>
        <w:spacing w:line="640" w:lineRule="exact"/>
        <w:ind w:firstLine="480" w:firstLineChars="200"/>
        <w:rPr>
          <w:rFonts w:ascii="仿宋" w:hAnsi="仿宋" w:eastAsia="仿宋" w:cs="仿宋"/>
          <w:b/>
          <w:highlight w:val="none"/>
        </w:rPr>
      </w:pPr>
      <w:r>
        <w:rPr>
          <w:rFonts w:hint="eastAsia" w:ascii="仿宋" w:hAnsi="仿宋" w:eastAsia="仿宋" w:cs="仿宋"/>
          <w:highlight w:val="none"/>
        </w:rPr>
        <w:t>本系统要求可实现多路高清视频的输入和实时特效切换。</w:t>
      </w:r>
    </w:p>
    <w:p>
      <w:pPr>
        <w:spacing w:line="640" w:lineRule="exact"/>
        <w:ind w:left="480"/>
        <w:rPr>
          <w:rFonts w:ascii="仿宋" w:hAnsi="仿宋" w:eastAsia="仿宋" w:cs="仿宋"/>
          <w:b/>
          <w:sz w:val="28"/>
          <w:szCs w:val="24"/>
          <w:highlight w:val="none"/>
        </w:rPr>
      </w:pPr>
      <w:r>
        <w:rPr>
          <w:rFonts w:hint="eastAsia" w:ascii="仿宋" w:hAnsi="仿宋" w:eastAsia="仿宋" w:cs="仿宋"/>
          <w:b/>
          <w:sz w:val="28"/>
          <w:szCs w:val="24"/>
          <w:highlight w:val="none"/>
        </w:rPr>
        <w:t>三、设备技术参数要求及数量清单(以下参数要求为基本要求，各项参数可相同可优于）</w:t>
      </w:r>
    </w:p>
    <w:p>
      <w:pPr>
        <w:widowControl/>
        <w:jc w:val="left"/>
        <w:rPr>
          <w:highlight w:val="none"/>
        </w:rPr>
      </w:pPr>
    </w:p>
    <w:tbl>
      <w:tblPr>
        <w:tblStyle w:val="23"/>
        <w:tblW w:w="5403"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22"/>
        <w:gridCol w:w="1487"/>
        <w:gridCol w:w="6632"/>
        <w:gridCol w:w="618"/>
        <w:gridCol w:w="77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jc w:val="center"/>
        </w:trPr>
        <w:tc>
          <w:tcPr>
            <w:tcW w:w="5000" w:type="pct"/>
            <w:gridSpan w:val="5"/>
            <w:tcBorders>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一、制作部分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数据库服务器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主机：19寸机架式服务器</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Bronze 3204 1.9GHz(6核）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内存：不少于32GB内存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系统硬盘：不少于2TB机械硬盘，SATA接口，7200RPM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数据硬盘：不少于2TB机械硬盘，SATA接口，7200RPM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RAID控制器：板载RAID控制器，支持RAID0、1、5、10、50</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其他：集成千兆以太网接口×4、冗余电源</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Server 2012 R2中文标准版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轻型综合业务网络系统</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数据库软件：Windows标准版客户端许可</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后台软件：网络管理软件模块：服务端</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系统账户管理软件模块：账户及权限管理</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栏目管理软件模块：素材栏目分类管理</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存储管理软件模块：栏目/账户存储空间管理</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网管软件模块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在网络中进行节目的制作编辑时，记者隶属于不同的部门和栏目，要对所有的编辑制作人员进行有效的管理，按照编辑人员所属的部门和栏目进行分类。</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要求对所有参与网络编辑的节目制作人员按照其隶属的部门、栏目、身份进行合理的分类管理。从而提高在管理、查询、检索上的效率。</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具有使用权限管理功能：在网络中进行节目编辑制作的记者由于其角色不同，为了保证网络中节目制作的和节目素材的安全，要求对于不同的角色人员分配不同的网络编辑使用权限，通过网络编辑权限的限制，有效的防止在网络编辑中发生以外的事故。</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要求具有多级磁盘空间管理功能：按照栏目、用户级别进行多级磁盘的空间管理，某级使用磁盘空间的总和受上级分配空间的限制。</w:t>
            </w:r>
          </w:p>
          <w:p>
            <w:pPr>
              <w:widowControl/>
              <w:spacing w:line="480" w:lineRule="exact"/>
              <w:jc w:val="left"/>
              <w:textAlignment w:val="bottom"/>
              <w:rPr>
                <w:rFonts w:hint="eastAsia" w:ascii="仿宋" w:hAnsi="仿宋" w:eastAsia="仿宋" w:cs="仿宋"/>
                <w:color w:val="000000"/>
                <w:sz w:val="22"/>
                <w:highlight w:val="none"/>
                <w:lang w:eastAsia="zh-CN"/>
              </w:rPr>
            </w:pPr>
            <w:r>
              <w:rPr>
                <w:rFonts w:hint="eastAsia" w:ascii="仿宋" w:hAnsi="仿宋" w:eastAsia="仿宋" w:cs="仿宋"/>
                <w:color w:val="000000"/>
                <w:kern w:val="0"/>
                <w:sz w:val="22"/>
                <w:highlight w:val="none"/>
              </w:rPr>
              <w:t>★要求支持综艺节目的海量素材中实现快速整理、挑选和编辑功能，并提供相关证明文件予以佐证</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数据库双机热备软件</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Windows数据库双机热备软件</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制作高性能NAS存储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双控NAS存储：16盘位，双控制器NAS；Intel4核处理器，标配8个1GbE主机端口及4个10Gbsfp主机端口；标配64GB缓存，最大支持256GB缓存；采用SAS12Gb磁盘通道扩展磁盘，最大支持436颗磁盘；支持协议CIFS，SMB，AFP，NFS，HTTP，HTTPS，FTP，iSCSI，FC；标配BBU+Flash缓存保护模块；冗余530W电源</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SAS存储硬盘：6TB高速机械硬盘，SAS接口，7200RPM  × 16</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后台合成工作站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主机：专业图形工作站</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W-2123 3.60GHz（4核）</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内存：不少于16GB内存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系统硬盘：不少于1TB机械硬盘，SATA接口，7200RPM</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显卡：高性能图形显卡，不少于4GB显存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其他：集成声卡、千兆网卡、标准键盘、鼠标</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10 64位中文专业版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加密狗：USB+USB延长线</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 xml:space="preserve">轻型综合业务网络系统 </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后台合成软件：智能集中调度软件模块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智能入库软件模块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后台合成软件模块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要求支持 FFMPEG解码器，能够支持更多的网络素材格式</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要求支持OP1A_MXFf封装格式新增AvcIntraDNxHD和MEPE2三种高清编码格式</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要求支持技审部分格式支持文件格式和编码检测</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要求支持黑场检测新增部分黑场检测功能</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要求持AMR音频的解码</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要求支持节目素材生成任务增加音频智能分析功能</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要求具备视音频技审功能， 包括针对素材中存在的黑场，彩条，静帧，彩帧，静音，响度，单色，花功能测试屏，夹帧，色彩丢失， 幅型等检测，可根据需要设置检测值，（提供相关证明材料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高标清上下载/编辑/审片工作站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主机：专业图形工作站</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Bronze 3206R 1.9GH（8核)×2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内存：不少于16GB内存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系统硬盘：不少于1TB机械硬盘，SATA接口，7200RPM</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显卡：高性能图形显卡，不少于4GB显存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其他：集成声卡、千兆网卡、标准键盘、鼠标</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加密狗：USB+USB延长线</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显示器：24寸宽屏高清液晶显示器，分辨率1920*1080</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监听耳机：立体声头戴监听耳机</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10 64位中文专业版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网络非线性编辑系统软件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上下载软件模块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文件介质上下载软件模块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字幕编辑软件模块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实时上下变换软件模块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专业图像特技软件模块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专业字幕特技软件模块</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节目审查软件模块</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6</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高标清编辑/审片工作站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主机：专业图形工作站</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W-2123 3.60GHz（4核）</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内存：不少于16GB内存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系统硬盘：不少于1TB机械硬盘，SATA接口，7200RPM</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显卡：高性能图形显卡，不少于4GB显存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其他：集成声卡、千兆网卡、标准键盘、鼠标</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显示器：24寸宽屏高清液晶显示器，分辨率1920*1080</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监听耳机：立体声头戴监听耳机</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加密狗：USB+USB延长线</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10 64位中文专业版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网络非线性编辑系统软件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上下载软件模块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文件介质上下载软件模块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字幕编辑软件模块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实时上下变换软件模块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专业图像特技软件模块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专业字幕特技软件模块</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节目审查软件模块</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auto"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7</w:t>
            </w:r>
          </w:p>
        </w:tc>
        <w:tc>
          <w:tcPr>
            <w:tcW w:w="741" w:type="pct"/>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非编工作站</w:t>
            </w:r>
          </w:p>
        </w:tc>
        <w:tc>
          <w:tcPr>
            <w:tcW w:w="3304" w:type="pct"/>
            <w:tcBorders>
              <w:top w:val="single" w:color="000000" w:sz="4" w:space="0"/>
              <w:left w:val="single" w:color="auto"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非编改造</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主机：硬件利旧，继承原账号、权限、节目时间线、字幕模板、特技模板</w:t>
            </w:r>
          </w:p>
        </w:tc>
        <w:tc>
          <w:tcPr>
            <w:tcW w:w="308"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385" w:type="pct"/>
            <w:vMerge w:val="restart"/>
            <w:tcBorders>
              <w:top w:val="single" w:color="000000" w:sz="4" w:space="0"/>
              <w:lef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auto"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10 64位中文专业版</w:t>
            </w:r>
          </w:p>
        </w:tc>
        <w:tc>
          <w:tcPr>
            <w:tcW w:w="308"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lef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auto"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网络管理软件模块-客户端</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节目编辑软件模块</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字幕编辑软件模块</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文稿系统软件模块</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节目审查软件模块</w:t>
            </w:r>
          </w:p>
        </w:tc>
        <w:tc>
          <w:tcPr>
            <w:tcW w:w="308" w:type="pct"/>
            <w:vMerge w:val="continue"/>
            <w:tcBorders>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left w:val="single" w:color="000000" w:sz="4" w:space="0"/>
              <w:bottom w:val="single" w:color="auto"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auto" w:sz="4" w:space="0"/>
              <w:left w:val="single" w:color="auto" w:sz="4" w:space="0"/>
              <w:bottom w:val="single" w:color="000000"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非编改造</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sz w:val="22"/>
                <w:highlight w:val="none"/>
              </w:rPr>
              <w:t>新增内存：不少于4GB内存</w:t>
            </w:r>
            <w:r>
              <w:rPr>
                <w:rFonts w:hint="eastAsia" w:ascii="仿宋" w:hAnsi="仿宋" w:eastAsia="仿宋" w:cs="仿宋"/>
                <w:color w:val="000000"/>
                <w:sz w:val="22"/>
                <w:highlight w:val="none"/>
              </w:rPr>
              <w:cr/>
            </w:r>
            <w:r>
              <w:rPr>
                <w:rFonts w:hint="eastAsia" w:ascii="仿宋" w:hAnsi="仿宋" w:eastAsia="仿宋" w:cs="仿宋"/>
                <w:color w:val="000000"/>
                <w:sz w:val="22"/>
                <w:highlight w:val="none"/>
              </w:rPr>
              <w:t>新增硬盘：不少于1TB机械硬盘，SATA接口，7200RPM</w:t>
            </w:r>
            <w:r>
              <w:rPr>
                <w:rFonts w:hint="eastAsia" w:ascii="仿宋" w:hAnsi="仿宋" w:eastAsia="仿宋" w:cs="仿宋"/>
                <w:color w:val="000000"/>
                <w:sz w:val="22"/>
                <w:highlight w:val="none"/>
              </w:rPr>
              <w:cr/>
            </w:r>
            <w:r>
              <w:rPr>
                <w:rFonts w:hint="eastAsia" w:ascii="仿宋" w:hAnsi="仿宋" w:eastAsia="仿宋" w:cs="仿宋"/>
                <w:color w:val="000000"/>
                <w:sz w:val="22"/>
                <w:highlight w:val="none"/>
              </w:rPr>
              <w:t>更换显卡：高性能图形显卡，不少于4GB显存</w:t>
            </w:r>
            <w:r>
              <w:rPr>
                <w:rFonts w:hint="eastAsia" w:ascii="仿宋" w:hAnsi="仿宋" w:eastAsia="仿宋" w:cs="仿宋"/>
                <w:color w:val="000000"/>
                <w:sz w:val="22"/>
                <w:highlight w:val="none"/>
              </w:rPr>
              <w:cr/>
            </w:r>
            <w:r>
              <w:rPr>
                <w:rFonts w:hint="eastAsia" w:ascii="仿宋" w:hAnsi="仿宋" w:eastAsia="仿宋" w:cs="仿宋"/>
                <w:color w:val="000000"/>
                <w:sz w:val="22"/>
                <w:highlight w:val="none"/>
              </w:rPr>
              <w:t>显示器：24寸宽屏高清液晶显示器，分辨率1920*1080</w:t>
            </w:r>
            <w:r>
              <w:rPr>
                <w:rFonts w:hint="eastAsia" w:ascii="仿宋" w:hAnsi="仿宋" w:eastAsia="仿宋" w:cs="仿宋"/>
                <w:color w:val="000000"/>
                <w:sz w:val="22"/>
                <w:highlight w:val="none"/>
              </w:rPr>
              <w:cr/>
            </w:r>
            <w:r>
              <w:rPr>
                <w:rFonts w:hint="eastAsia" w:ascii="仿宋" w:hAnsi="仿宋" w:eastAsia="仿宋" w:cs="仿宋"/>
                <w:color w:val="000000"/>
                <w:sz w:val="22"/>
                <w:highlight w:val="none"/>
              </w:rPr>
              <w:t>操作系统：Microsoft Windows 10 64位中文专业版</w:t>
            </w:r>
          </w:p>
        </w:tc>
        <w:tc>
          <w:tcPr>
            <w:tcW w:w="30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sz w:val="22"/>
                <w:highlight w:val="none"/>
              </w:rPr>
              <w:t>1</w:t>
            </w:r>
          </w:p>
        </w:tc>
        <w:tc>
          <w:tcPr>
            <w:tcW w:w="385" w:type="pct"/>
            <w:tcBorders>
              <w:top w:val="single" w:color="auto"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r>
              <w:rPr>
                <w:rFonts w:hint="eastAsia" w:ascii="仿宋" w:hAnsi="仿宋" w:eastAsia="仿宋" w:cs="仿宋"/>
                <w:color w:val="00000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480" w:lineRule="exact"/>
              <w:jc w:val="center"/>
              <w:textAlignment w:val="center"/>
              <w:rPr>
                <w:rFonts w:ascii="仿宋" w:hAnsi="仿宋" w:eastAsia="仿宋" w:cs="仿宋"/>
                <w:color w:val="FF0000"/>
                <w:sz w:val="22"/>
                <w:highlight w:val="none"/>
              </w:rPr>
            </w:pPr>
          </w:p>
        </w:tc>
        <w:tc>
          <w:tcPr>
            <w:tcW w:w="3304" w:type="pct"/>
            <w:tcBorders>
              <w:top w:val="single" w:color="000000" w:sz="4" w:space="0"/>
              <w:left w:val="single" w:color="auto"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包装工作站改造：整体利旧，继承原有节目信息、字幕模板、特技模板，并入新系统</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auto"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8</w:t>
            </w:r>
          </w:p>
        </w:tc>
        <w:tc>
          <w:tcPr>
            <w:tcW w:w="741"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配音工作站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主机：高性能计算机</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Core i7-10700 2.9GHz(8核）</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内存：不少于8GB内存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系统硬盘：不少于1TB机械硬盘，SATA接口，7200RPM</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显卡：高性能图形显卡，不少于4GB显存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专业声卡：外置专业声卡，USB2.0接口, 不少于18路输入, 8路输出, 4路Mic输入及话放</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其他：集成声卡、千兆网卡、DVD-ROM、标准键盘、鼠标</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显示器：24寸宽屏高清液晶显示器，分辨率1920*1080</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有源音箱：多媒体音箱，两分频木质箱体，信噪比不少于85dB</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加密狗：USB+USB延长线</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10 64位中文专业版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auto"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专业配音系统</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专业配音软件模块</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字幕编辑软件模块</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auto"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9</w:t>
            </w:r>
          </w:p>
        </w:tc>
        <w:tc>
          <w:tcPr>
            <w:tcW w:w="74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制作交换机</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以太网交换机L2以太网交换机主机，交换容量336Gbps/3.36Tbps，包转发率126Mpps</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24个10/100/1000Base-T电口（其中8个是combo口），4个1G/10G BASE-X SFP+端口</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冗余交流电源</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二、播出部分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10</w:t>
            </w:r>
          </w:p>
        </w:tc>
        <w:tc>
          <w:tcPr>
            <w:tcW w:w="741" w:type="pct"/>
            <w:vMerge w:val="restart"/>
            <w:tcBorders>
              <w:top w:val="single" w:color="auto" w:sz="4" w:space="0"/>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高清双通道播出服务器</w:t>
            </w:r>
          </w:p>
        </w:tc>
        <w:tc>
          <w:tcPr>
            <w:tcW w:w="3304"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配置不低于：</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19英寸机架式品牌服务器。</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2.双通道高清节目播出。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19寸机架式服务器，板载24个内存插槽，支持 DDR4-2933MT/s或者/2667MT/s REcc内存；8个3.5/2.5寸英寸热插拔SATA/SAS/SSD硬盘；2个PCIE 3.0 x16，3个PCIE 3.0x8；2个高性能万兆以太网控制器；集成系统管理芯片，支持IPMI2.0、KVM over IP、虚拟媒体等管理功能；1300W 1+1冗余电源；外置USB光驱1个；便捷安装导轨*1付；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CPU：英特尔® 至强® 银牌4210（10核），2.2GHz</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内存：16GB DDR4 RECC缓存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系统盘：900GB SAS 10000转企业级硬盘×2</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数据盘：8TB SATA ×2</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RAID控制器：12G SAS扩展卡，2GB缓存，支持RAID0,15,610,50,60</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操作系统：Microsoft Windows Server 2012 R2中文标准版广播级双通道高清播出卡</w:t>
            </w:r>
          </w:p>
        </w:tc>
        <w:tc>
          <w:tcPr>
            <w:tcW w:w="308" w:type="pct"/>
            <w:vMerge w:val="restart"/>
            <w:tcBorders>
              <w:top w:val="single" w:color="000000" w:sz="4" w:space="0"/>
              <w:left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385" w:type="pct"/>
            <w:vMerge w:val="restart"/>
            <w:tcBorders>
              <w:top w:val="single" w:color="000000" w:sz="4" w:space="0"/>
              <w:lef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双通道播控数据库软件</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支持高标清转播信号输入、并进行上下变换和叠加台标/字幕后播出；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支持多格式、多码率、高标清素材混播，支持实时上下变换，支持输出音频混音及自动增益控制，支持叠加静/动台标，支持叠加字幕</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双通道解码播出模块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双通道实时上下变换转模块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双通道图文播出模块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双通道台标/角标模块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双通道音频混音模块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双通道音频自动均衡模块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转码软件</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 支持几乎所有的素材格式，包括AVI+WAV、M2V+WAV、M2V+MPA、MPG、DVD、VCD等素材格式，压缩格式除了支持MPEG1/2外，还支持MotionJpeg、DV、MPEG4等格式的转码。</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2. 采用了独创的“解码前编码”技术，从而实现了真正意义上的帧精确入出点。系统提供可测试手段。</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3. 无需额外硬件支持，自动调节素材音量。即：不同音量的素材播出时的音量无需人工干预，将自动调节到一致的水平。</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4. 支持素材入库时的音轨语言选择和字幕语言选择。当素材包含多路语言的音轨和字幕轨时，用户可以指定要入库的声音轨和字幕轨。</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5.系统严格地把住素材入库的第一关，一旦发现素材问题，会尽其可能修复素材的错误，在实在无法修复错误的情况下将拒绝素材入库播出。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6. 系统则具有电视台信息管理、用户管理、频道管理、设备管理、栏目管理、素材管理、节目单管理、广告管理系统挂接、播后查询统计、用户上机操作痕迹管理等完备的一揽子方案</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7.解码播出模块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8.实时上下变换转模块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9.图文播出模块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10.台标/角标模块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11.音频混音模块</w:t>
            </w:r>
          </w:p>
          <w:p>
            <w:pPr>
              <w:widowControl/>
              <w:spacing w:line="480" w:lineRule="exact"/>
              <w:jc w:val="left"/>
              <w:rPr>
                <w:rFonts w:ascii="仿宋" w:hAnsi="仿宋" w:eastAsia="仿宋" w:cs="仿宋"/>
                <w:b/>
                <w:bCs/>
                <w:kern w:val="0"/>
                <w:sz w:val="22"/>
                <w:highlight w:val="none"/>
              </w:rPr>
            </w:pPr>
            <w:r>
              <w:rPr>
                <w:rFonts w:hint="eastAsia" w:ascii="仿宋" w:hAnsi="仿宋" w:eastAsia="仿宋" w:cs="仿宋"/>
                <w:kern w:val="0"/>
                <w:sz w:val="22"/>
                <w:highlight w:val="none"/>
              </w:rPr>
              <w:t>12.音频自动均衡模块</w:t>
            </w:r>
          </w:p>
        </w:tc>
        <w:tc>
          <w:tcPr>
            <w:tcW w:w="308" w:type="pct"/>
            <w:vMerge w:val="continue"/>
            <w:tcBorders>
              <w:left w:val="single" w:color="auto"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85" w:type="pct"/>
            <w:vMerge w:val="continue"/>
            <w:tcBorders>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auto"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11</w:t>
            </w:r>
          </w:p>
        </w:tc>
        <w:tc>
          <w:tcPr>
            <w:tcW w:w="74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高清垫片播出卡</w:t>
            </w:r>
          </w:p>
        </w:tc>
        <w:tc>
          <w:tcPr>
            <w:tcW w:w="3304" w:type="pct"/>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带帧同步固态垫片播放器，2路HD-SDI输出、一路BB输入</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支持导入多个视频文件（MP4）作为垫片播出，自动循环播放</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32GB内部存储容量</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支持配置为高清输出或标清输出。</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12</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播出数据库服务器（带二级存储）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配置不低于：</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19寸机架式服务器，板载24个内存插槽，支持 DDR4-2933MT/s或者/2667MT/s REcc内存；支持intel内存。8个3.5/2.5寸英寸热插拔SATA/SAS/SSD硬盘；2个PCIE 3.0 x16，3个PCIE 3.0x8；2个高性能万兆以太网控制器；集成系统管理芯片，支持IPMI2.0、KVM over IP、虚拟媒体等管理功能；1300W 1+1冗余电源；外置USB光驱1个；便捷安装导轨*1付；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CPU：英特尔®  银牌4210（10核），2.2GHz</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内存：8GB DDR4 RECC缓存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系统盘：960GB SSD SATA接口</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存储硬盘：SATA 4T*6</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操作系统：Microsoft Windows Server 2012 R2中文标准版</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对播出系统中的使用人员进行权限管理，播出中心存储、播出服务器本地存储进行空间管理，播出节目素材迁移/校验/生命周期管理，播出控制配置管理。</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对播出运行状况、节目素材使用状况日志记录及查询/导出</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kern w:val="0"/>
                <w:sz w:val="22"/>
                <w:highlight w:val="none"/>
              </w:rPr>
              <w:t>系统管理模块/素材管理模块/ 素材入库接口模块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13</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双通道数字播控工作站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高性能计算机配置不低于：</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CPU：Intel 酷睿 i7十代</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内存：16 GB内存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硬盘：1T SATA硬盘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其它：集成显卡、集成声卡、集成千兆网卡、DVD-ROM</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标准键盘、鼠标，双口232控制卡</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Microsoft Windows 10 Pro（正版）</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显示器：24英寸</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双通道播出控制模块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素材预览模块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播出节目单编辑模块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播出图文编辑模块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自动调取播出节目单、并按节目单内容自动完成播出控制，支持对在线节目单中的节目条目进行预览，支持对在线节目单进行编辑修改</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14</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文件上载/转码/编单/审片工作站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主机：硬件利旧</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新增硬件配置不低于：</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内存：16 GB内存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硬盘：1T SATA硬盘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Microsoft Windows 10 Pro（正版）</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文件导入模块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DVD抓轨导入模块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转码模块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素材管理模块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素材预览模块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播出节目单编辑模块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播出图文编辑模块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素材审片模块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节目单审核模块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15</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采集上载/转码编单/审片工作站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高性能计算机配置不低于：</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CPU：Intel 酷睿 i7十代</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内存：16 GB内存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硬盘：1T SATA硬盘</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其它：集成显卡、集成声卡、集成千兆网卡、DVD-ROM</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标准键盘、鼠标</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显示器：24英寸</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Microsoft Windows 10 Pro（正版）</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采集上载模块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文件导入模块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DVD抓轨导入模块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转码模块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素材管理模块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素材预览模块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播出节目单编辑模块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播出图文编辑模块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素材审片模块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节目单审核模块</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支持对数字SDI信号、模拟视音频信号采集上载，支持视音频文件预览、打点编辑，支持视音频文件直接导入/转码导入，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16</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数字高清切换器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kern w:val="0"/>
                <w:sz w:val="22"/>
                <w:highlight w:val="none"/>
              </w:rPr>
            </w:pPr>
            <w:r>
              <w:rPr>
                <w:rFonts w:hint="eastAsia" w:ascii="仿宋" w:hAnsi="仿宋" w:eastAsia="仿宋" w:cs="仿宋"/>
                <w:kern w:val="0"/>
                <w:sz w:val="22"/>
                <w:highlight w:val="none"/>
              </w:rPr>
              <w:t>1.8×2（3时基）矩阵切换器：</w:t>
            </w:r>
          </w:p>
          <w:p>
            <w:pPr>
              <w:spacing w:line="480" w:lineRule="exact"/>
              <w:rPr>
                <w:rFonts w:ascii="仿宋" w:hAnsi="仿宋" w:eastAsia="仿宋" w:cs="仿宋"/>
                <w:sz w:val="22"/>
                <w:highlight w:val="none"/>
              </w:rPr>
            </w:pPr>
            <w:r>
              <w:rPr>
                <w:rFonts w:hint="eastAsia" w:ascii="仿宋" w:hAnsi="仿宋" w:eastAsia="仿宋" w:cs="仿宋"/>
                <w:kern w:val="0"/>
                <w:sz w:val="22"/>
                <w:highlight w:val="none"/>
              </w:rPr>
              <w:t>2.８路ＳＤＩ输入、２路ＳＤＩ无抖动输出。每路输出都具有２分配ＳＤＩ输出。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3.本系列产品是矩阵式切换器，输出可以随意选择切换输入。</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4.切换记忆功能：重新通电后自动切换到上一次关机前的工作状态，适合无人值守。</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17</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切换器控制软件</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配套控制软件</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sz w:val="22"/>
                <w:highlight w:val="none"/>
              </w:rPr>
              <w:t>18</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D/A转换解嵌卡</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D/A转换+音频解嵌，1路SD-SDI输入，4路CVBS输出或1路YUV输出+1路CVBS输出；2x2路模拟音频输出，一路SD-SDI环出。</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sz w:val="22"/>
                <w:highlight w:val="none"/>
              </w:rPr>
              <w:t>19</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转换器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1路HDMI输入，2路HD-SDI输出，支持时钟重锁相。</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支持线缆均衡、时钟恢复，对不稳定、不标准的HDMI信号的纠错能力强，转换效果稳定LH。</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支持720P、1080i、1080P信号无损转换，转换时不会改变原始信号格式，转换质量高。</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20</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高清数字帧同步</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1路HD/SD-SDI信号进行帧同步和时钟恢复处理后输出4路HD/SD-SDI信号；同步信号支持模拟复合和三电平同步信号；</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带帧同步功能：支持内同步、外同步选择，支持输出视频信号行、场相位调整</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3</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21</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3X1高清自动倒换器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双电源；</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3路高标清SDI输入，2路高标清SDI分配输出，第3路断电直通；</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支持静音、静帧、黑场、CRC/EDHLH检测、视频丢失、嵌入音频丢失，声光报警及自动倒换；</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支持对SDI视音频监测参数进行配置和修改； </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3路SDI输入支持线缆均衡，时钟恢复，时钟再生； </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自带控制面板，信号异常时按键灯闪烁及声音报警，1个RS232遥控端口。</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22</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倒换器遥控面板</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3X1自动倒换器遥控面板</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支持手动/自动工作模式选择，支持手动倒换控制，支持按键锁定，避免误操作。</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信号异常时按键灯闪烁及声音报警</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23</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数字信号下变换处理器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数字信号下变换处理器，1路HD-SDI数字信号输入，2路下变换SD-SDI信号输出，1路同步信号输入，带帧同步功能。</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支持多种下变换方式选择，下变换图像质量参数可调整。</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支持板卡及web方式选择配置下变换方式</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24</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高清字符叠加器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双电源；</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1路高清背景SDI信号输入，带线缆均衡；</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内置台标发生器，支持静止/动画主标、副标、数字时钟同时叠加，</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支持使用GPS校时、网络校时二种校时模式，</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web配置，支持网络LH下载台标</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支持外同步锁相，行/场相位调整</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2路合成PST和PGM SDI信号输出（断电直通）；</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2个RS232/422串口控制，1个网口，可通过串口或网络接收外部控制信号控制键入和键出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支持SNMP协议；</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25</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四通道</w:t>
            </w:r>
          </w:p>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高标清编码器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四路SDI高清编码器支持4路SDI高清信号输入，通过H.264视频和MPEG-1音频编码形成TS复用流或形成4路独立的IP(4XSPTS)，输出接口为ASI和IP（TS over UDP）。主要应用于数字电视前端直播系统的高清信号转播和IPTV直播系统的编码实现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26</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单路高标清</w:t>
            </w:r>
          </w:p>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数字/ASI</w:t>
            </w:r>
          </w:p>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光端机</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双电源；</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支持3G/HD/SD -SDI/ASI高标清数字信号；SDI/ASI全兼容，适应面广</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1路SDI或者ASI自适应输入，1路SDI或者ASI环出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2路SDI或者ASI输出；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传输波长1310nm，单模光纤，传输距离40千米；</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支持远程网络管理；</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支持线缆均衡，时钟恢复，时钟再生；</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自带本地面板状态显示；</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27</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双路高清分配卡</w:t>
            </w:r>
          </w:p>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（掉电直通）</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HD-SDI视分，2路1分4或1路1分8，带线缆均衡。支持掉电直通</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7</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28</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机箱</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10块插板的标准2RU机箱（不含电源）。</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sz w:val="22"/>
                <w:highlight w:val="none"/>
              </w:rPr>
              <w:t>29</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电源</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机箱配套电源</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4</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30</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网络控制卡</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机箱配套网络控制卡</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支持标准SNMP，RS232，支持6800N模块的MIB，支持MIB升级及固件升级</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31</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主备16路同步信号/测试信号发生器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双电源；</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内含主备同步信号同步发生器、主备自动倒换器自动倒换输出；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16路模拟视频信号输出，支持PAL制NTSC制；</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可选择同步信号、彩条信号或测试国际标准测试信号（共16种），可用于系统整体联调时各项参数的精确调整使用 </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支持外同步和内同步二种工作模式，外同步模式下，可对输出信号进行，行/场/色载波相位调整，使其与外同步信号各项参数完全一致；</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具有掉电保存参数设置和恢复出厂设置。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32</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模拟视分卡</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模拟视分，1分8，带电缆均衡和箝位；补偿线缆损耗，输出视频幅度可调。</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33</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卫星校时接收器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双电源；内置高稳时钟；可同步其它时钟系统</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集成NTP时钟同步服务，计算机类设备使用操作系统自带时钟同步功能、无需使用其它时钟同步软件即可实现自动时钟同步</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集成高稳时钟，无需借助外部高稳时钟发生器，即可实现在无法接收GPS信号时主机也能保证时钟的高精度</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同时支持GPS 和北斗卫星，可同时跟踪12颗卫星，定时精度：1μs</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校时输出端口：8个RS232，２个RS485，１个RS422，1个1PPS，1个 EBU，1个SZ ，1个网口</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WEB界面参数配置，前面板液晶屏按键控制  </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50米蘑菇头天线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34</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单联时钟</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单联5寸壁挂子钟，断电后自动保存时间</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8" w:hRule="atLeast"/>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35</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8通道高标清</w:t>
            </w:r>
          </w:p>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流程监测处理器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标准19" 机架式主机，全硬件架构，双电源，通过广电总局检测</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 xml:space="preserve"> 8路高标清SDI信号自适应输入，其中4路支持模拟视音频信号输入</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支持PAL、720P、1080i 等高标清视频制式，LH支持2路 HDMI 同时输出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提供按信号流程方式显示各个节点的信号图像，支持网络时钟校时</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支持对信号进行监测，信号丢失时进行报警</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支持对图像内容进行监测，对图像中出现的静帧、黑场、彩条进行报警</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支持对音频内容进行监测，对音频中出现的静音、爆音进行报警，同时可设置爆音监测电平阈值</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支持文字、语音、短信报警方式可选</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3</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e-Voice 语音报警软件：需安装在独立的计算机上使用。</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kern w:val="0"/>
                <w:sz w:val="22"/>
                <w:highlight w:val="none"/>
              </w:rPr>
              <w:t>软件启动后自动接收系统中所有LH系列监测处理器监测报警信息，并转化为语音播报，同时可查看已经播报过的内容。同时可设定语音播报时间段，只在设定时间段内才进行语音播报报警。</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36</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转换器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1路SDI输入，1路HDMI输出。</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支持线缆均衡、时钟恢复，适合于长距离线缆传输SDI信号转为HDMI信号，转换效果稳定</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37</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延长器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1个HDMI发送端，1个HDMI接收端。</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支持线缆均衡、时钟恢复，对不稳定、不标准的HDMI信号的纠错能力强，传输距离可达100米</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支持720P、1080i、1080P信号无损传输，传输输出信号与输入信号保持一致，传输质量高。</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6</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38</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大屏幕液晶电视</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hint="eastAsia" w:ascii="仿宋" w:hAnsi="仿宋" w:eastAsia="仿宋" w:cs="仿宋"/>
                <w:kern w:val="0"/>
                <w:sz w:val="22"/>
                <w:highlight w:val="none"/>
              </w:rPr>
            </w:pPr>
            <w:r>
              <w:rPr>
                <w:rFonts w:hint="eastAsia" w:ascii="仿宋" w:hAnsi="仿宋" w:eastAsia="仿宋" w:cs="仿宋"/>
                <w:kern w:val="0"/>
                <w:sz w:val="22"/>
                <w:highlight w:val="none"/>
              </w:rPr>
              <w:t>55寸全高清液晶电视</w:t>
            </w:r>
          </w:p>
          <w:p>
            <w:pPr>
              <w:widowControl/>
              <w:spacing w:line="480" w:lineRule="exact"/>
              <w:jc w:val="left"/>
              <w:rPr>
                <w:highlight w:val="none"/>
              </w:rPr>
            </w:pPr>
            <w:r>
              <w:rPr>
                <w:rFonts w:hint="eastAsia" w:ascii="仿宋" w:hAnsi="仿宋" w:eastAsia="仿宋" w:cs="仿宋"/>
                <w:kern w:val="0"/>
                <w:sz w:val="22"/>
                <w:highlight w:val="none"/>
              </w:rPr>
              <w:t>55英寸4K + HDR</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64 位四核处理器</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2GB + 8GB 大内存</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人工智能语音系统</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海量影视内容</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杜比+ DTS双解码</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全金属机身</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分辨率：3840×2160</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背光：侧入式</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刷新率：60Hz</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可视角度：178°</w:t>
            </w:r>
            <w:r>
              <w:rPr>
                <w:rFonts w:hint="eastAsia" w:ascii="仿宋" w:hAnsi="仿宋" w:eastAsia="仿宋" w:cs="仿宋"/>
                <w:kern w:val="0"/>
                <w:sz w:val="22"/>
                <w:highlight w:val="none"/>
              </w:rPr>
              <w:br w:type="textWrapping"/>
            </w:r>
            <w:r>
              <w:rPr>
                <w:rFonts w:hint="eastAsia" w:ascii="仿宋" w:hAnsi="仿宋" w:eastAsia="仿宋" w:cs="仿宋"/>
                <w:kern w:val="0"/>
                <w:sz w:val="22"/>
                <w:highlight w:val="none"/>
              </w:rPr>
              <w:t>配套壁挂架</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6</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39</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平板电视墙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color w:val="FF0000"/>
                <w:kern w:val="0"/>
                <w:sz w:val="22"/>
                <w:highlight w:val="none"/>
              </w:rPr>
            </w:pPr>
            <w:r>
              <w:rPr>
                <w:rFonts w:hint="eastAsia" w:ascii="仿宋" w:hAnsi="仿宋" w:eastAsia="仿宋" w:cs="仿宋"/>
                <w:kern w:val="0"/>
                <w:sz w:val="22"/>
                <w:highlight w:val="none"/>
              </w:rPr>
              <w:t>播出电视墙，1个电视墙可以上下各挂1个55寸液晶，不能左右并配放置，按55寸6个电视机三组尺寸进行定制电视墙</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3</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组</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40</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双联控制台</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钢木结构不少于1200mm×950mm×750mm定制,供货前提供款式图片及颜色供甲方选择。</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2</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41</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交换机</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以太网交换机5130S-28S-HI：L2以太网交换机主机，交换容量336Gbps/3.36Tbps，包转发率126Mpps</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24个10/100/1000Base-T电口（其中8个是combo口），4个1G/10G BASE-X SFP+端口</w:t>
            </w:r>
          </w:p>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冗余交流电源</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42</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摆渡网关</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left"/>
              <w:rPr>
                <w:rFonts w:ascii="仿宋" w:hAnsi="仿宋" w:eastAsia="仿宋" w:cs="仿宋"/>
                <w:kern w:val="0"/>
                <w:sz w:val="22"/>
                <w:highlight w:val="none"/>
              </w:rPr>
            </w:pPr>
            <w:r>
              <w:rPr>
                <w:rFonts w:hint="eastAsia" w:ascii="仿宋" w:hAnsi="仿宋" w:eastAsia="仿宋" w:cs="仿宋"/>
                <w:kern w:val="0"/>
                <w:sz w:val="22"/>
                <w:highlight w:val="none"/>
              </w:rPr>
              <w:t>机架式千兆网络隔离网关，集成深度文件病毒查杀、文件甄别、文件筛选、文件格式过滤、格式检测、安全传输、文件共享功能一体的软硬件平台。基本配置包括4个1000M以太网接口，采用Intel X86架构高速硬件平台,128G固态硬盘,最大数据传输速率210Mbps、最大并发会话数300,000。支持对文件交换系统安全防护、双机热备、多线路负载均衡及线路叠加数据传输。</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三、卫星接收部分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43</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卫星锅</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2.4米C波段天线</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44</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高频头</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C波段高频头8515，含抗5G干扰滤波器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45</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AVS+高清卫星接收机</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19" 机架式机箱，独立的液晶显示屏</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广播级AVS+高清接收机，不少于输入1路ASI/IP码流信号或RF信号，不少于输出二路SDI，不少于二路ASI信号和一路IP信号，以及一路CVBS信号。支持解码格式：AVS+/MPEG-2/H.264，支持解扰；视频信号接口：BNC75欧姆，网络接口：RJ45，网管接口：RJ45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46</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大小卡</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中数传媒大小卡</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四、媒资部分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47</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媒资核心服务器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主机：19寸机架式服务器</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Silver 4208 2.1GHz(8核）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内存：不少于64GB内存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系统硬盘：不少于480GB固态硬盘，SATA接口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RAID控制器：板载RAID控制器，支持RAID0、1</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其他：集成千兆以太网接口×4、冗余电源</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操作系统：企业版的完全开放版本，支持虚拟化</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媒体资源管理中心软件核心软件包，实现对各种媒资数据的组织管理。包括：检索服务、编目服务，数据结构，空间管理等</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平台数据服务软件包。提供数据存储和引擎服务，根据业务数据特征设计适当的存储方案并建立数据间的联系，多维度数据属性记录，是实现数据关联分析的基础等。包括：关系型数据库，非关系型数据库，高吞吐分布式内存数据库，高吞吐量发布订阅消息服务</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媒体资源管理中心软件媒体服务软件包。提供各种计算任务的服务，包括：检索引擎、数据处理组件、工作流引擎、业务组件执行器、媒体分析组件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媒体资源管理中心软件业务引擎服务软件包。用于资源管理和业务接口，包括业务数据的逻辑封装和整个平台通用数据的访问引擎。</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媒体资源管理中心软件数据接口服务软件包。提供各种数据、业务访问的API接口，包含业务API、业务数据访问API以及通用数据访问API。</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媒体资源管理中心软件系统数据接口服务软件包。提供各种数据、业务访问的API接口，包含业务API、业务数据访问API以及通用数据访问API</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系统服务软件包。提供平台支撑，配置以及服务状态统一管理，实现对整个平台的管理。包括：系统框架、订阅消息服务、系统配置和管理、业务系统配置和管理组成，用户管理、系统接入管理。</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媒体资源管理中心软件监控服务软件包，提供平台程序、业务、硬件资源运行维护监控。包括：日志捕获引擎、高吞吐日志存储引擎、插件式平台监控服务、监控和配置应用</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媒体资源管理中心软件媒体处理软件包：支持广播级、互联网主流视音频格式的识别和转换，包括：高清主流视频格式的转码和在线浏览，支持MP3、WMA、WAV、DFF、APE、M4A、FLAC、OGG、S48等互联网和专业音频格式的浏览收听，支持Bmp、jpg、gif、tif、tiff、png、tga等常用图片格式的识别和在线浏览，支持SONY、佳能、尼康等主流数码相机RAW格式及专业软件图形格式的识别和在线浏览</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要求所投媒体资产管理系统支持界面自定义设置，支持用户自行更换系统背景图片、LOGO、系统名称等，（提供相关证明材料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如果编目配置中启用自动发起编目任务功能，则入库的素材将会自动发起编目任务；对于支持编目的素材，在检索结果中可以选择后发起编目任务；在编目列表中可以打开素材的编目界面，展示素材播放器、素材元数据、编目层、标记点以及历史轨迹；可以设置任一标记点作为该素材的代表帧，展示为素材图标；可记录该素材的整个编目流程中经历的步骤；（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textAlignment w:val="bottom"/>
              <w:rPr>
                <w:rFonts w:hint="eastAsia" w:ascii="仿宋" w:hAnsi="仿宋" w:eastAsia="仿宋" w:cs="仿宋"/>
                <w:color w:val="000000"/>
                <w:kern w:val="0"/>
                <w:sz w:val="22"/>
                <w:highlight w:val="none"/>
                <w:lang w:eastAsia="zh-CN"/>
              </w:rPr>
            </w:pPr>
            <w:r>
              <w:rPr>
                <w:rFonts w:hint="eastAsia" w:ascii="仿宋" w:hAnsi="仿宋" w:eastAsia="仿宋" w:cs="仿宋"/>
                <w:color w:val="000000"/>
                <w:kern w:val="0"/>
                <w:sz w:val="22"/>
                <w:highlight w:val="none"/>
              </w:rPr>
              <w:t>具有编目权限、审核权限以及编目管理权限，不同权限的用户可以看到不同的界面，发起编目权限可以在检索界面发起编目任务；编目权限可以打开编目应用并进行编目操作；审核权限可以对编目提交的任务进行审核，审核通过完成编目任务；编目管理权限可以查看整个编目任务的进度、分配编目和审核任务；（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系统支持数据统计功能，支持入库统计、出库统计、编目统计；支持统计通过不同方式入库到媒资库的素材相关信息，按照类型、来源、部门、用户统计；支持统计从媒资库出库的素材相关信息，按照类型、出库目标、部门、用户统计；支持统计编目和审核相关信息，包括编目用户统计、审核用户统计；支持将统计信息导出为Excel报表（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要求所投媒体资产管理系统支持全文检索、二次检索、按字段高级检索、条件过滤等多种检索方式，且不同权限用户在检索结果页面对素材的操作权限不同，支持检索结果不同的排序方式和呈现形式，（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MRC标准客户端许可，10个并发访问，在线支持人数无限制。</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48</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媒资媒体处理服务器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主机：19寸机架式服务器</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Silver 4208 2.1GHz(8核）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内存：不少于16GB内存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系统硬盘：不少于2TB机械硬盘，SATA接口，7200RPM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RAID控制器：板载RAID控制器，支持RAID0、1</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其他：集成千兆以太网接口×4、冗余电源</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Server 2012 R2中文标准版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媒体资源管理中心软件媒体处理软件包，支持广播级、互联网主流视音频格式的识别和转换，包括：高清主流视频格式的转码和在线浏览，支持MP3、WMA、WAV、DFF、APE、M4A、FLAC、OGG、S48等互联网和专业音频格式的浏览收听，支持Bmp、jpg、gif、tif、tiff、png、tga等常用图片格式的识别和在线浏览，支持SONY、佳能、尼康等主流数码相机RAW格式及专业软件图形格式的识别和在线浏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49</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媒资在线存储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NAS/SAN/双活统一云存储</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24盘位，Intel 双核心处理器 x 2</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32GB DDR4 高速缓存，最大支持64GB缓存；</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板载4个万兆RJ45端口+2个千兆端口；</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4个12Gb/s SAS宽端口，可扩展至208块硬盘；</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内建256GB M.2 SSD掉电保护模块；</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冗余风扇，80plus白金级双冗余电源。</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SAS存储硬盘：6TB高速机械硬盘，SAS接口，7200RPM  × 24</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50</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媒资归档迁移服务器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主机：19寸机架式服务器</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Xeon Bronze 3206R 1.9GH（8核)</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内存：不少于16GB内存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系统硬盘：不少于1TB机械硬盘，SATA接口，7200RPM  × 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RAID控制器：板载RAID控制器，支持RAID0、1、5、10、50</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其他：集成千兆以太网接口×4、冗余电源</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HBA光纤通道卡：单口8Gb光纤通道卡，PCI-E接口</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Server 2012 R2中文标准版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数据归档系统</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迁移归档管理软件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迁移调度管理软件</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蓝光库迁移管理软件</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51</w:t>
            </w:r>
          </w:p>
        </w:tc>
        <w:tc>
          <w:tcPr>
            <w:tcW w:w="741"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蓝光库及网络安全</w:t>
            </w:r>
          </w:p>
        </w:tc>
        <w:tc>
          <w:tcPr>
            <w:tcW w:w="3304"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蓝光库：</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蓝光库体：蓝光库基本单元，2个驱动器，300个蓝光盘盒槽位，单电源</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全自动转臂式机械臂，可以实现无人值守，存入取出稳定安全高效。</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50年常温保存期限 双安全控制机制：开门机械臂急停和开门键自动归位</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至少提供300张蓝光光盘。</w:t>
            </w:r>
          </w:p>
        </w:tc>
        <w:tc>
          <w:tcPr>
            <w:tcW w:w="30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auto"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边界防火墙：</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标准机架式下一代应用防火墙系统。基本配置包括6个1000M以太网接口。防火墙三层吞吐率8Gbps、七层吞吐率1Gbps、最大并发会话数150万、最大防火墙策略数15000条。主要功能包括防火墙、IDS/IPS入侵检测防御、漏洞攻击防护；病毒木马、恶意代码、间谍软件、DDOS/DOS攻击防御；对内网应用安全检测防护，如应用扫描、病毒检测防护、服务器防护、Web应用防护、URL过滤、应用特征检测识别、流量带宽限制、黑白名单管理、多线路负载均衡等。</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配置应用防护模块1： AV防病毒+IPS入侵防护功能模块 。</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配置应用防护模块2： Web应用防护＋服务器防护模块 。</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日志审计系统：</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标准机架式设备，设备日志保存时限达半年以上，标配6个1000M Base-T以太网接口，1个Console口，支持Console口管理；系统支持日志收集、日志分析、日志规范化、日志审计、日志联动分析、多元化告警、内置网络检测工具；事件采集性能22000条/秒；事件处理能力EPS4500条/秒；事件入库性能13000条/秒；部署方式支持集群、级联； </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支持主流安全设备、网络设备、中间件、服务器、数据库、操作系统等不少于26类300种日志对象的日志数据采集；</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支持主动、被动相结合的数据采集方式；支持日志转发。</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1 </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恶意代码防范系统：</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客户终端：主要是对安装客户端的计算机进行保护与实时监控，防止计算机被病毒攻击，在发现病毒后向控制中心报告。支持内存监控、网页监控、引导区扫描、注册表监控、可有效防止计算机被病毒感染。具有实时检测和清除来自各种途径的各类恶意代码能力。客户端采用安全指纹技术提高病毒查杀速度。具有移动设备接入密码验证、漏洞扫描、系统补丁修复功能，并可以由用户自定义安装补丁。软件木马查杀，病毒查杀，恶意软件查杀。</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一个管理中心，2个服务器端，40个PC终端，三年免费升级</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上网行为管理：</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标准1U机架式流控/上网行为管理安全网关，基本配置包括6个1000M以太网接口，1个管理口，采用Intel X86架构高速硬件平台。适合400M出口带宽，最大吞吐量2Gbps、最大并发会话数1000,000个、最大安全策略数10240条。主要功能包括VPN防火墙、多线路负载均衡、上网行为管理、流量监控、带宽管理、应用识别控制、访问控制、丰富URL数据库、搜索/网页/邮件/关键字/IM聊天审计过滤、P2P/HTTP/多线程/流媒体/WEB视频/网络游戏控制、多用户认证接入、黑白名单管理、统计分析报表等功能。</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支持10多种用户身份识别认证接入，包括本地数据库认证、AD域认证、RADIUS 认证、LDAP 认证、POP3 认证 。</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高达2000万条全球规模最大的中文URL数据库，提供强大的URL过滤、全面的URL记录和URL排名。</w:t>
            </w:r>
          </w:p>
          <w:p>
            <w:pPr>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全面记录内网用户向公网 BBS、论坛、博客、空间等发表的帖子内容及附件，还提供对帖子的内容进行关键字过滤，同时可对搜索的关键字进行过滤与记录。   </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52</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MRC管理上载工作站</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主机：高性能计算机</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CPU：不低于Intel Core i7-10700 2.9GHz(8核）</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内存：不少于8GB内存</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系统硬盘：不少于1TB机械硬盘，SATA接口，7200RPM</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其他：集成声卡、千兆网卡、DVD-ROM、标准键盘、鼠标</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显示器：24寸宽屏高清液晶显示器，分辨率1920*1080</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操作系统：Microsoft Windows 10 64位中文专业版</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top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融合媒体内容管理平台</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内容上载挑选软件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文件介质上下载软件模块</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要求系统支持导出审核；支持具有导出审核权限的用户根据导出策略配置对出库的素材进行审核操作；审核通过后则继续后续出库步骤，审核拒绝则出库任务失败且在任务中心显示拒绝原因；列表中显示通过审核或拒绝审核的任务记录；（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top w:val="single" w:color="000000" w:sz="4" w:space="0"/>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53</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以太网交换机</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千兆交换机：L2以太网交换机主机,支持24个10/100/1000BASE-T电口,支持4个1G/10G BASE-X SFP+端口,支持AC</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54</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42U专用机柜</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19寸42U机柜，以支持光盘库上架。带前后门，配置16孔PDU电源*2。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五、直播和虚拟演播部分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1、新闻演播室系统（支持直播）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55</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多功能视频服务器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CPU：不低于Intel Xeon Silver 4214 2.2GHz  12核×2</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内存：不少于16GB×4</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系统硬盘：不少于1.2TB 3.5" SAS硬盘×2</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数据硬盘：不少于2TB 3.5" SATA硬盘×6（最多到10块）</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RAID：2G缓存</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网卡：千兆网卡（主板集成）×4</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I/O卡：视频板卡含板卡转接线8根）</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电源：800W电源×2</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显卡：高性能图形显卡，不少于4GB</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声卡： 标准声卡</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操作系统：Microsoft Windows Server 2012 R2 Standard </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高级媒体文件系统</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软件：播出控制软件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24寸高清液晶显示器×1；鼠标键盘×1；监听耳机×1</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2U机架式服务器，4个独立视频通道，每通道可自定义为收录或播出，高标清兼容，收录/播出为加嵌SDI接口，带同步信号输入，支持Press422、H264、MPEG2 IF 100M、MPEG2 IF 50M、MPEG2 IBP 25M、DNxHD 120M格式的采集，冗余电源。</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支持素材共享、XML方式素材管理、素材预览、素材编辑，提供多种收录模式选择（包括手动收录、定时收录、编单收录、循环收录等），支持主备同步播出及接收串联单播出。</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本机操作，支持节目回采及节目自动入库，支持自动获取串联单及相关节目文件，另外还提供打点编辑等功能，实现演播室精彩片段/现场花絮的制作、精彩集锦即时回放、演播室信号回采等现场快速制播等需求。</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采用媒体文件管理系统，集磁盘管理、媒体文件管理、磁盘Cache、数据安全、磁盘任务调度、虚拟素材等多种功能于一体，具有高安全、高带宽、高性能特点</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大容量本地存储。标配6TB有效存储容量，MPEG2 IF100M可存100小时，IF50M可存190小时。服务器所有的硬盘都有热插拔能力。</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支持4路同时采集，采集结果在线整理输出成EDL或单个文件；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支持两台相同类型产品主备同步播出；</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支持演播室串联单，能够实时接收串联单，作为演播室第三备进行播出；</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支持EDL节目迁入/播出；</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支持边收录、边迁出、边编辑、分段迁出；</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具有一键操作的智能化运维工具包。</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56</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KVM延长器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远距离KVM延长器，采用HDBaseT2.0 技术，通过单一以太网络线缆延长视频、音频、USB 及RS-232信号</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HDBaseT标准模式- 分辨率高达1920 x 1200@100米</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HDBaseT远距模式- 分辨率高达1920 x 1080@150米</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远距模式切换开关 快速切换HDBaseT标准及远距模式</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支持DVI-D接口，EDID缓冲器可确保顺利开机并以最高质量显示，增强位错误侦测与修正，可在高画质视频传输期间防止信号干扰，远距离高视频质量</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整合式USB 2.0连接端口，确保周边设备的高传输速度</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支持双声道PCM数字音频，确保高质量音频传输</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支持通过按钮或快速键执行PC唤醒功能（RS232接口）</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57</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以太网交换机</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千兆交换机：L2以太网交换机主机,支持24个10/100/1000BASE-T电口,支持4个1G/10G BASE-X SFP+端口,支持AC</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center"/>
          </w:tcPr>
          <w:p>
            <w:pPr>
              <w:widowControl/>
              <w:spacing w:line="480" w:lineRule="exact"/>
              <w:jc w:val="left"/>
              <w:textAlignment w:val="center"/>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2、直播编码器设备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58</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单通道全接口高标清</w:t>
            </w:r>
          </w:p>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多屏流媒体编码器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1、支持HD/SD-SDI，HDMI，CVBS等高标清视频输入；</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2、采用先进的H.264视频压缩技术及AAC音频压缩技术，压缩效率高；</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3、支持高清视频专业传输协议R2TP专业视频传输协议</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4、支持FLV 通过RTMP、TS 通过 UDP和TS 通过 HTTP输出；</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5、支持PC/iPhone/iPad/Andriod等多种接收终端；</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6、集成Hub，便于连接或扩展多个网络设备，快速融合到已有系统中；</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7、可通过浏览器轻松实现编码器的配置和预览，支持iPad/iPhone/Andriod移动终端无线控制；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8、采用DSP编码芯片，嵌入式Linux操作系统，性能可靠稳定；</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9、可通过浏览器轻松实现编码器的配置和预览，支持iPad/iPhone/Andriod移动终端无线控制；</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10、前面板配置墨水显示屏，显示编码器获取的IP地址及自带设置WIFI无线登陆账号密码，断电后仍可正常显示；</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11、支持多种直播协议，且每种协议下，可同时推送3条直播流；</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12、自带WIFI热点，可通过手机或电脑直接连接管理控制。</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center"/>
          </w:tcPr>
          <w:p>
            <w:pPr>
              <w:widowControl/>
              <w:spacing w:line="480" w:lineRule="exact"/>
              <w:jc w:val="left"/>
              <w:textAlignment w:val="center"/>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3、虚拟演播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59</w:t>
            </w:r>
          </w:p>
        </w:tc>
        <w:tc>
          <w:tcPr>
            <w:tcW w:w="741"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融媒体虚拟演播系统</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主机配置不低于： Intel Intel i7-11700 CPU；DDR-4 16GB内存；高端显卡：GTX1660 3D加速显卡；500G SSD系统硬盘；2T SATA素材硬盘；机箱：4U专用机箱；采用广播级图像采集卡；支持3个HD-SDI机位，键盘鼠标：罗技光电鼠标、键盘套装。</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软件：Windows10 64位操作系统</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高标清兼容色键合成子系统</w:t>
            </w:r>
          </w:p>
        </w:tc>
        <w:tc>
          <w:tcPr>
            <w:tcW w:w="308"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85" w:type="pct"/>
            <w:vMerge w:val="restart"/>
            <w:tcBorders>
              <w:top w:val="single" w:color="000000" w:sz="4" w:space="0"/>
              <w:lef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真三维虚拟演播室系统软件</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★1.具有实时渲染功能：电视输出信号须达到广播级图像质量。实时渲染面数高清不小于10亿个三角（提供相关证明材料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★2.64×64像素~16384×16384像素任选（提供相关证明材料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w:t>
            </w:r>
          </w:p>
          <w:p>
            <w:pPr>
              <w:widowControl/>
              <w:spacing w:line="480" w:lineRule="exact"/>
              <w:jc w:val="left"/>
              <w:rPr>
                <w:rFonts w:hint="eastAsia" w:ascii="仿宋" w:hAnsi="仿宋" w:eastAsia="仿宋" w:cs="仿宋"/>
                <w:color w:val="000000"/>
                <w:kern w:val="0"/>
                <w:sz w:val="22"/>
                <w:highlight w:val="none"/>
                <w:lang w:eastAsia="zh-CN"/>
              </w:rPr>
            </w:pPr>
            <w:r>
              <w:rPr>
                <w:rFonts w:hint="eastAsia" w:ascii="仿宋" w:hAnsi="仿宋" w:eastAsia="仿宋" w:cs="仿宋"/>
                <w:color w:val="000000"/>
                <w:kern w:val="0"/>
                <w:sz w:val="22"/>
                <w:highlight w:val="none"/>
              </w:rPr>
              <w:t>★3.贴图纹理量不低于19.5G，保证场景在任意景别镜头下的清晰度自然，不允许出现任何的马赛克或爬行现象。（提供相关证明材料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4.系统具有物理手柄摇臂拍摄功能：使用系统配置的游戏手柄可直接以物理操作方式实现更为直观的摄像机空间移动、升降、平遥、俯仰、变焦等摇臂拍摄效果。也可对直观操作方式的运动轨迹进行预先操作存储，待使用时直接调用。</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5具备场景模型-图文创作功能、虚拟包装功能、虚拟场景播出功能、节目本地采集功能、非线性编辑功能、网络实时发布功能和网络交互功能（提供相关证明材料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6.色键系统：对灯光、蓝箱无苛刻要求。能同时色键出头发丝、阴影、半透明体、亮蓝色、烟雾、柔和自然的轮廓边沿和正确的肤色还原，具有自动遮挡功能，具有平面裁剪动态无限蓝箱功能；</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7.支持第三方工具创建的骨骼蒙皮动画、毛发动画、机械动画、流体动画、泡沫动画、粒子动画、柔体动画、动力学动画的实时渲染（提供相关证明材料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8.支持脚本语言创建各种场景模型-图文模板动画，更改或读入新的脚本数据时，就可使动画按照当前的脚本数据实时更新和播出；</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9.在虚拟演播室气象模块中，支持报文数据自动译码，并根据报文数据实时创建地名、温度、天气、风力、健康指数、穿衣指数等气象符号和数据；</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10.在3max等软件直接完成建模、贴图、动画等图形设计和创作，方便使用3DSmax软件制作的场景和动画；</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11.后期可以增加3轴向7变量全自由度物理跟踪系统可以实现摄像机不管是肩扛、还是架设在具有任意移动、升降和旋转姿态的机械设备上，做变焦、平摇、俯仰、横滚、升降、左右和前后移动等7个全部自由度取景拍摄时的精确跟踪定位。空间升降、左右、前后移动精度误差小于0.1mm，空间俯仰、平摇和横滚精度误差小于1/10800度，变焦精度误差小于1/1000度，旋转、移动和变焦累计误差为零。也可以增加为空间2轴向3变量3自由度物理跟踪系统，实现固定机位的俯仰、平摇和变焦跟踪定位。俯仰、平摇精度误差小于1/10800度，变焦精度误差小于1/1000度，俯仰、平摇和变焦累计误差为零（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★1.在同一监视器屏幕上实时地对色键前的摄像机图像与色键后合成后的摄像机图像进行同屏检查比较，保证摄像机直接输入画面与色键后合成后画面的亮度、对比度、饱和度、清晰度一致（提供相关证明材料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2.支持对外来的视频流和视频文件做抠像处理（提供相关证明材料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3.对军人服装资历章上的各种颜色经过色键处理后，仍能正确还原；</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★4.支持多重色键功能（提供相关证明材料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5.系统色键器对于红、绿、蓝色都可指定作为色键背景</w:t>
            </w:r>
          </w:p>
          <w:p>
            <w:pPr>
              <w:widowControl/>
              <w:spacing w:line="480" w:lineRule="exact"/>
              <w:jc w:val="left"/>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6.动态无限蓝箱：动态无限蓝箱的大小和位置随摄像机的跟踪参数连续实时变化。在摄像机作变焦、俯仰和360度旋转取景时，无限蓝箱以外的灯光和其它物体不进入取景范围、无限蓝箱区域内外的场景色彩和明暗效果完全一致、没有任何过渡痕迹。</w:t>
            </w:r>
          </w:p>
        </w:tc>
        <w:tc>
          <w:tcPr>
            <w:tcW w:w="308"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lef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rPr>
                <w:rFonts w:ascii="仿宋" w:hAnsi="仿宋" w:eastAsia="仿宋" w:cs="仿宋"/>
                <w:sz w:val="22"/>
                <w:highlight w:val="none"/>
              </w:rPr>
            </w:pPr>
            <w:r>
              <w:rPr>
                <w:rFonts w:hint="eastAsia" w:ascii="仿宋" w:hAnsi="仿宋" w:eastAsia="仿宋" w:cs="仿宋"/>
                <w:sz w:val="22"/>
                <w:highlight w:val="none"/>
              </w:rPr>
              <w:t>在线包装系统软件</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rPr>
              <w:t>1.与虚拟演播室软件共用一个计算机平台，实现一机多用。</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2</w:t>
            </w:r>
            <w:r>
              <w:rPr>
                <w:rFonts w:hint="eastAsia" w:ascii="仿宋" w:hAnsi="仿宋" w:eastAsia="仿宋" w:cs="仿宋"/>
                <w:sz w:val="22"/>
                <w:highlight w:val="none"/>
              </w:rPr>
              <w:t>.系统具有完全独立的图文包装系统。不依赖于任何第三方软硬件环境，独立进行实虚结合、虚实结合的实时图文在线包装。</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3</w:t>
            </w:r>
            <w:r>
              <w:rPr>
                <w:rFonts w:hint="eastAsia" w:ascii="仿宋" w:hAnsi="仿宋" w:eastAsia="仿宋" w:cs="仿宋"/>
                <w:sz w:val="22"/>
                <w:highlight w:val="none"/>
              </w:rPr>
              <w:t>.包装系统界面：虚拟包装界面由摄像机视图区、播出列表区、编辑修改区、硬件参数设置区、色键参数调整区、虚拟摇臂轨迹调用区、摄像机机位参数区、辅助物体区、脚本语言区、主菜单、模型库、工程库等构成，方便用户使用。</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rPr>
              <w:t>★</w:t>
            </w:r>
            <w:r>
              <w:rPr>
                <w:rFonts w:hint="eastAsia" w:ascii="仿宋" w:hAnsi="仿宋" w:eastAsia="仿宋" w:cs="仿宋"/>
                <w:sz w:val="22"/>
                <w:highlight w:val="none"/>
                <w:lang w:val="en-US" w:eastAsia="zh-CN"/>
              </w:rPr>
              <w:t>4</w:t>
            </w:r>
            <w:r>
              <w:rPr>
                <w:rFonts w:hint="eastAsia" w:ascii="仿宋" w:hAnsi="仿宋" w:eastAsia="仿宋" w:cs="仿宋"/>
                <w:sz w:val="22"/>
                <w:highlight w:val="none"/>
              </w:rPr>
              <w:t>.系统模型文件格式：系统可直接播放由场景模型-图文创作系统生成的真三维场景模型文件 真三维场景模型文件，实现图文包装。</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5</w:t>
            </w:r>
            <w:r>
              <w:rPr>
                <w:rFonts w:hint="eastAsia" w:ascii="仿宋" w:hAnsi="仿宋" w:eastAsia="仿宋" w:cs="仿宋"/>
                <w:sz w:val="22"/>
                <w:highlight w:val="none"/>
              </w:rPr>
              <w:t>.无限蓝箱设置.：在包装界面上可根据每个摄像机的摆放位置、取景角度、拍摄对象的不同，单独设置对应摄像机的无限蓝箱范围，使每台摄像机的平摇、俯仰、变焦都不会受有限蓝箱空间大小的限制。</w:t>
            </w:r>
            <w:r>
              <w:rPr>
                <w:rFonts w:hint="eastAsia" w:ascii="仿宋" w:hAnsi="仿宋" w:eastAsia="仿宋" w:cs="仿宋"/>
                <w:color w:val="000000"/>
                <w:kern w:val="0"/>
                <w:sz w:val="22"/>
                <w:highlight w:val="none"/>
              </w:rPr>
              <w:t>（提供相关证明材料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6</w:t>
            </w:r>
            <w:r>
              <w:rPr>
                <w:rFonts w:hint="eastAsia" w:ascii="仿宋" w:hAnsi="仿宋" w:eastAsia="仿宋" w:cs="仿宋"/>
                <w:sz w:val="22"/>
                <w:highlight w:val="none"/>
              </w:rPr>
              <w:t>.机位画幅区域设置：在包装界面上可根据导演的节目创意要求，对每个机位单独指定物理全画幅、虚拟单画幅、虚拟多画幅、纯碎虚拟场景等不同的景别合成输出效果，使用一台物理摄像机实现多台摄像机不同景别、不同景深的实时现场切换效果。</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7</w:t>
            </w:r>
            <w:r>
              <w:rPr>
                <w:rFonts w:hint="eastAsia" w:ascii="仿宋" w:hAnsi="仿宋" w:eastAsia="仿宋" w:cs="仿宋"/>
                <w:sz w:val="22"/>
                <w:highlight w:val="none"/>
              </w:rPr>
              <w:t>.虚拟多机位画质调整：在包装界面上对同一物理摄像机的前景画面，在物理全幅、虚拟单幅、虚拟多幅等不同取景构图中的前景节目主持人的画面亮度、画面角度、倒影、画幅比例大小等进行调整，使一台物理摄像机的多机位镜头切换效果更加理想</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8</w:t>
            </w:r>
            <w:r>
              <w:rPr>
                <w:rFonts w:hint="eastAsia" w:ascii="仿宋" w:hAnsi="仿宋" w:eastAsia="仿宋" w:cs="仿宋"/>
                <w:sz w:val="22"/>
                <w:highlight w:val="none"/>
              </w:rPr>
              <w:t>.色键参数编辑：在包装界面上可直接对色键参数做在线实时编辑、色相位、清除噪蓝、画面对比度、键融合度等参数的在线调整效果实时可见</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9</w:t>
            </w:r>
            <w:r>
              <w:rPr>
                <w:rFonts w:hint="eastAsia" w:ascii="仿宋" w:hAnsi="仿宋" w:eastAsia="仿宋" w:cs="仿宋"/>
                <w:sz w:val="22"/>
                <w:highlight w:val="none"/>
              </w:rPr>
              <w:t>.界面色键合成预监：在包装界面上可直接显示每个摄像机与虚拟场景色键合成后的节目画面，同时可直接显示每个摄像机的前景画面，方便操作人员在同一显示屏幕上监视界面参数调整效果。</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lang w:val="en-US" w:eastAsia="zh-CN"/>
              </w:rPr>
              <w:t>10</w:t>
            </w:r>
            <w:r>
              <w:rPr>
                <w:rFonts w:hint="eastAsia" w:ascii="仿宋" w:hAnsi="仿宋" w:eastAsia="仿宋" w:cs="仿宋"/>
                <w:sz w:val="22"/>
                <w:highlight w:val="none"/>
              </w:rPr>
              <w:t>.空间跟踪曲线加载：在包装界面上可以直接加载一个或多个理想的空间跟踪轨迹曲线，使虚拟跟踪完全按照理想轨迹曲线运动取景</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rPr>
              <w:t>1</w:t>
            </w:r>
            <w:r>
              <w:rPr>
                <w:rFonts w:hint="eastAsia" w:ascii="仿宋" w:hAnsi="仿宋" w:eastAsia="仿宋" w:cs="仿宋"/>
                <w:sz w:val="22"/>
                <w:highlight w:val="none"/>
                <w:lang w:val="en-US" w:eastAsia="zh-CN"/>
              </w:rPr>
              <w:t>1</w:t>
            </w:r>
            <w:r>
              <w:rPr>
                <w:rFonts w:hint="eastAsia" w:ascii="仿宋" w:hAnsi="仿宋" w:eastAsia="仿宋" w:cs="仿宋"/>
                <w:sz w:val="22"/>
                <w:highlight w:val="none"/>
              </w:rPr>
              <w:t>.气象报文编辑：在包装界面上可直接对气象报文进行加载、更新、编辑和存储，实现了日常气象节目制作高效、快捷、方便、实时的要求</w:t>
            </w:r>
          </w:p>
          <w:p>
            <w:pPr>
              <w:widowControl/>
              <w:spacing w:line="480" w:lineRule="exact"/>
              <w:jc w:val="left"/>
              <w:textAlignment w:val="bottom"/>
              <w:rPr>
                <w:rFonts w:ascii="仿宋" w:hAnsi="仿宋" w:eastAsia="仿宋" w:cs="仿宋"/>
                <w:sz w:val="22"/>
                <w:highlight w:val="none"/>
              </w:rPr>
            </w:pPr>
            <w:r>
              <w:rPr>
                <w:rFonts w:hint="eastAsia" w:ascii="仿宋" w:hAnsi="仿宋" w:eastAsia="仿宋" w:cs="仿宋"/>
                <w:sz w:val="22"/>
                <w:highlight w:val="none"/>
              </w:rPr>
              <w:t>1</w:t>
            </w:r>
            <w:r>
              <w:rPr>
                <w:rFonts w:hint="eastAsia" w:ascii="仿宋" w:hAnsi="仿宋" w:eastAsia="仿宋" w:cs="仿宋"/>
                <w:sz w:val="22"/>
                <w:highlight w:val="none"/>
                <w:lang w:val="en-US" w:eastAsia="zh-CN"/>
              </w:rPr>
              <w:t>2</w:t>
            </w:r>
            <w:r>
              <w:rPr>
                <w:rFonts w:hint="eastAsia" w:ascii="仿宋" w:hAnsi="仿宋" w:eastAsia="仿宋" w:cs="仿宋"/>
                <w:sz w:val="22"/>
                <w:highlight w:val="none"/>
              </w:rPr>
              <w:t>.文件-工程编辑功能：在包装界面上可对播出列表中的任意一个播出文件、播出工程的层属性、播出开始时间、播出时长、是否接受物理摄像机的跟踪、在哪个机位显示哪个机位不现示等属性，以及文件、工程的空间构图属性进行编辑修改。</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sz w:val="22"/>
                <w:highlight w:val="none"/>
              </w:rPr>
              <w:t>1</w:t>
            </w:r>
            <w:r>
              <w:rPr>
                <w:rFonts w:hint="eastAsia" w:ascii="仿宋" w:hAnsi="仿宋" w:eastAsia="仿宋" w:cs="仿宋"/>
                <w:sz w:val="22"/>
                <w:highlight w:val="none"/>
                <w:lang w:val="en-US" w:eastAsia="zh-CN"/>
              </w:rPr>
              <w:t>3</w:t>
            </w:r>
            <w:r>
              <w:rPr>
                <w:rFonts w:hint="eastAsia" w:ascii="仿宋" w:hAnsi="仿宋" w:eastAsia="仿宋" w:cs="仿宋"/>
                <w:sz w:val="22"/>
                <w:highlight w:val="none"/>
              </w:rPr>
              <w:t>.编辑与播出互动：对于新创建或加载修改的播出列表，可在包装界面直接对其中的任何一个文件或工程子项目，在编辑工程中进行编辑，编辑结果不经任何操作就可在播出列表中直接使用</w:t>
            </w:r>
          </w:p>
        </w:tc>
        <w:tc>
          <w:tcPr>
            <w:tcW w:w="308"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lef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pStyle w:val="56"/>
              <w:spacing w:line="480" w:lineRule="exact"/>
              <w:ind w:left="12" w:right="1"/>
              <w:jc w:val="left"/>
              <w:rPr>
                <w:rFonts w:ascii="仿宋" w:hAnsi="仿宋" w:eastAsia="仿宋" w:cs="仿宋"/>
                <w:highlight w:val="none"/>
              </w:rPr>
            </w:pPr>
            <w:r>
              <w:rPr>
                <w:rFonts w:hint="eastAsia" w:ascii="仿宋" w:hAnsi="仿宋" w:eastAsia="仿宋" w:cs="仿宋"/>
                <w:highlight w:val="none"/>
              </w:rPr>
              <w:t>万向跟踪系统</w:t>
            </w:r>
          </w:p>
          <w:p>
            <w:pPr>
              <w:pStyle w:val="56"/>
              <w:spacing w:line="480" w:lineRule="exact"/>
              <w:ind w:left="12" w:right="1"/>
              <w:jc w:val="left"/>
              <w:rPr>
                <w:rFonts w:ascii="仿宋" w:hAnsi="仿宋" w:eastAsia="仿宋" w:cs="仿宋"/>
                <w:highlight w:val="none"/>
              </w:rPr>
            </w:pPr>
            <w:r>
              <w:rPr>
                <w:rFonts w:hint="eastAsia" w:ascii="仿宋" w:hAnsi="仿宋" w:eastAsia="仿宋" w:cs="仿宋"/>
                <w:highlight w:val="none"/>
              </w:rPr>
              <w:t>1、三维控制键盘：三维摇杆设计；</w:t>
            </w:r>
          </w:p>
          <w:p>
            <w:pPr>
              <w:pStyle w:val="56"/>
              <w:spacing w:line="480" w:lineRule="exact"/>
              <w:ind w:left="12" w:right="1"/>
              <w:jc w:val="left"/>
              <w:rPr>
                <w:rFonts w:ascii="仿宋" w:hAnsi="仿宋" w:eastAsia="仿宋" w:cs="仿宋"/>
                <w:highlight w:val="none"/>
              </w:rPr>
            </w:pPr>
            <w:r>
              <w:rPr>
                <w:rFonts w:hint="eastAsia" w:ascii="仿宋" w:hAnsi="仿宋" w:eastAsia="仿宋" w:cs="仿宋"/>
                <w:highlight w:val="none"/>
              </w:rPr>
              <w:t>2.支持RS232总线与RS485总线控制，兼容多种云台控制协议；</w:t>
            </w:r>
          </w:p>
          <w:p>
            <w:pPr>
              <w:pStyle w:val="56"/>
              <w:spacing w:line="480" w:lineRule="exact"/>
              <w:ind w:left="12" w:right="1"/>
              <w:jc w:val="left"/>
              <w:rPr>
                <w:rFonts w:ascii="仿宋" w:hAnsi="仿宋" w:eastAsia="仿宋" w:cs="仿宋"/>
                <w:highlight w:val="none"/>
              </w:rPr>
            </w:pPr>
            <w:r>
              <w:rPr>
                <w:rFonts w:hint="eastAsia" w:ascii="仿宋" w:hAnsi="仿宋" w:eastAsia="仿宋" w:cs="仿宋"/>
                <w:highlight w:val="none"/>
              </w:rPr>
              <w:t>3.虚拟摇臂跟踪合成前景去爬行抗锯齿RAM 模块要求：为了保证前景信号电子变焦缩小时不爬行、放大时不马赛克，必须对前景信号做实时去爬行和抗锯齿处理。</w:t>
            </w:r>
          </w:p>
          <w:p>
            <w:pPr>
              <w:pStyle w:val="56"/>
              <w:spacing w:before="28" w:line="480" w:lineRule="exact"/>
              <w:ind w:left="12" w:right="1"/>
              <w:jc w:val="left"/>
              <w:rPr>
                <w:rFonts w:ascii="仿宋" w:hAnsi="仿宋" w:eastAsia="仿宋" w:cs="仿宋"/>
                <w:highlight w:val="none"/>
              </w:rPr>
            </w:pPr>
            <w:r>
              <w:rPr>
                <w:rFonts w:hint="eastAsia" w:ascii="仿宋" w:hAnsi="仿宋" w:eastAsia="仿宋" w:cs="仿宋"/>
                <w:highlight w:val="none"/>
              </w:rPr>
              <w:t>★4.物理手柄摇臂功能：使用物理遥控手柄直接以物理操作方式直观地实现摄像机空间移动、升降、平摇、俯仰、变焦等虚拟摇臂拍摄效果。也可对直观操作方式的运动轨迹进行预先操作存储，待使用时直接调用。</w:t>
            </w:r>
            <w:r>
              <w:rPr>
                <w:rFonts w:hint="eastAsia" w:ascii="仿宋" w:hAnsi="仿宋" w:eastAsia="仿宋" w:cs="仿宋"/>
                <w:color w:val="000000"/>
                <w:kern w:val="0"/>
                <w:sz w:val="22"/>
                <w:highlight w:val="none"/>
              </w:rPr>
              <w:t>（提供相关证明材料</w:t>
            </w:r>
            <w:r>
              <w:rPr>
                <w:rFonts w:hint="eastAsia" w:ascii="仿宋" w:hAnsi="仿宋" w:eastAsia="仿宋" w:cs="仿宋"/>
                <w:color w:val="000000"/>
                <w:kern w:val="0"/>
                <w:sz w:val="22"/>
                <w:highlight w:val="none"/>
                <w:lang w:eastAsia="zh-CN"/>
              </w:rPr>
              <w:t>，</w:t>
            </w:r>
            <w:r>
              <w:rPr>
                <w:rFonts w:hint="eastAsia" w:ascii="仿宋" w:hAnsi="仿宋" w:eastAsia="仿宋" w:cs="仿宋"/>
                <w:color w:val="000000"/>
                <w:kern w:val="0"/>
                <w:sz w:val="22"/>
                <w:highlight w:val="none"/>
              </w:rPr>
              <w:t>包括但不限于检测报告、官网截图、软件截图等</w:t>
            </w:r>
            <w:r>
              <w:rPr>
                <w:rFonts w:hint="eastAsia" w:ascii="仿宋" w:hAnsi="仿宋" w:eastAsia="仿宋" w:cs="仿宋"/>
                <w:color w:val="000000"/>
                <w:kern w:val="0"/>
                <w:sz w:val="22"/>
                <w:highlight w:val="none"/>
                <w:lang w:eastAsia="zh-CN"/>
              </w:rPr>
              <w:t>）；</w:t>
            </w:r>
          </w:p>
          <w:p>
            <w:pPr>
              <w:pStyle w:val="56"/>
              <w:spacing w:line="480" w:lineRule="exact"/>
              <w:ind w:left="12" w:right="1"/>
              <w:jc w:val="left"/>
              <w:rPr>
                <w:rFonts w:ascii="仿宋" w:hAnsi="仿宋" w:eastAsia="仿宋" w:cs="仿宋"/>
                <w:highlight w:val="none"/>
              </w:rPr>
            </w:pPr>
            <w:r>
              <w:rPr>
                <w:rFonts w:hint="eastAsia" w:ascii="仿宋" w:hAnsi="仿宋" w:eastAsia="仿宋" w:cs="仿宋"/>
                <w:highlight w:val="none"/>
              </w:rPr>
              <w:t>5.键盘虚拟摇臂取景拍摄：只需在键盘上点快捷键即可实现摄像机运动路径和镜头运动节奏，作较真实摇臂更理想的运动镜头拍摄效果3、理想轨迹摇臂功能：只需调入理想三维轨迹路径就可让摄像机取得比真实摇臂更理想的运动镜头拍摄效果。</w:t>
            </w:r>
          </w:p>
          <w:p>
            <w:pPr>
              <w:pStyle w:val="56"/>
              <w:spacing w:line="480" w:lineRule="exact"/>
              <w:ind w:left="12" w:right="1"/>
              <w:jc w:val="left"/>
              <w:rPr>
                <w:rFonts w:ascii="仿宋" w:hAnsi="仿宋" w:eastAsia="仿宋" w:cs="仿宋"/>
                <w:highlight w:val="none"/>
              </w:rPr>
            </w:pPr>
            <w:r>
              <w:rPr>
                <w:rFonts w:hint="eastAsia" w:ascii="仿宋" w:hAnsi="仿宋" w:eastAsia="仿宋" w:cs="仿宋"/>
                <w:highlight w:val="none"/>
              </w:rPr>
              <w:t>6.多轨迹曲线复合运动摇臂功能：可在播出界面实时调入一系列理想三维轨迹路径文件，并实时编排轨迹顺序，实现摄像机在不同时刻沿不同三维轨迹路径运动的取景拍摄效果</w:t>
            </w:r>
          </w:p>
          <w:p>
            <w:pPr>
              <w:widowControl/>
              <w:spacing w:line="480" w:lineRule="exact"/>
              <w:jc w:val="left"/>
              <w:rPr>
                <w:rFonts w:ascii="仿宋" w:hAnsi="仿宋" w:eastAsia="仿宋" w:cs="仿宋"/>
                <w:kern w:val="0"/>
                <w:sz w:val="22"/>
                <w:highlight w:val="none"/>
                <w:lang w:val="zh-CN" w:bidi="zh-CN"/>
              </w:rPr>
            </w:pPr>
            <w:r>
              <w:rPr>
                <w:rFonts w:hint="eastAsia" w:ascii="仿宋" w:hAnsi="仿宋" w:eastAsia="仿宋" w:cs="仿宋"/>
                <w:kern w:val="0"/>
                <w:sz w:val="22"/>
                <w:highlight w:val="none"/>
                <w:lang w:val="zh-CN" w:bidi="zh-CN"/>
              </w:rPr>
              <w:t>7.多种方式复合运动摇臂功能：可将键盘快捷方式摇臂功能、物理手柄摇臂功能和理想空间曲线功能配合使用。</w:t>
            </w:r>
          </w:p>
        </w:tc>
        <w:tc>
          <w:tcPr>
            <w:tcW w:w="308" w:type="pct"/>
            <w:vMerge w:val="continue"/>
            <w:tcBorders>
              <w:left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lef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741" w:type="pct"/>
            <w:vMerge w:val="continue"/>
            <w:tcBorders>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304" w:type="pct"/>
            <w:tcBorders>
              <w:top w:val="single" w:color="auto" w:sz="4" w:space="0"/>
              <w:left w:val="single" w:color="000000" w:sz="4" w:space="0"/>
              <w:bottom w:val="single" w:color="000000" w:sz="4" w:space="0"/>
              <w:right w:val="single" w:color="000000" w:sz="4" w:space="0"/>
            </w:tcBorders>
            <w:shd w:val="clear" w:color="auto" w:fill="auto"/>
            <w:noWrap/>
            <w:vAlign w:val="bottom"/>
          </w:tcPr>
          <w:p>
            <w:pPr>
              <w:spacing w:line="480" w:lineRule="exact"/>
              <w:jc w:val="left"/>
              <w:rPr>
                <w:rFonts w:ascii="仿宋" w:hAnsi="仿宋" w:eastAsia="仿宋" w:cs="仿宋"/>
                <w:sz w:val="22"/>
                <w:highlight w:val="none"/>
              </w:rPr>
            </w:pPr>
            <w:r>
              <w:rPr>
                <w:rFonts w:hint="eastAsia" w:ascii="仿宋" w:hAnsi="仿宋" w:eastAsia="仿宋" w:cs="仿宋"/>
                <w:kern w:val="0"/>
                <w:sz w:val="22"/>
                <w:highlight w:val="none"/>
              </w:rPr>
              <w:t>为用户量身定制具有本地元素的三维场景三幅</w:t>
            </w:r>
          </w:p>
        </w:tc>
        <w:tc>
          <w:tcPr>
            <w:tcW w:w="308" w:type="pct"/>
            <w:vMerge w:val="continue"/>
            <w:tcBorders>
              <w:left w:val="single" w:color="000000" w:sz="4" w:space="0"/>
              <w:bottom w:val="single" w:color="000000" w:sz="4" w:space="0"/>
              <w:right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c>
          <w:tcPr>
            <w:tcW w:w="385" w:type="pct"/>
            <w:vMerge w:val="continue"/>
            <w:tcBorders>
              <w:left w:val="single" w:color="000000" w:sz="4" w:space="0"/>
              <w:bottom w:val="single" w:color="000000" w:sz="4" w:space="0"/>
            </w:tcBorders>
            <w:shd w:val="clear" w:color="auto" w:fill="auto"/>
            <w:noWrap/>
            <w:vAlign w:val="center"/>
          </w:tcPr>
          <w:p>
            <w:pPr>
              <w:spacing w:line="480" w:lineRule="exact"/>
              <w:jc w:val="center"/>
              <w:rPr>
                <w:rFonts w:ascii="仿宋" w:hAnsi="仿宋" w:eastAsia="仿宋" w:cs="仿宋"/>
                <w:color w:val="000000"/>
                <w:sz w:val="22"/>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5000" w:type="pct"/>
            <w:gridSpan w:val="5"/>
            <w:tcBorders>
              <w:top w:val="single" w:color="000000" w:sz="4" w:space="0"/>
              <w:bottom w:val="single" w:color="000000" w:sz="4" w:space="0"/>
            </w:tcBorders>
            <w:shd w:val="clear" w:color="auto" w:fill="auto"/>
            <w:noWrap/>
            <w:vAlign w:val="bottom"/>
          </w:tcPr>
          <w:p>
            <w:pPr>
              <w:widowControl/>
              <w:spacing w:line="480" w:lineRule="exact"/>
              <w:jc w:val="left"/>
              <w:textAlignment w:val="bottom"/>
              <w:rPr>
                <w:rFonts w:ascii="仿宋" w:hAnsi="仿宋" w:eastAsia="仿宋" w:cs="仿宋"/>
                <w:b/>
                <w:bCs/>
                <w:color w:val="000000"/>
                <w:sz w:val="22"/>
                <w:highlight w:val="none"/>
              </w:rPr>
            </w:pPr>
            <w:r>
              <w:rPr>
                <w:rFonts w:hint="eastAsia" w:ascii="仿宋" w:hAnsi="仿宋" w:eastAsia="仿宋" w:cs="仿宋"/>
                <w:b/>
                <w:bCs/>
                <w:color w:val="000000"/>
                <w:kern w:val="0"/>
                <w:sz w:val="22"/>
                <w:highlight w:val="none"/>
              </w:rPr>
              <w:t>六、系统集成部分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60</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KVM切换器</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不少于8口KVM切换器，1U机架式抽拉设计，整合17寸LCD屏幕与KVM控制端切换器于单一抽拉式机身内，支持配备PS2或USB键盘和鼠标的服务器与控制端</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61</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42U标准机柜</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kern w:val="0"/>
                <w:sz w:val="22"/>
                <w:highlight w:val="none"/>
              </w:rPr>
              <w:t>19寸42U服务器机柜，1000mm深，600mm宽，配置16孔PDU电源*2，线槽，支架16对，绑线杆12个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62</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施工及材料费</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合同设备之间所需以太网线、跳线的铺设，端接，标识，调试</w:t>
            </w:r>
          </w:p>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合同内集成设备之间所需光纤、光纤跳线的铺设，熔接，标识，调试</w:t>
            </w:r>
          </w:p>
          <w:p>
            <w:pPr>
              <w:widowControl/>
              <w:spacing w:line="480" w:lineRule="exact"/>
              <w:jc w:val="left"/>
              <w:textAlignment w:val="bottom"/>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u w:val="none"/>
              </w:rPr>
              <w:t>设备之间所需线槽、跳线架、理线器、光纤耦合器、扎线等辅助材料</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color w:val="000000"/>
                <w:sz w:val="22"/>
                <w:highlight w:val="none"/>
              </w:rPr>
            </w:pPr>
            <w:r>
              <w:rPr>
                <w:rFonts w:hint="eastAsia" w:ascii="仿宋" w:hAnsi="仿宋" w:eastAsia="仿宋" w:cs="仿宋"/>
                <w:strike w:val="0"/>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tcBorders>
              <w:top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63</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集成服务</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实施计划交流服务</w:t>
            </w:r>
          </w:p>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进场前准备工作服务</w:t>
            </w:r>
          </w:p>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现场系统搭建服务</w:t>
            </w:r>
          </w:p>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现场软件部署服务</w:t>
            </w:r>
          </w:p>
          <w:p>
            <w:pPr>
              <w:widowControl/>
              <w:spacing w:line="480" w:lineRule="exact"/>
              <w:jc w:val="left"/>
              <w:textAlignment w:val="bottom"/>
              <w:rPr>
                <w:rFonts w:ascii="仿宋" w:hAnsi="仿宋" w:eastAsia="仿宋" w:cs="仿宋"/>
                <w:strike w:val="0"/>
                <w:dstrike w:val="0"/>
                <w:color w:val="000000"/>
                <w:kern w:val="0"/>
                <w:sz w:val="22"/>
                <w:highlight w:val="none"/>
              </w:rPr>
            </w:pPr>
            <w:r>
              <w:rPr>
                <w:rFonts w:hint="eastAsia" w:ascii="仿宋" w:hAnsi="仿宋" w:eastAsia="仿宋" w:cs="仿宋"/>
                <w:strike w:val="0"/>
                <w:dstrike w:val="0"/>
                <w:color w:val="000000"/>
                <w:kern w:val="0"/>
                <w:sz w:val="22"/>
                <w:highlight w:val="none"/>
              </w:rPr>
              <w:t>现场培训服务</w:t>
            </w:r>
          </w:p>
          <w:p>
            <w:pPr>
              <w:widowControl/>
              <w:spacing w:line="480" w:lineRule="exact"/>
              <w:jc w:val="left"/>
              <w:textAlignment w:val="bottom"/>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现场验收服务</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1</w:t>
            </w:r>
          </w:p>
        </w:tc>
        <w:tc>
          <w:tcPr>
            <w:tcW w:w="385" w:type="pct"/>
            <w:tcBorders>
              <w:top w:val="single" w:color="000000" w:sz="4" w:space="0"/>
              <w:left w:val="single" w:color="000000" w:sz="4" w:space="0"/>
              <w:bottom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strike w:val="0"/>
                <w:dstrike w:val="0"/>
                <w:color w:val="000000"/>
                <w:sz w:val="22"/>
                <w:highlight w:val="none"/>
              </w:rPr>
            </w:pPr>
            <w:r>
              <w:rPr>
                <w:rFonts w:hint="eastAsia" w:ascii="仿宋" w:hAnsi="仿宋" w:eastAsia="仿宋" w:cs="仿宋"/>
                <w:strike w:val="0"/>
                <w:dstrike w:val="0"/>
                <w:color w:val="000000"/>
                <w:kern w:val="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restart"/>
            <w:tcBorders>
              <w:top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64</w:t>
            </w:r>
          </w:p>
        </w:tc>
        <w:tc>
          <w:tcPr>
            <w:tcW w:w="741"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机房改造</w:t>
            </w:r>
          </w:p>
        </w:tc>
        <w:tc>
          <w:tcPr>
            <w:tcW w:w="3304"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LED影视平板灯</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额定功率：100W</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颜色：黑色</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外壳材质：铝合金</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灯珠数量：600颗 </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出光角度：120度</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显色指数：Ra≥95</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使用寿命：50000小时</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色温：3200K/5600K ±150K</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额定电压：AC 100-240V    50/60Hz</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通道数量：1个通道</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工作温度：-20℃至50℃</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存放温度：-20℃至60℃</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冷却系统：自然风冷散热</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调光功能：0%至100%无极调节</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链接方式：电源线in/out，信号线in/out</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信  号 线：三芯卡侬头输入，三芯卡侬头输出</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操       作：数码显示管控制地址码和相对照度</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控制协议：DMX512（1990版）调光和主机调光控制两种</w:t>
            </w:r>
          </w:p>
          <w:p>
            <w:pPr>
              <w:widowControl/>
              <w:spacing w:line="480" w:lineRule="exact"/>
              <w:jc w:val="left"/>
              <w:textAlignment w:val="bottom"/>
              <w:rPr>
                <w:rFonts w:ascii="仿宋" w:hAnsi="仿宋" w:eastAsia="仿宋" w:cs="仿宋"/>
                <w:color w:val="000000"/>
                <w:sz w:val="22"/>
                <w:highlight w:val="none"/>
              </w:rPr>
            </w:pPr>
            <w:r>
              <w:rPr>
                <w:rFonts w:hint="eastAsia" w:ascii="仿宋" w:hAnsi="仿宋" w:eastAsia="仿宋" w:cs="仿宋"/>
                <w:color w:val="000000"/>
                <w:sz w:val="22"/>
                <w:highlight w:val="none"/>
              </w:rPr>
              <w:t>照       度：3155LUX/1M、1023LUX/2M、572LUX/3M、349LUX/4M、240LUX/5M、173LUX/6M、61LUX/10M</w:t>
            </w:r>
          </w:p>
        </w:tc>
        <w:tc>
          <w:tcPr>
            <w:tcW w:w="30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30</w:t>
            </w:r>
          </w:p>
        </w:tc>
        <w:tc>
          <w:tcPr>
            <w:tcW w:w="385" w:type="pct"/>
            <w:tcBorders>
              <w:top w:val="single" w:color="000000" w:sz="4" w:space="0"/>
              <w:left w:val="single" w:color="000000" w:sz="4" w:space="0"/>
              <w:bottom w:val="single" w:color="auto" w:sz="4" w:space="0"/>
            </w:tcBorders>
            <w:shd w:val="clear" w:color="auto" w:fill="auto"/>
            <w:noWrap/>
            <w:vAlign w:val="center"/>
          </w:tcPr>
          <w:p>
            <w:pPr>
              <w:widowControl/>
              <w:spacing w:line="480" w:lineRule="exact"/>
              <w:jc w:val="center"/>
              <w:textAlignment w:val="center"/>
              <w:rPr>
                <w:rFonts w:ascii="仿宋" w:hAnsi="仿宋" w:eastAsia="仿宋" w:cs="仿宋"/>
                <w:color w:val="00000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LED聚光灯</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额定功率：100W</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颜  色：黑色</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外壳材质：铝型材</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使用寿命：50000小时</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驱动方式：恒流驱动3500mA</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额定电压：AC100V-240V/50-60HZ</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透镜直径：130mm</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显色指数：Ra≥92</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光束角度：15-60度</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发光效率：≥90Lm/W</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光学系统：聚焦菲涅尔透镜</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光  源：LED集成灯珠 70W/颗</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色  温：3200K/5600K（±150K）两种可选</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通道数量：1个通道</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冷却系统：对流传热</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工作温度：-20℃至50℃</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调光功能：0%至100%无极调节</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链接方式：电源线in，信号线in/out</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信号线：三芯卡侬头输入，三芯卡侬头输出</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操  作：数码显示管控制地址码和相对照度</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控制协议：国际标准DMX512信号，调光旋钮调光</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照  度：1m(13489Lux),2m(3266Lux),3m(1697Lux),4m(1047Lux),5m(688Lux),6m(497Lux),10m(198Lux)                       </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6</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调光台</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整机绝缘度≥10MΩ</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调光通道：24/512          </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集控通道：12</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场景储存：40              </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页面储存：7×80</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场景渐变时间：自动0.1秒到10秒,亦可手动</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走灯速度：0.1-10S/步       </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输出信号格式：DMX512/1990</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电源及频率：AC220V±10%/50HZ</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 xml:space="preserve">整机功耗：小于25W       </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工作温度：0-50℃</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铰链不小于1.5米</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定制</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6</w:t>
            </w:r>
          </w:p>
        </w:tc>
        <w:tc>
          <w:tcPr>
            <w:tcW w:w="385" w:type="pct"/>
            <w:tcBorders>
              <w:top w:val="single" w:color="auto" w:sz="4" w:space="0"/>
              <w:left w:val="single" w:color="000000" w:sz="4" w:space="0"/>
              <w:bottom w:val="single" w:color="auto" w:sz="4" w:space="0"/>
            </w:tcBorders>
            <w:shd w:val="clear" w:color="auto" w:fill="auto"/>
            <w:noWrap/>
            <w:vAlign w:val="center"/>
          </w:tcPr>
          <w:p>
            <w:pPr>
              <w:widowControl/>
              <w:spacing w:line="480" w:lineRule="exact"/>
              <w:jc w:val="center"/>
              <w:rPr>
                <w:rFonts w:ascii="仿宋" w:hAnsi="仿宋" w:eastAsia="仿宋" w:cs="仿宋"/>
                <w:color w:val="000000"/>
                <w:kern w:val="0"/>
                <w:sz w:val="22"/>
                <w:highlight w:val="none"/>
              </w:rPr>
            </w:pPr>
            <w:r>
              <w:rPr>
                <w:rFonts w:hint="eastAsia" w:ascii="仿宋" w:hAnsi="仿宋" w:eastAsia="仿宋" w:cs="仿宋"/>
                <w:color w:val="00000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演播室灯具专用阻燃电缆线</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ZR-RVV3×4 mm2规  格：3*4 mm2,</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材  质：ZR-RVV：阻燃聚氯乙烯绝缘及黑色护套软电线，无氧铜丝，电压等级300/300，阻燃电缆的高聚物材料氧指数均在28～33之间，电缆的阻燃性能符合IEC60332-3标准规定</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300</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演播室灯具专用阻燃信号屏蔽线</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ZR-RVVP2×0.5mm2演播室灯具专用阻燃信号屏蔽线，军工品质，</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规   格：2*0.5 mm2,</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材   质：ZR-RVV：阻燃聚氯乙烯绝缘及黑色护套软电线，无氧铜丝，带屏蔽网，电压等级300/300，阻燃电缆的高聚物材料氧指数均在28～33之间，电缆的阻燃性能符合IEC60332-3标准规定</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300</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灯具滑车</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主要用于固定灯具，可以在铝合金轨道上随意滑动</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36</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电线滑车</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电线滑车、线缆滑车，用于固定电源线和信号线，避免线缆杂乱，同时可以在铝合金轨道上左右滑动。电缆滑车其材质为铸钢材质；滑轮部分使用的是ABS工程塑料</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50</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螺旋线缆保护套</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黑色，保护外径是 50~60mm，每根标准长度为2米，应用领域：24路调光台输出输入电源线保护套</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300</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提词器含笔记本</w:t>
            </w:r>
          </w:p>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 笔记本配置：不低于CPU：i5 内存：16G 固态：512GSSD。</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 系统要求字色、底色256色任意搭配，男女播音员可分别选择不同的背景色和字色方便男女播音员选择自己的播音词,字体和字的大小任意选择，可选多种角色，以区分男角女角或更多播音角色.</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 文稿录入、编辑方便，操作简单，自动完成排版,支持txt、rtf、word等格式文本，并支持直接打开图片，word，PPT，视频等文件。</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4 分别采用监视器和高分辨率的彩显，清晰度高，字迹清晰。可台内外联网。可与文稿摄像方式联用，组成二合一型。适用于各电视台演播室的录、直播节目需要。文稿字迹明亮清晰支持自定义不同角色的字号、字体、颜色显示。</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5 段落格式，项目符号，缩进，行间距都可以设置。日期时间随时插入演播稿。</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6 系统自动记录演播稿，当发生异常停电事故后再加电时自动寻找并且打开演播稿，并保证演播稿的完整性。</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7 相对滚动时间、当前时间可同屏显示，任意设置大小、颜色，一目了然，更易把握节奏；重要语句可通过颜色标明.</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8 内容实时更新，更新过程播出不中断、不闪烁，更新速度快。</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9 控制方式，键盘、鼠标、控制手柄均可，字幕速度变化范围可随意调节，前后跳段翻页方便自如；播音稿的行进速度可由播音员自己通过手柄控制，可单、双人控制</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10 采用多层宽带介质分光膜（硬膜）玻璃，厚度仅为2mm，光损失率在3%以下.</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11 彩色液晶平板显示器，清晰度高， 配套19-22寸显示器（与提词器尺寸对应）， 软件解决双屏正像问题，使播音员和技术区操作方便直观。</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12 形式多样化，可将微机和摄像两种方式合二为一，相互切换，以适应应急新闻的播出.</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rPr>
                <w:rFonts w:ascii="仿宋" w:hAnsi="仿宋" w:eastAsia="仿宋" w:cs="仿宋"/>
                <w:color w:val="000000"/>
                <w:sz w:val="22"/>
                <w:highlight w:val="none"/>
              </w:rPr>
            </w:pPr>
            <w:r>
              <w:rPr>
                <w:rFonts w:hint="eastAsia" w:ascii="仿宋" w:hAnsi="仿宋" w:eastAsia="仿宋" w:cs="仿宋"/>
                <w:color w:val="000000"/>
                <w:sz w:val="22"/>
                <w:highlight w:val="none"/>
              </w:rPr>
              <w:t>播音话筒</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频率范围：20—20000 Hz</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声压级：138dB</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阻抗：150Ω</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灵敏度度：-34dB(20mV/Pa)</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工作电压：DC11-52V</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指向性：超心型</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信噪比：≥78dB</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竹炭墙面</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防水，防霉，纳米级防水镀膜，阻燃基材，抑菌防污，耐磨防刮，产品材质，竹木纤维，规格600mm*1200mm板材厚度，5mm/8mm/9mm实心</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390</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平方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玻纤吸音板吊顶</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规格600*600材芯岩棉，吸音</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厚度20mm</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抗压强度13MPa</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使用温度常温</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导热系数0.034</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230</w:t>
            </w:r>
          </w:p>
        </w:tc>
        <w:tc>
          <w:tcPr>
            <w:tcW w:w="385" w:type="pct"/>
            <w:tcBorders>
              <w:top w:val="single" w:color="auto" w:sz="4" w:space="0"/>
              <w:left w:val="single" w:color="000000" w:sz="4" w:space="0"/>
              <w:bottom w:val="single" w:color="auto"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平方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门禁系统及玻璃门</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智能人脸识别系统，活体检测防止代打，动态识别认证，5英寸，IPS高清触摸屏，多点触摸，广角度识别，光学指纹采集器，10万大容量存储，1.6米内识别，支持WIFI通讯，实时生成网络报表。</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5</w:t>
            </w:r>
          </w:p>
        </w:tc>
        <w:tc>
          <w:tcPr>
            <w:tcW w:w="385" w:type="pct"/>
            <w:tcBorders>
              <w:top w:val="single" w:color="auto" w:sz="4" w:space="0"/>
              <w:left w:val="single" w:color="000000" w:sz="4" w:space="0"/>
              <w:bottom w:val="single" w:color="auto" w:sz="4" w:space="0"/>
            </w:tcBorders>
            <w:shd w:val="clear" w:color="auto" w:fill="auto"/>
            <w:noWrap/>
            <w:vAlign w:val="center"/>
          </w:tcPr>
          <w:p>
            <w:pPr>
              <w:widowControl/>
              <w:spacing w:line="480" w:lineRule="exact"/>
              <w:jc w:val="center"/>
              <w:rPr>
                <w:rFonts w:ascii="仿宋" w:hAnsi="仿宋" w:eastAsia="仿宋" w:cs="仿宋"/>
                <w:color w:val="000000"/>
                <w:kern w:val="0"/>
                <w:sz w:val="22"/>
                <w:highlight w:val="none"/>
              </w:rPr>
            </w:pPr>
            <w:r>
              <w:rPr>
                <w:rFonts w:hint="eastAsia" w:ascii="仿宋" w:hAnsi="仿宋" w:eastAsia="仿宋" w:cs="仿宋"/>
                <w:color w:val="00000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弱电控制箱</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加厚优质冷轧钢材质，金属烤漆，支持上下，左/右侧走线，零地线排；加宽加厚20mm*20mm铜排，通过100A电流，温度升高小于，1度，输入输出断路器，输入电源220伏，22个空开位</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2</w:t>
            </w:r>
          </w:p>
        </w:tc>
        <w:tc>
          <w:tcPr>
            <w:tcW w:w="385" w:type="pct"/>
            <w:tcBorders>
              <w:top w:val="single" w:color="auto" w:sz="4" w:space="0"/>
              <w:left w:val="single" w:color="000000" w:sz="4" w:space="0"/>
              <w:bottom w:val="single" w:color="auto" w:sz="4" w:space="0"/>
            </w:tcBorders>
            <w:shd w:val="clear" w:color="auto" w:fill="auto"/>
            <w:noWrap/>
            <w:vAlign w:val="center"/>
          </w:tcPr>
          <w:p>
            <w:pPr>
              <w:widowControl/>
              <w:spacing w:line="480" w:lineRule="exact"/>
              <w:jc w:val="center"/>
              <w:rPr>
                <w:rFonts w:ascii="仿宋" w:hAnsi="仿宋" w:eastAsia="仿宋" w:cs="仿宋"/>
                <w:color w:val="000000"/>
                <w:kern w:val="0"/>
                <w:sz w:val="22"/>
                <w:highlight w:val="none"/>
              </w:rPr>
            </w:pPr>
            <w:r>
              <w:rPr>
                <w:rFonts w:hint="eastAsia" w:ascii="仿宋" w:hAnsi="仿宋" w:eastAsia="仿宋" w:cs="仿宋"/>
                <w:color w:val="000000"/>
                <w:sz w:val="22"/>
                <w:highlight w:val="none"/>
              </w:rPr>
              <w:t>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木地板</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环保多层实木复合15mm木地板，规格长1060mm*127mm厚15mm，</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70</w:t>
            </w:r>
          </w:p>
        </w:tc>
        <w:tc>
          <w:tcPr>
            <w:tcW w:w="385" w:type="pct"/>
            <w:tcBorders>
              <w:top w:val="single" w:color="auto" w:sz="4" w:space="0"/>
              <w:left w:val="single" w:color="000000" w:sz="4" w:space="0"/>
              <w:bottom w:val="single" w:color="auto" w:sz="4" w:space="0"/>
            </w:tcBorders>
            <w:shd w:val="clear" w:color="auto" w:fill="auto"/>
            <w:noWrap/>
            <w:vAlign w:val="center"/>
          </w:tcPr>
          <w:p>
            <w:pPr>
              <w:widowControl/>
              <w:spacing w:line="480" w:lineRule="exact"/>
              <w:jc w:val="center"/>
              <w:rPr>
                <w:rFonts w:ascii="仿宋" w:hAnsi="仿宋" w:eastAsia="仿宋" w:cs="仿宋"/>
                <w:color w:val="000000"/>
                <w:kern w:val="0"/>
                <w:sz w:val="22"/>
                <w:highlight w:val="none"/>
              </w:rPr>
            </w:pPr>
            <w:r>
              <w:rPr>
                <w:rFonts w:hint="eastAsia" w:ascii="仿宋" w:hAnsi="仿宋" w:eastAsia="仿宋" w:cs="仿宋"/>
                <w:color w:val="000000"/>
                <w:sz w:val="22"/>
                <w:highlight w:val="none"/>
              </w:rPr>
              <w:t>平方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bottom w:val="single" w:color="auto"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防静电地板</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规格600*600象牙白  钢板厚度上0.4mm/下0.5mm,有效载荷700千克，支架配比：3.3/平方 螺丝配比：10.4/平方</w:t>
            </w:r>
          </w:p>
        </w:tc>
        <w:tc>
          <w:tcPr>
            <w:tcW w:w="30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130</w:t>
            </w:r>
          </w:p>
        </w:tc>
        <w:tc>
          <w:tcPr>
            <w:tcW w:w="385" w:type="pct"/>
            <w:tcBorders>
              <w:top w:val="single" w:color="auto" w:sz="4" w:space="0"/>
              <w:left w:val="single" w:color="000000" w:sz="4" w:space="0"/>
              <w:bottom w:val="single" w:color="auto" w:sz="4" w:space="0"/>
            </w:tcBorders>
            <w:shd w:val="clear" w:color="auto" w:fill="auto"/>
            <w:noWrap/>
            <w:vAlign w:val="center"/>
          </w:tcPr>
          <w:p>
            <w:pPr>
              <w:widowControl/>
              <w:spacing w:line="480" w:lineRule="exact"/>
              <w:jc w:val="center"/>
              <w:rPr>
                <w:rFonts w:ascii="仿宋" w:hAnsi="仿宋" w:eastAsia="仿宋" w:cs="仿宋"/>
                <w:color w:val="000000"/>
                <w:kern w:val="0"/>
                <w:sz w:val="22"/>
                <w:highlight w:val="none"/>
              </w:rPr>
            </w:pPr>
            <w:r>
              <w:rPr>
                <w:rFonts w:hint="eastAsia" w:ascii="仿宋" w:hAnsi="仿宋" w:eastAsia="仿宋" w:cs="仿宋"/>
                <w:color w:val="000000"/>
                <w:sz w:val="22"/>
                <w:highlight w:val="none"/>
              </w:rPr>
              <w:t>平方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260" w:type="pct"/>
            <w:vMerge w:val="continue"/>
            <w:tcBorders>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741" w:type="pct"/>
            <w:vMerge w:val="continue"/>
            <w:tcBorders>
              <w:left w:val="single" w:color="000000" w:sz="4" w:space="0"/>
              <w:right w:val="single" w:color="000000" w:sz="4" w:space="0"/>
            </w:tcBorders>
            <w:shd w:val="clear" w:color="auto" w:fill="auto"/>
            <w:noWrap/>
            <w:vAlign w:val="center"/>
          </w:tcPr>
          <w:p>
            <w:pPr>
              <w:widowControl/>
              <w:spacing w:line="480" w:lineRule="exact"/>
              <w:jc w:val="center"/>
              <w:textAlignment w:val="center"/>
              <w:rPr>
                <w:rFonts w:ascii="仿宋" w:hAnsi="仿宋" w:eastAsia="仿宋" w:cs="仿宋"/>
                <w:color w:val="000000"/>
                <w:kern w:val="0"/>
                <w:sz w:val="22"/>
                <w:highlight w:val="none"/>
              </w:rPr>
            </w:pPr>
          </w:p>
        </w:tc>
        <w:tc>
          <w:tcPr>
            <w:tcW w:w="3304" w:type="pct"/>
            <w:tcBorders>
              <w:top w:val="single" w:color="auto" w:sz="4" w:space="0"/>
              <w:left w:val="single" w:color="000000" w:sz="4" w:space="0"/>
              <w:right w:val="single" w:color="000000" w:sz="4" w:space="0"/>
            </w:tcBorders>
            <w:shd w:val="clear" w:color="auto" w:fill="auto"/>
            <w:noWrap/>
            <w:vAlign w:val="bottom"/>
          </w:tcPr>
          <w:p>
            <w:pPr>
              <w:widowControl/>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演播室墙裙聚酯纤维板</w:t>
            </w:r>
          </w:p>
          <w:p>
            <w:pPr>
              <w:spacing w:line="480" w:lineRule="exact"/>
              <w:jc w:val="left"/>
              <w:textAlignment w:val="bottom"/>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聚酯纤维吸音板，E0级标准，强效吸音，环保材料，耐磨损，抗冲击，B1级阻燃基材，</w:t>
            </w:r>
          </w:p>
        </w:tc>
        <w:tc>
          <w:tcPr>
            <w:tcW w:w="308" w:type="pct"/>
            <w:tcBorders>
              <w:top w:val="single" w:color="auto" w:sz="4" w:space="0"/>
              <w:left w:val="single" w:color="000000" w:sz="4" w:space="0"/>
              <w:right w:val="single" w:color="000000" w:sz="4" w:space="0"/>
            </w:tcBorders>
            <w:shd w:val="clear" w:color="auto" w:fill="auto"/>
            <w:noWrap/>
            <w:vAlign w:val="center"/>
          </w:tcPr>
          <w:p>
            <w:pPr>
              <w:spacing w:line="480" w:lineRule="exact"/>
              <w:jc w:val="center"/>
              <w:textAlignment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35</w:t>
            </w:r>
          </w:p>
        </w:tc>
        <w:tc>
          <w:tcPr>
            <w:tcW w:w="385" w:type="pct"/>
            <w:tcBorders>
              <w:top w:val="single" w:color="auto" w:sz="4" w:space="0"/>
              <w:left w:val="single" w:color="000000" w:sz="4" w:space="0"/>
            </w:tcBorders>
            <w:shd w:val="clear" w:color="auto" w:fill="auto"/>
            <w:noWrap/>
            <w:vAlign w:val="center"/>
          </w:tcPr>
          <w:p>
            <w:pPr>
              <w:widowControl/>
              <w:spacing w:line="480" w:lineRule="exact"/>
              <w:jc w:val="center"/>
              <w:rPr>
                <w:rFonts w:ascii="仿宋" w:hAnsi="仿宋" w:eastAsia="仿宋" w:cs="仿宋"/>
                <w:color w:val="000000"/>
                <w:kern w:val="0"/>
                <w:sz w:val="22"/>
                <w:highlight w:val="none"/>
              </w:rPr>
            </w:pPr>
            <w:r>
              <w:rPr>
                <w:rFonts w:hint="eastAsia" w:ascii="仿宋" w:hAnsi="仿宋" w:eastAsia="仿宋" w:cs="仿宋"/>
                <w:color w:val="000000"/>
                <w:sz w:val="22"/>
                <w:highlight w:val="none"/>
              </w:rPr>
              <w:t>平方</w:t>
            </w:r>
          </w:p>
        </w:tc>
      </w:tr>
    </w:tbl>
    <w:p>
      <w:pPr>
        <w:pStyle w:val="3"/>
        <w:spacing w:line="360" w:lineRule="auto"/>
        <w:rPr>
          <w:rFonts w:ascii="仿宋" w:hAnsi="仿宋" w:eastAsia="仿宋" w:cs="仿宋"/>
          <w:highlight w:val="none"/>
        </w:rPr>
        <w:sectPr>
          <w:footerReference r:id="rId16" w:type="first"/>
          <w:pgSz w:w="11905" w:h="16840"/>
          <w:pgMar w:top="1417" w:right="1417" w:bottom="1417" w:left="1417" w:header="935" w:footer="907" w:gutter="0"/>
          <w:cols w:space="0" w:num="1"/>
          <w:titlePg/>
          <w:docGrid w:linePitch="312" w:charSpace="0"/>
        </w:sectPr>
      </w:pPr>
    </w:p>
    <w:p>
      <w:pPr>
        <w:pStyle w:val="3"/>
        <w:spacing w:line="360" w:lineRule="auto"/>
        <w:jc w:val="center"/>
        <w:rPr>
          <w:rFonts w:ascii="仿宋" w:hAnsi="仿宋" w:eastAsia="仿宋" w:cs="仿宋"/>
          <w:highlight w:val="none"/>
        </w:rPr>
      </w:pPr>
      <w:bookmarkStart w:id="109" w:name="_Toc24102"/>
      <w:r>
        <w:rPr>
          <w:rFonts w:hint="eastAsia" w:ascii="仿宋" w:hAnsi="仿宋" w:eastAsia="仿宋" w:cs="仿宋"/>
          <w:highlight w:val="none"/>
        </w:rPr>
        <w:t>第四章  商务要求</w:t>
      </w:r>
      <w:bookmarkEnd w:id="109"/>
    </w:p>
    <w:p>
      <w:pPr>
        <w:spacing w:line="560" w:lineRule="exact"/>
        <w:rPr>
          <w:rFonts w:ascii="仿宋" w:hAnsi="仿宋" w:eastAsia="仿宋" w:cs="仿宋"/>
          <w:szCs w:val="24"/>
          <w:highlight w:val="none"/>
        </w:rPr>
      </w:pPr>
      <w:r>
        <w:rPr>
          <w:rFonts w:hint="eastAsia" w:ascii="仿宋" w:hAnsi="仿宋" w:eastAsia="仿宋" w:cs="仿宋"/>
          <w:b/>
          <w:szCs w:val="24"/>
          <w:highlight w:val="none"/>
        </w:rPr>
        <w:t>一、交货期及地点：</w:t>
      </w:r>
    </w:p>
    <w:p>
      <w:pPr>
        <w:adjustRightInd w:val="0"/>
        <w:snapToGrid w:val="0"/>
        <w:spacing w:line="560" w:lineRule="exact"/>
        <w:ind w:firstLine="600" w:firstLineChars="250"/>
        <w:rPr>
          <w:rFonts w:ascii="仿宋" w:hAnsi="仿宋" w:eastAsia="仿宋" w:cs="仿宋"/>
          <w:szCs w:val="24"/>
          <w:highlight w:val="none"/>
        </w:rPr>
      </w:pPr>
      <w:bookmarkStart w:id="110" w:name="_Toc167714037"/>
      <w:bookmarkStart w:id="111" w:name="_Toc167712839"/>
      <w:bookmarkStart w:id="112" w:name="_Toc167715234"/>
      <w:r>
        <w:rPr>
          <w:rFonts w:hint="eastAsia" w:ascii="仿宋" w:hAnsi="仿宋" w:eastAsia="仿宋" w:cs="仿宋"/>
          <w:szCs w:val="24"/>
          <w:highlight w:val="none"/>
        </w:rPr>
        <w:t>1、 交货期：</w:t>
      </w:r>
      <w:bookmarkEnd w:id="110"/>
      <w:bookmarkEnd w:id="111"/>
      <w:bookmarkEnd w:id="112"/>
      <w:r>
        <w:rPr>
          <w:rFonts w:hint="eastAsia" w:ascii="仿宋" w:hAnsi="仿宋" w:eastAsia="仿宋" w:cs="仿宋"/>
          <w:szCs w:val="24"/>
          <w:highlight w:val="none"/>
        </w:rPr>
        <w:t>自合同签订之日起60个工作日内交付完毕。</w:t>
      </w:r>
    </w:p>
    <w:p>
      <w:pPr>
        <w:adjustRightInd w:val="0"/>
        <w:snapToGrid w:val="0"/>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2、 交货地点：西安市高陵区融媒体中心（区广播电视台）指定地点。</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二、包装、运输、安装、调试及培训要求：</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ascii="仿宋" w:hAnsi="仿宋" w:eastAsia="仿宋" w:cs="仿宋"/>
          <w:kern w:val="0"/>
          <w:szCs w:val="24"/>
          <w:highlight w:val="none"/>
        </w:rPr>
      </w:pPr>
      <w:r>
        <w:rPr>
          <w:rFonts w:hint="eastAsia" w:ascii="仿宋" w:hAnsi="仿宋" w:eastAsia="仿宋" w:cs="仿宋"/>
          <w:szCs w:val="24"/>
          <w:highlight w:val="none"/>
        </w:rPr>
        <w:t>2、运输：</w:t>
      </w:r>
      <w:r>
        <w:rPr>
          <w:rFonts w:hint="eastAsia" w:ascii="仿宋" w:hAnsi="仿宋" w:eastAsia="仿宋" w:cs="仿宋"/>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ascii="仿宋" w:hAnsi="仿宋" w:eastAsia="仿宋" w:cs="仿宋"/>
          <w:szCs w:val="24"/>
          <w:highlight w:val="none"/>
        </w:rPr>
      </w:pPr>
      <w:r>
        <w:rPr>
          <w:rFonts w:hint="eastAsia" w:ascii="仿宋" w:hAnsi="仿宋" w:eastAsia="仿宋" w:cs="仿宋"/>
          <w:kern w:val="0"/>
          <w:szCs w:val="24"/>
          <w:highlight w:val="none"/>
        </w:rPr>
        <w:t>3、安装、调试及培训：中标人负责所有设备的安装、调试、培训工作，所有费用一次包死在总价内。</w:t>
      </w:r>
      <w:bookmarkStart w:id="113" w:name="_Toc167715259"/>
      <w:bookmarkStart w:id="114" w:name="_Toc167712864"/>
      <w:bookmarkStart w:id="115" w:name="_Toc167714062"/>
      <w:r>
        <w:rPr>
          <w:rFonts w:hint="eastAsia" w:ascii="仿宋" w:hAnsi="仿宋" w:eastAsia="仿宋" w:cs="仿宋"/>
          <w:szCs w:val="24"/>
          <w:highlight w:val="none"/>
        </w:rPr>
        <w:t>每套设备安装调试完毕后，中标人必须安排技术人员对使用单位的设备管理人员进行操作应用及维护保养方面的技能培训</w:t>
      </w:r>
      <w:bookmarkEnd w:id="113"/>
      <w:bookmarkEnd w:id="114"/>
      <w:bookmarkEnd w:id="115"/>
      <w:r>
        <w:rPr>
          <w:rFonts w:hint="eastAsia" w:ascii="仿宋" w:hAnsi="仿宋" w:eastAsia="仿宋" w:cs="仿宋"/>
          <w:szCs w:val="24"/>
          <w:highlight w:val="none"/>
        </w:rPr>
        <w:t>，使其掌握基本技能。</w:t>
      </w:r>
    </w:p>
    <w:p>
      <w:pPr>
        <w:adjustRightInd w:val="0"/>
        <w:snapToGrid w:val="0"/>
        <w:spacing w:line="560" w:lineRule="exact"/>
        <w:rPr>
          <w:rFonts w:ascii="仿宋" w:hAnsi="仿宋" w:eastAsia="仿宋" w:cs="仿宋"/>
          <w:b/>
          <w:szCs w:val="24"/>
          <w:highlight w:val="none"/>
          <w:u w:val="wavyHeavy" w:color="FF0000"/>
        </w:rPr>
      </w:pPr>
      <w:r>
        <w:rPr>
          <w:rFonts w:hint="eastAsia" w:ascii="仿宋" w:hAnsi="仿宋" w:eastAsia="仿宋" w:cs="仿宋"/>
          <w:b/>
          <w:szCs w:val="24"/>
          <w:highlight w:val="none"/>
        </w:rPr>
        <w:t>三、付款方式：</w:t>
      </w:r>
    </w:p>
    <w:p>
      <w:pPr>
        <w:tabs>
          <w:tab w:val="left" w:pos="3918"/>
        </w:tabs>
        <w:adjustRightInd w:val="0"/>
        <w:snapToGrid w:val="0"/>
        <w:spacing w:line="560" w:lineRule="exact"/>
        <w:ind w:firstLine="480" w:firstLineChars="200"/>
        <w:rPr>
          <w:rFonts w:ascii="仿宋" w:hAnsi="仿宋" w:eastAsia="仿宋" w:cs="仿宋"/>
          <w:szCs w:val="24"/>
          <w:highlight w:val="none"/>
        </w:rPr>
      </w:pPr>
      <w:bookmarkStart w:id="116" w:name="_Toc167715237"/>
      <w:bookmarkStart w:id="117" w:name="_Toc167712842"/>
      <w:bookmarkStart w:id="118" w:name="_Toc167714040"/>
      <w:r>
        <w:rPr>
          <w:rFonts w:hint="eastAsia" w:ascii="仿宋" w:hAnsi="仿宋" w:eastAsia="仿宋" w:cs="仿宋"/>
          <w:szCs w:val="24"/>
          <w:highlight w:val="none"/>
        </w:rPr>
        <w:t>双方自行协商。</w:t>
      </w:r>
    </w:p>
    <w:p>
      <w:pPr>
        <w:adjustRightInd w:val="0"/>
        <w:snapToGrid w:val="0"/>
        <w:spacing w:line="560" w:lineRule="exact"/>
        <w:rPr>
          <w:rFonts w:ascii="仿宋" w:hAnsi="仿宋" w:eastAsia="仿宋" w:cs="仿宋"/>
          <w:b/>
          <w:szCs w:val="24"/>
          <w:highlight w:val="none"/>
        </w:rPr>
      </w:pPr>
      <w:r>
        <w:rPr>
          <w:rFonts w:hint="eastAsia" w:ascii="仿宋" w:hAnsi="仿宋" w:eastAsia="仿宋" w:cs="仿宋"/>
          <w:b/>
          <w:szCs w:val="24"/>
          <w:highlight w:val="none"/>
        </w:rPr>
        <w:t>四、验收</w:t>
      </w:r>
      <w:bookmarkEnd w:id="116"/>
      <w:bookmarkEnd w:id="117"/>
      <w:bookmarkEnd w:id="118"/>
      <w:bookmarkStart w:id="119" w:name="_Toc167712843"/>
      <w:bookmarkStart w:id="120" w:name="_Toc167715238"/>
      <w:bookmarkStart w:id="121" w:name="_Toc167714041"/>
      <w:r>
        <w:rPr>
          <w:rFonts w:hint="eastAsia" w:ascii="仿宋" w:hAnsi="仿宋" w:eastAsia="仿宋" w:cs="仿宋"/>
          <w:b/>
          <w:szCs w:val="24"/>
          <w:highlight w:val="none"/>
        </w:rPr>
        <w:t>:</w:t>
      </w:r>
      <w:r>
        <w:rPr>
          <w:rFonts w:hint="eastAsia" w:ascii="仿宋" w:hAnsi="仿宋" w:eastAsia="仿宋" w:cs="仿宋"/>
          <w:b/>
          <w:szCs w:val="24"/>
          <w:highlight w:val="none"/>
        </w:rPr>
        <w:tab/>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1、项目验收分初验和终验:</w:t>
      </w:r>
      <w:bookmarkEnd w:id="119"/>
      <w:bookmarkEnd w:id="120"/>
      <w:bookmarkEnd w:id="121"/>
      <w:bookmarkStart w:id="122" w:name="_Toc167715239"/>
      <w:bookmarkStart w:id="123" w:name="_Toc167712844"/>
      <w:bookmarkStart w:id="124" w:name="_Toc167714042"/>
    </w:p>
    <w:bookmarkEnd w:id="122"/>
    <w:bookmarkEnd w:id="123"/>
    <w:bookmarkEnd w:id="124"/>
    <w:p>
      <w:pPr>
        <w:spacing w:line="560" w:lineRule="exact"/>
        <w:ind w:firstLine="480" w:firstLineChars="200"/>
        <w:rPr>
          <w:rFonts w:ascii="仿宋" w:hAnsi="仿宋" w:eastAsia="仿宋" w:cs="仿宋"/>
          <w:szCs w:val="24"/>
          <w:highlight w:val="none"/>
        </w:rPr>
      </w:pPr>
      <w:bookmarkStart w:id="125" w:name="_Toc167712846"/>
      <w:bookmarkStart w:id="126" w:name="_Toc167715241"/>
      <w:bookmarkStart w:id="127" w:name="_Toc167714044"/>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终验：所有货物(设备)安装、调试完毕，正常使用30个日历日后，由采购人进行终验（最终验收），合格后签发《终验合格单》。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3、验收依据</w:t>
      </w:r>
      <w:bookmarkEnd w:id="125"/>
      <w:bookmarkEnd w:id="126"/>
      <w:bookmarkEnd w:id="127"/>
      <w:bookmarkStart w:id="128" w:name="_Toc167714045"/>
      <w:bookmarkStart w:id="129" w:name="_Toc167715242"/>
      <w:bookmarkStart w:id="130" w:name="_Toc167712847"/>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（1）合同文本及合同补充文件（条款）</w:t>
      </w:r>
      <w:bookmarkEnd w:id="128"/>
      <w:bookmarkEnd w:id="129"/>
      <w:bookmarkEnd w:id="130"/>
      <w:r>
        <w:rPr>
          <w:rFonts w:hint="eastAsia" w:ascii="仿宋" w:hAnsi="仿宋" w:eastAsia="仿宋" w:cs="仿宋"/>
          <w:szCs w:val="24"/>
          <w:highlight w:val="none"/>
        </w:rPr>
        <w:t xml:space="preserve">；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spacing w:line="560" w:lineRule="exact"/>
        <w:ind w:firstLine="482" w:firstLineChars="200"/>
        <w:rPr>
          <w:rFonts w:ascii="仿宋" w:hAnsi="仿宋" w:eastAsia="仿宋" w:cs="仿宋"/>
          <w:b/>
          <w:szCs w:val="24"/>
          <w:highlight w:val="none"/>
        </w:rPr>
      </w:pPr>
      <w:bookmarkStart w:id="131" w:name="_Toc167712849"/>
      <w:bookmarkStart w:id="132" w:name="_Toc167715244"/>
      <w:bookmarkStart w:id="133" w:name="_Toc167714047"/>
      <w:r>
        <w:rPr>
          <w:rFonts w:hint="eastAsia" w:ascii="仿宋" w:hAnsi="仿宋" w:eastAsia="仿宋" w:cs="仿宋"/>
          <w:b/>
          <w:szCs w:val="24"/>
          <w:highlight w:val="none"/>
        </w:rPr>
        <w:t>五、</w:t>
      </w:r>
      <w:bookmarkEnd w:id="131"/>
      <w:bookmarkEnd w:id="132"/>
      <w:bookmarkEnd w:id="133"/>
      <w:bookmarkStart w:id="134" w:name="_Toc167714051"/>
      <w:bookmarkStart w:id="135" w:name="_Toc167715248"/>
      <w:bookmarkStart w:id="136" w:name="_Toc167712853"/>
      <w:r>
        <w:rPr>
          <w:rFonts w:hint="eastAsia" w:ascii="仿宋" w:hAnsi="仿宋" w:eastAsia="仿宋" w:cs="仿宋"/>
          <w:b/>
          <w:szCs w:val="24"/>
          <w:highlight w:val="none"/>
        </w:rPr>
        <w:t>质量保证</w:t>
      </w:r>
      <w:bookmarkEnd w:id="134"/>
      <w:bookmarkEnd w:id="135"/>
      <w:bookmarkEnd w:id="136"/>
    </w:p>
    <w:p>
      <w:pPr>
        <w:spacing w:line="560" w:lineRule="exact"/>
        <w:ind w:firstLine="472" w:firstLineChars="196"/>
        <w:rPr>
          <w:rFonts w:ascii="仿宋" w:hAnsi="仿宋" w:eastAsia="仿宋" w:cs="仿宋"/>
          <w:szCs w:val="24"/>
          <w:highlight w:val="none"/>
        </w:rPr>
      </w:pPr>
      <w:bookmarkStart w:id="137" w:name="_Toc167714055"/>
      <w:bookmarkStart w:id="138" w:name="_Toc167712857"/>
      <w:bookmarkStart w:id="139" w:name="_Toc167715252"/>
      <w:r>
        <w:rPr>
          <w:rFonts w:hint="eastAsia" w:ascii="仿宋" w:hAnsi="仿宋" w:eastAsia="仿宋" w:cs="仿宋"/>
          <w:b/>
          <w:szCs w:val="24"/>
          <w:highlight w:val="none"/>
        </w:rPr>
        <w:t>1、质保期为终验合格后不少于12个月。</w:t>
      </w:r>
      <w:r>
        <w:rPr>
          <w:rFonts w:hint="eastAsia" w:ascii="仿宋" w:hAnsi="仿宋" w:eastAsia="仿宋" w:cs="仿宋"/>
          <w:kern w:val="0"/>
          <w:szCs w:val="24"/>
          <w:highlight w:val="none"/>
        </w:rPr>
        <w:t>中标人承诺的质保时间超过招标文件要求的，按其承诺时间质保。</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2、中标人承诺的质保期起始时间为终验合格之日。</w:t>
      </w:r>
      <w:bookmarkStart w:id="140" w:name="_Toc167712855"/>
      <w:bookmarkStart w:id="141" w:name="_Toc167715250"/>
      <w:bookmarkStart w:id="142" w:name="_Toc167714053"/>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3、所有产品质量必须符合国家有关规范和相关政策。所有设备及辅材必须是未使用过的新产品，质量优良、渠道正当，配置合理。</w:t>
      </w:r>
      <w:bookmarkEnd w:id="140"/>
      <w:bookmarkEnd w:id="141"/>
      <w:bookmarkEnd w:id="142"/>
      <w:bookmarkStart w:id="143" w:name="_Toc167712856"/>
      <w:bookmarkStart w:id="144" w:name="_Toc167714054"/>
      <w:bookmarkStart w:id="145" w:name="_Toc167715251"/>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4、质保期出现的质量问题由中标人负责解决并承担所有费用。质保期后如需更换零部件，中标人应以优惠价提供。</w:t>
      </w:r>
      <w:bookmarkEnd w:id="143"/>
      <w:bookmarkEnd w:id="144"/>
      <w:bookmarkEnd w:id="145"/>
    </w:p>
    <w:bookmarkEnd w:id="137"/>
    <w:bookmarkEnd w:id="138"/>
    <w:bookmarkEnd w:id="139"/>
    <w:p>
      <w:pPr>
        <w:adjustRightInd w:val="0"/>
        <w:spacing w:line="560" w:lineRule="exact"/>
        <w:ind w:firstLine="482" w:firstLineChars="200"/>
        <w:rPr>
          <w:rFonts w:ascii="仿宋" w:hAnsi="仿宋" w:eastAsia="仿宋" w:cs="仿宋"/>
          <w:b/>
          <w:szCs w:val="24"/>
          <w:highlight w:val="none"/>
        </w:rPr>
      </w:pPr>
      <w:bookmarkStart w:id="146" w:name="_Toc167712868"/>
      <w:bookmarkStart w:id="147" w:name="_Toc167715263"/>
      <w:bookmarkStart w:id="148" w:name="_Toc167714066"/>
      <w:r>
        <w:rPr>
          <w:rFonts w:hint="eastAsia" w:ascii="仿宋" w:hAnsi="仿宋" w:eastAsia="仿宋" w:cs="仿宋"/>
          <w:b/>
          <w:szCs w:val="24"/>
          <w:highlight w:val="none"/>
        </w:rPr>
        <w:t>六、合同实施：</w:t>
      </w:r>
      <w:bookmarkEnd w:id="146"/>
      <w:bookmarkEnd w:id="147"/>
      <w:bookmarkEnd w:id="148"/>
      <w:bookmarkStart w:id="149" w:name="_Toc167712869"/>
      <w:bookmarkStart w:id="150" w:name="_Toc167715264"/>
      <w:bookmarkStart w:id="151" w:name="_Toc167714067"/>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1 </w:t>
      </w:r>
      <w:bookmarkEnd w:id="149"/>
      <w:bookmarkEnd w:id="150"/>
      <w:bookmarkEnd w:id="151"/>
      <w:r>
        <w:rPr>
          <w:rFonts w:hint="eastAsia" w:ascii="仿宋" w:hAnsi="仿宋" w:eastAsia="仿宋" w:cs="仿宋"/>
          <w:szCs w:val="24"/>
          <w:highlight w:val="none"/>
        </w:rPr>
        <w:t>、中标人应在合同签订后7个日历日内安排人员（项目组成人员简历表所列）与使用单位就送货、安装、调试、培训等工作进行安排、部署。</w:t>
      </w:r>
      <w:bookmarkStart w:id="152" w:name="_Toc167712870"/>
      <w:bookmarkStart w:id="153" w:name="_Toc167715265"/>
      <w:bookmarkStart w:id="154" w:name="_Toc167714068"/>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w:t>
      </w:r>
      <w:bookmarkEnd w:id="152"/>
      <w:bookmarkEnd w:id="153"/>
      <w:bookmarkEnd w:id="154"/>
      <w:r>
        <w:rPr>
          <w:rFonts w:hint="eastAsia" w:ascii="仿宋" w:hAnsi="仿宋" w:eastAsia="仿宋" w:cs="仿宋"/>
          <w:szCs w:val="24"/>
          <w:highlight w:val="none"/>
        </w:rPr>
        <w:t xml:space="preserve"> 、若未能在交货期内完成合同规定的义务，由此对采购人造成的延误和一切损失，由中标人承担和赔偿。</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七、违约责任：</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1、按《中华人民共和国民法典》中的相关条款执行。</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ascii="仿宋" w:hAnsi="仿宋" w:eastAsia="仿宋" w:cs="仿宋"/>
          <w:b/>
          <w:sz w:val="44"/>
          <w:szCs w:val="44"/>
          <w:highlight w:val="none"/>
        </w:rPr>
      </w:pPr>
      <w:r>
        <w:rPr>
          <w:rFonts w:ascii="仿宋" w:hAnsi="仿宋" w:eastAsia="仿宋" w:cs="仿宋"/>
          <w:b/>
          <w:highlight w:val="none"/>
        </w:rPr>
        <w:pict>
          <v:shape id="_x0000_s1027" o:spid="_x0000_s1027"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rPr>
          <w:rFonts w:ascii="仿宋" w:hAnsi="仿宋" w:eastAsia="仿宋" w:cs="仿宋"/>
          <w:highlight w:val="none"/>
        </w:rPr>
      </w:pPr>
      <w:bookmarkStart w:id="155" w:name="_Toc458617469"/>
      <w:bookmarkStart w:id="156" w:name="_Toc458617746"/>
      <w:r>
        <w:rPr>
          <w:rFonts w:hint="eastAsia" w:ascii="仿宋" w:hAnsi="仿宋" w:eastAsia="仿宋" w:cs="仿宋"/>
          <w:highlight w:val="none"/>
        </w:rPr>
        <w:br w:type="page"/>
      </w:r>
    </w:p>
    <w:p>
      <w:pPr>
        <w:pStyle w:val="3"/>
        <w:spacing w:line="560" w:lineRule="exact"/>
        <w:jc w:val="center"/>
        <w:rPr>
          <w:rFonts w:ascii="仿宋" w:hAnsi="仿宋" w:eastAsia="仿宋" w:cs="仿宋"/>
          <w:szCs w:val="24"/>
          <w:highlight w:val="none"/>
        </w:rPr>
      </w:pPr>
      <w:bookmarkStart w:id="157" w:name="_Toc3277"/>
      <w:r>
        <w:rPr>
          <w:rFonts w:hint="eastAsia" w:ascii="仿宋" w:hAnsi="仿宋" w:eastAsia="仿宋" w:cs="仿宋"/>
          <w:highlight w:val="none"/>
        </w:rPr>
        <w:t>第五章  合同条款</w:t>
      </w:r>
      <w:bookmarkEnd w:id="155"/>
      <w:bookmarkEnd w:id="156"/>
      <w:r>
        <w:rPr>
          <w:rFonts w:hint="eastAsia" w:ascii="仿宋" w:hAnsi="仿宋" w:eastAsia="仿宋" w:cs="仿宋"/>
          <w:sz w:val="36"/>
          <w:szCs w:val="36"/>
          <w:highlight w:val="none"/>
        </w:rPr>
        <w:t>（仅供参考）</w:t>
      </w:r>
      <w:bookmarkEnd w:id="157"/>
    </w:p>
    <w:p>
      <w:pPr>
        <w:spacing w:line="540" w:lineRule="exact"/>
        <w:rPr>
          <w:rFonts w:ascii="仿宋" w:hAnsi="仿宋" w:eastAsia="仿宋" w:cs="仿宋"/>
          <w:b/>
          <w:sz w:val="18"/>
          <w:szCs w:val="18"/>
          <w:highlight w:val="none"/>
          <w:u w:color="FF0000"/>
        </w:rPr>
      </w:pPr>
      <w:r>
        <w:rPr>
          <w:rFonts w:hint="eastAsia" w:ascii="仿宋" w:hAnsi="仿宋" w:eastAsia="仿宋" w:cs="仿宋"/>
          <w:szCs w:val="24"/>
          <w:highlight w:val="none"/>
        </w:rPr>
        <w:t>一、供货合同格式</w:t>
      </w:r>
    </w:p>
    <w:p>
      <w:pPr>
        <w:widowControl/>
        <w:wordWrap w:val="0"/>
        <w:topLinePunct/>
        <w:spacing w:line="540" w:lineRule="exact"/>
        <w:ind w:right="-226" w:rightChars="-94" w:firstLine="480" w:firstLineChars="200"/>
        <w:jc w:val="left"/>
        <w:rPr>
          <w:rFonts w:ascii="仿宋" w:hAnsi="仿宋" w:eastAsia="仿宋" w:cs="仿宋"/>
          <w:kern w:val="0"/>
          <w:szCs w:val="24"/>
          <w:highlight w:val="none"/>
        </w:rPr>
      </w:pPr>
      <w:r>
        <w:rPr>
          <w:rFonts w:hint="eastAsia" w:ascii="仿宋" w:hAnsi="仿宋" w:eastAsia="仿宋" w:cs="仿宋"/>
          <w:szCs w:val="24"/>
          <w:highlight w:val="none"/>
        </w:rPr>
        <w:t>高清设备改造 (文件编号：HZGH-2022-086)，在</w:t>
      </w:r>
      <w:r>
        <w:rPr>
          <w:rFonts w:hint="eastAsia" w:ascii="仿宋" w:hAnsi="仿宋" w:eastAsia="仿宋" w:cs="仿宋"/>
          <w:szCs w:val="24"/>
          <w:highlight w:val="none"/>
          <w:lang w:eastAsia="zh-CN"/>
        </w:rPr>
        <w:t>西安市高陵区财政局</w:t>
      </w:r>
      <w:r>
        <w:rPr>
          <w:rFonts w:hint="eastAsia" w:ascii="仿宋" w:hAnsi="仿宋" w:eastAsia="仿宋" w:cs="仿宋"/>
          <w:szCs w:val="24"/>
          <w:highlight w:val="none"/>
        </w:rPr>
        <w:t>的监督管理</w:t>
      </w:r>
      <w:r>
        <w:rPr>
          <w:rFonts w:hint="eastAsia" w:ascii="仿宋" w:hAnsi="仿宋" w:eastAsia="仿宋" w:cs="仿宋"/>
          <w:kern w:val="0"/>
          <w:szCs w:val="24"/>
          <w:highlight w:val="none"/>
        </w:rPr>
        <w:t>下，由华招广和项目管理有限公司组织公开招标。西安市高陵区融媒体中心（区广播电视台）(以下简称“买方”)确定 (中标单位名称) （以下简称“卖方”）为中标单位。</w:t>
      </w:r>
    </w:p>
    <w:p>
      <w:pPr>
        <w:spacing w:line="540" w:lineRule="exact"/>
        <w:ind w:right="240" w:rightChars="100"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依据《中华人民共和国民法典》、《中华人民共和国政府采购法》《中华人民共和国政府采购法实施条例》，买方通过公开招标采购</w:t>
      </w:r>
      <w:r>
        <w:rPr>
          <w:rFonts w:hint="eastAsia" w:ascii="仿宋" w:hAnsi="仿宋" w:eastAsia="仿宋" w:cs="仿宋"/>
          <w:kern w:val="0"/>
          <w:szCs w:val="24"/>
          <w:highlight w:val="none"/>
          <w:u w:val="single"/>
        </w:rPr>
        <w:t xml:space="preserve">（货物名称） </w:t>
      </w:r>
      <w:r>
        <w:rPr>
          <w:rFonts w:hint="eastAsia" w:ascii="仿宋" w:hAnsi="仿宋" w:eastAsia="仿宋" w:cs="仿宋"/>
          <w:kern w:val="0"/>
          <w:szCs w:val="24"/>
          <w:highlight w:val="none"/>
        </w:rPr>
        <w:t>，并接受了卖方以价格</w:t>
      </w:r>
      <w:r>
        <w:rPr>
          <w:rFonts w:hint="eastAsia" w:ascii="仿宋" w:hAnsi="仿宋" w:eastAsia="仿宋" w:cs="仿宋"/>
          <w:kern w:val="0"/>
          <w:szCs w:val="24"/>
          <w:highlight w:val="none"/>
          <w:u w:val="single"/>
        </w:rPr>
        <w:t>(中标金额大写)</w:t>
      </w:r>
      <w:r>
        <w:rPr>
          <w:rFonts w:hint="eastAsia" w:ascii="仿宋" w:hAnsi="仿宋" w:eastAsia="仿宋" w:cs="仿宋"/>
          <w:kern w:val="0"/>
          <w:szCs w:val="24"/>
          <w:highlight w:val="none"/>
        </w:rPr>
        <w:t>(以下简称“合同价”)提供的产品及服务。</w:t>
      </w:r>
    </w:p>
    <w:p>
      <w:pPr>
        <w:spacing w:line="540" w:lineRule="exact"/>
        <w:ind w:firstLine="480" w:firstLineChars="200"/>
        <w:rPr>
          <w:rFonts w:ascii="仿宋" w:hAnsi="仿宋" w:eastAsia="仿宋" w:cs="仿宋"/>
          <w:szCs w:val="24"/>
          <w:highlight w:val="none"/>
        </w:rPr>
      </w:pPr>
      <w:bookmarkStart w:id="158" w:name="_Toc194663916"/>
      <w:bookmarkStart w:id="159" w:name="_Toc193187095"/>
      <w:bookmarkStart w:id="160" w:name="_Toc193126879"/>
      <w:bookmarkStart w:id="161" w:name="_Toc188808831"/>
      <w:r>
        <w:rPr>
          <w:rFonts w:hint="eastAsia" w:ascii="仿宋" w:hAnsi="仿宋" w:eastAsia="仿宋" w:cs="仿宋"/>
          <w:szCs w:val="24"/>
          <w:highlight w:val="none"/>
        </w:rPr>
        <w:t>本合同在此声明如下：</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1、本合同中的词语和术语的含义与合同条款中定义的相同。</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2、下述文件是本合同的一部分，并与本合同一起阅读和解释：</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1）合同条款</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2）合同条款附件</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附件1—设备清单</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附件2—质量保证承诺</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附件3—售后服务方案</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附件4—培训计划</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3、考虑到买方将按照本合同向卖方支付货款，卖方在此保证全部按照合同的规定向买方提供货物和服务，并修补缺陷。</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5、付款方式：</w:t>
      </w:r>
    </w:p>
    <w:p>
      <w:pPr>
        <w:tabs>
          <w:tab w:val="left" w:pos="3918"/>
        </w:tabs>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双方自行协商</w:t>
      </w:r>
    </w:p>
    <w:p>
      <w:pPr>
        <w:adjustRightInd w:val="0"/>
        <w:snapToGrid w:val="0"/>
        <w:spacing w:line="540" w:lineRule="exact"/>
        <w:ind w:firstLine="480" w:firstLineChars="200"/>
        <w:jc w:val="left"/>
        <w:rPr>
          <w:rFonts w:ascii="仿宋" w:hAnsi="仿宋" w:eastAsia="仿宋" w:cs="仿宋"/>
          <w:szCs w:val="24"/>
          <w:highlight w:val="none"/>
        </w:rPr>
      </w:pPr>
      <w:r>
        <w:rPr>
          <w:rFonts w:hint="eastAsia" w:ascii="仿宋" w:hAnsi="仿宋" w:eastAsia="仿宋" w:cs="仿宋"/>
          <w:szCs w:val="24"/>
          <w:highlight w:val="none"/>
        </w:rPr>
        <w:t>6、交 货 期：</w:t>
      </w:r>
      <w:r>
        <w:rPr>
          <w:rFonts w:hint="eastAsia" w:ascii="仿宋" w:hAnsi="仿宋" w:eastAsia="仿宋" w:cs="仿宋"/>
          <w:szCs w:val="24"/>
          <w:highlight w:val="none"/>
          <w:u w:val="single"/>
          <w:lang w:val="en-US" w:eastAsia="zh-CN"/>
        </w:rPr>
        <w:t>自合同签订之日起60个工作日内交付完毕。</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交货地点：西安市高陵区融媒体中心（区广播电视台）指定地点。                           </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7、本合同一式伍份，其中，买方贰份，卖方贰份，采购代理机构备案壹份。</w:t>
      </w:r>
    </w:p>
    <w:p>
      <w:pPr>
        <w:adjustRightInd w:val="0"/>
        <w:snapToGrid w:val="0"/>
        <w:spacing w:line="54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买方名称：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邮    编：</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电    话：</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传    真：</w:t>
            </w: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autoSpaceDE w:val="0"/>
              <w:autoSpaceDN w:val="0"/>
              <w:spacing w:line="540" w:lineRule="exact"/>
              <w:rPr>
                <w:rFonts w:ascii="仿宋" w:hAnsi="仿宋" w:eastAsia="仿宋" w:cs="仿宋"/>
                <w:szCs w:val="24"/>
                <w:highlight w:val="none"/>
              </w:rPr>
            </w:pPr>
            <w:r>
              <w:rPr>
                <w:rFonts w:hint="eastAsia" w:ascii="仿宋" w:hAnsi="仿宋" w:eastAsia="仿宋" w:cs="仿宋"/>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卖方名称：</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邮    编：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电    话：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传    真：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开户银行：</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帐    号：</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             年  月  日</w:t>
            </w: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r>
      <w:bookmarkEnd w:id="158"/>
      <w:bookmarkEnd w:id="159"/>
      <w:bookmarkEnd w:id="160"/>
      <w:bookmarkEnd w:id="161"/>
    </w:tbl>
    <w:p>
      <w:pPr>
        <w:spacing w:line="560" w:lineRule="exact"/>
        <w:rPr>
          <w:rFonts w:ascii="仿宋" w:hAnsi="仿宋" w:eastAsia="仿宋" w:cs="仿宋"/>
          <w:szCs w:val="24"/>
          <w:highlight w:val="none"/>
        </w:rPr>
      </w:pPr>
    </w:p>
    <w:p>
      <w:pPr>
        <w:rPr>
          <w:rFonts w:ascii="仿宋" w:hAnsi="仿宋" w:eastAsia="仿宋" w:cs="仿宋"/>
          <w:szCs w:val="24"/>
          <w:highlight w:val="none"/>
        </w:rPr>
      </w:pPr>
      <w:r>
        <w:rPr>
          <w:rFonts w:hint="eastAsia" w:ascii="仿宋" w:hAnsi="仿宋" w:eastAsia="仿宋" w:cs="仿宋"/>
          <w:szCs w:val="24"/>
          <w:highlight w:val="none"/>
        </w:rPr>
        <w:br w:type="page"/>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二、合同条款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1、定义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本合同下列术语应解释为：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1-2、“合同价”系指根据本合同规定卖方在正确地完全履行合同义务后买方应支付给卖方的价款。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1-3、“货物”系指卖方根据本合同规定须向买方提供的一切产品、部件或其它材料。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w:t>
      </w:r>
      <w:r>
        <w:rPr>
          <w:rFonts w:hint="eastAsia" w:ascii="仿宋" w:hAnsi="仿宋" w:eastAsia="仿宋" w:cs="仿宋"/>
          <w:kern w:val="0"/>
          <w:szCs w:val="24"/>
          <w:highlight w:val="none"/>
        </w:rPr>
        <w:t>项目现场”系指本合同项下货物安装、运行的场地。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1-6、“合同条款”系指本合同条款。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1-7、“买方”是指购买货物和服务的单位即西安市高陵区融媒体中心（区广播电视台）。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1-8、“卖方”是指提供本合同内的货物和服务的公司或其它实体即中标人。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1-9、“天”指日历天数。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2、适用性</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本合同条款适用于没有被本项目招标文件规定条款、卖方的投标文件承诺条款所取代的范围。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w:t>
      </w:r>
      <w:r>
        <w:rPr>
          <w:rFonts w:hint="eastAsia" w:ascii="仿宋" w:hAnsi="仿宋" w:eastAsia="仿宋" w:cs="仿宋"/>
          <w:szCs w:val="24"/>
          <w:highlight w:val="none"/>
        </w:rPr>
        <w:t>使用合同文件和资料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4、专利权</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5、技术规格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6、检验和测试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6-2、检验和测试在买方指定的交货地点进行。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7、包装及运输</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8、伴随服务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（1）实施或监督所供货物的现场组装 和/或试运行；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（2）提供货物组装 和/或 维修所需的工具；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（3）为所供货物的每一适当的单台设备提供详细的操作和维护手册；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9-1、卖方可能被要求提供下列与备品备件有关的材料、通知和资料：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（3）在备品备件停止生产后，如果买方要求，卖方应免费向买方提供备品备件的蓝图、图纸和规格。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9-2、卖方应按照本项目招标文件“商务条款”和“技术规格与要求”中的规定提供所需的备品备件。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10、质量保证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10-1、质量保证期为终验合格之日起个月。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11、索赔</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12、变更指令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spacing w:val="-4"/>
          <w:kern w:val="0"/>
          <w:szCs w:val="24"/>
          <w:highlight w:val="none"/>
        </w:rPr>
      </w:pPr>
      <w:r>
        <w:rPr>
          <w:rFonts w:hint="eastAsia" w:ascii="仿宋" w:hAnsi="仿宋" w:eastAsia="仿宋" w:cs="仿宋"/>
          <w:kern w:val="0"/>
          <w:szCs w:val="24"/>
          <w:highlight w:val="none"/>
        </w:rPr>
        <w:t>（1）</w:t>
      </w:r>
      <w:r>
        <w:rPr>
          <w:rFonts w:hint="eastAsia" w:ascii="仿宋" w:hAnsi="仿宋" w:eastAsia="仿宋" w:cs="仿宋"/>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（2）运输或包装的方法；</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（3）交货地点；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（4）卖方提供的服务。</w:t>
      </w:r>
    </w:p>
    <w:p>
      <w:pPr>
        <w:autoSpaceDN w:val="0"/>
        <w:adjustRightInd w:val="0"/>
        <w:spacing w:line="560" w:lineRule="exact"/>
        <w:ind w:firstLine="464" w:firstLineChars="200"/>
        <w:rPr>
          <w:rFonts w:ascii="仿宋" w:hAnsi="仿宋" w:eastAsia="仿宋" w:cs="仿宋"/>
          <w:kern w:val="0"/>
          <w:szCs w:val="24"/>
          <w:highlight w:val="none"/>
        </w:rPr>
      </w:pPr>
      <w:r>
        <w:rPr>
          <w:rFonts w:hint="eastAsia" w:ascii="仿宋" w:hAnsi="仿宋" w:eastAsia="仿宋" w:cs="仿宋"/>
          <w:spacing w:val="-4"/>
          <w:kern w:val="0"/>
          <w:szCs w:val="24"/>
          <w:highlight w:val="none"/>
        </w:rPr>
        <w:t>12-2、</w:t>
      </w:r>
      <w:r>
        <w:rPr>
          <w:rFonts w:hint="eastAsia" w:ascii="仿宋" w:hAnsi="仿宋" w:eastAsia="仿宋" w:cs="仿宋"/>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13、合同修改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14、转让</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15、卖方履约延误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16、验收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16-1、项目验收分初验和终验: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终验：所有货物(设备)安装、调试完毕，正常使用10个日历日后，由采购人进行终验（最终验收），合格后签发《终验合格单》。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16-3、验收依据</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17、误期赔偿费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除合同条款第19条规定的情况外，如果卖方没有按照合同规定的时间交货和提供服务，买方应在不影响</w:t>
      </w:r>
      <w:r>
        <w:rPr>
          <w:rFonts w:hint="eastAsia" w:ascii="仿宋" w:hAnsi="仿宋" w:eastAsia="仿宋" w:cs="仿宋"/>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18、违约终止合同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szCs w:val="24"/>
          <w:highlight w:val="none"/>
        </w:rPr>
        <w:t>误期赔偿费达到最高限额。</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（2）如果卖方未能履行合同规定的其它任何义务。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19、不可抗力</w:t>
      </w:r>
      <w:r>
        <w:rPr>
          <w:rFonts w:hint="eastAsia" w:ascii="仿宋" w:hAnsi="仿宋" w:eastAsia="仿宋" w:cs="仿宋"/>
          <w:kern w:val="0"/>
          <w:szCs w:val="24"/>
          <w:highlight w:val="none"/>
        </w:rPr>
        <w:tab/>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20、因破产而终止合同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21、因买方的便利而终止合同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（1）仅对部分货物按照原来的合同价格和条款予以接受；</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22、争议的解决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22-1、双方达成仲裁协议，向约定的仲裁委员会申请仲裁。</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22-2、向有管辖权的人民法院起诉。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23、适用法律</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本合同应按照中华人民共和国的现行法律进行解释。</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24、通知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25、税款</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26、合同生效</w:t>
      </w:r>
    </w:p>
    <w:p>
      <w:pPr>
        <w:adjustRightInd w:val="0"/>
        <w:snapToGrid w:val="0"/>
        <w:spacing w:line="560" w:lineRule="exact"/>
        <w:ind w:firstLine="480" w:firstLineChars="200"/>
        <w:rPr>
          <w:rFonts w:ascii="仿宋" w:hAnsi="仿宋" w:eastAsia="仿宋" w:cs="仿宋"/>
          <w:b/>
          <w:sz w:val="18"/>
          <w:szCs w:val="18"/>
          <w:highlight w:val="none"/>
          <w:u w:color="FF0000"/>
        </w:rPr>
      </w:pPr>
      <w:r>
        <w:rPr>
          <w:rFonts w:hint="eastAsia" w:ascii="仿宋" w:hAnsi="仿宋" w:eastAsia="仿宋" w:cs="仿宋"/>
          <w:kern w:val="0"/>
          <w:szCs w:val="24"/>
          <w:highlight w:val="none"/>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sz w:val="18"/>
          <w:szCs w:val="18"/>
          <w:highlight w:val="none"/>
          <w:u w:color="FF0000"/>
        </w:rPr>
      </w:pPr>
      <w:r>
        <w:rPr>
          <w:rFonts w:hint="eastAsia" w:ascii="仿宋" w:hAnsi="仿宋" w:eastAsia="仿宋" w:cs="仿宋"/>
          <w:b/>
          <w:sz w:val="18"/>
          <w:szCs w:val="18"/>
          <w:highlight w:val="none"/>
          <w:u w:color="FF0000"/>
        </w:rPr>
        <w:br w:type="page"/>
      </w:r>
    </w:p>
    <w:p>
      <w:pPr>
        <w:pStyle w:val="3"/>
        <w:numPr>
          <w:ilvl w:val="0"/>
          <w:numId w:val="16"/>
        </w:numPr>
        <w:spacing w:line="560" w:lineRule="exact"/>
        <w:jc w:val="center"/>
        <w:rPr>
          <w:rFonts w:ascii="仿宋" w:hAnsi="仿宋" w:eastAsia="仿宋" w:cs="仿宋"/>
          <w:highlight w:val="none"/>
        </w:rPr>
      </w:pPr>
      <w:bookmarkStart w:id="162" w:name="_Toc458617747"/>
      <w:bookmarkStart w:id="163" w:name="_Toc458617470"/>
      <w:bookmarkStart w:id="164" w:name="_Toc21361"/>
      <w:r>
        <w:rPr>
          <w:rFonts w:hint="eastAsia" w:ascii="仿宋" w:hAnsi="仿宋" w:eastAsia="仿宋" w:cs="仿宋"/>
          <w:highlight w:val="none"/>
        </w:rPr>
        <w:t>投标文件格式</w:t>
      </w:r>
      <w:bookmarkEnd w:id="162"/>
      <w:bookmarkEnd w:id="163"/>
      <w:bookmarkEnd w:id="164"/>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投标文件编制说明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1、投标文件应当按照招标文件给定的格式和要求编制，格式之外的可自行编写。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ascii="仿宋" w:hAnsi="仿宋" w:eastAsia="仿宋" w:cs="仿宋"/>
          <w:szCs w:val="24"/>
          <w:highlight w:val="none"/>
        </w:rPr>
      </w:pPr>
    </w:p>
    <w:p>
      <w:pPr>
        <w:pStyle w:val="2"/>
        <w:rPr>
          <w:rFonts w:ascii="仿宋" w:hAnsi="仿宋" w:eastAsia="仿宋" w:cs="仿宋"/>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spacing w:line="640" w:lineRule="exact"/>
        <w:rPr>
          <w:rFonts w:ascii="仿宋" w:hAnsi="仿宋" w:eastAsia="仿宋" w:cs="仿宋"/>
          <w:b/>
          <w:sz w:val="36"/>
          <w:szCs w:val="36"/>
          <w:highlight w:val="none"/>
        </w:rPr>
      </w:pPr>
    </w:p>
    <w:p>
      <w:pPr>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640" w:lineRule="exact"/>
        <w:jc w:val="right"/>
        <w:rPr>
          <w:rFonts w:ascii="仿宋" w:hAnsi="仿宋" w:eastAsia="仿宋" w:cs="仿宋"/>
          <w:b/>
          <w:sz w:val="36"/>
          <w:szCs w:val="36"/>
          <w:highlight w:val="none"/>
        </w:rPr>
      </w:pPr>
      <w:r>
        <w:rPr>
          <w:rFonts w:ascii="仿宋" w:hAnsi="仿宋" w:eastAsia="仿宋" w:cs="仿宋"/>
          <w:sz w:val="36"/>
          <w:highlight w:val="none"/>
        </w:rPr>
        <w:pict>
          <v:shape id="_x0000_s1037" o:spid="_x0000_s1037" o:spt="202" type="#_x0000_t202" style="position:absolute;left:0pt;margin-left:326.1pt;margin-top:12pt;height:29.15pt;width:117.7pt;z-index:251671552;mso-width-relative:page;mso-height-relative:page;" coordsize="21600,2160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r>
        <w:rPr>
          <w:rFonts w:hint="eastAsia" w:ascii="仿宋" w:hAnsi="仿宋" w:eastAsia="仿宋" w:cs="仿宋"/>
          <w:b/>
          <w:sz w:val="36"/>
          <w:szCs w:val="36"/>
          <w:highlight w:val="none"/>
        </w:rPr>
        <w:t>文件编号: HZGH-2022-086</w:t>
      </w:r>
    </w:p>
    <w:p>
      <w:pPr>
        <w:spacing w:line="560" w:lineRule="exact"/>
        <w:rPr>
          <w:rFonts w:ascii="仿宋" w:hAnsi="仿宋" w:eastAsia="仿宋" w:cs="仿宋"/>
          <w:b/>
          <w:sz w:val="36"/>
          <w:szCs w:val="36"/>
          <w:highlight w:val="none"/>
        </w:rPr>
      </w:pPr>
    </w:p>
    <w:p>
      <w:pPr>
        <w:pStyle w:val="16"/>
        <w:rPr>
          <w:rFonts w:ascii="仿宋" w:hAnsi="仿宋" w:eastAsia="仿宋" w:cs="仿宋"/>
          <w:highlight w:val="none"/>
        </w:rPr>
      </w:pPr>
    </w:p>
    <w:p>
      <w:pPr>
        <w:adjustRightInd w:val="0"/>
        <w:spacing w:beforeLines="50" w:line="360" w:lineRule="auto"/>
        <w:jc w:val="center"/>
        <w:rPr>
          <w:rFonts w:ascii="仿宋" w:hAnsi="仿宋" w:eastAsia="仿宋" w:cs="仿宋"/>
          <w:b/>
          <w:spacing w:val="-22"/>
          <w:sz w:val="56"/>
          <w:szCs w:val="56"/>
          <w:highlight w:val="none"/>
          <w:shd w:val="clear" w:color="auto" w:fill="FFFFFF"/>
        </w:rPr>
      </w:pPr>
    </w:p>
    <w:p>
      <w:pPr>
        <w:adjustRightInd w:val="0"/>
        <w:spacing w:beforeLines="50" w:line="360" w:lineRule="auto"/>
        <w:jc w:val="center"/>
        <w:rPr>
          <w:rFonts w:ascii="仿宋" w:hAnsi="仿宋" w:eastAsia="仿宋" w:cs="仿宋"/>
          <w:b/>
          <w:spacing w:val="-22"/>
          <w:sz w:val="56"/>
          <w:szCs w:val="56"/>
          <w:highlight w:val="none"/>
          <w:shd w:val="clear" w:color="auto" w:fill="FFFFFF"/>
        </w:rPr>
      </w:pPr>
      <w:r>
        <w:rPr>
          <w:rFonts w:hint="eastAsia" w:ascii="仿宋" w:hAnsi="仿宋" w:eastAsia="仿宋" w:cs="仿宋"/>
          <w:b/>
          <w:spacing w:val="-22"/>
          <w:sz w:val="56"/>
          <w:szCs w:val="56"/>
          <w:highlight w:val="none"/>
          <w:shd w:val="clear" w:color="auto" w:fill="FFFFFF"/>
        </w:rPr>
        <w:t>高清设备改造</w:t>
      </w:r>
    </w:p>
    <w:p>
      <w:pPr>
        <w:spacing w:beforeLines="50" w:line="560" w:lineRule="exact"/>
        <w:ind w:right="-998" w:rightChars="-416" w:firstLine="2960" w:firstLineChars="388"/>
        <w:rPr>
          <w:rFonts w:ascii="仿宋" w:hAnsi="仿宋" w:eastAsia="仿宋" w:cs="仿宋"/>
          <w:b/>
          <w:bCs/>
          <w:spacing w:val="20"/>
          <w:kern w:val="0"/>
          <w:sz w:val="72"/>
          <w:szCs w:val="72"/>
          <w:highlight w:val="none"/>
        </w:rPr>
      </w:pPr>
    </w:p>
    <w:p>
      <w:pPr>
        <w:pStyle w:val="36"/>
        <w:ind w:firstLine="480"/>
        <w:rPr>
          <w:rFonts w:ascii="仿宋" w:hAnsi="仿宋" w:eastAsia="仿宋" w:cs="仿宋"/>
          <w:highlight w:val="none"/>
        </w:rPr>
      </w:pPr>
    </w:p>
    <w:p>
      <w:pPr>
        <w:pStyle w:val="36"/>
        <w:ind w:firstLine="480"/>
        <w:rPr>
          <w:rFonts w:ascii="仿宋" w:hAnsi="仿宋" w:eastAsia="仿宋" w:cs="仿宋"/>
          <w:highlight w:val="none"/>
        </w:rPr>
      </w:pPr>
    </w:p>
    <w:p>
      <w:pPr>
        <w:spacing w:beforeLines="50" w:line="560" w:lineRule="exact"/>
        <w:ind w:right="-998" w:rightChars="-416" w:firstLine="2960" w:firstLineChars="388"/>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spacing w:line="560" w:lineRule="exact"/>
        <w:rPr>
          <w:rFonts w:ascii="仿宋" w:hAnsi="仿宋" w:eastAsia="仿宋" w:cs="仿宋"/>
          <w:sz w:val="32"/>
          <w:highlight w:val="none"/>
        </w:rPr>
      </w:pPr>
    </w:p>
    <w:p>
      <w:pPr>
        <w:spacing w:line="560" w:lineRule="exact"/>
        <w:rPr>
          <w:rFonts w:ascii="仿宋" w:hAnsi="仿宋" w:eastAsia="仿宋" w:cs="仿宋"/>
          <w:sz w:val="32"/>
          <w:highlight w:val="none"/>
        </w:rPr>
      </w:pPr>
    </w:p>
    <w:p>
      <w:pPr>
        <w:pStyle w:val="16"/>
        <w:rPr>
          <w:rFonts w:ascii="仿宋" w:hAnsi="仿宋" w:eastAsia="仿宋" w:cs="仿宋"/>
          <w:sz w:val="32"/>
          <w:highlight w:val="none"/>
        </w:rPr>
      </w:pPr>
    </w:p>
    <w:p>
      <w:pPr>
        <w:rPr>
          <w:rFonts w:ascii="仿宋" w:hAnsi="仿宋" w:eastAsia="仿宋" w:cs="仿宋"/>
          <w:highlight w:val="none"/>
        </w:rPr>
      </w:pPr>
    </w:p>
    <w:p>
      <w:pPr>
        <w:rPr>
          <w:rFonts w:ascii="仿宋" w:hAnsi="仿宋" w:eastAsia="仿宋" w:cs="仿宋"/>
          <w:highlight w:val="none"/>
        </w:rPr>
      </w:pPr>
    </w:p>
    <w:p>
      <w:pPr>
        <w:spacing w:beforeLines="70" w:line="560" w:lineRule="exact"/>
        <w:ind w:firstLine="1634" w:firstLineChars="550"/>
        <w:rPr>
          <w:rFonts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p>
    <w:p>
      <w:pPr>
        <w:spacing w:beforeLines="70" w:line="560" w:lineRule="exact"/>
        <w:ind w:firstLine="1661" w:firstLineChars="591"/>
        <w:rPr>
          <w:rFonts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p>
    <w:p>
      <w:pPr>
        <w:spacing w:line="560" w:lineRule="exact"/>
        <w:ind w:firstLine="1661" w:firstLineChars="591"/>
        <w:rPr>
          <w:rFonts w:ascii="仿宋" w:hAnsi="仿宋" w:eastAsia="仿宋" w:cs="仿宋"/>
          <w:b/>
          <w:sz w:val="32"/>
          <w:szCs w:val="32"/>
          <w:highlight w:val="none"/>
        </w:rPr>
      </w:pPr>
      <w:r>
        <w:rPr>
          <w:rFonts w:hint="eastAsia" w:ascii="仿宋" w:hAnsi="仿宋" w:eastAsia="仿宋" w:cs="仿宋"/>
          <w:b/>
          <w:sz w:val="28"/>
          <w:szCs w:val="28"/>
          <w:highlight w:val="none"/>
        </w:rPr>
        <w:t>时        间：</w:t>
      </w:r>
      <w:bookmarkStart w:id="165" w:name="_Toc175032437"/>
      <w:bookmarkStart w:id="166" w:name="_Toc169846873"/>
      <w:bookmarkStart w:id="167" w:name="_Toc169838532"/>
      <w:bookmarkStart w:id="168" w:name="_Toc193126881"/>
      <w:bookmarkStart w:id="169" w:name="_Toc167591144"/>
      <w:bookmarkStart w:id="170" w:name="_Toc167591043"/>
      <w:bookmarkStart w:id="171" w:name="_Toc167590775"/>
      <w:bookmarkStart w:id="172" w:name="_Toc188808833"/>
      <w:bookmarkStart w:id="173" w:name="_Toc154482479"/>
      <w:bookmarkStart w:id="174" w:name="_Toc194663918"/>
      <w:bookmarkStart w:id="175" w:name="_Toc167591330"/>
      <w:bookmarkStart w:id="176" w:name="_Toc167849360"/>
      <w:bookmarkStart w:id="177" w:name="_Toc169846776"/>
      <w:bookmarkStart w:id="178" w:name="_Toc173549978"/>
      <w:bookmarkStart w:id="179" w:name="_Toc175033592"/>
      <w:bookmarkStart w:id="180" w:name="_Toc170980453"/>
      <w:bookmarkStart w:id="181" w:name="_Toc193187097"/>
      <w:bookmarkStart w:id="182" w:name="_Toc167591492"/>
      <w:bookmarkStart w:id="183" w:name="_Toc170980552"/>
    </w:p>
    <w:p>
      <w:pPr>
        <w:spacing w:line="560" w:lineRule="exact"/>
        <w:ind w:left="240" w:leftChars="100" w:firstLine="4003" w:firstLineChars="1246"/>
        <w:rPr>
          <w:rFonts w:ascii="仿宋" w:hAnsi="仿宋" w:eastAsia="仿宋" w:cs="仿宋"/>
          <w:b/>
          <w:sz w:val="32"/>
          <w:szCs w:val="32"/>
          <w:highlight w:val="none"/>
        </w:rPr>
      </w:pPr>
    </w:p>
    <w:p>
      <w:pPr>
        <w:rPr>
          <w:rFonts w:ascii="仿宋" w:hAnsi="仿宋" w:eastAsia="仿宋" w:cs="仿宋"/>
          <w:highlight w:val="none"/>
        </w:rPr>
      </w:pPr>
    </w:p>
    <w:p>
      <w:pPr>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1．投标函（格式）</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2．开标一览表（格式）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3．投标分项报价表（格式）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4．节能环保、环境标志产品明细表 （格式，若有）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5. 选配件报价表（格式，若有）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6．货物说明一览表（格式）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7．技术规格响应偏离表（格式）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8．商务条款响应偏离表（格式）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9. 资格证明文件</w:t>
      </w:r>
    </w:p>
    <w:p>
      <w:pPr>
        <w:autoSpaceDE w:val="0"/>
        <w:autoSpaceDN w:val="0"/>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10. 业绩证明材料（以合同为准，复印件加盖公章）</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11. 产品的合法渠道证明文件</w:t>
      </w:r>
    </w:p>
    <w:p>
      <w:pPr>
        <w:spacing w:line="500" w:lineRule="exact"/>
        <w:ind w:firstLine="1200" w:firstLineChars="500"/>
        <w:rPr>
          <w:rFonts w:ascii="仿宋" w:hAnsi="仿宋" w:eastAsia="仿宋" w:cs="仿宋"/>
          <w:kern w:val="0"/>
          <w:szCs w:val="24"/>
          <w:highlight w:val="none"/>
        </w:rPr>
      </w:pPr>
      <w:r>
        <w:rPr>
          <w:rFonts w:hint="eastAsia" w:ascii="仿宋" w:hAnsi="仿宋" w:eastAsia="仿宋" w:cs="仿宋"/>
          <w:szCs w:val="24"/>
          <w:highlight w:val="none"/>
        </w:rPr>
        <w:t>12.</w:t>
      </w:r>
      <w:r>
        <w:rPr>
          <w:rFonts w:hint="eastAsia" w:ascii="仿宋" w:hAnsi="仿宋" w:eastAsia="仿宋" w:cs="仿宋"/>
          <w:kern w:val="0"/>
          <w:szCs w:val="24"/>
          <w:highlight w:val="none"/>
        </w:rPr>
        <w:t xml:space="preserve"> 项目实施方案</w:t>
      </w:r>
    </w:p>
    <w:p>
      <w:pPr>
        <w:spacing w:line="500" w:lineRule="exact"/>
        <w:ind w:firstLine="1200" w:firstLineChars="500"/>
        <w:rPr>
          <w:rFonts w:ascii="仿宋" w:hAnsi="仿宋" w:eastAsia="仿宋" w:cs="仿宋"/>
          <w:highlight w:val="none"/>
        </w:rPr>
      </w:pPr>
      <w:r>
        <w:rPr>
          <w:rFonts w:hint="eastAsia" w:ascii="仿宋" w:hAnsi="仿宋" w:eastAsia="仿宋" w:cs="仿宋"/>
          <w:szCs w:val="24"/>
          <w:highlight w:val="none"/>
        </w:rPr>
        <w:t>13.</w:t>
      </w:r>
      <w:r>
        <w:rPr>
          <w:rFonts w:hint="eastAsia" w:ascii="仿宋" w:hAnsi="仿宋" w:eastAsia="仿宋" w:cs="仿宋"/>
          <w:kern w:val="0"/>
          <w:szCs w:val="24"/>
          <w:highlight w:val="none"/>
        </w:rPr>
        <w:t xml:space="preserve"> 产品的技术文件</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14. 质量保证</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15. 售后服务及培训计划</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16. 投标人认为有必要说明的事宜（若有）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17. 投标人承诺书（格式）</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18.《中小企业声明函》（格式，若有）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kern w:val="0"/>
          <w:szCs w:val="24"/>
          <w:highlight w:val="none"/>
        </w:rPr>
        <w:t>19.《残疾人福利性单位声明函》</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Start w:id="184" w:name="_Toc1386"/>
      <w:bookmarkStart w:id="185" w:name="_Toc25120"/>
      <w:bookmarkStart w:id="186" w:name="_Toc458617471"/>
      <w:bookmarkStart w:id="187" w:name="_Toc193187098"/>
      <w:bookmarkStart w:id="188" w:name="_Toc194663919"/>
      <w:bookmarkStart w:id="189" w:name="_Toc193126882"/>
      <w:bookmarkStart w:id="190" w:name="_Toc188808834"/>
      <w:r>
        <w:rPr>
          <w:rFonts w:hint="eastAsia" w:ascii="仿宋" w:hAnsi="仿宋" w:eastAsia="仿宋" w:cs="仿宋"/>
          <w:szCs w:val="24"/>
          <w:highlight w:val="none"/>
        </w:rPr>
        <w:t>（格式，若有）</w:t>
      </w:r>
    </w:p>
    <w:p>
      <w:pPr>
        <w:autoSpaceDE w:val="0"/>
        <w:autoSpaceDN w:val="0"/>
        <w:spacing w:line="500" w:lineRule="exact"/>
        <w:ind w:left="240" w:leftChars="100" w:firstLine="960" w:firstLineChars="400"/>
        <w:rPr>
          <w:rFonts w:ascii="仿宋" w:hAnsi="仿宋" w:eastAsia="仿宋" w:cs="仿宋"/>
          <w:kern w:val="0"/>
          <w:szCs w:val="24"/>
          <w:highlight w:val="none"/>
        </w:rPr>
      </w:pPr>
      <w:r>
        <w:rPr>
          <w:rFonts w:hint="eastAsia" w:ascii="仿宋" w:hAnsi="仿宋" w:eastAsia="仿宋" w:cs="仿宋"/>
          <w:kern w:val="0"/>
          <w:szCs w:val="24"/>
          <w:highlight w:val="none"/>
        </w:rPr>
        <w:t>20. 《监狱、戒毒企业声明函》（格式，若有）</w:t>
      </w: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pStyle w:val="39"/>
        <w:spacing w:line="560" w:lineRule="exact"/>
        <w:ind w:firstLine="0" w:firstLineChars="0"/>
        <w:rPr>
          <w:rFonts w:ascii="仿宋" w:hAnsi="仿宋" w:eastAsia="仿宋" w:cs="仿宋"/>
          <w:b/>
          <w:highlight w:val="none"/>
        </w:rPr>
      </w:pPr>
      <w:r>
        <w:rPr>
          <w:rFonts w:hint="eastAsia" w:ascii="仿宋" w:hAnsi="仿宋" w:eastAsia="仿宋" w:cs="仿宋"/>
          <w:b/>
          <w:highlight w:val="none"/>
        </w:rPr>
        <w:t>1.投标函</w:t>
      </w:r>
      <w:bookmarkEnd w:id="184"/>
      <w:bookmarkEnd w:id="185"/>
      <w:bookmarkEnd w:id="186"/>
      <w:r>
        <w:rPr>
          <w:rFonts w:hint="eastAsia" w:ascii="仿宋" w:hAnsi="仿宋" w:eastAsia="仿宋" w:cs="仿宋"/>
          <w:bCs/>
          <w:sz w:val="22"/>
          <w:szCs w:val="20"/>
          <w:highlight w:val="none"/>
        </w:rPr>
        <w:t>（格式）</w:t>
      </w:r>
    </w:p>
    <w:p>
      <w:pPr>
        <w:spacing w:line="560" w:lineRule="exact"/>
        <w:ind w:left="240" w:leftChars="100"/>
        <w:rPr>
          <w:rFonts w:ascii="仿宋" w:hAnsi="仿宋" w:eastAsia="仿宋" w:cs="仿宋"/>
          <w:szCs w:val="21"/>
          <w:highlight w:val="none"/>
        </w:rPr>
      </w:pP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致：华招广和项目管理有限公司</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根据贵单位</w:t>
      </w:r>
      <w:r>
        <w:rPr>
          <w:rFonts w:hint="eastAsia" w:ascii="仿宋" w:hAnsi="仿宋" w:eastAsia="仿宋" w:cs="仿宋"/>
          <w:szCs w:val="24"/>
          <w:highlight w:val="none"/>
          <w:u w:val="single"/>
        </w:rPr>
        <w:t xml:space="preserve">         （招标项目名称）    </w:t>
      </w:r>
      <w:r>
        <w:rPr>
          <w:rFonts w:hint="eastAsia" w:ascii="仿宋" w:hAnsi="仿宋" w:eastAsia="仿宋" w:cs="仿宋"/>
          <w:szCs w:val="24"/>
          <w:highlight w:val="none"/>
        </w:rPr>
        <w:t>项目</w:t>
      </w:r>
      <w:r>
        <w:rPr>
          <w:rFonts w:hint="eastAsia" w:ascii="仿宋" w:hAnsi="仿宋" w:eastAsia="仿宋" w:cs="仿宋"/>
          <w:szCs w:val="24"/>
          <w:highlight w:val="none"/>
          <w:u w:val="single"/>
        </w:rPr>
        <w:t>（项目编号）</w:t>
      </w:r>
      <w:r>
        <w:rPr>
          <w:rFonts w:hint="eastAsia" w:ascii="仿宋" w:hAnsi="仿宋" w:eastAsia="仿宋" w:cs="仿宋"/>
          <w:szCs w:val="24"/>
          <w:highlight w:val="none"/>
        </w:rPr>
        <w:t>的招标公告，我方代表</w:t>
      </w:r>
      <w:r>
        <w:rPr>
          <w:rFonts w:hint="eastAsia" w:ascii="仿宋" w:hAnsi="仿宋" w:eastAsia="仿宋" w:cs="仿宋"/>
          <w:szCs w:val="24"/>
          <w:highlight w:val="none"/>
          <w:u w:val="single"/>
        </w:rPr>
        <w:t xml:space="preserve">   （姓名、职务）   </w:t>
      </w:r>
      <w:r>
        <w:rPr>
          <w:rFonts w:hint="eastAsia" w:ascii="仿宋" w:hAnsi="仿宋" w:eastAsia="仿宋" w:cs="仿宋"/>
          <w:szCs w:val="24"/>
          <w:highlight w:val="none"/>
        </w:rPr>
        <w:t>经正式授权并代表</w:t>
      </w:r>
      <w:r>
        <w:rPr>
          <w:rFonts w:hint="eastAsia" w:ascii="仿宋" w:hAnsi="仿宋" w:eastAsia="仿宋" w:cs="仿宋"/>
          <w:szCs w:val="24"/>
          <w:highlight w:val="none"/>
          <w:u w:val="single"/>
        </w:rPr>
        <w:t xml:space="preserve">     （投标人名称）     </w:t>
      </w:r>
      <w:r>
        <w:rPr>
          <w:rFonts w:hint="eastAsia" w:ascii="仿宋" w:hAnsi="仿宋" w:eastAsia="仿宋" w:cs="仿宋"/>
          <w:szCs w:val="24"/>
          <w:highlight w:val="none"/>
        </w:rPr>
        <w:t>就该项目进行投标。</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在此，我方郑重声明以下诸点，并负法律责任：</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1、我方提交的投标文件正本一份，副本四份，电子文件一份，“开标一览表”一份。</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2、我方所附投标报价表中应提交和交付的货物/服务投标总价为人民币：</w:t>
      </w:r>
      <w:r>
        <w:rPr>
          <w:rFonts w:hint="eastAsia" w:ascii="仿宋" w:hAnsi="仿宋" w:eastAsia="仿宋" w:cs="仿宋"/>
          <w:szCs w:val="24"/>
          <w:highlight w:val="none"/>
          <w:u w:val="single"/>
        </w:rPr>
        <w:t>（同时用汉字大写和数字表示的投标总价）</w:t>
      </w:r>
      <w:r>
        <w:rPr>
          <w:rFonts w:hint="eastAsia" w:ascii="仿宋" w:hAnsi="仿宋" w:eastAsia="仿宋" w:cs="仿宋"/>
          <w:szCs w:val="24"/>
          <w:highlight w:val="none"/>
        </w:rPr>
        <w:t>。该报价一次报死，不受市场因素的影响。</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3、我方已详细审查全部招标文件，完全理解并同意放弃对这方面有不明及误解质疑的权力。</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4、我方同意按照要求提供投标有关的一切数据或资料。</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5、我方将按招标文件的规定履行合同责任和义务。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6、我方完全理解最低报价不是中标的唯一条件，采购人有权选择质优价廉的货物/服务。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7、我方同意按招标文件规定，遵守贵方有关招标的各项规定。</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8、若我方中标，我方保证按有关规定向贵方支付招标服务费。</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9、投标有效期为自提交投标文件的截止之日起90个日历日。</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10、所有关于本项目的函电，请按下列地址联系：</w:t>
      </w:r>
    </w:p>
    <w:p>
      <w:pPr>
        <w:spacing w:line="560" w:lineRule="exact"/>
        <w:ind w:firstLine="480" w:firstLineChars="200"/>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投标人名称（公章）：</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详 细 地 址：</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邮 政 编 码：</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电       话：</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传       真：</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电 子 邮 件：</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开 户 银 行：</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帐       号：</w:t>
      </w: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p>
    <w:p>
      <w:pPr>
        <w:autoSpaceDE w:val="0"/>
        <w:autoSpaceDN w:val="0"/>
        <w:adjustRightInd w:val="0"/>
        <w:spacing w:line="560" w:lineRule="exact"/>
        <w:ind w:left="240" w:leftChars="100" w:firstLine="3960" w:firstLineChars="1650"/>
        <w:rPr>
          <w:rFonts w:ascii="仿宋" w:hAnsi="仿宋" w:eastAsia="仿宋" w:cs="仿宋"/>
          <w:szCs w:val="24"/>
          <w:highlight w:val="none"/>
          <w:u w:val="single"/>
          <w:lang w:val="zh-CN"/>
        </w:rPr>
      </w:pPr>
      <w:r>
        <w:rPr>
          <w:rFonts w:hint="eastAsia" w:ascii="仿宋" w:hAnsi="仿宋" w:eastAsia="仿宋" w:cs="仿宋"/>
          <w:szCs w:val="24"/>
          <w:highlight w:val="none"/>
          <w:lang w:val="zh-CN"/>
        </w:rPr>
        <w:t>联系电话/手机：</w:t>
      </w:r>
    </w:p>
    <w:p>
      <w:pPr>
        <w:spacing w:line="560" w:lineRule="exact"/>
        <w:ind w:left="240" w:leftChars="100"/>
        <w:jc w:val="center"/>
        <w:rPr>
          <w:rFonts w:ascii="仿宋" w:hAnsi="仿宋" w:eastAsia="仿宋" w:cs="仿宋"/>
          <w:szCs w:val="24"/>
          <w:highlight w:val="none"/>
        </w:rPr>
        <w:sectPr>
          <w:pgSz w:w="11905" w:h="16840"/>
          <w:pgMar w:top="1417" w:right="1417" w:bottom="1417" w:left="1417" w:header="935" w:footer="907" w:gutter="0"/>
          <w:cols w:space="0" w:num="1"/>
          <w:titlePg/>
          <w:docGrid w:linePitch="312" w:charSpace="0"/>
        </w:sectPr>
      </w:pPr>
      <w:r>
        <w:rPr>
          <w:rFonts w:hint="eastAsia" w:ascii="仿宋" w:hAnsi="仿宋" w:eastAsia="仿宋" w:cs="仿宋"/>
          <w:szCs w:val="24"/>
          <w:highlight w:val="none"/>
        </w:rPr>
        <w:t>年月日</w:t>
      </w:r>
    </w:p>
    <w:bookmarkEnd w:id="187"/>
    <w:bookmarkEnd w:id="188"/>
    <w:bookmarkEnd w:id="189"/>
    <w:bookmarkEnd w:id="190"/>
    <w:p>
      <w:pPr>
        <w:pStyle w:val="39"/>
        <w:spacing w:line="560" w:lineRule="exact"/>
        <w:ind w:firstLine="0" w:firstLineChars="0"/>
        <w:rPr>
          <w:rFonts w:ascii="仿宋" w:hAnsi="仿宋" w:eastAsia="仿宋" w:cs="仿宋"/>
          <w:bCs/>
          <w:sz w:val="24"/>
          <w:szCs w:val="21"/>
          <w:highlight w:val="none"/>
        </w:rPr>
      </w:pPr>
      <w:bookmarkStart w:id="191" w:name="_Toc6986"/>
      <w:bookmarkStart w:id="192" w:name="_Toc458617472"/>
      <w:bookmarkStart w:id="193" w:name="_Toc5497"/>
      <w:bookmarkStart w:id="194" w:name="_Toc193126889"/>
      <w:bookmarkStart w:id="195" w:name="_Toc193187105"/>
      <w:bookmarkStart w:id="196" w:name="_Toc188808840"/>
      <w:bookmarkStart w:id="197" w:name="_Toc194663926"/>
      <w:r>
        <w:rPr>
          <w:rFonts w:hint="eastAsia" w:ascii="仿宋" w:hAnsi="仿宋" w:eastAsia="仿宋" w:cs="仿宋"/>
          <w:b/>
          <w:highlight w:val="none"/>
        </w:rPr>
        <w:t>2.开标一览表</w:t>
      </w:r>
      <w:bookmarkEnd w:id="191"/>
      <w:bookmarkEnd w:id="192"/>
      <w:bookmarkEnd w:id="193"/>
      <w:r>
        <w:rPr>
          <w:rFonts w:hint="eastAsia" w:ascii="仿宋" w:hAnsi="仿宋" w:eastAsia="仿宋" w:cs="仿宋"/>
          <w:bCs/>
          <w:sz w:val="24"/>
          <w:szCs w:val="21"/>
          <w:highlight w:val="none"/>
        </w:rPr>
        <w:t>（格式）</w:t>
      </w:r>
    </w:p>
    <w:p>
      <w:pPr>
        <w:spacing w:line="560" w:lineRule="exact"/>
        <w:ind w:left="240" w:leftChars="100"/>
        <w:jc w:val="center"/>
        <w:rPr>
          <w:rFonts w:ascii="仿宋" w:hAnsi="仿宋" w:eastAsia="仿宋" w:cs="仿宋"/>
          <w:b/>
          <w:bCs/>
          <w:sz w:val="36"/>
          <w:szCs w:val="21"/>
          <w:highlight w:val="none"/>
        </w:rPr>
      </w:pPr>
    </w:p>
    <w:p>
      <w:pPr>
        <w:spacing w:line="560" w:lineRule="exact"/>
        <w:rPr>
          <w:rFonts w:ascii="仿宋" w:hAnsi="仿宋" w:eastAsia="仿宋" w:cs="仿宋"/>
          <w:b/>
          <w:bCs/>
          <w:sz w:val="36"/>
          <w:szCs w:val="21"/>
          <w:highlight w:val="none"/>
        </w:rPr>
      </w:pPr>
    </w:p>
    <w:p>
      <w:pPr>
        <w:spacing w:line="560" w:lineRule="exact"/>
        <w:ind w:firstLine="120" w:firstLineChars="50"/>
        <w:rPr>
          <w:rFonts w:ascii="仿宋" w:hAnsi="仿宋" w:eastAsia="仿宋" w:cs="仿宋"/>
          <w:bCs/>
          <w:kern w:val="0"/>
          <w:szCs w:val="24"/>
          <w:highlight w:val="none"/>
          <w:u w:val="single"/>
        </w:rPr>
      </w:pPr>
      <w:r>
        <w:rPr>
          <w:rFonts w:hint="eastAsia" w:ascii="仿宋" w:hAnsi="仿宋" w:eastAsia="仿宋" w:cs="仿宋"/>
          <w:bCs/>
          <w:kern w:val="0"/>
          <w:szCs w:val="24"/>
          <w:highlight w:val="none"/>
        </w:rPr>
        <w:t>投标人名称：</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97"/>
        <w:gridCol w:w="4489"/>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97" w:type="dxa"/>
            <w:vAlign w:val="center"/>
          </w:tcPr>
          <w:p>
            <w:pPr>
              <w:spacing w:line="560" w:lineRule="exact"/>
              <w:ind w:right="163" w:rightChars="68" w:firstLine="118" w:firstLineChars="49"/>
              <w:jc w:val="center"/>
              <w:rPr>
                <w:rFonts w:ascii="仿宋" w:hAnsi="仿宋" w:eastAsia="仿宋" w:cs="仿宋"/>
                <w:b/>
                <w:szCs w:val="24"/>
                <w:highlight w:val="none"/>
              </w:rPr>
            </w:pPr>
            <w:r>
              <w:rPr>
                <w:rFonts w:hint="eastAsia" w:ascii="仿宋" w:hAnsi="仿宋" w:eastAsia="仿宋" w:cs="仿宋"/>
                <w:b/>
                <w:szCs w:val="24"/>
                <w:highlight w:val="none"/>
              </w:rPr>
              <w:t>项目编号</w:t>
            </w:r>
          </w:p>
        </w:tc>
        <w:tc>
          <w:tcPr>
            <w:tcW w:w="448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投标总价</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交货期</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w:t>
            </w:r>
            <w:r>
              <w:rPr>
                <w:rFonts w:hint="eastAsia" w:ascii="仿宋" w:hAnsi="仿宋" w:eastAsia="仿宋" w:cs="仿宋"/>
                <w:b/>
                <w:szCs w:val="24"/>
                <w:highlight w:val="none"/>
                <w:lang w:val="en-US" w:eastAsia="zh-CN"/>
              </w:rPr>
              <w:t>工作日</w:t>
            </w:r>
            <w:r>
              <w:rPr>
                <w:rFonts w:hint="eastAsia" w:ascii="仿宋" w:hAnsi="仿宋" w:eastAsia="仿宋" w:cs="仿宋"/>
                <w:b/>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质保期</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97" w:type="dxa"/>
            <w:vMerge w:val="restart"/>
            <w:vAlign w:val="center"/>
          </w:tcPr>
          <w:p>
            <w:pPr>
              <w:spacing w:line="560" w:lineRule="exact"/>
              <w:ind w:left="240" w:leftChars="100"/>
              <w:jc w:val="center"/>
              <w:rPr>
                <w:rFonts w:ascii="仿宋" w:hAnsi="仿宋" w:eastAsia="仿宋" w:cs="仿宋"/>
                <w:szCs w:val="24"/>
                <w:highlight w:val="none"/>
              </w:rPr>
            </w:pPr>
          </w:p>
        </w:tc>
        <w:tc>
          <w:tcPr>
            <w:tcW w:w="4489" w:type="dxa"/>
            <w:vAlign w:val="center"/>
          </w:tcPr>
          <w:p>
            <w:pPr>
              <w:spacing w:line="560" w:lineRule="exact"/>
              <w:ind w:left="240" w:leftChars="100"/>
              <w:jc w:val="center"/>
              <w:rPr>
                <w:rFonts w:ascii="仿宋" w:hAnsi="仿宋" w:eastAsia="仿宋" w:cs="仿宋"/>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97"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870" w:type="dxa"/>
            <w:gridSpan w:val="3"/>
            <w:tcBorders>
              <w:top w:val="single" w:color="auto" w:sz="4" w:space="0"/>
            </w:tcBorders>
            <w:vAlign w:val="center"/>
          </w:tcPr>
          <w:p>
            <w:pPr>
              <w:spacing w:line="560" w:lineRule="exact"/>
              <w:ind w:left="240" w:leftChars="100"/>
              <w:rPr>
                <w:rFonts w:ascii="仿宋" w:hAnsi="仿宋" w:eastAsia="仿宋" w:cs="仿宋"/>
                <w:b/>
                <w:szCs w:val="24"/>
                <w:highlight w:val="none"/>
              </w:rPr>
            </w:pPr>
            <w:r>
              <w:rPr>
                <w:rFonts w:hint="eastAsia" w:ascii="仿宋" w:hAnsi="仿宋" w:eastAsia="仿宋" w:cs="仿宋"/>
                <w:b/>
                <w:szCs w:val="24"/>
                <w:highlight w:val="none"/>
              </w:rPr>
              <w:t xml:space="preserve">（大写）                                </w:t>
            </w:r>
          </w:p>
        </w:tc>
      </w:tr>
    </w:tbl>
    <w:p>
      <w:pPr>
        <w:spacing w:line="560" w:lineRule="exact"/>
        <w:ind w:left="240" w:leftChars="100"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：（投标人单位公章）                       日 期：</w:t>
      </w:r>
    </w:p>
    <w:p>
      <w:pPr>
        <w:rPr>
          <w:rFonts w:ascii="仿宋" w:hAnsi="仿宋" w:eastAsia="仿宋" w:cs="仿宋"/>
          <w:b/>
          <w:highlight w:val="none"/>
        </w:rPr>
      </w:pPr>
      <w:bookmarkStart w:id="198" w:name="_Toc9029"/>
      <w:bookmarkStart w:id="199" w:name="_Toc10249"/>
      <w:bookmarkStart w:id="200" w:name="_Toc458617473"/>
      <w:bookmarkStart w:id="201" w:name="_Toc193126885"/>
      <w:bookmarkStart w:id="202" w:name="_Toc188808836"/>
      <w:bookmarkStart w:id="203" w:name="_Toc170980457"/>
      <w:bookmarkStart w:id="204" w:name="_Toc167849364"/>
      <w:bookmarkStart w:id="205" w:name="_Toc175033596"/>
      <w:bookmarkStart w:id="206" w:name="_Toc167591496"/>
      <w:bookmarkStart w:id="207" w:name="_Toc194663922"/>
      <w:bookmarkStart w:id="208" w:name="_Toc169838536"/>
      <w:bookmarkStart w:id="209" w:name="_Toc167591334"/>
      <w:bookmarkStart w:id="210" w:name="_Toc173549982"/>
      <w:bookmarkStart w:id="211" w:name="_Toc170980556"/>
      <w:bookmarkStart w:id="212" w:name="_Toc175032441"/>
      <w:bookmarkStart w:id="213" w:name="_Toc169846877"/>
      <w:bookmarkStart w:id="214" w:name="_Toc193187101"/>
      <w:bookmarkStart w:id="215" w:name="_Toc154482483"/>
      <w:bookmarkStart w:id="216" w:name="_Toc167591047"/>
      <w:bookmarkStart w:id="217" w:name="_Toc169846780"/>
      <w:bookmarkStart w:id="218" w:name="_Toc167591148"/>
      <w:bookmarkStart w:id="219" w:name="_Toc167590779"/>
      <w:r>
        <w:rPr>
          <w:rFonts w:hint="eastAsia" w:ascii="仿宋" w:hAnsi="仿宋" w:eastAsia="仿宋" w:cs="仿宋"/>
          <w:b/>
          <w:highlight w:val="none"/>
        </w:rPr>
        <w:br w:type="page"/>
      </w:r>
    </w:p>
    <w:p>
      <w:pPr>
        <w:pStyle w:val="39"/>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3.投标分项报价表</w:t>
      </w:r>
      <w:bookmarkEnd w:id="198"/>
      <w:bookmarkEnd w:id="199"/>
      <w:bookmarkEnd w:id="200"/>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p>
    <w:tbl>
      <w:tblPr>
        <w:tblStyle w:val="2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序号</w:t>
            </w:r>
          </w:p>
        </w:tc>
        <w:tc>
          <w:tcPr>
            <w:tcW w:w="231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13" w:type="dxa"/>
            <w:vAlign w:val="center"/>
          </w:tcPr>
          <w:p>
            <w:pPr>
              <w:spacing w:line="560" w:lineRule="exact"/>
              <w:ind w:firstLine="116" w:firstLineChars="48"/>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38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719"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851"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ind w:left="53" w:leftChars="22"/>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ascii="仿宋" w:hAnsi="仿宋" w:eastAsia="仿宋" w:cs="仿宋"/>
                <w:szCs w:val="24"/>
                <w:highlight w:val="none"/>
              </w:rPr>
            </w:pPr>
            <w:r>
              <w:rPr>
                <w:rFonts w:hint="eastAsia" w:ascii="仿宋" w:hAnsi="仿宋" w:eastAsia="仿宋" w:cs="仿宋"/>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rPr>
              <w:t>￥：</w:t>
            </w:r>
          </w:p>
        </w:tc>
      </w:tr>
    </w:tbl>
    <w:p>
      <w:pPr>
        <w:pStyle w:val="39"/>
        <w:spacing w:line="560" w:lineRule="exact"/>
        <w:ind w:firstLine="0" w:firstLineChars="0"/>
        <w:rPr>
          <w:rFonts w:ascii="仿宋" w:hAnsi="仿宋" w:eastAsia="仿宋" w:cs="仿宋"/>
          <w:szCs w:val="24"/>
          <w:highlight w:val="none"/>
          <w:u w:val="single"/>
        </w:rPr>
      </w:pPr>
      <w:r>
        <w:rPr>
          <w:rFonts w:hint="eastAsia" w:ascii="仿宋" w:hAnsi="仿宋" w:eastAsia="仿宋" w:cs="仿宋"/>
          <w:sz w:val="24"/>
          <w:szCs w:val="24"/>
          <w:highlight w:val="none"/>
          <w:lang w:val="zh-CN"/>
        </w:rPr>
        <w:t>法定代表人或被授权人（签字或盖章）</w:t>
      </w:r>
      <w:r>
        <w:rPr>
          <w:rFonts w:hint="eastAsia" w:ascii="仿宋" w:hAnsi="仿宋" w:eastAsia="仿宋" w:cs="仿宋"/>
          <w:sz w:val="24"/>
          <w:szCs w:val="24"/>
          <w:highlight w:val="none"/>
        </w:rPr>
        <w:t>：（投标人单位公章）                     日 期：</w:t>
      </w:r>
    </w:p>
    <w:p>
      <w:pPr>
        <w:rPr>
          <w:rFonts w:ascii="仿宋" w:hAnsi="仿宋" w:eastAsia="仿宋" w:cs="仿宋"/>
          <w:szCs w:val="24"/>
          <w:highlight w:val="none"/>
          <w:u w:val="single"/>
        </w:rPr>
      </w:pPr>
      <w:r>
        <w:rPr>
          <w:rFonts w:hint="eastAsia" w:ascii="仿宋" w:hAnsi="仿宋" w:eastAsia="仿宋" w:cs="仿宋"/>
          <w:szCs w:val="24"/>
          <w:highlight w:val="none"/>
          <w:u w:val="single"/>
        </w:rPr>
        <w:br w:type="page"/>
      </w:r>
    </w:p>
    <w:p>
      <w:pPr>
        <w:pStyle w:val="39"/>
        <w:spacing w:line="560" w:lineRule="exact"/>
        <w:ind w:firstLine="0" w:firstLineChars="0"/>
        <w:rPr>
          <w:rFonts w:ascii="仿宋" w:hAnsi="仿宋" w:eastAsia="仿宋" w:cs="仿宋"/>
          <w:b/>
          <w:highlight w:val="none"/>
        </w:rPr>
      </w:pPr>
      <w:r>
        <w:rPr>
          <w:rFonts w:hint="eastAsia" w:ascii="仿宋" w:hAnsi="仿宋" w:eastAsia="仿宋" w:cs="仿宋"/>
          <w:b/>
          <w:highlight w:val="none"/>
        </w:rPr>
        <w:t xml:space="preserve">4、节能环保、环境标志产品明细表 </w:t>
      </w:r>
      <w:r>
        <w:rPr>
          <w:rFonts w:hint="eastAsia" w:ascii="仿宋" w:hAnsi="仿宋" w:eastAsia="仿宋" w:cs="仿宋"/>
          <w:bCs/>
          <w:sz w:val="24"/>
          <w:szCs w:val="24"/>
          <w:highlight w:val="none"/>
        </w:rPr>
        <w:t>（格式，若有）</w:t>
      </w:r>
    </w:p>
    <w:p>
      <w:pPr>
        <w:pStyle w:val="39"/>
        <w:spacing w:line="520" w:lineRule="exact"/>
        <w:ind w:firstLine="170" w:firstLineChars="71"/>
        <w:rPr>
          <w:rFonts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bCs/>
          <w:sz w:val="24"/>
          <w:szCs w:val="24"/>
          <w:highlight w:val="none"/>
        </w:rPr>
        <w:t>项目编号</w:t>
      </w:r>
      <w:r>
        <w:rPr>
          <w:rFonts w:hint="eastAsia" w:ascii="仿宋" w:hAnsi="仿宋" w:eastAsia="仿宋" w:cs="仿宋"/>
          <w:sz w:val="24"/>
          <w:szCs w:val="24"/>
          <w:highlight w:val="none"/>
        </w:rPr>
        <w:t>：</w:t>
      </w:r>
    </w:p>
    <w:tbl>
      <w:tblPr>
        <w:tblStyle w:val="23"/>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r>
              <w:rPr>
                <w:rFonts w:hint="eastAsia" w:ascii="仿宋" w:hAnsi="仿宋" w:eastAsia="仿宋" w:cs="仿宋"/>
                <w:highlight w:val="none"/>
              </w:rPr>
              <w:t>合计（人民币</w:t>
            </w:r>
            <w:r>
              <w:rPr>
                <w:rFonts w:hint="eastAsia" w:ascii="仿宋" w:hAnsi="仿宋" w:eastAsia="仿宋" w:cs="仿宋"/>
                <w:szCs w:val="24"/>
                <w:highlight w:val="none"/>
              </w:rPr>
              <w:t>元</w:t>
            </w:r>
            <w:r>
              <w:rPr>
                <w:rFonts w:hint="eastAsia" w:ascii="仿宋" w:hAnsi="仿宋" w:eastAsia="仿宋" w:cs="仿宋"/>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p>
        </w:tc>
      </w:tr>
    </w:tbl>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：（投标人单位公章）                     日 期：</w:t>
      </w:r>
    </w:p>
    <w:p>
      <w:pPr>
        <w:rPr>
          <w:rFonts w:ascii="仿宋" w:hAnsi="仿宋" w:eastAsia="仿宋" w:cs="仿宋"/>
          <w:b/>
          <w:highlight w:val="none"/>
        </w:rPr>
      </w:pPr>
      <w:bookmarkStart w:id="220" w:name="_Toc458617474"/>
      <w:bookmarkStart w:id="221" w:name="_Toc17354"/>
      <w:bookmarkStart w:id="222" w:name="_Toc194663921"/>
      <w:bookmarkStart w:id="223" w:name="_Toc4842"/>
      <w:bookmarkStart w:id="224" w:name="_Toc193187100"/>
      <w:bookmarkStart w:id="225" w:name="_Toc193126884"/>
      <w:r>
        <w:rPr>
          <w:rFonts w:hint="eastAsia" w:ascii="仿宋" w:hAnsi="仿宋" w:eastAsia="仿宋" w:cs="仿宋"/>
          <w:b/>
          <w:highlight w:val="none"/>
        </w:rPr>
        <w:br w:type="page"/>
      </w:r>
    </w:p>
    <w:p>
      <w:pPr>
        <w:pStyle w:val="39"/>
        <w:spacing w:line="560" w:lineRule="exact"/>
        <w:ind w:firstLineChars="71"/>
        <w:rPr>
          <w:rFonts w:ascii="仿宋" w:hAnsi="仿宋" w:eastAsia="仿宋" w:cs="仿宋"/>
          <w:sz w:val="24"/>
          <w:szCs w:val="24"/>
          <w:highlight w:val="none"/>
        </w:rPr>
      </w:pPr>
      <w:r>
        <w:rPr>
          <w:rFonts w:hint="eastAsia" w:ascii="仿宋" w:hAnsi="仿宋" w:eastAsia="仿宋" w:cs="仿宋"/>
          <w:b/>
          <w:highlight w:val="none"/>
        </w:rPr>
        <w:t>5.选配件报价表</w:t>
      </w:r>
      <w:bookmarkEnd w:id="220"/>
      <w:bookmarkEnd w:id="221"/>
      <w:bookmarkEnd w:id="222"/>
      <w:bookmarkEnd w:id="223"/>
      <w:bookmarkEnd w:id="224"/>
      <w:bookmarkEnd w:id="225"/>
      <w:r>
        <w:rPr>
          <w:rFonts w:hint="eastAsia" w:ascii="仿宋" w:hAnsi="仿宋" w:eastAsia="仿宋" w:cs="仿宋"/>
          <w:bCs/>
          <w:sz w:val="24"/>
          <w:szCs w:val="24"/>
          <w:highlight w:val="none"/>
        </w:rPr>
        <w:t>（格式，若有）</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                                  项目编号：</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843"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0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417"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3"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9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1134"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428"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17"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992"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134"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28"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：（投标人单位公章）             日 期：</w:t>
      </w:r>
    </w:p>
    <w:p>
      <w:pPr>
        <w:pStyle w:val="39"/>
        <w:spacing w:line="560" w:lineRule="exact"/>
        <w:ind w:firstLine="170" w:firstLineChars="71"/>
        <w:rPr>
          <w:rFonts w:ascii="仿宋" w:hAnsi="仿宋" w:eastAsia="仿宋" w:cs="仿宋"/>
          <w:bCs/>
          <w:sz w:val="24"/>
          <w:szCs w:val="24"/>
          <w:highlight w:val="none"/>
        </w:rPr>
      </w:pPr>
      <w:r>
        <w:rPr>
          <w:rFonts w:hint="eastAsia" w:ascii="仿宋" w:hAnsi="仿宋" w:eastAsia="仿宋" w:cs="仿宋"/>
          <w:sz w:val="24"/>
          <w:szCs w:val="24"/>
          <w:highlight w:val="none"/>
          <w:u w:val="single"/>
        </w:rPr>
        <w:br w:type="page"/>
      </w:r>
      <w:bookmarkStart w:id="226" w:name="_Toc458617475"/>
      <w:bookmarkStart w:id="227" w:name="_Toc16402"/>
      <w:bookmarkStart w:id="228" w:name="_Toc10875"/>
      <w:r>
        <w:rPr>
          <w:rFonts w:hint="eastAsia" w:ascii="仿宋" w:hAnsi="仿宋" w:eastAsia="仿宋" w:cs="仿宋"/>
          <w:b/>
          <w:highlight w:val="none"/>
        </w:rPr>
        <w:t>6.货物说明一览表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6"/>
      <w:bookmarkEnd w:id="227"/>
      <w:bookmarkEnd w:id="228"/>
      <w:r>
        <w:rPr>
          <w:rFonts w:hint="eastAsia" w:ascii="仿宋" w:hAnsi="仿宋" w:eastAsia="仿宋" w:cs="仿宋"/>
          <w:bCs/>
          <w:sz w:val="24"/>
          <w:szCs w:val="21"/>
          <w:highlight w:val="none"/>
        </w:rPr>
        <w:t>（格式）</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16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62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504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配置、规格及主要技术参数</w:t>
            </w:r>
          </w:p>
        </w:tc>
        <w:tc>
          <w:tcPr>
            <w:tcW w:w="180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ascii="仿宋" w:hAnsi="仿宋" w:eastAsia="仿宋" w:cs="仿宋"/>
                <w:b/>
                <w:szCs w:val="24"/>
                <w:highlight w:val="none"/>
              </w:rPr>
            </w:pPr>
            <w:r>
              <w:rPr>
                <w:rFonts w:hint="eastAsia" w:ascii="仿宋" w:hAnsi="仿宋" w:eastAsia="仿宋" w:cs="仿宋"/>
                <w:b/>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bl>
    <w:p>
      <w:pPr>
        <w:spacing w:line="560" w:lineRule="exact"/>
        <w:ind w:left="240" w:leftChars="100" w:firstLine="480" w:firstLineChars="200"/>
        <w:rPr>
          <w:rFonts w:ascii="仿宋" w:hAnsi="仿宋" w:eastAsia="仿宋" w:cs="仿宋"/>
          <w:highlight w:val="none"/>
          <w:u w:val="single"/>
        </w:rPr>
        <w:sectPr>
          <w:headerReference r:id="rId18" w:type="first"/>
          <w:footerReference r:id="rId20" w:type="first"/>
          <w:headerReference r:id="rId17" w:type="default"/>
          <w:footerReference r:id="rId19" w:type="default"/>
          <w:pgSz w:w="16840" w:h="11905" w:orient="landscape"/>
          <w:pgMar w:top="1417" w:right="1417" w:bottom="1417" w:left="1417" w:header="935" w:footer="907" w:gutter="0"/>
          <w:cols w:space="0" w:num="1"/>
          <w:titlePg/>
          <w:docGrid w:linePitch="312" w:charSpace="0"/>
        </w:sect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：（投标人单位公章）          日  期：</w:t>
      </w:r>
      <w:bookmarkStart w:id="229" w:name="_Toc193126886"/>
      <w:bookmarkStart w:id="230" w:name="_Toc193187102"/>
      <w:bookmarkStart w:id="231" w:name="_Toc188808837"/>
      <w:bookmarkStart w:id="232" w:name="_Toc194663923"/>
    </w:p>
    <w:bookmarkEnd w:id="229"/>
    <w:bookmarkEnd w:id="230"/>
    <w:bookmarkEnd w:id="231"/>
    <w:bookmarkEnd w:id="232"/>
    <w:p>
      <w:pPr>
        <w:pStyle w:val="39"/>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7.技术规格响应偏离表</w:t>
      </w:r>
      <w:r>
        <w:rPr>
          <w:rFonts w:hint="eastAsia" w:ascii="仿宋" w:hAnsi="仿宋" w:eastAsia="仿宋" w:cs="仿宋"/>
          <w:bCs/>
          <w:sz w:val="24"/>
          <w:szCs w:val="21"/>
          <w:highlight w:val="none"/>
        </w:rPr>
        <w:t>（格式）</w:t>
      </w:r>
    </w:p>
    <w:p>
      <w:pPr>
        <w:spacing w:line="560" w:lineRule="exact"/>
        <w:jc w:val="left"/>
        <w:rPr>
          <w:rFonts w:ascii="仿宋" w:hAnsi="仿宋" w:eastAsia="仿宋" w:cs="仿宋"/>
          <w:szCs w:val="24"/>
          <w:highlight w:val="none"/>
          <w:u w:val="single"/>
        </w:rPr>
      </w:pPr>
      <w:r>
        <w:rPr>
          <w:rFonts w:hint="eastAsia" w:ascii="仿宋" w:hAnsi="仿宋" w:eastAsia="仿宋" w:cs="仿宋"/>
          <w:szCs w:val="24"/>
          <w:highlight w:val="none"/>
        </w:rPr>
        <w:t>投标人名称：            项目编号：</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名称</w:t>
            </w:r>
          </w:p>
        </w:tc>
        <w:tc>
          <w:tcPr>
            <w:tcW w:w="231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bl>
    <w:p>
      <w:pPr>
        <w:spacing w:line="44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注：本表请按项目的实际技术参数，逐条对应招标文件第三章《采购内容及技术要求》认真填写，偏离情况填写：优于、等于或低于，偏离说明对偏离情况做出详细说明。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：（投标人单位公章）</w:t>
      </w:r>
    </w:p>
    <w:p>
      <w:pPr>
        <w:spacing w:line="560" w:lineRule="exact"/>
        <w:ind w:firstLine="360" w:firstLineChars="150"/>
        <w:rPr>
          <w:rFonts w:ascii="仿宋" w:hAnsi="仿宋" w:eastAsia="仿宋" w:cs="仿宋"/>
          <w:szCs w:val="24"/>
          <w:highlight w:val="none"/>
          <w:u w:val="single"/>
        </w:rPr>
      </w:pPr>
      <w:r>
        <w:rPr>
          <w:rFonts w:hint="eastAsia" w:ascii="仿宋" w:hAnsi="仿宋" w:eastAsia="仿宋" w:cs="仿宋"/>
          <w:szCs w:val="24"/>
          <w:highlight w:val="none"/>
        </w:rPr>
        <w:t xml:space="preserve"> 日 期：</w:t>
      </w:r>
      <w:bookmarkStart w:id="233" w:name="_Toc194663924"/>
      <w:bookmarkStart w:id="234" w:name="_Toc193126887"/>
      <w:bookmarkStart w:id="235" w:name="_Toc188808838"/>
      <w:bookmarkStart w:id="236" w:name="_Toc193187103"/>
    </w:p>
    <w:p>
      <w:pPr>
        <w:pStyle w:val="39"/>
        <w:spacing w:line="560" w:lineRule="exact"/>
        <w:ind w:firstLineChars="71"/>
        <w:rPr>
          <w:rFonts w:ascii="仿宋" w:hAnsi="仿宋" w:eastAsia="仿宋" w:cs="仿宋"/>
          <w:b/>
          <w:highlight w:val="none"/>
        </w:rPr>
      </w:pPr>
      <w:bookmarkStart w:id="237" w:name="_Toc458617476"/>
      <w:bookmarkStart w:id="238" w:name="_Toc11969"/>
      <w:bookmarkStart w:id="239" w:name="_Toc2240"/>
    </w:p>
    <w:p>
      <w:pPr>
        <w:pStyle w:val="39"/>
        <w:spacing w:line="560" w:lineRule="exact"/>
        <w:ind w:firstLineChars="71"/>
        <w:rPr>
          <w:rFonts w:ascii="仿宋" w:hAnsi="仿宋" w:eastAsia="仿宋" w:cs="仿宋"/>
          <w:bCs/>
          <w:sz w:val="24"/>
          <w:szCs w:val="21"/>
          <w:highlight w:val="none"/>
        </w:rPr>
      </w:pPr>
      <w:r>
        <w:rPr>
          <w:rFonts w:hint="eastAsia" w:ascii="仿宋" w:hAnsi="仿宋" w:eastAsia="仿宋" w:cs="仿宋"/>
          <w:b/>
          <w:highlight w:val="none"/>
        </w:rPr>
        <w:t>8.商务条款响应偏离表</w:t>
      </w:r>
      <w:bookmarkEnd w:id="233"/>
      <w:bookmarkEnd w:id="234"/>
      <w:bookmarkEnd w:id="235"/>
      <w:bookmarkEnd w:id="236"/>
      <w:bookmarkEnd w:id="237"/>
      <w:bookmarkEnd w:id="238"/>
      <w:bookmarkEnd w:id="239"/>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投标人名称：               项目编号：</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szCs w:val="24"/>
                <w:highlight w:val="none"/>
              </w:rPr>
            </w:pPr>
            <w:r>
              <w:rPr>
                <w:rFonts w:hint="eastAsia" w:ascii="仿宋" w:hAnsi="仿宋" w:eastAsia="仿宋" w:cs="仿宋"/>
                <w:b/>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b/>
          <w:bCs/>
          <w:sz w:val="20"/>
          <w:szCs w:val="20"/>
          <w:highlight w:val="none"/>
        </w:rPr>
      </w:pPr>
      <w:r>
        <w:rPr>
          <w:rFonts w:hint="eastAsia" w:ascii="仿宋" w:hAnsi="仿宋" w:eastAsia="仿宋" w:cs="仿宋"/>
          <w:b/>
          <w:bCs/>
          <w:sz w:val="20"/>
          <w:szCs w:val="20"/>
          <w:highlight w:val="none"/>
        </w:rPr>
        <w:t>注：本表按照招标文件第四章《商务要求》逐条响应，否则按无效投标处理。偏离情况填写：优于、等于或低于，偏离说明对偏离情况做出详细说明。</w:t>
      </w:r>
    </w:p>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 xml:space="preserve">：（投标人单位公章）  </w:t>
      </w:r>
    </w:p>
    <w:p>
      <w:pPr>
        <w:spacing w:line="560" w:lineRule="exact"/>
        <w:ind w:left="240" w:leftChars="100" w:firstLine="120" w:firstLineChars="50"/>
        <w:rPr>
          <w:rFonts w:ascii="仿宋" w:hAnsi="仿宋" w:eastAsia="仿宋" w:cs="仿宋"/>
          <w:highlight w:val="none"/>
          <w:u w:val="single"/>
        </w:rPr>
      </w:pPr>
      <w:r>
        <w:rPr>
          <w:rFonts w:hint="eastAsia" w:ascii="仿宋" w:hAnsi="仿宋" w:eastAsia="仿宋" w:cs="仿宋"/>
          <w:szCs w:val="24"/>
          <w:highlight w:val="none"/>
        </w:rPr>
        <w:t>日 期：</w:t>
      </w:r>
    </w:p>
    <w:p>
      <w:pPr>
        <w:spacing w:line="560" w:lineRule="exact"/>
        <w:rPr>
          <w:rFonts w:ascii="仿宋" w:hAnsi="仿宋" w:eastAsia="仿宋" w:cs="仿宋"/>
          <w:b/>
          <w:kern w:val="0"/>
          <w:sz w:val="28"/>
          <w:highlight w:val="none"/>
        </w:rPr>
      </w:pPr>
      <w:r>
        <w:rPr>
          <w:rFonts w:hint="eastAsia" w:ascii="仿宋" w:hAnsi="仿宋" w:eastAsia="仿宋" w:cs="仿宋"/>
          <w:szCs w:val="21"/>
          <w:highlight w:val="none"/>
          <w:u w:val="single"/>
        </w:rPr>
        <w:br w:type="page"/>
      </w:r>
    </w:p>
    <w:p>
      <w:pPr>
        <w:pStyle w:val="39"/>
        <w:spacing w:line="560" w:lineRule="exact"/>
        <w:ind w:firstLineChars="71"/>
        <w:rPr>
          <w:rFonts w:ascii="仿宋" w:hAnsi="仿宋" w:eastAsia="仿宋" w:cs="仿宋"/>
          <w:b/>
          <w:highlight w:val="none"/>
          <w:u w:val="wavyHeavy" w:color="FF0000"/>
        </w:rPr>
      </w:pPr>
      <w:bookmarkStart w:id="240" w:name="_Toc5659"/>
      <w:bookmarkStart w:id="241" w:name="_Toc458617478"/>
      <w:bookmarkStart w:id="242" w:name="_Toc28085"/>
      <w:r>
        <w:rPr>
          <w:rFonts w:hint="eastAsia" w:ascii="仿宋" w:hAnsi="仿宋" w:eastAsia="仿宋" w:cs="仿宋"/>
          <w:b/>
          <w:highlight w:val="none"/>
        </w:rPr>
        <w:t>9.资格证明文件</w:t>
      </w:r>
      <w:bookmarkEnd w:id="194"/>
      <w:bookmarkEnd w:id="195"/>
      <w:bookmarkEnd w:id="196"/>
      <w:bookmarkEnd w:id="197"/>
      <w:bookmarkEnd w:id="240"/>
      <w:bookmarkEnd w:id="241"/>
      <w:bookmarkEnd w:id="242"/>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3、税收缴纳证明：提供2022年1月1日至今任意一个月的缴费凭据；（依法免税的投标人应提供相关文件证明）</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6、提供参加政府采购活动前三年内在经营活动中没有重大违法记录的书面声明。（格式自拟，加盖投标人公章）</w:t>
      </w:r>
    </w:p>
    <w:p>
      <w:pPr>
        <w:spacing w:line="52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sz w:val="24"/>
          <w:highlight w:val="none"/>
        </w:rPr>
        <w:t>(格式后附）</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sz w:val="24"/>
          <w:highlight w:val="none"/>
        </w:rPr>
        <w:t>(格式后附）</w:t>
      </w:r>
    </w:p>
    <w:p>
      <w:pPr>
        <w:pStyle w:val="39"/>
        <w:spacing w:line="520" w:lineRule="exact"/>
        <w:ind w:firstLine="480"/>
        <w:rPr>
          <w:rFonts w:ascii="仿宋" w:hAnsi="仿宋" w:eastAsia="仿宋" w:cs="仿宋"/>
          <w:sz w:val="24"/>
          <w:highlight w:val="none"/>
        </w:rPr>
      </w:pP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9"/>
        <w:spacing w:line="520" w:lineRule="exact"/>
        <w:ind w:firstLine="480"/>
        <w:rPr>
          <w:rFonts w:ascii="仿宋" w:hAnsi="仿宋" w:eastAsia="仿宋" w:cs="仿宋"/>
          <w:sz w:val="24"/>
          <w:highlight w:val="none"/>
        </w:rPr>
      </w:pPr>
      <w:r>
        <w:rPr>
          <w:rFonts w:hint="eastAsia" w:ascii="仿宋" w:hAnsi="仿宋" w:eastAsia="仿宋" w:cs="仿宋"/>
          <w:sz w:val="24"/>
          <w:highlight w:val="none"/>
        </w:rPr>
        <w:t>4、单位负责人为同一人或者存在直接控股、管理关系的不同投标人，不得参加同一合同项下的政府采购活动；（提供书面承诺函，格式自拟加盖投标人公章）</w:t>
      </w:r>
    </w:p>
    <w:p>
      <w:pPr>
        <w:pStyle w:val="39"/>
        <w:spacing w:line="520" w:lineRule="exact"/>
        <w:ind w:firstLine="480"/>
        <w:rPr>
          <w:rFonts w:ascii="仿宋" w:hAnsi="仿宋" w:eastAsia="仿宋" w:cs="仿宋"/>
          <w:sz w:val="24"/>
          <w:highlight w:val="none"/>
        </w:rPr>
      </w:pPr>
    </w:p>
    <w:p>
      <w:pPr>
        <w:pStyle w:val="2"/>
        <w:spacing w:line="560" w:lineRule="exact"/>
        <w:rPr>
          <w:rFonts w:ascii="仿宋" w:hAnsi="仿宋" w:eastAsia="仿宋" w:cs="仿宋"/>
          <w:szCs w:val="24"/>
          <w:highlight w:val="none"/>
        </w:rPr>
      </w:pPr>
    </w:p>
    <w:p>
      <w:pPr>
        <w:rPr>
          <w:rFonts w:ascii="仿宋" w:hAnsi="仿宋" w:eastAsia="仿宋" w:cs="仿宋"/>
          <w:szCs w:val="24"/>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spacing w:line="560" w:lineRule="exact"/>
        <w:ind w:left="240" w:leftChars="100"/>
        <w:jc w:val="center"/>
        <w:rPr>
          <w:rFonts w:ascii="仿宋" w:hAnsi="仿宋" w:eastAsia="仿宋" w:cs="仿宋"/>
          <w:b/>
          <w:bCs/>
          <w:sz w:val="28"/>
          <w:szCs w:val="28"/>
          <w:highlight w:val="none"/>
        </w:rPr>
      </w:pPr>
      <w:bookmarkStart w:id="243" w:name="_Toc49019498"/>
      <w:bookmarkStart w:id="244" w:name="_Toc47418256"/>
      <w:bookmarkStart w:id="245" w:name="_Toc48791236"/>
      <w:bookmarkStart w:id="246" w:name="_Toc47262070"/>
      <w:bookmarkStart w:id="247" w:name="_Toc47418732"/>
      <w:bookmarkStart w:id="248" w:name="_Toc47261691"/>
      <w:bookmarkStart w:id="249" w:name="_Toc48995852"/>
      <w:bookmarkStart w:id="250" w:name="_Toc47418939"/>
      <w:bookmarkStart w:id="251" w:name="_Toc47261886"/>
      <w:bookmarkStart w:id="252" w:name="_Toc49019237"/>
      <w:r>
        <w:rPr>
          <w:rFonts w:hint="eastAsia" w:ascii="仿宋" w:hAnsi="仿宋" w:eastAsia="仿宋" w:cs="仿宋"/>
          <w:b/>
          <w:bCs/>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szCs w:val="24"/>
                <w:highlight w:val="none"/>
              </w:rPr>
            </w:pPr>
            <w:r>
              <w:rPr>
                <w:rFonts w:hint="eastAsia" w:ascii="仿宋" w:hAnsi="仿宋" w:eastAsia="仿宋" w:cs="仿宋"/>
                <w:szCs w:val="24"/>
                <w:highlight w:val="none"/>
              </w:rPr>
              <w:t>投标人名称：（投标人单位公章）      日 期：</w:t>
            </w:r>
          </w:p>
        </w:tc>
      </w:tr>
    </w:tbl>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kern w:val="0"/>
          <w:highlight w:val="none"/>
        </w:rPr>
        <w:t>（法定代表人直接投标，只须提供法定代表人证明书及身份证原件）</w:t>
      </w:r>
      <w:r>
        <w:rPr>
          <w:rFonts w:hint="eastAsia" w:ascii="仿宋" w:hAnsi="仿宋" w:eastAsia="仿宋" w:cs="仿宋"/>
          <w:b/>
          <w:bCs/>
          <w:szCs w:val="24"/>
          <w:highlight w:val="none"/>
        </w:rPr>
        <w:br w:type="page"/>
      </w:r>
    </w:p>
    <w:p>
      <w:pPr>
        <w:spacing w:line="560" w:lineRule="exact"/>
        <w:ind w:left="240" w:leftChars="10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本授权书</w:t>
            </w: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投标人名称：（投标人单位公章）     日 期：</w:t>
            </w:r>
          </w:p>
        </w:tc>
      </w:tr>
      <w:bookmarkEnd w:id="243"/>
      <w:bookmarkEnd w:id="244"/>
      <w:bookmarkEnd w:id="245"/>
      <w:bookmarkEnd w:id="246"/>
      <w:bookmarkEnd w:id="247"/>
      <w:bookmarkEnd w:id="248"/>
      <w:bookmarkEnd w:id="249"/>
      <w:bookmarkEnd w:id="250"/>
      <w:bookmarkEnd w:id="251"/>
      <w:bookmarkEnd w:id="252"/>
    </w:tbl>
    <w:p>
      <w:pPr>
        <w:pStyle w:val="39"/>
        <w:spacing w:line="560" w:lineRule="exact"/>
        <w:ind w:firstLine="0" w:firstLineChars="0"/>
        <w:jc w:val="center"/>
        <w:rPr>
          <w:rFonts w:ascii="仿宋" w:hAnsi="仿宋" w:eastAsia="仿宋" w:cs="仿宋"/>
          <w:b/>
          <w:highlight w:val="none"/>
        </w:rPr>
      </w:pPr>
      <w:r>
        <w:rPr>
          <w:rFonts w:hint="eastAsia" w:ascii="仿宋" w:hAnsi="仿宋" w:eastAsia="仿宋" w:cs="仿宋"/>
          <w:sz w:val="24"/>
          <w:highlight w:val="none"/>
        </w:rPr>
        <w:t>（被授权人投标时，须提供法定代表人授权委托书及被授权人身份证原件）</w:t>
      </w:r>
    </w:p>
    <w:p>
      <w:pPr>
        <w:pStyle w:val="39"/>
        <w:spacing w:line="560" w:lineRule="exact"/>
        <w:ind w:firstLine="0" w:firstLineChars="0"/>
        <w:rPr>
          <w:rFonts w:ascii="仿宋" w:hAnsi="仿宋" w:eastAsia="仿宋" w:cs="仿宋"/>
          <w:b/>
          <w:sz w:val="20"/>
          <w:szCs w:val="16"/>
          <w:highlight w:val="none"/>
        </w:rPr>
      </w:pPr>
      <w:r>
        <w:rPr>
          <w:rFonts w:hint="eastAsia" w:ascii="仿宋" w:hAnsi="仿宋" w:eastAsia="仿宋" w:cs="仿宋"/>
          <w:b/>
          <w:highlight w:val="none"/>
        </w:rPr>
        <w:t>10.</w:t>
      </w:r>
      <w:bookmarkStart w:id="253" w:name="_Toc188808842"/>
      <w:bookmarkStart w:id="254" w:name="_Toc193126891"/>
      <w:r>
        <w:rPr>
          <w:rFonts w:hint="eastAsia" w:ascii="仿宋" w:hAnsi="仿宋" w:eastAsia="仿宋" w:cs="仿宋"/>
          <w:b/>
          <w:highlight w:val="none"/>
        </w:rPr>
        <w:t>业绩证明材料（以合同为准，复印件加盖公章）</w:t>
      </w:r>
    </w:p>
    <w:p>
      <w:pPr>
        <w:pStyle w:val="39"/>
        <w:spacing w:line="560" w:lineRule="exact"/>
        <w:ind w:firstLine="0" w:firstLineChars="0"/>
        <w:rPr>
          <w:rFonts w:ascii="仿宋" w:hAnsi="仿宋" w:eastAsia="仿宋" w:cs="仿宋"/>
          <w:b/>
          <w:szCs w:val="28"/>
          <w:highlight w:val="none"/>
        </w:rPr>
      </w:pPr>
      <w:bookmarkStart w:id="255" w:name="_Toc458617479"/>
      <w:bookmarkStart w:id="256" w:name="_Toc14386"/>
      <w:bookmarkStart w:id="257" w:name="_Toc937"/>
    </w:p>
    <w:p>
      <w:pPr>
        <w:pStyle w:val="39"/>
        <w:spacing w:line="560" w:lineRule="exact"/>
        <w:ind w:firstLine="0" w:firstLineChars="0"/>
        <w:rPr>
          <w:rFonts w:ascii="仿宋" w:hAnsi="仿宋" w:eastAsia="仿宋" w:cs="仿宋"/>
          <w:b/>
          <w:szCs w:val="28"/>
          <w:highlight w:val="none"/>
        </w:rPr>
      </w:pPr>
    </w:p>
    <w:p>
      <w:pPr>
        <w:pStyle w:val="39"/>
        <w:spacing w:line="560" w:lineRule="exact"/>
        <w:ind w:firstLine="0" w:firstLineChars="0"/>
        <w:rPr>
          <w:rFonts w:ascii="仿宋" w:hAnsi="仿宋" w:eastAsia="仿宋" w:cs="仿宋"/>
          <w:b/>
          <w:bCs/>
          <w:szCs w:val="28"/>
          <w:highlight w:val="none"/>
        </w:rPr>
      </w:pPr>
      <w:r>
        <w:rPr>
          <w:rFonts w:hint="eastAsia" w:ascii="仿宋" w:hAnsi="仿宋" w:eastAsia="仿宋" w:cs="仿宋"/>
          <w:b/>
          <w:highlight w:val="none"/>
        </w:rPr>
        <w:t>11.产品的合法渠道证明文件</w:t>
      </w:r>
      <w:bookmarkEnd w:id="255"/>
      <w:bookmarkEnd w:id="256"/>
      <w:bookmarkEnd w:id="257"/>
      <w:bookmarkStart w:id="258" w:name="_Toc193187107"/>
      <w:bookmarkStart w:id="259" w:name="_Toc193126901"/>
      <w:bookmarkStart w:id="260" w:name="_Toc194663938"/>
      <w:bookmarkStart w:id="261" w:name="_Toc23126"/>
      <w:bookmarkStart w:id="262" w:name="_Toc23774"/>
      <w:bookmarkStart w:id="263" w:name="_Toc458617480"/>
    </w:p>
    <w:p>
      <w:pPr>
        <w:pStyle w:val="2"/>
        <w:rPr>
          <w:rFonts w:ascii="仿宋" w:hAnsi="仿宋" w:eastAsia="仿宋" w:cs="仿宋"/>
          <w:highlight w:val="none"/>
        </w:rPr>
      </w:pPr>
    </w:p>
    <w:p>
      <w:pPr>
        <w:pStyle w:val="39"/>
        <w:spacing w:line="560" w:lineRule="exact"/>
        <w:ind w:firstLineChars="71"/>
        <w:rPr>
          <w:rFonts w:ascii="仿宋" w:hAnsi="仿宋" w:eastAsia="仿宋" w:cs="仿宋"/>
          <w:b/>
          <w:highlight w:val="none"/>
        </w:rPr>
      </w:pPr>
    </w:p>
    <w:p>
      <w:pPr>
        <w:pStyle w:val="39"/>
        <w:spacing w:line="560" w:lineRule="exact"/>
        <w:ind w:firstLine="0" w:firstLineChars="0"/>
        <w:rPr>
          <w:rFonts w:ascii="仿宋" w:hAnsi="仿宋" w:eastAsia="仿宋" w:cs="仿宋"/>
          <w:b/>
          <w:highlight w:val="none"/>
        </w:rPr>
      </w:pPr>
      <w:r>
        <w:rPr>
          <w:rFonts w:hint="eastAsia" w:ascii="仿宋" w:hAnsi="仿宋" w:eastAsia="仿宋" w:cs="仿宋"/>
          <w:b/>
          <w:highlight w:val="none"/>
        </w:rPr>
        <w:t>12.</w:t>
      </w:r>
      <w:bookmarkEnd w:id="258"/>
      <w:bookmarkEnd w:id="259"/>
      <w:bookmarkEnd w:id="260"/>
      <w:r>
        <w:rPr>
          <w:rFonts w:hint="eastAsia" w:ascii="仿宋" w:hAnsi="仿宋" w:eastAsia="仿宋" w:cs="仿宋"/>
          <w:b/>
          <w:highlight w:val="none"/>
        </w:rPr>
        <w:t>项目实施方案</w:t>
      </w:r>
    </w:p>
    <w:bookmarkEnd w:id="261"/>
    <w:bookmarkEnd w:id="262"/>
    <w:bookmarkEnd w:id="263"/>
    <w:p>
      <w:pPr>
        <w:pStyle w:val="39"/>
        <w:spacing w:line="560" w:lineRule="exact"/>
        <w:ind w:firstLine="0" w:firstLineChars="0"/>
        <w:rPr>
          <w:rFonts w:ascii="仿宋" w:hAnsi="仿宋" w:eastAsia="仿宋" w:cs="仿宋"/>
          <w:b/>
          <w:szCs w:val="28"/>
          <w:highlight w:val="none"/>
        </w:rPr>
      </w:pPr>
      <w:bookmarkStart w:id="264" w:name="_Toc194663939"/>
      <w:bookmarkStart w:id="265" w:name="_Toc193187108"/>
      <w:bookmarkStart w:id="266" w:name="_Toc193126902"/>
      <w:bookmarkStart w:id="267" w:name="_Toc188808852"/>
    </w:p>
    <w:p>
      <w:pPr>
        <w:pStyle w:val="39"/>
        <w:spacing w:line="560" w:lineRule="exact"/>
        <w:ind w:firstLine="0" w:firstLineChars="0"/>
        <w:rPr>
          <w:rFonts w:ascii="仿宋" w:hAnsi="仿宋" w:eastAsia="仿宋" w:cs="仿宋"/>
          <w:b/>
          <w:szCs w:val="28"/>
          <w:highlight w:val="none"/>
        </w:rPr>
      </w:pPr>
    </w:p>
    <w:p>
      <w:pPr>
        <w:pStyle w:val="39"/>
        <w:spacing w:line="560" w:lineRule="exact"/>
        <w:ind w:firstLine="0" w:firstLineChars="0"/>
        <w:rPr>
          <w:rFonts w:ascii="仿宋" w:hAnsi="仿宋" w:eastAsia="仿宋" w:cs="仿宋"/>
          <w:b/>
          <w:szCs w:val="28"/>
          <w:highlight w:val="none"/>
        </w:rPr>
      </w:pPr>
      <w:r>
        <w:rPr>
          <w:rFonts w:hint="eastAsia" w:ascii="仿宋" w:hAnsi="仿宋" w:eastAsia="仿宋" w:cs="仿宋"/>
          <w:b/>
          <w:szCs w:val="28"/>
          <w:highlight w:val="none"/>
        </w:rPr>
        <w:t>13.</w:t>
      </w:r>
      <w:r>
        <w:rPr>
          <w:rFonts w:hint="eastAsia" w:ascii="仿宋" w:hAnsi="仿宋" w:eastAsia="仿宋" w:cs="仿宋"/>
          <w:b/>
          <w:highlight w:val="none"/>
        </w:rPr>
        <w:t>产品的技术文件</w:t>
      </w:r>
    </w:p>
    <w:p>
      <w:pPr>
        <w:pStyle w:val="39"/>
        <w:spacing w:line="560" w:lineRule="exact"/>
        <w:ind w:firstLine="0" w:firstLineChars="0"/>
        <w:rPr>
          <w:rFonts w:ascii="仿宋" w:hAnsi="仿宋" w:eastAsia="仿宋" w:cs="仿宋"/>
          <w:b/>
          <w:highlight w:val="none"/>
        </w:rPr>
      </w:pPr>
      <w:bookmarkStart w:id="268" w:name="_Toc458617481"/>
      <w:bookmarkStart w:id="269" w:name="_Toc17505"/>
      <w:bookmarkStart w:id="270" w:name="_Toc8306"/>
    </w:p>
    <w:p>
      <w:pPr>
        <w:pStyle w:val="39"/>
        <w:spacing w:line="560" w:lineRule="exact"/>
        <w:ind w:firstLineChars="71"/>
        <w:rPr>
          <w:rFonts w:ascii="仿宋" w:hAnsi="仿宋" w:eastAsia="仿宋" w:cs="仿宋"/>
          <w:b/>
          <w:highlight w:val="none"/>
        </w:rPr>
      </w:pPr>
    </w:p>
    <w:p>
      <w:pPr>
        <w:pStyle w:val="39"/>
        <w:spacing w:line="560" w:lineRule="exact"/>
        <w:ind w:firstLine="0" w:firstLineChars="0"/>
        <w:rPr>
          <w:rFonts w:ascii="仿宋" w:hAnsi="仿宋" w:eastAsia="仿宋" w:cs="仿宋"/>
          <w:b/>
          <w:highlight w:val="none"/>
        </w:rPr>
      </w:pPr>
      <w:r>
        <w:rPr>
          <w:rFonts w:hint="eastAsia" w:ascii="仿宋" w:hAnsi="仿宋" w:eastAsia="仿宋" w:cs="仿宋"/>
          <w:b/>
          <w:highlight w:val="none"/>
        </w:rPr>
        <w:t>14.质量保证</w:t>
      </w:r>
      <w:bookmarkEnd w:id="264"/>
      <w:bookmarkEnd w:id="265"/>
      <w:bookmarkEnd w:id="266"/>
      <w:bookmarkEnd w:id="267"/>
      <w:bookmarkEnd w:id="268"/>
      <w:bookmarkEnd w:id="269"/>
      <w:bookmarkEnd w:id="270"/>
      <w:bookmarkStart w:id="271" w:name="_Toc194663941"/>
      <w:bookmarkStart w:id="272" w:name="_Toc188808854"/>
      <w:bookmarkStart w:id="273" w:name="_Toc193126904"/>
      <w:bookmarkStart w:id="274" w:name="_Toc193187110"/>
      <w:r>
        <w:rPr>
          <w:rFonts w:hint="eastAsia" w:ascii="仿宋" w:hAnsi="仿宋" w:eastAsia="仿宋" w:cs="仿宋"/>
          <w:b/>
          <w:highlight w:val="none"/>
        </w:rPr>
        <w:t xml:space="preserve">承诺 </w:t>
      </w:r>
    </w:p>
    <w:p>
      <w:pPr>
        <w:spacing w:line="560" w:lineRule="exact"/>
        <w:outlineLvl w:val="1"/>
        <w:rPr>
          <w:rFonts w:ascii="仿宋" w:hAnsi="仿宋" w:eastAsia="仿宋" w:cs="仿宋"/>
          <w:b/>
          <w:sz w:val="28"/>
          <w:szCs w:val="28"/>
          <w:highlight w:val="none"/>
        </w:rPr>
      </w:pPr>
    </w:p>
    <w:p>
      <w:pPr>
        <w:pStyle w:val="14"/>
        <w:rPr>
          <w:rFonts w:ascii="仿宋" w:hAnsi="仿宋" w:eastAsia="仿宋" w:cs="仿宋"/>
          <w:highlight w:val="none"/>
        </w:rPr>
      </w:pPr>
    </w:p>
    <w:p>
      <w:pPr>
        <w:pStyle w:val="14"/>
        <w:rPr>
          <w:rFonts w:ascii="仿宋" w:hAnsi="仿宋" w:eastAsia="仿宋" w:cs="仿宋"/>
          <w:highlight w:val="none"/>
        </w:rPr>
      </w:pPr>
    </w:p>
    <w:p>
      <w:pPr>
        <w:rPr>
          <w:rFonts w:ascii="仿宋" w:hAnsi="仿宋" w:eastAsia="仿宋" w:cs="仿宋"/>
          <w:highlight w:val="none"/>
        </w:rPr>
      </w:pPr>
    </w:p>
    <w:p>
      <w:pPr>
        <w:pStyle w:val="39"/>
        <w:spacing w:line="560" w:lineRule="exact"/>
        <w:ind w:firstLine="0" w:firstLineChars="0"/>
        <w:rPr>
          <w:rFonts w:ascii="仿宋" w:hAnsi="仿宋" w:eastAsia="仿宋" w:cs="仿宋"/>
          <w:b/>
          <w:highlight w:val="none"/>
        </w:rPr>
      </w:pPr>
      <w:bookmarkStart w:id="275" w:name="_Toc2456"/>
      <w:bookmarkStart w:id="276" w:name="_Toc458617482"/>
      <w:bookmarkStart w:id="277" w:name="_Toc21757"/>
      <w:r>
        <w:rPr>
          <w:rFonts w:hint="eastAsia" w:ascii="仿宋" w:hAnsi="仿宋" w:eastAsia="仿宋" w:cs="仿宋"/>
          <w:b/>
          <w:highlight w:val="none"/>
        </w:rPr>
        <w:t>15.售后服务</w:t>
      </w:r>
      <w:bookmarkEnd w:id="271"/>
      <w:bookmarkEnd w:id="272"/>
      <w:bookmarkEnd w:id="273"/>
      <w:bookmarkEnd w:id="274"/>
      <w:bookmarkEnd w:id="275"/>
      <w:bookmarkEnd w:id="276"/>
      <w:bookmarkEnd w:id="277"/>
      <w:bookmarkStart w:id="278" w:name="_Toc458617483"/>
      <w:bookmarkStart w:id="279" w:name="_Toc11302"/>
      <w:bookmarkStart w:id="280" w:name="_Toc6260"/>
      <w:bookmarkStart w:id="281" w:name="_Toc188808855"/>
      <w:bookmarkStart w:id="282" w:name="_Toc193187111"/>
      <w:bookmarkStart w:id="283" w:name="_Toc193126905"/>
      <w:bookmarkStart w:id="284" w:name="_Toc194663942"/>
      <w:r>
        <w:rPr>
          <w:rFonts w:hint="eastAsia" w:ascii="仿宋" w:hAnsi="仿宋" w:eastAsia="仿宋" w:cs="仿宋"/>
          <w:b/>
          <w:highlight w:val="none"/>
        </w:rPr>
        <w:t>及培训计划</w:t>
      </w:r>
      <w:bookmarkEnd w:id="278"/>
      <w:bookmarkEnd w:id="279"/>
      <w:bookmarkEnd w:id="280"/>
    </w:p>
    <w:p>
      <w:pPr>
        <w:pStyle w:val="39"/>
        <w:spacing w:line="560" w:lineRule="exact"/>
        <w:ind w:firstLine="0" w:firstLineChars="0"/>
        <w:rPr>
          <w:rFonts w:ascii="仿宋" w:hAnsi="仿宋" w:eastAsia="仿宋" w:cs="仿宋"/>
          <w:b/>
          <w:highlight w:val="none"/>
        </w:rPr>
      </w:pPr>
      <w:bookmarkStart w:id="285" w:name="_Toc458617484"/>
      <w:bookmarkStart w:id="286" w:name="_Toc6949"/>
      <w:bookmarkStart w:id="287" w:name="_Toc27682"/>
    </w:p>
    <w:p>
      <w:pPr>
        <w:pStyle w:val="39"/>
        <w:spacing w:line="560" w:lineRule="exact"/>
        <w:ind w:firstLine="0" w:firstLineChars="0"/>
        <w:rPr>
          <w:rFonts w:ascii="仿宋" w:hAnsi="仿宋" w:eastAsia="仿宋" w:cs="仿宋"/>
          <w:b/>
          <w:highlight w:val="none"/>
        </w:rPr>
      </w:pPr>
    </w:p>
    <w:p>
      <w:pPr>
        <w:pStyle w:val="39"/>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16.投标人认为有必要补充说明的事宜</w:t>
      </w:r>
      <w:bookmarkEnd w:id="285"/>
      <w:bookmarkEnd w:id="286"/>
      <w:bookmarkEnd w:id="287"/>
      <w:r>
        <w:rPr>
          <w:rFonts w:hint="eastAsia" w:ascii="仿宋" w:hAnsi="仿宋" w:eastAsia="仿宋" w:cs="仿宋"/>
          <w:bCs/>
          <w:sz w:val="24"/>
          <w:szCs w:val="21"/>
          <w:highlight w:val="none"/>
        </w:rPr>
        <w:t>（若有）</w:t>
      </w: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39"/>
        <w:spacing w:line="560" w:lineRule="exact"/>
        <w:ind w:firstLine="0" w:firstLineChars="0"/>
        <w:rPr>
          <w:rFonts w:ascii="仿宋" w:hAnsi="仿宋" w:eastAsia="仿宋" w:cs="仿宋"/>
          <w:b/>
          <w:highlight w:val="none"/>
        </w:rPr>
      </w:pPr>
      <w:r>
        <w:rPr>
          <w:rFonts w:hint="eastAsia" w:ascii="仿宋" w:hAnsi="仿宋" w:eastAsia="仿宋" w:cs="仿宋"/>
          <w:b/>
          <w:bCs/>
          <w:szCs w:val="28"/>
          <w:highlight w:val="none"/>
        </w:rPr>
        <w:t>17.</w:t>
      </w:r>
      <w:bookmarkEnd w:id="281"/>
      <w:bookmarkEnd w:id="282"/>
      <w:bookmarkEnd w:id="283"/>
      <w:bookmarkEnd w:id="284"/>
      <w:r>
        <w:rPr>
          <w:rFonts w:hint="eastAsia" w:ascii="仿宋" w:hAnsi="仿宋" w:eastAsia="仿宋" w:cs="仿宋"/>
          <w:b/>
          <w:bCs/>
          <w:szCs w:val="28"/>
          <w:highlight w:val="none"/>
        </w:rPr>
        <w:t>投标人承诺书</w:t>
      </w:r>
    </w:p>
    <w:p>
      <w:pPr>
        <w:widowControl/>
        <w:spacing w:line="560" w:lineRule="exact"/>
        <w:rPr>
          <w:rFonts w:ascii="仿宋" w:hAnsi="仿宋" w:eastAsia="仿宋" w:cs="仿宋"/>
          <w:b/>
          <w:bCs/>
          <w:kern w:val="0"/>
          <w:sz w:val="32"/>
          <w:szCs w:val="32"/>
          <w:highlight w:val="none"/>
        </w:rPr>
      </w:pPr>
    </w:p>
    <w:p>
      <w:pPr>
        <w:widowControl/>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陕西省政府采购投标人</w:t>
      </w:r>
    </w:p>
    <w:p>
      <w:pPr>
        <w:widowControl/>
        <w:spacing w:line="5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拒绝政府采购领域商业贿赂承诺书Ⅰ</w:t>
      </w:r>
    </w:p>
    <w:p>
      <w:pPr>
        <w:widowControl/>
        <w:spacing w:line="560" w:lineRule="exact"/>
        <w:ind w:firstLine="480" w:firstLineChars="200"/>
        <w:jc w:val="left"/>
        <w:rPr>
          <w:rFonts w:ascii="仿宋" w:hAnsi="仿宋" w:eastAsia="仿宋" w:cs="仿宋"/>
          <w:kern w:val="0"/>
          <w:highlight w:val="none"/>
        </w:rPr>
      </w:pP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为响应党中央、国务院关于治理政府采购领域商业贿赂行为的号召，</w:t>
      </w:r>
      <w:r>
        <w:rPr>
          <w:rFonts w:hint="eastAsia" w:ascii="仿宋" w:hAnsi="仿宋" w:eastAsia="仿宋" w:cs="仿宋"/>
          <w:kern w:val="0"/>
          <w:highlight w:val="none"/>
        </w:rPr>
        <w:t xml:space="preserve">我单位作为     </w:t>
      </w:r>
      <w:r>
        <w:rPr>
          <w:rFonts w:hint="eastAsia" w:ascii="仿宋" w:hAnsi="仿宋" w:eastAsia="仿宋" w:cs="仿宋"/>
          <w:kern w:val="0"/>
          <w:highlight w:val="none"/>
          <w:u w:val="single"/>
        </w:rPr>
        <w:t xml:space="preserve">（项目名称）         </w:t>
      </w:r>
      <w:r>
        <w:rPr>
          <w:rFonts w:hint="eastAsia" w:ascii="仿宋" w:hAnsi="仿宋" w:eastAsia="仿宋" w:cs="仿宋"/>
          <w:kern w:val="0"/>
          <w:highlight w:val="none"/>
        </w:rPr>
        <w:t xml:space="preserve"> 的投标人，</w:t>
      </w:r>
      <w:r>
        <w:rPr>
          <w:rFonts w:hint="eastAsia" w:ascii="仿宋" w:hAnsi="仿宋" w:eastAsia="仿宋" w:cs="仿宋"/>
          <w:kern w:val="0"/>
          <w:szCs w:val="24"/>
          <w:highlight w:val="none"/>
        </w:rPr>
        <w:t xml:space="preserve">在此庄严承诺：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1、在参与政府采购活动中遵纪守法、诚信经营、公平竞标。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2、不向采购人、采购代理机构和政府采购评审专家进行任何形式的商业贿赂以谋取交易机会。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3、不向政府采购采购代理机构和采购人提供虚假资质文件或采用虚假应标方式参与政府采购市场竞争并谋取中标、成交。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4、不采取“围标、陪标”等商业欺诈手段获得政府采购定单。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5、不采取不正当手段低毁、排挤其他投标人。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6、不在提供商品和服务时“偷梁换柱、以次充好”损害采购人的合法权益。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7、不与采购人、采购代理机构政府采购评审专家或其它投标人恶意串通，进行质疑和投诉，维护政府采购市场秩序。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8、尊重和接受政府采购监督管理部门的监督和政府采购代理机构招标要求，承担因违约行为给采购人造成的损失。 </w:t>
      </w: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 xml:space="preserve">  9、不发生其他有悖于政府采购公开、公平、公正和诚信原则的行为。 </w:t>
      </w:r>
    </w:p>
    <w:p>
      <w:pPr>
        <w:pStyle w:val="16"/>
        <w:rPr>
          <w:rFonts w:ascii="仿宋" w:hAnsi="仿宋" w:eastAsia="仿宋" w:cs="仿宋"/>
          <w:highlight w:val="none"/>
        </w:rPr>
      </w:pPr>
    </w:p>
    <w:p>
      <w:pPr>
        <w:widowControl/>
        <w:spacing w:line="560" w:lineRule="exact"/>
        <w:ind w:firstLine="480" w:firstLineChars="200"/>
        <w:rPr>
          <w:rFonts w:ascii="仿宋" w:hAnsi="仿宋" w:eastAsia="仿宋" w:cs="仿宋"/>
          <w:kern w:val="0"/>
          <w:szCs w:val="24"/>
          <w:highlight w:val="none"/>
        </w:rPr>
      </w:pPr>
    </w:p>
    <w:p>
      <w:pPr>
        <w:rPr>
          <w:rFonts w:ascii="仿宋" w:hAnsi="仿宋" w:eastAsia="仿宋" w:cs="仿宋"/>
          <w:kern w:val="0"/>
          <w:szCs w:val="24"/>
          <w:highlight w:val="none"/>
        </w:rPr>
      </w:pPr>
      <w:r>
        <w:rPr>
          <w:rFonts w:hint="eastAsia" w:ascii="仿宋" w:hAnsi="仿宋" w:eastAsia="仿宋" w:cs="仿宋"/>
          <w:kern w:val="0"/>
          <w:szCs w:val="24"/>
          <w:highlight w:val="none"/>
        </w:rPr>
        <w:br w:type="page"/>
      </w:r>
    </w:p>
    <w:p>
      <w:pPr>
        <w:widowControl/>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承诺单位：</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（盖章） </w:t>
      </w:r>
    </w:p>
    <w:p>
      <w:pPr>
        <w:widowControl/>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全权代表：</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（签字） </w:t>
      </w:r>
    </w:p>
    <w:p>
      <w:pPr>
        <w:widowControl/>
        <w:spacing w:line="560" w:lineRule="exact"/>
        <w:ind w:firstLine="240" w:firstLineChars="100"/>
        <w:rPr>
          <w:rFonts w:ascii="仿宋" w:hAnsi="仿宋" w:eastAsia="仿宋" w:cs="仿宋"/>
          <w:kern w:val="0"/>
          <w:szCs w:val="24"/>
          <w:highlight w:val="none"/>
          <w:u w:val="single"/>
        </w:rPr>
      </w:pPr>
      <w:r>
        <w:rPr>
          <w:rFonts w:hint="eastAsia" w:ascii="仿宋" w:hAnsi="仿宋" w:eastAsia="仿宋" w:cs="仿宋"/>
          <w:kern w:val="0"/>
          <w:szCs w:val="24"/>
          <w:highlight w:val="none"/>
        </w:rPr>
        <w:t>地　　址：</w:t>
      </w:r>
    </w:p>
    <w:p>
      <w:pPr>
        <w:widowControl/>
        <w:spacing w:line="560" w:lineRule="exact"/>
        <w:ind w:left="240" w:leftChars="100"/>
        <w:rPr>
          <w:rFonts w:ascii="仿宋" w:hAnsi="仿宋" w:eastAsia="仿宋" w:cs="仿宋"/>
          <w:kern w:val="0"/>
          <w:szCs w:val="24"/>
          <w:highlight w:val="none"/>
          <w:u w:val="single"/>
        </w:rPr>
      </w:pPr>
      <w:r>
        <w:rPr>
          <w:rFonts w:hint="eastAsia" w:ascii="仿宋" w:hAnsi="仿宋" w:eastAsia="仿宋" w:cs="仿宋"/>
          <w:kern w:val="0"/>
          <w:szCs w:val="24"/>
          <w:highlight w:val="none"/>
        </w:rPr>
        <w:t>邮    编：</w:t>
      </w:r>
      <w:r>
        <w:rPr>
          <w:rFonts w:hint="eastAsia" w:ascii="仿宋" w:hAnsi="仿宋" w:eastAsia="仿宋" w:cs="仿宋"/>
          <w:kern w:val="0"/>
          <w:szCs w:val="24"/>
          <w:highlight w:val="none"/>
          <w:u w:val="single"/>
        </w:rPr>
        <w:t xml:space="preserve">　　                     　　 </w:t>
      </w:r>
    </w:p>
    <w:p>
      <w:pPr>
        <w:widowControl/>
        <w:spacing w:line="560" w:lineRule="exact"/>
        <w:ind w:left="240" w:leftChars="100"/>
        <w:rPr>
          <w:rFonts w:ascii="仿宋" w:hAnsi="仿宋" w:eastAsia="仿宋" w:cs="仿宋"/>
          <w:kern w:val="0"/>
          <w:szCs w:val="24"/>
          <w:highlight w:val="none"/>
        </w:rPr>
      </w:pPr>
      <w:r>
        <w:rPr>
          <w:rFonts w:hint="eastAsia" w:ascii="仿宋" w:hAnsi="仿宋" w:eastAsia="仿宋" w:cs="仿宋"/>
          <w:kern w:val="0"/>
          <w:szCs w:val="24"/>
          <w:highlight w:val="none"/>
        </w:rPr>
        <w:t>电　　话：</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　　 </w:t>
      </w:r>
    </w:p>
    <w:p>
      <w:pPr>
        <w:widowControl/>
        <w:spacing w:line="560" w:lineRule="exact"/>
        <w:ind w:firstLine="480" w:firstLineChars="200"/>
        <w:rPr>
          <w:rFonts w:ascii="仿宋" w:hAnsi="仿宋" w:eastAsia="仿宋" w:cs="仿宋"/>
          <w:kern w:val="0"/>
          <w:szCs w:val="24"/>
          <w:highlight w:val="none"/>
        </w:rPr>
      </w:pPr>
    </w:p>
    <w:p>
      <w:pPr>
        <w:spacing w:line="560" w:lineRule="exact"/>
        <w:ind w:firstLine="4920" w:firstLineChars="2050"/>
        <w:rPr>
          <w:rFonts w:ascii="仿宋" w:hAnsi="仿宋" w:eastAsia="仿宋" w:cs="仿宋"/>
          <w:kern w:val="0"/>
          <w:szCs w:val="24"/>
          <w:highlight w:val="none"/>
        </w:rPr>
        <w:sectPr>
          <w:headerReference r:id="rId22" w:type="first"/>
          <w:footerReference r:id="rId24" w:type="first"/>
          <w:headerReference r:id="rId21" w:type="default"/>
          <w:footerReference r:id="rId23" w:type="default"/>
          <w:pgSz w:w="11905" w:h="16840"/>
          <w:pgMar w:top="1417" w:right="1417" w:bottom="1417" w:left="1417" w:header="935" w:footer="907" w:gutter="0"/>
          <w:cols w:space="0" w:num="1"/>
          <w:titlePg/>
          <w:docGrid w:linePitch="312" w:charSpace="0"/>
        </w:sectPr>
      </w:pPr>
      <w:r>
        <w:rPr>
          <w:rFonts w:hint="eastAsia" w:ascii="仿宋" w:hAnsi="仿宋" w:eastAsia="仿宋" w:cs="仿宋"/>
          <w:kern w:val="0"/>
          <w:szCs w:val="24"/>
          <w:highlight w:val="none"/>
        </w:rPr>
        <w:t>年　　月　　日</w:t>
      </w:r>
    </w:p>
    <w:bookmarkEnd w:id="253"/>
    <w:bookmarkEnd w:id="254"/>
    <w:p>
      <w:pPr>
        <w:spacing w:line="360" w:lineRule="atLeast"/>
        <w:jc w:val="center"/>
        <w:rPr>
          <w:rFonts w:ascii="仿宋" w:hAnsi="仿宋" w:eastAsia="仿宋" w:cs="仿宋"/>
          <w:b/>
          <w:sz w:val="32"/>
          <w:szCs w:val="32"/>
          <w:highlight w:val="none"/>
        </w:rPr>
      </w:pPr>
      <w:bookmarkStart w:id="288" w:name="_Toc458617748"/>
      <w:r>
        <w:rPr>
          <w:rFonts w:hint="eastAsia" w:ascii="仿宋" w:hAnsi="仿宋" w:eastAsia="仿宋" w:cs="仿宋"/>
          <w:b/>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640" w:lineRule="exac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作为参加贵公司组织的招标采购项目的投标人，本公司郑重申告：近三年因产品供货问题（水货、替代品、次品、翻新品等）的不法行为记录为次（没有填零），如有隐瞒实情，愿承担一切责任及后果。</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uto"/>
        <w:ind w:right="480"/>
        <w:rPr>
          <w:rFonts w:ascii="仿宋" w:hAnsi="仿宋" w:eastAsia="仿宋" w:cs="仿宋"/>
          <w:szCs w:val="28"/>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rPr>
          <w:rFonts w:ascii="仿宋" w:hAnsi="仿宋" w:eastAsia="仿宋" w:cs="仿宋"/>
          <w:b/>
          <w:bCs/>
          <w:szCs w:val="28"/>
          <w:highlight w:val="none"/>
        </w:rPr>
      </w:pP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39"/>
        <w:spacing w:line="560" w:lineRule="exact"/>
        <w:ind w:firstLine="174" w:firstLineChars="62"/>
        <w:rPr>
          <w:rFonts w:ascii="仿宋" w:hAnsi="仿宋" w:eastAsia="仿宋" w:cs="仿宋"/>
          <w:sz w:val="24"/>
          <w:szCs w:val="24"/>
          <w:highlight w:val="none"/>
        </w:rPr>
      </w:pPr>
      <w:r>
        <w:rPr>
          <w:rFonts w:hint="eastAsia" w:ascii="仿宋" w:hAnsi="仿宋" w:eastAsia="仿宋" w:cs="仿宋"/>
          <w:b/>
          <w:bCs/>
          <w:szCs w:val="28"/>
          <w:highlight w:val="none"/>
        </w:rPr>
        <w:t>18.《中小企业声明函》</w:t>
      </w:r>
      <w:bookmarkEnd w:id="288"/>
      <w:bookmarkStart w:id="289" w:name="OLE_LINK19"/>
      <w:r>
        <w:rPr>
          <w:rFonts w:hint="eastAsia" w:ascii="仿宋" w:hAnsi="仿宋" w:eastAsia="仿宋" w:cs="仿宋"/>
          <w:sz w:val="24"/>
          <w:szCs w:val="24"/>
          <w:highlight w:val="none"/>
        </w:rPr>
        <w:t>（格式，若有）</w:t>
      </w:r>
    </w:p>
    <w:bookmarkEnd w:id="289"/>
    <w:p>
      <w:pPr>
        <w:spacing w:line="64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中小企业声明函(货物）</w:t>
      </w:r>
      <w:r>
        <w:rPr>
          <w:rFonts w:hint="eastAsia" w:ascii="仿宋" w:hAnsi="仿宋" w:eastAsia="仿宋" w:cs="仿宋"/>
          <w:b/>
          <w:bCs/>
          <w:kern w:val="0"/>
          <w:sz w:val="20"/>
          <w:szCs w:val="20"/>
          <w:highlight w:val="none"/>
        </w:rPr>
        <w:t>(非中小企业不填写)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致：华招广和项目管理有限公司</w:t>
      </w:r>
    </w:p>
    <w:p>
      <w:pPr>
        <w:spacing w:line="560" w:lineRule="exact"/>
        <w:ind w:firstLine="435"/>
        <w:rPr>
          <w:rFonts w:ascii="仿宋" w:hAnsi="仿宋" w:eastAsia="仿宋" w:cs="仿宋"/>
          <w:szCs w:val="24"/>
          <w:highlight w:val="none"/>
        </w:rPr>
      </w:pPr>
      <w:r>
        <w:rPr>
          <w:rFonts w:hint="eastAsia" w:ascii="仿宋" w:hAnsi="仿宋" w:eastAsia="仿宋" w:cs="仿宋"/>
          <w:szCs w:val="24"/>
          <w:highlight w:val="none"/>
        </w:rPr>
        <w:t>本公司郑重声明，根据《政府采购促进中小企业发展管理办法》（财库【2020】46号）的规定，本公司参加</w:t>
      </w:r>
      <w:r>
        <w:rPr>
          <w:rFonts w:hint="eastAsia" w:ascii="仿宋" w:hAnsi="仿宋" w:eastAsia="仿宋" w:cs="仿宋"/>
          <w:szCs w:val="24"/>
          <w:highlight w:val="none"/>
          <w:u w:val="single"/>
        </w:rPr>
        <w:t xml:space="preserve"> （单位名称）</w:t>
      </w:r>
      <w:r>
        <w:rPr>
          <w:rFonts w:hint="eastAsia" w:ascii="仿宋" w:hAnsi="仿宋" w:eastAsia="仿宋" w:cs="仿宋"/>
          <w:szCs w:val="24"/>
          <w:highlight w:val="none"/>
        </w:rPr>
        <w:t xml:space="preserve"> 的</w:t>
      </w:r>
      <w:r>
        <w:rPr>
          <w:rFonts w:hint="eastAsia" w:ascii="仿宋" w:hAnsi="仿宋" w:eastAsia="仿宋" w:cs="仿宋"/>
          <w:szCs w:val="24"/>
          <w:highlight w:val="none"/>
          <w:u w:val="single"/>
        </w:rPr>
        <w:t>（项目名称）</w:t>
      </w:r>
      <w:r>
        <w:rPr>
          <w:rFonts w:hint="eastAsia" w:ascii="仿宋" w:hAnsi="仿宋" w:eastAsia="仿宋" w:cs="仿宋"/>
          <w:szCs w:val="24"/>
          <w:highlight w:val="none"/>
        </w:rPr>
        <w:t>采购活动，提供的货物全部由符合政策要求的中小企业制造。相关企业的具体情况如下：</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u w:val="single"/>
        </w:rPr>
        <w:t xml:space="preserve">（标的名称） </w:t>
      </w:r>
      <w:r>
        <w:rPr>
          <w:rFonts w:hint="eastAsia" w:ascii="仿宋" w:hAnsi="仿宋" w:eastAsia="仿宋" w:cs="仿宋"/>
          <w:szCs w:val="24"/>
          <w:highlight w:val="none"/>
        </w:rPr>
        <w:t>，属于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，从业人员人，营业收入为万元，资产总额为万元</w:t>
      </w:r>
      <w:r>
        <w:rPr>
          <w:rFonts w:hint="eastAsia" w:ascii="仿宋" w:hAnsi="仿宋" w:eastAsia="仿宋" w:cs="仿宋"/>
          <w:szCs w:val="24"/>
          <w:highlight w:val="none"/>
          <w:vertAlign w:val="superscript"/>
        </w:rPr>
        <w:t>1</w:t>
      </w:r>
      <w:r>
        <w:rPr>
          <w:rFonts w:hint="eastAsia" w:ascii="仿宋" w:hAnsi="仿宋" w:eastAsia="仿宋" w:cs="仿宋"/>
          <w:szCs w:val="24"/>
          <w:highlight w:val="none"/>
        </w:rPr>
        <w:t>，属于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720" w:firstLineChars="3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szCs w:val="24"/>
          <w:highlight w:val="none"/>
          <w:u w:val="single"/>
        </w:rPr>
        <w:t xml:space="preserve"> （标的名称）</w:t>
      </w:r>
      <w:r>
        <w:rPr>
          <w:rFonts w:hint="eastAsia" w:ascii="仿宋" w:hAnsi="仿宋" w:eastAsia="仿宋" w:cs="仿宋"/>
          <w:szCs w:val="24"/>
          <w:highlight w:val="none"/>
        </w:rPr>
        <w:t xml:space="preserve"> ，属于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，从业人员人，营业收入为万元，资产总额为万元，属于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w:t>
      </w:r>
    </w:p>
    <w:p>
      <w:pPr>
        <w:pStyle w:val="2"/>
        <w:spacing w:before="105" w:line="560" w:lineRule="exact"/>
        <w:ind w:right="417" w:firstLine="645"/>
        <w:rPr>
          <w:rFonts w:ascii="仿宋" w:hAnsi="仿宋" w:eastAsia="仿宋" w:cs="仿宋"/>
          <w:szCs w:val="24"/>
          <w:highlight w:val="none"/>
        </w:rPr>
      </w:pPr>
      <w:r>
        <w:rPr>
          <w:rFonts w:hint="eastAsia" w:ascii="仿宋" w:hAnsi="仿宋" w:eastAsia="仿宋" w:cs="仿宋"/>
          <w:szCs w:val="24"/>
          <w:highlight w:val="none"/>
        </w:rPr>
        <w:t>以上企业，不属于大企业的分支机构，不存在控股股东为大企业的情形，也不存在与大企业的负责人为同一人的情形。</w:t>
      </w:r>
    </w:p>
    <w:p>
      <w:pPr>
        <w:pStyle w:val="2"/>
        <w:spacing w:line="560" w:lineRule="exact"/>
        <w:ind w:right="372" w:firstLine="645"/>
        <w:rPr>
          <w:rFonts w:ascii="仿宋" w:hAnsi="仿宋" w:eastAsia="仿宋" w:cs="仿宋"/>
          <w:szCs w:val="24"/>
          <w:highlight w:val="none"/>
        </w:rPr>
      </w:pPr>
      <w:r>
        <w:rPr>
          <w:rFonts w:hint="eastAsia" w:ascii="仿宋" w:hAnsi="仿宋" w:eastAsia="仿宋" w:cs="仿宋"/>
          <w:szCs w:val="24"/>
          <w:highlight w:val="none"/>
        </w:rPr>
        <w:t>本企业对上述声明内容的真实性负责。如有虚假，将依法承担相应责任。</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企业名称（盖章）：</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日期：</w:t>
      </w:r>
    </w:p>
    <w:p>
      <w:pPr>
        <w:rPr>
          <w:rFonts w:ascii="仿宋" w:hAnsi="仿宋" w:eastAsia="仿宋" w:cs="仿宋"/>
          <w:highlight w:val="none"/>
        </w:rPr>
      </w:pPr>
      <w:r>
        <w:rPr>
          <w:rFonts w:ascii="仿宋" w:hAnsi="仿宋" w:eastAsia="仿宋" w:cs="仿宋"/>
          <w:highlight w:val="none"/>
        </w:rPr>
        <w:pict>
          <v:shape id="_x0000_s1035" o:spid="_x0000_s1035"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5"/>
                    <w:ind w:left="20"/>
                    <w:jc w:val="left"/>
                    <w:rPr>
                      <w:rFonts w:ascii="宋体" w:eastAsia="宋体"/>
                      <w:sz w:val="18"/>
                    </w:rPr>
                  </w:pPr>
                  <w:r>
                    <w:rPr>
                      <w:rFonts w:hint="eastAsia" w:ascii="楷体" w:hAnsi="楷体" w:eastAsia="楷体" w:cs="楷体"/>
                      <w:position w:val="6"/>
                      <w:sz w:val="11"/>
                    </w:rPr>
                    <w:t>1</w:t>
                  </w:r>
                  <w:r>
                    <w:rPr>
                      <w:rFonts w:hint="eastAsia" w:ascii="楷体" w:hAnsi="楷体" w:eastAsia="楷体" w:cs="楷体"/>
                      <w:sz w:val="18"/>
                    </w:rPr>
                    <w:t>从业人员、营业收入、资产总额填报上一年度数据，无上一年度数据的新成立企业可不填报。</w:t>
                  </w:r>
                </w:p>
                <w:p>
                  <w:pPr>
                    <w:spacing w:before="8"/>
                    <w:ind w:left="866"/>
                    <w:jc w:val="center"/>
                    <w:rPr>
                      <w:rFonts w:ascii="Calibri"/>
                      <w:sz w:val="18"/>
                    </w:rPr>
                  </w:pPr>
                </w:p>
              </w:txbxContent>
            </v:textbox>
          </v:shape>
        </w:pict>
      </w:r>
    </w:p>
    <w:p>
      <w:pPr>
        <w:rPr>
          <w:rFonts w:ascii="仿宋" w:hAnsi="仿宋" w:eastAsia="仿宋" w:cs="仿宋"/>
          <w:szCs w:val="24"/>
          <w:highlight w:val="none"/>
        </w:rPr>
      </w:pPr>
    </w:p>
    <w:p>
      <w:pPr>
        <w:spacing w:line="480" w:lineRule="exact"/>
        <w:ind w:firstLine="241" w:firstLineChars="100"/>
        <w:rPr>
          <w:rFonts w:ascii="仿宋" w:hAnsi="仿宋" w:eastAsia="仿宋" w:cs="仿宋"/>
          <w:b/>
          <w:highlight w:val="none"/>
        </w:rPr>
      </w:pPr>
    </w:p>
    <w:p>
      <w:pPr>
        <w:pStyle w:val="2"/>
        <w:rPr>
          <w:rFonts w:ascii="仿宋" w:hAnsi="仿宋" w:eastAsia="仿宋" w:cs="仿宋"/>
          <w:highlight w:val="none"/>
        </w:rPr>
        <w:sectPr>
          <w:footerReference r:id="rId25" w:type="default"/>
          <w:pgSz w:w="11905" w:h="16840"/>
          <w:pgMar w:top="1417" w:right="1417" w:bottom="1417" w:left="1417" w:header="935" w:footer="907" w:gutter="0"/>
          <w:cols w:space="0" w:num="1"/>
          <w:titlePg/>
        </w:sectPr>
      </w:pPr>
    </w:p>
    <w:p>
      <w:pPr>
        <w:pStyle w:val="39"/>
        <w:spacing w:line="560" w:lineRule="exact"/>
        <w:ind w:firstLine="174" w:firstLineChars="62"/>
        <w:rPr>
          <w:rFonts w:ascii="仿宋" w:hAnsi="仿宋" w:eastAsia="仿宋" w:cs="仿宋"/>
          <w:b/>
          <w:bCs/>
          <w:szCs w:val="28"/>
          <w:highlight w:val="none"/>
        </w:rPr>
      </w:pPr>
      <w:r>
        <w:rPr>
          <w:rFonts w:hint="eastAsia" w:ascii="仿宋" w:hAnsi="仿宋" w:eastAsia="仿宋" w:cs="仿宋"/>
          <w:b/>
          <w:bCs/>
          <w:szCs w:val="28"/>
          <w:highlight w:val="none"/>
        </w:rPr>
        <w:t>19.《残疾人福利性单位声明函》</w:t>
      </w:r>
      <w:r>
        <w:rPr>
          <w:rFonts w:hint="eastAsia" w:ascii="仿宋" w:hAnsi="仿宋" w:eastAsia="仿宋" w:cs="仿宋"/>
          <w:sz w:val="24"/>
          <w:szCs w:val="24"/>
          <w:highlight w:val="none"/>
        </w:rPr>
        <w:t>（格式，若有）</w:t>
      </w:r>
    </w:p>
    <w:p>
      <w:pPr>
        <w:spacing w:line="560" w:lineRule="exact"/>
        <w:jc w:val="center"/>
        <w:rPr>
          <w:rFonts w:ascii="仿宋" w:hAnsi="仿宋" w:eastAsia="仿宋" w:cs="仿宋"/>
          <w:b/>
          <w:spacing w:val="6"/>
          <w:szCs w:val="24"/>
          <w:highlight w:val="none"/>
        </w:rPr>
      </w:pPr>
      <w:bookmarkStart w:id="290" w:name="OLE_LINK14"/>
    </w:p>
    <w:p>
      <w:pPr>
        <w:spacing w:line="560" w:lineRule="exact"/>
        <w:jc w:val="center"/>
        <w:rPr>
          <w:rFonts w:ascii="仿宋" w:hAnsi="仿宋" w:eastAsia="仿宋" w:cs="仿宋"/>
          <w:b/>
          <w:spacing w:val="6"/>
          <w:szCs w:val="24"/>
          <w:highlight w:val="none"/>
        </w:rPr>
      </w:pPr>
      <w:r>
        <w:rPr>
          <w:rFonts w:hint="eastAsia" w:ascii="仿宋" w:hAnsi="仿宋" w:eastAsia="仿宋" w:cs="仿宋"/>
          <w:b/>
          <w:spacing w:val="6"/>
          <w:szCs w:val="24"/>
          <w:highlight w:val="none"/>
        </w:rPr>
        <w:t>残疾人福利性单位声明函</w:t>
      </w:r>
      <w:r>
        <w:rPr>
          <w:rFonts w:hint="eastAsia" w:ascii="仿宋" w:hAnsi="仿宋" w:eastAsia="仿宋" w:cs="仿宋"/>
          <w:b/>
          <w:spacing w:val="6"/>
          <w:sz w:val="22"/>
          <w:highlight w:val="none"/>
          <w:lang w:val="zh-CN"/>
        </w:rPr>
        <w:t>（非</w:t>
      </w:r>
      <w:r>
        <w:rPr>
          <w:rFonts w:hint="eastAsia" w:ascii="仿宋" w:hAnsi="仿宋" w:eastAsia="仿宋" w:cs="仿宋"/>
          <w:b/>
          <w:spacing w:val="6"/>
          <w:sz w:val="22"/>
          <w:highlight w:val="none"/>
        </w:rPr>
        <w:t>残疾人福利企业</w:t>
      </w:r>
      <w:r>
        <w:rPr>
          <w:rFonts w:hint="eastAsia" w:ascii="仿宋" w:hAnsi="仿宋" w:eastAsia="仿宋" w:cs="仿宋"/>
          <w:b/>
          <w:spacing w:val="6"/>
          <w:sz w:val="22"/>
          <w:highlight w:val="none"/>
          <w:lang w:val="zh-CN"/>
        </w:rPr>
        <w:t>不</w:t>
      </w:r>
      <w:r>
        <w:rPr>
          <w:rFonts w:hint="eastAsia" w:ascii="仿宋" w:hAnsi="仿宋" w:eastAsia="仿宋" w:cs="仿宋"/>
          <w:b/>
          <w:spacing w:val="6"/>
          <w:sz w:val="22"/>
          <w:highlight w:val="none"/>
        </w:rPr>
        <w:t>填写</w:t>
      </w:r>
      <w:r>
        <w:rPr>
          <w:rFonts w:hint="eastAsia" w:ascii="仿宋" w:hAnsi="仿宋" w:eastAsia="仿宋" w:cs="仿宋"/>
          <w:b/>
          <w:spacing w:val="6"/>
          <w:sz w:val="22"/>
          <w:highlight w:val="none"/>
          <w:lang w:val="zh-CN"/>
        </w:rPr>
        <w:t>）</w:t>
      </w:r>
    </w:p>
    <w:bookmarkEnd w:id="290"/>
    <w:p>
      <w:pPr>
        <w:spacing w:line="560" w:lineRule="exact"/>
        <w:rPr>
          <w:rFonts w:ascii="仿宋" w:hAnsi="仿宋" w:eastAsia="仿宋" w:cs="仿宋"/>
          <w:b/>
          <w:spacing w:val="6"/>
          <w:szCs w:val="24"/>
          <w:highlight w:val="none"/>
        </w:rPr>
      </w:pP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本单位郑重声明，根据《财政部 民政部 中国残疾人联合会关于促进残疾人就业政府采购政策的通知》（财库</w:t>
      </w:r>
      <w:r>
        <w:rPr>
          <w:rFonts w:hint="eastAsia" w:ascii="仿宋" w:hAnsi="仿宋" w:eastAsia="仿宋" w:cs="仿宋"/>
          <w:szCs w:val="24"/>
          <w:highlight w:val="none"/>
        </w:rPr>
        <w:t>〔2017〕 141</w:t>
      </w:r>
      <w:r>
        <w:rPr>
          <w:rFonts w:hint="eastAsia" w:ascii="仿宋" w:hAnsi="仿宋" w:eastAsia="仿宋" w:cs="仿宋"/>
          <w:spacing w:val="6"/>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本单位对上述声明的真实性负责。如有虚假，将依法承担相应责任。</w:t>
      </w:r>
    </w:p>
    <w:p>
      <w:pPr>
        <w:spacing w:line="560" w:lineRule="exact"/>
        <w:ind w:firstLine="504" w:firstLineChars="200"/>
        <w:rPr>
          <w:rFonts w:ascii="仿宋" w:hAnsi="仿宋" w:eastAsia="仿宋" w:cs="仿宋"/>
          <w:spacing w:val="6"/>
          <w:szCs w:val="24"/>
          <w:highlight w:val="none"/>
        </w:rPr>
      </w:pPr>
    </w:p>
    <w:p>
      <w:pPr>
        <w:spacing w:line="560" w:lineRule="exact"/>
        <w:ind w:firstLine="504" w:firstLineChars="200"/>
        <w:rPr>
          <w:rFonts w:ascii="仿宋" w:hAnsi="仿宋" w:eastAsia="仿宋" w:cs="仿宋"/>
          <w:spacing w:val="6"/>
          <w:szCs w:val="24"/>
          <w:highlight w:val="none"/>
        </w:rPr>
      </w:pPr>
    </w:p>
    <w:p>
      <w:pPr>
        <w:tabs>
          <w:tab w:val="left" w:pos="4860"/>
        </w:tabs>
        <w:spacing w:line="560" w:lineRule="exact"/>
        <w:ind w:right="1560" w:firstLine="504" w:firstLineChars="200"/>
        <w:jc w:val="center"/>
        <w:rPr>
          <w:rFonts w:ascii="仿宋" w:hAnsi="仿宋" w:eastAsia="仿宋" w:cs="仿宋"/>
          <w:spacing w:val="6"/>
          <w:szCs w:val="24"/>
          <w:highlight w:val="none"/>
          <w:u w:val="single"/>
        </w:rPr>
      </w:pPr>
      <w:r>
        <w:rPr>
          <w:rFonts w:hint="eastAsia" w:ascii="仿宋" w:hAnsi="仿宋" w:eastAsia="仿宋" w:cs="仿宋"/>
          <w:spacing w:val="6"/>
          <w:szCs w:val="24"/>
          <w:highlight w:val="none"/>
        </w:rPr>
        <w:t xml:space="preserve">              单位名称（盖章）：</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t xml:space="preserve">                        日  期：</w:t>
      </w: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br w:type="page"/>
      </w:r>
    </w:p>
    <w:p>
      <w:pPr>
        <w:pStyle w:val="39"/>
        <w:spacing w:line="560" w:lineRule="exact"/>
        <w:ind w:firstLine="0" w:firstLineChars="0"/>
        <w:rPr>
          <w:rFonts w:ascii="仿宋" w:hAnsi="仿宋" w:eastAsia="仿宋" w:cs="仿宋"/>
          <w:sz w:val="24"/>
          <w:szCs w:val="24"/>
          <w:highlight w:val="none"/>
        </w:rPr>
      </w:pPr>
      <w:r>
        <w:rPr>
          <w:rFonts w:hint="eastAsia" w:ascii="仿宋" w:hAnsi="仿宋" w:eastAsia="仿宋" w:cs="仿宋"/>
          <w:b/>
          <w:bCs/>
          <w:szCs w:val="28"/>
          <w:highlight w:val="none"/>
        </w:rPr>
        <w:t>20.《监狱、戒毒企业声明函》</w:t>
      </w:r>
      <w:r>
        <w:rPr>
          <w:rFonts w:hint="eastAsia" w:ascii="仿宋" w:hAnsi="仿宋" w:eastAsia="仿宋" w:cs="仿宋"/>
          <w:sz w:val="24"/>
          <w:szCs w:val="24"/>
          <w:highlight w:val="none"/>
        </w:rPr>
        <w:t>（格式，若有）</w:t>
      </w:r>
    </w:p>
    <w:p>
      <w:pPr>
        <w:snapToGrid w:val="0"/>
        <w:spacing w:line="640" w:lineRule="exact"/>
        <w:ind w:firstLine="1512" w:firstLineChars="600"/>
        <w:rPr>
          <w:rFonts w:ascii="仿宋" w:hAnsi="仿宋" w:eastAsia="仿宋" w:cs="仿宋"/>
          <w:spacing w:val="6"/>
          <w:szCs w:val="24"/>
          <w:highlight w:val="none"/>
        </w:rPr>
      </w:pPr>
    </w:p>
    <w:p>
      <w:pPr>
        <w:snapToGrid w:val="0"/>
        <w:spacing w:line="640" w:lineRule="exact"/>
        <w:ind w:firstLine="1687" w:firstLineChars="600"/>
        <w:rPr>
          <w:rFonts w:ascii="仿宋" w:hAnsi="仿宋" w:eastAsia="仿宋" w:cs="仿宋"/>
          <w:b/>
          <w:spacing w:val="6"/>
          <w:sz w:val="21"/>
          <w:szCs w:val="21"/>
          <w:highlight w:val="none"/>
          <w:u w:val="double"/>
          <w:lang w:val="zh-CN"/>
        </w:rPr>
      </w:pPr>
      <w:r>
        <w:rPr>
          <w:rFonts w:hint="eastAsia" w:ascii="仿宋" w:hAnsi="仿宋" w:eastAsia="仿宋" w:cs="仿宋"/>
          <w:b/>
          <w:kern w:val="0"/>
          <w:sz w:val="28"/>
          <w:szCs w:val="28"/>
          <w:highlight w:val="none"/>
          <w:lang w:val="zh-CN"/>
        </w:rPr>
        <w:t>监狱、戒毒企业声明函</w:t>
      </w:r>
      <w:r>
        <w:rPr>
          <w:rFonts w:hint="eastAsia" w:ascii="仿宋" w:hAnsi="仿宋" w:eastAsia="仿宋" w:cs="仿宋"/>
          <w:b/>
          <w:spacing w:val="6"/>
          <w:sz w:val="21"/>
          <w:szCs w:val="21"/>
          <w:highlight w:val="none"/>
          <w:lang w:val="zh-CN"/>
        </w:rPr>
        <w:t>（非监狱、戒毒企业不填写）</w:t>
      </w:r>
    </w:p>
    <w:p>
      <w:pPr>
        <w:spacing w:line="640" w:lineRule="exact"/>
        <w:ind w:firstLine="504" w:firstLineChars="200"/>
        <w:rPr>
          <w:rFonts w:ascii="仿宋" w:hAnsi="仿宋" w:eastAsia="仿宋" w:cs="仿宋"/>
          <w:spacing w:val="6"/>
          <w:szCs w:val="24"/>
          <w:highlight w:val="none"/>
        </w:rPr>
      </w:pP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本单位郑重声明，根据《</w:t>
      </w:r>
      <w:r>
        <w:rPr>
          <w:rFonts w:hint="eastAsia" w:ascii="仿宋" w:hAnsi="仿宋" w:eastAsia="仿宋" w:cs="仿宋"/>
          <w:spacing w:val="-4"/>
          <w:kern w:val="0"/>
          <w:highlight w:val="none"/>
        </w:rPr>
        <w:t>财政部 司法部 关于政府采购支持监狱企业发展有关问题的通知</w:t>
      </w:r>
      <w:r>
        <w:rPr>
          <w:rFonts w:hint="eastAsia" w:ascii="仿宋" w:hAnsi="仿宋" w:eastAsia="仿宋" w:cs="仿宋"/>
          <w:highlight w:val="none"/>
        </w:rPr>
        <w:t>》（财库〔2014〕68号）的规定，本单位为符合条件的监狱、戒毒企业，且本单位参加的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pPr>
        <w:spacing w:line="640" w:lineRule="exact"/>
        <w:ind w:firstLine="480" w:firstLineChars="200"/>
        <w:rPr>
          <w:rFonts w:ascii="仿宋" w:hAnsi="仿宋" w:eastAsia="仿宋" w:cs="仿宋"/>
          <w:highlight w:val="none"/>
        </w:rPr>
      </w:pPr>
    </w:p>
    <w:p>
      <w:pPr>
        <w:spacing w:line="640" w:lineRule="exact"/>
        <w:ind w:firstLine="480" w:firstLineChars="200"/>
        <w:rPr>
          <w:rFonts w:ascii="仿宋" w:hAnsi="仿宋" w:eastAsia="仿宋" w:cs="仿宋"/>
          <w:highlight w:val="none"/>
        </w:rPr>
      </w:pPr>
    </w:p>
    <w:p>
      <w:pPr>
        <w:tabs>
          <w:tab w:val="left" w:pos="4860"/>
          <w:tab w:val="left" w:pos="8040"/>
          <w:tab w:val="left" w:pos="8160"/>
        </w:tabs>
        <w:spacing w:line="640" w:lineRule="exact"/>
        <w:ind w:right="862" w:firstLine="480" w:firstLineChars="200"/>
        <w:jc w:val="center"/>
        <w:rPr>
          <w:rFonts w:ascii="仿宋" w:hAnsi="仿宋" w:eastAsia="仿宋" w:cs="仿宋"/>
          <w:highlight w:val="none"/>
          <w:u w:val="single"/>
        </w:rPr>
      </w:pPr>
      <w:r>
        <w:rPr>
          <w:rFonts w:hint="eastAsia" w:ascii="仿宋" w:hAnsi="仿宋" w:eastAsia="仿宋" w:cs="仿宋"/>
          <w:highlight w:val="none"/>
        </w:rPr>
        <w:t xml:space="preserve">            投标人全称（公章）：</w:t>
      </w:r>
    </w:p>
    <w:p>
      <w:pPr>
        <w:tabs>
          <w:tab w:val="left" w:pos="4860"/>
        </w:tabs>
        <w:spacing w:line="640" w:lineRule="exact"/>
        <w:ind w:right="1560" w:firstLine="480" w:firstLineChars="200"/>
        <w:jc w:val="center"/>
        <w:rPr>
          <w:rFonts w:ascii="仿宋" w:hAnsi="仿宋" w:eastAsia="仿宋" w:cs="仿宋"/>
          <w:highlight w:val="none"/>
        </w:rPr>
      </w:pPr>
      <w:r>
        <w:rPr>
          <w:rFonts w:hint="eastAsia" w:ascii="仿宋" w:hAnsi="仿宋" w:eastAsia="仿宋" w:cs="仿宋"/>
          <w:highlight w:val="none"/>
        </w:rPr>
        <w:t xml:space="preserve">                             日  期：年月日</w:t>
      </w:r>
    </w:p>
    <w:p>
      <w:pPr>
        <w:spacing w:line="360" w:lineRule="auto"/>
        <w:ind w:firstLine="504" w:firstLineChars="200"/>
        <w:rPr>
          <w:rFonts w:ascii="仿宋" w:hAnsi="仿宋" w:eastAsia="仿宋" w:cs="仿宋"/>
          <w:bCs/>
          <w:spacing w:val="6"/>
          <w:highlight w:val="none"/>
          <w:shd w:val="pct10" w:color="auto" w:fill="FFFFFF"/>
        </w:rPr>
      </w:pPr>
    </w:p>
    <w:p>
      <w:pPr>
        <w:spacing w:line="360" w:lineRule="auto"/>
        <w:ind w:firstLine="444" w:firstLineChars="200"/>
        <w:rPr>
          <w:rFonts w:ascii="仿宋" w:hAnsi="仿宋" w:eastAsia="仿宋" w:cs="仿宋"/>
          <w:bCs/>
          <w:spacing w:val="6"/>
          <w:sz w:val="21"/>
          <w:szCs w:val="20"/>
          <w:highlight w:val="none"/>
          <w:shd w:val="pct10" w:color="auto" w:fill="FFFFFF"/>
        </w:rPr>
      </w:pPr>
    </w:p>
    <w:p>
      <w:pPr>
        <w:pStyle w:val="2"/>
        <w:rPr>
          <w:rFonts w:ascii="仿宋" w:hAnsi="仿宋" w:eastAsia="仿宋" w:cs="仿宋"/>
          <w:bCs/>
          <w:spacing w:val="6"/>
          <w:sz w:val="21"/>
          <w:szCs w:val="20"/>
          <w:highlight w:val="none"/>
          <w:shd w:val="pct10" w:color="auto" w:fill="FFFFFF"/>
        </w:rPr>
      </w:pPr>
    </w:p>
    <w:p>
      <w:pPr>
        <w:rPr>
          <w:rFonts w:ascii="仿宋" w:hAnsi="仿宋" w:eastAsia="仿宋" w:cs="仿宋"/>
          <w:highlight w:val="none"/>
        </w:rPr>
      </w:pPr>
    </w:p>
    <w:p>
      <w:pPr>
        <w:rPr>
          <w:rFonts w:ascii="仿宋" w:hAnsi="仿宋" w:eastAsia="仿宋" w:cs="仿宋"/>
          <w:sz w:val="28"/>
          <w:szCs w:val="28"/>
          <w:highlight w:val="none"/>
        </w:rPr>
        <w:sectPr>
          <w:headerReference r:id="rId26" w:type="first"/>
          <w:footerReference r:id="rId27" w:type="first"/>
          <w:pgSz w:w="11905" w:h="16840"/>
          <w:pgMar w:top="1417" w:right="1417" w:bottom="1417" w:left="1417" w:header="935" w:footer="907" w:gutter="0"/>
          <w:cols w:space="0" w:num="1"/>
          <w:titlePg/>
          <w:docGrid w:linePitch="312" w:charSpace="0"/>
        </w:sectPr>
      </w:pPr>
      <w:r>
        <w:rPr>
          <w:rFonts w:hint="eastAsia" w:ascii="仿宋" w:hAnsi="仿宋" w:eastAsia="仿宋" w:cs="仿宋"/>
          <w:b/>
          <w:kern w:val="0"/>
          <w:sz w:val="21"/>
          <w:szCs w:val="20"/>
          <w:highlight w:val="none"/>
          <w:lang w:val="zh-CN"/>
        </w:rPr>
        <w:t>备注：投标人提供的《</w:t>
      </w:r>
      <w:r>
        <w:rPr>
          <w:rFonts w:hint="eastAsia" w:ascii="仿宋" w:hAnsi="仿宋" w:eastAsia="仿宋" w:cs="仿宋"/>
          <w:b/>
          <w:sz w:val="21"/>
          <w:szCs w:val="20"/>
          <w:highlight w:val="none"/>
        </w:rPr>
        <w:t>监狱、戒毒企业</w:t>
      </w:r>
      <w:r>
        <w:rPr>
          <w:rFonts w:hint="eastAsia" w:ascii="仿宋" w:hAnsi="仿宋" w:eastAsia="仿宋" w:cs="仿宋"/>
          <w:b/>
          <w:kern w:val="0"/>
          <w:sz w:val="21"/>
          <w:szCs w:val="20"/>
          <w:highlight w:val="none"/>
          <w:lang w:val="zh-CN"/>
        </w:rPr>
        <w:t>声明函》必须真实有效，</w:t>
      </w:r>
      <w:r>
        <w:rPr>
          <w:rFonts w:hint="eastAsia" w:ascii="仿宋" w:hAnsi="仿宋" w:eastAsia="仿宋" w:cs="仿宋"/>
          <w:b/>
          <w:sz w:val="21"/>
          <w:szCs w:val="20"/>
          <w:highlight w:val="none"/>
        </w:rPr>
        <w:t>投标人应当提供由省级以上监狱管理局、戒毒管理局(含新疆生产建设兵团)出具的属于监狱企业的证明文件。</w:t>
      </w:r>
    </w:p>
    <w:p>
      <w:pPr>
        <w:pStyle w:val="39"/>
        <w:spacing w:line="560" w:lineRule="exact"/>
        <w:ind w:firstLine="0" w:firstLineChars="0"/>
        <w:rPr>
          <w:rFonts w:ascii="仿宋" w:hAnsi="仿宋" w:eastAsia="仿宋" w:cs="仿宋"/>
          <w:b/>
          <w:bCs/>
          <w:szCs w:val="28"/>
          <w:highlight w:val="none"/>
        </w:rPr>
      </w:pPr>
      <w:r>
        <w:rPr>
          <w:rFonts w:hint="eastAsia" w:ascii="仿宋" w:hAnsi="仿宋" w:eastAsia="仿宋" w:cs="仿宋"/>
          <w:b/>
          <w:bCs/>
          <w:szCs w:val="28"/>
          <w:highlight w:val="none"/>
        </w:rPr>
        <w:t>封袋正面标识式样</w:t>
      </w:r>
    </w:p>
    <w:p>
      <w:pPr>
        <w:rPr>
          <w:rFonts w:ascii="仿宋" w:hAnsi="仿宋" w:eastAsia="仿宋" w:cs="仿宋"/>
          <w:highlight w:val="none"/>
        </w:rPr>
      </w:pPr>
    </w:p>
    <w:p>
      <w:pPr>
        <w:spacing w:line="460" w:lineRule="exact"/>
        <w:rPr>
          <w:rFonts w:ascii="仿宋" w:hAnsi="仿宋" w:eastAsia="仿宋" w:cs="仿宋"/>
          <w:b/>
          <w:highlight w:val="none"/>
        </w:rPr>
      </w:pPr>
      <w:r>
        <w:rPr>
          <w:rFonts w:hint="eastAsia" w:ascii="仿宋" w:hAnsi="仿宋" w:eastAsia="仿宋" w:cs="仿宋"/>
          <w:b/>
          <w:highlight w:val="none"/>
        </w:rPr>
        <w:t>投标文件封袋正面标识式样</w:t>
      </w:r>
    </w:p>
    <w:p>
      <w:pPr>
        <w:rPr>
          <w:rFonts w:ascii="仿宋" w:hAnsi="仿宋" w:eastAsia="仿宋" w:cs="仿宋"/>
          <w:highlight w:val="none"/>
        </w:rPr>
      </w:pPr>
      <w:r>
        <w:rPr>
          <w:rFonts w:ascii="仿宋" w:hAnsi="仿宋" w:eastAsia="仿宋" w:cs="仿宋"/>
          <w:b/>
          <w:highlight w:val="none"/>
        </w:rPr>
        <w:pict>
          <v:shape id="_x0000_s1038" o:spid="_x0000_s1038" o:spt="202" type="#_x0000_t202" style="position:absolute;left:0pt;margin-left:-16.15pt;margin-top:13.25pt;height:606.8pt;width:447.15pt;z-index:251672576;mso-width-relative:page;mso-height-relative:page;" coordsize="21600,21600">
            <v:path/>
            <v:fill focussize="0,0"/>
            <v:stroke joinstyle="miter"/>
            <v:imagedata o:title=""/>
            <o:lock v:ext="edit"/>
            <v:textbo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r>
                    <w:rPr>
                      <w:rFonts w:hint="eastAsia" w:ascii="仿宋" w:hAnsi="仿宋" w:eastAsia="仿宋" w:cs="仿宋"/>
                    </w:rPr>
                    <w:t>在****年*月*日*时*分之前不得启封</w:t>
                  </w:r>
                </w:p>
                <w:p>
                  <w:pPr>
                    <w:pStyle w:val="2"/>
                    <w:rPr>
                      <w:rFonts w:ascii="仿宋" w:hAnsi="仿宋" w:eastAsia="仿宋" w:cs="仿宋"/>
                      <w:color w:val="00B0F0"/>
                    </w:rPr>
                  </w:pPr>
                </w:p>
                <w:p>
                  <w:pPr>
                    <w:rPr>
                      <w:rFonts w:ascii="仿宋" w:hAnsi="仿宋" w:eastAsia="仿宋" w:cs="仿宋"/>
                      <w:color w:val="00B0F0"/>
                      <w:sz w:val="28"/>
                      <w:szCs w:val="28"/>
                    </w:rPr>
                  </w:pPr>
                </w:p>
              </w:txbxContent>
            </v:textbox>
          </v:shape>
        </w:pict>
      </w:r>
    </w:p>
    <w:p>
      <w:pPr>
        <w:snapToGrid w:val="0"/>
        <w:spacing w:line="560" w:lineRule="exact"/>
        <w:rPr>
          <w:rFonts w:ascii="仿宋" w:hAnsi="仿宋" w:eastAsia="仿宋" w:cs="仿宋"/>
          <w:b/>
          <w:bCs/>
          <w:kern w:val="0"/>
          <w:sz w:val="28"/>
          <w:szCs w:val="28"/>
          <w:highlight w:val="none"/>
        </w:rPr>
      </w:pPr>
    </w:p>
    <w:p>
      <w:pPr>
        <w:widowControl/>
        <w:spacing w:line="560" w:lineRule="exact"/>
        <w:ind w:left="480" w:leftChars="200"/>
        <w:rPr>
          <w:rFonts w:ascii="仿宋" w:hAnsi="仿宋" w:eastAsia="仿宋" w:cs="仿宋"/>
          <w:szCs w:val="24"/>
          <w:highlight w:val="none"/>
        </w:rPr>
      </w:pPr>
    </w:p>
    <w:p>
      <w:pPr>
        <w:widowControl/>
        <w:spacing w:line="560" w:lineRule="exact"/>
        <w:ind w:left="480" w:leftChars="200"/>
        <w:rPr>
          <w:rFonts w:ascii="仿宋" w:hAnsi="仿宋" w:eastAsia="仿宋" w:cs="仿宋"/>
          <w:szCs w:val="24"/>
          <w:highlight w:val="none"/>
        </w:rPr>
      </w:pPr>
    </w:p>
    <w:p>
      <w:pPr>
        <w:pStyle w:val="2"/>
        <w:rPr>
          <w:rFonts w:ascii="仿宋" w:hAnsi="仿宋" w:eastAsia="仿宋" w:cs="仿宋"/>
          <w:highlight w:val="none"/>
        </w:rPr>
      </w:pPr>
    </w:p>
    <w:p>
      <w:pPr>
        <w:rPr>
          <w:rFonts w:ascii="仿宋" w:hAnsi="仿宋" w:eastAsia="仿宋" w:cs="仿宋"/>
          <w:highlight w:val="none"/>
        </w:rPr>
      </w:pPr>
    </w:p>
    <w:p>
      <w:pPr>
        <w:spacing w:line="560" w:lineRule="exact"/>
        <w:rPr>
          <w:rFonts w:ascii="仿宋" w:hAnsi="仿宋" w:eastAsia="仿宋" w:cs="仿宋"/>
          <w:b/>
          <w:sz w:val="44"/>
          <w:szCs w:val="44"/>
          <w:highlight w:val="none"/>
        </w:rPr>
      </w:pPr>
    </w:p>
    <w:p>
      <w:pPr>
        <w:pStyle w:val="2"/>
        <w:rPr>
          <w:rFonts w:ascii="仿宋" w:hAnsi="仿宋" w:eastAsia="仿宋" w:cs="仿宋"/>
          <w:highlight w:val="none"/>
        </w:rPr>
      </w:pPr>
    </w:p>
    <w:p>
      <w:pPr>
        <w:rPr>
          <w:rFonts w:ascii="仿宋" w:hAnsi="仿宋" w:eastAsia="仿宋" w:cs="仿宋"/>
          <w:b/>
          <w:sz w:val="44"/>
          <w:szCs w:val="44"/>
          <w:highlight w:val="none"/>
        </w:rPr>
      </w:pPr>
      <w:r>
        <w:rPr>
          <w:rFonts w:hint="eastAsia" w:ascii="仿宋" w:hAnsi="仿宋" w:eastAsia="仿宋" w:cs="仿宋"/>
          <w:b/>
          <w:sz w:val="44"/>
          <w:szCs w:val="44"/>
          <w:highlight w:val="none"/>
        </w:rPr>
        <w:br w:type="page"/>
      </w:r>
    </w:p>
    <w:p>
      <w:pPr>
        <w:rPr>
          <w:rFonts w:ascii="仿宋" w:hAnsi="仿宋" w:eastAsia="仿宋" w:cs="仿宋"/>
          <w:b/>
          <w:highlight w:val="none"/>
        </w:rPr>
      </w:pPr>
      <w:r>
        <w:rPr>
          <w:rFonts w:hint="eastAsia" w:ascii="仿宋" w:hAnsi="仿宋" w:eastAsia="仿宋" w:cs="仿宋"/>
          <w:b/>
          <w:highlight w:val="none"/>
        </w:rPr>
        <w:t>资质证明材料正面标识式样</w:t>
      </w:r>
    </w:p>
    <w:p>
      <w:pPr>
        <w:rPr>
          <w:rFonts w:ascii="仿宋" w:hAnsi="仿宋" w:eastAsia="仿宋" w:cs="仿宋"/>
          <w:b/>
          <w:highlight w:val="none"/>
        </w:rPr>
      </w:pPr>
    </w:p>
    <w:p>
      <w:pPr>
        <w:rPr>
          <w:rFonts w:ascii="仿宋" w:hAnsi="仿宋" w:eastAsia="仿宋" w:cs="仿宋"/>
          <w:b/>
          <w:highlight w:val="none"/>
        </w:rPr>
      </w:pPr>
      <w:r>
        <w:rPr>
          <w:rFonts w:ascii="仿宋" w:hAnsi="仿宋" w:eastAsia="仿宋" w:cs="仿宋"/>
          <w:highlight w:val="none"/>
        </w:rPr>
        <w:pict>
          <v:shape id="_x0000_s1039" o:spid="_x0000_s1039" o:spt="202" type="#_x0000_t202" style="position:absolute;left:0pt;margin-left:-10.9pt;margin-top:-0.9pt;height:641.25pt;width:440.6pt;z-index:251674624;mso-width-relative:page;mso-height-relative:page;" coordsize="21600,2160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p>
                <w:p>
                  <w:pPr>
                    <w:rPr>
                      <w:rFonts w:ascii="仿宋" w:hAnsi="仿宋" w:eastAsia="仿宋" w:cs="仿宋"/>
                      <w:sz w:val="28"/>
                      <w:szCs w:val="28"/>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highlight w:val="none"/>
        </w:rPr>
        <w:br w:type="page"/>
      </w:r>
    </w:p>
    <w:p>
      <w:pPr>
        <w:rPr>
          <w:rFonts w:ascii="仿宋" w:hAnsi="仿宋" w:eastAsia="仿宋" w:cs="仿宋"/>
          <w:b/>
          <w:highlight w:val="none"/>
        </w:rPr>
      </w:pPr>
      <w:r>
        <w:rPr>
          <w:rFonts w:hint="eastAsia" w:ascii="仿宋" w:hAnsi="仿宋" w:eastAsia="仿宋" w:cs="仿宋"/>
          <w:b/>
          <w:highlight w:val="none"/>
        </w:rPr>
        <w:t>开标一览表正面标识式样</w:t>
      </w:r>
    </w:p>
    <w:p>
      <w:pPr>
        <w:rPr>
          <w:rFonts w:ascii="仿宋" w:hAnsi="仿宋" w:eastAsia="仿宋" w:cs="仿宋"/>
          <w:b/>
          <w:sz w:val="44"/>
          <w:szCs w:val="44"/>
          <w:highlight w:val="none"/>
        </w:rPr>
      </w:pPr>
      <w:r>
        <w:rPr>
          <w:rFonts w:ascii="仿宋" w:hAnsi="仿宋" w:eastAsia="仿宋" w:cs="仿宋"/>
          <w:highlight w:val="none"/>
        </w:rPr>
        <w:pict>
          <v:shape id="_x0000_s1040" o:spid="_x0000_s1040" o:spt="202" type="#_x0000_t202" style="position:absolute;left:0pt;margin-left:-10.9pt;margin-top:14.65pt;height:641.25pt;width:440.6pt;z-index:251673600;mso-width-relative:page;mso-height-relative:page;" coordsize="21600,2160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p>
                <w:p>
                  <w:pPr>
                    <w:rPr>
                      <w:rFonts w:ascii="仿宋" w:hAnsi="仿宋" w:eastAsia="仿宋" w:cs="仿宋"/>
                      <w:sz w:val="28"/>
                      <w:szCs w:val="28"/>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sz w:val="44"/>
          <w:szCs w:val="44"/>
          <w:highlight w:val="none"/>
        </w:rPr>
        <w:br w:type="page"/>
      </w:r>
    </w:p>
    <w:p>
      <w:pPr>
        <w:jc w:val="left"/>
        <w:rPr>
          <w:rFonts w:ascii="仿宋" w:hAnsi="仿宋" w:eastAsia="仿宋" w:cs="仿宋"/>
          <w:highlight w:val="none"/>
        </w:rPr>
      </w:pPr>
    </w:p>
    <w:p>
      <w:pPr>
        <w:spacing w:line="560" w:lineRule="exact"/>
        <w:jc w:val="center"/>
        <w:rPr>
          <w:rFonts w:ascii="仿宋" w:hAnsi="仿宋" w:eastAsia="仿宋" w:cs="仿宋"/>
          <w:b/>
          <w:sz w:val="44"/>
          <w:szCs w:val="44"/>
          <w:highlight w:val="none"/>
        </w:rPr>
      </w:pPr>
    </w:p>
    <w:p>
      <w:pPr>
        <w:pStyle w:val="7"/>
        <w:rPr>
          <w:rFonts w:hint="default" w:ascii="仿宋" w:hAnsi="仿宋" w:eastAsia="仿宋" w:cs="仿宋"/>
          <w:highlight w:val="none"/>
          <w:lang w:val="zh-CN"/>
        </w:rPr>
      </w:pPr>
    </w:p>
    <w:p>
      <w:pPr>
        <w:pStyle w:val="7"/>
        <w:rPr>
          <w:rFonts w:hint="default" w:ascii="仿宋" w:hAnsi="仿宋" w:eastAsia="仿宋" w:cs="仿宋"/>
          <w:highlight w:val="none"/>
          <w:lang w:val="zh-CN"/>
        </w:rPr>
      </w:pPr>
    </w:p>
    <w:p>
      <w:pPr>
        <w:rPr>
          <w:rFonts w:ascii="仿宋" w:hAnsi="仿宋" w:eastAsia="仿宋" w:cs="仿宋"/>
          <w:highlight w:val="none"/>
          <w:lang w:val="zh-CN"/>
        </w:rPr>
      </w:pPr>
    </w:p>
    <w:p>
      <w:pPr>
        <w:pStyle w:val="7"/>
        <w:rPr>
          <w:rFonts w:hint="default" w:ascii="仿宋" w:hAnsi="仿宋" w:eastAsia="仿宋" w:cs="仿宋"/>
          <w:highlight w:val="none"/>
          <w:lang w:val="zh-CN"/>
        </w:rPr>
      </w:pPr>
    </w:p>
    <w:p>
      <w:pPr>
        <w:rPr>
          <w:rFonts w:ascii="仿宋" w:hAnsi="仿宋" w:eastAsia="仿宋" w:cs="仿宋"/>
          <w:highlight w:val="none"/>
          <w:lang w:val="zh-CN"/>
        </w:rPr>
      </w:pPr>
    </w:p>
    <w:p>
      <w:pPr>
        <w:pStyle w:val="7"/>
        <w:rPr>
          <w:rFonts w:hint="default" w:ascii="仿宋" w:hAnsi="仿宋" w:eastAsia="仿宋" w:cs="仿宋"/>
          <w:highlight w:val="none"/>
          <w:lang w:val="zh-CN"/>
        </w:rPr>
      </w:pPr>
    </w:p>
    <w:p>
      <w:pPr>
        <w:rPr>
          <w:rFonts w:ascii="仿宋" w:hAnsi="仿宋" w:eastAsia="仿宋" w:cs="仿宋"/>
          <w:highlight w:val="none"/>
          <w:lang w:val="zh-CN"/>
        </w:rPr>
      </w:pPr>
    </w:p>
    <w:p>
      <w:pPr>
        <w:pStyle w:val="7"/>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jc w:val="center"/>
        <w:rPr>
          <w:rFonts w:ascii="仿宋" w:hAnsi="仿宋" w:eastAsia="仿宋" w:cs="仿宋"/>
          <w:b/>
          <w:bCs/>
          <w:sz w:val="48"/>
          <w:szCs w:val="48"/>
          <w:highlight w:val="none"/>
          <w:lang w:val="zh-CN"/>
        </w:rPr>
      </w:pPr>
    </w:p>
    <w:p>
      <w:pPr>
        <w:jc w:val="center"/>
        <w:rPr>
          <w:rFonts w:ascii="仿宋" w:hAnsi="仿宋" w:eastAsia="仿宋" w:cs="仿宋"/>
          <w:b/>
          <w:bCs/>
          <w:i/>
          <w:iCs/>
          <w:sz w:val="48"/>
          <w:szCs w:val="48"/>
          <w:highlight w:val="none"/>
        </w:rPr>
      </w:pPr>
      <w:r>
        <w:rPr>
          <w:rFonts w:hint="eastAsia" w:ascii="仿宋" w:hAnsi="仿宋" w:eastAsia="仿宋" w:cs="仿宋"/>
          <w:b/>
          <w:bCs/>
          <w:i/>
          <w:iCs/>
          <w:sz w:val="48"/>
          <w:szCs w:val="48"/>
          <w:highlight w:val="none"/>
          <w:lang w:val="zh-CN"/>
        </w:rPr>
        <w:t>为政府采购</w:t>
      </w:r>
      <w:r>
        <w:rPr>
          <w:rFonts w:hint="eastAsia" w:ascii="仿宋" w:hAnsi="仿宋" w:eastAsia="仿宋" w:cs="仿宋"/>
          <w:b/>
          <w:bCs/>
          <w:i/>
          <w:iCs/>
          <w:sz w:val="48"/>
          <w:szCs w:val="48"/>
          <w:highlight w:val="none"/>
        </w:rPr>
        <w:t xml:space="preserve">  我们更专心</w:t>
      </w:r>
    </w:p>
    <w:p>
      <w:pPr>
        <w:pStyle w:val="7"/>
        <w:rPr>
          <w:rFonts w:hint="default" w:ascii="仿宋" w:hAnsi="仿宋" w:eastAsia="仿宋" w:cs="仿宋"/>
          <w:i/>
          <w:iCs/>
          <w:sz w:val="28"/>
          <w:highlight w:val="none"/>
        </w:rPr>
      </w:pPr>
    </w:p>
    <w:p>
      <w:pPr>
        <w:pStyle w:val="7"/>
        <w:jc w:val="center"/>
        <w:rPr>
          <w:rFonts w:hint="default" w:ascii="仿宋" w:hAnsi="仿宋" w:eastAsia="仿宋" w:cs="仿宋"/>
          <w:bCs/>
          <w:i/>
          <w:iCs/>
          <w:sz w:val="48"/>
          <w:szCs w:val="48"/>
          <w:highlight w:val="none"/>
        </w:rPr>
      </w:pPr>
      <w:r>
        <w:rPr>
          <w:rFonts w:ascii="仿宋" w:hAnsi="仿宋" w:eastAsia="仿宋" w:cs="仿宋"/>
          <w:bCs/>
          <w:i/>
          <w:iCs/>
          <w:sz w:val="48"/>
          <w:szCs w:val="48"/>
          <w:highlight w:val="none"/>
        </w:rPr>
        <w:t>做政府采购  我们更用心</w:t>
      </w:r>
    </w:p>
    <w:p>
      <w:pPr>
        <w:pStyle w:val="7"/>
        <w:rPr>
          <w:rFonts w:hint="default" w:ascii="仿宋" w:hAnsi="仿宋" w:eastAsia="仿宋" w:cs="仿宋"/>
          <w:highlight w:val="none"/>
          <w:lang w:val="zh-CN"/>
        </w:rPr>
      </w:pPr>
    </w:p>
    <w:p>
      <w:pPr>
        <w:rPr>
          <w:rFonts w:ascii="仿宋" w:hAnsi="仿宋" w:eastAsia="仿宋" w:cs="仿宋"/>
          <w:highlight w:val="none"/>
          <w:lang w:val="zh-CN"/>
        </w:rPr>
      </w:pPr>
    </w:p>
    <w:p>
      <w:pPr>
        <w:pStyle w:val="7"/>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7"/>
        <w:rPr>
          <w:rFonts w:hint="default" w:ascii="仿宋" w:hAnsi="仿宋" w:eastAsia="仿宋" w:cs="仿宋"/>
          <w:highlight w:val="none"/>
          <w:lang w:val="zh-CN"/>
        </w:rPr>
      </w:pPr>
    </w:p>
    <w:p>
      <w:pPr>
        <w:rPr>
          <w:rFonts w:ascii="仿宋" w:hAnsi="仿宋" w:eastAsia="仿宋" w:cs="仿宋"/>
          <w:highlight w:val="none"/>
          <w:u w:val="single"/>
          <w:lang w:val="zh-CN"/>
        </w:rPr>
      </w:pPr>
    </w:p>
    <w:p>
      <w:pPr>
        <w:pStyle w:val="7"/>
        <w:rPr>
          <w:rFonts w:hint="default" w:ascii="仿宋" w:hAnsi="仿宋" w:eastAsia="仿宋" w:cs="仿宋"/>
          <w:highlight w:val="none"/>
          <w:lang w:val="zh-CN"/>
        </w:rPr>
      </w:pPr>
    </w:p>
    <w:p>
      <w:pPr>
        <w:rPr>
          <w:rFonts w:ascii="仿宋" w:hAnsi="仿宋" w:eastAsia="仿宋" w:cs="仿宋"/>
          <w:sz w:val="40"/>
          <w:szCs w:val="40"/>
          <w:highlight w:val="none"/>
          <w:lang w:val="zh-CN"/>
        </w:rPr>
      </w:pPr>
      <w:r>
        <w:rPr>
          <w:rFonts w:hint="eastAsia" w:ascii="仿宋" w:hAnsi="仿宋" w:eastAsia="仿宋" w:cs="仿宋"/>
          <w:sz w:val="40"/>
          <w:szCs w:val="40"/>
          <w:highlight w:val="none"/>
          <w:lang w:val="zh-CN"/>
        </w:rPr>
        <w:t>华招广和项目管理有限公司</w:t>
      </w:r>
    </w:p>
    <w:p>
      <w:pPr>
        <w:pStyle w:val="7"/>
        <w:rPr>
          <w:rFonts w:hint="default" w:ascii="仿宋" w:hAnsi="仿宋" w:eastAsia="仿宋" w:cs="仿宋"/>
          <w:highlight w:val="none"/>
          <w:u w:val="single"/>
        </w:rPr>
      </w:pPr>
    </w:p>
    <w:p>
      <w:pPr>
        <w:pStyle w:val="7"/>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lang w:val="zh-CN"/>
        </w:rPr>
        <w:t>地址：</w:t>
      </w:r>
      <w:r>
        <w:rPr>
          <w:rFonts w:ascii="仿宋" w:hAnsi="仿宋" w:eastAsia="仿宋" w:cs="仿宋"/>
          <w:b w:val="0"/>
          <w:bCs/>
          <w:sz w:val="24"/>
          <w:szCs w:val="24"/>
          <w:highlight w:val="none"/>
        </w:rPr>
        <w:t>西安市朱雀大街南段1号汇成天玺C座18层</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邮编：710000</w:t>
      </w:r>
    </w:p>
    <w:p>
      <w:pPr>
        <w:pStyle w:val="7"/>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rPr>
        <w:t>电话：029-87592321</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电子邮箱：hzghxmglyxgs@163.com</w:t>
      </w:r>
    </w:p>
    <w:p>
      <w:pPr>
        <w:pStyle w:val="7"/>
        <w:jc w:val="both"/>
        <w:rPr>
          <w:rFonts w:hint="default" w:ascii="仿宋" w:hAnsi="仿宋" w:eastAsia="仿宋" w:cs="仿宋"/>
          <w:highlight w:val="none"/>
        </w:rPr>
      </w:pPr>
    </w:p>
    <w:p>
      <w:pPr>
        <w:pStyle w:val="7"/>
        <w:jc w:val="both"/>
        <w:rPr>
          <w:rFonts w:hint="default" w:ascii="仿宋" w:hAnsi="仿宋" w:eastAsia="仿宋" w:cs="仿宋"/>
          <w:highlight w:val="none"/>
        </w:rPr>
      </w:pPr>
    </w:p>
    <w:sectPr>
      <w:headerReference r:id="rId29" w:type="first"/>
      <w:footerReference r:id="rId31" w:type="first"/>
      <w:headerReference r:id="rId28" w:type="default"/>
      <w:footerReference r:id="rId30" w:type="default"/>
      <w:pgSz w:w="11905" w:h="16840"/>
      <w:pgMar w:top="1417" w:right="1417" w:bottom="1417" w:left="1417" w:header="935" w:footer="102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华招广和项目管理有限公司地 址：西安市朱雀大街南段1号汇成天玺C座18层    电 话：029-85566819</w:t>
    </w:r>
  </w:p>
  <w:p>
    <w:pPr>
      <w:spacing w:line="280" w:lineRule="exact"/>
      <w:jc w:val="center"/>
      <w:rPr>
        <w:rFonts w:ascii="仿宋" w:hAnsi="仿宋" w:eastAsia="仿宋" w:cs="仿宋"/>
        <w:b/>
        <w:sz w:val="18"/>
        <w:szCs w:val="18"/>
        <w:u w:val="single"/>
      </w:rPr>
    </w:pPr>
    <w:r>
      <w:rPr>
        <w:rFonts w:ascii="仿宋" w:hAnsi="仿宋" w:eastAsia="仿宋" w:cs="仿宋"/>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14"/>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114</w:t>
                </w:r>
                <w:r>
                  <w:rPr>
                    <w:rFonts w:ascii="楷体" w:hAnsi="楷体" w:eastAsia="楷体" w:cs="楷体"/>
                  </w:rPr>
                  <w:fldChar w:fldCharType="end"/>
                </w:r>
                <w:r>
                  <w:rPr>
                    <w:rFonts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147</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9"/>
        <w:tab w:val="clear" w:pos="4153"/>
      </w:tabs>
      <w:spacing w:line="360" w:lineRule="auto"/>
      <w:rPr>
        <w:rFonts w:ascii="楷体" w:hAnsi="楷体" w:eastAsia="楷体" w:cs="楷体"/>
        <w:b/>
        <w:u w:val="single"/>
      </w:rPr>
    </w:pPr>
    <w:r>
      <w:rPr>
        <w:rFonts w:ascii="仿宋" w:hAnsi="仿宋" w:eastAsia="仿宋" w:cs="仿宋"/>
      </w:rPr>
      <w:pict>
        <v:shape id="_x0000_s2054" o:spid="_x0000_s2054"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joinstyle="miter"/>
          <v:imagedata o:title=""/>
          <o:lock v:ext="edit"/>
          <v:textbox inset="0mm,0mm,0mm,0mm">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127</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147</w:t>
                </w:r>
                <w:r>
                  <w:rPr>
                    <w:rFonts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u w:val="single"/>
      </w:rPr>
      <w:t>华招广和项目管理有限公司      地 址：西安市朱雀大街南段1号汇成天玺C座18层     电 话：029-85566819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仿宋" w:hAnsi="仿宋" w:eastAsia="仿宋" w:cs="仿宋"/>
        <w:bCs/>
        <w:sz w:val="18"/>
        <w:szCs w:val="18"/>
        <w:u w:val="single"/>
      </w:rPr>
    </w:pPr>
    <w:r>
      <w:rPr>
        <w:rFonts w:ascii="仿宋" w:hAnsi="仿宋" w:eastAsia="仿宋" w:cs="仿宋"/>
        <w:bCs/>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128</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147</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b/>
        <w:bCs/>
        <w:sz w:val="18"/>
        <w:szCs w:val="18"/>
      </w:rPr>
    </w:pPr>
    <w:r>
      <w:rPr>
        <w:rFonts w:ascii="仿宋" w:hAnsi="仿宋" w:eastAsia="仿宋" w:cs="仿宋"/>
        <w:b/>
        <w:bCs/>
        <w:sz w:val="18"/>
        <w:szCs w:val="18"/>
      </w:rPr>
      <w:pict>
        <v:shape id="_x0000_s2055" o:spid="_x0000_s2055"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147</w:t>
                </w:r>
                <w:r>
                  <w:fldChar w:fldCharType="end"/>
                </w:r>
                <w:r>
                  <w:t xml:space="preserve"> 页</w:t>
                </w:r>
              </w:p>
            </w:txbxContent>
          </v:textbox>
        </v:shape>
      </w:pict>
    </w:r>
    <w:r>
      <w:rPr>
        <w:rFonts w:hint="eastAsia" w:ascii="仿宋" w:hAnsi="仿宋" w:eastAsia="仿宋" w:cs="仿宋"/>
        <w:b/>
        <w:bCs/>
        <w:sz w:val="18"/>
        <w:szCs w:val="18"/>
        <w:u w:val="single"/>
      </w:rPr>
      <w:t>华招广和项目管理有限公司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0" w:hanging="360" w:hangingChars="200"/>
      <w:jc w:val="center"/>
    </w:pPr>
    <w:r>
      <w:rPr>
        <w:sz w:val="18"/>
      </w:rPr>
      <w:pict>
        <v:shape id="_x0000_s2066" o:spid="_x0000_s2066" o:spt="202" type="#_x0000_t202" style="position:absolute;left:0pt;margin-left:186.15pt;margin-top:18.75pt;height:144pt;width:144pt;mso-position-horizontal-relative:margin;mso-wrap-style:none;z-index:251676672;mso-width-relative:page;mso-height-relative:page;" filled="f" stroked="f" coordsize="21600,2160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132</w:t>
                </w:r>
                <w:r>
                  <w:fldChar w:fldCharType="end"/>
                </w:r>
                <w:r>
                  <w:t xml:space="preserve"> 页 共 </w:t>
                </w:r>
                <w:r>
                  <w:fldChar w:fldCharType="begin"/>
                </w:r>
                <w:r>
                  <w:instrText xml:space="preserve"> NUMPAGES  \* MERGEFORMAT </w:instrText>
                </w:r>
                <w:r>
                  <w:fldChar w:fldCharType="separate"/>
                </w:r>
                <w:r>
                  <w:t>147</w:t>
                </w:r>
                <w:r>
                  <w:fldChar w:fldCharType="end"/>
                </w:r>
                <w:r>
                  <w:t xml:space="preserve"> 页</w:t>
                </w:r>
              </w:p>
            </w:txbxContent>
          </v:textbox>
        </v:shape>
      </w:pict>
    </w:r>
    <w:r>
      <w:rPr>
        <w:rFonts w:hint="eastAsia" w:ascii="仿宋" w:hAnsi="仿宋" w:eastAsia="仿宋" w:cs="仿宋"/>
        <w:b/>
        <w:sz w:val="18"/>
        <w:szCs w:val="18"/>
        <w:u w:val="single"/>
      </w:rPr>
      <w:t>华招广和项目管理有限公司  地 址：西安市朱雀大街南段1号汇成天玺C座18层   电 话029-85566819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0" w:hanging="360" w:hangingChars="200"/>
      <w:jc w:val="center"/>
    </w:pPr>
    <w:r>
      <w:rPr>
        <w:sz w:val="18"/>
      </w:rPr>
      <w:pict>
        <v:shape id="_x0000_s2067" o:spid="_x0000_s2067" o:spt="202" type="#_x0000_t202" style="position:absolute;left:0pt;margin-left:182.4pt;margin-top:20.6pt;height:144pt;width:144pt;mso-position-horizontal-relative:margin;mso-wrap-style:none;z-index:251677696;mso-width-relative:page;mso-height-relative:page;" filled="f" stroked="f" coordsize="21600,2160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137</w:t>
                </w:r>
                <w:r>
                  <w:fldChar w:fldCharType="end"/>
                </w:r>
                <w:r>
                  <w:t xml:space="preserve"> 页 共 </w:t>
                </w:r>
                <w:r>
                  <w:fldChar w:fldCharType="begin"/>
                </w:r>
                <w:r>
                  <w:instrText xml:space="preserve"> NUMPAGES  \* MERGEFORMAT </w:instrText>
                </w:r>
                <w:r>
                  <w:fldChar w:fldCharType="separate"/>
                </w:r>
                <w:r>
                  <w:t>147</w:t>
                </w:r>
                <w:r>
                  <w:fldChar w:fldCharType="end"/>
                </w:r>
                <w:r>
                  <w:t xml:space="preserve"> 页</w:t>
                </w:r>
              </w:p>
            </w:txbxContent>
          </v:textbox>
        </v:shape>
      </w:pict>
    </w:r>
    <w:r>
      <w:rPr>
        <w:rFonts w:hint="eastAsia" w:ascii="仿宋" w:hAnsi="仿宋" w:eastAsia="仿宋" w:cs="仿宋"/>
        <w:b/>
        <w:sz w:val="18"/>
        <w:szCs w:val="18"/>
        <w:u w:val="single"/>
      </w:rPr>
      <w:t>华招广和项目管理有限公司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361" w:hangingChars="200"/>
      <w:jc w:val="center"/>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rPr>
    </w:pPr>
    <w:r>
      <w:rPr>
        <w:sz w:val="18"/>
      </w:rPr>
      <w:pict>
        <v:shape id="_x0000_s2058" o:spid="_x0000_s205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361" w:hangingChars="200"/>
      <w:jc w:val="center"/>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宋体" w:hAnsi="宋体"/>
        <w:b/>
        <w:sz w:val="21"/>
        <w:szCs w:val="16"/>
      </w:rPr>
    </w:pPr>
    <w:r>
      <w:rPr>
        <w:sz w:val="18"/>
      </w:rPr>
      <w:pict>
        <v:shape id="_x0000_s2050" o:spid="_x0000_s205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68</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136</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82</w:t>
                </w:r>
                <w:r>
                  <w:rPr>
                    <w:rFonts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400" w:hanging="400" w:hangingChars="200"/>
      <w:jc w:val="center"/>
      <w:rPr>
        <w:rFonts w:ascii="楷体" w:hAnsi="楷体" w:eastAsia="楷体" w:cs="楷体"/>
        <w:b/>
        <w:sz w:val="20"/>
        <w:szCs w:val="20"/>
        <w:u w:val="single"/>
      </w:rPr>
    </w:pPr>
    <w:r>
      <w:rPr>
        <w:rFonts w:hint="eastAsia" w:ascii="仿宋" w:hAnsi="仿宋" w:eastAsia="仿宋" w:cs="仿宋"/>
        <w:bCs/>
        <w:sz w:val="20"/>
        <w:szCs w:val="20"/>
        <w:u w:val="single"/>
      </w:rPr>
      <w:t>华招广和项目管理有限公司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2059" o:spid="_x0000_s205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94</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147</w:t>
                </w:r>
                <w:r>
                  <w:rPr>
                    <w:rFonts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tabs>
        <w:tab w:val="center" w:pos="7063"/>
        <w:tab w:val="left" w:pos="13313"/>
      </w:tabs>
      <w:spacing w:line="280" w:lineRule="exact"/>
      <w:jc w:val="left"/>
      <w:rPr>
        <w:rFonts w:ascii="楷体" w:hAnsi="楷体" w:eastAsia="仿宋" w:cs="楷体"/>
        <w:b/>
        <w:sz w:val="18"/>
        <w:szCs w:val="18"/>
        <w:u w:val="single"/>
      </w:rPr>
    </w:pPr>
    <w:r>
      <w:rPr>
        <w:rFonts w:hint="eastAsia" w:ascii="仿宋" w:hAnsi="仿宋" w:eastAsia="仿宋" w:cs="仿宋"/>
        <w:bCs/>
        <w:sz w:val="18"/>
        <w:szCs w:val="18"/>
        <w:u w:val="single"/>
      </w:rPr>
      <w:tab/>
    </w:r>
    <w:r>
      <w:rPr>
        <w:rFonts w:hint="eastAsia" w:ascii="仿宋" w:hAnsi="仿宋" w:eastAsia="仿宋" w:cs="仿宋"/>
        <w:bCs/>
        <w:sz w:val="18"/>
        <w:szCs w:val="18"/>
        <w:u w:val="single"/>
      </w:rPr>
      <w:t>华招广和项目管理有限公司  地 址：西安市朱雀大街南段1号汇成天玺C座18层        电 话：029-85566819</w:t>
    </w:r>
    <w:r>
      <w:rPr>
        <w:rFonts w:hint="eastAsia" w:ascii="仿宋" w:hAnsi="仿宋" w:eastAsia="仿宋" w:cs="仿宋"/>
        <w:bCs/>
        <w:sz w:val="18"/>
        <w:szCs w:val="18"/>
        <w:u w:val="single"/>
      </w:rPr>
      <w:tab/>
    </w:r>
  </w:p>
  <w:p>
    <w:pPr>
      <w:spacing w:line="280" w:lineRule="exact"/>
      <w:jc w:val="center"/>
      <w:rPr>
        <w:rFonts w:ascii="楷体" w:hAnsi="楷体" w:eastAsia="楷体" w:cs="楷体"/>
        <w:b/>
        <w:sz w:val="18"/>
        <w:szCs w:val="18"/>
        <w:u w:val="single"/>
      </w:rP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118</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147</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Cs/>
        <w:u w:val="single"/>
      </w:rPr>
      <w:t xml:space="preserve">高清设备改造项目                                公开招标文件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
      </w:rPr>
      <w:t xml:space="preserve">高清设备改造                        </w:t>
    </w:r>
    <w:r>
      <w:rPr>
        <w:rFonts w:hint="eastAsia" w:ascii="仿宋" w:hAnsi="仿宋" w:eastAsia="仿宋" w:cs="仿宋"/>
        <w:b/>
        <w:lang w:val="en-US" w:eastAsia="zh-CN"/>
      </w:rPr>
      <w:t xml:space="preserve">                                                  </w:t>
    </w:r>
    <w:r>
      <w:rPr>
        <w:rFonts w:hint="eastAsia" w:ascii="仿宋" w:hAnsi="仿宋" w:eastAsia="仿宋" w:cs="仿宋"/>
        <w:b/>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b/>
      </w:rPr>
    </w:pPr>
    <w:r>
      <w:rPr>
        <w:rFonts w:hint="eastAsia" w:ascii="仿宋" w:hAnsi="仿宋" w:eastAsia="仿宋" w:cs="仿宋"/>
        <w:b/>
      </w:rPr>
      <w:t xml:space="preserve">高清设备改造项目                        公开招标文件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sz w:val="16"/>
        <w:szCs w:val="16"/>
      </w:rPr>
    </w:pPr>
    <w:r>
      <w:rPr>
        <w:rFonts w:hint="eastAsia" w:ascii="仿宋" w:hAnsi="仿宋" w:eastAsia="仿宋" w:cs="仿宋"/>
        <w:b/>
        <w:sz w:val="18"/>
        <w:szCs w:val="18"/>
      </w:rPr>
      <w:t xml:space="preserve">高清设备改造                   </w:t>
    </w:r>
    <w:r>
      <w:rPr>
        <w:rFonts w:hint="eastAsia" w:ascii="仿宋" w:hAnsi="仿宋" w:eastAsia="仿宋" w:cs="仿宋"/>
        <w:b/>
        <w:sz w:val="18"/>
        <w:szCs w:val="18"/>
        <w:lang w:val="en-US" w:eastAsia="zh-CN"/>
      </w:rPr>
      <w:t xml:space="preserve">                                                        </w:t>
    </w:r>
    <w:r>
      <w:rPr>
        <w:rFonts w:hint="eastAsia" w:ascii="仿宋" w:hAnsi="仿宋" w:eastAsia="仿宋" w:cs="仿宋"/>
        <w:b/>
        <w:sz w:val="18"/>
        <w:szCs w:val="18"/>
      </w:rPr>
      <w:t xml:space="preserve">公开招标文件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80" w:lineRule="exact"/>
      <w:jc w:val="both"/>
      <w:rPr>
        <w:b/>
        <w:bCs w:val="0"/>
      </w:rPr>
    </w:pPr>
    <w:r>
      <w:rPr>
        <w:rFonts w:hint="eastAsia" w:ascii="仿宋" w:hAnsi="仿宋" w:eastAsia="仿宋" w:cs="仿宋"/>
        <w:b/>
        <w:bCs w:val="0"/>
        <w:u w:val="single"/>
      </w:rPr>
      <w:t>高清设备改造</w:t>
    </w:r>
    <w:r>
      <w:rPr>
        <w:rFonts w:hint="eastAsia" w:ascii="仿宋" w:hAnsi="仿宋" w:eastAsia="仿宋" w:cs="仿宋"/>
        <w:b/>
        <w:bCs w:val="0"/>
        <w:u w:val="single"/>
        <w:lang w:val="en-US" w:eastAsia="zh-CN"/>
      </w:rPr>
      <w:t xml:space="preserve">                                                               </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w:t>
    </w:r>
    <w:r>
      <w:rPr>
        <w:rFonts w:hint="eastAsia" w:ascii="仿宋" w:hAnsi="仿宋" w:eastAsia="仿宋" w:cs="仿宋"/>
        <w:b/>
        <w:bCs w:val="0"/>
        <w:u w:val="single"/>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b/>
        <w:sz w:val="20"/>
        <w:szCs w:val="20"/>
      </w:rPr>
    </w:pPr>
    <w:r>
      <w:rPr>
        <w:rFonts w:hint="eastAsia" w:ascii="仿宋" w:hAnsi="仿宋" w:eastAsia="仿宋" w:cs="仿宋"/>
        <w:b/>
        <w:sz w:val="18"/>
        <w:szCs w:val="18"/>
        <w:u w:val="single"/>
      </w:rPr>
      <w:t xml:space="preserve">高清设备改造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公开招标文件 </w:t>
    </w:r>
    <w:r>
      <w:rPr>
        <w:rFonts w:hint="eastAsia" w:ascii="仿宋" w:hAnsi="仿宋" w:eastAsia="仿宋" w:cs="仿宋"/>
        <w:b/>
        <w:sz w:val="20"/>
        <w:szCs w:val="20"/>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宋体" w:hAnsi="宋体" w:eastAsia="楷体"/>
        <w:b/>
        <w:u w:val="single"/>
      </w:rPr>
    </w:pPr>
    <w:r>
      <w:rPr>
        <w:rFonts w:hint="eastAsia" w:ascii="仿宋" w:hAnsi="仿宋" w:eastAsia="仿宋" w:cs="仿宋"/>
        <w:b/>
        <w:u w:val="single"/>
      </w:rPr>
      <w:t xml:space="preserve">高清设备改造项目                                                     公开招标文件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480" w:lineRule="exact"/>
      <w:jc w:val="both"/>
      <w:rPr>
        <w:rFonts w:ascii="楷体" w:hAnsi="楷体" w:eastAsia="楷体" w:cs="楷体"/>
      </w:rPr>
    </w:pPr>
    <w:r>
      <w:rPr>
        <w:rFonts w:hint="eastAsia" w:ascii="仿宋" w:hAnsi="仿宋" w:eastAsia="仿宋" w:cs="仿宋"/>
        <w:b/>
      </w:rPr>
      <w:t>高清设备改造项目公开招标文件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
      </w:rPr>
      <w:t xml:space="preserve">高清设备改造项目                                                                    公开招标文件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
        <w:sz w:val="20"/>
        <w:szCs w:val="20"/>
      </w:rPr>
      <w:t xml:space="preserve">高清设备改造项目                  </w:t>
    </w:r>
    <w:r>
      <w:rPr>
        <w:rFonts w:hint="eastAsia" w:ascii="仿宋" w:hAnsi="仿宋" w:eastAsia="仿宋" w:cs="仿宋"/>
        <w:b/>
        <w:sz w:val="20"/>
        <w:szCs w:val="20"/>
        <w:lang w:val="en-US" w:eastAsia="zh-CN"/>
      </w:rPr>
      <w:t xml:space="preserve">                                         </w:t>
    </w:r>
    <w:r>
      <w:rPr>
        <w:rFonts w:hint="eastAsia" w:ascii="仿宋" w:hAnsi="仿宋" w:eastAsia="仿宋" w:cs="仿宋"/>
        <w:b/>
        <w:sz w:val="20"/>
        <w:szCs w:val="20"/>
      </w:rPr>
      <w:t xml:space="preserve"> 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3313B"/>
    <w:multiLevelType w:val="singleLevel"/>
    <w:tmpl w:val="8E53313B"/>
    <w:lvl w:ilvl="0" w:tentative="0">
      <w:start w:val="1"/>
      <w:numFmt w:val="decimal"/>
      <w:lvlText w:val="(%1)"/>
      <w:lvlJc w:val="left"/>
      <w:pPr>
        <w:ind w:left="425" w:hanging="425"/>
      </w:pPr>
      <w:rPr>
        <w:rFonts w:hint="default"/>
      </w:rPr>
    </w:lvl>
  </w:abstractNum>
  <w:abstractNum w:abstractNumId="1">
    <w:nsid w:val="B43C1E05"/>
    <w:multiLevelType w:val="singleLevel"/>
    <w:tmpl w:val="B43C1E05"/>
    <w:lvl w:ilvl="0" w:tentative="0">
      <w:start w:val="1"/>
      <w:numFmt w:val="decimal"/>
      <w:suff w:val="nothing"/>
      <w:lvlText w:val="（%1）"/>
      <w:lvlJc w:val="left"/>
    </w:lvl>
  </w:abstractNum>
  <w:abstractNum w:abstractNumId="2">
    <w:nsid w:val="F8DC9CD1"/>
    <w:multiLevelType w:val="singleLevel"/>
    <w:tmpl w:val="F8DC9CD1"/>
    <w:lvl w:ilvl="0" w:tentative="0">
      <w:start w:val="6"/>
      <w:numFmt w:val="chineseCounting"/>
      <w:suff w:val="space"/>
      <w:lvlText w:val="第%1章"/>
      <w:lvlJc w:val="left"/>
      <w:rPr>
        <w:rFonts w:hint="eastAsia"/>
      </w:rPr>
    </w:lvl>
  </w:abstractNum>
  <w:abstractNum w:abstractNumId="3">
    <w:nsid w:val="00000008"/>
    <w:multiLevelType w:val="singleLevel"/>
    <w:tmpl w:val="00000008"/>
    <w:lvl w:ilvl="0" w:tentative="0">
      <w:start w:val="3"/>
      <w:numFmt w:val="chineseCounting"/>
      <w:suff w:val="nothing"/>
      <w:lvlText w:val="（%1）"/>
      <w:lvlJc w:val="left"/>
    </w:lvl>
  </w:abstractNum>
  <w:abstractNum w:abstractNumId="4">
    <w:nsid w:val="0000000B"/>
    <w:multiLevelType w:val="multilevel"/>
    <w:tmpl w:val="0000000B"/>
    <w:lvl w:ilvl="0" w:tentative="0">
      <w:start w:val="1"/>
      <w:numFmt w:val="decimal"/>
      <w:lvlText w:val="%1)"/>
      <w:lvlJc w:val="left"/>
      <w:pPr>
        <w:tabs>
          <w:tab w:val="left" w:pos="660"/>
        </w:tabs>
        <w:ind w:left="660" w:hanging="420"/>
      </w:pPr>
    </w:lvl>
    <w:lvl w:ilvl="1" w:tentative="0">
      <w:start w:val="1"/>
      <w:numFmt w:val="decimal"/>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0000000E"/>
    <w:multiLevelType w:val="singleLevel"/>
    <w:tmpl w:val="0000000E"/>
    <w:lvl w:ilvl="0" w:tentative="0">
      <w:start w:val="2"/>
      <w:numFmt w:val="decimal"/>
      <w:suff w:val="nothing"/>
      <w:lvlText w:val="%1）"/>
      <w:lvlJc w:val="left"/>
    </w:lvl>
  </w:abstractNum>
  <w:abstractNum w:abstractNumId="6">
    <w:nsid w:val="00000014"/>
    <w:multiLevelType w:val="multilevel"/>
    <w:tmpl w:val="00000014"/>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01041D89"/>
    <w:multiLevelType w:val="singleLevel"/>
    <w:tmpl w:val="01041D89"/>
    <w:lvl w:ilvl="0" w:tentative="0">
      <w:start w:val="1"/>
      <w:numFmt w:val="chineseCounting"/>
      <w:suff w:val="space"/>
      <w:lvlText w:val="第%1章"/>
      <w:lvlJc w:val="left"/>
      <w:rPr>
        <w:rFonts w:hint="eastAsia"/>
      </w:rPr>
    </w:lvl>
  </w:abstractNum>
  <w:abstractNum w:abstractNumId="8">
    <w:nsid w:val="10F82CD6"/>
    <w:multiLevelType w:val="multilevel"/>
    <w:tmpl w:val="10F82CD6"/>
    <w:lvl w:ilvl="0" w:tentative="0">
      <w:start w:val="1"/>
      <w:numFmt w:val="decimal"/>
      <w:lvlText w:val="%1."/>
      <w:lvlJc w:val="left"/>
      <w:pPr>
        <w:ind w:left="840" w:hanging="420"/>
      </w:pPr>
    </w:lvl>
    <w:lvl w:ilvl="1" w:tentative="0">
      <w:start w:val="1"/>
      <w:numFmt w:val="bullet"/>
      <w:lvlText w:val=""/>
      <w:lvlJc w:val="left"/>
      <w:pPr>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45C3C4D"/>
    <w:multiLevelType w:val="multilevel"/>
    <w:tmpl w:val="145C3C4D"/>
    <w:lvl w:ilvl="0" w:tentative="0">
      <w:start w:val="1"/>
      <w:numFmt w:val="decimal"/>
      <w:lvlText w:val="%1)"/>
      <w:lvlJc w:val="left"/>
      <w:pPr>
        <w:tabs>
          <w:tab w:val="left" w:pos="817"/>
        </w:tabs>
        <w:ind w:left="817" w:hanging="420"/>
      </w:pPr>
      <w:rPr>
        <w:rFonts w:hint="default"/>
        <w:b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3493CE"/>
    <w:multiLevelType w:val="multilevel"/>
    <w:tmpl w:val="343493CE"/>
    <w:lvl w:ilvl="0" w:tentative="0">
      <w:start w:val="1"/>
      <w:numFmt w:val="decimal"/>
      <w:lvlText w:val="%1."/>
      <w:lvlJc w:val="left"/>
      <w:pPr>
        <w:ind w:left="840" w:hanging="420"/>
      </w:pPr>
    </w:lvl>
    <w:lvl w:ilvl="1" w:tentative="0">
      <w:start w:val="1"/>
      <w:numFmt w:val="bullet"/>
      <w:lvlText w:val=""/>
      <w:lvlJc w:val="left"/>
      <w:pPr>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9B0B1A9"/>
    <w:multiLevelType w:val="multilevel"/>
    <w:tmpl w:val="49B0B1A9"/>
    <w:lvl w:ilvl="0" w:tentative="0">
      <w:start w:val="1"/>
      <w:numFmt w:val="decimal"/>
      <w:lvlText w:val="%1."/>
      <w:lvlJc w:val="left"/>
      <w:pPr>
        <w:ind w:left="840" w:hanging="420"/>
      </w:pPr>
    </w:lvl>
    <w:lvl w:ilvl="1" w:tentative="0">
      <w:start w:val="1"/>
      <w:numFmt w:val="bullet"/>
      <w:lvlText w:val=""/>
      <w:lvlJc w:val="left"/>
      <w:pPr>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E4E4A3D"/>
    <w:multiLevelType w:val="multilevel"/>
    <w:tmpl w:val="4E4E4A3D"/>
    <w:lvl w:ilvl="0" w:tentative="0">
      <w:start w:val="1"/>
      <w:numFmt w:val="decimal"/>
      <w:lvlText w:val="%1."/>
      <w:lvlJc w:val="left"/>
      <w:pPr>
        <w:tabs>
          <w:tab w:val="left" w:pos="420"/>
        </w:tabs>
        <w:ind w:left="420" w:hanging="420"/>
      </w:pPr>
    </w:lvl>
    <w:lvl w:ilvl="1" w:tentative="0">
      <w:start w:val="2"/>
      <w:numFmt w:val="decimal"/>
      <w:lvlText w:val="%2、"/>
      <w:lvlJc w:val="left"/>
      <w:pPr>
        <w:tabs>
          <w:tab w:val="left" w:pos="1140"/>
        </w:tabs>
        <w:ind w:left="1140" w:hanging="720"/>
      </w:pPr>
      <w:rPr>
        <w:rFonts w:hint="default"/>
      </w:rPr>
    </w:lvl>
    <w:lvl w:ilvl="2" w:tentative="0">
      <w:start w:val="2"/>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76A36EB"/>
    <w:multiLevelType w:val="singleLevel"/>
    <w:tmpl w:val="576A36EB"/>
    <w:lvl w:ilvl="0" w:tentative="0">
      <w:start w:val="1"/>
      <w:numFmt w:val="decimal"/>
      <w:suff w:val="nothing"/>
      <w:lvlText w:val="（%1）"/>
      <w:lvlJc w:val="left"/>
    </w:lvl>
  </w:abstractNum>
  <w:abstractNum w:abstractNumId="14">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6131D8C7"/>
    <w:multiLevelType w:val="singleLevel"/>
    <w:tmpl w:val="6131D8C7"/>
    <w:lvl w:ilvl="0" w:tentative="0">
      <w:start w:val="3"/>
      <w:numFmt w:val="chineseCounting"/>
      <w:suff w:val="space"/>
      <w:lvlText w:val="第%1章"/>
      <w:lvlJc w:val="left"/>
    </w:lvl>
  </w:abstractNum>
  <w:num w:numId="1">
    <w:abstractNumId w:val="14"/>
  </w:num>
  <w:num w:numId="2">
    <w:abstractNumId w:val="7"/>
  </w:num>
  <w:num w:numId="3">
    <w:abstractNumId w:val="1"/>
  </w:num>
  <w:num w:numId="4">
    <w:abstractNumId w:val="5"/>
  </w:num>
  <w:num w:numId="5">
    <w:abstractNumId w:val="13"/>
  </w:num>
  <w:num w:numId="6">
    <w:abstractNumId w:val="15"/>
  </w:num>
  <w:num w:numId="7">
    <w:abstractNumId w:val="9"/>
  </w:num>
  <w:num w:numId="8">
    <w:abstractNumId w:val="12"/>
  </w:num>
  <w:num w:numId="9">
    <w:abstractNumId w:val="8"/>
  </w:num>
  <w:num w:numId="10">
    <w:abstractNumId w:val="3"/>
  </w:num>
  <w:num w:numId="11">
    <w:abstractNumId w:val="4"/>
  </w:num>
  <w:num w:numId="12">
    <w:abstractNumId w:val="6"/>
  </w:num>
  <w:num w:numId="13">
    <w:abstractNumId w:val="10"/>
  </w:num>
  <w:num w:numId="14">
    <w:abstractNumId w:val="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jNjk4NGYwZjllZWRiMzQxZWYxZjlmYTY0MTI0YTkifQ=="/>
  </w:docVars>
  <w:rsids>
    <w:rsidRoot w:val="00172A27"/>
    <w:rsid w:val="000D1E4A"/>
    <w:rsid w:val="001332BF"/>
    <w:rsid w:val="00172A27"/>
    <w:rsid w:val="00212B6B"/>
    <w:rsid w:val="002B2614"/>
    <w:rsid w:val="002D1185"/>
    <w:rsid w:val="00326A93"/>
    <w:rsid w:val="003F04EF"/>
    <w:rsid w:val="00415775"/>
    <w:rsid w:val="00415DA5"/>
    <w:rsid w:val="004276D9"/>
    <w:rsid w:val="00437251"/>
    <w:rsid w:val="004D4113"/>
    <w:rsid w:val="004F223F"/>
    <w:rsid w:val="0054681D"/>
    <w:rsid w:val="00587AFA"/>
    <w:rsid w:val="00622852"/>
    <w:rsid w:val="006512A4"/>
    <w:rsid w:val="006E4C02"/>
    <w:rsid w:val="007B1225"/>
    <w:rsid w:val="007B30B1"/>
    <w:rsid w:val="008563F8"/>
    <w:rsid w:val="009140CB"/>
    <w:rsid w:val="00A86B23"/>
    <w:rsid w:val="00B24411"/>
    <w:rsid w:val="00B507E4"/>
    <w:rsid w:val="00C66EE4"/>
    <w:rsid w:val="00CA45D3"/>
    <w:rsid w:val="00D04A1F"/>
    <w:rsid w:val="00E84244"/>
    <w:rsid w:val="00F11854"/>
    <w:rsid w:val="00F35AEF"/>
    <w:rsid w:val="01055DED"/>
    <w:rsid w:val="012357C5"/>
    <w:rsid w:val="0124044D"/>
    <w:rsid w:val="012F172C"/>
    <w:rsid w:val="012F2A87"/>
    <w:rsid w:val="01377E18"/>
    <w:rsid w:val="013B4745"/>
    <w:rsid w:val="013F27E7"/>
    <w:rsid w:val="014C0D5E"/>
    <w:rsid w:val="01523E16"/>
    <w:rsid w:val="015509EB"/>
    <w:rsid w:val="016D5D6E"/>
    <w:rsid w:val="01770D23"/>
    <w:rsid w:val="01792237"/>
    <w:rsid w:val="017C0051"/>
    <w:rsid w:val="017D4B6D"/>
    <w:rsid w:val="018B4AD5"/>
    <w:rsid w:val="01A9549C"/>
    <w:rsid w:val="01B444B0"/>
    <w:rsid w:val="01B93012"/>
    <w:rsid w:val="01CA3F1A"/>
    <w:rsid w:val="01D17056"/>
    <w:rsid w:val="01DC0309"/>
    <w:rsid w:val="01E07E04"/>
    <w:rsid w:val="01E72F16"/>
    <w:rsid w:val="01F6245E"/>
    <w:rsid w:val="020B2B51"/>
    <w:rsid w:val="022C51CF"/>
    <w:rsid w:val="023D0CA8"/>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92897"/>
    <w:rsid w:val="03114ED8"/>
    <w:rsid w:val="031C45A2"/>
    <w:rsid w:val="03226876"/>
    <w:rsid w:val="032822E5"/>
    <w:rsid w:val="032F672A"/>
    <w:rsid w:val="033E3C8D"/>
    <w:rsid w:val="0363799C"/>
    <w:rsid w:val="03666CBA"/>
    <w:rsid w:val="037759DB"/>
    <w:rsid w:val="03804B01"/>
    <w:rsid w:val="03927018"/>
    <w:rsid w:val="03F25C0E"/>
    <w:rsid w:val="0402140E"/>
    <w:rsid w:val="040E606A"/>
    <w:rsid w:val="0413485F"/>
    <w:rsid w:val="042302C3"/>
    <w:rsid w:val="04286C44"/>
    <w:rsid w:val="04681381"/>
    <w:rsid w:val="047000DE"/>
    <w:rsid w:val="048076C9"/>
    <w:rsid w:val="04892B3B"/>
    <w:rsid w:val="04A35E84"/>
    <w:rsid w:val="04EF0188"/>
    <w:rsid w:val="050359C4"/>
    <w:rsid w:val="05145A42"/>
    <w:rsid w:val="05243AD3"/>
    <w:rsid w:val="05244660"/>
    <w:rsid w:val="0544323B"/>
    <w:rsid w:val="055B54AB"/>
    <w:rsid w:val="055F0593"/>
    <w:rsid w:val="057C07ED"/>
    <w:rsid w:val="0582059A"/>
    <w:rsid w:val="05881D5D"/>
    <w:rsid w:val="059A78A9"/>
    <w:rsid w:val="059F6C93"/>
    <w:rsid w:val="05C32147"/>
    <w:rsid w:val="05CC27DB"/>
    <w:rsid w:val="05E12F78"/>
    <w:rsid w:val="05E338DE"/>
    <w:rsid w:val="05E85EDC"/>
    <w:rsid w:val="05EC66C9"/>
    <w:rsid w:val="05EF4934"/>
    <w:rsid w:val="05FB470C"/>
    <w:rsid w:val="06075EFA"/>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3B1519"/>
    <w:rsid w:val="074309B5"/>
    <w:rsid w:val="074D45F0"/>
    <w:rsid w:val="075238C8"/>
    <w:rsid w:val="075409F1"/>
    <w:rsid w:val="07634D60"/>
    <w:rsid w:val="077716F8"/>
    <w:rsid w:val="0784427C"/>
    <w:rsid w:val="079C558D"/>
    <w:rsid w:val="07A86BC0"/>
    <w:rsid w:val="07B06814"/>
    <w:rsid w:val="07B1292F"/>
    <w:rsid w:val="07B83524"/>
    <w:rsid w:val="07ED6184"/>
    <w:rsid w:val="07FF518E"/>
    <w:rsid w:val="081E722F"/>
    <w:rsid w:val="08263A7B"/>
    <w:rsid w:val="08343F08"/>
    <w:rsid w:val="08390C7A"/>
    <w:rsid w:val="084F5E63"/>
    <w:rsid w:val="08591B53"/>
    <w:rsid w:val="087361B7"/>
    <w:rsid w:val="08865858"/>
    <w:rsid w:val="08C40321"/>
    <w:rsid w:val="08C916A1"/>
    <w:rsid w:val="08D93C4A"/>
    <w:rsid w:val="08DF02AB"/>
    <w:rsid w:val="08F62F8E"/>
    <w:rsid w:val="09132E62"/>
    <w:rsid w:val="091A2465"/>
    <w:rsid w:val="092959CA"/>
    <w:rsid w:val="092F3308"/>
    <w:rsid w:val="0952618D"/>
    <w:rsid w:val="096F0401"/>
    <w:rsid w:val="09875E86"/>
    <w:rsid w:val="09917F6C"/>
    <w:rsid w:val="09AF7900"/>
    <w:rsid w:val="09B84246"/>
    <w:rsid w:val="09EE72C6"/>
    <w:rsid w:val="0A0018ED"/>
    <w:rsid w:val="0A0C6A2E"/>
    <w:rsid w:val="0A2817E2"/>
    <w:rsid w:val="0A405FB1"/>
    <w:rsid w:val="0A4B6101"/>
    <w:rsid w:val="0A530AAC"/>
    <w:rsid w:val="0A5663A8"/>
    <w:rsid w:val="0A5D6092"/>
    <w:rsid w:val="0A783EE1"/>
    <w:rsid w:val="0A8660B1"/>
    <w:rsid w:val="0A9E5956"/>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1B324A"/>
    <w:rsid w:val="0C2A4A9B"/>
    <w:rsid w:val="0C2C5130"/>
    <w:rsid w:val="0C394E6F"/>
    <w:rsid w:val="0C7C3AF1"/>
    <w:rsid w:val="0C7F7B3F"/>
    <w:rsid w:val="0C8D0FFD"/>
    <w:rsid w:val="0C942762"/>
    <w:rsid w:val="0C9F35C5"/>
    <w:rsid w:val="0CA34C15"/>
    <w:rsid w:val="0CB02C73"/>
    <w:rsid w:val="0CB4444F"/>
    <w:rsid w:val="0CB76658"/>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37BA7"/>
    <w:rsid w:val="0E035AFD"/>
    <w:rsid w:val="0E0368CC"/>
    <w:rsid w:val="0E0C77C9"/>
    <w:rsid w:val="0E1C5299"/>
    <w:rsid w:val="0E492B32"/>
    <w:rsid w:val="0E50645E"/>
    <w:rsid w:val="0E516D66"/>
    <w:rsid w:val="0E56494C"/>
    <w:rsid w:val="0E613CA6"/>
    <w:rsid w:val="0E687109"/>
    <w:rsid w:val="0EAE1199"/>
    <w:rsid w:val="0EC45296"/>
    <w:rsid w:val="0ECD1414"/>
    <w:rsid w:val="0ED717DB"/>
    <w:rsid w:val="0ED767A3"/>
    <w:rsid w:val="0EDC0DEC"/>
    <w:rsid w:val="0F032FD0"/>
    <w:rsid w:val="0F1C53D9"/>
    <w:rsid w:val="0F22324D"/>
    <w:rsid w:val="0F3B7A08"/>
    <w:rsid w:val="0F473211"/>
    <w:rsid w:val="0F517930"/>
    <w:rsid w:val="0F6E0F54"/>
    <w:rsid w:val="0F730FDF"/>
    <w:rsid w:val="0F851B60"/>
    <w:rsid w:val="0FAB058B"/>
    <w:rsid w:val="0FDD068A"/>
    <w:rsid w:val="0FE42502"/>
    <w:rsid w:val="0FEB3F6C"/>
    <w:rsid w:val="0FF2353C"/>
    <w:rsid w:val="10366258"/>
    <w:rsid w:val="10533972"/>
    <w:rsid w:val="106C4BBB"/>
    <w:rsid w:val="107408FA"/>
    <w:rsid w:val="10871698"/>
    <w:rsid w:val="108D5328"/>
    <w:rsid w:val="10A34A02"/>
    <w:rsid w:val="10BC3591"/>
    <w:rsid w:val="10BE4AFC"/>
    <w:rsid w:val="10BF4AC4"/>
    <w:rsid w:val="10C71E23"/>
    <w:rsid w:val="10E50A2A"/>
    <w:rsid w:val="10E60340"/>
    <w:rsid w:val="10F62C44"/>
    <w:rsid w:val="10F70157"/>
    <w:rsid w:val="11026414"/>
    <w:rsid w:val="11040411"/>
    <w:rsid w:val="11097885"/>
    <w:rsid w:val="11196266"/>
    <w:rsid w:val="112C3F71"/>
    <w:rsid w:val="113863E8"/>
    <w:rsid w:val="11423D95"/>
    <w:rsid w:val="11440F71"/>
    <w:rsid w:val="11625C09"/>
    <w:rsid w:val="11686CB0"/>
    <w:rsid w:val="1194672F"/>
    <w:rsid w:val="11AE5A5C"/>
    <w:rsid w:val="11B22024"/>
    <w:rsid w:val="11E2074A"/>
    <w:rsid w:val="11E410CE"/>
    <w:rsid w:val="11EB0E21"/>
    <w:rsid w:val="12194051"/>
    <w:rsid w:val="12441018"/>
    <w:rsid w:val="12636497"/>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35AC3"/>
    <w:rsid w:val="13456171"/>
    <w:rsid w:val="137D3F12"/>
    <w:rsid w:val="1381103D"/>
    <w:rsid w:val="13813A05"/>
    <w:rsid w:val="13974ECE"/>
    <w:rsid w:val="13A0181A"/>
    <w:rsid w:val="13A5784A"/>
    <w:rsid w:val="13BA1D03"/>
    <w:rsid w:val="13C52B29"/>
    <w:rsid w:val="13DF4459"/>
    <w:rsid w:val="13FE4229"/>
    <w:rsid w:val="140439B4"/>
    <w:rsid w:val="14090F70"/>
    <w:rsid w:val="140A6FFA"/>
    <w:rsid w:val="14192869"/>
    <w:rsid w:val="142E6F39"/>
    <w:rsid w:val="143A24B3"/>
    <w:rsid w:val="14404038"/>
    <w:rsid w:val="14442427"/>
    <w:rsid w:val="1450503A"/>
    <w:rsid w:val="146107D5"/>
    <w:rsid w:val="146D0D6E"/>
    <w:rsid w:val="148467C3"/>
    <w:rsid w:val="14B46A8F"/>
    <w:rsid w:val="14C00317"/>
    <w:rsid w:val="14D07C41"/>
    <w:rsid w:val="14D110EB"/>
    <w:rsid w:val="14E94C0C"/>
    <w:rsid w:val="14EA7F1C"/>
    <w:rsid w:val="14ED2ACB"/>
    <w:rsid w:val="14F345D7"/>
    <w:rsid w:val="14F372D7"/>
    <w:rsid w:val="1506296A"/>
    <w:rsid w:val="151B3FA6"/>
    <w:rsid w:val="15206496"/>
    <w:rsid w:val="152278DB"/>
    <w:rsid w:val="1529097F"/>
    <w:rsid w:val="15293666"/>
    <w:rsid w:val="154E568E"/>
    <w:rsid w:val="15612E6D"/>
    <w:rsid w:val="157647B4"/>
    <w:rsid w:val="15816A00"/>
    <w:rsid w:val="15883310"/>
    <w:rsid w:val="158F0C46"/>
    <w:rsid w:val="15BB209F"/>
    <w:rsid w:val="15BD216B"/>
    <w:rsid w:val="15DB0CA8"/>
    <w:rsid w:val="15E17FEB"/>
    <w:rsid w:val="15FA64EA"/>
    <w:rsid w:val="161E1E16"/>
    <w:rsid w:val="16357A0B"/>
    <w:rsid w:val="163F4A7E"/>
    <w:rsid w:val="16446C59"/>
    <w:rsid w:val="164C117E"/>
    <w:rsid w:val="16605739"/>
    <w:rsid w:val="167E5D20"/>
    <w:rsid w:val="1688735E"/>
    <w:rsid w:val="1697633D"/>
    <w:rsid w:val="16A9014A"/>
    <w:rsid w:val="16B85F78"/>
    <w:rsid w:val="16C53D60"/>
    <w:rsid w:val="16CB2E16"/>
    <w:rsid w:val="16EE2F79"/>
    <w:rsid w:val="16F4105E"/>
    <w:rsid w:val="16FB5F57"/>
    <w:rsid w:val="17090F66"/>
    <w:rsid w:val="17102234"/>
    <w:rsid w:val="171505C0"/>
    <w:rsid w:val="17162CA4"/>
    <w:rsid w:val="171921EC"/>
    <w:rsid w:val="173338BA"/>
    <w:rsid w:val="173510B8"/>
    <w:rsid w:val="1750478E"/>
    <w:rsid w:val="175301E9"/>
    <w:rsid w:val="17625B4B"/>
    <w:rsid w:val="17646E49"/>
    <w:rsid w:val="176C1469"/>
    <w:rsid w:val="176E561B"/>
    <w:rsid w:val="17AE1FA3"/>
    <w:rsid w:val="17BC0CF5"/>
    <w:rsid w:val="17BE36CE"/>
    <w:rsid w:val="17DE12E7"/>
    <w:rsid w:val="17F20DEB"/>
    <w:rsid w:val="17F6732D"/>
    <w:rsid w:val="18116E71"/>
    <w:rsid w:val="181C111E"/>
    <w:rsid w:val="18275A8E"/>
    <w:rsid w:val="183B5375"/>
    <w:rsid w:val="18513CDE"/>
    <w:rsid w:val="18527BFC"/>
    <w:rsid w:val="185F4462"/>
    <w:rsid w:val="18825D67"/>
    <w:rsid w:val="18826EA4"/>
    <w:rsid w:val="18836302"/>
    <w:rsid w:val="18865395"/>
    <w:rsid w:val="18874B24"/>
    <w:rsid w:val="188A78FE"/>
    <w:rsid w:val="18900317"/>
    <w:rsid w:val="18BA0CCF"/>
    <w:rsid w:val="18CB7939"/>
    <w:rsid w:val="18CE7630"/>
    <w:rsid w:val="18E35026"/>
    <w:rsid w:val="18E51E11"/>
    <w:rsid w:val="18FA4C52"/>
    <w:rsid w:val="190F021E"/>
    <w:rsid w:val="191275CB"/>
    <w:rsid w:val="19177932"/>
    <w:rsid w:val="191D31E8"/>
    <w:rsid w:val="192D1987"/>
    <w:rsid w:val="192D2635"/>
    <w:rsid w:val="19383276"/>
    <w:rsid w:val="1943640C"/>
    <w:rsid w:val="194C6169"/>
    <w:rsid w:val="195C14A3"/>
    <w:rsid w:val="196977F2"/>
    <w:rsid w:val="196C4F56"/>
    <w:rsid w:val="197B498D"/>
    <w:rsid w:val="199C65D8"/>
    <w:rsid w:val="19A93FB3"/>
    <w:rsid w:val="19AD6C6F"/>
    <w:rsid w:val="19B6156E"/>
    <w:rsid w:val="19C169F0"/>
    <w:rsid w:val="19C77D2E"/>
    <w:rsid w:val="19E1220D"/>
    <w:rsid w:val="19E768A4"/>
    <w:rsid w:val="1A053724"/>
    <w:rsid w:val="1A0A2802"/>
    <w:rsid w:val="1A20007A"/>
    <w:rsid w:val="1A2127C9"/>
    <w:rsid w:val="1A3441CE"/>
    <w:rsid w:val="1A3A0D62"/>
    <w:rsid w:val="1A422589"/>
    <w:rsid w:val="1A435612"/>
    <w:rsid w:val="1A4F2F04"/>
    <w:rsid w:val="1A5C3EFC"/>
    <w:rsid w:val="1A655C5C"/>
    <w:rsid w:val="1A74734D"/>
    <w:rsid w:val="1A80467A"/>
    <w:rsid w:val="1A8E2FFB"/>
    <w:rsid w:val="1A9A6CA4"/>
    <w:rsid w:val="1AA014F2"/>
    <w:rsid w:val="1AAE69FD"/>
    <w:rsid w:val="1AE72B08"/>
    <w:rsid w:val="1AFF2903"/>
    <w:rsid w:val="1B060011"/>
    <w:rsid w:val="1B1A6039"/>
    <w:rsid w:val="1B1B4F5A"/>
    <w:rsid w:val="1B503750"/>
    <w:rsid w:val="1B50707D"/>
    <w:rsid w:val="1B525722"/>
    <w:rsid w:val="1B730FBA"/>
    <w:rsid w:val="1B781C93"/>
    <w:rsid w:val="1B87230D"/>
    <w:rsid w:val="1BA33337"/>
    <w:rsid w:val="1BBB35A3"/>
    <w:rsid w:val="1BBD281B"/>
    <w:rsid w:val="1BE0539F"/>
    <w:rsid w:val="1BEA36C9"/>
    <w:rsid w:val="1C152E24"/>
    <w:rsid w:val="1C1B7095"/>
    <w:rsid w:val="1C2D5F08"/>
    <w:rsid w:val="1C316C17"/>
    <w:rsid w:val="1C331FB5"/>
    <w:rsid w:val="1C372579"/>
    <w:rsid w:val="1C383C46"/>
    <w:rsid w:val="1C4673D1"/>
    <w:rsid w:val="1C632A91"/>
    <w:rsid w:val="1C745FAB"/>
    <w:rsid w:val="1C817A29"/>
    <w:rsid w:val="1C865987"/>
    <w:rsid w:val="1CBD25FA"/>
    <w:rsid w:val="1CBD2F9B"/>
    <w:rsid w:val="1CBF3D37"/>
    <w:rsid w:val="1CC50AA2"/>
    <w:rsid w:val="1CC542FF"/>
    <w:rsid w:val="1CCD1B66"/>
    <w:rsid w:val="1CDC25B0"/>
    <w:rsid w:val="1CF562EB"/>
    <w:rsid w:val="1CF9709D"/>
    <w:rsid w:val="1D0F6716"/>
    <w:rsid w:val="1D172126"/>
    <w:rsid w:val="1D337C17"/>
    <w:rsid w:val="1D3A4269"/>
    <w:rsid w:val="1D58544F"/>
    <w:rsid w:val="1D61602F"/>
    <w:rsid w:val="1D7157E9"/>
    <w:rsid w:val="1D9474D1"/>
    <w:rsid w:val="1DA60DBD"/>
    <w:rsid w:val="1DA975B6"/>
    <w:rsid w:val="1DB45E8F"/>
    <w:rsid w:val="1DD161C7"/>
    <w:rsid w:val="1DDF4275"/>
    <w:rsid w:val="1DFC4345"/>
    <w:rsid w:val="1E290DC9"/>
    <w:rsid w:val="1E2C5F17"/>
    <w:rsid w:val="1E4A0464"/>
    <w:rsid w:val="1E4F6E0B"/>
    <w:rsid w:val="1E5A2FDA"/>
    <w:rsid w:val="1E5C4B51"/>
    <w:rsid w:val="1E6964CA"/>
    <w:rsid w:val="1E6C435F"/>
    <w:rsid w:val="1E7237CC"/>
    <w:rsid w:val="1E80551E"/>
    <w:rsid w:val="1E867E3E"/>
    <w:rsid w:val="1EA74D18"/>
    <w:rsid w:val="1EAA4AFF"/>
    <w:rsid w:val="1EAF2557"/>
    <w:rsid w:val="1EB06311"/>
    <w:rsid w:val="1EC60C39"/>
    <w:rsid w:val="1ED01E7C"/>
    <w:rsid w:val="1ED11AC5"/>
    <w:rsid w:val="1ED3701A"/>
    <w:rsid w:val="1ED400B8"/>
    <w:rsid w:val="1ED40BEC"/>
    <w:rsid w:val="1EE12E22"/>
    <w:rsid w:val="1EF601FB"/>
    <w:rsid w:val="1F0266B7"/>
    <w:rsid w:val="1F097C64"/>
    <w:rsid w:val="1F1B7BE1"/>
    <w:rsid w:val="1F554D19"/>
    <w:rsid w:val="1F6223AD"/>
    <w:rsid w:val="1FA37E2C"/>
    <w:rsid w:val="1FD3721C"/>
    <w:rsid w:val="1FDA5EC4"/>
    <w:rsid w:val="1FEA44CB"/>
    <w:rsid w:val="1FF752B6"/>
    <w:rsid w:val="1FFB7F79"/>
    <w:rsid w:val="1FFD1DA0"/>
    <w:rsid w:val="201D7676"/>
    <w:rsid w:val="202B1E56"/>
    <w:rsid w:val="203B5D40"/>
    <w:rsid w:val="20520BA1"/>
    <w:rsid w:val="20525340"/>
    <w:rsid w:val="20731008"/>
    <w:rsid w:val="20A7794A"/>
    <w:rsid w:val="20CC5161"/>
    <w:rsid w:val="20DD65CC"/>
    <w:rsid w:val="20DF14B0"/>
    <w:rsid w:val="20EC3370"/>
    <w:rsid w:val="20F81C87"/>
    <w:rsid w:val="2107732F"/>
    <w:rsid w:val="212479FC"/>
    <w:rsid w:val="2125239E"/>
    <w:rsid w:val="213071C1"/>
    <w:rsid w:val="213345E1"/>
    <w:rsid w:val="217E72AA"/>
    <w:rsid w:val="21A470C7"/>
    <w:rsid w:val="21A5220F"/>
    <w:rsid w:val="21A76E86"/>
    <w:rsid w:val="21A9409D"/>
    <w:rsid w:val="21C90368"/>
    <w:rsid w:val="21C93E43"/>
    <w:rsid w:val="21D9248D"/>
    <w:rsid w:val="21ED33E6"/>
    <w:rsid w:val="21FB7029"/>
    <w:rsid w:val="220C2809"/>
    <w:rsid w:val="22151983"/>
    <w:rsid w:val="221F065E"/>
    <w:rsid w:val="2238284E"/>
    <w:rsid w:val="224D5266"/>
    <w:rsid w:val="22631FB1"/>
    <w:rsid w:val="226B006C"/>
    <w:rsid w:val="227C2CCE"/>
    <w:rsid w:val="228C7A05"/>
    <w:rsid w:val="22972603"/>
    <w:rsid w:val="22A420D9"/>
    <w:rsid w:val="22AB2F38"/>
    <w:rsid w:val="22AE02AF"/>
    <w:rsid w:val="22BB79DA"/>
    <w:rsid w:val="22C30BD7"/>
    <w:rsid w:val="22CA31C9"/>
    <w:rsid w:val="22D06515"/>
    <w:rsid w:val="22D5669C"/>
    <w:rsid w:val="22DD7278"/>
    <w:rsid w:val="22EB2228"/>
    <w:rsid w:val="23371C43"/>
    <w:rsid w:val="233D6F48"/>
    <w:rsid w:val="234D186E"/>
    <w:rsid w:val="235360D7"/>
    <w:rsid w:val="235D306F"/>
    <w:rsid w:val="2362550E"/>
    <w:rsid w:val="2374115A"/>
    <w:rsid w:val="23865F50"/>
    <w:rsid w:val="238E2AF8"/>
    <w:rsid w:val="23B221C1"/>
    <w:rsid w:val="23B501F5"/>
    <w:rsid w:val="23B77F19"/>
    <w:rsid w:val="23B94AAA"/>
    <w:rsid w:val="23CB1C0B"/>
    <w:rsid w:val="23E87193"/>
    <w:rsid w:val="240406AE"/>
    <w:rsid w:val="24060E09"/>
    <w:rsid w:val="240E33FD"/>
    <w:rsid w:val="24173B5E"/>
    <w:rsid w:val="242D1523"/>
    <w:rsid w:val="24350B84"/>
    <w:rsid w:val="243F3724"/>
    <w:rsid w:val="24416D82"/>
    <w:rsid w:val="245840A6"/>
    <w:rsid w:val="24831C33"/>
    <w:rsid w:val="248C32DF"/>
    <w:rsid w:val="248D64FB"/>
    <w:rsid w:val="249C21F4"/>
    <w:rsid w:val="24C061DB"/>
    <w:rsid w:val="24C063A4"/>
    <w:rsid w:val="24C40077"/>
    <w:rsid w:val="24C46C7F"/>
    <w:rsid w:val="24F03545"/>
    <w:rsid w:val="25064086"/>
    <w:rsid w:val="2508510A"/>
    <w:rsid w:val="250F557F"/>
    <w:rsid w:val="252D413F"/>
    <w:rsid w:val="252E255C"/>
    <w:rsid w:val="2536380C"/>
    <w:rsid w:val="25430663"/>
    <w:rsid w:val="256154CC"/>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452162"/>
    <w:rsid w:val="265570F7"/>
    <w:rsid w:val="265F7849"/>
    <w:rsid w:val="2664440E"/>
    <w:rsid w:val="26792478"/>
    <w:rsid w:val="26AA3247"/>
    <w:rsid w:val="26AD7B8E"/>
    <w:rsid w:val="26BF7B51"/>
    <w:rsid w:val="26C6302D"/>
    <w:rsid w:val="26CE14DA"/>
    <w:rsid w:val="26EB5B51"/>
    <w:rsid w:val="26EE5A36"/>
    <w:rsid w:val="26EF4DE2"/>
    <w:rsid w:val="26F50BDB"/>
    <w:rsid w:val="26FE4E7F"/>
    <w:rsid w:val="272A5FBD"/>
    <w:rsid w:val="272C4EF1"/>
    <w:rsid w:val="272E10E9"/>
    <w:rsid w:val="27513170"/>
    <w:rsid w:val="2759523E"/>
    <w:rsid w:val="275B0BB9"/>
    <w:rsid w:val="27775B13"/>
    <w:rsid w:val="27870A9C"/>
    <w:rsid w:val="278C6260"/>
    <w:rsid w:val="278D0C17"/>
    <w:rsid w:val="27925D43"/>
    <w:rsid w:val="27AF2CA0"/>
    <w:rsid w:val="27B76F7E"/>
    <w:rsid w:val="27C90A53"/>
    <w:rsid w:val="2801667A"/>
    <w:rsid w:val="280E56A9"/>
    <w:rsid w:val="281178FD"/>
    <w:rsid w:val="28172BDD"/>
    <w:rsid w:val="285B02BE"/>
    <w:rsid w:val="28811AC2"/>
    <w:rsid w:val="28941480"/>
    <w:rsid w:val="289C575D"/>
    <w:rsid w:val="28A21EE1"/>
    <w:rsid w:val="28A4544E"/>
    <w:rsid w:val="28A50596"/>
    <w:rsid w:val="28A86B5F"/>
    <w:rsid w:val="28CB4833"/>
    <w:rsid w:val="28E42265"/>
    <w:rsid w:val="28E97F29"/>
    <w:rsid w:val="2919115F"/>
    <w:rsid w:val="29253FFF"/>
    <w:rsid w:val="292672E2"/>
    <w:rsid w:val="292809E6"/>
    <w:rsid w:val="2938145D"/>
    <w:rsid w:val="294301B4"/>
    <w:rsid w:val="29481585"/>
    <w:rsid w:val="294A6AD1"/>
    <w:rsid w:val="294F363A"/>
    <w:rsid w:val="29843C2C"/>
    <w:rsid w:val="299B3C02"/>
    <w:rsid w:val="29AA0B85"/>
    <w:rsid w:val="29B01376"/>
    <w:rsid w:val="29B05C8A"/>
    <w:rsid w:val="29CB6F7F"/>
    <w:rsid w:val="29CC694D"/>
    <w:rsid w:val="29D33A58"/>
    <w:rsid w:val="29E90A73"/>
    <w:rsid w:val="29EF290B"/>
    <w:rsid w:val="2A2361E0"/>
    <w:rsid w:val="2A377938"/>
    <w:rsid w:val="2A39304D"/>
    <w:rsid w:val="2A3A1778"/>
    <w:rsid w:val="2A5A1271"/>
    <w:rsid w:val="2A5B5A23"/>
    <w:rsid w:val="2A7B5F86"/>
    <w:rsid w:val="2AA00955"/>
    <w:rsid w:val="2ACD779E"/>
    <w:rsid w:val="2AD61463"/>
    <w:rsid w:val="2ADE6251"/>
    <w:rsid w:val="2B01663B"/>
    <w:rsid w:val="2B0330EB"/>
    <w:rsid w:val="2B0D2B5D"/>
    <w:rsid w:val="2B3F0DEA"/>
    <w:rsid w:val="2B5330CD"/>
    <w:rsid w:val="2B716D0A"/>
    <w:rsid w:val="2B8E79ED"/>
    <w:rsid w:val="2B9745EB"/>
    <w:rsid w:val="2B9F34D7"/>
    <w:rsid w:val="2BF84B95"/>
    <w:rsid w:val="2BFA3C7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31F0A"/>
    <w:rsid w:val="2D0D31CA"/>
    <w:rsid w:val="2D1813B0"/>
    <w:rsid w:val="2D2D7366"/>
    <w:rsid w:val="2D5D7B79"/>
    <w:rsid w:val="2D637222"/>
    <w:rsid w:val="2D7B4BF1"/>
    <w:rsid w:val="2DBC364F"/>
    <w:rsid w:val="2DBE4625"/>
    <w:rsid w:val="2DC055B8"/>
    <w:rsid w:val="2DC113FE"/>
    <w:rsid w:val="2DD15DA4"/>
    <w:rsid w:val="2E2D1F06"/>
    <w:rsid w:val="2E407B36"/>
    <w:rsid w:val="2E487979"/>
    <w:rsid w:val="2E506092"/>
    <w:rsid w:val="2E626225"/>
    <w:rsid w:val="2E631B17"/>
    <w:rsid w:val="2E6C4E49"/>
    <w:rsid w:val="2E757732"/>
    <w:rsid w:val="2E7B0F51"/>
    <w:rsid w:val="2E7E6BE3"/>
    <w:rsid w:val="2E8F5A76"/>
    <w:rsid w:val="2E9E012E"/>
    <w:rsid w:val="2EB251DE"/>
    <w:rsid w:val="2ED32D30"/>
    <w:rsid w:val="2EF61388"/>
    <w:rsid w:val="2F01235C"/>
    <w:rsid w:val="2F385590"/>
    <w:rsid w:val="2F385D91"/>
    <w:rsid w:val="2F3B117B"/>
    <w:rsid w:val="2F442969"/>
    <w:rsid w:val="2F5F4D24"/>
    <w:rsid w:val="2F726093"/>
    <w:rsid w:val="2F783A2A"/>
    <w:rsid w:val="2F7E052C"/>
    <w:rsid w:val="2F7E20B0"/>
    <w:rsid w:val="2F8F7D10"/>
    <w:rsid w:val="2F906FF8"/>
    <w:rsid w:val="2FF729FF"/>
    <w:rsid w:val="300512D8"/>
    <w:rsid w:val="301069EF"/>
    <w:rsid w:val="3012492F"/>
    <w:rsid w:val="301B091F"/>
    <w:rsid w:val="30292A80"/>
    <w:rsid w:val="303C0946"/>
    <w:rsid w:val="30546F10"/>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36540"/>
    <w:rsid w:val="31554CFE"/>
    <w:rsid w:val="3157169C"/>
    <w:rsid w:val="3163741B"/>
    <w:rsid w:val="31660CB9"/>
    <w:rsid w:val="316F12FA"/>
    <w:rsid w:val="317F1F84"/>
    <w:rsid w:val="317F52E7"/>
    <w:rsid w:val="319E21A8"/>
    <w:rsid w:val="31B448F8"/>
    <w:rsid w:val="31C4112D"/>
    <w:rsid w:val="31C613CE"/>
    <w:rsid w:val="31CF19CB"/>
    <w:rsid w:val="3210318C"/>
    <w:rsid w:val="32121212"/>
    <w:rsid w:val="3218445A"/>
    <w:rsid w:val="32246337"/>
    <w:rsid w:val="3228271D"/>
    <w:rsid w:val="323D6705"/>
    <w:rsid w:val="32756B2E"/>
    <w:rsid w:val="32B93E22"/>
    <w:rsid w:val="332330F3"/>
    <w:rsid w:val="332E0AFE"/>
    <w:rsid w:val="33346E7E"/>
    <w:rsid w:val="334233B5"/>
    <w:rsid w:val="334E2B10"/>
    <w:rsid w:val="338D5193"/>
    <w:rsid w:val="33944C88"/>
    <w:rsid w:val="339A6860"/>
    <w:rsid w:val="33A3621B"/>
    <w:rsid w:val="33CB3569"/>
    <w:rsid w:val="33D23C1C"/>
    <w:rsid w:val="33D9318C"/>
    <w:rsid w:val="33E47652"/>
    <w:rsid w:val="33F84719"/>
    <w:rsid w:val="3403693D"/>
    <w:rsid w:val="340907AC"/>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E66D5"/>
    <w:rsid w:val="35125D28"/>
    <w:rsid w:val="35135DE5"/>
    <w:rsid w:val="352552E3"/>
    <w:rsid w:val="35292E4E"/>
    <w:rsid w:val="352A6222"/>
    <w:rsid w:val="3552741C"/>
    <w:rsid w:val="35543CEB"/>
    <w:rsid w:val="3575320F"/>
    <w:rsid w:val="35880003"/>
    <w:rsid w:val="358B37A9"/>
    <w:rsid w:val="35C672EF"/>
    <w:rsid w:val="35D37514"/>
    <w:rsid w:val="36031236"/>
    <w:rsid w:val="360432C6"/>
    <w:rsid w:val="361643BC"/>
    <w:rsid w:val="3635517E"/>
    <w:rsid w:val="364E1DBD"/>
    <w:rsid w:val="365D70AD"/>
    <w:rsid w:val="368708DF"/>
    <w:rsid w:val="368E4B68"/>
    <w:rsid w:val="36BB53A8"/>
    <w:rsid w:val="36BE5E23"/>
    <w:rsid w:val="36BF5033"/>
    <w:rsid w:val="36C71921"/>
    <w:rsid w:val="36E30215"/>
    <w:rsid w:val="36FF448C"/>
    <w:rsid w:val="37046530"/>
    <w:rsid w:val="372C5176"/>
    <w:rsid w:val="37371245"/>
    <w:rsid w:val="374F1BF5"/>
    <w:rsid w:val="375607F8"/>
    <w:rsid w:val="375C07E0"/>
    <w:rsid w:val="37896CF9"/>
    <w:rsid w:val="379301A5"/>
    <w:rsid w:val="37D5200F"/>
    <w:rsid w:val="37DB6D52"/>
    <w:rsid w:val="37E6048F"/>
    <w:rsid w:val="37EC3B69"/>
    <w:rsid w:val="37EF0D21"/>
    <w:rsid w:val="37F0245C"/>
    <w:rsid w:val="380C7A67"/>
    <w:rsid w:val="38351594"/>
    <w:rsid w:val="383B7389"/>
    <w:rsid w:val="383C1711"/>
    <w:rsid w:val="38413AE0"/>
    <w:rsid w:val="386E6D96"/>
    <w:rsid w:val="387434A8"/>
    <w:rsid w:val="38A87967"/>
    <w:rsid w:val="38B14AD4"/>
    <w:rsid w:val="38BE4D8A"/>
    <w:rsid w:val="38D73CFB"/>
    <w:rsid w:val="38DC3260"/>
    <w:rsid w:val="390E1E02"/>
    <w:rsid w:val="3915015C"/>
    <w:rsid w:val="392628AE"/>
    <w:rsid w:val="39406108"/>
    <w:rsid w:val="39497683"/>
    <w:rsid w:val="39695EA8"/>
    <w:rsid w:val="397A53E5"/>
    <w:rsid w:val="398B6386"/>
    <w:rsid w:val="39A668D6"/>
    <w:rsid w:val="39BE3330"/>
    <w:rsid w:val="39C35DCF"/>
    <w:rsid w:val="39C728BC"/>
    <w:rsid w:val="39D57530"/>
    <w:rsid w:val="3A28763D"/>
    <w:rsid w:val="3A40613F"/>
    <w:rsid w:val="3A475A72"/>
    <w:rsid w:val="3A4A0105"/>
    <w:rsid w:val="3A5272F0"/>
    <w:rsid w:val="3A5D320E"/>
    <w:rsid w:val="3A6E4CBE"/>
    <w:rsid w:val="3A734C3F"/>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5403C"/>
    <w:rsid w:val="3B576456"/>
    <w:rsid w:val="3B5A5BE4"/>
    <w:rsid w:val="3B676B03"/>
    <w:rsid w:val="3B705648"/>
    <w:rsid w:val="3B7364AD"/>
    <w:rsid w:val="3B853139"/>
    <w:rsid w:val="3B8B3101"/>
    <w:rsid w:val="3B99017C"/>
    <w:rsid w:val="3B9D0916"/>
    <w:rsid w:val="3B9E48BA"/>
    <w:rsid w:val="3BC34FD9"/>
    <w:rsid w:val="3BC56483"/>
    <w:rsid w:val="3BCF25C4"/>
    <w:rsid w:val="3BDB41B0"/>
    <w:rsid w:val="3BE12916"/>
    <w:rsid w:val="3BEC5070"/>
    <w:rsid w:val="3BF61A45"/>
    <w:rsid w:val="3BFC0ABB"/>
    <w:rsid w:val="3BFE1F4A"/>
    <w:rsid w:val="3BFE4566"/>
    <w:rsid w:val="3C207D13"/>
    <w:rsid w:val="3C3976F6"/>
    <w:rsid w:val="3C3B203F"/>
    <w:rsid w:val="3C3C316B"/>
    <w:rsid w:val="3C514A37"/>
    <w:rsid w:val="3C5C3D07"/>
    <w:rsid w:val="3C5E7F90"/>
    <w:rsid w:val="3C756E3E"/>
    <w:rsid w:val="3C7C153C"/>
    <w:rsid w:val="3C802B2B"/>
    <w:rsid w:val="3C8214A5"/>
    <w:rsid w:val="3CA06481"/>
    <w:rsid w:val="3CA52204"/>
    <w:rsid w:val="3CAE6D48"/>
    <w:rsid w:val="3CE547C2"/>
    <w:rsid w:val="3CF9519B"/>
    <w:rsid w:val="3D0A7808"/>
    <w:rsid w:val="3D0E3359"/>
    <w:rsid w:val="3D1B69F5"/>
    <w:rsid w:val="3D265052"/>
    <w:rsid w:val="3D3B6738"/>
    <w:rsid w:val="3D42011F"/>
    <w:rsid w:val="3D6407A3"/>
    <w:rsid w:val="3D6E3256"/>
    <w:rsid w:val="3D80309E"/>
    <w:rsid w:val="3D9C3270"/>
    <w:rsid w:val="3DCC4131"/>
    <w:rsid w:val="3DD07E50"/>
    <w:rsid w:val="3E013C65"/>
    <w:rsid w:val="3E0878BC"/>
    <w:rsid w:val="3E0C4F21"/>
    <w:rsid w:val="3E122E4D"/>
    <w:rsid w:val="3E136A36"/>
    <w:rsid w:val="3E160C8A"/>
    <w:rsid w:val="3E2312D7"/>
    <w:rsid w:val="3E387F22"/>
    <w:rsid w:val="3E3D66EE"/>
    <w:rsid w:val="3E40319B"/>
    <w:rsid w:val="3E4D56DB"/>
    <w:rsid w:val="3E570181"/>
    <w:rsid w:val="3E812F4E"/>
    <w:rsid w:val="3E836939"/>
    <w:rsid w:val="3E8454A0"/>
    <w:rsid w:val="3E9901B3"/>
    <w:rsid w:val="3E9A677D"/>
    <w:rsid w:val="3EC0465A"/>
    <w:rsid w:val="3EC771AC"/>
    <w:rsid w:val="3ECB2DBD"/>
    <w:rsid w:val="3EDC3C7D"/>
    <w:rsid w:val="3EE4627D"/>
    <w:rsid w:val="3EFD11FA"/>
    <w:rsid w:val="3F0C53C6"/>
    <w:rsid w:val="3F1E6A7C"/>
    <w:rsid w:val="3F2102B1"/>
    <w:rsid w:val="3F210EC9"/>
    <w:rsid w:val="3F27793E"/>
    <w:rsid w:val="3F2B7A13"/>
    <w:rsid w:val="3F335F63"/>
    <w:rsid w:val="3F475E4A"/>
    <w:rsid w:val="3F483382"/>
    <w:rsid w:val="3F571E72"/>
    <w:rsid w:val="3F596CF5"/>
    <w:rsid w:val="3F650911"/>
    <w:rsid w:val="3FA60E7C"/>
    <w:rsid w:val="3FC43688"/>
    <w:rsid w:val="3FC5258F"/>
    <w:rsid w:val="3FCE1901"/>
    <w:rsid w:val="3FF33B69"/>
    <w:rsid w:val="3FFA115C"/>
    <w:rsid w:val="3FFC3900"/>
    <w:rsid w:val="4009429C"/>
    <w:rsid w:val="402970A9"/>
    <w:rsid w:val="404F6E14"/>
    <w:rsid w:val="405B2791"/>
    <w:rsid w:val="40606C2F"/>
    <w:rsid w:val="407B1A4D"/>
    <w:rsid w:val="408049E1"/>
    <w:rsid w:val="408137B6"/>
    <w:rsid w:val="408A2B7E"/>
    <w:rsid w:val="409D3C6E"/>
    <w:rsid w:val="40A31C8C"/>
    <w:rsid w:val="40AB1595"/>
    <w:rsid w:val="40AF007F"/>
    <w:rsid w:val="40BF627F"/>
    <w:rsid w:val="40CE0ED0"/>
    <w:rsid w:val="40E10A8C"/>
    <w:rsid w:val="410D6A4B"/>
    <w:rsid w:val="410F6A02"/>
    <w:rsid w:val="411141F8"/>
    <w:rsid w:val="4121618D"/>
    <w:rsid w:val="41291E14"/>
    <w:rsid w:val="414413B8"/>
    <w:rsid w:val="41465FC8"/>
    <w:rsid w:val="4156445A"/>
    <w:rsid w:val="416A10A3"/>
    <w:rsid w:val="417A5FF0"/>
    <w:rsid w:val="41826AE7"/>
    <w:rsid w:val="418402D9"/>
    <w:rsid w:val="419B175C"/>
    <w:rsid w:val="41B67136"/>
    <w:rsid w:val="41D72072"/>
    <w:rsid w:val="41F528B8"/>
    <w:rsid w:val="41FA48BA"/>
    <w:rsid w:val="4228529E"/>
    <w:rsid w:val="422D25F9"/>
    <w:rsid w:val="42307F0D"/>
    <w:rsid w:val="423546AB"/>
    <w:rsid w:val="424D7A5D"/>
    <w:rsid w:val="42516D59"/>
    <w:rsid w:val="42625183"/>
    <w:rsid w:val="426B045B"/>
    <w:rsid w:val="42760EAB"/>
    <w:rsid w:val="42807E2C"/>
    <w:rsid w:val="42846E8E"/>
    <w:rsid w:val="42874D2A"/>
    <w:rsid w:val="428A21A6"/>
    <w:rsid w:val="428B390F"/>
    <w:rsid w:val="42966D5D"/>
    <w:rsid w:val="429D0D37"/>
    <w:rsid w:val="42AB1075"/>
    <w:rsid w:val="42B03B3D"/>
    <w:rsid w:val="42D17CD5"/>
    <w:rsid w:val="42DB2D12"/>
    <w:rsid w:val="42DD389C"/>
    <w:rsid w:val="42DE2AAC"/>
    <w:rsid w:val="43086A11"/>
    <w:rsid w:val="43087C4A"/>
    <w:rsid w:val="431471CA"/>
    <w:rsid w:val="432C0C29"/>
    <w:rsid w:val="433520F6"/>
    <w:rsid w:val="433C731A"/>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6153A"/>
    <w:rsid w:val="44363141"/>
    <w:rsid w:val="443F4C85"/>
    <w:rsid w:val="44472BCC"/>
    <w:rsid w:val="44515DC7"/>
    <w:rsid w:val="4454229E"/>
    <w:rsid w:val="445E05A4"/>
    <w:rsid w:val="4462484A"/>
    <w:rsid w:val="44626645"/>
    <w:rsid w:val="44690EA9"/>
    <w:rsid w:val="449648D0"/>
    <w:rsid w:val="44986654"/>
    <w:rsid w:val="449B7DBF"/>
    <w:rsid w:val="44DC29EB"/>
    <w:rsid w:val="44DD1A31"/>
    <w:rsid w:val="44F73CE5"/>
    <w:rsid w:val="44F84650"/>
    <w:rsid w:val="44FD4940"/>
    <w:rsid w:val="452615A5"/>
    <w:rsid w:val="452911C3"/>
    <w:rsid w:val="453110FA"/>
    <w:rsid w:val="45380EAE"/>
    <w:rsid w:val="45431D84"/>
    <w:rsid w:val="454C6201"/>
    <w:rsid w:val="454E0A80"/>
    <w:rsid w:val="45607318"/>
    <w:rsid w:val="456848E6"/>
    <w:rsid w:val="456B0E9A"/>
    <w:rsid w:val="457356E1"/>
    <w:rsid w:val="457A56BB"/>
    <w:rsid w:val="457F0835"/>
    <w:rsid w:val="45901F42"/>
    <w:rsid w:val="45BD1FBC"/>
    <w:rsid w:val="45CD3F04"/>
    <w:rsid w:val="45D4449A"/>
    <w:rsid w:val="45D75901"/>
    <w:rsid w:val="45DC4C85"/>
    <w:rsid w:val="45DD1704"/>
    <w:rsid w:val="45DE6F05"/>
    <w:rsid w:val="45ED2C31"/>
    <w:rsid w:val="45F858B5"/>
    <w:rsid w:val="460652C7"/>
    <w:rsid w:val="46091005"/>
    <w:rsid w:val="46383D12"/>
    <w:rsid w:val="464F5D68"/>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470C00"/>
    <w:rsid w:val="47617BC5"/>
    <w:rsid w:val="47726B9D"/>
    <w:rsid w:val="47754A35"/>
    <w:rsid w:val="477570E2"/>
    <w:rsid w:val="477804F9"/>
    <w:rsid w:val="47A54B82"/>
    <w:rsid w:val="47B34FC5"/>
    <w:rsid w:val="47B55A11"/>
    <w:rsid w:val="47C1116A"/>
    <w:rsid w:val="47DB0AEF"/>
    <w:rsid w:val="47E32C0C"/>
    <w:rsid w:val="47ED3E2A"/>
    <w:rsid w:val="482468EA"/>
    <w:rsid w:val="48256827"/>
    <w:rsid w:val="48426317"/>
    <w:rsid w:val="48427ACE"/>
    <w:rsid w:val="4848607E"/>
    <w:rsid w:val="48504E40"/>
    <w:rsid w:val="486D3064"/>
    <w:rsid w:val="486E2084"/>
    <w:rsid w:val="489D1D0E"/>
    <w:rsid w:val="48A10C08"/>
    <w:rsid w:val="48AE76E2"/>
    <w:rsid w:val="48B7515A"/>
    <w:rsid w:val="48BB4EC6"/>
    <w:rsid w:val="48C267D2"/>
    <w:rsid w:val="48CD6A98"/>
    <w:rsid w:val="48DB2CE5"/>
    <w:rsid w:val="48DD1AEA"/>
    <w:rsid w:val="48ED73F7"/>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176B9D"/>
    <w:rsid w:val="4A3E42B1"/>
    <w:rsid w:val="4A531EA6"/>
    <w:rsid w:val="4A540A2C"/>
    <w:rsid w:val="4A583F0B"/>
    <w:rsid w:val="4A5D08DF"/>
    <w:rsid w:val="4A7A41D7"/>
    <w:rsid w:val="4A807380"/>
    <w:rsid w:val="4A840EEF"/>
    <w:rsid w:val="4A8B1860"/>
    <w:rsid w:val="4A946414"/>
    <w:rsid w:val="4A955A6C"/>
    <w:rsid w:val="4A982852"/>
    <w:rsid w:val="4A992F22"/>
    <w:rsid w:val="4AAE2BCA"/>
    <w:rsid w:val="4ABD4214"/>
    <w:rsid w:val="4AFA208B"/>
    <w:rsid w:val="4B0A3310"/>
    <w:rsid w:val="4B20492F"/>
    <w:rsid w:val="4B3576CB"/>
    <w:rsid w:val="4B3D1E78"/>
    <w:rsid w:val="4B444FB2"/>
    <w:rsid w:val="4B595064"/>
    <w:rsid w:val="4B601D2A"/>
    <w:rsid w:val="4B670046"/>
    <w:rsid w:val="4B672180"/>
    <w:rsid w:val="4B6E1D26"/>
    <w:rsid w:val="4B807E8F"/>
    <w:rsid w:val="4B870ABA"/>
    <w:rsid w:val="4B920889"/>
    <w:rsid w:val="4B996870"/>
    <w:rsid w:val="4BA46E08"/>
    <w:rsid w:val="4BC73B78"/>
    <w:rsid w:val="4BC77460"/>
    <w:rsid w:val="4BCF201E"/>
    <w:rsid w:val="4C2524E7"/>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C65395"/>
    <w:rsid w:val="4CD5793B"/>
    <w:rsid w:val="4CD80E01"/>
    <w:rsid w:val="4CDE02B9"/>
    <w:rsid w:val="4CFB5C1C"/>
    <w:rsid w:val="4D0F78F1"/>
    <w:rsid w:val="4D3F2693"/>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CE0CD5"/>
    <w:rsid w:val="4ED22A57"/>
    <w:rsid w:val="4ED92E23"/>
    <w:rsid w:val="4EE964BF"/>
    <w:rsid w:val="4F0B12EB"/>
    <w:rsid w:val="4F277882"/>
    <w:rsid w:val="4F306048"/>
    <w:rsid w:val="4F313C6F"/>
    <w:rsid w:val="4F416BC0"/>
    <w:rsid w:val="4F6476F0"/>
    <w:rsid w:val="4F6A2B78"/>
    <w:rsid w:val="4F762AE3"/>
    <w:rsid w:val="4F7D2F66"/>
    <w:rsid w:val="4F8C33D2"/>
    <w:rsid w:val="4F9F3258"/>
    <w:rsid w:val="4F9F3566"/>
    <w:rsid w:val="4FAF0352"/>
    <w:rsid w:val="4FB3614F"/>
    <w:rsid w:val="4FBC4B75"/>
    <w:rsid w:val="50292472"/>
    <w:rsid w:val="502B58CD"/>
    <w:rsid w:val="503324EC"/>
    <w:rsid w:val="503E4E84"/>
    <w:rsid w:val="50432740"/>
    <w:rsid w:val="504D48EB"/>
    <w:rsid w:val="506177CB"/>
    <w:rsid w:val="506D1CE6"/>
    <w:rsid w:val="50756606"/>
    <w:rsid w:val="50781C7F"/>
    <w:rsid w:val="507C3FF5"/>
    <w:rsid w:val="50950193"/>
    <w:rsid w:val="50B535BC"/>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557EF"/>
    <w:rsid w:val="521F4AC1"/>
    <w:rsid w:val="522B490F"/>
    <w:rsid w:val="522C4379"/>
    <w:rsid w:val="52315D30"/>
    <w:rsid w:val="524E2361"/>
    <w:rsid w:val="52985353"/>
    <w:rsid w:val="529F24A2"/>
    <w:rsid w:val="52AA7CFA"/>
    <w:rsid w:val="52B171E6"/>
    <w:rsid w:val="52DB122A"/>
    <w:rsid w:val="52E13D67"/>
    <w:rsid w:val="52E27A56"/>
    <w:rsid w:val="52E80195"/>
    <w:rsid w:val="52E82C9B"/>
    <w:rsid w:val="52E846A6"/>
    <w:rsid w:val="52F64BDB"/>
    <w:rsid w:val="531536B7"/>
    <w:rsid w:val="532129F8"/>
    <w:rsid w:val="533233B6"/>
    <w:rsid w:val="5333575C"/>
    <w:rsid w:val="53431BBB"/>
    <w:rsid w:val="5345258D"/>
    <w:rsid w:val="534E32E5"/>
    <w:rsid w:val="53501C8A"/>
    <w:rsid w:val="537C2D95"/>
    <w:rsid w:val="538709E1"/>
    <w:rsid w:val="53921F79"/>
    <w:rsid w:val="53942A5B"/>
    <w:rsid w:val="539A0A2E"/>
    <w:rsid w:val="539B0D65"/>
    <w:rsid w:val="539C7BB1"/>
    <w:rsid w:val="53A254EF"/>
    <w:rsid w:val="53AE179F"/>
    <w:rsid w:val="53B74C02"/>
    <w:rsid w:val="53B80357"/>
    <w:rsid w:val="53C63F53"/>
    <w:rsid w:val="53CA60F3"/>
    <w:rsid w:val="53DA3115"/>
    <w:rsid w:val="53E37A46"/>
    <w:rsid w:val="53E60B87"/>
    <w:rsid w:val="53E813CD"/>
    <w:rsid w:val="54147818"/>
    <w:rsid w:val="54284D48"/>
    <w:rsid w:val="542C0D25"/>
    <w:rsid w:val="543036B4"/>
    <w:rsid w:val="544607AB"/>
    <w:rsid w:val="544F6C7E"/>
    <w:rsid w:val="54507C6E"/>
    <w:rsid w:val="54523FAB"/>
    <w:rsid w:val="54606D4B"/>
    <w:rsid w:val="546F563B"/>
    <w:rsid w:val="54715AD1"/>
    <w:rsid w:val="54737B83"/>
    <w:rsid w:val="54767A69"/>
    <w:rsid w:val="54771DDB"/>
    <w:rsid w:val="54800851"/>
    <w:rsid w:val="548D1DAF"/>
    <w:rsid w:val="549E6667"/>
    <w:rsid w:val="54A33DD4"/>
    <w:rsid w:val="54B83081"/>
    <w:rsid w:val="54CD7213"/>
    <w:rsid w:val="54D27679"/>
    <w:rsid w:val="54FA20B3"/>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A5978"/>
    <w:rsid w:val="560471D1"/>
    <w:rsid w:val="5620288D"/>
    <w:rsid w:val="56262D0A"/>
    <w:rsid w:val="562F094C"/>
    <w:rsid w:val="56303DF0"/>
    <w:rsid w:val="563C241F"/>
    <w:rsid w:val="5645459C"/>
    <w:rsid w:val="564845D6"/>
    <w:rsid w:val="56497A16"/>
    <w:rsid w:val="564B1CD3"/>
    <w:rsid w:val="56523972"/>
    <w:rsid w:val="56526786"/>
    <w:rsid w:val="568D4159"/>
    <w:rsid w:val="56900687"/>
    <w:rsid w:val="569017FC"/>
    <w:rsid w:val="56AA326E"/>
    <w:rsid w:val="56B557FE"/>
    <w:rsid w:val="56B86A4A"/>
    <w:rsid w:val="56C90586"/>
    <w:rsid w:val="56D20E62"/>
    <w:rsid w:val="56E53FAA"/>
    <w:rsid w:val="56F15FB4"/>
    <w:rsid w:val="57032FAA"/>
    <w:rsid w:val="57083A80"/>
    <w:rsid w:val="570A1F63"/>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66822"/>
    <w:rsid w:val="57AF5A40"/>
    <w:rsid w:val="57C97408"/>
    <w:rsid w:val="57E82929"/>
    <w:rsid w:val="57EC1C9C"/>
    <w:rsid w:val="58022941"/>
    <w:rsid w:val="580632C8"/>
    <w:rsid w:val="580C02FC"/>
    <w:rsid w:val="58277B25"/>
    <w:rsid w:val="5830410B"/>
    <w:rsid w:val="58310F67"/>
    <w:rsid w:val="583A1FAC"/>
    <w:rsid w:val="583E68FD"/>
    <w:rsid w:val="5846711A"/>
    <w:rsid w:val="58553838"/>
    <w:rsid w:val="585A1073"/>
    <w:rsid w:val="585D5C86"/>
    <w:rsid w:val="587E5B83"/>
    <w:rsid w:val="588C01E0"/>
    <w:rsid w:val="589A6EED"/>
    <w:rsid w:val="589D01E1"/>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402032"/>
    <w:rsid w:val="59464947"/>
    <w:rsid w:val="594A6B94"/>
    <w:rsid w:val="594D270F"/>
    <w:rsid w:val="595405FB"/>
    <w:rsid w:val="59797E10"/>
    <w:rsid w:val="598007BD"/>
    <w:rsid w:val="59821BF3"/>
    <w:rsid w:val="59831117"/>
    <w:rsid w:val="599D1711"/>
    <w:rsid w:val="59A32903"/>
    <w:rsid w:val="59B25B64"/>
    <w:rsid w:val="59B65B0A"/>
    <w:rsid w:val="59C71F63"/>
    <w:rsid w:val="59DD38F5"/>
    <w:rsid w:val="59E72771"/>
    <w:rsid w:val="59FB19D7"/>
    <w:rsid w:val="59FC1DF4"/>
    <w:rsid w:val="5A0170D0"/>
    <w:rsid w:val="5A207B2C"/>
    <w:rsid w:val="5A273430"/>
    <w:rsid w:val="5A2D57D7"/>
    <w:rsid w:val="5A3C0B29"/>
    <w:rsid w:val="5A4D5D2C"/>
    <w:rsid w:val="5A5D1EE9"/>
    <w:rsid w:val="5A646519"/>
    <w:rsid w:val="5A6E4321"/>
    <w:rsid w:val="5A6F07AD"/>
    <w:rsid w:val="5A743B23"/>
    <w:rsid w:val="5A786D03"/>
    <w:rsid w:val="5A8810C1"/>
    <w:rsid w:val="5A953CA8"/>
    <w:rsid w:val="5AA20354"/>
    <w:rsid w:val="5AA4013C"/>
    <w:rsid w:val="5AAA217B"/>
    <w:rsid w:val="5ADD173D"/>
    <w:rsid w:val="5AFF1EA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84A5F"/>
    <w:rsid w:val="5C7C22C9"/>
    <w:rsid w:val="5CBF559E"/>
    <w:rsid w:val="5CCB049C"/>
    <w:rsid w:val="5CD246B1"/>
    <w:rsid w:val="5D104C52"/>
    <w:rsid w:val="5D1610E5"/>
    <w:rsid w:val="5D1F134D"/>
    <w:rsid w:val="5D225E96"/>
    <w:rsid w:val="5D536746"/>
    <w:rsid w:val="5D5479DF"/>
    <w:rsid w:val="5D8B235F"/>
    <w:rsid w:val="5D935CC9"/>
    <w:rsid w:val="5D9929C5"/>
    <w:rsid w:val="5DA1690A"/>
    <w:rsid w:val="5DA344BD"/>
    <w:rsid w:val="5DAB1604"/>
    <w:rsid w:val="5DAC7F7B"/>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232B8A"/>
    <w:rsid w:val="5F285753"/>
    <w:rsid w:val="5F3B01E3"/>
    <w:rsid w:val="5F3D041A"/>
    <w:rsid w:val="5F416DD5"/>
    <w:rsid w:val="5F4327F6"/>
    <w:rsid w:val="5F454D59"/>
    <w:rsid w:val="5F4F0951"/>
    <w:rsid w:val="5F660454"/>
    <w:rsid w:val="5F89663A"/>
    <w:rsid w:val="5FA25FD2"/>
    <w:rsid w:val="5FAF21EE"/>
    <w:rsid w:val="5FAF3AE3"/>
    <w:rsid w:val="5FD84CCD"/>
    <w:rsid w:val="5FD95DF5"/>
    <w:rsid w:val="5FE17C6A"/>
    <w:rsid w:val="60153E06"/>
    <w:rsid w:val="601B7860"/>
    <w:rsid w:val="603A6C4E"/>
    <w:rsid w:val="603E2C7E"/>
    <w:rsid w:val="606E74AB"/>
    <w:rsid w:val="607F4815"/>
    <w:rsid w:val="60C66FF8"/>
    <w:rsid w:val="60C715F3"/>
    <w:rsid w:val="60C831F4"/>
    <w:rsid w:val="60CA46DE"/>
    <w:rsid w:val="60D962FE"/>
    <w:rsid w:val="60DA1FB7"/>
    <w:rsid w:val="60F03797"/>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D23AE4"/>
    <w:rsid w:val="61D74436"/>
    <w:rsid w:val="61DF72E6"/>
    <w:rsid w:val="61FC40A6"/>
    <w:rsid w:val="62095690"/>
    <w:rsid w:val="620A7850"/>
    <w:rsid w:val="62150569"/>
    <w:rsid w:val="621D6280"/>
    <w:rsid w:val="62232E5A"/>
    <w:rsid w:val="62845FB8"/>
    <w:rsid w:val="62913539"/>
    <w:rsid w:val="62925A24"/>
    <w:rsid w:val="62947959"/>
    <w:rsid w:val="629F4600"/>
    <w:rsid w:val="62B27BC4"/>
    <w:rsid w:val="62B3264F"/>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F840D4"/>
    <w:rsid w:val="640F41A2"/>
    <w:rsid w:val="641D14C4"/>
    <w:rsid w:val="642719FF"/>
    <w:rsid w:val="644B3147"/>
    <w:rsid w:val="6465549E"/>
    <w:rsid w:val="646C3009"/>
    <w:rsid w:val="64721148"/>
    <w:rsid w:val="64735320"/>
    <w:rsid w:val="64B30238"/>
    <w:rsid w:val="64D01B87"/>
    <w:rsid w:val="64D178B9"/>
    <w:rsid w:val="64D77A7E"/>
    <w:rsid w:val="64E73DF1"/>
    <w:rsid w:val="64F0414B"/>
    <w:rsid w:val="64FF1C3C"/>
    <w:rsid w:val="65012D42"/>
    <w:rsid w:val="65143021"/>
    <w:rsid w:val="652A63DB"/>
    <w:rsid w:val="652F58D3"/>
    <w:rsid w:val="653E1ABB"/>
    <w:rsid w:val="655B7102"/>
    <w:rsid w:val="656575F4"/>
    <w:rsid w:val="656738B8"/>
    <w:rsid w:val="657021F5"/>
    <w:rsid w:val="65713C4C"/>
    <w:rsid w:val="65722B1B"/>
    <w:rsid w:val="65A23327"/>
    <w:rsid w:val="65B826BD"/>
    <w:rsid w:val="65C26555"/>
    <w:rsid w:val="65DC7921"/>
    <w:rsid w:val="65E317A8"/>
    <w:rsid w:val="65ED6C11"/>
    <w:rsid w:val="65FC7C13"/>
    <w:rsid w:val="6613537E"/>
    <w:rsid w:val="66152556"/>
    <w:rsid w:val="66300342"/>
    <w:rsid w:val="66334C1F"/>
    <w:rsid w:val="663A3856"/>
    <w:rsid w:val="663B51C1"/>
    <w:rsid w:val="665611EB"/>
    <w:rsid w:val="665A29E1"/>
    <w:rsid w:val="666329BA"/>
    <w:rsid w:val="66680388"/>
    <w:rsid w:val="667416AB"/>
    <w:rsid w:val="667C4915"/>
    <w:rsid w:val="668019A3"/>
    <w:rsid w:val="668F7D8F"/>
    <w:rsid w:val="66A546B3"/>
    <w:rsid w:val="66A912E3"/>
    <w:rsid w:val="66AB6843"/>
    <w:rsid w:val="66B42F90"/>
    <w:rsid w:val="66FC5136"/>
    <w:rsid w:val="66FD4E0B"/>
    <w:rsid w:val="670901AC"/>
    <w:rsid w:val="672A302E"/>
    <w:rsid w:val="67491773"/>
    <w:rsid w:val="675121D1"/>
    <w:rsid w:val="67650EA7"/>
    <w:rsid w:val="6767500B"/>
    <w:rsid w:val="676F41FA"/>
    <w:rsid w:val="67841E7B"/>
    <w:rsid w:val="67945E5C"/>
    <w:rsid w:val="67C63136"/>
    <w:rsid w:val="67D172DA"/>
    <w:rsid w:val="67F22E4A"/>
    <w:rsid w:val="67F24D27"/>
    <w:rsid w:val="67F42206"/>
    <w:rsid w:val="683D0B85"/>
    <w:rsid w:val="6859024B"/>
    <w:rsid w:val="68636054"/>
    <w:rsid w:val="6889707C"/>
    <w:rsid w:val="688D3FD7"/>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94351D"/>
    <w:rsid w:val="699B55F7"/>
    <w:rsid w:val="69CA04A8"/>
    <w:rsid w:val="69D9013F"/>
    <w:rsid w:val="69F741A2"/>
    <w:rsid w:val="69FE6E97"/>
    <w:rsid w:val="6A185E40"/>
    <w:rsid w:val="6A1C73EF"/>
    <w:rsid w:val="6A1D5127"/>
    <w:rsid w:val="6A3949FB"/>
    <w:rsid w:val="6A457C16"/>
    <w:rsid w:val="6A550048"/>
    <w:rsid w:val="6A6857B4"/>
    <w:rsid w:val="6A6B5D71"/>
    <w:rsid w:val="6A8E0CFE"/>
    <w:rsid w:val="6AA81A91"/>
    <w:rsid w:val="6AC41808"/>
    <w:rsid w:val="6AE0238F"/>
    <w:rsid w:val="6AF46091"/>
    <w:rsid w:val="6B195886"/>
    <w:rsid w:val="6B447524"/>
    <w:rsid w:val="6B854DB8"/>
    <w:rsid w:val="6BA05817"/>
    <w:rsid w:val="6BEE1234"/>
    <w:rsid w:val="6C0C10C6"/>
    <w:rsid w:val="6C1A02D9"/>
    <w:rsid w:val="6C1F4FB5"/>
    <w:rsid w:val="6C385E5A"/>
    <w:rsid w:val="6C4E481F"/>
    <w:rsid w:val="6C5C7602"/>
    <w:rsid w:val="6C5E67E5"/>
    <w:rsid w:val="6C70509E"/>
    <w:rsid w:val="6C867BD8"/>
    <w:rsid w:val="6C897CC8"/>
    <w:rsid w:val="6C8D7504"/>
    <w:rsid w:val="6C8E7FF3"/>
    <w:rsid w:val="6CA32D3B"/>
    <w:rsid w:val="6CB055BD"/>
    <w:rsid w:val="6CB56456"/>
    <w:rsid w:val="6CB95002"/>
    <w:rsid w:val="6CC137A3"/>
    <w:rsid w:val="6CCC3A0B"/>
    <w:rsid w:val="6CCF41D4"/>
    <w:rsid w:val="6CE5509D"/>
    <w:rsid w:val="6CEA61B3"/>
    <w:rsid w:val="6D1022EC"/>
    <w:rsid w:val="6D113871"/>
    <w:rsid w:val="6D1B703E"/>
    <w:rsid w:val="6D2546CA"/>
    <w:rsid w:val="6D2C4E96"/>
    <w:rsid w:val="6D2F429A"/>
    <w:rsid w:val="6D445346"/>
    <w:rsid w:val="6D4C40EA"/>
    <w:rsid w:val="6D535020"/>
    <w:rsid w:val="6D6479C3"/>
    <w:rsid w:val="6D857BC4"/>
    <w:rsid w:val="6D954F12"/>
    <w:rsid w:val="6DAC0736"/>
    <w:rsid w:val="6DB93DFC"/>
    <w:rsid w:val="6DCD71EF"/>
    <w:rsid w:val="6DCF0384"/>
    <w:rsid w:val="6DD742F7"/>
    <w:rsid w:val="6DDA142E"/>
    <w:rsid w:val="6DE27BA2"/>
    <w:rsid w:val="6DF712F5"/>
    <w:rsid w:val="6E47267B"/>
    <w:rsid w:val="6E540736"/>
    <w:rsid w:val="6E601F9E"/>
    <w:rsid w:val="6E6925E9"/>
    <w:rsid w:val="6E916B4D"/>
    <w:rsid w:val="6EBD2E31"/>
    <w:rsid w:val="6EC707CC"/>
    <w:rsid w:val="6EE710C0"/>
    <w:rsid w:val="6EED4691"/>
    <w:rsid w:val="6F037511"/>
    <w:rsid w:val="6F087CC4"/>
    <w:rsid w:val="6F1268A1"/>
    <w:rsid w:val="6F151728"/>
    <w:rsid w:val="6F23376B"/>
    <w:rsid w:val="6F3D79B6"/>
    <w:rsid w:val="6F664487"/>
    <w:rsid w:val="6F6E474D"/>
    <w:rsid w:val="6F6F3E14"/>
    <w:rsid w:val="6F830F20"/>
    <w:rsid w:val="6F8664ED"/>
    <w:rsid w:val="6FC337BC"/>
    <w:rsid w:val="6FC47F24"/>
    <w:rsid w:val="6FC667B7"/>
    <w:rsid w:val="6FD04AE8"/>
    <w:rsid w:val="6FD33091"/>
    <w:rsid w:val="6FDC162A"/>
    <w:rsid w:val="6FDC44E0"/>
    <w:rsid w:val="6FDD6525"/>
    <w:rsid w:val="6FE30F1E"/>
    <w:rsid w:val="6FF9505C"/>
    <w:rsid w:val="703A3132"/>
    <w:rsid w:val="703A3AFA"/>
    <w:rsid w:val="703A4681"/>
    <w:rsid w:val="70457B12"/>
    <w:rsid w:val="704F4E9C"/>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8B2099"/>
    <w:rsid w:val="729B5B36"/>
    <w:rsid w:val="72B35287"/>
    <w:rsid w:val="72C30A05"/>
    <w:rsid w:val="72C31732"/>
    <w:rsid w:val="72E57670"/>
    <w:rsid w:val="72E849C4"/>
    <w:rsid w:val="72FF46E8"/>
    <w:rsid w:val="7309711B"/>
    <w:rsid w:val="7318135E"/>
    <w:rsid w:val="732348BD"/>
    <w:rsid w:val="73470B82"/>
    <w:rsid w:val="73556C95"/>
    <w:rsid w:val="735D56FE"/>
    <w:rsid w:val="736639D2"/>
    <w:rsid w:val="736C5E03"/>
    <w:rsid w:val="73A6170B"/>
    <w:rsid w:val="73D42779"/>
    <w:rsid w:val="73DD51A0"/>
    <w:rsid w:val="73E5115F"/>
    <w:rsid w:val="73F05C68"/>
    <w:rsid w:val="73FB6E93"/>
    <w:rsid w:val="73FF497F"/>
    <w:rsid w:val="7410293E"/>
    <w:rsid w:val="74176E58"/>
    <w:rsid w:val="74267DF1"/>
    <w:rsid w:val="742817A0"/>
    <w:rsid w:val="74355268"/>
    <w:rsid w:val="745A3FA1"/>
    <w:rsid w:val="745A54CE"/>
    <w:rsid w:val="747353EF"/>
    <w:rsid w:val="747B608F"/>
    <w:rsid w:val="74974E4F"/>
    <w:rsid w:val="749A6BDF"/>
    <w:rsid w:val="74A521A7"/>
    <w:rsid w:val="74AF0D4A"/>
    <w:rsid w:val="74BE2458"/>
    <w:rsid w:val="74C10DD9"/>
    <w:rsid w:val="74C33E4E"/>
    <w:rsid w:val="74C45CA6"/>
    <w:rsid w:val="74CB4254"/>
    <w:rsid w:val="74D359E3"/>
    <w:rsid w:val="74DB0660"/>
    <w:rsid w:val="74F75D5F"/>
    <w:rsid w:val="75080509"/>
    <w:rsid w:val="751520A8"/>
    <w:rsid w:val="7532425C"/>
    <w:rsid w:val="7543351B"/>
    <w:rsid w:val="755620AE"/>
    <w:rsid w:val="756056DD"/>
    <w:rsid w:val="75844AE0"/>
    <w:rsid w:val="758516A6"/>
    <w:rsid w:val="759762C9"/>
    <w:rsid w:val="7598328E"/>
    <w:rsid w:val="75986D1A"/>
    <w:rsid w:val="759D618A"/>
    <w:rsid w:val="75A97067"/>
    <w:rsid w:val="75AE319A"/>
    <w:rsid w:val="75B11ED2"/>
    <w:rsid w:val="75B24EF7"/>
    <w:rsid w:val="75BF1E0A"/>
    <w:rsid w:val="75CC0C58"/>
    <w:rsid w:val="75D51F38"/>
    <w:rsid w:val="75DF7A1C"/>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422BFC"/>
    <w:rsid w:val="775C13BB"/>
    <w:rsid w:val="775E6259"/>
    <w:rsid w:val="77606B82"/>
    <w:rsid w:val="7784439D"/>
    <w:rsid w:val="7790268A"/>
    <w:rsid w:val="7796561D"/>
    <w:rsid w:val="77BF11BB"/>
    <w:rsid w:val="77C807D0"/>
    <w:rsid w:val="77D914A6"/>
    <w:rsid w:val="77F33EA5"/>
    <w:rsid w:val="77F57B49"/>
    <w:rsid w:val="77FC726A"/>
    <w:rsid w:val="78015423"/>
    <w:rsid w:val="78065E21"/>
    <w:rsid w:val="78092026"/>
    <w:rsid w:val="7825083A"/>
    <w:rsid w:val="78337982"/>
    <w:rsid w:val="78443A4F"/>
    <w:rsid w:val="785B5E7F"/>
    <w:rsid w:val="786F030A"/>
    <w:rsid w:val="78974E9C"/>
    <w:rsid w:val="78AD3A04"/>
    <w:rsid w:val="78AE50CC"/>
    <w:rsid w:val="78C2184C"/>
    <w:rsid w:val="79070BEF"/>
    <w:rsid w:val="79084E2A"/>
    <w:rsid w:val="790C6BE5"/>
    <w:rsid w:val="79304A13"/>
    <w:rsid w:val="79423DE2"/>
    <w:rsid w:val="795466FB"/>
    <w:rsid w:val="796171A5"/>
    <w:rsid w:val="797352EE"/>
    <w:rsid w:val="797C46A7"/>
    <w:rsid w:val="797F058B"/>
    <w:rsid w:val="79983DBB"/>
    <w:rsid w:val="799E3886"/>
    <w:rsid w:val="79AB3CFB"/>
    <w:rsid w:val="79AC51A9"/>
    <w:rsid w:val="79AC5821"/>
    <w:rsid w:val="79B4774B"/>
    <w:rsid w:val="79B93659"/>
    <w:rsid w:val="79D66388"/>
    <w:rsid w:val="79ED09E8"/>
    <w:rsid w:val="79FA3CE1"/>
    <w:rsid w:val="7A200DCD"/>
    <w:rsid w:val="7A2A3475"/>
    <w:rsid w:val="7A51609D"/>
    <w:rsid w:val="7A7A449B"/>
    <w:rsid w:val="7A8A3D33"/>
    <w:rsid w:val="7A9D1AF2"/>
    <w:rsid w:val="7AA049F7"/>
    <w:rsid w:val="7AAB1305"/>
    <w:rsid w:val="7AB33BBE"/>
    <w:rsid w:val="7AC5733B"/>
    <w:rsid w:val="7ACD5297"/>
    <w:rsid w:val="7AD73021"/>
    <w:rsid w:val="7ADC47C3"/>
    <w:rsid w:val="7AE658A6"/>
    <w:rsid w:val="7AE75F94"/>
    <w:rsid w:val="7AF028DE"/>
    <w:rsid w:val="7AFD2567"/>
    <w:rsid w:val="7B330527"/>
    <w:rsid w:val="7B3D7962"/>
    <w:rsid w:val="7B3E5193"/>
    <w:rsid w:val="7B681689"/>
    <w:rsid w:val="7B76061B"/>
    <w:rsid w:val="7BAD023F"/>
    <w:rsid w:val="7BB65DD0"/>
    <w:rsid w:val="7BBB055C"/>
    <w:rsid w:val="7BBD4F47"/>
    <w:rsid w:val="7BC1580A"/>
    <w:rsid w:val="7BDB07B3"/>
    <w:rsid w:val="7C0844BB"/>
    <w:rsid w:val="7C3519A7"/>
    <w:rsid w:val="7C467E54"/>
    <w:rsid w:val="7C504E5F"/>
    <w:rsid w:val="7C636D7B"/>
    <w:rsid w:val="7C66727A"/>
    <w:rsid w:val="7C6D6003"/>
    <w:rsid w:val="7C87012C"/>
    <w:rsid w:val="7C8A5BC2"/>
    <w:rsid w:val="7CC448B2"/>
    <w:rsid w:val="7CC959C7"/>
    <w:rsid w:val="7CEF347D"/>
    <w:rsid w:val="7CF6186E"/>
    <w:rsid w:val="7CFE2AF1"/>
    <w:rsid w:val="7D047736"/>
    <w:rsid w:val="7D0A382D"/>
    <w:rsid w:val="7D11179C"/>
    <w:rsid w:val="7D2F4329"/>
    <w:rsid w:val="7D3704C0"/>
    <w:rsid w:val="7D414A16"/>
    <w:rsid w:val="7D4457F6"/>
    <w:rsid w:val="7D4E5163"/>
    <w:rsid w:val="7D512740"/>
    <w:rsid w:val="7D7E6ECE"/>
    <w:rsid w:val="7D9C4976"/>
    <w:rsid w:val="7DAF3DF1"/>
    <w:rsid w:val="7DBD1A7E"/>
    <w:rsid w:val="7DC7520F"/>
    <w:rsid w:val="7DDA3896"/>
    <w:rsid w:val="7DE13763"/>
    <w:rsid w:val="7DEC7CA4"/>
    <w:rsid w:val="7DF56D2F"/>
    <w:rsid w:val="7DFA2799"/>
    <w:rsid w:val="7E0B2A9C"/>
    <w:rsid w:val="7E0E6C77"/>
    <w:rsid w:val="7E1C414C"/>
    <w:rsid w:val="7E3048C1"/>
    <w:rsid w:val="7E515808"/>
    <w:rsid w:val="7E5704FB"/>
    <w:rsid w:val="7E5C3572"/>
    <w:rsid w:val="7E5E3D70"/>
    <w:rsid w:val="7E742EE1"/>
    <w:rsid w:val="7E830CAF"/>
    <w:rsid w:val="7E8B0B81"/>
    <w:rsid w:val="7E8F2D75"/>
    <w:rsid w:val="7EA454A5"/>
    <w:rsid w:val="7ED405DD"/>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9F5B66"/>
    <w:rsid w:val="7FA51862"/>
    <w:rsid w:val="7FB47F73"/>
    <w:rsid w:val="7FB61109"/>
    <w:rsid w:val="7FD75502"/>
    <w:rsid w:val="7FDC6271"/>
    <w:rsid w:val="7FF22503"/>
    <w:rsid w:val="7FF81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spacing w:line="17" w:lineRule="atLeast"/>
      <w:jc w:val="left"/>
      <w:outlineLvl w:val="5"/>
    </w:pPr>
    <w:rPr>
      <w:rFonts w:hint="eastAsia" w:ascii="宋体" w:hAnsi="宋体" w:eastAsia="宋体" w:cs="Times New Roman"/>
      <w:b/>
      <w:kern w:val="0"/>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5">
    <w:name w:val="Normal Indent"/>
    <w:basedOn w:val="1"/>
    <w:qFormat/>
    <w:uiPriority w:val="0"/>
    <w:pPr>
      <w:ind w:firstLine="420"/>
    </w:pPr>
    <w:rPr>
      <w:rFonts w:ascii="Times New Roman" w:hAnsi="Times New Roman"/>
      <w:sz w:val="21"/>
    </w:rPr>
  </w:style>
  <w:style w:type="paragraph" w:styleId="9">
    <w:name w:val="annotation text"/>
    <w:basedOn w:val="1"/>
    <w:qFormat/>
    <w:uiPriority w:val="0"/>
    <w:pPr>
      <w:jc w:val="left"/>
    </w:pPr>
  </w:style>
  <w:style w:type="paragraph" w:styleId="10">
    <w:name w:val="Body Text Indent"/>
    <w:basedOn w:val="1"/>
    <w:qFormat/>
    <w:uiPriority w:val="0"/>
    <w:pPr>
      <w:ind w:left="420" w:leftChars="200"/>
    </w:pPr>
  </w:style>
  <w:style w:type="paragraph" w:styleId="11">
    <w:name w:val="Block Text"/>
    <w:basedOn w:val="1"/>
    <w:qFormat/>
    <w:uiPriority w:val="0"/>
    <w:pPr>
      <w:ind w:left="1440" w:leftChars="700" w:right="700" w:rightChars="700"/>
    </w:pPr>
    <w:rPr>
      <w:rFonts w:ascii="Times New Roman" w:hAnsi="Times New Roman" w:eastAsia="宋体" w:cs="Times New Roman"/>
    </w:r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link w:val="16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unhideWhenUsed/>
    <w:qFormat/>
    <w:uiPriority w:val="99"/>
    <w:pPr>
      <w:ind w:firstLine="420" w:firstLineChars="100"/>
    </w:pPr>
  </w:style>
  <w:style w:type="paragraph" w:styleId="22">
    <w:name w:val="Body Text First Indent 2"/>
    <w:basedOn w:val="10"/>
    <w:qFormat/>
    <w:uiPriority w:val="0"/>
    <w:pPr>
      <w:tabs>
        <w:tab w:val="left" w:pos="4900"/>
      </w:tabs>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段"/>
    <w:next w:val="1"/>
    <w:qFormat/>
    <w:uiPriority w:val="99"/>
    <w:pPr>
      <w:tabs>
        <w:tab w:val="center" w:pos="4201"/>
        <w:tab w:val="right" w:leader="dot" w:pos="9298"/>
      </w:tabs>
      <w:autoSpaceDE w:val="0"/>
      <w:autoSpaceDN w:val="0"/>
      <w:spacing w:line="360" w:lineRule="auto"/>
      <w:ind w:firstLine="420" w:firstLineChars="200"/>
      <w:jc w:val="both"/>
    </w:pPr>
    <w:rPr>
      <w:rFonts w:ascii="宋体" w:hAnsi="宋体" w:eastAsia="仿宋" w:cs="Times New Roman"/>
      <w:sz w:val="28"/>
      <w:lang w:val="en-US" w:eastAsia="zh-CN" w:bidi="ar-SA"/>
    </w:rPr>
  </w:style>
  <w:style w:type="paragraph" w:customStyle="1" w:styleId="36">
    <w:name w:val="列出段落1"/>
    <w:basedOn w:val="1"/>
    <w:qFormat/>
    <w:uiPriority w:val="0"/>
    <w:pPr>
      <w:ind w:firstLine="420" w:firstLineChars="200"/>
    </w:pPr>
    <w:rPr>
      <w:rFonts w:ascii="Calibri" w:hAnsi="Calibri" w:cs="黑体"/>
    </w:rPr>
  </w:style>
  <w:style w:type="paragraph" w:customStyle="1" w:styleId="37">
    <w:name w:val="正文缩进1"/>
    <w:basedOn w:val="1"/>
    <w:qFormat/>
    <w:uiPriority w:val="0"/>
    <w:pPr>
      <w:ind w:firstLine="420" w:firstLineChars="200"/>
    </w:pPr>
  </w:style>
  <w:style w:type="paragraph" w:customStyle="1" w:styleId="38">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9">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0">
    <w:name w:val="p15"/>
    <w:basedOn w:val="1"/>
    <w:qFormat/>
    <w:uiPriority w:val="99"/>
    <w:pPr>
      <w:widowControl/>
    </w:pPr>
    <w:rPr>
      <w:kern w:val="0"/>
      <w:sz w:val="21"/>
      <w:szCs w:val="21"/>
    </w:rPr>
  </w:style>
  <w:style w:type="paragraph" w:customStyle="1" w:styleId="41">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2">
    <w:name w:val="old"/>
    <w:basedOn w:val="25"/>
    <w:qFormat/>
    <w:uiPriority w:val="0"/>
    <w:rPr>
      <w:color w:val="999999"/>
    </w:rPr>
  </w:style>
  <w:style w:type="character" w:customStyle="1" w:styleId="43">
    <w:name w:val="hover3"/>
    <w:basedOn w:val="25"/>
    <w:qFormat/>
    <w:uiPriority w:val="0"/>
    <w:rPr>
      <w:shd w:val="clear" w:color="auto" w:fill="EEEEEE"/>
    </w:rPr>
  </w:style>
  <w:style w:type="character" w:customStyle="1" w:styleId="44">
    <w:name w:val="glyphicon4"/>
    <w:basedOn w:val="25"/>
    <w:qFormat/>
    <w:uiPriority w:val="0"/>
  </w:style>
  <w:style w:type="character" w:customStyle="1" w:styleId="45">
    <w:name w:val="hour_am"/>
    <w:basedOn w:val="25"/>
    <w:qFormat/>
    <w:uiPriority w:val="0"/>
  </w:style>
  <w:style w:type="character" w:customStyle="1" w:styleId="46">
    <w:name w:val="hour_pm"/>
    <w:basedOn w:val="25"/>
    <w:qFormat/>
    <w:uiPriority w:val="0"/>
  </w:style>
  <w:style w:type="character" w:customStyle="1" w:styleId="47">
    <w:name w:val="button"/>
    <w:basedOn w:val="25"/>
    <w:qFormat/>
    <w:uiPriority w:val="0"/>
  </w:style>
  <w:style w:type="character" w:customStyle="1" w:styleId="48">
    <w:name w:val="tmpztreemove_arrow"/>
    <w:basedOn w:val="25"/>
    <w:qFormat/>
    <w:uiPriority w:val="0"/>
    <w:rPr>
      <w:shd w:val="clear" w:color="auto" w:fill="FFFFFF"/>
    </w:rPr>
  </w:style>
  <w:style w:type="character" w:customStyle="1" w:styleId="49">
    <w:name w:val="indent"/>
    <w:basedOn w:val="25"/>
    <w:qFormat/>
    <w:uiPriority w:val="0"/>
  </w:style>
  <w:style w:type="paragraph" w:customStyle="1" w:styleId="50">
    <w:name w:val="title1"/>
    <w:basedOn w:val="1"/>
    <w:qFormat/>
    <w:uiPriority w:val="0"/>
    <w:pPr>
      <w:spacing w:before="150" w:line="450" w:lineRule="atLeast"/>
      <w:jc w:val="left"/>
    </w:pPr>
    <w:rPr>
      <w:rFonts w:cs="Times New Roman"/>
      <w:b/>
      <w:kern w:val="0"/>
      <w:szCs w:val="24"/>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列出段落2"/>
    <w:basedOn w:val="1"/>
    <w:qFormat/>
    <w:uiPriority w:val="34"/>
    <w:pPr>
      <w:ind w:firstLine="420" w:firstLineChars="200"/>
    </w:pPr>
  </w:style>
  <w:style w:type="paragraph" w:customStyle="1" w:styleId="53">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4">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55">
    <w:name w:val="NormalCharacter"/>
    <w:qFormat/>
    <w:uiPriority w:val="0"/>
  </w:style>
  <w:style w:type="paragraph" w:customStyle="1" w:styleId="56">
    <w:name w:val="Table Paragraph"/>
    <w:basedOn w:val="1"/>
    <w:qFormat/>
    <w:uiPriority w:val="1"/>
    <w:pPr>
      <w:autoSpaceDE w:val="0"/>
      <w:autoSpaceDN w:val="0"/>
      <w:spacing w:before="137"/>
      <w:ind w:left="108"/>
      <w:jc w:val="center"/>
    </w:pPr>
    <w:rPr>
      <w:rFonts w:ascii="宋体" w:hAnsi="宋体" w:cs="宋体"/>
      <w:kern w:val="0"/>
      <w:sz w:val="22"/>
      <w:lang w:val="zh-CN" w:bidi="zh-CN"/>
    </w:rPr>
  </w:style>
  <w:style w:type="paragraph" w:customStyle="1" w:styleId="5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8">
    <w:name w:val="彩色列表 - 强调文字颜色 11"/>
    <w:basedOn w:val="1"/>
    <w:qFormat/>
    <w:uiPriority w:val="34"/>
    <w:pPr>
      <w:ind w:firstLine="420" w:firstLineChars="200"/>
    </w:pPr>
    <w:rPr>
      <w:rFonts w:ascii="Calibri" w:hAnsi="Calibri"/>
    </w:rPr>
  </w:style>
  <w:style w:type="character" w:customStyle="1" w:styleId="59">
    <w:name w:val="font01"/>
    <w:basedOn w:val="25"/>
    <w:qFormat/>
    <w:uiPriority w:val="0"/>
    <w:rPr>
      <w:rFonts w:hint="default" w:ascii="Arial" w:hAnsi="Arial" w:cs="Arial"/>
      <w:color w:val="000000"/>
      <w:sz w:val="22"/>
      <w:szCs w:val="22"/>
      <w:u w:val="none"/>
    </w:rPr>
  </w:style>
  <w:style w:type="character" w:customStyle="1" w:styleId="60">
    <w:name w:val="font41"/>
    <w:basedOn w:val="25"/>
    <w:qFormat/>
    <w:uiPriority w:val="0"/>
    <w:rPr>
      <w:rFonts w:hint="default" w:ascii="Arial" w:hAnsi="Arial" w:cs="Arial"/>
      <w:color w:val="000000"/>
      <w:sz w:val="22"/>
      <w:szCs w:val="22"/>
      <w:u w:val="none"/>
    </w:rPr>
  </w:style>
  <w:style w:type="character" w:customStyle="1" w:styleId="61">
    <w:name w:val="font101"/>
    <w:basedOn w:val="25"/>
    <w:qFormat/>
    <w:uiPriority w:val="0"/>
    <w:rPr>
      <w:rFonts w:ascii="Arial" w:hAnsi="Arial" w:cs="Arial"/>
      <w:color w:val="000000"/>
      <w:sz w:val="20"/>
      <w:szCs w:val="20"/>
      <w:u w:val="none"/>
    </w:rPr>
  </w:style>
  <w:style w:type="character" w:customStyle="1" w:styleId="62">
    <w:name w:val="font61"/>
    <w:basedOn w:val="25"/>
    <w:qFormat/>
    <w:uiPriority w:val="0"/>
    <w:rPr>
      <w:rFonts w:hint="eastAsia" w:ascii="仿宋" w:hAnsi="仿宋" w:eastAsia="仿宋" w:cs="仿宋"/>
      <w:color w:val="000000"/>
      <w:sz w:val="20"/>
      <w:szCs w:val="20"/>
      <w:u w:val="none"/>
    </w:rPr>
  </w:style>
  <w:style w:type="paragraph" w:customStyle="1" w:styleId="6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4">
    <w:name w:val="标题 5（有编号）（绿盟科技）"/>
    <w:basedOn w:val="1"/>
    <w:next w:val="65"/>
    <w:qFormat/>
    <w:uiPriority w:val="0"/>
    <w:pPr>
      <w:keepNext/>
      <w:keepLines/>
      <w:numPr>
        <w:ilvl w:val="4"/>
        <w:numId w:val="1"/>
      </w:numPr>
      <w:spacing w:before="280" w:after="156" w:line="377" w:lineRule="auto"/>
      <w:outlineLvl w:val="4"/>
    </w:pPr>
    <w:rPr>
      <w:rFonts w:eastAsia="黑体"/>
      <w:b/>
      <w:szCs w:val="28"/>
    </w:rPr>
  </w:style>
  <w:style w:type="paragraph" w:customStyle="1" w:styleId="65">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6">
    <w:name w:val="font11"/>
    <w:basedOn w:val="25"/>
    <w:qFormat/>
    <w:uiPriority w:val="0"/>
    <w:rPr>
      <w:rFonts w:hint="eastAsia" w:ascii="宋体" w:hAnsi="宋体" w:eastAsia="宋体" w:cs="宋体"/>
      <w:color w:val="000000"/>
      <w:sz w:val="22"/>
      <w:szCs w:val="22"/>
      <w:u w:val="none"/>
    </w:rPr>
  </w:style>
  <w:style w:type="character" w:customStyle="1" w:styleId="67">
    <w:name w:val="nth-of-type(1)"/>
    <w:basedOn w:val="25"/>
    <w:qFormat/>
    <w:uiPriority w:val="0"/>
  </w:style>
  <w:style w:type="character" w:customStyle="1" w:styleId="68">
    <w:name w:val="nth-of-type(1)1"/>
    <w:basedOn w:val="25"/>
    <w:qFormat/>
    <w:uiPriority w:val="0"/>
  </w:style>
  <w:style w:type="character" w:customStyle="1" w:styleId="69">
    <w:name w:val="nth-of-type(1)2"/>
    <w:basedOn w:val="25"/>
    <w:qFormat/>
    <w:uiPriority w:val="0"/>
  </w:style>
  <w:style w:type="character" w:customStyle="1" w:styleId="70">
    <w:name w:val="nth-of-type(1)3"/>
    <w:basedOn w:val="25"/>
    <w:qFormat/>
    <w:uiPriority w:val="0"/>
  </w:style>
  <w:style w:type="character" w:customStyle="1" w:styleId="71">
    <w:name w:val="nth-of-type(1)4"/>
    <w:basedOn w:val="25"/>
    <w:qFormat/>
    <w:uiPriority w:val="0"/>
  </w:style>
  <w:style w:type="character" w:customStyle="1" w:styleId="72">
    <w:name w:val="nth-of-type(1)5"/>
    <w:basedOn w:val="25"/>
    <w:qFormat/>
    <w:uiPriority w:val="0"/>
  </w:style>
  <w:style w:type="character" w:customStyle="1" w:styleId="73">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4">
    <w:name w:val="nth-of-type(1)7"/>
    <w:basedOn w:val="25"/>
    <w:qFormat/>
    <w:uiPriority w:val="0"/>
  </w:style>
  <w:style w:type="character" w:customStyle="1" w:styleId="75">
    <w:name w:val="nth-of-type(1)8"/>
    <w:basedOn w:val="25"/>
    <w:qFormat/>
    <w:uiPriority w:val="0"/>
  </w:style>
  <w:style w:type="character" w:customStyle="1" w:styleId="76">
    <w:name w:val="nth-of-type(1)9"/>
    <w:basedOn w:val="25"/>
    <w:qFormat/>
    <w:uiPriority w:val="0"/>
  </w:style>
  <w:style w:type="character" w:customStyle="1" w:styleId="77">
    <w:name w:val="nth-of-type(1)10"/>
    <w:basedOn w:val="25"/>
    <w:qFormat/>
    <w:uiPriority w:val="0"/>
  </w:style>
  <w:style w:type="character" w:customStyle="1" w:styleId="78">
    <w:name w:val="nth-of-type(1)11"/>
    <w:basedOn w:val="25"/>
    <w:qFormat/>
    <w:uiPriority w:val="0"/>
  </w:style>
  <w:style w:type="character" w:customStyle="1" w:styleId="79">
    <w:name w:val="nth-of-type(1)12"/>
    <w:basedOn w:val="25"/>
    <w:qFormat/>
    <w:uiPriority w:val="0"/>
  </w:style>
  <w:style w:type="character" w:customStyle="1" w:styleId="80">
    <w:name w:val="nth-of-type(1)13"/>
    <w:basedOn w:val="25"/>
    <w:qFormat/>
    <w:uiPriority w:val="0"/>
    <w:rPr>
      <w:sz w:val="21"/>
      <w:szCs w:val="21"/>
    </w:rPr>
  </w:style>
  <w:style w:type="character" w:customStyle="1" w:styleId="81">
    <w:name w:val="nth-of-type(1)14"/>
    <w:basedOn w:val="25"/>
    <w:qFormat/>
    <w:uiPriority w:val="0"/>
  </w:style>
  <w:style w:type="character" w:customStyle="1" w:styleId="82">
    <w:name w:val="nth-of-type(1)15"/>
    <w:basedOn w:val="25"/>
    <w:qFormat/>
    <w:uiPriority w:val="0"/>
  </w:style>
  <w:style w:type="character" w:customStyle="1" w:styleId="83">
    <w:name w:val="nth-of-type(1)16"/>
    <w:basedOn w:val="25"/>
    <w:qFormat/>
    <w:uiPriority w:val="0"/>
  </w:style>
  <w:style w:type="character" w:customStyle="1" w:styleId="84">
    <w:name w:val="nth-of-type(1)17"/>
    <w:basedOn w:val="25"/>
    <w:qFormat/>
    <w:uiPriority w:val="0"/>
  </w:style>
  <w:style w:type="character" w:customStyle="1" w:styleId="85">
    <w:name w:val="nth-of-type(1)18"/>
    <w:basedOn w:val="25"/>
    <w:qFormat/>
    <w:uiPriority w:val="0"/>
  </w:style>
  <w:style w:type="character" w:customStyle="1" w:styleId="86">
    <w:name w:val="hover25"/>
    <w:basedOn w:val="25"/>
    <w:qFormat/>
    <w:uiPriority w:val="0"/>
    <w:rPr>
      <w:color w:val="167AE0"/>
    </w:rPr>
  </w:style>
  <w:style w:type="character" w:customStyle="1" w:styleId="87">
    <w:name w:val="layui-this"/>
    <w:basedOn w:val="25"/>
    <w:qFormat/>
    <w:uiPriority w:val="0"/>
    <w:rPr>
      <w:bdr w:val="single" w:color="EEEEEE" w:sz="6" w:space="0"/>
      <w:shd w:val="clear" w:color="auto" w:fill="FFFFFF"/>
    </w:rPr>
  </w:style>
  <w:style w:type="character" w:customStyle="1" w:styleId="88">
    <w:name w:val="nth-of-type(5)"/>
    <w:basedOn w:val="25"/>
    <w:qFormat/>
    <w:uiPriority w:val="0"/>
  </w:style>
  <w:style w:type="character" w:customStyle="1" w:styleId="89">
    <w:name w:val="nth-of-type(5)1"/>
    <w:basedOn w:val="25"/>
    <w:qFormat/>
    <w:uiPriority w:val="0"/>
  </w:style>
  <w:style w:type="character" w:customStyle="1" w:styleId="90">
    <w:name w:val="nth-of-type(5)2"/>
    <w:basedOn w:val="25"/>
    <w:qFormat/>
    <w:uiPriority w:val="0"/>
  </w:style>
  <w:style w:type="character" w:customStyle="1" w:styleId="91">
    <w:name w:val="nth-of-type(5)3"/>
    <w:basedOn w:val="25"/>
    <w:qFormat/>
    <w:uiPriority w:val="0"/>
  </w:style>
  <w:style w:type="character" w:customStyle="1" w:styleId="92">
    <w:name w:val="nth-of-type(5)4"/>
    <w:basedOn w:val="25"/>
    <w:qFormat/>
    <w:uiPriority w:val="0"/>
    <w:rPr>
      <w:sz w:val="21"/>
      <w:szCs w:val="21"/>
    </w:rPr>
  </w:style>
  <w:style w:type="character" w:customStyle="1" w:styleId="93">
    <w:name w:val="nth-of-type(5)5"/>
    <w:basedOn w:val="25"/>
    <w:qFormat/>
    <w:uiPriority w:val="0"/>
  </w:style>
  <w:style w:type="character" w:customStyle="1" w:styleId="94">
    <w:name w:val="nth-of-type(5)6"/>
    <w:basedOn w:val="25"/>
    <w:qFormat/>
    <w:uiPriority w:val="0"/>
  </w:style>
  <w:style w:type="character" w:customStyle="1" w:styleId="95">
    <w:name w:val="nth-of-type(2)"/>
    <w:basedOn w:val="25"/>
    <w:qFormat/>
    <w:uiPriority w:val="0"/>
  </w:style>
  <w:style w:type="character" w:customStyle="1" w:styleId="96">
    <w:name w:val="nth-of-type(2)1"/>
    <w:basedOn w:val="25"/>
    <w:qFormat/>
    <w:uiPriority w:val="0"/>
  </w:style>
  <w:style w:type="character" w:customStyle="1" w:styleId="97">
    <w:name w:val="nth-of-type(2)2"/>
    <w:basedOn w:val="25"/>
    <w:qFormat/>
    <w:uiPriority w:val="0"/>
  </w:style>
  <w:style w:type="character" w:customStyle="1" w:styleId="98">
    <w:name w:val="nth-of-type(2)3"/>
    <w:basedOn w:val="25"/>
    <w:qFormat/>
    <w:uiPriority w:val="0"/>
  </w:style>
  <w:style w:type="character" w:customStyle="1" w:styleId="99">
    <w:name w:val="nth-of-type(2)4"/>
    <w:basedOn w:val="25"/>
    <w:qFormat/>
    <w:uiPriority w:val="0"/>
  </w:style>
  <w:style w:type="character" w:customStyle="1" w:styleId="100">
    <w:name w:val="nth-of-type(2)5"/>
    <w:basedOn w:val="25"/>
    <w:qFormat/>
    <w:uiPriority w:val="0"/>
  </w:style>
  <w:style w:type="character" w:customStyle="1" w:styleId="101">
    <w:name w:val="nth-of-type(2)6"/>
    <w:basedOn w:val="25"/>
    <w:qFormat/>
    <w:uiPriority w:val="0"/>
  </w:style>
  <w:style w:type="character" w:customStyle="1" w:styleId="102">
    <w:name w:val="nth-of-type(2)7"/>
    <w:basedOn w:val="25"/>
    <w:qFormat/>
    <w:uiPriority w:val="0"/>
  </w:style>
  <w:style w:type="character" w:customStyle="1" w:styleId="103">
    <w:name w:val="nth-of-type(2)8"/>
    <w:basedOn w:val="25"/>
    <w:qFormat/>
    <w:uiPriority w:val="0"/>
  </w:style>
  <w:style w:type="character" w:customStyle="1" w:styleId="104">
    <w:name w:val="nth-of-type(2)9"/>
    <w:basedOn w:val="25"/>
    <w:qFormat/>
    <w:uiPriority w:val="0"/>
  </w:style>
  <w:style w:type="character" w:customStyle="1" w:styleId="105">
    <w:name w:val="nth-of-type(2)10"/>
    <w:basedOn w:val="25"/>
    <w:qFormat/>
    <w:uiPriority w:val="0"/>
    <w:rPr>
      <w:sz w:val="21"/>
      <w:szCs w:val="21"/>
    </w:rPr>
  </w:style>
  <w:style w:type="character" w:customStyle="1" w:styleId="106">
    <w:name w:val="nth-of-type(2)11"/>
    <w:basedOn w:val="25"/>
    <w:qFormat/>
    <w:uiPriority w:val="0"/>
  </w:style>
  <w:style w:type="character" w:customStyle="1" w:styleId="107">
    <w:name w:val="nth-of-type(2)12"/>
    <w:basedOn w:val="25"/>
    <w:qFormat/>
    <w:uiPriority w:val="0"/>
  </w:style>
  <w:style w:type="character" w:customStyle="1" w:styleId="108">
    <w:name w:val="nth-of-type(2)13"/>
    <w:basedOn w:val="25"/>
    <w:qFormat/>
    <w:uiPriority w:val="0"/>
  </w:style>
  <w:style w:type="character" w:customStyle="1" w:styleId="109">
    <w:name w:val="nth-of-type(2)14"/>
    <w:basedOn w:val="25"/>
    <w:qFormat/>
    <w:uiPriority w:val="0"/>
  </w:style>
  <w:style w:type="character" w:customStyle="1" w:styleId="110">
    <w:name w:val="before2"/>
    <w:basedOn w:val="25"/>
    <w:qFormat/>
    <w:uiPriority w:val="0"/>
    <w:rPr>
      <w:shd w:val="clear" w:color="auto" w:fill="C20E0C"/>
    </w:rPr>
  </w:style>
  <w:style w:type="character" w:customStyle="1" w:styleId="111">
    <w:name w:val="nth-of-type(4)"/>
    <w:basedOn w:val="25"/>
    <w:qFormat/>
    <w:uiPriority w:val="0"/>
  </w:style>
  <w:style w:type="character" w:customStyle="1" w:styleId="112">
    <w:name w:val="nth-of-type(4)1"/>
    <w:basedOn w:val="25"/>
    <w:qFormat/>
    <w:uiPriority w:val="0"/>
  </w:style>
  <w:style w:type="character" w:customStyle="1" w:styleId="113">
    <w:name w:val="nth-of-type(4)2"/>
    <w:basedOn w:val="25"/>
    <w:qFormat/>
    <w:uiPriority w:val="0"/>
  </w:style>
  <w:style w:type="character" w:customStyle="1" w:styleId="114">
    <w:name w:val="nth-of-type(4)3"/>
    <w:basedOn w:val="25"/>
    <w:qFormat/>
    <w:uiPriority w:val="0"/>
  </w:style>
  <w:style w:type="character" w:customStyle="1" w:styleId="115">
    <w:name w:val="nth-of-type(4)4"/>
    <w:basedOn w:val="25"/>
    <w:qFormat/>
    <w:uiPriority w:val="0"/>
    <w:rPr>
      <w:sz w:val="21"/>
      <w:szCs w:val="21"/>
    </w:rPr>
  </w:style>
  <w:style w:type="character" w:customStyle="1" w:styleId="116">
    <w:name w:val="nth-of-type(4)5"/>
    <w:basedOn w:val="25"/>
    <w:qFormat/>
    <w:uiPriority w:val="0"/>
  </w:style>
  <w:style w:type="character" w:customStyle="1" w:styleId="117">
    <w:name w:val="nth-of-type(4)6"/>
    <w:basedOn w:val="25"/>
    <w:qFormat/>
    <w:uiPriority w:val="0"/>
  </w:style>
  <w:style w:type="character" w:customStyle="1" w:styleId="118">
    <w:name w:val="nth-of-type(4)7"/>
    <w:basedOn w:val="25"/>
    <w:qFormat/>
    <w:uiPriority w:val="0"/>
  </w:style>
  <w:style w:type="character" w:customStyle="1" w:styleId="119">
    <w:name w:val="nth-of-type(4)8"/>
    <w:basedOn w:val="25"/>
    <w:qFormat/>
    <w:uiPriority w:val="0"/>
  </w:style>
  <w:style w:type="character" w:customStyle="1" w:styleId="120">
    <w:name w:val="nth-of-type(6)"/>
    <w:basedOn w:val="25"/>
    <w:qFormat/>
    <w:uiPriority w:val="0"/>
  </w:style>
  <w:style w:type="character" w:customStyle="1" w:styleId="121">
    <w:name w:val="nth-of-type(6)1"/>
    <w:basedOn w:val="25"/>
    <w:qFormat/>
    <w:uiPriority w:val="0"/>
    <w:rPr>
      <w:color w:val="0082DF"/>
    </w:rPr>
  </w:style>
  <w:style w:type="character" w:customStyle="1" w:styleId="122">
    <w:name w:val="nth-of-type(6)2"/>
    <w:basedOn w:val="25"/>
    <w:qFormat/>
    <w:uiPriority w:val="0"/>
  </w:style>
  <w:style w:type="character" w:customStyle="1" w:styleId="123">
    <w:name w:val="nth-of-type(6)3"/>
    <w:basedOn w:val="25"/>
    <w:qFormat/>
    <w:uiPriority w:val="0"/>
  </w:style>
  <w:style w:type="character" w:customStyle="1" w:styleId="124">
    <w:name w:val="nth-of-type(6)4"/>
    <w:basedOn w:val="25"/>
    <w:qFormat/>
    <w:uiPriority w:val="0"/>
  </w:style>
  <w:style w:type="character" w:customStyle="1" w:styleId="125">
    <w:name w:val="nth-of-type(6)5"/>
    <w:basedOn w:val="25"/>
    <w:qFormat/>
    <w:uiPriority w:val="0"/>
  </w:style>
  <w:style w:type="character" w:customStyle="1" w:styleId="126">
    <w:name w:val="nth-of-type(8)"/>
    <w:basedOn w:val="25"/>
    <w:qFormat/>
    <w:uiPriority w:val="0"/>
  </w:style>
  <w:style w:type="character" w:customStyle="1" w:styleId="127">
    <w:name w:val="lineshow"/>
    <w:basedOn w:val="25"/>
    <w:qFormat/>
    <w:uiPriority w:val="0"/>
  </w:style>
  <w:style w:type="character" w:customStyle="1" w:styleId="128">
    <w:name w:val="lineshow1"/>
    <w:basedOn w:val="25"/>
    <w:qFormat/>
    <w:uiPriority w:val="0"/>
  </w:style>
  <w:style w:type="character" w:customStyle="1" w:styleId="129">
    <w:name w:val="nth-child(3)"/>
    <w:basedOn w:val="25"/>
    <w:qFormat/>
    <w:uiPriority w:val="0"/>
  </w:style>
  <w:style w:type="character" w:customStyle="1" w:styleId="130">
    <w:name w:val="nth-of-type(7)"/>
    <w:basedOn w:val="25"/>
    <w:qFormat/>
    <w:uiPriority w:val="0"/>
  </w:style>
  <w:style w:type="character" w:customStyle="1" w:styleId="131">
    <w:name w:val="nth-of-type(7)1"/>
    <w:basedOn w:val="25"/>
    <w:qFormat/>
    <w:uiPriority w:val="0"/>
  </w:style>
  <w:style w:type="character" w:customStyle="1" w:styleId="132">
    <w:name w:val="nth-of-type(7)2"/>
    <w:basedOn w:val="25"/>
    <w:qFormat/>
    <w:uiPriority w:val="0"/>
  </w:style>
  <w:style w:type="character" w:customStyle="1" w:styleId="133">
    <w:name w:val="nth-of-type(3)"/>
    <w:basedOn w:val="25"/>
    <w:qFormat/>
    <w:uiPriority w:val="0"/>
  </w:style>
  <w:style w:type="character" w:customStyle="1" w:styleId="134">
    <w:name w:val="nth-of-type(3)1"/>
    <w:basedOn w:val="25"/>
    <w:qFormat/>
    <w:uiPriority w:val="0"/>
  </w:style>
  <w:style w:type="character" w:customStyle="1" w:styleId="135">
    <w:name w:val="nth-of-type(3)2"/>
    <w:basedOn w:val="25"/>
    <w:qFormat/>
    <w:uiPriority w:val="0"/>
  </w:style>
  <w:style w:type="character" w:customStyle="1" w:styleId="136">
    <w:name w:val="nth-of-type(3)3"/>
    <w:basedOn w:val="25"/>
    <w:qFormat/>
    <w:uiPriority w:val="0"/>
    <w:rPr>
      <w:sz w:val="21"/>
      <w:szCs w:val="21"/>
    </w:rPr>
  </w:style>
  <w:style w:type="character" w:customStyle="1" w:styleId="137">
    <w:name w:val="nth-of-type(3)4"/>
    <w:basedOn w:val="25"/>
    <w:qFormat/>
    <w:uiPriority w:val="0"/>
  </w:style>
  <w:style w:type="character" w:customStyle="1" w:styleId="138">
    <w:name w:val="nth-of-type(3)5"/>
    <w:basedOn w:val="25"/>
    <w:qFormat/>
    <w:uiPriority w:val="0"/>
  </w:style>
  <w:style w:type="character" w:customStyle="1" w:styleId="139">
    <w:name w:val="nth-of-type(3)6"/>
    <w:basedOn w:val="25"/>
    <w:qFormat/>
    <w:uiPriority w:val="0"/>
  </w:style>
  <w:style w:type="character" w:customStyle="1" w:styleId="140">
    <w:name w:val="nth-of-type(3)7"/>
    <w:basedOn w:val="25"/>
    <w:qFormat/>
    <w:uiPriority w:val="0"/>
  </w:style>
  <w:style w:type="character" w:customStyle="1" w:styleId="141">
    <w:name w:val="nth-of-type(9)"/>
    <w:basedOn w:val="25"/>
    <w:qFormat/>
    <w:uiPriority w:val="0"/>
  </w:style>
  <w:style w:type="character" w:customStyle="1" w:styleId="142">
    <w:name w:val="nth-of-type(10)"/>
    <w:basedOn w:val="25"/>
    <w:qFormat/>
    <w:uiPriority w:val="0"/>
  </w:style>
  <w:style w:type="character" w:customStyle="1" w:styleId="143">
    <w:name w:val="titleshow"/>
    <w:basedOn w:val="25"/>
    <w:qFormat/>
    <w:uiPriority w:val="0"/>
    <w:rPr>
      <w:color w:val="3E464C"/>
    </w:rPr>
  </w:style>
  <w:style w:type="character" w:customStyle="1" w:styleId="144">
    <w:name w:val="nth-child(2)"/>
    <w:basedOn w:val="25"/>
    <w:qFormat/>
    <w:uiPriority w:val="0"/>
  </w:style>
  <w:style w:type="character" w:customStyle="1" w:styleId="145">
    <w:name w:val="last-child1"/>
    <w:basedOn w:val="25"/>
    <w:qFormat/>
    <w:uiPriority w:val="0"/>
    <w:rPr>
      <w:color w:val="FFFFFF"/>
    </w:rPr>
  </w:style>
  <w:style w:type="character" w:customStyle="1" w:styleId="146">
    <w:name w:val="last-child2"/>
    <w:basedOn w:val="25"/>
    <w:qFormat/>
    <w:uiPriority w:val="0"/>
  </w:style>
  <w:style w:type="character" w:customStyle="1" w:styleId="147">
    <w:name w:val="last-child3"/>
    <w:basedOn w:val="25"/>
    <w:qFormat/>
    <w:uiPriority w:val="0"/>
  </w:style>
  <w:style w:type="character" w:customStyle="1" w:styleId="148">
    <w:name w:val="nth-child(1)"/>
    <w:basedOn w:val="25"/>
    <w:qFormat/>
    <w:uiPriority w:val="0"/>
  </w:style>
  <w:style w:type="character" w:customStyle="1" w:styleId="149">
    <w:name w:val="first-child1"/>
    <w:basedOn w:val="25"/>
    <w:qFormat/>
    <w:uiPriority w:val="0"/>
  </w:style>
  <w:style w:type="character" w:customStyle="1" w:styleId="150">
    <w:name w:val="first-child2"/>
    <w:basedOn w:val="25"/>
    <w:qFormat/>
    <w:uiPriority w:val="0"/>
  </w:style>
  <w:style w:type="character" w:customStyle="1" w:styleId="151">
    <w:name w:val="first-child3"/>
    <w:basedOn w:val="25"/>
    <w:qFormat/>
    <w:uiPriority w:val="0"/>
  </w:style>
  <w:style w:type="character" w:customStyle="1" w:styleId="152">
    <w:name w:val="first-child4"/>
    <w:basedOn w:val="25"/>
    <w:qFormat/>
    <w:uiPriority w:val="0"/>
  </w:style>
  <w:style w:type="character" w:customStyle="1" w:styleId="153">
    <w:name w:val="layui-laypage-curr"/>
    <w:basedOn w:val="25"/>
    <w:qFormat/>
    <w:uiPriority w:val="0"/>
  </w:style>
  <w:style w:type="character" w:customStyle="1" w:styleId="154">
    <w:name w:val="before"/>
    <w:basedOn w:val="25"/>
    <w:qFormat/>
    <w:uiPriority w:val="0"/>
    <w:rPr>
      <w:shd w:val="clear" w:color="auto" w:fill="C20E0C"/>
    </w:rPr>
  </w:style>
  <w:style w:type="character" w:customStyle="1" w:styleId="155">
    <w:name w:val="layui-this4"/>
    <w:basedOn w:val="25"/>
    <w:qFormat/>
    <w:uiPriority w:val="0"/>
    <w:rPr>
      <w:bdr w:val="single" w:color="EEEEEE" w:sz="6" w:space="0"/>
      <w:shd w:val="clear" w:color="auto" w:fill="FFFFFF"/>
    </w:rPr>
  </w:style>
  <w:style w:type="character" w:customStyle="1" w:styleId="156">
    <w:name w:val="hover26"/>
    <w:basedOn w:val="25"/>
    <w:qFormat/>
    <w:uiPriority w:val="0"/>
    <w:rPr>
      <w:color w:val="167AE0"/>
    </w:rPr>
  </w:style>
  <w:style w:type="character" w:customStyle="1" w:styleId="157">
    <w:name w:val="hover"/>
    <w:basedOn w:val="25"/>
    <w:qFormat/>
    <w:uiPriority w:val="0"/>
  </w:style>
  <w:style w:type="character" w:customStyle="1" w:styleId="158">
    <w:name w:val="hover1"/>
    <w:basedOn w:val="25"/>
    <w:qFormat/>
    <w:uiPriority w:val="0"/>
    <w:rPr>
      <w:color w:val="167AE0"/>
    </w:rPr>
  </w:style>
  <w:style w:type="character" w:customStyle="1" w:styleId="159">
    <w:name w:val="hover24"/>
    <w:basedOn w:val="25"/>
    <w:qFormat/>
    <w:uiPriority w:val="0"/>
    <w:rPr>
      <w:color w:val="167AE0"/>
    </w:rPr>
  </w:style>
  <w:style w:type="character" w:customStyle="1" w:styleId="160">
    <w:name w:val="first-child"/>
    <w:basedOn w:val="25"/>
    <w:qFormat/>
    <w:uiPriority w:val="0"/>
  </w:style>
  <w:style w:type="character" w:customStyle="1" w:styleId="161">
    <w:name w:val="last-child"/>
    <w:basedOn w:val="25"/>
    <w:qFormat/>
    <w:uiPriority w:val="0"/>
  </w:style>
  <w:style w:type="character" w:customStyle="1" w:styleId="162">
    <w:name w:val="nth-of-type(1)19"/>
    <w:basedOn w:val="25"/>
    <w:qFormat/>
    <w:uiPriority w:val="0"/>
  </w:style>
  <w:style w:type="character" w:customStyle="1" w:styleId="163">
    <w:name w:val="font71"/>
    <w:basedOn w:val="25"/>
    <w:qFormat/>
    <w:uiPriority w:val="0"/>
    <w:rPr>
      <w:rFonts w:ascii="Arial" w:hAnsi="Arial" w:cs="Arial"/>
      <w:color w:val="000000"/>
      <w:sz w:val="20"/>
      <w:szCs w:val="20"/>
      <w:u w:val="none"/>
    </w:rPr>
  </w:style>
  <w:style w:type="character" w:customStyle="1" w:styleId="164">
    <w:name w:val="font51"/>
    <w:basedOn w:val="25"/>
    <w:qFormat/>
    <w:uiPriority w:val="0"/>
    <w:rPr>
      <w:rFonts w:hint="default" w:ascii="Times New Roman" w:hAnsi="Times New Roman" w:cs="Times New Roman"/>
      <w:color w:val="000000"/>
      <w:sz w:val="20"/>
      <w:szCs w:val="20"/>
      <w:u w:val="none"/>
    </w:rPr>
  </w:style>
  <w:style w:type="character" w:customStyle="1" w:styleId="165">
    <w:name w:val="页眉 Char"/>
    <w:basedOn w:val="25"/>
    <w:link w:val="1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49"/>
    <customShpInfo spid="_x0000_s2059"/>
    <customShpInfo spid="_x0000_s2052"/>
    <customShpInfo spid="_x0000_s2051"/>
    <customShpInfo spid="_x0000_s2054"/>
    <customShpInfo spid="_x0000_s2053"/>
    <customShpInfo spid="_x0000_s2055"/>
    <customShpInfo spid="_x0000_s2066"/>
    <customShpInfo spid="_x0000_s2067"/>
    <customShpInfo spid="_x0000_s2058"/>
    <customShpInfo spid="_x0000_s1036"/>
    <customShpInfo spid="_x0000_s1026"/>
    <customShpInfo spid="_x0000_s1027"/>
    <customShpInfo spid="_x0000_s1037"/>
    <customShpInfo spid="_x0000_s1035"/>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136</Pages>
  <Words>61975</Words>
  <Characters>67691</Characters>
  <Lines>99</Lines>
  <Paragraphs>147</Paragraphs>
  <TotalTime>7</TotalTime>
  <ScaleCrop>false</ScaleCrop>
  <LinksUpToDate>false</LinksUpToDate>
  <CharactersWithSpaces>69074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2022-09-14T08:31:01Z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