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val="0"/>
        <w:autoSpaceDN w:val="0"/>
        <w:adjustRightInd w:val="0"/>
        <w:snapToGrid w:val="0"/>
        <w:spacing w:line="360" w:lineRule="auto"/>
        <w:ind w:firstLine="301" w:firstLineChars="100"/>
        <w:jc w:val="left"/>
        <w:rPr>
          <w:rFonts w:hint="eastAsia" w:ascii="仿宋" w:hAnsi="仿宋" w:eastAsia="仿宋" w:cs="仿宋"/>
          <w:b/>
          <w:bCs/>
          <w:sz w:val="30"/>
          <w:szCs w:val="30"/>
        </w:rPr>
      </w:pPr>
    </w:p>
    <w:p>
      <w:pPr>
        <w:autoSpaceDE w:val="0"/>
        <w:autoSpaceDN w:val="0"/>
        <w:adjustRightInd w:val="0"/>
        <w:snapToGrid w:val="0"/>
        <w:spacing w:line="360" w:lineRule="auto"/>
        <w:ind w:firstLine="301" w:firstLineChars="100"/>
        <w:jc w:val="left"/>
        <w:rPr>
          <w:rFonts w:hint="eastAsia" w:ascii="仿宋" w:hAnsi="仿宋" w:eastAsia="仿宋" w:cs="仿宋"/>
          <w:b/>
          <w:bCs/>
          <w:sz w:val="30"/>
          <w:szCs w:val="30"/>
        </w:rPr>
      </w:pPr>
      <w:r>
        <w:rPr>
          <w:rFonts w:hint="eastAsia" w:ascii="仿宋" w:hAnsi="仿宋" w:eastAsia="仿宋" w:cs="仿宋"/>
          <w:b/>
          <w:bCs/>
          <w:sz w:val="30"/>
          <w:szCs w:val="30"/>
        </w:rPr>
        <w:t>政府采购项目</w:t>
      </w:r>
    </w:p>
    <w:p>
      <w:pPr>
        <w:tabs>
          <w:tab w:val="left" w:pos="5670"/>
        </w:tabs>
        <w:autoSpaceDE w:val="0"/>
        <w:autoSpaceDN w:val="0"/>
        <w:adjustRightInd w:val="0"/>
        <w:spacing w:line="360" w:lineRule="auto"/>
        <w:ind w:firstLine="300"/>
        <w:rPr>
          <w:rFonts w:hint="eastAsia" w:ascii="仿宋" w:hAnsi="仿宋" w:eastAsia="仿宋" w:cs="仿宋"/>
          <w:b/>
          <w:bCs/>
          <w:sz w:val="30"/>
          <w:szCs w:val="30"/>
        </w:rPr>
      </w:pPr>
      <w:r>
        <w:rPr>
          <w:rFonts w:hint="eastAsia" w:ascii="仿宋" w:hAnsi="仿宋" w:eastAsia="仿宋" w:cs="仿宋"/>
          <w:b/>
          <w:bCs/>
          <w:sz w:val="30"/>
          <w:szCs w:val="30"/>
          <w:lang w:val="zh-CN"/>
        </w:rPr>
        <w:t>项目编号：TDZB-2022-2089</w:t>
      </w:r>
    </w:p>
    <w:p>
      <w:pPr>
        <w:tabs>
          <w:tab w:val="left" w:pos="5670"/>
        </w:tabs>
        <w:autoSpaceDE w:val="0"/>
        <w:autoSpaceDN w:val="0"/>
        <w:adjustRightInd w:val="0"/>
        <w:spacing w:line="360" w:lineRule="auto"/>
        <w:ind w:firstLine="300"/>
        <w:rPr>
          <w:rFonts w:hint="eastAsia" w:ascii="仿宋" w:hAnsi="仿宋" w:eastAsia="仿宋" w:cs="仿宋"/>
          <w:b/>
          <w:bCs/>
          <w:sz w:val="30"/>
          <w:szCs w:val="30"/>
          <w:lang w:val="zh-CN"/>
        </w:rPr>
      </w:pPr>
    </w:p>
    <w:p>
      <w:pPr>
        <w:pStyle w:val="11"/>
        <w:tabs>
          <w:tab w:val="left" w:pos="5670"/>
        </w:tabs>
        <w:adjustRightInd w:val="0"/>
        <w:snapToGrid w:val="0"/>
        <w:spacing w:line="360" w:lineRule="auto"/>
        <w:jc w:val="both"/>
        <w:rPr>
          <w:rFonts w:hint="eastAsia" w:ascii="仿宋" w:hAnsi="仿宋" w:eastAsia="仿宋" w:cs="仿宋"/>
          <w:spacing w:val="0"/>
          <w:w w:val="100"/>
          <w:sz w:val="44"/>
          <w:szCs w:val="44"/>
        </w:rPr>
      </w:pPr>
    </w:p>
    <w:p>
      <w:pPr>
        <w:spacing w:line="360" w:lineRule="auto"/>
        <w:jc w:val="center"/>
        <w:rPr>
          <w:rFonts w:hint="eastAsia" w:ascii="仿宋" w:hAnsi="仿宋" w:eastAsia="仿宋" w:cs="仿宋"/>
          <w:b/>
          <w:bCs/>
          <w:sz w:val="56"/>
          <w:szCs w:val="56"/>
        </w:rPr>
      </w:pPr>
      <w:r>
        <w:rPr>
          <w:rFonts w:hint="eastAsia" w:ascii="仿宋" w:hAnsi="仿宋" w:eastAsia="仿宋" w:cs="仿宋"/>
          <w:b/>
          <w:bCs/>
          <w:sz w:val="56"/>
          <w:szCs w:val="56"/>
        </w:rPr>
        <w:t>高速出口疫情检查点遮阳设施工程</w:t>
      </w:r>
    </w:p>
    <w:p>
      <w:pPr>
        <w:spacing w:line="360" w:lineRule="auto"/>
        <w:jc w:val="center"/>
        <w:rPr>
          <w:rFonts w:hint="eastAsia" w:ascii="仿宋" w:hAnsi="仿宋" w:eastAsia="仿宋" w:cs="仿宋"/>
          <w:b/>
          <w:bCs/>
          <w:sz w:val="44"/>
          <w:szCs w:val="44"/>
        </w:rPr>
      </w:pPr>
      <w:r>
        <w:rPr>
          <w:rFonts w:hint="eastAsia" w:ascii="仿宋" w:hAnsi="仿宋" w:eastAsia="仿宋" w:cs="仿宋"/>
          <w:snapToGrid w:val="0"/>
          <w:szCs w:val="21"/>
        </w:rPr>
        <w:drawing>
          <wp:anchor distT="0" distB="0" distL="114300" distR="114300" simplePos="0" relativeHeight="251664384" behindDoc="1" locked="0" layoutInCell="1" allowOverlap="1">
            <wp:simplePos x="0" y="0"/>
            <wp:positionH relativeFrom="column">
              <wp:posOffset>1184910</wp:posOffset>
            </wp:positionH>
            <wp:positionV relativeFrom="paragraph">
              <wp:posOffset>480060</wp:posOffset>
            </wp:positionV>
            <wp:extent cx="2915285" cy="3143250"/>
            <wp:effectExtent l="0" t="0" r="18415" b="0"/>
            <wp:wrapNone/>
            <wp:docPr id="1" name="图片 10" descr="26a24f50731af2a31f84fc2b614e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0" descr="26a24f50731af2a31f84fc2b614e763"/>
                    <pic:cNvPicPr>
                      <a:picLocks noChangeAspect="1"/>
                    </pic:cNvPicPr>
                  </pic:nvPicPr>
                  <pic:blipFill>
                    <a:blip r:embed="rId10"/>
                    <a:stretch>
                      <a:fillRect/>
                    </a:stretch>
                  </pic:blipFill>
                  <pic:spPr>
                    <a:xfrm>
                      <a:off x="0" y="0"/>
                      <a:ext cx="2915285" cy="3143250"/>
                    </a:xfrm>
                    <a:prstGeom prst="rect">
                      <a:avLst/>
                    </a:prstGeom>
                    <a:noFill/>
                    <a:ln>
                      <a:noFill/>
                    </a:ln>
                  </pic:spPr>
                </pic:pic>
              </a:graphicData>
            </a:graphic>
          </wp:anchor>
        </w:drawing>
      </w:r>
    </w:p>
    <w:p>
      <w:pPr>
        <w:pStyle w:val="11"/>
        <w:tabs>
          <w:tab w:val="left" w:pos="5670"/>
        </w:tabs>
        <w:adjustRightInd w:val="0"/>
        <w:snapToGrid w:val="0"/>
        <w:spacing w:line="360" w:lineRule="auto"/>
        <w:rPr>
          <w:rFonts w:hint="eastAsia" w:ascii="仿宋" w:hAnsi="仿宋" w:eastAsia="仿宋" w:cs="仿宋"/>
          <w:spacing w:val="0"/>
          <w:w w:val="100"/>
          <w:sz w:val="44"/>
          <w:szCs w:val="44"/>
        </w:rPr>
      </w:pPr>
    </w:p>
    <w:p>
      <w:pPr>
        <w:pStyle w:val="11"/>
        <w:tabs>
          <w:tab w:val="left" w:pos="5670"/>
        </w:tabs>
        <w:adjustRightInd w:val="0"/>
        <w:snapToGrid w:val="0"/>
        <w:spacing w:line="360" w:lineRule="auto"/>
        <w:rPr>
          <w:rFonts w:hint="eastAsia" w:ascii="仿宋" w:hAnsi="仿宋" w:eastAsia="仿宋" w:cs="仿宋"/>
          <w:spacing w:val="0"/>
          <w:w w:val="100"/>
          <w:sz w:val="44"/>
          <w:szCs w:val="44"/>
        </w:rPr>
      </w:pPr>
    </w:p>
    <w:p>
      <w:pPr>
        <w:pStyle w:val="11"/>
        <w:tabs>
          <w:tab w:val="left" w:pos="5670"/>
        </w:tabs>
        <w:adjustRightInd w:val="0"/>
        <w:snapToGrid w:val="0"/>
        <w:spacing w:line="360" w:lineRule="auto"/>
        <w:rPr>
          <w:rFonts w:hint="eastAsia" w:ascii="仿宋" w:hAnsi="仿宋" w:eastAsia="仿宋" w:cs="仿宋"/>
          <w:spacing w:val="0"/>
          <w:w w:val="100"/>
          <w:sz w:val="56"/>
          <w:szCs w:val="56"/>
        </w:rPr>
      </w:pPr>
      <w:r>
        <w:rPr>
          <w:rFonts w:hint="eastAsia" w:ascii="仿宋" w:hAnsi="仿宋" w:eastAsia="仿宋" w:cs="仿宋"/>
          <w:spacing w:val="0"/>
          <w:w w:val="100"/>
          <w:sz w:val="56"/>
          <w:szCs w:val="56"/>
        </w:rPr>
        <w:t>竞争性磋商文件</w:t>
      </w:r>
    </w:p>
    <w:p>
      <w:pPr>
        <w:pStyle w:val="11"/>
        <w:tabs>
          <w:tab w:val="left" w:pos="5670"/>
        </w:tabs>
        <w:adjustRightInd w:val="0"/>
        <w:snapToGrid w:val="0"/>
        <w:spacing w:line="360" w:lineRule="auto"/>
        <w:jc w:val="both"/>
        <w:rPr>
          <w:rFonts w:hint="eastAsia" w:ascii="仿宋" w:hAnsi="仿宋" w:eastAsia="仿宋" w:cs="仿宋"/>
          <w:spacing w:val="0"/>
          <w:w w:val="100"/>
          <w:sz w:val="44"/>
          <w:szCs w:val="44"/>
        </w:rPr>
      </w:pPr>
    </w:p>
    <w:p>
      <w:pPr>
        <w:pStyle w:val="11"/>
        <w:tabs>
          <w:tab w:val="left" w:pos="5670"/>
        </w:tabs>
        <w:adjustRightInd w:val="0"/>
        <w:snapToGrid w:val="0"/>
        <w:spacing w:line="360" w:lineRule="auto"/>
        <w:jc w:val="both"/>
        <w:rPr>
          <w:rFonts w:hint="eastAsia" w:ascii="仿宋" w:hAnsi="仿宋" w:eastAsia="仿宋" w:cs="仿宋"/>
          <w:spacing w:val="0"/>
          <w:w w:val="100"/>
          <w:sz w:val="32"/>
          <w:szCs w:val="32"/>
        </w:rPr>
      </w:pPr>
    </w:p>
    <w:p>
      <w:pPr>
        <w:pStyle w:val="11"/>
        <w:tabs>
          <w:tab w:val="left" w:pos="5670"/>
        </w:tabs>
        <w:adjustRightInd w:val="0"/>
        <w:snapToGrid w:val="0"/>
        <w:spacing w:line="360" w:lineRule="auto"/>
        <w:jc w:val="both"/>
        <w:rPr>
          <w:rFonts w:hint="eastAsia" w:ascii="仿宋" w:hAnsi="仿宋" w:eastAsia="仿宋" w:cs="仿宋"/>
          <w:spacing w:val="0"/>
          <w:w w:val="100"/>
          <w:sz w:val="32"/>
          <w:szCs w:val="32"/>
        </w:rPr>
      </w:pPr>
    </w:p>
    <w:p>
      <w:pPr>
        <w:pStyle w:val="11"/>
        <w:tabs>
          <w:tab w:val="left" w:pos="5670"/>
        </w:tabs>
        <w:adjustRightInd w:val="0"/>
        <w:snapToGrid w:val="0"/>
        <w:spacing w:line="360" w:lineRule="auto"/>
        <w:rPr>
          <w:rFonts w:hint="eastAsia" w:ascii="仿宋" w:hAnsi="仿宋" w:eastAsia="仿宋" w:cs="仿宋"/>
          <w:spacing w:val="0"/>
          <w:w w:val="100"/>
          <w:sz w:val="32"/>
          <w:szCs w:val="32"/>
        </w:rPr>
      </w:pPr>
    </w:p>
    <w:p>
      <w:pPr>
        <w:pStyle w:val="11"/>
        <w:tabs>
          <w:tab w:val="left" w:pos="5670"/>
        </w:tabs>
        <w:adjustRightInd w:val="0"/>
        <w:snapToGrid w:val="0"/>
        <w:spacing w:line="360" w:lineRule="auto"/>
        <w:rPr>
          <w:rFonts w:hint="eastAsia" w:ascii="仿宋" w:hAnsi="仿宋" w:eastAsia="仿宋" w:cs="仿宋"/>
          <w:spacing w:val="0"/>
          <w:w w:val="100"/>
          <w:sz w:val="32"/>
          <w:szCs w:val="32"/>
        </w:rPr>
      </w:pPr>
    </w:p>
    <w:p>
      <w:pPr>
        <w:autoSpaceDE w:val="0"/>
        <w:autoSpaceDN w:val="0"/>
        <w:adjustRightInd w:val="0"/>
        <w:snapToGrid w:val="0"/>
        <w:spacing w:line="360" w:lineRule="auto"/>
        <w:ind w:firstLine="1687" w:firstLineChars="525"/>
        <w:rPr>
          <w:rFonts w:hint="eastAsia" w:ascii="仿宋" w:hAnsi="仿宋" w:eastAsia="仿宋" w:cs="仿宋"/>
          <w:b/>
          <w:bCs/>
          <w:sz w:val="32"/>
          <w:szCs w:val="32"/>
          <w:lang w:val="zh-CN"/>
        </w:rPr>
      </w:pPr>
      <w:r>
        <w:rPr>
          <w:rFonts w:hint="eastAsia" w:ascii="仿宋" w:hAnsi="仿宋" w:eastAsia="仿宋" w:cs="仿宋"/>
          <w:b/>
          <w:bCs/>
          <w:sz w:val="32"/>
          <w:szCs w:val="32"/>
          <w:lang w:val="zh-CN"/>
        </w:rPr>
        <w:t>采购人：西安市高陵区住房和城乡建设局</w:t>
      </w:r>
    </w:p>
    <w:p>
      <w:pPr>
        <w:autoSpaceDE w:val="0"/>
        <w:autoSpaceDN w:val="0"/>
        <w:adjustRightInd w:val="0"/>
        <w:snapToGrid w:val="0"/>
        <w:spacing w:line="360" w:lineRule="auto"/>
        <w:ind w:firstLine="1687" w:firstLineChars="525"/>
        <w:rPr>
          <w:rFonts w:hint="eastAsia" w:ascii="仿宋" w:hAnsi="仿宋" w:eastAsia="仿宋" w:cs="仿宋"/>
          <w:b/>
          <w:bCs/>
          <w:sz w:val="32"/>
          <w:szCs w:val="32"/>
        </w:rPr>
      </w:pPr>
      <w:r>
        <w:rPr>
          <w:rFonts w:hint="eastAsia" w:ascii="仿宋" w:hAnsi="仿宋" w:eastAsia="仿宋" w:cs="仿宋"/>
          <w:b/>
          <w:bCs/>
          <w:sz w:val="32"/>
          <w:szCs w:val="32"/>
          <w:lang w:val="zh-CN"/>
        </w:rPr>
        <w:t>采购代理机构：腾德工程咨询有限公司</w:t>
      </w:r>
    </w:p>
    <w:p>
      <w:pPr>
        <w:spacing w:line="360" w:lineRule="auto"/>
        <w:jc w:val="center"/>
        <w:rPr>
          <w:rFonts w:hint="eastAsia" w:ascii="仿宋" w:hAnsi="仿宋" w:eastAsia="仿宋" w:cs="仿宋"/>
        </w:rPr>
      </w:pPr>
      <w:r>
        <w:rPr>
          <w:rFonts w:hint="eastAsia" w:ascii="仿宋" w:hAnsi="仿宋" w:eastAsia="仿宋" w:cs="仿宋"/>
          <w:b/>
          <w:bCs/>
          <w:sz w:val="32"/>
          <w:szCs w:val="32"/>
        </w:rPr>
        <w:t>二零二二年十</w:t>
      </w:r>
      <w:r>
        <w:rPr>
          <w:rFonts w:hint="eastAsia" w:ascii="仿宋" w:hAnsi="仿宋" w:eastAsia="仿宋" w:cs="仿宋"/>
          <w:b/>
          <w:bCs/>
          <w:sz w:val="32"/>
          <w:szCs w:val="32"/>
          <w:lang w:eastAsia="zh-CN"/>
        </w:rPr>
        <w:t>一</w:t>
      </w:r>
      <w:r>
        <w:rPr>
          <w:rFonts w:hint="eastAsia" w:ascii="仿宋" w:hAnsi="仿宋" w:eastAsia="仿宋" w:cs="仿宋"/>
          <w:b/>
          <w:bCs/>
          <w:sz w:val="32"/>
          <w:szCs w:val="32"/>
        </w:rPr>
        <w:t>月</w:t>
      </w:r>
    </w:p>
    <w:p>
      <w:pPr>
        <w:spacing w:line="360" w:lineRule="auto"/>
        <w:jc w:val="center"/>
        <w:rPr>
          <w:rFonts w:hint="eastAsia" w:ascii="仿宋" w:hAnsi="仿宋" w:eastAsia="仿宋" w:cs="仿宋"/>
          <w:b/>
          <w:bCs/>
          <w:sz w:val="32"/>
          <w:szCs w:val="32"/>
        </w:rPr>
        <w:sectPr>
          <w:headerReference r:id="rId3" w:type="default"/>
          <w:footerReference r:id="rId4" w:type="default"/>
          <w:pgSz w:w="11906" w:h="16838"/>
          <w:pgMar w:top="1417" w:right="1701" w:bottom="1417" w:left="1701" w:header="851" w:footer="992" w:gutter="0"/>
          <w:cols w:space="0" w:num="1"/>
          <w:docGrid w:linePitch="312" w:charSpace="0"/>
        </w:sectPr>
      </w:pPr>
    </w:p>
    <w:p>
      <w:pPr>
        <w:pStyle w:val="38"/>
        <w:numPr>
          <w:ilvl w:val="0"/>
          <w:numId w:val="0"/>
        </w:numPr>
        <w:ind w:left="7980"/>
        <w:rPr>
          <w:rFonts w:hint="eastAsia" w:ascii="仿宋" w:hAnsi="仿宋" w:eastAsia="仿宋" w:cs="仿宋"/>
        </w:rPr>
      </w:pPr>
    </w:p>
    <w:p>
      <w:pPr>
        <w:spacing w:line="360" w:lineRule="auto"/>
        <w:jc w:val="center"/>
        <w:rPr>
          <w:rFonts w:hint="eastAsia" w:ascii="仿宋" w:hAnsi="仿宋" w:eastAsia="仿宋" w:cs="仿宋"/>
          <w:b/>
          <w:bCs/>
          <w:sz w:val="32"/>
          <w:szCs w:val="32"/>
        </w:rPr>
      </w:pPr>
    </w:p>
    <w:p>
      <w:pPr>
        <w:pStyle w:val="38"/>
        <w:numPr>
          <w:ilvl w:val="0"/>
          <w:numId w:val="0"/>
        </w:numPr>
        <w:ind w:left="7980"/>
        <w:rPr>
          <w:rFonts w:hint="eastAsia" w:ascii="仿宋" w:hAnsi="仿宋" w:eastAsia="仿宋" w:cs="仿宋"/>
        </w:rPr>
      </w:pPr>
    </w:p>
    <w:p>
      <w:pPr>
        <w:spacing w:line="600" w:lineRule="auto"/>
        <w:jc w:val="center"/>
        <w:rPr>
          <w:rFonts w:hint="eastAsia" w:ascii="仿宋" w:hAnsi="仿宋" w:eastAsia="仿宋" w:cs="仿宋"/>
          <w:b/>
          <w:bCs/>
          <w:sz w:val="28"/>
          <w:szCs w:val="28"/>
        </w:rPr>
      </w:pPr>
      <w:r>
        <w:rPr>
          <w:rFonts w:hint="eastAsia" w:ascii="仿宋" w:hAnsi="仿宋" w:eastAsia="仿宋" w:cs="仿宋"/>
          <w:b/>
          <w:bCs/>
          <w:sz w:val="28"/>
          <w:szCs w:val="28"/>
        </w:rPr>
        <w:t>目  录</w:t>
      </w:r>
    </w:p>
    <w:p>
      <w:pPr>
        <w:pStyle w:val="2"/>
        <w:tabs>
          <w:tab w:val="right" w:leader="dot" w:pos="8504"/>
        </w:tabs>
        <w:spacing w:line="600" w:lineRule="auto"/>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"1-3"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"_Toc18053" </w:instrText>
      </w:r>
      <w:r>
        <w:rPr>
          <w:rFonts w:hint="eastAsia" w:ascii="仿宋" w:hAnsi="仿宋" w:eastAsia="仿宋" w:cs="仿宋"/>
        </w:rPr>
        <w:fldChar w:fldCharType="separate"/>
      </w:r>
      <w:r>
        <w:rPr>
          <w:rFonts w:hint="eastAsia" w:ascii="仿宋" w:hAnsi="仿宋" w:eastAsia="仿宋" w:cs="仿宋"/>
          <w:b/>
          <w:bCs/>
          <w:sz w:val="28"/>
          <w:szCs w:val="28"/>
          <w:lang w:val="zh-CN"/>
        </w:rPr>
        <w:t>第一部分  竞争性磋商公告</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_Toc18053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2"/>
        <w:tabs>
          <w:tab w:val="right" w:leader="dot" w:pos="8504"/>
        </w:tabs>
        <w:spacing w:line="600" w:lineRule="auto"/>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"_Toc5932" </w:instrText>
      </w:r>
      <w:r>
        <w:rPr>
          <w:rFonts w:hint="eastAsia" w:ascii="仿宋" w:hAnsi="仿宋" w:eastAsia="仿宋" w:cs="仿宋"/>
        </w:rPr>
        <w:fldChar w:fldCharType="separate"/>
      </w:r>
      <w:r>
        <w:rPr>
          <w:rFonts w:hint="eastAsia" w:ascii="仿宋" w:hAnsi="仿宋" w:eastAsia="仿宋" w:cs="仿宋"/>
          <w:b/>
          <w:bCs/>
          <w:sz w:val="28"/>
          <w:szCs w:val="28"/>
          <w:lang w:val="zh-CN"/>
        </w:rPr>
        <w:t>第二部分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val="zh-CN"/>
        </w:rPr>
        <w:t>竞争性磋商须知</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_Toc5932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2"/>
        <w:tabs>
          <w:tab w:val="right" w:leader="dot" w:pos="8504"/>
        </w:tabs>
        <w:spacing w:line="600" w:lineRule="auto"/>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"_Toc5717" </w:instrText>
      </w:r>
      <w:r>
        <w:rPr>
          <w:rFonts w:hint="eastAsia" w:ascii="仿宋" w:hAnsi="仿宋" w:eastAsia="仿宋" w:cs="仿宋"/>
        </w:rPr>
        <w:fldChar w:fldCharType="separate"/>
      </w:r>
      <w:r>
        <w:rPr>
          <w:rFonts w:hint="eastAsia" w:ascii="仿宋" w:hAnsi="仿宋" w:eastAsia="仿宋" w:cs="仿宋"/>
          <w:b/>
          <w:bCs/>
          <w:sz w:val="28"/>
          <w:szCs w:val="28"/>
        </w:rPr>
        <w:t>第三部分 采购内容及要求</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_Toc5717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28</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2"/>
        <w:tabs>
          <w:tab w:val="right" w:leader="dot" w:pos="8504"/>
        </w:tabs>
        <w:spacing w:line="600" w:lineRule="auto"/>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"_Toc28678" </w:instrText>
      </w:r>
      <w:r>
        <w:rPr>
          <w:rFonts w:hint="eastAsia" w:ascii="仿宋" w:hAnsi="仿宋" w:eastAsia="仿宋" w:cs="仿宋"/>
        </w:rPr>
        <w:fldChar w:fldCharType="separate"/>
      </w:r>
      <w:r>
        <w:rPr>
          <w:rFonts w:hint="eastAsia" w:ascii="仿宋" w:hAnsi="仿宋" w:eastAsia="仿宋" w:cs="仿宋"/>
          <w:b/>
          <w:bCs/>
          <w:sz w:val="28"/>
          <w:szCs w:val="28"/>
          <w:lang w:val="zh-CN"/>
        </w:rPr>
        <w:t>第四部分</w:t>
      </w:r>
      <w:r>
        <w:rPr>
          <w:rFonts w:hint="eastAsia" w:ascii="仿宋" w:hAnsi="仿宋" w:eastAsia="仿宋" w:cs="仿宋"/>
          <w:b/>
          <w:bCs/>
          <w:sz w:val="28"/>
          <w:szCs w:val="28"/>
          <w:lang w:val="en-US" w:eastAsia="zh-CN"/>
        </w:rPr>
        <w:t xml:space="preserve"> </w:t>
      </w:r>
      <w:r>
        <w:rPr>
          <w:rFonts w:hint="eastAsia" w:ascii="仿宋" w:hAnsi="仿宋" w:eastAsia="仿宋" w:cs="仿宋"/>
          <w:b/>
          <w:bCs/>
          <w:sz w:val="28"/>
          <w:szCs w:val="28"/>
          <w:lang w:val="zh-CN"/>
        </w:rPr>
        <w:t>商务主要条款及格式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_Toc28678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32</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Style w:val="2"/>
        <w:tabs>
          <w:tab w:val="right" w:leader="dot" w:pos="8504"/>
        </w:tabs>
        <w:spacing w:line="600" w:lineRule="auto"/>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"_Toc21804" </w:instrText>
      </w:r>
      <w:r>
        <w:rPr>
          <w:rFonts w:hint="eastAsia" w:ascii="仿宋" w:hAnsi="仿宋" w:eastAsia="仿宋" w:cs="仿宋"/>
        </w:rPr>
        <w:fldChar w:fldCharType="separate"/>
      </w:r>
      <w:r>
        <w:rPr>
          <w:rFonts w:hint="eastAsia" w:ascii="仿宋" w:hAnsi="仿宋" w:eastAsia="仿宋" w:cs="仿宋"/>
          <w:b/>
          <w:bCs/>
          <w:sz w:val="28"/>
          <w:szCs w:val="28"/>
          <w:lang w:val="zh-CN"/>
        </w:rPr>
        <w:t>第五部分</w:t>
      </w:r>
      <w:r>
        <w:rPr>
          <w:rFonts w:hint="eastAsia" w:ascii="仿宋" w:hAnsi="仿宋" w:eastAsia="仿宋" w:cs="仿宋"/>
          <w:b/>
          <w:bCs/>
          <w:sz w:val="28"/>
          <w:szCs w:val="28"/>
        </w:rPr>
        <w:t xml:space="preserve">  磋商响应文件格式</w:t>
      </w:r>
      <w:r>
        <w:rPr>
          <w:rFonts w:hint="eastAsia" w:ascii="仿宋" w:hAnsi="仿宋" w:eastAsia="仿宋" w:cs="仿宋"/>
          <w:b/>
          <w:bCs/>
          <w:sz w:val="28"/>
          <w:szCs w:val="28"/>
        </w:rPr>
        <w:tab/>
      </w: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 PAGEREF _Toc21804 \h </w:instrText>
      </w:r>
      <w:r>
        <w:rPr>
          <w:rFonts w:hint="eastAsia" w:ascii="仿宋" w:hAnsi="仿宋" w:eastAsia="仿宋" w:cs="仿宋"/>
          <w:b/>
          <w:bCs/>
          <w:sz w:val="28"/>
          <w:szCs w:val="28"/>
        </w:rPr>
        <w:fldChar w:fldCharType="separate"/>
      </w:r>
      <w:r>
        <w:rPr>
          <w:rFonts w:hint="eastAsia" w:ascii="仿宋" w:hAnsi="仿宋" w:eastAsia="仿宋" w:cs="仿宋"/>
          <w:b/>
          <w:bCs/>
          <w:sz w:val="28"/>
          <w:szCs w:val="28"/>
        </w:rPr>
        <w:t>34</w:t>
      </w:r>
      <w:r>
        <w:rPr>
          <w:rFonts w:hint="eastAsia" w:ascii="仿宋" w:hAnsi="仿宋" w:eastAsia="仿宋" w:cs="仿宋"/>
          <w:b/>
          <w:bCs/>
          <w:sz w:val="28"/>
          <w:szCs w:val="28"/>
        </w:rPr>
        <w:fldChar w:fldCharType="end"/>
      </w:r>
      <w:r>
        <w:rPr>
          <w:rFonts w:hint="eastAsia" w:ascii="仿宋" w:hAnsi="仿宋" w:eastAsia="仿宋" w:cs="仿宋"/>
          <w:b/>
          <w:bCs/>
          <w:sz w:val="28"/>
          <w:szCs w:val="28"/>
        </w:rPr>
        <w:fldChar w:fldCharType="end"/>
      </w:r>
    </w:p>
    <w:p>
      <w:pPr>
        <w:pageBreakBefore/>
        <w:spacing w:line="600" w:lineRule="auto"/>
        <w:jc w:val="center"/>
        <w:outlineLvl w:val="0"/>
        <w:rPr>
          <w:rFonts w:hint="eastAsia" w:ascii="仿宋" w:hAnsi="仿宋" w:eastAsia="仿宋" w:cs="仿宋"/>
          <w:b/>
          <w:sz w:val="32"/>
          <w:szCs w:val="32"/>
          <w:lang w:val="zh-CN"/>
        </w:rPr>
      </w:pPr>
      <w:r>
        <w:rPr>
          <w:rFonts w:hint="eastAsia" w:ascii="仿宋" w:hAnsi="仿宋" w:eastAsia="仿宋" w:cs="仿宋"/>
          <w:b/>
          <w:bCs/>
          <w:sz w:val="28"/>
          <w:szCs w:val="28"/>
        </w:rPr>
        <w:fldChar w:fldCharType="end"/>
      </w:r>
      <w:bookmarkStart w:id="0" w:name="_Toc11850"/>
      <w:bookmarkStart w:id="1" w:name="_Toc28369"/>
      <w:bookmarkStart w:id="2" w:name="_Toc18053"/>
      <w:bookmarkStart w:id="3" w:name="_Toc28176"/>
      <w:r>
        <w:rPr>
          <w:rFonts w:hint="eastAsia" w:ascii="仿宋" w:hAnsi="仿宋" w:eastAsia="仿宋" w:cs="仿宋"/>
          <w:b/>
          <w:sz w:val="32"/>
          <w:szCs w:val="32"/>
          <w:lang w:val="zh-CN"/>
        </w:rPr>
        <w:t>第一部分   竞争性磋商公告</w:t>
      </w:r>
      <w:bookmarkEnd w:id="0"/>
      <w:bookmarkEnd w:id="1"/>
      <w:bookmarkEnd w:id="2"/>
      <w:bookmarkEnd w:id="3"/>
    </w:p>
    <w:p>
      <w:pPr>
        <w:widowControl/>
        <w:spacing w:line="360" w:lineRule="auto"/>
        <w:ind w:firstLine="482" w:firstLineChars="200"/>
        <w:jc w:val="left"/>
        <w:textAlignment w:val="baseline"/>
        <w:rPr>
          <w:rFonts w:hint="eastAsia" w:ascii="仿宋" w:hAnsi="仿宋" w:eastAsia="仿宋" w:cs="仿宋"/>
          <w:b/>
          <w:sz w:val="24"/>
          <w:szCs w:val="24"/>
        </w:rPr>
      </w:pPr>
      <w:bookmarkStart w:id="4" w:name="_Toc18611"/>
      <w:bookmarkStart w:id="5" w:name="_Toc26240"/>
      <w:bookmarkStart w:id="6" w:name="_Toc495681221"/>
      <w:bookmarkStart w:id="7" w:name="_Toc495681502"/>
      <w:bookmarkStart w:id="8" w:name="_Toc27498"/>
      <w:bookmarkStart w:id="9" w:name="_Toc495681375"/>
      <w:bookmarkStart w:id="10" w:name="_Toc5932"/>
      <w:bookmarkStart w:id="11" w:name="_Toc22093"/>
      <w:bookmarkStart w:id="12" w:name="_Toc16644"/>
      <w:bookmarkStart w:id="13" w:name="_Toc16236"/>
      <w:bookmarkStart w:id="14" w:name="_Toc10158"/>
      <w:bookmarkStart w:id="15" w:name="_Toc10932"/>
      <w:bookmarkStart w:id="16" w:name="_Toc32562"/>
      <w:bookmarkStart w:id="17" w:name="_Toc22995"/>
      <w:bookmarkStart w:id="18" w:name="_Toc21600"/>
      <w:bookmarkStart w:id="19" w:name="_Toc11530"/>
      <w:r>
        <w:rPr>
          <w:rStyle w:val="28"/>
          <w:rFonts w:hint="eastAsia" w:ascii="仿宋" w:hAnsi="仿宋" w:eastAsia="仿宋" w:cs="仿宋"/>
          <w:color w:val="333333"/>
          <w:sz w:val="24"/>
          <w:szCs w:val="24"/>
          <w:shd w:val="clear" w:color="auto" w:fill="FFFFFF"/>
        </w:rPr>
        <w:t>项目概况</w:t>
      </w:r>
    </w:p>
    <w:p>
      <w:pPr>
        <w:spacing w:line="360" w:lineRule="auto"/>
        <w:ind w:firstLine="480" w:firstLineChars="200"/>
        <w:jc w:val="left"/>
        <w:rPr>
          <w:rFonts w:hint="eastAsia" w:ascii="仿宋" w:hAnsi="仿宋" w:eastAsia="仿宋" w:cs="仿宋"/>
          <w:bCs/>
          <w:color w:val="333333"/>
          <w:sz w:val="24"/>
          <w:szCs w:val="24"/>
          <w:shd w:val="clear" w:color="auto" w:fill="FFFFFF"/>
        </w:rPr>
      </w:pPr>
      <w:r>
        <w:rPr>
          <w:rFonts w:hint="eastAsia" w:ascii="仿宋" w:hAnsi="仿宋" w:eastAsia="仿宋" w:cs="仿宋"/>
          <w:bCs/>
          <w:color w:val="auto"/>
          <w:kern w:val="0"/>
          <w:sz w:val="24"/>
          <w:szCs w:val="24"/>
          <w:shd w:val="clear" w:color="auto" w:fill="FFFFFF"/>
        </w:rPr>
        <w:t>高速出口疫情检查点遮阳设施工程的潜在供应商应在西安市未央区明光路中建财智广场5栋501室获取采购文件，并于 2022年</w:t>
      </w:r>
      <w:r>
        <w:rPr>
          <w:rFonts w:hint="eastAsia" w:ascii="仿宋" w:hAnsi="仿宋" w:eastAsia="仿宋" w:cs="仿宋"/>
          <w:bCs/>
          <w:color w:val="auto"/>
          <w:kern w:val="0"/>
          <w:sz w:val="24"/>
          <w:szCs w:val="24"/>
          <w:shd w:val="clear" w:color="auto" w:fill="FFFFFF"/>
          <w:lang w:val="en-US" w:eastAsia="zh-CN"/>
        </w:rPr>
        <w:t>11</w:t>
      </w:r>
      <w:r>
        <w:rPr>
          <w:rFonts w:hint="eastAsia" w:ascii="仿宋" w:hAnsi="仿宋" w:eastAsia="仿宋" w:cs="仿宋"/>
          <w:bCs/>
          <w:color w:val="auto"/>
          <w:kern w:val="0"/>
          <w:sz w:val="24"/>
          <w:szCs w:val="24"/>
          <w:shd w:val="clear" w:color="auto" w:fill="FFFFFF"/>
        </w:rPr>
        <w:t>月</w:t>
      </w:r>
      <w:r>
        <w:rPr>
          <w:rFonts w:hint="eastAsia" w:ascii="仿宋" w:hAnsi="仿宋" w:eastAsia="仿宋" w:cs="仿宋"/>
          <w:bCs/>
          <w:color w:val="auto"/>
          <w:kern w:val="0"/>
          <w:sz w:val="24"/>
          <w:szCs w:val="24"/>
          <w:shd w:val="clear" w:color="auto" w:fill="FFFFFF"/>
          <w:lang w:val="en-US" w:eastAsia="zh-CN"/>
        </w:rPr>
        <w:t>17</w:t>
      </w:r>
      <w:r>
        <w:rPr>
          <w:rFonts w:hint="eastAsia" w:ascii="仿宋" w:hAnsi="仿宋" w:eastAsia="仿宋" w:cs="仿宋"/>
          <w:bCs/>
          <w:color w:val="auto"/>
          <w:kern w:val="0"/>
          <w:sz w:val="24"/>
          <w:szCs w:val="24"/>
          <w:shd w:val="clear" w:color="auto" w:fill="FFFFFF"/>
        </w:rPr>
        <w:t>日14时30分（北京时间）前递交响应文件。</w:t>
      </w:r>
    </w:p>
    <w:p>
      <w:pPr>
        <w:pStyle w:val="22"/>
        <w:spacing w:before="0" w:beforeAutospacing="0" w:after="0" w:afterAutospacing="0" w:line="360" w:lineRule="auto"/>
        <w:ind w:firstLine="482" w:firstLineChars="200"/>
        <w:jc w:val="both"/>
        <w:textAlignment w:val="baseline"/>
        <w:rPr>
          <w:rFonts w:hint="eastAsia" w:ascii="仿宋" w:hAnsi="仿宋" w:eastAsia="仿宋" w:cs="仿宋"/>
          <w:b/>
          <w:color w:val="333333"/>
          <w:shd w:val="clear" w:color="auto" w:fill="FFFFFF"/>
        </w:rPr>
      </w:pPr>
      <w:r>
        <w:rPr>
          <w:rFonts w:hint="eastAsia" w:ascii="仿宋" w:hAnsi="仿宋" w:eastAsia="仿宋" w:cs="仿宋"/>
          <w:b/>
          <w:color w:val="333333"/>
          <w:shd w:val="clear" w:color="auto" w:fill="FFFFFF"/>
        </w:rPr>
        <w:t>一、项目基本情况</w:t>
      </w:r>
    </w:p>
    <w:p>
      <w:pPr>
        <w:pStyle w:val="22"/>
        <w:spacing w:before="0" w:beforeAutospacing="0" w:after="0" w:afterAutospacing="0" w:line="360" w:lineRule="auto"/>
        <w:ind w:firstLine="480" w:firstLineChars="200"/>
        <w:jc w:val="both"/>
        <w:textAlignment w:val="baseline"/>
        <w:rPr>
          <w:rFonts w:hint="eastAsia" w:ascii="仿宋" w:hAnsi="仿宋" w:eastAsia="仿宋" w:cs="仿宋"/>
          <w:bCs/>
          <w:color w:val="333333"/>
          <w:shd w:val="clear" w:color="auto" w:fill="FFFFFF"/>
        </w:rPr>
      </w:pPr>
      <w:r>
        <w:rPr>
          <w:rFonts w:hint="eastAsia" w:ascii="仿宋" w:hAnsi="仿宋" w:eastAsia="仿宋" w:cs="仿宋"/>
          <w:bCs/>
          <w:color w:val="333333"/>
          <w:shd w:val="clear" w:color="auto" w:fill="FFFFFF"/>
        </w:rPr>
        <w:t>项目编号：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bCs/>
          <w:color w:val="auto"/>
          <w:shd w:val="clear" w:color="auto" w:fill="FFFFFF"/>
        </w:rPr>
      </w:pPr>
      <w:r>
        <w:rPr>
          <w:rFonts w:hint="eastAsia" w:ascii="仿宋" w:hAnsi="仿宋" w:eastAsia="仿宋" w:cs="仿宋"/>
          <w:bCs/>
          <w:color w:val="auto"/>
          <w:shd w:val="clear" w:color="auto" w:fill="FFFFFF"/>
        </w:rPr>
        <w:t>项目名称：高速出口疫情检查点遮阳设施工程</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采购方式：竞争性磋商</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auto"/>
          <w:shd w:val="clear" w:color="auto" w:fill="FFFFFF"/>
        </w:rPr>
      </w:pPr>
      <w:r>
        <w:rPr>
          <w:rFonts w:hint="eastAsia" w:ascii="仿宋" w:hAnsi="仿宋" w:eastAsia="仿宋" w:cs="仿宋"/>
          <w:color w:val="auto"/>
          <w:shd w:val="clear" w:color="auto" w:fill="FFFFFF"/>
        </w:rPr>
        <w:t>预算金额：</w:t>
      </w:r>
      <w:r>
        <w:rPr>
          <w:rFonts w:hint="eastAsia" w:ascii="仿宋" w:hAnsi="仿宋" w:eastAsia="仿宋" w:cs="仿宋"/>
          <w:color w:val="auto"/>
          <w:shd w:val="clear" w:color="auto" w:fill="FFFFFF"/>
          <w:lang w:val="en-US" w:eastAsia="zh-CN"/>
        </w:rPr>
        <w:t>87</w:t>
      </w:r>
      <w:r>
        <w:rPr>
          <w:rFonts w:hint="eastAsia" w:ascii="仿宋" w:hAnsi="仿宋" w:eastAsia="仿宋" w:cs="仿宋"/>
          <w:color w:val="auto"/>
          <w:shd w:val="clear" w:color="auto" w:fill="FFFFFF"/>
        </w:rPr>
        <w:t>0000.00元</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auto"/>
          <w:shd w:val="clear" w:color="auto" w:fill="FFFFFF"/>
          <w:lang w:eastAsia="zh-CN"/>
        </w:rPr>
      </w:pPr>
      <w:r>
        <w:rPr>
          <w:rFonts w:hint="eastAsia" w:ascii="仿宋" w:hAnsi="仿宋" w:eastAsia="仿宋" w:cs="仿宋"/>
          <w:color w:val="auto"/>
          <w:shd w:val="clear" w:color="auto" w:fill="FFFFFF"/>
        </w:rPr>
        <w:t>最高限价：796385.55</w:t>
      </w:r>
      <w:r>
        <w:rPr>
          <w:rFonts w:hint="eastAsia" w:ascii="仿宋" w:hAnsi="仿宋" w:eastAsia="仿宋" w:cs="仿宋"/>
          <w:color w:val="auto"/>
          <w:shd w:val="clear" w:color="auto" w:fill="FFFFFF"/>
          <w:lang w:eastAsia="zh-CN"/>
        </w:rPr>
        <w:t>元</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highlight w:val="none"/>
          <w:shd w:val="clear" w:color="auto" w:fill="FFFFFF"/>
          <w:lang w:eastAsia="zh-CN"/>
        </w:rPr>
      </w:pPr>
      <w:r>
        <w:rPr>
          <w:rFonts w:hint="eastAsia" w:ascii="仿宋" w:hAnsi="仿宋" w:eastAsia="仿宋" w:cs="仿宋"/>
          <w:color w:val="333333"/>
          <w:highlight w:val="none"/>
          <w:shd w:val="clear" w:color="auto" w:fill="FFFFFF"/>
        </w:rPr>
        <w:t>采购内容:高陵区西禹高速收费站出口、西安外环高速高陵西收费站出口和永乐东收费站出口三个检查点建设膜结构遮阳棚</w:t>
      </w:r>
      <w:r>
        <w:rPr>
          <w:rFonts w:hint="eastAsia" w:ascii="仿宋" w:hAnsi="仿宋" w:eastAsia="仿宋" w:cs="仿宋"/>
          <w:color w:val="333333"/>
          <w:highlight w:val="none"/>
          <w:shd w:val="clear" w:color="auto" w:fill="FFFFFF"/>
          <w:lang w:eastAsia="zh-CN"/>
        </w:rPr>
        <w:t>。</w:t>
      </w:r>
      <w:r>
        <w:rPr>
          <w:rFonts w:hint="eastAsia" w:ascii="仿宋" w:hAnsi="仿宋" w:eastAsia="仿宋" w:cs="仿宋"/>
          <w:color w:val="auto"/>
          <w:highlight w:val="none"/>
          <w:shd w:val="clear" w:color="auto" w:fill="FFFFFF"/>
        </w:rPr>
        <w:t>需满足的要求:详见竞争性磋商文件。</w:t>
      </w:r>
    </w:p>
    <w:p>
      <w:pPr>
        <w:pStyle w:val="22"/>
        <w:spacing w:before="0" w:beforeAutospacing="0" w:after="0" w:afterAutospacing="0" w:line="360" w:lineRule="auto"/>
        <w:ind w:firstLine="482" w:firstLineChars="200"/>
        <w:jc w:val="both"/>
        <w:textAlignment w:val="baseline"/>
        <w:rPr>
          <w:rFonts w:hint="eastAsia"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二、申请人的资格要求：</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1.满足《中华人民共和国政府釆购法》第二十二条规定;</w:t>
      </w:r>
    </w:p>
    <w:p>
      <w:pPr>
        <w:pStyle w:val="22"/>
        <w:spacing w:before="0" w:beforeAutospacing="0" w:after="0" w:afterAutospacing="0" w:line="360" w:lineRule="auto"/>
        <w:ind w:firstLine="480" w:firstLineChars="200"/>
        <w:jc w:val="both"/>
        <w:textAlignment w:val="baseline"/>
        <w:rPr>
          <w:rFonts w:hint="eastAsia" w:ascii="仿宋" w:hAnsi="仿宋" w:eastAsia="仿宋" w:cs="仿宋"/>
        </w:rPr>
      </w:pPr>
      <w:r>
        <w:rPr>
          <w:rFonts w:hint="eastAsia" w:ascii="仿宋" w:hAnsi="仿宋" w:eastAsia="仿宋" w:cs="仿宋"/>
          <w:color w:val="333333"/>
          <w:shd w:val="clear" w:color="auto" w:fill="FFFFFF"/>
        </w:rPr>
        <w:t>2.落实政府采购政策需满足的资格要求：</w:t>
      </w:r>
      <w:r>
        <w:rPr>
          <w:rFonts w:hint="eastAsia" w:ascii="仿宋" w:hAnsi="仿宋" w:eastAsia="仿宋" w:cs="仿宋"/>
          <w:color w:val="333333"/>
          <w:shd w:val="clear" w:color="auto" w:fill="FFFFFF"/>
          <w:lang w:eastAsia="zh-CN"/>
        </w:rPr>
        <w:t>本项目</w:t>
      </w:r>
      <w:r>
        <w:rPr>
          <w:rFonts w:hint="eastAsia" w:ascii="仿宋" w:hAnsi="仿宋" w:eastAsia="仿宋" w:cs="仿宋"/>
        </w:rPr>
        <w:t>专门面向中小企业采购</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3.本项目的特定资格要求：</w:t>
      </w:r>
    </w:p>
    <w:p>
      <w:pPr>
        <w:autoSpaceDE w:val="0"/>
        <w:autoSpaceDN w:val="0"/>
        <w:adjustRightInd w:val="0"/>
        <w:snapToGrid w:val="0"/>
        <w:spacing w:line="360" w:lineRule="auto"/>
        <w:ind w:firstLine="480" w:firstLineChars="200"/>
        <w:rPr>
          <w:rFonts w:hint="eastAsia" w:ascii="仿宋" w:hAnsi="仿宋" w:eastAsia="仿宋" w:cs="仿宋"/>
          <w:color w:val="333333"/>
          <w:kern w:val="0"/>
          <w:sz w:val="24"/>
          <w:szCs w:val="24"/>
          <w:shd w:val="clear" w:color="auto" w:fill="FFFFFF"/>
        </w:rPr>
      </w:pPr>
      <w:r>
        <w:rPr>
          <w:rFonts w:hint="eastAsia" w:ascii="仿宋" w:hAnsi="仿宋" w:eastAsia="仿宋" w:cs="仿宋"/>
          <w:color w:val="333333"/>
          <w:kern w:val="0"/>
          <w:sz w:val="24"/>
          <w:szCs w:val="24"/>
          <w:shd w:val="clear" w:color="auto" w:fill="FFFFFF"/>
        </w:rPr>
        <w:t>1）符合《财政部关于在政府采购活动中查询及使用信用记录有关问题的通知》（财库【2016】125号）文件中信用查询的要求；（此项由采购人与采购代理单位在开标时查询，以现场查询为准）；</w:t>
      </w:r>
    </w:p>
    <w:p>
      <w:pPr>
        <w:pStyle w:val="22"/>
        <w:spacing w:before="0" w:beforeAutospacing="0" w:after="0" w:afterAutospacing="0" w:line="360" w:lineRule="auto"/>
        <w:ind w:firstLine="482"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b/>
          <w:bCs/>
          <w:color w:val="333333"/>
          <w:shd w:val="clear" w:color="auto" w:fill="FFFFFF"/>
        </w:rPr>
        <w:t>三、获取采购文件</w:t>
      </w:r>
    </w:p>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时间：2022年</w:t>
      </w:r>
      <w:r>
        <w:rPr>
          <w:rFonts w:hint="eastAsia" w:ascii="仿宋" w:hAnsi="仿宋" w:eastAsia="仿宋" w:cs="仿宋"/>
          <w:sz w:val="24"/>
          <w:szCs w:val="24"/>
          <w:lang w:val="en-US" w:eastAsia="zh-CN"/>
        </w:rPr>
        <w:t>11</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7</w:t>
      </w:r>
      <w:r>
        <w:rPr>
          <w:rFonts w:hint="eastAsia" w:ascii="仿宋" w:hAnsi="仿宋" w:eastAsia="仿宋" w:cs="仿宋"/>
          <w:sz w:val="24"/>
          <w:szCs w:val="24"/>
          <w:lang w:val="zh-CN"/>
        </w:rPr>
        <w:t>日 至 2022年</w:t>
      </w:r>
      <w:r>
        <w:rPr>
          <w:rFonts w:hint="eastAsia" w:ascii="仿宋" w:hAnsi="仿宋" w:eastAsia="仿宋" w:cs="仿宋"/>
          <w:sz w:val="24"/>
          <w:szCs w:val="24"/>
          <w:lang w:val="en-US" w:eastAsia="zh-CN"/>
        </w:rPr>
        <w:t>11</w:t>
      </w:r>
      <w:r>
        <w:rPr>
          <w:rFonts w:hint="eastAsia" w:ascii="仿宋" w:hAnsi="仿宋" w:eastAsia="仿宋" w:cs="仿宋"/>
          <w:sz w:val="24"/>
          <w:szCs w:val="24"/>
          <w:lang w:val="zh-CN"/>
        </w:rPr>
        <w:t>月</w:t>
      </w:r>
      <w:r>
        <w:rPr>
          <w:rFonts w:hint="eastAsia" w:ascii="仿宋" w:hAnsi="仿宋" w:eastAsia="仿宋" w:cs="仿宋"/>
          <w:sz w:val="24"/>
          <w:szCs w:val="24"/>
          <w:lang w:val="en-US" w:eastAsia="zh-CN"/>
        </w:rPr>
        <w:t>11</w:t>
      </w:r>
      <w:r>
        <w:rPr>
          <w:rFonts w:hint="eastAsia" w:ascii="仿宋" w:hAnsi="仿宋" w:eastAsia="仿宋" w:cs="仿宋"/>
          <w:sz w:val="24"/>
          <w:szCs w:val="24"/>
          <w:lang w:val="zh-CN"/>
        </w:rPr>
        <w:t>日 ，每天上午 09:00:00 至 12:00:00 ，下午 14:00:00 至 17:00:00 （北京时间,法定节假日除外）。</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地点：西安市未央区明光路中建财智广场5栋501室</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方式：现场获取</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售价：免费获取</w:t>
      </w:r>
    </w:p>
    <w:p>
      <w:pPr>
        <w:pStyle w:val="22"/>
        <w:spacing w:before="0" w:beforeAutospacing="0" w:after="0" w:afterAutospacing="0" w:line="360" w:lineRule="auto"/>
        <w:ind w:firstLine="482"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b/>
          <w:bCs/>
          <w:color w:val="333333"/>
          <w:shd w:val="clear" w:color="auto" w:fill="FFFFFF"/>
        </w:rPr>
        <w:t>四、响应文件提交</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截止时间：2022年</w:t>
      </w:r>
      <w:r>
        <w:rPr>
          <w:rFonts w:hint="eastAsia" w:ascii="仿宋" w:hAnsi="仿宋" w:eastAsia="仿宋" w:cs="仿宋"/>
          <w:color w:val="333333"/>
          <w:shd w:val="clear" w:color="auto" w:fill="FFFFFF"/>
          <w:lang w:val="en-US" w:eastAsia="zh-CN"/>
        </w:rPr>
        <w:t>11</w:t>
      </w:r>
      <w:r>
        <w:rPr>
          <w:rFonts w:hint="eastAsia" w:ascii="仿宋" w:hAnsi="仿宋" w:eastAsia="仿宋" w:cs="仿宋"/>
          <w:color w:val="333333"/>
          <w:shd w:val="clear" w:color="auto" w:fill="FFFFFF"/>
        </w:rPr>
        <w:t>月</w:t>
      </w:r>
      <w:r>
        <w:rPr>
          <w:rFonts w:hint="eastAsia" w:ascii="仿宋" w:hAnsi="仿宋" w:eastAsia="仿宋" w:cs="仿宋"/>
          <w:color w:val="333333"/>
          <w:shd w:val="clear" w:color="auto" w:fill="FFFFFF"/>
          <w:lang w:val="en-US" w:eastAsia="zh-CN"/>
        </w:rPr>
        <w:t>17</w:t>
      </w:r>
      <w:r>
        <w:rPr>
          <w:rFonts w:hint="eastAsia" w:ascii="仿宋" w:hAnsi="仿宋" w:eastAsia="仿宋" w:cs="仿宋"/>
          <w:color w:val="333333"/>
          <w:shd w:val="clear" w:color="auto" w:fill="FFFFFF"/>
        </w:rPr>
        <w:t>日 14时30分00秒（北京时间）</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地点：西安市未央区明光路中建财智广场5栋501室</w:t>
      </w:r>
    </w:p>
    <w:p>
      <w:pPr>
        <w:pStyle w:val="22"/>
        <w:spacing w:before="0" w:beforeAutospacing="0" w:after="0" w:afterAutospacing="0" w:line="360" w:lineRule="auto"/>
        <w:ind w:left="420" w:leftChars="200"/>
        <w:jc w:val="both"/>
        <w:textAlignment w:val="baseline"/>
        <w:rPr>
          <w:rFonts w:hint="eastAsia"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五、开启</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时间：2022年1</w:t>
      </w:r>
      <w:r>
        <w:rPr>
          <w:rFonts w:hint="eastAsia" w:ascii="仿宋" w:hAnsi="仿宋" w:eastAsia="仿宋" w:cs="仿宋"/>
          <w:color w:val="333333"/>
          <w:shd w:val="clear" w:color="auto" w:fill="FFFFFF"/>
          <w:lang w:val="en-US" w:eastAsia="zh-CN"/>
        </w:rPr>
        <w:t>1</w:t>
      </w:r>
      <w:r>
        <w:rPr>
          <w:rFonts w:hint="eastAsia" w:ascii="仿宋" w:hAnsi="仿宋" w:eastAsia="仿宋" w:cs="仿宋"/>
          <w:color w:val="333333"/>
          <w:shd w:val="clear" w:color="auto" w:fill="FFFFFF"/>
        </w:rPr>
        <w:t>月</w:t>
      </w:r>
      <w:r>
        <w:rPr>
          <w:rFonts w:hint="eastAsia" w:ascii="仿宋" w:hAnsi="仿宋" w:eastAsia="仿宋" w:cs="仿宋"/>
          <w:color w:val="333333"/>
          <w:shd w:val="clear" w:color="auto" w:fill="FFFFFF"/>
          <w:lang w:val="en-US" w:eastAsia="zh-CN"/>
        </w:rPr>
        <w:t>17</w:t>
      </w:r>
      <w:r>
        <w:rPr>
          <w:rFonts w:hint="eastAsia" w:ascii="仿宋" w:hAnsi="仿宋" w:eastAsia="仿宋" w:cs="仿宋"/>
          <w:color w:val="333333"/>
          <w:shd w:val="clear" w:color="auto" w:fill="FFFFFF"/>
        </w:rPr>
        <w:t>日 14时30分00秒（北京时间）</w:t>
      </w:r>
    </w:p>
    <w:p>
      <w:pPr>
        <w:pStyle w:val="22"/>
        <w:spacing w:before="0" w:beforeAutospacing="0" w:after="0" w:afterAutospacing="0" w:line="360" w:lineRule="auto"/>
        <w:ind w:left="420" w:leftChars="200"/>
        <w:jc w:val="both"/>
        <w:textAlignment w:val="baseline"/>
        <w:rPr>
          <w:rFonts w:hint="eastAsia" w:ascii="仿宋" w:hAnsi="仿宋" w:eastAsia="仿宋" w:cs="仿宋"/>
          <w:b/>
          <w:bCs/>
          <w:color w:val="333333"/>
          <w:shd w:val="clear" w:color="auto" w:fill="FFFFFF"/>
        </w:rPr>
      </w:pPr>
      <w:r>
        <w:rPr>
          <w:rFonts w:hint="eastAsia" w:ascii="仿宋" w:hAnsi="仿宋" w:eastAsia="仿宋" w:cs="仿宋"/>
          <w:color w:val="333333"/>
          <w:shd w:val="clear" w:color="auto" w:fill="FFFFFF"/>
        </w:rPr>
        <w:t>地点：西安市未央区明光路中建财智广场5栋501室</w:t>
      </w:r>
    </w:p>
    <w:p>
      <w:pPr>
        <w:pStyle w:val="22"/>
        <w:spacing w:before="0" w:beforeAutospacing="0" w:after="0" w:afterAutospacing="0" w:line="360" w:lineRule="auto"/>
        <w:ind w:firstLine="482"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b/>
          <w:bCs/>
          <w:color w:val="333333"/>
          <w:shd w:val="clear" w:color="auto" w:fill="FFFFFF"/>
        </w:rPr>
        <w:t>六、公告期限</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自本公告发布之日起3个工作日。</w:t>
      </w:r>
    </w:p>
    <w:p>
      <w:pPr>
        <w:pStyle w:val="22"/>
        <w:spacing w:before="0" w:beforeAutospacing="0" w:after="0" w:afterAutospacing="0" w:line="360" w:lineRule="auto"/>
        <w:ind w:firstLine="482" w:firstLineChars="200"/>
        <w:jc w:val="both"/>
        <w:textAlignment w:val="baseline"/>
        <w:rPr>
          <w:rFonts w:hint="eastAsia" w:ascii="仿宋" w:hAnsi="仿宋" w:eastAsia="仿宋" w:cs="仿宋"/>
          <w:b/>
          <w:bCs/>
          <w:color w:val="333333"/>
          <w:shd w:val="clear" w:color="auto" w:fill="FFFFFF"/>
        </w:rPr>
      </w:pPr>
      <w:r>
        <w:rPr>
          <w:rFonts w:hint="eastAsia" w:ascii="仿宋" w:hAnsi="仿宋" w:eastAsia="仿宋" w:cs="仿宋"/>
          <w:b/>
          <w:bCs/>
          <w:color w:val="333333"/>
          <w:shd w:val="clear" w:color="auto" w:fill="FFFFFF"/>
        </w:rPr>
        <w:t>七、其他补充事宜</w:t>
      </w:r>
    </w:p>
    <w:p>
      <w:pPr>
        <w:spacing w:line="360" w:lineRule="auto"/>
        <w:ind w:firstLine="480" w:firstLineChars="200"/>
        <w:rPr>
          <w:rFonts w:hint="eastAsia" w:ascii="仿宋" w:hAnsi="仿宋" w:eastAsia="仿宋" w:cs="仿宋"/>
          <w:b/>
          <w:bCs/>
          <w:sz w:val="24"/>
          <w:szCs w:val="24"/>
        </w:rPr>
      </w:pPr>
      <w:r>
        <w:rPr>
          <w:rFonts w:hint="eastAsia" w:ascii="仿宋" w:hAnsi="仿宋" w:eastAsia="仿宋" w:cs="仿宋"/>
          <w:sz w:val="24"/>
          <w:szCs w:val="24"/>
        </w:rPr>
        <w:t>1、领取磋商文件时请携带单位介绍信原件、经办人身份证原件及复印件（以上资料加盖单位鲜章）。</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2、执行的其他政府采购政策：</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（1）《财政部 国家发展改革委关于印发〈节能产品政府采购实施意见〉的通知》（财库〔2004〕185号）；</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（2）《国务院办公厅关于建立政府强制采购节能产品制度的通知》（国办发〔2007〕51号）；</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（3）《财政部环保总局关于环境标志产品政府采购实施的意见》（财库〔2006〕90号）；</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（4）《财政部 司法部关于政府采购支持监狱企业发展有关问题的通知》（财库〔2014〕68号）；</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（5）《三部门联合发布关于促进残疾人就业政府采购政策的通知》（财库〔2017〕141号）；</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（6）《财政部 发展改革委 生态环境部 市场监管总局关于调整优化节能产品、环境标志产品政府采购执行机制的通知》（财库〔2019〕9号）；</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（7）《关于运用政府采购政策支持乡村产业振兴的通知》（财库〔2021〕19号）；</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（8）《政府采购促进中小企业发展管理办法》（财库〔2020〕46号）、《关于进一步加大政府采购支持中小企业力度的通知》（财库〔2022〕19号）；</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（9）《陕西省中小企业政府采购信用融资办法》（陕财办采〔2018〕23号）相关政策、业务流程、办理平台（http://www.ccgp-shaanxi.gov.cn/zcdservice/zcd/ shanxi/）；</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highlight w:val="green"/>
          <w:shd w:val="clear" w:color="auto" w:fill="FFFFFF"/>
        </w:rPr>
      </w:pPr>
      <w:r>
        <w:rPr>
          <w:rFonts w:hint="eastAsia" w:ascii="仿宋" w:hAnsi="仿宋" w:eastAsia="仿宋" w:cs="仿宋"/>
          <w:color w:val="333333"/>
          <w:sz w:val="24"/>
          <w:szCs w:val="24"/>
          <w:shd w:val="clear" w:color="auto" w:fill="FFFFFF"/>
        </w:rPr>
        <w:t>（10）《关于进一步加强政府绿色采购有关问题的通知》（陕财办采〔2021〕29号）</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3、响应文件中凡是需要法定代表人盖章之处，非法人单位的负责人均参照执行。</w:t>
      </w:r>
    </w:p>
    <w:p>
      <w:pPr>
        <w:autoSpaceDE w:val="0"/>
        <w:autoSpaceDN w:val="0"/>
        <w:adjustRightInd w:val="0"/>
        <w:snapToGrid w:val="0"/>
        <w:spacing w:line="360" w:lineRule="auto"/>
        <w:ind w:firstLine="480" w:firstLineChars="200"/>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4、分支机构参与投标时，响应文件中应附法人出具的授权书。法人只能授权一家分支机构参与磋商，且不能与分支机构同时参与磋商。分支机构须提供自己的资格要求证明文件。</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5、供应商如不参与项目磋商，需在递交文件截止时间前一日以书面形式告知项目联系人（邮箱号：2371914004@qq.com),否则采购代理机构将向财政部门反映，供应商一年内累计出现三次该情形，将被监管部门记录为失信被执行人。</w:t>
      </w:r>
    </w:p>
    <w:p>
      <w:pPr>
        <w:pStyle w:val="22"/>
        <w:spacing w:before="0" w:beforeAutospacing="0" w:after="0" w:afterAutospacing="0" w:line="360" w:lineRule="auto"/>
        <w:ind w:firstLine="482"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b/>
          <w:bCs/>
          <w:color w:val="333333"/>
          <w:shd w:val="clear" w:color="auto" w:fill="FFFFFF"/>
        </w:rPr>
        <w:t>八、对本次招标提出询问，请按以下方式联系</w:t>
      </w:r>
      <w:r>
        <w:rPr>
          <w:rFonts w:hint="eastAsia" w:ascii="仿宋" w:hAnsi="仿宋" w:eastAsia="仿宋" w:cs="仿宋"/>
          <w:color w:val="333333"/>
          <w:shd w:val="clear" w:color="auto" w:fill="FFFFFF"/>
        </w:rPr>
        <w:t>。</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1.釆购人信息</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hd w:val="clear" w:color="auto" w:fill="FFFFFF"/>
        </w:rPr>
      </w:pPr>
      <w:r>
        <w:rPr>
          <w:rFonts w:hint="eastAsia" w:ascii="仿宋" w:hAnsi="仿宋" w:eastAsia="仿宋" w:cs="仿宋"/>
          <w:shd w:val="clear" w:color="auto" w:fill="FFFFFF"/>
        </w:rPr>
        <w:t>名称：</w:t>
      </w:r>
      <w:r>
        <w:rPr>
          <w:rFonts w:hint="eastAsia" w:ascii="仿宋" w:hAnsi="仿宋" w:eastAsia="仿宋" w:cs="仿宋"/>
          <w:shd w:val="clear" w:color="auto" w:fill="FFFFFF"/>
          <w:lang w:val="zh-CN"/>
        </w:rPr>
        <w:t>西安市高陵区住房和城乡建设局</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hd w:val="clear" w:color="auto" w:fill="FFFFFF"/>
        </w:rPr>
      </w:pPr>
      <w:r>
        <w:rPr>
          <w:rFonts w:hint="eastAsia" w:ascii="仿宋" w:hAnsi="仿宋" w:eastAsia="仿宋" w:cs="仿宋"/>
          <w:shd w:val="clear" w:color="auto" w:fill="FFFFFF"/>
        </w:rPr>
        <w:t>地址：西安市高陵区文卫路132号</w:t>
      </w:r>
    </w:p>
    <w:p>
      <w:pPr>
        <w:pStyle w:val="22"/>
        <w:spacing w:before="0" w:beforeAutospacing="0" w:after="0" w:afterAutospacing="0" w:line="360" w:lineRule="auto"/>
        <w:ind w:firstLine="480" w:firstLineChars="200"/>
        <w:jc w:val="both"/>
        <w:textAlignment w:val="baseline"/>
        <w:rPr>
          <w:rFonts w:hint="eastAsia" w:ascii="仿宋" w:hAnsi="仿宋" w:eastAsia="仿宋" w:cs="仿宋"/>
          <w:shd w:val="clear" w:color="auto" w:fill="FFFFFF"/>
        </w:rPr>
      </w:pPr>
      <w:r>
        <w:rPr>
          <w:rFonts w:hint="eastAsia" w:ascii="仿宋" w:hAnsi="仿宋" w:eastAsia="仿宋" w:cs="仿宋"/>
          <w:shd w:val="clear" w:color="auto" w:fill="FFFFFF"/>
        </w:rPr>
        <w:t>联系方式：15009209878</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2.釆购代理机构信息</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名称：腾德工程咨询有限公司</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地址：西安市未央区明光路中建财智广场5栋501室</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联系方式：029-62695993</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3.项目联系方式</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项目联系人：冯工</w:t>
      </w:r>
    </w:p>
    <w:p>
      <w:pPr>
        <w:pStyle w:val="22"/>
        <w:spacing w:before="0" w:beforeAutospacing="0" w:after="0" w:afterAutospacing="0" w:line="360" w:lineRule="auto"/>
        <w:ind w:firstLine="480" w:firstLineChars="200"/>
        <w:jc w:val="both"/>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电话：15209244507</w:t>
      </w:r>
    </w:p>
    <w:p>
      <w:pPr>
        <w:pStyle w:val="22"/>
        <w:spacing w:before="0" w:beforeAutospacing="0" w:after="0" w:afterAutospacing="0" w:line="360" w:lineRule="auto"/>
        <w:ind w:firstLine="480" w:firstLineChars="200"/>
        <w:jc w:val="right"/>
        <w:textAlignment w:val="baseline"/>
        <w:rPr>
          <w:rFonts w:hint="eastAsia" w:ascii="仿宋" w:hAnsi="仿宋" w:eastAsia="仿宋" w:cs="仿宋"/>
          <w:color w:val="333333"/>
          <w:shd w:val="clear" w:color="auto" w:fill="FFFFFF"/>
        </w:rPr>
      </w:pPr>
    </w:p>
    <w:p>
      <w:pPr>
        <w:pStyle w:val="22"/>
        <w:spacing w:before="0" w:beforeAutospacing="0" w:after="0" w:afterAutospacing="0" w:line="360" w:lineRule="auto"/>
        <w:ind w:firstLine="480" w:firstLineChars="200"/>
        <w:jc w:val="right"/>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腾德工程咨询有限公司</w:t>
      </w:r>
    </w:p>
    <w:p>
      <w:pPr>
        <w:pStyle w:val="22"/>
        <w:spacing w:before="0" w:beforeAutospacing="0" w:after="0" w:afterAutospacing="0" w:line="360" w:lineRule="auto"/>
        <w:ind w:firstLine="480" w:firstLineChars="200"/>
        <w:jc w:val="right"/>
        <w:textAlignment w:val="baseline"/>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2022年</w:t>
      </w:r>
      <w:r>
        <w:rPr>
          <w:rFonts w:hint="eastAsia" w:ascii="仿宋" w:hAnsi="仿宋" w:eastAsia="仿宋" w:cs="仿宋"/>
          <w:color w:val="333333"/>
          <w:shd w:val="clear" w:color="auto" w:fill="FFFFFF"/>
          <w:lang w:val="en-US" w:eastAsia="zh-CN"/>
        </w:rPr>
        <w:t>11</w:t>
      </w:r>
      <w:r>
        <w:rPr>
          <w:rFonts w:hint="eastAsia" w:ascii="仿宋" w:hAnsi="仿宋" w:eastAsia="仿宋" w:cs="仿宋"/>
          <w:color w:val="333333"/>
          <w:shd w:val="clear" w:color="auto" w:fill="FFFFFF"/>
        </w:rPr>
        <w:t>月</w:t>
      </w:r>
      <w:r>
        <w:rPr>
          <w:rFonts w:hint="eastAsia" w:ascii="仿宋" w:hAnsi="仿宋" w:eastAsia="仿宋" w:cs="仿宋"/>
          <w:color w:val="333333"/>
          <w:shd w:val="clear" w:color="auto" w:fill="FFFFFF"/>
          <w:lang w:val="en-US" w:eastAsia="zh-CN"/>
        </w:rPr>
        <w:t>7</w:t>
      </w:r>
      <w:r>
        <w:rPr>
          <w:rFonts w:hint="eastAsia" w:ascii="仿宋" w:hAnsi="仿宋" w:eastAsia="仿宋" w:cs="仿宋"/>
          <w:color w:val="333333"/>
          <w:shd w:val="clear" w:color="auto" w:fill="FFFFFF"/>
        </w:rPr>
        <w:t>日</w:t>
      </w:r>
    </w:p>
    <w:p>
      <w:pPr>
        <w:pageBreakBefore/>
        <w:autoSpaceDE w:val="0"/>
        <w:autoSpaceDN w:val="0"/>
        <w:adjustRightInd w:val="0"/>
        <w:spacing w:line="360" w:lineRule="auto"/>
        <w:jc w:val="center"/>
        <w:outlineLvl w:val="0"/>
        <w:rPr>
          <w:rFonts w:hint="eastAsia" w:ascii="仿宋" w:hAnsi="仿宋" w:eastAsia="仿宋" w:cs="仿宋"/>
          <w:b/>
          <w:sz w:val="32"/>
          <w:szCs w:val="32"/>
          <w:lang w:val="zh-CN"/>
        </w:rPr>
      </w:pPr>
      <w:r>
        <w:rPr>
          <w:rFonts w:hint="eastAsia" w:ascii="仿宋" w:hAnsi="仿宋" w:eastAsia="仿宋" w:cs="仿宋"/>
          <w:b/>
          <w:sz w:val="32"/>
          <w:szCs w:val="32"/>
          <w:lang w:val="zh-CN"/>
        </w:rPr>
        <w:t>第二部分</w:t>
      </w:r>
      <w:r>
        <w:rPr>
          <w:rFonts w:hint="eastAsia" w:ascii="仿宋" w:hAnsi="仿宋" w:eastAsia="仿宋" w:cs="仿宋"/>
          <w:b/>
          <w:sz w:val="32"/>
          <w:szCs w:val="32"/>
          <w:lang w:val="en-US" w:eastAsia="zh-CN"/>
        </w:rPr>
        <w:t xml:space="preserve"> </w:t>
      </w:r>
      <w:r>
        <w:rPr>
          <w:rFonts w:hint="eastAsia" w:ascii="仿宋" w:hAnsi="仿宋" w:eastAsia="仿宋" w:cs="仿宋"/>
          <w:b/>
          <w:sz w:val="32"/>
          <w:szCs w:val="32"/>
          <w:lang w:val="zh-CN"/>
        </w:rPr>
        <w:t>竞争性磋商须知</w:t>
      </w:r>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Start w:id="20" w:name="_Toc14947"/>
    </w:p>
    <w:p>
      <w:pPr>
        <w:jc w:val="center"/>
        <w:rPr>
          <w:rFonts w:hint="eastAsia" w:ascii="仿宋" w:hAnsi="仿宋" w:eastAsia="仿宋" w:cs="仿宋"/>
          <w:b/>
          <w:bCs/>
          <w:sz w:val="28"/>
          <w:szCs w:val="28"/>
          <w:lang w:val="zh-CN"/>
        </w:rPr>
      </w:pPr>
      <w:bookmarkStart w:id="21" w:name="_Toc5591"/>
      <w:bookmarkStart w:id="22" w:name="_Toc323"/>
      <w:bookmarkStart w:id="23" w:name="_Toc14989"/>
      <w:bookmarkStart w:id="24" w:name="_Toc22065"/>
      <w:bookmarkStart w:id="25" w:name="_Toc7000"/>
      <w:bookmarkStart w:id="26" w:name="_Toc13315"/>
      <w:bookmarkStart w:id="27" w:name="_Toc945"/>
      <w:bookmarkStart w:id="28" w:name="_Toc29618"/>
      <w:bookmarkStart w:id="29" w:name="_Toc17430"/>
      <w:bookmarkStart w:id="30" w:name="_Toc21427"/>
      <w:bookmarkStart w:id="31" w:name="_Toc25694"/>
      <w:bookmarkStart w:id="32" w:name="_Toc3270"/>
      <w:bookmarkStart w:id="33" w:name="_Toc24047"/>
      <w:r>
        <w:rPr>
          <w:rFonts w:hint="eastAsia" w:ascii="仿宋" w:hAnsi="仿宋" w:eastAsia="仿宋" w:cs="仿宋"/>
          <w:b/>
          <w:bCs/>
          <w:sz w:val="28"/>
          <w:szCs w:val="28"/>
          <w:lang w:val="zh-CN"/>
        </w:rPr>
        <w:t>供应商须知前附表</w:t>
      </w:r>
      <w:bookmarkEnd w:id="20"/>
      <w:bookmarkEnd w:id="21"/>
      <w:bookmarkEnd w:id="22"/>
      <w:bookmarkEnd w:id="23"/>
      <w:bookmarkEnd w:id="24"/>
      <w:bookmarkEnd w:id="25"/>
      <w:bookmarkEnd w:id="26"/>
      <w:bookmarkEnd w:id="27"/>
      <w:bookmarkEnd w:id="28"/>
      <w:bookmarkEnd w:id="29"/>
      <w:bookmarkEnd w:id="30"/>
      <w:bookmarkEnd w:id="31"/>
      <w:bookmarkEnd w:id="32"/>
      <w:bookmarkEnd w:id="33"/>
    </w:p>
    <w:tbl>
      <w:tblPr>
        <w:tblStyle w:val="25"/>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3"/>
        <w:gridCol w:w="2089"/>
        <w:gridCol w:w="63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bookmarkStart w:id="34" w:name="_Toc21293"/>
            <w:bookmarkStart w:id="35" w:name="_Toc20605"/>
            <w:bookmarkStart w:id="36" w:name="_Toc20834"/>
            <w:bookmarkStart w:id="37" w:name="_Toc757"/>
            <w:bookmarkStart w:id="38" w:name="_Toc16165"/>
            <w:bookmarkStart w:id="39" w:name="_Toc495681376"/>
            <w:bookmarkStart w:id="40" w:name="_Toc5340"/>
            <w:bookmarkStart w:id="41" w:name="_Toc495908021"/>
            <w:bookmarkStart w:id="42" w:name="_Toc4782"/>
            <w:bookmarkStart w:id="43" w:name="_Toc30549"/>
            <w:bookmarkStart w:id="44" w:name="_Toc11229"/>
            <w:bookmarkStart w:id="45" w:name="_Toc10377"/>
            <w:bookmarkStart w:id="46" w:name="_Toc495681222"/>
            <w:bookmarkStart w:id="47" w:name="_Toc4172"/>
            <w:bookmarkStart w:id="48" w:name="_Toc495681503"/>
            <w:bookmarkStart w:id="49" w:name="_Toc15836"/>
            <w:r>
              <w:rPr>
                <w:rFonts w:hint="eastAsia" w:ascii="仿宋" w:hAnsi="仿宋" w:eastAsia="仿宋" w:cs="仿宋"/>
                <w:sz w:val="24"/>
                <w:szCs w:val="24"/>
              </w:rPr>
              <w:t>条款</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条款名称</w:t>
            </w:r>
          </w:p>
        </w:tc>
        <w:tc>
          <w:tcPr>
            <w:tcW w:w="6308"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采购人</w:t>
            </w:r>
          </w:p>
        </w:tc>
        <w:tc>
          <w:tcPr>
            <w:tcW w:w="630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采购人名称：</w:t>
            </w:r>
            <w:r>
              <w:rPr>
                <w:rFonts w:hint="eastAsia" w:ascii="仿宋" w:hAnsi="仿宋" w:eastAsia="仿宋" w:cs="仿宋"/>
                <w:sz w:val="24"/>
                <w:szCs w:val="24"/>
                <w:lang w:val="zh-CN"/>
              </w:rPr>
              <w:t>西安市高陵区住房和城乡建设局</w:t>
            </w:r>
          </w:p>
          <w:p>
            <w:pPr>
              <w:spacing w:line="360" w:lineRule="auto"/>
              <w:rPr>
                <w:rFonts w:hint="eastAsia" w:ascii="仿宋" w:hAnsi="仿宋" w:eastAsia="仿宋" w:cs="仿宋"/>
                <w:sz w:val="24"/>
                <w:szCs w:val="24"/>
              </w:rPr>
            </w:pPr>
            <w:r>
              <w:rPr>
                <w:rFonts w:hint="eastAsia" w:ascii="仿宋" w:hAnsi="仿宋" w:eastAsia="仿宋" w:cs="仿宋"/>
                <w:sz w:val="24"/>
                <w:szCs w:val="24"/>
              </w:rPr>
              <w:t>地址：西安市高陵区文卫路132号</w:t>
            </w:r>
          </w:p>
          <w:p>
            <w:pPr>
              <w:spacing w:line="360" w:lineRule="auto"/>
              <w:rPr>
                <w:rFonts w:hint="eastAsia" w:ascii="仿宋" w:hAnsi="仿宋" w:eastAsia="仿宋" w:cs="仿宋"/>
                <w:color w:val="333333"/>
                <w:sz w:val="24"/>
                <w:szCs w:val="24"/>
                <w:shd w:val="clear" w:color="auto" w:fill="FFFFFF"/>
              </w:rPr>
            </w:pPr>
            <w:r>
              <w:rPr>
                <w:rFonts w:hint="eastAsia" w:ascii="仿宋" w:hAnsi="仿宋" w:eastAsia="仿宋" w:cs="仿宋"/>
                <w:color w:val="333333"/>
                <w:sz w:val="24"/>
                <w:szCs w:val="24"/>
                <w:shd w:val="clear" w:color="auto" w:fill="FFFFFF"/>
              </w:rPr>
              <w:t>联系人：陈工</w:t>
            </w:r>
          </w:p>
          <w:p>
            <w:pPr>
              <w:spacing w:line="360" w:lineRule="auto"/>
              <w:rPr>
                <w:rFonts w:hint="eastAsia" w:ascii="仿宋" w:hAnsi="仿宋" w:eastAsia="仿宋" w:cs="仿宋"/>
                <w:sz w:val="24"/>
                <w:szCs w:val="24"/>
              </w:rPr>
            </w:pPr>
            <w:r>
              <w:rPr>
                <w:rFonts w:hint="eastAsia" w:ascii="仿宋" w:hAnsi="仿宋" w:eastAsia="仿宋" w:cs="仿宋"/>
                <w:sz w:val="24"/>
                <w:szCs w:val="24"/>
              </w:rPr>
              <w:t>联系电话</w:t>
            </w:r>
            <w:r>
              <w:rPr>
                <w:rFonts w:hint="eastAsia" w:ascii="仿宋" w:hAnsi="仿宋" w:eastAsia="仿宋" w:cs="仿宋"/>
                <w:color w:val="333333"/>
                <w:sz w:val="24"/>
                <w:szCs w:val="24"/>
                <w:shd w:val="clear" w:color="auto" w:fill="FFFFFF"/>
              </w:rPr>
              <w:t>：15009209878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采购代理机构</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名称：腾德工程咨询有限公司</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地址：西安市未央区明光路中建财智广场5栋501室</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联系人：冯工</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联系电话：029-86253389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3</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308" w:type="dxa"/>
            <w:vAlign w:val="center"/>
          </w:tcPr>
          <w:p>
            <w:pPr>
              <w:spacing w:line="360" w:lineRule="auto"/>
              <w:rPr>
                <w:rFonts w:hint="eastAsia" w:ascii="仿宋" w:hAnsi="仿宋" w:eastAsia="仿宋" w:cs="仿宋"/>
                <w:sz w:val="24"/>
                <w:szCs w:val="24"/>
              </w:rPr>
            </w:pPr>
            <w:r>
              <w:rPr>
                <w:rFonts w:hint="eastAsia" w:ascii="仿宋" w:hAnsi="仿宋" w:eastAsia="仿宋" w:cs="仿宋"/>
                <w:sz w:val="24"/>
                <w:szCs w:val="24"/>
              </w:rPr>
              <w:t>高速出口疫情检查点遮阳设施工程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4</w:t>
            </w:r>
          </w:p>
        </w:tc>
        <w:tc>
          <w:tcPr>
            <w:tcW w:w="2089" w:type="dxa"/>
            <w:vAlign w:val="center"/>
          </w:tcPr>
          <w:p>
            <w:pPr>
              <w:spacing w:line="360" w:lineRule="auto"/>
              <w:jc w:val="center"/>
              <w:rPr>
                <w:rFonts w:hint="eastAsia" w:ascii="仿宋" w:hAnsi="仿宋" w:eastAsia="仿宋" w:cs="仿宋"/>
                <w:sz w:val="24"/>
                <w:szCs w:val="24"/>
                <w:lang w:eastAsia="zh-CN"/>
              </w:rPr>
            </w:pPr>
            <w:r>
              <w:rPr>
                <w:rFonts w:hint="eastAsia" w:ascii="仿宋" w:hAnsi="仿宋" w:eastAsia="仿宋" w:cs="仿宋"/>
                <w:sz w:val="24"/>
                <w:szCs w:val="24"/>
                <w:lang w:eastAsia="zh-CN"/>
              </w:rPr>
              <w:t>采购内容</w:t>
            </w:r>
          </w:p>
        </w:tc>
        <w:tc>
          <w:tcPr>
            <w:tcW w:w="6308" w:type="dxa"/>
            <w:vAlign w:val="center"/>
          </w:tcPr>
          <w:p>
            <w:pPr>
              <w:pStyle w:val="22"/>
              <w:spacing w:before="0" w:beforeAutospacing="0" w:after="0" w:afterAutospacing="0" w:line="360" w:lineRule="auto"/>
              <w:ind w:firstLine="480" w:firstLineChars="200"/>
              <w:jc w:val="both"/>
              <w:textAlignment w:val="baseline"/>
              <w:rPr>
                <w:rFonts w:hint="eastAsia" w:ascii="仿宋" w:hAnsi="仿宋" w:eastAsia="仿宋" w:cs="仿宋"/>
                <w:kern w:val="0"/>
                <w:sz w:val="24"/>
                <w:szCs w:val="24"/>
              </w:rPr>
            </w:pPr>
            <w:r>
              <w:rPr>
                <w:rFonts w:hint="eastAsia" w:ascii="仿宋" w:hAnsi="仿宋" w:eastAsia="仿宋" w:cs="仿宋"/>
                <w:kern w:val="2"/>
                <w:sz w:val="24"/>
                <w:szCs w:val="24"/>
                <w:lang w:val="en-US" w:eastAsia="zh-CN" w:bidi="ar-SA"/>
              </w:rPr>
              <w:t>高陵区西禹高速收费站出口、西安外环高速高陵西收费站出口和永乐东收费站出口三个检查点建设膜结构遮阳棚。总面积约1300平方米，建设内容包含膜结构遮阳棚设计、施工、灯饰安装等；主要功能或目标:筑牢疫情防控防线，守好高陵“关口”，改善一线工作人员工作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资金来源</w:t>
            </w:r>
          </w:p>
        </w:tc>
        <w:tc>
          <w:tcPr>
            <w:tcW w:w="6308" w:type="dxa"/>
            <w:shd w:val="clear" w:color="auto" w:fill="auto"/>
            <w:vAlign w:val="center"/>
          </w:tcPr>
          <w:p>
            <w:pPr>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财政性资金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2089" w:type="dxa"/>
            <w:vAlign w:val="center"/>
          </w:tcPr>
          <w:p>
            <w:pPr>
              <w:spacing w:line="360" w:lineRule="auto"/>
              <w:jc w:val="center"/>
              <w:rPr>
                <w:rFonts w:hint="eastAsia" w:ascii="仿宋" w:hAnsi="仿宋" w:eastAsia="仿宋" w:cs="仿宋"/>
                <w:color w:val="auto"/>
                <w:sz w:val="24"/>
                <w:szCs w:val="24"/>
                <w:highlight w:val="yellow"/>
              </w:rPr>
            </w:pPr>
            <w:r>
              <w:rPr>
                <w:rFonts w:hint="eastAsia" w:ascii="仿宋" w:hAnsi="仿宋" w:eastAsia="仿宋" w:cs="仿宋"/>
                <w:color w:val="auto"/>
                <w:sz w:val="24"/>
                <w:szCs w:val="24"/>
              </w:rPr>
              <w:t>采购预算</w:t>
            </w:r>
          </w:p>
        </w:tc>
        <w:tc>
          <w:tcPr>
            <w:tcW w:w="6308" w:type="dxa"/>
            <w:vAlign w:val="center"/>
          </w:tcPr>
          <w:p>
            <w:pPr>
              <w:spacing w:line="360" w:lineRule="auto"/>
              <w:rPr>
                <w:rFonts w:hint="eastAsia" w:ascii="仿宋" w:hAnsi="仿宋" w:eastAsia="仿宋" w:cs="仿宋"/>
                <w:color w:val="auto"/>
              </w:rPr>
            </w:pPr>
            <w:r>
              <w:rPr>
                <w:rFonts w:hint="eastAsia" w:ascii="仿宋" w:hAnsi="仿宋" w:eastAsia="仿宋" w:cs="仿宋"/>
                <w:color w:val="auto"/>
                <w:sz w:val="24"/>
                <w:szCs w:val="24"/>
              </w:rPr>
              <w:t>人民币</w:t>
            </w:r>
            <w:r>
              <w:rPr>
                <w:rFonts w:hint="eastAsia" w:ascii="仿宋" w:hAnsi="仿宋" w:eastAsia="仿宋" w:cs="仿宋"/>
                <w:color w:val="auto"/>
                <w:sz w:val="24"/>
                <w:szCs w:val="24"/>
                <w:lang w:val="en-US" w:eastAsia="zh-CN"/>
              </w:rPr>
              <w:t>870000</w:t>
            </w:r>
            <w:r>
              <w:rPr>
                <w:rFonts w:hint="eastAsia" w:ascii="仿宋" w:hAnsi="仿宋" w:eastAsia="仿宋" w:cs="仿宋"/>
                <w:color w:val="auto"/>
                <w:sz w:val="24"/>
                <w:szCs w:val="24"/>
              </w:rPr>
              <w:t>.00元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2089"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最高限价</w:t>
            </w:r>
          </w:p>
        </w:tc>
        <w:tc>
          <w:tcPr>
            <w:tcW w:w="6308" w:type="dxa"/>
            <w:shd w:val="clear" w:color="auto" w:fill="auto"/>
            <w:vAlign w:val="center"/>
          </w:tcPr>
          <w:p>
            <w:pPr>
              <w:spacing w:line="360" w:lineRule="auto"/>
              <w:rPr>
                <w:rFonts w:hint="eastAsia" w:ascii="仿宋" w:hAnsi="仿宋" w:eastAsia="仿宋" w:cs="仿宋"/>
                <w:color w:val="auto"/>
                <w:sz w:val="24"/>
                <w:szCs w:val="24"/>
              </w:rPr>
            </w:pPr>
            <w:r>
              <w:rPr>
                <w:rFonts w:hint="eastAsia" w:ascii="仿宋" w:hAnsi="仿宋" w:eastAsia="仿宋" w:cs="仿宋"/>
                <w:color w:val="auto"/>
                <w:sz w:val="24"/>
                <w:szCs w:val="24"/>
                <w:shd w:val="clear" w:color="auto"/>
              </w:rPr>
              <w:t>人民币796385.55元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2089" w:type="dxa"/>
            <w:shd w:val="clear" w:color="auto" w:fill="auto"/>
            <w:vAlign w:val="center"/>
          </w:tcPr>
          <w:p>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工期</w:t>
            </w:r>
          </w:p>
        </w:tc>
        <w:tc>
          <w:tcPr>
            <w:tcW w:w="6308" w:type="dxa"/>
            <w:shd w:val="clear" w:color="auto" w:fill="auto"/>
            <w:vAlign w:val="center"/>
          </w:tcPr>
          <w:p>
            <w:pPr>
              <w:spacing w:line="360" w:lineRule="auto"/>
              <w:jc w:val="left"/>
              <w:rPr>
                <w:rFonts w:hint="eastAsia" w:ascii="仿宋" w:hAnsi="仿宋" w:eastAsia="仿宋" w:cs="仿宋"/>
                <w:color w:val="auto"/>
              </w:rPr>
            </w:pPr>
            <w:r>
              <w:rPr>
                <w:rFonts w:hint="eastAsia" w:ascii="仿宋" w:hAnsi="仿宋" w:eastAsia="仿宋" w:cs="仿宋"/>
                <w:color w:val="auto"/>
                <w:sz w:val="24"/>
                <w:szCs w:val="24"/>
                <w:shd w:val="clear" w:color="auto"/>
                <w:lang w:val="en-US" w:eastAsia="zh-CN"/>
              </w:rPr>
              <w:t>15</w:t>
            </w:r>
            <w:r>
              <w:rPr>
                <w:rFonts w:hint="eastAsia" w:ascii="仿宋" w:hAnsi="仿宋" w:eastAsia="仿宋" w:cs="仿宋"/>
                <w:color w:val="auto"/>
                <w:sz w:val="24"/>
                <w:szCs w:val="24"/>
                <w:shd w:val="clear" w:color="auto"/>
              </w:rPr>
              <w:t>日历天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9</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项目实施地点</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按照甲方要求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磋商响应文件递交截止时间</w:t>
            </w:r>
          </w:p>
        </w:tc>
        <w:tc>
          <w:tcPr>
            <w:tcW w:w="6308" w:type="dxa"/>
            <w:vAlign w:val="center"/>
          </w:tcPr>
          <w:p>
            <w:pPr>
              <w:snapToGrid w:val="0"/>
              <w:spacing w:line="360" w:lineRule="auto"/>
              <w:rPr>
                <w:rFonts w:hint="eastAsia" w:ascii="仿宋" w:hAnsi="仿宋" w:eastAsia="仿宋" w:cs="仿宋"/>
                <w:sz w:val="24"/>
                <w:szCs w:val="24"/>
              </w:rPr>
            </w:pPr>
            <w:r>
              <w:rPr>
                <w:rFonts w:hint="eastAsia" w:ascii="仿宋" w:hAnsi="仿宋" w:eastAsia="仿宋" w:cs="仿宋"/>
                <w:kern w:val="0"/>
                <w:sz w:val="24"/>
                <w:szCs w:val="24"/>
              </w:rPr>
              <w:t>2022年</w:t>
            </w:r>
            <w:r>
              <w:rPr>
                <w:rFonts w:hint="eastAsia" w:ascii="仿宋" w:hAnsi="仿宋" w:eastAsia="仿宋" w:cs="仿宋"/>
                <w:kern w:val="0"/>
                <w:sz w:val="24"/>
                <w:szCs w:val="24"/>
                <w:lang w:val="en-US" w:eastAsia="zh-CN"/>
              </w:rPr>
              <w:t>11</w:t>
            </w:r>
            <w:r>
              <w:rPr>
                <w:rFonts w:hint="eastAsia" w:ascii="仿宋" w:hAnsi="仿宋" w:eastAsia="仿宋" w:cs="仿宋"/>
                <w:kern w:val="0"/>
                <w:sz w:val="24"/>
                <w:szCs w:val="24"/>
              </w:rPr>
              <w:t>月</w:t>
            </w:r>
            <w:r>
              <w:rPr>
                <w:rFonts w:hint="eastAsia" w:ascii="仿宋" w:hAnsi="仿宋" w:eastAsia="仿宋" w:cs="仿宋"/>
                <w:kern w:val="0"/>
                <w:sz w:val="24"/>
                <w:szCs w:val="24"/>
                <w:lang w:val="en-US" w:eastAsia="zh-CN"/>
              </w:rPr>
              <w:t>17</w:t>
            </w:r>
            <w:r>
              <w:rPr>
                <w:rFonts w:hint="eastAsia" w:ascii="仿宋" w:hAnsi="仿宋" w:eastAsia="仿宋" w:cs="仿宋"/>
                <w:kern w:val="0"/>
                <w:sz w:val="24"/>
                <w:szCs w:val="24"/>
              </w:rPr>
              <w:t>日14：30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递交磋商响应文件地点</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西安市未央区明光路中建财智广场5栋501室开标室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1"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12</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供应商资格要求</w:t>
            </w:r>
          </w:p>
        </w:tc>
        <w:tc>
          <w:tcPr>
            <w:tcW w:w="6308" w:type="dxa"/>
            <w:vAlign w:val="center"/>
          </w:tcPr>
          <w:p>
            <w:pPr>
              <w:snapToGri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资质要求同磋商公告。</w:t>
            </w:r>
          </w:p>
          <w:p>
            <w:pPr>
              <w:spacing w:line="360" w:lineRule="auto"/>
              <w:ind w:firstLine="480" w:firstLineChars="200"/>
              <w:jc w:val="left"/>
              <w:rPr>
                <w:rFonts w:hint="eastAsia" w:ascii="仿宋" w:hAnsi="仿宋" w:eastAsia="仿宋" w:cs="仿宋"/>
                <w:bCs/>
                <w:sz w:val="24"/>
                <w:szCs w:val="24"/>
                <w:lang w:val="zh-CN"/>
              </w:rPr>
            </w:pPr>
            <w:r>
              <w:rPr>
                <w:rFonts w:hint="eastAsia" w:ascii="仿宋" w:hAnsi="仿宋" w:eastAsia="仿宋" w:cs="仿宋"/>
                <w:bCs/>
                <w:sz w:val="24"/>
                <w:szCs w:val="24"/>
                <w:lang w:val="zh-CN"/>
              </w:rPr>
              <w:t>以上资质均为必备资质，并在响应文件中附资质复印件加盖公章。</w:t>
            </w:r>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bCs/>
                <w:sz w:val="24"/>
                <w:szCs w:val="24"/>
              </w:rPr>
              <w:t>必备资质中</w:t>
            </w:r>
            <w:r>
              <w:rPr>
                <w:rFonts w:hint="eastAsia" w:ascii="仿宋" w:hAnsi="仿宋" w:eastAsia="仿宋" w:cs="仿宋"/>
                <w:bCs/>
                <w:sz w:val="24"/>
                <w:szCs w:val="24"/>
                <w:lang w:val="zh-CN"/>
              </w:rPr>
              <w:t>缺一项或某项达不到要求，按无效文件处理。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13</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磋商响应文件份数</w:t>
            </w:r>
          </w:p>
        </w:tc>
        <w:tc>
          <w:tcPr>
            <w:tcW w:w="6308" w:type="dxa"/>
            <w:vAlign w:val="center"/>
          </w:tcPr>
          <w:p>
            <w:pPr>
              <w:spacing w:line="360" w:lineRule="auto"/>
              <w:ind w:firstLine="480" w:firstLineChars="200"/>
              <w:jc w:val="left"/>
              <w:rPr>
                <w:rFonts w:hint="eastAsia" w:ascii="仿宋" w:hAnsi="仿宋" w:eastAsia="仿宋" w:cs="仿宋"/>
              </w:rPr>
            </w:pPr>
            <w:r>
              <w:rPr>
                <w:rFonts w:hint="eastAsia" w:ascii="仿宋" w:hAnsi="仿宋" w:eastAsia="仿宋" w:cs="仿宋"/>
                <w:bCs/>
                <w:sz w:val="24"/>
                <w:szCs w:val="24"/>
              </w:rPr>
              <w:t>正本 1份，副本2份，电子版1份（PDF和word文档格式，正版U盘存储，如因U盘问题导致文件无法打开，责任自负）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shd w:val="clear" w:color="auto" w:fill="auto"/>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14</w:t>
            </w:r>
          </w:p>
        </w:tc>
        <w:tc>
          <w:tcPr>
            <w:tcW w:w="2089" w:type="dxa"/>
            <w:shd w:val="clear" w:color="auto" w:fill="auto"/>
            <w:vAlign w:val="center"/>
          </w:tcPr>
          <w:p>
            <w:pPr>
              <w:spacing w:line="360" w:lineRule="auto"/>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供应商对磋商文件提出质疑的截止时间</w:t>
            </w:r>
          </w:p>
        </w:tc>
        <w:tc>
          <w:tcPr>
            <w:tcW w:w="6308" w:type="dxa"/>
            <w:shd w:val="clear" w:color="auto" w:fill="auto"/>
            <w:vAlign w:val="center"/>
          </w:tcPr>
          <w:p>
            <w:pPr>
              <w:spacing w:line="360" w:lineRule="auto"/>
              <w:ind w:firstLine="480" w:firstLineChars="200"/>
              <w:jc w:val="left"/>
              <w:rPr>
                <w:rFonts w:hint="eastAsia" w:ascii="仿宋" w:hAnsi="仿宋" w:eastAsia="仿宋" w:cs="仿宋"/>
                <w:sz w:val="24"/>
                <w:szCs w:val="24"/>
                <w:highlight w:val="none"/>
              </w:rPr>
            </w:pPr>
            <w:r>
              <w:rPr>
                <w:rFonts w:hint="eastAsia" w:ascii="仿宋" w:hAnsi="仿宋" w:eastAsia="仿宋" w:cs="仿宋"/>
                <w:sz w:val="24"/>
                <w:szCs w:val="24"/>
                <w:highlight w:val="none"/>
                <w:lang w:val="zh-CN"/>
              </w:rPr>
              <w:t>供应商认为磋商文件、磋商过程、成交结果使自己的权益受到损害的</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可以在知道或者应知其权益受到损害之日起七个工作日内</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以书面形式向采购代理机构提出</w:t>
            </w:r>
            <w:r>
              <w:rPr>
                <w:rFonts w:hint="eastAsia" w:ascii="仿宋" w:hAnsi="仿宋" w:eastAsia="仿宋" w:cs="仿宋"/>
                <w:sz w:val="24"/>
                <w:szCs w:val="24"/>
                <w:highlight w:val="none"/>
              </w:rPr>
              <w:t>（同时须将此书面文件电子版一份发送至采购代理机构电子邮箱，电子邮件：2371914004@qq.com），</w:t>
            </w:r>
            <w:r>
              <w:rPr>
                <w:rFonts w:hint="eastAsia" w:ascii="仿宋" w:hAnsi="仿宋" w:eastAsia="仿宋" w:cs="仿宋"/>
                <w:sz w:val="24"/>
                <w:szCs w:val="24"/>
                <w:highlight w:val="none"/>
                <w:lang w:val="zh-CN"/>
              </w:rPr>
              <w:t>采购代理机构将予以答复</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以书面形式发给所有获取磋商文件的供应商</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zh-CN"/>
              </w:rPr>
              <w:t>但不指明问题的来源。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供应商确认收到澄清或者修改的时间</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lang w:val="zh-CN"/>
              </w:rPr>
              <w:t>供应商在收到澄清或修改文件后，应在一个工作日内以书面形式（加盖公章）向采购代理机构予以确认。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16</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磋商有效期</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不少于90日历天（自开标之日起）。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17</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是否接受</w:t>
            </w:r>
          </w:p>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联合体磋商</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不接受。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18</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答疑会</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不召开。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19</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保证金</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20</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磋商响应文件装订要求</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磋商响应文件建议双面打印，应牢固装订成册，不可插页抽页。牢固装订成册是指用适当的办法,书脊涂有胶粘剂以保证磋商响应文件不至于散开或用简单办法不能将任何一页在没有任何损坏的情况下取出或插入。各种用活页夹、文件夹、塑料方便式书脊（插入式或穿孔式）装订均不认为是牢固装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21</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磋商响应文件的签署要求</w:t>
            </w:r>
          </w:p>
        </w:tc>
        <w:tc>
          <w:tcPr>
            <w:tcW w:w="6308" w:type="dxa"/>
            <w:vAlign w:val="center"/>
          </w:tcPr>
          <w:p>
            <w:pPr>
              <w:spacing w:line="360" w:lineRule="auto"/>
              <w:rPr>
                <w:rFonts w:hint="eastAsia" w:ascii="仿宋" w:hAnsi="仿宋" w:eastAsia="仿宋" w:cs="仿宋"/>
                <w:bCs/>
                <w:sz w:val="24"/>
                <w:szCs w:val="24"/>
              </w:rPr>
            </w:pPr>
            <w:r>
              <w:rPr>
                <w:rFonts w:hint="eastAsia" w:ascii="仿宋" w:hAnsi="仿宋" w:eastAsia="仿宋" w:cs="仿宋"/>
                <w:sz w:val="24"/>
                <w:szCs w:val="24"/>
                <w:lang w:val="zh-CN"/>
              </w:rPr>
              <w:t>磋商响应文件应加盖供应商红色公章</w:t>
            </w:r>
            <w:r>
              <w:rPr>
                <w:rFonts w:hint="eastAsia" w:ascii="仿宋" w:hAnsi="仿宋" w:eastAsia="仿宋" w:cs="仿宋"/>
                <w:bCs/>
                <w:sz w:val="24"/>
                <w:szCs w:val="24"/>
              </w:rPr>
              <w:t>并按照磋商文件要求由法定代表人（或授权代表人）签字。</w:t>
            </w:r>
          </w:p>
          <w:p>
            <w:pPr>
              <w:spacing w:line="360" w:lineRule="auto"/>
              <w:rPr>
                <w:rFonts w:hint="eastAsia" w:ascii="仿宋" w:hAnsi="仿宋" w:eastAsia="仿宋" w:cs="仿宋"/>
                <w:sz w:val="24"/>
                <w:szCs w:val="24"/>
              </w:rPr>
            </w:pPr>
            <w:r>
              <w:rPr>
                <w:rFonts w:hint="eastAsia" w:ascii="仿宋" w:hAnsi="仿宋" w:eastAsia="仿宋" w:cs="仿宋"/>
                <w:bCs/>
                <w:sz w:val="24"/>
                <w:szCs w:val="24"/>
              </w:rPr>
              <w:t>注：副本可以为正本的复印件。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22</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磋商响应文件密封</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（1）供应商应将磋商响应文件的正本、所有副本及电子版文件，用单独的信封分别密封，且在信封上标明“正本”、“副本”、“电子版”字样。</w:t>
            </w:r>
          </w:p>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（2）封套应加封条密封，在封线处加盖公章（骑缝章），封套标明项目编号、项目名称，供应商全称（公章）等内容。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7" w:hRule="atLeast"/>
          <w:jc w:val="center"/>
        </w:trPr>
        <w:tc>
          <w:tcPr>
            <w:tcW w:w="833"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23</w:t>
            </w:r>
          </w:p>
        </w:tc>
        <w:tc>
          <w:tcPr>
            <w:tcW w:w="2089"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成交公告公示媒体</w:t>
            </w:r>
          </w:p>
        </w:tc>
        <w:tc>
          <w:tcPr>
            <w:tcW w:w="6308" w:type="dxa"/>
            <w:vAlign w:val="center"/>
          </w:tcPr>
          <w:p>
            <w:pPr>
              <w:spacing w:line="360" w:lineRule="auto"/>
              <w:jc w:val="left"/>
              <w:rPr>
                <w:rFonts w:hint="eastAsia" w:ascii="仿宋" w:hAnsi="仿宋" w:eastAsia="仿宋" w:cs="仿宋"/>
                <w:sz w:val="24"/>
                <w:szCs w:val="24"/>
              </w:rPr>
            </w:pPr>
            <w:r>
              <w:rPr>
                <w:rFonts w:hint="eastAsia" w:ascii="仿宋" w:hAnsi="仿宋" w:eastAsia="仿宋" w:cs="仿宋"/>
                <w:sz w:val="24"/>
                <w:szCs w:val="24"/>
              </w:rPr>
              <w:t>陕西省政府采购网</w:t>
            </w:r>
          </w:p>
        </w:tc>
      </w:tr>
    </w:tbl>
    <w:p>
      <w:pPr>
        <w:pageBreakBefore/>
        <w:spacing w:line="360" w:lineRule="auto"/>
        <w:ind w:firstLine="482" w:firstLineChars="200"/>
        <w:outlineLvl w:val="1"/>
        <w:rPr>
          <w:rFonts w:hint="eastAsia" w:ascii="仿宋" w:hAnsi="仿宋" w:eastAsia="仿宋" w:cs="仿宋"/>
          <w:b/>
          <w:bCs/>
          <w:sz w:val="24"/>
          <w:szCs w:val="24"/>
          <w:lang w:val="zh-CN"/>
        </w:rPr>
      </w:pPr>
      <w:bookmarkStart w:id="50" w:name="_Toc25449"/>
      <w:r>
        <w:rPr>
          <w:rFonts w:hint="eastAsia" w:ascii="仿宋" w:hAnsi="仿宋" w:eastAsia="仿宋" w:cs="仿宋"/>
          <w:b/>
          <w:bCs/>
          <w:sz w:val="24"/>
          <w:szCs w:val="24"/>
          <w:lang w:val="zh-CN"/>
        </w:rPr>
        <w:t>一、总则</w:t>
      </w:r>
      <w:bookmarkEnd w:id="34"/>
      <w:bookmarkEnd w:id="35"/>
      <w:bookmarkEnd w:id="36"/>
      <w:bookmarkEnd w:id="50"/>
    </w:p>
    <w:p>
      <w:pPr>
        <w:spacing w:line="360" w:lineRule="auto"/>
        <w:ind w:firstLine="482" w:firstLineChars="200"/>
        <w:outlineLvl w:val="2"/>
        <w:rPr>
          <w:rFonts w:hint="eastAsia" w:ascii="仿宋" w:hAnsi="仿宋" w:eastAsia="仿宋" w:cs="仿宋"/>
          <w:sz w:val="24"/>
          <w:szCs w:val="24"/>
          <w:lang w:val="zh-CN"/>
        </w:rPr>
      </w:pPr>
      <w:bookmarkStart w:id="51" w:name="_Toc8852"/>
      <w:bookmarkStart w:id="52" w:name="_Toc18507"/>
      <w:bookmarkStart w:id="53" w:name="_Toc29110"/>
      <w:bookmarkStart w:id="54" w:name="_Toc12964"/>
      <w:bookmarkStart w:id="55" w:name="_Toc7648"/>
      <w:bookmarkStart w:id="56" w:name="_Toc9682"/>
      <w:bookmarkStart w:id="57" w:name="_Toc14386"/>
      <w:bookmarkStart w:id="58" w:name="_Toc21084"/>
      <w:r>
        <w:rPr>
          <w:rFonts w:hint="eastAsia" w:ascii="仿宋" w:hAnsi="仿宋" w:eastAsia="仿宋" w:cs="仿宋"/>
          <w:b/>
          <w:bCs/>
          <w:sz w:val="24"/>
          <w:szCs w:val="24"/>
          <w:lang w:val="zh-CN"/>
        </w:rPr>
        <w:t>（一）适用范围</w:t>
      </w:r>
      <w:bookmarkEnd w:id="51"/>
      <w:bookmarkEnd w:id="52"/>
      <w:bookmarkEnd w:id="53"/>
      <w:bookmarkEnd w:id="54"/>
      <w:bookmarkEnd w:id="55"/>
      <w:bookmarkEnd w:id="56"/>
      <w:bookmarkEnd w:id="57"/>
      <w:bookmarkEnd w:id="58"/>
    </w:p>
    <w:p>
      <w:pPr>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1、本磋商文件仅适用于本次磋商所述的高速出口疫情检查点遮阳设施工程采购活动。</w:t>
      </w:r>
    </w:p>
    <w:p>
      <w:pPr>
        <w:spacing w:line="360" w:lineRule="auto"/>
        <w:ind w:firstLine="482" w:firstLineChars="200"/>
        <w:jc w:val="left"/>
        <w:rPr>
          <w:rFonts w:hint="eastAsia" w:ascii="仿宋" w:hAnsi="仿宋" w:eastAsia="仿宋" w:cs="仿宋"/>
          <w:b/>
          <w:bCs/>
          <w:sz w:val="24"/>
          <w:szCs w:val="24"/>
          <w:lang w:val="zh-CN"/>
        </w:rPr>
      </w:pPr>
      <w:bookmarkStart w:id="59" w:name="_Toc23631"/>
      <w:bookmarkStart w:id="60" w:name="_Toc30806"/>
      <w:bookmarkStart w:id="61" w:name="_Toc918"/>
      <w:r>
        <w:rPr>
          <w:rFonts w:hint="eastAsia" w:ascii="仿宋" w:hAnsi="仿宋" w:eastAsia="仿宋" w:cs="仿宋"/>
          <w:b/>
          <w:bCs/>
          <w:sz w:val="24"/>
          <w:szCs w:val="24"/>
          <w:lang w:val="zh-CN"/>
        </w:rPr>
        <w:t>（二）名词解释</w:t>
      </w:r>
      <w:bookmarkEnd w:id="37"/>
      <w:bookmarkEnd w:id="38"/>
      <w:bookmarkEnd w:id="39"/>
      <w:bookmarkEnd w:id="40"/>
      <w:bookmarkEnd w:id="41"/>
      <w:bookmarkEnd w:id="42"/>
      <w:bookmarkEnd w:id="43"/>
      <w:bookmarkEnd w:id="44"/>
      <w:bookmarkEnd w:id="45"/>
      <w:bookmarkEnd w:id="46"/>
      <w:bookmarkEnd w:id="47"/>
      <w:bookmarkEnd w:id="48"/>
      <w:bookmarkEnd w:id="49"/>
      <w:bookmarkEnd w:id="59"/>
      <w:bookmarkEnd w:id="60"/>
      <w:bookmarkEnd w:id="61"/>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zh-CN"/>
        </w:rPr>
        <w:t>采购人：西安市高陵区住房和城乡建设局</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2、监督机构：</w:t>
      </w:r>
      <w:r>
        <w:rPr>
          <w:rFonts w:hint="eastAsia" w:ascii="仿宋" w:hAnsi="仿宋" w:eastAsia="仿宋" w:cs="仿宋"/>
          <w:sz w:val="24"/>
          <w:szCs w:val="24"/>
        </w:rPr>
        <w:t>西安市</w:t>
      </w:r>
      <w:r>
        <w:rPr>
          <w:rFonts w:hint="eastAsia" w:ascii="仿宋" w:hAnsi="仿宋" w:eastAsia="仿宋" w:cs="仿宋"/>
          <w:sz w:val="24"/>
          <w:szCs w:val="24"/>
          <w:lang w:val="en-US" w:eastAsia="zh-CN"/>
        </w:rPr>
        <w:t>高陵区</w:t>
      </w:r>
      <w:r>
        <w:rPr>
          <w:rFonts w:hint="eastAsia" w:ascii="仿宋" w:hAnsi="仿宋" w:eastAsia="仿宋" w:cs="仿宋"/>
          <w:sz w:val="24"/>
          <w:szCs w:val="24"/>
        </w:rPr>
        <w:t>财政局</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采购代理机构：腾德工程咨询有限公司</w:t>
      </w:r>
      <w:bookmarkStart w:id="611" w:name="_GoBack"/>
      <w:bookmarkEnd w:id="611"/>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供应商：响应磋商、参加磋商竞争的法人、其他组织或者自然人</w:t>
      </w:r>
    </w:p>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磋商文件：含澄清、修改内容的书面资料和磋商响应文件格式的统称。</w:t>
      </w:r>
      <w:bookmarkStart w:id="62" w:name="_Toc495908022"/>
      <w:bookmarkStart w:id="63" w:name="_Toc16516"/>
      <w:bookmarkStart w:id="64" w:name="_Toc24840"/>
      <w:bookmarkStart w:id="65" w:name="_Toc9661"/>
      <w:bookmarkStart w:id="66" w:name="_Toc18166"/>
      <w:bookmarkStart w:id="67" w:name="_Toc495681377"/>
      <w:bookmarkStart w:id="68" w:name="_Toc26522"/>
      <w:bookmarkStart w:id="69" w:name="_Toc20963"/>
      <w:bookmarkStart w:id="70" w:name="_Toc495681504"/>
      <w:bookmarkStart w:id="71" w:name="_Toc14426"/>
      <w:bookmarkStart w:id="72" w:name="_Toc18525"/>
      <w:bookmarkStart w:id="73" w:name="_Toc495681223"/>
      <w:bookmarkStart w:id="74" w:name="_Toc32045"/>
    </w:p>
    <w:p>
      <w:pPr>
        <w:autoSpaceDE w:val="0"/>
        <w:autoSpaceDN w:val="0"/>
        <w:adjustRightInd w:val="0"/>
        <w:snapToGrid w:val="0"/>
        <w:spacing w:line="360" w:lineRule="auto"/>
        <w:ind w:firstLine="482" w:firstLineChars="200"/>
        <w:outlineLvl w:val="1"/>
        <w:rPr>
          <w:rFonts w:hint="eastAsia" w:ascii="仿宋" w:hAnsi="仿宋" w:eastAsia="仿宋" w:cs="仿宋"/>
          <w:b/>
          <w:bCs/>
          <w:sz w:val="24"/>
          <w:szCs w:val="24"/>
          <w:lang w:val="zh-CN"/>
        </w:rPr>
      </w:pPr>
      <w:bookmarkStart w:id="75" w:name="_Toc31469"/>
      <w:bookmarkStart w:id="76" w:name="_Toc25386"/>
      <w:bookmarkStart w:id="77" w:name="_Toc10332"/>
      <w:bookmarkStart w:id="78" w:name="_Toc8544"/>
      <w:r>
        <w:rPr>
          <w:rFonts w:hint="eastAsia" w:ascii="仿宋" w:hAnsi="仿宋" w:eastAsia="仿宋" w:cs="仿宋"/>
          <w:b/>
          <w:bCs/>
          <w:sz w:val="24"/>
          <w:szCs w:val="24"/>
          <w:lang w:val="zh-CN"/>
        </w:rPr>
        <w:t>二、磋商文件</w:t>
      </w:r>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pPr>
        <w:pStyle w:val="5"/>
        <w:ind w:firstLine="482" w:firstLineChars="200"/>
        <w:jc w:val="both"/>
        <w:rPr>
          <w:rFonts w:hint="eastAsia" w:ascii="仿宋" w:hAnsi="仿宋" w:eastAsia="仿宋" w:cs="仿宋"/>
          <w:lang w:val="zh-CN"/>
        </w:rPr>
      </w:pPr>
      <w:bookmarkStart w:id="79" w:name="_Toc20013"/>
      <w:bookmarkStart w:id="80" w:name="_Toc19655"/>
      <w:bookmarkStart w:id="81" w:name="_Toc25426"/>
      <w:bookmarkStart w:id="82" w:name="_Toc100"/>
      <w:r>
        <w:rPr>
          <w:rFonts w:hint="eastAsia" w:ascii="仿宋" w:hAnsi="仿宋" w:eastAsia="仿宋" w:cs="仿宋"/>
          <w:b/>
          <w:sz w:val="24"/>
          <w:szCs w:val="24"/>
          <w:lang w:val="zh-CN"/>
        </w:rPr>
        <w:t>（一）磋商文件及要求</w:t>
      </w:r>
      <w:bookmarkEnd w:id="79"/>
      <w:bookmarkEnd w:id="80"/>
      <w:bookmarkEnd w:id="81"/>
      <w:bookmarkEnd w:id="82"/>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磋商文件以中文编制，磋商文件包括五部分，各供应商应根据磋商文件中所有内容及要求提交全部资料。</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磋商文件组成：磋商文件是根据本项目的特点和需求编制，包括以下内容：</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）竞争性磋商公告</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）竞争性磋商须知</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）采购内容及要求</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）商务主要条款及格式(商务主要条款)</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）磋商响应文件格式</w:t>
      </w:r>
    </w:p>
    <w:p>
      <w:pPr>
        <w:autoSpaceDE w:val="0"/>
        <w:autoSpaceDN w:val="0"/>
        <w:adjustRightInd w:val="0"/>
        <w:spacing w:line="360" w:lineRule="auto"/>
        <w:ind w:firstLine="482" w:firstLineChars="200"/>
        <w:outlineLvl w:val="2"/>
        <w:rPr>
          <w:rFonts w:hint="eastAsia" w:ascii="仿宋" w:hAnsi="仿宋" w:eastAsia="仿宋" w:cs="仿宋"/>
          <w:b/>
          <w:bCs/>
          <w:sz w:val="24"/>
          <w:szCs w:val="24"/>
          <w:lang w:val="zh-CN"/>
        </w:rPr>
      </w:pPr>
      <w:bookmarkStart w:id="83" w:name="_Toc127"/>
      <w:bookmarkStart w:id="84" w:name="_Toc28538"/>
      <w:bookmarkStart w:id="85" w:name="_Toc21028"/>
      <w:bookmarkStart w:id="86" w:name="_Toc29160"/>
      <w:r>
        <w:rPr>
          <w:rFonts w:hint="eastAsia" w:ascii="仿宋" w:hAnsi="仿宋" w:eastAsia="仿宋" w:cs="仿宋"/>
          <w:b/>
          <w:bCs/>
          <w:sz w:val="24"/>
          <w:szCs w:val="24"/>
          <w:lang w:val="zh-CN"/>
        </w:rPr>
        <w:t>（二）磋商响应文件的澄清和修改</w:t>
      </w:r>
      <w:bookmarkEnd w:id="83"/>
      <w:bookmarkEnd w:id="84"/>
      <w:bookmarkEnd w:id="85"/>
      <w:bookmarkEnd w:id="86"/>
    </w:p>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如果磋商文件进行必要的澄清或者修改，将在发布磋商公告的财政部门指定媒体上由采购代理机构发布更正公告，并以书面形式通知所有获取磋商文件的单位。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澄清或者修改的内容为磋商文件的组成部分。</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2、供应商在收到澄清或修改文件后，应在一个工作日内以书面形式（加盖公章）向采购代理机构予以确认。</w:t>
      </w:r>
    </w:p>
    <w:p>
      <w:pPr>
        <w:autoSpaceDE w:val="0"/>
        <w:autoSpaceDN w:val="0"/>
        <w:adjustRightInd w:val="0"/>
        <w:spacing w:line="360" w:lineRule="auto"/>
        <w:ind w:firstLine="482" w:firstLineChars="200"/>
        <w:outlineLvl w:val="2"/>
        <w:rPr>
          <w:rFonts w:hint="eastAsia" w:ascii="仿宋" w:hAnsi="仿宋" w:eastAsia="仿宋" w:cs="仿宋"/>
          <w:b/>
          <w:bCs/>
          <w:sz w:val="24"/>
          <w:szCs w:val="24"/>
        </w:rPr>
      </w:pPr>
      <w:bookmarkStart w:id="87" w:name="_Toc5122"/>
      <w:bookmarkStart w:id="88" w:name="_Toc24898"/>
      <w:bookmarkStart w:id="89" w:name="_Toc12617"/>
      <w:bookmarkStart w:id="90" w:name="_Toc17894"/>
      <w:bookmarkStart w:id="91" w:name="_Toc1819"/>
      <w:bookmarkStart w:id="92" w:name="_Toc31097"/>
      <w:bookmarkStart w:id="93" w:name="_Toc4256"/>
      <w:bookmarkStart w:id="94" w:name="_Toc12729"/>
      <w:r>
        <w:rPr>
          <w:rFonts w:hint="eastAsia" w:ascii="仿宋" w:hAnsi="仿宋" w:eastAsia="仿宋" w:cs="仿宋"/>
          <w:b/>
          <w:bCs/>
          <w:sz w:val="24"/>
          <w:szCs w:val="24"/>
          <w:lang w:val="zh-CN"/>
        </w:rPr>
        <w:t>（三）磋商文件的询问、质疑及答复</w:t>
      </w:r>
      <w:bookmarkEnd w:id="87"/>
      <w:bookmarkEnd w:id="88"/>
      <w:bookmarkEnd w:id="89"/>
      <w:bookmarkEnd w:id="90"/>
      <w:bookmarkEnd w:id="91"/>
      <w:bookmarkEnd w:id="92"/>
      <w:bookmarkEnd w:id="93"/>
      <w:bookmarkEnd w:id="94"/>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1、供应商应仔细阅读和检查磋商文件的全部内容。如发现缺页或附件不全，应及时向采购代理机构提出，以便补齐。</w:t>
      </w:r>
    </w:p>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供应商认为磋商文件、磋商过程、成交结果使自己的权益受到损害的，可以在知道或者应知其权益受到损害之日起7个工作日内，以书面形式向采购人、采购代理机构提出质疑，在此之后提出的询问和质疑均为无效，采购代理机构不予受理。</w:t>
      </w:r>
    </w:p>
    <w:p>
      <w:pPr>
        <w:pStyle w:val="22"/>
        <w:spacing w:before="0" w:beforeAutospacing="0" w:after="0" w:afterAutospacing="0" w:line="360" w:lineRule="auto"/>
        <w:ind w:firstLine="480" w:firstLineChars="200"/>
        <w:jc w:val="both"/>
        <w:rPr>
          <w:rFonts w:hint="eastAsia" w:ascii="仿宋" w:hAnsi="仿宋" w:eastAsia="仿宋" w:cs="仿宋"/>
          <w:lang w:val="zh-CN"/>
        </w:rPr>
      </w:pPr>
      <w:r>
        <w:rPr>
          <w:rFonts w:hint="eastAsia" w:ascii="仿宋" w:hAnsi="仿宋" w:eastAsia="仿宋" w:cs="仿宋"/>
        </w:rPr>
        <w:t>3、</w:t>
      </w:r>
      <w:r>
        <w:rPr>
          <w:rFonts w:hint="eastAsia" w:ascii="仿宋" w:hAnsi="仿宋" w:eastAsia="仿宋" w:cs="仿宋"/>
          <w:lang w:val="zh-CN"/>
        </w:rPr>
        <w:t>供应商提出质疑应当有明确的请求和必要的证明材料。</w:t>
      </w:r>
    </w:p>
    <w:p>
      <w:pPr>
        <w:pStyle w:val="22"/>
        <w:spacing w:before="0" w:beforeAutospacing="0" w:after="0" w:afterAutospacing="0" w:line="360" w:lineRule="auto"/>
        <w:ind w:firstLine="480" w:firstLineChars="200"/>
        <w:jc w:val="both"/>
        <w:rPr>
          <w:rFonts w:hint="eastAsia" w:ascii="仿宋" w:hAnsi="仿宋" w:eastAsia="仿宋" w:cs="仿宋"/>
          <w:lang w:val="zh-CN"/>
        </w:rPr>
      </w:pPr>
      <w:r>
        <w:rPr>
          <w:rFonts w:hint="eastAsia" w:ascii="仿宋" w:hAnsi="仿宋" w:eastAsia="仿宋" w:cs="仿宋"/>
        </w:rPr>
        <w:t>4、</w:t>
      </w:r>
      <w:r>
        <w:rPr>
          <w:rFonts w:hint="eastAsia" w:ascii="仿宋" w:hAnsi="仿宋" w:eastAsia="仿宋" w:cs="仿宋"/>
          <w:lang w:val="zh-CN"/>
        </w:rPr>
        <w:t>对于在规定时间内收到的供应商依法提出的询问或者质疑，采购代理机构将按程序在三个工作日内答复询问，七个工作日内答复质疑。</w:t>
      </w:r>
    </w:p>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供应商在收到答复后，应在一个工作日内以书面形式（加盖公章）向采购代理机构予以确认。</w:t>
      </w:r>
    </w:p>
    <w:p>
      <w:pPr>
        <w:autoSpaceDE w:val="0"/>
        <w:autoSpaceDN w:val="0"/>
        <w:adjustRightInd w:val="0"/>
        <w:snapToGrid w:val="0"/>
        <w:spacing w:line="360" w:lineRule="auto"/>
        <w:ind w:firstLine="482" w:firstLineChars="200"/>
        <w:outlineLvl w:val="2"/>
        <w:rPr>
          <w:rFonts w:hint="eastAsia" w:ascii="仿宋" w:hAnsi="仿宋" w:eastAsia="仿宋" w:cs="仿宋"/>
          <w:sz w:val="24"/>
          <w:szCs w:val="24"/>
          <w:lang w:val="zh-CN"/>
        </w:rPr>
      </w:pPr>
      <w:bookmarkStart w:id="95" w:name="_Toc28965"/>
      <w:bookmarkStart w:id="96" w:name="_Toc27651"/>
      <w:bookmarkStart w:id="97" w:name="_Toc10355"/>
      <w:bookmarkStart w:id="98" w:name="_Toc16363"/>
      <w:bookmarkStart w:id="99" w:name="_Toc20187"/>
      <w:bookmarkStart w:id="100" w:name="_Toc14530"/>
      <w:bookmarkStart w:id="101" w:name="_Toc5283"/>
      <w:bookmarkStart w:id="102" w:name="_Toc17969"/>
      <w:r>
        <w:rPr>
          <w:rFonts w:hint="eastAsia" w:ascii="仿宋" w:hAnsi="仿宋" w:eastAsia="仿宋" w:cs="仿宋"/>
          <w:b/>
          <w:bCs/>
          <w:sz w:val="24"/>
          <w:szCs w:val="24"/>
          <w:lang w:val="zh-CN"/>
        </w:rPr>
        <w:t>（四）磋商文件的解释权</w:t>
      </w:r>
      <w:bookmarkEnd w:id="95"/>
      <w:bookmarkEnd w:id="96"/>
      <w:bookmarkEnd w:id="97"/>
      <w:bookmarkEnd w:id="98"/>
      <w:bookmarkEnd w:id="99"/>
      <w:bookmarkEnd w:id="100"/>
      <w:bookmarkEnd w:id="101"/>
      <w:bookmarkEnd w:id="102"/>
    </w:p>
    <w:p>
      <w:pPr>
        <w:pStyle w:val="22"/>
        <w:spacing w:before="0" w:beforeAutospacing="0" w:after="0" w:afterAutospacing="0" w:line="360" w:lineRule="auto"/>
        <w:ind w:firstLine="480" w:firstLineChars="200"/>
        <w:jc w:val="both"/>
        <w:rPr>
          <w:rFonts w:hint="eastAsia" w:ascii="仿宋" w:hAnsi="仿宋" w:eastAsia="仿宋" w:cs="仿宋"/>
          <w:lang w:val="zh-CN"/>
        </w:rPr>
      </w:pPr>
      <w:r>
        <w:rPr>
          <w:rFonts w:hint="eastAsia" w:ascii="仿宋" w:hAnsi="仿宋" w:eastAsia="仿宋" w:cs="仿宋"/>
        </w:rPr>
        <w:t>1、</w:t>
      </w:r>
      <w:r>
        <w:rPr>
          <w:rFonts w:hint="eastAsia" w:ascii="仿宋" w:hAnsi="仿宋" w:eastAsia="仿宋" w:cs="仿宋"/>
          <w:lang w:val="zh-CN"/>
        </w:rPr>
        <w:t>供应商必须从采购代理机构获取磋商文件，供应商自行转让或复制磋商文件视为无效。</w:t>
      </w:r>
    </w:p>
    <w:p>
      <w:pPr>
        <w:pStyle w:val="22"/>
        <w:spacing w:before="0" w:beforeAutospacing="0" w:after="0" w:afterAutospacing="0" w:line="360" w:lineRule="auto"/>
        <w:ind w:firstLine="480" w:firstLineChars="200"/>
        <w:jc w:val="both"/>
        <w:rPr>
          <w:rFonts w:hint="eastAsia" w:ascii="仿宋" w:hAnsi="仿宋" w:eastAsia="仿宋" w:cs="仿宋"/>
          <w:lang w:val="zh-CN"/>
        </w:rPr>
      </w:pPr>
      <w:r>
        <w:rPr>
          <w:rFonts w:hint="eastAsia" w:ascii="仿宋" w:hAnsi="仿宋" w:eastAsia="仿宋" w:cs="仿宋"/>
        </w:rPr>
        <w:t>2、</w:t>
      </w:r>
      <w:r>
        <w:rPr>
          <w:rFonts w:hint="eastAsia" w:ascii="仿宋" w:hAnsi="仿宋" w:eastAsia="仿宋" w:cs="仿宋"/>
          <w:lang w:val="zh-CN"/>
        </w:rPr>
        <w:t>磋商文件的解释权归采购代理机构。</w:t>
      </w:r>
    </w:p>
    <w:p>
      <w:pPr>
        <w:autoSpaceDE w:val="0"/>
        <w:autoSpaceDN w:val="0"/>
        <w:adjustRightInd w:val="0"/>
        <w:snapToGrid w:val="0"/>
        <w:spacing w:line="360" w:lineRule="auto"/>
        <w:ind w:firstLine="482" w:firstLineChars="200"/>
        <w:outlineLvl w:val="1"/>
        <w:rPr>
          <w:rFonts w:hint="eastAsia" w:ascii="仿宋" w:hAnsi="仿宋" w:eastAsia="仿宋" w:cs="仿宋"/>
          <w:b/>
          <w:bCs/>
          <w:sz w:val="24"/>
          <w:szCs w:val="24"/>
          <w:lang w:val="zh-CN"/>
        </w:rPr>
      </w:pPr>
      <w:bookmarkStart w:id="103" w:name="_Toc4720"/>
      <w:bookmarkStart w:id="104" w:name="_Toc25099"/>
      <w:bookmarkStart w:id="105" w:name="_Toc14090"/>
      <w:bookmarkStart w:id="106" w:name="_Toc23206"/>
      <w:bookmarkStart w:id="107" w:name="_Toc5897"/>
      <w:bookmarkStart w:id="108" w:name="_Toc22974"/>
      <w:bookmarkStart w:id="109" w:name="_Toc32335"/>
      <w:bookmarkStart w:id="110" w:name="_Toc13082"/>
      <w:bookmarkStart w:id="111" w:name="_Toc20678"/>
      <w:bookmarkStart w:id="112" w:name="_Toc6881"/>
      <w:bookmarkStart w:id="113" w:name="_Toc495681505"/>
      <w:bookmarkStart w:id="114" w:name="_Toc6293"/>
      <w:bookmarkStart w:id="115" w:name="_Toc495681378"/>
      <w:bookmarkStart w:id="116" w:name="_Toc20772"/>
      <w:bookmarkStart w:id="117" w:name="_Toc495908023"/>
      <w:bookmarkStart w:id="118" w:name="_Toc495681224"/>
      <w:bookmarkStart w:id="119" w:name="_Toc2631"/>
      <w:r>
        <w:rPr>
          <w:rFonts w:hint="eastAsia" w:ascii="仿宋" w:hAnsi="仿宋" w:eastAsia="仿宋" w:cs="仿宋"/>
          <w:b/>
          <w:bCs/>
          <w:sz w:val="24"/>
          <w:szCs w:val="24"/>
          <w:lang w:val="zh-CN"/>
        </w:rPr>
        <w:t>三、磋商要求</w:t>
      </w:r>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p>
    <w:p>
      <w:pPr>
        <w:autoSpaceDE w:val="0"/>
        <w:autoSpaceDN w:val="0"/>
        <w:adjustRightInd w:val="0"/>
        <w:spacing w:line="360" w:lineRule="auto"/>
        <w:ind w:firstLine="482" w:firstLineChars="200"/>
        <w:outlineLvl w:val="2"/>
        <w:rPr>
          <w:rFonts w:hint="eastAsia" w:ascii="仿宋" w:hAnsi="仿宋" w:eastAsia="仿宋" w:cs="仿宋"/>
          <w:b/>
          <w:bCs/>
          <w:sz w:val="24"/>
          <w:szCs w:val="24"/>
          <w:lang w:val="zh-CN"/>
        </w:rPr>
      </w:pPr>
      <w:bookmarkStart w:id="120" w:name="_Toc2358"/>
      <w:bookmarkStart w:id="121" w:name="_Toc240"/>
      <w:bookmarkStart w:id="122" w:name="_Toc13704"/>
      <w:bookmarkStart w:id="123" w:name="_Toc14182"/>
      <w:r>
        <w:rPr>
          <w:rFonts w:hint="eastAsia" w:ascii="仿宋" w:hAnsi="仿宋" w:eastAsia="仿宋" w:cs="仿宋"/>
          <w:b/>
          <w:bCs/>
          <w:sz w:val="24"/>
          <w:szCs w:val="24"/>
          <w:lang w:val="zh-CN"/>
        </w:rPr>
        <w:t>（一）磋商内容</w:t>
      </w:r>
      <w:bookmarkEnd w:id="120"/>
      <w:bookmarkEnd w:id="121"/>
      <w:bookmarkEnd w:id="122"/>
      <w:bookmarkEnd w:id="123"/>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本次磋商内容是</w:t>
      </w:r>
      <w:r>
        <w:rPr>
          <w:rFonts w:hint="eastAsia" w:ascii="仿宋" w:hAnsi="仿宋" w:eastAsia="仿宋" w:cs="仿宋"/>
          <w:sz w:val="24"/>
          <w:szCs w:val="24"/>
        </w:rPr>
        <w:t>高速出口疫情检查点遮阳设施工程</w:t>
      </w:r>
      <w:r>
        <w:rPr>
          <w:rFonts w:hint="eastAsia" w:ascii="仿宋" w:hAnsi="仿宋" w:eastAsia="仿宋" w:cs="仿宋"/>
          <w:sz w:val="24"/>
          <w:szCs w:val="24"/>
          <w:lang w:val="zh-CN"/>
        </w:rPr>
        <w:t>，各供应商应仔细阅读磋商文件中的所有事项、格式、条款和要求，对磋商文件的全部内容及要求作出实质性响应，提交相应资料，不得在其中选项磋商或将其中内容再行分解，否则磋商无效。</w:t>
      </w:r>
    </w:p>
    <w:p>
      <w:pPr>
        <w:snapToGrid w:val="0"/>
        <w:spacing w:line="360" w:lineRule="auto"/>
        <w:ind w:firstLine="482" w:firstLineChars="200"/>
        <w:outlineLvl w:val="2"/>
        <w:rPr>
          <w:rFonts w:hint="eastAsia" w:ascii="仿宋" w:hAnsi="仿宋" w:eastAsia="仿宋" w:cs="仿宋"/>
          <w:b/>
          <w:bCs/>
          <w:sz w:val="24"/>
          <w:szCs w:val="24"/>
        </w:rPr>
      </w:pPr>
      <w:bookmarkStart w:id="124" w:name="_Toc13025"/>
      <w:bookmarkStart w:id="125" w:name="_Toc10504"/>
      <w:bookmarkStart w:id="126" w:name="_Toc28920"/>
      <w:bookmarkStart w:id="127" w:name="_Toc28872"/>
      <w:r>
        <w:rPr>
          <w:rFonts w:hint="eastAsia" w:ascii="仿宋" w:hAnsi="仿宋" w:eastAsia="仿宋" w:cs="仿宋"/>
          <w:b/>
          <w:bCs/>
          <w:sz w:val="24"/>
          <w:szCs w:val="24"/>
          <w:lang w:val="zh-CN"/>
        </w:rPr>
        <w:t>（二）合格供应商要求</w:t>
      </w:r>
      <w:bookmarkEnd w:id="124"/>
      <w:bookmarkEnd w:id="125"/>
      <w:bookmarkEnd w:id="126"/>
      <w:bookmarkEnd w:id="127"/>
    </w:p>
    <w:p>
      <w:pPr>
        <w:spacing w:line="360" w:lineRule="auto"/>
        <w:ind w:firstLine="482" w:firstLineChars="200"/>
        <w:rPr>
          <w:rFonts w:hint="eastAsia" w:ascii="仿宋" w:hAnsi="仿宋" w:eastAsia="仿宋" w:cs="仿宋"/>
          <w:sz w:val="24"/>
          <w:szCs w:val="24"/>
          <w:highlight w:val="green"/>
        </w:rPr>
      </w:pPr>
      <w:r>
        <w:rPr>
          <w:rFonts w:hint="eastAsia" w:ascii="仿宋" w:hAnsi="仿宋" w:eastAsia="仿宋" w:cs="仿宋"/>
          <w:b/>
          <w:bCs/>
          <w:sz w:val="24"/>
          <w:szCs w:val="24"/>
        </w:rPr>
        <w:t>（1）基本资格条件：符合《中华人民共和国政府采购法》第二十二条的规定；</w:t>
      </w:r>
    </w:p>
    <w:p>
      <w:pPr>
        <w:pStyle w:val="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1）具有独立承担民事责任的能力（提供营业执照/事业单位法人证书/非企业专业服务机构执业许可证/自然人身份证）；</w:t>
      </w:r>
    </w:p>
    <w:p>
      <w:pPr>
        <w:pStyle w:val="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2）具有良好的商业信誉和健全的财务会计制度（提供具有财务审计资质的单位出具的2021年财务报告，或开标截止时间前</w:t>
      </w:r>
      <w:r>
        <w:rPr>
          <w:rFonts w:hint="eastAsia" w:ascii="仿宋" w:hAnsi="仿宋" w:eastAsia="仿宋" w:cs="仿宋"/>
          <w:color w:val="auto"/>
          <w:sz w:val="24"/>
          <w:szCs w:val="24"/>
          <w:highlight w:val="none"/>
          <w:lang w:eastAsia="zh-CN"/>
        </w:rPr>
        <w:t>六</w:t>
      </w:r>
      <w:r>
        <w:rPr>
          <w:rFonts w:hint="eastAsia" w:ascii="仿宋" w:hAnsi="仿宋" w:eastAsia="仿宋" w:cs="仿宋"/>
          <w:color w:val="auto"/>
          <w:sz w:val="24"/>
          <w:szCs w:val="24"/>
          <w:highlight w:val="none"/>
        </w:rPr>
        <w:t>个月内公司存款账户开户银行出具的资信证明 ，或信用担保机构出具的投标担保函）；</w:t>
      </w:r>
    </w:p>
    <w:p>
      <w:pPr>
        <w:pStyle w:val="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有依法缴纳税收和社会保障资金的良好记录（提供开标截止时间前12个月内任一个月份的①正式税收缴费凭据或免税书面声明、②社会保障资金缴纳专用收据或社会保险缴纳清单或社会保障资金免缴纳书面声明）；</w:t>
      </w:r>
    </w:p>
    <w:p>
      <w:pPr>
        <w:pStyle w:val="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4）具备履行合同所必需的设备和专业技术能力（提供可充分满足履行合同所需设备和专业技术能力的承诺）；</w:t>
      </w:r>
    </w:p>
    <w:p>
      <w:pPr>
        <w:pStyle w:val="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5）参加政府采购活动前三年内在经营活动中没有重大违法记录的书面声明（提供承诺）；</w:t>
      </w:r>
    </w:p>
    <w:p>
      <w:pPr>
        <w:pStyle w:val="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6）政府采购法律法规相关规定的其他条件。</w:t>
      </w:r>
    </w:p>
    <w:p>
      <w:pPr>
        <w:pStyle w:val="2"/>
        <w:spacing w:line="360" w:lineRule="auto"/>
        <w:rPr>
          <w:rFonts w:hint="eastAsia" w:ascii="仿宋" w:hAnsi="仿宋" w:eastAsia="仿宋" w:cs="仿宋"/>
          <w:color w:val="auto"/>
          <w:sz w:val="24"/>
          <w:szCs w:val="24"/>
          <w:highlight w:val="none"/>
        </w:rPr>
      </w:pPr>
      <w:r>
        <w:rPr>
          <w:rFonts w:hint="eastAsia" w:ascii="仿宋" w:hAnsi="仿宋" w:eastAsia="仿宋" w:cs="仿宋"/>
          <w:b/>
          <w:bCs/>
          <w:color w:val="auto"/>
          <w:sz w:val="24"/>
          <w:szCs w:val="24"/>
          <w:highlight w:val="none"/>
        </w:rPr>
        <w:t>（2）落实政府采购政策的资格条件：</w:t>
      </w:r>
      <w:r>
        <w:rPr>
          <w:rFonts w:hint="eastAsia" w:ascii="仿宋" w:hAnsi="仿宋" w:eastAsia="仿宋" w:cs="仿宋"/>
          <w:color w:val="auto"/>
          <w:sz w:val="24"/>
          <w:szCs w:val="24"/>
          <w:highlight w:val="none"/>
        </w:rPr>
        <w:t>无</w:t>
      </w:r>
    </w:p>
    <w:p>
      <w:pPr>
        <w:pStyle w:val="2"/>
        <w:spacing w:line="360" w:lineRule="auto"/>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（3）特定资格条件：</w:t>
      </w:r>
    </w:p>
    <w:p>
      <w:pPr>
        <w:pStyle w:val="2"/>
        <w:spacing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投标人不得为“信用中国”网站（www.creditchina.gov.cn）中列入失信被执行人和重大税收违法失信主体的投标人，不得为“中国政府采购网”（www.ccgp.gov.cn）政府采购严重违法失信行为记录名单中被财政部门禁止参加政府采购活动的投标人（不强制要求投标人提供查询截图，以开标当天网上查询结果为评审依据）；</w:t>
      </w:r>
    </w:p>
    <w:p>
      <w:pPr>
        <w:tabs>
          <w:tab w:val="left" w:pos="9030"/>
        </w:tabs>
        <w:snapToGrid w:val="0"/>
        <w:spacing w:line="360" w:lineRule="auto"/>
        <w:ind w:right="-65" w:firstLine="482" w:firstLineChars="200"/>
        <w:outlineLvl w:val="2"/>
        <w:rPr>
          <w:rFonts w:hint="eastAsia" w:ascii="仿宋" w:hAnsi="仿宋" w:eastAsia="仿宋" w:cs="仿宋"/>
          <w:b/>
          <w:bCs/>
          <w:sz w:val="24"/>
          <w:szCs w:val="24"/>
          <w:lang w:val="zh-CN"/>
        </w:rPr>
      </w:pPr>
      <w:bookmarkStart w:id="128" w:name="_Toc28960"/>
      <w:bookmarkStart w:id="129" w:name="_Toc9381"/>
      <w:bookmarkStart w:id="130" w:name="_Toc21561"/>
      <w:bookmarkStart w:id="131" w:name="_Toc445"/>
      <w:r>
        <w:rPr>
          <w:rFonts w:hint="eastAsia" w:ascii="仿宋" w:hAnsi="仿宋" w:eastAsia="仿宋" w:cs="仿宋"/>
          <w:b/>
          <w:bCs/>
          <w:sz w:val="24"/>
          <w:szCs w:val="24"/>
          <w:lang w:val="zh-CN"/>
        </w:rPr>
        <w:t>（三）限制磋商要求</w:t>
      </w:r>
      <w:bookmarkEnd w:id="128"/>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供应商单位负责人为同一人或者存在直接控股、管理关系的不同供应商，不得参加同一项目或同一包的政府采购活动。</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除竞争性磋商项目外，为采购项目提供过整体设计、规范编制或者项目管理、监理、检测等服务的供应商，不得再参加同一项目的其他采购活动。</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对列入失信被执行人、重大税收违法案件当事人名单、政府采购严重违法失信行为记录名单及其他不符合《中华人民共和国政府采购法》第二十二条规定条件的供应商，采购代理机构将拒绝其参与政府采购活动。</w:t>
      </w:r>
    </w:p>
    <w:p>
      <w:pPr>
        <w:spacing w:line="360" w:lineRule="auto"/>
        <w:ind w:firstLine="480" w:firstLineChars="200"/>
        <w:rPr>
          <w:rFonts w:hint="eastAsia" w:ascii="仿宋" w:hAnsi="仿宋" w:eastAsia="仿宋" w:cs="仿宋"/>
          <w:b w:val="0"/>
          <w:bCs w:val="0"/>
          <w:sz w:val="24"/>
          <w:szCs w:val="24"/>
          <w:lang w:val="zh-CN"/>
        </w:rPr>
      </w:pPr>
      <w:r>
        <w:rPr>
          <w:rFonts w:hint="eastAsia" w:ascii="仿宋" w:hAnsi="仿宋" w:eastAsia="仿宋" w:cs="仿宋"/>
          <w:b w:val="0"/>
          <w:bCs w:val="0"/>
          <w:sz w:val="24"/>
          <w:szCs w:val="24"/>
        </w:rPr>
        <w:t>4、</w:t>
      </w:r>
      <w:r>
        <w:rPr>
          <w:rFonts w:hint="eastAsia" w:ascii="仿宋" w:hAnsi="仿宋" w:eastAsia="仿宋" w:cs="仿宋"/>
          <w:b w:val="0"/>
          <w:bCs w:val="0"/>
          <w:sz w:val="24"/>
          <w:szCs w:val="24"/>
          <w:lang w:val="zh-CN"/>
        </w:rPr>
        <w:t>本次磋商项目不接受联合体磋商。</w:t>
      </w:r>
    </w:p>
    <w:p>
      <w:pPr>
        <w:tabs>
          <w:tab w:val="left" w:pos="9030"/>
        </w:tabs>
        <w:snapToGrid w:val="0"/>
        <w:spacing w:line="360" w:lineRule="auto"/>
        <w:ind w:right="-65" w:firstLine="482" w:firstLineChars="200"/>
        <w:outlineLvl w:val="2"/>
        <w:rPr>
          <w:rFonts w:hint="eastAsia" w:ascii="仿宋" w:hAnsi="仿宋" w:eastAsia="仿宋" w:cs="仿宋"/>
          <w:b/>
          <w:bCs/>
          <w:sz w:val="24"/>
          <w:szCs w:val="24"/>
          <w:lang w:val="zh-CN"/>
        </w:rPr>
      </w:pPr>
      <w:bookmarkStart w:id="132" w:name="_Toc7338"/>
      <w:r>
        <w:rPr>
          <w:rFonts w:hint="eastAsia" w:ascii="仿宋" w:hAnsi="仿宋" w:eastAsia="仿宋" w:cs="仿宋"/>
          <w:b/>
          <w:bCs/>
          <w:sz w:val="24"/>
          <w:szCs w:val="24"/>
          <w:lang w:val="zh-CN"/>
        </w:rPr>
        <w:t>（四）磋商响应文件有效期</w:t>
      </w:r>
      <w:bookmarkEnd w:id="129"/>
      <w:bookmarkEnd w:id="130"/>
      <w:bookmarkEnd w:id="131"/>
      <w:bookmarkEnd w:id="132"/>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磋商响应文件有效期为自磋商之日起不少于90个日历天，在有效期内磋商响应文件对供应商具有法律约束力，以保证采购人完成评标、定标以及合同签订事项。成交供应商的磋商响应文件有效期自动延长至合同执行完毕。</w:t>
      </w:r>
    </w:p>
    <w:p>
      <w:pPr>
        <w:autoSpaceDE w:val="0"/>
        <w:autoSpaceDN w:val="0"/>
        <w:adjustRightInd w:val="0"/>
        <w:snapToGrid w:val="0"/>
        <w:spacing w:line="360" w:lineRule="auto"/>
        <w:ind w:firstLine="482" w:firstLineChars="200"/>
        <w:outlineLvl w:val="2"/>
        <w:rPr>
          <w:rFonts w:hint="eastAsia" w:ascii="仿宋" w:hAnsi="仿宋" w:eastAsia="仿宋" w:cs="仿宋"/>
          <w:b/>
          <w:sz w:val="24"/>
          <w:szCs w:val="24"/>
          <w:lang w:val="zh-CN"/>
        </w:rPr>
      </w:pPr>
      <w:bookmarkStart w:id="133" w:name="_Toc2999"/>
      <w:bookmarkStart w:id="134" w:name="_Toc32305"/>
      <w:bookmarkStart w:id="135" w:name="_Toc495908024"/>
      <w:bookmarkStart w:id="136" w:name="_Toc495681225"/>
      <w:bookmarkStart w:id="137" w:name="_Toc19258"/>
      <w:bookmarkStart w:id="138" w:name="_Toc1960"/>
      <w:bookmarkStart w:id="139" w:name="_Toc24960"/>
      <w:bookmarkStart w:id="140" w:name="_Toc495681506"/>
      <w:bookmarkStart w:id="141" w:name="_Toc708"/>
      <w:bookmarkStart w:id="142" w:name="_Toc25242"/>
      <w:bookmarkStart w:id="143" w:name="_Toc7375"/>
      <w:bookmarkStart w:id="144" w:name="_Toc14448"/>
      <w:bookmarkStart w:id="145" w:name="_Toc495681379"/>
      <w:bookmarkStart w:id="146" w:name="_Toc27500"/>
      <w:bookmarkStart w:id="147" w:name="_Toc2035"/>
      <w:bookmarkStart w:id="148" w:name="_Toc10891"/>
      <w:bookmarkStart w:id="149" w:name="_Toc32264"/>
      <w:r>
        <w:rPr>
          <w:rFonts w:hint="eastAsia" w:ascii="仿宋" w:hAnsi="仿宋" w:eastAsia="仿宋" w:cs="仿宋"/>
          <w:b/>
          <w:sz w:val="24"/>
          <w:szCs w:val="24"/>
          <w:lang w:val="zh-CN"/>
        </w:rPr>
        <w:t>（五）磋商响应文件的编制要求</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未从采购代理机构处获取磋商文件的供应商，谢绝报价。磋商响应文件应按照采购代理机构发售的磋商响应文件格式编写，各供应商对磋商文件做出实质性响应，具体内容包括：</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）对磋商响应函中内容的响应。</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）第一次磋商报价表和</w:t>
      </w:r>
      <w:r>
        <w:rPr>
          <w:rFonts w:hint="eastAsia" w:ascii="仿宋" w:hAnsi="仿宋" w:eastAsia="仿宋" w:cs="仿宋"/>
          <w:kern w:val="0"/>
          <w:sz w:val="24"/>
          <w:szCs w:val="24"/>
        </w:rPr>
        <w:t>分项报价</w:t>
      </w:r>
      <w:r>
        <w:rPr>
          <w:rFonts w:hint="eastAsia" w:ascii="仿宋" w:hAnsi="仿宋" w:eastAsia="仿宋" w:cs="仿宋"/>
          <w:kern w:val="0"/>
          <w:sz w:val="24"/>
          <w:szCs w:val="24"/>
          <w:lang w:val="zh-CN"/>
        </w:rPr>
        <w:t>表</w:t>
      </w:r>
      <w:r>
        <w:rPr>
          <w:rFonts w:hint="eastAsia" w:ascii="仿宋" w:hAnsi="仿宋" w:eastAsia="仿宋" w:cs="仿宋"/>
          <w:sz w:val="24"/>
          <w:szCs w:val="24"/>
          <w:lang w:val="zh-CN"/>
        </w:rPr>
        <w:t>。</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）供应商出具的合格供应商要求文件，证明参加供应商是响应本项目磋商的合格供应商。</w:t>
      </w:r>
    </w:p>
    <w:p>
      <w:pPr>
        <w:autoSpaceDE w:val="0"/>
        <w:autoSpaceDN w:val="0"/>
        <w:adjustRightIn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4</w:t>
      </w:r>
      <w:r>
        <w:rPr>
          <w:rFonts w:hint="eastAsia" w:ascii="仿宋" w:hAnsi="仿宋" w:eastAsia="仿宋" w:cs="仿宋"/>
          <w:sz w:val="24"/>
          <w:szCs w:val="24"/>
          <w:highlight w:val="none"/>
          <w:lang w:val="zh-CN"/>
        </w:rPr>
        <w:t>）供应商为本次磋商采购项目</w:t>
      </w:r>
      <w:r>
        <w:rPr>
          <w:rFonts w:hint="eastAsia" w:ascii="仿宋" w:hAnsi="仿宋" w:eastAsia="仿宋" w:cs="仿宋"/>
          <w:sz w:val="24"/>
          <w:szCs w:val="24"/>
          <w:highlight w:val="none"/>
          <w:lang w:val="en-US" w:eastAsia="zh-CN"/>
        </w:rPr>
        <w:t xml:space="preserve"> </w:t>
      </w:r>
      <w:r>
        <w:rPr>
          <w:rFonts w:hint="eastAsia" w:ascii="仿宋" w:hAnsi="仿宋" w:eastAsia="仿宋" w:cs="仿宋"/>
          <w:sz w:val="24"/>
          <w:szCs w:val="24"/>
          <w:highlight w:val="none"/>
          <w:lang w:val="zh-CN"/>
        </w:rPr>
        <w:t>编制的实施方案，具有履行合同所必须的人员和专业技术能力，配备了相应的人员团队、财务保证、服务承诺等方面具体做法和保障措施。</w:t>
      </w:r>
    </w:p>
    <w:p>
      <w:pPr>
        <w:autoSpaceDE w:val="0"/>
        <w:autoSpaceDN w:val="0"/>
        <w:adjustRightIn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5</w:t>
      </w:r>
      <w:r>
        <w:rPr>
          <w:rFonts w:hint="eastAsia" w:ascii="仿宋" w:hAnsi="仿宋" w:eastAsia="仿宋" w:cs="仿宋"/>
          <w:sz w:val="24"/>
          <w:szCs w:val="24"/>
          <w:highlight w:val="none"/>
          <w:lang w:val="zh-CN"/>
        </w:rPr>
        <w:t>）供应商提供相应业绩，证明其供应经验及能力，以及为采购活动提供的合理化建议。</w:t>
      </w:r>
    </w:p>
    <w:p>
      <w:pPr>
        <w:autoSpaceDE w:val="0"/>
        <w:autoSpaceDN w:val="0"/>
        <w:adjustRightInd w:val="0"/>
        <w:spacing w:line="360" w:lineRule="auto"/>
        <w:ind w:firstLine="480" w:firstLineChars="200"/>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w:t>
      </w:r>
      <w:r>
        <w:rPr>
          <w:rFonts w:hint="eastAsia" w:ascii="仿宋" w:hAnsi="仿宋" w:eastAsia="仿宋" w:cs="仿宋"/>
          <w:sz w:val="24"/>
          <w:szCs w:val="24"/>
          <w:highlight w:val="none"/>
        </w:rPr>
        <w:t>6</w:t>
      </w:r>
      <w:r>
        <w:rPr>
          <w:rFonts w:hint="eastAsia" w:ascii="仿宋" w:hAnsi="仿宋" w:eastAsia="仿宋" w:cs="仿宋"/>
          <w:sz w:val="24"/>
          <w:szCs w:val="24"/>
          <w:highlight w:val="none"/>
          <w:lang w:val="zh-CN"/>
        </w:rPr>
        <w:t>）供应商根据磋商文件载明采购活动的实际情况，拟在成交后将成交项目非主体、非关键性工作交由他人完成的，应当在磋商响应文件中注明，并提供交由完成供应商的营业执照、相应资质等内容，且其允许的资质范围包含本项目的内容。</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磋商响应文件的编写</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（1）磋商响应文件按照磋商响应文件的“第五部分 磋商响应文件格式”编写磋商响应文件，如有必要，可以增加附页，作为磋商响应文件的组成部分。</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（2）磋商响应文件编写说明:</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①供应商提交的磋商响应文件以及供应商与采购代理机构就有关磋商的所有来往通知、函件和文件均应使用简体中文。</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②除技术性能另有规定外，磋商响应文件所使用的度量衡单位，均须采用国家法定计量单位。</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③供应商应仔细阅读磋商文件，充分理解磋商文件的要求。凡与磋商文件的规定有重大不符合的磋商响应文件，均按照无效文件处理。</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④供应商必须对磋商文件的所有规定和要求做出实质性响应，否则按照无效文件处理。</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⑤供应商应仔细阅读磋商文件的所有内容，按磋商文件的要求提供磋商响应文件，并保证所提供的全部资料的真实性，否则按照无效文件处理。</w:t>
      </w:r>
    </w:p>
    <w:p>
      <w:pPr>
        <w:snapToGrid w:val="0"/>
        <w:spacing w:line="360" w:lineRule="auto"/>
        <w:ind w:firstLine="482" w:firstLineChars="200"/>
        <w:outlineLvl w:val="2"/>
        <w:rPr>
          <w:rFonts w:hint="eastAsia" w:ascii="仿宋" w:hAnsi="仿宋" w:eastAsia="仿宋" w:cs="仿宋"/>
          <w:b/>
          <w:sz w:val="24"/>
          <w:szCs w:val="24"/>
        </w:rPr>
      </w:pPr>
      <w:bookmarkStart w:id="150" w:name="_Toc23694"/>
      <w:bookmarkStart w:id="151" w:name="_Toc495681226"/>
      <w:bookmarkStart w:id="152" w:name="_Toc495681380"/>
      <w:bookmarkStart w:id="153" w:name="_Toc12827"/>
      <w:bookmarkStart w:id="154" w:name="_Toc18560"/>
      <w:bookmarkStart w:id="155" w:name="_Toc30998"/>
      <w:bookmarkStart w:id="156" w:name="_Toc24492"/>
      <w:bookmarkStart w:id="157" w:name="_Toc20476"/>
      <w:bookmarkStart w:id="158" w:name="_Toc26224"/>
      <w:bookmarkStart w:id="159" w:name="_Toc11947"/>
      <w:bookmarkStart w:id="160" w:name="_Toc27324"/>
      <w:bookmarkStart w:id="161" w:name="_Toc495908025"/>
      <w:bookmarkStart w:id="162" w:name="_Toc495681507"/>
      <w:bookmarkStart w:id="163" w:name="_Toc356"/>
      <w:bookmarkStart w:id="164" w:name="_Toc17282"/>
      <w:bookmarkStart w:id="165" w:name="_Toc346"/>
      <w:bookmarkStart w:id="166" w:name="_Toc8946"/>
      <w:r>
        <w:rPr>
          <w:rFonts w:hint="eastAsia" w:ascii="仿宋" w:hAnsi="仿宋" w:eastAsia="仿宋" w:cs="仿宋"/>
          <w:b/>
          <w:sz w:val="24"/>
          <w:szCs w:val="24"/>
        </w:rPr>
        <w:t>（六）磋商报价要求</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1、各供应商应在磋商响应文件中的磋商第一次报价表上标明磋商总报价、工程质量及工期，任何有选择的报价采购代理机构不予接受。</w:t>
      </w:r>
      <w:bookmarkStart w:id="167" w:name="OLE_LINK1"/>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bCs/>
          <w:sz w:val="24"/>
          <w:szCs w:val="24"/>
        </w:rPr>
        <w:t>磋商总报价是指完成本次服务工作所需的全部费用</w:t>
      </w:r>
      <w:bookmarkEnd w:id="167"/>
      <w:r>
        <w:rPr>
          <w:rFonts w:hint="eastAsia" w:ascii="仿宋" w:hAnsi="仿宋" w:eastAsia="仿宋" w:cs="仿宋"/>
          <w:bCs/>
          <w:sz w:val="24"/>
          <w:szCs w:val="24"/>
        </w:rPr>
        <w:t>，竞争性磋商最终报价价格，在合同执行过程中，不得以任何理由变更。</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3、磋商最后报价，在采购内容无实质性变更下，不得高于首次磋商报价,对于差异较大的报价，须做出明确的说明。</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sz w:val="24"/>
          <w:szCs w:val="24"/>
        </w:rPr>
        <w:t>4、</w:t>
      </w:r>
      <w:r>
        <w:rPr>
          <w:rFonts w:hint="eastAsia" w:ascii="仿宋" w:hAnsi="仿宋" w:eastAsia="仿宋" w:cs="仿宋"/>
          <w:sz w:val="24"/>
          <w:szCs w:val="24"/>
          <w:lang w:val="zh-CN"/>
        </w:rPr>
        <w:t>供应商不得以低于成本的报价参与磋商。当磋商小组认为供应商的报价明显低于其他通过符合性审查供应商的报价，有可能影响服务质量或者不能诚信履约的，应当要求其在评审现场合理的时间内提供书面说明，必要时提交相关证明材料；供应商不能证明其报价合理性的，磋商小组应当将其作为无效报价处理。</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5、凡因供应商对磋商文件阅读不深、误解、疏漏，或因对市场行情了解不清造成的后果和风险均由供应商自负。</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6、供应商应按各自的能力，结合施工要求、工期、人员投入等各种因素，综合测定后报价。</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7、磋商报价超出采购预算的供应商不进入下一程序。</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8、最低报价不是确定成交的唯一条件，</w:t>
      </w:r>
      <w:r>
        <w:rPr>
          <w:rFonts w:hint="eastAsia" w:ascii="仿宋" w:hAnsi="仿宋" w:eastAsia="仿宋" w:cs="仿宋"/>
          <w:sz w:val="24"/>
          <w:szCs w:val="24"/>
          <w:lang w:val="zh-CN"/>
        </w:rPr>
        <w:t>磋商过程中所产生的一切费用由供应商自行承担。</w:t>
      </w:r>
    </w:p>
    <w:p>
      <w:pPr>
        <w:snapToGrid w:val="0"/>
        <w:spacing w:line="360" w:lineRule="auto"/>
        <w:ind w:firstLine="482" w:firstLineChars="200"/>
        <w:outlineLvl w:val="2"/>
        <w:rPr>
          <w:rFonts w:hint="eastAsia" w:ascii="仿宋" w:hAnsi="仿宋" w:eastAsia="仿宋" w:cs="仿宋"/>
          <w:b/>
          <w:sz w:val="24"/>
          <w:szCs w:val="24"/>
        </w:rPr>
      </w:pPr>
      <w:bookmarkStart w:id="168" w:name="_Toc25914"/>
      <w:bookmarkStart w:id="169" w:name="_Toc5456"/>
      <w:bookmarkStart w:id="170" w:name="_Toc803"/>
      <w:bookmarkStart w:id="171" w:name="_Toc9078"/>
      <w:bookmarkStart w:id="172" w:name="_Toc28461"/>
      <w:bookmarkStart w:id="173" w:name="_Toc26187"/>
      <w:bookmarkStart w:id="174" w:name="_Toc2707"/>
      <w:bookmarkStart w:id="175" w:name="_Toc495681509"/>
      <w:bookmarkStart w:id="176" w:name="_Toc495681228"/>
      <w:bookmarkStart w:id="177" w:name="_Toc495908027"/>
      <w:bookmarkStart w:id="178" w:name="_Toc6024"/>
      <w:bookmarkStart w:id="179" w:name="_Toc8968"/>
      <w:bookmarkStart w:id="180" w:name="_Toc7251"/>
      <w:bookmarkStart w:id="181" w:name="_Toc495681382"/>
      <w:bookmarkStart w:id="182" w:name="_Toc11653"/>
      <w:bookmarkStart w:id="183" w:name="_Toc24382"/>
      <w:bookmarkStart w:id="184" w:name="_Toc2724"/>
      <w:r>
        <w:rPr>
          <w:rFonts w:hint="eastAsia" w:ascii="仿宋" w:hAnsi="仿宋" w:eastAsia="仿宋" w:cs="仿宋"/>
          <w:b/>
          <w:sz w:val="24"/>
          <w:szCs w:val="24"/>
        </w:rPr>
        <w:t>（七）磋商响应文件的式样、签署和装订</w:t>
      </w:r>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各供应商应参照磋商文件给定的样式，准备磋商响应文件正本一份、副本两份，</w:t>
      </w:r>
      <w:r>
        <w:rPr>
          <w:rFonts w:hint="eastAsia" w:ascii="仿宋" w:hAnsi="仿宋" w:eastAsia="仿宋" w:cs="仿宋"/>
          <w:sz w:val="24"/>
          <w:szCs w:val="24"/>
        </w:rPr>
        <w:t>电子版1份</w:t>
      </w:r>
      <w:r>
        <w:rPr>
          <w:rFonts w:hint="eastAsia" w:ascii="仿宋" w:hAnsi="仿宋" w:eastAsia="仿宋" w:cs="仿宋"/>
          <w:b/>
          <w:bCs/>
          <w:sz w:val="24"/>
          <w:szCs w:val="24"/>
        </w:rPr>
        <w:t>（PDF和word文档格式，正版U盘存储，如因U盘问题导致文件无法打开，责任自负）</w:t>
      </w:r>
      <w:r>
        <w:rPr>
          <w:rFonts w:hint="eastAsia" w:ascii="仿宋" w:hAnsi="仿宋" w:eastAsia="仿宋" w:cs="仿宋"/>
          <w:b/>
          <w:sz w:val="24"/>
          <w:szCs w:val="24"/>
        </w:rPr>
        <w:t>。</w:t>
      </w:r>
      <w:r>
        <w:rPr>
          <w:rFonts w:hint="eastAsia" w:ascii="仿宋" w:hAnsi="仿宋" w:eastAsia="仿宋" w:cs="仿宋"/>
          <w:sz w:val="24"/>
          <w:szCs w:val="24"/>
          <w:lang w:val="zh-CN"/>
        </w:rPr>
        <w:t>响应文件的封面上应清楚地标记“正本”、“副本”、“电子版”字样，</w:t>
      </w:r>
      <w:r>
        <w:rPr>
          <w:rFonts w:hint="eastAsia" w:ascii="仿宋" w:hAnsi="仿宋" w:eastAsia="仿宋" w:cs="仿宋"/>
          <w:sz w:val="24"/>
          <w:szCs w:val="24"/>
        </w:rPr>
        <w:t>响应文件正副本不一致时，以响应文件正本为准。</w:t>
      </w:r>
    </w:p>
    <w:p>
      <w:pPr>
        <w:tabs>
          <w:tab w:val="left" w:pos="9030"/>
        </w:tabs>
        <w:snapToGrid w:val="0"/>
        <w:spacing w:line="360" w:lineRule="auto"/>
        <w:ind w:right="-65" w:firstLine="480" w:firstLineChars="200"/>
        <w:rPr>
          <w:rFonts w:hint="eastAsia" w:ascii="仿宋" w:hAnsi="仿宋" w:eastAsia="仿宋" w:cs="仿宋"/>
          <w:spacing w:val="-6"/>
          <w:sz w:val="24"/>
          <w:szCs w:val="24"/>
        </w:rPr>
      </w:pPr>
      <w:r>
        <w:rPr>
          <w:rFonts w:hint="eastAsia" w:ascii="仿宋" w:hAnsi="仿宋" w:eastAsia="仿宋" w:cs="仿宋"/>
          <w:sz w:val="24"/>
          <w:szCs w:val="24"/>
        </w:rPr>
        <w:t>2、</w:t>
      </w:r>
      <w:r>
        <w:rPr>
          <w:rFonts w:hint="eastAsia" w:ascii="仿宋" w:hAnsi="仿宋" w:eastAsia="仿宋" w:cs="仿宋"/>
          <w:sz w:val="24"/>
          <w:szCs w:val="24"/>
          <w:lang w:val="zh-CN"/>
        </w:rPr>
        <w:t>磋商响应文件的正本和所有的副本建议双面打印且用不褪色蓝（黑）墨水（汁）书写，统一装订、编码。</w:t>
      </w:r>
      <w:r>
        <w:rPr>
          <w:rFonts w:hint="eastAsia" w:ascii="仿宋" w:hAnsi="仿宋" w:eastAsia="仿宋" w:cs="仿宋"/>
          <w:spacing w:val="-6"/>
          <w:sz w:val="24"/>
          <w:szCs w:val="24"/>
        </w:rPr>
        <w:t>因字迹不清、表达不准或不按给定的磋商文件格式编制的磋商响应文件，所引起的不利后果由供应商自负。</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磋商响应文件必须加盖供应商红色公章</w:t>
      </w:r>
      <w:r>
        <w:rPr>
          <w:rFonts w:hint="eastAsia" w:ascii="仿宋" w:hAnsi="仿宋" w:eastAsia="仿宋" w:cs="仿宋"/>
          <w:bCs/>
          <w:sz w:val="24"/>
          <w:szCs w:val="24"/>
        </w:rPr>
        <w:t>并按照磋商文件要求由法定代表人（或授权代表人）签字，响应文件副本可以为正本的复印件</w:t>
      </w:r>
      <w:r>
        <w:rPr>
          <w:rFonts w:hint="eastAsia" w:ascii="仿宋" w:hAnsi="仿宋" w:eastAsia="仿宋" w:cs="仿宋"/>
          <w:sz w:val="24"/>
          <w:szCs w:val="24"/>
          <w:lang w:val="zh-CN"/>
        </w:rPr>
        <w:t>。</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磋商响应文件的打印应清楚工整，统一采用A4纸编制（如部分附表需要用其他规格的复印纸编写，则应按A4复印纸折叠）。</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磋商响应文件除各供应商对错处做必要修改外，不得行间插字、涂改和增删，如有修改错漏处，必须由供应商法定代表人或其授权人代表签字或盖章。</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磋商响应文件应牢固装订成册，不可插页抽页。牢固装订成册是指书脊涂有胶粘剂以保证磋商响应文件不至于散开或用简单办法不能将任何一页在没有任何损坏的情况下取出或插入。各种用活页夹、文件夹、塑料方便式书脊（插入式或穿孔式）装订均不认为是牢固装订。</w:t>
      </w:r>
    </w:p>
    <w:p>
      <w:pPr>
        <w:tabs>
          <w:tab w:val="left" w:pos="9030"/>
        </w:tabs>
        <w:snapToGrid w:val="0"/>
        <w:spacing w:line="360" w:lineRule="auto"/>
        <w:ind w:right="-65" w:firstLine="480" w:firstLineChars="200"/>
        <w:rPr>
          <w:rFonts w:hint="eastAsia" w:ascii="仿宋" w:hAnsi="仿宋" w:eastAsia="仿宋" w:cs="仿宋"/>
          <w:sz w:val="24"/>
          <w:szCs w:val="24"/>
        </w:rPr>
      </w:pPr>
      <w:r>
        <w:rPr>
          <w:rFonts w:hint="eastAsia" w:ascii="仿宋" w:hAnsi="仿宋" w:eastAsia="仿宋" w:cs="仿宋"/>
          <w:sz w:val="24"/>
          <w:szCs w:val="24"/>
        </w:rPr>
        <w:t>7、</w:t>
      </w:r>
      <w:r>
        <w:rPr>
          <w:rFonts w:hint="eastAsia" w:ascii="仿宋" w:hAnsi="仿宋" w:eastAsia="仿宋" w:cs="仿宋"/>
          <w:sz w:val="24"/>
          <w:szCs w:val="24"/>
          <w:lang w:val="zh-CN"/>
        </w:rPr>
        <w:t>若供应商为其他组织单位，无法定代表人，则响应文件中法定代表人授权书、签字之处可由单位负责人填写。</w:t>
      </w:r>
    </w:p>
    <w:p>
      <w:pPr>
        <w:snapToGrid w:val="0"/>
        <w:spacing w:line="360" w:lineRule="auto"/>
        <w:ind w:firstLine="482" w:firstLineChars="200"/>
        <w:outlineLvl w:val="2"/>
        <w:rPr>
          <w:rFonts w:hint="eastAsia" w:ascii="仿宋" w:hAnsi="仿宋" w:eastAsia="仿宋" w:cs="仿宋"/>
          <w:b/>
          <w:sz w:val="24"/>
          <w:szCs w:val="24"/>
          <w:lang w:val="zh-CN"/>
        </w:rPr>
      </w:pPr>
      <w:bookmarkStart w:id="185" w:name="_Toc495681510"/>
      <w:bookmarkStart w:id="186" w:name="_Toc32577"/>
      <w:bookmarkStart w:id="187" w:name="_Toc21862"/>
      <w:bookmarkStart w:id="188" w:name="_Toc23115"/>
      <w:bookmarkStart w:id="189" w:name="_Toc495681229"/>
      <w:bookmarkStart w:id="190" w:name="_Toc24315"/>
      <w:bookmarkStart w:id="191" w:name="_Toc16128"/>
      <w:bookmarkStart w:id="192" w:name="_Toc495908028"/>
      <w:bookmarkStart w:id="193" w:name="_Toc8989"/>
      <w:bookmarkStart w:id="194" w:name="_Toc12263"/>
      <w:bookmarkStart w:id="195" w:name="_Toc7399"/>
      <w:bookmarkStart w:id="196" w:name="_Toc28855"/>
      <w:bookmarkStart w:id="197" w:name="_Toc18243"/>
      <w:bookmarkStart w:id="198" w:name="_Toc21204"/>
      <w:bookmarkStart w:id="199" w:name="_Toc495681383"/>
      <w:bookmarkStart w:id="200" w:name="_Toc27109"/>
      <w:bookmarkStart w:id="201" w:name="_Toc21545"/>
      <w:r>
        <w:rPr>
          <w:rFonts w:hint="eastAsia" w:ascii="仿宋" w:hAnsi="仿宋" w:eastAsia="仿宋" w:cs="仿宋"/>
          <w:b/>
          <w:sz w:val="24"/>
          <w:szCs w:val="24"/>
        </w:rPr>
        <w:t>（八）</w:t>
      </w:r>
      <w:r>
        <w:rPr>
          <w:rFonts w:hint="eastAsia" w:ascii="仿宋" w:hAnsi="仿宋" w:eastAsia="仿宋" w:cs="仿宋"/>
          <w:b/>
          <w:sz w:val="24"/>
          <w:szCs w:val="24"/>
          <w:lang w:val="zh-CN"/>
        </w:rPr>
        <w:t>磋商响应文件的密封和提交</w:t>
      </w:r>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1、磋商响应</w:t>
      </w:r>
      <w:r>
        <w:rPr>
          <w:rFonts w:hint="eastAsia" w:ascii="仿宋" w:hAnsi="仿宋" w:eastAsia="仿宋" w:cs="仿宋"/>
          <w:sz w:val="24"/>
          <w:szCs w:val="24"/>
          <w:lang w:val="zh-CN"/>
        </w:rPr>
        <w:t>文件密封</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供应商应将响应文件分为</w:t>
      </w:r>
      <w:r>
        <w:rPr>
          <w:rFonts w:hint="eastAsia" w:ascii="仿宋" w:hAnsi="仿宋" w:eastAsia="仿宋" w:cs="仿宋"/>
          <w:sz w:val="24"/>
          <w:szCs w:val="24"/>
        </w:rPr>
        <w:t>3个包装袋。</w:t>
      </w:r>
      <w:r>
        <w:rPr>
          <w:rFonts w:hint="eastAsia" w:ascii="仿宋" w:hAnsi="仿宋" w:eastAsia="仿宋" w:cs="仿宋"/>
          <w:sz w:val="24"/>
          <w:szCs w:val="24"/>
          <w:lang w:val="zh-CN"/>
        </w:rPr>
        <w:t>正本单独密封、所有副本密封，响应文件电子版单独密封且在外层包装上标明字样。</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外层包装应加封条密封，在封线处加盖公章（骑缝章），标明项目编号、项目名称，供应商全称（公章）、在</w:t>
      </w:r>
      <w:r>
        <w:rPr>
          <w:rFonts w:hint="eastAsia" w:ascii="仿宋" w:hAnsi="仿宋" w:eastAsia="仿宋" w:cs="仿宋"/>
          <w:sz w:val="24"/>
          <w:szCs w:val="24"/>
        </w:rPr>
        <w:t>XXXX年XX月XX日XX：XX前不得启封</w:t>
      </w:r>
      <w:r>
        <w:rPr>
          <w:rFonts w:hint="eastAsia" w:ascii="仿宋" w:hAnsi="仿宋" w:eastAsia="仿宋" w:cs="仿宋"/>
          <w:sz w:val="24"/>
          <w:szCs w:val="24"/>
          <w:lang w:val="zh-CN"/>
        </w:rPr>
        <w:t>等内容（格式自拟）。</w:t>
      </w:r>
    </w:p>
    <w:p>
      <w:pPr>
        <w:snapToGri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2、磋商响应文件的递交</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）供应商应在磋商文件要求提交磋商响应文件的截止时间前将磋商响应文件密封送达磋商地点，递交并办理签收手续。</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）对于需要提供必备资格文件和业绩原件等相关资料的采购项目，供应商应将其内容与磋商响应文件一起递交，并标明所提供资料原件的明细表（若磋商文件未要求原件可不提供）。</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）在磋商文件要求提交磋商响应文件的截止时间之后送达的磋商响应文件和相关资料原件，为无效文件，采购代理机构拒绝接收。</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）采购代理机构在磋商文件规定的磋商响应文件递交截止时间前，只负责磋商响应文件和其相关资料原件的接收、登记和组织工作，对其磋商响应文件和相关资料原件的有效性不负任何责任。</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磋商响应文件递送后，在磋商截止期前，供应商可以补充、修改或撤回其磋商响应文件，并书面通知采购代理机构。补充、修改的内容应按磋商响应文件的要求签署、盖章，密封后，作为磋商响应文件的组成部分。</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6</w:t>
      </w:r>
      <w:r>
        <w:rPr>
          <w:rFonts w:hint="eastAsia" w:ascii="仿宋" w:hAnsi="仿宋" w:eastAsia="仿宋" w:cs="仿宋"/>
          <w:sz w:val="24"/>
          <w:szCs w:val="24"/>
          <w:lang w:val="zh-CN"/>
        </w:rPr>
        <w:t>）磋商截止时间后，供应商不得对其磋商响应文件做任何修改。</w:t>
      </w:r>
    </w:p>
    <w:p>
      <w:pPr>
        <w:snapToGrid w:val="0"/>
        <w:spacing w:line="360" w:lineRule="auto"/>
        <w:ind w:firstLine="482" w:firstLineChars="200"/>
        <w:outlineLvl w:val="1"/>
        <w:rPr>
          <w:rFonts w:hint="eastAsia" w:ascii="仿宋" w:hAnsi="仿宋" w:eastAsia="仿宋" w:cs="仿宋"/>
          <w:b/>
          <w:sz w:val="24"/>
          <w:szCs w:val="24"/>
        </w:rPr>
      </w:pPr>
      <w:bookmarkStart w:id="202" w:name="_Toc495908030"/>
      <w:bookmarkStart w:id="203" w:name="_Toc22233"/>
      <w:bookmarkStart w:id="204" w:name="_Toc19346"/>
      <w:bookmarkStart w:id="205" w:name="_Toc8686"/>
      <w:bookmarkStart w:id="206" w:name="_Toc3761"/>
      <w:bookmarkStart w:id="207" w:name="_Toc17983"/>
      <w:bookmarkStart w:id="208" w:name="_Toc2690"/>
      <w:bookmarkStart w:id="209" w:name="_Toc495681512"/>
      <w:bookmarkStart w:id="210" w:name="_Toc495681231"/>
      <w:bookmarkStart w:id="211" w:name="_Toc495681385"/>
      <w:bookmarkStart w:id="212" w:name="_Toc9413"/>
      <w:bookmarkStart w:id="213" w:name="_Toc20228"/>
      <w:bookmarkStart w:id="214" w:name="_Toc8043"/>
      <w:bookmarkStart w:id="215" w:name="_Toc3012"/>
      <w:bookmarkStart w:id="216" w:name="_Toc5429"/>
      <w:bookmarkStart w:id="217" w:name="_Toc6863"/>
      <w:bookmarkStart w:id="218" w:name="_Toc25488"/>
      <w:r>
        <w:rPr>
          <w:rFonts w:hint="eastAsia" w:ascii="仿宋" w:hAnsi="仿宋" w:eastAsia="仿宋" w:cs="仿宋"/>
          <w:b/>
          <w:sz w:val="24"/>
          <w:szCs w:val="24"/>
        </w:rPr>
        <w:t>四、磋商小组组成及职责</w:t>
      </w:r>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p>
    <w:p>
      <w:pPr>
        <w:snapToGrid w:val="0"/>
        <w:spacing w:line="360" w:lineRule="auto"/>
        <w:ind w:firstLine="482" w:firstLineChars="200"/>
        <w:rPr>
          <w:rFonts w:hint="eastAsia" w:ascii="仿宋" w:hAnsi="仿宋" w:eastAsia="仿宋" w:cs="仿宋"/>
          <w:sz w:val="24"/>
          <w:szCs w:val="24"/>
          <w:lang w:val="zh-CN"/>
        </w:rPr>
      </w:pPr>
      <w:r>
        <w:rPr>
          <w:rFonts w:hint="eastAsia" w:ascii="仿宋" w:hAnsi="仿宋" w:eastAsia="仿宋" w:cs="仿宋"/>
          <w:b/>
          <w:bCs/>
          <w:sz w:val="24"/>
          <w:szCs w:val="24"/>
          <w:lang w:val="zh-CN"/>
        </w:rPr>
        <w:t>（一）磋商小组的组成</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本项目磋商小组为</w:t>
      </w:r>
      <w:r>
        <w:rPr>
          <w:rFonts w:hint="eastAsia" w:ascii="仿宋" w:hAnsi="仿宋" w:eastAsia="仿宋" w:cs="仿宋"/>
          <w:sz w:val="24"/>
          <w:szCs w:val="24"/>
          <w:u w:val="single"/>
        </w:rPr>
        <w:t xml:space="preserve"> 3 </w:t>
      </w:r>
      <w:r>
        <w:rPr>
          <w:rFonts w:hint="eastAsia" w:ascii="仿宋" w:hAnsi="仿宋" w:eastAsia="仿宋" w:cs="仿宋"/>
          <w:sz w:val="24"/>
          <w:szCs w:val="24"/>
        </w:rPr>
        <w:t>人或以上单数，</w:t>
      </w:r>
      <w:r>
        <w:rPr>
          <w:rFonts w:hint="eastAsia" w:ascii="仿宋" w:hAnsi="仿宋" w:eastAsia="仿宋" w:cs="仿宋"/>
          <w:sz w:val="24"/>
          <w:szCs w:val="24"/>
          <w:lang w:val="zh-CN"/>
        </w:rPr>
        <w:t>磋商小组成员在省级以上财政部门设立的政府采购评审专家库中随机抽取，其中评审专家不得少于成员总数的三分之二，磋商小组成员与供应商有利害关系的应当回避。参照《中华人民共和国政府采购》 、《政府采购竞争性磋商采购方式管理暂行办法》 、财政部规章及政府采购项目所在地有关法规、规章等有关规定组建磋商小组。</w:t>
      </w:r>
    </w:p>
    <w:p>
      <w:pPr>
        <w:tabs>
          <w:tab w:val="left" w:pos="9030"/>
        </w:tabs>
        <w:snapToGrid w:val="0"/>
        <w:spacing w:line="360" w:lineRule="auto"/>
        <w:ind w:right="-65" w:firstLine="482" w:firstLineChars="200"/>
        <w:rPr>
          <w:rFonts w:hint="eastAsia" w:ascii="仿宋" w:hAnsi="仿宋" w:eastAsia="仿宋" w:cs="仿宋"/>
          <w:sz w:val="24"/>
          <w:szCs w:val="24"/>
          <w:lang w:val="zh-CN"/>
        </w:rPr>
      </w:pPr>
      <w:r>
        <w:rPr>
          <w:rFonts w:hint="eastAsia" w:ascii="仿宋" w:hAnsi="仿宋" w:eastAsia="仿宋" w:cs="仿宋"/>
          <w:b/>
          <w:bCs/>
          <w:sz w:val="24"/>
          <w:szCs w:val="24"/>
          <w:lang w:val="zh-CN"/>
        </w:rPr>
        <w:t>（二）磋商小组成员有下列情形之一的，应当回避：</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参加采购活动前3年内与供应商存在劳动关系；</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参加采购活动前3年内担任供应商的董事、监事；</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参加采购活动前3年内是供应商的控股股东或者实际控制人；</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与供应商的法定代表人或者负责人有夫妻、直系血亲、三代以内旁系血亲或者近姻亲关系；</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与供应商有其他可能影响政府采购活动公平、公正进行的关系。</w:t>
      </w:r>
    </w:p>
    <w:p>
      <w:pPr>
        <w:tabs>
          <w:tab w:val="left" w:pos="9030"/>
        </w:tabs>
        <w:snapToGrid w:val="0"/>
        <w:spacing w:line="360" w:lineRule="auto"/>
        <w:ind w:right="-65" w:firstLine="482" w:firstLineChars="200"/>
        <w:rPr>
          <w:rFonts w:hint="eastAsia" w:ascii="仿宋" w:hAnsi="仿宋" w:eastAsia="仿宋" w:cs="仿宋"/>
          <w:b/>
          <w:bCs/>
          <w:sz w:val="24"/>
          <w:szCs w:val="24"/>
          <w:lang w:val="zh-CN"/>
        </w:rPr>
      </w:pPr>
      <w:r>
        <w:rPr>
          <w:rFonts w:hint="eastAsia" w:ascii="仿宋" w:hAnsi="仿宋" w:eastAsia="仿宋" w:cs="仿宋"/>
          <w:b/>
          <w:bCs/>
          <w:sz w:val="24"/>
          <w:szCs w:val="24"/>
          <w:lang w:val="zh-CN"/>
        </w:rPr>
        <w:t>（三）磋商小组的权利与义务及监管制度：</w:t>
      </w:r>
    </w:p>
    <w:p>
      <w:pPr>
        <w:tabs>
          <w:tab w:val="left" w:pos="9030"/>
        </w:tabs>
        <w:snapToGrid w:val="0"/>
        <w:spacing w:line="360" w:lineRule="auto"/>
        <w:ind w:right="-65" w:firstLine="480" w:firstLineChars="200"/>
        <w:rPr>
          <w:rFonts w:hint="eastAsia" w:ascii="仿宋" w:hAnsi="仿宋" w:eastAsia="仿宋" w:cs="仿宋"/>
          <w:sz w:val="24"/>
          <w:szCs w:val="24"/>
        </w:rPr>
      </w:pPr>
      <w:r>
        <w:rPr>
          <w:rFonts w:hint="eastAsia" w:ascii="仿宋" w:hAnsi="仿宋" w:eastAsia="仿宋" w:cs="仿宋"/>
          <w:sz w:val="24"/>
          <w:szCs w:val="24"/>
        </w:rPr>
        <w:t>1、权利：</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）对政府采购法律制度及相关情况的知情权；</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对政府采购项目的独立评审权；</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3</w:t>
      </w:r>
      <w:r>
        <w:rPr>
          <w:rFonts w:hint="eastAsia" w:ascii="仿宋" w:hAnsi="仿宋" w:eastAsia="仿宋" w:cs="仿宋"/>
          <w:sz w:val="24"/>
          <w:szCs w:val="24"/>
          <w:lang w:val="zh-CN"/>
        </w:rPr>
        <w:t>）按照规定推荐成交候选供应商的权利；</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）按照规定获取评审劳务报酬的权利；</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）法律、法规规定的其他权利。</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义务及监管制度：</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1</w:t>
      </w:r>
      <w:r>
        <w:rPr>
          <w:rFonts w:hint="eastAsia" w:ascii="仿宋" w:hAnsi="仿宋" w:eastAsia="仿宋" w:cs="仿宋"/>
          <w:sz w:val="24"/>
          <w:szCs w:val="24"/>
          <w:lang w:val="zh-CN"/>
        </w:rPr>
        <w:t>）磋商小组在评审期间应当严格遵守评审工作纪律，主动出具身份证明，将手机等通讯工具或者相关电子设备交由采购人或者采购代理机构统一保管，不得记录，复制或者带走任何评审资料；</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）磋商小组应当按照客观、公正、审慎的原则，根据磋商文件规定的评审程序、评审方法和评审标准进行独立评审；</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）及时向财政部门报告评审过程中发现的采购人、采购代理机构向评审专家做倾向性、误导性的解释或者说明，以及供应商行贿、提供虚假材料或者串通等违法行为；</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4</w:t>
      </w:r>
      <w:r>
        <w:rPr>
          <w:rFonts w:hint="eastAsia" w:ascii="仿宋" w:hAnsi="仿宋" w:eastAsia="仿宋" w:cs="仿宋"/>
          <w:sz w:val="24"/>
          <w:szCs w:val="24"/>
          <w:lang w:val="zh-CN"/>
        </w:rPr>
        <w:t>）维护国家利益、社会公共利益和当事人的合法权益；</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5</w:t>
      </w:r>
      <w:r>
        <w:rPr>
          <w:rFonts w:hint="eastAsia" w:ascii="仿宋" w:hAnsi="仿宋" w:eastAsia="仿宋" w:cs="仿宋"/>
          <w:sz w:val="24"/>
          <w:szCs w:val="24"/>
          <w:lang w:val="zh-CN"/>
        </w:rPr>
        <w:t>）参加由财政部门组织的专题学习、培训；</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6</w:t>
      </w:r>
      <w:r>
        <w:rPr>
          <w:rFonts w:hint="eastAsia" w:ascii="仿宋" w:hAnsi="仿宋" w:eastAsia="仿宋" w:cs="仿宋"/>
          <w:sz w:val="24"/>
          <w:szCs w:val="24"/>
          <w:lang w:val="zh-CN"/>
        </w:rPr>
        <w:t>）法律、法规规定的其他义务；</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7</w:t>
      </w:r>
      <w:r>
        <w:rPr>
          <w:rFonts w:hint="eastAsia" w:ascii="仿宋" w:hAnsi="仿宋" w:eastAsia="仿宋" w:cs="仿宋"/>
          <w:sz w:val="24"/>
          <w:szCs w:val="24"/>
          <w:lang w:val="zh-CN"/>
        </w:rPr>
        <w:t>）磋商小组遵从《陕西省政府采购评审专家管理实施办法》 的各项监督管理制度。</w:t>
      </w:r>
    </w:p>
    <w:p>
      <w:pPr>
        <w:tabs>
          <w:tab w:val="left" w:pos="9030"/>
        </w:tabs>
        <w:snapToGrid w:val="0"/>
        <w:spacing w:line="360" w:lineRule="auto"/>
        <w:ind w:right="-65" w:firstLine="482" w:firstLineChars="200"/>
        <w:rPr>
          <w:rFonts w:hint="eastAsia" w:ascii="仿宋" w:hAnsi="仿宋" w:eastAsia="仿宋" w:cs="仿宋"/>
          <w:sz w:val="24"/>
          <w:szCs w:val="24"/>
          <w:lang w:val="zh-CN"/>
        </w:rPr>
      </w:pPr>
      <w:r>
        <w:rPr>
          <w:rFonts w:hint="eastAsia" w:ascii="仿宋" w:hAnsi="仿宋" w:eastAsia="仿宋" w:cs="仿宋"/>
          <w:b/>
          <w:bCs/>
          <w:sz w:val="24"/>
          <w:szCs w:val="24"/>
          <w:lang w:val="zh-CN"/>
        </w:rPr>
        <w:t>（四）磋商小组的职责</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1、审查磋商响应文件是否符合磋商文件的要求，并做出评价；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2、可以要求供应商对响应文件中含义不明确、同类问题表述不一致或者有明显文字和计算错误的内容等作出必要的澄清、说明或者更正；</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3、与各供应商就磋商响应文件（含澄清、说明或补正的内容）中的实施方案、磋商报价、业绩、商务响应等进行磋商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4、按照竞争性磋商文件的要求和磋商办法进行评审，推荐成交候选供应商名单，对评审意见承担个人责任；</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5、对评审过程和结果以及供应商的商业秘密保密；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6、编写磋商评审报告；</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7、配合采购代理机构答复供应商提出的质疑；</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8、配合财政部门的投诉处理工作；</w:t>
      </w:r>
    </w:p>
    <w:p>
      <w:pPr>
        <w:snapToGrid w:val="0"/>
        <w:spacing w:line="360" w:lineRule="auto"/>
        <w:ind w:firstLine="480" w:firstLineChars="200"/>
        <w:rPr>
          <w:rFonts w:hint="eastAsia" w:ascii="仿宋" w:hAnsi="仿宋" w:eastAsia="仿宋" w:cs="仿宋"/>
          <w:b/>
          <w:bCs/>
          <w:sz w:val="24"/>
          <w:szCs w:val="24"/>
          <w:lang w:val="zh-CN"/>
        </w:rPr>
      </w:pPr>
      <w:r>
        <w:rPr>
          <w:rFonts w:hint="eastAsia" w:ascii="仿宋" w:hAnsi="仿宋" w:eastAsia="仿宋" w:cs="仿宋"/>
          <w:sz w:val="24"/>
          <w:szCs w:val="24"/>
        </w:rPr>
        <w:t>9、依据政府采购法有关精神，有权对磋商过程中出现的一切问题做出处理决定。</w:t>
      </w:r>
    </w:p>
    <w:p>
      <w:pPr>
        <w:snapToGrid w:val="0"/>
        <w:spacing w:line="360" w:lineRule="auto"/>
        <w:ind w:firstLine="482" w:firstLineChars="200"/>
        <w:outlineLvl w:val="1"/>
        <w:rPr>
          <w:rFonts w:hint="eastAsia" w:ascii="仿宋" w:hAnsi="仿宋" w:eastAsia="仿宋" w:cs="仿宋"/>
          <w:b/>
          <w:sz w:val="24"/>
          <w:szCs w:val="24"/>
        </w:rPr>
      </w:pPr>
      <w:bookmarkStart w:id="219" w:name="_Toc13067"/>
      <w:bookmarkStart w:id="220" w:name="_Toc17170"/>
      <w:bookmarkStart w:id="221" w:name="_Toc495681513"/>
      <w:bookmarkStart w:id="222" w:name="_Toc6044"/>
      <w:bookmarkStart w:id="223" w:name="_Toc18764"/>
      <w:bookmarkStart w:id="224" w:name="_Toc7227"/>
      <w:bookmarkStart w:id="225" w:name="_Toc9971"/>
      <w:bookmarkStart w:id="226" w:name="_Toc7591"/>
      <w:bookmarkStart w:id="227" w:name="_Toc495681386"/>
      <w:bookmarkStart w:id="228" w:name="_Toc11057"/>
      <w:bookmarkStart w:id="229" w:name="_Toc24287"/>
      <w:bookmarkStart w:id="230" w:name="_Toc16740"/>
      <w:bookmarkStart w:id="231" w:name="_Toc705"/>
      <w:bookmarkStart w:id="232" w:name="_Toc495908031"/>
      <w:bookmarkStart w:id="233" w:name="_Toc10518"/>
      <w:bookmarkStart w:id="234" w:name="_Toc32163"/>
      <w:bookmarkStart w:id="235" w:name="_Toc495681232"/>
      <w:r>
        <w:rPr>
          <w:rFonts w:hint="eastAsia" w:ascii="仿宋" w:hAnsi="仿宋" w:eastAsia="仿宋" w:cs="仿宋"/>
          <w:b/>
          <w:sz w:val="24"/>
          <w:szCs w:val="24"/>
        </w:rPr>
        <w:t>五、磋商会议</w:t>
      </w:r>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（一）在磋商文件规定的时间和地点，由采购代理机构组织磋商工作，供应商委派代表参加，签名报到以证明其出席。磋商整个过程接受监督机构的监督和管理。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（二）竞争性磋商会议进行时，由供应商或其推荐的代表与采购监标人共同检查响应文件的密封情况，经检查无误后，签字确认。</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（三）采购代理机构工作人员按照顺序，将各供应商首次响应文件的份数等内容公布。</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（四）磋商过程由采购代理机构指定专人记录。</w:t>
      </w:r>
    </w:p>
    <w:p>
      <w:pPr>
        <w:snapToGrid w:val="0"/>
        <w:spacing w:line="360" w:lineRule="auto"/>
        <w:ind w:firstLine="482" w:firstLineChars="200"/>
        <w:outlineLvl w:val="1"/>
        <w:rPr>
          <w:rFonts w:hint="eastAsia" w:ascii="仿宋" w:hAnsi="仿宋" w:eastAsia="仿宋" w:cs="仿宋"/>
          <w:b/>
          <w:sz w:val="24"/>
          <w:szCs w:val="24"/>
        </w:rPr>
      </w:pPr>
      <w:bookmarkStart w:id="236" w:name="_Toc19800"/>
      <w:bookmarkStart w:id="237" w:name="_Toc20907"/>
      <w:bookmarkStart w:id="238" w:name="_Toc26932"/>
      <w:bookmarkStart w:id="239" w:name="_Toc5745"/>
      <w:r>
        <w:rPr>
          <w:rFonts w:hint="eastAsia" w:ascii="仿宋" w:hAnsi="仿宋" w:eastAsia="仿宋" w:cs="仿宋"/>
          <w:b/>
          <w:sz w:val="24"/>
          <w:szCs w:val="24"/>
        </w:rPr>
        <w:t>六、磋商评审程序及评审办法</w:t>
      </w:r>
      <w:bookmarkEnd w:id="236"/>
      <w:bookmarkEnd w:id="237"/>
      <w:bookmarkEnd w:id="238"/>
      <w:bookmarkEnd w:id="239"/>
    </w:p>
    <w:p>
      <w:pPr>
        <w:tabs>
          <w:tab w:val="left" w:pos="9030"/>
        </w:tabs>
        <w:snapToGrid w:val="0"/>
        <w:spacing w:line="360" w:lineRule="auto"/>
        <w:ind w:right="-65" w:firstLine="482" w:firstLineChars="200"/>
        <w:outlineLvl w:val="2"/>
        <w:rPr>
          <w:rFonts w:hint="eastAsia" w:ascii="仿宋" w:hAnsi="仿宋" w:eastAsia="仿宋" w:cs="仿宋"/>
          <w:b/>
          <w:bCs/>
          <w:sz w:val="24"/>
          <w:szCs w:val="24"/>
        </w:rPr>
      </w:pPr>
      <w:bookmarkStart w:id="240" w:name="_Toc16990"/>
      <w:bookmarkStart w:id="241" w:name="_Toc14716"/>
      <w:bookmarkStart w:id="242" w:name="_Toc4804"/>
      <w:bookmarkStart w:id="243" w:name="_Toc9359"/>
      <w:r>
        <w:rPr>
          <w:rFonts w:hint="eastAsia" w:ascii="仿宋" w:hAnsi="仿宋" w:eastAsia="仿宋" w:cs="仿宋"/>
          <w:b/>
          <w:bCs/>
          <w:sz w:val="24"/>
          <w:szCs w:val="24"/>
        </w:rPr>
        <w:t>（一）磋商响应文件的资格性审查</w:t>
      </w:r>
      <w:bookmarkEnd w:id="240"/>
      <w:bookmarkEnd w:id="241"/>
      <w:bookmarkEnd w:id="242"/>
      <w:r>
        <w:rPr>
          <w:rFonts w:hint="eastAsia" w:ascii="仿宋" w:hAnsi="仿宋" w:eastAsia="仿宋" w:cs="仿宋"/>
          <w:b/>
          <w:bCs/>
          <w:sz w:val="24"/>
          <w:szCs w:val="24"/>
        </w:rPr>
        <w:t>：</w:t>
      </w:r>
      <w:bookmarkEnd w:id="243"/>
    </w:p>
    <w:p>
      <w:pPr>
        <w:tabs>
          <w:tab w:val="left" w:pos="9030"/>
        </w:tabs>
        <w:snapToGrid w:val="0"/>
        <w:spacing w:line="360" w:lineRule="auto"/>
        <w:ind w:right="-65" w:firstLine="482" w:firstLineChars="200"/>
        <w:rPr>
          <w:rFonts w:hint="eastAsia" w:ascii="仿宋" w:hAnsi="仿宋" w:eastAsia="仿宋" w:cs="仿宋"/>
          <w:sz w:val="24"/>
          <w:szCs w:val="24"/>
        </w:rPr>
      </w:pPr>
      <w:r>
        <w:rPr>
          <w:rFonts w:hint="eastAsia" w:ascii="仿宋" w:hAnsi="仿宋" w:eastAsia="仿宋" w:cs="仿宋"/>
          <w:b/>
          <w:bCs/>
          <w:sz w:val="24"/>
          <w:szCs w:val="24"/>
        </w:rPr>
        <w:t xml:space="preserve">依据法律法规和磋商文件的规定，采购人或采购代理机构对响应文件中的资格证明文件等进行审查，审查内容为公告中所列的供应商资格条件。 </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4"/>
        <w:gridCol w:w="2164"/>
        <w:gridCol w:w="59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604" w:type="dxa"/>
            <w:vAlign w:val="center"/>
          </w:tcPr>
          <w:p>
            <w:pPr>
              <w:tabs>
                <w:tab w:val="left" w:pos="9030"/>
              </w:tabs>
              <w:snapToGrid w:val="0"/>
              <w:spacing w:line="360" w:lineRule="auto"/>
              <w:ind w:right="-65"/>
              <w:jc w:val="center"/>
              <w:rPr>
                <w:rFonts w:hint="eastAsia" w:ascii="仿宋" w:hAnsi="仿宋" w:eastAsia="仿宋" w:cs="仿宋"/>
                <w:b/>
                <w:bCs/>
                <w:sz w:val="22"/>
                <w:szCs w:val="22"/>
              </w:rPr>
            </w:pPr>
            <w:bookmarkStart w:id="244" w:name="_Toc18630"/>
            <w:bookmarkStart w:id="245" w:name="_Toc3356"/>
            <w:bookmarkStart w:id="246" w:name="_Toc17500"/>
            <w:r>
              <w:rPr>
                <w:rFonts w:hint="eastAsia" w:ascii="仿宋" w:hAnsi="仿宋" w:eastAsia="仿宋" w:cs="仿宋"/>
                <w:b/>
                <w:bCs/>
                <w:sz w:val="22"/>
                <w:szCs w:val="22"/>
              </w:rPr>
              <w:t>序号</w:t>
            </w:r>
          </w:p>
        </w:tc>
        <w:tc>
          <w:tcPr>
            <w:tcW w:w="2164" w:type="dxa"/>
            <w:vAlign w:val="center"/>
          </w:tcPr>
          <w:p>
            <w:pPr>
              <w:tabs>
                <w:tab w:val="left" w:pos="9030"/>
              </w:tabs>
              <w:snapToGrid w:val="0"/>
              <w:spacing w:line="360" w:lineRule="auto"/>
              <w:ind w:right="-65"/>
              <w:jc w:val="center"/>
              <w:rPr>
                <w:rFonts w:hint="eastAsia" w:ascii="仿宋" w:hAnsi="仿宋" w:eastAsia="仿宋" w:cs="仿宋"/>
                <w:b/>
                <w:bCs/>
                <w:sz w:val="22"/>
                <w:szCs w:val="22"/>
              </w:rPr>
            </w:pPr>
            <w:r>
              <w:rPr>
                <w:rFonts w:hint="eastAsia" w:ascii="仿宋" w:hAnsi="仿宋" w:eastAsia="仿宋" w:cs="仿宋"/>
                <w:b/>
                <w:bCs/>
                <w:sz w:val="22"/>
                <w:szCs w:val="22"/>
              </w:rPr>
              <w:t>资格审查项</w:t>
            </w:r>
          </w:p>
        </w:tc>
        <w:tc>
          <w:tcPr>
            <w:tcW w:w="5952" w:type="dxa"/>
            <w:vAlign w:val="center"/>
          </w:tcPr>
          <w:p>
            <w:pPr>
              <w:tabs>
                <w:tab w:val="left" w:pos="9030"/>
              </w:tabs>
              <w:snapToGrid w:val="0"/>
              <w:spacing w:line="360" w:lineRule="auto"/>
              <w:ind w:right="-65"/>
              <w:jc w:val="center"/>
              <w:rPr>
                <w:rFonts w:hint="eastAsia" w:ascii="仿宋" w:hAnsi="仿宋" w:eastAsia="仿宋" w:cs="仿宋"/>
                <w:b/>
                <w:bCs/>
                <w:sz w:val="22"/>
                <w:szCs w:val="22"/>
              </w:rPr>
            </w:pPr>
            <w:r>
              <w:rPr>
                <w:rFonts w:hint="eastAsia" w:ascii="仿宋" w:hAnsi="仿宋" w:eastAsia="仿宋" w:cs="仿宋"/>
                <w:b/>
                <w:bCs/>
                <w:sz w:val="22"/>
                <w:szCs w:val="22"/>
              </w:rPr>
              <w:t>通过条件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8" w:hRule="atLeast"/>
          <w:jc w:val="center"/>
        </w:trPr>
        <w:tc>
          <w:tcPr>
            <w:tcW w:w="604" w:type="dxa"/>
            <w:vAlign w:val="center"/>
          </w:tcPr>
          <w:p>
            <w:pPr>
              <w:tabs>
                <w:tab w:val="left" w:pos="9030"/>
              </w:tabs>
              <w:snapToGrid w:val="0"/>
              <w:spacing w:line="360" w:lineRule="auto"/>
              <w:ind w:right="-65"/>
              <w:jc w:val="center"/>
              <w:rPr>
                <w:rFonts w:hint="eastAsia" w:ascii="仿宋" w:hAnsi="仿宋" w:eastAsia="仿宋" w:cs="仿宋"/>
                <w:sz w:val="22"/>
                <w:szCs w:val="22"/>
              </w:rPr>
            </w:pPr>
            <w:r>
              <w:rPr>
                <w:rFonts w:hint="eastAsia" w:ascii="仿宋" w:hAnsi="仿宋" w:eastAsia="仿宋" w:cs="仿宋"/>
                <w:sz w:val="24"/>
                <w:szCs w:val="24"/>
              </w:rPr>
              <w:t>1</w:t>
            </w:r>
          </w:p>
        </w:tc>
        <w:tc>
          <w:tcPr>
            <w:tcW w:w="2164" w:type="dxa"/>
            <w:vAlign w:val="center"/>
          </w:tcPr>
          <w:p>
            <w:pPr>
              <w:spacing w:before="313" w:line="360" w:lineRule="auto"/>
              <w:ind w:right="112"/>
              <w:jc w:val="center"/>
              <w:rPr>
                <w:rFonts w:hint="eastAsia" w:ascii="仿宋" w:hAnsi="仿宋" w:eastAsia="仿宋" w:cs="仿宋"/>
                <w:sz w:val="22"/>
                <w:szCs w:val="22"/>
              </w:rPr>
            </w:pPr>
            <w:r>
              <w:rPr>
                <w:rFonts w:hint="eastAsia" w:ascii="仿宋" w:hAnsi="仿宋" w:eastAsia="仿宋" w:cs="仿宋"/>
                <w:sz w:val="24"/>
                <w:szCs w:val="24"/>
                <w:highlight w:val="none"/>
              </w:rPr>
              <w:t>具有独立承担民事责任的能力</w:t>
            </w:r>
          </w:p>
        </w:tc>
        <w:tc>
          <w:tcPr>
            <w:tcW w:w="5952" w:type="dxa"/>
            <w:vAlign w:val="center"/>
          </w:tcPr>
          <w:p>
            <w:pPr>
              <w:tabs>
                <w:tab w:val="left" w:pos="9030"/>
              </w:tabs>
              <w:snapToGrid w:val="0"/>
              <w:spacing w:line="360" w:lineRule="auto"/>
              <w:ind w:right="-65"/>
              <w:jc w:val="left"/>
              <w:rPr>
                <w:rFonts w:hint="eastAsia" w:ascii="仿宋" w:hAnsi="仿宋" w:eastAsia="仿宋" w:cs="仿宋"/>
                <w:sz w:val="22"/>
                <w:szCs w:val="22"/>
              </w:rPr>
            </w:pPr>
            <w:r>
              <w:rPr>
                <w:rFonts w:hint="eastAsia" w:ascii="仿宋" w:hAnsi="仿宋" w:eastAsia="仿宋" w:cs="仿宋"/>
                <w:sz w:val="24"/>
                <w:szCs w:val="24"/>
                <w:highlight w:val="none"/>
              </w:rPr>
              <w:t>提供营业执照/事业单位法人证书/非企业专业服务机构执业许可证/自然人身份证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rPr>
                <w:rFonts w:hint="eastAsia" w:ascii="仿宋" w:hAnsi="仿宋" w:eastAsia="仿宋" w:cs="仿宋"/>
                <w:sz w:val="22"/>
                <w:szCs w:val="22"/>
              </w:rPr>
            </w:pPr>
            <w:r>
              <w:rPr>
                <w:rFonts w:hint="eastAsia" w:ascii="仿宋" w:hAnsi="仿宋" w:eastAsia="仿宋" w:cs="仿宋"/>
                <w:sz w:val="24"/>
                <w:szCs w:val="24"/>
              </w:rPr>
              <w:t>2</w:t>
            </w:r>
          </w:p>
        </w:tc>
        <w:tc>
          <w:tcPr>
            <w:tcW w:w="2164" w:type="dxa"/>
            <w:vAlign w:val="center"/>
          </w:tcPr>
          <w:p>
            <w:pPr>
              <w:spacing w:before="78" w:line="360" w:lineRule="auto"/>
              <w:jc w:val="center"/>
              <w:rPr>
                <w:rFonts w:hint="eastAsia" w:ascii="仿宋" w:hAnsi="仿宋" w:eastAsia="仿宋" w:cs="仿宋"/>
                <w:sz w:val="22"/>
                <w:szCs w:val="22"/>
              </w:rPr>
            </w:pPr>
            <w:r>
              <w:rPr>
                <w:rFonts w:hint="eastAsia" w:ascii="仿宋" w:hAnsi="仿宋" w:eastAsia="仿宋" w:cs="仿宋"/>
                <w:sz w:val="24"/>
                <w:szCs w:val="24"/>
                <w:highlight w:val="none"/>
              </w:rPr>
              <w:t>具有良好的商业信誉和健全的财务会计制度</w:t>
            </w:r>
          </w:p>
        </w:tc>
        <w:tc>
          <w:tcPr>
            <w:tcW w:w="5952" w:type="dxa"/>
            <w:vAlign w:val="center"/>
          </w:tcPr>
          <w:p>
            <w:pPr>
              <w:tabs>
                <w:tab w:val="left" w:pos="9030"/>
              </w:tabs>
              <w:snapToGrid w:val="0"/>
              <w:spacing w:line="360" w:lineRule="auto"/>
              <w:ind w:right="-65"/>
              <w:jc w:val="left"/>
              <w:rPr>
                <w:rFonts w:hint="eastAsia" w:ascii="仿宋" w:hAnsi="仿宋" w:eastAsia="仿宋" w:cs="仿宋"/>
                <w:sz w:val="22"/>
                <w:szCs w:val="22"/>
              </w:rPr>
            </w:pPr>
            <w:r>
              <w:rPr>
                <w:rFonts w:hint="eastAsia" w:ascii="仿宋" w:hAnsi="仿宋" w:eastAsia="仿宋" w:cs="仿宋"/>
                <w:sz w:val="24"/>
                <w:szCs w:val="24"/>
                <w:highlight w:val="none"/>
              </w:rPr>
              <w:t>提供具有财务审计资质的单位出具的2021年财务报告，或开标截止时间前</w:t>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个月内公司存款账户开户银行出具的资信证明 ，或信用担保机构出具的投标担保函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rPr>
                <w:rFonts w:hint="eastAsia" w:ascii="仿宋" w:hAnsi="仿宋" w:eastAsia="仿宋" w:cs="仿宋"/>
                <w:sz w:val="22"/>
                <w:szCs w:val="22"/>
              </w:rPr>
            </w:pPr>
            <w:r>
              <w:rPr>
                <w:rFonts w:hint="eastAsia" w:ascii="仿宋" w:hAnsi="仿宋" w:eastAsia="仿宋" w:cs="仿宋"/>
                <w:sz w:val="24"/>
                <w:szCs w:val="24"/>
              </w:rPr>
              <w:t>3</w:t>
            </w:r>
          </w:p>
        </w:tc>
        <w:tc>
          <w:tcPr>
            <w:tcW w:w="2164" w:type="dxa"/>
            <w:vAlign w:val="center"/>
          </w:tcPr>
          <w:p>
            <w:pPr>
              <w:spacing w:before="78" w:line="360" w:lineRule="auto"/>
              <w:jc w:val="center"/>
              <w:rPr>
                <w:rFonts w:hint="eastAsia" w:ascii="仿宋" w:hAnsi="仿宋" w:eastAsia="仿宋" w:cs="仿宋"/>
                <w:sz w:val="22"/>
                <w:szCs w:val="22"/>
              </w:rPr>
            </w:pPr>
            <w:r>
              <w:rPr>
                <w:rFonts w:hint="eastAsia" w:ascii="仿宋" w:hAnsi="仿宋" w:eastAsia="仿宋" w:cs="仿宋"/>
                <w:sz w:val="24"/>
                <w:szCs w:val="24"/>
                <w:highlight w:val="none"/>
              </w:rPr>
              <w:t>有依法缴纳税收和社会保障资金的良好记</w:t>
            </w:r>
          </w:p>
        </w:tc>
        <w:tc>
          <w:tcPr>
            <w:tcW w:w="5952" w:type="dxa"/>
            <w:vAlign w:val="center"/>
          </w:tcPr>
          <w:p>
            <w:pPr>
              <w:tabs>
                <w:tab w:val="left" w:pos="9030"/>
              </w:tabs>
              <w:snapToGrid w:val="0"/>
              <w:spacing w:line="360" w:lineRule="auto"/>
              <w:ind w:right="-65"/>
              <w:jc w:val="left"/>
              <w:rPr>
                <w:rFonts w:hint="eastAsia" w:ascii="仿宋" w:hAnsi="仿宋" w:eastAsia="仿宋" w:cs="仿宋"/>
                <w:sz w:val="22"/>
                <w:szCs w:val="22"/>
              </w:rPr>
            </w:pPr>
            <w:r>
              <w:rPr>
                <w:rFonts w:hint="eastAsia" w:ascii="仿宋" w:hAnsi="仿宋" w:eastAsia="仿宋" w:cs="仿宋"/>
                <w:sz w:val="24"/>
                <w:szCs w:val="24"/>
                <w:highlight w:val="none"/>
              </w:rPr>
              <w:t>提供开标截止时间前12个月内任一个月份的①正式税收缴费凭据或免税书面声明、②社会保障资金缴纳专用收据或社会保险缴纳清单或社会保障资金免缴纳书面声明）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04" w:type="dxa"/>
            <w:vAlign w:val="center"/>
          </w:tcPr>
          <w:p>
            <w:pPr>
              <w:tabs>
                <w:tab w:val="left" w:pos="9030"/>
              </w:tabs>
              <w:snapToGrid w:val="0"/>
              <w:spacing w:line="360" w:lineRule="auto"/>
              <w:ind w:right="-65"/>
              <w:jc w:val="center"/>
              <w:rPr>
                <w:rFonts w:hint="eastAsia" w:ascii="仿宋" w:hAnsi="仿宋" w:eastAsia="仿宋" w:cs="仿宋"/>
                <w:sz w:val="22"/>
                <w:szCs w:val="22"/>
              </w:rPr>
            </w:pPr>
            <w:r>
              <w:rPr>
                <w:rFonts w:hint="eastAsia" w:ascii="仿宋" w:hAnsi="仿宋" w:eastAsia="仿宋" w:cs="仿宋"/>
                <w:sz w:val="24"/>
                <w:szCs w:val="24"/>
              </w:rPr>
              <w:t>4</w:t>
            </w:r>
          </w:p>
        </w:tc>
        <w:tc>
          <w:tcPr>
            <w:tcW w:w="2164" w:type="dxa"/>
            <w:vAlign w:val="center"/>
          </w:tcPr>
          <w:p>
            <w:pPr>
              <w:spacing w:before="78" w:line="360" w:lineRule="auto"/>
              <w:jc w:val="center"/>
              <w:rPr>
                <w:rFonts w:hint="eastAsia" w:ascii="仿宋" w:hAnsi="仿宋" w:eastAsia="仿宋" w:cs="仿宋"/>
                <w:sz w:val="22"/>
                <w:szCs w:val="22"/>
              </w:rPr>
            </w:pPr>
            <w:r>
              <w:rPr>
                <w:rFonts w:hint="eastAsia" w:ascii="仿宋" w:hAnsi="仿宋" w:eastAsia="仿宋" w:cs="仿宋"/>
                <w:sz w:val="24"/>
                <w:szCs w:val="24"/>
                <w:highlight w:val="none"/>
              </w:rPr>
              <w:t>具备履行合同所必需的设备和专业技术能力</w:t>
            </w:r>
          </w:p>
        </w:tc>
        <w:tc>
          <w:tcPr>
            <w:tcW w:w="5952" w:type="dxa"/>
            <w:vAlign w:val="center"/>
          </w:tcPr>
          <w:p>
            <w:pPr>
              <w:spacing w:line="360" w:lineRule="auto"/>
              <w:jc w:val="left"/>
              <w:rPr>
                <w:rFonts w:hint="eastAsia" w:ascii="仿宋" w:hAnsi="仿宋" w:eastAsia="仿宋" w:cs="仿宋"/>
                <w:sz w:val="22"/>
                <w:szCs w:val="22"/>
              </w:rPr>
            </w:pPr>
            <w:r>
              <w:rPr>
                <w:rFonts w:hint="eastAsia" w:ascii="仿宋" w:hAnsi="仿宋" w:eastAsia="仿宋" w:cs="仿宋"/>
                <w:sz w:val="24"/>
                <w:szCs w:val="24"/>
                <w:highlight w:val="none"/>
              </w:rPr>
              <w:t>提供可充分满足履行合同所需设备和专业技术能力的承诺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9" w:hRule="atLeast"/>
          <w:jc w:val="center"/>
        </w:trPr>
        <w:tc>
          <w:tcPr>
            <w:tcW w:w="604" w:type="dxa"/>
            <w:vAlign w:val="center"/>
          </w:tcPr>
          <w:p>
            <w:pPr>
              <w:tabs>
                <w:tab w:val="left" w:pos="9030"/>
              </w:tabs>
              <w:snapToGrid w:val="0"/>
              <w:spacing w:line="360" w:lineRule="auto"/>
              <w:ind w:right="-65"/>
              <w:jc w:val="center"/>
              <w:rPr>
                <w:rFonts w:hint="eastAsia" w:ascii="仿宋" w:hAnsi="仿宋" w:eastAsia="仿宋" w:cs="仿宋"/>
                <w:sz w:val="22"/>
                <w:szCs w:val="22"/>
              </w:rPr>
            </w:pPr>
            <w:r>
              <w:rPr>
                <w:rFonts w:hint="eastAsia" w:ascii="仿宋" w:hAnsi="仿宋" w:eastAsia="仿宋" w:cs="仿宋"/>
                <w:sz w:val="24"/>
                <w:szCs w:val="24"/>
              </w:rPr>
              <w:t>5</w:t>
            </w:r>
          </w:p>
        </w:tc>
        <w:tc>
          <w:tcPr>
            <w:tcW w:w="2164" w:type="dxa"/>
            <w:vAlign w:val="center"/>
          </w:tcPr>
          <w:p>
            <w:pPr>
              <w:spacing w:before="78" w:line="360" w:lineRule="auto"/>
              <w:jc w:val="center"/>
              <w:rPr>
                <w:rFonts w:hint="eastAsia" w:ascii="仿宋" w:hAnsi="仿宋" w:eastAsia="仿宋" w:cs="仿宋"/>
                <w:spacing w:val="-1"/>
                <w:sz w:val="22"/>
                <w:szCs w:val="22"/>
                <w:highlight w:val="green"/>
              </w:rPr>
            </w:pPr>
            <w:r>
              <w:rPr>
                <w:rFonts w:hint="eastAsia" w:ascii="仿宋" w:hAnsi="仿宋" w:eastAsia="仿宋" w:cs="仿宋"/>
                <w:spacing w:val="-1"/>
                <w:sz w:val="24"/>
                <w:szCs w:val="24"/>
                <w:highlight w:val="none"/>
              </w:rPr>
              <w:t>书面声明</w:t>
            </w:r>
          </w:p>
        </w:tc>
        <w:tc>
          <w:tcPr>
            <w:tcW w:w="5952" w:type="dxa"/>
            <w:vAlign w:val="center"/>
          </w:tcPr>
          <w:p>
            <w:pPr>
              <w:pStyle w:val="2"/>
              <w:spacing w:line="360" w:lineRule="auto"/>
              <w:rPr>
                <w:rFonts w:hint="eastAsia" w:ascii="仿宋" w:hAnsi="仿宋" w:eastAsia="仿宋" w:cs="仿宋"/>
                <w:sz w:val="22"/>
                <w:szCs w:val="22"/>
                <w:highlight w:val="green"/>
              </w:rPr>
            </w:pPr>
            <w:r>
              <w:rPr>
                <w:rFonts w:hint="eastAsia" w:ascii="仿宋" w:hAnsi="仿宋" w:eastAsia="仿宋" w:cs="仿宋"/>
                <w:sz w:val="24"/>
                <w:szCs w:val="24"/>
                <w:highlight w:val="none"/>
              </w:rPr>
              <w:t>参加政府采购活动前三年内在经营活动中没有重大违法记录的书面声明（提供承诺）；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93" w:hRule="atLeast"/>
          <w:jc w:val="center"/>
        </w:trPr>
        <w:tc>
          <w:tcPr>
            <w:tcW w:w="604" w:type="dxa"/>
            <w:vAlign w:val="center"/>
          </w:tcPr>
          <w:p>
            <w:pPr>
              <w:tabs>
                <w:tab w:val="left" w:pos="9030"/>
              </w:tabs>
              <w:snapToGrid w:val="0"/>
              <w:spacing w:line="360" w:lineRule="auto"/>
              <w:ind w:right="-65"/>
              <w:jc w:val="center"/>
              <w:rPr>
                <w:rFonts w:hint="eastAsia" w:ascii="仿宋" w:hAnsi="仿宋" w:eastAsia="仿宋" w:cs="仿宋"/>
                <w:sz w:val="22"/>
                <w:szCs w:val="22"/>
              </w:rPr>
            </w:pPr>
            <w:r>
              <w:rPr>
                <w:rFonts w:hint="eastAsia" w:ascii="仿宋" w:hAnsi="仿宋" w:eastAsia="仿宋" w:cs="仿宋"/>
                <w:sz w:val="24"/>
                <w:szCs w:val="24"/>
              </w:rPr>
              <w:t>6</w:t>
            </w:r>
          </w:p>
        </w:tc>
        <w:tc>
          <w:tcPr>
            <w:tcW w:w="2164" w:type="dxa"/>
            <w:vAlign w:val="center"/>
          </w:tcPr>
          <w:p>
            <w:pPr>
              <w:spacing w:before="78" w:line="360" w:lineRule="auto"/>
              <w:jc w:val="center"/>
              <w:rPr>
                <w:rFonts w:hint="eastAsia" w:ascii="仿宋" w:hAnsi="仿宋" w:eastAsia="仿宋" w:cs="仿宋"/>
                <w:sz w:val="22"/>
                <w:szCs w:val="22"/>
              </w:rPr>
            </w:pPr>
            <w:r>
              <w:rPr>
                <w:rFonts w:hint="eastAsia" w:ascii="仿宋" w:hAnsi="仿宋" w:eastAsia="仿宋" w:cs="仿宋"/>
                <w:spacing w:val="-2"/>
                <w:sz w:val="24"/>
                <w:szCs w:val="24"/>
              </w:rPr>
              <w:t>信用记录</w:t>
            </w:r>
          </w:p>
        </w:tc>
        <w:tc>
          <w:tcPr>
            <w:tcW w:w="5952" w:type="dxa"/>
            <w:vAlign w:val="center"/>
          </w:tcPr>
          <w:p>
            <w:pPr>
              <w:tabs>
                <w:tab w:val="left" w:pos="9030"/>
              </w:tabs>
              <w:snapToGrid w:val="0"/>
              <w:spacing w:line="360" w:lineRule="auto"/>
              <w:ind w:right="-65"/>
              <w:jc w:val="left"/>
              <w:rPr>
                <w:rFonts w:hint="eastAsia" w:ascii="仿宋" w:hAnsi="仿宋" w:eastAsia="仿宋" w:cs="仿宋"/>
                <w:sz w:val="22"/>
                <w:szCs w:val="22"/>
              </w:rPr>
            </w:pPr>
            <w:r>
              <w:rPr>
                <w:rFonts w:hint="eastAsia" w:ascii="仿宋" w:hAnsi="仿宋" w:eastAsia="仿宋" w:cs="仿宋"/>
                <w:sz w:val="22"/>
                <w:szCs w:val="22"/>
              </w:rPr>
              <w:t>投标人不得为“信用中国”网站（www.creditchina.gov.cn）中列入失信被执行人和重大税收违法失信主体的投标人，不得为“中国政府采购网”（www.ccgp.gov.cn）政府采购严重违法失信行为记录名单中被财政部门禁止参加政府采购活动的投标人（不强制要求投标人提供查询截图，以开标当天网上查询结果为评审依据）；</w:t>
            </w:r>
          </w:p>
        </w:tc>
      </w:tr>
    </w:tbl>
    <w:p>
      <w:pPr>
        <w:rPr>
          <w:rFonts w:hint="eastAsia" w:ascii="仿宋" w:hAnsi="仿宋" w:eastAsia="仿宋" w:cs="仿宋"/>
          <w:b/>
          <w:bCs/>
          <w:sz w:val="24"/>
          <w:szCs w:val="24"/>
          <w:lang w:val="zh-CN"/>
        </w:rPr>
      </w:pPr>
    </w:p>
    <w:p>
      <w:pPr>
        <w:tabs>
          <w:tab w:val="left" w:pos="9030"/>
        </w:tabs>
        <w:snapToGrid w:val="0"/>
        <w:spacing w:line="360" w:lineRule="auto"/>
        <w:ind w:right="-65" w:firstLine="482" w:firstLineChars="200"/>
        <w:rPr>
          <w:rFonts w:hint="eastAsia" w:ascii="仿宋" w:hAnsi="仿宋" w:eastAsia="仿宋" w:cs="仿宋"/>
          <w:sz w:val="24"/>
          <w:szCs w:val="24"/>
        </w:rPr>
      </w:pPr>
      <w:r>
        <w:rPr>
          <w:rFonts w:hint="eastAsia" w:ascii="仿宋" w:hAnsi="仿宋" w:eastAsia="仿宋" w:cs="仿宋"/>
          <w:b/>
          <w:bCs/>
          <w:sz w:val="24"/>
          <w:szCs w:val="24"/>
          <w:lang w:val="zh-CN"/>
        </w:rPr>
        <w:t>说明：资格审查结束后，资格审查人员对审查结果进行签字确认，若供应商资格审查未通过，注明未通过原因并告知其供应商，资格审查不合格的供应商，不得进入下一评标环节。</w:t>
      </w:r>
    </w:p>
    <w:p>
      <w:pPr>
        <w:numPr>
          <w:ilvl w:val="0"/>
          <w:numId w:val="2"/>
        </w:numPr>
        <w:tabs>
          <w:tab w:val="left" w:pos="9030"/>
        </w:tabs>
        <w:snapToGrid w:val="0"/>
        <w:spacing w:line="360" w:lineRule="auto"/>
        <w:ind w:right="-65" w:firstLine="482" w:firstLineChars="200"/>
        <w:outlineLvl w:val="2"/>
        <w:rPr>
          <w:rFonts w:hint="eastAsia" w:ascii="仿宋" w:hAnsi="仿宋" w:eastAsia="仿宋" w:cs="仿宋"/>
          <w:b/>
          <w:bCs/>
          <w:sz w:val="24"/>
          <w:szCs w:val="24"/>
        </w:rPr>
      </w:pPr>
      <w:bookmarkStart w:id="247" w:name="_Toc27366"/>
      <w:r>
        <w:rPr>
          <w:rFonts w:hint="eastAsia" w:ascii="仿宋" w:hAnsi="仿宋" w:eastAsia="仿宋" w:cs="仿宋"/>
          <w:b/>
          <w:bCs/>
          <w:sz w:val="24"/>
          <w:szCs w:val="24"/>
        </w:rPr>
        <w:t>磋商响应文件符合性审查</w:t>
      </w:r>
      <w:bookmarkEnd w:id="244"/>
      <w:bookmarkEnd w:id="245"/>
      <w:bookmarkEnd w:id="246"/>
      <w:r>
        <w:rPr>
          <w:rFonts w:hint="eastAsia" w:ascii="仿宋" w:hAnsi="仿宋" w:eastAsia="仿宋" w:cs="仿宋"/>
          <w:b/>
          <w:bCs/>
          <w:sz w:val="24"/>
          <w:szCs w:val="24"/>
        </w:rPr>
        <w:t>：</w:t>
      </w:r>
      <w:bookmarkEnd w:id="247"/>
    </w:p>
    <w:p>
      <w:pPr>
        <w:tabs>
          <w:tab w:val="left" w:pos="9030"/>
        </w:tabs>
        <w:snapToGrid w:val="0"/>
        <w:spacing w:line="360" w:lineRule="auto"/>
        <w:ind w:right="-65" w:firstLine="482" w:firstLineChars="200"/>
        <w:rPr>
          <w:rFonts w:hint="eastAsia" w:ascii="仿宋" w:hAnsi="仿宋" w:eastAsia="仿宋" w:cs="仿宋"/>
          <w:b/>
          <w:bCs/>
          <w:sz w:val="24"/>
          <w:szCs w:val="24"/>
        </w:rPr>
      </w:pPr>
      <w:r>
        <w:rPr>
          <w:rFonts w:hint="eastAsia" w:ascii="仿宋" w:hAnsi="仿宋" w:eastAsia="仿宋" w:cs="仿宋"/>
          <w:b/>
          <w:bCs/>
          <w:sz w:val="24"/>
          <w:szCs w:val="24"/>
        </w:rPr>
        <w:t>依据磋商文件的规定，磋商小组从响应文件的有效性、完整性和对磋商文件的响应程度进行审查，以确定是否对磋商文件的实质性内容作出响应。</w:t>
      </w:r>
    </w:p>
    <w:p>
      <w:pPr>
        <w:pStyle w:val="38"/>
        <w:numPr>
          <w:ilvl w:val="0"/>
          <w:numId w:val="0"/>
        </w:numPr>
        <w:ind w:left="7980"/>
        <w:rPr>
          <w:rFonts w:hint="eastAsia" w:ascii="仿宋" w:hAnsi="仿宋" w:eastAsia="仿宋" w:cs="仿宋"/>
        </w:rPr>
      </w:pPr>
    </w:p>
    <w:tbl>
      <w:tblPr>
        <w:tblStyle w:val="25"/>
        <w:tblW w:w="908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9"/>
        <w:gridCol w:w="6384"/>
        <w:gridCol w:w="18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829" w:type="dxa"/>
            <w:noWrap/>
            <w:vAlign w:val="center"/>
          </w:tcPr>
          <w:p>
            <w:pPr>
              <w:jc w:val="center"/>
              <w:rPr>
                <w:rFonts w:hint="eastAsia" w:ascii="仿宋" w:hAnsi="仿宋" w:eastAsia="仿宋" w:cs="仿宋"/>
                <w:b/>
                <w:sz w:val="24"/>
              </w:rPr>
            </w:pPr>
            <w:r>
              <w:rPr>
                <w:rFonts w:hint="eastAsia" w:ascii="仿宋" w:hAnsi="仿宋" w:eastAsia="仿宋" w:cs="仿宋"/>
                <w:b/>
                <w:sz w:val="24"/>
              </w:rPr>
              <w:t>序号</w:t>
            </w:r>
          </w:p>
        </w:tc>
        <w:tc>
          <w:tcPr>
            <w:tcW w:w="6384" w:type="dxa"/>
            <w:noWrap/>
            <w:vAlign w:val="center"/>
          </w:tcPr>
          <w:p>
            <w:pPr>
              <w:jc w:val="center"/>
              <w:rPr>
                <w:rFonts w:hint="eastAsia" w:ascii="仿宋" w:hAnsi="仿宋" w:eastAsia="仿宋" w:cs="仿宋"/>
                <w:b/>
                <w:sz w:val="24"/>
              </w:rPr>
            </w:pPr>
            <w:r>
              <w:rPr>
                <w:rFonts w:hint="eastAsia" w:ascii="仿宋" w:hAnsi="仿宋" w:eastAsia="仿宋" w:cs="仿宋"/>
                <w:b/>
                <w:sz w:val="24"/>
              </w:rPr>
              <w:t>符合性审查内容</w:t>
            </w:r>
          </w:p>
        </w:tc>
        <w:tc>
          <w:tcPr>
            <w:tcW w:w="1872" w:type="dxa"/>
            <w:noWrap/>
            <w:vAlign w:val="center"/>
          </w:tcPr>
          <w:p>
            <w:pPr>
              <w:jc w:val="center"/>
              <w:rPr>
                <w:rFonts w:hint="eastAsia" w:ascii="仿宋" w:hAnsi="仿宋" w:eastAsia="仿宋" w:cs="仿宋"/>
                <w:b/>
                <w:sz w:val="24"/>
              </w:rPr>
            </w:pPr>
            <w:r>
              <w:rPr>
                <w:rFonts w:hint="eastAsia" w:ascii="仿宋" w:hAnsi="仿宋" w:eastAsia="仿宋" w:cs="仿宋"/>
                <w:b/>
                <w:sz w:val="24"/>
              </w:rPr>
              <w:t>结论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jc w:val="center"/>
        </w:trPr>
        <w:tc>
          <w:tcPr>
            <w:tcW w:w="829" w:type="dxa"/>
            <w:noWrap/>
            <w:vAlign w:val="center"/>
          </w:tcPr>
          <w:p>
            <w:pPr>
              <w:jc w:val="center"/>
              <w:rPr>
                <w:rFonts w:hint="eastAsia" w:ascii="仿宋" w:hAnsi="仿宋" w:eastAsia="仿宋" w:cs="仿宋"/>
                <w:sz w:val="24"/>
              </w:rPr>
            </w:pPr>
            <w:r>
              <w:rPr>
                <w:rFonts w:hint="eastAsia" w:ascii="仿宋" w:hAnsi="仿宋" w:eastAsia="仿宋" w:cs="仿宋"/>
                <w:sz w:val="24"/>
              </w:rPr>
              <w:t>1</w:t>
            </w:r>
          </w:p>
        </w:tc>
        <w:tc>
          <w:tcPr>
            <w:tcW w:w="6384" w:type="dxa"/>
            <w:noWrap/>
            <w:vAlign w:val="center"/>
          </w:tcPr>
          <w:p>
            <w:pPr>
              <w:rPr>
                <w:rFonts w:hint="eastAsia" w:ascii="仿宋" w:hAnsi="仿宋" w:eastAsia="仿宋" w:cs="仿宋"/>
                <w:sz w:val="24"/>
              </w:rPr>
            </w:pPr>
            <w:r>
              <w:rPr>
                <w:rFonts w:hint="eastAsia" w:ascii="仿宋" w:hAnsi="仿宋" w:eastAsia="仿宋" w:cs="仿宋"/>
                <w:sz w:val="24"/>
              </w:rPr>
              <w:t>供应商的磋商报价未超出采购预算或磋商文件规定的最高限价</w:t>
            </w:r>
          </w:p>
        </w:tc>
        <w:tc>
          <w:tcPr>
            <w:tcW w:w="1872" w:type="dxa"/>
            <w:noWrap/>
            <w:vAlign w:val="center"/>
          </w:tcPr>
          <w:p>
            <w:pPr>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8" w:hRule="atLeast"/>
          <w:jc w:val="center"/>
        </w:trPr>
        <w:tc>
          <w:tcPr>
            <w:tcW w:w="829" w:type="dxa"/>
            <w:noWrap/>
            <w:vAlign w:val="center"/>
          </w:tcPr>
          <w:p>
            <w:pPr>
              <w:jc w:val="center"/>
              <w:rPr>
                <w:rFonts w:hint="eastAsia" w:ascii="仿宋" w:hAnsi="仿宋" w:eastAsia="仿宋" w:cs="仿宋"/>
                <w:sz w:val="24"/>
              </w:rPr>
            </w:pPr>
            <w:r>
              <w:rPr>
                <w:rFonts w:hint="eastAsia" w:ascii="仿宋" w:hAnsi="仿宋" w:eastAsia="仿宋" w:cs="仿宋"/>
                <w:sz w:val="24"/>
              </w:rPr>
              <w:t>2</w:t>
            </w:r>
          </w:p>
        </w:tc>
        <w:tc>
          <w:tcPr>
            <w:tcW w:w="6384" w:type="dxa"/>
            <w:noWrap/>
            <w:vAlign w:val="center"/>
          </w:tcPr>
          <w:p>
            <w:pPr>
              <w:rPr>
                <w:rFonts w:hint="eastAsia" w:ascii="仿宋" w:hAnsi="仿宋" w:eastAsia="仿宋" w:cs="仿宋"/>
                <w:sz w:val="24"/>
              </w:rPr>
            </w:pPr>
            <w:r>
              <w:rPr>
                <w:rFonts w:hint="eastAsia" w:ascii="仿宋" w:hAnsi="仿宋" w:eastAsia="仿宋" w:cs="仿宋"/>
                <w:sz w:val="24"/>
              </w:rPr>
              <w:t>响应文件是否按磋商文件要求的格式、数量和方式胶装、签字、加盖公章</w:t>
            </w:r>
          </w:p>
        </w:tc>
        <w:tc>
          <w:tcPr>
            <w:tcW w:w="1872" w:type="dxa"/>
            <w:noWrap/>
            <w:vAlign w:val="center"/>
          </w:tcPr>
          <w:p>
            <w:pPr>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829" w:type="dxa"/>
            <w:noWrap/>
            <w:vAlign w:val="center"/>
          </w:tcPr>
          <w:p>
            <w:pPr>
              <w:jc w:val="center"/>
              <w:rPr>
                <w:rFonts w:hint="eastAsia" w:ascii="仿宋" w:hAnsi="仿宋" w:eastAsia="仿宋" w:cs="仿宋"/>
                <w:sz w:val="24"/>
              </w:rPr>
            </w:pPr>
            <w:r>
              <w:rPr>
                <w:rFonts w:hint="eastAsia" w:ascii="仿宋" w:hAnsi="仿宋" w:eastAsia="仿宋" w:cs="仿宋"/>
                <w:sz w:val="24"/>
              </w:rPr>
              <w:t>3</w:t>
            </w:r>
          </w:p>
        </w:tc>
        <w:tc>
          <w:tcPr>
            <w:tcW w:w="6384" w:type="dxa"/>
            <w:noWrap/>
            <w:vAlign w:val="center"/>
          </w:tcPr>
          <w:p>
            <w:pPr>
              <w:rPr>
                <w:rFonts w:hint="eastAsia" w:ascii="仿宋" w:hAnsi="仿宋" w:eastAsia="仿宋" w:cs="仿宋"/>
                <w:sz w:val="24"/>
              </w:rPr>
            </w:pPr>
            <w:r>
              <w:rPr>
                <w:rFonts w:hint="eastAsia" w:ascii="仿宋" w:hAnsi="仿宋" w:eastAsia="仿宋" w:cs="仿宋"/>
                <w:sz w:val="24"/>
              </w:rPr>
              <w:t>磋商有效期是否达到磋商文件要求</w:t>
            </w:r>
          </w:p>
        </w:tc>
        <w:tc>
          <w:tcPr>
            <w:tcW w:w="1872" w:type="dxa"/>
            <w:noWrap/>
            <w:vAlign w:val="center"/>
          </w:tcPr>
          <w:p>
            <w:pPr>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829" w:type="dxa"/>
            <w:noWrap/>
            <w:vAlign w:val="center"/>
          </w:tcPr>
          <w:p>
            <w:pPr>
              <w:jc w:val="center"/>
              <w:rPr>
                <w:rFonts w:hint="eastAsia" w:ascii="仿宋" w:hAnsi="仿宋" w:eastAsia="仿宋" w:cs="仿宋"/>
                <w:sz w:val="24"/>
              </w:rPr>
            </w:pPr>
            <w:r>
              <w:rPr>
                <w:rFonts w:hint="eastAsia" w:ascii="仿宋" w:hAnsi="仿宋" w:eastAsia="仿宋" w:cs="仿宋"/>
                <w:sz w:val="24"/>
              </w:rPr>
              <w:t>4</w:t>
            </w:r>
          </w:p>
        </w:tc>
        <w:tc>
          <w:tcPr>
            <w:tcW w:w="6384" w:type="dxa"/>
            <w:noWrap/>
            <w:vAlign w:val="center"/>
          </w:tcPr>
          <w:p>
            <w:pPr>
              <w:rPr>
                <w:rFonts w:hint="eastAsia" w:ascii="仿宋" w:hAnsi="仿宋" w:eastAsia="仿宋" w:cs="仿宋"/>
                <w:sz w:val="24"/>
              </w:rPr>
            </w:pPr>
            <w:r>
              <w:rPr>
                <w:rFonts w:hint="eastAsia" w:ascii="仿宋" w:hAnsi="仿宋" w:eastAsia="仿宋" w:cs="仿宋"/>
                <w:sz w:val="24"/>
              </w:rPr>
              <w:t>响应文件没有附加采购人难以接受的条件或条款的</w:t>
            </w:r>
          </w:p>
        </w:tc>
        <w:tc>
          <w:tcPr>
            <w:tcW w:w="1872" w:type="dxa"/>
            <w:noWrap/>
            <w:vAlign w:val="center"/>
          </w:tcPr>
          <w:p>
            <w:pPr>
              <w:jc w:val="center"/>
              <w:rPr>
                <w:rFonts w:hint="eastAsia" w:ascii="仿宋" w:hAnsi="仿宋" w:eastAsia="仿宋" w:cs="仿宋"/>
                <w:sz w:val="24"/>
              </w:rPr>
            </w:pPr>
            <w:r>
              <w:rPr>
                <w:rFonts w:hint="eastAsia" w:ascii="仿宋" w:hAnsi="仿宋" w:eastAsia="仿宋" w:cs="仿宋"/>
                <w:sz w:val="24"/>
              </w:rPr>
              <w:t>合格/不合格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3" w:hRule="atLeast"/>
          <w:jc w:val="center"/>
        </w:trPr>
        <w:tc>
          <w:tcPr>
            <w:tcW w:w="829" w:type="dxa"/>
            <w:noWrap/>
            <w:vAlign w:val="center"/>
          </w:tcPr>
          <w:p>
            <w:pPr>
              <w:jc w:val="center"/>
              <w:rPr>
                <w:rFonts w:hint="eastAsia" w:ascii="仿宋" w:hAnsi="仿宋" w:eastAsia="仿宋" w:cs="仿宋"/>
                <w:sz w:val="24"/>
              </w:rPr>
            </w:pPr>
            <w:r>
              <w:rPr>
                <w:rFonts w:hint="eastAsia" w:ascii="仿宋" w:hAnsi="仿宋" w:eastAsia="仿宋" w:cs="仿宋"/>
                <w:sz w:val="24"/>
              </w:rPr>
              <w:t>5</w:t>
            </w:r>
          </w:p>
        </w:tc>
        <w:tc>
          <w:tcPr>
            <w:tcW w:w="6384" w:type="dxa"/>
            <w:noWrap/>
            <w:vAlign w:val="center"/>
          </w:tcPr>
          <w:p>
            <w:pPr>
              <w:rPr>
                <w:rFonts w:hint="eastAsia" w:ascii="仿宋" w:hAnsi="仿宋" w:eastAsia="仿宋" w:cs="仿宋"/>
                <w:color w:val="FF0000"/>
                <w:sz w:val="24"/>
              </w:rPr>
            </w:pPr>
            <w:r>
              <w:rPr>
                <w:rFonts w:hint="eastAsia" w:ascii="仿宋" w:hAnsi="仿宋" w:eastAsia="仿宋" w:cs="仿宋"/>
                <w:sz w:val="24"/>
              </w:rPr>
              <w:t>是否符合法律、法规和磋商文件中规定的其他实质性要求</w:t>
            </w:r>
          </w:p>
        </w:tc>
        <w:tc>
          <w:tcPr>
            <w:tcW w:w="1872" w:type="dxa"/>
            <w:noWrap/>
            <w:vAlign w:val="center"/>
          </w:tcPr>
          <w:p>
            <w:pPr>
              <w:jc w:val="center"/>
              <w:rPr>
                <w:rFonts w:hint="eastAsia" w:ascii="仿宋" w:hAnsi="仿宋" w:eastAsia="仿宋" w:cs="仿宋"/>
                <w:sz w:val="24"/>
              </w:rPr>
            </w:pPr>
            <w:r>
              <w:rPr>
                <w:rFonts w:hint="eastAsia" w:ascii="仿宋" w:hAnsi="仿宋" w:eastAsia="仿宋" w:cs="仿宋"/>
                <w:sz w:val="24"/>
              </w:rPr>
              <w:t>合格/不合格</w:t>
            </w:r>
          </w:p>
        </w:tc>
      </w:tr>
    </w:tbl>
    <w:p>
      <w:pPr>
        <w:pStyle w:val="40"/>
        <w:ind w:firstLine="482"/>
        <w:rPr>
          <w:rFonts w:hint="eastAsia" w:ascii="仿宋" w:hAnsi="仿宋" w:eastAsia="仿宋" w:cs="仿宋"/>
          <w:b/>
          <w:bCs/>
          <w:sz w:val="24"/>
          <w:szCs w:val="24"/>
        </w:rPr>
      </w:pPr>
    </w:p>
    <w:p>
      <w:pPr>
        <w:tabs>
          <w:tab w:val="left" w:pos="9030"/>
        </w:tabs>
        <w:snapToGrid w:val="0"/>
        <w:spacing w:line="360" w:lineRule="auto"/>
        <w:ind w:right="-65" w:firstLine="482" w:firstLineChars="200"/>
        <w:rPr>
          <w:rFonts w:hint="eastAsia" w:ascii="仿宋" w:hAnsi="仿宋" w:eastAsia="仿宋" w:cs="仿宋"/>
          <w:sz w:val="24"/>
          <w:szCs w:val="24"/>
        </w:rPr>
      </w:pPr>
      <w:bookmarkStart w:id="248" w:name="_Toc26970"/>
      <w:bookmarkStart w:id="249" w:name="_Toc27628"/>
      <w:bookmarkStart w:id="250" w:name="_Toc18470"/>
      <w:r>
        <w:rPr>
          <w:rFonts w:hint="eastAsia" w:ascii="仿宋" w:hAnsi="仿宋" w:eastAsia="仿宋" w:cs="仿宋"/>
          <w:b/>
          <w:bCs/>
          <w:sz w:val="24"/>
          <w:szCs w:val="24"/>
          <w:lang w:val="zh-CN"/>
        </w:rPr>
        <w:t>说明：符合性审查结束后，符合性审核人员当对审查结果进行签字确认。若供应商符合性审查未通过，注明未通过原因并告知其供应商。符合性审查不合格的供应商，不得进入单一磋商环节。</w:t>
      </w:r>
    </w:p>
    <w:p>
      <w:pPr>
        <w:tabs>
          <w:tab w:val="left" w:pos="9030"/>
        </w:tabs>
        <w:snapToGrid w:val="0"/>
        <w:spacing w:line="360" w:lineRule="auto"/>
        <w:ind w:right="-65" w:firstLine="482" w:firstLineChars="200"/>
        <w:outlineLvl w:val="2"/>
        <w:rPr>
          <w:rFonts w:hint="eastAsia" w:ascii="仿宋" w:hAnsi="仿宋" w:eastAsia="仿宋" w:cs="仿宋"/>
          <w:sz w:val="24"/>
          <w:szCs w:val="24"/>
        </w:rPr>
      </w:pPr>
      <w:bookmarkStart w:id="251" w:name="_Toc11274"/>
      <w:r>
        <w:rPr>
          <w:rFonts w:hint="eastAsia" w:ascii="仿宋" w:hAnsi="仿宋" w:eastAsia="仿宋" w:cs="仿宋"/>
          <w:b/>
          <w:bCs/>
          <w:sz w:val="24"/>
          <w:szCs w:val="24"/>
        </w:rPr>
        <w:t>（三）磋商响应文件的澄清、说明或者更正</w:t>
      </w:r>
      <w:bookmarkEnd w:id="248"/>
      <w:bookmarkEnd w:id="249"/>
      <w:bookmarkEnd w:id="250"/>
      <w:bookmarkEnd w:id="251"/>
    </w:p>
    <w:p>
      <w:pPr>
        <w:tabs>
          <w:tab w:val="left" w:pos="9030"/>
        </w:tabs>
        <w:snapToGrid w:val="0"/>
        <w:spacing w:line="360" w:lineRule="auto"/>
        <w:ind w:right="-65" w:firstLine="480" w:firstLineChars="200"/>
        <w:rPr>
          <w:rFonts w:hint="eastAsia" w:ascii="仿宋" w:hAnsi="仿宋" w:eastAsia="仿宋" w:cs="仿宋"/>
          <w:sz w:val="24"/>
          <w:szCs w:val="24"/>
        </w:rPr>
      </w:pPr>
      <w:r>
        <w:rPr>
          <w:rFonts w:hint="eastAsia" w:ascii="仿宋" w:hAnsi="仿宋" w:eastAsia="仿宋" w:cs="仿宋"/>
          <w:sz w:val="24"/>
          <w:szCs w:val="24"/>
        </w:rPr>
        <w:t>1、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tabs>
          <w:tab w:val="left" w:pos="9030"/>
        </w:tabs>
        <w:snapToGrid w:val="0"/>
        <w:spacing w:line="360" w:lineRule="auto"/>
        <w:ind w:right="-65" w:firstLine="480" w:firstLineChars="200"/>
        <w:rPr>
          <w:rFonts w:hint="eastAsia" w:ascii="仿宋" w:hAnsi="仿宋" w:eastAsia="仿宋" w:cs="仿宋"/>
          <w:sz w:val="24"/>
          <w:szCs w:val="24"/>
        </w:rPr>
      </w:pPr>
      <w:r>
        <w:rPr>
          <w:rFonts w:hint="eastAsia" w:ascii="仿宋" w:hAnsi="仿宋" w:eastAsia="仿宋" w:cs="仿宋"/>
          <w:sz w:val="24"/>
          <w:szCs w:val="24"/>
        </w:rPr>
        <w:t>2、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3、报价出现前后不一致的，按照下列规定修正：</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磋商响应文件中第一次磋商报价表内容与磋商响应文件中相应内容不一致的，以第一次磋商报价表为准；</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（2）</w:t>
      </w:r>
      <w:r>
        <w:rPr>
          <w:rFonts w:hint="eastAsia" w:ascii="仿宋" w:hAnsi="仿宋" w:eastAsia="仿宋" w:cs="仿宋"/>
          <w:sz w:val="24"/>
          <w:szCs w:val="24"/>
          <w:lang w:val="zh-CN"/>
        </w:rPr>
        <w:t>大写金额和小写金额不一致的，以大写金额为准；</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单价金额小数点或者百分比有明显错位的，以第一次磋商报价表的总价为准，并修改单价；</w:t>
      </w:r>
    </w:p>
    <w:p>
      <w:pPr>
        <w:tabs>
          <w:tab w:val="left" w:pos="9030"/>
        </w:tabs>
        <w:snapToGrid w:val="0"/>
        <w:spacing w:line="360" w:lineRule="auto"/>
        <w:ind w:right="-65" w:firstLine="480" w:firstLineChars="200"/>
        <w:rPr>
          <w:rFonts w:hint="eastAsia" w:ascii="仿宋" w:hAnsi="仿宋" w:eastAsia="仿宋" w:cs="仿宋"/>
          <w:b/>
          <w:bCs/>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总价金额与按单价汇总金额不一致的，以单价金额计算结果为准。</w:t>
      </w:r>
      <w:r>
        <w:rPr>
          <w:rFonts w:hint="eastAsia" w:ascii="仿宋" w:hAnsi="仿宋" w:eastAsia="仿宋" w:cs="仿宋"/>
          <w:b/>
          <w:bCs/>
          <w:sz w:val="24"/>
          <w:szCs w:val="24"/>
          <w:lang w:val="zh-CN"/>
        </w:rPr>
        <w:t>同时出现两种以上不一致的，按照前款规定的顺序修正。修正后的报价经供应商书面确认后产生约束力，供应商不确认的，其磋商无效。</w:t>
      </w:r>
    </w:p>
    <w:p>
      <w:pPr>
        <w:tabs>
          <w:tab w:val="left" w:pos="9030"/>
        </w:tabs>
        <w:snapToGrid w:val="0"/>
        <w:spacing w:line="360" w:lineRule="auto"/>
        <w:ind w:right="-65" w:firstLine="482" w:firstLineChars="200"/>
        <w:outlineLvl w:val="2"/>
        <w:rPr>
          <w:rFonts w:hint="eastAsia" w:ascii="仿宋" w:hAnsi="仿宋" w:eastAsia="仿宋" w:cs="仿宋"/>
          <w:sz w:val="24"/>
          <w:szCs w:val="24"/>
          <w:lang w:val="zh-CN"/>
        </w:rPr>
      </w:pPr>
      <w:bookmarkStart w:id="252" w:name="_Toc10917"/>
      <w:bookmarkStart w:id="253" w:name="_Toc30869"/>
      <w:bookmarkStart w:id="254" w:name="_Toc15145"/>
      <w:bookmarkStart w:id="255" w:name="_Toc13624"/>
      <w:r>
        <w:rPr>
          <w:rFonts w:hint="eastAsia" w:ascii="仿宋" w:hAnsi="仿宋" w:eastAsia="仿宋" w:cs="仿宋"/>
          <w:b/>
          <w:bCs/>
          <w:sz w:val="24"/>
          <w:szCs w:val="24"/>
          <w:lang w:val="zh-CN"/>
        </w:rPr>
        <w:t>（四）供应商存在下列情况之一的，磋商无效</w:t>
      </w:r>
      <w:bookmarkEnd w:id="252"/>
      <w:bookmarkEnd w:id="253"/>
      <w:bookmarkEnd w:id="254"/>
      <w:bookmarkEnd w:id="255"/>
    </w:p>
    <w:p>
      <w:pPr>
        <w:tabs>
          <w:tab w:val="left" w:pos="9030"/>
        </w:tabs>
        <w:snapToGrid w:val="0"/>
        <w:spacing w:line="360" w:lineRule="auto"/>
        <w:ind w:right="-65"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1、供应商没有经过正常渠道获取磋商文件或供应商的名称与登记领取磋商文件单位的名称不符。</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kern w:val="0"/>
          <w:sz w:val="24"/>
          <w:szCs w:val="24"/>
        </w:rPr>
        <w:t>2、</w:t>
      </w:r>
      <w:r>
        <w:rPr>
          <w:rFonts w:hint="eastAsia" w:ascii="仿宋" w:hAnsi="仿宋" w:eastAsia="仿宋" w:cs="仿宋"/>
          <w:sz w:val="24"/>
          <w:szCs w:val="24"/>
          <w:lang w:val="zh-CN"/>
        </w:rPr>
        <w:t>不具备磋商文件中规定的资格要求的或提供的资格要求文件不符合磋商文件要求的；</w:t>
      </w:r>
    </w:p>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响应文件投标有效期不符合招标文件要求的；</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4</w:t>
      </w:r>
      <w:r>
        <w:rPr>
          <w:rFonts w:hint="eastAsia" w:ascii="仿宋" w:hAnsi="仿宋" w:eastAsia="仿宋" w:cs="仿宋"/>
          <w:sz w:val="24"/>
          <w:szCs w:val="24"/>
          <w:lang w:val="zh-CN"/>
        </w:rPr>
        <w:t>、磋商响应文件递交份数不符合磋商文件要求的；</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5</w:t>
      </w:r>
      <w:r>
        <w:rPr>
          <w:rFonts w:hint="eastAsia" w:ascii="仿宋" w:hAnsi="仿宋" w:eastAsia="仿宋" w:cs="仿宋"/>
          <w:sz w:val="24"/>
          <w:szCs w:val="24"/>
          <w:lang w:val="zh-CN"/>
        </w:rPr>
        <w:t>、磋商响应文件含有采购人不能接受的附加条件的;</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6</w:t>
      </w:r>
      <w:r>
        <w:rPr>
          <w:rFonts w:hint="eastAsia" w:ascii="仿宋" w:hAnsi="仿宋" w:eastAsia="仿宋" w:cs="仿宋"/>
          <w:sz w:val="24"/>
          <w:szCs w:val="24"/>
          <w:lang w:val="zh-CN"/>
        </w:rPr>
        <w:t>、供应商串通参加磋商活动的，出现以下情形之一的：①不同供应商的磋商响应文件由同一单位或者个人编制；②不同供应商委托同一单位或者个人办理磋商事宜；③不同供应商的磋商响应文件载明的项目管理成员或者联系人员为同一人；④不同供应商的磋商响应文件异常一致或者磋商报价呈规律性差异；⑤不同供应商的磋商响应文件相互混装；</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7</w:t>
      </w:r>
      <w:r>
        <w:rPr>
          <w:rFonts w:hint="eastAsia" w:ascii="仿宋" w:hAnsi="仿宋" w:eastAsia="仿宋" w:cs="仿宋"/>
          <w:sz w:val="24"/>
          <w:szCs w:val="24"/>
          <w:lang w:val="zh-CN"/>
        </w:rPr>
        <w:t>、供应商出现多份报价，出现选择性报价的；</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8</w:t>
      </w:r>
      <w:r>
        <w:rPr>
          <w:rFonts w:hint="eastAsia" w:ascii="仿宋" w:hAnsi="仿宋" w:eastAsia="仿宋" w:cs="仿宋"/>
          <w:sz w:val="24"/>
          <w:szCs w:val="24"/>
          <w:lang w:val="zh-CN"/>
        </w:rPr>
        <w:t>、磋商报价与市场价偏离较大，低于成本，形成不正当竞争；</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9</w:t>
      </w:r>
      <w:r>
        <w:rPr>
          <w:rFonts w:hint="eastAsia" w:ascii="仿宋" w:hAnsi="仿宋" w:eastAsia="仿宋" w:cs="仿宋"/>
          <w:sz w:val="24"/>
          <w:szCs w:val="24"/>
          <w:lang w:val="zh-CN"/>
        </w:rPr>
        <w:t>、提供虚假证明，开具虚假资质，出现虚假应答，除按无效标处理外，还进行相应的处罚；</w:t>
      </w:r>
    </w:p>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10</w:t>
      </w:r>
      <w:r>
        <w:rPr>
          <w:rFonts w:hint="eastAsia" w:ascii="仿宋" w:hAnsi="仿宋" w:eastAsia="仿宋" w:cs="仿宋"/>
          <w:sz w:val="24"/>
          <w:szCs w:val="24"/>
          <w:lang w:val="zh-CN"/>
        </w:rPr>
        <w:t>、报价超过磋商文件中规定的预算金额或者最高限价的。</w:t>
      </w:r>
    </w:p>
    <w:p>
      <w:pPr>
        <w:autoSpaceDE w:val="0"/>
        <w:autoSpaceDN w:val="0"/>
        <w:adjustRightInd w:val="0"/>
        <w:snapToGrid w:val="0"/>
        <w:spacing w:line="360" w:lineRule="auto"/>
        <w:ind w:firstLine="627"/>
        <w:rPr>
          <w:rFonts w:hint="eastAsia" w:ascii="仿宋" w:hAnsi="仿宋" w:eastAsia="仿宋" w:cs="仿宋"/>
          <w:sz w:val="24"/>
          <w:szCs w:val="24"/>
        </w:rPr>
      </w:pPr>
      <w:r>
        <w:rPr>
          <w:rFonts w:hint="eastAsia" w:ascii="仿宋" w:hAnsi="仿宋" w:eastAsia="仿宋" w:cs="仿宋"/>
          <w:sz w:val="24"/>
          <w:szCs w:val="24"/>
        </w:rPr>
        <w:t>11、提交的电子版文件无效或不完整的。</w:t>
      </w:r>
    </w:p>
    <w:p>
      <w:pPr>
        <w:snapToGrid w:val="0"/>
        <w:spacing w:line="360" w:lineRule="auto"/>
        <w:ind w:firstLine="482" w:firstLineChars="200"/>
        <w:outlineLvl w:val="2"/>
        <w:rPr>
          <w:rFonts w:hint="eastAsia" w:ascii="仿宋" w:hAnsi="仿宋" w:eastAsia="仿宋" w:cs="仿宋"/>
          <w:b/>
          <w:bCs/>
          <w:sz w:val="24"/>
          <w:szCs w:val="24"/>
        </w:rPr>
      </w:pPr>
      <w:bookmarkStart w:id="256" w:name="_Toc15869"/>
      <w:bookmarkStart w:id="257" w:name="_Toc20207"/>
      <w:bookmarkStart w:id="258" w:name="_Toc21482"/>
      <w:bookmarkStart w:id="259" w:name="_Toc15806"/>
      <w:r>
        <w:rPr>
          <w:rFonts w:hint="eastAsia" w:ascii="仿宋" w:hAnsi="仿宋" w:eastAsia="仿宋" w:cs="仿宋"/>
          <w:b/>
          <w:bCs/>
          <w:sz w:val="24"/>
          <w:szCs w:val="24"/>
        </w:rPr>
        <w:t>（五）磋商</w:t>
      </w:r>
      <w:bookmarkEnd w:id="256"/>
      <w:bookmarkEnd w:id="257"/>
      <w:bookmarkEnd w:id="258"/>
      <w:r>
        <w:rPr>
          <w:rFonts w:hint="eastAsia" w:ascii="仿宋" w:hAnsi="仿宋" w:eastAsia="仿宋" w:cs="仿宋"/>
          <w:b/>
          <w:bCs/>
          <w:sz w:val="24"/>
          <w:szCs w:val="24"/>
        </w:rPr>
        <w:t>环节</w:t>
      </w:r>
      <w:bookmarkEnd w:id="259"/>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磋商小组所有成员与各供应商分别进行磋商，并给所有参加磋商供应商平等的磋商机会。</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1、在磋商过程中，磋商小组可以根据磋商文件和磋商情况实质性变动采购需求中的技术、服务要求以及合同草案条款，但不得变动磋商文件中的其他内容。实质性变动的内容，须经采购人代表确认。</w:t>
      </w:r>
    </w:p>
    <w:p>
      <w:pPr>
        <w:snapToGrid w:val="0"/>
        <w:spacing w:line="360" w:lineRule="auto"/>
        <w:ind w:firstLine="480" w:firstLineChars="200"/>
        <w:rPr>
          <w:rFonts w:hint="eastAsia" w:ascii="仿宋" w:hAnsi="仿宋" w:eastAsia="仿宋" w:cs="仿宋"/>
          <w:spacing w:val="-6"/>
          <w:sz w:val="24"/>
          <w:szCs w:val="24"/>
        </w:rPr>
      </w:pPr>
      <w:r>
        <w:rPr>
          <w:rFonts w:hint="eastAsia" w:ascii="仿宋" w:hAnsi="仿宋" w:eastAsia="仿宋" w:cs="仿宋"/>
          <w:sz w:val="24"/>
          <w:szCs w:val="24"/>
        </w:rPr>
        <w:t>2、</w:t>
      </w:r>
      <w:r>
        <w:rPr>
          <w:rFonts w:hint="eastAsia" w:ascii="仿宋" w:hAnsi="仿宋" w:eastAsia="仿宋" w:cs="仿宋"/>
          <w:spacing w:val="-6"/>
          <w:sz w:val="24"/>
          <w:szCs w:val="24"/>
        </w:rPr>
        <w:t>对磋商文件作出的实质性变动是磋商文件的有效组成部分，磋商小组应当及时以书面形式同时通知所有参加磋商的供应商。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pPr>
        <w:snapToGrid w:val="0"/>
        <w:spacing w:line="360" w:lineRule="auto"/>
        <w:ind w:firstLine="482" w:firstLineChars="200"/>
        <w:outlineLvl w:val="2"/>
        <w:rPr>
          <w:rFonts w:hint="eastAsia" w:ascii="仿宋" w:hAnsi="仿宋" w:eastAsia="仿宋" w:cs="仿宋"/>
          <w:sz w:val="24"/>
          <w:szCs w:val="24"/>
        </w:rPr>
      </w:pPr>
      <w:bookmarkStart w:id="260" w:name="_Toc7633"/>
      <w:bookmarkStart w:id="261" w:name="_Toc32415"/>
      <w:bookmarkStart w:id="262" w:name="_Toc22968"/>
      <w:bookmarkStart w:id="263" w:name="_Toc16133"/>
      <w:r>
        <w:rPr>
          <w:rFonts w:hint="eastAsia" w:ascii="仿宋" w:hAnsi="仿宋" w:eastAsia="仿宋" w:cs="仿宋"/>
          <w:b/>
          <w:bCs/>
          <w:sz w:val="24"/>
          <w:szCs w:val="24"/>
        </w:rPr>
        <w:t>（六）最终报价</w:t>
      </w:r>
      <w:bookmarkEnd w:id="260"/>
      <w:bookmarkEnd w:id="261"/>
      <w:bookmarkEnd w:id="262"/>
      <w:bookmarkEnd w:id="263"/>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1、磋商文件能够详细列明采购标的的技术、服务要求的，磋商结束后，磋商小组应当要求所有实质性响应的供应商在规定时间内提交最后报价，提交最后报价的供应商不得少于3家。</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磋商文件不能详细列明采购标的的技术、服务要求，需经磋商由供应商提供最终设计方案或解决方案的，磋商结束后，磋商小组应当按照少数服从多数的原则投票推荐3家以上供应商的服务方案或者解决方案，并要求其在规定时间内提交最后报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3、最后报价是供应商响应文件的有效组成部分。</w:t>
      </w:r>
      <w:r>
        <w:rPr>
          <w:rFonts w:hint="eastAsia" w:ascii="仿宋" w:hAnsi="仿宋" w:eastAsia="仿宋" w:cs="仿宋"/>
          <w:snapToGrid w:val="0"/>
          <w:kern w:val="0"/>
          <w:sz w:val="24"/>
          <w:szCs w:val="24"/>
        </w:rPr>
        <w:t>符合</w:t>
      </w:r>
      <w:r>
        <w:rPr>
          <w:rFonts w:hint="eastAsia" w:ascii="仿宋" w:hAnsi="仿宋" w:eastAsia="仿宋" w:cs="仿宋"/>
          <w:sz w:val="24"/>
          <w:szCs w:val="24"/>
        </w:rPr>
        <w:t>《政府采购竞争性磋商采购方式管理暂行办法》</w:t>
      </w:r>
      <w:r>
        <w:rPr>
          <w:rFonts w:hint="eastAsia" w:ascii="仿宋" w:hAnsi="仿宋" w:eastAsia="仿宋" w:cs="仿宋"/>
          <w:snapToGrid w:val="0"/>
          <w:kern w:val="0"/>
          <w:sz w:val="24"/>
          <w:szCs w:val="24"/>
        </w:rPr>
        <w:t>第三条第四项情形的</w:t>
      </w:r>
      <w:r>
        <w:rPr>
          <w:rFonts w:hint="eastAsia" w:ascii="仿宋" w:hAnsi="仿宋" w:eastAsia="仿宋" w:cs="仿宋"/>
          <w:sz w:val="24"/>
          <w:szCs w:val="24"/>
        </w:rPr>
        <w:t>，提交最后报价的供应商可以为2家。</w:t>
      </w:r>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4、最后报价应按首次报价的格式内容填写，且由法定代表人（或授权代表人）签字。</w:t>
      </w:r>
    </w:p>
    <w:p>
      <w:pPr>
        <w:snapToGrid w:val="0"/>
        <w:spacing w:line="360" w:lineRule="auto"/>
        <w:ind w:firstLine="482" w:firstLineChars="200"/>
        <w:outlineLvl w:val="2"/>
        <w:rPr>
          <w:rFonts w:hint="eastAsia" w:ascii="仿宋" w:hAnsi="仿宋" w:eastAsia="仿宋" w:cs="仿宋"/>
          <w:b/>
          <w:bCs/>
          <w:sz w:val="24"/>
          <w:szCs w:val="24"/>
        </w:rPr>
      </w:pPr>
      <w:bookmarkStart w:id="264" w:name="_Toc8219"/>
      <w:bookmarkStart w:id="265" w:name="_Toc2197"/>
      <w:bookmarkStart w:id="266" w:name="_Toc10188"/>
      <w:bookmarkStart w:id="267" w:name="_Toc7965"/>
      <w:r>
        <w:rPr>
          <w:rFonts w:hint="eastAsia" w:ascii="仿宋" w:hAnsi="仿宋" w:eastAsia="仿宋" w:cs="仿宋"/>
          <w:b/>
          <w:bCs/>
          <w:sz w:val="24"/>
          <w:szCs w:val="24"/>
        </w:rPr>
        <w:t>（七）</w:t>
      </w:r>
      <w:r>
        <w:rPr>
          <w:rFonts w:hint="eastAsia" w:ascii="仿宋" w:hAnsi="仿宋" w:eastAsia="仿宋" w:cs="仿宋"/>
          <w:b/>
          <w:bCs/>
          <w:sz w:val="24"/>
          <w:szCs w:val="24"/>
          <w:lang w:val="zh-CN"/>
        </w:rPr>
        <w:t>比较与评价</w:t>
      </w:r>
      <w:bookmarkEnd w:id="264"/>
      <w:bookmarkEnd w:id="265"/>
      <w:bookmarkEnd w:id="266"/>
      <w:bookmarkEnd w:id="267"/>
    </w:p>
    <w:p>
      <w:pPr>
        <w:snapToGrid w:val="0"/>
        <w:spacing w:line="360" w:lineRule="auto"/>
        <w:ind w:firstLine="480" w:firstLineChars="200"/>
        <w:rPr>
          <w:rFonts w:hint="eastAsia" w:ascii="仿宋" w:hAnsi="仿宋" w:eastAsia="仿宋" w:cs="仿宋"/>
          <w:bCs/>
          <w:snapToGrid w:val="0"/>
          <w:kern w:val="0"/>
          <w:sz w:val="24"/>
          <w:szCs w:val="24"/>
        </w:rPr>
      </w:pPr>
      <w:r>
        <w:rPr>
          <w:rFonts w:hint="eastAsia" w:ascii="仿宋" w:hAnsi="仿宋" w:eastAsia="仿宋" w:cs="仿宋"/>
          <w:bCs/>
          <w:snapToGrid w:val="0"/>
          <w:kern w:val="0"/>
          <w:sz w:val="24"/>
          <w:szCs w:val="24"/>
        </w:rPr>
        <w:t>1.经磋商确定最终采购需求和提交最后报价的供应商后，由磋商小组采用综合评分法对提交最后报价的供应商的响应文件和最后报价进行综合评分。</w:t>
      </w:r>
    </w:p>
    <w:p>
      <w:pPr>
        <w:snapToGrid w:val="0"/>
        <w:spacing w:line="360" w:lineRule="auto"/>
        <w:ind w:firstLine="480" w:firstLineChars="200"/>
        <w:rPr>
          <w:rFonts w:hint="eastAsia" w:ascii="仿宋" w:hAnsi="仿宋" w:eastAsia="仿宋" w:cs="仿宋"/>
          <w:bCs/>
          <w:snapToGrid w:val="0"/>
          <w:kern w:val="0"/>
          <w:sz w:val="24"/>
          <w:szCs w:val="24"/>
        </w:rPr>
      </w:pPr>
      <w:r>
        <w:rPr>
          <w:rFonts w:hint="eastAsia" w:ascii="仿宋" w:hAnsi="仿宋" w:eastAsia="仿宋" w:cs="仿宋"/>
          <w:bCs/>
          <w:snapToGrid w:val="0"/>
          <w:kern w:val="0"/>
          <w:sz w:val="24"/>
          <w:szCs w:val="24"/>
        </w:rPr>
        <w:t>2.评审方法：采用综合评分法，即对响应文件满足磋商文件全部实质性要求且按评审因素的量化指标评审得分最高的供应商为成交候选供应商的评审方法。</w:t>
      </w:r>
    </w:p>
    <w:p>
      <w:pPr>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3. 评标因素及权重分解表（总计100分）</w:t>
      </w:r>
    </w:p>
    <w:p>
      <w:pPr>
        <w:pStyle w:val="2"/>
        <w:rPr>
          <w:rFonts w:hint="eastAsia" w:ascii="仿宋" w:hAnsi="仿宋" w:eastAsia="仿宋" w:cs="仿宋"/>
          <w:bCs/>
          <w:sz w:val="24"/>
          <w:szCs w:val="24"/>
          <w:lang w:val="zh-CN"/>
        </w:rPr>
      </w:pPr>
    </w:p>
    <w:p>
      <w:pPr>
        <w:rPr>
          <w:rFonts w:hint="eastAsia" w:ascii="仿宋" w:hAnsi="仿宋" w:eastAsia="仿宋" w:cs="仿宋"/>
          <w:bCs/>
          <w:sz w:val="24"/>
          <w:szCs w:val="24"/>
          <w:lang w:val="zh-CN"/>
        </w:rPr>
      </w:pPr>
    </w:p>
    <w:p>
      <w:pPr>
        <w:pStyle w:val="2"/>
        <w:rPr>
          <w:rFonts w:hint="eastAsia" w:ascii="仿宋" w:hAnsi="仿宋" w:eastAsia="仿宋" w:cs="仿宋"/>
          <w:bCs/>
          <w:sz w:val="24"/>
          <w:szCs w:val="24"/>
          <w:lang w:val="zh-CN"/>
        </w:rPr>
      </w:pPr>
    </w:p>
    <w:p>
      <w:pPr>
        <w:rPr>
          <w:rFonts w:hint="eastAsia" w:ascii="仿宋" w:hAnsi="仿宋" w:eastAsia="仿宋" w:cs="仿宋"/>
          <w:bCs/>
          <w:sz w:val="24"/>
          <w:szCs w:val="24"/>
          <w:lang w:val="zh-CN"/>
        </w:rPr>
      </w:pPr>
    </w:p>
    <w:p>
      <w:pPr>
        <w:pStyle w:val="2"/>
        <w:rPr>
          <w:rFonts w:hint="eastAsia" w:ascii="仿宋" w:hAnsi="仿宋" w:eastAsia="仿宋" w:cs="仿宋"/>
          <w:bCs/>
          <w:sz w:val="24"/>
          <w:szCs w:val="24"/>
          <w:lang w:val="zh-CN"/>
        </w:rPr>
      </w:pPr>
    </w:p>
    <w:p>
      <w:pPr>
        <w:rPr>
          <w:rFonts w:hint="eastAsia" w:ascii="仿宋" w:hAnsi="仿宋" w:eastAsia="仿宋" w:cs="仿宋"/>
          <w:bCs/>
          <w:sz w:val="24"/>
          <w:szCs w:val="24"/>
          <w:lang w:val="zh-CN"/>
        </w:rPr>
      </w:pPr>
    </w:p>
    <w:p>
      <w:pPr>
        <w:pStyle w:val="2"/>
        <w:rPr>
          <w:rFonts w:hint="eastAsia" w:ascii="仿宋" w:hAnsi="仿宋" w:eastAsia="仿宋" w:cs="仿宋"/>
          <w:bCs/>
          <w:sz w:val="24"/>
          <w:szCs w:val="24"/>
          <w:lang w:val="zh-CN"/>
        </w:rPr>
      </w:pPr>
    </w:p>
    <w:p>
      <w:pPr>
        <w:rPr>
          <w:rFonts w:hint="eastAsia" w:ascii="仿宋" w:hAnsi="仿宋" w:eastAsia="仿宋" w:cs="仿宋"/>
          <w:bCs/>
          <w:sz w:val="24"/>
          <w:szCs w:val="24"/>
          <w:lang w:val="zh-CN"/>
        </w:rPr>
      </w:pPr>
    </w:p>
    <w:p>
      <w:pPr>
        <w:pStyle w:val="2"/>
        <w:rPr>
          <w:rFonts w:hint="eastAsia" w:ascii="仿宋" w:hAnsi="仿宋" w:eastAsia="仿宋" w:cs="仿宋"/>
          <w:bCs/>
          <w:sz w:val="24"/>
          <w:szCs w:val="24"/>
          <w:lang w:val="zh-CN"/>
        </w:rPr>
      </w:pPr>
    </w:p>
    <w:p>
      <w:pPr>
        <w:rPr>
          <w:rFonts w:hint="eastAsia" w:ascii="仿宋" w:hAnsi="仿宋" w:eastAsia="仿宋" w:cs="仿宋"/>
          <w:bCs/>
          <w:sz w:val="24"/>
          <w:szCs w:val="24"/>
          <w:lang w:val="zh-CN"/>
        </w:rPr>
      </w:pPr>
    </w:p>
    <w:p>
      <w:pPr>
        <w:pStyle w:val="2"/>
        <w:rPr>
          <w:rFonts w:hint="eastAsia"/>
          <w:lang w:val="zh-CN"/>
        </w:rPr>
      </w:pPr>
    </w:p>
    <w:tbl>
      <w:tblPr>
        <w:tblStyle w:val="25"/>
        <w:tblW w:w="94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1"/>
        <w:gridCol w:w="1414"/>
        <w:gridCol w:w="5808"/>
        <w:gridCol w:w="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jc w:val="center"/>
        </w:trPr>
        <w:tc>
          <w:tcPr>
            <w:tcW w:w="2675" w:type="dxa"/>
            <w:gridSpan w:val="2"/>
            <w:vAlign w:val="center"/>
          </w:tcPr>
          <w:p>
            <w:pPr>
              <w:jc w:val="center"/>
              <w:rPr>
                <w:rFonts w:hint="eastAsia" w:ascii="仿宋" w:hAnsi="仿宋" w:eastAsia="仿宋" w:cs="仿宋"/>
                <w:b/>
                <w:sz w:val="24"/>
                <w:szCs w:val="24"/>
              </w:rPr>
            </w:pPr>
            <w:r>
              <w:rPr>
                <w:rFonts w:hint="eastAsia" w:ascii="仿宋" w:hAnsi="仿宋" w:eastAsia="仿宋" w:cs="仿宋"/>
                <w:b/>
                <w:sz w:val="24"/>
                <w:szCs w:val="24"/>
              </w:rPr>
              <w:t>评审因素</w:t>
            </w:r>
          </w:p>
        </w:tc>
        <w:tc>
          <w:tcPr>
            <w:tcW w:w="5808"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内     容</w:t>
            </w:r>
          </w:p>
        </w:tc>
        <w:tc>
          <w:tcPr>
            <w:tcW w:w="942" w:type="dxa"/>
            <w:vAlign w:val="center"/>
          </w:tcPr>
          <w:p>
            <w:pPr>
              <w:jc w:val="center"/>
              <w:rPr>
                <w:rFonts w:hint="eastAsia" w:ascii="仿宋" w:hAnsi="仿宋" w:eastAsia="仿宋" w:cs="仿宋"/>
                <w:b/>
                <w:sz w:val="24"/>
                <w:szCs w:val="24"/>
                <w:highlight w:val="none"/>
              </w:rPr>
            </w:pPr>
            <w:r>
              <w:rPr>
                <w:rFonts w:hint="eastAsia" w:ascii="仿宋" w:hAnsi="仿宋" w:eastAsia="仿宋" w:cs="仿宋"/>
                <w:b/>
                <w:sz w:val="24"/>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1261" w:type="dxa"/>
            <w:vMerge w:val="restart"/>
            <w:vAlign w:val="center"/>
          </w:tcPr>
          <w:p>
            <w:pPr>
              <w:tabs>
                <w:tab w:val="left" w:pos="420"/>
                <w:tab w:val="center" w:pos="4153"/>
                <w:tab w:val="right" w:pos="8306"/>
              </w:tabs>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商务评审</w:t>
            </w:r>
          </w:p>
          <w:p>
            <w:pPr>
              <w:tabs>
                <w:tab w:val="left" w:pos="420"/>
                <w:tab w:val="center" w:pos="4153"/>
                <w:tab w:val="right" w:pos="8306"/>
              </w:tabs>
              <w:adjustRightInd w:val="0"/>
              <w:jc w:val="center"/>
              <w:rPr>
                <w:rFonts w:hint="eastAsia" w:ascii="仿宋" w:hAnsi="仿宋" w:eastAsia="仿宋" w:cs="仿宋"/>
              </w:rPr>
            </w:pPr>
            <w:r>
              <w:rPr>
                <w:rFonts w:hint="eastAsia" w:ascii="仿宋" w:hAnsi="仿宋" w:eastAsia="仿宋" w:cs="仿宋"/>
                <w:kern w:val="0"/>
                <w:sz w:val="24"/>
                <w:szCs w:val="24"/>
              </w:rPr>
              <w:t>（55分）</w:t>
            </w:r>
          </w:p>
        </w:tc>
        <w:tc>
          <w:tcPr>
            <w:tcW w:w="1414" w:type="dxa"/>
            <w:vAlign w:val="center"/>
          </w:tcPr>
          <w:p>
            <w:pPr>
              <w:snapToGrid w:val="0"/>
              <w:jc w:val="center"/>
              <w:rPr>
                <w:rFonts w:hint="eastAsia" w:ascii="仿宋" w:hAnsi="仿宋" w:eastAsia="仿宋" w:cs="仿宋"/>
                <w:sz w:val="24"/>
                <w:szCs w:val="24"/>
              </w:rPr>
            </w:pPr>
          </w:p>
          <w:p>
            <w:pPr>
              <w:snapToGrid w:val="0"/>
              <w:jc w:val="center"/>
              <w:rPr>
                <w:rFonts w:hint="eastAsia" w:ascii="仿宋" w:hAnsi="仿宋" w:eastAsia="仿宋" w:cs="仿宋"/>
                <w:sz w:val="24"/>
                <w:szCs w:val="24"/>
              </w:rPr>
            </w:pPr>
            <w:r>
              <w:rPr>
                <w:rFonts w:hint="eastAsia" w:ascii="仿宋" w:hAnsi="仿宋" w:eastAsia="仿宋" w:cs="仿宋"/>
                <w:sz w:val="24"/>
                <w:szCs w:val="24"/>
              </w:rPr>
              <w:t>磋商报价</w:t>
            </w:r>
          </w:p>
          <w:p>
            <w:pPr>
              <w:snapToGrid w:val="0"/>
              <w:jc w:val="center"/>
              <w:rPr>
                <w:rFonts w:hint="eastAsia" w:ascii="仿宋" w:hAnsi="仿宋" w:eastAsia="仿宋" w:cs="仿宋"/>
                <w:sz w:val="24"/>
                <w:szCs w:val="24"/>
              </w:rPr>
            </w:pPr>
          </w:p>
        </w:tc>
        <w:tc>
          <w:tcPr>
            <w:tcW w:w="5808" w:type="dxa"/>
            <w:vAlign w:val="center"/>
          </w:tcPr>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满足竞争性磋商文件要求且磋商总报价最低为评审基准价，其价格分为满分。</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报价得分=（评审基准价／磋商总报价）×40</w:t>
            </w:r>
          </w:p>
        </w:tc>
        <w:tc>
          <w:tcPr>
            <w:tcW w:w="942" w:type="dxa"/>
            <w:vAlign w:val="center"/>
          </w:tcPr>
          <w:p>
            <w:pPr>
              <w:jc w:val="center"/>
              <w:rPr>
                <w:rFonts w:hint="eastAsia" w:ascii="仿宋" w:hAnsi="仿宋" w:eastAsia="仿宋" w:cs="仿宋"/>
                <w:sz w:val="24"/>
                <w:szCs w:val="24"/>
                <w:highlight w:val="none"/>
              </w:rPr>
            </w:pPr>
            <w:r>
              <w:rPr>
                <w:rFonts w:hint="eastAsia" w:ascii="仿宋" w:hAnsi="仿宋" w:eastAsia="仿宋" w:cs="仿宋"/>
                <w:sz w:val="24"/>
                <w:szCs w:val="24"/>
                <w:highlight w:val="none"/>
              </w:rPr>
              <w:t>40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atLeast"/>
          <w:jc w:val="center"/>
        </w:trPr>
        <w:tc>
          <w:tcPr>
            <w:tcW w:w="1261" w:type="dxa"/>
            <w:vMerge w:val="continue"/>
            <w:vAlign w:val="center"/>
          </w:tcPr>
          <w:p>
            <w:pPr>
              <w:snapToGrid w:val="0"/>
              <w:jc w:val="center"/>
              <w:rPr>
                <w:rFonts w:hint="eastAsia" w:ascii="仿宋" w:hAnsi="仿宋" w:eastAsia="仿宋" w:cs="仿宋"/>
                <w:sz w:val="24"/>
                <w:szCs w:val="24"/>
              </w:rPr>
            </w:pPr>
          </w:p>
        </w:tc>
        <w:tc>
          <w:tcPr>
            <w:tcW w:w="1414"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商务条款响应程度</w:t>
            </w:r>
          </w:p>
        </w:tc>
        <w:tc>
          <w:tcPr>
            <w:tcW w:w="5808" w:type="dxa"/>
            <w:vAlign w:val="center"/>
          </w:tcPr>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响应文件对付款、质量保证、工期、服务承诺等商务要求进行响应，根据响应程度计[2-0]分。</w:t>
            </w:r>
          </w:p>
        </w:tc>
        <w:tc>
          <w:tcPr>
            <w:tcW w:w="9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0" w:hRule="atLeast"/>
          <w:jc w:val="center"/>
        </w:trPr>
        <w:tc>
          <w:tcPr>
            <w:tcW w:w="1261" w:type="dxa"/>
            <w:vMerge w:val="continue"/>
            <w:vAlign w:val="center"/>
          </w:tcPr>
          <w:p>
            <w:pPr>
              <w:snapToGrid w:val="0"/>
              <w:jc w:val="center"/>
              <w:rPr>
                <w:rFonts w:hint="eastAsia" w:ascii="仿宋" w:hAnsi="仿宋" w:eastAsia="仿宋" w:cs="仿宋"/>
                <w:sz w:val="24"/>
                <w:szCs w:val="24"/>
              </w:rPr>
            </w:pPr>
          </w:p>
        </w:tc>
        <w:tc>
          <w:tcPr>
            <w:tcW w:w="1414"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企业实力</w:t>
            </w:r>
          </w:p>
        </w:tc>
        <w:tc>
          <w:tcPr>
            <w:tcW w:w="5808" w:type="dxa"/>
            <w:vAlign w:val="center"/>
          </w:tcPr>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供应商提供企业实力、人员素质、管理水平情况，[3-0]分</w:t>
            </w:r>
            <w:r>
              <w:rPr>
                <w:rFonts w:hint="eastAsia" w:ascii="仿宋" w:hAnsi="仿宋" w:eastAsia="仿宋" w:cs="仿宋"/>
                <w:sz w:val="24"/>
                <w:szCs w:val="24"/>
                <w:lang w:val="zh-CN"/>
              </w:rPr>
              <w:t>。</w:t>
            </w:r>
          </w:p>
        </w:tc>
        <w:tc>
          <w:tcPr>
            <w:tcW w:w="942" w:type="dxa"/>
            <w:vAlign w:val="center"/>
          </w:tcPr>
          <w:p>
            <w:pPr>
              <w:jc w:val="center"/>
              <w:rPr>
                <w:rFonts w:hint="eastAsia" w:ascii="仿宋" w:hAnsi="仿宋" w:eastAsia="仿宋" w:cs="仿宋"/>
                <w:bCs/>
                <w:sz w:val="24"/>
                <w:szCs w:val="24"/>
              </w:rPr>
            </w:pPr>
            <w:r>
              <w:rPr>
                <w:rFonts w:hint="eastAsia" w:ascii="仿宋" w:hAnsi="仿宋" w:eastAsia="仿宋" w:cs="仿宋"/>
                <w:bCs/>
                <w:sz w:val="24"/>
                <w:szCs w:val="24"/>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261" w:type="dxa"/>
            <w:vMerge w:val="continue"/>
            <w:vAlign w:val="center"/>
          </w:tcPr>
          <w:p>
            <w:pPr>
              <w:snapToGrid w:val="0"/>
              <w:jc w:val="center"/>
              <w:rPr>
                <w:rFonts w:hint="eastAsia" w:ascii="仿宋" w:hAnsi="仿宋" w:eastAsia="仿宋" w:cs="仿宋"/>
                <w:sz w:val="24"/>
                <w:szCs w:val="24"/>
              </w:rPr>
            </w:pPr>
          </w:p>
        </w:tc>
        <w:tc>
          <w:tcPr>
            <w:tcW w:w="1414"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业绩</w:t>
            </w:r>
          </w:p>
        </w:tc>
        <w:tc>
          <w:tcPr>
            <w:tcW w:w="5808" w:type="dxa"/>
            <w:vAlign w:val="center"/>
          </w:tcPr>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供应商提供近2019年10月至今的类似项目业绩（以合同签订时间为准）。响应文件中须同时提供加盖投标人公章的合同复印件，每提供一项得2分，满分10分。</w:t>
            </w:r>
          </w:p>
        </w:tc>
        <w:tc>
          <w:tcPr>
            <w:tcW w:w="942" w:type="dxa"/>
            <w:vAlign w:val="center"/>
          </w:tcPr>
          <w:p>
            <w:pPr>
              <w:jc w:val="center"/>
              <w:rPr>
                <w:rFonts w:hint="eastAsia" w:ascii="仿宋" w:hAnsi="仿宋" w:eastAsia="仿宋" w:cs="仿宋"/>
                <w:sz w:val="24"/>
                <w:szCs w:val="24"/>
              </w:rPr>
            </w:pPr>
            <w:r>
              <w:rPr>
                <w:rFonts w:hint="eastAsia" w:ascii="仿宋" w:hAnsi="仿宋" w:eastAsia="仿宋" w:cs="仿宋"/>
                <w:bCs/>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1261" w:type="dxa"/>
            <w:vMerge w:val="restart"/>
            <w:vAlign w:val="center"/>
          </w:tcPr>
          <w:p>
            <w:pPr>
              <w:tabs>
                <w:tab w:val="left" w:pos="420"/>
                <w:tab w:val="center" w:pos="4153"/>
                <w:tab w:val="right" w:pos="8306"/>
              </w:tabs>
              <w:adjustRightInd w:val="0"/>
              <w:jc w:val="center"/>
              <w:rPr>
                <w:rFonts w:hint="eastAsia" w:ascii="仿宋" w:hAnsi="仿宋" w:eastAsia="仿宋" w:cs="仿宋"/>
                <w:kern w:val="0"/>
                <w:sz w:val="24"/>
                <w:szCs w:val="24"/>
              </w:rPr>
            </w:pPr>
            <w:r>
              <w:rPr>
                <w:rFonts w:hint="eastAsia" w:ascii="仿宋" w:hAnsi="仿宋" w:eastAsia="仿宋" w:cs="仿宋"/>
                <w:kern w:val="0"/>
                <w:sz w:val="24"/>
                <w:szCs w:val="24"/>
              </w:rPr>
              <w:t>技术评审</w:t>
            </w:r>
          </w:p>
          <w:p>
            <w:pPr>
              <w:tabs>
                <w:tab w:val="left" w:pos="420"/>
                <w:tab w:val="center" w:pos="4153"/>
                <w:tab w:val="right" w:pos="8306"/>
              </w:tabs>
              <w:adjustRightInd w:val="0"/>
              <w:jc w:val="center"/>
              <w:rPr>
                <w:rFonts w:hint="eastAsia" w:ascii="仿宋" w:hAnsi="仿宋" w:eastAsia="仿宋" w:cs="仿宋"/>
              </w:rPr>
            </w:pPr>
            <w:r>
              <w:rPr>
                <w:rFonts w:hint="eastAsia" w:ascii="仿宋" w:hAnsi="仿宋" w:eastAsia="仿宋" w:cs="仿宋"/>
                <w:kern w:val="0"/>
                <w:sz w:val="24"/>
                <w:szCs w:val="24"/>
              </w:rPr>
              <w:t>（45分）</w:t>
            </w:r>
          </w:p>
        </w:tc>
        <w:tc>
          <w:tcPr>
            <w:tcW w:w="1414" w:type="dxa"/>
            <w:vAlign w:val="center"/>
          </w:tcPr>
          <w:p>
            <w:pPr>
              <w:snapToGrid w:val="0"/>
              <w:spacing w:line="360" w:lineRule="auto"/>
              <w:rPr>
                <w:rFonts w:hint="eastAsia" w:ascii="仿宋" w:hAnsi="仿宋" w:eastAsia="仿宋" w:cs="仿宋"/>
                <w:sz w:val="24"/>
                <w:szCs w:val="24"/>
              </w:rPr>
            </w:pPr>
            <w:r>
              <w:rPr>
                <w:rFonts w:hint="eastAsia" w:ascii="仿宋" w:hAnsi="仿宋" w:eastAsia="仿宋" w:cs="仿宋"/>
                <w:sz w:val="24"/>
                <w:szCs w:val="24"/>
              </w:rPr>
              <w:t>实施方案</w:t>
            </w:r>
          </w:p>
          <w:p>
            <w:pPr>
              <w:snapToGrid w:val="0"/>
              <w:spacing w:line="360" w:lineRule="auto"/>
              <w:ind w:firstLine="240" w:firstLineChars="100"/>
              <w:rPr>
                <w:rFonts w:hint="eastAsia" w:ascii="仿宋" w:hAnsi="仿宋" w:eastAsia="仿宋" w:cs="仿宋"/>
                <w:sz w:val="24"/>
                <w:szCs w:val="24"/>
              </w:rPr>
            </w:pPr>
            <w:r>
              <w:rPr>
                <w:rFonts w:hint="eastAsia" w:ascii="仿宋" w:hAnsi="仿宋" w:eastAsia="仿宋" w:cs="仿宋"/>
                <w:sz w:val="24"/>
                <w:szCs w:val="24"/>
              </w:rPr>
              <w:t>10分</w:t>
            </w:r>
          </w:p>
        </w:tc>
        <w:tc>
          <w:tcPr>
            <w:tcW w:w="5808" w:type="dxa"/>
            <w:vAlign w:val="center"/>
          </w:tcPr>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针对本项目有具体可行的实施方案，根据供应商响应文件内容赋分：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（1）实施方案总体思路清晰、可行,重点任务明确，针对性强，[10-7)分；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（2）实施方案总体思路基本清晰、可行,重点任务基本明确，针对性较强，得[7-4)分；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（3）实施方案总体思路模糊、可行性差,重点任务模糊，针对性一般，得[4-1]分；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（4）未提供实施方案不得分。</w:t>
            </w:r>
          </w:p>
        </w:tc>
        <w:tc>
          <w:tcPr>
            <w:tcW w:w="9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2" w:hRule="atLeast"/>
          <w:jc w:val="center"/>
        </w:trPr>
        <w:tc>
          <w:tcPr>
            <w:tcW w:w="1261" w:type="dxa"/>
            <w:vMerge w:val="continue"/>
            <w:vAlign w:val="center"/>
          </w:tcPr>
          <w:p>
            <w:pPr>
              <w:tabs>
                <w:tab w:val="left" w:pos="420"/>
                <w:tab w:val="center" w:pos="4153"/>
                <w:tab w:val="right" w:pos="8306"/>
              </w:tabs>
              <w:adjustRightInd w:val="0"/>
              <w:jc w:val="center"/>
              <w:rPr>
                <w:rFonts w:hint="eastAsia" w:ascii="仿宋" w:hAnsi="仿宋" w:eastAsia="仿宋" w:cs="仿宋"/>
                <w:kern w:val="0"/>
                <w:sz w:val="24"/>
                <w:szCs w:val="24"/>
              </w:rPr>
            </w:pPr>
          </w:p>
        </w:tc>
        <w:tc>
          <w:tcPr>
            <w:tcW w:w="1414" w:type="dxa"/>
            <w:vAlign w:val="center"/>
          </w:tcPr>
          <w:p>
            <w:pPr>
              <w:tabs>
                <w:tab w:val="left" w:pos="420"/>
                <w:tab w:val="center" w:pos="4153"/>
                <w:tab w:val="right" w:pos="8306"/>
              </w:tabs>
              <w:adjustRightInd w:val="0"/>
              <w:jc w:val="center"/>
              <w:rPr>
                <w:rFonts w:hint="eastAsia" w:ascii="仿宋" w:hAnsi="仿宋" w:eastAsia="仿宋" w:cs="仿宋"/>
                <w:bCs/>
                <w:sz w:val="24"/>
                <w:szCs w:val="24"/>
              </w:rPr>
            </w:pPr>
            <w:r>
              <w:rPr>
                <w:rFonts w:hint="eastAsia" w:ascii="仿宋" w:hAnsi="仿宋" w:eastAsia="仿宋" w:cs="仿宋"/>
                <w:bCs/>
                <w:sz w:val="24"/>
                <w:szCs w:val="24"/>
              </w:rPr>
              <w:t>质量保证</w:t>
            </w:r>
          </w:p>
        </w:tc>
        <w:tc>
          <w:tcPr>
            <w:tcW w:w="5808" w:type="dxa"/>
            <w:vAlign w:val="center"/>
          </w:tcPr>
          <w:p>
            <w:pPr>
              <w:snapToGrid w:val="0"/>
              <w:spacing w:line="360" w:lineRule="auto"/>
              <w:ind w:firstLine="480" w:firstLineChars="200"/>
              <w:rPr>
                <w:rFonts w:hint="eastAsia" w:ascii="仿宋" w:hAnsi="仿宋" w:eastAsia="仿宋" w:cs="仿宋"/>
                <w:color w:val="FF0000"/>
                <w:sz w:val="24"/>
                <w:szCs w:val="24"/>
                <w:lang w:eastAsia="zh-CN"/>
              </w:rPr>
            </w:pPr>
            <w:r>
              <w:rPr>
                <w:rFonts w:hint="eastAsia" w:ascii="仿宋" w:hAnsi="仿宋" w:eastAsia="仿宋" w:cs="仿宋"/>
                <w:sz w:val="24"/>
                <w:szCs w:val="24"/>
                <w:highlight w:val="none"/>
              </w:rPr>
              <w:t>针对本项目确保工程质量的技术措施，提供相关证明材料；</w:t>
            </w:r>
            <w:r>
              <w:rPr>
                <w:rFonts w:hint="eastAsia" w:ascii="仿宋" w:hAnsi="仿宋" w:eastAsia="仿宋" w:cs="仿宋"/>
                <w:sz w:val="24"/>
                <w:szCs w:val="24"/>
                <w:highlight w:val="none"/>
                <w:lang w:eastAsia="zh-CN"/>
              </w:rPr>
              <w:t>质量技术要求合理满足要求得</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6</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分；基本满足得</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3</w:t>
            </w:r>
            <w:r>
              <w:rPr>
                <w:rFonts w:hint="eastAsia" w:ascii="仿宋" w:hAnsi="仿宋" w:eastAsia="仿宋" w:cs="仿宋"/>
                <w:sz w:val="24"/>
                <w:szCs w:val="24"/>
                <w:highlight w:val="none"/>
              </w:rPr>
              <w:t>-</w:t>
            </w:r>
            <w:r>
              <w:rPr>
                <w:rFonts w:hint="eastAsia" w:ascii="仿宋" w:hAnsi="仿宋" w:eastAsia="仿宋" w:cs="仿宋"/>
                <w:sz w:val="24"/>
                <w:szCs w:val="24"/>
                <w:highlight w:val="none"/>
                <w:lang w:val="en-US" w:eastAsia="zh-CN"/>
              </w:rPr>
              <w:t>1</w:t>
            </w:r>
            <w:r>
              <w:rPr>
                <w:rFonts w:hint="eastAsia" w:ascii="仿宋" w:hAnsi="仿宋" w:eastAsia="仿宋" w:cs="仿宋"/>
                <w:sz w:val="24"/>
                <w:szCs w:val="24"/>
                <w:highlight w:val="none"/>
              </w:rPr>
              <w:t>]分</w:t>
            </w:r>
            <w:r>
              <w:rPr>
                <w:rFonts w:hint="eastAsia" w:ascii="仿宋" w:hAnsi="仿宋" w:eastAsia="仿宋" w:cs="仿宋"/>
                <w:sz w:val="24"/>
                <w:szCs w:val="24"/>
                <w:highlight w:val="none"/>
                <w:lang w:eastAsia="zh-CN"/>
              </w:rPr>
              <w:t>。</w:t>
            </w:r>
          </w:p>
        </w:tc>
        <w:tc>
          <w:tcPr>
            <w:tcW w:w="9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1261" w:type="dxa"/>
            <w:vMerge w:val="continue"/>
            <w:vAlign w:val="center"/>
          </w:tcPr>
          <w:p>
            <w:pPr>
              <w:tabs>
                <w:tab w:val="left" w:pos="420"/>
                <w:tab w:val="center" w:pos="4153"/>
                <w:tab w:val="right" w:pos="8306"/>
              </w:tabs>
              <w:adjustRightInd w:val="0"/>
              <w:jc w:val="center"/>
              <w:rPr>
                <w:rFonts w:hint="eastAsia" w:ascii="仿宋" w:hAnsi="仿宋" w:eastAsia="仿宋" w:cs="仿宋"/>
              </w:rPr>
            </w:pPr>
          </w:p>
        </w:tc>
        <w:tc>
          <w:tcPr>
            <w:tcW w:w="1414" w:type="dxa"/>
            <w:vAlign w:val="center"/>
          </w:tcPr>
          <w:p>
            <w:pPr>
              <w:tabs>
                <w:tab w:val="left" w:pos="420"/>
                <w:tab w:val="center" w:pos="4153"/>
                <w:tab w:val="right" w:pos="8306"/>
              </w:tabs>
              <w:adjustRightInd w:val="0"/>
              <w:jc w:val="center"/>
              <w:rPr>
                <w:rFonts w:hint="eastAsia" w:ascii="仿宋" w:hAnsi="仿宋" w:eastAsia="仿宋" w:cs="仿宋"/>
              </w:rPr>
            </w:pPr>
            <w:r>
              <w:rPr>
                <w:rFonts w:hint="eastAsia" w:ascii="仿宋" w:hAnsi="仿宋" w:eastAsia="仿宋" w:cs="仿宋"/>
                <w:bCs/>
                <w:sz w:val="24"/>
                <w:szCs w:val="24"/>
              </w:rPr>
              <w:t>人员团队</w:t>
            </w:r>
          </w:p>
        </w:tc>
        <w:tc>
          <w:tcPr>
            <w:tcW w:w="5808" w:type="dxa"/>
            <w:vAlign w:val="center"/>
          </w:tcPr>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针对本项目提供主要机具、设备及人员配备，人员团队具有丰富的工作经验、明确工作分工，根据人员配备情况赋分：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（1）人员配置合理、满足磋商文件要求、证明资料齐全，[8-4)分；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（2）人员配置较合理、基本满足磋商文件要求、证明资料较齐全，[4-1]分；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未提供不得分。</w:t>
            </w:r>
          </w:p>
        </w:tc>
        <w:tc>
          <w:tcPr>
            <w:tcW w:w="942" w:type="dxa"/>
            <w:vAlign w:val="center"/>
          </w:tcPr>
          <w:p>
            <w:pPr>
              <w:jc w:val="center"/>
              <w:rPr>
                <w:rFonts w:hint="eastAsia" w:ascii="仿宋" w:hAnsi="仿宋" w:eastAsia="仿宋" w:cs="仿宋"/>
                <w:sz w:val="24"/>
                <w:szCs w:val="24"/>
              </w:rPr>
            </w:pPr>
            <w:r>
              <w:rPr>
                <w:rFonts w:hint="eastAsia" w:ascii="仿宋" w:hAnsi="仿宋" w:eastAsia="仿宋" w:cs="仿宋"/>
                <w:sz w:val="24"/>
                <w:szCs w:val="24"/>
              </w:rPr>
              <w:t>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3" w:hRule="atLeast"/>
          <w:jc w:val="center"/>
        </w:trPr>
        <w:tc>
          <w:tcPr>
            <w:tcW w:w="1261" w:type="dxa"/>
            <w:vMerge w:val="continue"/>
            <w:vAlign w:val="center"/>
          </w:tcPr>
          <w:p>
            <w:pPr>
              <w:widowControl/>
              <w:jc w:val="center"/>
              <w:rPr>
                <w:rFonts w:hint="eastAsia" w:ascii="仿宋" w:hAnsi="仿宋" w:eastAsia="仿宋" w:cs="仿宋"/>
                <w:sz w:val="24"/>
                <w:szCs w:val="24"/>
                <w:lang w:val="zh-CN"/>
              </w:rPr>
            </w:pPr>
          </w:p>
        </w:tc>
        <w:tc>
          <w:tcPr>
            <w:tcW w:w="1414" w:type="dxa"/>
            <w:vAlign w:val="center"/>
          </w:tcPr>
          <w:p>
            <w:pPr>
              <w:widowControl/>
              <w:jc w:val="center"/>
              <w:rPr>
                <w:rFonts w:hint="eastAsia" w:ascii="仿宋" w:hAnsi="仿宋" w:eastAsia="仿宋" w:cs="仿宋"/>
                <w:bCs/>
                <w:sz w:val="24"/>
                <w:szCs w:val="24"/>
              </w:rPr>
            </w:pPr>
            <w:r>
              <w:rPr>
                <w:rFonts w:hint="eastAsia" w:ascii="仿宋" w:hAnsi="仿宋" w:eastAsia="仿宋" w:cs="仿宋"/>
                <w:bCs/>
                <w:sz w:val="24"/>
                <w:szCs w:val="24"/>
              </w:rPr>
              <w:t>保障措施</w:t>
            </w:r>
          </w:p>
        </w:tc>
        <w:tc>
          <w:tcPr>
            <w:tcW w:w="5808" w:type="dxa"/>
            <w:vAlign w:val="center"/>
          </w:tcPr>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（1）安全保障措施，[4-0)分；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（2）质量保障措施，[4-0)分；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（3）工期保障措施，[4-0)分；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lang w:val="zh-CN"/>
              </w:rPr>
              <w:t>应急</w:t>
            </w:r>
            <w:r>
              <w:rPr>
                <w:rFonts w:hint="eastAsia" w:ascii="仿宋" w:hAnsi="仿宋" w:eastAsia="仿宋" w:cs="仿宋"/>
                <w:sz w:val="24"/>
                <w:szCs w:val="24"/>
              </w:rPr>
              <w:t>保障</w:t>
            </w:r>
            <w:r>
              <w:rPr>
                <w:rFonts w:hint="eastAsia" w:ascii="仿宋" w:hAnsi="仿宋" w:eastAsia="仿宋" w:cs="仿宋"/>
                <w:sz w:val="24"/>
                <w:szCs w:val="24"/>
                <w:lang w:val="zh-CN"/>
              </w:rPr>
              <w:t>措施</w:t>
            </w:r>
            <w:r>
              <w:rPr>
                <w:rFonts w:hint="eastAsia" w:ascii="仿宋" w:hAnsi="仿宋" w:eastAsia="仿宋" w:cs="仿宋"/>
                <w:sz w:val="24"/>
                <w:szCs w:val="24"/>
              </w:rPr>
              <w:t>，[4-0)分；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未提供不得分</w:t>
            </w:r>
          </w:p>
        </w:tc>
        <w:tc>
          <w:tcPr>
            <w:tcW w:w="942"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2" w:hRule="atLeast"/>
          <w:jc w:val="center"/>
        </w:trPr>
        <w:tc>
          <w:tcPr>
            <w:tcW w:w="1261" w:type="dxa"/>
            <w:vMerge w:val="continue"/>
            <w:vAlign w:val="center"/>
          </w:tcPr>
          <w:p>
            <w:pPr>
              <w:widowControl/>
              <w:jc w:val="center"/>
              <w:rPr>
                <w:rFonts w:hint="eastAsia" w:ascii="仿宋" w:hAnsi="仿宋" w:eastAsia="仿宋" w:cs="仿宋"/>
                <w:sz w:val="24"/>
                <w:szCs w:val="24"/>
                <w:lang w:val="zh-CN"/>
              </w:rPr>
            </w:pPr>
          </w:p>
        </w:tc>
        <w:tc>
          <w:tcPr>
            <w:tcW w:w="1414" w:type="dxa"/>
            <w:vAlign w:val="center"/>
          </w:tcPr>
          <w:p>
            <w:pPr>
              <w:widowControl/>
              <w:jc w:val="center"/>
              <w:rPr>
                <w:rFonts w:hint="eastAsia" w:ascii="仿宋" w:hAnsi="仿宋" w:eastAsia="仿宋" w:cs="仿宋"/>
                <w:sz w:val="24"/>
                <w:szCs w:val="24"/>
              </w:rPr>
            </w:pPr>
            <w:r>
              <w:rPr>
                <w:rFonts w:hint="eastAsia" w:ascii="仿宋" w:hAnsi="仿宋" w:eastAsia="仿宋" w:cs="仿宋"/>
                <w:bCs/>
                <w:sz w:val="24"/>
                <w:szCs w:val="24"/>
              </w:rPr>
              <w:t>服务承诺</w:t>
            </w:r>
          </w:p>
        </w:tc>
        <w:tc>
          <w:tcPr>
            <w:tcW w:w="5808" w:type="dxa"/>
            <w:vAlign w:val="center"/>
          </w:tcPr>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有具体可行的服务承诺，出现问题有可行性方案，解决问题及时，根据服务承诺情况赋分：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（1）承诺明确，内容详细具体，切实可行，[5-3)分；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（2）承诺较明确，内容较详细具体，基本可行，[3-1)分；</w:t>
            </w:r>
          </w:p>
          <w:p>
            <w:pPr>
              <w:snapToGrid w:val="0"/>
              <w:spacing w:line="360" w:lineRule="auto"/>
              <w:ind w:firstLine="720" w:firstLineChars="300"/>
              <w:rPr>
                <w:rFonts w:hint="eastAsia" w:ascii="仿宋" w:hAnsi="仿宋" w:eastAsia="仿宋" w:cs="仿宋"/>
              </w:rPr>
            </w:pPr>
            <w:r>
              <w:rPr>
                <w:rFonts w:hint="eastAsia" w:ascii="仿宋" w:hAnsi="仿宋" w:eastAsia="仿宋" w:cs="仿宋"/>
                <w:sz w:val="24"/>
                <w:szCs w:val="24"/>
                <w:lang w:val="zh-CN"/>
              </w:rPr>
              <w:t>未提供不</w:t>
            </w:r>
            <w:r>
              <w:rPr>
                <w:rFonts w:hint="eastAsia" w:ascii="仿宋" w:hAnsi="仿宋" w:eastAsia="仿宋" w:cs="仿宋"/>
                <w:sz w:val="24"/>
                <w:szCs w:val="24"/>
              </w:rPr>
              <w:t>得</w:t>
            </w:r>
            <w:r>
              <w:rPr>
                <w:rFonts w:hint="eastAsia" w:ascii="仿宋" w:hAnsi="仿宋" w:eastAsia="仿宋" w:cs="仿宋"/>
                <w:sz w:val="24"/>
                <w:szCs w:val="24"/>
                <w:lang w:val="zh-CN"/>
              </w:rPr>
              <w:t>分</w:t>
            </w:r>
            <w:r>
              <w:rPr>
                <w:rFonts w:hint="eastAsia" w:ascii="仿宋" w:hAnsi="仿宋" w:eastAsia="仿宋" w:cs="仿宋"/>
                <w:sz w:val="24"/>
                <w:szCs w:val="24"/>
              </w:rPr>
              <w:t>；</w:t>
            </w:r>
          </w:p>
        </w:tc>
        <w:tc>
          <w:tcPr>
            <w:tcW w:w="942" w:type="dxa"/>
            <w:vAlign w:val="center"/>
          </w:tcPr>
          <w:p>
            <w:pPr>
              <w:snapToGrid w:val="0"/>
              <w:jc w:val="center"/>
              <w:rPr>
                <w:rFonts w:hint="eastAsia" w:ascii="仿宋" w:hAnsi="仿宋" w:eastAsia="仿宋" w:cs="仿宋"/>
                <w:sz w:val="24"/>
                <w:szCs w:val="24"/>
              </w:rPr>
            </w:pPr>
            <w:r>
              <w:rPr>
                <w:rFonts w:hint="eastAsia" w:ascii="仿宋" w:hAnsi="仿宋" w:eastAsia="仿宋" w:cs="仿宋"/>
                <w:sz w:val="24"/>
                <w:szCs w:val="24"/>
              </w:rPr>
              <w:t>5</w:t>
            </w:r>
          </w:p>
        </w:tc>
      </w:tr>
    </w:tbl>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4.其他事项说明</w:t>
      </w:r>
    </w:p>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w:t>
      </w:r>
      <w:r>
        <w:rPr>
          <w:rFonts w:hint="eastAsia" w:ascii="仿宋" w:hAnsi="仿宋" w:eastAsia="仿宋" w:cs="仿宋"/>
          <w:sz w:val="24"/>
          <w:szCs w:val="24"/>
          <w:lang w:val="zh-CN"/>
        </w:rPr>
        <w:t>因落实政府采购政策进行价格调整的，以调整后的价格计算评审基准价和磋商报价。</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w:t>
      </w:r>
      <w:r>
        <w:rPr>
          <w:rFonts w:hint="eastAsia" w:ascii="仿宋" w:hAnsi="仿宋" w:eastAsia="仿宋" w:cs="仿宋"/>
          <w:sz w:val="24"/>
          <w:szCs w:val="24"/>
        </w:rPr>
        <w:t>2）</w:t>
      </w:r>
      <w:r>
        <w:rPr>
          <w:rFonts w:hint="eastAsia" w:ascii="仿宋" w:hAnsi="仿宋" w:eastAsia="仿宋" w:cs="仿宋"/>
          <w:sz w:val="24"/>
          <w:szCs w:val="24"/>
          <w:lang w:val="zh-CN"/>
        </w:rPr>
        <w:t>评审时，磋商小组根据以上内容进行综合比较，自主打分，分数四舍五入保留两位小数，独立对每个供应商的磋商响应文件进行评价，并汇总每个供应商的得分。</w:t>
      </w:r>
    </w:p>
    <w:p>
      <w:pPr>
        <w:tabs>
          <w:tab w:val="left" w:pos="9030"/>
        </w:tabs>
        <w:snapToGrid w:val="0"/>
        <w:spacing w:line="360" w:lineRule="auto"/>
        <w:ind w:right="-65" w:firstLine="480" w:firstLineChars="200"/>
        <w:rPr>
          <w:rFonts w:hint="eastAsia" w:ascii="仿宋" w:hAnsi="仿宋" w:eastAsia="仿宋" w:cs="仿宋"/>
          <w:sz w:val="24"/>
          <w:szCs w:val="24"/>
          <w:lang w:val="zh-CN"/>
        </w:rPr>
      </w:pPr>
      <w:r>
        <w:rPr>
          <w:rFonts w:hint="eastAsia" w:ascii="仿宋" w:hAnsi="仿宋" w:eastAsia="仿宋" w:cs="仿宋"/>
          <w:sz w:val="24"/>
          <w:szCs w:val="24"/>
        </w:rPr>
        <w:t>（3）</w:t>
      </w:r>
      <w:r>
        <w:rPr>
          <w:rFonts w:hint="eastAsia" w:ascii="仿宋" w:hAnsi="仿宋" w:eastAsia="仿宋" w:cs="仿宋"/>
          <w:sz w:val="24"/>
          <w:szCs w:val="24"/>
          <w:lang w:val="zh-CN"/>
        </w:rPr>
        <w:t>提供相同品牌产品且通过资格审查、符合性审查的不同供应商参加同一合同项下磋商活动的，按一家供应商计算，评审后得分最高的同品牌供应商获得成交供应商推荐资格；评审得分相同的，采取随机抽取方式确定，其他同品牌供应商不作为成交候选人。非单一产品采购项目，多家供应商提供的核心产品品牌相同的，按以上规定处理。</w:t>
      </w:r>
    </w:p>
    <w:p>
      <w:pPr>
        <w:snapToGrid w:val="0"/>
        <w:spacing w:line="360" w:lineRule="auto"/>
        <w:ind w:firstLine="482" w:firstLineChars="200"/>
        <w:outlineLvl w:val="2"/>
        <w:rPr>
          <w:rFonts w:hint="eastAsia" w:ascii="仿宋" w:hAnsi="仿宋" w:eastAsia="仿宋" w:cs="仿宋"/>
          <w:sz w:val="24"/>
          <w:szCs w:val="24"/>
          <w:lang w:val="zh-CN"/>
        </w:rPr>
      </w:pPr>
      <w:bookmarkStart w:id="268" w:name="_Toc28674"/>
      <w:bookmarkStart w:id="269" w:name="_Toc26138"/>
      <w:bookmarkStart w:id="270" w:name="_Toc22385"/>
      <w:bookmarkStart w:id="271" w:name="_Toc10717"/>
      <w:r>
        <w:rPr>
          <w:rFonts w:hint="eastAsia" w:ascii="仿宋" w:hAnsi="仿宋" w:eastAsia="仿宋" w:cs="仿宋"/>
          <w:b/>
          <w:bCs/>
          <w:sz w:val="24"/>
          <w:szCs w:val="24"/>
          <w:lang w:val="zh-CN"/>
        </w:rPr>
        <w:t>（八）推荐成交候选供应商名单</w:t>
      </w:r>
      <w:bookmarkEnd w:id="268"/>
      <w:bookmarkEnd w:id="269"/>
      <w:bookmarkEnd w:id="270"/>
      <w:bookmarkEnd w:id="271"/>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磋商小组应当根据综合评分情况，按照评审得分由高到低顺序推荐3名以上成交候选供应商，并编写评审报告。符合《政府采购竞争性磋商采购方式管理暂行办法》第二十一条第三款情形的，可以推荐2家成交候选供应商。评审得分相同的，按照最后报价由低到高的顺序推荐。评审得分且最后报价相同的，按照技术指标优劣顺序推荐。</w:t>
      </w:r>
    </w:p>
    <w:p>
      <w:pPr>
        <w:snapToGrid w:val="0"/>
        <w:spacing w:line="360" w:lineRule="auto"/>
        <w:ind w:firstLine="482" w:firstLineChars="200"/>
        <w:outlineLvl w:val="1"/>
        <w:rPr>
          <w:rFonts w:hint="eastAsia" w:ascii="仿宋" w:hAnsi="仿宋" w:eastAsia="仿宋" w:cs="仿宋"/>
          <w:b/>
          <w:sz w:val="24"/>
          <w:szCs w:val="24"/>
        </w:rPr>
      </w:pPr>
      <w:bookmarkStart w:id="272" w:name="_Toc11824"/>
      <w:bookmarkStart w:id="273" w:name="_Toc14537"/>
      <w:bookmarkStart w:id="274" w:name="_Toc495681233"/>
      <w:bookmarkStart w:id="275" w:name="_Toc17968"/>
      <w:bookmarkStart w:id="276" w:name="_Toc18707"/>
      <w:bookmarkStart w:id="277" w:name="_Toc24654"/>
      <w:bookmarkStart w:id="278" w:name="_Toc5498"/>
      <w:bookmarkStart w:id="279" w:name="_Toc8859"/>
      <w:bookmarkStart w:id="280" w:name="_Toc21709"/>
      <w:bookmarkStart w:id="281" w:name="_Toc19772"/>
      <w:bookmarkStart w:id="282" w:name="_Toc495681514"/>
      <w:bookmarkStart w:id="283" w:name="_Toc25138"/>
      <w:bookmarkStart w:id="284" w:name="_Toc495681387"/>
      <w:bookmarkStart w:id="285" w:name="_Toc5569"/>
      <w:bookmarkStart w:id="286" w:name="_Toc22513"/>
      <w:bookmarkStart w:id="287" w:name="_Toc16758"/>
      <w:bookmarkStart w:id="288" w:name="_Toc495908032"/>
      <w:r>
        <w:rPr>
          <w:rFonts w:hint="eastAsia" w:ascii="仿宋" w:hAnsi="仿宋" w:eastAsia="仿宋" w:cs="仿宋"/>
          <w:b/>
          <w:sz w:val="24"/>
          <w:szCs w:val="24"/>
        </w:rPr>
        <w:t>七、确定成交供应商</w:t>
      </w:r>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（一）采购代理机构应在评审结束后1个工作日内，将评审报告送采购人确定成交供应商。</w:t>
      </w:r>
    </w:p>
    <w:p>
      <w:pPr>
        <w:snapToGrid w:val="0"/>
        <w:spacing w:line="360" w:lineRule="auto"/>
        <w:ind w:firstLine="480" w:firstLineChars="200"/>
        <w:rPr>
          <w:rFonts w:hint="eastAsia" w:ascii="仿宋" w:hAnsi="仿宋" w:eastAsia="仿宋" w:cs="仿宋"/>
          <w:snapToGrid w:val="0"/>
          <w:kern w:val="0"/>
          <w:sz w:val="24"/>
          <w:szCs w:val="24"/>
        </w:rPr>
      </w:pPr>
      <w:r>
        <w:rPr>
          <w:rFonts w:hint="eastAsia" w:ascii="仿宋" w:hAnsi="仿宋" w:eastAsia="仿宋" w:cs="仿宋"/>
          <w:sz w:val="24"/>
          <w:szCs w:val="24"/>
        </w:rPr>
        <w:t>（二）采购人在收到评审报告后4个工作日内，从评审报告提出的成交候选人中，</w:t>
      </w:r>
      <w:r>
        <w:rPr>
          <w:rFonts w:hint="eastAsia" w:ascii="仿宋" w:hAnsi="仿宋" w:eastAsia="仿宋" w:cs="仿宋"/>
          <w:snapToGrid w:val="0"/>
          <w:kern w:val="0"/>
          <w:sz w:val="24"/>
          <w:szCs w:val="24"/>
        </w:rPr>
        <w:t>按照排序由高到低的原则确定成交供应商，也可以书面授权磋商小组直接确定成交供应商。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（三）采购代理机构在接到采购人的“成交复函”确认文件后1个工作日内，在</w:t>
      </w:r>
      <w:r>
        <w:rPr>
          <w:rFonts w:hint="eastAsia" w:ascii="仿宋" w:hAnsi="仿宋" w:eastAsia="仿宋" w:cs="仿宋"/>
          <w:snapToGrid w:val="0"/>
          <w:kern w:val="0"/>
          <w:sz w:val="24"/>
          <w:szCs w:val="24"/>
        </w:rPr>
        <w:t>省级以上财政部门指定的政府采购信息发布媒体上公告成交结果，同时向成交供应商发出成交通知书。</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w:t>
      </w:r>
      <w:r>
        <w:rPr>
          <w:rFonts w:hint="eastAsia" w:ascii="仿宋" w:hAnsi="仿宋" w:eastAsia="仿宋" w:cs="仿宋"/>
          <w:sz w:val="24"/>
          <w:szCs w:val="24"/>
          <w:lang w:val="zh-CN"/>
        </w:rPr>
        <w:t>供应商对成交公告有异议的，按照《中华人民共和国政府采购法》第五十二条之规定执行。提出质疑的供应商应当有明确的请求和必要的证明材料，应保证提出的质疑内容及相应证明材料的真实性及来源的合法性，并承担相应的法律责任。</w:t>
      </w:r>
    </w:p>
    <w:p>
      <w:pPr>
        <w:snapToGrid w:val="0"/>
        <w:spacing w:line="360" w:lineRule="auto"/>
        <w:ind w:firstLine="482" w:firstLineChars="200"/>
        <w:outlineLvl w:val="1"/>
        <w:rPr>
          <w:rFonts w:hint="eastAsia" w:ascii="仿宋" w:hAnsi="仿宋" w:eastAsia="仿宋" w:cs="仿宋"/>
          <w:b/>
          <w:sz w:val="24"/>
          <w:szCs w:val="24"/>
        </w:rPr>
      </w:pPr>
      <w:bookmarkStart w:id="289" w:name="_Toc12629"/>
      <w:bookmarkStart w:id="290" w:name="_Toc18909"/>
      <w:bookmarkStart w:id="291" w:name="_Toc3315"/>
      <w:bookmarkStart w:id="292" w:name="_Toc495908033"/>
      <w:bookmarkStart w:id="293" w:name="_Toc21581"/>
      <w:bookmarkStart w:id="294" w:name="_Toc495681515"/>
      <w:bookmarkStart w:id="295" w:name="_Toc495681234"/>
      <w:bookmarkStart w:id="296" w:name="_Toc9648"/>
      <w:bookmarkStart w:id="297" w:name="_Toc29069"/>
      <w:bookmarkStart w:id="298" w:name="_Toc14377"/>
      <w:bookmarkStart w:id="299" w:name="_Toc18122"/>
      <w:bookmarkStart w:id="300" w:name="_Toc27755"/>
      <w:bookmarkStart w:id="301" w:name="_Toc495681388"/>
      <w:bookmarkStart w:id="302" w:name="_Toc13929"/>
      <w:bookmarkStart w:id="303" w:name="_Toc19132"/>
      <w:bookmarkStart w:id="304" w:name="_Toc22831"/>
      <w:bookmarkStart w:id="305" w:name="_Toc28410"/>
      <w:r>
        <w:rPr>
          <w:rFonts w:hint="eastAsia" w:ascii="仿宋" w:hAnsi="仿宋" w:eastAsia="仿宋" w:cs="仿宋"/>
          <w:b/>
          <w:sz w:val="24"/>
          <w:szCs w:val="24"/>
        </w:rPr>
        <w:t>八、合同</w:t>
      </w:r>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p>
    <w:p>
      <w:pPr>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（一）采购人与成交供应商应当在成交通知书发出之日起30日内，</w:t>
      </w:r>
      <w:r>
        <w:rPr>
          <w:rFonts w:hint="eastAsia" w:ascii="仿宋" w:hAnsi="仿宋" w:eastAsia="仿宋" w:cs="仿宋"/>
          <w:sz w:val="24"/>
          <w:szCs w:val="24"/>
          <w:lang w:val="zh-CN"/>
        </w:rPr>
        <w:t>按照磋商文件和成交供应商磋商响应文件的约定，采购人与成交供应商洽谈合同条款，并签订合同。磋商文件及成交供应商的磋商响应文件均作为合同的组成部分。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（二）成交后，成交供应商无正当理由拖延或拒签合同，</w:t>
      </w:r>
      <w:r>
        <w:rPr>
          <w:rFonts w:hint="eastAsia" w:ascii="仿宋" w:hAnsi="仿宋" w:eastAsia="仿宋" w:cs="仿宋"/>
          <w:sz w:val="24"/>
          <w:szCs w:val="24"/>
          <w:lang w:val="zh-CN"/>
        </w:rPr>
        <w:t>采购人可以按照评审报告推荐的成交候选人名单排序，确定下一候选人为成交供应商，也可以重新开展政府采购活动。</w:t>
      </w:r>
      <w:r>
        <w:rPr>
          <w:rFonts w:hint="eastAsia" w:ascii="仿宋" w:hAnsi="仿宋" w:eastAsia="仿宋" w:cs="仿宋"/>
          <w:sz w:val="24"/>
          <w:szCs w:val="24"/>
        </w:rPr>
        <w:t>同时报请监督机构通报，取消其进入政府采购市场的资格，按规定予以处罚。</w:t>
      </w:r>
    </w:p>
    <w:p>
      <w:pPr>
        <w:autoSpaceDE w:val="0"/>
        <w:autoSpaceDN w:val="0"/>
        <w:adjustRightInd w:val="0"/>
        <w:snapToGrid w:val="0"/>
        <w:spacing w:line="360" w:lineRule="auto"/>
        <w:ind w:firstLine="482" w:firstLineChars="200"/>
        <w:outlineLvl w:val="1"/>
        <w:rPr>
          <w:rFonts w:hint="eastAsia" w:ascii="仿宋" w:hAnsi="仿宋" w:eastAsia="仿宋" w:cs="仿宋"/>
          <w:b/>
          <w:sz w:val="24"/>
          <w:szCs w:val="24"/>
          <w:lang w:val="zh-CN"/>
        </w:rPr>
      </w:pPr>
      <w:bookmarkStart w:id="306" w:name="_Toc7116"/>
      <w:bookmarkStart w:id="307" w:name="_Toc12204"/>
      <w:bookmarkStart w:id="308" w:name="_Toc9688"/>
      <w:bookmarkStart w:id="309" w:name="_Toc495908034"/>
      <w:bookmarkStart w:id="310" w:name="_Toc8437"/>
      <w:bookmarkStart w:id="311" w:name="_Toc9118"/>
      <w:bookmarkStart w:id="312" w:name="_Toc2657"/>
      <w:bookmarkStart w:id="313" w:name="_Toc13779"/>
      <w:bookmarkStart w:id="314" w:name="_Toc21962"/>
      <w:bookmarkStart w:id="315" w:name="_Toc25837"/>
      <w:bookmarkStart w:id="316" w:name="_Toc495681235"/>
      <w:bookmarkStart w:id="317" w:name="_Toc495681516"/>
      <w:bookmarkStart w:id="318" w:name="_Toc495681389"/>
      <w:bookmarkStart w:id="319" w:name="_Toc27365"/>
      <w:bookmarkStart w:id="320" w:name="_Toc22242"/>
      <w:bookmarkStart w:id="321" w:name="_Toc29462"/>
      <w:bookmarkStart w:id="322" w:name="_Toc495671243"/>
      <w:bookmarkStart w:id="323" w:name="_Toc17728"/>
      <w:r>
        <w:rPr>
          <w:rFonts w:hint="eastAsia" w:ascii="仿宋" w:hAnsi="仿宋" w:eastAsia="仿宋" w:cs="仿宋"/>
          <w:b/>
          <w:sz w:val="24"/>
          <w:szCs w:val="24"/>
          <w:lang w:val="zh-CN"/>
        </w:rPr>
        <w:t>九、成交合同的履约验收</w:t>
      </w:r>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p>
    <w:p>
      <w:pPr>
        <w:autoSpaceDE w:val="0"/>
        <w:autoSpaceDN w:val="0"/>
        <w:adjustRightInd w:val="0"/>
        <w:snapToGri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政府采购合同的履行、违约责任和解决争议的方法等适用《中华人民共和国民法典》，采购人按照政府采购合同规定的技术、服务、安全标准组织对供应商履约情况进行验收，并出具验收书。</w:t>
      </w:r>
    </w:p>
    <w:p>
      <w:pPr>
        <w:snapToGrid w:val="0"/>
        <w:spacing w:line="360" w:lineRule="auto"/>
        <w:ind w:firstLine="482" w:firstLineChars="200"/>
        <w:outlineLvl w:val="1"/>
        <w:rPr>
          <w:rFonts w:hint="eastAsia" w:ascii="仿宋" w:hAnsi="仿宋" w:eastAsia="仿宋" w:cs="仿宋"/>
          <w:b/>
          <w:sz w:val="24"/>
          <w:szCs w:val="24"/>
        </w:rPr>
      </w:pPr>
      <w:bookmarkStart w:id="324" w:name="_Toc7638"/>
      <w:bookmarkStart w:id="325" w:name="_Toc495681517"/>
      <w:bookmarkStart w:id="326" w:name="_Toc18844"/>
      <w:bookmarkStart w:id="327" w:name="_Toc24838"/>
      <w:bookmarkStart w:id="328" w:name="_Toc25429"/>
      <w:bookmarkStart w:id="329" w:name="_Toc7570"/>
      <w:bookmarkStart w:id="330" w:name="_Toc22334"/>
      <w:bookmarkStart w:id="331" w:name="_Toc29351"/>
      <w:bookmarkStart w:id="332" w:name="_Toc20679"/>
      <w:bookmarkStart w:id="333" w:name="_Toc7379"/>
      <w:bookmarkStart w:id="334" w:name="_Toc17850"/>
      <w:bookmarkStart w:id="335" w:name="_Toc18466"/>
      <w:bookmarkStart w:id="336" w:name="_Toc495681236"/>
      <w:bookmarkStart w:id="337" w:name="_Toc19"/>
      <w:bookmarkStart w:id="338" w:name="_Toc26884"/>
      <w:bookmarkStart w:id="339" w:name="_Toc495908035"/>
      <w:bookmarkStart w:id="340" w:name="_Toc495681390"/>
      <w:r>
        <w:rPr>
          <w:rFonts w:hint="eastAsia" w:ascii="仿宋" w:hAnsi="仿宋" w:eastAsia="仿宋" w:cs="仿宋"/>
          <w:b/>
          <w:sz w:val="24"/>
          <w:szCs w:val="24"/>
        </w:rPr>
        <w:t>十、成交服务费</w:t>
      </w:r>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（一）本项目招标代理服务费由成交供应商在成交结果公示期满后三个工作日内按照标准支付给招标代理机构。</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参照国家计委关于《招标代理服务收费管理暂行办法》（计价格[2002]1980号）、《国家发展改革委办公厅关于招标代理服务收费有关问题的通知》（发改价格[2003]857号）、《国家发展改革委关于进一步放开建设项目专业服务价格的通知》。</w:t>
      </w:r>
    </w:p>
    <w:p>
      <w:pPr>
        <w:autoSpaceDE w:val="0"/>
        <w:autoSpaceDN w:val="0"/>
        <w:adjustRightInd w:val="0"/>
        <w:spacing w:line="360" w:lineRule="auto"/>
        <w:ind w:firstLine="645"/>
        <w:rPr>
          <w:rFonts w:hint="eastAsia" w:ascii="仿宋" w:hAnsi="仿宋" w:eastAsia="仿宋" w:cs="仿宋"/>
          <w:sz w:val="24"/>
          <w:szCs w:val="24"/>
        </w:rPr>
      </w:pPr>
      <w:r>
        <w:rPr>
          <w:rFonts w:hint="eastAsia" w:ascii="仿宋" w:hAnsi="仿宋" w:eastAsia="仿宋" w:cs="仿宋"/>
          <w:sz w:val="24"/>
          <w:szCs w:val="24"/>
          <w:lang w:val="zh-CN"/>
        </w:rPr>
        <w:t>备注：</w:t>
      </w:r>
      <w:r>
        <w:rPr>
          <w:rFonts w:hint="eastAsia" w:ascii="仿宋" w:hAnsi="仿宋" w:eastAsia="仿宋" w:cs="仿宋"/>
          <w:sz w:val="24"/>
          <w:szCs w:val="24"/>
        </w:rPr>
        <w:t>成交服务费不足6000元的，按6000元收取。</w:t>
      </w:r>
    </w:p>
    <w:p>
      <w:pPr>
        <w:spacing w:line="360" w:lineRule="auto"/>
        <w:jc w:val="right"/>
        <w:rPr>
          <w:rFonts w:hint="eastAsia" w:ascii="仿宋" w:hAnsi="仿宋" w:eastAsia="仿宋" w:cs="仿宋"/>
          <w:sz w:val="24"/>
          <w:szCs w:val="24"/>
          <w:lang w:val="zh-CN"/>
        </w:rPr>
      </w:pPr>
      <w:r>
        <w:rPr>
          <w:rFonts w:hint="eastAsia" w:ascii="仿宋" w:hAnsi="仿宋" w:eastAsia="仿宋" w:cs="仿宋"/>
          <w:sz w:val="24"/>
          <w:szCs w:val="24"/>
          <w:lang w:val="zh-CN"/>
        </w:rPr>
        <w:t>单位：万元</w:t>
      </w:r>
    </w:p>
    <w:tbl>
      <w:tblPr>
        <w:tblStyle w:val="25"/>
        <w:tblW w:w="83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8"/>
        <w:gridCol w:w="1980"/>
        <w:gridCol w:w="1980"/>
        <w:gridCol w:w="1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2448" w:type="dxa"/>
          </w:tcPr>
          <w:p>
            <w:pPr>
              <w:spacing w:line="360" w:lineRule="auto"/>
              <w:ind w:firstLine="960" w:firstLineChars="400"/>
              <w:rPr>
                <w:rFonts w:hint="eastAsia" w:ascii="仿宋" w:hAnsi="仿宋" w:eastAsia="仿宋" w:cs="仿宋"/>
                <w:b/>
                <w:sz w:val="24"/>
                <w:szCs w:val="24"/>
              </w:rPr>
            </w:pPr>
            <w:r>
              <w:rPr>
                <w:rFonts w:hint="eastAsia" w:ascii="仿宋" w:hAnsi="仿宋" w:eastAsia="仿宋" w:cs="仿宋"/>
                <w:sz w:val="24"/>
                <w:szCs w:val="24"/>
              </w:rPr>
              <w:pict>
                <v:shape id="_x0000_s1026" o:spid="_x0000_s1026" o:spt="32" type="#_x0000_t32" style="position:absolute;left:0pt;margin-left:-6.35pt;margin-top:0.25pt;height:45.45pt;width:123.7pt;z-index:251663360;mso-width-relative:page;mso-height-relative:page;" filled="f" coordsize="21600,21600" o:gfxdata="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">
                  <v:path arrowok="t"/>
                  <v:fill on="f" focussize="0,0"/>
                  <v:stroke/>
                  <v:imagedata o:title=""/>
                  <o:lock v:ext="edit"/>
                </v:shape>
              </w:pict>
            </w:r>
            <w:r>
              <w:rPr>
                <w:rFonts w:hint="eastAsia" w:ascii="仿宋" w:hAnsi="仿宋" w:eastAsia="仿宋" w:cs="仿宋"/>
                <w:b/>
                <w:sz w:val="24"/>
                <w:szCs w:val="24"/>
              </w:rPr>
              <w:t>采购类型</w:t>
            </w:r>
          </w:p>
          <w:p>
            <w:pPr>
              <w:spacing w:line="360" w:lineRule="auto"/>
              <w:rPr>
                <w:rFonts w:hint="eastAsia" w:ascii="仿宋" w:hAnsi="仿宋" w:eastAsia="仿宋" w:cs="仿宋"/>
                <w:b/>
                <w:sz w:val="24"/>
                <w:szCs w:val="24"/>
              </w:rPr>
            </w:pPr>
            <w:r>
              <w:rPr>
                <w:rFonts w:hint="eastAsia" w:ascii="仿宋" w:hAnsi="仿宋" w:eastAsia="仿宋" w:cs="仿宋"/>
                <w:b/>
                <w:sz w:val="24"/>
                <w:szCs w:val="24"/>
              </w:rPr>
              <w:t>中标金额</w:t>
            </w:r>
          </w:p>
        </w:tc>
        <w:tc>
          <w:tcPr>
            <w:tcW w:w="1980"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货物招标</w:t>
            </w:r>
          </w:p>
        </w:tc>
        <w:tc>
          <w:tcPr>
            <w:tcW w:w="1980"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服务招标</w:t>
            </w:r>
          </w:p>
        </w:tc>
        <w:tc>
          <w:tcPr>
            <w:tcW w:w="1980"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工程招标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100以下</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1.5%</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100-500</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1.1%</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0.8%</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500-1000</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0.8%</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0.45%</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1000-5000</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0.5%</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0.25%</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5000-10000</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0.25%</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0.1%</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10000-100000</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0.05%</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0.05%</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448"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1000000以上</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0.01%</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0.01%</w:t>
            </w:r>
          </w:p>
        </w:tc>
        <w:tc>
          <w:tcPr>
            <w:tcW w:w="1980" w:type="dxa"/>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0.01%</w:t>
            </w:r>
          </w:p>
        </w:tc>
      </w:tr>
    </w:tbl>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（三）成交供应商服务费交纳信息：</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银行户名：腾德工程咨询有限公司</w:t>
      </w:r>
    </w:p>
    <w:p>
      <w:pPr>
        <w:tabs>
          <w:tab w:val="left" w:pos="9030"/>
        </w:tabs>
        <w:snapToGrid w:val="0"/>
        <w:spacing w:line="360" w:lineRule="auto"/>
        <w:ind w:right="-65" w:firstLine="480" w:firstLineChars="200"/>
        <w:rPr>
          <w:rFonts w:hint="eastAsia" w:ascii="仿宋" w:hAnsi="仿宋" w:eastAsia="仿宋" w:cs="仿宋"/>
          <w:sz w:val="24"/>
          <w:szCs w:val="24"/>
        </w:rPr>
      </w:pPr>
      <w:r>
        <w:rPr>
          <w:rFonts w:hint="eastAsia" w:ascii="仿宋" w:hAnsi="仿宋" w:eastAsia="仿宋" w:cs="仿宋"/>
          <w:sz w:val="24"/>
          <w:szCs w:val="24"/>
        </w:rPr>
        <w:t>开户银行：中国光大银行股份有限公司西安凤城九路支行</w:t>
      </w:r>
    </w:p>
    <w:p>
      <w:pPr>
        <w:tabs>
          <w:tab w:val="left" w:pos="9030"/>
        </w:tabs>
        <w:snapToGrid w:val="0"/>
        <w:spacing w:line="360" w:lineRule="auto"/>
        <w:ind w:right="-65" w:firstLine="480" w:firstLineChars="200"/>
        <w:rPr>
          <w:rFonts w:hint="eastAsia" w:ascii="仿宋" w:hAnsi="仿宋" w:eastAsia="仿宋" w:cs="仿宋"/>
          <w:sz w:val="24"/>
          <w:szCs w:val="24"/>
        </w:rPr>
      </w:pPr>
      <w:r>
        <w:rPr>
          <w:rFonts w:hint="eastAsia" w:ascii="仿宋" w:hAnsi="仿宋" w:eastAsia="仿宋" w:cs="仿宋"/>
          <w:sz w:val="24"/>
          <w:szCs w:val="24"/>
        </w:rPr>
        <w:t>账   号：79260188000034793</w:t>
      </w:r>
    </w:p>
    <w:p>
      <w:pPr>
        <w:autoSpaceDE w:val="0"/>
        <w:autoSpaceDN w:val="0"/>
        <w:adjustRightInd w:val="0"/>
        <w:snapToGrid w:val="0"/>
        <w:spacing w:line="360" w:lineRule="auto"/>
        <w:ind w:firstLine="627"/>
        <w:outlineLvl w:val="1"/>
        <w:rPr>
          <w:rFonts w:hint="eastAsia" w:ascii="仿宋" w:hAnsi="仿宋" w:eastAsia="仿宋" w:cs="仿宋"/>
          <w:b/>
          <w:szCs w:val="24"/>
          <w:lang w:val="zh-CN"/>
        </w:rPr>
      </w:pPr>
      <w:bookmarkStart w:id="341" w:name="_Toc22010"/>
      <w:bookmarkStart w:id="342" w:name="_Toc12871"/>
      <w:bookmarkStart w:id="343" w:name="_Toc21416"/>
      <w:bookmarkStart w:id="344" w:name="_Toc32174"/>
      <w:bookmarkStart w:id="345" w:name="_Toc18260"/>
      <w:bookmarkStart w:id="346" w:name="_Toc23881"/>
      <w:bookmarkStart w:id="347" w:name="_Toc21615"/>
      <w:bookmarkStart w:id="348" w:name="_Toc16213"/>
      <w:bookmarkStart w:id="349" w:name="_Toc19455"/>
      <w:bookmarkStart w:id="350" w:name="_Toc8703"/>
      <w:bookmarkStart w:id="351" w:name="_Toc495681518"/>
      <w:bookmarkStart w:id="352" w:name="_Toc32251"/>
      <w:bookmarkStart w:id="353" w:name="_Toc27978"/>
      <w:bookmarkStart w:id="354" w:name="_Toc24427"/>
      <w:bookmarkStart w:id="355" w:name="_Toc11829"/>
      <w:bookmarkStart w:id="356" w:name="_Toc495908036"/>
      <w:bookmarkStart w:id="357" w:name="_Toc21377"/>
      <w:bookmarkStart w:id="358" w:name="_Toc495671246"/>
      <w:bookmarkStart w:id="359" w:name="_Toc840"/>
      <w:bookmarkStart w:id="360" w:name="_Toc4827"/>
      <w:bookmarkStart w:id="361" w:name="_Toc495681237"/>
      <w:bookmarkStart w:id="362" w:name="_Toc495681391"/>
      <w:bookmarkStart w:id="363" w:name="_Toc14545"/>
      <w:r>
        <w:rPr>
          <w:rFonts w:hint="eastAsia" w:ascii="仿宋" w:hAnsi="仿宋" w:eastAsia="仿宋" w:cs="仿宋"/>
          <w:b/>
          <w:szCs w:val="24"/>
          <w:lang w:val="zh-CN"/>
        </w:rPr>
        <w:t>十一、需要落实的政府采购政策</w:t>
      </w:r>
      <w:bookmarkEnd w:id="341"/>
      <w:bookmarkEnd w:id="342"/>
      <w:bookmarkEnd w:id="343"/>
      <w:bookmarkEnd w:id="344"/>
      <w:bookmarkEnd w:id="345"/>
      <w:bookmarkEnd w:id="346"/>
    </w:p>
    <w:p>
      <w:pPr>
        <w:snapToGrid w:val="0"/>
        <w:spacing w:line="360" w:lineRule="auto"/>
        <w:ind w:firstLine="480" w:firstLineChars="200"/>
        <w:rPr>
          <w:rFonts w:hint="eastAsia" w:ascii="仿宋" w:hAnsi="仿宋" w:eastAsia="仿宋" w:cs="仿宋"/>
          <w:sz w:val="24"/>
          <w:szCs w:val="24"/>
        </w:rPr>
      </w:pPr>
      <w:bookmarkStart w:id="364" w:name="_Toc18813"/>
      <w:bookmarkStart w:id="365" w:name="_Toc5903"/>
      <w:bookmarkStart w:id="366" w:name="_Toc19879"/>
      <w:r>
        <w:rPr>
          <w:rFonts w:hint="eastAsia" w:ascii="仿宋" w:hAnsi="仿宋" w:eastAsia="仿宋" w:cs="仿宋"/>
          <w:sz w:val="24"/>
          <w:szCs w:val="24"/>
        </w:rPr>
        <w:t>（一）落实促进支持中小企业、监狱企业、残疾人福利性单位发展、脱贫攻坚工作的政策(如为专门面向中小企业的采购项目（或采购包），不执行1、2、3条款。)</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1、《政府采购促进中小企业发展管理办法》（财库〔2020〕46号）及《关于进一步加大政府采购支持中小企业力度的通知》（财库〔2022〕19号）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在政府采购活动中，供应商提供的货物、工程或者服务符合下列情形的，享受《办法》规定的中小企业扶持政策:</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(1)在货物采购项目中，货物由中小企业制造，即货物由中小企业生产且使用该中小企业商号或者注册商标；</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(2)在工程采购项目中，工程由中小企业承建，即工程施工单位为中小企业；</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(3)在服务采购项目中，服务由中小企业承接，即提供服务的人员为中小企业依照《中华人民共和国民法典》订立劳动合同的从业人员。</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在货物采购项目中，供应商提供的货物既有中小企业制造货物，也有大型企业制造货物的，不享受《办法》规定的中小企业扶持政策。</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以联合体形式参加政府采购活动，联合体各方均为中小企业的，联合体视同中小企业。其中，联合体各方均为小微企业的，联合体视同小微企业。</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依据《办法》规定享受扶持政策获得政府采购合同的，小微企业不得将合同分包给大中型企业，中型企业不得将合同分包给大型企业。</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根据《政府采购促进中小企业发展管理办法》的通知（财库〔2020〕46号）规定，参加政府采购活动的中小企业应当提供《中小企业声明函》。供应商提供的《中小企业声明函》原件必须真实，否则，按照有关规定予以处理。</w:t>
      </w:r>
    </w:p>
    <w:p>
      <w:pPr>
        <w:snapToGrid w:val="0"/>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根据《政府采购促进中小企业发展管理办法》及《西安市财政局关于进一步加大政府采购支持中小企业力度的通知》市财函〔2022〕867号的相关规定，小微企业报价给予10%-20%(工程项目为3%—5%)的扣除</w:t>
      </w:r>
      <w:r>
        <w:rPr>
          <w:rFonts w:hint="eastAsia" w:ascii="仿宋" w:hAnsi="仿宋" w:eastAsia="仿宋" w:cs="仿宋"/>
          <w:sz w:val="24"/>
          <w:szCs w:val="24"/>
          <w:highlight w:val="none"/>
          <w:lang w:eastAsia="zh-CN"/>
        </w:rPr>
        <w:t>（本项目扣除比例为</w:t>
      </w:r>
      <w:r>
        <w:rPr>
          <w:rFonts w:hint="eastAsia" w:ascii="仿宋" w:hAnsi="仿宋" w:eastAsia="仿宋" w:cs="仿宋"/>
          <w:sz w:val="24"/>
          <w:szCs w:val="24"/>
          <w:highlight w:val="none"/>
          <w:lang w:val="en-US" w:eastAsia="zh-CN"/>
        </w:rPr>
        <w:t>5%</w:t>
      </w:r>
      <w:r>
        <w:rPr>
          <w:rFonts w:hint="eastAsia" w:ascii="仿宋" w:hAnsi="仿宋" w:eastAsia="仿宋" w:cs="仿宋"/>
          <w:sz w:val="24"/>
          <w:szCs w:val="24"/>
          <w:highlight w:val="none"/>
          <w:lang w:eastAsia="zh-CN"/>
        </w:rPr>
        <w:t>）</w:t>
      </w:r>
      <w:r>
        <w:rPr>
          <w:rFonts w:hint="eastAsia" w:ascii="仿宋" w:hAnsi="仿宋" w:eastAsia="仿宋" w:cs="仿宋"/>
          <w:sz w:val="24"/>
          <w:szCs w:val="24"/>
          <w:highlight w:val="none"/>
        </w:rPr>
        <w:t>，用扣除后的价格参加评审。适用招标投标法的政府采购工程建设项目，采用综合评估法但未采用低价优先法计算价格分的，评标时应当在采用原报价进行评分的基础上增加其价格得分的3%作为其价格分。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highlight w:val="none"/>
        </w:rPr>
        <w:t>接受大中型企业与小微企业组成联合体或者允许大中型企业向一家或者多家小微企业分包的采购项目，对于联合协议或者分包意向协议约定小微企业的合同份额占到合同总金额30%以上的，对联合体或者大中型企业的报价给予4%-6%(工程项目为1%-2%)的扣除</w:t>
      </w:r>
      <w:r>
        <w:rPr>
          <w:rFonts w:hint="eastAsia" w:ascii="仿宋" w:hAnsi="仿宋" w:eastAsia="仿宋" w:cs="仿宋"/>
          <w:sz w:val="24"/>
          <w:szCs w:val="24"/>
          <w:highlight w:val="none"/>
          <w:lang w:eastAsia="zh-CN"/>
        </w:rPr>
        <w:t>（本项目扣除比例为</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rPr>
        <w:t>，用扣除后的价格参加评审。适用招标投标法的政府采购工程建设项目，采用综合评估法但未采用低价优先法计算价格分的，评标时应当在采用原报价进行评分的基础上增加其价格得分的1%作为其价格分。组成联合体或者接受分包的小微企业与联合体内其他</w:t>
      </w:r>
      <w:r>
        <w:rPr>
          <w:rFonts w:hint="eastAsia" w:ascii="仿宋" w:hAnsi="仿宋" w:eastAsia="仿宋" w:cs="仿宋"/>
          <w:sz w:val="24"/>
          <w:szCs w:val="24"/>
        </w:rPr>
        <w:t>企业、分包企业之间存在直接控股、管理关系的，不享受价格扣除优惠政策。</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2、《财政部 司法部关于政府采购支持监狱企业发展有关问题的通知》（财库〔2014〕68号）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监狱企业参加政府采购活动时，应当提供由省级以上监狱管理局、戒毒管理局（含新疆生产建设兵团）出具的属于监狱企业的证明文件。在政府采购活动中，监狱企业视同小型、微型企业。</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3、《三部门联合发布关于促进残疾人就业政府采购政策的通知》（财库〔2017〕141号）；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符合条件的残疾人福利性单位在参加政府采购活动时，应当提供本通知规定的《残疾人福利性单位声明函》，并对声明的真实性负责。在政府采购活动中，残疾人福利性单位视同小型、微型企业，享受预留份额。</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（二）落实优先采购节能、环保产品的政策</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1、据《财政部 国家发展改革委关于印发〈节能产品政府采购实施意见〉的通知》（财库〔2004〕185号）规定“政府采购属于节能产品品目清单的，在技术、服务等指标同等条件下，应当优先采购节能品目清单的节能产品。”</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根据《财政部环保总局关于环境标志产品政府采购实施的意见》（财库〔2006〕90号）规定“采购人采购的产品属于环境标志产品政府采购清单中品目的，在性能、技术、服务等指标同等条件下，应当优先采购清单中的产品”。</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3、根据《国务院办公厅关于建立政府强制采购节能产品制度的通知》（国办发〔2007〕51号）有关要求，“使用财政性资金进行政府采购活动时，在技术、服务等指标满足采购需求的前提下，要优先采购节能产品，对部分节能效果、性能等达到要求的产品，实行强制采购，以促进节约能源，保护环境，降低政府机构能源费用开支。”</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4、根据《财政部 发展改革委 生态环境部 市场监管总局关于调整优化节能产品、环境标志产品政府采购执行机制的通知》（财库〔2019〕9号）有关要求，采购人拟采购的产品属于品目清单范围的，采购人及其委托的采购代理机构应当依据国家确定的认证机构出具的、处于有效期之内的节能产品、环境标志产品认证证书，对获得证书的产品实施政府优先采购或强制采购。</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所有投标产品进入“节能产品政府采购品目清单”的，应提供相关证书复印件，相关证书的颁发机构应来自《参与实施政府采购节能产品认证机构名录》。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所有投标产品进入“环境标志产品政府采购品目清单”的，应提供相关证书复印件，相关证书的颁发机构应来自《参与实施政府采购环境标志产品认证机构名录》。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（三）政府采购信用融资政策</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为了支持和促进中小企业发展，进一步发挥政府采购政策功能作用，有效缓解中小企业融资难、融资贵问题，根据陕西省财政厅关于印发《陕西省中小企业政府采购信用融资办法》陕财办采〔2018〕23号以及依据《陕西省财政厅关于加快推进我省中小企业政府采购信用融资工作的通知》（陕财办采[2020]15号）。规定，中小型企业供应商有融资需求的，可以自由按照财政部门的规定，在“陕西政府采购信用融资平台（含各市分平台）”查询并按信用融资办法的相关程序申请办理。</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（四）陕西省中小企业政府采购信用担保政策</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如属于政府采购信用担保范围内，中小型企业供应商可以自由按照财政部门的规定，采用履约担保和融资担保。</w:t>
      </w:r>
    </w:p>
    <w:bookmarkEnd w:id="364"/>
    <w:bookmarkEnd w:id="365"/>
    <w:bookmarkEnd w:id="366"/>
    <w:p>
      <w:pPr>
        <w:autoSpaceDE w:val="0"/>
        <w:autoSpaceDN w:val="0"/>
        <w:adjustRightInd w:val="0"/>
        <w:snapToGrid w:val="0"/>
        <w:spacing w:line="360" w:lineRule="auto"/>
        <w:ind w:firstLine="480" w:firstLineChars="200"/>
        <w:outlineLvl w:val="2"/>
        <w:rPr>
          <w:rFonts w:hint="eastAsia" w:ascii="仿宋" w:hAnsi="仿宋" w:eastAsia="仿宋" w:cs="仿宋"/>
          <w:bCs/>
          <w:sz w:val="24"/>
          <w:szCs w:val="24"/>
          <w:lang w:val="zh-CN"/>
        </w:rPr>
      </w:pPr>
      <w:bookmarkStart w:id="367" w:name="_Toc23643"/>
      <w:bookmarkStart w:id="368" w:name="_Toc7383"/>
      <w:bookmarkStart w:id="369" w:name="_Toc6521"/>
      <w:bookmarkStart w:id="370" w:name="_Toc8868"/>
      <w:bookmarkStart w:id="371" w:name="_Toc5806"/>
      <w:bookmarkStart w:id="372" w:name="_Toc6295"/>
      <w:bookmarkStart w:id="373" w:name="_Toc31018"/>
      <w:bookmarkStart w:id="374" w:name="_Toc8990"/>
      <w:r>
        <w:rPr>
          <w:rFonts w:hint="eastAsia" w:ascii="仿宋" w:hAnsi="仿宋" w:eastAsia="仿宋" w:cs="仿宋"/>
          <w:bCs/>
          <w:sz w:val="24"/>
          <w:szCs w:val="24"/>
          <w:lang w:val="zh-CN"/>
        </w:rPr>
        <w:t>（一）质疑</w:t>
      </w:r>
      <w:bookmarkEnd w:id="367"/>
      <w:bookmarkEnd w:id="368"/>
      <w:bookmarkEnd w:id="369"/>
      <w:bookmarkEnd w:id="370"/>
      <w:bookmarkEnd w:id="371"/>
      <w:bookmarkEnd w:id="372"/>
      <w:bookmarkEnd w:id="373"/>
      <w:bookmarkEnd w:id="374"/>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1、供应商认为招标文件、招标过程或中标结果使自身的合法权益受到损害，可以在法定期限内，以书面形式向采购代理机构或采购人提出质疑。</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（1）提出质疑应当提交质疑函和必要的证明材料，质疑函应当包括以下主要内容：</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 xml:space="preserve">①供应商的姓名或者名称、地址、邮编、联系人及联系电话；②质疑项目的名称、编号；③具体、明确的质疑事项和与质疑事项相关的请求；④事实依据；⑤必要的法律依据；⑥提出质疑的日期。 </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（2）质疑函应当由法定代表人签字并加盖公章，公章不得以合同章或其他印章代替。</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（3）质疑人可以委托代理人办理质疑事项，代理人办理质疑事项时，除提交质疑函外，还应当提交法人授权委托书及代理人的有效身份证明，授权委托书应当载明委托代理的具体权限和事项。</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（4）有下列情形之一的，属于无效质疑：</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①质疑人不是参与本次政府采购项目的供应商或潜在供应商；</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②质疑人与质疑事项不存在利害关系的；</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③未在法定期限内提出质疑的；</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④质疑未以书面形式提出，或质疑函主要内容构成不完整的；</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⑤质疑函没有合法有效的签字、盖章或授权的；</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⑥以非法手段取得证据、材料的；</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⑦质疑答复后，同一质疑人就同一事项再次提出质疑的；</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⑧不符合法律、法规、规章和政府采购监管机构规定的其他条件的。</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2、符合要求的质疑，采购代理机构将予以受理并答复，具体联系方式如下：</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val="zh-CN"/>
        </w:rPr>
        <w:t>联系人：宁经理</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lang w:val="zh-CN"/>
        </w:rPr>
        <w:t>联系电话：029-62695993</w:t>
      </w:r>
    </w:p>
    <w:p>
      <w:pPr>
        <w:autoSpaceDE w:val="0"/>
        <w:autoSpaceDN w:val="0"/>
        <w:adjustRightInd w:val="0"/>
        <w:snapToGrid w:val="0"/>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邮箱：tengdergc_zb02@163.com</w:t>
      </w:r>
    </w:p>
    <w:p>
      <w:pPr>
        <w:ind w:firstLine="480" w:firstLineChars="200"/>
        <w:rPr>
          <w:rFonts w:hint="eastAsia" w:ascii="仿宋" w:hAnsi="仿宋" w:eastAsia="仿宋" w:cs="仿宋"/>
          <w:bCs/>
          <w:sz w:val="24"/>
          <w:szCs w:val="24"/>
        </w:rPr>
      </w:pPr>
      <w:r>
        <w:rPr>
          <w:rFonts w:hint="eastAsia" w:ascii="仿宋" w:hAnsi="仿宋" w:eastAsia="仿宋" w:cs="仿宋"/>
          <w:bCs/>
          <w:sz w:val="24"/>
          <w:szCs w:val="24"/>
          <w:lang w:val="zh-CN"/>
        </w:rPr>
        <w:t>地址</w:t>
      </w:r>
      <w:r>
        <w:rPr>
          <w:rFonts w:hint="eastAsia" w:ascii="仿宋" w:hAnsi="仿宋" w:eastAsia="仿宋" w:cs="仿宋"/>
          <w:bCs/>
          <w:sz w:val="24"/>
          <w:szCs w:val="24"/>
        </w:rPr>
        <w:t>：西安市未央区明光路中建财智广场5栋501室（</w:t>
      </w:r>
      <w:r>
        <w:rPr>
          <w:rFonts w:hint="eastAsia" w:ascii="仿宋" w:hAnsi="仿宋" w:eastAsia="仿宋" w:cs="仿宋"/>
          <w:bCs/>
          <w:sz w:val="24"/>
          <w:szCs w:val="24"/>
          <w:lang w:val="zh-CN"/>
        </w:rPr>
        <w:t>腾德工程咨询有限公司</w:t>
      </w:r>
      <w:r>
        <w:rPr>
          <w:rFonts w:hint="eastAsia" w:ascii="仿宋" w:hAnsi="仿宋" w:eastAsia="仿宋" w:cs="仿宋"/>
          <w:bCs/>
          <w:sz w:val="24"/>
          <w:szCs w:val="24"/>
        </w:rPr>
        <w:t>）</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采购代理机构或采购人将在收到书面质疑后7个工作日内做出答复，并以书面形式通知质疑人和其他有关供应商。</w:t>
      </w:r>
    </w:p>
    <w:p>
      <w:pPr>
        <w:autoSpaceDE w:val="0"/>
        <w:autoSpaceDN w:val="0"/>
        <w:adjustRightInd w:val="0"/>
        <w:snapToGrid w:val="0"/>
        <w:spacing w:line="360" w:lineRule="auto"/>
        <w:ind w:firstLine="480" w:firstLineChars="200"/>
        <w:outlineLvl w:val="2"/>
        <w:rPr>
          <w:rFonts w:hint="eastAsia" w:ascii="仿宋" w:hAnsi="仿宋" w:eastAsia="仿宋" w:cs="仿宋"/>
          <w:bCs/>
          <w:sz w:val="24"/>
          <w:szCs w:val="24"/>
          <w:lang w:val="zh-CN"/>
        </w:rPr>
      </w:pPr>
      <w:bookmarkStart w:id="375" w:name="_Toc17782"/>
      <w:bookmarkStart w:id="376" w:name="_Toc32713"/>
      <w:bookmarkStart w:id="377" w:name="_Toc17048"/>
      <w:bookmarkStart w:id="378" w:name="_Toc10952"/>
      <w:bookmarkStart w:id="379" w:name="_Toc5958"/>
      <w:bookmarkStart w:id="380" w:name="_Toc27095"/>
      <w:bookmarkStart w:id="381" w:name="_Toc26510"/>
      <w:bookmarkStart w:id="382" w:name="_Toc11431"/>
      <w:r>
        <w:rPr>
          <w:rFonts w:hint="eastAsia" w:ascii="仿宋" w:hAnsi="仿宋" w:eastAsia="仿宋" w:cs="仿宋"/>
          <w:bCs/>
          <w:sz w:val="24"/>
          <w:szCs w:val="24"/>
          <w:lang w:val="zh-CN"/>
        </w:rPr>
        <w:t>（二）投诉</w:t>
      </w:r>
      <w:bookmarkEnd w:id="375"/>
      <w:bookmarkEnd w:id="376"/>
      <w:bookmarkEnd w:id="377"/>
      <w:bookmarkEnd w:id="378"/>
      <w:bookmarkEnd w:id="379"/>
      <w:bookmarkEnd w:id="380"/>
      <w:bookmarkEnd w:id="381"/>
      <w:bookmarkEnd w:id="382"/>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1、质疑人对采购代理机构或采购人的答复不满意，以及采购代理机构或采购人未在规定时间内做出答复的，可以在答复期满后15个工作日内向政府采购监管机构提出投诉。</w:t>
      </w:r>
    </w:p>
    <w:p>
      <w:pPr>
        <w:autoSpaceDE w:val="0"/>
        <w:autoSpaceDN w:val="0"/>
        <w:adjustRightInd w:val="0"/>
        <w:snapToGri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2、投诉的事项不得超出已质疑事项的范围。</w:t>
      </w:r>
    </w:p>
    <w:p>
      <w:pPr>
        <w:autoSpaceDE w:val="0"/>
        <w:autoSpaceDN w:val="0"/>
        <w:adjustRightInd w:val="0"/>
        <w:snapToGrid w:val="0"/>
        <w:spacing w:line="360" w:lineRule="auto"/>
        <w:ind w:firstLine="480" w:firstLineChars="200"/>
        <w:rPr>
          <w:rFonts w:hint="eastAsia" w:ascii="仿宋" w:hAnsi="仿宋" w:eastAsia="仿宋" w:cs="仿宋"/>
          <w:bCs/>
          <w:sz w:val="24"/>
          <w:szCs w:val="24"/>
        </w:rPr>
      </w:pPr>
    </w:p>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p>
      <w:pPr>
        <w:pageBreakBefore/>
        <w:numPr>
          <w:ilvl w:val="0"/>
          <w:numId w:val="3"/>
        </w:numPr>
        <w:spacing w:line="360" w:lineRule="auto"/>
        <w:jc w:val="center"/>
        <w:outlineLvl w:val="0"/>
        <w:rPr>
          <w:rFonts w:hint="eastAsia" w:ascii="仿宋" w:hAnsi="仿宋" w:eastAsia="仿宋" w:cs="仿宋"/>
          <w:b/>
          <w:color w:val="auto"/>
          <w:sz w:val="32"/>
          <w:szCs w:val="32"/>
        </w:rPr>
      </w:pPr>
      <w:bookmarkStart w:id="383" w:name="_Toc3119"/>
      <w:bookmarkStart w:id="384" w:name="_Toc23352"/>
      <w:bookmarkStart w:id="385" w:name="_Toc11144"/>
      <w:bookmarkStart w:id="386" w:name="_Toc22975"/>
      <w:bookmarkStart w:id="387" w:name="_Toc28744"/>
      <w:bookmarkStart w:id="388" w:name="_Toc16046"/>
      <w:bookmarkStart w:id="389" w:name="_Toc29455"/>
      <w:bookmarkStart w:id="390" w:name="_Toc8287"/>
      <w:bookmarkStart w:id="391" w:name="_Toc5717"/>
      <w:bookmarkStart w:id="392" w:name="_Toc29879"/>
      <w:bookmarkStart w:id="393" w:name="_Toc29155"/>
      <w:bookmarkStart w:id="394" w:name="_Toc15073"/>
      <w:bookmarkStart w:id="395" w:name="_Toc20897"/>
      <w:bookmarkStart w:id="396" w:name="_Toc495681520"/>
      <w:bookmarkStart w:id="397" w:name="_Toc495681393"/>
      <w:bookmarkStart w:id="398" w:name="_Toc495681239"/>
      <w:r>
        <w:rPr>
          <w:rFonts w:hint="eastAsia" w:ascii="仿宋" w:hAnsi="仿宋" w:eastAsia="仿宋" w:cs="仿宋"/>
          <w:b/>
          <w:color w:val="auto"/>
          <w:sz w:val="32"/>
          <w:szCs w:val="32"/>
        </w:rPr>
        <w:t>采购内容及要求</w:t>
      </w:r>
      <w:bookmarkEnd w:id="383"/>
      <w:bookmarkEnd w:id="384"/>
      <w:bookmarkEnd w:id="385"/>
      <w:bookmarkEnd w:id="386"/>
      <w:bookmarkEnd w:id="387"/>
      <w:bookmarkEnd w:id="388"/>
      <w:bookmarkEnd w:id="389"/>
      <w:bookmarkEnd w:id="390"/>
      <w:bookmarkEnd w:id="391"/>
      <w:bookmarkEnd w:id="392"/>
      <w:bookmarkEnd w:id="393"/>
      <w:bookmarkEnd w:id="394"/>
      <w:bookmarkEnd w:id="395"/>
    </w:p>
    <w:p>
      <w:pPr>
        <w:spacing w:line="360" w:lineRule="auto"/>
        <w:ind w:firstLine="482" w:firstLineChars="200"/>
        <w:rPr>
          <w:rFonts w:hint="eastAsia" w:ascii="仿宋" w:hAnsi="仿宋" w:eastAsia="仿宋" w:cs="仿宋"/>
          <w:b/>
          <w:bCs/>
          <w:color w:val="FF0000"/>
          <w:sz w:val="24"/>
          <w:szCs w:val="24"/>
        </w:rPr>
      </w:pPr>
    </w:p>
    <w:p>
      <w:pPr>
        <w:pStyle w:val="2"/>
        <w:rPr>
          <w:rFonts w:hint="eastAsia" w:ascii="仿宋" w:hAnsi="仿宋" w:eastAsia="仿宋" w:cs="仿宋"/>
          <w:b/>
          <w:bCs/>
          <w:color w:val="FF0000"/>
          <w:sz w:val="24"/>
          <w:szCs w:val="24"/>
        </w:rPr>
      </w:pPr>
    </w:p>
    <w:tbl>
      <w:tblPr>
        <w:tblStyle w:val="25"/>
        <w:tblW w:w="9342" w:type="dxa"/>
        <w:tblInd w:w="93" w:type="dxa"/>
        <w:tblLayout w:type="fixed"/>
        <w:tblCellMar>
          <w:top w:w="0" w:type="dxa"/>
          <w:left w:w="108" w:type="dxa"/>
          <w:bottom w:w="0" w:type="dxa"/>
          <w:right w:w="108" w:type="dxa"/>
        </w:tblCellMar>
      </w:tblPr>
      <w:tblGrid>
        <w:gridCol w:w="1723"/>
        <w:gridCol w:w="1717"/>
        <w:gridCol w:w="2569"/>
        <w:gridCol w:w="1291"/>
        <w:gridCol w:w="1156"/>
        <w:gridCol w:w="886"/>
      </w:tblGrid>
      <w:tr>
        <w:tblPrEx>
          <w:tblCellMar>
            <w:top w:w="0" w:type="dxa"/>
            <w:left w:w="108" w:type="dxa"/>
            <w:bottom w:w="0" w:type="dxa"/>
            <w:right w:w="108" w:type="dxa"/>
          </w:tblCellMar>
        </w:tblPrEx>
        <w:trPr>
          <w:trHeight w:val="415" w:hRule="atLeast"/>
        </w:trPr>
        <w:tc>
          <w:tcPr>
            <w:tcW w:w="9342"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高陵收费站膜结构雨棚工程</w:t>
            </w:r>
            <w:r>
              <w:rPr>
                <w:rFonts w:hint="eastAsia" w:ascii="仿宋" w:hAnsi="仿宋" w:eastAsia="仿宋" w:cs="仿宋"/>
                <w:b/>
                <w:bCs/>
                <w:color w:val="000000"/>
                <w:kern w:val="0"/>
                <w:sz w:val="32"/>
                <w:szCs w:val="32"/>
                <w:lang w:eastAsia="zh-CN"/>
              </w:rPr>
              <w:t>清</w:t>
            </w:r>
            <w:r>
              <w:rPr>
                <w:rFonts w:hint="eastAsia" w:ascii="仿宋" w:hAnsi="仿宋" w:eastAsia="仿宋" w:cs="仿宋"/>
                <w:b/>
                <w:bCs/>
                <w:color w:val="000000"/>
                <w:kern w:val="0"/>
                <w:sz w:val="32"/>
                <w:szCs w:val="32"/>
              </w:rPr>
              <w:t>单</w:t>
            </w:r>
          </w:p>
        </w:tc>
      </w:tr>
      <w:tr>
        <w:tblPrEx>
          <w:tblCellMar>
            <w:top w:w="0" w:type="dxa"/>
            <w:left w:w="108" w:type="dxa"/>
            <w:bottom w:w="0" w:type="dxa"/>
            <w:right w:w="108" w:type="dxa"/>
          </w:tblCellMar>
        </w:tblPrEx>
        <w:trPr>
          <w:trHeight w:val="415" w:hRule="atLeast"/>
        </w:trPr>
        <w:tc>
          <w:tcPr>
            <w:tcW w:w="9342"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32"/>
                <w:szCs w:val="32"/>
              </w:rPr>
            </w:pPr>
          </w:p>
        </w:tc>
      </w:tr>
      <w:tr>
        <w:tblPrEx>
          <w:tblCellMar>
            <w:top w:w="0" w:type="dxa"/>
            <w:left w:w="108" w:type="dxa"/>
            <w:bottom w:w="0" w:type="dxa"/>
            <w:right w:w="108" w:type="dxa"/>
          </w:tblCellMar>
        </w:tblPrEx>
        <w:trPr>
          <w:trHeight w:val="320" w:hRule="atLeast"/>
        </w:trPr>
        <w:tc>
          <w:tcPr>
            <w:tcW w:w="9342" w:type="dxa"/>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类别</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项目名称</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规格</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材质</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单位</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数量</w:t>
            </w:r>
          </w:p>
        </w:tc>
      </w:tr>
      <w:tr>
        <w:tblPrEx>
          <w:tblCellMar>
            <w:top w:w="0" w:type="dxa"/>
            <w:left w:w="108" w:type="dxa"/>
            <w:bottom w:w="0" w:type="dxa"/>
            <w:right w:w="108" w:type="dxa"/>
          </w:tblCellMar>
        </w:tblPrEx>
        <w:trPr>
          <w:trHeight w:val="320" w:hRule="atLeast"/>
        </w:trPr>
        <w:tc>
          <w:tcPr>
            <w:tcW w:w="1723"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膜结构部分</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膜材料费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建筑膜材</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106</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膜材料费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加工副材</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21</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膜片裁剪加工</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106</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辅件费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压模板、节点板、螺丝</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PE索</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φ8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镀锌包塑</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索头</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φ8</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PE索</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0.00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0</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索头</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0.00 </w:t>
            </w: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0</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膜体安装费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106</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机械设备费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106</w:t>
            </w:r>
          </w:p>
        </w:tc>
      </w:tr>
      <w:tr>
        <w:tblPrEx>
          <w:tblCellMar>
            <w:top w:w="0" w:type="dxa"/>
            <w:left w:w="108" w:type="dxa"/>
            <w:bottom w:w="0" w:type="dxa"/>
            <w:right w:w="108" w:type="dxa"/>
          </w:tblCellMar>
        </w:tblPrEx>
        <w:trPr>
          <w:trHeight w:val="320" w:hRule="atLeast"/>
        </w:trPr>
        <w:tc>
          <w:tcPr>
            <w:tcW w:w="1723"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7619"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膜结构部分直接费</w:t>
            </w:r>
          </w:p>
        </w:tc>
      </w:tr>
      <w:tr>
        <w:tblPrEx>
          <w:tblCellMar>
            <w:top w:w="0" w:type="dxa"/>
            <w:left w:w="108" w:type="dxa"/>
            <w:bottom w:w="0" w:type="dxa"/>
            <w:right w:w="108" w:type="dxa"/>
          </w:tblCellMar>
        </w:tblPrEx>
        <w:trPr>
          <w:trHeight w:val="320" w:hRule="atLeast"/>
        </w:trPr>
        <w:tc>
          <w:tcPr>
            <w:tcW w:w="1723"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钢结构部分</w:t>
            </w:r>
          </w:p>
        </w:tc>
        <w:tc>
          <w:tcPr>
            <w:tcW w:w="171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主要材料</w:t>
            </w:r>
          </w:p>
        </w:tc>
        <w:tc>
          <w:tcPr>
            <w:tcW w:w="256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钢管</w:t>
            </w:r>
          </w:p>
        </w:tc>
        <w:tc>
          <w:tcPr>
            <w:tcW w:w="129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Q235</w:t>
            </w:r>
          </w:p>
        </w:tc>
        <w:tc>
          <w:tcPr>
            <w:tcW w:w="115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8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1.90 </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弯管费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0.50 </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制作费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1.90 </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运输费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1.00 </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涂装费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1.90 </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安装费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1.90 </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措施费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7619"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钢结构部分直接费</w:t>
            </w:r>
          </w:p>
        </w:tc>
      </w:tr>
      <w:tr>
        <w:tblPrEx>
          <w:tblCellMar>
            <w:top w:w="0" w:type="dxa"/>
            <w:left w:w="108" w:type="dxa"/>
            <w:bottom w:w="0" w:type="dxa"/>
            <w:right w:w="108" w:type="dxa"/>
          </w:tblCellMar>
        </w:tblPrEx>
        <w:trPr>
          <w:trHeight w:val="320" w:hRule="atLeast"/>
        </w:trPr>
        <w:tc>
          <w:tcPr>
            <w:tcW w:w="1723" w:type="dxa"/>
            <w:vMerge w:val="restart"/>
            <w:tcBorders>
              <w:top w:val="single" w:color="000000" w:sz="8" w:space="0"/>
              <w:left w:val="single" w:color="000000" w:sz="8" w:space="0"/>
              <w:bottom w:val="nil"/>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基础部分</w:t>
            </w:r>
          </w:p>
        </w:tc>
        <w:tc>
          <w:tcPr>
            <w:tcW w:w="1717"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预埋件</w:t>
            </w:r>
          </w:p>
        </w:tc>
        <w:tc>
          <w:tcPr>
            <w:tcW w:w="256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88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4.00 </w:t>
            </w: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混凝土</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施工</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7619"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土建部分直接费</w:t>
            </w:r>
          </w:p>
        </w:tc>
      </w:tr>
      <w:tr>
        <w:tblPrEx>
          <w:tblCellMar>
            <w:top w:w="0" w:type="dxa"/>
            <w:left w:w="108" w:type="dxa"/>
            <w:bottom w:w="0" w:type="dxa"/>
            <w:right w:w="108" w:type="dxa"/>
          </w:tblCellMar>
        </w:tblPrEx>
        <w:trPr>
          <w:trHeight w:val="320" w:hRule="atLeast"/>
        </w:trPr>
        <w:tc>
          <w:tcPr>
            <w:tcW w:w="1723" w:type="dxa"/>
            <w:vMerge w:val="restart"/>
            <w:tcBorders>
              <w:top w:val="nil"/>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间接费及税金</w:t>
            </w: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税金</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设计费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人员保险费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管理费</w:t>
            </w: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256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29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55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间接费小计</w:t>
            </w:r>
          </w:p>
        </w:tc>
        <w:tc>
          <w:tcPr>
            <w:tcW w:w="115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8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23"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5577" w:type="dxa"/>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分项总价</w:t>
            </w:r>
          </w:p>
        </w:tc>
        <w:tc>
          <w:tcPr>
            <w:tcW w:w="115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86"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7300" w:type="dxa"/>
            <w:gridSpan w:val="4"/>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总造价</w:t>
            </w:r>
          </w:p>
        </w:tc>
        <w:tc>
          <w:tcPr>
            <w:tcW w:w="115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86"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bl>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tbl>
      <w:tblPr>
        <w:tblStyle w:val="25"/>
        <w:tblW w:w="9120" w:type="dxa"/>
        <w:tblInd w:w="93" w:type="dxa"/>
        <w:tblLayout w:type="autofit"/>
        <w:tblCellMar>
          <w:top w:w="0" w:type="dxa"/>
          <w:left w:w="108" w:type="dxa"/>
          <w:bottom w:w="0" w:type="dxa"/>
          <w:right w:w="108" w:type="dxa"/>
        </w:tblCellMar>
      </w:tblPr>
      <w:tblGrid>
        <w:gridCol w:w="1710"/>
        <w:gridCol w:w="1704"/>
        <w:gridCol w:w="2692"/>
        <w:gridCol w:w="1210"/>
        <w:gridCol w:w="963"/>
        <w:gridCol w:w="841"/>
      </w:tblGrid>
      <w:tr>
        <w:tblPrEx>
          <w:tblCellMar>
            <w:top w:w="0" w:type="dxa"/>
            <w:left w:w="108" w:type="dxa"/>
            <w:bottom w:w="0" w:type="dxa"/>
            <w:right w:w="108" w:type="dxa"/>
          </w:tblCellMar>
        </w:tblPrEx>
        <w:trPr>
          <w:trHeight w:val="415" w:hRule="atLeast"/>
        </w:trPr>
        <w:tc>
          <w:tcPr>
            <w:tcW w:w="912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高陵收费站膜结构雨棚工程</w:t>
            </w:r>
            <w:r>
              <w:rPr>
                <w:rFonts w:hint="eastAsia" w:ascii="仿宋" w:hAnsi="仿宋" w:eastAsia="仿宋" w:cs="仿宋"/>
                <w:b/>
                <w:bCs/>
                <w:color w:val="000000"/>
                <w:kern w:val="0"/>
                <w:sz w:val="32"/>
                <w:szCs w:val="32"/>
                <w:lang w:eastAsia="zh-CN"/>
              </w:rPr>
              <w:t>清</w:t>
            </w:r>
            <w:r>
              <w:rPr>
                <w:rFonts w:hint="eastAsia" w:ascii="仿宋" w:hAnsi="仿宋" w:eastAsia="仿宋" w:cs="仿宋"/>
                <w:b/>
                <w:bCs/>
                <w:color w:val="000000"/>
                <w:kern w:val="0"/>
                <w:sz w:val="32"/>
                <w:szCs w:val="32"/>
              </w:rPr>
              <w:t>单</w:t>
            </w:r>
          </w:p>
        </w:tc>
      </w:tr>
      <w:tr>
        <w:tblPrEx>
          <w:tblCellMar>
            <w:top w:w="0" w:type="dxa"/>
            <w:left w:w="108" w:type="dxa"/>
            <w:bottom w:w="0" w:type="dxa"/>
            <w:right w:w="108" w:type="dxa"/>
          </w:tblCellMar>
        </w:tblPrEx>
        <w:trPr>
          <w:trHeight w:val="415" w:hRule="atLeast"/>
        </w:trPr>
        <w:tc>
          <w:tcPr>
            <w:tcW w:w="912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32"/>
                <w:szCs w:val="32"/>
              </w:rPr>
            </w:pPr>
          </w:p>
        </w:tc>
      </w:tr>
      <w:tr>
        <w:tblPrEx>
          <w:tblCellMar>
            <w:top w:w="0" w:type="dxa"/>
            <w:left w:w="108" w:type="dxa"/>
            <w:bottom w:w="0" w:type="dxa"/>
            <w:right w:w="108" w:type="dxa"/>
          </w:tblCellMar>
        </w:tblPrEx>
        <w:trPr>
          <w:trHeight w:val="320" w:hRule="atLeast"/>
        </w:trPr>
        <w:tc>
          <w:tcPr>
            <w:tcW w:w="0" w:type="auto"/>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类别</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规格</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材质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数量</w:t>
            </w:r>
          </w:p>
        </w:tc>
      </w:tr>
      <w:tr>
        <w:tblPrEx>
          <w:tblCellMar>
            <w:top w:w="0" w:type="dxa"/>
            <w:left w:w="108" w:type="dxa"/>
            <w:bottom w:w="0" w:type="dxa"/>
            <w:right w:w="108" w:type="dxa"/>
          </w:tblCellMar>
        </w:tblPrEx>
        <w:trPr>
          <w:trHeight w:val="320" w:hRule="atLeast"/>
        </w:trPr>
        <w:tc>
          <w:tcPr>
            <w:tcW w:w="0" w:type="auto"/>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膜结构部分</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建筑膜材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583</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膜材料费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加工副材</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150</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膜片裁剪加工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583</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辅件费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压模板、节点板、螺丝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PE索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φ8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镀锌包塑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φ8</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PE索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0</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索头</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0</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膜体安装费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583</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机械设备费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583</w:t>
            </w:r>
          </w:p>
        </w:tc>
      </w:tr>
      <w:tr>
        <w:tblPrEx>
          <w:tblCellMar>
            <w:top w:w="0" w:type="dxa"/>
            <w:left w:w="108" w:type="dxa"/>
            <w:bottom w:w="0" w:type="dxa"/>
            <w:right w:w="108" w:type="dxa"/>
          </w:tblCellMar>
        </w:tblPrEx>
        <w:trPr>
          <w:trHeight w:val="320" w:hRule="atLeast"/>
        </w:trPr>
        <w:tc>
          <w:tcPr>
            <w:tcW w:w="0" w:type="auto"/>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膜结构部分直接费</w:t>
            </w:r>
          </w:p>
        </w:tc>
      </w:tr>
      <w:tr>
        <w:tblPrEx>
          <w:tblCellMar>
            <w:top w:w="0" w:type="dxa"/>
            <w:left w:w="108" w:type="dxa"/>
            <w:bottom w:w="0" w:type="dxa"/>
            <w:right w:w="108" w:type="dxa"/>
          </w:tblCellMar>
        </w:tblPrEx>
        <w:trPr>
          <w:trHeight w:val="320" w:hRule="atLeast"/>
        </w:trPr>
        <w:tc>
          <w:tcPr>
            <w:tcW w:w="0" w:type="auto"/>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钢结构部分</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主要材料</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钢管</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Q235</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10.00 </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弯管费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制作费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10.00 </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运输费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2.00 </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涂装费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10.00 </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10.00 </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措施费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钢结构部分直接费</w:t>
            </w:r>
          </w:p>
        </w:tc>
      </w:tr>
      <w:tr>
        <w:tblPrEx>
          <w:tblCellMar>
            <w:top w:w="0" w:type="dxa"/>
            <w:left w:w="108" w:type="dxa"/>
            <w:bottom w:w="0" w:type="dxa"/>
            <w:right w:w="108" w:type="dxa"/>
          </w:tblCellMar>
        </w:tblPrEx>
        <w:trPr>
          <w:trHeight w:val="320" w:hRule="atLeast"/>
        </w:trPr>
        <w:tc>
          <w:tcPr>
            <w:tcW w:w="0" w:type="auto"/>
            <w:vMerge w:val="restart"/>
            <w:tcBorders>
              <w:top w:val="single" w:color="000000" w:sz="8" w:space="0"/>
              <w:left w:val="single" w:color="000000" w:sz="8" w:space="0"/>
              <w:bottom w:val="nil"/>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基础部分</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预埋件</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0" w:type="auto"/>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20.00 </w:t>
            </w: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混凝土</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施工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土建部分直接费</w:t>
            </w:r>
          </w:p>
        </w:tc>
      </w:tr>
      <w:tr>
        <w:tblPrEx>
          <w:tblCellMar>
            <w:top w:w="0" w:type="dxa"/>
            <w:left w:w="108" w:type="dxa"/>
            <w:bottom w:w="0" w:type="dxa"/>
            <w:right w:w="108" w:type="dxa"/>
          </w:tblCellMar>
        </w:tblPrEx>
        <w:trPr>
          <w:trHeight w:val="320" w:hRule="atLeast"/>
        </w:trPr>
        <w:tc>
          <w:tcPr>
            <w:tcW w:w="0" w:type="auto"/>
            <w:vMerge w:val="restart"/>
            <w:tcBorders>
              <w:top w:val="nil"/>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间接费及税金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税金</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设计费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人员保险费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管理费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间接费小计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0" w:type="auto"/>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分项总价</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0" w:type="auto"/>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0" w:type="auto"/>
            <w:gridSpan w:val="4"/>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总造价</w:t>
            </w:r>
          </w:p>
        </w:tc>
        <w:tc>
          <w:tcPr>
            <w:tcW w:w="0" w:type="auto"/>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0" w:type="auto"/>
            <w:tcBorders>
              <w:top w:val="single" w:color="000000" w:sz="8"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bl>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tbl>
      <w:tblPr>
        <w:tblStyle w:val="25"/>
        <w:tblW w:w="9774" w:type="dxa"/>
        <w:tblInd w:w="93" w:type="dxa"/>
        <w:tblLayout w:type="fixed"/>
        <w:tblCellMar>
          <w:top w:w="0" w:type="dxa"/>
          <w:left w:w="108" w:type="dxa"/>
          <w:bottom w:w="0" w:type="dxa"/>
          <w:right w:w="108" w:type="dxa"/>
        </w:tblCellMar>
      </w:tblPr>
      <w:tblGrid>
        <w:gridCol w:w="1772"/>
        <w:gridCol w:w="1766"/>
        <w:gridCol w:w="2526"/>
        <w:gridCol w:w="1645"/>
        <w:gridCol w:w="1194"/>
        <w:gridCol w:w="871"/>
      </w:tblGrid>
      <w:tr>
        <w:tblPrEx>
          <w:tblCellMar>
            <w:top w:w="0" w:type="dxa"/>
            <w:left w:w="108" w:type="dxa"/>
            <w:bottom w:w="0" w:type="dxa"/>
            <w:right w:w="108" w:type="dxa"/>
          </w:tblCellMar>
        </w:tblPrEx>
        <w:trPr>
          <w:trHeight w:val="415" w:hRule="atLeast"/>
        </w:trPr>
        <w:tc>
          <w:tcPr>
            <w:tcW w:w="9774"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永乐东膜结构雨棚工程</w:t>
            </w:r>
            <w:r>
              <w:rPr>
                <w:rFonts w:hint="eastAsia" w:ascii="仿宋" w:hAnsi="仿宋" w:eastAsia="仿宋" w:cs="仿宋"/>
                <w:b/>
                <w:bCs/>
                <w:color w:val="000000"/>
                <w:kern w:val="0"/>
                <w:sz w:val="32"/>
                <w:szCs w:val="32"/>
                <w:lang w:eastAsia="zh-CN"/>
              </w:rPr>
              <w:t>清</w:t>
            </w:r>
            <w:r>
              <w:rPr>
                <w:rFonts w:hint="eastAsia" w:ascii="仿宋" w:hAnsi="仿宋" w:eastAsia="仿宋" w:cs="仿宋"/>
                <w:b/>
                <w:bCs/>
                <w:color w:val="000000"/>
                <w:kern w:val="0"/>
                <w:sz w:val="32"/>
                <w:szCs w:val="32"/>
              </w:rPr>
              <w:t>单</w:t>
            </w:r>
          </w:p>
        </w:tc>
      </w:tr>
      <w:tr>
        <w:tblPrEx>
          <w:tblCellMar>
            <w:top w:w="0" w:type="dxa"/>
            <w:left w:w="108" w:type="dxa"/>
            <w:bottom w:w="0" w:type="dxa"/>
            <w:right w:w="108" w:type="dxa"/>
          </w:tblCellMar>
        </w:tblPrEx>
        <w:trPr>
          <w:trHeight w:val="312" w:hRule="atLeast"/>
        </w:trPr>
        <w:tc>
          <w:tcPr>
            <w:tcW w:w="9774"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32"/>
                <w:szCs w:val="32"/>
              </w:rPr>
            </w:pPr>
          </w:p>
        </w:tc>
      </w:tr>
      <w:tr>
        <w:tblPrEx>
          <w:tblCellMar>
            <w:top w:w="0" w:type="dxa"/>
            <w:left w:w="108" w:type="dxa"/>
            <w:bottom w:w="0" w:type="dxa"/>
            <w:right w:w="108" w:type="dxa"/>
          </w:tblCellMar>
        </w:tblPrEx>
        <w:trPr>
          <w:trHeight w:val="320" w:hRule="atLeast"/>
        </w:trPr>
        <w:tc>
          <w:tcPr>
            <w:tcW w:w="9774" w:type="dxa"/>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类别</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项目名称</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规格</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材质</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单位</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数量</w:t>
            </w:r>
          </w:p>
        </w:tc>
      </w:tr>
      <w:tr>
        <w:tblPrEx>
          <w:tblCellMar>
            <w:top w:w="0" w:type="dxa"/>
            <w:left w:w="108" w:type="dxa"/>
            <w:bottom w:w="0" w:type="dxa"/>
            <w:right w:w="108" w:type="dxa"/>
          </w:tblCellMar>
        </w:tblPrEx>
        <w:trPr>
          <w:trHeight w:val="320" w:hRule="atLeast"/>
        </w:trPr>
        <w:tc>
          <w:tcPr>
            <w:tcW w:w="1772"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膜结构部分</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膜材料费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建筑膜材</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307</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膜材料费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加工副材</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65</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膜片裁剪加工</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307</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辅件费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压模板、节点板、螺丝</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PE索</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φ8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镀锌包塑</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米</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索头</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φ8</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PE索</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0.00 </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米</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0</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索头</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0.00 </w:t>
            </w: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0</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膜体安装费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307</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机械设备费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307</w:t>
            </w:r>
          </w:p>
        </w:tc>
      </w:tr>
      <w:tr>
        <w:tblPrEx>
          <w:tblCellMar>
            <w:top w:w="0" w:type="dxa"/>
            <w:left w:w="108" w:type="dxa"/>
            <w:bottom w:w="0" w:type="dxa"/>
            <w:right w:w="108" w:type="dxa"/>
          </w:tblCellMar>
        </w:tblPrEx>
        <w:trPr>
          <w:trHeight w:val="320" w:hRule="atLeast"/>
        </w:trPr>
        <w:tc>
          <w:tcPr>
            <w:tcW w:w="1772"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8002"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膜结构部分直接费</w:t>
            </w:r>
          </w:p>
        </w:tc>
      </w:tr>
      <w:tr>
        <w:tblPrEx>
          <w:tblCellMar>
            <w:top w:w="0" w:type="dxa"/>
            <w:left w:w="108" w:type="dxa"/>
            <w:bottom w:w="0" w:type="dxa"/>
            <w:right w:w="108" w:type="dxa"/>
          </w:tblCellMar>
        </w:tblPrEx>
        <w:trPr>
          <w:trHeight w:val="320" w:hRule="atLeast"/>
        </w:trPr>
        <w:tc>
          <w:tcPr>
            <w:tcW w:w="1772"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钢结构部分</w:t>
            </w:r>
          </w:p>
        </w:tc>
        <w:tc>
          <w:tcPr>
            <w:tcW w:w="17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主要材料</w:t>
            </w:r>
          </w:p>
        </w:tc>
        <w:tc>
          <w:tcPr>
            <w:tcW w:w="252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钢管</w:t>
            </w:r>
          </w:p>
        </w:tc>
        <w:tc>
          <w:tcPr>
            <w:tcW w:w="164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Q235</w:t>
            </w:r>
          </w:p>
        </w:tc>
        <w:tc>
          <w:tcPr>
            <w:tcW w:w="119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5.50 </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弯管费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2.00 </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制作费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5.50 </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运输费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2.00 </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涂装费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5.50 </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安装费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5.50 </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措施费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8002"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钢结构部分直接费</w:t>
            </w:r>
          </w:p>
        </w:tc>
      </w:tr>
      <w:tr>
        <w:tblPrEx>
          <w:tblCellMar>
            <w:top w:w="0" w:type="dxa"/>
            <w:left w:w="108" w:type="dxa"/>
            <w:bottom w:w="0" w:type="dxa"/>
            <w:right w:w="108" w:type="dxa"/>
          </w:tblCellMar>
        </w:tblPrEx>
        <w:trPr>
          <w:trHeight w:val="320" w:hRule="atLeast"/>
        </w:trPr>
        <w:tc>
          <w:tcPr>
            <w:tcW w:w="1772" w:type="dxa"/>
            <w:vMerge w:val="restart"/>
            <w:tcBorders>
              <w:top w:val="single" w:color="000000" w:sz="8" w:space="0"/>
              <w:left w:val="single" w:color="000000" w:sz="8" w:space="0"/>
              <w:bottom w:val="nil"/>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基础部分</w:t>
            </w:r>
          </w:p>
        </w:tc>
        <w:tc>
          <w:tcPr>
            <w:tcW w:w="176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预埋件</w:t>
            </w:r>
          </w:p>
        </w:tc>
        <w:tc>
          <w:tcPr>
            <w:tcW w:w="2526"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871"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6.00 </w:t>
            </w: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混凝土</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方</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施工</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8002"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土建部分直接费</w:t>
            </w:r>
          </w:p>
        </w:tc>
      </w:tr>
      <w:tr>
        <w:tblPrEx>
          <w:tblCellMar>
            <w:top w:w="0" w:type="dxa"/>
            <w:left w:w="108" w:type="dxa"/>
            <w:bottom w:w="0" w:type="dxa"/>
            <w:right w:w="108" w:type="dxa"/>
          </w:tblCellMar>
        </w:tblPrEx>
        <w:trPr>
          <w:trHeight w:val="320" w:hRule="atLeast"/>
        </w:trPr>
        <w:tc>
          <w:tcPr>
            <w:tcW w:w="1772" w:type="dxa"/>
            <w:vMerge w:val="restart"/>
            <w:tcBorders>
              <w:top w:val="nil"/>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间接费及税金</w:t>
            </w: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税金</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设计费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人员保险费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管理费</w:t>
            </w: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6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252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64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593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间接费小计</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7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1772"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5937" w:type="dxa"/>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分项总价</w:t>
            </w:r>
          </w:p>
        </w:tc>
        <w:tc>
          <w:tcPr>
            <w:tcW w:w="119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71"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20" w:hRule="atLeast"/>
        </w:trPr>
        <w:tc>
          <w:tcPr>
            <w:tcW w:w="7709" w:type="dxa"/>
            <w:gridSpan w:val="4"/>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总造价</w:t>
            </w:r>
          </w:p>
        </w:tc>
        <w:tc>
          <w:tcPr>
            <w:tcW w:w="119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871"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bl>
    <w:p>
      <w:pPr>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ascii="仿宋" w:hAnsi="仿宋" w:eastAsia="仿宋" w:cs="仿宋"/>
        </w:rPr>
      </w:pPr>
    </w:p>
    <w:p>
      <w:pPr>
        <w:pStyle w:val="2"/>
        <w:rPr>
          <w:rFonts w:hint="eastAsia" w:ascii="仿宋" w:hAnsi="仿宋" w:eastAsia="仿宋" w:cs="仿宋"/>
        </w:rPr>
      </w:pPr>
    </w:p>
    <w:p>
      <w:pPr>
        <w:rPr>
          <w:rFonts w:hint="eastAsia"/>
        </w:rPr>
      </w:pPr>
    </w:p>
    <w:tbl>
      <w:tblPr>
        <w:tblStyle w:val="25"/>
        <w:tblW w:w="9370" w:type="dxa"/>
        <w:tblInd w:w="93" w:type="dxa"/>
        <w:tblLayout w:type="fixed"/>
        <w:tblCellMar>
          <w:top w:w="0" w:type="dxa"/>
          <w:left w:w="108" w:type="dxa"/>
          <w:bottom w:w="0" w:type="dxa"/>
          <w:right w:w="108" w:type="dxa"/>
        </w:tblCellMar>
      </w:tblPr>
      <w:tblGrid>
        <w:gridCol w:w="1439"/>
        <w:gridCol w:w="1799"/>
        <w:gridCol w:w="2478"/>
        <w:gridCol w:w="1450"/>
        <w:gridCol w:w="1194"/>
        <w:gridCol w:w="1010"/>
      </w:tblGrid>
      <w:tr>
        <w:tblPrEx>
          <w:tblCellMar>
            <w:top w:w="0" w:type="dxa"/>
            <w:left w:w="108" w:type="dxa"/>
            <w:bottom w:w="0" w:type="dxa"/>
            <w:right w:w="108" w:type="dxa"/>
          </w:tblCellMar>
        </w:tblPrEx>
        <w:trPr>
          <w:trHeight w:val="415" w:hRule="atLeast"/>
        </w:trPr>
        <w:tc>
          <w:tcPr>
            <w:tcW w:w="9370" w:type="dxa"/>
            <w:gridSpan w:val="6"/>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32"/>
                <w:szCs w:val="32"/>
              </w:rPr>
            </w:pPr>
            <w:r>
              <w:rPr>
                <w:rFonts w:hint="eastAsia" w:ascii="仿宋" w:hAnsi="仿宋" w:eastAsia="仿宋" w:cs="仿宋"/>
                <w:b/>
                <w:bCs/>
                <w:color w:val="000000"/>
                <w:kern w:val="0"/>
                <w:sz w:val="32"/>
                <w:szCs w:val="32"/>
              </w:rPr>
              <w:t>高陵西膜结构雨棚工程</w:t>
            </w:r>
            <w:r>
              <w:rPr>
                <w:rFonts w:hint="eastAsia" w:ascii="仿宋" w:hAnsi="仿宋" w:eastAsia="仿宋" w:cs="仿宋"/>
                <w:b/>
                <w:bCs/>
                <w:color w:val="000000"/>
                <w:kern w:val="0"/>
                <w:sz w:val="32"/>
                <w:szCs w:val="32"/>
                <w:lang w:eastAsia="zh-CN"/>
              </w:rPr>
              <w:t>清</w:t>
            </w:r>
            <w:r>
              <w:rPr>
                <w:rFonts w:hint="eastAsia" w:ascii="仿宋" w:hAnsi="仿宋" w:eastAsia="仿宋" w:cs="仿宋"/>
                <w:b/>
                <w:bCs/>
                <w:color w:val="000000"/>
                <w:kern w:val="0"/>
                <w:sz w:val="32"/>
                <w:szCs w:val="32"/>
              </w:rPr>
              <w:t>单</w:t>
            </w:r>
          </w:p>
        </w:tc>
      </w:tr>
      <w:tr>
        <w:tblPrEx>
          <w:tblCellMar>
            <w:top w:w="0" w:type="dxa"/>
            <w:left w:w="108" w:type="dxa"/>
            <w:bottom w:w="0" w:type="dxa"/>
            <w:right w:w="108" w:type="dxa"/>
          </w:tblCellMar>
        </w:tblPrEx>
        <w:trPr>
          <w:trHeight w:val="312" w:hRule="atLeast"/>
        </w:trPr>
        <w:tc>
          <w:tcPr>
            <w:tcW w:w="9370" w:type="dxa"/>
            <w:gridSpan w:val="6"/>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32"/>
                <w:szCs w:val="32"/>
              </w:rPr>
            </w:pPr>
          </w:p>
        </w:tc>
      </w:tr>
      <w:tr>
        <w:tblPrEx>
          <w:tblCellMar>
            <w:top w:w="0" w:type="dxa"/>
            <w:left w:w="108" w:type="dxa"/>
            <w:bottom w:w="0" w:type="dxa"/>
            <w:right w:w="108" w:type="dxa"/>
          </w:tblCellMar>
        </w:tblPrEx>
        <w:trPr>
          <w:trHeight w:val="346" w:hRule="atLeast"/>
        </w:trPr>
        <w:tc>
          <w:tcPr>
            <w:tcW w:w="9370" w:type="dxa"/>
            <w:gridSpan w:val="6"/>
            <w:tcBorders>
              <w:top w:val="single" w:color="000000" w:sz="8"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35" w:hRule="atLeast"/>
        </w:trPr>
        <w:tc>
          <w:tcPr>
            <w:tcW w:w="1439" w:type="dxa"/>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类别</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项目名称</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规格</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材质</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单位</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数量</w:t>
            </w:r>
          </w:p>
        </w:tc>
      </w:tr>
      <w:tr>
        <w:tblPrEx>
          <w:tblCellMar>
            <w:top w:w="0" w:type="dxa"/>
            <w:left w:w="108" w:type="dxa"/>
            <w:bottom w:w="0" w:type="dxa"/>
            <w:right w:w="108" w:type="dxa"/>
          </w:tblCellMar>
        </w:tblPrEx>
        <w:trPr>
          <w:trHeight w:val="335" w:hRule="atLeast"/>
        </w:trPr>
        <w:tc>
          <w:tcPr>
            <w:tcW w:w="1439" w:type="dxa"/>
            <w:vMerge w:val="restart"/>
            <w:tcBorders>
              <w:top w:val="single" w:color="000000" w:sz="4" w:space="0"/>
              <w:left w:val="single" w:color="000000" w:sz="8"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膜结构部分</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膜材料费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建筑膜材</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307</w:t>
            </w:r>
          </w:p>
        </w:tc>
      </w:tr>
      <w:tr>
        <w:tblPrEx>
          <w:tblCellMar>
            <w:top w:w="0" w:type="dxa"/>
            <w:left w:w="108" w:type="dxa"/>
            <w:bottom w:w="0" w:type="dxa"/>
            <w:right w:w="108" w:type="dxa"/>
          </w:tblCellMar>
        </w:tblPrEx>
        <w:trPr>
          <w:trHeight w:val="335" w:hRule="atLeast"/>
        </w:trPr>
        <w:tc>
          <w:tcPr>
            <w:tcW w:w="1439"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膜材料费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加工副材</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65</w:t>
            </w:r>
          </w:p>
        </w:tc>
      </w:tr>
      <w:tr>
        <w:tblPrEx>
          <w:tblCellMar>
            <w:top w:w="0" w:type="dxa"/>
            <w:left w:w="108" w:type="dxa"/>
            <w:bottom w:w="0" w:type="dxa"/>
            <w:right w:w="108" w:type="dxa"/>
          </w:tblCellMar>
        </w:tblPrEx>
        <w:trPr>
          <w:trHeight w:val="335" w:hRule="atLeast"/>
        </w:trPr>
        <w:tc>
          <w:tcPr>
            <w:tcW w:w="1439"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膜片裁剪加工</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307</w:t>
            </w:r>
          </w:p>
        </w:tc>
      </w:tr>
      <w:tr>
        <w:tblPrEx>
          <w:tblCellMar>
            <w:top w:w="0" w:type="dxa"/>
            <w:left w:w="108" w:type="dxa"/>
            <w:bottom w:w="0" w:type="dxa"/>
            <w:right w:w="108" w:type="dxa"/>
          </w:tblCellMar>
        </w:tblPrEx>
        <w:trPr>
          <w:trHeight w:val="335" w:hRule="atLeast"/>
        </w:trPr>
        <w:tc>
          <w:tcPr>
            <w:tcW w:w="1439"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辅件费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压模板、节点板、螺丝</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1</w:t>
            </w:r>
          </w:p>
        </w:tc>
      </w:tr>
      <w:tr>
        <w:tblPrEx>
          <w:tblCellMar>
            <w:top w:w="0" w:type="dxa"/>
            <w:left w:w="108" w:type="dxa"/>
            <w:bottom w:w="0" w:type="dxa"/>
            <w:right w:w="108" w:type="dxa"/>
          </w:tblCellMar>
        </w:tblPrEx>
        <w:trPr>
          <w:trHeight w:val="335" w:hRule="atLeast"/>
        </w:trPr>
        <w:tc>
          <w:tcPr>
            <w:tcW w:w="1439"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PE索</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φ8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镀锌包塑</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米</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35" w:hRule="atLeast"/>
        </w:trPr>
        <w:tc>
          <w:tcPr>
            <w:tcW w:w="1439"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索头</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φ8</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35" w:hRule="atLeast"/>
        </w:trPr>
        <w:tc>
          <w:tcPr>
            <w:tcW w:w="1439"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PE索</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米</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0</w:t>
            </w:r>
          </w:p>
        </w:tc>
      </w:tr>
      <w:tr>
        <w:tblPrEx>
          <w:tblCellMar>
            <w:top w:w="0" w:type="dxa"/>
            <w:left w:w="108" w:type="dxa"/>
            <w:bottom w:w="0" w:type="dxa"/>
            <w:right w:w="108" w:type="dxa"/>
          </w:tblCellMar>
        </w:tblPrEx>
        <w:trPr>
          <w:trHeight w:val="335" w:hRule="atLeast"/>
        </w:trPr>
        <w:tc>
          <w:tcPr>
            <w:tcW w:w="1439"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索头</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0.00 </w:t>
            </w: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套</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0</w:t>
            </w:r>
          </w:p>
        </w:tc>
      </w:tr>
      <w:tr>
        <w:tblPrEx>
          <w:tblCellMar>
            <w:top w:w="0" w:type="dxa"/>
            <w:left w:w="108" w:type="dxa"/>
            <w:bottom w:w="0" w:type="dxa"/>
            <w:right w:w="108" w:type="dxa"/>
          </w:tblCellMar>
        </w:tblPrEx>
        <w:trPr>
          <w:trHeight w:val="335" w:hRule="atLeast"/>
        </w:trPr>
        <w:tc>
          <w:tcPr>
            <w:tcW w:w="1439"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膜体安装费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307</w:t>
            </w:r>
          </w:p>
        </w:tc>
      </w:tr>
      <w:tr>
        <w:tblPrEx>
          <w:tblCellMar>
            <w:top w:w="0" w:type="dxa"/>
            <w:left w:w="108" w:type="dxa"/>
            <w:bottom w:w="0" w:type="dxa"/>
            <w:right w:w="108" w:type="dxa"/>
          </w:tblCellMar>
        </w:tblPrEx>
        <w:trPr>
          <w:trHeight w:val="335" w:hRule="atLeast"/>
        </w:trPr>
        <w:tc>
          <w:tcPr>
            <w:tcW w:w="1439" w:type="dxa"/>
            <w:vMerge w:val="continue"/>
            <w:tcBorders>
              <w:top w:val="single" w:color="000000" w:sz="4" w:space="0"/>
              <w:left w:val="single" w:color="000000" w:sz="8"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机械设备费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平方米</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307</w:t>
            </w:r>
          </w:p>
        </w:tc>
      </w:tr>
      <w:tr>
        <w:tblPrEx>
          <w:tblCellMar>
            <w:top w:w="0" w:type="dxa"/>
            <w:left w:w="108" w:type="dxa"/>
            <w:bottom w:w="0" w:type="dxa"/>
            <w:right w:w="108" w:type="dxa"/>
          </w:tblCellMar>
        </w:tblPrEx>
        <w:trPr>
          <w:trHeight w:val="335" w:hRule="atLeast"/>
        </w:trPr>
        <w:tc>
          <w:tcPr>
            <w:tcW w:w="1439" w:type="dxa"/>
            <w:tcBorders>
              <w:top w:val="single" w:color="000000" w:sz="4"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7931"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膜结构部分直接费</w:t>
            </w:r>
          </w:p>
        </w:tc>
      </w:tr>
      <w:tr>
        <w:tblPrEx>
          <w:tblCellMar>
            <w:top w:w="0" w:type="dxa"/>
            <w:left w:w="108" w:type="dxa"/>
            <w:bottom w:w="0" w:type="dxa"/>
            <w:right w:w="108" w:type="dxa"/>
          </w:tblCellMar>
        </w:tblPrEx>
        <w:trPr>
          <w:trHeight w:val="346" w:hRule="atLeast"/>
        </w:trPr>
        <w:tc>
          <w:tcPr>
            <w:tcW w:w="1439" w:type="dxa"/>
            <w:vMerge w:val="restart"/>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钢结构部分</w:t>
            </w:r>
          </w:p>
        </w:tc>
        <w:tc>
          <w:tcPr>
            <w:tcW w:w="179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主要材料</w:t>
            </w:r>
          </w:p>
        </w:tc>
        <w:tc>
          <w:tcPr>
            <w:tcW w:w="247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钢管</w:t>
            </w:r>
          </w:p>
        </w:tc>
        <w:tc>
          <w:tcPr>
            <w:tcW w:w="145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Q235</w:t>
            </w:r>
          </w:p>
        </w:tc>
        <w:tc>
          <w:tcPr>
            <w:tcW w:w="119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101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5.50 </w:t>
            </w: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弯管费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2.00 </w:t>
            </w: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制作费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5.50 </w:t>
            </w: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运输费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2.00 </w:t>
            </w: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涂装费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5.50 </w:t>
            </w: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安装费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吨</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5.50 </w:t>
            </w: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措施费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7931" w:type="dxa"/>
            <w:gridSpan w:val="5"/>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钢结构部分直接费</w:t>
            </w:r>
          </w:p>
        </w:tc>
      </w:tr>
      <w:tr>
        <w:tblPrEx>
          <w:tblCellMar>
            <w:top w:w="0" w:type="dxa"/>
            <w:left w:w="108" w:type="dxa"/>
            <w:bottom w:w="0" w:type="dxa"/>
            <w:right w:w="108" w:type="dxa"/>
          </w:tblCellMar>
        </w:tblPrEx>
        <w:trPr>
          <w:trHeight w:val="346" w:hRule="atLeast"/>
        </w:trPr>
        <w:tc>
          <w:tcPr>
            <w:tcW w:w="1439" w:type="dxa"/>
            <w:vMerge w:val="restart"/>
            <w:tcBorders>
              <w:top w:val="single" w:color="000000" w:sz="8" w:space="0"/>
              <w:left w:val="single" w:color="000000" w:sz="8" w:space="0"/>
              <w:bottom w:val="nil"/>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基础部分</w:t>
            </w:r>
          </w:p>
        </w:tc>
        <w:tc>
          <w:tcPr>
            <w:tcW w:w="1799"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预埋件</w:t>
            </w:r>
          </w:p>
        </w:tc>
        <w:tc>
          <w:tcPr>
            <w:tcW w:w="2478"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个</w:t>
            </w:r>
          </w:p>
        </w:tc>
        <w:tc>
          <w:tcPr>
            <w:tcW w:w="1010" w:type="dxa"/>
            <w:tcBorders>
              <w:top w:val="single" w:color="000000" w:sz="8"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6.00 </w:t>
            </w: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混凝土</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施工</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项</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46" w:hRule="atLeast"/>
        </w:trPr>
        <w:tc>
          <w:tcPr>
            <w:tcW w:w="1439" w:type="dxa"/>
            <w:vMerge w:val="continue"/>
            <w:tcBorders>
              <w:top w:val="single" w:color="000000" w:sz="8" w:space="0"/>
              <w:left w:val="single" w:color="000000" w:sz="8" w:space="0"/>
              <w:bottom w:val="nil"/>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7931"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土建部分直接费</w:t>
            </w:r>
          </w:p>
        </w:tc>
      </w:tr>
      <w:tr>
        <w:tblPrEx>
          <w:tblCellMar>
            <w:top w:w="0" w:type="dxa"/>
            <w:left w:w="108" w:type="dxa"/>
            <w:bottom w:w="0" w:type="dxa"/>
            <w:right w:w="108" w:type="dxa"/>
          </w:tblCellMar>
        </w:tblPrEx>
        <w:trPr>
          <w:trHeight w:val="335" w:hRule="atLeast"/>
        </w:trPr>
        <w:tc>
          <w:tcPr>
            <w:tcW w:w="1439" w:type="dxa"/>
            <w:vMerge w:val="restart"/>
            <w:tcBorders>
              <w:top w:val="nil"/>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b/>
                <w:bCs/>
                <w:color w:val="000000"/>
                <w:sz w:val="24"/>
                <w:szCs w:val="24"/>
              </w:rPr>
            </w:pPr>
            <w:r>
              <w:rPr>
                <w:rFonts w:hint="eastAsia" w:ascii="仿宋" w:hAnsi="仿宋" w:eastAsia="仿宋" w:cs="仿宋"/>
                <w:b/>
                <w:bCs/>
                <w:color w:val="000000"/>
                <w:kern w:val="0"/>
                <w:sz w:val="24"/>
                <w:szCs w:val="24"/>
              </w:rPr>
              <w:t>间接费及税金</w:t>
            </w: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税金</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46" w:hRule="atLeast"/>
        </w:trPr>
        <w:tc>
          <w:tcPr>
            <w:tcW w:w="1439"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设计费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46" w:hRule="atLeast"/>
        </w:trPr>
        <w:tc>
          <w:tcPr>
            <w:tcW w:w="1439"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人员保险费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46" w:hRule="atLeast"/>
        </w:trPr>
        <w:tc>
          <w:tcPr>
            <w:tcW w:w="1439"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管理费</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46" w:hRule="atLeast"/>
        </w:trPr>
        <w:tc>
          <w:tcPr>
            <w:tcW w:w="1439"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1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4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46" w:hRule="atLeast"/>
        </w:trPr>
        <w:tc>
          <w:tcPr>
            <w:tcW w:w="1439"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572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间接费小计</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101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46" w:hRule="atLeast"/>
        </w:trPr>
        <w:tc>
          <w:tcPr>
            <w:tcW w:w="1439" w:type="dxa"/>
            <w:vMerge w:val="continue"/>
            <w:tcBorders>
              <w:top w:val="nil"/>
              <w:left w:val="single" w:color="000000" w:sz="8"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b/>
                <w:bCs/>
                <w:color w:val="000000"/>
                <w:sz w:val="24"/>
                <w:szCs w:val="24"/>
              </w:rPr>
            </w:pPr>
          </w:p>
        </w:tc>
        <w:tc>
          <w:tcPr>
            <w:tcW w:w="5727" w:type="dxa"/>
            <w:gridSpan w:val="3"/>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分项总价</w:t>
            </w:r>
          </w:p>
        </w:tc>
        <w:tc>
          <w:tcPr>
            <w:tcW w:w="1194"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1010" w:type="dxa"/>
            <w:tcBorders>
              <w:top w:val="single" w:color="000000" w:sz="4"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r>
        <w:tblPrEx>
          <w:tblCellMar>
            <w:top w:w="0" w:type="dxa"/>
            <w:left w:w="108" w:type="dxa"/>
            <w:bottom w:w="0" w:type="dxa"/>
            <w:right w:w="108" w:type="dxa"/>
          </w:tblCellMar>
        </w:tblPrEx>
        <w:trPr>
          <w:trHeight w:val="366" w:hRule="atLeast"/>
        </w:trPr>
        <w:tc>
          <w:tcPr>
            <w:tcW w:w="7166" w:type="dxa"/>
            <w:gridSpan w:val="4"/>
            <w:tcBorders>
              <w:top w:val="single" w:color="000000" w:sz="8" w:space="0"/>
              <w:left w:val="single" w:color="000000" w:sz="8"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 xml:space="preserve">        总造价</w:t>
            </w:r>
          </w:p>
        </w:tc>
        <w:tc>
          <w:tcPr>
            <w:tcW w:w="1194"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widowControl/>
              <w:jc w:val="center"/>
              <w:textAlignment w:val="center"/>
              <w:rPr>
                <w:rFonts w:hint="eastAsia" w:ascii="仿宋" w:hAnsi="仿宋" w:eastAsia="仿宋" w:cs="仿宋"/>
                <w:color w:val="000000"/>
                <w:sz w:val="24"/>
                <w:szCs w:val="24"/>
              </w:rPr>
            </w:pPr>
            <w:r>
              <w:rPr>
                <w:rFonts w:hint="eastAsia" w:ascii="仿宋" w:hAnsi="仿宋" w:eastAsia="仿宋" w:cs="仿宋"/>
                <w:color w:val="000000"/>
                <w:kern w:val="0"/>
                <w:sz w:val="24"/>
                <w:szCs w:val="24"/>
              </w:rPr>
              <w:t>元</w:t>
            </w:r>
          </w:p>
        </w:tc>
        <w:tc>
          <w:tcPr>
            <w:tcW w:w="1010" w:type="dxa"/>
            <w:tcBorders>
              <w:top w:val="single" w:color="000000" w:sz="8" w:space="0"/>
              <w:left w:val="single" w:color="000000" w:sz="4" w:space="0"/>
              <w:bottom w:val="single" w:color="000000" w:sz="8" w:space="0"/>
              <w:right w:val="single" w:color="000000" w:sz="4" w:space="0"/>
            </w:tcBorders>
            <w:shd w:val="clear" w:color="auto" w:fill="auto"/>
            <w:noWrap/>
            <w:vAlign w:val="center"/>
          </w:tcPr>
          <w:p>
            <w:pPr>
              <w:jc w:val="center"/>
              <w:rPr>
                <w:rFonts w:hint="eastAsia" w:ascii="仿宋" w:hAnsi="仿宋" w:eastAsia="仿宋" w:cs="仿宋"/>
                <w:color w:val="000000"/>
                <w:sz w:val="24"/>
                <w:szCs w:val="24"/>
              </w:rPr>
            </w:pPr>
          </w:p>
        </w:tc>
      </w:tr>
    </w:tbl>
    <w:p>
      <w:pPr>
        <w:pStyle w:val="2"/>
        <w:rPr>
          <w:rFonts w:hint="eastAsia" w:ascii="仿宋" w:hAnsi="仿宋" w:eastAsia="仿宋" w:cs="仿宋"/>
        </w:rPr>
      </w:pPr>
    </w:p>
    <w:p>
      <w:pPr>
        <w:pageBreakBefore/>
        <w:numPr>
          <w:ilvl w:val="0"/>
          <w:numId w:val="3"/>
        </w:numPr>
        <w:spacing w:line="360" w:lineRule="auto"/>
        <w:jc w:val="center"/>
        <w:outlineLvl w:val="0"/>
        <w:rPr>
          <w:rFonts w:hint="eastAsia" w:ascii="仿宋" w:hAnsi="仿宋" w:eastAsia="仿宋" w:cs="仿宋"/>
          <w:b/>
          <w:sz w:val="32"/>
          <w:szCs w:val="32"/>
          <w:lang w:val="zh-CN"/>
        </w:rPr>
      </w:pPr>
      <w:bookmarkStart w:id="399" w:name="_Toc22079"/>
      <w:bookmarkStart w:id="400" w:name="_Toc4229"/>
      <w:bookmarkStart w:id="401" w:name="_Toc3059"/>
      <w:bookmarkStart w:id="402" w:name="_Toc22699"/>
      <w:bookmarkStart w:id="403" w:name="_Toc31815"/>
      <w:bookmarkStart w:id="404" w:name="_Toc24222"/>
      <w:bookmarkStart w:id="405" w:name="_Toc29117"/>
      <w:bookmarkStart w:id="406" w:name="_Toc17761"/>
      <w:bookmarkStart w:id="407" w:name="_Toc19915"/>
      <w:bookmarkStart w:id="408" w:name="_Toc32539"/>
      <w:bookmarkStart w:id="409" w:name="_Toc2752"/>
      <w:bookmarkStart w:id="410" w:name="_Toc23469"/>
      <w:bookmarkStart w:id="411" w:name="_Toc28678"/>
      <w:r>
        <w:rPr>
          <w:rFonts w:hint="eastAsia" w:ascii="仿宋" w:hAnsi="仿宋" w:eastAsia="仿宋" w:cs="仿宋"/>
          <w:b/>
          <w:sz w:val="32"/>
          <w:szCs w:val="32"/>
          <w:lang w:val="zh-CN"/>
        </w:rPr>
        <w:t>商务主要条款及格式</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p>
    <w:p>
      <w:pPr>
        <w:autoSpaceDE w:val="0"/>
        <w:autoSpaceDN w:val="0"/>
        <w:adjustRightIn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 xml:space="preserve">甲方（采购人）： </w:t>
      </w:r>
    </w:p>
    <w:p>
      <w:pPr>
        <w:autoSpaceDE w:val="0"/>
        <w:autoSpaceDN w:val="0"/>
        <w:adjustRightIn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 xml:space="preserve">乙方（成交供应商）： </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sz w:val="24"/>
          <w:szCs w:val="24"/>
          <w:u w:val="single"/>
        </w:rPr>
        <w:t>高速出口疫情检查点遮阳设施工程</w:t>
      </w:r>
      <w:r>
        <w:rPr>
          <w:rStyle w:val="81"/>
          <w:rFonts w:hint="eastAsia" w:ascii="仿宋" w:hAnsi="仿宋" w:eastAsia="仿宋" w:cs="仿宋"/>
          <w:sz w:val="24"/>
          <w:szCs w:val="24"/>
        </w:rPr>
        <w:t>在</w:t>
      </w:r>
      <w:r>
        <w:rPr>
          <w:rStyle w:val="81"/>
          <w:rFonts w:hint="eastAsia" w:ascii="仿宋" w:hAnsi="仿宋" w:eastAsia="仿宋" w:cs="仿宋"/>
          <w:sz w:val="24"/>
          <w:szCs w:val="24"/>
          <w:u w:val="single"/>
          <w:lang w:val="en-US" w:eastAsia="zh-CN"/>
        </w:rPr>
        <w:t xml:space="preserve"> </w:t>
      </w:r>
      <w:r>
        <w:rPr>
          <w:rStyle w:val="81"/>
          <w:rFonts w:hint="eastAsia" w:ascii="仿宋" w:hAnsi="仿宋" w:eastAsia="仿宋" w:cs="仿宋"/>
          <w:color w:val="auto"/>
          <w:sz w:val="24"/>
          <w:szCs w:val="24"/>
          <w:u w:val="single"/>
        </w:rPr>
        <w:t>西安市高陵区财政局</w:t>
      </w:r>
      <w:r>
        <w:rPr>
          <w:rStyle w:val="81"/>
          <w:rFonts w:hint="eastAsia" w:ascii="仿宋" w:hAnsi="仿宋" w:eastAsia="仿宋" w:cs="仿宋"/>
          <w:color w:val="auto"/>
          <w:sz w:val="24"/>
          <w:szCs w:val="24"/>
          <w:u w:val="single"/>
          <w:lang w:val="en-US" w:eastAsia="zh-CN"/>
        </w:rPr>
        <w:t xml:space="preserve"> </w:t>
      </w:r>
      <w:r>
        <w:rPr>
          <w:rStyle w:val="81"/>
          <w:rFonts w:hint="eastAsia" w:ascii="仿宋" w:hAnsi="仿宋" w:eastAsia="仿宋" w:cs="仿宋"/>
          <w:sz w:val="24"/>
          <w:szCs w:val="24"/>
        </w:rPr>
        <w:t>的监督管理下，</w:t>
      </w:r>
      <w:r>
        <w:rPr>
          <w:rFonts w:hint="eastAsia" w:ascii="仿宋" w:hAnsi="仿宋" w:eastAsia="仿宋" w:cs="仿宋"/>
          <w:bCs/>
          <w:sz w:val="24"/>
          <w:szCs w:val="24"/>
        </w:rPr>
        <w:t>腾德工程咨询有限公司组织竞争性磋商，(以下简称“甲方”)确定（以下简称“乙方”）为</w:t>
      </w:r>
      <w:r>
        <w:rPr>
          <w:rFonts w:hint="eastAsia" w:ascii="仿宋" w:hAnsi="仿宋" w:eastAsia="仿宋" w:cs="仿宋"/>
          <w:sz w:val="24"/>
          <w:szCs w:val="24"/>
          <w:u w:val="single"/>
        </w:rPr>
        <w:t xml:space="preserve">（项目名称） </w:t>
      </w:r>
      <w:r>
        <w:rPr>
          <w:rFonts w:hint="eastAsia" w:ascii="仿宋" w:hAnsi="仿宋" w:eastAsia="仿宋" w:cs="仿宋"/>
          <w:bCs/>
          <w:sz w:val="24"/>
          <w:szCs w:val="24"/>
        </w:rPr>
        <w:t>项目的成交供应商。</w:t>
      </w:r>
    </w:p>
    <w:p>
      <w:pPr>
        <w:autoSpaceDE w:val="0"/>
        <w:autoSpaceDN w:val="0"/>
        <w:adjustRightInd w:val="0"/>
        <w:spacing w:line="360" w:lineRule="auto"/>
        <w:ind w:firstLine="480" w:firstLineChars="200"/>
        <w:rPr>
          <w:rStyle w:val="81"/>
          <w:rFonts w:hint="eastAsia" w:ascii="仿宋" w:hAnsi="仿宋" w:eastAsia="仿宋" w:cs="仿宋"/>
          <w:sz w:val="24"/>
          <w:szCs w:val="24"/>
        </w:rPr>
      </w:pPr>
      <w:r>
        <w:rPr>
          <w:rFonts w:hint="eastAsia" w:ascii="仿宋" w:hAnsi="仿宋" w:eastAsia="仿宋" w:cs="仿宋"/>
          <w:bCs/>
          <w:sz w:val="24"/>
          <w:szCs w:val="24"/>
        </w:rPr>
        <w:t>依据《中华人民共和国民法典》和《中华人民共和国政府采购法》，经双方协商按下述条款和条件签署本合同。</w:t>
      </w:r>
    </w:p>
    <w:p>
      <w:pPr>
        <w:autoSpaceDE w:val="0"/>
        <w:autoSpaceDN w:val="0"/>
        <w:adjustRightIn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一、合同价款</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（一）合同总价款为人民币（大写）（￥</w:t>
      </w:r>
      <w:r>
        <w:rPr>
          <w:rFonts w:hint="eastAsia" w:ascii="仿宋" w:hAnsi="仿宋" w:eastAsia="仿宋" w:cs="仿宋"/>
          <w:bCs/>
          <w:sz w:val="24"/>
          <w:szCs w:val="24"/>
          <w:u w:val="single"/>
        </w:rPr>
        <w:t xml:space="preserve">     元 </w:t>
      </w:r>
      <w:r>
        <w:rPr>
          <w:rFonts w:hint="eastAsia" w:ascii="仿宋" w:hAnsi="仿宋" w:eastAsia="仿宋" w:cs="仿宋"/>
          <w:bCs/>
          <w:sz w:val="24"/>
          <w:szCs w:val="24"/>
        </w:rPr>
        <w:t>）。</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（二）合同总价包括：材料费、人工费、措施费、耗费、税金及其他费用。</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（三）合同总价一次性包死，不受市场价格变化因素的影响。</w:t>
      </w:r>
    </w:p>
    <w:p>
      <w:pPr>
        <w:shd w:val="clear"/>
        <w:autoSpaceDE w:val="0"/>
        <w:autoSpaceDN w:val="0"/>
        <w:adjustRightInd w:val="0"/>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二、材料清单（附后）</w:t>
      </w:r>
    </w:p>
    <w:p>
      <w:pPr>
        <w:shd w:val="clear"/>
        <w:autoSpaceDE w:val="0"/>
        <w:autoSpaceDN w:val="0"/>
        <w:adjustRightInd w:val="0"/>
        <w:spacing w:line="360" w:lineRule="auto"/>
        <w:ind w:firstLine="482" w:firstLineChars="200"/>
        <w:rPr>
          <w:rFonts w:hint="eastAsia" w:ascii="仿宋" w:hAnsi="仿宋" w:eastAsia="仿宋" w:cs="仿宋"/>
          <w:b/>
          <w:sz w:val="24"/>
          <w:szCs w:val="24"/>
          <w:highlight w:val="none"/>
        </w:rPr>
      </w:pPr>
      <w:r>
        <w:rPr>
          <w:rFonts w:hint="eastAsia" w:ascii="仿宋" w:hAnsi="仿宋" w:eastAsia="仿宋" w:cs="仿宋"/>
          <w:b/>
          <w:sz w:val="24"/>
          <w:szCs w:val="24"/>
          <w:highlight w:val="none"/>
        </w:rPr>
        <w:t>三、款项结算</w:t>
      </w:r>
    </w:p>
    <w:p>
      <w:pPr>
        <w:shd w:val="clear" w:color="auto"/>
        <w:spacing w:line="360" w:lineRule="auto"/>
        <w:ind w:firstLine="480" w:firstLineChars="200"/>
        <w:rPr>
          <w:rFonts w:hint="eastAsia" w:ascii="仿宋" w:hAnsi="仿宋" w:eastAsia="仿宋" w:cs="仿宋"/>
          <w:color w:val="auto"/>
          <w:sz w:val="24"/>
          <w:szCs w:val="24"/>
          <w:highlight w:val="none"/>
          <w:shd w:val="clear" w:color="auto" w:fill="FFFFFF"/>
          <w:lang w:val="en-US" w:eastAsia="zh-CN"/>
        </w:rPr>
      </w:pPr>
      <w:r>
        <w:rPr>
          <w:rFonts w:hint="eastAsia" w:ascii="仿宋" w:hAnsi="仿宋" w:eastAsia="仿宋" w:cs="仿宋"/>
          <w:color w:val="auto"/>
          <w:sz w:val="24"/>
          <w:szCs w:val="24"/>
          <w:highlight w:val="none"/>
          <w:shd w:val="clear" w:color="auto" w:fill="FFFFFF"/>
          <w:lang w:val="en-US" w:eastAsia="zh-CN"/>
        </w:rPr>
        <w:t>（一）项目完工后支付合同总价款的70%，待工程竣工验收合格，办理完资料移交手续，付至结算价款的97%，预留3%的工程质量保修金，保修期满一年后付清。</w:t>
      </w:r>
    </w:p>
    <w:p>
      <w:pPr>
        <w:shd w:val="solid" w:color="FFFFFF"/>
        <w:tabs>
          <w:tab w:val="left" w:pos="480"/>
        </w:tabs>
        <w:autoSpaceDN w:val="0"/>
        <w:spacing w:line="360" w:lineRule="auto"/>
        <w:ind w:firstLine="480" w:firstLineChars="200"/>
        <w:rPr>
          <w:rFonts w:hint="eastAsia" w:ascii="仿宋" w:hAnsi="仿宋" w:eastAsia="仿宋" w:cs="仿宋"/>
          <w:sz w:val="24"/>
          <w:szCs w:val="24"/>
          <w:highlight w:val="none"/>
          <w:shd w:val="clear" w:color="auto" w:fill="FFFFFF"/>
        </w:rPr>
      </w:pPr>
      <w:r>
        <w:rPr>
          <w:rFonts w:hint="eastAsia" w:ascii="仿宋" w:hAnsi="仿宋" w:eastAsia="仿宋" w:cs="仿宋"/>
          <w:sz w:val="24"/>
          <w:szCs w:val="24"/>
          <w:highlight w:val="none"/>
          <w:shd w:val="clear" w:color="auto" w:fill="FFFFFF"/>
        </w:rPr>
        <w:t>（二）支付方式：银行转帐。</w:t>
      </w:r>
    </w:p>
    <w:p>
      <w:pPr>
        <w:shd w:val="solid" w:color="FFFFFF"/>
        <w:tabs>
          <w:tab w:val="left" w:pos="480"/>
        </w:tabs>
        <w:autoSpaceDN w:val="0"/>
        <w:spacing w:line="360" w:lineRule="auto"/>
        <w:ind w:firstLine="480" w:firstLineChars="200"/>
        <w:rPr>
          <w:rFonts w:hint="eastAsia" w:ascii="仿宋" w:hAnsi="仿宋" w:eastAsia="仿宋" w:cs="仿宋"/>
          <w:sz w:val="24"/>
          <w:szCs w:val="24"/>
          <w:shd w:val="clear" w:color="auto" w:fill="FFFFFF"/>
        </w:rPr>
      </w:pPr>
      <w:r>
        <w:rPr>
          <w:rFonts w:hint="eastAsia" w:ascii="仿宋" w:hAnsi="仿宋" w:eastAsia="仿宋" w:cs="仿宋"/>
          <w:sz w:val="24"/>
          <w:szCs w:val="24"/>
          <w:highlight w:val="none"/>
          <w:shd w:val="clear" w:color="auto" w:fill="FFFFFF"/>
        </w:rPr>
        <w:t>（三）结</w:t>
      </w:r>
      <w:r>
        <w:rPr>
          <w:rFonts w:hint="eastAsia" w:ascii="仿宋" w:hAnsi="仿宋" w:eastAsia="仿宋" w:cs="仿宋"/>
          <w:sz w:val="24"/>
          <w:szCs w:val="24"/>
          <w:shd w:val="clear" w:color="auto" w:fill="FFFFFF"/>
        </w:rPr>
        <w:t>算方式：由乙方与采购人结算，发票开采购单位，到采购单位办理付款手续。</w:t>
      </w:r>
    </w:p>
    <w:p>
      <w:pPr>
        <w:autoSpaceDE w:val="0"/>
        <w:autoSpaceDN w:val="0"/>
        <w:adjustRightIn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四、服务地点及工期</w:t>
      </w:r>
    </w:p>
    <w:p>
      <w:pPr>
        <w:spacing w:line="360" w:lineRule="auto"/>
        <w:ind w:firstLine="480" w:firstLineChars="200"/>
        <w:rPr>
          <w:rFonts w:hint="eastAsia" w:ascii="仿宋" w:hAnsi="仿宋" w:eastAsia="仿宋" w:cs="仿宋"/>
          <w:color w:val="000000" w:themeColor="text1"/>
          <w:sz w:val="24"/>
          <w:szCs w:val="24"/>
          <w:shd w:val="clear" w:color="auto" w:fill="FFFFFF"/>
        </w:rPr>
      </w:pPr>
      <w:r>
        <w:rPr>
          <w:rFonts w:hint="eastAsia" w:ascii="仿宋" w:hAnsi="仿宋" w:eastAsia="仿宋" w:cs="仿宋"/>
          <w:color w:val="000000" w:themeColor="text1"/>
          <w:sz w:val="24"/>
          <w:szCs w:val="24"/>
          <w:shd w:val="clear" w:color="auto" w:fill="FFFFFF"/>
        </w:rPr>
        <w:t>（一）服务地点：采购人指定地点。</w:t>
      </w:r>
    </w:p>
    <w:p>
      <w:pPr>
        <w:spacing w:line="360" w:lineRule="auto"/>
        <w:ind w:firstLine="480" w:firstLineChars="200"/>
        <w:rPr>
          <w:rFonts w:hint="default" w:ascii="仿宋" w:hAnsi="仿宋" w:eastAsia="仿宋" w:cs="仿宋"/>
          <w:color w:val="000000" w:themeColor="text1"/>
          <w:sz w:val="24"/>
          <w:szCs w:val="24"/>
          <w:u w:val="single"/>
          <w:shd w:val="clear" w:color="auto" w:fill="FFFFFF"/>
          <w:lang w:val="en-US" w:eastAsia="zh-CN"/>
        </w:rPr>
      </w:pPr>
      <w:r>
        <w:rPr>
          <w:rFonts w:hint="eastAsia" w:ascii="仿宋" w:hAnsi="仿宋" w:eastAsia="仿宋" w:cs="仿宋"/>
          <w:color w:val="000000" w:themeColor="text1"/>
          <w:sz w:val="24"/>
          <w:szCs w:val="24"/>
          <w:shd w:val="clear" w:color="auto" w:fill="FFFFFF"/>
        </w:rPr>
        <w:t>（二）工期：</w:t>
      </w:r>
      <w:r>
        <w:rPr>
          <w:rFonts w:hint="eastAsia" w:ascii="仿宋" w:hAnsi="仿宋" w:eastAsia="仿宋" w:cs="仿宋"/>
          <w:color w:val="000000" w:themeColor="text1"/>
          <w:sz w:val="24"/>
          <w:szCs w:val="24"/>
          <w:u w:val="single"/>
          <w:shd w:val="clear" w:color="auto" w:fill="FFFFFF"/>
          <w:lang w:val="en-US" w:eastAsia="zh-CN"/>
        </w:rPr>
        <w:t xml:space="preserve">           </w:t>
      </w:r>
      <w:r>
        <w:rPr>
          <w:rFonts w:hint="eastAsia" w:ascii="仿宋" w:hAnsi="仿宋" w:eastAsia="仿宋" w:cs="仿宋"/>
          <w:color w:val="000000" w:themeColor="text1"/>
          <w:sz w:val="24"/>
          <w:szCs w:val="24"/>
          <w:u w:val="none"/>
          <w:shd w:val="clear" w:color="auto" w:fill="FFFFFF"/>
          <w:lang w:val="en-US" w:eastAsia="zh-CN"/>
        </w:rPr>
        <w:t>。</w:t>
      </w:r>
    </w:p>
    <w:p>
      <w:pPr>
        <w:autoSpaceDE w:val="0"/>
        <w:autoSpaceDN w:val="0"/>
        <w:adjustRightInd w:val="0"/>
        <w:spacing w:line="360" w:lineRule="auto"/>
        <w:ind w:firstLine="482" w:firstLineChars="200"/>
        <w:rPr>
          <w:rFonts w:hint="eastAsia" w:ascii="仿宋" w:hAnsi="仿宋" w:eastAsia="仿宋" w:cs="仿宋"/>
          <w:b/>
          <w:sz w:val="24"/>
          <w:szCs w:val="24"/>
          <w:lang w:val="zh-CN"/>
        </w:rPr>
      </w:pPr>
      <w:r>
        <w:rPr>
          <w:rFonts w:hint="eastAsia" w:ascii="仿宋" w:hAnsi="仿宋" w:eastAsia="仿宋" w:cs="仿宋"/>
          <w:b/>
          <w:sz w:val="24"/>
          <w:szCs w:val="24"/>
          <w:lang w:val="zh-CN"/>
        </w:rPr>
        <w:t>五、质量保证</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rPr>
        <w:t>（一）</w:t>
      </w:r>
      <w:r>
        <w:rPr>
          <w:rFonts w:hint="eastAsia" w:ascii="仿宋" w:hAnsi="仿宋" w:eastAsia="仿宋" w:cs="仿宋"/>
          <w:bCs/>
          <w:sz w:val="24"/>
          <w:szCs w:val="24"/>
          <w:lang w:val="zh-CN"/>
        </w:rPr>
        <w:t>所选材料必须保证质量可靠、进货渠道正常，符合国家环保等相关标准，满足施工要求。</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rPr>
        <w:t>（二）</w:t>
      </w:r>
      <w:r>
        <w:rPr>
          <w:rFonts w:hint="eastAsia" w:ascii="仿宋" w:hAnsi="仿宋" w:eastAsia="仿宋" w:cs="仿宋"/>
          <w:bCs/>
          <w:sz w:val="24"/>
          <w:szCs w:val="24"/>
          <w:lang w:val="zh-CN"/>
        </w:rPr>
        <w:t>工程质量符合国家有关规范，确保达到合格。</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rPr>
        <w:t>（三）</w:t>
      </w:r>
      <w:r>
        <w:rPr>
          <w:rFonts w:hint="eastAsia" w:ascii="仿宋" w:hAnsi="仿宋" w:eastAsia="仿宋" w:cs="仿宋"/>
          <w:bCs/>
          <w:sz w:val="24"/>
          <w:szCs w:val="24"/>
          <w:lang w:val="zh-CN"/>
        </w:rPr>
        <w:t>该工程项目质量保修期按有关文件规定执行。</w:t>
      </w:r>
    </w:p>
    <w:p>
      <w:pPr>
        <w:autoSpaceDE w:val="0"/>
        <w:autoSpaceDN w:val="0"/>
        <w:adjustRightIn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六、双方责任</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（一）甲方责任：</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1、甲方负责施工场地的提供，排除施工障碍的协调。</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2、组织设计、施工单位进行图纸交底，负责设计图纸问题的处理，设计变更及现场签证，工程结算的审定等工作。</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3、对工程进度、质量进行监督检查。</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4、组织有关单位对工程进行竣工验收。</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5、按时支付工程款。</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（二）乙方责任：</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1、负责办理完成项目使用审批手续，负责工程安全文明施工、承担一切风险，满足甲方工程的需要。保证甲方正式投入使用，再无其他费用发生。</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2、乙方进入甲方要求场地施工，应服从当地对治安、卫生、环保、社会保险等工程建设的统一管理，并按有关规定交纳费用以及因违反相关规定而造成的罚款。乙方按照国家和当地政府有关规定应采取的任何必要安全防护措施已包含在乙方的合同价款当中，甲方不另行支付。竣工后交甲方竣工图二份及甲方委托乙方办理项目手续的相关资料等，以备留档。</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3、按照设计施工图纸与说明进行施工，确保工程按合同规定的时间如期完工和交付；并应接受甲方代表或委派人员的检查、检验，乙方应为甲方人员检查提供便利条件，对不合格的部分按甲方代表及委派人员的要求返工修改，承担由自身原因导致的返工修改费用，工期不予顺延。</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4、乙方提供的主要材料、设备必须有质量合格证等相关证件方可用于工程，对材料改变或代用必须经原设计单位同意，并发书面通知和甲方代表签证后，方可用于工程，任何一方认为对方提供的材料需要复检的，应允许复检。经复检符合质量要求的，方可用于工程，其复检费由要求一方承担，不符合质量要求的，应按有关规定处理，其复检费由提供材料、设备一方承担。</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5、隐蔽工程在覆盖前必须经甲方代表或现场监理代表验收签章后，方可进行下一道工序。</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6、遵守甲方施工场地的规章制度和管理，做到安全文明施工，做好成品保护，对甲方提出的问题应在 24 小时内予以解决或处理；遵守有关施工规范和安全操作规程，如发生安全事故，乙方应及时通知甲方，积极采取有效的补救措施，如因此造成甲方、乙方或第三方人身或财产损失，全部责任由乙方自行承担。</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7、采取有效的安全保障措施，确保施工安全，包括悬挂警示标牌、装设围栏、配备安全人员等，并承担事故的全部费用和责任。</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8、工程竣工后提供竣工验收技术资料及竣工图肆套，办理工程竣工结算手续，参加工程竣工验收。</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9、已完工的项目，在交工前乙方应负责保管，清理现场达到建筑物无污染，现场无建筑垃圾。</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10、本工程不得转包。</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11、乙方应在设备运行过程中，对安全隐患进行全面的不定期检查与维护，并对不按安全规程操作的施工单位及时制止，并报甲方进行处理。</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12、乙方不能按合同规定的工期竣工的，应向甲方支付违约金，每逾期一日，支付合同总价款万分之二的违约金，造成甲方损失的，还应赔偿甲方损失。</w:t>
      </w:r>
    </w:p>
    <w:p>
      <w:pPr>
        <w:autoSpaceDE w:val="0"/>
        <w:autoSpaceDN w:val="0"/>
        <w:adjustRightInd w:val="0"/>
        <w:spacing w:line="360" w:lineRule="auto"/>
        <w:ind w:firstLine="482" w:firstLineChars="200"/>
        <w:rPr>
          <w:rFonts w:hint="eastAsia" w:ascii="仿宋" w:hAnsi="仿宋" w:eastAsia="仿宋" w:cs="仿宋"/>
          <w:b/>
          <w:sz w:val="24"/>
          <w:szCs w:val="24"/>
          <w:lang w:val="zh-CN"/>
        </w:rPr>
      </w:pPr>
      <w:r>
        <w:rPr>
          <w:rFonts w:hint="eastAsia" w:ascii="仿宋" w:hAnsi="仿宋" w:eastAsia="仿宋" w:cs="仿宋"/>
          <w:b/>
          <w:sz w:val="24"/>
          <w:szCs w:val="24"/>
          <w:lang w:val="zh-CN"/>
        </w:rPr>
        <w:t>七、验收</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rPr>
        <w:t>（一）</w:t>
      </w:r>
      <w:r>
        <w:rPr>
          <w:rFonts w:hint="eastAsia" w:ascii="仿宋" w:hAnsi="仿宋" w:eastAsia="仿宋" w:cs="仿宋"/>
          <w:bCs/>
          <w:sz w:val="24"/>
          <w:szCs w:val="24"/>
          <w:lang w:val="zh-CN"/>
        </w:rPr>
        <w:t>主材到现场后，由甲方对其进行验收，确认材料的产地、规格、数量。</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rPr>
        <w:t>（二）</w:t>
      </w:r>
      <w:r>
        <w:rPr>
          <w:rFonts w:hint="eastAsia" w:ascii="仿宋" w:hAnsi="仿宋" w:eastAsia="仿宋" w:cs="仿宋"/>
          <w:bCs/>
          <w:sz w:val="24"/>
          <w:szCs w:val="24"/>
          <w:lang w:val="zh-CN"/>
        </w:rPr>
        <w:t>乙方工程完工后，进行自检，合格后准备验收文件，并书面通知甲方。</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rPr>
        <w:t>（三）</w:t>
      </w:r>
      <w:r>
        <w:rPr>
          <w:rFonts w:hint="eastAsia" w:ascii="仿宋" w:hAnsi="仿宋" w:eastAsia="仿宋" w:cs="仿宋"/>
          <w:bCs/>
          <w:sz w:val="24"/>
          <w:szCs w:val="24"/>
          <w:lang w:val="zh-CN"/>
        </w:rPr>
        <w:t>甲方确认乙方的自检内容，验收合格作为工程的最终认可。</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rPr>
        <w:t>（四）</w:t>
      </w:r>
      <w:r>
        <w:rPr>
          <w:rFonts w:hint="eastAsia" w:ascii="仿宋" w:hAnsi="仿宋" w:eastAsia="仿宋" w:cs="仿宋"/>
          <w:bCs/>
          <w:sz w:val="24"/>
          <w:szCs w:val="24"/>
          <w:lang w:val="zh-CN"/>
        </w:rPr>
        <w:t>验收依据：</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4-1、合同、</w:t>
      </w:r>
      <w:r>
        <w:rPr>
          <w:rFonts w:hint="eastAsia" w:ascii="仿宋" w:hAnsi="仿宋" w:eastAsia="仿宋" w:cs="仿宋"/>
          <w:bCs/>
          <w:sz w:val="24"/>
          <w:szCs w:val="24"/>
        </w:rPr>
        <w:t>磋商文件</w:t>
      </w:r>
      <w:r>
        <w:rPr>
          <w:rFonts w:hint="eastAsia" w:ascii="仿宋" w:hAnsi="仿宋" w:eastAsia="仿宋" w:cs="仿宋"/>
          <w:bCs/>
          <w:sz w:val="24"/>
          <w:szCs w:val="24"/>
          <w:lang w:val="zh-CN"/>
        </w:rPr>
        <w:t>、响应文件及承诺。</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4-2、国家相关</w:t>
      </w:r>
      <w:r>
        <w:rPr>
          <w:rFonts w:hint="eastAsia" w:ascii="仿宋" w:hAnsi="仿宋" w:eastAsia="仿宋" w:cs="仿宋"/>
          <w:bCs/>
          <w:sz w:val="24"/>
          <w:szCs w:val="24"/>
        </w:rPr>
        <w:t>标准、规范及有关技术文件</w:t>
      </w:r>
      <w:r>
        <w:rPr>
          <w:rFonts w:hint="eastAsia" w:ascii="仿宋" w:hAnsi="仿宋" w:eastAsia="仿宋" w:cs="仿宋"/>
          <w:bCs/>
          <w:sz w:val="24"/>
          <w:szCs w:val="24"/>
          <w:lang w:val="zh-CN"/>
        </w:rPr>
        <w:t>。</w:t>
      </w:r>
    </w:p>
    <w:p>
      <w:pPr>
        <w:autoSpaceDE w:val="0"/>
        <w:autoSpaceDN w:val="0"/>
        <w:adjustRightIn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八、工程保修：</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在保修期限内，对甲方提出的有关维修、维护要求，乙方应在24小时内予以解决。乙方未能按时予以维修、维护的，甲方可另行委托第三方进行，因此而产生的费用由乙方承担，甲方有权从质保金中直接扣除，不足部分由乙方支付，乙方不得提出任何异议，给甲方造成损失的，乙方须给予赔偿。</w:t>
      </w:r>
    </w:p>
    <w:p>
      <w:pPr>
        <w:autoSpaceDE w:val="0"/>
        <w:autoSpaceDN w:val="0"/>
        <w:adjustRightInd w:val="0"/>
        <w:spacing w:line="360" w:lineRule="auto"/>
        <w:ind w:firstLine="482" w:firstLineChars="200"/>
        <w:rPr>
          <w:rFonts w:hint="eastAsia" w:ascii="仿宋" w:hAnsi="仿宋" w:eastAsia="仿宋" w:cs="仿宋"/>
          <w:b/>
          <w:sz w:val="24"/>
          <w:szCs w:val="24"/>
        </w:rPr>
      </w:pPr>
      <w:bookmarkStart w:id="412" w:name="_Toc21804"/>
      <w:r>
        <w:rPr>
          <w:rFonts w:hint="eastAsia" w:ascii="仿宋" w:hAnsi="仿宋" w:eastAsia="仿宋" w:cs="仿宋"/>
          <w:b/>
          <w:sz w:val="24"/>
          <w:szCs w:val="24"/>
        </w:rPr>
        <w:t>九、违约责任</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 xml:space="preserve">依据《中华人民共和国民法典》、《中华人民共和国政府采购法》的相关条款规定和本合同约定，中标单位未全面履行合同义务或者发生违约，采购人会同采购代理机构有权终止合同，依法向成交单位进行经济索赔，并报请政府采购监管机关依法进行相应的行政处罚。采购人违约的，须赔偿中标单位的经济损失。 </w:t>
      </w:r>
    </w:p>
    <w:p>
      <w:pPr>
        <w:autoSpaceDE w:val="0"/>
        <w:autoSpaceDN w:val="0"/>
        <w:adjustRightInd w:val="0"/>
        <w:spacing w:line="360" w:lineRule="auto"/>
        <w:ind w:firstLine="482" w:firstLineChars="200"/>
        <w:rPr>
          <w:rFonts w:hint="eastAsia" w:ascii="仿宋" w:hAnsi="仿宋" w:eastAsia="仿宋" w:cs="仿宋"/>
          <w:b/>
          <w:sz w:val="24"/>
          <w:szCs w:val="24"/>
        </w:rPr>
      </w:pPr>
      <w:r>
        <w:rPr>
          <w:rFonts w:hint="eastAsia" w:ascii="仿宋" w:hAnsi="仿宋" w:eastAsia="仿宋" w:cs="仿宋"/>
          <w:b/>
          <w:sz w:val="24"/>
          <w:szCs w:val="24"/>
        </w:rPr>
        <w:t>十、合同争议的解决：</w:t>
      </w:r>
    </w:p>
    <w:p>
      <w:pPr>
        <w:autoSpaceDE w:val="0"/>
        <w:autoSpaceDN w:val="0"/>
        <w:adjustRightInd w:val="0"/>
        <w:spacing w:line="360" w:lineRule="auto"/>
        <w:ind w:firstLine="480" w:firstLineChars="200"/>
        <w:rPr>
          <w:rFonts w:hint="eastAsia" w:ascii="仿宋" w:hAnsi="仿宋" w:eastAsia="仿宋" w:cs="仿宋"/>
          <w:bCs/>
          <w:sz w:val="24"/>
          <w:szCs w:val="24"/>
        </w:rPr>
      </w:pPr>
      <w:r>
        <w:rPr>
          <w:rFonts w:hint="eastAsia" w:ascii="仿宋" w:hAnsi="仿宋" w:eastAsia="仿宋" w:cs="仿宋"/>
          <w:bCs/>
          <w:sz w:val="24"/>
          <w:szCs w:val="24"/>
        </w:rPr>
        <w:t>合同执行过程中如发生争议，双方应及时协商解决，协商不成，双方均可向项目所在地人民法院起诉。</w:t>
      </w:r>
    </w:p>
    <w:p>
      <w:pPr>
        <w:autoSpaceDE w:val="0"/>
        <w:autoSpaceDN w:val="0"/>
        <w:adjustRightInd w:val="0"/>
        <w:spacing w:line="360" w:lineRule="auto"/>
        <w:ind w:firstLine="482" w:firstLineChars="200"/>
        <w:rPr>
          <w:rFonts w:hint="eastAsia" w:ascii="仿宋" w:hAnsi="仿宋" w:eastAsia="仿宋" w:cs="仿宋"/>
          <w:b/>
          <w:sz w:val="24"/>
          <w:szCs w:val="24"/>
          <w:lang w:val="zh-CN"/>
        </w:rPr>
      </w:pPr>
      <w:r>
        <w:rPr>
          <w:rFonts w:hint="eastAsia" w:ascii="仿宋" w:hAnsi="仿宋" w:eastAsia="仿宋" w:cs="仿宋"/>
          <w:b/>
          <w:sz w:val="24"/>
          <w:szCs w:val="24"/>
        </w:rPr>
        <w:t>十一</w:t>
      </w:r>
      <w:r>
        <w:rPr>
          <w:rFonts w:hint="eastAsia" w:ascii="仿宋" w:hAnsi="仿宋" w:eastAsia="仿宋" w:cs="仿宋"/>
          <w:b/>
          <w:sz w:val="24"/>
          <w:szCs w:val="24"/>
          <w:lang w:val="zh-CN"/>
        </w:rPr>
        <w:t>、合同生效</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（一）本合同经双方签字盖章后生效。</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（二）本合同须经甲、乙双方的法定代表人（负责人）在合同书上签字并加盖本单位公章后正式生效。</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（三）合同生效后，甲、乙双方须严格执行本合同条款的规定，全面履行合同，违者按《中华人民共和国</w:t>
      </w:r>
      <w:r>
        <w:rPr>
          <w:rFonts w:hint="eastAsia" w:ascii="仿宋" w:hAnsi="仿宋" w:eastAsia="仿宋" w:cs="仿宋"/>
          <w:bCs/>
          <w:sz w:val="24"/>
          <w:szCs w:val="24"/>
        </w:rPr>
        <w:t>民法典</w:t>
      </w:r>
      <w:r>
        <w:rPr>
          <w:rFonts w:hint="eastAsia" w:ascii="仿宋" w:hAnsi="仿宋" w:eastAsia="仿宋" w:cs="仿宋"/>
          <w:bCs/>
          <w:sz w:val="24"/>
          <w:szCs w:val="24"/>
          <w:lang w:val="zh-CN"/>
        </w:rPr>
        <w:t>》的有关规定承担相应责任。</w:t>
      </w:r>
    </w:p>
    <w:p>
      <w:pPr>
        <w:autoSpaceDE w:val="0"/>
        <w:autoSpaceDN w:val="0"/>
        <w:adjustRightInd w:val="0"/>
        <w:spacing w:line="360" w:lineRule="auto"/>
        <w:ind w:firstLine="480" w:firstLineChars="200"/>
        <w:rPr>
          <w:rFonts w:hint="eastAsia" w:ascii="仿宋" w:hAnsi="仿宋" w:eastAsia="仿宋" w:cs="仿宋"/>
          <w:bCs/>
          <w:sz w:val="24"/>
          <w:szCs w:val="24"/>
          <w:lang w:val="zh-CN"/>
        </w:rPr>
      </w:pPr>
      <w:r>
        <w:rPr>
          <w:rFonts w:hint="eastAsia" w:ascii="仿宋" w:hAnsi="仿宋" w:eastAsia="仿宋" w:cs="仿宋"/>
          <w:bCs/>
          <w:sz w:val="24"/>
          <w:szCs w:val="24"/>
          <w:lang w:val="zh-CN"/>
        </w:rPr>
        <w:t>（四）本合同一式份，甲乙双方各执份。</w:t>
      </w:r>
    </w:p>
    <w:p>
      <w:pPr>
        <w:pStyle w:val="2"/>
        <w:rPr>
          <w:rFonts w:hint="eastAsia" w:ascii="仿宋" w:hAnsi="仿宋" w:eastAsia="仿宋" w:cs="仿宋"/>
        </w:rPr>
      </w:pP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33"/>
        <w:gridCol w:w="42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shd w:val="clear" w:color="auto" w:fill="D8D8D8"/>
            <w:noWrap/>
            <w:vAlign w:val="center"/>
          </w:tcPr>
          <w:p>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甲  方</w:t>
            </w:r>
          </w:p>
        </w:tc>
        <w:tc>
          <w:tcPr>
            <w:tcW w:w="4210" w:type="dxa"/>
            <w:shd w:val="clear" w:color="auto" w:fill="D8D8D8"/>
            <w:noWrap/>
            <w:vAlign w:val="center"/>
          </w:tcPr>
          <w:p>
            <w:pPr>
              <w:spacing w:line="360" w:lineRule="auto"/>
              <w:jc w:val="center"/>
              <w:rPr>
                <w:rFonts w:hint="eastAsia" w:ascii="仿宋" w:hAnsi="仿宋" w:eastAsia="仿宋" w:cs="仿宋"/>
                <w:b/>
                <w:color w:val="000000"/>
                <w:sz w:val="24"/>
                <w:szCs w:val="24"/>
              </w:rPr>
            </w:pPr>
            <w:r>
              <w:rPr>
                <w:rFonts w:hint="eastAsia" w:ascii="仿宋" w:hAnsi="仿宋" w:eastAsia="仿宋" w:cs="仿宋"/>
                <w:b/>
                <w:color w:val="000000"/>
                <w:sz w:val="24"/>
                <w:szCs w:val="24"/>
              </w:rPr>
              <w:t>乙  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4333"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采购人</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（公章）</w:t>
            </w: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中标供应商</w:t>
            </w:r>
          </w:p>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地址：</w:t>
            </w: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地址：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邮编：</w:t>
            </w: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邮编：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法定代表人：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负责人：（签字）</w:t>
            </w: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负责人：（签字）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传真：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noWrap/>
            <w:vAlign w:val="center"/>
          </w:tcPr>
          <w:p>
            <w:pPr>
              <w:spacing w:line="360" w:lineRule="auto"/>
              <w:rPr>
                <w:rFonts w:hint="eastAsia" w:ascii="仿宋" w:hAnsi="仿宋" w:eastAsia="仿宋" w:cs="仿宋"/>
                <w:color w:val="000000"/>
                <w:sz w:val="24"/>
                <w:szCs w:val="24"/>
              </w:rPr>
            </w:pP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noWrap/>
            <w:vAlign w:val="center"/>
          </w:tcPr>
          <w:p>
            <w:pPr>
              <w:spacing w:line="360" w:lineRule="auto"/>
              <w:rPr>
                <w:rFonts w:hint="eastAsia" w:ascii="仿宋" w:hAnsi="仿宋" w:eastAsia="仿宋" w:cs="仿宋"/>
                <w:color w:val="000000"/>
                <w:sz w:val="24"/>
                <w:szCs w:val="24"/>
              </w:rPr>
            </w:pP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账号：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333"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tc>
        <w:tc>
          <w:tcPr>
            <w:tcW w:w="4210" w:type="dxa"/>
            <w:noWrap/>
            <w:vAlign w:val="center"/>
          </w:tcPr>
          <w:p>
            <w:pPr>
              <w:spacing w:line="360" w:lineRule="auto"/>
              <w:rPr>
                <w:rFonts w:hint="eastAsia" w:ascii="仿宋" w:hAnsi="仿宋" w:eastAsia="仿宋" w:cs="仿宋"/>
                <w:color w:val="000000"/>
                <w:sz w:val="24"/>
                <w:szCs w:val="24"/>
              </w:rPr>
            </w:pPr>
            <w:r>
              <w:rPr>
                <w:rFonts w:hint="eastAsia" w:ascii="仿宋" w:hAnsi="仿宋" w:eastAsia="仿宋" w:cs="仿宋"/>
                <w:color w:val="000000"/>
                <w:sz w:val="24"/>
                <w:szCs w:val="24"/>
              </w:rPr>
              <w:t>日期：   年  月  日</w:t>
            </w:r>
          </w:p>
        </w:tc>
      </w:tr>
    </w:tbl>
    <w:p>
      <w:pPr>
        <w:pageBreakBefore/>
        <w:spacing w:line="360" w:lineRule="auto"/>
        <w:jc w:val="center"/>
        <w:outlineLvl w:val="0"/>
        <w:rPr>
          <w:rFonts w:hint="eastAsia" w:ascii="仿宋" w:hAnsi="仿宋" w:eastAsia="仿宋" w:cs="仿宋"/>
          <w:b/>
          <w:sz w:val="32"/>
          <w:szCs w:val="32"/>
        </w:rPr>
      </w:pPr>
      <w:r>
        <w:rPr>
          <w:rFonts w:hint="eastAsia" w:ascii="仿宋" w:hAnsi="仿宋" w:eastAsia="仿宋" w:cs="仿宋"/>
          <w:b/>
          <w:sz w:val="32"/>
          <w:szCs w:val="32"/>
          <w:lang w:val="zh-CN"/>
        </w:rPr>
        <w:t>第五部分</w:t>
      </w:r>
      <w:r>
        <w:rPr>
          <w:rFonts w:hint="eastAsia" w:ascii="仿宋" w:hAnsi="仿宋" w:eastAsia="仿宋" w:cs="仿宋"/>
          <w:b/>
          <w:sz w:val="32"/>
          <w:szCs w:val="32"/>
        </w:rPr>
        <w:t xml:space="preserve">  磋商响应文件格式</w:t>
      </w:r>
      <w:bookmarkEnd w:id="412"/>
    </w:p>
    <w:p>
      <w:pPr>
        <w:snapToGrid w:val="0"/>
        <w:spacing w:line="360" w:lineRule="auto"/>
        <w:jc w:val="right"/>
        <w:rPr>
          <w:rFonts w:hint="eastAsia" w:ascii="仿宋" w:hAnsi="仿宋" w:eastAsia="仿宋" w:cs="仿宋"/>
          <w:b/>
          <w:bCs/>
          <w:sz w:val="32"/>
          <w:szCs w:val="32"/>
          <w:lang w:val="zh-CN"/>
        </w:rPr>
      </w:pPr>
      <w:r>
        <w:rPr>
          <w:rFonts w:hint="eastAsia" w:ascii="仿宋" w:hAnsi="仿宋" w:eastAsia="仿宋" w:cs="仿宋"/>
          <w:b/>
          <w:bCs/>
          <w:sz w:val="32"/>
          <w:szCs w:val="32"/>
          <w:lang w:val="zh-CN"/>
        </w:rPr>
        <w:t>正本/副本</w:t>
      </w:r>
    </w:p>
    <w:p>
      <w:pPr>
        <w:autoSpaceDE w:val="0"/>
        <w:autoSpaceDN w:val="0"/>
        <w:adjustRightInd w:val="0"/>
        <w:snapToGrid w:val="0"/>
        <w:spacing w:line="360" w:lineRule="auto"/>
        <w:ind w:firstLine="321" w:firstLineChars="100"/>
        <w:jc w:val="left"/>
        <w:rPr>
          <w:rFonts w:hint="eastAsia" w:ascii="仿宋" w:hAnsi="仿宋" w:eastAsia="仿宋" w:cs="仿宋"/>
          <w:b/>
          <w:bCs/>
          <w:sz w:val="32"/>
          <w:szCs w:val="32"/>
        </w:rPr>
      </w:pPr>
      <w:bookmarkStart w:id="413" w:name="OLE_LINK2"/>
      <w:r>
        <w:rPr>
          <w:rFonts w:hint="eastAsia" w:ascii="仿宋" w:hAnsi="仿宋" w:eastAsia="仿宋" w:cs="仿宋"/>
          <w:b/>
          <w:bCs/>
          <w:sz w:val="32"/>
          <w:szCs w:val="32"/>
        </w:rPr>
        <w:t>政府采购项目</w:t>
      </w:r>
    </w:p>
    <w:p>
      <w:pPr>
        <w:tabs>
          <w:tab w:val="left" w:pos="5670"/>
        </w:tabs>
        <w:autoSpaceDE w:val="0"/>
        <w:autoSpaceDN w:val="0"/>
        <w:adjustRightInd w:val="0"/>
        <w:spacing w:line="360" w:lineRule="auto"/>
        <w:ind w:firstLine="300"/>
        <w:rPr>
          <w:rFonts w:hint="eastAsia" w:ascii="仿宋" w:hAnsi="仿宋" w:eastAsia="仿宋" w:cs="仿宋"/>
          <w:b/>
          <w:bCs/>
          <w:sz w:val="36"/>
          <w:szCs w:val="36"/>
        </w:rPr>
      </w:pPr>
      <w:r>
        <w:rPr>
          <w:rFonts w:hint="eastAsia" w:ascii="仿宋" w:hAnsi="仿宋" w:eastAsia="仿宋" w:cs="仿宋"/>
          <w:b/>
          <w:bCs/>
          <w:sz w:val="32"/>
          <w:szCs w:val="32"/>
          <w:lang w:val="zh-CN"/>
        </w:rPr>
        <w:t>项目编号：</w:t>
      </w:r>
    </w:p>
    <w:p>
      <w:pPr>
        <w:tabs>
          <w:tab w:val="left" w:pos="5670"/>
        </w:tabs>
        <w:autoSpaceDE w:val="0"/>
        <w:autoSpaceDN w:val="0"/>
        <w:adjustRightInd w:val="0"/>
        <w:spacing w:line="360" w:lineRule="auto"/>
        <w:ind w:firstLine="300"/>
        <w:rPr>
          <w:rFonts w:hint="eastAsia" w:ascii="仿宋" w:hAnsi="仿宋" w:eastAsia="仿宋" w:cs="仿宋"/>
          <w:b/>
          <w:bCs/>
          <w:sz w:val="32"/>
          <w:szCs w:val="32"/>
        </w:rPr>
      </w:pPr>
    </w:p>
    <w:p>
      <w:pPr>
        <w:pStyle w:val="18"/>
        <w:spacing w:line="360" w:lineRule="auto"/>
        <w:rPr>
          <w:rFonts w:hint="eastAsia" w:ascii="仿宋" w:hAnsi="仿宋" w:eastAsia="仿宋" w:cs="仿宋"/>
          <w:b/>
          <w:bCs/>
          <w:sz w:val="32"/>
          <w:szCs w:val="32"/>
        </w:rPr>
      </w:pPr>
    </w:p>
    <w:bookmarkEnd w:id="413"/>
    <w:p>
      <w:pPr>
        <w:spacing w:line="360" w:lineRule="auto"/>
        <w:jc w:val="center"/>
        <w:rPr>
          <w:rFonts w:hint="eastAsia" w:ascii="仿宋" w:hAnsi="仿宋" w:eastAsia="仿宋" w:cs="仿宋"/>
          <w:b/>
          <w:bCs/>
          <w:sz w:val="44"/>
          <w:szCs w:val="44"/>
        </w:rPr>
      </w:pPr>
      <w:r>
        <w:rPr>
          <w:rFonts w:hint="eastAsia" w:ascii="仿宋" w:hAnsi="仿宋" w:eastAsia="仿宋" w:cs="仿宋"/>
          <w:b/>
          <w:bCs/>
          <w:sz w:val="44"/>
          <w:szCs w:val="44"/>
        </w:rPr>
        <w:t>高速出口疫情检查点遮阳设施工程</w:t>
      </w:r>
    </w:p>
    <w:p>
      <w:pPr>
        <w:spacing w:line="360" w:lineRule="auto"/>
        <w:jc w:val="center"/>
        <w:rPr>
          <w:rFonts w:hint="eastAsia" w:ascii="仿宋" w:hAnsi="仿宋" w:eastAsia="仿宋" w:cs="仿宋"/>
          <w:b/>
          <w:bCs/>
          <w:sz w:val="44"/>
          <w:szCs w:val="44"/>
        </w:rPr>
      </w:pPr>
    </w:p>
    <w:p>
      <w:pPr>
        <w:pStyle w:val="11"/>
        <w:tabs>
          <w:tab w:val="left" w:pos="5670"/>
        </w:tabs>
        <w:adjustRightInd w:val="0"/>
        <w:snapToGrid w:val="0"/>
        <w:spacing w:line="360" w:lineRule="auto"/>
        <w:rPr>
          <w:rFonts w:hint="eastAsia" w:ascii="仿宋" w:hAnsi="仿宋" w:eastAsia="仿宋" w:cs="仿宋"/>
          <w:spacing w:val="0"/>
          <w:w w:val="100"/>
          <w:sz w:val="44"/>
          <w:szCs w:val="44"/>
        </w:rPr>
      </w:pPr>
    </w:p>
    <w:p>
      <w:pPr>
        <w:pStyle w:val="11"/>
        <w:tabs>
          <w:tab w:val="left" w:pos="5670"/>
        </w:tabs>
        <w:adjustRightInd w:val="0"/>
        <w:snapToGrid w:val="0"/>
        <w:spacing w:line="360" w:lineRule="auto"/>
        <w:rPr>
          <w:rFonts w:hint="eastAsia" w:ascii="仿宋" w:hAnsi="仿宋" w:eastAsia="仿宋" w:cs="仿宋"/>
          <w:spacing w:val="0"/>
          <w:w w:val="100"/>
          <w:sz w:val="44"/>
          <w:szCs w:val="44"/>
        </w:rPr>
      </w:pPr>
    </w:p>
    <w:p>
      <w:pPr>
        <w:pStyle w:val="11"/>
        <w:tabs>
          <w:tab w:val="left" w:pos="5670"/>
        </w:tabs>
        <w:adjustRightInd w:val="0"/>
        <w:snapToGrid w:val="0"/>
        <w:spacing w:line="360" w:lineRule="auto"/>
        <w:rPr>
          <w:rFonts w:hint="eastAsia" w:ascii="仿宋" w:hAnsi="仿宋" w:eastAsia="仿宋" w:cs="仿宋"/>
          <w:spacing w:val="0"/>
          <w:w w:val="100"/>
          <w:sz w:val="44"/>
          <w:szCs w:val="44"/>
        </w:rPr>
      </w:pPr>
      <w:r>
        <w:rPr>
          <w:rFonts w:hint="eastAsia" w:ascii="仿宋" w:hAnsi="仿宋" w:eastAsia="仿宋" w:cs="仿宋"/>
          <w:spacing w:val="0"/>
          <w:w w:val="100"/>
          <w:sz w:val="44"/>
          <w:szCs w:val="44"/>
        </w:rPr>
        <w:t>竞争性磋商响应文件</w:t>
      </w:r>
    </w:p>
    <w:p>
      <w:pPr>
        <w:pStyle w:val="18"/>
        <w:spacing w:line="360" w:lineRule="auto"/>
        <w:rPr>
          <w:rFonts w:hint="eastAsia" w:ascii="仿宋" w:hAnsi="仿宋" w:eastAsia="仿宋" w:cs="仿宋"/>
          <w:sz w:val="32"/>
          <w:szCs w:val="32"/>
        </w:rPr>
      </w:pPr>
    </w:p>
    <w:p>
      <w:pPr>
        <w:rPr>
          <w:rFonts w:hint="eastAsia" w:ascii="仿宋" w:hAnsi="仿宋" w:eastAsia="仿宋" w:cs="仿宋"/>
          <w:sz w:val="32"/>
          <w:szCs w:val="32"/>
        </w:rPr>
      </w:pPr>
    </w:p>
    <w:p>
      <w:pPr>
        <w:pStyle w:val="38"/>
        <w:numPr>
          <w:ilvl w:val="0"/>
          <w:numId w:val="0"/>
        </w:numPr>
        <w:ind w:left="7980"/>
        <w:rPr>
          <w:rFonts w:hint="eastAsia" w:ascii="仿宋" w:hAnsi="仿宋" w:eastAsia="仿宋" w:cs="仿宋"/>
          <w:sz w:val="32"/>
          <w:szCs w:val="32"/>
        </w:rPr>
      </w:pPr>
    </w:p>
    <w:p>
      <w:pPr>
        <w:pStyle w:val="40"/>
        <w:ind w:firstLine="420"/>
        <w:rPr>
          <w:rFonts w:hint="eastAsia" w:ascii="仿宋" w:hAnsi="仿宋" w:eastAsia="仿宋" w:cs="仿宋"/>
        </w:rPr>
      </w:pPr>
    </w:p>
    <w:p>
      <w:pPr>
        <w:spacing w:line="360" w:lineRule="auto"/>
        <w:ind w:left="420" w:leftChars="200" w:firstLine="851" w:firstLineChars="265"/>
        <w:rPr>
          <w:rFonts w:hint="eastAsia" w:ascii="仿宋" w:hAnsi="仿宋" w:eastAsia="仿宋" w:cs="仿宋"/>
          <w:b/>
          <w:bCs/>
          <w:sz w:val="32"/>
          <w:szCs w:val="32"/>
        </w:rPr>
      </w:pPr>
    </w:p>
    <w:p>
      <w:pPr>
        <w:spacing w:line="360" w:lineRule="auto"/>
        <w:ind w:left="420" w:leftChars="200" w:firstLine="851" w:firstLineChars="265"/>
        <w:rPr>
          <w:rFonts w:hint="eastAsia" w:ascii="仿宋" w:hAnsi="仿宋" w:eastAsia="仿宋" w:cs="仿宋"/>
          <w:b/>
          <w:bCs/>
          <w:sz w:val="32"/>
          <w:szCs w:val="32"/>
        </w:rPr>
      </w:pPr>
      <w:r>
        <w:rPr>
          <w:rFonts w:hint="eastAsia" w:ascii="仿宋" w:hAnsi="仿宋" w:eastAsia="仿宋" w:cs="仿宋"/>
          <w:b/>
          <w:bCs/>
          <w:sz w:val="32"/>
          <w:szCs w:val="32"/>
        </w:rPr>
        <w:t>供  应  商：（盖章）</w:t>
      </w:r>
    </w:p>
    <w:p>
      <w:pPr>
        <w:spacing w:line="360" w:lineRule="auto"/>
        <w:ind w:firstLine="1285" w:firstLineChars="400"/>
        <w:rPr>
          <w:rFonts w:hint="eastAsia" w:ascii="仿宋" w:hAnsi="仿宋" w:eastAsia="仿宋" w:cs="仿宋"/>
          <w:b/>
          <w:bCs/>
          <w:sz w:val="32"/>
          <w:szCs w:val="32"/>
        </w:rPr>
      </w:pPr>
      <w:r>
        <w:rPr>
          <w:rFonts w:hint="eastAsia" w:ascii="仿宋" w:hAnsi="仿宋" w:eastAsia="仿宋" w:cs="仿宋"/>
          <w:b/>
          <w:sz w:val="32"/>
          <w:szCs w:val="32"/>
        </w:rPr>
        <w:t>法定代表人或授权代表：</w:t>
      </w:r>
      <w:r>
        <w:rPr>
          <w:rFonts w:hint="eastAsia" w:ascii="仿宋" w:hAnsi="仿宋" w:eastAsia="仿宋" w:cs="仿宋"/>
          <w:b/>
          <w:bCs/>
          <w:sz w:val="32"/>
          <w:szCs w:val="32"/>
        </w:rPr>
        <w:t>（签字或盖章）</w:t>
      </w:r>
    </w:p>
    <w:p>
      <w:pPr>
        <w:autoSpaceDE w:val="0"/>
        <w:autoSpaceDN w:val="0"/>
        <w:adjustRightInd w:val="0"/>
        <w:snapToGrid w:val="0"/>
        <w:spacing w:line="360" w:lineRule="auto"/>
        <w:ind w:firstLine="1263" w:firstLineChars="393"/>
        <w:rPr>
          <w:rFonts w:hint="eastAsia" w:ascii="仿宋" w:hAnsi="仿宋" w:eastAsia="仿宋" w:cs="仿宋"/>
          <w:b/>
          <w:bCs/>
          <w:sz w:val="32"/>
          <w:szCs w:val="32"/>
        </w:rPr>
      </w:pPr>
      <w:r>
        <w:rPr>
          <w:rFonts w:hint="eastAsia" w:ascii="仿宋" w:hAnsi="仿宋" w:eastAsia="仿宋" w:cs="仿宋"/>
          <w:b/>
          <w:bCs/>
          <w:sz w:val="32"/>
          <w:szCs w:val="32"/>
        </w:rPr>
        <w:t>日    期：</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月</w:t>
      </w:r>
      <w:r>
        <w:rPr>
          <w:rFonts w:hint="eastAsia" w:ascii="仿宋" w:hAnsi="仿宋" w:eastAsia="仿宋" w:cs="仿宋"/>
          <w:b/>
          <w:bCs/>
          <w:sz w:val="32"/>
          <w:szCs w:val="32"/>
          <w:lang w:val="en-US" w:eastAsia="zh-CN"/>
        </w:rPr>
        <w:t xml:space="preserve">   </w:t>
      </w:r>
      <w:r>
        <w:rPr>
          <w:rFonts w:hint="eastAsia" w:ascii="仿宋" w:hAnsi="仿宋" w:eastAsia="仿宋" w:cs="仿宋"/>
          <w:b/>
          <w:bCs/>
          <w:sz w:val="32"/>
          <w:szCs w:val="32"/>
        </w:rPr>
        <w:t>日</w:t>
      </w:r>
    </w:p>
    <w:p>
      <w:pPr>
        <w:spacing w:line="360" w:lineRule="auto"/>
        <w:rPr>
          <w:rFonts w:hint="eastAsia" w:ascii="仿宋" w:hAnsi="仿宋" w:eastAsia="仿宋" w:cs="仿宋"/>
          <w:b/>
          <w:bCs/>
          <w:sz w:val="32"/>
          <w:szCs w:val="32"/>
        </w:rPr>
      </w:pPr>
      <w:r>
        <w:rPr>
          <w:rFonts w:hint="eastAsia" w:ascii="仿宋" w:hAnsi="仿宋" w:eastAsia="仿宋" w:cs="仿宋"/>
          <w:b/>
          <w:bCs/>
          <w:sz w:val="32"/>
          <w:szCs w:val="32"/>
        </w:rPr>
        <w:br w:type="page"/>
      </w:r>
    </w:p>
    <w:p>
      <w:pPr>
        <w:adjustRightInd w:val="0"/>
        <w:snapToGrid w:val="0"/>
        <w:spacing w:line="360" w:lineRule="auto"/>
        <w:jc w:val="center"/>
        <w:rPr>
          <w:rFonts w:hint="eastAsia" w:ascii="仿宋" w:hAnsi="仿宋" w:eastAsia="仿宋" w:cs="仿宋"/>
          <w:b/>
          <w:bCs/>
          <w:sz w:val="32"/>
          <w:szCs w:val="15"/>
          <w:lang w:val="zh-CN"/>
        </w:rPr>
      </w:pPr>
      <w:bookmarkStart w:id="414" w:name="_Toc495681395"/>
      <w:bookmarkStart w:id="415" w:name="_Toc495681522"/>
      <w:bookmarkStart w:id="416" w:name="_Toc16388"/>
      <w:bookmarkStart w:id="417" w:name="_Toc56"/>
      <w:bookmarkStart w:id="418" w:name="_Toc25409"/>
      <w:bookmarkStart w:id="419" w:name="_Toc23370"/>
      <w:bookmarkStart w:id="420" w:name="_Toc30727"/>
      <w:bookmarkStart w:id="421" w:name="_Toc27610"/>
      <w:bookmarkStart w:id="422" w:name="_Toc25880"/>
      <w:bookmarkStart w:id="423" w:name="_Toc14433"/>
      <w:bookmarkStart w:id="424" w:name="_Toc495908037"/>
      <w:bookmarkStart w:id="425" w:name="_Toc3446"/>
      <w:bookmarkStart w:id="426" w:name="_Toc495681241"/>
      <w:r>
        <w:rPr>
          <w:rFonts w:hint="eastAsia" w:ascii="仿宋" w:hAnsi="仿宋" w:eastAsia="仿宋" w:cs="仿宋"/>
          <w:b/>
          <w:bCs/>
          <w:sz w:val="32"/>
          <w:szCs w:val="15"/>
          <w:lang w:val="zh-CN"/>
        </w:rPr>
        <w:t>目录</w:t>
      </w:r>
    </w:p>
    <w:p>
      <w:pPr>
        <w:spacing w:line="360" w:lineRule="auto"/>
        <w:jc w:val="center"/>
        <w:rPr>
          <w:rFonts w:hint="eastAsia" w:ascii="仿宋" w:hAnsi="仿宋" w:eastAsia="仿宋" w:cs="仿宋"/>
          <w:lang w:val="zh-CN"/>
        </w:rPr>
      </w:pPr>
      <w:r>
        <w:rPr>
          <w:rFonts w:hint="eastAsia" w:ascii="仿宋" w:hAnsi="仿宋" w:eastAsia="仿宋" w:cs="仿宋"/>
          <w:sz w:val="24"/>
          <w:szCs w:val="16"/>
          <w:lang w:val="zh-CN"/>
        </w:rPr>
        <w:t>请根据磋商响应文件内容自动生成目录</w:t>
      </w:r>
    </w:p>
    <w:p>
      <w:pPr>
        <w:spacing w:line="360" w:lineRule="auto"/>
        <w:rPr>
          <w:rFonts w:hint="eastAsia" w:ascii="仿宋" w:hAnsi="仿宋" w:eastAsia="仿宋" w:cs="仿宋"/>
          <w:sz w:val="32"/>
          <w:szCs w:val="32"/>
        </w:rPr>
      </w:pPr>
      <w:r>
        <w:rPr>
          <w:rFonts w:hint="eastAsia" w:ascii="仿宋" w:hAnsi="仿宋" w:eastAsia="仿宋" w:cs="仿宋"/>
          <w:sz w:val="32"/>
          <w:szCs w:val="32"/>
        </w:rPr>
        <w:br w:type="page"/>
      </w:r>
    </w:p>
    <w:p>
      <w:pPr>
        <w:pStyle w:val="4"/>
        <w:spacing w:line="360" w:lineRule="auto"/>
        <w:rPr>
          <w:rFonts w:hint="eastAsia" w:ascii="仿宋" w:hAnsi="仿宋" w:eastAsia="仿宋" w:cs="仿宋"/>
          <w:sz w:val="32"/>
          <w:szCs w:val="32"/>
        </w:rPr>
      </w:pPr>
      <w:bookmarkStart w:id="427" w:name="_Toc10290"/>
      <w:bookmarkStart w:id="428" w:name="_Toc19928"/>
      <w:bookmarkStart w:id="429" w:name="_Toc15422"/>
      <w:bookmarkStart w:id="430" w:name="_Toc10159"/>
      <w:r>
        <w:rPr>
          <w:rFonts w:hint="eastAsia" w:ascii="仿宋" w:hAnsi="仿宋" w:eastAsia="仿宋" w:cs="仿宋"/>
          <w:sz w:val="32"/>
          <w:szCs w:val="32"/>
        </w:rPr>
        <w:t>一、磋商响应函</w:t>
      </w:r>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p>
    <w:p>
      <w:pPr>
        <w:spacing w:line="360" w:lineRule="auto"/>
        <w:rPr>
          <w:rFonts w:hint="eastAsia" w:ascii="仿宋" w:hAnsi="仿宋" w:eastAsia="仿宋" w:cs="仿宋"/>
          <w:b/>
          <w:bCs/>
          <w:sz w:val="24"/>
          <w:szCs w:val="24"/>
          <w:u w:val="single"/>
        </w:rPr>
      </w:pPr>
      <w:r>
        <w:rPr>
          <w:rFonts w:hint="eastAsia" w:ascii="仿宋" w:hAnsi="仿宋" w:eastAsia="仿宋" w:cs="仿宋"/>
          <w:b/>
          <w:bCs/>
          <w:sz w:val="24"/>
          <w:szCs w:val="24"/>
          <w:u w:val="single"/>
        </w:rPr>
        <w:t>腾德工程咨询有限公司：</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我单位收到贵公司</w:t>
      </w:r>
      <w:r>
        <w:rPr>
          <w:rFonts w:hint="eastAsia" w:ascii="仿宋" w:hAnsi="仿宋" w:eastAsia="仿宋" w:cs="仿宋"/>
          <w:sz w:val="24"/>
          <w:szCs w:val="24"/>
          <w:u w:val="single"/>
        </w:rPr>
        <w:t>高速出口疫情检查点遮阳设施工程</w:t>
      </w:r>
      <w:r>
        <w:rPr>
          <w:rFonts w:hint="eastAsia" w:ascii="仿宋" w:hAnsi="仿宋" w:eastAsia="仿宋" w:cs="仿宋"/>
          <w:sz w:val="24"/>
          <w:szCs w:val="24"/>
        </w:rPr>
        <w:t>（项目编号：</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）磋商文件，经详细研究，我们决定参加本次项目磋商活动，为此，我方郑重声明以下诸点，并负法律责任。</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一、愿意按照磋商文件中的要求，提供磋商技术及服务，完成合同的责任和义务。</w:t>
      </w:r>
    </w:p>
    <w:p>
      <w:pPr>
        <w:snapToGrid w:val="0"/>
        <w:spacing w:line="360" w:lineRule="auto"/>
        <w:ind w:firstLine="480" w:firstLineChars="200"/>
        <w:rPr>
          <w:rFonts w:hint="eastAsia" w:ascii="仿宋" w:hAnsi="仿宋" w:eastAsia="仿宋" w:cs="仿宋"/>
          <w:sz w:val="24"/>
          <w:szCs w:val="24"/>
          <w:u w:val="single"/>
          <w:lang w:val="en-US" w:eastAsia="zh-CN"/>
        </w:rPr>
      </w:pPr>
      <w:r>
        <w:rPr>
          <w:rFonts w:hint="eastAsia" w:ascii="仿宋" w:hAnsi="仿宋" w:eastAsia="仿宋" w:cs="仿宋"/>
          <w:sz w:val="24"/>
          <w:szCs w:val="24"/>
        </w:rPr>
        <w:t>二、按磋商文件的规定，我公司的第一次磋商总报价为：</w:t>
      </w:r>
      <w:r>
        <w:rPr>
          <w:rFonts w:hint="eastAsia" w:ascii="仿宋" w:hAnsi="仿宋" w:eastAsia="仿宋" w:cs="仿宋"/>
          <w:sz w:val="24"/>
          <w:szCs w:val="24"/>
          <w:u w:val="single"/>
          <w:lang w:val="en-US" w:eastAsia="zh-CN"/>
        </w:rPr>
        <w:t xml:space="preserve">        </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w:t>
      </w:r>
      <w:r>
        <w:rPr>
          <w:rFonts w:hint="eastAsia" w:ascii="仿宋" w:hAnsi="仿宋" w:eastAsia="仿宋" w:cs="仿宋"/>
          <w:sz w:val="24"/>
          <w:szCs w:val="24"/>
          <w:u w:val="single"/>
          <w:lang w:val="en-US" w:eastAsia="zh-CN"/>
        </w:rPr>
        <w:t xml:space="preserve">     </w:t>
      </w:r>
      <w:r>
        <w:rPr>
          <w:rFonts w:hint="eastAsia" w:ascii="仿宋" w:hAnsi="仿宋" w:eastAsia="仿宋" w:cs="仿宋"/>
          <w:sz w:val="24"/>
          <w:szCs w:val="24"/>
        </w:rPr>
        <w:t>元），并对其最后的磋商报价负法律责任。</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三、我方提交的磋商响应文件正本一份、副本两份，电</w:t>
      </w:r>
      <w:r>
        <w:rPr>
          <w:rFonts w:hint="eastAsia" w:ascii="仿宋" w:hAnsi="仿宋" w:eastAsia="仿宋" w:cs="仿宋"/>
          <w:color w:val="000000" w:themeColor="text1"/>
          <w:sz w:val="24"/>
          <w:szCs w:val="24"/>
        </w:rPr>
        <w:t xml:space="preserve">子版一份，并保证磋商响应文件提供的数据和材料真实、准确。否则，愿承担相关的法律责任。 </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四、我方已详细阅读了磋商文件，完全理解并放弃提出含糊不清或易形成歧义的表述和资料。</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五、磋商后在规定的有效期内撤回磋商，我方愿接受政府采购的有关处罚决定。</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六、同意向贵方提供可能要求的，与本次磋商有关的任何证据或资料，我们完全理解最低磋商报价不作为成交的唯一条件，且尊重磋商小组的评审结论和结果。</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七、我方的磋商响应文件在磋商后有效期为90个日历天，若我方成交，磋商响应文件有效期延长至合同执行完毕。</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八、有关于本磋商响应文件的函电，请按下列地址联系。</w:t>
      </w:r>
    </w:p>
    <w:p>
      <w:pPr>
        <w:snapToGrid w:val="0"/>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供应商全称（印章）：</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授权代表(签字)：</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地    址：</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帐    号：</w:t>
      </w:r>
    </w:p>
    <w:p>
      <w:pPr>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电    话：</w:t>
      </w:r>
    </w:p>
    <w:p>
      <w:pPr>
        <w:snapToGrid w:val="0"/>
        <w:spacing w:line="360" w:lineRule="auto"/>
        <w:jc w:val="center"/>
        <w:rPr>
          <w:rFonts w:hint="eastAsia" w:ascii="仿宋" w:hAnsi="仿宋" w:eastAsia="仿宋" w:cs="仿宋"/>
          <w:sz w:val="24"/>
          <w:szCs w:val="24"/>
        </w:rPr>
        <w:sectPr>
          <w:footerReference r:id="rId5" w:type="default"/>
          <w:pgSz w:w="11906" w:h="16838"/>
          <w:pgMar w:top="1417" w:right="1701" w:bottom="1417" w:left="1701" w:header="851" w:footer="992" w:gutter="0"/>
          <w:pgNumType w:start="1"/>
          <w:cols w:space="0" w:num="1"/>
          <w:docGrid w:linePitch="312" w:charSpace="0"/>
        </w:sectPr>
      </w:pP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年</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月</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日</w:t>
      </w:r>
    </w:p>
    <w:p>
      <w:pPr>
        <w:pStyle w:val="4"/>
        <w:spacing w:line="360" w:lineRule="auto"/>
        <w:rPr>
          <w:rFonts w:hint="eastAsia" w:ascii="仿宋" w:hAnsi="仿宋" w:eastAsia="仿宋" w:cs="仿宋"/>
          <w:sz w:val="32"/>
          <w:szCs w:val="32"/>
        </w:rPr>
      </w:pPr>
      <w:bookmarkStart w:id="431" w:name="_Toc31519"/>
      <w:bookmarkStart w:id="432" w:name="_Toc9496"/>
      <w:bookmarkStart w:id="433" w:name="_Toc495681396"/>
      <w:bookmarkStart w:id="434" w:name="_Toc12303"/>
      <w:bookmarkStart w:id="435" w:name="_Toc8463"/>
      <w:bookmarkStart w:id="436" w:name="_Toc15341"/>
      <w:bookmarkStart w:id="437" w:name="_Toc31028"/>
      <w:bookmarkStart w:id="438" w:name="_Toc30196"/>
      <w:bookmarkStart w:id="439" w:name="_Toc722"/>
      <w:bookmarkStart w:id="440" w:name="_Toc495908038"/>
      <w:bookmarkStart w:id="441" w:name="_Toc495681523"/>
      <w:bookmarkStart w:id="442" w:name="_Toc6924"/>
      <w:bookmarkStart w:id="443" w:name="_Toc495681242"/>
      <w:bookmarkStart w:id="444" w:name="_Toc13144"/>
      <w:bookmarkStart w:id="445" w:name="_Toc23789"/>
      <w:bookmarkStart w:id="446" w:name="_Toc31138"/>
      <w:bookmarkStart w:id="447" w:name="_Toc13342"/>
      <w:r>
        <w:rPr>
          <w:rStyle w:val="37"/>
          <w:rFonts w:hint="eastAsia" w:ascii="仿宋" w:hAnsi="仿宋" w:eastAsia="仿宋" w:cs="仿宋"/>
          <w:b/>
          <w:sz w:val="32"/>
          <w:szCs w:val="32"/>
        </w:rPr>
        <w:t>二、第一次磋商报价表</w:t>
      </w:r>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p>
    <w:tbl>
      <w:tblPr>
        <w:tblStyle w:val="25"/>
        <w:tblW w:w="89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5"/>
        <w:gridCol w:w="6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2" w:hRule="atLeast"/>
          <w:jc w:val="center"/>
        </w:trPr>
        <w:tc>
          <w:tcPr>
            <w:tcW w:w="2415"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sz w:val="24"/>
                <w:szCs w:val="24"/>
              </w:rPr>
              <w:t>项目名称</w:t>
            </w:r>
          </w:p>
        </w:tc>
        <w:tc>
          <w:tcPr>
            <w:tcW w:w="6496"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415" w:type="dxa"/>
            <w:vAlign w:val="center"/>
          </w:tcPr>
          <w:p>
            <w:pPr>
              <w:spacing w:line="360" w:lineRule="auto"/>
              <w:jc w:val="center"/>
              <w:rPr>
                <w:rFonts w:hint="eastAsia" w:ascii="仿宋" w:hAnsi="仿宋" w:eastAsia="仿宋" w:cs="仿宋"/>
                <w:sz w:val="24"/>
                <w:szCs w:val="24"/>
              </w:rPr>
            </w:pPr>
            <w:r>
              <w:rPr>
                <w:rFonts w:hint="eastAsia" w:ascii="仿宋" w:hAnsi="仿宋" w:eastAsia="仿宋" w:cs="仿宋"/>
                <w:bCs/>
                <w:kern w:val="0"/>
                <w:sz w:val="24"/>
                <w:szCs w:val="24"/>
              </w:rPr>
              <w:t>项目编号</w:t>
            </w:r>
          </w:p>
        </w:tc>
        <w:tc>
          <w:tcPr>
            <w:tcW w:w="6496" w:type="dxa"/>
            <w:vAlign w:val="center"/>
          </w:tcPr>
          <w:p>
            <w:pPr>
              <w:spacing w:line="360" w:lineRule="auto"/>
              <w:jc w:val="center"/>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 w:hRule="atLeast"/>
          <w:jc w:val="center"/>
        </w:trPr>
        <w:tc>
          <w:tcPr>
            <w:tcW w:w="2415" w:type="dxa"/>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磋商总报价（元）</w:t>
            </w:r>
          </w:p>
        </w:tc>
        <w:tc>
          <w:tcPr>
            <w:tcW w:w="6496" w:type="dxa"/>
            <w:vAlign w:val="center"/>
          </w:tcPr>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rPr>
              <w:t>大写:</w:t>
            </w:r>
          </w:p>
          <w:p>
            <w:pPr>
              <w:spacing w:line="360" w:lineRule="auto"/>
              <w:rPr>
                <w:rFonts w:hint="eastAsia" w:ascii="仿宋" w:hAnsi="仿宋" w:eastAsia="仿宋" w:cs="仿宋"/>
                <w:sz w:val="24"/>
                <w:szCs w:val="24"/>
              </w:rPr>
            </w:pPr>
            <w:r>
              <w:rPr>
                <w:rFonts w:hint="eastAsia" w:ascii="仿宋" w:hAnsi="仿宋" w:eastAsia="仿宋" w:cs="仿宋"/>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2415" w:type="dxa"/>
            <w:vAlign w:val="center"/>
          </w:tcPr>
          <w:p>
            <w:pPr>
              <w:autoSpaceDE w:val="0"/>
              <w:autoSpaceDN w:val="0"/>
              <w:adjustRightInd w:val="0"/>
              <w:spacing w:line="360" w:lineRule="auto"/>
              <w:jc w:val="center"/>
              <w:rPr>
                <w:rFonts w:hint="eastAsia" w:ascii="仿宋" w:hAnsi="仿宋" w:eastAsia="仿宋" w:cs="仿宋"/>
                <w:sz w:val="24"/>
                <w:szCs w:val="24"/>
              </w:rPr>
            </w:pPr>
            <w:r>
              <w:rPr>
                <w:rFonts w:hint="eastAsia" w:ascii="仿宋" w:hAnsi="仿宋" w:eastAsia="仿宋" w:cs="仿宋"/>
                <w:sz w:val="24"/>
                <w:szCs w:val="24"/>
              </w:rPr>
              <w:t>质量</w:t>
            </w:r>
          </w:p>
        </w:tc>
        <w:tc>
          <w:tcPr>
            <w:tcW w:w="6496" w:type="dxa"/>
            <w:vAlign w:val="center"/>
          </w:tcPr>
          <w:p>
            <w:pPr>
              <w:spacing w:line="360" w:lineRule="auto"/>
              <w:rPr>
                <w:rFonts w:hint="eastAsia"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6" w:hRule="atLeast"/>
          <w:jc w:val="center"/>
        </w:trPr>
        <w:tc>
          <w:tcPr>
            <w:tcW w:w="2415" w:type="dxa"/>
            <w:vAlign w:val="center"/>
          </w:tcPr>
          <w:p>
            <w:pPr>
              <w:widowControl/>
              <w:spacing w:line="360" w:lineRule="auto"/>
              <w:jc w:val="center"/>
              <w:rPr>
                <w:rFonts w:hint="eastAsia" w:ascii="仿宋" w:hAnsi="仿宋" w:eastAsia="仿宋" w:cs="仿宋"/>
                <w:sz w:val="24"/>
                <w:szCs w:val="24"/>
              </w:rPr>
            </w:pPr>
            <w:r>
              <w:rPr>
                <w:rFonts w:hint="eastAsia" w:ascii="仿宋" w:hAnsi="仿宋" w:eastAsia="仿宋" w:cs="仿宋"/>
                <w:sz w:val="24"/>
                <w:szCs w:val="24"/>
              </w:rPr>
              <w:t>工期</w:t>
            </w:r>
          </w:p>
        </w:tc>
        <w:tc>
          <w:tcPr>
            <w:tcW w:w="6496" w:type="dxa"/>
            <w:vAlign w:val="center"/>
          </w:tcPr>
          <w:p>
            <w:pPr>
              <w:widowControl/>
              <w:spacing w:line="360" w:lineRule="auto"/>
              <w:jc w:val="left"/>
              <w:rPr>
                <w:rFonts w:hint="eastAsia" w:ascii="仿宋" w:hAnsi="仿宋" w:eastAsia="仿宋" w:cs="仿宋"/>
                <w:kern w:val="0"/>
                <w:sz w:val="24"/>
                <w:szCs w:val="24"/>
              </w:rPr>
            </w:pPr>
            <w:r>
              <w:rPr>
                <w:rFonts w:hint="eastAsia" w:ascii="仿宋" w:hAnsi="仿宋" w:eastAsia="仿宋" w:cs="仿宋"/>
                <w:sz w:val="24"/>
                <w:szCs w:val="24"/>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8911" w:type="dxa"/>
            <w:gridSpan w:val="2"/>
            <w:vAlign w:val="center"/>
          </w:tcPr>
          <w:p>
            <w:pPr>
              <w:widowControl/>
              <w:spacing w:line="360" w:lineRule="auto"/>
              <w:jc w:val="left"/>
              <w:rPr>
                <w:rFonts w:hint="eastAsia" w:ascii="仿宋" w:hAnsi="仿宋" w:eastAsia="仿宋" w:cs="仿宋"/>
                <w:bCs/>
                <w:kern w:val="0"/>
                <w:sz w:val="24"/>
                <w:szCs w:val="24"/>
              </w:rPr>
            </w:pPr>
            <w:r>
              <w:rPr>
                <w:rFonts w:hint="eastAsia" w:ascii="仿宋" w:hAnsi="仿宋" w:eastAsia="仿宋" w:cs="仿宋"/>
                <w:b/>
                <w:bCs/>
                <w:sz w:val="24"/>
                <w:szCs w:val="24"/>
              </w:rPr>
              <w:t>说明：</w:t>
            </w:r>
            <w:r>
              <w:rPr>
                <w:rFonts w:hint="eastAsia" w:ascii="仿宋" w:hAnsi="仿宋" w:eastAsia="仿宋" w:cs="仿宋"/>
                <w:sz w:val="24"/>
                <w:szCs w:val="24"/>
              </w:rPr>
              <w:t>磋商报价以元为单位，保留小数点后两位，大小写不一致时，以大写为准。</w:t>
            </w:r>
          </w:p>
        </w:tc>
      </w:tr>
    </w:tbl>
    <w:p>
      <w:pPr>
        <w:spacing w:line="360" w:lineRule="auto"/>
        <w:rPr>
          <w:rFonts w:hint="eastAsia" w:ascii="仿宋" w:hAnsi="仿宋" w:eastAsia="仿宋" w:cs="仿宋"/>
          <w:b/>
          <w:sz w:val="32"/>
        </w:rPr>
      </w:pPr>
    </w:p>
    <w:p>
      <w:pPr>
        <w:spacing w:line="360" w:lineRule="auto"/>
        <w:ind w:firstLine="2560" w:firstLineChars="800"/>
        <w:rPr>
          <w:rFonts w:hint="eastAsia" w:ascii="仿宋" w:hAnsi="仿宋" w:eastAsia="仿宋" w:cs="仿宋"/>
          <w:sz w:val="32"/>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autoSpaceDE w:val="0"/>
        <w:autoSpaceDN w:val="0"/>
        <w:adjustRightInd w:val="0"/>
        <w:snapToGrid w:val="0"/>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p>
    <w:p>
      <w:pPr>
        <w:spacing w:line="360" w:lineRule="auto"/>
        <w:rPr>
          <w:rFonts w:hint="eastAsia" w:ascii="仿宋" w:hAnsi="仿宋" w:eastAsia="仿宋" w:cs="仿宋"/>
          <w:sz w:val="24"/>
          <w:szCs w:val="24"/>
          <w:u w:val="single"/>
        </w:rPr>
      </w:pPr>
      <w:r>
        <w:rPr>
          <w:rFonts w:hint="eastAsia" w:ascii="仿宋" w:hAnsi="仿宋" w:eastAsia="仿宋" w:cs="仿宋"/>
          <w:sz w:val="24"/>
          <w:szCs w:val="24"/>
          <w:u w:val="single"/>
        </w:rPr>
        <w:br w:type="page"/>
      </w:r>
    </w:p>
    <w:p>
      <w:pPr>
        <w:pStyle w:val="4"/>
        <w:spacing w:line="360" w:lineRule="auto"/>
        <w:rPr>
          <w:rStyle w:val="37"/>
          <w:rFonts w:hint="eastAsia" w:ascii="仿宋" w:hAnsi="仿宋" w:eastAsia="仿宋" w:cs="仿宋"/>
          <w:b/>
          <w:sz w:val="32"/>
          <w:szCs w:val="32"/>
        </w:rPr>
      </w:pPr>
      <w:bookmarkStart w:id="448" w:name="_Toc29918"/>
      <w:r>
        <w:rPr>
          <w:rStyle w:val="37"/>
          <w:rFonts w:hint="eastAsia" w:ascii="仿宋" w:hAnsi="仿宋" w:eastAsia="仿宋" w:cs="仿宋"/>
          <w:b/>
          <w:sz w:val="32"/>
          <w:szCs w:val="32"/>
        </w:rPr>
        <w:t>三、分项报价表</w:t>
      </w:r>
      <w:bookmarkEnd w:id="448"/>
    </w:p>
    <w:p>
      <w:pPr>
        <w:spacing w:line="360" w:lineRule="auto"/>
        <w:jc w:val="center"/>
        <w:rPr>
          <w:rFonts w:hint="eastAsia" w:ascii="仿宋" w:hAnsi="仿宋" w:eastAsia="仿宋" w:cs="仿宋"/>
          <w:sz w:val="24"/>
          <w:szCs w:val="24"/>
        </w:rPr>
      </w:pPr>
    </w:p>
    <w:p>
      <w:pPr>
        <w:spacing w:line="360" w:lineRule="auto"/>
        <w:jc w:val="center"/>
        <w:rPr>
          <w:rFonts w:hint="eastAsia" w:ascii="仿宋" w:hAnsi="仿宋" w:eastAsia="仿宋" w:cs="仿宋"/>
          <w:sz w:val="24"/>
          <w:szCs w:val="24"/>
        </w:rPr>
      </w:pPr>
      <w:bookmarkStart w:id="449" w:name="_Toc26772"/>
      <w:bookmarkStart w:id="450" w:name="_Toc28831"/>
      <w:bookmarkStart w:id="451" w:name="_Toc14078"/>
      <w:bookmarkStart w:id="452" w:name="_Toc14988"/>
      <w:bookmarkStart w:id="453" w:name="_Toc620"/>
      <w:bookmarkStart w:id="454" w:name="_Toc11784"/>
      <w:bookmarkStart w:id="455" w:name="_Toc31853"/>
      <w:bookmarkStart w:id="456" w:name="_Toc495681246"/>
      <w:bookmarkStart w:id="457" w:name="_Toc30293"/>
      <w:bookmarkStart w:id="458" w:name="_Toc25757"/>
      <w:bookmarkStart w:id="459" w:name="_Toc2748"/>
      <w:bookmarkStart w:id="460" w:name="_Toc19130"/>
      <w:bookmarkStart w:id="461" w:name="_Toc13257"/>
      <w:bookmarkStart w:id="462" w:name="_Toc495908042"/>
      <w:bookmarkStart w:id="463" w:name="_Toc495681527"/>
      <w:bookmarkStart w:id="464" w:name="_Toc22665"/>
      <w:bookmarkStart w:id="465" w:name="_Toc4009"/>
      <w:bookmarkStart w:id="466" w:name="_Toc495681400"/>
      <w:r>
        <w:rPr>
          <w:rFonts w:hint="eastAsia" w:ascii="仿宋" w:hAnsi="仿宋" w:eastAsia="仿宋" w:cs="仿宋"/>
          <w:sz w:val="24"/>
          <w:szCs w:val="24"/>
        </w:rPr>
        <w:t>供应商根据工程量清单自行组价。</w:t>
      </w:r>
    </w:p>
    <w:p>
      <w:pPr>
        <w:spacing w:line="360" w:lineRule="auto"/>
        <w:ind w:firstLine="3360" w:firstLineChars="1400"/>
        <w:rPr>
          <w:rFonts w:hint="eastAsia" w:ascii="仿宋" w:hAnsi="仿宋" w:eastAsia="仿宋" w:cs="仿宋"/>
          <w:sz w:val="24"/>
          <w:szCs w:val="24"/>
        </w:rPr>
      </w:pPr>
    </w:p>
    <w:p>
      <w:pPr>
        <w:pStyle w:val="40"/>
        <w:ind w:firstLine="480"/>
        <w:rPr>
          <w:rFonts w:hint="eastAsia" w:ascii="仿宋" w:hAnsi="仿宋" w:eastAsia="仿宋" w:cs="仿宋"/>
          <w:sz w:val="24"/>
          <w:szCs w:val="24"/>
        </w:rPr>
      </w:pPr>
    </w:p>
    <w:p>
      <w:pPr>
        <w:pStyle w:val="40"/>
        <w:ind w:firstLine="480"/>
        <w:rPr>
          <w:rFonts w:hint="eastAsia" w:ascii="仿宋" w:hAnsi="仿宋" w:eastAsia="仿宋" w:cs="仿宋"/>
          <w:sz w:val="24"/>
          <w:szCs w:val="24"/>
        </w:rPr>
      </w:pPr>
    </w:p>
    <w:p>
      <w:pPr>
        <w:pStyle w:val="40"/>
        <w:ind w:firstLine="480"/>
        <w:rPr>
          <w:rFonts w:hint="eastAsia" w:ascii="仿宋" w:hAnsi="仿宋" w:eastAsia="仿宋" w:cs="仿宋"/>
          <w:sz w:val="24"/>
          <w:szCs w:val="24"/>
        </w:rPr>
      </w:pPr>
    </w:p>
    <w:p>
      <w:pPr>
        <w:pStyle w:val="40"/>
        <w:ind w:firstLine="480"/>
        <w:rPr>
          <w:rFonts w:hint="eastAsia" w:ascii="仿宋" w:hAnsi="仿宋" w:eastAsia="仿宋" w:cs="仿宋"/>
          <w:sz w:val="24"/>
          <w:szCs w:val="24"/>
        </w:rPr>
      </w:pPr>
    </w:p>
    <w:p>
      <w:pPr>
        <w:pStyle w:val="40"/>
        <w:ind w:firstLine="480"/>
        <w:rPr>
          <w:rFonts w:hint="eastAsia" w:ascii="仿宋" w:hAnsi="仿宋" w:eastAsia="仿宋" w:cs="仿宋"/>
          <w:sz w:val="24"/>
          <w:szCs w:val="24"/>
        </w:rPr>
      </w:pPr>
    </w:p>
    <w:p>
      <w:pPr>
        <w:pStyle w:val="40"/>
        <w:ind w:firstLine="480"/>
        <w:rPr>
          <w:rFonts w:hint="eastAsia" w:ascii="仿宋" w:hAnsi="仿宋" w:eastAsia="仿宋" w:cs="仿宋"/>
          <w:sz w:val="24"/>
          <w:szCs w:val="24"/>
        </w:rPr>
      </w:pPr>
    </w:p>
    <w:p>
      <w:pPr>
        <w:spacing w:line="360" w:lineRule="auto"/>
        <w:ind w:firstLine="3360" w:firstLineChars="1400"/>
        <w:rPr>
          <w:rFonts w:hint="eastAsia" w:ascii="仿宋" w:hAnsi="仿宋" w:eastAsia="仿宋" w:cs="仿宋"/>
          <w:sz w:val="24"/>
          <w:szCs w:val="24"/>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autoSpaceDE w:val="0"/>
        <w:autoSpaceDN w:val="0"/>
        <w:adjustRightInd w:val="0"/>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日    期：</w:t>
      </w: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4"/>
        <w:spacing w:line="360" w:lineRule="auto"/>
        <w:rPr>
          <w:rStyle w:val="37"/>
          <w:rFonts w:hint="eastAsia" w:ascii="仿宋" w:hAnsi="仿宋" w:eastAsia="仿宋" w:cs="仿宋"/>
          <w:b/>
          <w:sz w:val="32"/>
          <w:szCs w:val="32"/>
          <w:lang w:val="en-US" w:eastAsia="zh-CN"/>
        </w:rPr>
      </w:pPr>
      <w:bookmarkStart w:id="467" w:name="_Toc495681533"/>
      <w:bookmarkStart w:id="468" w:name="_Toc1610"/>
      <w:bookmarkStart w:id="469" w:name="_Toc495671263"/>
      <w:bookmarkStart w:id="470" w:name="_Toc495681252"/>
      <w:bookmarkStart w:id="471" w:name="_Toc495908048"/>
      <w:bookmarkStart w:id="472" w:name="_Toc495681406"/>
      <w:r>
        <w:rPr>
          <w:rStyle w:val="37"/>
          <w:rFonts w:hint="eastAsia" w:ascii="仿宋" w:hAnsi="仿宋" w:eastAsia="仿宋" w:cs="仿宋"/>
          <w:b/>
          <w:sz w:val="32"/>
          <w:szCs w:val="32"/>
          <w:lang w:val="en-US" w:eastAsia="zh-CN"/>
        </w:rPr>
        <w:t>四、</w:t>
      </w:r>
      <w:r>
        <w:rPr>
          <w:rStyle w:val="37"/>
          <w:rFonts w:hint="eastAsia" w:ascii="仿宋" w:hAnsi="仿宋" w:eastAsia="仿宋" w:cs="仿宋"/>
          <w:b/>
          <w:sz w:val="32"/>
          <w:szCs w:val="32"/>
        </w:rPr>
        <w:t>法定代表人身份证明</w:t>
      </w:r>
      <w:r>
        <w:rPr>
          <w:rStyle w:val="37"/>
          <w:rFonts w:hint="eastAsia" w:ascii="仿宋" w:hAnsi="仿宋" w:eastAsia="仿宋" w:cs="仿宋"/>
          <w:b/>
          <w:sz w:val="32"/>
          <w:szCs w:val="32"/>
          <w:lang w:eastAsia="zh-CN"/>
        </w:rPr>
        <w:t>及法定代表人授权书</w:t>
      </w:r>
    </w:p>
    <w:p>
      <w:pPr>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1、法定代表人身份证明</w:t>
      </w:r>
      <w:bookmarkEnd w:id="467"/>
      <w:bookmarkEnd w:id="468"/>
      <w:bookmarkEnd w:id="469"/>
      <w:bookmarkEnd w:id="470"/>
      <w:bookmarkEnd w:id="471"/>
      <w:bookmarkEnd w:id="472"/>
    </w:p>
    <w:p>
      <w:pPr>
        <w:autoSpaceDE w:val="0"/>
        <w:autoSpaceDN w:val="0"/>
        <w:adjustRightInd w:val="0"/>
        <w:snapToGrid w:val="0"/>
        <w:spacing w:before="120"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sz w:val="24"/>
          <w:szCs w:val="24"/>
        </w:rPr>
        <w:t>供应商</w:t>
      </w:r>
      <w:r>
        <w:rPr>
          <w:rFonts w:hint="eastAsia" w:ascii="仿宋" w:hAnsi="仿宋" w:eastAsia="仿宋" w:cs="仿宋"/>
          <w:kern w:val="0"/>
          <w:sz w:val="24"/>
          <w:szCs w:val="24"/>
        </w:rPr>
        <w:t>名称：</w:t>
      </w:r>
    </w:p>
    <w:p>
      <w:pPr>
        <w:autoSpaceDE w:val="0"/>
        <w:autoSpaceDN w:val="0"/>
        <w:adjustRightInd w:val="0"/>
        <w:snapToGrid w:val="0"/>
        <w:spacing w:before="120"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统一社会信用代码：</w:t>
      </w:r>
    </w:p>
    <w:p>
      <w:pPr>
        <w:autoSpaceDE w:val="0"/>
        <w:autoSpaceDN w:val="0"/>
        <w:adjustRightInd w:val="0"/>
        <w:snapToGrid w:val="0"/>
        <w:spacing w:before="120" w:line="360" w:lineRule="auto"/>
        <w:ind w:firstLine="480" w:firstLineChars="200"/>
        <w:jc w:val="left"/>
        <w:rPr>
          <w:rFonts w:hint="eastAsia" w:ascii="仿宋" w:hAnsi="仿宋" w:eastAsia="仿宋" w:cs="仿宋"/>
          <w:kern w:val="0"/>
          <w:sz w:val="24"/>
          <w:szCs w:val="24"/>
          <w:u w:val="single"/>
        </w:rPr>
      </w:pPr>
      <w:r>
        <w:rPr>
          <w:rFonts w:hint="eastAsia" w:ascii="仿宋" w:hAnsi="仿宋" w:eastAsia="仿宋" w:cs="仿宋"/>
          <w:kern w:val="0"/>
          <w:sz w:val="24"/>
          <w:szCs w:val="24"/>
        </w:rPr>
        <w:t>注册地址：</w:t>
      </w:r>
    </w:p>
    <w:p>
      <w:pPr>
        <w:autoSpaceDE w:val="0"/>
        <w:autoSpaceDN w:val="0"/>
        <w:adjustRightInd w:val="0"/>
        <w:snapToGrid w:val="0"/>
        <w:spacing w:before="120"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成立时间：年 月日；经营期限：</w:t>
      </w:r>
    </w:p>
    <w:p>
      <w:pPr>
        <w:autoSpaceDE w:val="0"/>
        <w:autoSpaceDN w:val="0"/>
        <w:adjustRightInd w:val="0"/>
        <w:snapToGrid w:val="0"/>
        <w:spacing w:before="120" w:line="360" w:lineRule="auto"/>
        <w:ind w:firstLine="480" w:firstLineChars="200"/>
        <w:jc w:val="left"/>
        <w:rPr>
          <w:rFonts w:hint="eastAsia" w:ascii="仿宋" w:hAnsi="仿宋" w:eastAsia="仿宋" w:cs="仿宋"/>
          <w:kern w:val="0"/>
          <w:sz w:val="24"/>
          <w:szCs w:val="24"/>
          <w:u w:val="single"/>
        </w:rPr>
      </w:pPr>
      <w:r>
        <w:rPr>
          <w:rFonts w:hint="eastAsia" w:ascii="仿宋" w:hAnsi="仿宋" w:eastAsia="仿宋" w:cs="仿宋"/>
          <w:kern w:val="0"/>
          <w:sz w:val="24"/>
          <w:szCs w:val="24"/>
        </w:rPr>
        <w:t>经营范围：主营： ；兼营：</w:t>
      </w:r>
    </w:p>
    <w:p>
      <w:pPr>
        <w:autoSpaceDE w:val="0"/>
        <w:autoSpaceDN w:val="0"/>
        <w:adjustRightInd w:val="0"/>
        <w:snapToGrid w:val="0"/>
        <w:spacing w:before="120"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姓名： 性别： 年龄： 系（</w:t>
      </w:r>
      <w:r>
        <w:rPr>
          <w:rFonts w:hint="eastAsia" w:ascii="仿宋" w:hAnsi="仿宋" w:eastAsia="仿宋" w:cs="仿宋"/>
          <w:sz w:val="24"/>
          <w:szCs w:val="24"/>
        </w:rPr>
        <w:t>供应商</w:t>
      </w:r>
      <w:r>
        <w:rPr>
          <w:rFonts w:hint="eastAsia" w:ascii="仿宋" w:hAnsi="仿宋" w:eastAsia="仿宋" w:cs="仿宋"/>
          <w:kern w:val="0"/>
          <w:sz w:val="24"/>
          <w:szCs w:val="24"/>
        </w:rPr>
        <w:t>名称）的法定代表人。</w:t>
      </w:r>
    </w:p>
    <w:p>
      <w:pPr>
        <w:autoSpaceDE w:val="0"/>
        <w:autoSpaceDN w:val="0"/>
        <w:adjustRightInd w:val="0"/>
        <w:snapToGrid w:val="0"/>
        <w:spacing w:before="120" w:line="360" w:lineRule="auto"/>
        <w:ind w:firstLine="480" w:firstLineChars="200"/>
        <w:jc w:val="left"/>
        <w:rPr>
          <w:rFonts w:hint="eastAsia" w:ascii="仿宋" w:hAnsi="仿宋" w:eastAsia="仿宋" w:cs="仿宋"/>
          <w:kern w:val="0"/>
          <w:sz w:val="24"/>
          <w:szCs w:val="24"/>
        </w:rPr>
      </w:pPr>
      <w:r>
        <w:rPr>
          <w:rFonts w:hint="eastAsia" w:ascii="仿宋" w:hAnsi="仿宋" w:eastAsia="仿宋" w:cs="仿宋"/>
          <w:kern w:val="0"/>
          <w:sz w:val="24"/>
          <w:szCs w:val="24"/>
        </w:rPr>
        <w:t>特此证明。</w:t>
      </w:r>
    </w:p>
    <w:p>
      <w:pPr>
        <w:autoSpaceDE w:val="0"/>
        <w:autoSpaceDN w:val="0"/>
        <w:adjustRightInd w:val="0"/>
        <w:snapToGrid w:val="0"/>
        <w:spacing w:before="12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附：法定代表人身份证复印件</w:t>
      </w:r>
    </w:p>
    <w:tbl>
      <w:tblPr>
        <w:tblStyle w:val="25"/>
        <w:tblW w:w="7996" w:type="dxa"/>
        <w:tblInd w:w="540" w:type="dxa"/>
        <w:tblLayout w:type="fixed"/>
        <w:tblCellMar>
          <w:top w:w="0" w:type="dxa"/>
          <w:left w:w="108" w:type="dxa"/>
          <w:bottom w:w="0" w:type="dxa"/>
          <w:right w:w="108" w:type="dxa"/>
        </w:tblCellMar>
      </w:tblPr>
      <w:tblGrid>
        <w:gridCol w:w="4081"/>
        <w:gridCol w:w="3915"/>
      </w:tblGrid>
      <w:tr>
        <w:tblPrEx>
          <w:tblCellMar>
            <w:top w:w="0" w:type="dxa"/>
            <w:left w:w="108" w:type="dxa"/>
            <w:bottom w:w="0" w:type="dxa"/>
            <w:right w:w="108" w:type="dxa"/>
          </w:tblCellMar>
        </w:tblPrEx>
        <w:trPr>
          <w:trHeight w:val="2818" w:hRule="atLeast"/>
        </w:trPr>
        <w:tc>
          <w:tcPr>
            <w:tcW w:w="4081"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法定代表人身份证</w:t>
            </w:r>
          </w:p>
          <w:p>
            <w:pPr>
              <w:spacing w:line="360" w:lineRule="auto"/>
              <w:jc w:val="center"/>
              <w:rPr>
                <w:rFonts w:hint="eastAsia" w:ascii="仿宋" w:hAnsi="仿宋" w:eastAsia="仿宋" w:cs="仿宋"/>
                <w:sz w:val="24"/>
                <w:szCs w:val="24"/>
                <w:u w:val="single"/>
              </w:rPr>
            </w:pPr>
            <w:r>
              <w:rPr>
                <w:rFonts w:hint="eastAsia" w:ascii="仿宋" w:hAnsi="仿宋" w:eastAsia="仿宋" w:cs="仿宋"/>
                <w:sz w:val="24"/>
                <w:szCs w:val="24"/>
                <w:lang w:val="zh-CN"/>
              </w:rPr>
              <w:t>复印件</w:t>
            </w:r>
          </w:p>
        </w:tc>
        <w:tc>
          <w:tcPr>
            <w:tcW w:w="3915" w:type="dxa"/>
            <w:tcBorders>
              <w:top w:val="single" w:color="auto" w:sz="6" w:space="0"/>
              <w:left w:val="single" w:color="auto" w:sz="6" w:space="0"/>
              <w:bottom w:val="single" w:color="auto" w:sz="6" w:space="0"/>
              <w:right w:val="single" w:color="auto" w:sz="6" w:space="0"/>
            </w:tcBorders>
            <w:vAlign w:val="center"/>
          </w:tcPr>
          <w:p>
            <w:pPr>
              <w:spacing w:line="360" w:lineRule="auto"/>
              <w:jc w:val="center"/>
              <w:rPr>
                <w:rFonts w:hint="eastAsia" w:ascii="仿宋" w:hAnsi="仿宋" w:eastAsia="仿宋" w:cs="仿宋"/>
                <w:sz w:val="24"/>
                <w:szCs w:val="24"/>
                <w:lang w:val="zh-CN"/>
              </w:rPr>
            </w:pPr>
            <w:r>
              <w:rPr>
                <w:rFonts w:hint="eastAsia" w:ascii="仿宋" w:hAnsi="仿宋" w:eastAsia="仿宋" w:cs="仿宋"/>
                <w:sz w:val="24"/>
                <w:szCs w:val="24"/>
                <w:lang w:val="zh-CN"/>
              </w:rPr>
              <w:t>法定代表人身份证</w:t>
            </w:r>
          </w:p>
          <w:p>
            <w:pPr>
              <w:spacing w:line="360" w:lineRule="auto"/>
              <w:jc w:val="center"/>
              <w:rPr>
                <w:rFonts w:hint="eastAsia" w:ascii="仿宋" w:hAnsi="仿宋" w:eastAsia="仿宋" w:cs="仿宋"/>
                <w:sz w:val="24"/>
                <w:szCs w:val="24"/>
                <w:u w:val="single"/>
              </w:rPr>
            </w:pPr>
            <w:r>
              <w:rPr>
                <w:rFonts w:hint="eastAsia" w:ascii="仿宋" w:hAnsi="仿宋" w:eastAsia="仿宋" w:cs="仿宋"/>
                <w:sz w:val="24"/>
                <w:szCs w:val="24"/>
                <w:lang w:val="zh-CN"/>
              </w:rPr>
              <w:t>复印件</w:t>
            </w:r>
          </w:p>
        </w:tc>
      </w:tr>
    </w:tbl>
    <w:p>
      <w:pPr>
        <w:spacing w:line="360" w:lineRule="auto"/>
        <w:ind w:firstLine="1920" w:firstLineChars="800"/>
        <w:rPr>
          <w:rFonts w:hint="eastAsia" w:ascii="仿宋" w:hAnsi="仿宋" w:eastAsia="仿宋" w:cs="仿宋"/>
          <w:sz w:val="24"/>
          <w:szCs w:val="24"/>
        </w:rPr>
      </w:pPr>
    </w:p>
    <w:p>
      <w:pPr>
        <w:spacing w:line="360" w:lineRule="auto"/>
        <w:ind w:firstLine="3578" w:firstLineChars="1491"/>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3578" w:firstLineChars="1491"/>
        <w:rPr>
          <w:rFonts w:hint="eastAsia" w:ascii="仿宋" w:hAnsi="仿宋" w:eastAsia="仿宋" w:cs="仿宋"/>
          <w:sz w:val="24"/>
          <w:szCs w:val="24"/>
          <w:u w:val="single"/>
        </w:rPr>
      </w:pPr>
      <w:r>
        <w:rPr>
          <w:rFonts w:hint="eastAsia" w:ascii="仿宋" w:hAnsi="仿宋" w:eastAsia="仿宋" w:cs="仿宋"/>
          <w:sz w:val="24"/>
          <w:szCs w:val="24"/>
        </w:rPr>
        <w:t>法定代表人（签字或盖章）：</w:t>
      </w:r>
    </w:p>
    <w:p>
      <w:pPr>
        <w:adjustRightInd w:val="0"/>
        <w:snapToGrid w:val="0"/>
        <w:spacing w:line="360" w:lineRule="auto"/>
        <w:ind w:firstLine="3578" w:firstLineChars="1491"/>
        <w:rPr>
          <w:rFonts w:hint="eastAsia" w:ascii="仿宋" w:hAnsi="仿宋" w:eastAsia="仿宋" w:cs="仿宋"/>
          <w:sz w:val="24"/>
          <w:szCs w:val="24"/>
          <w:u w:val="single"/>
        </w:rPr>
      </w:pPr>
      <w:r>
        <w:rPr>
          <w:rFonts w:hint="eastAsia" w:ascii="仿宋" w:hAnsi="仿宋" w:eastAsia="仿宋" w:cs="仿宋"/>
          <w:sz w:val="24"/>
          <w:szCs w:val="24"/>
        </w:rPr>
        <w:t>日    期：</w:t>
      </w:r>
    </w:p>
    <w:p>
      <w:pPr>
        <w:adjustRightInd w:val="0"/>
        <w:snapToGrid w:val="0"/>
        <w:spacing w:line="360" w:lineRule="auto"/>
        <w:jc w:val="center"/>
        <w:rPr>
          <w:rFonts w:hint="eastAsia" w:ascii="仿宋" w:hAnsi="仿宋" w:eastAsia="仿宋" w:cs="仿宋"/>
          <w:b/>
          <w:sz w:val="24"/>
          <w:szCs w:val="24"/>
        </w:rPr>
      </w:pPr>
      <w:r>
        <w:rPr>
          <w:rFonts w:hint="eastAsia" w:ascii="仿宋" w:hAnsi="仿宋" w:eastAsia="仿宋" w:cs="仿宋"/>
          <w:b/>
          <w:bCs/>
          <w:sz w:val="24"/>
          <w:szCs w:val="24"/>
        </w:rPr>
        <w:br w:type="page"/>
      </w:r>
      <w:bookmarkStart w:id="473" w:name="_Toc495671264"/>
      <w:bookmarkStart w:id="474" w:name="_Toc495681407"/>
      <w:bookmarkStart w:id="475" w:name="_Toc18921"/>
      <w:bookmarkStart w:id="476" w:name="_Toc495681534"/>
      <w:bookmarkStart w:id="477" w:name="_Toc495908049"/>
      <w:bookmarkStart w:id="478" w:name="_Toc495681253"/>
      <w:r>
        <w:rPr>
          <w:rFonts w:hint="eastAsia" w:ascii="仿宋" w:hAnsi="仿宋" w:eastAsia="仿宋" w:cs="仿宋"/>
          <w:b/>
          <w:sz w:val="24"/>
          <w:szCs w:val="24"/>
        </w:rPr>
        <w:t>2、法定代表人授权书</w:t>
      </w:r>
      <w:bookmarkEnd w:id="473"/>
      <w:bookmarkEnd w:id="474"/>
      <w:bookmarkEnd w:id="475"/>
      <w:bookmarkEnd w:id="476"/>
      <w:bookmarkEnd w:id="477"/>
      <w:bookmarkEnd w:id="478"/>
    </w:p>
    <w:p>
      <w:pPr>
        <w:autoSpaceDE w:val="0"/>
        <w:autoSpaceDN w:val="0"/>
        <w:adjustRightInd w:val="0"/>
        <w:spacing w:line="360" w:lineRule="auto"/>
        <w:rPr>
          <w:rFonts w:hint="eastAsia" w:ascii="仿宋" w:hAnsi="仿宋" w:eastAsia="仿宋" w:cs="仿宋"/>
          <w:sz w:val="24"/>
          <w:szCs w:val="24"/>
        </w:rPr>
      </w:pPr>
      <w:r>
        <w:rPr>
          <w:rFonts w:hint="eastAsia" w:ascii="仿宋" w:hAnsi="仿宋" w:eastAsia="仿宋" w:cs="仿宋"/>
          <w:sz w:val="24"/>
          <w:szCs w:val="24"/>
          <w:lang w:val="zh-CN"/>
        </w:rPr>
        <w:t>腾德工程咨询有限公司：</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zh-CN"/>
        </w:rPr>
        <w:t>注册于</w:t>
      </w:r>
      <w:r>
        <w:rPr>
          <w:rFonts w:hint="eastAsia" w:ascii="仿宋" w:hAnsi="仿宋" w:eastAsia="仿宋" w:cs="仿宋"/>
          <w:sz w:val="24"/>
          <w:szCs w:val="24"/>
          <w:u w:val="single"/>
          <w:lang w:val="zh-CN"/>
        </w:rPr>
        <w:t xml:space="preserve">  （工商行政管理局名称）  </w:t>
      </w:r>
      <w:r>
        <w:rPr>
          <w:rFonts w:hint="eastAsia" w:ascii="仿宋" w:hAnsi="仿宋" w:eastAsia="仿宋" w:cs="仿宋"/>
          <w:sz w:val="24"/>
          <w:szCs w:val="24"/>
          <w:lang w:val="zh-CN"/>
        </w:rPr>
        <w:t>之</w:t>
      </w:r>
      <w:r>
        <w:rPr>
          <w:rFonts w:hint="eastAsia" w:ascii="仿宋" w:hAnsi="仿宋" w:eastAsia="仿宋" w:cs="仿宋"/>
          <w:sz w:val="24"/>
          <w:szCs w:val="24"/>
          <w:u w:val="single"/>
          <w:lang w:val="zh-CN"/>
        </w:rPr>
        <w:t xml:space="preserve">   （供应商全称）  </w:t>
      </w:r>
      <w:r>
        <w:rPr>
          <w:rFonts w:hint="eastAsia" w:ascii="仿宋" w:hAnsi="仿宋" w:eastAsia="仿宋" w:cs="仿宋"/>
          <w:sz w:val="24"/>
          <w:szCs w:val="24"/>
          <w:lang w:val="zh-CN"/>
        </w:rPr>
        <w:t>的法定代表人</w:t>
      </w:r>
      <w:r>
        <w:rPr>
          <w:rFonts w:hint="eastAsia" w:ascii="仿宋" w:hAnsi="仿宋" w:eastAsia="仿宋" w:cs="仿宋"/>
          <w:sz w:val="24"/>
          <w:szCs w:val="24"/>
          <w:u w:val="single"/>
          <w:lang w:val="zh-CN"/>
        </w:rPr>
        <w:t xml:space="preserve"> （姓名）</w:t>
      </w:r>
      <w:r>
        <w:rPr>
          <w:rFonts w:hint="eastAsia" w:ascii="仿宋" w:hAnsi="仿宋" w:eastAsia="仿宋" w:cs="仿宋"/>
          <w:sz w:val="24"/>
          <w:szCs w:val="24"/>
          <w:lang w:val="zh-CN"/>
        </w:rPr>
        <w:t>授权</w:t>
      </w:r>
      <w:r>
        <w:rPr>
          <w:rFonts w:hint="eastAsia" w:ascii="仿宋" w:hAnsi="仿宋" w:eastAsia="仿宋" w:cs="仿宋"/>
          <w:sz w:val="24"/>
          <w:szCs w:val="24"/>
          <w:u w:val="single"/>
          <w:lang w:val="zh-CN"/>
        </w:rPr>
        <w:t xml:space="preserve"> （被授权人姓名）</w:t>
      </w:r>
      <w:r>
        <w:rPr>
          <w:rFonts w:hint="eastAsia" w:ascii="仿宋" w:hAnsi="仿宋" w:eastAsia="仿宋" w:cs="仿宋"/>
          <w:sz w:val="24"/>
          <w:szCs w:val="24"/>
        </w:rPr>
        <w:t>为我方合法委托代理人。代理人根据授权，以我方名义签署、澄清、说明、递交、撤回、修改</w:t>
      </w:r>
      <w:r>
        <w:rPr>
          <w:rFonts w:hint="eastAsia" w:ascii="仿宋" w:hAnsi="仿宋" w:eastAsia="仿宋" w:cs="仿宋"/>
          <w:sz w:val="24"/>
          <w:szCs w:val="24"/>
          <w:u w:val="single"/>
        </w:rPr>
        <w:t xml:space="preserve">     （项目名称）     </w:t>
      </w:r>
      <w:r>
        <w:rPr>
          <w:rFonts w:hint="eastAsia" w:ascii="仿宋" w:hAnsi="仿宋" w:eastAsia="仿宋" w:cs="仿宋"/>
          <w:sz w:val="24"/>
          <w:szCs w:val="24"/>
        </w:rPr>
        <w:t>磋商响应文件、签订合同和处理有关事宜，其法律后果由我方承担。</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代理人无转委托权。</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供应商：（盖单位公章）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法定代表人：（签字或盖章）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委托代理人：（签字或盖章）</w:t>
      </w:r>
    </w:p>
    <w:p>
      <w:pPr>
        <w:spacing w:line="360" w:lineRule="auto"/>
        <w:ind w:firstLine="480" w:firstLineChars="200"/>
        <w:rPr>
          <w:rFonts w:hint="eastAsia" w:ascii="仿宋" w:hAnsi="仿宋" w:eastAsia="仿宋" w:cs="仿宋"/>
          <w:sz w:val="24"/>
          <w:szCs w:val="24"/>
          <w:u w:val="single"/>
        </w:rPr>
      </w:pPr>
      <w:r>
        <w:rPr>
          <w:rFonts w:hint="eastAsia" w:ascii="仿宋" w:hAnsi="仿宋" w:eastAsia="仿宋" w:cs="仿宋"/>
          <w:sz w:val="24"/>
          <w:szCs w:val="24"/>
        </w:rPr>
        <w:t>身份证号码：</w:t>
      </w:r>
    </w:p>
    <w:p>
      <w:pPr>
        <w:spacing w:line="360" w:lineRule="auto"/>
        <w:ind w:firstLine="5520" w:firstLineChars="2300"/>
        <w:rPr>
          <w:rFonts w:hint="eastAsia" w:ascii="仿宋" w:hAnsi="仿宋" w:eastAsia="仿宋" w:cs="仿宋"/>
          <w:sz w:val="24"/>
          <w:szCs w:val="24"/>
        </w:rPr>
      </w:pPr>
      <w:r>
        <w:rPr>
          <w:rFonts w:hint="eastAsia" w:ascii="仿宋" w:hAnsi="仿宋" w:eastAsia="仿宋" w:cs="仿宋"/>
          <w:sz w:val="24"/>
          <w:szCs w:val="24"/>
        </w:rPr>
        <w:t>年月日</w:t>
      </w:r>
    </w:p>
    <w:p>
      <w:pPr>
        <w:spacing w:line="360" w:lineRule="auto"/>
        <w:ind w:firstLine="480" w:firstLineChars="200"/>
        <w:rPr>
          <w:rFonts w:hint="eastAsia" w:ascii="仿宋" w:hAnsi="仿宋" w:eastAsia="仿宋" w:cs="仿宋"/>
          <w:sz w:val="24"/>
          <w:szCs w:val="24"/>
        </w:rPr>
      </w:pP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本授权有效期：自开标之日起90日历日。</w:t>
      </w:r>
    </w:p>
    <w:p>
      <w:pPr>
        <w:spacing w:line="360" w:lineRule="auto"/>
        <w:ind w:firstLine="420"/>
        <w:rPr>
          <w:rFonts w:hint="eastAsia" w:ascii="仿宋" w:hAnsi="仿宋" w:eastAsia="仿宋" w:cs="仿宋"/>
          <w:bCs/>
          <w:sz w:val="24"/>
          <w:szCs w:val="24"/>
        </w:rPr>
      </w:pPr>
    </w:p>
    <w:p>
      <w:pPr>
        <w:spacing w:line="360" w:lineRule="auto"/>
        <w:ind w:firstLine="420"/>
        <w:rPr>
          <w:rFonts w:hint="eastAsia" w:ascii="仿宋" w:hAnsi="仿宋" w:eastAsia="仿宋" w:cs="仿宋"/>
          <w:bCs/>
          <w:sz w:val="24"/>
          <w:szCs w:val="24"/>
        </w:rPr>
      </w:pPr>
    </w:p>
    <w:p>
      <w:pPr>
        <w:spacing w:line="360" w:lineRule="auto"/>
        <w:ind w:firstLine="480" w:firstLineChars="200"/>
        <w:rPr>
          <w:rFonts w:hint="eastAsia" w:ascii="仿宋" w:hAnsi="仿宋" w:eastAsia="仿宋" w:cs="仿宋"/>
          <w:bCs/>
          <w:sz w:val="24"/>
          <w:szCs w:val="24"/>
        </w:rPr>
      </w:pPr>
    </w:p>
    <w:p>
      <w:pPr>
        <w:spacing w:line="360" w:lineRule="auto"/>
        <w:ind w:firstLine="480" w:firstLineChars="200"/>
        <w:rPr>
          <w:rFonts w:hint="eastAsia" w:ascii="仿宋" w:hAnsi="仿宋" w:eastAsia="仿宋" w:cs="仿宋"/>
          <w:bCs/>
          <w:sz w:val="24"/>
          <w:szCs w:val="24"/>
        </w:rPr>
      </w:pPr>
    </w:p>
    <w:p>
      <w:pPr>
        <w:spacing w:line="360" w:lineRule="auto"/>
        <w:ind w:firstLine="480" w:firstLineChars="200"/>
        <w:rPr>
          <w:rFonts w:hint="eastAsia" w:ascii="仿宋" w:hAnsi="仿宋" w:eastAsia="仿宋" w:cs="仿宋"/>
          <w:sz w:val="24"/>
          <w:szCs w:val="24"/>
          <w:lang w:val="zh-CN"/>
        </w:rPr>
      </w:pPr>
    </w:p>
    <w:p>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说明：</w:t>
      </w:r>
    </w:p>
    <w:p>
      <w:pPr>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rPr>
        <w:t>1.后附法定代表人和被授权委托代理人身份证复印件并加盖红色鲜章。</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lang w:val="en-US" w:eastAsia="zh-CN"/>
        </w:rPr>
        <w:t>2</w:t>
      </w:r>
      <w:r>
        <w:rPr>
          <w:rFonts w:hint="eastAsia" w:ascii="仿宋" w:hAnsi="仿宋" w:eastAsia="仿宋" w:cs="仿宋"/>
          <w:sz w:val="24"/>
          <w:szCs w:val="24"/>
        </w:rPr>
        <w:t>.</w:t>
      </w:r>
      <w:r>
        <w:rPr>
          <w:rFonts w:hint="eastAsia" w:ascii="仿宋" w:hAnsi="仿宋" w:eastAsia="仿宋" w:cs="仿宋"/>
          <w:sz w:val="24"/>
          <w:szCs w:val="24"/>
          <w:lang w:val="zh-CN"/>
        </w:rPr>
        <w:t>本授权有效期为磋商之日起不少于90天，仅限授权代表参加磋商时提供。</w:t>
      </w:r>
      <w:bookmarkStart w:id="479" w:name="_Toc15002"/>
    </w:p>
    <w:bookmarkEnd w:id="479"/>
    <w:p>
      <w:pPr>
        <w:spacing w:line="360" w:lineRule="auto"/>
        <w:ind w:firstLine="480" w:firstLineChars="200"/>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ascii="仿宋" w:hAnsi="仿宋" w:eastAsia="仿宋" w:cs="仿宋"/>
          <w:sz w:val="24"/>
          <w:szCs w:val="24"/>
        </w:rPr>
      </w:pPr>
    </w:p>
    <w:p>
      <w:pPr>
        <w:pStyle w:val="2"/>
        <w:rPr>
          <w:rFonts w:hint="eastAsia" w:ascii="仿宋" w:hAnsi="仿宋" w:eastAsia="仿宋" w:cs="仿宋"/>
          <w:sz w:val="24"/>
          <w:szCs w:val="24"/>
        </w:rPr>
      </w:pPr>
    </w:p>
    <w:p>
      <w:pPr>
        <w:rPr>
          <w:rFonts w:hint="eastAsia"/>
        </w:rPr>
      </w:pPr>
    </w:p>
    <w:p>
      <w:pPr>
        <w:pStyle w:val="46"/>
        <w:pageBreakBefore/>
        <w:ind w:firstLine="0" w:firstLineChars="0"/>
        <w:jc w:val="center"/>
        <w:outlineLvl w:val="1"/>
        <w:rPr>
          <w:rStyle w:val="37"/>
          <w:rFonts w:hint="eastAsia" w:ascii="仿宋" w:hAnsi="仿宋" w:eastAsia="仿宋" w:cs="仿宋"/>
        </w:rPr>
      </w:pPr>
      <w:bookmarkStart w:id="480" w:name="_Toc24064"/>
      <w:r>
        <w:rPr>
          <w:rStyle w:val="37"/>
          <w:rFonts w:hint="eastAsia" w:ascii="仿宋" w:hAnsi="仿宋" w:eastAsia="仿宋" w:cs="仿宋"/>
          <w:sz w:val="32"/>
          <w:szCs w:val="21"/>
          <w:lang w:eastAsia="zh-CN"/>
        </w:rPr>
        <w:t>五</w:t>
      </w:r>
      <w:r>
        <w:rPr>
          <w:rStyle w:val="37"/>
          <w:rFonts w:hint="eastAsia" w:ascii="仿宋" w:hAnsi="仿宋" w:eastAsia="仿宋" w:cs="仿宋"/>
          <w:sz w:val="32"/>
          <w:szCs w:val="21"/>
        </w:rPr>
        <w:t>、供应商资格证明文件</w:t>
      </w:r>
      <w:bookmarkEnd w:id="480"/>
    </w:p>
    <w:p>
      <w:pPr>
        <w:spacing w:line="360" w:lineRule="auto"/>
        <w:ind w:firstLine="241" w:firstLineChars="100"/>
        <w:rPr>
          <w:rFonts w:hint="eastAsia" w:ascii="仿宋" w:hAnsi="仿宋" w:eastAsia="仿宋" w:cs="仿宋"/>
          <w:b/>
          <w:bCs/>
          <w:sz w:val="24"/>
          <w:szCs w:val="24"/>
        </w:rPr>
      </w:pPr>
      <w:r>
        <w:rPr>
          <w:rFonts w:hint="eastAsia" w:ascii="仿宋" w:hAnsi="仿宋" w:eastAsia="仿宋" w:cs="仿宋"/>
          <w:b/>
          <w:bCs/>
          <w:sz w:val="24"/>
          <w:szCs w:val="24"/>
        </w:rPr>
        <w:t>（1）基本资格条件：符合《中华人民共和国政府采购法》第二十二条的规定；</w:t>
      </w:r>
    </w:p>
    <w:p>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1）具有独立承担民事责任的能力（提供营业执照/事业单位法人证书/非企业专业服务机构执业许可证/自然人身份证）；</w:t>
      </w:r>
    </w:p>
    <w:p>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2）具有良好的商业信誉和健全的财务会计制度（提供具有财务审计资质的单位出具的2021年财务报告，或</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截止时间前</w:t>
      </w:r>
      <w:r>
        <w:rPr>
          <w:rFonts w:hint="eastAsia" w:ascii="仿宋" w:hAnsi="仿宋" w:eastAsia="仿宋" w:cs="仿宋"/>
          <w:sz w:val="24"/>
          <w:szCs w:val="24"/>
          <w:highlight w:val="none"/>
          <w:lang w:eastAsia="zh-CN"/>
        </w:rPr>
        <w:t>六</w:t>
      </w:r>
      <w:r>
        <w:rPr>
          <w:rFonts w:hint="eastAsia" w:ascii="仿宋" w:hAnsi="仿宋" w:eastAsia="仿宋" w:cs="仿宋"/>
          <w:sz w:val="24"/>
          <w:szCs w:val="24"/>
          <w:highlight w:val="none"/>
        </w:rPr>
        <w:t>个月内公司存款账户开户银行出具的资信证明 ，或信用担保机构出具的投标担保函）；</w:t>
      </w:r>
    </w:p>
    <w:p>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3）有依法缴纳税收和社会保障资金的良好记录（提供</w:t>
      </w:r>
      <w:r>
        <w:rPr>
          <w:rFonts w:hint="eastAsia" w:ascii="仿宋" w:hAnsi="仿宋" w:eastAsia="仿宋" w:cs="仿宋"/>
          <w:sz w:val="24"/>
          <w:szCs w:val="24"/>
          <w:highlight w:val="none"/>
          <w:lang w:eastAsia="zh-CN"/>
        </w:rPr>
        <w:t>磋商</w:t>
      </w:r>
      <w:r>
        <w:rPr>
          <w:rFonts w:hint="eastAsia" w:ascii="仿宋" w:hAnsi="仿宋" w:eastAsia="仿宋" w:cs="仿宋"/>
          <w:sz w:val="24"/>
          <w:szCs w:val="24"/>
          <w:highlight w:val="none"/>
        </w:rPr>
        <w:t>截止时间前12个月内任一个月份的①正式税收缴费凭据或免税书面声明、②社会保障资金缴纳专用收据或社会保险缴纳清单或社会保障资金免缴纳书面声明）；</w:t>
      </w:r>
    </w:p>
    <w:p>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4）具备履行合同所必需的设备和专业技术能力（提供可充分满足履行合同所需设备和专业技术能力的承诺）；</w:t>
      </w:r>
    </w:p>
    <w:p>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5）参加政府采购活动前三年内在经营活动中没有重大违法记录的书面声明（提供承诺）；</w:t>
      </w:r>
    </w:p>
    <w:p>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6）政府采购法律法规相关规定的其他条件。</w:t>
      </w:r>
    </w:p>
    <w:p>
      <w:pPr>
        <w:pStyle w:val="2"/>
        <w:spacing w:line="360" w:lineRule="auto"/>
        <w:rPr>
          <w:rFonts w:hint="eastAsia" w:ascii="仿宋" w:hAnsi="仿宋" w:eastAsia="仿宋" w:cs="仿宋"/>
          <w:sz w:val="24"/>
          <w:szCs w:val="24"/>
          <w:highlight w:val="none"/>
        </w:rPr>
      </w:pPr>
      <w:r>
        <w:rPr>
          <w:rFonts w:hint="eastAsia" w:ascii="仿宋" w:hAnsi="仿宋" w:eastAsia="仿宋" w:cs="仿宋"/>
          <w:b/>
          <w:bCs/>
          <w:sz w:val="24"/>
          <w:szCs w:val="24"/>
          <w:highlight w:val="none"/>
        </w:rPr>
        <w:t>（2）落实政府采购政策的资格条件：</w:t>
      </w:r>
      <w:r>
        <w:rPr>
          <w:rFonts w:hint="eastAsia" w:ascii="仿宋" w:hAnsi="仿宋" w:eastAsia="仿宋" w:cs="仿宋"/>
          <w:sz w:val="24"/>
          <w:szCs w:val="24"/>
          <w:highlight w:val="none"/>
        </w:rPr>
        <w:t>无</w:t>
      </w:r>
    </w:p>
    <w:p>
      <w:pPr>
        <w:pStyle w:val="2"/>
        <w:spacing w:line="360" w:lineRule="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（3）特定资格条件：</w:t>
      </w:r>
    </w:p>
    <w:p>
      <w:pPr>
        <w:pStyle w:val="2"/>
        <w:spacing w:line="360" w:lineRule="auto"/>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1）投标人不得为“信用中国”网站（www.creditchina.gov.cn）中列入失信被执行人和重大税收违法失信主体的投标人，不得为“中国政府采购网”（www.ccgp.gov.cn）政府采购严重违法失信行为记录名单中被财政部门禁止参加政府采购活动的投标人（不强制要求投标人提供查询截图，以开标当天网上查询结果为评审依据）；</w:t>
      </w:r>
    </w:p>
    <w:p>
      <w:pPr>
        <w:pStyle w:val="9"/>
        <w:ind w:firstLine="482" w:firstLineChars="200"/>
        <w:rPr>
          <w:rFonts w:hint="eastAsia" w:ascii="仿宋" w:hAnsi="仿宋" w:eastAsia="仿宋" w:cs="仿宋"/>
          <w:b/>
          <w:bCs/>
          <w:szCs w:val="24"/>
        </w:rPr>
      </w:pPr>
    </w:p>
    <w:p>
      <w:pPr>
        <w:spacing w:line="360" w:lineRule="auto"/>
        <w:ind w:firstLine="420" w:firstLineChars="200"/>
        <w:rPr>
          <w:rFonts w:hint="eastAsia" w:ascii="仿宋" w:hAnsi="仿宋" w:eastAsia="仿宋" w:cs="仿宋"/>
        </w:rPr>
      </w:pPr>
    </w:p>
    <w:p>
      <w:pPr>
        <w:pageBreakBefore/>
        <w:spacing w:line="360" w:lineRule="auto"/>
        <w:jc w:val="center"/>
        <w:rPr>
          <w:rFonts w:hint="eastAsia" w:ascii="仿宋" w:hAnsi="仿宋" w:eastAsia="仿宋" w:cs="仿宋"/>
          <w:b/>
          <w:bCs/>
          <w:sz w:val="32"/>
          <w:szCs w:val="32"/>
        </w:rPr>
      </w:pPr>
      <w:r>
        <w:rPr>
          <w:rFonts w:hint="eastAsia" w:ascii="仿宋" w:hAnsi="仿宋" w:eastAsia="仿宋" w:cs="仿宋"/>
          <w:b/>
          <w:bCs/>
          <w:sz w:val="32"/>
          <w:szCs w:val="32"/>
        </w:rPr>
        <w:t>供应商基本情况表</w:t>
      </w:r>
    </w:p>
    <w:tbl>
      <w:tblPr>
        <w:tblStyle w:val="25"/>
        <w:tblW w:w="9217"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8"/>
        <w:gridCol w:w="539"/>
        <w:gridCol w:w="1053"/>
        <w:gridCol w:w="2205"/>
        <w:gridCol w:w="198"/>
        <w:gridCol w:w="1227"/>
        <w:gridCol w:w="1620"/>
        <w:gridCol w:w="165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26" w:hRule="atLeast"/>
          <w:jc w:val="center"/>
        </w:trPr>
        <w:tc>
          <w:tcPr>
            <w:tcW w:w="2310" w:type="dxa"/>
            <w:gridSpan w:val="3"/>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供应商名称</w:t>
            </w:r>
          </w:p>
        </w:tc>
        <w:tc>
          <w:tcPr>
            <w:tcW w:w="3630" w:type="dxa"/>
            <w:gridSpan w:val="3"/>
            <w:vAlign w:val="center"/>
          </w:tcPr>
          <w:p>
            <w:pPr>
              <w:topLinePunct/>
              <w:spacing w:line="360" w:lineRule="auto"/>
              <w:jc w:val="center"/>
              <w:rPr>
                <w:rFonts w:hint="eastAsia" w:ascii="仿宋" w:hAnsi="仿宋" w:eastAsia="仿宋" w:cs="仿宋"/>
                <w:sz w:val="24"/>
                <w:szCs w:val="24"/>
              </w:rPr>
            </w:pPr>
          </w:p>
        </w:tc>
        <w:tc>
          <w:tcPr>
            <w:tcW w:w="1620" w:type="dxa"/>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法定代表人</w:t>
            </w:r>
          </w:p>
        </w:tc>
        <w:tc>
          <w:tcPr>
            <w:tcW w:w="1657" w:type="dxa"/>
            <w:vAlign w:val="center"/>
          </w:tcPr>
          <w:p>
            <w:pPr>
              <w:topLinePunct/>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1" w:hRule="atLeast"/>
          <w:jc w:val="center"/>
        </w:trPr>
        <w:tc>
          <w:tcPr>
            <w:tcW w:w="2310" w:type="dxa"/>
            <w:gridSpan w:val="3"/>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统一</w:t>
            </w:r>
          </w:p>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社会信用代码</w:t>
            </w:r>
          </w:p>
        </w:tc>
        <w:tc>
          <w:tcPr>
            <w:tcW w:w="3630" w:type="dxa"/>
            <w:gridSpan w:val="3"/>
            <w:vAlign w:val="center"/>
          </w:tcPr>
          <w:p>
            <w:pPr>
              <w:topLinePunct/>
              <w:spacing w:line="360" w:lineRule="auto"/>
              <w:jc w:val="center"/>
              <w:rPr>
                <w:rFonts w:hint="eastAsia" w:ascii="仿宋" w:hAnsi="仿宋" w:eastAsia="仿宋" w:cs="仿宋"/>
                <w:sz w:val="24"/>
                <w:szCs w:val="24"/>
              </w:rPr>
            </w:pPr>
          </w:p>
        </w:tc>
        <w:tc>
          <w:tcPr>
            <w:tcW w:w="1620" w:type="dxa"/>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邮政编码</w:t>
            </w:r>
          </w:p>
        </w:tc>
        <w:tc>
          <w:tcPr>
            <w:tcW w:w="1657" w:type="dxa"/>
            <w:vAlign w:val="center"/>
          </w:tcPr>
          <w:p>
            <w:pPr>
              <w:topLinePunct/>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2310" w:type="dxa"/>
            <w:gridSpan w:val="3"/>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上年营业收入</w:t>
            </w:r>
          </w:p>
        </w:tc>
        <w:tc>
          <w:tcPr>
            <w:tcW w:w="3630" w:type="dxa"/>
            <w:gridSpan w:val="3"/>
            <w:vAlign w:val="center"/>
          </w:tcPr>
          <w:p>
            <w:pPr>
              <w:topLinePunct/>
              <w:spacing w:line="360" w:lineRule="auto"/>
              <w:jc w:val="center"/>
              <w:rPr>
                <w:rFonts w:hint="eastAsia" w:ascii="仿宋" w:hAnsi="仿宋" w:eastAsia="仿宋" w:cs="仿宋"/>
                <w:sz w:val="24"/>
                <w:szCs w:val="24"/>
              </w:rPr>
            </w:pPr>
          </w:p>
        </w:tc>
        <w:tc>
          <w:tcPr>
            <w:tcW w:w="1620" w:type="dxa"/>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员工总人数</w:t>
            </w:r>
          </w:p>
        </w:tc>
        <w:tc>
          <w:tcPr>
            <w:tcW w:w="1657" w:type="dxa"/>
            <w:vAlign w:val="center"/>
          </w:tcPr>
          <w:p>
            <w:pPr>
              <w:topLinePunct/>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restart"/>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营业执照</w:t>
            </w:r>
          </w:p>
        </w:tc>
        <w:tc>
          <w:tcPr>
            <w:tcW w:w="1592" w:type="dxa"/>
            <w:gridSpan w:val="2"/>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注册号码</w:t>
            </w:r>
          </w:p>
        </w:tc>
        <w:tc>
          <w:tcPr>
            <w:tcW w:w="2205" w:type="dxa"/>
            <w:vAlign w:val="center"/>
          </w:tcPr>
          <w:p>
            <w:pPr>
              <w:topLinePunct/>
              <w:spacing w:line="360" w:lineRule="auto"/>
              <w:jc w:val="center"/>
              <w:rPr>
                <w:rFonts w:hint="eastAsia" w:ascii="仿宋" w:hAnsi="仿宋" w:eastAsia="仿宋" w:cs="仿宋"/>
                <w:sz w:val="24"/>
                <w:szCs w:val="24"/>
              </w:rPr>
            </w:pPr>
          </w:p>
        </w:tc>
        <w:tc>
          <w:tcPr>
            <w:tcW w:w="1425" w:type="dxa"/>
            <w:gridSpan w:val="2"/>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注册地址</w:t>
            </w:r>
          </w:p>
        </w:tc>
        <w:tc>
          <w:tcPr>
            <w:tcW w:w="3277" w:type="dxa"/>
            <w:gridSpan w:val="2"/>
            <w:vAlign w:val="center"/>
          </w:tcPr>
          <w:p>
            <w:pPr>
              <w:topLinePunct/>
              <w:spacing w:line="360" w:lineRule="auto"/>
              <w:ind w:firstLine="120" w:firstLineChars="50"/>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hint="eastAsia" w:ascii="仿宋" w:hAnsi="仿宋" w:eastAsia="仿宋" w:cs="仿宋"/>
                <w:sz w:val="24"/>
                <w:szCs w:val="24"/>
              </w:rPr>
            </w:pPr>
          </w:p>
        </w:tc>
        <w:tc>
          <w:tcPr>
            <w:tcW w:w="1592" w:type="dxa"/>
            <w:gridSpan w:val="2"/>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2205" w:type="dxa"/>
            <w:vAlign w:val="center"/>
          </w:tcPr>
          <w:p>
            <w:pPr>
              <w:topLinePunct/>
              <w:spacing w:line="360" w:lineRule="auto"/>
              <w:jc w:val="center"/>
              <w:rPr>
                <w:rFonts w:hint="eastAsia" w:ascii="仿宋" w:hAnsi="仿宋" w:eastAsia="仿宋" w:cs="仿宋"/>
                <w:sz w:val="24"/>
                <w:szCs w:val="24"/>
              </w:rPr>
            </w:pPr>
          </w:p>
        </w:tc>
        <w:tc>
          <w:tcPr>
            <w:tcW w:w="1425" w:type="dxa"/>
            <w:gridSpan w:val="2"/>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发证日期</w:t>
            </w:r>
          </w:p>
        </w:tc>
        <w:tc>
          <w:tcPr>
            <w:tcW w:w="3277" w:type="dxa"/>
            <w:gridSpan w:val="2"/>
            <w:vAlign w:val="center"/>
          </w:tcPr>
          <w:p>
            <w:pPr>
              <w:topLinePunct/>
              <w:spacing w:line="360" w:lineRule="auto"/>
              <w:ind w:firstLine="120" w:firstLineChars="50"/>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85" w:hRule="atLeast"/>
          <w:jc w:val="center"/>
        </w:trPr>
        <w:tc>
          <w:tcPr>
            <w:tcW w:w="718" w:type="dxa"/>
            <w:vMerge w:val="continue"/>
            <w:vAlign w:val="center"/>
          </w:tcPr>
          <w:p>
            <w:pPr>
              <w:topLinePunct/>
              <w:spacing w:line="360" w:lineRule="auto"/>
              <w:jc w:val="center"/>
              <w:rPr>
                <w:rFonts w:hint="eastAsia" w:ascii="仿宋" w:hAnsi="仿宋" w:eastAsia="仿宋" w:cs="仿宋"/>
                <w:sz w:val="24"/>
                <w:szCs w:val="24"/>
              </w:rPr>
            </w:pPr>
          </w:p>
        </w:tc>
        <w:tc>
          <w:tcPr>
            <w:tcW w:w="1592" w:type="dxa"/>
            <w:gridSpan w:val="2"/>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营业范围</w:t>
            </w:r>
          </w:p>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（主营）</w:t>
            </w:r>
          </w:p>
        </w:tc>
        <w:tc>
          <w:tcPr>
            <w:tcW w:w="6907" w:type="dxa"/>
            <w:gridSpan w:val="5"/>
            <w:vAlign w:val="center"/>
          </w:tcPr>
          <w:p>
            <w:pPr>
              <w:topLinePunct/>
              <w:spacing w:line="360" w:lineRule="auto"/>
              <w:ind w:firstLine="120" w:firstLineChars="50"/>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24" w:hRule="atLeast"/>
          <w:jc w:val="center"/>
        </w:trPr>
        <w:tc>
          <w:tcPr>
            <w:tcW w:w="718" w:type="dxa"/>
            <w:vMerge w:val="continue"/>
            <w:vAlign w:val="center"/>
          </w:tcPr>
          <w:p>
            <w:pPr>
              <w:topLinePunct/>
              <w:spacing w:line="360" w:lineRule="auto"/>
              <w:jc w:val="center"/>
              <w:rPr>
                <w:rFonts w:hint="eastAsia" w:ascii="仿宋" w:hAnsi="仿宋" w:eastAsia="仿宋" w:cs="仿宋"/>
                <w:sz w:val="24"/>
                <w:szCs w:val="24"/>
              </w:rPr>
            </w:pPr>
          </w:p>
        </w:tc>
        <w:tc>
          <w:tcPr>
            <w:tcW w:w="1592" w:type="dxa"/>
            <w:gridSpan w:val="2"/>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营业范围</w:t>
            </w:r>
          </w:p>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（兼营）</w:t>
            </w:r>
          </w:p>
        </w:tc>
        <w:tc>
          <w:tcPr>
            <w:tcW w:w="6907" w:type="dxa"/>
            <w:gridSpan w:val="5"/>
            <w:vAlign w:val="center"/>
          </w:tcPr>
          <w:p>
            <w:pPr>
              <w:topLinePunct/>
              <w:spacing w:line="360" w:lineRule="auto"/>
              <w:ind w:firstLine="120" w:firstLineChars="50"/>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基本账户开户行及账号</w:t>
            </w:r>
          </w:p>
        </w:tc>
        <w:tc>
          <w:tcPr>
            <w:tcW w:w="6907" w:type="dxa"/>
            <w:gridSpan w:val="5"/>
            <w:vAlign w:val="center"/>
          </w:tcPr>
          <w:p>
            <w:pPr>
              <w:topLinePunct/>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58" w:hRule="atLeast"/>
          <w:jc w:val="center"/>
        </w:trPr>
        <w:tc>
          <w:tcPr>
            <w:tcW w:w="2310" w:type="dxa"/>
            <w:gridSpan w:val="3"/>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资产总额（万元）</w:t>
            </w:r>
          </w:p>
        </w:tc>
        <w:tc>
          <w:tcPr>
            <w:tcW w:w="6907" w:type="dxa"/>
            <w:gridSpan w:val="5"/>
            <w:vAlign w:val="center"/>
          </w:tcPr>
          <w:p>
            <w:pPr>
              <w:topLinePunct/>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04" w:hRule="atLeast"/>
          <w:jc w:val="center"/>
        </w:trPr>
        <w:tc>
          <w:tcPr>
            <w:tcW w:w="2310" w:type="dxa"/>
            <w:gridSpan w:val="3"/>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资质名称</w:t>
            </w:r>
          </w:p>
        </w:tc>
        <w:tc>
          <w:tcPr>
            <w:tcW w:w="2403" w:type="dxa"/>
            <w:gridSpan w:val="2"/>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等级</w:t>
            </w:r>
          </w:p>
        </w:tc>
        <w:tc>
          <w:tcPr>
            <w:tcW w:w="1227" w:type="dxa"/>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发证机关</w:t>
            </w:r>
          </w:p>
        </w:tc>
        <w:tc>
          <w:tcPr>
            <w:tcW w:w="3277" w:type="dxa"/>
            <w:gridSpan w:val="2"/>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有效期</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hint="eastAsia" w:ascii="仿宋" w:hAnsi="仿宋" w:eastAsia="仿宋" w:cs="仿宋"/>
                <w:sz w:val="24"/>
                <w:szCs w:val="24"/>
              </w:rPr>
            </w:pPr>
          </w:p>
        </w:tc>
        <w:tc>
          <w:tcPr>
            <w:tcW w:w="2403" w:type="dxa"/>
            <w:gridSpan w:val="2"/>
            <w:vAlign w:val="center"/>
          </w:tcPr>
          <w:p>
            <w:pPr>
              <w:topLinePunct/>
              <w:spacing w:line="360" w:lineRule="auto"/>
              <w:jc w:val="center"/>
              <w:rPr>
                <w:rFonts w:hint="eastAsia" w:ascii="仿宋" w:hAnsi="仿宋" w:eastAsia="仿宋" w:cs="仿宋"/>
                <w:sz w:val="24"/>
                <w:szCs w:val="24"/>
              </w:rPr>
            </w:pPr>
          </w:p>
        </w:tc>
        <w:tc>
          <w:tcPr>
            <w:tcW w:w="1227" w:type="dxa"/>
            <w:vAlign w:val="center"/>
          </w:tcPr>
          <w:p>
            <w:pPr>
              <w:topLinePunct/>
              <w:spacing w:line="360" w:lineRule="auto"/>
              <w:jc w:val="center"/>
              <w:rPr>
                <w:rFonts w:hint="eastAsia" w:ascii="仿宋" w:hAnsi="仿宋" w:eastAsia="仿宋" w:cs="仿宋"/>
                <w:sz w:val="24"/>
                <w:szCs w:val="24"/>
              </w:rPr>
            </w:pPr>
          </w:p>
        </w:tc>
        <w:tc>
          <w:tcPr>
            <w:tcW w:w="3277" w:type="dxa"/>
            <w:gridSpan w:val="2"/>
            <w:vAlign w:val="center"/>
          </w:tcPr>
          <w:p>
            <w:pPr>
              <w:topLinePunct/>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626" w:hRule="atLeast"/>
          <w:jc w:val="center"/>
        </w:trPr>
        <w:tc>
          <w:tcPr>
            <w:tcW w:w="2310" w:type="dxa"/>
            <w:gridSpan w:val="3"/>
            <w:vAlign w:val="center"/>
          </w:tcPr>
          <w:p>
            <w:pPr>
              <w:topLinePunct/>
              <w:spacing w:line="360" w:lineRule="auto"/>
              <w:jc w:val="center"/>
              <w:rPr>
                <w:rFonts w:hint="eastAsia" w:ascii="仿宋" w:hAnsi="仿宋" w:eastAsia="仿宋" w:cs="仿宋"/>
                <w:sz w:val="24"/>
                <w:szCs w:val="24"/>
              </w:rPr>
            </w:pPr>
          </w:p>
        </w:tc>
        <w:tc>
          <w:tcPr>
            <w:tcW w:w="2403" w:type="dxa"/>
            <w:gridSpan w:val="2"/>
            <w:vAlign w:val="center"/>
          </w:tcPr>
          <w:p>
            <w:pPr>
              <w:topLinePunct/>
              <w:spacing w:line="360" w:lineRule="auto"/>
              <w:jc w:val="center"/>
              <w:rPr>
                <w:rFonts w:hint="eastAsia" w:ascii="仿宋" w:hAnsi="仿宋" w:eastAsia="仿宋" w:cs="仿宋"/>
                <w:sz w:val="24"/>
                <w:szCs w:val="24"/>
              </w:rPr>
            </w:pPr>
          </w:p>
        </w:tc>
        <w:tc>
          <w:tcPr>
            <w:tcW w:w="1227" w:type="dxa"/>
            <w:vAlign w:val="center"/>
          </w:tcPr>
          <w:p>
            <w:pPr>
              <w:topLinePunct/>
              <w:spacing w:line="360" w:lineRule="auto"/>
              <w:jc w:val="center"/>
              <w:rPr>
                <w:rFonts w:hint="eastAsia" w:ascii="仿宋" w:hAnsi="仿宋" w:eastAsia="仿宋" w:cs="仿宋"/>
                <w:sz w:val="24"/>
                <w:szCs w:val="24"/>
              </w:rPr>
            </w:pPr>
          </w:p>
        </w:tc>
        <w:tc>
          <w:tcPr>
            <w:tcW w:w="3277" w:type="dxa"/>
            <w:gridSpan w:val="2"/>
            <w:vAlign w:val="center"/>
          </w:tcPr>
          <w:p>
            <w:pPr>
              <w:topLinePunct/>
              <w:spacing w:line="360" w:lineRule="auto"/>
              <w:jc w:val="center"/>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19" w:hRule="atLeast"/>
          <w:jc w:val="center"/>
        </w:trPr>
        <w:tc>
          <w:tcPr>
            <w:tcW w:w="1257" w:type="dxa"/>
            <w:gridSpan w:val="2"/>
            <w:vAlign w:val="center"/>
          </w:tcPr>
          <w:p>
            <w:pPr>
              <w:topLinePunct/>
              <w:spacing w:line="360" w:lineRule="auto"/>
              <w:jc w:val="center"/>
              <w:rPr>
                <w:rFonts w:hint="eastAsia" w:ascii="仿宋" w:hAnsi="仿宋" w:eastAsia="仿宋" w:cs="仿宋"/>
                <w:sz w:val="24"/>
                <w:szCs w:val="24"/>
              </w:rPr>
            </w:pPr>
            <w:r>
              <w:rPr>
                <w:rFonts w:hint="eastAsia" w:ascii="仿宋" w:hAnsi="仿宋" w:eastAsia="仿宋" w:cs="仿宋"/>
                <w:sz w:val="24"/>
                <w:szCs w:val="24"/>
              </w:rPr>
              <w:t>备注</w:t>
            </w:r>
          </w:p>
        </w:tc>
        <w:tc>
          <w:tcPr>
            <w:tcW w:w="7960" w:type="dxa"/>
            <w:gridSpan w:val="6"/>
            <w:vAlign w:val="center"/>
          </w:tcPr>
          <w:p>
            <w:pPr>
              <w:topLinePunct/>
              <w:spacing w:line="360" w:lineRule="auto"/>
              <w:jc w:val="center"/>
              <w:rPr>
                <w:rFonts w:hint="eastAsia" w:ascii="仿宋" w:hAnsi="仿宋" w:eastAsia="仿宋" w:cs="仿宋"/>
                <w:sz w:val="24"/>
                <w:szCs w:val="24"/>
              </w:rPr>
            </w:pPr>
          </w:p>
        </w:tc>
      </w:tr>
    </w:tbl>
    <w:p>
      <w:pPr>
        <w:autoSpaceDE w:val="0"/>
        <w:autoSpaceDN w:val="0"/>
        <w:adjustRightInd w:val="0"/>
        <w:snapToGrid w:val="0"/>
        <w:spacing w:before="120" w:line="360" w:lineRule="auto"/>
        <w:ind w:firstLine="480" w:firstLineChars="200"/>
        <w:jc w:val="left"/>
        <w:rPr>
          <w:rFonts w:hint="eastAsia" w:ascii="仿宋" w:hAnsi="仿宋" w:eastAsia="仿宋" w:cs="仿宋"/>
          <w:sz w:val="24"/>
          <w:szCs w:val="24"/>
        </w:rPr>
      </w:pPr>
      <w:r>
        <w:rPr>
          <w:rFonts w:hint="eastAsia" w:ascii="仿宋" w:hAnsi="仿宋" w:eastAsia="仿宋" w:cs="仿宋"/>
          <w:sz w:val="24"/>
          <w:szCs w:val="24"/>
        </w:rPr>
        <w:t>说明：企业类型指大型、中型、小型、微型；上年营业收入、资产总额要与财务报表中的数据一致；资质指特定条件要求提供的资质。</w:t>
      </w:r>
    </w:p>
    <w:p>
      <w:pPr>
        <w:spacing w:line="360" w:lineRule="auto"/>
        <w:ind w:firstLine="3840" w:firstLineChars="1600"/>
        <w:rPr>
          <w:rFonts w:hint="eastAsia" w:ascii="仿宋" w:hAnsi="仿宋" w:eastAsia="仿宋" w:cs="仿宋"/>
          <w:sz w:val="24"/>
          <w:szCs w:val="24"/>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spacing w:line="360" w:lineRule="auto"/>
        <w:ind w:firstLine="3360" w:firstLineChars="1400"/>
        <w:rPr>
          <w:rFonts w:hint="eastAsia" w:ascii="仿宋" w:hAnsi="仿宋" w:eastAsia="仿宋" w:cs="仿宋"/>
        </w:rPr>
        <w:sectPr>
          <w:footerReference r:id="rId6" w:type="default"/>
          <w:pgSz w:w="11906" w:h="16838"/>
          <w:pgMar w:top="1417" w:right="1701" w:bottom="1417" w:left="1701" w:header="851" w:footer="992" w:gutter="0"/>
          <w:cols w:space="0" w:num="1"/>
          <w:docGrid w:linePitch="312" w:charSpace="0"/>
        </w:sectPr>
      </w:pPr>
      <w:r>
        <w:rPr>
          <w:rFonts w:hint="eastAsia" w:ascii="仿宋" w:hAnsi="仿宋" w:eastAsia="仿宋" w:cs="仿宋"/>
          <w:sz w:val="24"/>
          <w:szCs w:val="24"/>
        </w:rPr>
        <w:t>日    期：</w:t>
      </w:r>
    </w:p>
    <w:p>
      <w:pPr>
        <w:numPr>
          <w:ilvl w:val="0"/>
          <w:numId w:val="4"/>
        </w:numPr>
        <w:autoSpaceDE w:val="0"/>
        <w:autoSpaceDN w:val="0"/>
        <w:adjustRightInd w:val="0"/>
        <w:snapToGrid w:val="0"/>
        <w:spacing w:before="120" w:line="360" w:lineRule="auto"/>
        <w:jc w:val="center"/>
        <w:outlineLvl w:val="2"/>
        <w:rPr>
          <w:rFonts w:hint="eastAsia" w:ascii="仿宋" w:hAnsi="仿宋" w:eastAsia="仿宋" w:cs="仿宋"/>
          <w:b/>
          <w:bCs/>
          <w:sz w:val="28"/>
          <w:szCs w:val="28"/>
        </w:rPr>
      </w:pPr>
      <w:bookmarkStart w:id="481" w:name="_Toc27035"/>
      <w:bookmarkStart w:id="482" w:name="_Toc29418"/>
      <w:bookmarkStart w:id="483" w:name="_Toc495681251"/>
      <w:bookmarkStart w:id="484" w:name="_Toc495681405"/>
      <w:bookmarkStart w:id="485" w:name="_Toc495908047"/>
      <w:bookmarkStart w:id="486" w:name="_Toc495681532"/>
      <w:bookmarkStart w:id="487" w:name="_Toc31488"/>
      <w:bookmarkStart w:id="488" w:name="_Toc495671262"/>
      <w:bookmarkStart w:id="489" w:name="_Toc495908056"/>
      <w:bookmarkStart w:id="490" w:name="_Toc495681414"/>
      <w:bookmarkStart w:id="491" w:name="_Toc495681260"/>
      <w:bookmarkStart w:id="492" w:name="_Toc495681541"/>
      <w:bookmarkStart w:id="493" w:name="_Toc495671271"/>
      <w:r>
        <w:rPr>
          <w:rFonts w:hint="eastAsia" w:ascii="仿宋" w:hAnsi="仿宋" w:eastAsia="仿宋" w:cs="仿宋"/>
          <w:b/>
          <w:bCs/>
          <w:sz w:val="28"/>
          <w:szCs w:val="28"/>
        </w:rPr>
        <w:t>提供统一社会信用代码的营业执照或其他组织经营的合法凭证或自然人的提供身份证明文件</w:t>
      </w:r>
      <w:bookmarkEnd w:id="481"/>
      <w:bookmarkEnd w:id="482"/>
      <w:bookmarkEnd w:id="483"/>
      <w:bookmarkEnd w:id="484"/>
      <w:bookmarkEnd w:id="485"/>
      <w:bookmarkEnd w:id="486"/>
      <w:bookmarkEnd w:id="487"/>
      <w:bookmarkEnd w:id="488"/>
      <w:bookmarkStart w:id="494" w:name="_Toc894"/>
    </w:p>
    <w:p>
      <w:pPr>
        <w:pStyle w:val="24"/>
        <w:ind w:firstLine="562"/>
        <w:rPr>
          <w:rFonts w:hint="eastAsia" w:ascii="仿宋" w:hAnsi="仿宋" w:eastAsia="仿宋" w:cs="仿宋"/>
          <w:b/>
          <w:bCs/>
          <w:sz w:val="28"/>
          <w:szCs w:val="28"/>
        </w:rPr>
      </w:pPr>
    </w:p>
    <w:p>
      <w:pPr>
        <w:pStyle w:val="18"/>
        <w:jc w:val="center"/>
        <w:rPr>
          <w:rFonts w:hint="eastAsia" w:ascii="仿宋" w:hAnsi="仿宋" w:eastAsia="仿宋" w:cs="仿宋"/>
          <w:sz w:val="24"/>
          <w:szCs w:val="24"/>
        </w:rPr>
      </w:pPr>
      <w:r>
        <w:rPr>
          <w:rFonts w:hint="eastAsia" w:ascii="仿宋" w:hAnsi="仿宋" w:eastAsia="仿宋" w:cs="仿宋"/>
          <w:sz w:val="24"/>
          <w:szCs w:val="24"/>
        </w:rPr>
        <w:t>提供扫描件或复印件加盖单位公章</w:t>
      </w:r>
    </w:p>
    <w:p>
      <w:pPr>
        <w:pStyle w:val="23"/>
        <w:ind w:firstLine="210"/>
        <w:rPr>
          <w:rFonts w:hint="eastAsia" w:ascii="仿宋" w:hAnsi="仿宋" w:eastAsia="仿宋" w:cs="仿宋"/>
        </w:rPr>
        <w:sectPr>
          <w:pgSz w:w="11906" w:h="16838"/>
          <w:pgMar w:top="1417" w:right="1701" w:bottom="1417" w:left="1701" w:header="851" w:footer="992" w:gutter="0"/>
          <w:cols w:space="0" w:num="1"/>
          <w:docGrid w:linePitch="312" w:charSpace="0"/>
        </w:sectPr>
      </w:pPr>
    </w:p>
    <w:p>
      <w:pPr>
        <w:numPr>
          <w:ilvl w:val="0"/>
          <w:numId w:val="4"/>
        </w:numPr>
        <w:autoSpaceDE w:val="0"/>
        <w:autoSpaceDN w:val="0"/>
        <w:adjustRightInd w:val="0"/>
        <w:snapToGrid w:val="0"/>
        <w:spacing w:before="120" w:line="360" w:lineRule="auto"/>
        <w:jc w:val="center"/>
        <w:outlineLvl w:val="2"/>
        <w:rPr>
          <w:rFonts w:hint="eastAsia" w:ascii="仿宋" w:hAnsi="仿宋" w:eastAsia="仿宋" w:cs="仿宋"/>
          <w:b/>
          <w:bCs/>
          <w:sz w:val="28"/>
          <w:szCs w:val="28"/>
        </w:rPr>
      </w:pPr>
      <w:bookmarkStart w:id="495" w:name="_Toc24237"/>
      <w:r>
        <w:rPr>
          <w:rFonts w:hint="eastAsia" w:ascii="仿宋" w:hAnsi="仿宋" w:eastAsia="仿宋" w:cs="仿宋"/>
          <w:b/>
          <w:bCs/>
          <w:sz w:val="28"/>
          <w:szCs w:val="28"/>
        </w:rPr>
        <w:t>财务状况报告</w:t>
      </w:r>
      <w:bookmarkEnd w:id="495"/>
    </w:p>
    <w:p>
      <w:pPr>
        <w:pStyle w:val="18"/>
        <w:jc w:val="center"/>
        <w:rPr>
          <w:rFonts w:hint="eastAsia" w:ascii="仿宋" w:hAnsi="仿宋" w:eastAsia="仿宋" w:cs="仿宋"/>
          <w:sz w:val="24"/>
          <w:szCs w:val="24"/>
        </w:rPr>
      </w:pPr>
      <w:r>
        <w:rPr>
          <w:rFonts w:hint="eastAsia" w:ascii="仿宋" w:hAnsi="仿宋" w:eastAsia="仿宋" w:cs="仿宋"/>
          <w:sz w:val="24"/>
          <w:szCs w:val="24"/>
        </w:rPr>
        <w:t>提供扫描件或复印件加盖单位公章</w:t>
      </w:r>
    </w:p>
    <w:p>
      <w:pPr>
        <w:pStyle w:val="6"/>
        <w:rPr>
          <w:rFonts w:hint="eastAsia" w:ascii="仿宋" w:hAnsi="仿宋" w:eastAsia="仿宋" w:cs="仿宋"/>
        </w:rPr>
        <w:sectPr>
          <w:pgSz w:w="11906" w:h="16838"/>
          <w:pgMar w:top="1417" w:right="1701" w:bottom="1417" w:left="1701" w:header="851" w:footer="992" w:gutter="0"/>
          <w:cols w:space="0" w:num="1"/>
          <w:docGrid w:linePitch="312" w:charSpace="0"/>
        </w:sectPr>
      </w:pPr>
    </w:p>
    <w:p>
      <w:pPr>
        <w:autoSpaceDE w:val="0"/>
        <w:autoSpaceDN w:val="0"/>
        <w:adjustRightInd w:val="0"/>
        <w:snapToGrid w:val="0"/>
        <w:spacing w:before="120" w:line="360" w:lineRule="auto"/>
        <w:jc w:val="center"/>
        <w:outlineLvl w:val="2"/>
        <w:rPr>
          <w:rFonts w:hint="eastAsia" w:ascii="仿宋" w:hAnsi="仿宋" w:eastAsia="仿宋" w:cs="仿宋"/>
          <w:b/>
          <w:sz w:val="28"/>
          <w:szCs w:val="28"/>
        </w:rPr>
      </w:pPr>
      <w:bookmarkStart w:id="496" w:name="_Toc2452"/>
      <w:r>
        <w:rPr>
          <w:rFonts w:hint="eastAsia" w:ascii="仿宋" w:hAnsi="仿宋" w:eastAsia="仿宋" w:cs="仿宋"/>
          <w:b/>
          <w:sz w:val="28"/>
          <w:szCs w:val="28"/>
        </w:rPr>
        <w:t>（三）税收缴纳证明</w:t>
      </w:r>
      <w:bookmarkEnd w:id="496"/>
    </w:p>
    <w:p>
      <w:pPr>
        <w:pStyle w:val="18"/>
        <w:jc w:val="center"/>
        <w:rPr>
          <w:rFonts w:hint="eastAsia" w:ascii="仿宋" w:hAnsi="仿宋" w:eastAsia="仿宋" w:cs="仿宋"/>
          <w:sz w:val="24"/>
          <w:szCs w:val="24"/>
        </w:rPr>
      </w:pPr>
      <w:r>
        <w:rPr>
          <w:rFonts w:hint="eastAsia" w:ascii="仿宋" w:hAnsi="仿宋" w:eastAsia="仿宋" w:cs="仿宋"/>
          <w:sz w:val="24"/>
          <w:szCs w:val="24"/>
        </w:rPr>
        <w:t>提供扫描件或复印件加盖单位公章</w:t>
      </w:r>
    </w:p>
    <w:p>
      <w:pPr>
        <w:pStyle w:val="6"/>
        <w:rPr>
          <w:rFonts w:hint="eastAsia" w:ascii="仿宋" w:hAnsi="仿宋" w:eastAsia="仿宋" w:cs="仿宋"/>
        </w:rPr>
        <w:sectPr>
          <w:pgSz w:w="11906" w:h="16838"/>
          <w:pgMar w:top="1417" w:right="1701" w:bottom="1417" w:left="1701" w:header="851" w:footer="992" w:gutter="0"/>
          <w:cols w:space="0" w:num="1"/>
          <w:docGrid w:linePitch="312" w:charSpace="0"/>
        </w:sectPr>
      </w:pPr>
    </w:p>
    <w:p>
      <w:pPr>
        <w:spacing w:line="360" w:lineRule="auto"/>
        <w:jc w:val="center"/>
        <w:outlineLvl w:val="2"/>
        <w:rPr>
          <w:rFonts w:hint="eastAsia" w:ascii="仿宋" w:hAnsi="仿宋" w:eastAsia="仿宋" w:cs="仿宋"/>
          <w:b/>
          <w:sz w:val="28"/>
          <w:szCs w:val="28"/>
        </w:rPr>
      </w:pPr>
      <w:bookmarkStart w:id="497" w:name="_Toc13629"/>
      <w:r>
        <w:rPr>
          <w:rFonts w:hint="eastAsia" w:ascii="仿宋" w:hAnsi="仿宋" w:eastAsia="仿宋" w:cs="仿宋"/>
          <w:b/>
          <w:sz w:val="28"/>
          <w:szCs w:val="28"/>
        </w:rPr>
        <w:t>（四）社会保障资金缴纳证明</w:t>
      </w:r>
      <w:bookmarkEnd w:id="497"/>
    </w:p>
    <w:p>
      <w:pPr>
        <w:spacing w:line="360" w:lineRule="auto"/>
        <w:ind w:firstLine="480" w:firstLineChars="200"/>
        <w:jc w:val="center"/>
        <w:rPr>
          <w:rFonts w:hint="eastAsia" w:ascii="仿宋" w:hAnsi="仿宋" w:eastAsia="仿宋" w:cs="仿宋"/>
          <w:sz w:val="24"/>
          <w:szCs w:val="24"/>
        </w:rPr>
      </w:pPr>
    </w:p>
    <w:p>
      <w:pPr>
        <w:spacing w:line="360" w:lineRule="auto"/>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扫描件或复印件加盖单位公章</w:t>
      </w:r>
    </w:p>
    <w:p>
      <w:pPr>
        <w:spacing w:line="360" w:lineRule="auto"/>
        <w:ind w:firstLine="480" w:firstLineChars="200"/>
        <w:rPr>
          <w:rFonts w:hint="eastAsia" w:ascii="仿宋" w:hAnsi="仿宋" w:eastAsia="仿宋" w:cs="仿宋"/>
          <w:sz w:val="24"/>
          <w:szCs w:val="24"/>
        </w:rPr>
      </w:pPr>
    </w:p>
    <w:p>
      <w:pPr>
        <w:spacing w:line="360" w:lineRule="auto"/>
        <w:ind w:firstLine="480"/>
        <w:rPr>
          <w:rFonts w:hint="eastAsia" w:ascii="仿宋" w:hAnsi="仿宋" w:eastAsia="仿宋" w:cs="仿宋"/>
          <w:kern w:val="0"/>
          <w:sz w:val="24"/>
          <w:szCs w:val="22"/>
        </w:rPr>
      </w:pPr>
    </w:p>
    <w:p>
      <w:pPr>
        <w:pageBreakBefore/>
        <w:spacing w:line="360" w:lineRule="auto"/>
        <w:jc w:val="center"/>
        <w:outlineLvl w:val="2"/>
        <w:rPr>
          <w:rFonts w:hint="eastAsia" w:ascii="仿宋" w:hAnsi="仿宋" w:eastAsia="仿宋" w:cs="仿宋"/>
          <w:b/>
          <w:sz w:val="28"/>
          <w:szCs w:val="28"/>
        </w:rPr>
      </w:pPr>
      <w:bookmarkStart w:id="498" w:name="_Toc2137"/>
      <w:r>
        <w:rPr>
          <w:rFonts w:hint="eastAsia" w:ascii="仿宋" w:hAnsi="仿宋" w:eastAsia="仿宋" w:cs="仿宋"/>
          <w:b/>
          <w:bCs/>
          <w:sz w:val="28"/>
          <w:szCs w:val="28"/>
        </w:rPr>
        <w:t>（五）出具履行合同所必需的设备和专业技术能力的书面声明</w:t>
      </w:r>
      <w:bookmarkEnd w:id="498"/>
    </w:p>
    <w:p>
      <w:pPr>
        <w:spacing w:line="360" w:lineRule="auto"/>
        <w:rPr>
          <w:rFonts w:hint="eastAsia"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spacing w:line="360" w:lineRule="auto"/>
        <w:ind w:firstLine="480" w:firstLineChars="200"/>
        <w:rPr>
          <w:rFonts w:hint="eastAsia" w:ascii="仿宋" w:hAnsi="仿宋" w:eastAsia="仿宋" w:cs="仿宋"/>
          <w:spacing w:val="4"/>
          <w:sz w:val="24"/>
          <w:szCs w:val="24"/>
          <w:u w:val="single"/>
        </w:rPr>
      </w:pPr>
      <w:r>
        <w:rPr>
          <w:rFonts w:hint="eastAsia" w:ascii="仿宋" w:hAnsi="仿宋" w:eastAsia="仿宋" w:cs="仿宋"/>
          <w:color w:val="000000"/>
          <w:kern w:val="0"/>
          <w:sz w:val="24"/>
          <w:szCs w:val="24"/>
        </w:rPr>
        <w:t>我方作为</w:t>
      </w:r>
      <w:r>
        <w:rPr>
          <w:rFonts w:hint="eastAsia" w:ascii="仿宋" w:hAnsi="仿宋" w:eastAsia="仿宋" w:cs="仿宋"/>
          <w:color w:val="000000"/>
          <w:kern w:val="0"/>
          <w:sz w:val="24"/>
          <w:szCs w:val="24"/>
          <w:u w:val="single"/>
        </w:rPr>
        <w:t xml:space="preserve">         （项目名称）         </w:t>
      </w:r>
      <w:r>
        <w:rPr>
          <w:rFonts w:hint="eastAsia" w:ascii="仿宋" w:hAnsi="仿宋" w:eastAsia="仿宋" w:cs="仿宋"/>
          <w:color w:val="000000"/>
          <w:kern w:val="0"/>
          <w:sz w:val="24"/>
          <w:szCs w:val="24"/>
        </w:rPr>
        <w:t>（项目编号：）的供应商，在此郑重声明：</w:t>
      </w:r>
    </w:p>
    <w:p>
      <w:pPr>
        <w:widowControl/>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我方具备履行合同所必须的设备和专业技术能力。</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特此声明。</w:t>
      </w:r>
    </w:p>
    <w:p>
      <w:pPr>
        <w:spacing w:beforeLines="100" w:afterLines="50" w:line="360" w:lineRule="auto"/>
        <w:ind w:firstLine="620" w:firstLineChars="250"/>
        <w:rPr>
          <w:rFonts w:hint="eastAsia" w:ascii="仿宋" w:hAnsi="仿宋" w:eastAsia="仿宋" w:cs="仿宋"/>
          <w:spacing w:val="4"/>
          <w:sz w:val="24"/>
          <w:szCs w:val="24"/>
        </w:rPr>
      </w:pPr>
    </w:p>
    <w:p>
      <w:pPr>
        <w:spacing w:beforeLines="100" w:afterLines="50" w:line="360" w:lineRule="auto"/>
        <w:ind w:firstLine="170"/>
        <w:rPr>
          <w:rFonts w:hint="eastAsia" w:ascii="仿宋" w:hAnsi="仿宋" w:eastAsia="仿宋" w:cs="仿宋"/>
          <w:spacing w:val="4"/>
          <w:sz w:val="24"/>
          <w:szCs w:val="24"/>
        </w:rPr>
      </w:pPr>
    </w:p>
    <w:p>
      <w:pPr>
        <w:spacing w:beforeLines="100" w:afterLines="50" w:line="360" w:lineRule="auto"/>
        <w:ind w:firstLine="170"/>
        <w:rPr>
          <w:rFonts w:hint="eastAsia" w:ascii="仿宋" w:hAnsi="仿宋" w:eastAsia="仿宋" w:cs="仿宋"/>
          <w:spacing w:val="4"/>
          <w:sz w:val="24"/>
          <w:szCs w:val="24"/>
        </w:rPr>
      </w:pPr>
    </w:p>
    <w:p>
      <w:pPr>
        <w:spacing w:line="360" w:lineRule="auto"/>
        <w:ind w:firstLine="2738" w:firstLineChars="1141"/>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2738" w:firstLineChars="1141"/>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spacing w:line="360" w:lineRule="auto"/>
        <w:ind w:firstLine="2738" w:firstLineChars="1141"/>
        <w:rPr>
          <w:rFonts w:hint="eastAsia" w:ascii="仿宋" w:hAnsi="仿宋" w:eastAsia="仿宋" w:cs="仿宋"/>
          <w:bCs/>
          <w:sz w:val="24"/>
          <w:szCs w:val="24"/>
        </w:rPr>
      </w:pPr>
      <w:r>
        <w:rPr>
          <w:rFonts w:hint="eastAsia" w:ascii="仿宋" w:hAnsi="仿宋" w:eastAsia="仿宋" w:cs="仿宋"/>
          <w:sz w:val="24"/>
          <w:szCs w:val="24"/>
        </w:rPr>
        <w:t>日    期：</w:t>
      </w: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r>
        <w:rPr>
          <w:rFonts w:hint="eastAsia" w:ascii="仿宋" w:hAnsi="仿宋" w:eastAsia="仿宋" w:cs="仿宋"/>
          <w:bCs/>
          <w:sz w:val="24"/>
          <w:szCs w:val="24"/>
        </w:rPr>
        <w:br w:type="page"/>
      </w:r>
    </w:p>
    <w:p>
      <w:pPr>
        <w:spacing w:line="360" w:lineRule="auto"/>
        <w:jc w:val="center"/>
        <w:outlineLvl w:val="2"/>
        <w:rPr>
          <w:rFonts w:hint="eastAsia" w:ascii="仿宋" w:hAnsi="仿宋" w:eastAsia="仿宋" w:cs="仿宋"/>
          <w:b/>
          <w:sz w:val="28"/>
          <w:szCs w:val="28"/>
          <w:highlight w:val="none"/>
        </w:rPr>
      </w:pPr>
      <w:bookmarkStart w:id="499" w:name="_Toc1093"/>
      <w:bookmarkStart w:id="500" w:name="_Toc15146"/>
      <w:bookmarkStart w:id="501" w:name="_Toc28901"/>
      <w:r>
        <w:rPr>
          <w:rFonts w:hint="eastAsia" w:ascii="仿宋" w:hAnsi="仿宋" w:eastAsia="仿宋" w:cs="仿宋"/>
          <w:b/>
          <w:sz w:val="28"/>
          <w:szCs w:val="28"/>
          <w:highlight w:val="none"/>
        </w:rPr>
        <w:t>（六）参加政府采购活动的书面声明</w:t>
      </w:r>
      <w:bookmarkEnd w:id="499"/>
      <w:bookmarkEnd w:id="500"/>
    </w:p>
    <w:p>
      <w:pPr>
        <w:spacing w:line="360" w:lineRule="auto"/>
        <w:rPr>
          <w:rFonts w:hint="eastAsia"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widowControl/>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我方作为</w:t>
      </w:r>
      <w:r>
        <w:rPr>
          <w:rFonts w:hint="eastAsia" w:ascii="仿宋" w:hAnsi="仿宋" w:eastAsia="仿宋" w:cs="仿宋"/>
          <w:color w:val="000000"/>
          <w:kern w:val="0"/>
          <w:sz w:val="24"/>
          <w:szCs w:val="24"/>
          <w:u w:val="single"/>
        </w:rPr>
        <w:t xml:space="preserve">         （项目名称）         </w:t>
      </w:r>
      <w:r>
        <w:rPr>
          <w:rFonts w:hint="eastAsia" w:ascii="仿宋" w:hAnsi="仿宋" w:eastAsia="仿宋" w:cs="仿宋"/>
          <w:color w:val="000000"/>
          <w:kern w:val="0"/>
          <w:sz w:val="24"/>
          <w:szCs w:val="24"/>
        </w:rPr>
        <w:t>（项目编号：）的供应商，在此郑重声明：</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1、在参加本次政府采购活动前 3 年内的经营活动中____（填“没有”或“有”）重大违法记录。供应</w:t>
      </w:r>
      <w:r>
        <w:rPr>
          <w:rFonts w:hint="eastAsia" w:ascii="仿宋" w:hAnsi="仿宋" w:eastAsia="仿宋" w:cs="仿宋"/>
          <w:b/>
          <w:bCs/>
          <w:color w:val="000000"/>
          <w:kern w:val="0"/>
          <w:sz w:val="24"/>
          <w:szCs w:val="24"/>
        </w:rPr>
        <w:t xml:space="preserve">商在参加政府采购活动前 3 年内因违法经营被禁止在一定期限内参加政府采购活动，期限届满的，可以参加政府采购活动，但应提供期限届满的证明材料。 </w:t>
      </w:r>
    </w:p>
    <w:p>
      <w:pPr>
        <w:widowControl/>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2、我方______（填“未被列入”或“被列入”）失信被执行人名单。</w:t>
      </w:r>
    </w:p>
    <w:p>
      <w:pPr>
        <w:widowControl/>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3、我方______（填“未被列入”或“被列入”）重大税收违法案件当事人名单。</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 xml:space="preserve">4、我方______（填“未被列入”或“被列入”）政府采购严重违法失信行为记录名单。 </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特此声明。</w:t>
      </w:r>
    </w:p>
    <w:p>
      <w:pPr>
        <w:autoSpaceDE w:val="0"/>
        <w:autoSpaceDN w:val="0"/>
        <w:adjustRightInd w:val="0"/>
        <w:spacing w:line="360" w:lineRule="auto"/>
        <w:ind w:firstLine="480" w:firstLineChars="200"/>
        <w:rPr>
          <w:rFonts w:hint="eastAsia" w:ascii="仿宋" w:hAnsi="仿宋" w:eastAsia="仿宋" w:cs="仿宋"/>
          <w:sz w:val="24"/>
          <w:szCs w:val="24"/>
        </w:rPr>
      </w:pPr>
    </w:p>
    <w:p>
      <w:pPr>
        <w:autoSpaceDE w:val="0"/>
        <w:autoSpaceDN w:val="0"/>
        <w:adjustRightInd w:val="0"/>
        <w:spacing w:line="360" w:lineRule="auto"/>
        <w:ind w:firstLine="480" w:firstLineChars="200"/>
        <w:rPr>
          <w:rFonts w:hint="eastAsia" w:ascii="仿宋" w:hAnsi="仿宋" w:eastAsia="仿宋" w:cs="仿宋"/>
          <w:sz w:val="24"/>
          <w:szCs w:val="24"/>
        </w:rPr>
      </w:pPr>
    </w:p>
    <w:p>
      <w:pPr>
        <w:spacing w:line="360" w:lineRule="auto"/>
        <w:ind w:firstLine="2940" w:firstLineChars="1225"/>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2940" w:firstLineChars="1225"/>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autoSpaceDE w:val="0"/>
        <w:autoSpaceDN w:val="0"/>
        <w:adjustRightInd w:val="0"/>
        <w:spacing w:line="360" w:lineRule="auto"/>
        <w:ind w:firstLine="2940" w:firstLineChars="1225"/>
        <w:rPr>
          <w:rFonts w:hint="eastAsia" w:ascii="仿宋" w:hAnsi="仿宋" w:eastAsia="仿宋" w:cs="仿宋"/>
          <w:b/>
          <w:sz w:val="28"/>
          <w:szCs w:val="28"/>
          <w:lang w:val="zh-CN"/>
        </w:rPr>
        <w:sectPr>
          <w:pgSz w:w="11906" w:h="16838"/>
          <w:pgMar w:top="1417" w:right="1701" w:bottom="1417" w:left="1701" w:header="851" w:footer="992" w:gutter="0"/>
          <w:cols w:space="0" w:num="1"/>
          <w:docGrid w:linePitch="312" w:charSpace="0"/>
        </w:sectPr>
      </w:pPr>
      <w:r>
        <w:rPr>
          <w:rFonts w:hint="eastAsia" w:ascii="仿宋" w:hAnsi="仿宋" w:eastAsia="仿宋" w:cs="仿宋"/>
          <w:sz w:val="24"/>
          <w:szCs w:val="24"/>
        </w:rPr>
        <w:t>日    期：</w:t>
      </w:r>
      <w:bookmarkEnd w:id="489"/>
      <w:bookmarkEnd w:id="490"/>
      <w:bookmarkEnd w:id="491"/>
      <w:bookmarkEnd w:id="492"/>
      <w:bookmarkEnd w:id="493"/>
      <w:bookmarkEnd w:id="494"/>
      <w:bookmarkEnd w:id="501"/>
      <w:bookmarkStart w:id="502" w:name="_Toc20171"/>
    </w:p>
    <w:p>
      <w:pPr>
        <w:pageBreakBefore/>
        <w:spacing w:line="360" w:lineRule="auto"/>
        <w:jc w:val="center"/>
        <w:outlineLvl w:val="2"/>
        <w:rPr>
          <w:rFonts w:hint="eastAsia" w:ascii="仿宋" w:hAnsi="仿宋" w:eastAsia="仿宋" w:cs="仿宋"/>
          <w:b/>
          <w:sz w:val="28"/>
          <w:szCs w:val="28"/>
          <w:lang w:val="zh-CN"/>
        </w:rPr>
      </w:pPr>
      <w:bookmarkStart w:id="503" w:name="_Toc7363"/>
      <w:r>
        <w:rPr>
          <w:rFonts w:hint="eastAsia" w:ascii="仿宋" w:hAnsi="仿宋" w:eastAsia="仿宋" w:cs="仿宋"/>
          <w:b/>
          <w:sz w:val="28"/>
          <w:szCs w:val="28"/>
          <w:lang w:val="zh-CN"/>
        </w:rPr>
        <w:t>（七）提供政府采购政策等证明材料</w:t>
      </w:r>
      <w:bookmarkEnd w:id="502"/>
      <w:bookmarkEnd w:id="503"/>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（1）中小企业声明函（</w:t>
      </w:r>
      <w:r>
        <w:rPr>
          <w:rFonts w:hint="eastAsia" w:ascii="仿宋" w:hAnsi="仿宋" w:eastAsia="仿宋" w:cs="仿宋"/>
          <w:b/>
          <w:bCs/>
          <w:sz w:val="24"/>
          <w:szCs w:val="24"/>
        </w:rPr>
        <w:t>必备项</w:t>
      </w:r>
      <w:r>
        <w:rPr>
          <w:rFonts w:hint="eastAsia" w:ascii="仿宋" w:hAnsi="仿宋" w:eastAsia="仿宋" w:cs="仿宋"/>
          <w:sz w:val="24"/>
          <w:szCs w:val="24"/>
        </w:rPr>
        <w:t>，请提供，格式见附件1，注：本项目属于建筑业）；</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（2）残疾人福利性单位声明函（如适用，请提供，格式见附件2）；</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 xml:space="preserve">（3）监狱企业、福利企业证明材料（如适用，请提供）；  </w:t>
      </w:r>
    </w:p>
    <w:p>
      <w:pPr>
        <w:spacing w:line="360" w:lineRule="auto"/>
        <w:ind w:firstLine="480" w:firstLineChars="200"/>
        <w:rPr>
          <w:rFonts w:hint="eastAsia" w:ascii="仿宋" w:hAnsi="仿宋" w:eastAsia="仿宋" w:cs="仿宋"/>
          <w:sz w:val="24"/>
          <w:szCs w:val="24"/>
        </w:rPr>
        <w:sectPr>
          <w:pgSz w:w="11906" w:h="16838"/>
          <w:pgMar w:top="1417" w:right="1701" w:bottom="1417" w:left="1701" w:header="851" w:footer="992" w:gutter="0"/>
          <w:cols w:space="720" w:num="1"/>
          <w:docGrid w:linePitch="312" w:charSpace="0"/>
        </w:sectPr>
      </w:pPr>
      <w:r>
        <w:rPr>
          <w:rFonts w:hint="eastAsia" w:ascii="仿宋" w:hAnsi="仿宋" w:eastAsia="仿宋" w:cs="仿宋"/>
          <w:sz w:val="24"/>
          <w:szCs w:val="24"/>
        </w:rPr>
        <w:t>（4）节能环保产品、环境标志产品明细表（如适用，请按磋商文件中采购项目需要落实的政府采购政策第2条相关规定提供相关证明材料）；</w:t>
      </w:r>
    </w:p>
    <w:p>
      <w:pPr>
        <w:pageBreakBefore/>
        <w:adjustRightInd w:val="0"/>
        <w:snapToGrid w:val="0"/>
        <w:spacing w:line="360" w:lineRule="auto"/>
        <w:jc w:val="left"/>
        <w:rPr>
          <w:rFonts w:hint="eastAsia" w:ascii="仿宋" w:hAnsi="仿宋" w:eastAsia="仿宋" w:cs="仿宋"/>
          <w:b/>
          <w:bCs/>
          <w:sz w:val="24"/>
          <w:szCs w:val="24"/>
        </w:rPr>
      </w:pPr>
      <w:r>
        <w:rPr>
          <w:rFonts w:hint="eastAsia" w:ascii="仿宋" w:hAnsi="仿宋" w:eastAsia="仿宋" w:cs="仿宋"/>
          <w:b/>
          <w:bCs/>
          <w:sz w:val="24"/>
          <w:szCs w:val="24"/>
        </w:rPr>
        <w:t>附件1</w:t>
      </w:r>
    </w:p>
    <w:p>
      <w:pPr>
        <w:spacing w:line="360" w:lineRule="auto"/>
        <w:jc w:val="center"/>
        <w:rPr>
          <w:rFonts w:hint="eastAsia" w:ascii="仿宋" w:hAnsi="仿宋" w:eastAsia="仿宋" w:cs="仿宋"/>
          <w:b/>
          <w:bCs/>
          <w:sz w:val="28"/>
          <w:szCs w:val="24"/>
        </w:rPr>
      </w:pPr>
      <w:r>
        <w:rPr>
          <w:rFonts w:hint="eastAsia" w:ascii="仿宋" w:hAnsi="仿宋" w:eastAsia="仿宋" w:cs="仿宋"/>
          <w:b/>
          <w:bCs/>
          <w:sz w:val="28"/>
          <w:szCs w:val="24"/>
        </w:rPr>
        <w:t>中小企业声明函（工程、服务）</w:t>
      </w:r>
    </w:p>
    <w:p>
      <w:pPr>
        <w:kinsoku w:val="0"/>
        <w:overflowPunct w:val="0"/>
        <w:spacing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本公司（联合体）郑重声明，根据《政府采购促进中小企业发展管理办法》（财库﹝2020﹞46 号）的规定，本公司（联合体）参加</w:t>
      </w:r>
      <w:r>
        <w:rPr>
          <w:rFonts w:hint="eastAsia" w:ascii="仿宋" w:hAnsi="仿宋" w:eastAsia="仿宋" w:cs="仿宋"/>
          <w:w w:val="95"/>
          <w:sz w:val="24"/>
          <w:szCs w:val="24"/>
          <w:u w:val="single"/>
        </w:rPr>
        <w:t>（单位名称）</w:t>
      </w:r>
      <w:r>
        <w:rPr>
          <w:rFonts w:hint="eastAsia" w:ascii="仿宋" w:hAnsi="仿宋" w:eastAsia="仿宋" w:cs="仿宋"/>
          <w:w w:val="95"/>
          <w:sz w:val="24"/>
          <w:szCs w:val="24"/>
        </w:rPr>
        <w:t>的</w:t>
      </w:r>
      <w:r>
        <w:rPr>
          <w:rFonts w:hint="eastAsia" w:ascii="仿宋" w:hAnsi="仿宋" w:eastAsia="仿宋" w:cs="仿宋"/>
          <w:w w:val="95"/>
          <w:sz w:val="24"/>
          <w:szCs w:val="24"/>
          <w:u w:val="single"/>
        </w:rPr>
        <w:t>（项目名称）</w:t>
      </w:r>
      <w:r>
        <w:rPr>
          <w:rFonts w:hint="eastAsia" w:ascii="仿宋" w:hAnsi="仿宋" w:eastAsia="仿宋" w:cs="仿宋"/>
          <w:w w:val="95"/>
          <w:sz w:val="24"/>
          <w:szCs w:val="24"/>
        </w:rPr>
        <w:t>采购活动，工程的施工单位全部为符合政策要求的中小企业（或者：服务全部由符合政策要求的中小企业承接）。相关企业（含联合体中的中小企业、签订分包意向协议的中小企业）的具体情况如下：</w:t>
      </w:r>
    </w:p>
    <w:p>
      <w:pPr>
        <w:kinsoku w:val="0"/>
        <w:overflowPunct w:val="0"/>
        <w:spacing w:line="360" w:lineRule="auto"/>
        <w:ind w:firstLine="478" w:firstLineChars="200"/>
        <w:rPr>
          <w:rFonts w:hint="eastAsia" w:ascii="仿宋" w:hAnsi="仿宋" w:eastAsia="仿宋" w:cs="仿宋"/>
          <w:w w:val="95"/>
          <w:sz w:val="24"/>
          <w:szCs w:val="24"/>
        </w:rPr>
      </w:pPr>
      <w:r>
        <w:rPr>
          <w:rFonts w:hint="eastAsia" w:ascii="仿宋" w:hAnsi="仿宋" w:eastAsia="仿宋" w:cs="仿宋"/>
          <w:spacing w:val="1"/>
          <w:w w:val="99"/>
          <w:sz w:val="24"/>
          <w:szCs w:val="24"/>
        </w:rPr>
        <w:t>1</w:t>
      </w:r>
      <w:r>
        <w:rPr>
          <w:rFonts w:hint="eastAsia" w:ascii="仿宋" w:hAnsi="仿宋" w:eastAsia="仿宋" w:cs="仿宋"/>
          <w:w w:val="99"/>
          <w:sz w:val="24"/>
          <w:szCs w:val="24"/>
        </w:rPr>
        <w:t>.</w:t>
      </w:r>
      <w:r>
        <w:rPr>
          <w:rFonts w:hint="eastAsia" w:ascii="仿宋" w:hAnsi="仿宋" w:eastAsia="仿宋" w:cs="仿宋"/>
          <w:w w:val="95"/>
          <w:sz w:val="24"/>
          <w:szCs w:val="24"/>
          <w:u w:val="single"/>
        </w:rPr>
        <w:t>（标的名称）</w:t>
      </w:r>
      <w:r>
        <w:rPr>
          <w:rFonts w:hint="eastAsia" w:ascii="仿宋" w:hAnsi="仿宋" w:eastAsia="仿宋" w:cs="仿宋"/>
          <w:w w:val="95"/>
          <w:sz w:val="24"/>
          <w:szCs w:val="24"/>
        </w:rPr>
        <w:t>，属于</w:t>
      </w:r>
      <w:r>
        <w:rPr>
          <w:rFonts w:hint="eastAsia" w:ascii="仿宋" w:hAnsi="仿宋" w:eastAsia="仿宋" w:cs="仿宋"/>
          <w:w w:val="95"/>
          <w:sz w:val="24"/>
          <w:szCs w:val="24"/>
          <w:u w:val="single"/>
        </w:rPr>
        <w:t>（采购文件中明确的所属行业）</w:t>
      </w:r>
      <w:r>
        <w:rPr>
          <w:rFonts w:hint="eastAsia" w:ascii="仿宋" w:hAnsi="仿宋" w:eastAsia="仿宋" w:cs="仿宋"/>
          <w:w w:val="95"/>
          <w:sz w:val="24"/>
          <w:szCs w:val="24"/>
        </w:rPr>
        <w:t>；承建（承接）企业为</w:t>
      </w:r>
      <w:r>
        <w:rPr>
          <w:rFonts w:hint="eastAsia" w:ascii="仿宋" w:hAnsi="仿宋" w:eastAsia="仿宋" w:cs="仿宋"/>
          <w:w w:val="95"/>
          <w:sz w:val="24"/>
          <w:szCs w:val="24"/>
          <w:u w:val="single"/>
        </w:rPr>
        <w:t>（企业名称）</w:t>
      </w:r>
      <w:r>
        <w:rPr>
          <w:rFonts w:hint="eastAsia" w:ascii="仿宋" w:hAnsi="仿宋" w:eastAsia="仿宋" w:cs="仿宋"/>
          <w:w w:val="95"/>
          <w:sz w:val="24"/>
          <w:szCs w:val="24"/>
        </w:rPr>
        <w:t>，从业人员</w:t>
      </w:r>
      <w:r>
        <w:rPr>
          <w:rFonts w:hint="eastAsia" w:ascii="仿宋" w:hAnsi="仿宋" w:eastAsia="仿宋" w:cs="仿宋"/>
          <w:w w:val="95"/>
          <w:sz w:val="24"/>
          <w:szCs w:val="24"/>
          <w:u w:val="single"/>
        </w:rPr>
        <w:tab/>
      </w:r>
      <w:r>
        <w:rPr>
          <w:rFonts w:hint="eastAsia" w:ascii="仿宋" w:hAnsi="仿宋" w:eastAsia="仿宋" w:cs="仿宋"/>
          <w:w w:val="95"/>
          <w:sz w:val="24"/>
          <w:szCs w:val="24"/>
        </w:rPr>
        <w:t xml:space="preserve">人，营业收入为 </w:t>
      </w:r>
      <w:r>
        <w:rPr>
          <w:rFonts w:hint="eastAsia" w:ascii="仿宋" w:hAnsi="仿宋" w:eastAsia="仿宋" w:cs="仿宋"/>
          <w:w w:val="95"/>
          <w:sz w:val="24"/>
          <w:szCs w:val="24"/>
          <w:u w:val="single"/>
        </w:rPr>
        <w:tab/>
      </w:r>
      <w:r>
        <w:rPr>
          <w:rFonts w:hint="eastAsia" w:ascii="仿宋" w:hAnsi="仿宋" w:eastAsia="仿宋" w:cs="仿宋"/>
          <w:w w:val="95"/>
          <w:sz w:val="24"/>
          <w:szCs w:val="24"/>
        </w:rPr>
        <w:t>万元，资产总额为</w:t>
      </w:r>
      <w:r>
        <w:rPr>
          <w:rFonts w:hint="eastAsia" w:ascii="仿宋" w:hAnsi="仿宋" w:eastAsia="仿宋" w:cs="仿宋"/>
          <w:w w:val="95"/>
          <w:sz w:val="24"/>
          <w:szCs w:val="24"/>
          <w:u w:val="single"/>
        </w:rPr>
        <w:tab/>
      </w:r>
      <w:r>
        <w:rPr>
          <w:rFonts w:hint="eastAsia" w:ascii="仿宋" w:hAnsi="仿宋" w:eastAsia="仿宋" w:cs="仿宋"/>
          <w:w w:val="95"/>
          <w:sz w:val="24"/>
          <w:szCs w:val="24"/>
        </w:rPr>
        <w:t>万</w:t>
      </w:r>
      <w:r>
        <w:rPr>
          <w:rFonts w:hint="eastAsia" w:ascii="仿宋" w:hAnsi="仿宋" w:eastAsia="仿宋" w:cs="仿宋"/>
          <w:spacing w:val="2"/>
          <w:w w:val="99"/>
          <w:sz w:val="24"/>
          <w:szCs w:val="24"/>
        </w:rPr>
        <w:t>元</w:t>
      </w:r>
      <w:r>
        <w:rPr>
          <w:rFonts w:hint="eastAsia" w:ascii="仿宋" w:hAnsi="仿宋" w:eastAsia="仿宋" w:cs="仿宋"/>
          <w:spacing w:val="2"/>
          <w:w w:val="99"/>
          <w:sz w:val="24"/>
          <w:szCs w:val="24"/>
          <w:vertAlign w:val="superscript"/>
        </w:rPr>
        <w:t>1</w:t>
      </w:r>
      <w:r>
        <w:rPr>
          <w:rFonts w:hint="eastAsia" w:ascii="仿宋" w:hAnsi="仿宋" w:eastAsia="仿宋" w:cs="仿宋"/>
          <w:w w:val="95"/>
          <w:sz w:val="24"/>
          <w:szCs w:val="24"/>
        </w:rPr>
        <w:t>，属于</w:t>
      </w:r>
      <w:r>
        <w:rPr>
          <w:rFonts w:hint="eastAsia" w:ascii="仿宋" w:hAnsi="仿宋" w:eastAsia="仿宋" w:cs="仿宋"/>
          <w:w w:val="95"/>
          <w:sz w:val="24"/>
          <w:szCs w:val="24"/>
          <w:u w:val="single"/>
        </w:rPr>
        <w:t>（中型企业、小型企业、微型企业）</w:t>
      </w:r>
      <w:r>
        <w:rPr>
          <w:rFonts w:hint="eastAsia" w:ascii="仿宋" w:hAnsi="仿宋" w:eastAsia="仿宋" w:cs="仿宋"/>
          <w:w w:val="95"/>
          <w:sz w:val="24"/>
          <w:szCs w:val="24"/>
        </w:rPr>
        <w:t>；</w:t>
      </w:r>
    </w:p>
    <w:p>
      <w:pPr>
        <w:kinsoku w:val="0"/>
        <w:overflowPunct w:val="0"/>
        <w:spacing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2.</w:t>
      </w:r>
      <w:r>
        <w:rPr>
          <w:rFonts w:hint="eastAsia" w:ascii="仿宋" w:hAnsi="仿宋" w:eastAsia="仿宋" w:cs="仿宋"/>
          <w:w w:val="95"/>
          <w:sz w:val="24"/>
          <w:szCs w:val="24"/>
          <w:u w:val="single"/>
        </w:rPr>
        <w:t>（标的名称）</w:t>
      </w:r>
      <w:r>
        <w:rPr>
          <w:rFonts w:hint="eastAsia" w:ascii="仿宋" w:hAnsi="仿宋" w:eastAsia="仿宋" w:cs="仿宋"/>
          <w:w w:val="95"/>
          <w:sz w:val="24"/>
          <w:szCs w:val="24"/>
        </w:rPr>
        <w:t>，属于</w:t>
      </w:r>
      <w:r>
        <w:rPr>
          <w:rFonts w:hint="eastAsia" w:ascii="仿宋" w:hAnsi="仿宋" w:eastAsia="仿宋" w:cs="仿宋"/>
          <w:w w:val="95"/>
          <w:sz w:val="24"/>
          <w:szCs w:val="24"/>
          <w:u w:val="single"/>
        </w:rPr>
        <w:t>（采购文件中明确的所属行业）</w:t>
      </w:r>
      <w:r>
        <w:rPr>
          <w:rFonts w:hint="eastAsia" w:ascii="仿宋" w:hAnsi="仿宋" w:eastAsia="仿宋" w:cs="仿宋"/>
          <w:w w:val="95"/>
          <w:sz w:val="24"/>
          <w:szCs w:val="24"/>
        </w:rPr>
        <w:t>；承建（承接）企业为</w:t>
      </w:r>
      <w:r>
        <w:rPr>
          <w:rFonts w:hint="eastAsia" w:ascii="仿宋" w:hAnsi="仿宋" w:eastAsia="仿宋" w:cs="仿宋"/>
          <w:w w:val="95"/>
          <w:sz w:val="24"/>
          <w:szCs w:val="24"/>
          <w:u w:val="single"/>
        </w:rPr>
        <w:t>（企业名称）</w:t>
      </w:r>
      <w:r>
        <w:rPr>
          <w:rFonts w:hint="eastAsia" w:ascii="仿宋" w:hAnsi="仿宋" w:eastAsia="仿宋" w:cs="仿宋"/>
          <w:w w:val="95"/>
          <w:sz w:val="24"/>
          <w:szCs w:val="24"/>
        </w:rPr>
        <w:t>，从业人员</w:t>
      </w:r>
      <w:r>
        <w:rPr>
          <w:rFonts w:hint="eastAsia" w:ascii="仿宋" w:hAnsi="仿宋" w:eastAsia="仿宋" w:cs="仿宋"/>
          <w:w w:val="95"/>
          <w:sz w:val="24"/>
          <w:szCs w:val="24"/>
          <w:u w:val="single"/>
        </w:rPr>
        <w:tab/>
      </w:r>
      <w:r>
        <w:rPr>
          <w:rFonts w:hint="eastAsia" w:ascii="仿宋" w:hAnsi="仿宋" w:eastAsia="仿宋" w:cs="仿宋"/>
          <w:w w:val="95"/>
          <w:sz w:val="24"/>
          <w:szCs w:val="24"/>
        </w:rPr>
        <w:t>人，营业收入为</w:t>
      </w:r>
      <w:r>
        <w:rPr>
          <w:rFonts w:hint="eastAsia" w:ascii="仿宋" w:hAnsi="仿宋" w:eastAsia="仿宋" w:cs="仿宋"/>
          <w:w w:val="95"/>
          <w:sz w:val="24"/>
          <w:szCs w:val="24"/>
          <w:u w:val="single"/>
        </w:rPr>
        <w:tab/>
      </w:r>
      <w:r>
        <w:rPr>
          <w:rFonts w:hint="eastAsia" w:ascii="仿宋" w:hAnsi="仿宋" w:eastAsia="仿宋" w:cs="仿宋"/>
          <w:w w:val="95"/>
          <w:sz w:val="24"/>
          <w:szCs w:val="24"/>
        </w:rPr>
        <w:t>万元，资产总额为</w:t>
      </w:r>
      <w:r>
        <w:rPr>
          <w:rFonts w:hint="eastAsia" w:ascii="仿宋" w:hAnsi="仿宋" w:eastAsia="仿宋" w:cs="仿宋"/>
          <w:w w:val="95"/>
          <w:sz w:val="24"/>
          <w:szCs w:val="24"/>
          <w:u w:val="single"/>
        </w:rPr>
        <w:tab/>
      </w:r>
      <w:r>
        <w:rPr>
          <w:rFonts w:hint="eastAsia" w:ascii="仿宋" w:hAnsi="仿宋" w:eastAsia="仿宋" w:cs="仿宋"/>
          <w:w w:val="95"/>
          <w:sz w:val="24"/>
          <w:szCs w:val="24"/>
        </w:rPr>
        <w:t>万元，属于</w:t>
      </w:r>
      <w:r>
        <w:rPr>
          <w:rFonts w:hint="eastAsia" w:ascii="仿宋" w:hAnsi="仿宋" w:eastAsia="仿宋" w:cs="仿宋"/>
          <w:w w:val="95"/>
          <w:sz w:val="24"/>
          <w:szCs w:val="24"/>
          <w:u w:val="single"/>
        </w:rPr>
        <w:t>（中型企业、小型企业、微型企业）</w:t>
      </w:r>
      <w:r>
        <w:rPr>
          <w:rFonts w:hint="eastAsia" w:ascii="仿宋" w:hAnsi="仿宋" w:eastAsia="仿宋" w:cs="仿宋"/>
          <w:w w:val="95"/>
          <w:sz w:val="24"/>
          <w:szCs w:val="24"/>
        </w:rPr>
        <w:t>；</w:t>
      </w:r>
    </w:p>
    <w:p>
      <w:pPr>
        <w:pStyle w:val="12"/>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 xml:space="preserve">…… </w:t>
      </w:r>
    </w:p>
    <w:p>
      <w:pPr>
        <w:pStyle w:val="12"/>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以上企业，不属于大企业的分支机构，不存在控股股东为大企业的情形，也不存在与大企业的负责人为同一人的情形。</w:t>
      </w:r>
    </w:p>
    <w:p>
      <w:pPr>
        <w:pStyle w:val="12"/>
        <w:kinsoku w:val="0"/>
        <w:overflowPunct w:val="0"/>
        <w:spacing w:before="34" w:line="360" w:lineRule="auto"/>
        <w:ind w:firstLine="456" w:firstLineChars="200"/>
        <w:rPr>
          <w:rFonts w:hint="eastAsia" w:ascii="仿宋" w:hAnsi="仿宋" w:eastAsia="仿宋" w:cs="仿宋"/>
          <w:w w:val="95"/>
          <w:sz w:val="24"/>
          <w:szCs w:val="24"/>
        </w:rPr>
      </w:pPr>
      <w:r>
        <w:rPr>
          <w:rFonts w:hint="eastAsia" w:ascii="仿宋" w:hAnsi="仿宋" w:eastAsia="仿宋" w:cs="仿宋"/>
          <w:w w:val="95"/>
          <w:sz w:val="24"/>
          <w:szCs w:val="24"/>
        </w:rPr>
        <w:t>本企业对上述声明内容的真实性负责。如有虚假，将依法承担相应责任。</w:t>
      </w:r>
    </w:p>
    <w:p>
      <w:pPr>
        <w:spacing w:line="360" w:lineRule="auto"/>
        <w:ind w:firstLine="3024" w:firstLineChars="1200"/>
        <w:rPr>
          <w:rFonts w:hint="eastAsia" w:ascii="仿宋" w:hAnsi="仿宋" w:eastAsia="仿宋" w:cs="仿宋"/>
          <w:spacing w:val="6"/>
          <w:sz w:val="24"/>
          <w:szCs w:val="24"/>
        </w:rPr>
      </w:pPr>
    </w:p>
    <w:p>
      <w:pPr>
        <w:spacing w:line="360" w:lineRule="auto"/>
        <w:ind w:firstLine="3024" w:firstLineChars="1200"/>
        <w:rPr>
          <w:rFonts w:hint="eastAsia" w:ascii="仿宋" w:hAnsi="仿宋" w:eastAsia="仿宋" w:cs="仿宋"/>
          <w:spacing w:val="6"/>
          <w:sz w:val="24"/>
          <w:szCs w:val="24"/>
        </w:rPr>
      </w:pPr>
      <w:r>
        <w:rPr>
          <w:rFonts w:hint="eastAsia" w:ascii="仿宋" w:hAnsi="仿宋" w:eastAsia="仿宋" w:cs="仿宋"/>
          <w:spacing w:val="6"/>
          <w:sz w:val="24"/>
          <w:szCs w:val="24"/>
        </w:rPr>
        <w:t>企业名称（盖章）：</w:t>
      </w:r>
    </w:p>
    <w:p>
      <w:pPr>
        <w:spacing w:line="360" w:lineRule="auto"/>
        <w:ind w:firstLine="3024" w:firstLineChars="1200"/>
        <w:rPr>
          <w:rFonts w:hint="eastAsia" w:ascii="仿宋" w:hAnsi="仿宋" w:eastAsia="仿宋" w:cs="仿宋"/>
          <w:spacing w:val="6"/>
          <w:sz w:val="24"/>
          <w:szCs w:val="24"/>
          <w:u w:val="single"/>
        </w:rPr>
      </w:pPr>
      <w:r>
        <w:rPr>
          <w:rFonts w:hint="eastAsia" w:ascii="仿宋" w:hAnsi="仿宋" w:eastAsia="仿宋" w:cs="仿宋"/>
          <w:spacing w:val="6"/>
          <w:sz w:val="24"/>
          <w:szCs w:val="24"/>
        </w:rPr>
        <w:t>日 期：</w:t>
      </w:r>
    </w:p>
    <w:p>
      <w:pPr>
        <w:autoSpaceDE w:val="0"/>
        <w:autoSpaceDN w:val="0"/>
        <w:adjustRightInd w:val="0"/>
        <w:spacing w:line="360" w:lineRule="auto"/>
        <w:ind w:firstLine="480" w:firstLineChars="200"/>
        <w:rPr>
          <w:rFonts w:hint="eastAsia" w:ascii="仿宋" w:hAnsi="仿宋" w:eastAsia="仿宋" w:cs="仿宋"/>
          <w:sz w:val="24"/>
          <w:szCs w:val="24"/>
        </w:rPr>
      </w:pP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1、从业人员、营业收入、资产总额填报上一年度数据，无上一年度数据的新成立企业可不填报。</w:t>
      </w:r>
    </w:p>
    <w:p>
      <w:pPr>
        <w:spacing w:line="360" w:lineRule="auto"/>
        <w:rPr>
          <w:rFonts w:hint="eastAsia" w:ascii="仿宋" w:hAnsi="仿宋" w:eastAsia="仿宋" w:cs="仿宋"/>
          <w:sz w:val="24"/>
          <w:szCs w:val="24"/>
        </w:rPr>
      </w:pPr>
    </w:p>
    <w:p>
      <w:pPr>
        <w:spacing w:line="360" w:lineRule="auto"/>
        <w:rPr>
          <w:rFonts w:hint="eastAsia" w:ascii="仿宋" w:hAnsi="仿宋" w:eastAsia="仿宋" w:cs="仿宋"/>
          <w:sz w:val="24"/>
          <w:szCs w:val="24"/>
        </w:rPr>
      </w:pPr>
      <w:r>
        <w:rPr>
          <w:rFonts w:hint="eastAsia" w:ascii="仿宋" w:hAnsi="仿宋" w:eastAsia="仿宋" w:cs="仿宋"/>
          <w:sz w:val="24"/>
          <w:szCs w:val="24"/>
        </w:rPr>
        <w:br w:type="page"/>
      </w:r>
    </w:p>
    <w:p>
      <w:pPr>
        <w:pageBreakBefore/>
        <w:spacing w:line="360" w:lineRule="auto"/>
        <w:ind w:firstLine="482" w:firstLineChars="200"/>
        <w:rPr>
          <w:rFonts w:hint="eastAsia" w:ascii="仿宋" w:hAnsi="仿宋" w:eastAsia="仿宋" w:cs="仿宋"/>
          <w:b/>
          <w:spacing w:val="6"/>
          <w:sz w:val="24"/>
          <w:szCs w:val="24"/>
        </w:rPr>
      </w:pPr>
      <w:r>
        <w:rPr>
          <w:rFonts w:hint="eastAsia" w:ascii="仿宋" w:hAnsi="仿宋" w:eastAsia="仿宋" w:cs="仿宋"/>
          <w:b/>
          <w:sz w:val="24"/>
          <w:szCs w:val="24"/>
        </w:rPr>
        <w:t>附件2：</w:t>
      </w:r>
    </w:p>
    <w:p>
      <w:pPr>
        <w:spacing w:line="360" w:lineRule="auto"/>
        <w:jc w:val="center"/>
        <w:rPr>
          <w:rFonts w:hint="eastAsia" w:ascii="仿宋" w:hAnsi="仿宋" w:eastAsia="仿宋" w:cs="仿宋"/>
          <w:b/>
          <w:spacing w:val="6"/>
          <w:sz w:val="24"/>
          <w:szCs w:val="24"/>
        </w:rPr>
      </w:pPr>
      <w:r>
        <w:rPr>
          <w:rFonts w:hint="eastAsia" w:ascii="仿宋" w:hAnsi="仿宋" w:eastAsia="仿宋" w:cs="仿宋"/>
          <w:b/>
          <w:spacing w:val="6"/>
          <w:sz w:val="24"/>
          <w:szCs w:val="24"/>
        </w:rPr>
        <w:t>残疾人福利性单位声明函</w:t>
      </w:r>
    </w:p>
    <w:p>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本单位郑重声明，根据《财政部 民政部 中国残疾人联合会关于促进残疾人就业政府采购政策的通知》（财库</w:t>
      </w:r>
      <w:r>
        <w:rPr>
          <w:rFonts w:hint="eastAsia" w:ascii="仿宋" w:hAnsi="仿宋" w:eastAsia="仿宋" w:cs="仿宋"/>
          <w:sz w:val="24"/>
          <w:szCs w:val="24"/>
        </w:rPr>
        <w:t>〔2017〕 141</w:t>
      </w:r>
      <w:r>
        <w:rPr>
          <w:rFonts w:hint="eastAsia" w:ascii="仿宋" w:hAnsi="仿宋" w:eastAsia="仿宋" w:cs="仿宋"/>
          <w:spacing w:val="6"/>
          <w:sz w:val="24"/>
          <w:szCs w:val="24"/>
        </w:rPr>
        <w:t>号）的规定，本单位为符合条件的残疾人福利性单位，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504" w:firstLineChars="200"/>
        <w:rPr>
          <w:rFonts w:hint="eastAsia" w:ascii="仿宋" w:hAnsi="仿宋" w:eastAsia="仿宋" w:cs="仿宋"/>
          <w:spacing w:val="6"/>
          <w:sz w:val="24"/>
          <w:szCs w:val="24"/>
        </w:rPr>
      </w:pPr>
      <w:r>
        <w:rPr>
          <w:rFonts w:hint="eastAsia" w:ascii="仿宋" w:hAnsi="仿宋" w:eastAsia="仿宋" w:cs="仿宋"/>
          <w:spacing w:val="6"/>
          <w:sz w:val="24"/>
          <w:szCs w:val="24"/>
        </w:rPr>
        <w:t>本单位对上述声明的真实性负责。如有虚假，将依法承担相应责任。</w:t>
      </w:r>
    </w:p>
    <w:p>
      <w:pPr>
        <w:spacing w:line="360" w:lineRule="auto"/>
        <w:ind w:firstLine="504" w:firstLineChars="200"/>
        <w:rPr>
          <w:rFonts w:hint="eastAsia" w:ascii="仿宋" w:hAnsi="仿宋" w:eastAsia="仿宋" w:cs="仿宋"/>
          <w:spacing w:val="6"/>
          <w:sz w:val="24"/>
          <w:szCs w:val="24"/>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autoSpaceDE w:val="0"/>
        <w:autoSpaceDN w:val="0"/>
        <w:adjustRightInd w:val="0"/>
        <w:snapToGrid w:val="0"/>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p>
    <w:p>
      <w:pPr>
        <w:adjustRightInd w:val="0"/>
        <w:snapToGrid w:val="0"/>
        <w:spacing w:line="360" w:lineRule="auto"/>
        <w:rPr>
          <w:rFonts w:hint="eastAsia" w:ascii="仿宋" w:hAnsi="仿宋" w:eastAsia="仿宋" w:cs="仿宋"/>
          <w:sz w:val="24"/>
          <w:szCs w:val="24"/>
        </w:rPr>
      </w:pPr>
    </w:p>
    <w:p>
      <w:pPr>
        <w:spacing w:line="360" w:lineRule="auto"/>
        <w:rPr>
          <w:rFonts w:hint="eastAsia" w:ascii="仿宋" w:hAnsi="仿宋" w:eastAsia="仿宋" w:cs="仿宋"/>
          <w:b/>
          <w:sz w:val="24"/>
          <w:szCs w:val="24"/>
        </w:rPr>
      </w:pPr>
      <w:r>
        <w:rPr>
          <w:rFonts w:hint="eastAsia" w:ascii="仿宋" w:hAnsi="仿宋" w:eastAsia="仿宋" w:cs="仿宋"/>
          <w:sz w:val="24"/>
          <w:szCs w:val="24"/>
        </w:rPr>
        <w:t>说明：</w:t>
      </w:r>
      <w:r>
        <w:rPr>
          <w:rFonts w:hint="eastAsia" w:ascii="仿宋" w:hAnsi="仿宋" w:eastAsia="仿宋" w:cs="仿宋"/>
          <w:bCs/>
          <w:sz w:val="24"/>
          <w:szCs w:val="24"/>
        </w:rPr>
        <w:t>未按上述要求提供、</w:t>
      </w:r>
      <w:r>
        <w:rPr>
          <w:rFonts w:hint="eastAsia" w:ascii="仿宋" w:hAnsi="仿宋" w:eastAsia="仿宋" w:cs="仿宋"/>
          <w:sz w:val="24"/>
          <w:szCs w:val="24"/>
        </w:rPr>
        <w:t>填写</w:t>
      </w:r>
      <w:r>
        <w:rPr>
          <w:rFonts w:hint="eastAsia" w:ascii="仿宋" w:hAnsi="仿宋" w:eastAsia="仿宋" w:cs="仿宋"/>
          <w:bCs/>
          <w:sz w:val="24"/>
          <w:szCs w:val="24"/>
        </w:rPr>
        <w:t>的，评审时不予以考虑。</w:t>
      </w:r>
    </w:p>
    <w:p>
      <w:pPr>
        <w:pStyle w:val="4"/>
        <w:keepNext w:val="0"/>
        <w:pageBreakBefore/>
        <w:tabs>
          <w:tab w:val="left" w:pos="1260"/>
        </w:tabs>
        <w:spacing w:line="360" w:lineRule="auto"/>
        <w:rPr>
          <w:rFonts w:hint="eastAsia" w:ascii="仿宋" w:hAnsi="仿宋" w:eastAsia="仿宋" w:cs="仿宋"/>
          <w:sz w:val="32"/>
          <w:szCs w:val="32"/>
        </w:rPr>
      </w:pPr>
      <w:bookmarkStart w:id="504" w:name="_Toc26107"/>
      <w:r>
        <w:rPr>
          <w:rFonts w:hint="eastAsia" w:ascii="仿宋" w:hAnsi="仿宋" w:eastAsia="仿宋" w:cs="仿宋"/>
          <w:sz w:val="32"/>
          <w:szCs w:val="32"/>
          <w:lang w:eastAsia="zh-CN"/>
        </w:rPr>
        <w:t>六</w:t>
      </w:r>
      <w:r>
        <w:rPr>
          <w:rFonts w:hint="eastAsia" w:ascii="仿宋" w:hAnsi="仿宋" w:eastAsia="仿宋" w:cs="仿宋"/>
          <w:sz w:val="32"/>
          <w:szCs w:val="32"/>
        </w:rPr>
        <w:t>、合同主要条款响应偏差表</w:t>
      </w:r>
      <w:bookmarkEnd w:id="504"/>
    </w:p>
    <w:p>
      <w:pPr>
        <w:tabs>
          <w:tab w:val="left" w:pos="1260"/>
        </w:tabs>
        <w:adjustRightInd w:val="0"/>
        <w:snapToGrid w:val="0"/>
        <w:spacing w:line="360" w:lineRule="auto"/>
        <w:ind w:right="640"/>
        <w:rPr>
          <w:rFonts w:hint="eastAsia" w:ascii="仿宋" w:hAnsi="仿宋" w:eastAsia="仿宋" w:cs="仿宋"/>
          <w:sz w:val="24"/>
          <w:szCs w:val="24"/>
        </w:rPr>
      </w:pPr>
      <w:r>
        <w:rPr>
          <w:rFonts w:hint="eastAsia" w:ascii="仿宋" w:hAnsi="仿宋" w:eastAsia="仿宋" w:cs="仿宋"/>
          <w:sz w:val="24"/>
          <w:szCs w:val="24"/>
        </w:rPr>
        <w:t>项目编号：</w:t>
      </w:r>
    </w:p>
    <w:tbl>
      <w:tblPr>
        <w:tblStyle w:val="25"/>
        <w:tblW w:w="9249"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752"/>
        <w:gridCol w:w="1380"/>
        <w:gridCol w:w="2341"/>
        <w:gridCol w:w="2113"/>
        <w:gridCol w:w="1125"/>
        <w:gridCol w:w="153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32" w:hRule="atLeast"/>
          <w:jc w:val="center"/>
        </w:trPr>
        <w:tc>
          <w:tcPr>
            <w:tcW w:w="752" w:type="dxa"/>
            <w:vAlign w:val="center"/>
          </w:tcPr>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1380" w:type="dxa"/>
            <w:vAlign w:val="center"/>
          </w:tcPr>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文件</w:t>
            </w:r>
          </w:p>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条目号</w:t>
            </w:r>
          </w:p>
        </w:tc>
        <w:tc>
          <w:tcPr>
            <w:tcW w:w="2341" w:type="dxa"/>
            <w:vAlign w:val="center"/>
          </w:tcPr>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磋商文件</w:t>
            </w:r>
          </w:p>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商务主要条款</w:t>
            </w:r>
          </w:p>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要求</w:t>
            </w:r>
          </w:p>
        </w:tc>
        <w:tc>
          <w:tcPr>
            <w:tcW w:w="2113" w:type="dxa"/>
            <w:vAlign w:val="center"/>
          </w:tcPr>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磋商响应文件</w:t>
            </w:r>
          </w:p>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商务主要条款</w:t>
            </w:r>
          </w:p>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响应</w:t>
            </w:r>
          </w:p>
        </w:tc>
        <w:tc>
          <w:tcPr>
            <w:tcW w:w="1125" w:type="dxa"/>
            <w:vAlign w:val="center"/>
          </w:tcPr>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偏离</w:t>
            </w:r>
          </w:p>
        </w:tc>
        <w:tc>
          <w:tcPr>
            <w:tcW w:w="1538" w:type="dxa"/>
            <w:vAlign w:val="center"/>
          </w:tcPr>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偏离</w:t>
            </w:r>
          </w:p>
          <w:p>
            <w:pPr>
              <w:tabs>
                <w:tab w:val="left" w:pos="1260"/>
              </w:tabs>
              <w:adjustRightInd w:val="0"/>
              <w:snapToGrid w:val="0"/>
              <w:spacing w:line="360" w:lineRule="auto"/>
              <w:ind w:right="23"/>
              <w:jc w:val="center"/>
              <w:rPr>
                <w:rFonts w:hint="eastAsia" w:ascii="仿宋" w:hAnsi="仿宋" w:eastAsia="仿宋" w:cs="仿宋"/>
                <w:b/>
                <w:bCs/>
                <w:sz w:val="24"/>
                <w:szCs w:val="24"/>
              </w:rPr>
            </w:pPr>
            <w:r>
              <w:rPr>
                <w:rFonts w:hint="eastAsia" w:ascii="仿宋" w:hAnsi="仿宋" w:eastAsia="仿宋" w:cs="仿宋"/>
                <w:b/>
                <w:bCs/>
                <w:sz w:val="24"/>
                <w:szCs w:val="24"/>
              </w:rPr>
              <w:t>及其影响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380"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341"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113"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125"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538" w:type="dxa"/>
          </w:tcPr>
          <w:p>
            <w:pPr>
              <w:tabs>
                <w:tab w:val="left" w:pos="1260"/>
              </w:tabs>
              <w:adjustRightInd w:val="0"/>
              <w:snapToGrid w:val="0"/>
              <w:spacing w:line="360" w:lineRule="auto"/>
              <w:ind w:right="24"/>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380"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341"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113"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125"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538" w:type="dxa"/>
          </w:tcPr>
          <w:p>
            <w:pPr>
              <w:tabs>
                <w:tab w:val="left" w:pos="1260"/>
              </w:tabs>
              <w:adjustRightInd w:val="0"/>
              <w:snapToGrid w:val="0"/>
              <w:spacing w:line="360" w:lineRule="auto"/>
              <w:ind w:right="24"/>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380"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341"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113"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125"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538" w:type="dxa"/>
          </w:tcPr>
          <w:p>
            <w:pPr>
              <w:tabs>
                <w:tab w:val="left" w:pos="1260"/>
              </w:tabs>
              <w:adjustRightInd w:val="0"/>
              <w:snapToGrid w:val="0"/>
              <w:spacing w:line="360" w:lineRule="auto"/>
              <w:ind w:right="24"/>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380"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341"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113"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125"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538" w:type="dxa"/>
          </w:tcPr>
          <w:p>
            <w:pPr>
              <w:tabs>
                <w:tab w:val="left" w:pos="1260"/>
              </w:tabs>
              <w:adjustRightInd w:val="0"/>
              <w:snapToGrid w:val="0"/>
              <w:spacing w:line="360" w:lineRule="auto"/>
              <w:ind w:right="24"/>
              <w:rPr>
                <w:rFonts w:hint="eastAsia" w:ascii="仿宋" w:hAnsi="仿宋" w:eastAsia="仿宋" w:cs="仿宋"/>
                <w:bCs/>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80" w:hRule="exact"/>
          <w:jc w:val="center"/>
        </w:trPr>
        <w:tc>
          <w:tcPr>
            <w:tcW w:w="752"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380"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341"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2113"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125" w:type="dxa"/>
          </w:tcPr>
          <w:p>
            <w:pPr>
              <w:tabs>
                <w:tab w:val="left" w:pos="1260"/>
              </w:tabs>
              <w:adjustRightInd w:val="0"/>
              <w:snapToGrid w:val="0"/>
              <w:spacing w:line="360" w:lineRule="auto"/>
              <w:ind w:right="24"/>
              <w:rPr>
                <w:rFonts w:hint="eastAsia" w:ascii="仿宋" w:hAnsi="仿宋" w:eastAsia="仿宋" w:cs="仿宋"/>
                <w:bCs/>
                <w:sz w:val="24"/>
                <w:szCs w:val="24"/>
              </w:rPr>
            </w:pPr>
          </w:p>
        </w:tc>
        <w:tc>
          <w:tcPr>
            <w:tcW w:w="1538" w:type="dxa"/>
          </w:tcPr>
          <w:p>
            <w:pPr>
              <w:tabs>
                <w:tab w:val="left" w:pos="1260"/>
              </w:tabs>
              <w:adjustRightInd w:val="0"/>
              <w:snapToGrid w:val="0"/>
              <w:spacing w:line="360" w:lineRule="auto"/>
              <w:ind w:right="24"/>
              <w:rPr>
                <w:rFonts w:hint="eastAsia" w:ascii="仿宋" w:hAnsi="仿宋" w:eastAsia="仿宋" w:cs="仿宋"/>
                <w:bCs/>
                <w:sz w:val="24"/>
                <w:szCs w:val="24"/>
              </w:rPr>
            </w:pPr>
          </w:p>
        </w:tc>
      </w:tr>
    </w:tbl>
    <w:p>
      <w:pPr>
        <w:tabs>
          <w:tab w:val="left" w:pos="1260"/>
        </w:tabs>
        <w:spacing w:line="360" w:lineRule="auto"/>
        <w:ind w:right="-197" w:rightChars="-94" w:firstLine="480" w:firstLineChars="200"/>
        <w:jc w:val="left"/>
        <w:rPr>
          <w:rFonts w:hint="eastAsia" w:ascii="仿宋" w:hAnsi="仿宋" w:eastAsia="仿宋" w:cs="仿宋"/>
          <w:sz w:val="24"/>
          <w:szCs w:val="24"/>
        </w:rPr>
      </w:pPr>
      <w:r>
        <w:rPr>
          <w:rFonts w:hint="eastAsia" w:ascii="仿宋" w:hAnsi="仿宋" w:eastAsia="仿宋" w:cs="仿宋"/>
          <w:sz w:val="24"/>
          <w:szCs w:val="24"/>
        </w:rPr>
        <w:t>注：</w:t>
      </w:r>
    </w:p>
    <w:p>
      <w:pPr>
        <w:tabs>
          <w:tab w:val="left" w:pos="1260"/>
        </w:tabs>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1、本表只填写磋商响应文件中与磋商文件有偏离（包括负偏离和正偏离）的内容，在磋商响应文件中须一一列出，无偏离可直接提供空白表。</w:t>
      </w:r>
    </w:p>
    <w:p>
      <w:pPr>
        <w:tabs>
          <w:tab w:val="left" w:pos="1260"/>
        </w:tabs>
        <w:spacing w:line="360" w:lineRule="auto"/>
        <w:ind w:firstLine="470" w:firstLineChars="196"/>
        <w:rPr>
          <w:rFonts w:hint="eastAsia" w:ascii="仿宋" w:hAnsi="仿宋" w:eastAsia="仿宋" w:cs="仿宋"/>
          <w:sz w:val="24"/>
          <w:szCs w:val="24"/>
        </w:rPr>
      </w:pPr>
      <w:r>
        <w:rPr>
          <w:rFonts w:hint="eastAsia" w:ascii="仿宋" w:hAnsi="仿宋" w:eastAsia="仿宋" w:cs="仿宋"/>
          <w:sz w:val="24"/>
          <w:szCs w:val="24"/>
        </w:rPr>
        <w:t>2、供应商必须据实填写，不得虚假响应，否则将取消其磋商或成交资格，并按有关规定进处罚。</w:t>
      </w:r>
    </w:p>
    <w:p>
      <w:pPr>
        <w:tabs>
          <w:tab w:val="left" w:pos="1260"/>
        </w:tabs>
        <w:spacing w:line="360" w:lineRule="auto"/>
        <w:ind w:firstLine="470" w:firstLineChars="196"/>
        <w:rPr>
          <w:rFonts w:hint="eastAsia" w:ascii="仿宋" w:hAnsi="仿宋" w:eastAsia="仿宋" w:cs="仿宋"/>
          <w:sz w:val="24"/>
          <w:szCs w:val="24"/>
        </w:rPr>
      </w:pPr>
    </w:p>
    <w:p>
      <w:pPr>
        <w:tabs>
          <w:tab w:val="left" w:pos="1260"/>
        </w:tabs>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供应商（公章）：</w:t>
      </w:r>
    </w:p>
    <w:p>
      <w:pPr>
        <w:tabs>
          <w:tab w:val="left" w:pos="1260"/>
        </w:tabs>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tabs>
          <w:tab w:val="left" w:pos="1260"/>
        </w:tabs>
        <w:autoSpaceDE w:val="0"/>
        <w:autoSpaceDN w:val="0"/>
        <w:adjustRightInd w:val="0"/>
        <w:spacing w:line="360" w:lineRule="auto"/>
        <w:ind w:firstLine="3360" w:firstLineChars="1400"/>
        <w:rPr>
          <w:rFonts w:hint="eastAsia" w:ascii="仿宋" w:hAnsi="仿宋" w:eastAsia="仿宋" w:cs="仿宋"/>
        </w:rPr>
        <w:sectPr>
          <w:footerReference r:id="rId7" w:type="default"/>
          <w:pgSz w:w="11906" w:h="16838"/>
          <w:pgMar w:top="1417" w:right="1701" w:bottom="1417" w:left="1701" w:header="851" w:footer="992" w:gutter="0"/>
          <w:cols w:space="0" w:num="1"/>
          <w:docGrid w:linePitch="312" w:charSpace="0"/>
        </w:sectPr>
      </w:pPr>
      <w:r>
        <w:rPr>
          <w:rFonts w:hint="eastAsia" w:ascii="仿宋" w:hAnsi="仿宋" w:eastAsia="仿宋" w:cs="仿宋"/>
          <w:sz w:val="24"/>
          <w:szCs w:val="24"/>
        </w:rPr>
        <w:t>日    期：</w:t>
      </w:r>
    </w:p>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p>
      <w:pPr>
        <w:pStyle w:val="4"/>
        <w:spacing w:line="360" w:lineRule="auto"/>
        <w:rPr>
          <w:rFonts w:hint="eastAsia" w:ascii="仿宋" w:hAnsi="仿宋" w:eastAsia="仿宋" w:cs="仿宋"/>
          <w:sz w:val="32"/>
          <w:szCs w:val="21"/>
        </w:rPr>
      </w:pPr>
      <w:bookmarkStart w:id="505" w:name="_Toc13042"/>
      <w:bookmarkStart w:id="506" w:name="_Toc8297"/>
      <w:bookmarkStart w:id="507" w:name="_Toc5385"/>
      <w:bookmarkStart w:id="508" w:name="_Toc14308"/>
      <w:bookmarkStart w:id="509" w:name="_Toc22388"/>
      <w:bookmarkStart w:id="510" w:name="_Toc5195"/>
      <w:bookmarkStart w:id="511" w:name="_Toc495681249"/>
      <w:bookmarkStart w:id="512" w:name="_Toc30274"/>
      <w:bookmarkStart w:id="513" w:name="_Toc495908045"/>
      <w:bookmarkStart w:id="514" w:name="_Toc20167"/>
      <w:bookmarkStart w:id="515" w:name="_Toc5380"/>
      <w:bookmarkStart w:id="516" w:name="_Toc26262"/>
      <w:bookmarkStart w:id="517" w:name="_Toc11576"/>
      <w:bookmarkStart w:id="518" w:name="_Toc495681530"/>
      <w:bookmarkStart w:id="519" w:name="_Toc20060"/>
      <w:bookmarkStart w:id="520" w:name="_Toc5618"/>
      <w:bookmarkStart w:id="521" w:name="_Toc20664"/>
      <w:bookmarkStart w:id="522" w:name="_Toc16396"/>
      <w:bookmarkStart w:id="523" w:name="_Toc495681403"/>
      <w:bookmarkStart w:id="524" w:name="_Toc6613"/>
      <w:r>
        <w:rPr>
          <w:rFonts w:hint="eastAsia" w:ascii="仿宋" w:hAnsi="仿宋" w:eastAsia="仿宋" w:cs="仿宋"/>
          <w:sz w:val="32"/>
          <w:szCs w:val="32"/>
          <w:lang w:val="zh-CN"/>
        </w:rPr>
        <w:t>七、</w:t>
      </w:r>
      <w:bookmarkEnd w:id="505"/>
      <w:bookmarkStart w:id="525" w:name="_Toc9136"/>
      <w:bookmarkStart w:id="526" w:name="_Toc7263"/>
      <w:bookmarkStart w:id="527" w:name="_Toc13348"/>
      <w:bookmarkStart w:id="528" w:name="_Toc24533"/>
      <w:bookmarkStart w:id="529" w:name="_Toc11833"/>
      <w:r>
        <w:rPr>
          <w:rFonts w:hint="eastAsia" w:ascii="仿宋" w:hAnsi="仿宋" w:eastAsia="仿宋" w:cs="仿宋"/>
          <w:sz w:val="32"/>
          <w:szCs w:val="32"/>
        </w:rPr>
        <w:t>拟投入本项目的主要负责人简历表</w:t>
      </w:r>
      <w:bookmarkEnd w:id="506"/>
      <w:bookmarkEnd w:id="507"/>
      <w:bookmarkEnd w:id="508"/>
      <w:bookmarkEnd w:id="525"/>
      <w:bookmarkEnd w:id="526"/>
      <w:bookmarkEnd w:id="527"/>
      <w:bookmarkEnd w:id="528"/>
      <w:bookmarkEnd w:id="529"/>
    </w:p>
    <w:tbl>
      <w:tblPr>
        <w:tblStyle w:val="25"/>
        <w:tblW w:w="934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96"/>
        <w:gridCol w:w="1682"/>
        <w:gridCol w:w="1050"/>
        <w:gridCol w:w="945"/>
        <w:gridCol w:w="945"/>
        <w:gridCol w:w="27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trPr>
        <w:tc>
          <w:tcPr>
            <w:tcW w:w="1996" w:type="dxa"/>
            <w:noWrap/>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姓  名</w:t>
            </w:r>
          </w:p>
        </w:tc>
        <w:tc>
          <w:tcPr>
            <w:tcW w:w="1682" w:type="dxa"/>
            <w:noWrap/>
            <w:vAlign w:val="center"/>
          </w:tcPr>
          <w:p>
            <w:pPr>
              <w:spacing w:line="360" w:lineRule="auto"/>
              <w:jc w:val="center"/>
              <w:rPr>
                <w:rFonts w:hint="eastAsia" w:ascii="仿宋" w:hAnsi="仿宋" w:eastAsia="仿宋" w:cs="仿宋"/>
                <w:bCs/>
                <w:sz w:val="24"/>
                <w:szCs w:val="24"/>
              </w:rPr>
            </w:pPr>
          </w:p>
        </w:tc>
        <w:tc>
          <w:tcPr>
            <w:tcW w:w="1050" w:type="dxa"/>
            <w:noWrap/>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性 别</w:t>
            </w:r>
          </w:p>
        </w:tc>
        <w:tc>
          <w:tcPr>
            <w:tcW w:w="945" w:type="dxa"/>
            <w:noWrap/>
            <w:vAlign w:val="center"/>
          </w:tcPr>
          <w:p>
            <w:pPr>
              <w:spacing w:line="360" w:lineRule="auto"/>
              <w:rPr>
                <w:rFonts w:hint="eastAsia" w:ascii="仿宋" w:hAnsi="仿宋" w:eastAsia="仿宋" w:cs="仿宋"/>
                <w:bCs/>
                <w:sz w:val="24"/>
                <w:szCs w:val="24"/>
              </w:rPr>
            </w:pPr>
          </w:p>
        </w:tc>
        <w:tc>
          <w:tcPr>
            <w:tcW w:w="945" w:type="dxa"/>
            <w:noWrap/>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出生 日期</w:t>
            </w:r>
          </w:p>
        </w:tc>
        <w:tc>
          <w:tcPr>
            <w:tcW w:w="2727" w:type="dxa"/>
            <w:noWrap/>
            <w:vAlign w:val="center"/>
          </w:tcPr>
          <w:p>
            <w:pPr>
              <w:spacing w:line="360" w:lineRule="auto"/>
              <w:ind w:firstLine="360" w:firstLineChars="150"/>
              <w:jc w:val="left"/>
              <w:rPr>
                <w:rFonts w:hint="eastAsia" w:ascii="仿宋" w:hAnsi="仿宋" w:eastAsia="仿宋" w:cs="仿宋"/>
                <w:bCs/>
                <w:sz w:val="24"/>
                <w:szCs w:val="24"/>
              </w:rPr>
            </w:pPr>
            <w:r>
              <w:rPr>
                <w:rFonts w:hint="eastAsia" w:ascii="仿宋" w:hAnsi="仿宋" w:eastAsia="仿宋" w:cs="仿宋"/>
                <w:bCs/>
                <w:sz w:val="24"/>
                <w:szCs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1996" w:type="dxa"/>
            <w:noWrap/>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毕业院校及专业</w:t>
            </w:r>
          </w:p>
        </w:tc>
        <w:tc>
          <w:tcPr>
            <w:tcW w:w="3677" w:type="dxa"/>
            <w:gridSpan w:val="3"/>
            <w:noWrap/>
            <w:vAlign w:val="center"/>
          </w:tcPr>
          <w:p>
            <w:pPr>
              <w:spacing w:line="360" w:lineRule="auto"/>
              <w:rPr>
                <w:rFonts w:hint="eastAsia" w:ascii="仿宋" w:hAnsi="仿宋" w:eastAsia="仿宋" w:cs="仿宋"/>
                <w:bCs/>
                <w:sz w:val="24"/>
                <w:szCs w:val="24"/>
              </w:rPr>
            </w:pPr>
          </w:p>
        </w:tc>
        <w:tc>
          <w:tcPr>
            <w:tcW w:w="945" w:type="dxa"/>
            <w:noWrap/>
            <w:vAlign w:val="center"/>
          </w:tcPr>
          <w:p>
            <w:pPr>
              <w:spacing w:line="360" w:lineRule="auto"/>
              <w:ind w:left="-18"/>
              <w:jc w:val="center"/>
              <w:rPr>
                <w:rFonts w:hint="eastAsia" w:ascii="仿宋" w:hAnsi="仿宋" w:eastAsia="仿宋" w:cs="仿宋"/>
                <w:bCs/>
                <w:sz w:val="24"/>
                <w:szCs w:val="24"/>
              </w:rPr>
            </w:pPr>
            <w:r>
              <w:rPr>
                <w:rFonts w:hint="eastAsia" w:ascii="仿宋" w:hAnsi="仿宋" w:eastAsia="仿宋" w:cs="仿宋"/>
                <w:bCs/>
                <w:sz w:val="24"/>
                <w:szCs w:val="24"/>
              </w:rPr>
              <w:t>毕业 时间</w:t>
            </w:r>
          </w:p>
        </w:tc>
        <w:tc>
          <w:tcPr>
            <w:tcW w:w="2727" w:type="dxa"/>
            <w:noWrap/>
            <w:vAlign w:val="center"/>
          </w:tcPr>
          <w:p>
            <w:pPr>
              <w:spacing w:line="360" w:lineRule="auto"/>
              <w:ind w:left="45"/>
              <w:jc w:val="left"/>
              <w:rPr>
                <w:rFonts w:hint="eastAsia" w:ascii="仿宋" w:hAnsi="仿宋" w:eastAsia="仿宋" w:cs="仿宋"/>
                <w:bCs/>
                <w:sz w:val="24"/>
                <w:szCs w:val="24"/>
              </w:rPr>
            </w:pPr>
            <w:r>
              <w:rPr>
                <w:rFonts w:hint="eastAsia" w:ascii="仿宋" w:hAnsi="仿宋" w:eastAsia="仿宋" w:cs="仿宋"/>
                <w:bCs/>
                <w:sz w:val="24"/>
                <w:szCs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3" w:hRule="atLeast"/>
        </w:trPr>
        <w:tc>
          <w:tcPr>
            <w:tcW w:w="1996" w:type="dxa"/>
            <w:noWrap/>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工作年限</w:t>
            </w:r>
          </w:p>
        </w:tc>
        <w:tc>
          <w:tcPr>
            <w:tcW w:w="7349" w:type="dxa"/>
            <w:gridSpan w:val="5"/>
            <w:noWrap/>
            <w:vAlign w:val="center"/>
          </w:tcPr>
          <w:p>
            <w:pPr>
              <w:spacing w:line="360" w:lineRule="auto"/>
              <w:rPr>
                <w:rFonts w:hint="eastAsia" w:ascii="仿宋" w:hAnsi="仿宋" w:eastAsia="仿宋" w:cs="仿宋"/>
                <w:bCs/>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0" w:hRule="atLeast"/>
        </w:trPr>
        <w:tc>
          <w:tcPr>
            <w:tcW w:w="9345" w:type="dxa"/>
            <w:gridSpan w:val="6"/>
            <w:noWrap/>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主  要  经  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996" w:type="dxa"/>
            <w:noWrap/>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时   间</w:t>
            </w:r>
          </w:p>
        </w:tc>
        <w:tc>
          <w:tcPr>
            <w:tcW w:w="4622" w:type="dxa"/>
            <w:gridSpan w:val="4"/>
            <w:noWrap/>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参加过的项目名称及规模</w:t>
            </w:r>
          </w:p>
        </w:tc>
        <w:tc>
          <w:tcPr>
            <w:tcW w:w="2727" w:type="dxa"/>
            <w:noWrap/>
            <w:vAlign w:val="center"/>
          </w:tcPr>
          <w:p>
            <w:pPr>
              <w:spacing w:line="360" w:lineRule="auto"/>
              <w:jc w:val="center"/>
              <w:rPr>
                <w:rFonts w:hint="eastAsia" w:ascii="仿宋" w:hAnsi="仿宋" w:eastAsia="仿宋" w:cs="仿宋"/>
                <w:bCs/>
                <w:sz w:val="24"/>
                <w:szCs w:val="24"/>
              </w:rPr>
            </w:pPr>
            <w:r>
              <w:rPr>
                <w:rFonts w:hint="eastAsia" w:ascii="仿宋" w:hAnsi="仿宋" w:eastAsia="仿宋" w:cs="仿宋"/>
                <w:bCs/>
                <w:sz w:val="24"/>
                <w:szCs w:val="24"/>
              </w:rPr>
              <w:t>该项目中任职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2" w:hRule="atLeast"/>
        </w:trPr>
        <w:tc>
          <w:tcPr>
            <w:tcW w:w="1996" w:type="dxa"/>
            <w:noWrap/>
          </w:tcPr>
          <w:p>
            <w:pPr>
              <w:spacing w:line="360" w:lineRule="auto"/>
              <w:rPr>
                <w:rFonts w:hint="eastAsia" w:ascii="仿宋" w:hAnsi="仿宋" w:eastAsia="仿宋" w:cs="仿宋"/>
                <w:bCs/>
                <w:sz w:val="24"/>
                <w:szCs w:val="24"/>
              </w:rPr>
            </w:pPr>
          </w:p>
        </w:tc>
        <w:tc>
          <w:tcPr>
            <w:tcW w:w="4622" w:type="dxa"/>
            <w:gridSpan w:val="4"/>
            <w:noWrap/>
          </w:tcPr>
          <w:p>
            <w:pPr>
              <w:spacing w:line="360" w:lineRule="auto"/>
              <w:rPr>
                <w:rFonts w:hint="eastAsia" w:ascii="仿宋" w:hAnsi="仿宋" w:eastAsia="仿宋" w:cs="仿宋"/>
                <w:bCs/>
                <w:sz w:val="24"/>
                <w:szCs w:val="24"/>
              </w:rPr>
            </w:pPr>
          </w:p>
        </w:tc>
        <w:tc>
          <w:tcPr>
            <w:tcW w:w="2727" w:type="dxa"/>
            <w:noWrap/>
          </w:tcPr>
          <w:p>
            <w:pPr>
              <w:spacing w:line="360" w:lineRule="auto"/>
              <w:rPr>
                <w:rFonts w:hint="eastAsia" w:ascii="仿宋" w:hAnsi="仿宋" w:eastAsia="仿宋" w:cs="仿宋"/>
                <w:bCs/>
                <w:sz w:val="24"/>
                <w:szCs w:val="24"/>
              </w:rPr>
            </w:pPr>
          </w:p>
        </w:tc>
      </w:tr>
    </w:tbl>
    <w:p>
      <w:pPr>
        <w:adjustRightInd w:val="0"/>
        <w:snapToGrid w:val="0"/>
        <w:spacing w:line="360" w:lineRule="auto"/>
        <w:ind w:firstLine="480" w:firstLineChars="200"/>
        <w:rPr>
          <w:rFonts w:hint="eastAsia" w:ascii="仿宋" w:hAnsi="仿宋" w:eastAsia="仿宋" w:cs="仿宋"/>
          <w:bCs/>
          <w:color w:val="000000"/>
          <w:sz w:val="24"/>
          <w:szCs w:val="24"/>
        </w:rPr>
      </w:pPr>
      <w:r>
        <w:rPr>
          <w:rFonts w:hint="eastAsia" w:ascii="仿宋" w:hAnsi="仿宋" w:eastAsia="仿宋" w:cs="仿宋"/>
          <w:bCs/>
          <w:color w:val="000000"/>
          <w:sz w:val="24"/>
          <w:szCs w:val="24"/>
        </w:rPr>
        <w:t>注：供应商需随此表在磋商响应文件中附上相关人员学历证明</w:t>
      </w:r>
      <w:r>
        <w:rPr>
          <w:rFonts w:hint="eastAsia" w:ascii="仿宋" w:hAnsi="仿宋" w:eastAsia="仿宋" w:cs="仿宋"/>
          <w:bCs/>
          <w:color w:val="000000"/>
          <w:sz w:val="24"/>
          <w:szCs w:val="24"/>
          <w:lang w:eastAsia="zh-CN"/>
        </w:rPr>
        <w:t>、身份证等</w:t>
      </w:r>
      <w:r>
        <w:rPr>
          <w:rFonts w:hint="eastAsia" w:ascii="仿宋" w:hAnsi="仿宋" w:eastAsia="仿宋" w:cs="仿宋"/>
          <w:bCs/>
          <w:color w:val="000000"/>
          <w:sz w:val="24"/>
          <w:szCs w:val="24"/>
        </w:rPr>
        <w:t>复印件加盖公章。</w:t>
      </w:r>
    </w:p>
    <w:p>
      <w:pPr>
        <w:adjustRightInd w:val="0"/>
        <w:snapToGrid w:val="0"/>
        <w:spacing w:line="360" w:lineRule="auto"/>
        <w:ind w:firstLine="480" w:firstLineChars="200"/>
        <w:rPr>
          <w:rFonts w:hint="eastAsia" w:ascii="仿宋" w:hAnsi="仿宋" w:eastAsia="仿宋" w:cs="仿宋"/>
          <w:bCs/>
          <w:color w:val="000000"/>
          <w:sz w:val="24"/>
          <w:szCs w:val="24"/>
        </w:rPr>
      </w:pPr>
    </w:p>
    <w:p>
      <w:pPr>
        <w:spacing w:line="360" w:lineRule="auto"/>
        <w:ind w:firstLine="3360" w:firstLineChars="1400"/>
        <w:rPr>
          <w:rFonts w:hint="eastAsia" w:ascii="仿宋" w:hAnsi="仿宋" w:eastAsia="仿宋" w:cs="仿宋"/>
          <w:sz w:val="24"/>
          <w:szCs w:val="24"/>
        </w:rPr>
      </w:pPr>
      <w:bookmarkStart w:id="530" w:name="_Toc3056"/>
      <w:bookmarkStart w:id="531" w:name="_Toc3451"/>
      <w:bookmarkStart w:id="532" w:name="_Toc31326"/>
      <w:bookmarkStart w:id="533" w:name="_Toc300"/>
      <w:bookmarkStart w:id="534" w:name="_Toc13495"/>
      <w:bookmarkStart w:id="535" w:name="_Toc31471"/>
      <w:bookmarkStart w:id="536" w:name="_Toc21194"/>
      <w:r>
        <w:rPr>
          <w:rFonts w:hint="eastAsia" w:ascii="仿宋" w:hAnsi="仿宋" w:eastAsia="仿宋" w:cs="仿宋"/>
          <w:sz w:val="24"/>
          <w:szCs w:val="24"/>
        </w:rPr>
        <w:t>供应商（公章）：</w:t>
      </w:r>
    </w:p>
    <w:p>
      <w:pPr>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autoSpaceDE w:val="0"/>
        <w:autoSpaceDN w:val="0"/>
        <w:adjustRightInd w:val="0"/>
        <w:snapToGrid w:val="0"/>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p>
    <w:p>
      <w:pPr>
        <w:pStyle w:val="4"/>
        <w:keepNext w:val="0"/>
        <w:pageBreakBefore/>
        <w:spacing w:line="360" w:lineRule="auto"/>
        <w:rPr>
          <w:rFonts w:hint="eastAsia" w:ascii="仿宋" w:hAnsi="仿宋" w:eastAsia="仿宋" w:cs="仿宋"/>
          <w:sz w:val="32"/>
          <w:szCs w:val="21"/>
        </w:rPr>
      </w:pPr>
      <w:bookmarkStart w:id="537" w:name="_Toc18224"/>
      <w:bookmarkStart w:id="538" w:name="_Toc4571"/>
      <w:r>
        <w:rPr>
          <w:rFonts w:hint="eastAsia" w:ascii="仿宋" w:hAnsi="仿宋" w:eastAsia="仿宋" w:cs="仿宋"/>
          <w:sz w:val="32"/>
          <w:szCs w:val="32"/>
          <w:lang w:val="zh-CN"/>
        </w:rPr>
        <w:t>八、参与本项目主要人员表</w:t>
      </w:r>
      <w:bookmarkEnd w:id="530"/>
      <w:bookmarkEnd w:id="531"/>
      <w:bookmarkEnd w:id="532"/>
      <w:bookmarkEnd w:id="533"/>
      <w:bookmarkEnd w:id="534"/>
      <w:bookmarkEnd w:id="535"/>
      <w:bookmarkEnd w:id="536"/>
      <w:bookmarkEnd w:id="537"/>
      <w:bookmarkEnd w:id="538"/>
    </w:p>
    <w:tbl>
      <w:tblPr>
        <w:tblStyle w:val="25"/>
        <w:tblW w:w="924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4"/>
        <w:gridCol w:w="1234"/>
        <w:gridCol w:w="1680"/>
        <w:gridCol w:w="1686"/>
        <w:gridCol w:w="34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9" w:hRule="atLeast"/>
        </w:trPr>
        <w:tc>
          <w:tcPr>
            <w:tcW w:w="118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ind w:right="279" w:rightChars="133"/>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序号</w:t>
            </w:r>
          </w:p>
        </w:tc>
        <w:tc>
          <w:tcPr>
            <w:tcW w:w="1234"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姓名</w:t>
            </w:r>
          </w:p>
        </w:tc>
        <w:tc>
          <w:tcPr>
            <w:tcW w:w="168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专业</w:t>
            </w:r>
          </w:p>
        </w:tc>
        <w:tc>
          <w:tcPr>
            <w:tcW w:w="1686"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工作年限</w:t>
            </w:r>
          </w:p>
        </w:tc>
        <w:tc>
          <w:tcPr>
            <w:tcW w:w="3459"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spacing w:line="360" w:lineRule="auto"/>
              <w:jc w:val="center"/>
              <w:rPr>
                <w:rFonts w:hint="eastAsia" w:ascii="仿宋" w:hAnsi="仿宋" w:eastAsia="仿宋" w:cs="仿宋"/>
                <w:b/>
                <w:bCs/>
                <w:color w:val="000000"/>
                <w:sz w:val="24"/>
                <w:szCs w:val="24"/>
              </w:rPr>
            </w:pPr>
            <w:r>
              <w:rPr>
                <w:rFonts w:hint="eastAsia" w:ascii="仿宋" w:hAnsi="仿宋" w:eastAsia="仿宋" w:cs="仿宋"/>
                <w:b/>
                <w:bCs/>
                <w:color w:val="00000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234"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0"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1686"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c>
          <w:tcPr>
            <w:tcW w:w="3459" w:type="dxa"/>
            <w:tcBorders>
              <w:top w:val="single" w:color="auto" w:sz="4" w:space="0"/>
              <w:left w:val="single" w:color="auto" w:sz="4" w:space="0"/>
              <w:bottom w:val="single" w:color="auto" w:sz="4" w:space="0"/>
              <w:right w:val="single" w:color="auto" w:sz="4" w:space="0"/>
            </w:tcBorders>
            <w:noWrap/>
          </w:tcPr>
          <w:p>
            <w:pPr>
              <w:adjustRightInd w:val="0"/>
              <w:snapToGrid w:val="0"/>
              <w:spacing w:line="360" w:lineRule="auto"/>
              <w:rPr>
                <w:rFonts w:hint="eastAsia" w:ascii="仿宋" w:hAnsi="仿宋" w:eastAsia="仿宋" w:cs="仿宋"/>
                <w:b/>
                <w:bCs/>
                <w:color w:val="000000"/>
                <w:sz w:val="24"/>
                <w:szCs w:val="24"/>
              </w:rPr>
            </w:pPr>
          </w:p>
        </w:tc>
      </w:tr>
    </w:tbl>
    <w:p>
      <w:pPr>
        <w:adjustRightInd w:val="0"/>
        <w:snapToGrid w:val="0"/>
        <w:spacing w:line="360" w:lineRule="auto"/>
        <w:ind w:firstLine="480" w:firstLineChars="200"/>
        <w:rPr>
          <w:rFonts w:hint="eastAsia" w:ascii="仿宋" w:hAnsi="仿宋" w:eastAsia="仿宋" w:cs="仿宋"/>
          <w:bCs/>
          <w:color w:val="000000"/>
          <w:sz w:val="24"/>
          <w:szCs w:val="24"/>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autoSpaceDE w:val="0"/>
        <w:autoSpaceDN w:val="0"/>
        <w:adjustRightInd w:val="0"/>
        <w:snapToGrid w:val="0"/>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p>
    <w:p>
      <w:pPr>
        <w:spacing w:line="360" w:lineRule="auto"/>
        <w:rPr>
          <w:rFonts w:hint="eastAsia" w:ascii="仿宋" w:hAnsi="仿宋" w:eastAsia="仿宋" w:cs="仿宋"/>
        </w:rPr>
        <w:sectPr>
          <w:pgSz w:w="11906" w:h="16838"/>
          <w:pgMar w:top="1417" w:right="1701" w:bottom="1417" w:left="1701" w:header="851" w:footer="992" w:gutter="0"/>
          <w:cols w:space="0" w:num="1"/>
          <w:docGrid w:linePitch="312" w:charSpace="0"/>
        </w:sectPr>
      </w:pPr>
      <w:r>
        <w:rPr>
          <w:rFonts w:hint="eastAsia" w:ascii="仿宋" w:hAnsi="仿宋" w:eastAsia="仿宋" w:cs="仿宋"/>
          <w:sz w:val="32"/>
          <w:szCs w:val="21"/>
        </w:rPr>
        <w:br w:type="page"/>
      </w:r>
    </w:p>
    <w:p>
      <w:pPr>
        <w:pStyle w:val="4"/>
        <w:keepNext w:val="0"/>
        <w:pageBreakBefore/>
        <w:spacing w:line="360" w:lineRule="auto"/>
        <w:rPr>
          <w:rFonts w:hint="eastAsia" w:ascii="仿宋" w:hAnsi="仿宋" w:eastAsia="仿宋" w:cs="仿宋"/>
          <w:sz w:val="32"/>
          <w:szCs w:val="32"/>
          <w:lang w:val="zh-CN"/>
        </w:rPr>
      </w:pPr>
      <w:bookmarkStart w:id="539" w:name="_Toc15879"/>
      <w:bookmarkStart w:id="540" w:name="_Toc32065"/>
      <w:bookmarkStart w:id="541" w:name="_Toc20815"/>
      <w:bookmarkStart w:id="542" w:name="_Toc12819"/>
      <w:bookmarkStart w:id="543" w:name="_Toc17529"/>
      <w:bookmarkStart w:id="544" w:name="_Toc23710"/>
      <w:bookmarkStart w:id="545" w:name="_Toc8518"/>
      <w:bookmarkStart w:id="546" w:name="_Toc1756"/>
      <w:bookmarkStart w:id="547" w:name="_Toc30722"/>
      <w:bookmarkStart w:id="548" w:name="_Toc15748"/>
      <w:r>
        <w:rPr>
          <w:rFonts w:hint="eastAsia" w:ascii="仿宋" w:hAnsi="仿宋" w:eastAsia="仿宋" w:cs="仿宋"/>
          <w:sz w:val="32"/>
          <w:szCs w:val="32"/>
          <w:lang w:val="zh-CN"/>
        </w:rPr>
        <w:t>九、</w:t>
      </w:r>
      <w:bookmarkEnd w:id="539"/>
      <w:bookmarkEnd w:id="540"/>
      <w:bookmarkEnd w:id="541"/>
      <w:bookmarkEnd w:id="542"/>
      <w:bookmarkEnd w:id="543"/>
      <w:bookmarkEnd w:id="544"/>
      <w:bookmarkEnd w:id="545"/>
      <w:r>
        <w:rPr>
          <w:rFonts w:hint="eastAsia" w:ascii="仿宋" w:hAnsi="仿宋" w:eastAsia="仿宋" w:cs="仿宋"/>
          <w:sz w:val="32"/>
          <w:szCs w:val="32"/>
          <w:lang w:val="zh-CN"/>
        </w:rPr>
        <w:t>技术方案</w:t>
      </w:r>
      <w:bookmarkEnd w:id="546"/>
      <w:bookmarkEnd w:id="547"/>
      <w:bookmarkEnd w:id="548"/>
    </w:p>
    <w:p>
      <w:pPr>
        <w:adjustRightInd w:val="0"/>
        <w:snapToGrid w:val="0"/>
        <w:spacing w:line="360" w:lineRule="auto"/>
        <w:ind w:firstLine="480" w:firstLineChars="200"/>
        <w:rPr>
          <w:rFonts w:hint="eastAsia" w:ascii="仿宋" w:hAnsi="仿宋" w:eastAsia="仿宋" w:cs="仿宋"/>
          <w:color w:val="auto"/>
          <w:sz w:val="24"/>
          <w:szCs w:val="24"/>
        </w:rPr>
      </w:pPr>
      <w:r>
        <w:rPr>
          <w:rFonts w:hint="eastAsia" w:ascii="仿宋" w:hAnsi="仿宋" w:eastAsia="仿宋" w:cs="仿宋"/>
          <w:color w:val="auto"/>
          <w:sz w:val="24"/>
          <w:szCs w:val="24"/>
        </w:rPr>
        <w:t>包含但不限于以下几项：</w:t>
      </w:r>
    </w:p>
    <w:p>
      <w:pPr>
        <w:adjustRightInd w:val="0"/>
        <w:snapToGrid w:val="0"/>
        <w:spacing w:line="360" w:lineRule="auto"/>
        <w:ind w:firstLine="480" w:firstLineChars="20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lang w:val="zh-CN" w:eastAsia="zh-CN"/>
        </w:rPr>
        <w:t>实施方案；</w:t>
      </w:r>
    </w:p>
    <w:p>
      <w:pPr>
        <w:adjustRightInd w:val="0"/>
        <w:snapToGrid w:val="0"/>
        <w:spacing w:line="360" w:lineRule="auto"/>
        <w:ind w:firstLine="480" w:firstLineChars="20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2.</w:t>
      </w:r>
      <w:r>
        <w:rPr>
          <w:rFonts w:hint="eastAsia" w:ascii="仿宋" w:hAnsi="仿宋" w:eastAsia="仿宋" w:cs="仿宋"/>
          <w:color w:val="auto"/>
          <w:sz w:val="24"/>
          <w:szCs w:val="24"/>
          <w:lang w:val="zh-CN" w:eastAsia="zh-CN"/>
        </w:rPr>
        <w:t>质量保证；</w:t>
      </w:r>
    </w:p>
    <w:p>
      <w:pPr>
        <w:adjustRightInd w:val="0"/>
        <w:snapToGrid w:val="0"/>
        <w:spacing w:line="360" w:lineRule="auto"/>
        <w:ind w:firstLine="480" w:firstLineChars="200"/>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lang w:val="en-US" w:eastAsia="zh-CN"/>
        </w:rPr>
        <w:t>3.</w:t>
      </w:r>
      <w:r>
        <w:rPr>
          <w:rFonts w:hint="eastAsia" w:ascii="仿宋" w:hAnsi="仿宋" w:eastAsia="仿宋" w:cs="仿宋"/>
          <w:color w:val="auto"/>
          <w:sz w:val="24"/>
          <w:szCs w:val="24"/>
          <w:lang w:val="zh-CN" w:eastAsia="zh-CN"/>
        </w:rPr>
        <w:t>保障措施；</w:t>
      </w:r>
    </w:p>
    <w:p>
      <w:pPr>
        <w:adjustRightInd w:val="0"/>
        <w:snapToGrid w:val="0"/>
        <w:spacing w:line="360" w:lineRule="auto"/>
        <w:ind w:firstLine="480" w:firstLineChars="200"/>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4.服务承诺</w:t>
      </w:r>
    </w:p>
    <w:p>
      <w:pPr>
        <w:adjustRightInd w:val="0"/>
        <w:snapToGrid w:val="0"/>
        <w:spacing w:line="360" w:lineRule="auto"/>
        <w:jc w:val="center"/>
        <w:rPr>
          <w:rFonts w:hint="eastAsia" w:ascii="仿宋" w:hAnsi="仿宋" w:eastAsia="仿宋" w:cs="仿宋"/>
          <w:sz w:val="24"/>
          <w:szCs w:val="24"/>
        </w:rPr>
      </w:pPr>
    </w:p>
    <w:p>
      <w:pPr>
        <w:spacing w:line="360" w:lineRule="auto"/>
        <w:rPr>
          <w:rFonts w:hint="eastAsia" w:ascii="仿宋" w:hAnsi="仿宋" w:eastAsia="仿宋" w:cs="仿宋"/>
        </w:rPr>
      </w:pPr>
      <w:r>
        <w:rPr>
          <w:rFonts w:hint="eastAsia" w:ascii="仿宋" w:hAnsi="仿宋" w:eastAsia="仿宋" w:cs="仿宋"/>
          <w:sz w:val="24"/>
          <w:szCs w:val="24"/>
          <w:lang w:val="zh-CN"/>
        </w:rPr>
        <w:br w:type="page"/>
      </w:r>
      <w:bookmarkStart w:id="549" w:name="_Toc27331"/>
      <w:bookmarkStart w:id="550" w:name="_Toc3076"/>
      <w:bookmarkStart w:id="551" w:name="_Toc205"/>
    </w:p>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49"/>
    <w:bookmarkEnd w:id="550"/>
    <w:bookmarkEnd w:id="551"/>
    <w:p>
      <w:pPr>
        <w:pStyle w:val="4"/>
        <w:keepNext w:val="0"/>
        <w:pageBreakBefore/>
        <w:spacing w:line="360" w:lineRule="auto"/>
        <w:rPr>
          <w:rFonts w:hint="eastAsia" w:ascii="仿宋" w:hAnsi="仿宋" w:eastAsia="仿宋" w:cs="仿宋"/>
          <w:sz w:val="32"/>
          <w:szCs w:val="32"/>
          <w:lang w:val="zh-CN"/>
        </w:rPr>
      </w:pPr>
      <w:bookmarkStart w:id="552" w:name="_Toc21252"/>
      <w:bookmarkStart w:id="553" w:name="_Toc495908057"/>
      <w:bookmarkStart w:id="554" w:name="_Toc12206"/>
      <w:bookmarkStart w:id="555" w:name="_Toc476747606"/>
      <w:bookmarkStart w:id="556" w:name="_Toc4687"/>
      <w:bookmarkStart w:id="557" w:name="_Toc495681261"/>
      <w:bookmarkStart w:id="558" w:name="_Toc27777"/>
      <w:bookmarkStart w:id="559" w:name="_Toc475451557"/>
      <w:bookmarkStart w:id="560" w:name="_Toc473056008"/>
      <w:bookmarkStart w:id="561" w:name="_Toc14115"/>
      <w:bookmarkStart w:id="562" w:name="_Toc495681542"/>
      <w:bookmarkStart w:id="563" w:name="_Toc1083"/>
      <w:bookmarkStart w:id="564" w:name="_Toc31162"/>
      <w:bookmarkStart w:id="565" w:name="_Toc27697"/>
      <w:bookmarkStart w:id="566" w:name="_Toc21908"/>
      <w:bookmarkStart w:id="567" w:name="_Toc29583"/>
      <w:bookmarkStart w:id="568" w:name="_Toc495681415"/>
      <w:bookmarkStart w:id="569" w:name="_Toc26291"/>
      <w:bookmarkStart w:id="570" w:name="_Toc475451804"/>
      <w:bookmarkStart w:id="571" w:name="_Toc8978"/>
      <w:bookmarkStart w:id="572" w:name="_Toc25899"/>
      <w:r>
        <w:rPr>
          <w:rFonts w:hint="eastAsia" w:ascii="仿宋" w:hAnsi="仿宋" w:eastAsia="仿宋" w:cs="仿宋"/>
          <w:sz w:val="32"/>
          <w:szCs w:val="32"/>
          <w:lang w:val="zh-CN"/>
        </w:rPr>
        <w:t>十、近年业绩的有关证明材料</w:t>
      </w:r>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p>
    <w:tbl>
      <w:tblPr>
        <w:tblStyle w:val="25"/>
        <w:tblW w:w="9135"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0"/>
        <w:gridCol w:w="1620"/>
        <w:gridCol w:w="2109"/>
        <w:gridCol w:w="2025"/>
        <w:gridCol w:w="248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00"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序号</w:t>
            </w:r>
          </w:p>
        </w:tc>
        <w:tc>
          <w:tcPr>
            <w:tcW w:w="1620"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用户名称</w:t>
            </w:r>
          </w:p>
        </w:tc>
        <w:tc>
          <w:tcPr>
            <w:tcW w:w="2109"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项目名称</w:t>
            </w:r>
          </w:p>
        </w:tc>
        <w:tc>
          <w:tcPr>
            <w:tcW w:w="2025"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合同金额</w:t>
            </w:r>
          </w:p>
        </w:tc>
        <w:tc>
          <w:tcPr>
            <w:tcW w:w="2481" w:type="dxa"/>
            <w:vAlign w:val="center"/>
          </w:tcPr>
          <w:p>
            <w:pPr>
              <w:spacing w:line="360" w:lineRule="auto"/>
              <w:jc w:val="center"/>
              <w:rPr>
                <w:rFonts w:hint="eastAsia" w:ascii="仿宋" w:hAnsi="仿宋" w:eastAsia="仿宋" w:cs="仿宋"/>
                <w:b/>
                <w:sz w:val="24"/>
                <w:szCs w:val="24"/>
              </w:rPr>
            </w:pPr>
            <w:r>
              <w:rPr>
                <w:rFonts w:hint="eastAsia" w:ascii="仿宋" w:hAnsi="仿宋" w:eastAsia="仿宋" w:cs="仿宋"/>
                <w:b/>
                <w:sz w:val="24"/>
                <w:szCs w:val="24"/>
              </w:rPr>
              <w:t>合同签订时间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19"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54" w:hRule="atLeast"/>
        </w:trPr>
        <w:tc>
          <w:tcPr>
            <w:tcW w:w="900" w:type="dxa"/>
          </w:tcPr>
          <w:p>
            <w:pPr>
              <w:spacing w:line="360" w:lineRule="auto"/>
              <w:rPr>
                <w:rFonts w:hint="eastAsia" w:ascii="仿宋" w:hAnsi="仿宋" w:eastAsia="仿宋" w:cs="仿宋"/>
                <w:sz w:val="24"/>
                <w:szCs w:val="24"/>
              </w:rPr>
            </w:pPr>
          </w:p>
        </w:tc>
        <w:tc>
          <w:tcPr>
            <w:tcW w:w="1620" w:type="dxa"/>
          </w:tcPr>
          <w:p>
            <w:pPr>
              <w:spacing w:line="360" w:lineRule="auto"/>
              <w:rPr>
                <w:rFonts w:hint="eastAsia" w:ascii="仿宋" w:hAnsi="仿宋" w:eastAsia="仿宋" w:cs="仿宋"/>
                <w:sz w:val="24"/>
                <w:szCs w:val="24"/>
              </w:rPr>
            </w:pPr>
          </w:p>
        </w:tc>
        <w:tc>
          <w:tcPr>
            <w:tcW w:w="2109" w:type="dxa"/>
          </w:tcPr>
          <w:p>
            <w:pPr>
              <w:spacing w:line="360" w:lineRule="auto"/>
              <w:rPr>
                <w:rFonts w:hint="eastAsia" w:ascii="仿宋" w:hAnsi="仿宋" w:eastAsia="仿宋" w:cs="仿宋"/>
                <w:sz w:val="24"/>
                <w:szCs w:val="24"/>
              </w:rPr>
            </w:pPr>
          </w:p>
        </w:tc>
        <w:tc>
          <w:tcPr>
            <w:tcW w:w="2025" w:type="dxa"/>
          </w:tcPr>
          <w:p>
            <w:pPr>
              <w:spacing w:line="360" w:lineRule="auto"/>
              <w:rPr>
                <w:rFonts w:hint="eastAsia" w:ascii="仿宋" w:hAnsi="仿宋" w:eastAsia="仿宋" w:cs="仿宋"/>
                <w:sz w:val="24"/>
                <w:szCs w:val="24"/>
              </w:rPr>
            </w:pPr>
          </w:p>
        </w:tc>
        <w:tc>
          <w:tcPr>
            <w:tcW w:w="2481" w:type="dxa"/>
          </w:tcPr>
          <w:p>
            <w:pPr>
              <w:spacing w:line="360" w:lineRule="auto"/>
              <w:rPr>
                <w:rFonts w:hint="eastAsia" w:ascii="仿宋" w:hAnsi="仿宋" w:eastAsia="仿宋" w:cs="仿宋"/>
                <w:sz w:val="24"/>
                <w:szCs w:val="24"/>
              </w:rPr>
            </w:pPr>
          </w:p>
        </w:tc>
      </w:tr>
    </w:tbl>
    <w:p>
      <w:pPr>
        <w:spacing w:line="360" w:lineRule="auto"/>
        <w:rPr>
          <w:rFonts w:hint="eastAsia" w:ascii="仿宋" w:hAnsi="仿宋" w:eastAsia="仿宋" w:cs="仿宋"/>
        </w:rPr>
      </w:pP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说明：</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 xml:space="preserve">1.本表后附合同复印件，合同签订时间及金额以合同中的内容为准； </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2.供应商应如实列出以上情况，如有隐瞒，一经查实将导致其磋商响应文件被拒绝。</w:t>
      </w:r>
    </w:p>
    <w:p>
      <w:pPr>
        <w:autoSpaceDE w:val="0"/>
        <w:autoSpaceDN w:val="0"/>
        <w:adjustRightInd w:val="0"/>
        <w:spacing w:line="360" w:lineRule="auto"/>
        <w:ind w:firstLine="480" w:firstLineChars="200"/>
        <w:rPr>
          <w:rFonts w:hint="eastAsia" w:ascii="仿宋" w:hAnsi="仿宋" w:eastAsia="仿宋" w:cs="仿宋"/>
          <w:sz w:val="24"/>
          <w:szCs w:val="24"/>
          <w:lang w:val="zh-CN"/>
        </w:rPr>
      </w:pPr>
      <w:r>
        <w:rPr>
          <w:rFonts w:hint="eastAsia" w:ascii="仿宋" w:hAnsi="仿宋" w:eastAsia="仿宋" w:cs="仿宋"/>
          <w:sz w:val="24"/>
          <w:szCs w:val="24"/>
          <w:lang w:val="zh-CN"/>
        </w:rPr>
        <w:t>3.未按上述要求提供、填写的，评审时不予以考虑。</w:t>
      </w:r>
    </w:p>
    <w:p>
      <w:pPr>
        <w:spacing w:line="360" w:lineRule="auto"/>
        <w:ind w:firstLine="1920" w:firstLineChars="800"/>
        <w:rPr>
          <w:rFonts w:hint="eastAsia" w:ascii="仿宋" w:hAnsi="仿宋" w:eastAsia="仿宋" w:cs="仿宋"/>
          <w:sz w:val="24"/>
          <w:szCs w:val="24"/>
        </w:rPr>
      </w:pPr>
    </w:p>
    <w:p>
      <w:pPr>
        <w:spacing w:line="360" w:lineRule="auto"/>
        <w:ind w:firstLine="3360" w:firstLineChars="1400"/>
        <w:rPr>
          <w:rFonts w:hint="eastAsia" w:ascii="仿宋" w:hAnsi="仿宋" w:eastAsia="仿宋" w:cs="仿宋"/>
          <w:sz w:val="24"/>
          <w:szCs w:val="24"/>
        </w:rPr>
      </w:pPr>
      <w:bookmarkStart w:id="573" w:name="_Toc511298216"/>
      <w:bookmarkStart w:id="574" w:name="_Toc495681544"/>
      <w:bookmarkStart w:id="575" w:name="_Toc495681263"/>
      <w:bookmarkStart w:id="576" w:name="_Toc495908059"/>
      <w:bookmarkStart w:id="577" w:name="_Toc16033"/>
      <w:bookmarkStart w:id="578" w:name="_Toc495681417"/>
      <w:r>
        <w:rPr>
          <w:rFonts w:hint="eastAsia" w:ascii="仿宋" w:hAnsi="仿宋" w:eastAsia="仿宋" w:cs="仿宋"/>
          <w:sz w:val="24"/>
          <w:szCs w:val="24"/>
        </w:rPr>
        <w:t>供应商（公章）：</w:t>
      </w:r>
    </w:p>
    <w:p>
      <w:pPr>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autoSpaceDE w:val="0"/>
        <w:autoSpaceDN w:val="0"/>
        <w:adjustRightInd w:val="0"/>
        <w:snapToGrid w:val="0"/>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p>
    <w:p>
      <w:pPr>
        <w:pStyle w:val="4"/>
        <w:spacing w:line="360" w:lineRule="auto"/>
        <w:rPr>
          <w:rFonts w:hint="eastAsia" w:ascii="仿宋" w:hAnsi="仿宋" w:eastAsia="仿宋" w:cs="仿宋"/>
          <w:szCs w:val="22"/>
          <w:lang w:val="zh-CN"/>
        </w:rPr>
      </w:pPr>
      <w:r>
        <w:rPr>
          <w:rFonts w:hint="eastAsia" w:ascii="仿宋" w:hAnsi="仿宋" w:eastAsia="仿宋" w:cs="仿宋"/>
        </w:rPr>
        <w:br w:type="page"/>
      </w:r>
      <w:bookmarkStart w:id="579" w:name="_Toc26608"/>
      <w:bookmarkStart w:id="580" w:name="_Toc14494"/>
      <w:bookmarkStart w:id="581" w:name="_Toc24029"/>
      <w:bookmarkStart w:id="582" w:name="_Toc14636"/>
      <w:bookmarkStart w:id="583" w:name="_Toc3166"/>
      <w:bookmarkStart w:id="584" w:name="_Toc542"/>
      <w:bookmarkStart w:id="585" w:name="_Toc23630"/>
      <w:bookmarkStart w:id="586" w:name="_Toc9207"/>
      <w:bookmarkStart w:id="587" w:name="_Toc14896"/>
      <w:bookmarkStart w:id="588" w:name="_Toc22060"/>
      <w:bookmarkStart w:id="589" w:name="_Toc6195"/>
      <w:bookmarkStart w:id="590" w:name="_Toc19979"/>
      <w:r>
        <w:rPr>
          <w:rFonts w:hint="eastAsia" w:ascii="仿宋" w:hAnsi="仿宋" w:eastAsia="仿宋" w:cs="仿宋"/>
          <w:sz w:val="32"/>
          <w:szCs w:val="24"/>
          <w:lang w:val="zh-CN"/>
        </w:rPr>
        <w:t>十一、</w:t>
      </w:r>
      <w:bookmarkEnd w:id="573"/>
      <w:r>
        <w:rPr>
          <w:rFonts w:hint="eastAsia" w:ascii="仿宋" w:hAnsi="仿宋" w:eastAsia="仿宋" w:cs="仿宋"/>
          <w:sz w:val="32"/>
          <w:szCs w:val="24"/>
          <w:lang w:val="zh-CN"/>
        </w:rPr>
        <w:t>供应商企业关系关联承诺书</w:t>
      </w:r>
      <w:bookmarkEnd w:id="579"/>
      <w:bookmarkEnd w:id="580"/>
      <w:bookmarkEnd w:id="581"/>
      <w:bookmarkEnd w:id="582"/>
      <w:bookmarkEnd w:id="583"/>
      <w:bookmarkEnd w:id="584"/>
      <w:bookmarkEnd w:id="585"/>
      <w:bookmarkEnd w:id="586"/>
      <w:bookmarkEnd w:id="587"/>
      <w:bookmarkEnd w:id="588"/>
      <w:bookmarkEnd w:id="589"/>
      <w:bookmarkEnd w:id="590"/>
    </w:p>
    <w:p>
      <w:pPr>
        <w:spacing w:line="360" w:lineRule="auto"/>
        <w:rPr>
          <w:rFonts w:hint="eastAsia" w:ascii="仿宋" w:hAnsi="仿宋" w:eastAsia="仿宋" w:cs="仿宋"/>
          <w:spacing w:val="4"/>
          <w:sz w:val="24"/>
          <w:szCs w:val="24"/>
          <w:u w:val="single"/>
        </w:rPr>
      </w:pPr>
      <w:r>
        <w:rPr>
          <w:rFonts w:hint="eastAsia" w:ascii="仿宋" w:hAnsi="仿宋" w:eastAsia="仿宋" w:cs="仿宋"/>
          <w:spacing w:val="4"/>
          <w:sz w:val="24"/>
          <w:szCs w:val="24"/>
        </w:rPr>
        <w:t>致：</w:t>
      </w:r>
      <w:r>
        <w:rPr>
          <w:rFonts w:hint="eastAsia" w:ascii="仿宋" w:hAnsi="仿宋" w:eastAsia="仿宋" w:cs="仿宋"/>
          <w:spacing w:val="4"/>
          <w:sz w:val="24"/>
          <w:szCs w:val="24"/>
          <w:u w:val="single"/>
        </w:rPr>
        <w:t xml:space="preserve">     （采购人名称）    ：</w:t>
      </w:r>
    </w:p>
    <w:p>
      <w:pPr>
        <w:widowControl/>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我方作为</w:t>
      </w:r>
      <w:r>
        <w:rPr>
          <w:rFonts w:hint="eastAsia" w:ascii="仿宋" w:hAnsi="仿宋" w:eastAsia="仿宋" w:cs="仿宋"/>
          <w:color w:val="000000"/>
          <w:kern w:val="0"/>
          <w:sz w:val="24"/>
          <w:szCs w:val="24"/>
          <w:u w:val="single"/>
        </w:rPr>
        <w:t xml:space="preserve">         （项目名称）         </w:t>
      </w:r>
      <w:r>
        <w:rPr>
          <w:rFonts w:hint="eastAsia" w:ascii="仿宋" w:hAnsi="仿宋" w:eastAsia="仿宋" w:cs="仿宋"/>
          <w:color w:val="000000"/>
          <w:kern w:val="0"/>
          <w:sz w:val="24"/>
          <w:szCs w:val="24"/>
        </w:rPr>
        <w:t>（项目编号：）的供应商，在此郑重声明：</w:t>
      </w:r>
    </w:p>
    <w:p>
      <w:pPr>
        <w:autoSpaceDE w:val="0"/>
        <w:autoSpaceDN w:val="0"/>
        <w:adjustRightIn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1、供应商在本项目中，不存在与其它供应商负责人为同一人，有控股、管理等关联关系承诺。</w:t>
      </w:r>
    </w:p>
    <w:p>
      <w:pPr>
        <w:widowControl/>
        <w:spacing w:line="360" w:lineRule="auto"/>
        <w:ind w:firstLine="480" w:firstLineChars="200"/>
        <w:jc w:val="left"/>
        <w:rPr>
          <w:rFonts w:hint="eastAsia" w:ascii="仿宋" w:hAnsi="仿宋" w:eastAsia="仿宋" w:cs="仿宋"/>
          <w:color w:val="000000"/>
          <w:kern w:val="0"/>
          <w:sz w:val="24"/>
          <w:szCs w:val="24"/>
        </w:rPr>
      </w:pPr>
      <w:r>
        <w:rPr>
          <w:rFonts w:hint="eastAsia" w:ascii="仿宋" w:hAnsi="仿宋" w:eastAsia="仿宋" w:cs="仿宋"/>
          <w:color w:val="000000"/>
          <w:kern w:val="0"/>
          <w:sz w:val="24"/>
          <w:szCs w:val="24"/>
        </w:rPr>
        <w:t>2、我方未为本项目提供整体设计、规范编制或者项目管理、监理、检测等服务。</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 xml:space="preserve">如有不实，我方将无条件地退出本项目的采购活动，并遵照《政府采购法》有关“提供虚假材料的规定”接受处罚。 </w:t>
      </w:r>
    </w:p>
    <w:p>
      <w:pPr>
        <w:widowControl/>
        <w:spacing w:line="360" w:lineRule="auto"/>
        <w:ind w:firstLine="480" w:firstLineChars="200"/>
        <w:jc w:val="left"/>
        <w:rPr>
          <w:rFonts w:hint="eastAsia" w:ascii="仿宋" w:hAnsi="仿宋" w:eastAsia="仿宋" w:cs="仿宋"/>
          <w:sz w:val="24"/>
          <w:szCs w:val="24"/>
        </w:rPr>
      </w:pPr>
      <w:r>
        <w:rPr>
          <w:rFonts w:hint="eastAsia" w:ascii="仿宋" w:hAnsi="仿宋" w:eastAsia="仿宋" w:cs="仿宋"/>
          <w:color w:val="000000"/>
          <w:kern w:val="0"/>
          <w:sz w:val="24"/>
          <w:szCs w:val="24"/>
        </w:rPr>
        <w:t>特此声明。</w:t>
      </w:r>
    </w:p>
    <w:p>
      <w:pPr>
        <w:autoSpaceDE w:val="0"/>
        <w:autoSpaceDN w:val="0"/>
        <w:adjustRightInd w:val="0"/>
        <w:spacing w:line="360" w:lineRule="auto"/>
        <w:ind w:firstLine="480" w:firstLineChars="200"/>
        <w:rPr>
          <w:rFonts w:hint="eastAsia" w:ascii="仿宋" w:hAnsi="仿宋" w:eastAsia="仿宋" w:cs="仿宋"/>
          <w:sz w:val="24"/>
          <w:szCs w:val="24"/>
        </w:rPr>
      </w:pPr>
    </w:p>
    <w:p>
      <w:pPr>
        <w:autoSpaceDE w:val="0"/>
        <w:autoSpaceDN w:val="0"/>
        <w:adjustRightInd w:val="0"/>
        <w:spacing w:line="360" w:lineRule="auto"/>
        <w:rPr>
          <w:rFonts w:hint="eastAsia" w:ascii="仿宋" w:hAnsi="仿宋" w:eastAsia="仿宋" w:cs="仿宋"/>
          <w:sz w:val="24"/>
          <w:szCs w:val="24"/>
        </w:rPr>
      </w:pPr>
    </w:p>
    <w:p>
      <w:pPr>
        <w:autoSpaceDE w:val="0"/>
        <w:autoSpaceDN w:val="0"/>
        <w:adjustRightInd w:val="0"/>
        <w:spacing w:line="360" w:lineRule="auto"/>
        <w:jc w:val="center"/>
        <w:rPr>
          <w:rFonts w:hint="eastAsia" w:ascii="仿宋" w:hAnsi="仿宋" w:eastAsia="仿宋" w:cs="仿宋"/>
          <w:b/>
          <w:sz w:val="24"/>
          <w:szCs w:val="24"/>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autoSpaceDE w:val="0"/>
        <w:autoSpaceDN w:val="0"/>
        <w:adjustRightInd w:val="0"/>
        <w:snapToGrid w:val="0"/>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p>
    <w:p>
      <w:pPr>
        <w:spacing w:line="360" w:lineRule="auto"/>
        <w:ind w:firstLine="5280" w:firstLineChars="2200"/>
        <w:rPr>
          <w:rFonts w:hint="eastAsia" w:ascii="仿宋" w:hAnsi="仿宋" w:eastAsia="仿宋" w:cs="仿宋"/>
          <w:sz w:val="24"/>
          <w:szCs w:val="24"/>
          <w:u w:val="single"/>
        </w:rPr>
      </w:pPr>
    </w:p>
    <w:p>
      <w:pPr>
        <w:adjustRightInd w:val="0"/>
        <w:snapToGrid w:val="0"/>
        <w:spacing w:line="360" w:lineRule="auto"/>
        <w:ind w:firstLine="240" w:firstLineChars="100"/>
        <w:rPr>
          <w:rFonts w:hint="eastAsia" w:ascii="仿宋" w:hAnsi="仿宋" w:eastAsia="仿宋" w:cs="仿宋"/>
          <w:bCs/>
          <w:sz w:val="24"/>
          <w:szCs w:val="24"/>
        </w:rPr>
      </w:pPr>
      <w:r>
        <w:rPr>
          <w:rFonts w:hint="eastAsia" w:ascii="仿宋" w:hAnsi="仿宋" w:eastAsia="仿宋" w:cs="仿宋"/>
          <w:sz w:val="24"/>
          <w:szCs w:val="24"/>
        </w:rPr>
        <w:br w:type="page"/>
      </w:r>
      <w:bookmarkEnd w:id="574"/>
      <w:bookmarkEnd w:id="575"/>
      <w:bookmarkEnd w:id="576"/>
      <w:bookmarkEnd w:id="577"/>
      <w:bookmarkEnd w:id="578"/>
      <w:bookmarkStart w:id="591" w:name="_Toc12844"/>
      <w:bookmarkStart w:id="592" w:name="_Toc4915"/>
      <w:bookmarkStart w:id="593" w:name="_Toc4848"/>
      <w:bookmarkStart w:id="594" w:name="_Toc16511"/>
      <w:bookmarkStart w:id="595" w:name="_Toc473056009"/>
      <w:bookmarkStart w:id="596" w:name="_Toc475451559"/>
      <w:bookmarkStart w:id="597" w:name="_Toc495671276"/>
      <w:bookmarkStart w:id="598" w:name="_Toc475451806"/>
    </w:p>
    <w:p>
      <w:pPr>
        <w:pageBreakBefore/>
        <w:autoSpaceDE w:val="0"/>
        <w:autoSpaceDN w:val="0"/>
        <w:adjustRightInd w:val="0"/>
        <w:snapToGrid w:val="0"/>
        <w:spacing w:line="360" w:lineRule="auto"/>
        <w:jc w:val="center"/>
        <w:outlineLvl w:val="1"/>
        <w:rPr>
          <w:rFonts w:hint="eastAsia" w:ascii="仿宋" w:hAnsi="仿宋" w:eastAsia="仿宋" w:cs="仿宋"/>
          <w:b/>
          <w:sz w:val="32"/>
          <w:szCs w:val="15"/>
          <w:lang w:val="zh-CN"/>
        </w:rPr>
      </w:pPr>
      <w:bookmarkStart w:id="599" w:name="_Toc7865"/>
      <w:r>
        <w:rPr>
          <w:rFonts w:hint="eastAsia" w:ascii="仿宋" w:hAnsi="仿宋" w:eastAsia="仿宋" w:cs="仿宋"/>
          <w:b/>
          <w:sz w:val="32"/>
          <w:szCs w:val="15"/>
          <w:lang w:val="zh-CN"/>
        </w:rPr>
        <w:t>十二、供应商廉洁自律承诺书</w:t>
      </w:r>
      <w:bookmarkEnd w:id="591"/>
      <w:bookmarkEnd w:id="599"/>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为响应党中央、国务院关于治理政府采购领域商业贿赂行为的号召，我们特向贵司郑重承诺，在政府采购过程中严格遵守下列行为准则：</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1、严格遵守国家有关法律法规及相关政策，以及廉洁从业的各项规定。</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2、不以围标、串标、陪标、挂靠、提供虚假信息、恶意干扰采购人、磋商小组评审等违规手段实现成交目的；</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3、不以任何理由、任何形式向采购人相关工作人员或其亲戚、朋友等利益相关人行贿或馈赠礼金、有价证券、贵重物品。</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4、不以任何名义为采购人相关工作人员或其亲戚、朋友等利益相关人支付、报销应由其个人支付的费用。</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5、不以任何理由安排采购人相关工作人员或其亲戚、朋友等利益相关人参加健身、娱乐和旅游等活动。</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6、不为采购人的业务部门、关联企业或人员，购置或提供通讯工具、交通工具、高档办公用品或装修住房等。</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7、不以贿赂之外的其他方式拉拢采购方相关工作人员，使其违背公平、公开、公正竞争原则，帮助实现成交目的。</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8、如果采购人相关工作人员以帮助实现成交目的为对价向供应商索取贿赂或谋求其他个人利益，供应商应拒绝采购人相关工作人员的要求，并向采购人监督部门举报。</w:t>
      </w:r>
    </w:p>
    <w:p>
      <w:pPr>
        <w:spacing w:line="360" w:lineRule="auto"/>
        <w:ind w:firstLine="480" w:firstLineChars="200"/>
        <w:rPr>
          <w:rFonts w:hint="eastAsia" w:ascii="仿宋" w:hAnsi="仿宋" w:eastAsia="仿宋" w:cs="仿宋"/>
          <w:snapToGrid w:val="0"/>
          <w:sz w:val="24"/>
          <w:szCs w:val="24"/>
        </w:rPr>
      </w:pPr>
      <w:r>
        <w:rPr>
          <w:rFonts w:hint="eastAsia" w:ascii="仿宋" w:hAnsi="仿宋" w:eastAsia="仿宋" w:cs="仿宋"/>
          <w:snapToGrid w:val="0"/>
          <w:sz w:val="24"/>
          <w:szCs w:val="24"/>
        </w:rPr>
        <w:t>如果承诺人违背上述承诺并成交，承诺人自愿承担与贵司签订的合同无效、贵司有权拒绝支付合同款、承诺人自身损失自己承担并赔偿贵司因此产生的一切损失的民事法律责任及因此产生的刑事责任。</w:t>
      </w:r>
    </w:p>
    <w:p>
      <w:pPr>
        <w:spacing w:line="360" w:lineRule="auto"/>
        <w:ind w:firstLine="3360" w:firstLineChars="1400"/>
        <w:rPr>
          <w:rFonts w:hint="eastAsia" w:ascii="仿宋" w:hAnsi="仿宋" w:eastAsia="仿宋" w:cs="仿宋"/>
          <w:sz w:val="24"/>
          <w:szCs w:val="24"/>
        </w:rPr>
      </w:pPr>
    </w:p>
    <w:p>
      <w:pPr>
        <w:spacing w:line="360" w:lineRule="auto"/>
        <w:ind w:firstLine="3360" w:firstLineChars="1400"/>
        <w:rPr>
          <w:rFonts w:hint="eastAsia" w:ascii="仿宋" w:hAnsi="仿宋" w:eastAsia="仿宋" w:cs="仿宋"/>
          <w:sz w:val="24"/>
          <w:szCs w:val="24"/>
        </w:rPr>
      </w:pPr>
      <w:r>
        <w:rPr>
          <w:rFonts w:hint="eastAsia" w:ascii="仿宋" w:hAnsi="仿宋" w:eastAsia="仿宋" w:cs="仿宋"/>
          <w:sz w:val="24"/>
          <w:szCs w:val="24"/>
        </w:rPr>
        <w:t>供应商（公章）：</w:t>
      </w:r>
    </w:p>
    <w:p>
      <w:pPr>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法定代表人或授权代表（签字或盖章）：</w:t>
      </w:r>
    </w:p>
    <w:p>
      <w:pPr>
        <w:autoSpaceDE w:val="0"/>
        <w:autoSpaceDN w:val="0"/>
        <w:adjustRightInd w:val="0"/>
        <w:snapToGrid w:val="0"/>
        <w:spacing w:line="360" w:lineRule="auto"/>
        <w:ind w:firstLine="3360" w:firstLineChars="1400"/>
        <w:rPr>
          <w:rFonts w:hint="eastAsia" w:ascii="仿宋" w:hAnsi="仿宋" w:eastAsia="仿宋" w:cs="仿宋"/>
          <w:sz w:val="24"/>
          <w:szCs w:val="24"/>
          <w:u w:val="single"/>
        </w:rPr>
      </w:pPr>
      <w:r>
        <w:rPr>
          <w:rFonts w:hint="eastAsia" w:ascii="仿宋" w:hAnsi="仿宋" w:eastAsia="仿宋" w:cs="仿宋"/>
          <w:sz w:val="24"/>
          <w:szCs w:val="24"/>
        </w:rPr>
        <w:t>日    期：</w:t>
      </w:r>
    </w:p>
    <w:p>
      <w:pPr>
        <w:spacing w:line="360" w:lineRule="auto"/>
        <w:ind w:firstLine="4216" w:firstLineChars="1750"/>
        <w:rPr>
          <w:rFonts w:hint="eastAsia" w:ascii="仿宋" w:hAnsi="仿宋" w:eastAsia="仿宋" w:cs="仿宋"/>
          <w:b/>
          <w:sz w:val="24"/>
          <w:szCs w:val="24"/>
        </w:rPr>
      </w:pPr>
    </w:p>
    <w:p>
      <w:pPr>
        <w:spacing w:line="360" w:lineRule="auto"/>
        <w:rPr>
          <w:rFonts w:hint="eastAsia" w:ascii="仿宋" w:hAnsi="仿宋" w:eastAsia="仿宋" w:cs="仿宋"/>
        </w:rPr>
      </w:pPr>
    </w:p>
    <w:p>
      <w:pPr>
        <w:pageBreakBefore/>
        <w:autoSpaceDE w:val="0"/>
        <w:autoSpaceDN w:val="0"/>
        <w:adjustRightInd w:val="0"/>
        <w:snapToGrid w:val="0"/>
        <w:spacing w:line="360" w:lineRule="auto"/>
        <w:jc w:val="center"/>
        <w:outlineLvl w:val="1"/>
        <w:rPr>
          <w:rFonts w:hint="eastAsia" w:ascii="仿宋" w:hAnsi="仿宋" w:eastAsia="仿宋" w:cs="仿宋"/>
          <w:b/>
          <w:sz w:val="32"/>
          <w:szCs w:val="15"/>
          <w:lang w:val="zh-CN"/>
        </w:rPr>
      </w:pPr>
      <w:bookmarkStart w:id="600" w:name="_Toc4453"/>
      <w:bookmarkStart w:id="601" w:name="_Toc2715"/>
      <w:bookmarkStart w:id="602" w:name="_Toc6812"/>
      <w:bookmarkStart w:id="603" w:name="_Toc8772"/>
      <w:bookmarkStart w:id="604" w:name="_Toc15882"/>
      <w:bookmarkStart w:id="605" w:name="_Toc9051"/>
      <w:bookmarkStart w:id="606" w:name="_Toc17145"/>
      <w:bookmarkStart w:id="607" w:name="_Toc18685"/>
      <w:bookmarkStart w:id="608" w:name="_Toc964"/>
      <w:bookmarkStart w:id="609" w:name="_Toc29125"/>
      <w:bookmarkStart w:id="610" w:name="_Toc17375"/>
      <w:r>
        <w:rPr>
          <w:rFonts w:hint="eastAsia" w:ascii="仿宋" w:hAnsi="仿宋" w:eastAsia="仿宋" w:cs="仿宋"/>
          <w:b/>
          <w:sz w:val="32"/>
          <w:szCs w:val="15"/>
          <w:lang w:val="zh-CN"/>
        </w:rPr>
        <w:t>十</w:t>
      </w:r>
      <w:r>
        <w:rPr>
          <w:rFonts w:hint="eastAsia" w:ascii="仿宋" w:hAnsi="仿宋" w:eastAsia="仿宋" w:cs="仿宋"/>
          <w:b/>
          <w:sz w:val="32"/>
          <w:szCs w:val="15"/>
          <w:lang w:eastAsia="zh-CN"/>
        </w:rPr>
        <w:t>三</w:t>
      </w:r>
      <w:r>
        <w:rPr>
          <w:rFonts w:hint="eastAsia" w:ascii="仿宋" w:hAnsi="仿宋" w:eastAsia="仿宋" w:cs="仿宋"/>
          <w:b/>
          <w:sz w:val="32"/>
          <w:szCs w:val="15"/>
          <w:lang w:val="zh-CN"/>
        </w:rPr>
        <w:t>、供应商认为有必要补充说明的事项</w:t>
      </w:r>
      <w:bookmarkEnd w:id="592"/>
      <w:bookmarkEnd w:id="593"/>
      <w:bookmarkEnd w:id="594"/>
      <w:bookmarkEnd w:id="595"/>
      <w:bookmarkEnd w:id="596"/>
      <w:bookmarkEnd w:id="597"/>
      <w:bookmarkEnd w:id="598"/>
      <w:bookmarkEnd w:id="600"/>
      <w:bookmarkEnd w:id="601"/>
      <w:bookmarkEnd w:id="602"/>
      <w:bookmarkEnd w:id="603"/>
      <w:bookmarkEnd w:id="604"/>
      <w:bookmarkEnd w:id="605"/>
      <w:bookmarkEnd w:id="606"/>
      <w:bookmarkEnd w:id="607"/>
      <w:bookmarkEnd w:id="608"/>
      <w:bookmarkEnd w:id="609"/>
      <w:bookmarkEnd w:id="610"/>
    </w:p>
    <w:sectPr>
      <w:footerReference r:id="rId8" w:type="default"/>
      <w:pgSz w:w="11906" w:h="16838"/>
      <w:pgMar w:top="1417" w:right="1701" w:bottom="1417" w:left="1701" w:header="851" w:footer="992" w:gutter="0"/>
      <w:cols w:space="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libri Light">
    <w:panose1 w:val="020F03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onsolas">
    <w:panose1 w:val="020B0609020204030204"/>
    <w:charset w:val="00"/>
    <w:family w:val="modern"/>
    <w:pitch w:val="default"/>
    <w:sig w:usb0="E00006FF" w:usb1="0000FCFF" w:usb2="00000001" w:usb3="00000000" w:csb0="6000019F" w:csb1="DFD70000"/>
  </w:font>
  <w:font w:name="Myriad Pro Light">
    <w:altName w:val="Malgun Gothic"/>
    <w:panose1 w:val="00000000000000000000"/>
    <w:charset w:val="00"/>
    <w:family w:val="swiss"/>
    <w:pitch w:val="default"/>
    <w:sig w:usb0="00000000" w:usb1="00000000" w:usb2="00000000" w:usb3="00000000" w:csb0="0000009F" w:csb1="00000000"/>
  </w:font>
  <w:font w:name="Malgun Gothic">
    <w:panose1 w:val="020B0503020000020004"/>
    <w:charset w:val="81"/>
    <w:family w:val="auto"/>
    <w:pitch w:val="default"/>
    <w:sig w:usb0="9000002F" w:usb1="29D77CFB" w:usb2="00000012" w:usb3="00000000" w:csb0="00080001" w:csb1="00000000"/>
  </w:font>
  <w:font w:name="BatangChe">
    <w:altName w:val="Malgun Gothic"/>
    <w:panose1 w:val="02030609000101010101"/>
    <w:charset w:val="81"/>
    <w:family w:val="modern"/>
    <w:pitch w:val="default"/>
    <w:sig w:usb0="00000000" w:usb1="00000000" w:usb2="00000030" w:usb3="00000000" w:csb0="4008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4763"/>
        <w:tab w:val="clear" w:pos="4153"/>
      </w:tabs>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left" w:pos="4763"/>
        <w:tab w:val="clear" w:pos="4153"/>
      </w:tabs>
    </w:pPr>
    <w:r>
      <w:pict>
        <v:shape id="文本框 5" o:spid="_x0000_s307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89Kf18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V1S4rjFgZ9//jj/ejw/fCdv&#10;sj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z0p/XyQEAAJkDAAAOAAAAAAAAAAEAIAAAAB4BAABkcnMvZTJvRG9j&#10;LnhtbFBLBQYAAAAABgAGAFkBAABZBQ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5</w:t>
                </w:r>
                <w:r>
                  <w:fldChar w:fldCharType="end"/>
                </w:r>
              </w:p>
            </w:txbxContent>
          </v:textbox>
        </v:shape>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pict>
        <v:shape id="文本框 6" o:spid="_x0000_s3075"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BPo7WyQEAAJkDAAAOAAAAAAAAAAEAIAAAAB4BAABkcnMvZTJvRG9j&#10;LnhtbFBLBQYAAAAABgAGAFkBAABZBQ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52</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tabs>
        <w:tab w:val="right" w:pos="8925"/>
        <w:tab w:val="clear" w:pos="8306"/>
      </w:tabs>
      <w:ind w:right="40"/>
    </w:pPr>
    <w:r>
      <w:pict>
        <v:shape id="文本框 7" o:spid="_x0000_s3074"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XkGELyQEAAJkDAAAOAAAAAAAAAAEAIAAAAB4BAABkcnMvZTJvRG9j&#10;LnhtbFBLBQYAAAAABgAGAFkBAABZBQ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57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right" w:pos="8820"/>
      </w:tabs>
      <w:ind w:right="40"/>
      <w:rPr>
        <w:rFonts w:ascii="仿宋" w:hAnsi="仿宋" w:eastAsia="仿宋" w:cs="仿宋"/>
        <w:b/>
        <w:bCs/>
        <w:szCs w:val="21"/>
      </w:rPr>
    </w:pPr>
    <w:r>
      <w:pict>
        <v:shape id="文本框 8" o:spid="_x0000_s3073"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KUCnvccBAACZAwAADgAAAAAAAAABACAAAAAeAQAAZHJzL2Uyb0RvYy54&#10;bWxQSwUGAAAAAAYABgBZAQAAVwUAAAAA&#10;">
          <v:path/>
          <v:fill on="f" focussize="0,0"/>
          <v:stroke on="f" joinstyle="miter"/>
          <v:imagedata o:title=""/>
          <o:lock v:ext="edit"/>
          <v:textbox inset="0mm,0mm,0mm,0mm" style="mso-fit-shape-to-text:t;">
            <w:txbxContent>
              <w:p>
                <w:pPr>
                  <w:pStyle w:val="18"/>
                </w:pPr>
                <w:r>
                  <w:fldChar w:fldCharType="begin"/>
                </w:r>
                <w:r>
                  <w:instrText xml:space="preserve"> PAGE  \* MERGEFORMAT </w:instrText>
                </w:r>
                <w:r>
                  <w:fldChar w:fldCharType="separate"/>
                </w:r>
                <w:r>
                  <w:t>63</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1"/>
      </w:pBdr>
      <w:jc w:val="right"/>
      <w:rPr>
        <w:rFonts w:ascii="仿宋" w:hAnsi="仿宋" w:eastAsia="仿宋" w:cs="仿宋"/>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A9DCDB9"/>
    <w:multiLevelType w:val="singleLevel"/>
    <w:tmpl w:val="2A9DCDB9"/>
    <w:lvl w:ilvl="0" w:tentative="0">
      <w:start w:val="2"/>
      <w:numFmt w:val="chineseCounting"/>
      <w:suff w:val="nothing"/>
      <w:lvlText w:val="（%1）"/>
      <w:lvlJc w:val="left"/>
      <w:rPr>
        <w:rFonts w:hint="eastAsia"/>
      </w:rPr>
    </w:lvl>
  </w:abstractNum>
  <w:abstractNum w:abstractNumId="1">
    <w:nsid w:val="408017E7"/>
    <w:multiLevelType w:val="singleLevel"/>
    <w:tmpl w:val="408017E7"/>
    <w:lvl w:ilvl="0" w:tentative="0">
      <w:start w:val="1"/>
      <w:numFmt w:val="chineseCounting"/>
      <w:suff w:val="nothing"/>
      <w:lvlText w:val="（%1）"/>
      <w:lvlJc w:val="left"/>
      <w:rPr>
        <w:rFonts w:hint="eastAsia"/>
      </w:rPr>
    </w:lvl>
  </w:abstractNum>
  <w:abstractNum w:abstractNumId="2">
    <w:nsid w:val="43B8E3B3"/>
    <w:multiLevelType w:val="singleLevel"/>
    <w:tmpl w:val="43B8E3B3"/>
    <w:lvl w:ilvl="0" w:tentative="0">
      <w:start w:val="3"/>
      <w:numFmt w:val="chineseCounting"/>
      <w:suff w:val="space"/>
      <w:lvlText w:val="第%1部分"/>
      <w:lvlJc w:val="left"/>
      <w:rPr>
        <w:rFonts w:hint="eastAsia"/>
      </w:rPr>
    </w:lvl>
  </w:abstractNum>
  <w:abstractNum w:abstractNumId="3">
    <w:nsid w:val="46335E6F"/>
    <w:multiLevelType w:val="multilevel"/>
    <w:tmpl w:val="46335E6F"/>
    <w:lvl w:ilvl="0" w:tentative="0">
      <w:start w:val="1"/>
      <w:numFmt w:val="decimal"/>
      <w:pStyle w:val="39"/>
      <w:lvlText w:val="（%1）"/>
      <w:lvlJc w:val="left"/>
      <w:pPr>
        <w:ind w:left="8400" w:hanging="420"/>
      </w:pPr>
      <w:rPr>
        <w:rFonts w:hint="eastAsia"/>
      </w:rPr>
    </w:lvl>
    <w:lvl w:ilvl="1" w:tentative="0">
      <w:start w:val="1"/>
      <w:numFmt w:val="lowerLetter"/>
      <w:lvlText w:val="%2)"/>
      <w:lvlJc w:val="left"/>
      <w:pPr>
        <w:ind w:left="1407" w:hanging="420"/>
      </w:pPr>
    </w:lvl>
    <w:lvl w:ilvl="2" w:tentative="0">
      <w:start w:val="1"/>
      <w:numFmt w:val="lowerRoman"/>
      <w:lvlText w:val="%3."/>
      <w:lvlJc w:val="right"/>
      <w:pPr>
        <w:ind w:left="1827" w:hanging="420"/>
      </w:pPr>
    </w:lvl>
    <w:lvl w:ilvl="3" w:tentative="0">
      <w:start w:val="1"/>
      <w:numFmt w:val="decimal"/>
      <w:lvlText w:val="%4."/>
      <w:lvlJc w:val="left"/>
      <w:pPr>
        <w:ind w:left="2247" w:hanging="420"/>
      </w:pPr>
    </w:lvl>
    <w:lvl w:ilvl="4" w:tentative="0">
      <w:start w:val="1"/>
      <w:numFmt w:val="lowerLetter"/>
      <w:lvlText w:val="%5)"/>
      <w:lvlJc w:val="left"/>
      <w:pPr>
        <w:ind w:left="2667" w:hanging="420"/>
      </w:pPr>
    </w:lvl>
    <w:lvl w:ilvl="5" w:tentative="0">
      <w:start w:val="1"/>
      <w:numFmt w:val="lowerRoman"/>
      <w:lvlText w:val="%6."/>
      <w:lvlJc w:val="right"/>
      <w:pPr>
        <w:ind w:left="3087" w:hanging="420"/>
      </w:pPr>
    </w:lvl>
    <w:lvl w:ilvl="6" w:tentative="0">
      <w:start w:val="1"/>
      <w:numFmt w:val="decimal"/>
      <w:lvlText w:val="%7."/>
      <w:lvlJc w:val="left"/>
      <w:pPr>
        <w:ind w:left="3507" w:hanging="420"/>
      </w:pPr>
    </w:lvl>
    <w:lvl w:ilvl="7" w:tentative="0">
      <w:start w:val="1"/>
      <w:numFmt w:val="lowerLetter"/>
      <w:lvlText w:val="%8)"/>
      <w:lvlJc w:val="left"/>
      <w:pPr>
        <w:ind w:left="3927" w:hanging="420"/>
      </w:pPr>
    </w:lvl>
    <w:lvl w:ilvl="8" w:tentative="0">
      <w:start w:val="1"/>
      <w:numFmt w:val="lowerRoman"/>
      <w:lvlText w:val="%9."/>
      <w:lvlJc w:val="right"/>
      <w:pPr>
        <w:ind w:left="4347" w:hanging="42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hideSpellingErrors/>
  <w:attachedTemplate r:id="rId1"/>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mFiYTc0NWQ3NzcwZmM0MGY5ZWQ2ZGM3NDg5MTQwYjIifQ=="/>
  </w:docVars>
  <w:rsids>
    <w:rsidRoot w:val="00B60549"/>
    <w:rsid w:val="00082EB8"/>
    <w:rsid w:val="000B28EA"/>
    <w:rsid w:val="00242145"/>
    <w:rsid w:val="002C7C22"/>
    <w:rsid w:val="003405CA"/>
    <w:rsid w:val="00362811"/>
    <w:rsid w:val="003F6DF1"/>
    <w:rsid w:val="00413329"/>
    <w:rsid w:val="00442DE8"/>
    <w:rsid w:val="00461D06"/>
    <w:rsid w:val="004646C6"/>
    <w:rsid w:val="004D7C54"/>
    <w:rsid w:val="00520AC4"/>
    <w:rsid w:val="00537157"/>
    <w:rsid w:val="006728E4"/>
    <w:rsid w:val="006C0888"/>
    <w:rsid w:val="00752AE7"/>
    <w:rsid w:val="007902AD"/>
    <w:rsid w:val="00794FD8"/>
    <w:rsid w:val="007E7FDC"/>
    <w:rsid w:val="007F1A02"/>
    <w:rsid w:val="00804F88"/>
    <w:rsid w:val="00806ACA"/>
    <w:rsid w:val="00857416"/>
    <w:rsid w:val="008816DE"/>
    <w:rsid w:val="008A416F"/>
    <w:rsid w:val="008A581A"/>
    <w:rsid w:val="009324B9"/>
    <w:rsid w:val="00951A78"/>
    <w:rsid w:val="0098347C"/>
    <w:rsid w:val="00992228"/>
    <w:rsid w:val="00A41B2F"/>
    <w:rsid w:val="00AA6359"/>
    <w:rsid w:val="00AD4442"/>
    <w:rsid w:val="00B05A5E"/>
    <w:rsid w:val="00B60549"/>
    <w:rsid w:val="00BB3EA6"/>
    <w:rsid w:val="00BC5C89"/>
    <w:rsid w:val="00BD3DD0"/>
    <w:rsid w:val="00CA169F"/>
    <w:rsid w:val="00CB1BA1"/>
    <w:rsid w:val="00D869E3"/>
    <w:rsid w:val="00D93261"/>
    <w:rsid w:val="00D94DBD"/>
    <w:rsid w:val="00DB113F"/>
    <w:rsid w:val="00E0484D"/>
    <w:rsid w:val="00E93D72"/>
    <w:rsid w:val="00EB734B"/>
    <w:rsid w:val="00EC1502"/>
    <w:rsid w:val="00EF1927"/>
    <w:rsid w:val="00F140B6"/>
    <w:rsid w:val="00F5095A"/>
    <w:rsid w:val="00F5243C"/>
    <w:rsid w:val="00FE0703"/>
    <w:rsid w:val="01116E8F"/>
    <w:rsid w:val="011A7F65"/>
    <w:rsid w:val="01303FFD"/>
    <w:rsid w:val="01431B20"/>
    <w:rsid w:val="0196206F"/>
    <w:rsid w:val="01967558"/>
    <w:rsid w:val="019727F8"/>
    <w:rsid w:val="01A65ADB"/>
    <w:rsid w:val="01A80840"/>
    <w:rsid w:val="01B21C9D"/>
    <w:rsid w:val="01B60247"/>
    <w:rsid w:val="01F74A0D"/>
    <w:rsid w:val="021760D9"/>
    <w:rsid w:val="02216FEE"/>
    <w:rsid w:val="02322978"/>
    <w:rsid w:val="02C06C65"/>
    <w:rsid w:val="02F8286C"/>
    <w:rsid w:val="03203623"/>
    <w:rsid w:val="03366FA1"/>
    <w:rsid w:val="034A6452"/>
    <w:rsid w:val="037961DA"/>
    <w:rsid w:val="03972D22"/>
    <w:rsid w:val="03BB534B"/>
    <w:rsid w:val="03F57D30"/>
    <w:rsid w:val="04253073"/>
    <w:rsid w:val="042E3C79"/>
    <w:rsid w:val="04417703"/>
    <w:rsid w:val="04527A55"/>
    <w:rsid w:val="046F50BD"/>
    <w:rsid w:val="04D3473A"/>
    <w:rsid w:val="04F375C6"/>
    <w:rsid w:val="05220CF5"/>
    <w:rsid w:val="0524591F"/>
    <w:rsid w:val="052A53FB"/>
    <w:rsid w:val="054F056F"/>
    <w:rsid w:val="057E699D"/>
    <w:rsid w:val="05F20D8B"/>
    <w:rsid w:val="06045A1E"/>
    <w:rsid w:val="06081A66"/>
    <w:rsid w:val="0608568E"/>
    <w:rsid w:val="061A7C1D"/>
    <w:rsid w:val="062F5980"/>
    <w:rsid w:val="06AB3A62"/>
    <w:rsid w:val="06F82BE0"/>
    <w:rsid w:val="073A0B51"/>
    <w:rsid w:val="07490787"/>
    <w:rsid w:val="07642BDD"/>
    <w:rsid w:val="07AB222D"/>
    <w:rsid w:val="07B05AC3"/>
    <w:rsid w:val="07B24103"/>
    <w:rsid w:val="07CC30E3"/>
    <w:rsid w:val="07FF40DA"/>
    <w:rsid w:val="08044B31"/>
    <w:rsid w:val="083276EC"/>
    <w:rsid w:val="08500049"/>
    <w:rsid w:val="08623C45"/>
    <w:rsid w:val="08A5055C"/>
    <w:rsid w:val="08B14334"/>
    <w:rsid w:val="08E13B2D"/>
    <w:rsid w:val="08E62769"/>
    <w:rsid w:val="08E80379"/>
    <w:rsid w:val="090A7A54"/>
    <w:rsid w:val="092804E5"/>
    <w:rsid w:val="0947033F"/>
    <w:rsid w:val="09FA68DE"/>
    <w:rsid w:val="0A0D18B2"/>
    <w:rsid w:val="0A1C76DB"/>
    <w:rsid w:val="0A3C3EB1"/>
    <w:rsid w:val="0A4868D6"/>
    <w:rsid w:val="0A74184D"/>
    <w:rsid w:val="0AA6216A"/>
    <w:rsid w:val="0ABE15CF"/>
    <w:rsid w:val="0AF62741"/>
    <w:rsid w:val="0AF637C1"/>
    <w:rsid w:val="0AF83A39"/>
    <w:rsid w:val="0B000966"/>
    <w:rsid w:val="0B003CCF"/>
    <w:rsid w:val="0B346F57"/>
    <w:rsid w:val="0B3F3A03"/>
    <w:rsid w:val="0B4701B6"/>
    <w:rsid w:val="0B933C8E"/>
    <w:rsid w:val="0BBC4C03"/>
    <w:rsid w:val="0BCB7A63"/>
    <w:rsid w:val="0BE7114B"/>
    <w:rsid w:val="0C2A6C47"/>
    <w:rsid w:val="0C5428E0"/>
    <w:rsid w:val="0C682D50"/>
    <w:rsid w:val="0CB66556"/>
    <w:rsid w:val="0CBF11FE"/>
    <w:rsid w:val="0CC56427"/>
    <w:rsid w:val="0D140682"/>
    <w:rsid w:val="0D482E86"/>
    <w:rsid w:val="0D601C42"/>
    <w:rsid w:val="0D764741"/>
    <w:rsid w:val="0D862E2B"/>
    <w:rsid w:val="0D862F58"/>
    <w:rsid w:val="0DBC5A02"/>
    <w:rsid w:val="0E105BEA"/>
    <w:rsid w:val="0E4C3DFC"/>
    <w:rsid w:val="0E4D21CB"/>
    <w:rsid w:val="0E4D5BCD"/>
    <w:rsid w:val="0E543BD3"/>
    <w:rsid w:val="0E802D3E"/>
    <w:rsid w:val="0E88739B"/>
    <w:rsid w:val="0E946CAA"/>
    <w:rsid w:val="0E966251"/>
    <w:rsid w:val="0EA14F4B"/>
    <w:rsid w:val="0EA571D2"/>
    <w:rsid w:val="0EB05A49"/>
    <w:rsid w:val="0EDF2C4E"/>
    <w:rsid w:val="0EEC48C9"/>
    <w:rsid w:val="0EEF4FBF"/>
    <w:rsid w:val="0EFC02E4"/>
    <w:rsid w:val="0F3811DB"/>
    <w:rsid w:val="0F650581"/>
    <w:rsid w:val="0F761443"/>
    <w:rsid w:val="0FBB69AC"/>
    <w:rsid w:val="1025540D"/>
    <w:rsid w:val="103B421B"/>
    <w:rsid w:val="10596534"/>
    <w:rsid w:val="106C6A80"/>
    <w:rsid w:val="10724450"/>
    <w:rsid w:val="1096176D"/>
    <w:rsid w:val="10A9124C"/>
    <w:rsid w:val="10AB5CBF"/>
    <w:rsid w:val="10F22672"/>
    <w:rsid w:val="110E2B28"/>
    <w:rsid w:val="111B1C18"/>
    <w:rsid w:val="111C1BF6"/>
    <w:rsid w:val="11334BBD"/>
    <w:rsid w:val="1135769B"/>
    <w:rsid w:val="113C1502"/>
    <w:rsid w:val="11493EB8"/>
    <w:rsid w:val="11885825"/>
    <w:rsid w:val="1196669F"/>
    <w:rsid w:val="11AA170E"/>
    <w:rsid w:val="11B8134E"/>
    <w:rsid w:val="11D64EFF"/>
    <w:rsid w:val="11EA618B"/>
    <w:rsid w:val="120344D2"/>
    <w:rsid w:val="12172C30"/>
    <w:rsid w:val="12332CF4"/>
    <w:rsid w:val="123B55DD"/>
    <w:rsid w:val="12484BF3"/>
    <w:rsid w:val="12665831"/>
    <w:rsid w:val="12767B0A"/>
    <w:rsid w:val="12874161"/>
    <w:rsid w:val="12CA723D"/>
    <w:rsid w:val="12E5048A"/>
    <w:rsid w:val="12F50E95"/>
    <w:rsid w:val="12FB072B"/>
    <w:rsid w:val="130A2A40"/>
    <w:rsid w:val="13247387"/>
    <w:rsid w:val="13632C34"/>
    <w:rsid w:val="13720492"/>
    <w:rsid w:val="13BA2ECB"/>
    <w:rsid w:val="13CA6A90"/>
    <w:rsid w:val="13D223C9"/>
    <w:rsid w:val="13E1489E"/>
    <w:rsid w:val="13E96139"/>
    <w:rsid w:val="140E0CB8"/>
    <w:rsid w:val="142D64F0"/>
    <w:rsid w:val="14392D0A"/>
    <w:rsid w:val="143E786D"/>
    <w:rsid w:val="143F2545"/>
    <w:rsid w:val="14477EFA"/>
    <w:rsid w:val="14522A65"/>
    <w:rsid w:val="14592278"/>
    <w:rsid w:val="146B0725"/>
    <w:rsid w:val="14843439"/>
    <w:rsid w:val="14AD5B4A"/>
    <w:rsid w:val="14B3222C"/>
    <w:rsid w:val="14BE1E1B"/>
    <w:rsid w:val="14EB4E70"/>
    <w:rsid w:val="14EE6A15"/>
    <w:rsid w:val="14EF4D71"/>
    <w:rsid w:val="150F66F4"/>
    <w:rsid w:val="15136BE1"/>
    <w:rsid w:val="152C4475"/>
    <w:rsid w:val="153B48BF"/>
    <w:rsid w:val="15585866"/>
    <w:rsid w:val="156066D1"/>
    <w:rsid w:val="1586705C"/>
    <w:rsid w:val="15B22F34"/>
    <w:rsid w:val="15B56B42"/>
    <w:rsid w:val="15E367C7"/>
    <w:rsid w:val="16537DB8"/>
    <w:rsid w:val="16935DD8"/>
    <w:rsid w:val="17081838"/>
    <w:rsid w:val="17125C19"/>
    <w:rsid w:val="17146788"/>
    <w:rsid w:val="17300CEA"/>
    <w:rsid w:val="17572CC4"/>
    <w:rsid w:val="177F7D05"/>
    <w:rsid w:val="178C1302"/>
    <w:rsid w:val="17A80218"/>
    <w:rsid w:val="17AE66AB"/>
    <w:rsid w:val="17E2601E"/>
    <w:rsid w:val="17F3423D"/>
    <w:rsid w:val="18093732"/>
    <w:rsid w:val="18144775"/>
    <w:rsid w:val="18565229"/>
    <w:rsid w:val="18756072"/>
    <w:rsid w:val="18E23F12"/>
    <w:rsid w:val="192D0455"/>
    <w:rsid w:val="194E3E35"/>
    <w:rsid w:val="19B03C56"/>
    <w:rsid w:val="19E94816"/>
    <w:rsid w:val="1A366696"/>
    <w:rsid w:val="1A5B704B"/>
    <w:rsid w:val="1ABC4322"/>
    <w:rsid w:val="1AE01239"/>
    <w:rsid w:val="1AEA3E3B"/>
    <w:rsid w:val="1AF73D45"/>
    <w:rsid w:val="1B272664"/>
    <w:rsid w:val="1B872DE7"/>
    <w:rsid w:val="1BB43B98"/>
    <w:rsid w:val="1BC22AF5"/>
    <w:rsid w:val="1BDD64C4"/>
    <w:rsid w:val="1C09374B"/>
    <w:rsid w:val="1C0F475C"/>
    <w:rsid w:val="1C133725"/>
    <w:rsid w:val="1C1D4A99"/>
    <w:rsid w:val="1C232174"/>
    <w:rsid w:val="1C2F4160"/>
    <w:rsid w:val="1C881C73"/>
    <w:rsid w:val="1C8F5B80"/>
    <w:rsid w:val="1C9D22A8"/>
    <w:rsid w:val="1CEB33E5"/>
    <w:rsid w:val="1CF051DE"/>
    <w:rsid w:val="1D102F8E"/>
    <w:rsid w:val="1D30008D"/>
    <w:rsid w:val="1D370CCD"/>
    <w:rsid w:val="1D3A2F68"/>
    <w:rsid w:val="1D71275A"/>
    <w:rsid w:val="1D7C0744"/>
    <w:rsid w:val="1D891E75"/>
    <w:rsid w:val="1DB76AC2"/>
    <w:rsid w:val="1E691BB9"/>
    <w:rsid w:val="1EA95B4F"/>
    <w:rsid w:val="1EAC0A22"/>
    <w:rsid w:val="1EAF1B9C"/>
    <w:rsid w:val="1EEE3318"/>
    <w:rsid w:val="1F1B7ADD"/>
    <w:rsid w:val="1F585DFC"/>
    <w:rsid w:val="1F7F3B0C"/>
    <w:rsid w:val="1FF37588"/>
    <w:rsid w:val="1FFC4475"/>
    <w:rsid w:val="2027455D"/>
    <w:rsid w:val="20430411"/>
    <w:rsid w:val="20462389"/>
    <w:rsid w:val="204C025E"/>
    <w:rsid w:val="20524A58"/>
    <w:rsid w:val="20543EFD"/>
    <w:rsid w:val="20755AD6"/>
    <w:rsid w:val="209D3176"/>
    <w:rsid w:val="20C72838"/>
    <w:rsid w:val="2109434D"/>
    <w:rsid w:val="210B3B0D"/>
    <w:rsid w:val="210E3FF7"/>
    <w:rsid w:val="213A784A"/>
    <w:rsid w:val="2147538B"/>
    <w:rsid w:val="216D7521"/>
    <w:rsid w:val="21BB2913"/>
    <w:rsid w:val="21C329ED"/>
    <w:rsid w:val="21D7411B"/>
    <w:rsid w:val="21E51BF5"/>
    <w:rsid w:val="2206390C"/>
    <w:rsid w:val="22151AE4"/>
    <w:rsid w:val="22347A50"/>
    <w:rsid w:val="2259629D"/>
    <w:rsid w:val="225E6832"/>
    <w:rsid w:val="22772705"/>
    <w:rsid w:val="2279064F"/>
    <w:rsid w:val="2286121C"/>
    <w:rsid w:val="229628E4"/>
    <w:rsid w:val="22BF5081"/>
    <w:rsid w:val="22C3004D"/>
    <w:rsid w:val="22ED0720"/>
    <w:rsid w:val="22F82060"/>
    <w:rsid w:val="233D55AB"/>
    <w:rsid w:val="234750A5"/>
    <w:rsid w:val="2362415D"/>
    <w:rsid w:val="239062E0"/>
    <w:rsid w:val="239E759F"/>
    <w:rsid w:val="23C450AC"/>
    <w:rsid w:val="23D41EDB"/>
    <w:rsid w:val="23E559A6"/>
    <w:rsid w:val="23F508EC"/>
    <w:rsid w:val="242B69EF"/>
    <w:rsid w:val="242D082B"/>
    <w:rsid w:val="24350B15"/>
    <w:rsid w:val="245579B9"/>
    <w:rsid w:val="24A85509"/>
    <w:rsid w:val="24AD66FB"/>
    <w:rsid w:val="24B036C6"/>
    <w:rsid w:val="24B25916"/>
    <w:rsid w:val="24B65385"/>
    <w:rsid w:val="24C934C5"/>
    <w:rsid w:val="24EA76FE"/>
    <w:rsid w:val="24F600E0"/>
    <w:rsid w:val="25425EEE"/>
    <w:rsid w:val="256774E4"/>
    <w:rsid w:val="25CF5DD0"/>
    <w:rsid w:val="25F03044"/>
    <w:rsid w:val="25FF4312"/>
    <w:rsid w:val="26443F4C"/>
    <w:rsid w:val="265D7666"/>
    <w:rsid w:val="26755A9E"/>
    <w:rsid w:val="267808CE"/>
    <w:rsid w:val="269208E5"/>
    <w:rsid w:val="26A00D01"/>
    <w:rsid w:val="26AB5E6C"/>
    <w:rsid w:val="26C82A55"/>
    <w:rsid w:val="26FC5DF5"/>
    <w:rsid w:val="271E621D"/>
    <w:rsid w:val="272B2777"/>
    <w:rsid w:val="27412DF3"/>
    <w:rsid w:val="27482D19"/>
    <w:rsid w:val="27600B19"/>
    <w:rsid w:val="27633F70"/>
    <w:rsid w:val="27747FC4"/>
    <w:rsid w:val="277F6033"/>
    <w:rsid w:val="27BB4AC0"/>
    <w:rsid w:val="27E96745"/>
    <w:rsid w:val="27EC6E09"/>
    <w:rsid w:val="27FD421C"/>
    <w:rsid w:val="281510E0"/>
    <w:rsid w:val="282316FA"/>
    <w:rsid w:val="284F7113"/>
    <w:rsid w:val="28742529"/>
    <w:rsid w:val="2883510B"/>
    <w:rsid w:val="28D83F9A"/>
    <w:rsid w:val="28DB3191"/>
    <w:rsid w:val="28DE63E7"/>
    <w:rsid w:val="29055171"/>
    <w:rsid w:val="290E2854"/>
    <w:rsid w:val="29262E43"/>
    <w:rsid w:val="29365BD0"/>
    <w:rsid w:val="294615E4"/>
    <w:rsid w:val="2966194A"/>
    <w:rsid w:val="297B6258"/>
    <w:rsid w:val="297D7030"/>
    <w:rsid w:val="29914139"/>
    <w:rsid w:val="29965517"/>
    <w:rsid w:val="299D58EC"/>
    <w:rsid w:val="29CA51B6"/>
    <w:rsid w:val="2A03090D"/>
    <w:rsid w:val="2A484F76"/>
    <w:rsid w:val="2A487B7A"/>
    <w:rsid w:val="2A524BF0"/>
    <w:rsid w:val="2A5679BA"/>
    <w:rsid w:val="2A6026CA"/>
    <w:rsid w:val="2A7F5137"/>
    <w:rsid w:val="2AD6533C"/>
    <w:rsid w:val="2AE95A8D"/>
    <w:rsid w:val="2B347883"/>
    <w:rsid w:val="2B3E357C"/>
    <w:rsid w:val="2B4B1998"/>
    <w:rsid w:val="2B803493"/>
    <w:rsid w:val="2B996815"/>
    <w:rsid w:val="2B9E5D0A"/>
    <w:rsid w:val="2BC3688E"/>
    <w:rsid w:val="2BE23EF2"/>
    <w:rsid w:val="2BF811AE"/>
    <w:rsid w:val="2C004E4A"/>
    <w:rsid w:val="2C17689C"/>
    <w:rsid w:val="2C4A2E32"/>
    <w:rsid w:val="2C67002F"/>
    <w:rsid w:val="2C740280"/>
    <w:rsid w:val="2CAC0DED"/>
    <w:rsid w:val="2CE8764B"/>
    <w:rsid w:val="2CE916A0"/>
    <w:rsid w:val="2CFD1BA7"/>
    <w:rsid w:val="2D646102"/>
    <w:rsid w:val="2D7C79A2"/>
    <w:rsid w:val="2DBF70BD"/>
    <w:rsid w:val="2DD242FD"/>
    <w:rsid w:val="2DF04A8F"/>
    <w:rsid w:val="2E901F16"/>
    <w:rsid w:val="2E9C1044"/>
    <w:rsid w:val="2E9D20EC"/>
    <w:rsid w:val="2EB456D7"/>
    <w:rsid w:val="2EB81E4E"/>
    <w:rsid w:val="2F113BE5"/>
    <w:rsid w:val="2F262753"/>
    <w:rsid w:val="2F270054"/>
    <w:rsid w:val="2F8361AE"/>
    <w:rsid w:val="2FA71930"/>
    <w:rsid w:val="2FE14059"/>
    <w:rsid w:val="2FE20BD8"/>
    <w:rsid w:val="2FE40BFD"/>
    <w:rsid w:val="2FE5547E"/>
    <w:rsid w:val="300D3B2C"/>
    <w:rsid w:val="30310130"/>
    <w:rsid w:val="3035074B"/>
    <w:rsid w:val="3066443D"/>
    <w:rsid w:val="30757215"/>
    <w:rsid w:val="30793738"/>
    <w:rsid w:val="307C4619"/>
    <w:rsid w:val="30860960"/>
    <w:rsid w:val="308E78D5"/>
    <w:rsid w:val="30962F10"/>
    <w:rsid w:val="3096468F"/>
    <w:rsid w:val="30AA1BD2"/>
    <w:rsid w:val="30BA2778"/>
    <w:rsid w:val="30F235F0"/>
    <w:rsid w:val="31060447"/>
    <w:rsid w:val="3130568D"/>
    <w:rsid w:val="314506D2"/>
    <w:rsid w:val="3146543D"/>
    <w:rsid w:val="31642DB4"/>
    <w:rsid w:val="31837387"/>
    <w:rsid w:val="319F17AD"/>
    <w:rsid w:val="31BF20EF"/>
    <w:rsid w:val="31EA2AAA"/>
    <w:rsid w:val="31F2124B"/>
    <w:rsid w:val="32057BA7"/>
    <w:rsid w:val="320C7D24"/>
    <w:rsid w:val="320F1E41"/>
    <w:rsid w:val="3253317A"/>
    <w:rsid w:val="32777ABD"/>
    <w:rsid w:val="32B55712"/>
    <w:rsid w:val="32C4330F"/>
    <w:rsid w:val="32E560FE"/>
    <w:rsid w:val="33297F21"/>
    <w:rsid w:val="33323549"/>
    <w:rsid w:val="336F2E7E"/>
    <w:rsid w:val="33715053"/>
    <w:rsid w:val="337F0F89"/>
    <w:rsid w:val="338D5E52"/>
    <w:rsid w:val="33925430"/>
    <w:rsid w:val="33A4310C"/>
    <w:rsid w:val="33A643C7"/>
    <w:rsid w:val="33C40BC0"/>
    <w:rsid w:val="33DD2C91"/>
    <w:rsid w:val="33E40E1A"/>
    <w:rsid w:val="33EF17BD"/>
    <w:rsid w:val="341F1392"/>
    <w:rsid w:val="346A11C0"/>
    <w:rsid w:val="34843AA5"/>
    <w:rsid w:val="34960442"/>
    <w:rsid w:val="34BB744E"/>
    <w:rsid w:val="34E406B2"/>
    <w:rsid w:val="35663DE8"/>
    <w:rsid w:val="359063DB"/>
    <w:rsid w:val="35962461"/>
    <w:rsid w:val="35AE5B04"/>
    <w:rsid w:val="35C1080D"/>
    <w:rsid w:val="35CA6154"/>
    <w:rsid w:val="35E23EA3"/>
    <w:rsid w:val="35EB3481"/>
    <w:rsid w:val="36127347"/>
    <w:rsid w:val="36321AB2"/>
    <w:rsid w:val="365774CB"/>
    <w:rsid w:val="36637691"/>
    <w:rsid w:val="368129E0"/>
    <w:rsid w:val="369C238B"/>
    <w:rsid w:val="36AF3E98"/>
    <w:rsid w:val="36B06E39"/>
    <w:rsid w:val="36C22772"/>
    <w:rsid w:val="36D84ECF"/>
    <w:rsid w:val="36F332C2"/>
    <w:rsid w:val="37052040"/>
    <w:rsid w:val="372C4DAC"/>
    <w:rsid w:val="37380672"/>
    <w:rsid w:val="374E10D0"/>
    <w:rsid w:val="37513560"/>
    <w:rsid w:val="37582427"/>
    <w:rsid w:val="3761312A"/>
    <w:rsid w:val="377F4539"/>
    <w:rsid w:val="37936642"/>
    <w:rsid w:val="379E1CA7"/>
    <w:rsid w:val="37B54803"/>
    <w:rsid w:val="37FF04B8"/>
    <w:rsid w:val="38002F5A"/>
    <w:rsid w:val="381B0588"/>
    <w:rsid w:val="38261014"/>
    <w:rsid w:val="384276A8"/>
    <w:rsid w:val="384E15ED"/>
    <w:rsid w:val="38835929"/>
    <w:rsid w:val="389614A1"/>
    <w:rsid w:val="38A06ACA"/>
    <w:rsid w:val="38A416CB"/>
    <w:rsid w:val="38D20AB3"/>
    <w:rsid w:val="39251F09"/>
    <w:rsid w:val="393E0ADE"/>
    <w:rsid w:val="395C6BC7"/>
    <w:rsid w:val="39A94E91"/>
    <w:rsid w:val="39CC2F9D"/>
    <w:rsid w:val="39D13748"/>
    <w:rsid w:val="3A2D3A43"/>
    <w:rsid w:val="3A5A082B"/>
    <w:rsid w:val="3A60713E"/>
    <w:rsid w:val="3A7B64E8"/>
    <w:rsid w:val="3A8A5A70"/>
    <w:rsid w:val="3A997C61"/>
    <w:rsid w:val="3AA53AEF"/>
    <w:rsid w:val="3AD039B4"/>
    <w:rsid w:val="3B0C5326"/>
    <w:rsid w:val="3B0F594A"/>
    <w:rsid w:val="3B524E50"/>
    <w:rsid w:val="3B71413B"/>
    <w:rsid w:val="3B871355"/>
    <w:rsid w:val="3BB163D0"/>
    <w:rsid w:val="3BB3110B"/>
    <w:rsid w:val="3BFB3CBD"/>
    <w:rsid w:val="3C12336D"/>
    <w:rsid w:val="3C130582"/>
    <w:rsid w:val="3C2346A1"/>
    <w:rsid w:val="3C2749AA"/>
    <w:rsid w:val="3C2F3413"/>
    <w:rsid w:val="3C3B0A9A"/>
    <w:rsid w:val="3C6036FE"/>
    <w:rsid w:val="3C652842"/>
    <w:rsid w:val="3C963D1D"/>
    <w:rsid w:val="3CEA078B"/>
    <w:rsid w:val="3CEC119E"/>
    <w:rsid w:val="3D102321"/>
    <w:rsid w:val="3D227269"/>
    <w:rsid w:val="3D2D49B5"/>
    <w:rsid w:val="3D3D419D"/>
    <w:rsid w:val="3D3D50A2"/>
    <w:rsid w:val="3D5C6A2B"/>
    <w:rsid w:val="3D7D3315"/>
    <w:rsid w:val="3D8F5877"/>
    <w:rsid w:val="3DD649F9"/>
    <w:rsid w:val="3DF05F2B"/>
    <w:rsid w:val="3DFD0F8A"/>
    <w:rsid w:val="3E0C2959"/>
    <w:rsid w:val="3E6C0B5B"/>
    <w:rsid w:val="3E7349B5"/>
    <w:rsid w:val="3E9D60C4"/>
    <w:rsid w:val="3EE717E3"/>
    <w:rsid w:val="3F1A3C89"/>
    <w:rsid w:val="3F3B4EF5"/>
    <w:rsid w:val="3F617595"/>
    <w:rsid w:val="3F6E291A"/>
    <w:rsid w:val="3F6F2CA4"/>
    <w:rsid w:val="3FC65A19"/>
    <w:rsid w:val="40045591"/>
    <w:rsid w:val="40212FD6"/>
    <w:rsid w:val="40226341"/>
    <w:rsid w:val="402D2F82"/>
    <w:rsid w:val="40440979"/>
    <w:rsid w:val="40541A84"/>
    <w:rsid w:val="40795E81"/>
    <w:rsid w:val="408819A8"/>
    <w:rsid w:val="40B86483"/>
    <w:rsid w:val="40C11948"/>
    <w:rsid w:val="40F626AD"/>
    <w:rsid w:val="41663523"/>
    <w:rsid w:val="418945E0"/>
    <w:rsid w:val="419C2A2A"/>
    <w:rsid w:val="41A53200"/>
    <w:rsid w:val="41AC356B"/>
    <w:rsid w:val="41EC4EC1"/>
    <w:rsid w:val="421E5734"/>
    <w:rsid w:val="42A12457"/>
    <w:rsid w:val="42A576C8"/>
    <w:rsid w:val="436317C0"/>
    <w:rsid w:val="43664346"/>
    <w:rsid w:val="438E669F"/>
    <w:rsid w:val="43AF0D8C"/>
    <w:rsid w:val="43CB60BC"/>
    <w:rsid w:val="43D050B7"/>
    <w:rsid w:val="43F01442"/>
    <w:rsid w:val="44234DDC"/>
    <w:rsid w:val="442942EF"/>
    <w:rsid w:val="44587218"/>
    <w:rsid w:val="446A6590"/>
    <w:rsid w:val="446E452A"/>
    <w:rsid w:val="447946BC"/>
    <w:rsid w:val="44A16BB8"/>
    <w:rsid w:val="44C06773"/>
    <w:rsid w:val="450135B2"/>
    <w:rsid w:val="45110E25"/>
    <w:rsid w:val="45212E1D"/>
    <w:rsid w:val="455474B7"/>
    <w:rsid w:val="4578025D"/>
    <w:rsid w:val="457B50A7"/>
    <w:rsid w:val="459647AD"/>
    <w:rsid w:val="45F57A72"/>
    <w:rsid w:val="46155F01"/>
    <w:rsid w:val="46321365"/>
    <w:rsid w:val="463F0FBC"/>
    <w:rsid w:val="46416A09"/>
    <w:rsid w:val="464934AC"/>
    <w:rsid w:val="46621029"/>
    <w:rsid w:val="467614E6"/>
    <w:rsid w:val="46920508"/>
    <w:rsid w:val="46C76D13"/>
    <w:rsid w:val="46E612CB"/>
    <w:rsid w:val="46EF0E1D"/>
    <w:rsid w:val="46FC1033"/>
    <w:rsid w:val="472A37C1"/>
    <w:rsid w:val="47383B43"/>
    <w:rsid w:val="47B14A2D"/>
    <w:rsid w:val="47C2316A"/>
    <w:rsid w:val="47CB6AB0"/>
    <w:rsid w:val="47CE3ED9"/>
    <w:rsid w:val="47D7488F"/>
    <w:rsid w:val="47D80A79"/>
    <w:rsid w:val="47E3636E"/>
    <w:rsid w:val="47FB1416"/>
    <w:rsid w:val="4807103B"/>
    <w:rsid w:val="48131159"/>
    <w:rsid w:val="48235D10"/>
    <w:rsid w:val="48384FA7"/>
    <w:rsid w:val="483B0FBF"/>
    <w:rsid w:val="483D7C76"/>
    <w:rsid w:val="485D559C"/>
    <w:rsid w:val="486F193A"/>
    <w:rsid w:val="48A523BB"/>
    <w:rsid w:val="48D23157"/>
    <w:rsid w:val="48EE372E"/>
    <w:rsid w:val="48FA6B00"/>
    <w:rsid w:val="490C642F"/>
    <w:rsid w:val="494E4E45"/>
    <w:rsid w:val="498A6ED1"/>
    <w:rsid w:val="49CA4557"/>
    <w:rsid w:val="49FC2CFB"/>
    <w:rsid w:val="4A1B49DA"/>
    <w:rsid w:val="4A2813D3"/>
    <w:rsid w:val="4A38793E"/>
    <w:rsid w:val="4A475A6A"/>
    <w:rsid w:val="4A504E44"/>
    <w:rsid w:val="4A6A4A19"/>
    <w:rsid w:val="4A7F11BF"/>
    <w:rsid w:val="4A9B45BE"/>
    <w:rsid w:val="4AA31707"/>
    <w:rsid w:val="4AB84A8C"/>
    <w:rsid w:val="4ABF08B3"/>
    <w:rsid w:val="4AC309DA"/>
    <w:rsid w:val="4AC768C8"/>
    <w:rsid w:val="4B0318A3"/>
    <w:rsid w:val="4B0413BD"/>
    <w:rsid w:val="4B2E4F72"/>
    <w:rsid w:val="4B600173"/>
    <w:rsid w:val="4B806BEB"/>
    <w:rsid w:val="4B8E7F48"/>
    <w:rsid w:val="4BD84831"/>
    <w:rsid w:val="4BE21265"/>
    <w:rsid w:val="4BE34905"/>
    <w:rsid w:val="4C167A76"/>
    <w:rsid w:val="4C1B2332"/>
    <w:rsid w:val="4C7712F9"/>
    <w:rsid w:val="4C7E5D9E"/>
    <w:rsid w:val="4C860E3E"/>
    <w:rsid w:val="4CB11E8C"/>
    <w:rsid w:val="4D22007D"/>
    <w:rsid w:val="4D2629D4"/>
    <w:rsid w:val="4D48305D"/>
    <w:rsid w:val="4D8B743E"/>
    <w:rsid w:val="4D904C53"/>
    <w:rsid w:val="4D9F763A"/>
    <w:rsid w:val="4DAF1DCC"/>
    <w:rsid w:val="4DB04F08"/>
    <w:rsid w:val="4DD523A6"/>
    <w:rsid w:val="4E0B34DA"/>
    <w:rsid w:val="4E395DCC"/>
    <w:rsid w:val="4E532524"/>
    <w:rsid w:val="4E9B14A1"/>
    <w:rsid w:val="4EA04FC7"/>
    <w:rsid w:val="4ECB6FAF"/>
    <w:rsid w:val="4ED20572"/>
    <w:rsid w:val="4EEB25D9"/>
    <w:rsid w:val="4EEB3D37"/>
    <w:rsid w:val="4EFF2CF7"/>
    <w:rsid w:val="4F390F35"/>
    <w:rsid w:val="4F4D0694"/>
    <w:rsid w:val="4F505781"/>
    <w:rsid w:val="4F585D7C"/>
    <w:rsid w:val="4F6F22EF"/>
    <w:rsid w:val="4FDC5C76"/>
    <w:rsid w:val="4FFE47FD"/>
    <w:rsid w:val="50012F9E"/>
    <w:rsid w:val="50766083"/>
    <w:rsid w:val="50B24A02"/>
    <w:rsid w:val="50BF4537"/>
    <w:rsid w:val="50C478E6"/>
    <w:rsid w:val="50D7051F"/>
    <w:rsid w:val="50D7772C"/>
    <w:rsid w:val="50F203A8"/>
    <w:rsid w:val="50F52156"/>
    <w:rsid w:val="50FD2B89"/>
    <w:rsid w:val="511E403D"/>
    <w:rsid w:val="512A35BB"/>
    <w:rsid w:val="513955BA"/>
    <w:rsid w:val="51816A34"/>
    <w:rsid w:val="51A82755"/>
    <w:rsid w:val="51C5066C"/>
    <w:rsid w:val="51C94340"/>
    <w:rsid w:val="51CA55F2"/>
    <w:rsid w:val="51ED710E"/>
    <w:rsid w:val="51FB0EED"/>
    <w:rsid w:val="52357029"/>
    <w:rsid w:val="5242159F"/>
    <w:rsid w:val="524C5612"/>
    <w:rsid w:val="526B6824"/>
    <w:rsid w:val="527026A8"/>
    <w:rsid w:val="5272277A"/>
    <w:rsid w:val="527533FF"/>
    <w:rsid w:val="52CC211F"/>
    <w:rsid w:val="52D8761C"/>
    <w:rsid w:val="52E367EB"/>
    <w:rsid w:val="52EB18CD"/>
    <w:rsid w:val="530F76E0"/>
    <w:rsid w:val="53333830"/>
    <w:rsid w:val="53553BE2"/>
    <w:rsid w:val="53690469"/>
    <w:rsid w:val="53761CFD"/>
    <w:rsid w:val="537A0B55"/>
    <w:rsid w:val="53927227"/>
    <w:rsid w:val="53A86832"/>
    <w:rsid w:val="53B96947"/>
    <w:rsid w:val="54011BAC"/>
    <w:rsid w:val="54013750"/>
    <w:rsid w:val="542C3573"/>
    <w:rsid w:val="54430F60"/>
    <w:rsid w:val="54AE3F8E"/>
    <w:rsid w:val="54EB69C3"/>
    <w:rsid w:val="5511354F"/>
    <w:rsid w:val="552A7FE7"/>
    <w:rsid w:val="557115C3"/>
    <w:rsid w:val="559D435C"/>
    <w:rsid w:val="55B10DDB"/>
    <w:rsid w:val="56123F39"/>
    <w:rsid w:val="561867D0"/>
    <w:rsid w:val="56704B31"/>
    <w:rsid w:val="56A04549"/>
    <w:rsid w:val="56D63DC1"/>
    <w:rsid w:val="56E36CDD"/>
    <w:rsid w:val="56F55AF6"/>
    <w:rsid w:val="56FF672C"/>
    <w:rsid w:val="57004A13"/>
    <w:rsid w:val="57290703"/>
    <w:rsid w:val="57755834"/>
    <w:rsid w:val="5778503F"/>
    <w:rsid w:val="57D46CB6"/>
    <w:rsid w:val="580072F7"/>
    <w:rsid w:val="58155B8F"/>
    <w:rsid w:val="58210C7C"/>
    <w:rsid w:val="58331C13"/>
    <w:rsid w:val="58653A7E"/>
    <w:rsid w:val="58AA1A0F"/>
    <w:rsid w:val="58B1559E"/>
    <w:rsid w:val="58B67703"/>
    <w:rsid w:val="58D4455C"/>
    <w:rsid w:val="58F608CA"/>
    <w:rsid w:val="594777D3"/>
    <w:rsid w:val="59503039"/>
    <w:rsid w:val="596217AD"/>
    <w:rsid w:val="59630491"/>
    <w:rsid w:val="59E815D6"/>
    <w:rsid w:val="59EF1D34"/>
    <w:rsid w:val="5A1E652B"/>
    <w:rsid w:val="5A247CF7"/>
    <w:rsid w:val="5A483A59"/>
    <w:rsid w:val="5A4D15FC"/>
    <w:rsid w:val="5A7765CF"/>
    <w:rsid w:val="5A892135"/>
    <w:rsid w:val="5AAC75BC"/>
    <w:rsid w:val="5AD4657A"/>
    <w:rsid w:val="5B307250"/>
    <w:rsid w:val="5B3514BC"/>
    <w:rsid w:val="5B3A21A7"/>
    <w:rsid w:val="5B45758E"/>
    <w:rsid w:val="5B4F0206"/>
    <w:rsid w:val="5B5E4980"/>
    <w:rsid w:val="5B6D4B1A"/>
    <w:rsid w:val="5B9266F1"/>
    <w:rsid w:val="5BAA3765"/>
    <w:rsid w:val="5BAC5CC3"/>
    <w:rsid w:val="5BB567F1"/>
    <w:rsid w:val="5BC42066"/>
    <w:rsid w:val="5BC72601"/>
    <w:rsid w:val="5BDB25A7"/>
    <w:rsid w:val="5BDB672B"/>
    <w:rsid w:val="5BFC1276"/>
    <w:rsid w:val="5C3921AA"/>
    <w:rsid w:val="5C842DAA"/>
    <w:rsid w:val="5C876486"/>
    <w:rsid w:val="5C89787E"/>
    <w:rsid w:val="5C8A61F9"/>
    <w:rsid w:val="5CB5343A"/>
    <w:rsid w:val="5CF87406"/>
    <w:rsid w:val="5D0529D2"/>
    <w:rsid w:val="5D077506"/>
    <w:rsid w:val="5D0E1677"/>
    <w:rsid w:val="5D2E73B7"/>
    <w:rsid w:val="5D7D0691"/>
    <w:rsid w:val="5DB30833"/>
    <w:rsid w:val="5DBB2351"/>
    <w:rsid w:val="5E2832C0"/>
    <w:rsid w:val="5E4C439C"/>
    <w:rsid w:val="5E5110F5"/>
    <w:rsid w:val="5E973DA2"/>
    <w:rsid w:val="5EA23ED1"/>
    <w:rsid w:val="5EA2501C"/>
    <w:rsid w:val="5EBF04DF"/>
    <w:rsid w:val="5EC97EE4"/>
    <w:rsid w:val="5EDA288D"/>
    <w:rsid w:val="5EF15D3B"/>
    <w:rsid w:val="5F094C7D"/>
    <w:rsid w:val="5F213C19"/>
    <w:rsid w:val="5F3B63D8"/>
    <w:rsid w:val="5F443C5F"/>
    <w:rsid w:val="5F54163A"/>
    <w:rsid w:val="5F550FA9"/>
    <w:rsid w:val="5F6417F4"/>
    <w:rsid w:val="5F6533F3"/>
    <w:rsid w:val="5F71733F"/>
    <w:rsid w:val="5F980975"/>
    <w:rsid w:val="5FF51C2C"/>
    <w:rsid w:val="600152EA"/>
    <w:rsid w:val="602826AC"/>
    <w:rsid w:val="60321366"/>
    <w:rsid w:val="60363865"/>
    <w:rsid w:val="60453C66"/>
    <w:rsid w:val="60776686"/>
    <w:rsid w:val="61555081"/>
    <w:rsid w:val="61727A23"/>
    <w:rsid w:val="618E23BF"/>
    <w:rsid w:val="619E013E"/>
    <w:rsid w:val="61D74482"/>
    <w:rsid w:val="61E66DAB"/>
    <w:rsid w:val="61F84C0E"/>
    <w:rsid w:val="623C11FA"/>
    <w:rsid w:val="62421F81"/>
    <w:rsid w:val="62564486"/>
    <w:rsid w:val="62571386"/>
    <w:rsid w:val="62894754"/>
    <w:rsid w:val="628D560C"/>
    <w:rsid w:val="62922E0D"/>
    <w:rsid w:val="62C34EF6"/>
    <w:rsid w:val="63135A63"/>
    <w:rsid w:val="63231A48"/>
    <w:rsid w:val="63265967"/>
    <w:rsid w:val="63415C07"/>
    <w:rsid w:val="637E5B1E"/>
    <w:rsid w:val="63951D40"/>
    <w:rsid w:val="639A5C61"/>
    <w:rsid w:val="63A81199"/>
    <w:rsid w:val="645D28D0"/>
    <w:rsid w:val="645E0EC6"/>
    <w:rsid w:val="64664E06"/>
    <w:rsid w:val="647A4534"/>
    <w:rsid w:val="64930D27"/>
    <w:rsid w:val="64C61F68"/>
    <w:rsid w:val="64DF5AF4"/>
    <w:rsid w:val="64E31D58"/>
    <w:rsid w:val="652B0B42"/>
    <w:rsid w:val="655A1B6F"/>
    <w:rsid w:val="6565317F"/>
    <w:rsid w:val="65860B1C"/>
    <w:rsid w:val="65AF5DA3"/>
    <w:rsid w:val="65D01DA9"/>
    <w:rsid w:val="65D427EB"/>
    <w:rsid w:val="66062660"/>
    <w:rsid w:val="66151CC0"/>
    <w:rsid w:val="661643EC"/>
    <w:rsid w:val="66167075"/>
    <w:rsid w:val="662A169A"/>
    <w:rsid w:val="663E7FBA"/>
    <w:rsid w:val="66B37678"/>
    <w:rsid w:val="67094037"/>
    <w:rsid w:val="67297C18"/>
    <w:rsid w:val="673E111A"/>
    <w:rsid w:val="67447222"/>
    <w:rsid w:val="678C169E"/>
    <w:rsid w:val="679E4341"/>
    <w:rsid w:val="67A36774"/>
    <w:rsid w:val="67CF47C3"/>
    <w:rsid w:val="68026E45"/>
    <w:rsid w:val="68452C56"/>
    <w:rsid w:val="684F597E"/>
    <w:rsid w:val="68781C75"/>
    <w:rsid w:val="68993E43"/>
    <w:rsid w:val="68A60DDF"/>
    <w:rsid w:val="68C251D1"/>
    <w:rsid w:val="68F071DA"/>
    <w:rsid w:val="69330877"/>
    <w:rsid w:val="694F6227"/>
    <w:rsid w:val="69504CB2"/>
    <w:rsid w:val="6982341F"/>
    <w:rsid w:val="69CC7091"/>
    <w:rsid w:val="69D17D43"/>
    <w:rsid w:val="69D237A1"/>
    <w:rsid w:val="69DA3028"/>
    <w:rsid w:val="69E81597"/>
    <w:rsid w:val="6A04025D"/>
    <w:rsid w:val="6A0402C6"/>
    <w:rsid w:val="6A0F16EF"/>
    <w:rsid w:val="6A1B534B"/>
    <w:rsid w:val="6A417C7E"/>
    <w:rsid w:val="6A8974C3"/>
    <w:rsid w:val="6A9C6438"/>
    <w:rsid w:val="6AEC49E8"/>
    <w:rsid w:val="6AED5613"/>
    <w:rsid w:val="6AEF5B2D"/>
    <w:rsid w:val="6B4559EA"/>
    <w:rsid w:val="6B535C16"/>
    <w:rsid w:val="6B5756D3"/>
    <w:rsid w:val="6BC11DF7"/>
    <w:rsid w:val="6BC969CF"/>
    <w:rsid w:val="6BD00CF0"/>
    <w:rsid w:val="6BEE5A83"/>
    <w:rsid w:val="6BF74491"/>
    <w:rsid w:val="6C0C2921"/>
    <w:rsid w:val="6C105DF8"/>
    <w:rsid w:val="6C2F06A3"/>
    <w:rsid w:val="6C612812"/>
    <w:rsid w:val="6C682691"/>
    <w:rsid w:val="6C767B23"/>
    <w:rsid w:val="6C7867D1"/>
    <w:rsid w:val="6C812E4B"/>
    <w:rsid w:val="6C816061"/>
    <w:rsid w:val="6C8B0DB4"/>
    <w:rsid w:val="6CB247D7"/>
    <w:rsid w:val="6CB702BA"/>
    <w:rsid w:val="6CCC2157"/>
    <w:rsid w:val="6CF95064"/>
    <w:rsid w:val="6D05318B"/>
    <w:rsid w:val="6D0862F7"/>
    <w:rsid w:val="6D535020"/>
    <w:rsid w:val="6D670699"/>
    <w:rsid w:val="6DAE56C4"/>
    <w:rsid w:val="6DAE690A"/>
    <w:rsid w:val="6DB31940"/>
    <w:rsid w:val="6DC76386"/>
    <w:rsid w:val="6DDE6D29"/>
    <w:rsid w:val="6DE16AFA"/>
    <w:rsid w:val="6DE61072"/>
    <w:rsid w:val="6DE86B15"/>
    <w:rsid w:val="6DEF017C"/>
    <w:rsid w:val="6E203478"/>
    <w:rsid w:val="6E567C8B"/>
    <w:rsid w:val="6E7401D4"/>
    <w:rsid w:val="6E8746E2"/>
    <w:rsid w:val="6E8D2F0F"/>
    <w:rsid w:val="6E943DF0"/>
    <w:rsid w:val="6E9876EA"/>
    <w:rsid w:val="6EB93D4E"/>
    <w:rsid w:val="6EC0703C"/>
    <w:rsid w:val="6ECD6A3E"/>
    <w:rsid w:val="6ED41E43"/>
    <w:rsid w:val="6F1553E6"/>
    <w:rsid w:val="6F4139FE"/>
    <w:rsid w:val="6F48722E"/>
    <w:rsid w:val="6F6D3D73"/>
    <w:rsid w:val="6F7F22DD"/>
    <w:rsid w:val="6F93152D"/>
    <w:rsid w:val="6FA66156"/>
    <w:rsid w:val="6FBC7C20"/>
    <w:rsid w:val="6FD25B64"/>
    <w:rsid w:val="6FF61878"/>
    <w:rsid w:val="70010A83"/>
    <w:rsid w:val="70035D4A"/>
    <w:rsid w:val="700E728F"/>
    <w:rsid w:val="705671DF"/>
    <w:rsid w:val="70680EED"/>
    <w:rsid w:val="706C584E"/>
    <w:rsid w:val="70802B6C"/>
    <w:rsid w:val="70954313"/>
    <w:rsid w:val="709C3899"/>
    <w:rsid w:val="70A90261"/>
    <w:rsid w:val="710A4552"/>
    <w:rsid w:val="711347E3"/>
    <w:rsid w:val="7128128F"/>
    <w:rsid w:val="71296610"/>
    <w:rsid w:val="7170122E"/>
    <w:rsid w:val="718C733F"/>
    <w:rsid w:val="718F1E5C"/>
    <w:rsid w:val="71901E5A"/>
    <w:rsid w:val="71BA1FEA"/>
    <w:rsid w:val="71D9161F"/>
    <w:rsid w:val="71D93B9A"/>
    <w:rsid w:val="71E94C3D"/>
    <w:rsid w:val="72014A68"/>
    <w:rsid w:val="720A33A7"/>
    <w:rsid w:val="723E7666"/>
    <w:rsid w:val="725B0C86"/>
    <w:rsid w:val="726B65B0"/>
    <w:rsid w:val="7275745F"/>
    <w:rsid w:val="728E2381"/>
    <w:rsid w:val="72A64A71"/>
    <w:rsid w:val="72B20FA2"/>
    <w:rsid w:val="72D03956"/>
    <w:rsid w:val="72D46E3C"/>
    <w:rsid w:val="72F03014"/>
    <w:rsid w:val="731B365A"/>
    <w:rsid w:val="732079B3"/>
    <w:rsid w:val="732A6916"/>
    <w:rsid w:val="734170FF"/>
    <w:rsid w:val="73507C69"/>
    <w:rsid w:val="73561EB3"/>
    <w:rsid w:val="737B4358"/>
    <w:rsid w:val="73D8658A"/>
    <w:rsid w:val="73E3055D"/>
    <w:rsid w:val="73F17B5B"/>
    <w:rsid w:val="742D790E"/>
    <w:rsid w:val="74555F11"/>
    <w:rsid w:val="746A5055"/>
    <w:rsid w:val="747011CA"/>
    <w:rsid w:val="747B5B83"/>
    <w:rsid w:val="747D217E"/>
    <w:rsid w:val="74BA089C"/>
    <w:rsid w:val="74BF5EE1"/>
    <w:rsid w:val="74D55588"/>
    <w:rsid w:val="74EE5851"/>
    <w:rsid w:val="74F8048B"/>
    <w:rsid w:val="75031970"/>
    <w:rsid w:val="750B5D90"/>
    <w:rsid w:val="75617D28"/>
    <w:rsid w:val="7566254C"/>
    <w:rsid w:val="75815799"/>
    <w:rsid w:val="75B92409"/>
    <w:rsid w:val="75C24048"/>
    <w:rsid w:val="75C83549"/>
    <w:rsid w:val="75C90EF5"/>
    <w:rsid w:val="76096F6A"/>
    <w:rsid w:val="7645157C"/>
    <w:rsid w:val="767B5563"/>
    <w:rsid w:val="767C1843"/>
    <w:rsid w:val="76866C66"/>
    <w:rsid w:val="76DB31FA"/>
    <w:rsid w:val="76DF4FF1"/>
    <w:rsid w:val="76F71FED"/>
    <w:rsid w:val="77144C7B"/>
    <w:rsid w:val="77726A7A"/>
    <w:rsid w:val="77880E13"/>
    <w:rsid w:val="77CC0C74"/>
    <w:rsid w:val="77F67FF5"/>
    <w:rsid w:val="78191AEA"/>
    <w:rsid w:val="78B1336D"/>
    <w:rsid w:val="78B423F8"/>
    <w:rsid w:val="78C97A4C"/>
    <w:rsid w:val="78DD1B68"/>
    <w:rsid w:val="79127323"/>
    <w:rsid w:val="791C0BF5"/>
    <w:rsid w:val="791D28E9"/>
    <w:rsid w:val="79304C6A"/>
    <w:rsid w:val="79455AF6"/>
    <w:rsid w:val="79462058"/>
    <w:rsid w:val="794A32D9"/>
    <w:rsid w:val="79504442"/>
    <w:rsid w:val="79653B33"/>
    <w:rsid w:val="796A0812"/>
    <w:rsid w:val="796E7CD8"/>
    <w:rsid w:val="79736E88"/>
    <w:rsid w:val="79782B02"/>
    <w:rsid w:val="797C351A"/>
    <w:rsid w:val="798178D4"/>
    <w:rsid w:val="798B2145"/>
    <w:rsid w:val="79932F71"/>
    <w:rsid w:val="799973F4"/>
    <w:rsid w:val="79A945EE"/>
    <w:rsid w:val="79CB5136"/>
    <w:rsid w:val="79E2559A"/>
    <w:rsid w:val="79E31FC5"/>
    <w:rsid w:val="79E76022"/>
    <w:rsid w:val="79F6169D"/>
    <w:rsid w:val="79FC3013"/>
    <w:rsid w:val="7A3F57C2"/>
    <w:rsid w:val="7A7662BA"/>
    <w:rsid w:val="7A877AC3"/>
    <w:rsid w:val="7AA53D4F"/>
    <w:rsid w:val="7AC07F52"/>
    <w:rsid w:val="7ADC3C6A"/>
    <w:rsid w:val="7AFF07E0"/>
    <w:rsid w:val="7B145E40"/>
    <w:rsid w:val="7B183554"/>
    <w:rsid w:val="7B5F6C1F"/>
    <w:rsid w:val="7B62573A"/>
    <w:rsid w:val="7B700C9C"/>
    <w:rsid w:val="7B9F75A6"/>
    <w:rsid w:val="7BB27626"/>
    <w:rsid w:val="7BC062F2"/>
    <w:rsid w:val="7BED3515"/>
    <w:rsid w:val="7BF82C70"/>
    <w:rsid w:val="7BF978FE"/>
    <w:rsid w:val="7C0A4618"/>
    <w:rsid w:val="7C1D4FB0"/>
    <w:rsid w:val="7C4D6984"/>
    <w:rsid w:val="7C600B33"/>
    <w:rsid w:val="7C722B6F"/>
    <w:rsid w:val="7CA029F5"/>
    <w:rsid w:val="7CAE33F1"/>
    <w:rsid w:val="7CBB47C1"/>
    <w:rsid w:val="7CD65EE2"/>
    <w:rsid w:val="7CE960D4"/>
    <w:rsid w:val="7CFD1B05"/>
    <w:rsid w:val="7D304AB3"/>
    <w:rsid w:val="7D6B12BE"/>
    <w:rsid w:val="7D6B1319"/>
    <w:rsid w:val="7DB41764"/>
    <w:rsid w:val="7DD039A8"/>
    <w:rsid w:val="7DDB39A4"/>
    <w:rsid w:val="7DEB29A3"/>
    <w:rsid w:val="7E367DAC"/>
    <w:rsid w:val="7E7018AC"/>
    <w:rsid w:val="7EA2141B"/>
    <w:rsid w:val="7ED3223C"/>
    <w:rsid w:val="7F0C1461"/>
    <w:rsid w:val="7F452BA2"/>
    <w:rsid w:val="7F4542A7"/>
    <w:rsid w:val="7FA10364"/>
    <w:rsid w:val="7FA205EA"/>
    <w:rsid w:val="7FA21E21"/>
    <w:rsid w:val="7FAE104F"/>
    <w:rsid w:val="7FB21F08"/>
    <w:rsid w:val="7FBC2558"/>
    <w:rsid w:val="7FDB159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rules v:ext="edit">
        <o:r id="V:Rule1" type="connector" idref="#_x0000_s1026"/>
      </o:rules>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qFormat="1"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jc w:val="center"/>
      <w:outlineLvl w:val="0"/>
    </w:pPr>
    <w:rPr>
      <w:rFonts w:ascii="黑体" w:eastAsia="黑体"/>
      <w:sz w:val="28"/>
    </w:rPr>
  </w:style>
  <w:style w:type="paragraph" w:styleId="4">
    <w:name w:val="heading 2"/>
    <w:basedOn w:val="1"/>
    <w:next w:val="1"/>
    <w:link w:val="65"/>
    <w:qFormat/>
    <w:uiPriority w:val="0"/>
    <w:pPr>
      <w:keepNext/>
      <w:spacing w:line="720" w:lineRule="exact"/>
      <w:jc w:val="center"/>
      <w:outlineLvl w:val="1"/>
    </w:pPr>
    <w:rPr>
      <w:rFonts w:ascii="黑体" w:hAnsi="黑体" w:eastAsia="仿宋_GB2312"/>
      <w:b/>
      <w:sz w:val="30"/>
    </w:rPr>
  </w:style>
  <w:style w:type="paragraph" w:styleId="5">
    <w:name w:val="heading 3"/>
    <w:basedOn w:val="1"/>
    <w:next w:val="1"/>
    <w:unhideWhenUsed/>
    <w:qFormat/>
    <w:uiPriority w:val="0"/>
    <w:pPr>
      <w:keepNext/>
      <w:keepLines/>
      <w:spacing w:line="360" w:lineRule="auto"/>
      <w:jc w:val="left"/>
      <w:outlineLvl w:val="2"/>
    </w:pPr>
    <w:rPr>
      <w:rFonts w:ascii="Calibri Light" w:hAnsi="Calibri Light" w:eastAsia="仿宋_GB2312"/>
      <w:bCs/>
      <w:sz w:val="28"/>
      <w:szCs w:val="32"/>
    </w:rPr>
  </w:style>
  <w:style w:type="paragraph" w:styleId="6">
    <w:name w:val="heading 4"/>
    <w:basedOn w:val="1"/>
    <w:next w:val="1"/>
    <w:qFormat/>
    <w:uiPriority w:val="0"/>
    <w:pPr>
      <w:keepNext/>
      <w:spacing w:line="600" w:lineRule="exact"/>
      <w:jc w:val="center"/>
      <w:outlineLvl w:val="3"/>
    </w:pPr>
    <w:rPr>
      <w:rFonts w:ascii="楷体_GB2312" w:eastAsia="楷体_GB2312"/>
      <w:sz w:val="32"/>
    </w:rPr>
  </w:style>
  <w:style w:type="paragraph" w:styleId="7">
    <w:name w:val="heading 6"/>
    <w:basedOn w:val="1"/>
    <w:next w:val="1"/>
    <w:semiHidden/>
    <w:unhideWhenUsed/>
    <w:qFormat/>
    <w:uiPriority w:val="0"/>
    <w:pPr>
      <w:spacing w:beforeAutospacing="1" w:afterAutospacing="1"/>
      <w:jc w:val="left"/>
      <w:outlineLvl w:val="5"/>
    </w:pPr>
    <w:rPr>
      <w:rFonts w:hint="eastAsia" w:ascii="宋体" w:hAnsi="宋体"/>
      <w:b/>
      <w:bCs/>
      <w:kern w:val="0"/>
      <w:sz w:val="15"/>
      <w:szCs w:val="15"/>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oc 1"/>
    <w:basedOn w:val="1"/>
    <w:next w:val="1"/>
    <w:qFormat/>
    <w:uiPriority w:val="39"/>
  </w:style>
  <w:style w:type="paragraph" w:styleId="8">
    <w:name w:val="Normal Indent"/>
    <w:basedOn w:val="1"/>
    <w:qFormat/>
    <w:uiPriority w:val="0"/>
    <w:pPr>
      <w:ind w:firstLine="420"/>
    </w:pPr>
    <w:rPr>
      <w:szCs w:val="21"/>
    </w:rPr>
  </w:style>
  <w:style w:type="paragraph" w:styleId="9">
    <w:name w:val="toa heading"/>
    <w:basedOn w:val="1"/>
    <w:next w:val="1"/>
    <w:unhideWhenUsed/>
    <w:qFormat/>
    <w:uiPriority w:val="99"/>
    <w:rPr>
      <w:rFonts w:ascii="Arial" w:hAnsi="Arial"/>
      <w:sz w:val="24"/>
    </w:rPr>
  </w:style>
  <w:style w:type="paragraph" w:styleId="10">
    <w:name w:val="annotation text"/>
    <w:basedOn w:val="1"/>
    <w:qFormat/>
    <w:uiPriority w:val="0"/>
    <w:pPr>
      <w:jc w:val="left"/>
    </w:pPr>
  </w:style>
  <w:style w:type="paragraph" w:styleId="11">
    <w:name w:val="Body Text 3"/>
    <w:basedOn w:val="1"/>
    <w:qFormat/>
    <w:uiPriority w:val="0"/>
    <w:pPr>
      <w:jc w:val="center"/>
    </w:pPr>
    <w:rPr>
      <w:b/>
      <w:spacing w:val="-20"/>
      <w:w w:val="110"/>
      <w:sz w:val="52"/>
    </w:rPr>
  </w:style>
  <w:style w:type="paragraph" w:styleId="12">
    <w:name w:val="Body Text"/>
    <w:basedOn w:val="1"/>
    <w:next w:val="1"/>
    <w:qFormat/>
    <w:uiPriority w:val="0"/>
  </w:style>
  <w:style w:type="paragraph" w:styleId="13">
    <w:name w:val="Body Text Indent"/>
    <w:basedOn w:val="1"/>
    <w:next w:val="14"/>
    <w:semiHidden/>
    <w:unhideWhenUsed/>
    <w:qFormat/>
    <w:uiPriority w:val="99"/>
    <w:pPr>
      <w:ind w:left="420" w:leftChars="200"/>
    </w:pPr>
  </w:style>
  <w:style w:type="paragraph" w:customStyle="1" w:styleId="14">
    <w:name w:val="font5"/>
    <w:basedOn w:val="1"/>
    <w:qFormat/>
    <w:uiPriority w:val="0"/>
    <w:pPr>
      <w:widowControl/>
      <w:spacing w:before="100" w:beforeAutospacing="1" w:after="100" w:afterAutospacing="1"/>
      <w:jc w:val="left"/>
    </w:pPr>
    <w:rPr>
      <w:rFonts w:hint="eastAsia" w:ascii="宋体" w:hAnsi="宋体"/>
      <w:kern w:val="0"/>
      <w:sz w:val="24"/>
      <w:szCs w:val="24"/>
    </w:rPr>
  </w:style>
  <w:style w:type="paragraph" w:styleId="15">
    <w:name w:val="Block Text"/>
    <w:basedOn w:val="1"/>
    <w:unhideWhenUsed/>
    <w:qFormat/>
    <w:uiPriority w:val="99"/>
    <w:pPr>
      <w:spacing w:after="120"/>
      <w:ind w:left="1440" w:leftChars="700" w:right="700" w:rightChars="700"/>
    </w:pPr>
  </w:style>
  <w:style w:type="paragraph" w:styleId="16">
    <w:name w:val="toc 3"/>
    <w:basedOn w:val="1"/>
    <w:next w:val="1"/>
    <w:semiHidden/>
    <w:qFormat/>
    <w:uiPriority w:val="0"/>
    <w:pPr>
      <w:ind w:left="840" w:leftChars="400"/>
    </w:pPr>
  </w:style>
  <w:style w:type="paragraph" w:styleId="17">
    <w:name w:val="Plain Text"/>
    <w:basedOn w:val="1"/>
    <w:qFormat/>
    <w:uiPriority w:val="0"/>
    <w:rPr>
      <w:rFonts w:ascii="宋体" w:hAnsi="Courier New"/>
    </w:rPr>
  </w:style>
  <w:style w:type="paragraph" w:styleId="18">
    <w:name w:val="footer"/>
    <w:basedOn w:val="1"/>
    <w:next w:val="1"/>
    <w:qFormat/>
    <w:uiPriority w:val="0"/>
    <w:pPr>
      <w:tabs>
        <w:tab w:val="center" w:pos="4153"/>
        <w:tab w:val="right" w:pos="8306"/>
      </w:tabs>
      <w:snapToGrid w:val="0"/>
      <w:jc w:val="left"/>
    </w:pPr>
    <w:rPr>
      <w:sz w:val="18"/>
    </w:rPr>
  </w:style>
  <w:style w:type="paragraph" w:styleId="19">
    <w:name w:val="envelope return"/>
    <w:basedOn w:val="1"/>
    <w:qFormat/>
    <w:uiPriority w:val="99"/>
    <w:pPr>
      <w:snapToGrid w:val="0"/>
    </w:pPr>
    <w:rPr>
      <w:rFonts w:ascii="Arial" w:hAnsi="Arial" w:cs="Arial"/>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rPr>
  </w:style>
  <w:style w:type="paragraph" w:styleId="21">
    <w:name w:val="toc 2"/>
    <w:basedOn w:val="1"/>
    <w:next w:val="1"/>
    <w:qFormat/>
    <w:uiPriority w:val="39"/>
    <w:pPr>
      <w:ind w:left="420" w:leftChars="200"/>
    </w:pPr>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szCs w:val="24"/>
    </w:rPr>
  </w:style>
  <w:style w:type="paragraph" w:styleId="23">
    <w:name w:val="Body Text First Indent"/>
    <w:basedOn w:val="12"/>
    <w:next w:val="1"/>
    <w:unhideWhenUsed/>
    <w:qFormat/>
    <w:uiPriority w:val="99"/>
    <w:pPr>
      <w:ind w:firstLine="420" w:firstLineChars="100"/>
    </w:pPr>
    <w:rPr>
      <w:szCs w:val="24"/>
    </w:rPr>
  </w:style>
  <w:style w:type="paragraph" w:styleId="24">
    <w:name w:val="Body Text First Indent 2"/>
    <w:basedOn w:val="13"/>
    <w:next w:val="23"/>
    <w:semiHidden/>
    <w:unhideWhenUsed/>
    <w:qFormat/>
    <w:uiPriority w:val="99"/>
    <w:pPr>
      <w:ind w:firstLine="420" w:firstLineChars="2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basedOn w:val="27"/>
    <w:qFormat/>
    <w:uiPriority w:val="0"/>
    <w:rPr>
      <w:b/>
    </w:rPr>
  </w:style>
  <w:style w:type="character" w:styleId="29">
    <w:name w:val="page number"/>
    <w:basedOn w:val="27"/>
    <w:qFormat/>
    <w:uiPriority w:val="0"/>
  </w:style>
  <w:style w:type="character" w:styleId="30">
    <w:name w:val="FollowedHyperlink"/>
    <w:basedOn w:val="27"/>
    <w:qFormat/>
    <w:uiPriority w:val="0"/>
    <w:rPr>
      <w:color w:val="333333"/>
      <w:u w:val="none"/>
    </w:rPr>
  </w:style>
  <w:style w:type="character" w:styleId="31">
    <w:name w:val="Emphasis"/>
    <w:basedOn w:val="27"/>
    <w:qFormat/>
    <w:uiPriority w:val="0"/>
  </w:style>
  <w:style w:type="character" w:styleId="32">
    <w:name w:val="HTML Definition"/>
    <w:basedOn w:val="27"/>
    <w:qFormat/>
    <w:uiPriority w:val="0"/>
    <w:rPr>
      <w:i/>
    </w:rPr>
  </w:style>
  <w:style w:type="character" w:styleId="33">
    <w:name w:val="Hyperlink"/>
    <w:basedOn w:val="27"/>
    <w:qFormat/>
    <w:uiPriority w:val="0"/>
    <w:rPr>
      <w:color w:val="296FBE"/>
      <w:u w:val="none"/>
    </w:rPr>
  </w:style>
  <w:style w:type="character" w:styleId="34">
    <w:name w:val="HTML Code"/>
    <w:basedOn w:val="27"/>
    <w:qFormat/>
    <w:uiPriority w:val="0"/>
    <w:rPr>
      <w:rFonts w:hint="default" w:ascii="Consolas" w:hAnsi="Consolas" w:eastAsia="Consolas" w:cs="Consolas"/>
      <w:color w:val="C7254E"/>
      <w:sz w:val="21"/>
      <w:szCs w:val="21"/>
      <w:shd w:val="clear" w:color="auto" w:fill="F9F2F4"/>
    </w:rPr>
  </w:style>
  <w:style w:type="character" w:styleId="35">
    <w:name w:val="HTML Keyboard"/>
    <w:basedOn w:val="27"/>
    <w:qFormat/>
    <w:uiPriority w:val="0"/>
    <w:rPr>
      <w:rFonts w:ascii="Consolas" w:hAnsi="Consolas" w:eastAsia="Consolas" w:cs="Consolas"/>
      <w:color w:val="FFFFFF"/>
      <w:sz w:val="21"/>
      <w:szCs w:val="21"/>
      <w:shd w:val="clear" w:color="auto" w:fill="333333"/>
    </w:rPr>
  </w:style>
  <w:style w:type="character" w:styleId="36">
    <w:name w:val="HTML Sample"/>
    <w:basedOn w:val="27"/>
    <w:qFormat/>
    <w:uiPriority w:val="0"/>
    <w:rPr>
      <w:rFonts w:hint="default" w:ascii="Consolas" w:hAnsi="Consolas" w:eastAsia="Consolas" w:cs="Consolas"/>
      <w:sz w:val="21"/>
      <w:szCs w:val="21"/>
    </w:rPr>
  </w:style>
  <w:style w:type="character" w:customStyle="1" w:styleId="37">
    <w:name w:val="标题 2 Char"/>
    <w:link w:val="4"/>
    <w:qFormat/>
    <w:uiPriority w:val="0"/>
    <w:rPr>
      <w:rFonts w:ascii="黑体" w:hAnsi="黑体" w:eastAsia="仿宋_GB2312"/>
      <w:b/>
      <w:sz w:val="30"/>
    </w:rPr>
  </w:style>
  <w:style w:type="paragraph" w:customStyle="1" w:styleId="38">
    <w:name w:val="引言二级条标题"/>
    <w:basedOn w:val="39"/>
    <w:next w:val="40"/>
    <w:qFormat/>
    <w:uiPriority w:val="0"/>
    <w:pPr>
      <w:tabs>
        <w:tab w:val="left" w:pos="360"/>
        <w:tab w:val="left" w:pos="720"/>
      </w:tabs>
    </w:pPr>
    <w:rPr>
      <w:szCs w:val="24"/>
    </w:rPr>
  </w:style>
  <w:style w:type="paragraph" w:customStyle="1" w:styleId="39">
    <w:name w:val="引言一级条标题"/>
    <w:basedOn w:val="1"/>
    <w:next w:val="40"/>
    <w:qFormat/>
    <w:uiPriority w:val="0"/>
    <w:pPr>
      <w:widowControl/>
      <w:numPr>
        <w:ilvl w:val="0"/>
        <w:numId w:val="1"/>
      </w:numPr>
    </w:pPr>
    <w:rPr>
      <w:rFonts w:eastAsia="黑体"/>
      <w:b/>
    </w:rPr>
  </w:style>
  <w:style w:type="paragraph" w:customStyle="1" w:styleId="40">
    <w:name w:val="段"/>
    <w:qFormat/>
    <w:uiPriority w:val="0"/>
    <w:pPr>
      <w:autoSpaceDE w:val="0"/>
      <w:autoSpaceDN w:val="0"/>
      <w:ind w:firstLine="200" w:firstLineChars="200"/>
      <w:jc w:val="both"/>
    </w:pPr>
    <w:rPr>
      <w:rFonts w:ascii="宋体" w:hAnsi="Calibri" w:eastAsia="宋体" w:cs="Times New Roman"/>
      <w:sz w:val="21"/>
      <w:szCs w:val="22"/>
      <w:lang w:val="en-US" w:eastAsia="zh-CN" w:bidi="ar-SA"/>
    </w:rPr>
  </w:style>
  <w:style w:type="paragraph" w:customStyle="1" w:styleId="41">
    <w:name w:val="默认段落字体 Para Char Char Char Char"/>
    <w:basedOn w:val="1"/>
    <w:qFormat/>
    <w:uiPriority w:val="0"/>
    <w:rPr>
      <w:szCs w:val="24"/>
    </w:rPr>
  </w:style>
  <w:style w:type="paragraph" w:customStyle="1" w:styleId="42">
    <w:name w:val="Normal Indent1"/>
    <w:basedOn w:val="1"/>
    <w:qFormat/>
    <w:uiPriority w:val="99"/>
    <w:pPr>
      <w:ind w:firstLine="880" w:firstLineChars="200"/>
    </w:pPr>
  </w:style>
  <w:style w:type="paragraph" w:customStyle="1" w:styleId="43">
    <w:name w:val="列出段落1"/>
    <w:basedOn w:val="1"/>
    <w:qFormat/>
    <w:uiPriority w:val="34"/>
    <w:pPr>
      <w:ind w:firstLine="420" w:firstLineChars="200"/>
    </w:pPr>
    <w:rPr>
      <w:rFonts w:ascii="Calibri" w:hAnsi="Calibri" w:cs="黑体"/>
      <w:szCs w:val="22"/>
    </w:rPr>
  </w:style>
  <w:style w:type="paragraph" w:customStyle="1" w:styleId="44">
    <w:name w:val="Default"/>
    <w:qFormat/>
    <w:uiPriority w:val="99"/>
    <w:pPr>
      <w:widowControl w:val="0"/>
      <w:autoSpaceDE w:val="0"/>
      <w:autoSpaceDN w:val="0"/>
      <w:adjustRightInd w:val="0"/>
    </w:pPr>
    <w:rPr>
      <w:rFonts w:ascii="Myriad Pro Light" w:hAnsi="Calibri" w:eastAsia="Times New Roman" w:cs="Myriad Pro Light"/>
      <w:color w:val="000000"/>
      <w:sz w:val="24"/>
      <w:szCs w:val="24"/>
      <w:lang w:val="en-US" w:eastAsia="zh-CN" w:bidi="ar-SA"/>
    </w:rPr>
  </w:style>
  <w:style w:type="paragraph" w:styleId="45">
    <w:name w:val="List Paragraph"/>
    <w:basedOn w:val="1"/>
    <w:qFormat/>
    <w:uiPriority w:val="0"/>
    <w:pPr>
      <w:ind w:firstLine="420" w:firstLineChars="200"/>
    </w:pPr>
  </w:style>
  <w:style w:type="paragraph" w:customStyle="1" w:styleId="46">
    <w:name w:val="正文自定"/>
    <w:basedOn w:val="1"/>
    <w:qFormat/>
    <w:uiPriority w:val="0"/>
    <w:pPr>
      <w:tabs>
        <w:tab w:val="left" w:pos="7665"/>
      </w:tabs>
      <w:spacing w:line="360" w:lineRule="auto"/>
      <w:ind w:firstLine="480" w:firstLineChars="200"/>
    </w:pPr>
    <w:rPr>
      <w:rFonts w:ascii="宋体" w:hAnsi="宋体"/>
      <w:sz w:val="24"/>
      <w:szCs w:val="24"/>
    </w:rPr>
  </w:style>
  <w:style w:type="character" w:customStyle="1" w:styleId="47">
    <w:name w:val="font11"/>
    <w:basedOn w:val="27"/>
    <w:qFormat/>
    <w:uiPriority w:val="0"/>
    <w:rPr>
      <w:rFonts w:hint="eastAsia" w:ascii="宋体" w:hAnsi="宋体" w:eastAsia="宋体" w:cs="宋体"/>
      <w:color w:val="000000"/>
      <w:sz w:val="18"/>
      <w:szCs w:val="18"/>
      <w:u w:val="none"/>
    </w:rPr>
  </w:style>
  <w:style w:type="character" w:customStyle="1" w:styleId="48">
    <w:name w:val="font41"/>
    <w:basedOn w:val="27"/>
    <w:qFormat/>
    <w:uiPriority w:val="0"/>
    <w:rPr>
      <w:rFonts w:hint="eastAsia" w:ascii="宋体" w:hAnsi="宋体" w:eastAsia="宋体" w:cs="宋体"/>
      <w:color w:val="000000"/>
      <w:sz w:val="24"/>
      <w:szCs w:val="24"/>
      <w:u w:val="none"/>
    </w:rPr>
  </w:style>
  <w:style w:type="character" w:customStyle="1" w:styleId="49">
    <w:name w:val="font81"/>
    <w:basedOn w:val="27"/>
    <w:qFormat/>
    <w:uiPriority w:val="0"/>
    <w:rPr>
      <w:rFonts w:ascii="BatangChe" w:hAnsi="BatangChe" w:eastAsia="BatangChe" w:cs="BatangChe"/>
      <w:color w:val="000000"/>
      <w:sz w:val="18"/>
      <w:szCs w:val="18"/>
      <w:u w:val="none"/>
    </w:rPr>
  </w:style>
  <w:style w:type="character" w:customStyle="1" w:styleId="50">
    <w:name w:val="font01"/>
    <w:basedOn w:val="27"/>
    <w:qFormat/>
    <w:uiPriority w:val="0"/>
    <w:rPr>
      <w:rFonts w:hint="eastAsia" w:ascii="仿宋_GB2312" w:eastAsia="仿宋_GB2312" w:cs="仿宋_GB2312"/>
      <w:color w:val="000000"/>
      <w:sz w:val="18"/>
      <w:szCs w:val="18"/>
      <w:u w:val="none"/>
    </w:rPr>
  </w:style>
  <w:style w:type="character" w:customStyle="1" w:styleId="51">
    <w:name w:val="font31"/>
    <w:basedOn w:val="27"/>
    <w:qFormat/>
    <w:uiPriority w:val="0"/>
    <w:rPr>
      <w:rFonts w:hint="default" w:ascii="Times New Roman" w:hAnsi="Times New Roman" w:cs="Times New Roman"/>
      <w:color w:val="000000"/>
      <w:sz w:val="18"/>
      <w:szCs w:val="18"/>
      <w:u w:val="none"/>
    </w:rPr>
  </w:style>
  <w:style w:type="character" w:customStyle="1" w:styleId="52">
    <w:name w:val="font21"/>
    <w:basedOn w:val="27"/>
    <w:qFormat/>
    <w:uiPriority w:val="0"/>
    <w:rPr>
      <w:rFonts w:hint="eastAsia" w:ascii="仿宋_GB2312" w:eastAsia="仿宋_GB2312" w:cs="仿宋_GB2312"/>
      <w:color w:val="000000"/>
      <w:sz w:val="20"/>
      <w:szCs w:val="20"/>
      <w:u w:val="none"/>
    </w:rPr>
  </w:style>
  <w:style w:type="character" w:customStyle="1" w:styleId="53">
    <w:name w:val="font51"/>
    <w:basedOn w:val="27"/>
    <w:qFormat/>
    <w:uiPriority w:val="0"/>
    <w:rPr>
      <w:rFonts w:hint="eastAsia" w:ascii="仿宋_GB2312" w:eastAsia="仿宋_GB2312" w:cs="仿宋_GB2312"/>
      <w:color w:val="000000"/>
      <w:sz w:val="24"/>
      <w:szCs w:val="24"/>
      <w:u w:val="none"/>
    </w:rPr>
  </w:style>
  <w:style w:type="character" w:customStyle="1" w:styleId="54">
    <w:name w:val="font61"/>
    <w:basedOn w:val="27"/>
    <w:qFormat/>
    <w:uiPriority w:val="0"/>
    <w:rPr>
      <w:rFonts w:hint="default" w:ascii="Times New Roman" w:hAnsi="Times New Roman" w:cs="Times New Roman"/>
      <w:color w:val="000000"/>
      <w:sz w:val="24"/>
      <w:szCs w:val="24"/>
      <w:u w:val="none"/>
    </w:rPr>
  </w:style>
  <w:style w:type="character" w:customStyle="1" w:styleId="55">
    <w:name w:val="hour_pm"/>
    <w:basedOn w:val="27"/>
    <w:qFormat/>
    <w:uiPriority w:val="0"/>
  </w:style>
  <w:style w:type="character" w:customStyle="1" w:styleId="56">
    <w:name w:val="hover3"/>
    <w:basedOn w:val="27"/>
    <w:qFormat/>
    <w:uiPriority w:val="0"/>
    <w:rPr>
      <w:shd w:val="clear" w:color="auto" w:fill="EEEEEE"/>
    </w:rPr>
  </w:style>
  <w:style w:type="character" w:customStyle="1" w:styleId="57">
    <w:name w:val="old"/>
    <w:basedOn w:val="27"/>
    <w:qFormat/>
    <w:uiPriority w:val="0"/>
    <w:rPr>
      <w:color w:val="999999"/>
    </w:rPr>
  </w:style>
  <w:style w:type="character" w:customStyle="1" w:styleId="58">
    <w:name w:val="glyphicon4"/>
    <w:basedOn w:val="27"/>
    <w:qFormat/>
    <w:uiPriority w:val="0"/>
  </w:style>
  <w:style w:type="character" w:customStyle="1" w:styleId="59">
    <w:name w:val="hour_am"/>
    <w:basedOn w:val="27"/>
    <w:qFormat/>
    <w:uiPriority w:val="0"/>
  </w:style>
  <w:style w:type="character" w:customStyle="1" w:styleId="60">
    <w:name w:val="indent"/>
    <w:basedOn w:val="27"/>
    <w:qFormat/>
    <w:uiPriority w:val="0"/>
  </w:style>
  <w:style w:type="character" w:customStyle="1" w:styleId="61">
    <w:name w:val="button"/>
    <w:basedOn w:val="27"/>
    <w:qFormat/>
    <w:uiPriority w:val="0"/>
  </w:style>
  <w:style w:type="character" w:customStyle="1" w:styleId="62">
    <w:name w:val="tmpztreemove_arrow"/>
    <w:basedOn w:val="27"/>
    <w:qFormat/>
    <w:uiPriority w:val="0"/>
    <w:rPr>
      <w:shd w:val="clear" w:color="auto" w:fill="FFFFFF"/>
    </w:rPr>
  </w:style>
  <w:style w:type="paragraph" w:customStyle="1" w:styleId="63">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6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65">
    <w:name w:val="标题 2 Char1"/>
    <w:link w:val="4"/>
    <w:qFormat/>
    <w:uiPriority w:val="0"/>
    <w:rPr>
      <w:rFonts w:ascii="黑体" w:hAnsi="黑体" w:eastAsia="宋体"/>
      <w:b/>
      <w:sz w:val="44"/>
    </w:rPr>
  </w:style>
  <w:style w:type="character" w:customStyle="1" w:styleId="66">
    <w:name w:val="active4"/>
    <w:basedOn w:val="27"/>
    <w:qFormat/>
    <w:uiPriority w:val="0"/>
    <w:rPr>
      <w:color w:val="00FF00"/>
      <w:shd w:val="clear" w:color="auto" w:fill="000000"/>
    </w:rPr>
  </w:style>
  <w:style w:type="character" w:customStyle="1" w:styleId="67">
    <w:name w:val="phone"/>
    <w:basedOn w:val="27"/>
    <w:qFormat/>
    <w:uiPriority w:val="0"/>
    <w:rPr>
      <w:color w:val="FF8833"/>
      <w:sz w:val="18"/>
      <w:szCs w:val="18"/>
    </w:rPr>
  </w:style>
  <w:style w:type="character" w:customStyle="1" w:styleId="68">
    <w:name w:val="stclosebtn"/>
    <w:basedOn w:val="27"/>
    <w:qFormat/>
    <w:uiPriority w:val="0"/>
  </w:style>
  <w:style w:type="character" w:customStyle="1" w:styleId="69">
    <w:name w:val="proollist"/>
    <w:basedOn w:val="27"/>
    <w:qFormat/>
    <w:uiPriority w:val="0"/>
  </w:style>
  <w:style w:type="character" w:customStyle="1" w:styleId="70">
    <w:name w:val="span-long"/>
    <w:basedOn w:val="27"/>
    <w:qFormat/>
    <w:uiPriority w:val="0"/>
  </w:style>
  <w:style w:type="character" w:customStyle="1" w:styleId="71">
    <w:name w:val="input-direction"/>
    <w:basedOn w:val="27"/>
    <w:qFormat/>
    <w:uiPriority w:val="0"/>
    <w:rPr>
      <w:color w:val="FF6600"/>
    </w:rPr>
  </w:style>
  <w:style w:type="character" w:customStyle="1" w:styleId="72">
    <w:name w:val="beforeinfotext"/>
    <w:basedOn w:val="27"/>
    <w:qFormat/>
    <w:uiPriority w:val="0"/>
    <w:rPr>
      <w:color w:val="666666"/>
    </w:rPr>
  </w:style>
  <w:style w:type="character" w:customStyle="1" w:styleId="73">
    <w:name w:val="number"/>
    <w:basedOn w:val="27"/>
    <w:qFormat/>
    <w:uiPriority w:val="0"/>
    <w:rPr>
      <w:color w:val="FF8833"/>
      <w:sz w:val="18"/>
      <w:szCs w:val="18"/>
    </w:rPr>
  </w:style>
  <w:style w:type="character" w:customStyle="1" w:styleId="74">
    <w:name w:val="hilite6"/>
    <w:basedOn w:val="27"/>
    <w:qFormat/>
    <w:uiPriority w:val="0"/>
    <w:rPr>
      <w:color w:val="FFFFFF"/>
      <w:shd w:val="clear" w:color="auto" w:fill="666677"/>
    </w:rPr>
  </w:style>
  <w:style w:type="character" w:customStyle="1" w:styleId="75">
    <w:name w:val="active"/>
    <w:basedOn w:val="27"/>
    <w:qFormat/>
    <w:uiPriority w:val="0"/>
    <w:rPr>
      <w:color w:val="00FF00"/>
      <w:shd w:val="clear" w:color="auto" w:fill="000000"/>
    </w:rPr>
  </w:style>
  <w:style w:type="character" w:customStyle="1" w:styleId="76">
    <w:name w:val="active6"/>
    <w:basedOn w:val="27"/>
    <w:qFormat/>
    <w:uiPriority w:val="0"/>
    <w:rPr>
      <w:color w:val="00FF00"/>
      <w:shd w:val="clear" w:color="auto" w:fill="000000"/>
    </w:rPr>
  </w:style>
  <w:style w:type="character" w:customStyle="1" w:styleId="77">
    <w:name w:val="hilite"/>
    <w:basedOn w:val="27"/>
    <w:qFormat/>
    <w:uiPriority w:val="0"/>
    <w:rPr>
      <w:color w:val="FFFFFF"/>
      <w:shd w:val="clear" w:color="auto" w:fill="666677"/>
    </w:rPr>
  </w:style>
  <w:style w:type="character" w:customStyle="1" w:styleId="78">
    <w:name w:val="button2"/>
    <w:basedOn w:val="27"/>
    <w:qFormat/>
    <w:uiPriority w:val="0"/>
  </w:style>
  <w:style w:type="paragraph" w:customStyle="1" w:styleId="79">
    <w:name w:val="Body text|1"/>
    <w:basedOn w:val="1"/>
    <w:qFormat/>
    <w:uiPriority w:val="0"/>
    <w:pPr>
      <w:spacing w:after="140" w:line="406" w:lineRule="auto"/>
      <w:ind w:firstLine="400"/>
    </w:pPr>
    <w:rPr>
      <w:rFonts w:ascii="宋体" w:hAnsi="宋体" w:cs="宋体"/>
      <w:sz w:val="20"/>
      <w:lang w:val="zh-TW" w:eastAsia="zh-TW" w:bidi="zh-TW"/>
    </w:rPr>
  </w:style>
  <w:style w:type="table" w:customStyle="1" w:styleId="80">
    <w:name w:val="Table Normal"/>
    <w:semiHidden/>
    <w:unhideWhenUsed/>
    <w:qFormat/>
    <w:uiPriority w:val="0"/>
    <w:tblPr>
      <w:tblCellMar>
        <w:top w:w="0" w:type="dxa"/>
        <w:left w:w="0" w:type="dxa"/>
        <w:bottom w:w="0" w:type="dxa"/>
        <w:right w:w="0" w:type="dxa"/>
      </w:tblCellMar>
    </w:tblPr>
  </w:style>
  <w:style w:type="character" w:customStyle="1" w:styleId="81">
    <w:name w:val="NormalCharacter"/>
    <w:semiHidden/>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image" Target="media/image1.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3076"/>
    <customShpInfo spid="_x0000_s3075"/>
    <customShpInfo spid="_x0000_s3074"/>
    <customShpInfo spid="_x0000_s3073"/>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Company>Microsoft</Company>
  <Pages>62</Pages>
  <Words>24491</Words>
  <Characters>25573</Characters>
  <Lines>204</Lines>
  <Paragraphs>57</Paragraphs>
  <TotalTime>14</TotalTime>
  <ScaleCrop>false</ScaleCrop>
  <LinksUpToDate>false</LinksUpToDate>
  <CharactersWithSpaces>26191</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2018-11-19T10:02:00Z</dcterms:created>
  <dc:creator>李纪旋</dc:creator>
  <cp:lastModifiedBy>lenovo</cp:lastModifiedBy>
  <cp:lastPrinted>2022-11-04T02:15:00Z</cp:lastPrinted>
  <dcterms:modified xsi:type="dcterms:W3CDTF">2022-11-21T06:02:44Z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E00827B9746849A7BF4DF4BF89684FE5</vt:lpwstr>
  </property>
</Properties>
</file>