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heme="minorEastAsia" w:hAnsiTheme="minorEastAsia" w:eastAsiaTheme="minorEastAsia" w:cstheme="minorEastAsia"/>
          <w:b/>
          <w:sz w:val="36"/>
          <w:szCs w:val="36"/>
          <w:highlight w:val="none"/>
        </w:rPr>
      </w:pPr>
    </w:p>
    <w:p>
      <w:pPr>
        <w:spacing w:line="560" w:lineRule="exact"/>
        <w:rPr>
          <w:rFonts w:hint="eastAsia" w:asciiTheme="minorEastAsia" w:hAnsiTheme="minorEastAsia" w:eastAsiaTheme="minorEastAsia" w:cstheme="minorEastAsia"/>
          <w:sz w:val="36"/>
          <w:highlight w:val="none"/>
        </w:rPr>
      </w:pPr>
      <w:r>
        <w:rPr>
          <w:rFonts w:hint="eastAsia" w:asciiTheme="minorEastAsia" w:hAnsiTheme="minorEastAsia" w:eastAsiaTheme="minorEastAsia" w:cstheme="minorEastAsia"/>
          <w:sz w:val="36"/>
          <w:highlight w:val="none"/>
        </w:rPr>
        <mc:AlternateContent>
          <mc:Choice Requires="wps">
            <w:drawing>
              <wp:anchor distT="0" distB="0" distL="114300" distR="114300" simplePos="0" relativeHeight="251668480" behindDoc="0" locked="0" layoutInCell="1" allowOverlap="1">
                <wp:simplePos x="0" y="0"/>
                <wp:positionH relativeFrom="column">
                  <wp:posOffset>4142105</wp:posOffset>
                </wp:positionH>
                <wp:positionV relativeFrom="paragraph">
                  <wp:posOffset>-259080</wp:posOffset>
                </wp:positionV>
                <wp:extent cx="1494790" cy="370205"/>
                <wp:effectExtent l="4445" t="4445" r="5715" b="6350"/>
                <wp:wrapNone/>
                <wp:docPr id="3" name="文本框 12"/>
                <wp:cNvGraphicFramePr/>
                <a:graphic xmlns:a="http://schemas.openxmlformats.org/drawingml/2006/main">
                  <a:graphicData uri="http://schemas.microsoft.com/office/word/2010/wordprocessingShape">
                    <wps:wsp>
                      <wps:cNvSpPr txBox="1"/>
                      <wps:spPr>
                        <a:xfrm>
                          <a:off x="0" y="0"/>
                          <a:ext cx="1494790"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upright="1"/>
                    </wps:wsp>
                  </a:graphicData>
                </a:graphic>
              </wp:anchor>
            </w:drawing>
          </mc:Choice>
          <mc:Fallback>
            <w:pict>
              <v:shape id="文本框 12" o:spid="_x0000_s1026" o:spt="202" type="#_x0000_t202" style="position:absolute;left:0pt;margin-left:326.15pt;margin-top:-20.4pt;height:29.15pt;width:117.7pt;z-index:251668480;mso-width-relative:page;mso-height-relative:page;" fillcolor="#FFFFFF" filled="t" stroked="t" coordsize="21600,21600" o:gfxdata="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AO14tkAAAAKAQAADwAAAAAAAAABACAA&#10;AAAiAAAAZHJzL2Rvd25yZXYueG1sUEsBAhQAFAAAAAgAh07iQJKgQ7QMAgAANwQAAA4AAAAAAAAA&#10;AQAgAAAAKAEAAGRycy9lMm9Eb2MueG1sUEsFBgAAAAAGAAYAWQEAAKYFAAAAAA==&#10;">
                <v:fill on="t" focussize="0,0"/>
                <v:stroke color="#000000" joinstyle="miter"/>
                <v:imagedata o:title=""/>
                <o:lock v:ext="edit" aspectratio="f"/>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spacing w:line="560" w:lineRule="exact"/>
        <w:ind w:left="-240" w:leftChars="-100" w:firstLine="239" w:firstLineChars="66"/>
        <w:rPr>
          <w:rFonts w:hint="eastAsia" w:asciiTheme="minorEastAsia" w:hAnsiTheme="minorEastAsia" w:eastAsiaTheme="minorEastAsia" w:cstheme="minorEastAsia"/>
          <w:b/>
          <w:sz w:val="15"/>
          <w:szCs w:val="15"/>
          <w:highlight w:val="none"/>
          <w:lang w:val="en-US" w:eastAsia="zh-CN"/>
        </w:rPr>
      </w:pPr>
      <w:r>
        <w:rPr>
          <w:rFonts w:hint="eastAsia" w:asciiTheme="minorEastAsia" w:hAnsiTheme="minorEastAsia" w:eastAsiaTheme="minorEastAsia" w:cstheme="minorEastAsia"/>
          <w:b/>
          <w:sz w:val="36"/>
          <w:szCs w:val="36"/>
          <w:highlight w:val="none"/>
        </w:rPr>
        <w:t>文件编号:</w:t>
      </w:r>
      <w:r>
        <w:rPr>
          <w:rFonts w:hint="eastAsia" w:asciiTheme="minorEastAsia" w:hAnsiTheme="minorEastAsia" w:eastAsiaTheme="minorEastAsia" w:cstheme="minorEastAsia"/>
          <w:b/>
          <w:sz w:val="36"/>
          <w:szCs w:val="36"/>
          <w:highlight w:val="none"/>
          <w:lang w:val="en-US" w:eastAsia="zh-CN"/>
        </w:rPr>
        <w:t>SXZL-2022-1201</w:t>
      </w:r>
    </w:p>
    <w:p>
      <w:pPr>
        <w:widowControl/>
        <w:wordWrap w:val="0"/>
        <w:spacing w:line="560" w:lineRule="exact"/>
        <w:rPr>
          <w:rFonts w:hint="eastAsia" w:asciiTheme="minorEastAsia" w:hAnsiTheme="minorEastAsia" w:eastAsiaTheme="minorEastAsia" w:cstheme="minorEastAsia"/>
          <w:b/>
          <w:bCs/>
          <w:spacing w:val="20"/>
          <w:kern w:val="0"/>
          <w:sz w:val="84"/>
          <w:szCs w:val="84"/>
          <w:highlight w:val="none"/>
        </w:rPr>
      </w:pPr>
    </w:p>
    <w:p>
      <w:pPr>
        <w:widowControl/>
        <w:spacing w:line="560" w:lineRule="exact"/>
        <w:rPr>
          <w:rFonts w:hint="eastAsia" w:asciiTheme="minorEastAsia" w:hAnsiTheme="minorEastAsia" w:eastAsiaTheme="minorEastAsia" w:cstheme="minorEastAsia"/>
          <w:b/>
          <w:sz w:val="52"/>
          <w:szCs w:val="52"/>
          <w:highlight w:val="none"/>
        </w:rPr>
      </w:pPr>
    </w:p>
    <w:p>
      <w:pPr>
        <w:spacing w:beforeLines="50" w:line="560" w:lineRule="exact"/>
        <w:jc w:val="center"/>
        <w:rPr>
          <w:rFonts w:hint="eastAsia" w:asciiTheme="minorEastAsia" w:hAnsiTheme="minorEastAsia" w:eastAsiaTheme="minorEastAsia" w:cstheme="minorEastAsia"/>
          <w:b/>
          <w:bCs/>
          <w:spacing w:val="20"/>
          <w:kern w:val="0"/>
          <w:sz w:val="72"/>
          <w:szCs w:val="72"/>
          <w:highlight w:val="none"/>
        </w:rPr>
      </w:pPr>
    </w:p>
    <w:p>
      <w:pPr>
        <w:tabs>
          <w:tab w:val="left" w:pos="5145"/>
        </w:tabs>
        <w:spacing w:line="360" w:lineRule="auto"/>
        <w:jc w:val="center"/>
        <w:rPr>
          <w:rFonts w:hint="eastAsia" w:asciiTheme="minorEastAsia" w:hAnsiTheme="minorEastAsia" w:eastAsiaTheme="minorEastAsia" w:cstheme="minorEastAsia"/>
          <w:b/>
          <w:bCs/>
          <w:spacing w:val="20"/>
          <w:kern w:val="0"/>
          <w:sz w:val="36"/>
          <w:szCs w:val="36"/>
          <w:highlight w:val="none"/>
        </w:rPr>
      </w:pPr>
      <w:r>
        <w:rPr>
          <w:rFonts w:hint="eastAsia" w:asciiTheme="minorEastAsia" w:hAnsiTheme="minorEastAsia" w:eastAsiaTheme="minorEastAsia" w:cstheme="minorEastAsia"/>
          <w:b/>
          <w:bCs/>
          <w:sz w:val="36"/>
          <w:szCs w:val="36"/>
          <w:highlight w:val="none"/>
          <w:lang w:eastAsia="zh-CN"/>
        </w:rPr>
        <w:t>2022年高陵区应急广播体系建设的采购项目</w:t>
      </w:r>
    </w:p>
    <w:p>
      <w:pPr>
        <w:spacing w:beforeLines="50" w:line="560" w:lineRule="exact"/>
        <w:jc w:val="center"/>
        <w:rPr>
          <w:rFonts w:hint="eastAsia" w:asciiTheme="minorEastAsia" w:hAnsiTheme="minorEastAsia" w:eastAsiaTheme="minorEastAsia" w:cstheme="minorEastAsia"/>
          <w:b/>
          <w:bCs/>
          <w:spacing w:val="20"/>
          <w:kern w:val="0"/>
          <w:sz w:val="36"/>
          <w:szCs w:val="36"/>
          <w:highlight w:val="none"/>
        </w:rPr>
      </w:pPr>
      <w:r>
        <w:rPr>
          <w:rFonts w:hint="eastAsia" w:asciiTheme="minorEastAsia" w:hAnsiTheme="minorEastAsia" w:eastAsiaTheme="minorEastAsia" w:cstheme="minorEastAsia"/>
          <w:b/>
          <w:bCs/>
          <w:spacing w:val="20"/>
          <w:kern w:val="0"/>
          <w:sz w:val="36"/>
          <w:szCs w:val="36"/>
          <w:highlight w:val="none"/>
        </w:rPr>
        <w:t>公开招标文件</w:t>
      </w:r>
    </w:p>
    <w:p>
      <w:pPr>
        <w:pStyle w:val="40"/>
        <w:ind w:firstLine="1526"/>
        <w:rPr>
          <w:rFonts w:hint="eastAsia" w:asciiTheme="minorEastAsia" w:hAnsiTheme="minorEastAsia" w:eastAsiaTheme="minorEastAsia" w:cstheme="minorEastAsia"/>
          <w:b/>
          <w:bCs/>
          <w:spacing w:val="20"/>
          <w:kern w:val="0"/>
          <w:sz w:val="72"/>
          <w:szCs w:val="72"/>
          <w:highlight w:val="none"/>
        </w:rPr>
      </w:pPr>
    </w:p>
    <w:p>
      <w:pPr>
        <w:spacing w:beforeLines="70" w:line="560" w:lineRule="exact"/>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rPr>
        <w:drawing>
          <wp:anchor distT="0" distB="0" distL="114300" distR="114300" simplePos="0" relativeHeight="251670528" behindDoc="0" locked="0" layoutInCell="1" allowOverlap="1">
            <wp:simplePos x="0" y="0"/>
            <wp:positionH relativeFrom="column">
              <wp:posOffset>1779270</wp:posOffset>
            </wp:positionH>
            <wp:positionV relativeFrom="paragraph">
              <wp:posOffset>118110</wp:posOffset>
            </wp:positionV>
            <wp:extent cx="2390140" cy="2350770"/>
            <wp:effectExtent l="0" t="0" r="10160" b="11430"/>
            <wp:wrapSquare wrapText="bothSides"/>
            <wp:docPr id="1" name="图片 2"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e37733f8d77ebd96118e43b29ff6ae"/>
                    <pic:cNvPicPr>
                      <a:picLocks noChangeAspect="1"/>
                    </pic:cNvPicPr>
                  </pic:nvPicPr>
                  <pic:blipFill>
                    <a:blip r:embed="rId31"/>
                    <a:stretch>
                      <a:fillRect/>
                    </a:stretch>
                  </pic:blipFill>
                  <pic:spPr>
                    <a:xfrm>
                      <a:off x="0" y="0"/>
                      <a:ext cx="2390140" cy="2350770"/>
                    </a:xfrm>
                    <a:prstGeom prst="rect">
                      <a:avLst/>
                    </a:prstGeom>
                    <a:noFill/>
                    <a:ln>
                      <a:noFill/>
                    </a:ln>
                  </pic:spPr>
                </pic:pic>
              </a:graphicData>
            </a:graphic>
          </wp:anchor>
        </w:drawing>
      </w:r>
    </w:p>
    <w:p>
      <w:pPr>
        <w:spacing w:beforeLines="70" w:line="560" w:lineRule="exact"/>
        <w:ind w:firstLine="2570" w:firstLineChars="800"/>
        <w:rPr>
          <w:rFonts w:hint="eastAsia" w:asciiTheme="minorEastAsia" w:hAnsiTheme="minorEastAsia" w:eastAsiaTheme="minorEastAsia" w:cstheme="minorEastAsia"/>
          <w:b/>
          <w:bCs/>
          <w:sz w:val="32"/>
          <w:szCs w:val="32"/>
          <w:highlight w:val="none"/>
        </w:rPr>
      </w:pPr>
    </w:p>
    <w:p>
      <w:pPr>
        <w:spacing w:beforeLines="70" w:line="560" w:lineRule="exact"/>
        <w:ind w:firstLine="2570" w:firstLineChars="800"/>
        <w:rPr>
          <w:rFonts w:hint="eastAsia" w:asciiTheme="minorEastAsia" w:hAnsiTheme="minorEastAsia" w:eastAsiaTheme="minorEastAsia" w:cstheme="minorEastAsia"/>
          <w:b/>
          <w:bCs/>
          <w:sz w:val="32"/>
          <w:szCs w:val="32"/>
          <w:highlight w:val="none"/>
        </w:rPr>
      </w:pPr>
    </w:p>
    <w:p>
      <w:pPr>
        <w:pStyle w:val="2"/>
        <w:rPr>
          <w:rFonts w:hint="eastAsia" w:asciiTheme="minorEastAsia" w:hAnsiTheme="minorEastAsia" w:eastAsiaTheme="minorEastAsia" w:cstheme="minorEastAsia"/>
          <w:b/>
          <w:bCs/>
          <w:sz w:val="32"/>
          <w:szCs w:val="32"/>
          <w:highlight w:val="none"/>
        </w:rPr>
      </w:pPr>
    </w:p>
    <w:p>
      <w:pPr>
        <w:rPr>
          <w:rFonts w:hint="eastAsia" w:asciiTheme="minorEastAsia" w:hAnsiTheme="minorEastAsia" w:eastAsiaTheme="minorEastAsia" w:cstheme="minorEastAsia"/>
          <w:b/>
          <w:bCs/>
          <w:sz w:val="32"/>
          <w:szCs w:val="32"/>
          <w:highlight w:val="none"/>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spacing w:line="640" w:lineRule="exact"/>
        <w:ind w:firstLine="1285" w:firstLineChars="40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采购人：西安市高陵区融媒体中心（区广播电视台）</w:t>
      </w:r>
    </w:p>
    <w:p>
      <w:pPr>
        <w:pStyle w:val="2"/>
        <w:spacing w:line="640" w:lineRule="exact"/>
        <w:ind w:firstLine="1285" w:firstLineChars="40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采购代理机构：</w:t>
      </w:r>
      <w:r>
        <w:rPr>
          <w:rFonts w:hint="eastAsia" w:asciiTheme="minorEastAsia" w:hAnsiTheme="minorEastAsia" w:eastAsiaTheme="minorEastAsia" w:cstheme="minorEastAsia"/>
          <w:b/>
          <w:bCs/>
          <w:sz w:val="32"/>
          <w:szCs w:val="32"/>
          <w:highlight w:val="none"/>
          <w:lang w:val="en-US" w:eastAsia="zh-CN"/>
        </w:rPr>
        <w:t>陕西中磊工程项目管理有限公司</w:t>
      </w:r>
    </w:p>
    <w:p>
      <w:pPr>
        <w:spacing w:beforeLines="70" w:line="560" w:lineRule="exact"/>
        <w:ind w:firstLine="3213" w:firstLineChars="1000"/>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二零二二年</w:t>
      </w:r>
      <w:r>
        <w:rPr>
          <w:rFonts w:hint="eastAsia" w:asciiTheme="minorEastAsia" w:hAnsiTheme="minorEastAsia" w:eastAsiaTheme="minorEastAsia" w:cstheme="minorEastAsia"/>
          <w:b/>
          <w:bCs/>
          <w:sz w:val="32"/>
          <w:szCs w:val="32"/>
          <w:highlight w:val="none"/>
          <w:lang w:val="en-US" w:eastAsia="zh-CN"/>
        </w:rPr>
        <w:t>十二</w:t>
      </w:r>
      <w:r>
        <w:rPr>
          <w:rFonts w:hint="eastAsia" w:asciiTheme="minorEastAsia" w:hAnsiTheme="minorEastAsia" w:eastAsiaTheme="minorEastAsia" w:cstheme="minorEastAsia"/>
          <w:b/>
          <w:bCs/>
          <w:sz w:val="32"/>
          <w:szCs w:val="32"/>
          <w:highlight w:val="none"/>
        </w:rPr>
        <w:t>月</w:t>
      </w:r>
    </w:p>
    <w:p>
      <w:pPr>
        <w:rPr>
          <w:rFonts w:hint="eastAsia" w:asciiTheme="minorEastAsia" w:hAnsiTheme="minorEastAsia" w:eastAsiaTheme="minorEastAsia" w:cstheme="minorEastAsia"/>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numberInDash" w:start="1"/>
          <w:cols w:space="0" w:num="1"/>
          <w:titlePg/>
          <w:docGrid w:linePitch="312" w:charSpace="0"/>
        </w:sectPr>
      </w:pPr>
      <w:r>
        <w:rPr>
          <w:rFonts w:hint="eastAsia" w:asciiTheme="minorEastAsia" w:hAnsiTheme="minorEastAsia" w:eastAsiaTheme="minorEastAsia" w:cstheme="minorEastAsia"/>
          <w:sz w:val="48"/>
          <w:szCs w:val="48"/>
          <w:highlight w:val="none"/>
          <w:lang w:val="zh-CN"/>
        </w:rPr>
        <w:br w:type="page"/>
      </w:r>
    </w:p>
    <w:p>
      <w:pPr>
        <w:jc w:val="center"/>
        <w:rPr>
          <w:rFonts w:hint="eastAsia" w:asciiTheme="minorEastAsia" w:hAnsiTheme="minorEastAsia" w:eastAsiaTheme="minorEastAsia" w:cstheme="minorEastAsia"/>
          <w:sz w:val="48"/>
          <w:szCs w:val="48"/>
          <w:highlight w:val="none"/>
          <w:lang w:val="zh-CN"/>
        </w:rPr>
      </w:pPr>
    </w:p>
    <w:p>
      <w:pPr>
        <w:jc w:val="center"/>
        <w:rPr>
          <w:rFonts w:hint="eastAsia" w:asciiTheme="minorEastAsia" w:hAnsiTheme="minorEastAsia" w:eastAsiaTheme="minorEastAsia" w:cstheme="minorEastAsia"/>
          <w:b/>
          <w:spacing w:val="140"/>
          <w:sz w:val="52"/>
          <w:szCs w:val="52"/>
          <w:highlight w:val="none"/>
          <w:u w:val="double"/>
        </w:rPr>
      </w:pPr>
      <w:r>
        <w:rPr>
          <w:rFonts w:hint="eastAsia" w:asciiTheme="minorEastAsia" w:hAnsiTheme="minorEastAsia" w:eastAsiaTheme="minorEastAsia" w:cstheme="minorEastAsia"/>
          <w:b/>
          <w:spacing w:val="140"/>
          <w:sz w:val="52"/>
          <w:szCs w:val="52"/>
          <w:highlight w:val="none"/>
          <w:u w:val="double"/>
        </w:rPr>
        <w:t>特别提示</w:t>
      </w:r>
    </w:p>
    <w:p>
      <w:pPr>
        <w:ind w:firstLine="422"/>
        <w:rPr>
          <w:rFonts w:hint="eastAsia" w:asciiTheme="minorEastAsia" w:hAnsiTheme="minorEastAsia" w:eastAsiaTheme="minorEastAsia" w:cstheme="minorEastAsia"/>
          <w:b/>
          <w:sz w:val="21"/>
          <w:szCs w:val="21"/>
          <w:highlight w:val="none"/>
        </w:rPr>
      </w:pPr>
    </w:p>
    <w:p>
      <w:pPr>
        <w:spacing w:line="560" w:lineRule="exact"/>
        <w:ind w:firstLine="422"/>
        <w:rPr>
          <w:rFonts w:hint="eastAsia" w:asciiTheme="minorEastAsia" w:hAnsiTheme="minorEastAsia" w:eastAsiaTheme="minorEastAsia" w:cstheme="minorEastAsia"/>
          <w:b/>
          <w:szCs w:val="24"/>
          <w:highlight w:val="none"/>
        </w:rPr>
      </w:pP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b/>
          <w:szCs w:val="24"/>
          <w:highlight w:val="none"/>
        </w:rPr>
        <w:t>各投标人</w:t>
      </w:r>
      <w:r>
        <w:rPr>
          <w:rFonts w:hint="eastAsia" w:asciiTheme="minorEastAsia" w:hAnsiTheme="minorEastAsia" w:eastAsiaTheme="minorEastAsia" w:cstheme="minorEastAsia"/>
          <w:szCs w:val="24"/>
          <w:highlight w:val="none"/>
        </w:rPr>
        <w:t>：在此我们特别善意地提醒您注意！</w:t>
      </w:r>
    </w:p>
    <w:p>
      <w:pPr>
        <w:tabs>
          <w:tab w:val="left" w:pos="1064"/>
        </w:tabs>
        <w:spacing w:line="560" w:lineRule="exact"/>
        <w:ind w:firstLine="42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1、请您仔细地阅读招标文件并正确理解招标文件中各项具体要求。</w:t>
      </w:r>
    </w:p>
    <w:p>
      <w:pPr>
        <w:tabs>
          <w:tab w:val="left" w:pos="1064"/>
        </w:tabs>
        <w:spacing w:line="560" w:lineRule="exact"/>
        <w:ind w:firstLine="42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2、请您严格按照招标文件载明的投标文件格式要求编制投标文件。</w:t>
      </w:r>
    </w:p>
    <w:p>
      <w:pPr>
        <w:tabs>
          <w:tab w:val="left" w:pos="1064"/>
        </w:tabs>
        <w:spacing w:line="560" w:lineRule="exact"/>
        <w:ind w:firstLine="42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3、请您按照招标文件要求密封投标文件。</w:t>
      </w:r>
    </w:p>
    <w:p>
      <w:pPr>
        <w:tabs>
          <w:tab w:val="left" w:pos="1064"/>
        </w:tabs>
        <w:spacing w:line="560" w:lineRule="exact"/>
        <w:ind w:firstLine="42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4、请您明确标记投标文件的正本、副本。</w:t>
      </w:r>
    </w:p>
    <w:p>
      <w:pPr>
        <w:tabs>
          <w:tab w:val="left" w:pos="1064"/>
        </w:tabs>
        <w:spacing w:line="560" w:lineRule="exact"/>
        <w:ind w:firstLine="422"/>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5、如在投标文件递交截止时间前放弃本次投标，请以书面形式发出弃标函。</w:t>
      </w:r>
    </w:p>
    <w:p>
      <w:pPr>
        <w:tabs>
          <w:tab w:val="left" w:pos="1064"/>
        </w:tabs>
        <w:spacing w:line="560" w:lineRule="exact"/>
        <w:ind w:firstLine="42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6、请您于</w:t>
      </w:r>
      <w:r>
        <w:rPr>
          <w:rFonts w:hint="eastAsia" w:asciiTheme="minorEastAsia" w:hAnsiTheme="minorEastAsia" w:eastAsiaTheme="minorEastAsia" w:cstheme="minorEastAsia"/>
          <w:szCs w:val="24"/>
          <w:highlight w:val="none"/>
          <w:lang w:eastAsia="zh-CN"/>
        </w:rPr>
        <w:t>2023年</w:t>
      </w:r>
      <w:r>
        <w:rPr>
          <w:rFonts w:hint="eastAsia" w:asciiTheme="minorEastAsia" w:hAnsiTheme="minorEastAsia" w:eastAsiaTheme="minorEastAsia" w:cstheme="minorEastAsia"/>
          <w:szCs w:val="24"/>
          <w:highlight w:val="none"/>
          <w:lang w:val="en-US" w:eastAsia="zh-CN"/>
        </w:rPr>
        <w:t>0</w:t>
      </w:r>
      <w:r>
        <w:rPr>
          <w:rFonts w:hint="eastAsia" w:asciiTheme="minorEastAsia" w:hAnsiTheme="minorEastAsia" w:eastAsiaTheme="minorEastAsia" w:cstheme="minorEastAsia"/>
          <w:szCs w:val="24"/>
          <w:highlight w:val="none"/>
          <w:lang w:eastAsia="zh-CN"/>
        </w:rPr>
        <w:t>1月1</w:t>
      </w:r>
      <w:r>
        <w:rPr>
          <w:rFonts w:hint="eastAsia" w:asciiTheme="minorEastAsia" w:hAnsiTheme="minorEastAsia" w:eastAsiaTheme="minorEastAsia" w:cstheme="minorEastAsia"/>
          <w:szCs w:val="24"/>
          <w:highlight w:val="none"/>
          <w:lang w:val="en-US" w:eastAsia="zh-CN"/>
        </w:rPr>
        <w:t>2</w:t>
      </w:r>
      <w:r>
        <w:rPr>
          <w:rFonts w:hint="eastAsia" w:asciiTheme="minorEastAsia" w:hAnsiTheme="minorEastAsia" w:eastAsiaTheme="minorEastAsia" w:cstheme="minorEastAsia"/>
          <w:szCs w:val="24"/>
          <w:highlight w:val="none"/>
          <w:lang w:eastAsia="zh-CN"/>
        </w:rPr>
        <w:t>日</w:t>
      </w:r>
      <w:r>
        <w:rPr>
          <w:rFonts w:hint="eastAsia" w:asciiTheme="minorEastAsia" w:hAnsiTheme="minorEastAsia" w:eastAsiaTheme="minorEastAsia" w:cstheme="minorEastAsia"/>
          <w:szCs w:val="24"/>
          <w:highlight w:val="none"/>
          <w:lang w:val="en-US" w:eastAsia="zh-CN"/>
        </w:rPr>
        <w:t>14</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val="en-US" w:eastAsia="zh-CN"/>
        </w:rPr>
        <w:t>3</w:t>
      </w:r>
      <w:r>
        <w:rPr>
          <w:rFonts w:hint="eastAsia" w:asciiTheme="minorEastAsia" w:hAnsiTheme="minorEastAsia" w:eastAsiaTheme="minorEastAsia" w:cstheme="minorEastAsia"/>
          <w:szCs w:val="24"/>
          <w:highlight w:val="none"/>
        </w:rPr>
        <w:t>0前，准时到</w:t>
      </w:r>
      <w:r>
        <w:rPr>
          <w:rFonts w:hint="eastAsia" w:asciiTheme="minorEastAsia" w:hAnsiTheme="minorEastAsia" w:eastAsiaTheme="minorEastAsia" w:cstheme="minorEastAsia"/>
          <w:szCs w:val="24"/>
          <w:highlight w:val="none"/>
          <w:lang w:eastAsia="zh-CN"/>
        </w:rPr>
        <w:t>陕西中磊工程项目管理有限公司</w:t>
      </w:r>
      <w:r>
        <w:rPr>
          <w:rFonts w:hint="eastAsia" w:asciiTheme="minorEastAsia" w:hAnsiTheme="minorEastAsia" w:eastAsiaTheme="minorEastAsia" w:cstheme="minorEastAsia"/>
          <w:szCs w:val="24"/>
          <w:highlight w:val="none"/>
        </w:rPr>
        <w:t>会议室（</w:t>
      </w:r>
      <w:r>
        <w:rPr>
          <w:rFonts w:hint="eastAsia" w:asciiTheme="minorEastAsia" w:hAnsiTheme="minorEastAsia" w:eastAsiaTheme="minorEastAsia" w:cstheme="minorEastAsia"/>
          <w:szCs w:val="24"/>
          <w:highlight w:val="none"/>
          <w:lang w:eastAsia="zh-CN"/>
        </w:rPr>
        <w:t>西安市雁塔区科技三路融城云谷B座1804室</w:t>
      </w:r>
      <w:r>
        <w:rPr>
          <w:rFonts w:hint="eastAsia" w:asciiTheme="minorEastAsia" w:hAnsiTheme="minorEastAsia" w:eastAsiaTheme="minorEastAsia" w:cstheme="minorEastAsia"/>
          <w:szCs w:val="24"/>
          <w:highlight w:val="none"/>
        </w:rPr>
        <w:t>）递交投标文件并参加开标会议，避免迟误。</w:t>
      </w:r>
    </w:p>
    <w:p>
      <w:pPr>
        <w:tabs>
          <w:tab w:val="left" w:pos="1064"/>
        </w:tabs>
        <w:spacing w:line="560" w:lineRule="exact"/>
        <w:ind w:firstLine="42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7、请您到达开标会议地点后及时到签到处签字登记。</w:t>
      </w:r>
    </w:p>
    <w:p>
      <w:pPr>
        <w:tabs>
          <w:tab w:val="left" w:pos="1064"/>
        </w:tabs>
        <w:spacing w:line="56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Cs w:val="24"/>
          <w:highlight w:val="none"/>
        </w:rPr>
        <w:t>8、请您按照《陕西省财政厅关于政府采购供应商注册登记有关事项的通知》中的要求，通过陕西省政府采购网（http://www.ccgp-shaanxi.gov.cn/）注册登记加入陕西省政府采购供应商库，并接受财政部门的监督管理。</w:t>
      </w:r>
    </w:p>
    <w:p>
      <w:pPr>
        <w:tabs>
          <w:tab w:val="left" w:pos="1064"/>
        </w:tabs>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9、投标人只需拟派1人参与本项目招标会议，须注册西安市“一码通”且为绿码，现场测量体温不得超过37℃，参与招标会议的人员均需佩戴口罩。</w:t>
      </w:r>
    </w:p>
    <w:p>
      <w:pPr>
        <w:tabs>
          <w:tab w:val="left" w:pos="1064"/>
        </w:tabs>
        <w:spacing w:line="560" w:lineRule="exact"/>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4"/>
          <w:highlight w:val="none"/>
        </w:rPr>
        <w:t>谨记上述提示，将有助您顺利地参加投标。若有什么需要帮助，请您与我们的工作人员联系，我们将竭诚为您服务。</w:t>
      </w:r>
    </w:p>
    <w:p>
      <w:pPr>
        <w:rPr>
          <w:rFonts w:hint="eastAsia" w:asciiTheme="minorEastAsia" w:hAnsiTheme="minorEastAsia" w:eastAsiaTheme="minorEastAsia" w:cstheme="minorEastAsia"/>
          <w:sz w:val="48"/>
          <w:szCs w:val="48"/>
          <w:highlight w:val="none"/>
          <w:lang w:val="zh-CN"/>
        </w:rPr>
      </w:pPr>
    </w:p>
    <w:p>
      <w:pPr>
        <w:pStyle w:val="42"/>
        <w:spacing w:before="0" w:line="560" w:lineRule="exact"/>
        <w:jc w:val="center"/>
        <w:rPr>
          <w:rFonts w:hint="eastAsia" w:asciiTheme="minorEastAsia" w:hAnsiTheme="minorEastAsia" w:eastAsiaTheme="minorEastAsia" w:cstheme="minorEastAsia"/>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numberInDash" w:start="1"/>
          <w:cols w:space="0" w:num="1"/>
          <w:titlePg/>
          <w:docGrid w:linePitch="312" w:charSpace="0"/>
        </w:sectPr>
      </w:pPr>
    </w:p>
    <w:p>
      <w:pPr>
        <w:pStyle w:val="42"/>
        <w:spacing w:before="0" w:line="480" w:lineRule="auto"/>
        <w:jc w:val="center"/>
        <w:rPr>
          <w:rFonts w:hint="eastAsia" w:asciiTheme="minorEastAsia" w:hAnsiTheme="minorEastAsia" w:eastAsiaTheme="minorEastAsia" w:cstheme="minorEastAsia"/>
          <w:b/>
          <w:bCs/>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zh-CN"/>
        </w:rPr>
        <w:t>目 录</w:t>
      </w:r>
    </w:p>
    <w:p>
      <w:pPr>
        <w:spacing w:line="480" w:lineRule="auto"/>
        <w:rPr>
          <w:rFonts w:hint="eastAsia" w:asciiTheme="minorEastAsia" w:hAnsiTheme="minorEastAsia" w:eastAsiaTheme="minorEastAsia" w:cstheme="minorEastAsia"/>
          <w:sz w:val="28"/>
          <w:szCs w:val="28"/>
          <w:highlight w:val="none"/>
          <w:lang w:val="zh-CN"/>
        </w:rPr>
      </w:pPr>
    </w:p>
    <w:p>
      <w:pPr>
        <w:pStyle w:val="19"/>
        <w:tabs>
          <w:tab w:val="right" w:leader="dot" w:pos="9071"/>
        </w:tabs>
        <w:spacing w:line="480" w:lineRule="auto"/>
        <w:rPr>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TOC \o "1-3" \h \z \u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_Toc16227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rPr>
        <w:t xml:space="preserve">第一章 </w:t>
      </w:r>
      <w:r>
        <w:rPr>
          <w:rFonts w:hint="eastAsia" w:asciiTheme="minorEastAsia" w:hAnsiTheme="minorEastAsia" w:eastAsiaTheme="minorEastAsia" w:cstheme="minorEastAsia"/>
          <w:sz w:val="28"/>
          <w:szCs w:val="28"/>
          <w:highlight w:val="none"/>
        </w:rPr>
        <w:t xml:space="preserve"> 招标公告</w:t>
      </w:r>
      <w:r>
        <w:rPr>
          <w:sz w:val="28"/>
          <w:szCs w:val="28"/>
        </w:rPr>
        <w:tab/>
      </w:r>
      <w:r>
        <w:rPr>
          <w:sz w:val="28"/>
          <w:szCs w:val="28"/>
        </w:rPr>
        <w:fldChar w:fldCharType="begin"/>
      </w:r>
      <w:r>
        <w:rPr>
          <w:sz w:val="28"/>
          <w:szCs w:val="28"/>
        </w:rPr>
        <w:instrText xml:space="preserve"> PAGEREF _Toc16227 \h </w:instrText>
      </w:r>
      <w:r>
        <w:rPr>
          <w:sz w:val="28"/>
          <w:szCs w:val="28"/>
        </w:rPr>
        <w:fldChar w:fldCharType="separate"/>
      </w:r>
      <w:r>
        <w:rPr>
          <w:sz w:val="28"/>
          <w:szCs w:val="28"/>
        </w:rPr>
        <w:t>- 1 -</w:t>
      </w:r>
      <w:r>
        <w:rPr>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9"/>
        <w:tabs>
          <w:tab w:val="right" w:leader="dot" w:pos="9071"/>
        </w:tabs>
        <w:spacing w:line="480" w:lineRule="auto"/>
        <w:rPr>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_Toc6887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第二章  投标人须知</w:t>
      </w:r>
      <w:r>
        <w:rPr>
          <w:sz w:val="28"/>
          <w:szCs w:val="28"/>
        </w:rPr>
        <w:tab/>
      </w:r>
      <w:r>
        <w:rPr>
          <w:sz w:val="28"/>
          <w:szCs w:val="28"/>
        </w:rPr>
        <w:fldChar w:fldCharType="begin"/>
      </w:r>
      <w:r>
        <w:rPr>
          <w:sz w:val="28"/>
          <w:szCs w:val="28"/>
        </w:rPr>
        <w:instrText xml:space="preserve"> PAGEREF _Toc6887 \h </w:instrText>
      </w:r>
      <w:r>
        <w:rPr>
          <w:sz w:val="28"/>
          <w:szCs w:val="28"/>
        </w:rPr>
        <w:fldChar w:fldCharType="separate"/>
      </w:r>
      <w:r>
        <w:rPr>
          <w:sz w:val="28"/>
          <w:szCs w:val="28"/>
        </w:rPr>
        <w:t>- 5 -</w:t>
      </w:r>
      <w:r>
        <w:rPr>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9"/>
        <w:tabs>
          <w:tab w:val="right" w:leader="dot" w:pos="9071"/>
        </w:tabs>
        <w:spacing w:line="480" w:lineRule="auto"/>
        <w:rPr>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_Toc1808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pacing w:val="-3"/>
          <w:sz w:val="28"/>
          <w:szCs w:val="28"/>
        </w:rPr>
        <w:t xml:space="preserve">第三章 </w:t>
      </w:r>
      <w:r>
        <w:rPr>
          <w:rFonts w:hint="eastAsia" w:asciiTheme="minorEastAsia" w:hAnsiTheme="minorEastAsia" w:eastAsiaTheme="minorEastAsia" w:cstheme="minorEastAsia"/>
          <w:kern w:val="0"/>
          <w:sz w:val="28"/>
          <w:szCs w:val="28"/>
          <w:highlight w:val="none"/>
        </w:rPr>
        <w:t>采购内容及技术要求</w:t>
      </w:r>
      <w:r>
        <w:rPr>
          <w:sz w:val="28"/>
          <w:szCs w:val="28"/>
        </w:rPr>
        <w:tab/>
      </w:r>
      <w:r>
        <w:rPr>
          <w:sz w:val="28"/>
          <w:szCs w:val="28"/>
        </w:rPr>
        <w:fldChar w:fldCharType="begin"/>
      </w:r>
      <w:r>
        <w:rPr>
          <w:sz w:val="28"/>
          <w:szCs w:val="28"/>
        </w:rPr>
        <w:instrText xml:space="preserve"> PAGEREF _Toc1808 \h </w:instrText>
      </w:r>
      <w:r>
        <w:rPr>
          <w:sz w:val="28"/>
          <w:szCs w:val="28"/>
        </w:rPr>
        <w:fldChar w:fldCharType="separate"/>
      </w:r>
      <w:r>
        <w:rPr>
          <w:sz w:val="28"/>
          <w:szCs w:val="28"/>
        </w:rPr>
        <w:t>- 35 -</w:t>
      </w:r>
      <w:r>
        <w:rPr>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9"/>
        <w:tabs>
          <w:tab w:val="right" w:leader="dot" w:pos="9071"/>
        </w:tabs>
        <w:spacing w:line="480" w:lineRule="auto"/>
        <w:rPr>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_Toc5553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第四章  商务要求</w:t>
      </w:r>
      <w:r>
        <w:rPr>
          <w:sz w:val="28"/>
          <w:szCs w:val="28"/>
        </w:rPr>
        <w:tab/>
      </w:r>
      <w:r>
        <w:rPr>
          <w:sz w:val="28"/>
          <w:szCs w:val="28"/>
        </w:rPr>
        <w:fldChar w:fldCharType="begin"/>
      </w:r>
      <w:r>
        <w:rPr>
          <w:sz w:val="28"/>
          <w:szCs w:val="28"/>
        </w:rPr>
        <w:instrText xml:space="preserve"> PAGEREF _Toc5553 \h </w:instrText>
      </w:r>
      <w:r>
        <w:rPr>
          <w:sz w:val="28"/>
          <w:szCs w:val="28"/>
        </w:rPr>
        <w:fldChar w:fldCharType="separate"/>
      </w:r>
      <w:r>
        <w:rPr>
          <w:sz w:val="28"/>
          <w:szCs w:val="28"/>
        </w:rPr>
        <w:t>- 79 -</w:t>
      </w:r>
      <w:r>
        <w:rPr>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9"/>
        <w:tabs>
          <w:tab w:val="right" w:leader="dot" w:pos="9071"/>
        </w:tabs>
        <w:spacing w:line="480" w:lineRule="auto"/>
        <w:rPr>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_Toc13873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第五章  合同条款（仅供参考）</w:t>
      </w:r>
      <w:r>
        <w:rPr>
          <w:sz w:val="28"/>
          <w:szCs w:val="28"/>
        </w:rPr>
        <w:tab/>
      </w:r>
      <w:r>
        <w:rPr>
          <w:sz w:val="28"/>
          <w:szCs w:val="28"/>
        </w:rPr>
        <w:fldChar w:fldCharType="begin"/>
      </w:r>
      <w:r>
        <w:rPr>
          <w:sz w:val="28"/>
          <w:szCs w:val="28"/>
        </w:rPr>
        <w:instrText xml:space="preserve"> PAGEREF _Toc13873 \h </w:instrText>
      </w:r>
      <w:r>
        <w:rPr>
          <w:sz w:val="28"/>
          <w:szCs w:val="28"/>
        </w:rPr>
        <w:fldChar w:fldCharType="separate"/>
      </w:r>
      <w:r>
        <w:rPr>
          <w:sz w:val="28"/>
          <w:szCs w:val="28"/>
        </w:rPr>
        <w:t>- 82 -</w:t>
      </w:r>
      <w:r>
        <w:rPr>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9"/>
        <w:tabs>
          <w:tab w:val="right" w:leader="dot" w:pos="9071"/>
        </w:tabs>
        <w:spacing w:line="48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_Toc17147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rPr>
        <w:t xml:space="preserve">第六章 </w:t>
      </w:r>
      <w:r>
        <w:rPr>
          <w:rFonts w:hint="eastAsia" w:asciiTheme="minorEastAsia" w:hAnsiTheme="minorEastAsia" w:eastAsiaTheme="minorEastAsia" w:cstheme="minorEastAsia"/>
          <w:sz w:val="28"/>
          <w:szCs w:val="28"/>
          <w:highlight w:val="none"/>
        </w:rPr>
        <w:t>投标文件格式</w:t>
      </w:r>
      <w:r>
        <w:rPr>
          <w:sz w:val="28"/>
          <w:szCs w:val="28"/>
        </w:rPr>
        <w:tab/>
      </w:r>
      <w:r>
        <w:rPr>
          <w:sz w:val="28"/>
          <w:szCs w:val="28"/>
        </w:rPr>
        <w:fldChar w:fldCharType="begin"/>
      </w:r>
      <w:r>
        <w:rPr>
          <w:sz w:val="28"/>
          <w:szCs w:val="28"/>
        </w:rPr>
        <w:instrText xml:space="preserve"> PAGEREF _Toc17147 \h </w:instrText>
      </w:r>
      <w:r>
        <w:rPr>
          <w:sz w:val="28"/>
          <w:szCs w:val="28"/>
        </w:rPr>
        <w:fldChar w:fldCharType="separate"/>
      </w:r>
      <w:r>
        <w:rPr>
          <w:sz w:val="28"/>
          <w:szCs w:val="28"/>
        </w:rPr>
        <w:t>- 93 -</w:t>
      </w:r>
      <w:r>
        <w:rPr>
          <w:sz w:val="28"/>
          <w:szCs w:val="28"/>
        </w:rPr>
        <w:fldChar w:fldCharType="end"/>
      </w:r>
      <w:r>
        <w:rPr>
          <w:rFonts w:hint="eastAsia" w:asciiTheme="minorEastAsia" w:hAnsiTheme="minorEastAsia" w:eastAsiaTheme="minorEastAsia" w:cstheme="minorEastAsia"/>
          <w:sz w:val="28"/>
          <w:szCs w:val="28"/>
          <w:highlight w:val="none"/>
        </w:rPr>
        <w:fldChar w:fldCharType="end"/>
      </w: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pStyle w:val="2"/>
        <w:rPr>
          <w:rFonts w:hint="eastAsia" w:asciiTheme="minorEastAsia" w:hAnsiTheme="minorEastAsia" w:eastAsiaTheme="minorEastAsia" w:cstheme="minorEastAsia"/>
          <w:sz w:val="28"/>
          <w:szCs w:val="28"/>
          <w:highlight w:val="none"/>
        </w:rPr>
      </w:pPr>
    </w:p>
    <w:p>
      <w:pPr>
        <w:sectPr>
          <w:headerReference r:id="rId13" w:type="first"/>
          <w:footerReference r:id="rId15" w:type="first"/>
          <w:headerReference r:id="rId12" w:type="default"/>
          <w:footerReference r:id="rId14" w:type="default"/>
          <w:pgSz w:w="11905" w:h="16840"/>
          <w:pgMar w:top="1417" w:right="1417" w:bottom="1417" w:left="1417" w:header="935" w:footer="771" w:gutter="0"/>
          <w:pgNumType w:fmt="numberInDash" w:start="1"/>
          <w:cols w:space="0" w:num="1"/>
          <w:titlePg/>
          <w:docGrid w:linePitch="312" w:charSpace="0"/>
        </w:sectPr>
      </w:pPr>
    </w:p>
    <w:p>
      <w:pPr>
        <w:pStyle w:val="2"/>
      </w:pPr>
    </w:p>
    <w:p>
      <w:pPr>
        <w:pStyle w:val="3"/>
        <w:numPr>
          <w:ilvl w:val="0"/>
          <w:numId w:val="2"/>
        </w:numPr>
        <w:spacing w:line="48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8"/>
          <w:szCs w:val="28"/>
          <w:highlight w:val="none"/>
        </w:rPr>
        <w:fldChar w:fldCharType="end"/>
      </w:r>
      <w:bookmarkStart w:id="0" w:name="_Toc16227"/>
      <w:bookmarkStart w:id="1" w:name="_Toc458617729"/>
      <w:bookmarkStart w:id="2" w:name="_Toc19866"/>
      <w:bookmarkStart w:id="3" w:name="_Toc30185"/>
      <w:bookmarkStart w:id="4" w:name="_Toc458617452"/>
      <w:r>
        <w:rPr>
          <w:rFonts w:hint="eastAsia" w:asciiTheme="minorEastAsia" w:hAnsiTheme="minorEastAsia" w:eastAsiaTheme="minorEastAsia" w:cstheme="minorEastAsia"/>
          <w:highlight w:val="none"/>
        </w:rPr>
        <w:t xml:space="preserve"> 招标公告</w:t>
      </w:r>
      <w:bookmarkEnd w:id="0"/>
      <w:bookmarkEnd w:id="1"/>
      <w:bookmarkEnd w:id="2"/>
      <w:bookmarkEnd w:id="3"/>
      <w:bookmarkEnd w:id="4"/>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Theme="minorEastAsia" w:hAnsiTheme="minorEastAsia" w:eastAsiaTheme="minorEastAsia" w:cstheme="minorEastAsia"/>
          <w:b w:val="0"/>
          <w:bCs w:val="0"/>
          <w:color w:val="auto"/>
          <w:sz w:val="24"/>
          <w:szCs w:val="24"/>
          <w:highlight w:val="none"/>
        </w:rPr>
      </w:pPr>
      <w:r>
        <w:rPr>
          <w:rStyle w:val="29"/>
          <w:rFonts w:hint="eastAsia" w:asciiTheme="minorEastAsia" w:hAnsiTheme="minorEastAsia" w:eastAsiaTheme="minorEastAsia" w:cstheme="minorEastAsia"/>
          <w:b/>
          <w:bCs/>
          <w:i w:val="0"/>
          <w:iCs w:val="0"/>
          <w:caps w:val="0"/>
          <w:color w:val="auto"/>
          <w:spacing w:val="0"/>
          <w:sz w:val="24"/>
          <w:szCs w:val="24"/>
          <w:highlight w:val="none"/>
          <w:shd w:val="clear" w:fill="FFFFFF"/>
        </w:rPr>
        <w:t>项目概况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2022年高陵区应急广播体系建设</w:t>
      </w:r>
      <w:r>
        <w:rPr>
          <w:rFonts w:hint="eastAsia" w:asciiTheme="minorEastAsia" w:hAnsiTheme="minorEastAsia" w:eastAsiaTheme="minorEastAsia" w:cstheme="minorEastAsia"/>
          <w:i w:val="0"/>
          <w:iCs w:val="0"/>
          <w:caps w:val="0"/>
          <w:color w:val="auto"/>
          <w:spacing w:val="0"/>
          <w:sz w:val="24"/>
          <w:szCs w:val="24"/>
          <w:highlight w:val="none"/>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西安市雁塔区科技三路融城云谷B座1804室</w:t>
      </w:r>
      <w:r>
        <w:rPr>
          <w:rFonts w:hint="eastAsia" w:asciiTheme="minorEastAsia" w:hAnsiTheme="minorEastAsia" w:eastAsiaTheme="minorEastAsia" w:cstheme="minorEastAsia"/>
          <w:i w:val="0"/>
          <w:iCs w:val="0"/>
          <w:caps w:val="0"/>
          <w:color w:val="auto"/>
          <w:spacing w:val="0"/>
          <w:sz w:val="24"/>
          <w:szCs w:val="24"/>
          <w:highlight w:val="none"/>
          <w:shd w:val="clear" w:fill="FFFFFF"/>
        </w:rPr>
        <w:t>获取招标文件，并于</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 2023年01月12日 14时30分 </w:t>
      </w:r>
      <w:r>
        <w:rPr>
          <w:rFonts w:hint="eastAsia" w:asciiTheme="minorEastAsia" w:hAnsiTheme="minorEastAsia" w:eastAsiaTheme="minorEastAsia" w:cstheme="minorEastAsia"/>
          <w:i w:val="0"/>
          <w:iCs w:val="0"/>
          <w:caps w:val="0"/>
          <w:color w:val="auto"/>
          <w:spacing w:val="0"/>
          <w:sz w:val="24"/>
          <w:szCs w:val="24"/>
          <w:highlight w:val="none"/>
          <w:shd w:val="clear" w:fill="FFFFFF"/>
        </w:rPr>
        <w:t> （北京时间）前递交投标文件。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29"/>
          <w:rFonts w:hint="eastAsia" w:asciiTheme="minorEastAsia" w:hAnsiTheme="minorEastAsia" w:eastAsiaTheme="minorEastAsia" w:cstheme="minorEastAsia"/>
          <w:b/>
          <w:bCs/>
          <w:i w:val="0"/>
          <w:iCs w:val="0"/>
          <w:caps w:val="0"/>
          <w:color w:val="auto"/>
          <w:spacing w:val="0"/>
          <w:sz w:val="24"/>
          <w:szCs w:val="24"/>
          <w:highlight w:val="none"/>
          <w:shd w:val="clear" w:fill="FFFFFF"/>
        </w:rPr>
        <w:t>一、项目基本情况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项目编号：</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SXZL-2022-1201</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项目名称：</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2022年高陵区应急广播体系建设</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采购方式：公开招标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预算金额：</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1760000</w:t>
      </w:r>
      <w:r>
        <w:rPr>
          <w:rFonts w:hint="eastAsia" w:asciiTheme="minorEastAsia" w:hAnsiTheme="minorEastAsia" w:eastAsiaTheme="minorEastAsia" w:cstheme="minorEastAsia"/>
          <w:i w:val="0"/>
          <w:iCs w:val="0"/>
          <w:caps w:val="0"/>
          <w:color w:val="auto"/>
          <w:spacing w:val="0"/>
          <w:sz w:val="24"/>
          <w:szCs w:val="24"/>
          <w:highlight w:val="none"/>
          <w:shd w:val="clear" w:fill="FFFFFF"/>
        </w:rPr>
        <w:t>.00元</w:t>
      </w:r>
      <w:r>
        <w:rPr>
          <w:rFonts w:hint="eastAsia" w:asciiTheme="minorEastAsia" w:hAnsiTheme="minorEastAsia" w:cstheme="minorEastAsia"/>
          <w:i w:val="0"/>
          <w:iCs w:val="0"/>
          <w:caps w:val="0"/>
          <w:color w:val="auto"/>
          <w:spacing w:val="0"/>
          <w:sz w:val="24"/>
          <w:szCs w:val="24"/>
          <w:highlight w:val="none"/>
          <w:shd w:val="clear" w:fill="FFFFFF"/>
          <w:lang w:eastAsia="zh-CN"/>
        </w:rPr>
        <w:t>，其中设备采购金额为</w:t>
      </w:r>
      <w:r>
        <w:rPr>
          <w:rFonts w:hint="eastAsia" w:asciiTheme="minorEastAsia" w:hAnsiTheme="minorEastAsia" w:cstheme="minorEastAsia"/>
          <w:i w:val="0"/>
          <w:iCs w:val="0"/>
          <w:caps w:val="0"/>
          <w:color w:val="auto"/>
          <w:spacing w:val="0"/>
          <w:sz w:val="24"/>
          <w:szCs w:val="24"/>
          <w:highlight w:val="none"/>
          <w:shd w:val="clear" w:fill="FFFFFF"/>
          <w:lang w:val="en-US" w:eastAsia="zh-CN"/>
        </w:rPr>
        <w:t>1640000元，暂列金为120000元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采购需求：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合同包1(</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2022年高陵区应急广播体系建设</w:t>
      </w:r>
      <w:r>
        <w:rPr>
          <w:rFonts w:hint="eastAsia" w:asciiTheme="minorEastAsia" w:hAnsiTheme="minorEastAsia" w:eastAsiaTheme="minorEastAsia" w:cstheme="minorEastAsia"/>
          <w:i w:val="0"/>
          <w:iCs w:val="0"/>
          <w:caps w:val="0"/>
          <w:color w:val="auto"/>
          <w:spacing w:val="0"/>
          <w:sz w:val="24"/>
          <w:szCs w:val="24"/>
          <w:highlight w:val="none"/>
          <w:shd w:val="clear" w:fill="FFFFFF"/>
        </w:rPr>
        <w:t>项目):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 w:firstLineChars="200"/>
        <w:jc w:val="both"/>
        <w:rPr>
          <w:rFonts w:hint="default"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合同包预算金额：</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1760000</w:t>
      </w:r>
      <w:r>
        <w:rPr>
          <w:rFonts w:hint="eastAsia" w:asciiTheme="minorEastAsia" w:hAnsiTheme="minorEastAsia" w:eastAsiaTheme="minorEastAsia" w:cstheme="minorEastAsia"/>
          <w:i w:val="0"/>
          <w:iCs w:val="0"/>
          <w:caps w:val="0"/>
          <w:color w:val="auto"/>
          <w:spacing w:val="0"/>
          <w:sz w:val="24"/>
          <w:szCs w:val="24"/>
          <w:highlight w:val="none"/>
          <w:shd w:val="clear" w:fill="FFFFFF"/>
        </w:rPr>
        <w:t>.00元</w:t>
      </w:r>
      <w:r>
        <w:rPr>
          <w:rFonts w:hint="eastAsia" w:asciiTheme="minorEastAsia" w:hAnsiTheme="minorEastAsia" w:cstheme="minorEastAsia"/>
          <w:i w:val="0"/>
          <w:iCs w:val="0"/>
          <w:caps w:val="0"/>
          <w:color w:val="auto"/>
          <w:spacing w:val="0"/>
          <w:sz w:val="24"/>
          <w:szCs w:val="24"/>
          <w:highlight w:val="none"/>
          <w:shd w:val="clear" w:fill="FFFFFF"/>
          <w:lang w:eastAsia="zh-CN"/>
        </w:rPr>
        <w:t>，其中设备采购金额为</w:t>
      </w:r>
      <w:r>
        <w:rPr>
          <w:rFonts w:hint="eastAsia" w:asciiTheme="minorEastAsia" w:hAnsiTheme="minorEastAsia" w:cstheme="minorEastAsia"/>
          <w:i w:val="0"/>
          <w:iCs w:val="0"/>
          <w:caps w:val="0"/>
          <w:color w:val="auto"/>
          <w:spacing w:val="0"/>
          <w:sz w:val="24"/>
          <w:szCs w:val="24"/>
          <w:highlight w:val="none"/>
          <w:shd w:val="clear" w:fill="FFFFFF"/>
          <w:lang w:val="en-US" w:eastAsia="zh-CN"/>
        </w:rPr>
        <w:t>1640000元，暂列金为120000元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Theme="minorEastAsia" w:hAnsiTheme="minorEastAsia" w:eastAsiaTheme="minorEastAsia" w:cstheme="minorEastAsia"/>
          <w:color w:val="auto"/>
          <w:sz w:val="24"/>
          <w:szCs w:val="24"/>
          <w:highlight w:val="none"/>
        </w:rPr>
      </w:pPr>
    </w:p>
    <w:tbl>
      <w:tblPr>
        <w:tblStyle w:val="26"/>
        <w:tblW w:w="101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0"/>
        <w:gridCol w:w="2195"/>
        <w:gridCol w:w="2435"/>
        <w:gridCol w:w="795"/>
        <w:gridCol w:w="1311"/>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2" w:hRule="atLeast"/>
          <w:tblHeader/>
          <w:jc w:val="cent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品目号</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品目名称</w:t>
            </w:r>
          </w:p>
        </w:tc>
        <w:tc>
          <w:tcPr>
            <w:tcW w:w="2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采购标的</w:t>
            </w:r>
          </w:p>
        </w:tc>
        <w:tc>
          <w:tcPr>
            <w:tcW w:w="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数量（单位）</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技术规格、参数及要求</w:t>
            </w:r>
          </w:p>
        </w:tc>
        <w:tc>
          <w:tcPr>
            <w:tcW w:w="14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品目预算(元)</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1"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其他广播、电视、电影设备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2022年高陵区应急广播体系建设</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1760000.00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1760000.00</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合同履行期限：无</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29"/>
          <w:rFonts w:hint="eastAsia" w:asciiTheme="minorEastAsia" w:hAnsiTheme="minorEastAsia" w:eastAsiaTheme="minorEastAsia" w:cstheme="minorEastAsia"/>
          <w:b/>
          <w:bCs/>
          <w:i w:val="0"/>
          <w:iCs w:val="0"/>
          <w:caps w:val="0"/>
          <w:color w:val="auto"/>
          <w:spacing w:val="0"/>
          <w:sz w:val="24"/>
          <w:szCs w:val="24"/>
          <w:highlight w:val="none"/>
          <w:shd w:val="clear" w:fill="FFFFFF"/>
        </w:rPr>
        <w:t>二、申请人的资格要求：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1.满足《中华人民共和国政府采购法》第二十二条规定;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2.落实政府采购政策需满足的资格要求：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合同包1(</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2022年高陵区应急广播体系建设</w:t>
      </w: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（1）、《政府采购促进中小企业发展管理办法》的通知--财库[2020]46号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（2）、陕西省财政厅关于印发《陕西省中小企业政府采购信用融资办法》--(陕财办采[2018]23号)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（4）、财政部司法部关于政府采购支持监狱企业发展有关问题的通知--财库〔2014〕68号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（5）、《国务院办公厅关于建立政府强制采购节能产品制度的通知》--国办发〔2007〕51号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（6）、《节能产品政府采购实施意见》（财库[2004]185号）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（7）、《环境标志产品政府采购实施的意见》（财库[2006]90号）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（11）、《财政部国务院扶贫办关于运用政府采购政策支持脱贫攻坚的通知》（财库〔2019〕27号）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（12）、《关于进一步加强政府绿色采购有关问题的通知》（陕财办采〔2021〕29号）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（13）、其他需要落实的政府采购政策。</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3.本项目的特定资格要求：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合同包1(</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2022年高陵区应急广播体系建设</w:t>
      </w:r>
      <w:r>
        <w:rPr>
          <w:rFonts w:hint="eastAsia" w:asciiTheme="minorEastAsia" w:hAnsiTheme="minorEastAsia" w:eastAsiaTheme="minorEastAsia" w:cstheme="minorEastAsia"/>
          <w:i w:val="0"/>
          <w:iCs w:val="0"/>
          <w:caps w:val="0"/>
          <w:color w:val="auto"/>
          <w:spacing w:val="0"/>
          <w:sz w:val="24"/>
          <w:szCs w:val="24"/>
          <w:highlight w:val="none"/>
          <w:shd w:val="clear" w:fill="FFFFFF"/>
        </w:rPr>
        <w:t>项目)特定资格要求如下:</w:t>
      </w:r>
    </w:p>
    <w:p>
      <w:pPr>
        <w:pStyle w:val="2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20" w:leftChars="0" w:right="0" w:firstLine="0" w:firstLineChars="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基本资格条件：符合《中华人民共和国政府采购法》第二十二条的规定：</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1、具有独立承担民事责任能力的法人、其他组织或自然人，并出具合法有效的营业执照或事业单位法人证书等国家规定的相关证明，自然人参与的提供其身份证明。  </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3、税收缴纳证明：提供2022年1月1日至今任意一个月的缴费凭据；（依法免税的投标人应提供相关文件证明）。</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4、社会保障资金缴纳证明：提供2022年1月1日至今任意一个月的社保缴费凭据或社保机构开具的社会保险参保缴费情况证明；（依法不需要缴纳社会保障资金的投标人应提供相关证明）。 </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5、提供具有履行本合同所必需的设备和专业技术能力的说明及承诺；（格式自拟，加盖投标人公章）</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6、提供参加政府采购活动前三年内在经营活动中没有重大违法记录的书面声明。（格式自拟，加盖投标人公章）</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（2）、特定资格条件：</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1、法定代表人或负责人参与投标时需提供法定代表人或负责人资格证明书（附法定代表人或负责人身份证复印件）；（法定代表人或负责人须提供身份证原件，身份证原件可由本人持有）</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2、被授权人参与投标时需提供法定代表人或负责人授权委托书（附法定代表人或负责人及被授权人身份证复印件）；（被授权人须提供身份证原件，身份证原件可由本人持有）</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 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提供截图</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4、单位负责人为同一人或者存在直接控股、管理关系的不同投标人，不得参加同一合同项下的政府采购活动；（提供书面承诺函，格式自拟加盖投标人公章）</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rPr>
          <w:rFonts w:hint="eastAsia" w:asciiTheme="minorEastAsia" w:hAnsiTheme="minorEastAsia" w:eastAsiaTheme="minorEastAsia" w:cstheme="minorEastAsia"/>
          <w:b w:val="0"/>
          <w:bCs w:val="0"/>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5、本项目不接受联合体投标。</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Style w:val="29"/>
          <w:rFonts w:hint="eastAsia" w:asciiTheme="minorEastAsia" w:hAnsiTheme="minorEastAsia" w:eastAsiaTheme="minorEastAsia" w:cstheme="minorEastAsia"/>
          <w:b/>
          <w:bCs/>
          <w:i w:val="0"/>
          <w:iCs w:val="0"/>
          <w:caps w:val="0"/>
          <w:color w:val="auto"/>
          <w:spacing w:val="0"/>
          <w:sz w:val="24"/>
          <w:szCs w:val="24"/>
          <w:highlight w:val="none"/>
          <w:shd w:val="clear" w:fill="FFFFFF"/>
        </w:rPr>
        <w:t>三、获取招标文件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时间： </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 2022年12月</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23</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日 至 2022年12月2</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日</w:t>
      </w:r>
      <w:r>
        <w:rPr>
          <w:rFonts w:hint="eastAsia" w:asciiTheme="minorEastAsia" w:hAnsiTheme="minorEastAsia" w:eastAsiaTheme="minorEastAsia" w:cstheme="minorEastAsia"/>
          <w:i w:val="0"/>
          <w:iCs w:val="0"/>
          <w:caps w:val="0"/>
          <w:color w:val="auto"/>
          <w:spacing w:val="0"/>
          <w:sz w:val="24"/>
          <w:szCs w:val="24"/>
          <w:highlight w:val="none"/>
          <w:shd w:val="clear" w:fill="FFFFFF"/>
        </w:rPr>
        <w:t> ，每天上午 09:</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highlight w:val="none"/>
          <w:shd w:val="clear" w:fill="FFFFFF"/>
        </w:rPr>
        <w:t>至 12:00，下午 14:</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highlight w:val="none"/>
          <w:shd w:val="clear" w:fill="FFFFFF"/>
        </w:rPr>
        <w:t>至 17:00 （北京时间,法定节假日除外）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地点：</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西安市雁塔区科技三路融城云谷B座1804室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方式：现场获取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售价：免费获取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29"/>
          <w:rFonts w:hint="eastAsia" w:asciiTheme="minorEastAsia" w:hAnsiTheme="minorEastAsia" w:eastAsiaTheme="minorEastAsia" w:cstheme="minorEastAsia"/>
          <w:b/>
          <w:bCs/>
          <w:i w:val="0"/>
          <w:iCs w:val="0"/>
          <w:caps w:val="0"/>
          <w:color w:val="auto"/>
          <w:spacing w:val="0"/>
          <w:sz w:val="24"/>
          <w:szCs w:val="24"/>
          <w:highlight w:val="none"/>
          <w:shd w:val="clear" w:fill="FFFFFF"/>
        </w:rPr>
        <w:t>四、提交投标文件截止时间、开标时间和地点</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时间：</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 2023年01月12日 14时30分 </w:t>
      </w:r>
      <w:r>
        <w:rPr>
          <w:rFonts w:hint="eastAsia" w:asciiTheme="minorEastAsia" w:hAnsiTheme="minorEastAsia" w:eastAsiaTheme="minorEastAsia" w:cstheme="minorEastAsia"/>
          <w:i w:val="0"/>
          <w:iCs w:val="0"/>
          <w:caps w:val="0"/>
          <w:color w:val="auto"/>
          <w:spacing w:val="0"/>
          <w:sz w:val="24"/>
          <w:szCs w:val="24"/>
          <w:highlight w:val="none"/>
          <w:shd w:val="clear" w:fill="FFFFFF"/>
        </w:rPr>
        <w:t>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西安市雁塔区科技三路融城云谷B座1804室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开标地点：</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西安市雁塔区科技三路融城云谷B座1804室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29"/>
          <w:rFonts w:hint="eastAsia" w:asciiTheme="minorEastAsia" w:hAnsiTheme="minorEastAsia" w:eastAsiaTheme="minorEastAsia" w:cstheme="minorEastAsia"/>
          <w:b/>
          <w:bCs/>
          <w:i w:val="0"/>
          <w:iCs w:val="0"/>
          <w:caps w:val="0"/>
          <w:color w:val="auto"/>
          <w:spacing w:val="0"/>
          <w:sz w:val="24"/>
          <w:szCs w:val="24"/>
          <w:highlight w:val="none"/>
          <w:shd w:val="clear" w:fill="FFFFFF"/>
        </w:rPr>
        <w:t>五、公告期限</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自本公告发布之日起5个工作日。</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Theme="minorEastAsia" w:hAnsiTheme="minorEastAsia" w:eastAsiaTheme="minorEastAsia" w:cstheme="minorEastAsia"/>
          <w:b w:val="0"/>
          <w:bCs w:val="0"/>
          <w:i w:val="0"/>
          <w:iCs w:val="0"/>
          <w:caps w:val="0"/>
          <w:color w:val="auto"/>
          <w:spacing w:val="0"/>
          <w:sz w:val="24"/>
          <w:szCs w:val="24"/>
          <w:highlight w:val="none"/>
        </w:rPr>
      </w:pPr>
      <w:r>
        <w:rPr>
          <w:rStyle w:val="29"/>
          <w:rFonts w:hint="eastAsia" w:asciiTheme="minorEastAsia" w:hAnsiTheme="minorEastAsia" w:eastAsiaTheme="minorEastAsia" w:cstheme="minorEastAsia"/>
          <w:b/>
          <w:bCs/>
          <w:i w:val="0"/>
          <w:iCs w:val="0"/>
          <w:caps w:val="0"/>
          <w:color w:val="auto"/>
          <w:spacing w:val="0"/>
          <w:sz w:val="24"/>
          <w:szCs w:val="24"/>
          <w:highlight w:val="none"/>
          <w:shd w:val="clear" w:fill="FFFFFF"/>
        </w:rPr>
        <w:t>六、其他补充事宜</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注：获取招标文件时（9：30-12：00，14：30-17：00（节假日除外）），请携带有效的单位介绍信及被介绍人身份证复印件，加盖投标人公章（鲜章），可自带U盘拷贝电子文件（本项目仅支持现场报名获取，谢绝邮寄），售后不退。</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七、对本次招标提出询问，请按以下方式联系。</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1.采购人信息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名称：西安市高陵区融媒体中心（区广播电视台）</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地址：西安市高陵区东二环路333号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联系方式：029-86917916</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2.采购代理机构信息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名称：陕西中磊工程项目管理有限公司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地址：西安市雁塔区科技三路融城云谷B座1804室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联系方式：029-88215577</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3.项目联系方式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项目联系人：李工</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电话：029-88215577</w:t>
      </w:r>
      <w:bookmarkStart w:id="5" w:name="_Toc458617453"/>
      <w:bookmarkStart w:id="6" w:name="_Toc458617730"/>
    </w:p>
    <w:p>
      <w:pPr>
        <w:pStyle w:val="3"/>
        <w:spacing w:line="360" w:lineRule="auto"/>
        <w:jc w:val="center"/>
        <w:rPr>
          <w:rFonts w:hint="eastAsia" w:asciiTheme="minorEastAsia" w:hAnsiTheme="minorEastAsia" w:eastAsiaTheme="minorEastAsia" w:cstheme="minorEastAsia"/>
          <w:highlight w:val="none"/>
        </w:rPr>
      </w:pPr>
      <w:bookmarkStart w:id="7" w:name="_Toc6887"/>
      <w:r>
        <w:rPr>
          <w:rFonts w:hint="eastAsia" w:asciiTheme="minorEastAsia" w:hAnsiTheme="minorEastAsia" w:eastAsiaTheme="minorEastAsia" w:cstheme="minorEastAsia"/>
          <w:highlight w:val="none"/>
        </w:rPr>
        <w:t>第二章  投标人须知</w:t>
      </w:r>
      <w:bookmarkEnd w:id="5"/>
      <w:bookmarkEnd w:id="6"/>
      <w:bookmarkEnd w:id="7"/>
    </w:p>
    <w:p>
      <w:pPr>
        <w:pStyle w:val="4"/>
        <w:spacing w:line="360" w:lineRule="auto"/>
        <w:jc w:val="center"/>
        <w:rPr>
          <w:rFonts w:hint="eastAsia" w:asciiTheme="minorEastAsia" w:hAnsiTheme="minorEastAsia" w:eastAsiaTheme="minorEastAsia" w:cstheme="minorEastAsia"/>
          <w:sz w:val="15"/>
          <w:szCs w:val="15"/>
          <w:highlight w:val="none"/>
        </w:rPr>
      </w:pPr>
      <w:bookmarkStart w:id="8" w:name="_Toc458617454"/>
      <w:bookmarkStart w:id="9" w:name="_Toc458617731"/>
      <w:bookmarkStart w:id="10" w:name="_Toc693"/>
      <w:r>
        <w:rPr>
          <w:rFonts w:hint="eastAsia" w:asciiTheme="minorEastAsia" w:hAnsiTheme="minorEastAsia" w:eastAsiaTheme="minorEastAsia" w:cstheme="minorEastAsia"/>
          <w:sz w:val="28"/>
          <w:szCs w:val="28"/>
          <w:highlight w:val="none"/>
        </w:rPr>
        <w:t>一、投标人须知前附表</w:t>
      </w:r>
      <w:bookmarkEnd w:id="8"/>
      <w:bookmarkEnd w:id="9"/>
      <w:bookmarkEnd w:id="10"/>
    </w:p>
    <w:tbl>
      <w:tblPr>
        <w:tblStyle w:val="26"/>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序号</w:t>
            </w:r>
          </w:p>
        </w:tc>
        <w:tc>
          <w:tcPr>
            <w:tcW w:w="2411"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条款名称</w:t>
            </w:r>
          </w:p>
        </w:tc>
        <w:tc>
          <w:tcPr>
            <w:tcW w:w="6336"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采购人</w:t>
            </w:r>
          </w:p>
        </w:tc>
        <w:tc>
          <w:tcPr>
            <w:tcW w:w="6336" w:type="dxa"/>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名    称：西安市高陵区融媒体中心（区广播电视台）</w:t>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地    址：西安市高陵区东二环路333号</w:t>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联系方式：029-86917916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采购代理机构</w:t>
            </w:r>
          </w:p>
        </w:tc>
        <w:tc>
          <w:tcPr>
            <w:tcW w:w="6336" w:type="dxa"/>
          </w:tcPr>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rPr>
              <w:t>名  称：</w:t>
            </w:r>
            <w:r>
              <w:rPr>
                <w:rFonts w:hint="eastAsia" w:asciiTheme="minorEastAsia" w:hAnsiTheme="minorEastAsia" w:eastAsiaTheme="minorEastAsia" w:cstheme="minorEastAsia"/>
                <w:szCs w:val="24"/>
                <w:highlight w:val="none"/>
                <w:lang w:eastAsia="zh-CN"/>
              </w:rPr>
              <w:t>陕西中磊工程项目管理有限公司</w:t>
            </w:r>
          </w:p>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rPr>
              <w:t>地  址：</w:t>
            </w:r>
            <w:r>
              <w:rPr>
                <w:rFonts w:hint="eastAsia" w:asciiTheme="minorEastAsia" w:hAnsiTheme="minorEastAsia" w:eastAsiaTheme="minorEastAsia" w:cstheme="minorEastAsia"/>
                <w:szCs w:val="24"/>
                <w:highlight w:val="none"/>
                <w:lang w:eastAsia="zh-CN"/>
              </w:rPr>
              <w:t>西安市雁塔区科技三路融城云谷B座1804室</w:t>
            </w:r>
          </w:p>
          <w:p>
            <w:pPr>
              <w:spacing w:line="560" w:lineRule="exact"/>
              <w:rPr>
                <w:rFonts w:hint="eastAsia" w:asciiTheme="minorEastAsia" w:hAnsiTheme="minorEastAsia" w:eastAsiaTheme="minorEastAsia" w:cstheme="minorEastAsia"/>
                <w:szCs w:val="24"/>
                <w:highlight w:val="none"/>
                <w:u w:val="wavyHeavy" w:color="FF0000"/>
                <w:lang w:eastAsia="zh-CN"/>
              </w:rPr>
            </w:pPr>
            <w:r>
              <w:rPr>
                <w:rFonts w:hint="eastAsia" w:asciiTheme="minorEastAsia" w:hAnsiTheme="minorEastAsia" w:eastAsiaTheme="minorEastAsia" w:cstheme="minorEastAsia"/>
                <w:szCs w:val="24"/>
                <w:highlight w:val="none"/>
              </w:rPr>
              <w:t>联系人：</w:t>
            </w:r>
            <w:r>
              <w:rPr>
                <w:rFonts w:hint="eastAsia" w:asciiTheme="minorEastAsia" w:hAnsiTheme="minorEastAsia" w:eastAsiaTheme="minorEastAsia" w:cstheme="minorEastAsia"/>
                <w:szCs w:val="24"/>
                <w:highlight w:val="none"/>
                <w:lang w:eastAsia="zh-CN"/>
              </w:rPr>
              <w:t>李工</w:t>
            </w:r>
          </w:p>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rPr>
              <w:t>联系方式：</w:t>
            </w:r>
            <w:r>
              <w:rPr>
                <w:rFonts w:hint="eastAsia" w:asciiTheme="minorEastAsia" w:hAnsiTheme="minorEastAsia" w:eastAsiaTheme="minorEastAsia" w:cstheme="minorEastAsia"/>
                <w:szCs w:val="24"/>
                <w:highlight w:val="none"/>
                <w:lang w:eastAsia="zh-CN"/>
              </w:rPr>
              <w:t>029-88215577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监督管理机构</w:t>
            </w:r>
          </w:p>
        </w:tc>
        <w:tc>
          <w:tcPr>
            <w:tcW w:w="6336" w:type="dxa"/>
          </w:tcPr>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lang w:eastAsia="zh-CN"/>
              </w:rPr>
              <w:t>西安市高陵区财政局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项目名称</w:t>
            </w:r>
          </w:p>
        </w:tc>
        <w:tc>
          <w:tcPr>
            <w:tcW w:w="6336" w:type="dxa"/>
          </w:tcPr>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lang w:eastAsia="zh-CN"/>
              </w:rPr>
              <w:t>2022年高陵区应急广播体系建设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项目编号</w:t>
            </w:r>
          </w:p>
        </w:tc>
        <w:tc>
          <w:tcPr>
            <w:tcW w:w="6336" w:type="dxa"/>
          </w:tcPr>
          <w:p>
            <w:pPr>
              <w:spacing w:line="560" w:lineRule="exact"/>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lang w:val="en-US" w:eastAsia="zh-CN"/>
              </w:rPr>
              <w:t>SXZL-2022-1201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资金性质</w:t>
            </w:r>
          </w:p>
        </w:tc>
        <w:tc>
          <w:tcPr>
            <w:tcW w:w="6336" w:type="dxa"/>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项目预算</w:t>
            </w:r>
          </w:p>
        </w:tc>
        <w:tc>
          <w:tcPr>
            <w:tcW w:w="6336" w:type="dxa"/>
          </w:tcPr>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1760000</w:t>
            </w:r>
            <w:r>
              <w:rPr>
                <w:rFonts w:hint="eastAsia" w:asciiTheme="minorEastAsia" w:hAnsiTheme="minorEastAsia" w:eastAsiaTheme="minorEastAsia" w:cstheme="minorEastAsia"/>
                <w:i w:val="0"/>
                <w:iCs w:val="0"/>
                <w:caps w:val="0"/>
                <w:color w:val="auto"/>
                <w:spacing w:val="0"/>
                <w:sz w:val="24"/>
                <w:szCs w:val="24"/>
                <w:highlight w:val="none"/>
                <w:shd w:val="clear" w:fill="FFFFFF"/>
              </w:rPr>
              <w:t>.00元</w:t>
            </w:r>
            <w:r>
              <w:rPr>
                <w:rFonts w:hint="eastAsia" w:asciiTheme="minorEastAsia" w:hAnsiTheme="minorEastAsia" w:cstheme="minorEastAsia"/>
                <w:i w:val="0"/>
                <w:iCs w:val="0"/>
                <w:caps w:val="0"/>
                <w:color w:val="auto"/>
                <w:spacing w:val="0"/>
                <w:sz w:val="24"/>
                <w:szCs w:val="24"/>
                <w:highlight w:val="none"/>
                <w:shd w:val="clear" w:fill="FFFFFF"/>
                <w:lang w:eastAsia="zh-CN"/>
              </w:rPr>
              <w:t>，其中设备采购金额为</w:t>
            </w:r>
            <w:r>
              <w:rPr>
                <w:rFonts w:hint="eastAsia" w:asciiTheme="minorEastAsia" w:hAnsiTheme="minorEastAsia" w:cstheme="minorEastAsia"/>
                <w:i w:val="0"/>
                <w:iCs w:val="0"/>
                <w:caps w:val="0"/>
                <w:color w:val="auto"/>
                <w:spacing w:val="0"/>
                <w:sz w:val="24"/>
                <w:szCs w:val="24"/>
                <w:highlight w:val="none"/>
                <w:shd w:val="clear" w:fill="FFFFFF"/>
                <w:lang w:val="en-US" w:eastAsia="zh-CN"/>
              </w:rPr>
              <w:t>1640000元，暂列金为120000元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项目用途</w:t>
            </w:r>
          </w:p>
        </w:tc>
        <w:tc>
          <w:tcPr>
            <w:tcW w:w="6336" w:type="dxa"/>
            <w:vAlign w:val="center"/>
          </w:tcPr>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lang w:eastAsia="zh-CN"/>
              </w:rPr>
              <w:t>2022年高陵区应急广播体系建设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采购内容和要求</w:t>
            </w:r>
          </w:p>
        </w:tc>
        <w:tc>
          <w:tcPr>
            <w:tcW w:w="6336" w:type="dxa"/>
            <w:vAlign w:val="center"/>
          </w:tcPr>
          <w:p>
            <w:pPr>
              <w:pStyle w:val="22"/>
              <w:widowControl/>
              <w:spacing w:line="360" w:lineRule="atLeast"/>
              <w:jc w:val="both"/>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lang w:eastAsia="zh-CN"/>
              </w:rPr>
              <w:t>2022年高陵区应急广播体系建设</w:t>
            </w:r>
            <w:r>
              <w:rPr>
                <w:rFonts w:hint="eastAsia" w:asciiTheme="minorEastAsia" w:hAnsiTheme="minorEastAsia" w:eastAsiaTheme="minorEastAsia" w:cstheme="minorEastAsia"/>
                <w:szCs w:val="24"/>
                <w:highlight w:val="none"/>
              </w:rPr>
              <w:t>（具体要求详见招标文件第三章采购内容及技术要求）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10</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w:t>
            </w:r>
          </w:p>
        </w:tc>
        <w:tc>
          <w:tcPr>
            <w:tcW w:w="6336" w:type="dxa"/>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响应</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"http://baike.baidu.com/view/8707.htm" \t "_blank"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Cs w:val="24"/>
                <w:highlight w:val="none"/>
              </w:rPr>
              <w:t>招标</w:t>
            </w:r>
            <w:r>
              <w:rPr>
                <w:rFonts w:hint="eastAsia" w:asciiTheme="minorEastAsia" w:hAnsiTheme="minorEastAsia" w:eastAsiaTheme="minorEastAsia" w:cstheme="minorEastAsia"/>
                <w:szCs w:val="24"/>
                <w:highlight w:val="none"/>
              </w:rPr>
              <w:fldChar w:fldCharType="end"/>
            </w:r>
            <w:r>
              <w:rPr>
                <w:rFonts w:hint="eastAsia" w:asciiTheme="minorEastAsia" w:hAnsiTheme="minorEastAsia" w:eastAsiaTheme="minorEastAsia" w:cstheme="minorEastAsia"/>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11</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投标人资格要求</w:t>
            </w:r>
          </w:p>
        </w:tc>
        <w:tc>
          <w:tcPr>
            <w:tcW w:w="6336" w:type="dxa"/>
          </w:tcPr>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（1）基本资格条件：符合《中华人民共和国政府采购法》第二十二条的规定：</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43"/>
              <w:spacing w:line="560" w:lineRule="exact"/>
              <w:ind w:firstLine="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3、税收缴纳证明：提供2022年1月1日至今任意一个月的缴费凭据；（依法免税的投标人应提供相关文件证明）。</w:t>
            </w:r>
          </w:p>
          <w:p>
            <w:pPr>
              <w:pStyle w:val="43"/>
              <w:spacing w:line="560" w:lineRule="exact"/>
              <w:ind w:firstLine="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5、提供具有履行本合同所必需的设备和专业技术能力的说明及承诺；（格式自拟，加盖投标人公章）</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6、提供参加政府采购活动前三年内在经营活动中没有重大违法记录的书面声明。（格式自拟，加盖投标人公章）</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（2）、特定资格条件：</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2、被授权人参与投标时需提供法定代表人或负责人授权委托书（附法定代表人或负责人及被授权人身份证复印件）；（被授权人须提供身份证原件，身份证原件可由本人持有） 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3"/>
              <w:wordWrap w:val="0"/>
              <w:topLinePunct/>
              <w:spacing w:line="52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4、单位负责人为同一人或者存在直接控股、管理关系的不同投标人，不得参加同一合同项下的政府采购活动；（提供书面承诺函，格式自拟加盖投标人公章）</w:t>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12</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交货期、交货地点</w:t>
            </w:r>
          </w:p>
        </w:tc>
        <w:tc>
          <w:tcPr>
            <w:tcW w:w="6336" w:type="dxa"/>
          </w:tcPr>
          <w:p>
            <w:pPr>
              <w:spacing w:line="560" w:lineRule="exac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Cs w:val="24"/>
                <w:highlight w:val="none"/>
              </w:rPr>
              <w:t>交 货 期：自合同签订之日起60个</w:t>
            </w:r>
            <w:r>
              <w:rPr>
                <w:rFonts w:hint="eastAsia" w:asciiTheme="minorEastAsia" w:hAnsiTheme="minorEastAsia" w:eastAsiaTheme="minorEastAsia" w:cstheme="minorEastAsia"/>
                <w:szCs w:val="24"/>
                <w:highlight w:val="none"/>
                <w:lang w:val="en-US" w:eastAsia="zh-CN"/>
              </w:rPr>
              <w:t>日历日</w:t>
            </w:r>
            <w:r>
              <w:rPr>
                <w:rFonts w:hint="eastAsia" w:asciiTheme="minorEastAsia" w:hAnsiTheme="minorEastAsia" w:eastAsiaTheme="minorEastAsia" w:cstheme="minorEastAsia"/>
                <w:szCs w:val="24"/>
                <w:highlight w:val="none"/>
              </w:rPr>
              <w:t>内交付完毕。</w:t>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交货地点：西安市高陵区融媒体中心（区广播电视台）指定地点。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13</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u w:val="wavyHeavy" w:color="5B9BD5" w:themeColor="accent1"/>
              </w:rPr>
            </w:pPr>
            <w:r>
              <w:rPr>
                <w:rFonts w:hint="eastAsia" w:asciiTheme="minorEastAsia" w:hAnsiTheme="minorEastAsia" w:eastAsiaTheme="minorEastAsia" w:cstheme="minorEastAsia"/>
                <w:szCs w:val="24"/>
                <w:highlight w:val="none"/>
              </w:rPr>
              <w:t>招标文件发售</w:t>
            </w:r>
          </w:p>
        </w:tc>
        <w:tc>
          <w:tcPr>
            <w:tcW w:w="6336" w:type="dxa"/>
          </w:tcPr>
          <w:p>
            <w:pPr>
              <w:pStyle w:val="44"/>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发售时间：2022年</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日至2022年</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29</w:t>
            </w:r>
            <w:r>
              <w:rPr>
                <w:rFonts w:hint="eastAsia" w:asciiTheme="minorEastAsia" w:hAnsiTheme="minorEastAsia" w:eastAsiaTheme="minorEastAsia" w:cstheme="minorEastAsia"/>
                <w:sz w:val="24"/>
                <w:szCs w:val="24"/>
                <w:highlight w:val="none"/>
              </w:rPr>
              <w:t>日上午9:</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-12:00，下午2:</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-5:00时止（节假日除外）。</w:t>
            </w:r>
          </w:p>
          <w:p>
            <w:pPr>
              <w:pStyle w:val="44"/>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发售地点：</w:t>
            </w:r>
            <w:r>
              <w:rPr>
                <w:rFonts w:hint="eastAsia" w:asciiTheme="minorEastAsia" w:hAnsiTheme="minorEastAsia" w:eastAsiaTheme="minorEastAsia" w:cstheme="minorEastAsia"/>
                <w:sz w:val="24"/>
                <w:szCs w:val="24"/>
                <w:highlight w:val="none"/>
                <w:lang w:eastAsia="zh-CN"/>
              </w:rPr>
              <w:t>陕西中磊工程项目管理有限公司</w:t>
            </w:r>
            <w:r>
              <w:rPr>
                <w:rFonts w:hint="eastAsia" w:asciiTheme="minorEastAsia" w:hAnsiTheme="minorEastAsia" w:eastAsiaTheme="minorEastAsia" w:cstheme="minorEastAsia"/>
                <w:sz w:val="24"/>
                <w:szCs w:val="24"/>
                <w:highlight w:val="none"/>
              </w:rPr>
              <w:t>招标部（</w:t>
            </w:r>
            <w:r>
              <w:rPr>
                <w:rFonts w:hint="eastAsia" w:asciiTheme="minorEastAsia" w:hAnsiTheme="minorEastAsia" w:eastAsiaTheme="minorEastAsia" w:cstheme="minorEastAsia"/>
                <w:sz w:val="24"/>
                <w:szCs w:val="24"/>
                <w:highlight w:val="none"/>
                <w:lang w:eastAsia="zh-CN"/>
              </w:rPr>
              <w:t>西安市雁塔区科技三路融城云谷B座1804室</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14</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联合体投标</w:t>
            </w:r>
          </w:p>
        </w:tc>
        <w:tc>
          <w:tcPr>
            <w:tcW w:w="6336" w:type="dxa"/>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15</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现场勘查、标前答疑会</w:t>
            </w:r>
          </w:p>
        </w:tc>
        <w:tc>
          <w:tcPr>
            <w:tcW w:w="6336" w:type="dxa"/>
            <w:vAlign w:val="center"/>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16</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投标人对招标文件提出质疑的时间</w:t>
            </w:r>
          </w:p>
        </w:tc>
        <w:tc>
          <w:tcPr>
            <w:tcW w:w="6336" w:type="dxa"/>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17</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构成招标文件的其他文件</w:t>
            </w:r>
          </w:p>
        </w:tc>
        <w:tc>
          <w:tcPr>
            <w:tcW w:w="6336" w:type="dxa"/>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18</w:t>
            </w:r>
          </w:p>
        </w:tc>
        <w:tc>
          <w:tcPr>
            <w:tcW w:w="2411" w:type="dxa"/>
            <w:vAlign w:val="center"/>
          </w:tcPr>
          <w:p>
            <w:pPr>
              <w:pStyle w:val="44"/>
              <w:spacing w:line="560" w:lineRule="exact"/>
              <w:rPr>
                <w:rFonts w:hint="eastAsia" w:asciiTheme="minorEastAsia" w:hAnsiTheme="minorEastAsia" w:eastAsiaTheme="minorEastAsia" w:cstheme="minorEastAsia"/>
                <w:sz w:val="24"/>
                <w:szCs w:val="24"/>
                <w:highlight w:val="none"/>
                <w:u w:val="wavyHeavy" w:color="FF0000"/>
              </w:rPr>
            </w:pPr>
          </w:p>
          <w:p>
            <w:pPr>
              <w:pStyle w:val="44"/>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24"/>
                <w:highlight w:val="none"/>
              </w:rPr>
              <w:t>投标文件递交截止时间及开标时间和地点</w:t>
            </w:r>
          </w:p>
        </w:tc>
        <w:tc>
          <w:tcPr>
            <w:tcW w:w="6336" w:type="dxa"/>
          </w:tcPr>
          <w:p>
            <w:pPr>
              <w:pStyle w:val="44"/>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1、投标文件递交截止时间：</w:t>
            </w:r>
            <w:r>
              <w:rPr>
                <w:rFonts w:hint="eastAsia" w:asciiTheme="minorEastAsia" w:hAnsiTheme="minorEastAsia" w:eastAsiaTheme="minorEastAsia" w:cstheme="minorEastAsia"/>
                <w:sz w:val="24"/>
                <w:szCs w:val="24"/>
                <w:highlight w:val="none"/>
                <w:lang w:eastAsia="zh-CN"/>
              </w:rPr>
              <w:t>2023年</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lang w:eastAsia="zh-CN"/>
              </w:rPr>
              <w:t>1月1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w:t>
            </w:r>
          </w:p>
          <w:p>
            <w:pPr>
              <w:pStyle w:val="44"/>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2、投标地点：</w:t>
            </w:r>
            <w:r>
              <w:rPr>
                <w:rFonts w:hint="eastAsia" w:asciiTheme="minorEastAsia" w:hAnsiTheme="minorEastAsia" w:eastAsiaTheme="minorEastAsia" w:cstheme="minorEastAsia"/>
                <w:sz w:val="24"/>
                <w:szCs w:val="24"/>
                <w:highlight w:val="none"/>
                <w:lang w:eastAsia="zh-CN"/>
              </w:rPr>
              <w:t>陕西中磊工程项目管理有限公司</w:t>
            </w:r>
            <w:r>
              <w:rPr>
                <w:rFonts w:hint="eastAsia" w:asciiTheme="minorEastAsia" w:hAnsiTheme="minorEastAsia" w:eastAsiaTheme="minorEastAsia" w:cstheme="minorEastAsia"/>
                <w:sz w:val="24"/>
                <w:szCs w:val="24"/>
                <w:highlight w:val="none"/>
              </w:rPr>
              <w:t>会议室（</w:t>
            </w:r>
            <w:r>
              <w:rPr>
                <w:rFonts w:hint="eastAsia" w:asciiTheme="minorEastAsia" w:hAnsiTheme="minorEastAsia" w:eastAsiaTheme="minorEastAsia" w:cstheme="minorEastAsia"/>
                <w:sz w:val="24"/>
                <w:szCs w:val="24"/>
                <w:highlight w:val="none"/>
                <w:lang w:eastAsia="zh-CN"/>
              </w:rPr>
              <w:t>西安市雁塔区科技三路融城云谷B座1804室</w:t>
            </w:r>
            <w:r>
              <w:rPr>
                <w:rFonts w:hint="eastAsia" w:asciiTheme="minorEastAsia" w:hAnsiTheme="minorEastAsia" w:eastAsiaTheme="minorEastAsia" w:cstheme="minorEastAsia"/>
                <w:sz w:val="24"/>
                <w:szCs w:val="24"/>
                <w:highlight w:val="none"/>
              </w:rPr>
              <w:t>）</w:t>
            </w:r>
          </w:p>
          <w:p>
            <w:pPr>
              <w:pStyle w:val="43"/>
              <w:spacing w:line="560" w:lineRule="exact"/>
              <w:ind w:firstLine="0" w:firstLineChars="0"/>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sz w:val="24"/>
                <w:szCs w:val="24"/>
                <w:highlight w:val="none"/>
              </w:rPr>
              <w:t>3、开标时间：202</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日1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w:t>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4、开标地点：</w:t>
            </w:r>
            <w:r>
              <w:rPr>
                <w:rFonts w:hint="eastAsia" w:asciiTheme="minorEastAsia" w:hAnsiTheme="minorEastAsia" w:eastAsiaTheme="minorEastAsia" w:cstheme="minorEastAsia"/>
                <w:szCs w:val="24"/>
                <w:highlight w:val="none"/>
                <w:lang w:eastAsia="zh-CN"/>
              </w:rPr>
              <w:t>陕西中磊工程项目管理有限公司</w:t>
            </w:r>
            <w:r>
              <w:rPr>
                <w:rFonts w:hint="eastAsia" w:asciiTheme="minorEastAsia" w:hAnsiTheme="minorEastAsia" w:eastAsiaTheme="minorEastAsia" w:cstheme="minorEastAsia"/>
                <w:szCs w:val="24"/>
                <w:highlight w:val="none"/>
              </w:rPr>
              <w:t>会议室（</w:t>
            </w:r>
            <w:r>
              <w:rPr>
                <w:rFonts w:hint="eastAsia" w:asciiTheme="minorEastAsia" w:hAnsiTheme="minorEastAsia" w:eastAsiaTheme="minorEastAsia" w:cstheme="minorEastAsia"/>
                <w:szCs w:val="24"/>
                <w:highlight w:val="none"/>
                <w:lang w:eastAsia="zh-CN"/>
              </w:rPr>
              <w:t>西安市雁塔区科技三路融城云谷B座1804室</w:t>
            </w:r>
            <w:r>
              <w:rPr>
                <w:rFonts w:hint="eastAsia" w:asciiTheme="minorEastAsia" w:hAnsiTheme="minorEastAsia" w:eastAsiaTheme="minorEastAsia" w:cstheme="minorEastAsia"/>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19</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投标有效期</w:t>
            </w:r>
          </w:p>
        </w:tc>
        <w:tc>
          <w:tcPr>
            <w:tcW w:w="6336" w:type="dxa"/>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20</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汇款账户</w:t>
            </w:r>
          </w:p>
        </w:tc>
        <w:tc>
          <w:tcPr>
            <w:tcW w:w="6336" w:type="dxa"/>
          </w:tcPr>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中国建设银行：招标服务费（交纳账户）</w:t>
            </w:r>
          </w:p>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rPr>
              <w:t>名  称：</w:t>
            </w:r>
            <w:r>
              <w:rPr>
                <w:rFonts w:hint="eastAsia" w:asciiTheme="minorEastAsia" w:hAnsiTheme="minorEastAsia" w:eastAsiaTheme="minorEastAsia" w:cstheme="minorEastAsia"/>
                <w:szCs w:val="24"/>
                <w:highlight w:val="none"/>
                <w:lang w:eastAsia="zh-CN"/>
              </w:rPr>
              <w:t>陕西中磊工程项目管理有限公司</w:t>
            </w:r>
          </w:p>
          <w:p>
            <w:pPr>
              <w:spacing w:line="560" w:lineRule="exact"/>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rPr>
              <w:t>开户行：</w:t>
            </w:r>
            <w:r>
              <w:rPr>
                <w:rFonts w:hint="eastAsia" w:asciiTheme="minorEastAsia" w:hAnsiTheme="minorEastAsia" w:eastAsiaTheme="minorEastAsia" w:cstheme="minorEastAsia"/>
                <w:szCs w:val="24"/>
                <w:highlight w:val="none"/>
                <w:lang w:val="en-US" w:eastAsia="zh-CN"/>
              </w:rPr>
              <w:t>农业银行西安科技路支行</w:t>
            </w:r>
            <w:bookmarkStart w:id="275" w:name="_GoBack"/>
            <w:bookmarkEnd w:id="275"/>
          </w:p>
          <w:p>
            <w:pPr>
              <w:pStyle w:val="43"/>
              <w:spacing w:line="560" w:lineRule="exact"/>
              <w:ind w:firstLine="0" w:firstLineChars="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帐  号：2613 6501 0400 05047</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注:招标服务费可以采用转账、现金形式交纳。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21</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备选投标方案</w:t>
            </w:r>
          </w:p>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和报价</w:t>
            </w:r>
          </w:p>
        </w:tc>
        <w:tc>
          <w:tcPr>
            <w:tcW w:w="6336" w:type="dxa"/>
            <w:vAlign w:val="center"/>
          </w:tcPr>
          <w:p>
            <w:pPr>
              <w:tabs>
                <w:tab w:val="left" w:pos="7013"/>
              </w:tabs>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22</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盖章签字</w:t>
            </w:r>
          </w:p>
        </w:tc>
        <w:tc>
          <w:tcPr>
            <w:tcW w:w="6336" w:type="dxa"/>
            <w:vAlign w:val="center"/>
          </w:tcPr>
          <w:p>
            <w:pPr>
              <w:tabs>
                <w:tab w:val="left" w:pos="7013"/>
              </w:tabs>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23</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投标文件数量、装订</w:t>
            </w:r>
          </w:p>
        </w:tc>
        <w:tc>
          <w:tcPr>
            <w:tcW w:w="6336" w:type="dxa"/>
            <w:vAlign w:val="center"/>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开标一览表”一份。纸质投标文件均须A4纸打印（提倡双面打印），分别各自装订成册并编制目录和页码，产品彩页、厂家授权等证明材料原件除外。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24</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投标报价</w:t>
            </w:r>
          </w:p>
        </w:tc>
        <w:tc>
          <w:tcPr>
            <w:tcW w:w="6336" w:type="dxa"/>
            <w:vAlign w:val="center"/>
          </w:tcPr>
          <w:p>
            <w:pPr>
              <w:pStyle w:val="44"/>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highlight w:val="none"/>
              </w:rPr>
              <w:t>本项目属于交钥匙项目，投标报价=设备价（含税）+运输费+安装费+调试费+培训费+产品辅材费+售后服务费+保险费+相关伴随费用等。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25</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评标办法及标准</w:t>
            </w:r>
          </w:p>
        </w:tc>
        <w:tc>
          <w:tcPr>
            <w:tcW w:w="6336" w:type="dxa"/>
            <w:vAlign w:val="center"/>
          </w:tcPr>
          <w:p>
            <w:pPr>
              <w:pStyle w:val="44"/>
              <w:spacing w:line="5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26</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其它事项</w:t>
            </w:r>
          </w:p>
        </w:tc>
        <w:tc>
          <w:tcPr>
            <w:tcW w:w="6336" w:type="dxa"/>
            <w:vAlign w:val="center"/>
          </w:tcPr>
          <w:p>
            <w:pPr>
              <w:adjustRightInd w:val="0"/>
              <w:snapToGrid w:val="0"/>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Theme="minorEastAsia" w:hAnsiTheme="minorEastAsia" w:eastAsiaTheme="minorEastAsia" w:cstheme="minorEastAsia"/>
                <w:kern w:val="0"/>
                <w:szCs w:val="24"/>
                <w:highlight w:val="none"/>
              </w:rPr>
              <w:t>中标人无正当理由不得放弃中标。</w:t>
            </w:r>
            <w:r>
              <w:rPr>
                <w:rFonts w:hint="eastAsia" w:asciiTheme="minorEastAsia" w:hAnsiTheme="minorEastAsia" w:eastAsiaTheme="minorEastAsia" w:cstheme="minorEastAsia"/>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highlight w:val="none"/>
              </w:rPr>
              <w:t>27</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highlight w:val="none"/>
              </w:rPr>
              <w:t>本项目是否专门面向中小企业</w:t>
            </w:r>
          </w:p>
        </w:tc>
        <w:tc>
          <w:tcPr>
            <w:tcW w:w="6336" w:type="dxa"/>
            <w:vAlign w:val="center"/>
          </w:tcPr>
          <w:p>
            <w:pPr>
              <w:pStyle w:val="44"/>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2"/>
                <w:sz w:val="24"/>
                <w:szCs w:val="24"/>
                <w:highlight w:val="none"/>
              </w:rPr>
              <w:sym w:font="Wingdings 2" w:char="0052"/>
            </w:r>
            <w:r>
              <w:rPr>
                <w:rFonts w:hint="eastAsia" w:asciiTheme="minorEastAsia" w:hAnsiTheme="minorEastAsia" w:eastAsiaTheme="minorEastAsia" w:cstheme="minorEastAsia"/>
                <w:kern w:val="2"/>
                <w:sz w:val="24"/>
                <w:szCs w:val="24"/>
                <w:highlight w:val="none"/>
              </w:rPr>
              <w:t xml:space="preserve">是   </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kern w:val="2"/>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28</w:t>
            </w:r>
          </w:p>
        </w:tc>
        <w:tc>
          <w:tcPr>
            <w:tcW w:w="2411" w:type="dxa"/>
            <w:vAlign w:val="center"/>
          </w:tcPr>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本项目所属行业</w:t>
            </w:r>
          </w:p>
        </w:tc>
        <w:tc>
          <w:tcPr>
            <w:tcW w:w="6336" w:type="dxa"/>
            <w:vAlign w:val="center"/>
          </w:tcPr>
          <w:p>
            <w:pPr>
              <w:adjustRightInd w:val="0"/>
              <w:snapToGrid w:val="0"/>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工业</w:t>
            </w:r>
          </w:p>
        </w:tc>
      </w:tr>
    </w:tbl>
    <w:p>
      <w:pPr>
        <w:pStyle w:val="4"/>
        <w:spacing w:line="560" w:lineRule="exact"/>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br w:type="page"/>
      </w:r>
    </w:p>
    <w:p>
      <w:pPr>
        <w:pStyle w:val="4"/>
        <w:spacing w:line="560" w:lineRule="exact"/>
        <w:rPr>
          <w:rFonts w:hint="eastAsia" w:asciiTheme="minorEastAsia" w:hAnsiTheme="minorEastAsia" w:eastAsiaTheme="minorEastAsia" w:cstheme="minorEastAsia"/>
          <w:kern w:val="0"/>
          <w:sz w:val="28"/>
          <w:szCs w:val="28"/>
          <w:highlight w:val="none"/>
        </w:rPr>
      </w:pPr>
      <w:bookmarkStart w:id="11" w:name="_Toc2091"/>
      <w:r>
        <w:rPr>
          <w:rFonts w:hint="eastAsia" w:asciiTheme="minorEastAsia" w:hAnsiTheme="minorEastAsia" w:eastAsiaTheme="minorEastAsia" w:cstheme="minorEastAsia"/>
          <w:kern w:val="0"/>
          <w:sz w:val="28"/>
          <w:szCs w:val="28"/>
          <w:highlight w:val="none"/>
        </w:rPr>
        <w:t>二、项目说明</w:t>
      </w:r>
      <w:bookmarkEnd w:id="11"/>
    </w:p>
    <w:p>
      <w:pPr>
        <w:spacing w:line="560" w:lineRule="exact"/>
        <w:ind w:firstLine="57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1、本项目说明详见投标人须知前附表。</w:t>
      </w:r>
      <w:bookmarkStart w:id="12" w:name="_Toc458617455"/>
      <w:bookmarkStart w:id="13" w:name="_Toc458617732"/>
    </w:p>
    <w:p>
      <w:pPr>
        <w:spacing w:line="560" w:lineRule="exact"/>
        <w:ind w:firstLine="57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hint="eastAsia" w:asciiTheme="minorEastAsia" w:hAnsiTheme="minorEastAsia" w:eastAsiaTheme="minorEastAsia" w:cstheme="minorEastAsia"/>
          <w:kern w:val="0"/>
          <w:sz w:val="28"/>
          <w:szCs w:val="28"/>
          <w:highlight w:val="none"/>
        </w:rPr>
      </w:pPr>
      <w:bookmarkStart w:id="14" w:name="_Toc458617456"/>
      <w:bookmarkStart w:id="15" w:name="_Toc32084"/>
      <w:bookmarkStart w:id="16" w:name="_Toc458617733"/>
      <w:r>
        <w:rPr>
          <w:rFonts w:hint="eastAsia" w:asciiTheme="minorEastAsia" w:hAnsiTheme="minorEastAsia" w:eastAsiaTheme="minorEastAsia" w:cstheme="minorEastAsia"/>
          <w:kern w:val="0"/>
          <w:sz w:val="28"/>
          <w:szCs w:val="28"/>
          <w:highlight w:val="none"/>
        </w:rPr>
        <w:t>三、招标文件</w:t>
      </w:r>
      <w:bookmarkEnd w:id="14"/>
      <w:bookmarkEnd w:id="15"/>
      <w:bookmarkEnd w:id="16"/>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2、招标文件的组成：包括目录中所列的前五章。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4、招标文件的澄清或修改：</w:t>
      </w:r>
    </w:p>
    <w:p>
      <w:pPr>
        <w:spacing w:line="560" w:lineRule="exact"/>
        <w:ind w:firstLine="480" w:firstLineChars="200"/>
        <w:rPr>
          <w:rFonts w:hint="eastAsia" w:asciiTheme="minorEastAsia" w:hAnsiTheme="minorEastAsia" w:eastAsiaTheme="minorEastAsia" w:cstheme="minorEastAsia"/>
          <w:b/>
          <w:kern w:val="0"/>
          <w:sz w:val="18"/>
          <w:szCs w:val="18"/>
          <w:highlight w:val="none"/>
          <w:u w:color="FF0000"/>
        </w:rPr>
      </w:pPr>
      <w:bookmarkStart w:id="17" w:name="_Toc458617734"/>
      <w:bookmarkStart w:id="18" w:name="_Toc458617457"/>
      <w:r>
        <w:rPr>
          <w:rFonts w:hint="eastAsia" w:asciiTheme="minorEastAsia" w:hAnsiTheme="minorEastAsia" w:eastAsiaTheme="minorEastAsia" w:cstheme="minorEastAsia"/>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5、投标人若对招标文件有任何疑问，可以以书面形式向采购代理机构提出询问。</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6、投标人认为招标文件使自己的权益受到损害的，在收到采购文件之日</w:t>
      </w:r>
      <w:r>
        <w:rPr>
          <w:rFonts w:hint="eastAsia" w:asciiTheme="minorEastAsia" w:hAnsiTheme="minorEastAsia" w:eastAsiaTheme="minorEastAsia" w:cstheme="minorEastAsia"/>
          <w:kern w:val="0"/>
          <w:szCs w:val="24"/>
          <w:highlight w:val="none"/>
        </w:rPr>
        <w:t>起七个工作日内</w:t>
      </w:r>
      <w:r>
        <w:rPr>
          <w:rFonts w:hint="eastAsia" w:asciiTheme="minorEastAsia" w:hAnsiTheme="minorEastAsia" w:eastAsiaTheme="minorEastAsia" w:cstheme="minorEastAsia"/>
          <w:szCs w:val="24"/>
          <w:highlight w:val="none"/>
        </w:rPr>
        <w:t>以书面形式向采购代理机构提出质疑，逾期提出的无效，</w:t>
      </w:r>
      <w:bookmarkStart w:id="19" w:name="OLE_LINK6"/>
      <w:r>
        <w:rPr>
          <w:rFonts w:hint="eastAsia" w:asciiTheme="minorEastAsia" w:hAnsiTheme="minorEastAsia" w:eastAsiaTheme="minorEastAsia" w:cstheme="minorEastAsia"/>
          <w:szCs w:val="24"/>
          <w:highlight w:val="none"/>
        </w:rPr>
        <w:t>因此带来的一切不利后果由投标人自负。</w:t>
      </w:r>
      <w:bookmarkEnd w:id="19"/>
    </w:p>
    <w:p>
      <w:pPr>
        <w:kinsoku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Theme="minorEastAsia" w:hAnsiTheme="minorEastAsia" w:eastAsiaTheme="minorEastAsia" w:cstheme="minorEastAsia"/>
          <w:szCs w:val="24"/>
          <w:highlight w:val="none"/>
        </w:rPr>
        <w:t>采购代理机构和投标人的权利和义务将受到新的截止期的约束。</w:t>
      </w:r>
    </w:p>
    <w:bookmarkEnd w:id="20"/>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9、如发现招标文件内容与现行法律法规不相符的情况，以现行法律法规为准。</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10、现场勘查、标前答疑会：见须知前附表。</w:t>
      </w:r>
    </w:p>
    <w:p>
      <w:pPr>
        <w:pStyle w:val="4"/>
        <w:spacing w:line="560" w:lineRule="exact"/>
        <w:rPr>
          <w:rFonts w:hint="eastAsia" w:asciiTheme="minorEastAsia" w:hAnsiTheme="minorEastAsia" w:eastAsiaTheme="minorEastAsia" w:cstheme="minorEastAsia"/>
          <w:kern w:val="0"/>
          <w:sz w:val="28"/>
          <w:szCs w:val="28"/>
          <w:highlight w:val="none"/>
        </w:rPr>
      </w:pPr>
      <w:bookmarkStart w:id="21" w:name="_Toc6309"/>
      <w:r>
        <w:rPr>
          <w:rFonts w:hint="eastAsia" w:asciiTheme="minorEastAsia" w:hAnsiTheme="minorEastAsia" w:eastAsiaTheme="minorEastAsia" w:cstheme="minorEastAsia"/>
          <w:kern w:val="0"/>
          <w:sz w:val="28"/>
          <w:szCs w:val="28"/>
          <w:highlight w:val="none"/>
        </w:rPr>
        <w:t>四、投标文件</w:t>
      </w:r>
      <w:bookmarkEnd w:id="17"/>
      <w:bookmarkEnd w:id="18"/>
      <w:bookmarkEnd w:id="21"/>
    </w:p>
    <w:p>
      <w:pPr>
        <w:spacing w:line="56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1、投标人资格要求</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（1）基本资格条件：符合《中华人民共和国政府采购法》第二十二条的规定：</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1-1、具有独立承担民事责任能力的法人、其他组织或自然人，并出具合法有效的营业执照或事业单位法人证书等国家规定的相关证明，自然人参与的提供其身份证明。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1-3、税收缴纳证明：提供2022年1月1日至今任意一个月的缴费凭据；（依法免税的投标人应提供相关文件证明）。</w:t>
      </w:r>
    </w:p>
    <w:p>
      <w:pPr>
        <w:pStyle w:val="43"/>
        <w:spacing w:line="56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1-4、社会保障资金缴纳证明：提供2022年1月1日至今任意一个月的社保缴费凭据或社保机构开具的社会保险参保缴费情况证明；（依法不需要缴纳社会保障资金的投标人应提供相关证明）。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1-5、提供具有履行本合同所必需的设备和专业技术能力的说明及承诺；（格式自拟，加盖投标人公章）</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1-6、提供参加政府采购活动前三年内在经营活动中没有重大违法记录的书面声明。（格式自拟，加盖投标人公章）</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（2）、特定资格条件：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2-2、被授权人参与投标时需提供法定代表人或负责人授权委托书（附法定代表人或负责人及被授权人身份证复印件）；（被授权人须提供身份证原件，身份证原件可由本人持有）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2-4、单位负责人为同一人或者存在直接控股、管理关系的不同投标人，不得参加同一合同项下的政府采购活动；（提供书面承诺函，格式自拟加盖投标人公章）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2-5、本项目不接受联合体投标。</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2、合格投标人</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依照《中华人民共和国公司法》合法注册的法人或其他组织、符合《中华人民共和国政府采购法》</w:t>
      </w:r>
      <w:bookmarkStart w:id="22" w:name="OLE_LINK8"/>
      <w:r>
        <w:rPr>
          <w:rFonts w:hint="eastAsia" w:asciiTheme="minorEastAsia" w:hAnsiTheme="minorEastAsia" w:eastAsiaTheme="minorEastAsia" w:cstheme="minorEastAsia"/>
          <w:szCs w:val="24"/>
          <w:highlight w:val="none"/>
        </w:rPr>
        <w:t>及其实施条例等有关法律法规的规定</w:t>
      </w:r>
      <w:bookmarkEnd w:id="22"/>
      <w:r>
        <w:rPr>
          <w:rFonts w:hint="eastAsia" w:asciiTheme="minorEastAsia" w:hAnsiTheme="minorEastAsia" w:eastAsiaTheme="minorEastAsia" w:cstheme="minorEastAsia"/>
          <w:szCs w:val="24"/>
          <w:highlight w:val="none"/>
        </w:rPr>
        <w:t>并满足本项目资格条件。不符合上述规定的投标人，投标无效。</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3、投标人信用信息：</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3-1、采购人或采购代理机构将于本项目投标截止日在‘信用中国’网站、‘中国政府采购网’网站等渠道对供应商进行信用记录查询，查询的信用记录将进行打印存档，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3-2、特别说明：</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 xml:space="preserve">4、投标文件的组成 </w:t>
      </w:r>
    </w:p>
    <w:p>
      <w:pPr>
        <w:spacing w:line="560" w:lineRule="exact"/>
        <w:ind w:firstLine="240" w:firstLineChars="100"/>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4-1、投标函（格式）</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4-2、开标一览表（格式）</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4-3、投标分项报价表（格式）</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4-4、节能环保、环境标志产品明细表（格式，若有）</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4-5、选配件报价表（格式，若有）</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4-6、货物说明一览表（格式）</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4-7、技术响应及偏离表（格式）</w:t>
      </w:r>
    </w:p>
    <w:p>
      <w:pPr>
        <w:spacing w:line="560" w:lineRule="exact"/>
        <w:ind w:firstLine="240" w:firstLineChars="100"/>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4-8、商务响应及偏离表（格式）</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4-9、资格证明文件</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4-10、业绩证明材料（以合同为准，复印件加盖公章）</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4-11、产品的合法渠道证明文件</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4-12、项目实施方案</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4-13、产品的技术文件</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4-14、质量保证</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4-15、售后服务及培训计划</w:t>
      </w:r>
    </w:p>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4-16、招标文件要求的其他证明资料及投标人认为需要提供的资料。</w:t>
      </w:r>
    </w:p>
    <w:p>
      <w:pPr>
        <w:spacing w:line="560" w:lineRule="exact"/>
        <w:ind w:firstLine="240" w:firstLineChars="100"/>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5、投标文件编写说明</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5-1、投标文件</w:t>
      </w:r>
      <w:r>
        <w:rPr>
          <w:rFonts w:hint="eastAsia" w:asciiTheme="minorEastAsia" w:hAnsiTheme="minorEastAsia" w:eastAsiaTheme="minorEastAsia" w:cstheme="minorEastAsia"/>
          <w:kern w:val="0"/>
          <w:szCs w:val="24"/>
          <w:highlight w:val="none"/>
        </w:rPr>
        <w:t>格式：投标文件应当按照招标文件给定的格式和要求编制，格式之外的可自行编写。</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5-4、投标文件的正本和副本均需打印或用不褪色、不变质的墨水书写。</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5-6、投标文件电子版内容须与投标文件纸质版正本中的内容一致。</w:t>
      </w:r>
    </w:p>
    <w:p>
      <w:pPr>
        <w:spacing w:line="560" w:lineRule="exact"/>
        <w:ind w:firstLine="232"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pacing w:val="-4"/>
          <w:szCs w:val="24"/>
          <w:highlight w:val="none"/>
        </w:rPr>
        <w:t>5-7、“开标一览表”为在开标会议上唱标的内</w:t>
      </w:r>
      <w:r>
        <w:rPr>
          <w:rFonts w:hint="eastAsia" w:asciiTheme="minorEastAsia" w:hAnsiTheme="minorEastAsia" w:eastAsiaTheme="minorEastAsia" w:cstheme="minorEastAsia"/>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5-8、开标一览表必须由法定代表人或被授权人签字并加盖投标人公章，否则将作为无效投标处理。</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6、投标文件的装订及密封</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-2、装订要求：投标文件一律采用书籍（胶装）方式装订，在投标文件书脊处必须写明项目名称、项目编号及投标人名称。投标文件正本一份，副本四份，电子文件一份（用U盘或移动硬盘拷贝，谢绝光盘），电子版投标文件提供投标文件正本的word版本及PDF版本，“开标一览表”一份。纸质投标文件均须A4纸打印（提倡双面打印），分别各自装订成册并编制目录和页码，产品彩页、厂家授权等证明材料原件除外。电子版放置“开标一览表”标袋内。</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7、投标文件的计量单位</w:t>
      </w:r>
    </w:p>
    <w:p>
      <w:pPr>
        <w:spacing w:line="560" w:lineRule="exact"/>
        <w:ind w:firstLine="480" w:firstLineChars="200"/>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投标文件中所使用的计量单位，除有特殊要求外，均采用国家法定计量单位。</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Cs/>
          <w:szCs w:val="24"/>
          <w:highlight w:val="none"/>
        </w:rPr>
        <w:t>8、投标报价</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8-1、投标货币：人民币      单位:元（保留小数点后两位）。</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8-2、投标</w:t>
      </w:r>
      <w:bookmarkStart w:id="23" w:name="OLE_LINK11"/>
      <w:r>
        <w:rPr>
          <w:rFonts w:hint="eastAsia" w:asciiTheme="minorEastAsia" w:hAnsiTheme="minorEastAsia" w:eastAsiaTheme="minorEastAsia" w:cstheme="minorEastAsia"/>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8-3、本项目为交钥匙项目，投标报价=设备价（含税）</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b/>
          <w:szCs w:val="24"/>
          <w:highlight w:val="none"/>
        </w:rPr>
        <w:t>运输费+安装费+调试费+培训费+产品辅材费+售后服务费+保险费+相关伴随费用等。</w:t>
      </w:r>
    </w:p>
    <w:bookmarkEnd w:id="23"/>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8-5、不接受超过招标文件中规定的预算金额或者最高限价的报价、可变动性报价、赠送及“零”报价，</w:t>
      </w:r>
      <w:r>
        <w:rPr>
          <w:rFonts w:hint="eastAsia" w:asciiTheme="minorEastAsia" w:hAnsiTheme="minorEastAsia" w:eastAsiaTheme="minorEastAsia" w:cstheme="minorEastAsia"/>
          <w:b/>
          <w:bCs/>
          <w:szCs w:val="24"/>
          <w:highlight w:val="none"/>
        </w:rPr>
        <w:t>否则视为无效投标</w:t>
      </w:r>
      <w:r>
        <w:rPr>
          <w:rFonts w:hint="eastAsia" w:asciiTheme="minorEastAsia" w:hAnsiTheme="minorEastAsia" w:eastAsiaTheme="minorEastAsia" w:cstheme="minorEastAsia"/>
          <w:szCs w:val="24"/>
          <w:highlight w:val="none"/>
        </w:rPr>
        <w:t>。</w:t>
      </w:r>
    </w:p>
    <w:p>
      <w:pPr>
        <w:spacing w:line="560" w:lineRule="exact"/>
        <w:ind w:firstLine="588" w:firstLineChars="245"/>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8-6、投标人要按所报产品分项报价表内容填写货物品名、单价及总价、制造厂家等内容，并由法人代表或被授权人签署。投标分项报价表上的价格应按下列要求分项填写：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（1）所投货物的设备价</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（3）专用工具价（如果需要使用）</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（4）安装调试费用</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（5）货物运至指定地点的运输（含保险）费用</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（6）售后服务费</w:t>
      </w:r>
    </w:p>
    <w:p>
      <w:pPr>
        <w:spacing w:line="560" w:lineRule="exact"/>
        <w:ind w:firstLine="470" w:firstLineChars="19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（7）培训费</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（8）招标文件要求的所有伴随服务的费用</w:t>
      </w:r>
      <w:r>
        <w:rPr>
          <w:rFonts w:hint="eastAsia" w:asciiTheme="minorEastAsia" w:hAnsiTheme="minorEastAsia" w:eastAsiaTheme="minorEastAsia" w:cstheme="minorEastAsia"/>
          <w:szCs w:val="24"/>
          <w:highlight w:val="none"/>
        </w:rPr>
        <w:tab/>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8-7、投标人所报的投标价在合同执行过程中是固定不变的，不得以任何理由予以变更。任何包含价格调整要求的投标，将被认为是非响应性投标而予以拒绝。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8-8、选配件是投标产品的附件，仅作为采购人后期选择购买，其报价不包含在本次投标总价内。</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9、对投标人的其他要求：</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9-1、投标人不得以他人名义投标和串通投标。</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9-2、必须根据招标文件要求进行生产、供货等。</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735"/>
      <w:bookmarkStart w:id="25" w:name="_Toc458617458"/>
    </w:p>
    <w:bookmarkEnd w:id="24"/>
    <w:bookmarkEnd w:id="25"/>
    <w:p>
      <w:pPr>
        <w:pStyle w:val="4"/>
        <w:spacing w:line="560" w:lineRule="exact"/>
        <w:rPr>
          <w:rFonts w:hint="eastAsia" w:asciiTheme="minorEastAsia" w:hAnsiTheme="minorEastAsia" w:eastAsiaTheme="minorEastAsia" w:cstheme="minorEastAsia"/>
          <w:kern w:val="0"/>
          <w:sz w:val="28"/>
          <w:szCs w:val="28"/>
          <w:highlight w:val="none"/>
        </w:rPr>
      </w:pPr>
      <w:bookmarkStart w:id="26" w:name="_Toc458617736"/>
      <w:bookmarkStart w:id="27" w:name="_Toc458617459"/>
      <w:bookmarkStart w:id="28" w:name="_Toc29696"/>
      <w:r>
        <w:rPr>
          <w:rFonts w:hint="eastAsia" w:asciiTheme="minorEastAsia" w:hAnsiTheme="minorEastAsia" w:eastAsiaTheme="minorEastAsia" w:cstheme="minorEastAsia"/>
          <w:kern w:val="0"/>
          <w:sz w:val="28"/>
          <w:szCs w:val="28"/>
          <w:highlight w:val="none"/>
        </w:rPr>
        <w:t>五、投标</w:t>
      </w:r>
      <w:bookmarkEnd w:id="26"/>
      <w:bookmarkEnd w:id="27"/>
      <w:bookmarkEnd w:id="28"/>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1、投标文件、必备资质文件的提交：</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1-1、投标人应在投标截止时间前将投标文件密封送达投标地点；</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1-2、逾期送达或者未按照招标文件要求密封的投标文件，将被拒收；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1-3、逾期送达的必备资质文件，将被拒收；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1-4、本次招标不接受邮寄的投标文件、必备资质文件。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2、投标文件的补充、修改与撤回：</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2-4、投标截止时间之后，投标人不得补充、修改投标文件。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2-5、在投标截止时间至投标有效期满之前，投标人不得撤回其投标文件。提供投标担保的投标人将由专业担保机构先行偿付采购人损失。</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3、投标有效期：</w:t>
      </w:r>
    </w:p>
    <w:p>
      <w:pPr>
        <w:pStyle w:val="43"/>
        <w:spacing w:line="560" w:lineRule="exact"/>
        <w:ind w:firstLine="464"/>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spacing w:val="-4"/>
          <w:sz w:val="24"/>
          <w:szCs w:val="24"/>
          <w:highlight w:val="none"/>
        </w:rPr>
        <w:t>3-1、自提交投标文件的截止之日起90个日历日。</w:t>
      </w:r>
      <w:bookmarkStart w:id="29" w:name="OLE_LINK15"/>
      <w:r>
        <w:rPr>
          <w:rFonts w:hint="eastAsia" w:asciiTheme="minorEastAsia" w:hAnsiTheme="minorEastAsia" w:eastAsiaTheme="minorEastAsia" w:cstheme="minorEastAsia"/>
          <w:spacing w:val="-4"/>
          <w:sz w:val="24"/>
          <w:szCs w:val="24"/>
          <w:highlight w:val="none"/>
        </w:rPr>
        <w:t>投标人投标有效期短于招标文件规定</w:t>
      </w:r>
      <w:r>
        <w:rPr>
          <w:rFonts w:hint="eastAsia" w:asciiTheme="minorEastAsia" w:hAnsiTheme="minorEastAsia" w:eastAsiaTheme="minorEastAsia" w:cstheme="minorEastAsia"/>
          <w:kern w:val="2"/>
          <w:sz w:val="24"/>
          <w:szCs w:val="24"/>
          <w:highlight w:val="none"/>
        </w:rPr>
        <w:t>的投标有效期，按无效投标处理。中标单位的投标有效期延长至合同执行完毕。</w:t>
      </w:r>
    </w:p>
    <w:p>
      <w:pPr>
        <w:pStyle w:val="43"/>
        <w:spacing w:line="56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3-2、在原投标有效期结束前，采购代理机构可要求投标人延长投标有效期。拒绝延长投标有效期的投标人不得参与该项目后续采购活动。同意延长投标有效期的投标人不得修改投标文件的实质性内容。</w:t>
      </w:r>
      <w:bookmarkEnd w:id="29"/>
      <w:bookmarkStart w:id="30" w:name="_Toc458617460"/>
      <w:bookmarkStart w:id="31" w:name="_Toc458617737"/>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sz w:val="24"/>
          <w:szCs w:val="24"/>
          <w:highlight w:val="none"/>
        </w:rPr>
        <w:t>4、投标人</w:t>
      </w:r>
      <w:r>
        <w:rPr>
          <w:rFonts w:hint="eastAsia" w:asciiTheme="minorEastAsia" w:hAnsiTheme="minorEastAsia" w:eastAsiaTheme="minorEastAsia" w:cstheme="minorEastAsia"/>
          <w:kern w:val="2"/>
          <w:sz w:val="24"/>
          <w:szCs w:val="24"/>
          <w:highlight w:val="none"/>
        </w:rPr>
        <w:t>有下列情形之一的，属于恶意串通，对其依照《中华人民共和国政府采购法》第七十七条第一款的规定追究法律责任，投标无效：</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4-1、投标人直接或者间接从采购人或采购代理机构处获得其他投标人的相关情况并修改其投标文件；</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4-2、投标人按照采购人或采购代理机构的授意撤换、修改投标文件；</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4-3、投标人之间协商报价、技术方案等投标文件的实质性内容；</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4-4、属于同一集团、协会、商会等组织成员的投标人按照该组织要求协同参加政府采购活动；</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4-5、投标人之间事先约定由某一特定投标人中标；</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4-6、投标人之间商定部分投标人放弃参加政府采购活动或放弃中标；</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4-7、投标人相互之间，为谋求特定投标人中标或排斥其他投标人的其他串通行为。</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5、有下列情形之一的，视为投标人串通投标，其投标无效：</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5-1、不同投标人的投标文件由同一单位或者个人编制；</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5-2、不同投标人委托同一单位或者个人办理投标事宜；</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5-3、不同投标人的投标文件载明的项目管理成员或者联系人为同一人；</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5-4、不同投标人的投标文件异常一致或者投标报价呈现规律性差异；</w:t>
      </w:r>
    </w:p>
    <w:p>
      <w:pPr>
        <w:pStyle w:val="43"/>
        <w:spacing w:line="560" w:lineRule="exact"/>
        <w:ind w:firstLine="480"/>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5-5、不同投标人的投标文件相互混装；</w:t>
      </w:r>
    </w:p>
    <w:p>
      <w:pPr>
        <w:pStyle w:val="4"/>
        <w:spacing w:line="560" w:lineRule="exact"/>
        <w:rPr>
          <w:rFonts w:hint="eastAsia" w:asciiTheme="minorEastAsia" w:hAnsiTheme="minorEastAsia" w:eastAsiaTheme="minorEastAsia" w:cstheme="minorEastAsia"/>
          <w:kern w:val="0"/>
          <w:sz w:val="28"/>
          <w:szCs w:val="28"/>
          <w:highlight w:val="none"/>
        </w:rPr>
      </w:pPr>
      <w:bookmarkStart w:id="32" w:name="_Toc16632"/>
      <w:r>
        <w:rPr>
          <w:rFonts w:hint="eastAsia" w:asciiTheme="minorEastAsia" w:hAnsiTheme="minorEastAsia" w:eastAsiaTheme="minorEastAsia" w:cstheme="minorEastAsia"/>
          <w:kern w:val="0"/>
          <w:sz w:val="28"/>
          <w:szCs w:val="28"/>
          <w:highlight w:val="none"/>
        </w:rPr>
        <w:t>六、开标、资格审查、评标和定标</w:t>
      </w:r>
      <w:bookmarkEnd w:id="30"/>
      <w:bookmarkEnd w:id="31"/>
      <w:bookmarkEnd w:id="32"/>
    </w:p>
    <w:p>
      <w:pPr>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bCs/>
          <w:szCs w:val="24"/>
          <w:highlight w:val="none"/>
        </w:rPr>
        <w:t>1、开标</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1-1、采购代理机构按招标文件规定的时间和地点组织开标。</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1-2、所有参会人员应签名报到，以证明其出席。投标人未参加开标的，视同认可开标结果。</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1-4、投标人的法定代表人或被授权人与监标人当众检查所有投标文件的密封情况，签字确认并宣读检查结果。</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1-6、主持人宣布开标会议结束，所有投标人离场。</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1-7、采购代理机构对开标过程进行全程录音录像，并存档备查。</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2、资格审查</w:t>
      </w:r>
    </w:p>
    <w:p>
      <w:pPr>
        <w:wordWrap w:val="0"/>
        <w:topLinePunct/>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开标结束后，由采购人依法对投标人的资格进行审查，审查合格的投标人方可进入评标阶段，缺项或一项不符合要求即不合格，不合格的投标人其投标无效。资格证明文件须装订在每份投标文件中。资格审查以投标文件“正本”为准。</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（1）基本资格条件：符合《中华人民共和国政府采购法》第二十二条的规定：</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 xml:space="preserve">1、具有独立承担民事责任能力的法人、其他组织或自然人，并出具合法有效的营业执照或事业单位法人证书等国家规定的相关证明，自然人参与的提供其身份证明。 </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43"/>
        <w:wordWrap w:val="0"/>
        <w:topLinePunct/>
        <w:spacing w:line="56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3、税收缴纳证明：提供2022年1月1日至今任意一个月的缴费凭据；（依法免税的投标人应提供相关文件证明）。</w:t>
      </w:r>
    </w:p>
    <w:p>
      <w:pPr>
        <w:pStyle w:val="43"/>
        <w:wordWrap w:val="0"/>
        <w:topLinePunct/>
        <w:spacing w:line="560" w:lineRule="exact"/>
        <w:ind w:firstLine="48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sz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5、提供具有履行本合同所必需的设备和专业技术能力的说明及承诺；（格式自拟，加盖投标人公章）</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6、提供参加政府采购活动前三年内在经营活动中没有重大违法记录的书面声明。（格式自拟，加盖投标人公章）</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（2）、特定资格条件：</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 xml:space="preserve">2、被授权人参与投标时需提供法定代表人或负责人授权委托书（附法定代表人或负责人及被授权人身份证复印件）；（被授权人须提供身份证原件，身份证原件可由本人持有）       </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wordWrap w:val="0"/>
        <w:topLinePunct/>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4、单位负责人为同一人或者存在直接控股、管理关系的不同投标人，不得参加同一合同项下的政府采购活动；（提供书面承诺函，格式自拟加盖投标人公章）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3、评标</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3-1、</w:t>
      </w:r>
      <w:r>
        <w:rPr>
          <w:rFonts w:hint="eastAsia" w:asciiTheme="minorEastAsia" w:hAnsiTheme="minorEastAsia" w:eastAsiaTheme="minorEastAsia" w:cstheme="minorEastAsia"/>
          <w:bCs/>
          <w:szCs w:val="24"/>
          <w:highlight w:val="none"/>
        </w:rPr>
        <w:t>评标委员会</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（2）采购人派代表进入评标委员会时，须向采购代理机构出具授权函。</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（4）评标委员会成员不得参加开标活动。</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（5）评标委员会成员应当遵守并履行下列职责义务：</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b、符合性审查、评价投标文件是否符合招标文件的商务、技术等实质性要求；</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c、要求投标人对投标文件有关事项作出澄清或者说明；</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d、对投标文件进行比较和评价；</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e、确定中标候选人名单，以及根据采购人委托直接确定中标人；</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f、向采购人、采购代理机构或者有关部门报告评标中发现的违法行为；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g、对评标过程及各投标人的商业机密予以保密；</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h、配合采购人、采购代理机构答复各投标人提出的质疑；</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i、配合各部门的投诉处理和监督检查工作。</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（1）参加采购活动前3年内与投标人存在劳动关系；</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（2）参加采购活动前3年内担任投标人的董事、监事；</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（3）参加采购活动前3年内是投标人的控股股东或者实际控制人；</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（4）与投标人的法定代表人或者负责人有夫妻、直系血亲、三代以内旁系血亲或者近姻亲关系；</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（5）与投标人有其他可能影响政府采购活动公平、公正进行的关系。</w:t>
      </w:r>
    </w:p>
    <w:p>
      <w:pPr>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3-4、有关人员对评标情况以及在评标过程中获悉的国家秘密、商业秘密负有保密责任。</w:t>
      </w:r>
    </w:p>
    <w:p>
      <w:pPr>
        <w:spacing w:line="560" w:lineRule="exact"/>
        <w:ind w:firstLine="480" w:firstLineChars="200"/>
        <w:rPr>
          <w:rFonts w:hint="eastAsia"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bCs/>
          <w:szCs w:val="24"/>
          <w:highlight w:val="none"/>
        </w:rPr>
        <w:t>3-5、评标原则：</w:t>
      </w:r>
      <w:r>
        <w:rPr>
          <w:rFonts w:hint="eastAsia" w:asciiTheme="minorEastAsia" w:hAnsiTheme="minorEastAsia" w:eastAsiaTheme="minorEastAsia" w:cstheme="minorEastAsia"/>
          <w:szCs w:val="24"/>
          <w:highlight w:val="none"/>
        </w:rPr>
        <w:t>坚持公平、公正、科学、择优原则，禁止不正当竞争。</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bCs/>
          <w:szCs w:val="24"/>
          <w:highlight w:val="none"/>
        </w:rPr>
        <w:t>3-6、评标办法</w:t>
      </w:r>
      <w:r>
        <w:rPr>
          <w:rFonts w:hint="eastAsia" w:asciiTheme="minorEastAsia" w:hAnsiTheme="minorEastAsia" w:eastAsiaTheme="minorEastAsia" w:cstheme="minorEastAsia"/>
          <w:szCs w:val="24"/>
          <w:highlight w:val="none"/>
        </w:rPr>
        <w:t>：本次招标采用综合评分法（详见本节评分标准）。</w:t>
      </w:r>
    </w:p>
    <w:p>
      <w:pPr>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3-7、评标工作程序：</w:t>
      </w:r>
      <w:r>
        <w:rPr>
          <w:rFonts w:hint="eastAsia" w:asciiTheme="minorEastAsia" w:hAnsiTheme="minorEastAsia" w:eastAsiaTheme="minorEastAsia" w:cstheme="minorEastAsia"/>
          <w:szCs w:val="24"/>
          <w:highlight w:val="none"/>
        </w:rPr>
        <w:t>符合性审查、澄清、评价、推荐中标候选人的工作程序进行评标。</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3-7-1、投标文件符合性审查</w:t>
      </w:r>
    </w:p>
    <w:p>
      <w:pPr>
        <w:spacing w:line="560" w:lineRule="exact"/>
        <w:ind w:firstLine="720" w:firstLineChars="3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（1）投标人名称与购买招标文件的单位名称不一致；</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（2）投标文件未按照招标文件的要求盖章签字；</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（3）投标文件不符合招标文件要求的数量；</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（4）针对同一项目提交两份或多份内容不同的投标文件，未书面声明哪一份是有效的或出现选择性报价的；</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（5）投标报价超过采购预算；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（6）投标有效期不符合招标文件的要求；</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（7）未对招标文件商务要求作出明确且实质性响应。</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 xml:space="preserve"> 3-7-2、投标文件的澄清：</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（2）书写错误的评审标准：</w:t>
      </w:r>
    </w:p>
    <w:p>
      <w:pPr>
        <w:overflowPunct w:val="0"/>
        <w:adjustRightInd w:val="0"/>
        <w:snapToGrid w:val="0"/>
        <w:spacing w:line="560" w:lineRule="exact"/>
        <w:ind w:firstLine="720" w:firstLineChars="3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w:t>
      </w:r>
      <w:r>
        <w:rPr>
          <w:rFonts w:hint="eastAsia" w:asciiTheme="minorEastAsia" w:hAnsiTheme="minorEastAsia" w:eastAsiaTheme="minorEastAsia" w:cstheme="minorEastAsia"/>
          <w:szCs w:val="24"/>
          <w:highlight w:val="none"/>
        </w:rPr>
        <w:t>投标文件有关内容与“开标一览表”不一致的，以“开标一览表”为准</w:t>
      </w:r>
      <w:r>
        <w:rPr>
          <w:rFonts w:hint="eastAsia" w:asciiTheme="minorEastAsia" w:hAnsiTheme="minorEastAsia" w:eastAsiaTheme="minorEastAsia" w:cstheme="minorEastAsia"/>
          <w:highlight w:val="none"/>
        </w:rPr>
        <w:t>；</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w:t>
      </w:r>
      <w:r>
        <w:rPr>
          <w:rFonts w:hint="eastAsia" w:asciiTheme="minorEastAsia" w:hAnsiTheme="minorEastAsia" w:eastAsiaTheme="minorEastAsia" w:cstheme="minorEastAsia"/>
          <w:szCs w:val="24"/>
          <w:highlight w:val="none"/>
        </w:rPr>
        <w:t>大写金额与小写金额不一致的，以大写金额为准</w:t>
      </w:r>
      <w:r>
        <w:rPr>
          <w:rFonts w:hint="eastAsia" w:asciiTheme="minorEastAsia" w:hAnsiTheme="minorEastAsia" w:eastAsiaTheme="minorEastAsia" w:cstheme="minorEastAsia"/>
          <w:highlight w:val="none"/>
        </w:rPr>
        <w:t>；</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c、单价金额小数点或者百分比有明显错位的，以“</w:t>
      </w:r>
      <w:r>
        <w:rPr>
          <w:rFonts w:hint="eastAsia" w:asciiTheme="minorEastAsia" w:hAnsiTheme="minorEastAsia" w:eastAsiaTheme="minorEastAsia" w:cstheme="minorEastAsia"/>
          <w:szCs w:val="24"/>
          <w:highlight w:val="none"/>
        </w:rPr>
        <w:t>开标一览表</w:t>
      </w:r>
      <w:r>
        <w:rPr>
          <w:rFonts w:hint="eastAsia" w:asciiTheme="minorEastAsia" w:hAnsiTheme="minorEastAsia" w:eastAsiaTheme="minorEastAsia" w:cstheme="minorEastAsia"/>
          <w:highlight w:val="none"/>
        </w:rPr>
        <w:t>”的总价为准，并修改单价；</w:t>
      </w:r>
    </w:p>
    <w:p>
      <w:pPr>
        <w:overflowPunct w:val="0"/>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highlight w:val="none"/>
        </w:rPr>
        <w:t>d、总价金额与按</w:t>
      </w:r>
      <w:r>
        <w:rPr>
          <w:rFonts w:hint="eastAsia" w:asciiTheme="minorEastAsia" w:hAnsiTheme="minorEastAsia" w:eastAsiaTheme="minorEastAsia" w:cstheme="minorEastAsia"/>
          <w:szCs w:val="24"/>
          <w:highlight w:val="none"/>
        </w:rPr>
        <w:t>单价汇总金额不一致的，以单价乘以数量的计算结果为准</w:t>
      </w:r>
      <w:r>
        <w:rPr>
          <w:rFonts w:hint="eastAsia" w:asciiTheme="minorEastAsia" w:hAnsiTheme="minorEastAsia" w:eastAsiaTheme="minorEastAsia" w:cstheme="minorEastAsia"/>
          <w:highlight w:val="none"/>
        </w:rPr>
        <w:t>；</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e、</w:t>
      </w:r>
      <w:r>
        <w:rPr>
          <w:rFonts w:hint="eastAsia" w:asciiTheme="minorEastAsia" w:hAnsiTheme="minorEastAsia" w:eastAsiaTheme="minorEastAsia" w:cstheme="minorEastAsia"/>
          <w:szCs w:val="24"/>
          <w:highlight w:val="none"/>
        </w:rPr>
        <w:t>投标文件图表与文字不符时，以文字为准</w:t>
      </w:r>
      <w:r>
        <w:rPr>
          <w:rFonts w:hint="eastAsia" w:asciiTheme="minorEastAsia" w:hAnsiTheme="minorEastAsia" w:eastAsiaTheme="minorEastAsia" w:cstheme="minorEastAsia"/>
          <w:highlight w:val="none"/>
        </w:rPr>
        <w:t>；</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f、投标文件正本与副本不符时，以正本为准；</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highlight w:val="none"/>
        </w:rPr>
        <w:t>h、</w:t>
      </w:r>
      <w:r>
        <w:rPr>
          <w:rFonts w:hint="eastAsia" w:asciiTheme="minorEastAsia" w:hAnsiTheme="minorEastAsia" w:eastAsiaTheme="minorEastAsia" w:cstheme="minorEastAsia"/>
          <w:szCs w:val="24"/>
          <w:highlight w:val="none"/>
        </w:rPr>
        <w:t>多处内容交叉不符时，以评标委员会评审结果为准。</w:t>
      </w:r>
    </w:p>
    <w:p>
      <w:pPr>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3-7-3、评价：</w:t>
      </w:r>
    </w:p>
    <w:p>
      <w:pPr>
        <w:spacing w:line="560" w:lineRule="exact"/>
        <w:ind w:firstLine="465"/>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（2）</w:t>
      </w:r>
      <w:r>
        <w:rPr>
          <w:rFonts w:hint="eastAsia" w:asciiTheme="minorEastAsia" w:hAnsiTheme="minorEastAsia" w:eastAsiaTheme="minorEastAsia" w:cstheme="minorEastAsia"/>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（3）其他需说明的情况：</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highlight w:val="none"/>
        </w:rPr>
        <w:t>b、最低报价不是中标的唯一条件；</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d、</w:t>
      </w:r>
      <w:r>
        <w:rPr>
          <w:rFonts w:hint="eastAsia" w:asciiTheme="minorEastAsia" w:hAnsiTheme="minorEastAsia" w:eastAsiaTheme="minorEastAsia" w:cstheme="minorEastAsia"/>
          <w:szCs w:val="24"/>
          <w:highlight w:val="none"/>
        </w:rPr>
        <w:t>无论投标的结果如何，投标期间一切费用自理。</w:t>
      </w:r>
    </w:p>
    <w:p>
      <w:pPr>
        <w:spacing w:line="560" w:lineRule="exact"/>
        <w:ind w:firstLine="600" w:firstLineChars="249"/>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3-8、评分标准：</w:t>
      </w:r>
    </w:p>
    <w:tbl>
      <w:tblPr>
        <w:tblStyle w:val="26"/>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108" w:rightChars="-45"/>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报价</w:t>
            </w:r>
          </w:p>
        </w:tc>
        <w:tc>
          <w:tcPr>
            <w:tcW w:w="766" w:type="dxa"/>
            <w:vAlign w:val="center"/>
          </w:tcPr>
          <w:p>
            <w:pPr>
              <w:spacing w:line="560" w:lineRule="exact"/>
              <w:ind w:left="-134" w:leftChars="-56" w:right="-108" w:rightChars="-45" w:firstLine="240" w:firstLineChars="100"/>
              <w:jc w:val="both"/>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lang w:val="en-US" w:eastAsia="zh-CN"/>
              </w:rPr>
              <w:t>20</w:t>
            </w:r>
          </w:p>
        </w:tc>
        <w:tc>
          <w:tcPr>
            <w:tcW w:w="8084" w:type="dxa"/>
            <w:vAlign w:val="center"/>
          </w:tcPr>
          <w:p>
            <w:pPr>
              <w:pStyle w:val="45"/>
              <w:spacing w:line="56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z w:val="24"/>
                <w:szCs w:val="24"/>
                <w:highlight w:val="none"/>
              </w:rPr>
              <w:t>按照财政部《政府采购货物和服务招标投标管理办法》（财政部令第87号）的有关规定：即投标人有效报价的平均值作为评标标准价为基准价，其价格分为满分。其他供应商的价格分统一按照下列</w:t>
            </w:r>
            <w:r>
              <w:rPr>
                <w:rFonts w:hint="eastAsia" w:asciiTheme="minorEastAsia" w:hAnsiTheme="minorEastAsia" w:eastAsiaTheme="minorEastAsia" w:cstheme="minorEastAsia"/>
                <w:sz w:val="24"/>
                <w:szCs w:val="24"/>
                <w:highlight w:val="none"/>
                <w:lang w:val="en-US" w:eastAsia="zh-CN"/>
              </w:rPr>
              <w:t>方式</w:t>
            </w:r>
            <w:r>
              <w:rPr>
                <w:rFonts w:hint="eastAsia" w:asciiTheme="minorEastAsia" w:hAnsiTheme="minorEastAsia" w:eastAsiaTheme="minorEastAsia" w:cstheme="minorEastAsia"/>
                <w:sz w:val="24"/>
                <w:szCs w:val="24"/>
                <w:highlight w:val="none"/>
              </w:rPr>
              <w:t xml:space="preserve">计算：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投标报价得分=（评标基准价/投标报价）×</w:t>
            </w:r>
            <w:r>
              <w:rPr>
                <w:rFonts w:hint="eastAsia" w:asciiTheme="minorEastAsia" w:hAnsiTheme="minorEastAsia" w:eastAsiaTheme="minorEastAsia" w:cstheme="minorEastAsia"/>
                <w:color w:val="auto"/>
                <w:sz w:val="24"/>
                <w:szCs w:val="24"/>
                <w:highlight w:val="none"/>
                <w:lang w:val="en-US" w:eastAsia="zh-CN"/>
              </w:rPr>
              <w:t>分数</w:t>
            </w:r>
            <w:r>
              <w:rPr>
                <w:rFonts w:hint="eastAsia" w:asciiTheme="minorEastAsia" w:hAnsiTheme="minorEastAsia" w:eastAsiaTheme="minorEastAsia" w:cstheme="minorEastAsia"/>
                <w:color w:val="auto"/>
                <w:sz w:val="24"/>
                <w:szCs w:val="24"/>
                <w:highlight w:val="none"/>
              </w:rPr>
              <w:t>权值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20分</w:t>
            </w:r>
            <w:r>
              <w:rPr>
                <w:rFonts w:hint="eastAsia" w:asciiTheme="minorEastAsia" w:hAnsiTheme="minorEastAsia" w:eastAsiaTheme="minorEastAsia" w:cstheme="minorEastAsia"/>
                <w:color w:val="auto"/>
                <w:sz w:val="24"/>
                <w:szCs w:val="24"/>
                <w:highlight w:val="none"/>
                <w:lang w:eastAsia="zh-CN"/>
              </w:rPr>
              <w:t>）</w:t>
            </w:r>
          </w:p>
          <w:p>
            <w:pPr>
              <w:pStyle w:val="45"/>
              <w:spacing w:line="560" w:lineRule="exact"/>
              <w:ind w:firstLine="480" w:firstLineChars="200"/>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rPr>
              <w:t>认为供应商的报价明显低于其他供应商的报价，有可能影响服务质量或者不能诚信履约的，应当要求其在评标现场合理的时间内提供书面说明，必要时提交相关证明材料；供应商不能证明其报价合理性的，</w:t>
            </w: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rPr>
              <w:t>应当将其作为无效投标处理。</w:t>
            </w:r>
          </w:p>
          <w:p>
            <w:pPr>
              <w:widowControl/>
              <w:spacing w:line="560" w:lineRule="exact"/>
              <w:jc w:val="lef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75" w:type="dxa"/>
            <w:vMerge w:val="restart"/>
            <w:vAlign w:val="center"/>
          </w:tcPr>
          <w:p>
            <w:pPr>
              <w:spacing w:line="560" w:lineRule="exact"/>
              <w:jc w:val="center"/>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技术</w:t>
            </w:r>
          </w:p>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响应</w:t>
            </w:r>
          </w:p>
        </w:tc>
        <w:tc>
          <w:tcPr>
            <w:tcW w:w="766" w:type="dxa"/>
            <w:vAlign w:val="center"/>
          </w:tcPr>
          <w:p>
            <w:pPr>
              <w:spacing w:line="560" w:lineRule="exact"/>
              <w:ind w:firstLine="240" w:firstLineChars="100"/>
              <w:jc w:val="both"/>
              <w:rPr>
                <w:rFonts w:hint="eastAsia" w:asciiTheme="minorEastAsia" w:hAnsiTheme="minorEastAsia" w:eastAsiaTheme="minorEastAsia" w:cstheme="minorEastAsia"/>
                <w:szCs w:val="24"/>
                <w:highlight w:val="none"/>
                <w:lang w:val="en-US"/>
              </w:rPr>
            </w:pPr>
            <w:r>
              <w:rPr>
                <w:rFonts w:hint="eastAsia" w:asciiTheme="minorEastAsia" w:hAnsiTheme="minorEastAsia" w:eastAsiaTheme="minorEastAsia" w:cstheme="minorEastAsia"/>
                <w:kern w:val="0"/>
                <w:szCs w:val="24"/>
                <w:highlight w:val="none"/>
                <w:lang w:val="en-US" w:eastAsia="zh-CN"/>
              </w:rPr>
              <w:t>20</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针对供应商提供的项目实施方案、计划进行综合评价，整体方案思路清晰、科学合理、切实可行，完全满足采购人需求。按其响应程度进行赋分。</w:t>
            </w:r>
          </w:p>
          <w:p>
            <w:pPr>
              <w:widowControl/>
              <w:spacing w:line="56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全面（</w:t>
            </w:r>
            <w:r>
              <w:rPr>
                <w:rFonts w:hint="eastAsia" w:asciiTheme="minorEastAsia" w:hAnsiTheme="minorEastAsia" w:eastAsiaTheme="minorEastAsia" w:cstheme="minorEastAsia"/>
                <w:sz w:val="24"/>
                <w:szCs w:val="24"/>
                <w:highlight w:val="none"/>
                <w:lang w:val="en-US" w:eastAsia="zh-CN"/>
              </w:rPr>
              <w:t>14-20</w:t>
            </w:r>
            <w:r>
              <w:rPr>
                <w:rFonts w:hint="eastAsia" w:asciiTheme="minorEastAsia" w:hAnsiTheme="minorEastAsia" w:eastAsiaTheme="minorEastAsia" w:cstheme="minorEastAsia"/>
                <w:sz w:val="24"/>
                <w:szCs w:val="24"/>
                <w:highlight w:val="none"/>
              </w:rPr>
              <w:t>]分，较为全面（</w:t>
            </w:r>
            <w:r>
              <w:rPr>
                <w:rFonts w:hint="eastAsia" w:asciiTheme="minorEastAsia" w:hAnsiTheme="minorEastAsia" w:eastAsiaTheme="minorEastAsia" w:cstheme="minorEastAsia"/>
                <w:sz w:val="24"/>
                <w:szCs w:val="24"/>
                <w:highlight w:val="none"/>
                <w:lang w:val="en-US" w:eastAsia="zh-CN"/>
              </w:rPr>
              <w:t>7-14</w:t>
            </w:r>
            <w:r>
              <w:rPr>
                <w:rFonts w:hint="eastAsia" w:asciiTheme="minorEastAsia" w:hAnsiTheme="minorEastAsia" w:eastAsiaTheme="minorEastAsia" w:cstheme="minorEastAsia"/>
                <w:sz w:val="24"/>
                <w:szCs w:val="24"/>
                <w:highlight w:val="none"/>
              </w:rPr>
              <w:t>]分，一般[</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275" w:type="dxa"/>
            <w:vMerge w:val="continue"/>
            <w:vAlign w:val="center"/>
          </w:tcPr>
          <w:p>
            <w:pPr>
              <w:widowControl/>
              <w:spacing w:line="560" w:lineRule="exact"/>
              <w:ind w:firstLine="480" w:firstLineChars="200"/>
              <w:jc w:val="left"/>
              <w:rPr>
                <w:rFonts w:hint="eastAsia" w:asciiTheme="minorEastAsia" w:hAnsiTheme="minorEastAsia" w:eastAsiaTheme="minorEastAsia" w:cstheme="minorEastAsia"/>
              </w:rPr>
            </w:pPr>
          </w:p>
        </w:tc>
        <w:tc>
          <w:tcPr>
            <w:tcW w:w="766" w:type="dxa"/>
            <w:vAlign w:val="center"/>
          </w:tcPr>
          <w:p>
            <w:pPr>
              <w:widowControl/>
              <w:spacing w:line="560" w:lineRule="exact"/>
              <w:ind w:firstLine="240" w:firstLineChars="100"/>
              <w:jc w:val="both"/>
              <w:rPr>
                <w:rFonts w:hint="eastAsia" w:asciiTheme="minorEastAsia" w:hAnsiTheme="minorEastAsia" w:eastAsiaTheme="minorEastAsia" w:cstheme="minorEastAsia"/>
                <w:kern w:val="0"/>
                <w:szCs w:val="24"/>
                <w:highlight w:val="none"/>
                <w:lang w:val="en-US" w:eastAsia="zh-CN"/>
              </w:rPr>
            </w:pPr>
            <w:r>
              <w:rPr>
                <w:rFonts w:hint="eastAsia" w:asciiTheme="minorEastAsia" w:hAnsiTheme="minorEastAsia" w:eastAsiaTheme="minorEastAsia" w:cstheme="minorEastAsia"/>
                <w:kern w:val="0"/>
                <w:szCs w:val="24"/>
                <w:highlight w:val="none"/>
                <w:lang w:val="en-US" w:eastAsia="zh-CN"/>
              </w:rPr>
              <w:t>8</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所投产品安全可靠、便于操作、性能良好、配套内容完整能够保证整体项目顺利实施；所投产品符合招标文件规定的相应技术指标、参数或功能的，提供相关证明文件。按其响应程度进行赋分。</w:t>
            </w:r>
          </w:p>
          <w:p>
            <w:pPr>
              <w:widowControl/>
              <w:spacing w:line="560" w:lineRule="exact"/>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全面（</w:t>
            </w:r>
            <w:r>
              <w:rPr>
                <w:rFonts w:hint="eastAsia" w:asciiTheme="minorEastAsia" w:hAnsiTheme="minorEastAsia" w:eastAsiaTheme="minorEastAsia" w:cstheme="minorEastAsia"/>
                <w:sz w:val="24"/>
                <w:szCs w:val="24"/>
                <w:highlight w:val="none"/>
                <w:lang w:val="en-US" w:eastAsia="zh-CN"/>
              </w:rPr>
              <w:t>5-8</w:t>
            </w:r>
            <w:r>
              <w:rPr>
                <w:rFonts w:hint="eastAsia" w:asciiTheme="minorEastAsia" w:hAnsiTheme="minorEastAsia" w:eastAsiaTheme="minorEastAsia" w:cstheme="minorEastAsia"/>
                <w:sz w:val="24"/>
                <w:szCs w:val="24"/>
                <w:highlight w:val="none"/>
              </w:rPr>
              <w:t>]分，较为全面（</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]分，一般[</w:t>
            </w:r>
            <w:r>
              <w:rPr>
                <w:rFonts w:hint="eastAsia" w:asciiTheme="minorEastAsia" w:hAnsiTheme="minorEastAsia" w:eastAsiaTheme="minorEastAsia" w:cstheme="minorEastAsia"/>
                <w:sz w:val="24"/>
                <w:szCs w:val="24"/>
                <w:highlight w:val="none"/>
                <w:lang w:val="en-US" w:eastAsia="zh-CN"/>
              </w:rPr>
              <w:t>0-2</w:t>
            </w:r>
            <w:r>
              <w:rPr>
                <w:rFonts w:hint="eastAsia" w:asciiTheme="minorEastAsia" w:hAnsiTheme="minorEastAsia" w:eastAsiaTheme="minorEastAsia" w:cstheme="minorEastAsia"/>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75" w:type="dxa"/>
            <w:vMerge w:val="continue"/>
            <w:vAlign w:val="center"/>
          </w:tcPr>
          <w:p>
            <w:pPr>
              <w:widowControl/>
              <w:spacing w:line="560" w:lineRule="exact"/>
              <w:ind w:firstLine="480" w:firstLineChars="200"/>
              <w:jc w:val="left"/>
              <w:rPr>
                <w:rFonts w:hint="eastAsia" w:asciiTheme="minorEastAsia" w:hAnsiTheme="minorEastAsia" w:eastAsiaTheme="minorEastAsia" w:cstheme="minorEastAsia"/>
                <w:kern w:val="0"/>
                <w:szCs w:val="24"/>
                <w:highlight w:val="none"/>
              </w:rPr>
            </w:pPr>
          </w:p>
        </w:tc>
        <w:tc>
          <w:tcPr>
            <w:tcW w:w="766" w:type="dxa"/>
            <w:vAlign w:val="center"/>
          </w:tcPr>
          <w:p>
            <w:pPr>
              <w:widowControl/>
              <w:spacing w:line="560" w:lineRule="exact"/>
              <w:ind w:firstLine="240" w:firstLineChars="100"/>
              <w:jc w:val="both"/>
              <w:rPr>
                <w:rFonts w:hint="eastAsia" w:asciiTheme="minorEastAsia" w:hAnsiTheme="minorEastAsia" w:eastAsiaTheme="minorEastAsia" w:cstheme="minorEastAsia"/>
                <w:kern w:val="0"/>
                <w:szCs w:val="24"/>
                <w:highlight w:val="none"/>
                <w:lang w:val="en-US" w:eastAsia="zh-CN"/>
              </w:rPr>
            </w:pPr>
            <w:r>
              <w:rPr>
                <w:rFonts w:hint="eastAsia" w:asciiTheme="minorEastAsia" w:hAnsiTheme="minorEastAsia" w:eastAsiaTheme="minorEastAsia" w:cstheme="minorEastAsia"/>
                <w:kern w:val="0"/>
                <w:szCs w:val="24"/>
                <w:highlight w:val="none"/>
                <w:lang w:val="en-US" w:eastAsia="zh-CN"/>
              </w:rPr>
              <w:t>3</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产品供应渠道正常，无假货、水货，无不良市场反馈，手续合法有效、无产权纠纷。供应商提供产品渠道合法的证明文件。按其响应程度进行赋分。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sz w:val="24"/>
                <w:szCs w:val="24"/>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240" w:firstLineChars="100"/>
              <w:jc w:val="both"/>
              <w:textAlignment w:val="auto"/>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 w:val="24"/>
                <w:szCs w:val="24"/>
                <w:highlight w:val="none"/>
              </w:rPr>
              <w:t>全面（</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]分，较为全面（</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]分，一般[</w:t>
            </w:r>
            <w:r>
              <w:rPr>
                <w:rFonts w:hint="eastAsia" w:asciiTheme="minorEastAsia" w:hAnsiTheme="minorEastAsia" w:eastAsiaTheme="minorEastAsia" w:cstheme="minorEastAsia"/>
                <w:sz w:val="24"/>
                <w:szCs w:val="24"/>
                <w:highlight w:val="none"/>
                <w:lang w:val="en-US" w:eastAsia="zh-CN"/>
              </w:rPr>
              <w:t>0-1</w:t>
            </w:r>
            <w:r>
              <w:rPr>
                <w:rFonts w:hint="eastAsia" w:asciiTheme="minorEastAsia" w:hAnsiTheme="minorEastAsia" w:eastAsiaTheme="minorEastAsia" w:cstheme="minorEastAsia"/>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75" w:type="dxa"/>
            <w:vMerge w:val="continue"/>
            <w:vAlign w:val="center"/>
          </w:tcPr>
          <w:p>
            <w:pPr>
              <w:widowControl/>
              <w:spacing w:line="560" w:lineRule="exact"/>
              <w:ind w:firstLine="480" w:firstLineChars="200"/>
              <w:jc w:val="left"/>
              <w:rPr>
                <w:rFonts w:hint="eastAsia" w:asciiTheme="minorEastAsia" w:hAnsiTheme="minorEastAsia" w:eastAsiaTheme="minorEastAsia" w:cstheme="minorEastAsia"/>
                <w:kern w:val="0"/>
                <w:szCs w:val="24"/>
                <w:highlight w:val="none"/>
              </w:rPr>
            </w:pPr>
          </w:p>
        </w:tc>
        <w:tc>
          <w:tcPr>
            <w:tcW w:w="766" w:type="dxa"/>
            <w:vAlign w:val="center"/>
          </w:tcPr>
          <w:p>
            <w:pPr>
              <w:widowControl/>
              <w:spacing w:line="560" w:lineRule="exact"/>
              <w:ind w:firstLine="240" w:firstLineChars="100"/>
              <w:jc w:val="both"/>
              <w:rPr>
                <w:rFonts w:hint="eastAsia" w:asciiTheme="minorEastAsia" w:hAnsiTheme="minorEastAsia" w:eastAsiaTheme="minorEastAsia" w:cstheme="minorEastAsia"/>
                <w:kern w:val="0"/>
                <w:szCs w:val="24"/>
                <w:highlight w:val="none"/>
                <w:lang w:val="en-US" w:eastAsia="zh-CN"/>
              </w:rPr>
            </w:pPr>
            <w:r>
              <w:rPr>
                <w:rFonts w:hint="eastAsia" w:asciiTheme="minorEastAsia" w:hAnsiTheme="minorEastAsia" w:eastAsiaTheme="minorEastAsia" w:cstheme="minorEastAsia"/>
                <w:kern w:val="0"/>
                <w:szCs w:val="24"/>
                <w:highlight w:val="none"/>
                <w:lang w:val="en-US" w:eastAsia="zh-CN"/>
              </w:rPr>
              <w:t>12</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根据供应商提供的项目人员配置投入情况，从结构、专业配套、工作经历等方面进行评审，评标小组按其响应程度进行赋分。</w:t>
            </w:r>
          </w:p>
          <w:p>
            <w:pPr>
              <w:widowControl/>
              <w:spacing w:line="560" w:lineRule="exact"/>
              <w:ind w:firstLine="480" w:firstLineChars="200"/>
              <w:jc w:val="left"/>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 w:val="24"/>
                <w:szCs w:val="24"/>
                <w:highlight w:val="none"/>
              </w:rPr>
              <w:t>全面（</w:t>
            </w:r>
            <w:r>
              <w:rPr>
                <w:rFonts w:hint="eastAsia" w:asciiTheme="minorEastAsia" w:hAnsiTheme="minorEastAsia" w:eastAsiaTheme="minorEastAsia" w:cstheme="minorEastAsia"/>
                <w:sz w:val="24"/>
                <w:szCs w:val="24"/>
                <w:highlight w:val="none"/>
                <w:lang w:val="en-US" w:eastAsia="zh-CN"/>
              </w:rPr>
              <w:t>7-12</w:t>
            </w:r>
            <w:r>
              <w:rPr>
                <w:rFonts w:hint="eastAsia" w:asciiTheme="minorEastAsia" w:hAnsiTheme="minorEastAsia" w:eastAsiaTheme="minorEastAsia" w:cstheme="minorEastAsia"/>
                <w:sz w:val="24"/>
                <w:szCs w:val="24"/>
                <w:highlight w:val="none"/>
              </w:rPr>
              <w:t>]分，较为全面（</w:t>
            </w:r>
            <w:r>
              <w:rPr>
                <w:rFonts w:hint="eastAsia" w:asciiTheme="minorEastAsia" w:hAnsiTheme="minorEastAsia" w:eastAsiaTheme="minorEastAsia" w:cstheme="minorEastAsia"/>
                <w:sz w:val="24"/>
                <w:szCs w:val="24"/>
                <w:highlight w:val="none"/>
                <w:lang w:val="en-US" w:eastAsia="zh-CN"/>
              </w:rPr>
              <w:t>4-7</w:t>
            </w:r>
            <w:r>
              <w:rPr>
                <w:rFonts w:hint="eastAsia" w:asciiTheme="minorEastAsia" w:hAnsiTheme="minorEastAsia" w:eastAsiaTheme="minorEastAsia" w:cstheme="minorEastAsia"/>
                <w:sz w:val="24"/>
                <w:szCs w:val="24"/>
                <w:highlight w:val="none"/>
              </w:rPr>
              <w:t>]分，一般[</w:t>
            </w:r>
            <w:r>
              <w:rPr>
                <w:rFonts w:hint="eastAsia" w:asciiTheme="minorEastAsia" w:hAnsiTheme="minorEastAsia" w:eastAsiaTheme="minorEastAsia" w:cstheme="minorEastAsia"/>
                <w:sz w:val="24"/>
                <w:szCs w:val="24"/>
                <w:highlight w:val="none"/>
                <w:lang w:val="en-US" w:eastAsia="zh-CN"/>
              </w:rPr>
              <w:t>0-4</w:t>
            </w:r>
            <w:r>
              <w:rPr>
                <w:rFonts w:hint="eastAsia" w:asciiTheme="minorEastAsia" w:hAnsiTheme="minorEastAsia" w:eastAsiaTheme="minorEastAsia" w:cstheme="minorEastAsia"/>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5" w:type="dxa"/>
            <w:vMerge w:val="continue"/>
            <w:vAlign w:val="center"/>
          </w:tcPr>
          <w:p>
            <w:pPr>
              <w:widowControl/>
              <w:spacing w:line="560" w:lineRule="exact"/>
              <w:ind w:firstLine="480" w:firstLineChars="200"/>
              <w:jc w:val="left"/>
              <w:rPr>
                <w:rFonts w:hint="eastAsia" w:asciiTheme="minorEastAsia" w:hAnsiTheme="minorEastAsia" w:eastAsiaTheme="minorEastAsia" w:cstheme="minorEastAsia"/>
                <w:kern w:val="0"/>
                <w:szCs w:val="24"/>
                <w:highlight w:val="none"/>
              </w:rPr>
            </w:pPr>
          </w:p>
        </w:tc>
        <w:tc>
          <w:tcPr>
            <w:tcW w:w="766" w:type="dxa"/>
            <w:vAlign w:val="center"/>
          </w:tcPr>
          <w:p>
            <w:pPr>
              <w:widowControl/>
              <w:spacing w:line="560" w:lineRule="exact"/>
              <w:ind w:firstLine="240" w:firstLineChars="100"/>
              <w:jc w:val="both"/>
              <w:rPr>
                <w:rFonts w:hint="eastAsia" w:asciiTheme="minorEastAsia" w:hAnsiTheme="minorEastAsia" w:eastAsiaTheme="minorEastAsia" w:cstheme="minorEastAsia"/>
                <w:lang w:val="en-US" w:eastAsia="zh-CN"/>
              </w:rPr>
            </w:pPr>
          </w:p>
          <w:p>
            <w:pPr>
              <w:pStyle w:val="2"/>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产品具有节能、环保、自主创新的、提供相关证明文件等资料。按其响应程度进行赋分。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 w:val="24"/>
                <w:szCs w:val="24"/>
                <w:highlight w:val="none"/>
              </w:rPr>
              <w:t>全面（</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]分，较为全面（</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]分，一般[</w:t>
            </w:r>
            <w:r>
              <w:rPr>
                <w:rFonts w:hint="eastAsia" w:asciiTheme="minorEastAsia" w:hAnsiTheme="minorEastAsia" w:eastAsiaTheme="minorEastAsia" w:cstheme="minorEastAsia"/>
                <w:sz w:val="24"/>
                <w:szCs w:val="24"/>
                <w:highlight w:val="none"/>
                <w:lang w:val="en-US" w:eastAsia="zh-CN"/>
              </w:rPr>
              <w:t>0-1</w:t>
            </w:r>
            <w:r>
              <w:rPr>
                <w:rFonts w:hint="eastAsia" w:asciiTheme="minorEastAsia" w:hAnsiTheme="minorEastAsia" w:eastAsiaTheme="minorEastAsia" w:cstheme="minorEastAsia"/>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5"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Theme="minorEastAsia" w:hAnsiTheme="minorEastAsia" w:eastAsiaTheme="minorEastAsia" w:cstheme="minorEastAsia"/>
              </w:rPr>
            </w:pPr>
          </w:p>
        </w:tc>
        <w:tc>
          <w:tcPr>
            <w:tcW w:w="7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240" w:firstLineChars="100"/>
              <w:jc w:val="both"/>
              <w:textAlignment w:val="auto"/>
              <w:rPr>
                <w:rFonts w:hint="eastAsia" w:asciiTheme="minorEastAsia" w:hAnsiTheme="minorEastAsia" w:eastAsiaTheme="minorEastAsia" w:cstheme="minorEastAsia"/>
                <w:kern w:val="0"/>
                <w:szCs w:val="24"/>
                <w:highlight w:val="none"/>
                <w:lang w:val="en-US" w:eastAsia="zh-CN"/>
              </w:rPr>
            </w:pPr>
            <w:r>
              <w:rPr>
                <w:rFonts w:hint="eastAsia" w:asciiTheme="minorEastAsia" w:hAnsiTheme="minorEastAsia" w:eastAsiaTheme="minorEastAsia" w:cstheme="minorEastAsia"/>
                <w:kern w:val="0"/>
                <w:szCs w:val="24"/>
                <w:highlight w:val="none"/>
                <w:lang w:val="en-US" w:eastAsia="zh-CN"/>
              </w:rPr>
              <w:t>5</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leftChars="0" w:right="0" w:rightChars="0"/>
              <w:jc w:val="both"/>
              <w:textAlignment w:val="auto"/>
              <w:rPr>
                <w:rFonts w:hint="eastAsia" w:asciiTheme="minorEastAsia" w:hAnsiTheme="minorEastAsia" w:eastAsiaTheme="minorEastAsia" w:cstheme="minorEastAsia"/>
                <w:kern w:val="0"/>
                <w:szCs w:val="24"/>
                <w:highlight w:val="none"/>
                <w:lang w:val="en-US" w:eastAsia="zh-CN"/>
              </w:rPr>
            </w:pPr>
            <w:r>
              <w:rPr>
                <w:rFonts w:hint="eastAsia" w:asciiTheme="minorEastAsia" w:hAnsiTheme="minorEastAsia" w:eastAsiaTheme="minorEastAsia" w:cstheme="minorEastAsia"/>
                <w:kern w:val="0"/>
                <w:szCs w:val="24"/>
                <w:highlight w:val="none"/>
                <w:lang w:val="en-US" w:eastAsia="zh-CN"/>
              </w:rPr>
              <w:t>完全响应招标文件中产品技术参数及功能要求，每正偏离一项加 0.5 分，加满5分为止（提供正偏离的相关功能证明材料，包括但不限于产品彩页或说明书或功能截图或检测报告等），负偏离或不满足的本项不计分（注：核心产品不允许负偏离）；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95"/>
              <w:jc w:val="center"/>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质量</w:t>
            </w:r>
          </w:p>
          <w:p>
            <w:pPr>
              <w:spacing w:line="560" w:lineRule="exact"/>
              <w:ind w:right="-95" w:rightChars="0"/>
              <w:jc w:val="center"/>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保证</w:t>
            </w:r>
          </w:p>
        </w:tc>
        <w:tc>
          <w:tcPr>
            <w:tcW w:w="766" w:type="dxa"/>
            <w:vAlign w:val="center"/>
          </w:tcPr>
          <w:p>
            <w:pPr>
              <w:spacing w:line="560" w:lineRule="exact"/>
              <w:ind w:right="-95" w:rightChars="0" w:firstLine="240" w:firstLineChars="100"/>
              <w:jc w:val="both"/>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color w:val="auto"/>
                <w:kern w:val="0"/>
                <w:szCs w:val="24"/>
                <w:highlight w:val="none"/>
                <w:shd w:val="clear" w:color="auto" w:fill="auto"/>
                <w:lang w:val="en-US" w:eastAsia="zh-CN"/>
              </w:rPr>
              <w:t>6</w:t>
            </w:r>
          </w:p>
        </w:tc>
        <w:tc>
          <w:tcPr>
            <w:tcW w:w="8084" w:type="dxa"/>
            <w:vAlign w:val="center"/>
          </w:tcPr>
          <w:p>
            <w:pPr>
              <w:pStyle w:val="45"/>
              <w:spacing w:line="560" w:lineRule="exact"/>
              <w:ind w:firstLine="240"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有具体可行的质量保证承诺，保证使用单位能熟练操作维护和正常使用，需提供相应的证明文件，</w:t>
            </w:r>
          </w:p>
          <w:p>
            <w:pPr>
              <w:pStyle w:val="45"/>
              <w:spacing w:line="560" w:lineRule="exact"/>
              <w:ind w:firstLine="240" w:firstLineChars="100"/>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全面（</w:t>
            </w:r>
            <w:r>
              <w:rPr>
                <w:rFonts w:hint="eastAsia" w:asciiTheme="minorEastAsia" w:hAnsiTheme="minorEastAsia" w:eastAsiaTheme="minorEastAsia" w:cstheme="minorEastAsia"/>
                <w:sz w:val="24"/>
                <w:szCs w:val="24"/>
                <w:highlight w:val="none"/>
                <w:lang w:val="en-US" w:eastAsia="zh-CN"/>
              </w:rPr>
              <w:t>4-6</w:t>
            </w:r>
            <w:r>
              <w:rPr>
                <w:rFonts w:hint="eastAsia" w:asciiTheme="minorEastAsia" w:hAnsiTheme="minorEastAsia" w:eastAsiaTheme="minorEastAsia" w:cstheme="minorEastAsia"/>
                <w:sz w:val="24"/>
                <w:szCs w:val="24"/>
                <w:highlight w:val="none"/>
              </w:rPr>
              <w:t>]分，较为全面（</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]分，一般[</w:t>
            </w:r>
            <w:r>
              <w:rPr>
                <w:rFonts w:hint="eastAsia" w:asciiTheme="minorEastAsia" w:hAnsiTheme="minorEastAsia" w:eastAsiaTheme="minorEastAsia" w:cstheme="minorEastAsia"/>
                <w:sz w:val="24"/>
                <w:szCs w:val="24"/>
                <w:highlight w:val="none"/>
                <w:lang w:val="en-US" w:eastAsia="zh-CN"/>
              </w:rPr>
              <w:t>0-2</w:t>
            </w:r>
            <w:r>
              <w:rPr>
                <w:rFonts w:hint="eastAsia" w:asciiTheme="minorEastAsia" w:hAnsiTheme="minorEastAsia" w:eastAsiaTheme="minorEastAsia" w:cstheme="minorEastAsia"/>
                <w:sz w:val="24"/>
                <w:szCs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ind w:right="-95"/>
              <w:jc w:val="center"/>
              <w:rPr>
                <w:rFonts w:hint="eastAsia" w:asciiTheme="minorEastAsia" w:hAnsiTheme="minorEastAsia" w:eastAsiaTheme="minorEastAsia" w:cstheme="minorEastAsia"/>
                <w:kern w:val="0"/>
                <w:szCs w:val="24"/>
                <w:highlight w:val="none"/>
                <w:lang w:val="en-US" w:eastAsia="zh-CN"/>
              </w:rPr>
            </w:pPr>
            <w:r>
              <w:rPr>
                <w:rFonts w:hint="eastAsia" w:asciiTheme="minorEastAsia" w:hAnsiTheme="minorEastAsia" w:eastAsiaTheme="minorEastAsia" w:cstheme="minorEastAsia"/>
                <w:kern w:val="0"/>
                <w:szCs w:val="24"/>
                <w:highlight w:val="none"/>
                <w:lang w:val="en-US" w:eastAsia="zh-CN"/>
              </w:rPr>
              <w:t>售后服务</w:t>
            </w:r>
          </w:p>
        </w:tc>
        <w:tc>
          <w:tcPr>
            <w:tcW w:w="766" w:type="dxa"/>
            <w:vAlign w:val="center"/>
          </w:tcPr>
          <w:p>
            <w:pPr>
              <w:spacing w:line="560" w:lineRule="exact"/>
              <w:ind w:right="-95" w:firstLine="240" w:firstLineChars="100"/>
              <w:jc w:val="both"/>
              <w:rPr>
                <w:rFonts w:hint="eastAsia" w:asciiTheme="minorEastAsia" w:hAnsiTheme="minorEastAsia" w:eastAsiaTheme="minorEastAsia" w:cstheme="minorEastAsia"/>
                <w:kern w:val="0"/>
                <w:szCs w:val="24"/>
                <w:highlight w:val="none"/>
                <w:lang w:val="en-US" w:eastAsia="zh-CN"/>
              </w:rPr>
            </w:pPr>
            <w:r>
              <w:rPr>
                <w:rFonts w:hint="eastAsia" w:asciiTheme="minorEastAsia" w:hAnsiTheme="minorEastAsia" w:eastAsiaTheme="minorEastAsia" w:cstheme="minorEastAsia"/>
                <w:kern w:val="0"/>
                <w:szCs w:val="24"/>
                <w:highlight w:val="none"/>
                <w:lang w:val="en-US" w:eastAsia="zh-CN"/>
              </w:rPr>
              <w:t>15</w:t>
            </w:r>
          </w:p>
        </w:tc>
        <w:tc>
          <w:tcPr>
            <w:tcW w:w="8084" w:type="dxa"/>
            <w:vAlign w:val="center"/>
          </w:tcPr>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1、售后服务方案详细、具体、可行（包括投标人售后服务网点的设定、拟投入售后服务人员配置情况、项目交付用户后出现故障响应时间等）。</w:t>
            </w:r>
            <w:r>
              <w:rPr>
                <w:rFonts w:hint="eastAsia" w:asciiTheme="minorEastAsia" w:hAnsiTheme="minorEastAsia" w:eastAsiaTheme="minorEastAsia" w:cstheme="minorEastAsia"/>
                <w:color w:val="auto"/>
                <w:sz w:val="24"/>
                <w:szCs w:val="24"/>
                <w:highlight w:val="none"/>
                <w:lang w:val="en-US" w:eastAsia="zh-CN"/>
              </w:rPr>
              <w:t>服务内容能完全响应本项目需求，具有当地工商注册的分支机构，确保设备系统后期维护方便、快捷。</w:t>
            </w:r>
            <w:r>
              <w:rPr>
                <w:rFonts w:hint="eastAsia" w:asciiTheme="minorEastAsia" w:hAnsiTheme="minorEastAsia" w:eastAsiaTheme="minorEastAsia" w:cstheme="minorEastAsia"/>
                <w:szCs w:val="24"/>
                <w:highlight w:val="none"/>
              </w:rPr>
              <w:t>全面（</w:t>
            </w:r>
            <w:r>
              <w:rPr>
                <w:rFonts w:hint="eastAsia" w:asciiTheme="minorEastAsia" w:hAnsiTheme="minorEastAsia" w:eastAsiaTheme="minorEastAsia" w:cstheme="minorEastAsia"/>
                <w:szCs w:val="24"/>
                <w:highlight w:val="none"/>
                <w:lang w:val="en-US" w:eastAsia="zh-CN"/>
              </w:rPr>
              <w:t>6</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val="en-US" w:eastAsia="zh-CN"/>
              </w:rPr>
              <w:t>15</w:t>
            </w:r>
            <w:r>
              <w:rPr>
                <w:rFonts w:hint="eastAsia" w:asciiTheme="minorEastAsia" w:hAnsiTheme="minorEastAsia" w:eastAsiaTheme="minorEastAsia" w:cstheme="minorEastAsia"/>
                <w:szCs w:val="24"/>
                <w:highlight w:val="none"/>
              </w:rPr>
              <w:t>分，较为全面（</w:t>
            </w:r>
            <w:r>
              <w:rPr>
                <w:rFonts w:hint="eastAsia" w:asciiTheme="minorEastAsia" w:hAnsiTheme="minorEastAsia" w:eastAsiaTheme="minorEastAsia" w:cstheme="minorEastAsia"/>
                <w:szCs w:val="24"/>
                <w:highlight w:val="none"/>
                <w:lang w:val="en-US" w:eastAsia="zh-CN"/>
              </w:rPr>
              <w:t>4</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val="en-US" w:eastAsia="zh-CN"/>
              </w:rPr>
              <w:t>6</w:t>
            </w:r>
            <w:r>
              <w:rPr>
                <w:rFonts w:hint="eastAsia" w:asciiTheme="minorEastAsia" w:hAnsiTheme="minorEastAsia" w:eastAsiaTheme="minorEastAsia" w:cstheme="minorEastAsia"/>
                <w:szCs w:val="24"/>
                <w:highlight w:val="none"/>
              </w:rPr>
              <w:t>]分，一般[1-</w:t>
            </w:r>
            <w:r>
              <w:rPr>
                <w:rFonts w:hint="eastAsia" w:asciiTheme="minorEastAsia" w:hAnsiTheme="minorEastAsia" w:eastAsiaTheme="minorEastAsia" w:cstheme="minorEastAsia"/>
                <w:szCs w:val="24"/>
                <w:highlight w:val="none"/>
                <w:lang w:val="en-US" w:eastAsia="zh-CN"/>
              </w:rPr>
              <w:t>4</w:t>
            </w:r>
            <w:r>
              <w:rPr>
                <w:rFonts w:hint="eastAsia" w:asciiTheme="minorEastAsia" w:hAnsiTheme="minorEastAsia" w:eastAsiaTheme="minorEastAsia" w:cstheme="minorEastAsia"/>
                <w:szCs w:val="24"/>
                <w:highlight w:val="none"/>
              </w:rPr>
              <w:t>]分，未提供不得分；</w:t>
            </w:r>
          </w:p>
          <w:p>
            <w:pPr>
              <w:pStyle w:val="45"/>
              <w:spacing w:line="560" w:lineRule="exact"/>
              <w:jc w:val="left"/>
              <w:rPr>
                <w:rFonts w:hint="eastAsia" w:asciiTheme="minorEastAsia" w:hAnsiTheme="minorEastAsia" w:eastAsiaTheme="minorEastAsia" w:cstheme="minorEastAsia"/>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vAlign w:val="center"/>
          </w:tcPr>
          <w:p>
            <w:pPr>
              <w:spacing w:line="560" w:lineRule="exact"/>
              <w:jc w:val="center"/>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color w:val="auto"/>
                <w:sz w:val="21"/>
                <w:szCs w:val="21"/>
                <w:highlight w:val="none"/>
                <w:lang w:val="en-US" w:eastAsia="zh-CN"/>
              </w:rPr>
              <w:t>培训方案</w:t>
            </w:r>
          </w:p>
        </w:tc>
        <w:tc>
          <w:tcPr>
            <w:tcW w:w="766" w:type="dxa"/>
            <w:vAlign w:val="center"/>
          </w:tcPr>
          <w:p>
            <w:pPr>
              <w:spacing w:line="560" w:lineRule="exact"/>
              <w:ind w:firstLine="240" w:firstLineChars="100"/>
              <w:jc w:val="both"/>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lang w:val="en-US" w:eastAsia="zh-CN"/>
              </w:rPr>
              <w:t>5</w:t>
            </w:r>
          </w:p>
        </w:tc>
        <w:tc>
          <w:tcPr>
            <w:tcW w:w="8084" w:type="dxa"/>
            <w:vAlign w:val="center"/>
          </w:tcPr>
          <w:p>
            <w:pPr>
              <w:spacing w:line="560" w:lineRule="exact"/>
              <w:ind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32"/>
                <w:highlight w:val="none"/>
              </w:rPr>
              <w:t>提供详尽的培训方案及培训计划，并列出培训的具体内容及方式，确保使用人员能够独立操作，并进行简单故障排查处理。全面（</w:t>
            </w:r>
            <w:r>
              <w:rPr>
                <w:rFonts w:hint="eastAsia" w:asciiTheme="minorEastAsia" w:hAnsiTheme="minorEastAsia" w:eastAsiaTheme="minorEastAsia" w:cstheme="minorEastAsia"/>
                <w:sz w:val="24"/>
                <w:szCs w:val="32"/>
                <w:highlight w:val="none"/>
                <w:lang w:val="en-US" w:eastAsia="zh-CN"/>
              </w:rPr>
              <w:t>3</w:t>
            </w:r>
            <w:r>
              <w:rPr>
                <w:rFonts w:hint="eastAsia" w:asciiTheme="minorEastAsia" w:hAnsiTheme="minorEastAsia" w:eastAsiaTheme="minorEastAsia" w:cstheme="minorEastAsia"/>
                <w:sz w:val="24"/>
                <w:szCs w:val="32"/>
                <w:highlight w:val="none"/>
              </w:rPr>
              <w:t>-5]分，较为全面（2-</w:t>
            </w:r>
            <w:r>
              <w:rPr>
                <w:rFonts w:hint="eastAsia" w:asciiTheme="minorEastAsia" w:hAnsiTheme="minorEastAsia" w:eastAsiaTheme="minorEastAsia" w:cstheme="minorEastAsia"/>
                <w:sz w:val="24"/>
                <w:szCs w:val="32"/>
                <w:highlight w:val="none"/>
                <w:lang w:val="en-US" w:eastAsia="zh-CN"/>
              </w:rPr>
              <w:t>3</w:t>
            </w:r>
            <w:r>
              <w:rPr>
                <w:rFonts w:hint="eastAsia" w:asciiTheme="minorEastAsia" w:hAnsiTheme="minorEastAsia" w:eastAsiaTheme="minorEastAsia" w:cstheme="minorEastAsia"/>
                <w:sz w:val="24"/>
                <w:szCs w:val="32"/>
                <w:highlight w:val="none"/>
              </w:rPr>
              <w:t>]分，一般[</w:t>
            </w:r>
            <w:r>
              <w:rPr>
                <w:rFonts w:hint="eastAsia" w:asciiTheme="minorEastAsia" w:hAnsiTheme="minorEastAsia" w:eastAsiaTheme="minorEastAsia" w:cstheme="minorEastAsia"/>
                <w:sz w:val="24"/>
                <w:szCs w:val="32"/>
                <w:highlight w:val="none"/>
                <w:lang w:val="en-US" w:eastAsia="zh-CN"/>
              </w:rPr>
              <w:t>0</w:t>
            </w:r>
            <w:r>
              <w:rPr>
                <w:rFonts w:hint="eastAsia" w:asciiTheme="minorEastAsia" w:hAnsiTheme="minorEastAsia" w:eastAsiaTheme="minorEastAsia" w:cstheme="minorEastAsia"/>
                <w:sz w:val="24"/>
                <w:szCs w:val="32"/>
                <w:highlight w:val="none"/>
              </w:rPr>
              <w:t>-2]分，未提供不得分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shd w:val="clear" w:color="auto" w:fill="FFFFFF"/>
            <w:vAlign w:val="center"/>
          </w:tcPr>
          <w:p>
            <w:pPr>
              <w:widowControl/>
              <w:spacing w:line="560" w:lineRule="exact"/>
              <w:ind w:right="-95"/>
              <w:jc w:val="center"/>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业绩</w:t>
            </w:r>
          </w:p>
        </w:tc>
        <w:tc>
          <w:tcPr>
            <w:tcW w:w="766" w:type="dxa"/>
            <w:shd w:val="clear" w:color="auto" w:fill="FFFFFF"/>
            <w:vAlign w:val="center"/>
          </w:tcPr>
          <w:p>
            <w:pPr>
              <w:widowControl/>
              <w:spacing w:line="560" w:lineRule="exact"/>
              <w:ind w:right="-95" w:firstLine="240" w:firstLineChars="100"/>
              <w:jc w:val="both"/>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lang w:val="en-US" w:eastAsia="zh-CN"/>
              </w:rPr>
              <w:t>3</w:t>
            </w:r>
          </w:p>
        </w:tc>
        <w:tc>
          <w:tcPr>
            <w:tcW w:w="8084" w:type="dxa"/>
            <w:shd w:val="clear" w:color="auto" w:fill="FFFFFF"/>
            <w:vAlign w:val="center"/>
          </w:tcPr>
          <w:p>
            <w:pPr>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以合同复印件形式提供投标人至今类似项目业绩，每份计1分，计满</w:t>
            </w:r>
            <w:r>
              <w:rPr>
                <w:rFonts w:hint="eastAsia" w:asciiTheme="minorEastAsia" w:hAnsiTheme="minorEastAsia" w:eastAsiaTheme="minorEastAsia" w:cstheme="minorEastAsia"/>
                <w:kern w:val="0"/>
                <w:szCs w:val="24"/>
                <w:highlight w:val="none"/>
                <w:lang w:val="en-US" w:eastAsia="zh-CN"/>
              </w:rPr>
              <w:t>3</w:t>
            </w:r>
            <w:r>
              <w:rPr>
                <w:rFonts w:hint="eastAsia" w:asciiTheme="minorEastAsia" w:hAnsiTheme="minorEastAsia" w:eastAsiaTheme="minorEastAsia" w:cstheme="minorEastAsia"/>
                <w:kern w:val="0"/>
                <w:szCs w:val="24"/>
                <w:highlight w:val="none"/>
              </w:rPr>
              <w:t>分为止。</w:t>
            </w:r>
          </w:p>
        </w:tc>
      </w:tr>
    </w:tbl>
    <w:p>
      <w:pPr>
        <w:spacing w:line="560" w:lineRule="exact"/>
        <w:rPr>
          <w:rFonts w:hint="eastAsia" w:asciiTheme="minorEastAsia" w:hAnsiTheme="minorEastAsia" w:eastAsiaTheme="minorEastAsia" w:cstheme="minorEastAsia"/>
          <w:szCs w:val="24"/>
          <w:highlight w:val="none"/>
        </w:rPr>
      </w:pP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注：1）评委打分超过得分界限或未按本方法赋分时，该评委的打分按废票处理。</w:t>
      </w:r>
    </w:p>
    <w:p>
      <w:pPr>
        <w:numPr>
          <w:ilvl w:val="0"/>
          <w:numId w:val="4"/>
        </w:num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各种计算数字均保留两位小数，第三位“四舍五入”。 </w:t>
      </w:r>
    </w:p>
    <w:p>
      <w:pPr>
        <w:spacing w:line="560" w:lineRule="exact"/>
        <w:ind w:firstLine="482"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4"/>
          <w:highlight w:val="none"/>
        </w:rPr>
        <w:t>3）特殊情况处理</w:t>
      </w:r>
      <w:r>
        <w:rPr>
          <w:rFonts w:hint="eastAsia" w:asciiTheme="minorEastAsia" w:hAnsiTheme="minorEastAsia" w:eastAsiaTheme="minorEastAsia" w:cstheme="minorEastAsia"/>
          <w:szCs w:val="24"/>
          <w:highlight w:val="none"/>
        </w:rPr>
        <w:t>：</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a、当投标人某评分项出现未报、漏报或零报价时，该分项得零分，并不参与投标报价分的计算。</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b、相同品牌产品</w:t>
      </w:r>
    </w:p>
    <w:p>
      <w:pPr>
        <w:spacing w:line="56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非单一产品采购项目，多家投标人提供的核心产品</w:t>
      </w:r>
      <w:r>
        <w:rPr>
          <w:rFonts w:hint="eastAsia" w:asciiTheme="minorEastAsia" w:hAnsiTheme="minorEastAsia" w:eastAsiaTheme="minorEastAsia" w:cstheme="minorEastAsia"/>
          <w:color w:val="auto"/>
          <w:szCs w:val="24"/>
          <w:highlight w:val="none"/>
          <w:lang w:eastAsia="zh-CN"/>
        </w:rPr>
        <w:t>（1、数据库服务器2、媒资核心服务器3、融媒体虚拟演播系统）</w:t>
      </w:r>
      <w:r>
        <w:rPr>
          <w:rFonts w:hint="eastAsia" w:asciiTheme="minorEastAsia" w:hAnsiTheme="minorEastAsia" w:eastAsiaTheme="minorEastAsia" w:cstheme="minorEastAsia"/>
          <w:color w:val="auto"/>
          <w:szCs w:val="24"/>
          <w:highlight w:val="none"/>
        </w:rPr>
        <w:t>品牌相同的，按照前款规定处理。</w:t>
      </w:r>
    </w:p>
    <w:p>
      <w:pPr>
        <w:spacing w:line="56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3-9、政府采购政策评分标准</w:t>
      </w:r>
    </w:p>
    <w:p>
      <w:pPr>
        <w:spacing w:line="560" w:lineRule="exact"/>
        <w:ind w:firstLine="597" w:firstLineChars="249"/>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3-9-1、小微企业的价格评分标准</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（1）根据《政府采购促进中小企业发展管理办法》（财库【2020】46号）的办法及</w:t>
      </w:r>
      <w:bookmarkStart w:id="33" w:name="_Toc14639"/>
      <w:r>
        <w:rPr>
          <w:rFonts w:hint="eastAsia" w:asciiTheme="minorEastAsia" w:hAnsiTheme="minorEastAsia" w:eastAsiaTheme="minorEastAsia" w:cstheme="minorEastAsia"/>
          <w:szCs w:val="24"/>
          <w:highlight w:val="none"/>
        </w:rPr>
        <w:t>《关于进一步加大政府采购支持中小企业力度的通知》（财库【2022】19号）</w:t>
      </w:r>
      <w:bookmarkEnd w:id="33"/>
      <w:r>
        <w:rPr>
          <w:rFonts w:hint="eastAsia" w:asciiTheme="minorEastAsia" w:hAnsiTheme="minorEastAsia" w:eastAsiaTheme="minorEastAsia" w:cstheme="minorEastAsia"/>
          <w:szCs w:val="24"/>
          <w:highlight w:val="none"/>
        </w:rPr>
        <w:t>的通知，对于非专门面向中小企业的项目，对小型、微型企业产品的价格给予10%的扣除，用扣除后的价格参与评审，其评标价=投标报价*（1-10%）。</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联合体共同参加非专门面向中小企业的政府采购活动，联合协议中约定，小型和微型企业的协议合同金额占到联合体协议合同金额的30%以上的，可给予联合体4%的价格扣除，用扣除后的价格参与评审，其评标价=投标报价*（1-4%）。</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参加本项目的小微企业须提供《中小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小微企业按《政府采购促进中小企业发展管理办法》的通知--财库[2020]46号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3-9-2、监狱企业的价格评分标准</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在政府采购活动中，监狱企业视同小型、微型企业，享受预留份额、评审中价格扣除等政府采购促进中小企业发展的政府采购政策。对监狱企业产品的价格给予10%的扣除，用扣除后的价格参与评审，其评标价=投标报价*（1-10%）。</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（2）监狱企业</w:t>
      </w:r>
      <w:r>
        <w:rPr>
          <w:rFonts w:hint="eastAsia" w:asciiTheme="minorEastAsia" w:hAnsiTheme="minorEastAsia" w:eastAsiaTheme="minorEastAsia" w:cstheme="minorEastAsia"/>
          <w:kern w:val="0"/>
          <w:szCs w:val="24"/>
          <w:highlight w:val="none"/>
        </w:rPr>
        <w:t xml:space="preserve">属于小型、微型企业的，不重复享受政策。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3-9-3、残疾人福利性单位的价格评分标准</w:t>
      </w:r>
    </w:p>
    <w:p>
      <w:pPr>
        <w:spacing w:line="560" w:lineRule="exact"/>
        <w:ind w:firstLine="600" w:firstLineChars="2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在政府采购活动中，残疾人福利性单位视同小型、微型企业，享受预留份额、评审中价格扣除等政府采购促进中小企业发展的政府采购政策。对残疾人福利性单位产品的价格给予10%的扣除，用扣除后的价格参与评审，其评标价=投标报价*（1-10%）。</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（2）</w:t>
      </w:r>
      <w:r>
        <w:rPr>
          <w:rFonts w:hint="eastAsia" w:asciiTheme="minorEastAsia" w:hAnsiTheme="minorEastAsia" w:eastAsiaTheme="minorEastAsia" w:cstheme="minorEastAsia"/>
          <w:kern w:val="0"/>
          <w:szCs w:val="24"/>
          <w:highlight w:val="none"/>
        </w:rPr>
        <w:t>残疾人福利性单位属于小型、微型企业的，不重复享受政策。</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（3）</w:t>
      </w:r>
      <w:r>
        <w:rPr>
          <w:rFonts w:hint="eastAsia" w:asciiTheme="minorEastAsia" w:hAnsiTheme="minorEastAsia" w:eastAsiaTheme="minorEastAsia" w:cstheme="minorEastAsia"/>
          <w:kern w:val="0"/>
          <w:szCs w:val="24"/>
          <w:highlight w:val="none"/>
        </w:rPr>
        <w:t>符合条件的残疾人福利性单位在参加政府采购活动时，应当提供本通知规定的《残疾人福利性单位声明函》，并对声明的真实性负责，</w:t>
      </w:r>
      <w:r>
        <w:rPr>
          <w:rFonts w:hint="eastAsia" w:asciiTheme="minorEastAsia" w:hAnsiTheme="minorEastAsia" w:eastAsiaTheme="minorEastAsia" w:cstheme="minorEastAsia"/>
          <w:szCs w:val="24"/>
          <w:highlight w:val="none"/>
        </w:rPr>
        <w:t>未提供的不视为</w:t>
      </w:r>
      <w:r>
        <w:rPr>
          <w:rFonts w:hint="eastAsia" w:asciiTheme="minorEastAsia" w:hAnsiTheme="minorEastAsia" w:eastAsiaTheme="minorEastAsia" w:cstheme="minorEastAsia"/>
          <w:kern w:val="0"/>
          <w:szCs w:val="24"/>
          <w:highlight w:val="none"/>
        </w:rPr>
        <w:t xml:space="preserve">残疾人福利性单位。 </w:t>
      </w:r>
    </w:p>
    <w:p>
      <w:pPr>
        <w:spacing w:line="560" w:lineRule="exact"/>
        <w:ind w:firstLine="597" w:firstLineChars="249"/>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3-9-4、节能产品、环境标志产品政策</w:t>
      </w:r>
    </w:p>
    <w:p>
      <w:pPr>
        <w:autoSpaceDE w:val="0"/>
        <w:autoSpaceDN w:val="0"/>
        <w:adjustRightInd w:val="0"/>
        <w:spacing w:line="560" w:lineRule="exact"/>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（1）根据《财政部、国家发展改革委、生态环境部、市场监管总局&lt;关于调整优化节能产品、环境标志产品政府采购执行机制&gt;的通知》的</w:t>
      </w:r>
      <w:r>
        <w:rPr>
          <w:rFonts w:hint="eastAsia" w:asciiTheme="minorEastAsia" w:hAnsiTheme="minorEastAsia" w:eastAsiaTheme="minorEastAsia" w:cstheme="minorEastAsia"/>
          <w:szCs w:val="24"/>
          <w:highlight w:val="none"/>
        </w:rPr>
        <w:t>有关规定</w:t>
      </w:r>
      <w:r>
        <w:rPr>
          <w:rFonts w:hint="eastAsia" w:asciiTheme="minorEastAsia" w:hAnsiTheme="minorEastAsia" w:eastAsiaTheme="minorEastAsia" w:cstheme="minorEastAsia"/>
          <w:bCs/>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（4）若节能、环境标志品目清单内的产品仅是构成投标产品的部件、组件或零件 </w:t>
      </w:r>
    </w:p>
    <w:p>
      <w:pPr>
        <w:autoSpaceDE w:val="0"/>
        <w:autoSpaceDN w:val="0"/>
        <w:adjustRightInd w:val="0"/>
        <w:spacing w:line="560" w:lineRule="exact"/>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的，则该投标产品不享受鼓励优惠政策。 </w:t>
      </w:r>
    </w:p>
    <w:p>
      <w:pPr>
        <w:autoSpaceDE w:val="0"/>
        <w:autoSpaceDN w:val="0"/>
        <w:adjustRightInd w:val="0"/>
        <w:spacing w:line="560" w:lineRule="exact"/>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（5）节能、环境标志产品部分计分只对属于品目清单内的非强制类产品进行计分， </w:t>
      </w:r>
    </w:p>
    <w:p>
      <w:pPr>
        <w:autoSpaceDE w:val="0"/>
        <w:autoSpaceDN w:val="0"/>
        <w:adjustRightInd w:val="0"/>
        <w:spacing w:line="560" w:lineRule="exact"/>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强制类产品不给予计分。 </w:t>
      </w:r>
    </w:p>
    <w:p>
      <w:pPr>
        <w:spacing w:line="560" w:lineRule="exact"/>
        <w:ind w:firstLine="482" w:firstLineChars="20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3-10、</w:t>
      </w:r>
      <w:bookmarkStart w:id="34" w:name="_Toc22138"/>
      <w:bookmarkStart w:id="35" w:name="_Toc14886425"/>
      <w:r>
        <w:rPr>
          <w:rFonts w:hint="eastAsia" w:asciiTheme="minorEastAsia" w:hAnsiTheme="minorEastAsia" w:eastAsiaTheme="minorEastAsia" w:cstheme="minorEastAsia"/>
          <w:b/>
          <w:highlight w:val="none"/>
        </w:rPr>
        <w:t>信用担保</w:t>
      </w:r>
      <w:bookmarkEnd w:id="34"/>
      <w:bookmarkEnd w:id="35"/>
      <w:r>
        <w:rPr>
          <w:rFonts w:hint="eastAsia" w:asciiTheme="minorEastAsia" w:hAnsiTheme="minorEastAsia" w:eastAsiaTheme="minorEastAsia" w:cstheme="minorEastAsia"/>
          <w:b/>
          <w:highlight w:val="none"/>
        </w:rPr>
        <w:t>及融资</w:t>
      </w:r>
    </w:p>
    <w:p>
      <w:pPr>
        <w:spacing w:line="560" w:lineRule="exact"/>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pacing w:line="560" w:lineRule="exact"/>
        <w:ind w:firstLine="480" w:firstLineChars="200"/>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4、</w:t>
      </w:r>
      <w:r>
        <w:rPr>
          <w:rFonts w:hint="eastAsia" w:asciiTheme="minorEastAsia" w:hAnsiTheme="minorEastAsia" w:eastAsiaTheme="minorEastAsia" w:cstheme="minorEastAsia"/>
          <w:b/>
          <w:bCs/>
          <w:szCs w:val="24"/>
          <w:highlight w:val="none"/>
        </w:rPr>
        <w:t>定标</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4-1、定标程序</w:t>
      </w:r>
    </w:p>
    <w:p>
      <w:pPr>
        <w:numPr>
          <w:ilvl w:val="0"/>
          <w:numId w:val="5"/>
        </w:num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Theme="minorEastAsia" w:hAnsiTheme="minorEastAsia" w:eastAsiaTheme="minorEastAsia" w:cstheme="minorEastAsia"/>
          <w:szCs w:val="24"/>
          <w:highlight w:val="none"/>
        </w:rPr>
        <w:t>评标</w:t>
      </w:r>
      <w:bookmarkEnd w:id="36"/>
      <w:r>
        <w:rPr>
          <w:rFonts w:hint="eastAsia" w:asciiTheme="minorEastAsia" w:hAnsiTheme="minorEastAsia" w:eastAsiaTheme="minorEastAsia" w:cstheme="minorEastAsia"/>
          <w:szCs w:val="24"/>
          <w:highlight w:val="none"/>
        </w:rPr>
        <w:t>报告。</w:t>
      </w:r>
    </w:p>
    <w:p>
      <w:pPr>
        <w:numPr>
          <w:ilvl w:val="0"/>
          <w:numId w:val="5"/>
        </w:numPr>
        <w:spacing w:line="560" w:lineRule="exact"/>
        <w:ind w:firstLine="480" w:firstLineChars="200"/>
        <w:rPr>
          <w:rFonts w:hint="eastAsia" w:asciiTheme="minorEastAsia" w:hAnsiTheme="minorEastAsia" w:eastAsiaTheme="minorEastAsia" w:cstheme="minorEastAsia"/>
          <w:szCs w:val="24"/>
          <w:highlight w:val="none"/>
        </w:rPr>
      </w:pPr>
      <w:bookmarkStart w:id="37" w:name="OLE_LINK18"/>
      <w:r>
        <w:rPr>
          <w:rFonts w:hint="eastAsia" w:asciiTheme="minorEastAsia" w:hAnsiTheme="minorEastAsia" w:eastAsiaTheme="minorEastAsia" w:cstheme="minorEastAsia"/>
          <w:szCs w:val="24"/>
          <w:highlight w:val="none"/>
        </w:rPr>
        <w:t>评标委员会成员应当在评标报告上签字，对自己的评审意见承担法律责任。</w:t>
      </w:r>
      <w:r>
        <w:rPr>
          <w:rFonts w:hint="eastAsia" w:asciiTheme="minorEastAsia" w:hAnsiTheme="minorEastAsia" w:eastAsiaTheme="minorEastAsia" w:cstheme="minorEastAsia"/>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5"/>
        </w:num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采购代理机构应当自评审结束之日起1个工作日内将评标报告送交采购人。采购人在收到评审报告4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5"/>
        </w:num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采购代理机构接到采购人的《定标复函》后，在1个工作日内，将中标结果在陕西省政府采购网上进行公告。公告发布1个工作日，其他投标人若有异议，按《政府采购法》第52条执行。</w:t>
      </w:r>
    </w:p>
    <w:p>
      <w:pPr>
        <w:spacing w:line="560" w:lineRule="exact"/>
        <w:ind w:firstLine="600" w:firstLineChars="2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Theme="minorEastAsia" w:hAnsiTheme="minorEastAsia" w:eastAsiaTheme="minorEastAsia" w:cstheme="minorEastAsia"/>
          <w:szCs w:val="24"/>
          <w:highlight w:val="none"/>
        </w:rPr>
      </w:pPr>
      <w:bookmarkStart w:id="38" w:name="_Toc458617738"/>
      <w:bookmarkStart w:id="39" w:name="_Toc458617461"/>
      <w:r>
        <w:rPr>
          <w:rFonts w:hint="eastAsia" w:asciiTheme="minorEastAsia" w:hAnsiTheme="minorEastAsia" w:eastAsiaTheme="minorEastAsia" w:cstheme="minorEastAsia"/>
          <w:b/>
          <w:szCs w:val="24"/>
          <w:highlight w:val="none"/>
        </w:rPr>
        <w:t>5、投标无效的情形：</w:t>
      </w:r>
    </w:p>
    <w:p>
      <w:p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5-1、投标文件未按招标文件要求签署、盖章的；</w:t>
      </w:r>
    </w:p>
    <w:p>
      <w:p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5-2、不具备招标文件中规定的资格要求的；</w:t>
      </w:r>
    </w:p>
    <w:p>
      <w:p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5-3、报价超过招标文件中规定的预算金额的；</w:t>
      </w:r>
    </w:p>
    <w:p>
      <w:p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5-4、投标文件含有采购人不能接受的附加条件的；</w:t>
      </w:r>
    </w:p>
    <w:p>
      <w:pPr>
        <w:adjustRightInd w:val="0"/>
        <w:snapToGri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5-5、</w:t>
      </w:r>
      <w:r>
        <w:rPr>
          <w:rFonts w:hint="eastAsia" w:asciiTheme="minorEastAsia" w:hAnsiTheme="minorEastAsia" w:eastAsiaTheme="minorEastAsia" w:cstheme="minorEastAsia"/>
          <w:kern w:val="0"/>
          <w:szCs w:val="24"/>
          <w:highlight w:val="none"/>
        </w:rPr>
        <w:t>提供虚假材料谋取中标的；</w:t>
      </w:r>
    </w:p>
    <w:p>
      <w:pPr>
        <w:adjustRightInd w:val="0"/>
        <w:snapToGri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5-6、采取不正当手段诋毁、排挤其他投标人的；</w:t>
      </w:r>
    </w:p>
    <w:p>
      <w:p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5-7、</w:t>
      </w:r>
      <w:r>
        <w:rPr>
          <w:rFonts w:hint="eastAsia" w:asciiTheme="minorEastAsia" w:hAnsiTheme="minorEastAsia" w:eastAsiaTheme="minorEastAsia" w:cstheme="minorEastAsia"/>
          <w:szCs w:val="24"/>
          <w:highlight w:val="none"/>
        </w:rPr>
        <w:t>法律、法规和招标文件规定的其他无效情形。</w:t>
      </w:r>
    </w:p>
    <w:p>
      <w:pPr>
        <w:spacing w:line="560" w:lineRule="exact"/>
        <w:ind w:firstLine="472"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6、中标通知</w:t>
      </w:r>
      <w:bookmarkEnd w:id="38"/>
      <w:bookmarkEnd w:id="39"/>
      <w:r>
        <w:rPr>
          <w:rFonts w:hint="eastAsia" w:asciiTheme="minorEastAsia" w:hAnsiTheme="minorEastAsia" w:eastAsiaTheme="minorEastAsia" w:cstheme="minorEastAsia"/>
          <w:b/>
          <w:szCs w:val="24"/>
          <w:highlight w:val="none"/>
        </w:rPr>
        <w:t>书及未中标通知书</w:t>
      </w:r>
    </w:p>
    <w:p>
      <w:p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6-2、中标人应在接到采购代理机构通知之日起七日内领取中标通知书。</w:t>
      </w:r>
      <w:bookmarkStart w:id="40" w:name="_Toc458617462"/>
      <w:bookmarkStart w:id="41" w:name="_Toc458617739"/>
      <w:bookmarkStart w:id="42" w:name="_Toc458617790"/>
    </w:p>
    <w:p>
      <w:pPr>
        <w:adjustRightInd w:val="0"/>
        <w:snapToGri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6-3、</w:t>
      </w:r>
      <w:r>
        <w:rPr>
          <w:rFonts w:hint="eastAsia" w:asciiTheme="minorEastAsia" w:hAnsiTheme="minorEastAsia" w:eastAsiaTheme="minorEastAsia" w:cstheme="minorEastAsia"/>
          <w:kern w:val="0"/>
          <w:szCs w:val="24"/>
          <w:highlight w:val="none"/>
        </w:rPr>
        <w:t>中标通知书发出后，采购人不得违法改变中标结果，中标人无正当理由不得弃中标。</w:t>
      </w:r>
    </w:p>
    <w:p>
      <w:pPr>
        <w:pStyle w:val="4"/>
        <w:spacing w:line="560" w:lineRule="exact"/>
        <w:rPr>
          <w:rFonts w:hint="eastAsia" w:asciiTheme="minorEastAsia" w:hAnsiTheme="minorEastAsia" w:eastAsiaTheme="minorEastAsia" w:cstheme="minorEastAsia"/>
          <w:kern w:val="0"/>
          <w:sz w:val="28"/>
          <w:szCs w:val="28"/>
          <w:highlight w:val="none"/>
        </w:rPr>
      </w:pPr>
      <w:bookmarkStart w:id="43" w:name="_Toc18470"/>
      <w:r>
        <w:rPr>
          <w:rFonts w:hint="eastAsia" w:asciiTheme="minorEastAsia" w:hAnsiTheme="minorEastAsia" w:eastAsiaTheme="minorEastAsia" w:cstheme="minorEastAsia"/>
          <w:kern w:val="0"/>
          <w:sz w:val="28"/>
          <w:szCs w:val="28"/>
          <w:highlight w:val="none"/>
          <w:lang w:val="en-US" w:eastAsia="zh-CN"/>
        </w:rPr>
        <w:t>七</w:t>
      </w:r>
      <w:r>
        <w:rPr>
          <w:rFonts w:hint="eastAsia" w:asciiTheme="minorEastAsia" w:hAnsiTheme="minorEastAsia" w:eastAsiaTheme="minorEastAsia" w:cstheme="minorEastAsia"/>
          <w:kern w:val="0"/>
          <w:sz w:val="28"/>
          <w:szCs w:val="28"/>
          <w:highlight w:val="none"/>
        </w:rPr>
        <w:t>、合同</w:t>
      </w:r>
      <w:bookmarkEnd w:id="40"/>
      <w:bookmarkEnd w:id="41"/>
      <w:bookmarkEnd w:id="42"/>
      <w:bookmarkEnd w:id="43"/>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1、中标人在收到中标通知书后三十（30）个日历日内，应按招标文件的要求与采购人签订合同。</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2、中标人因自身原因不按规定与采购人签订供货合同或者拒绝与采购人签订合同的，则采购人将废除授标。给采购人造成损失的，应当予以赔偿，并依法承担相应法律责任。</w:t>
      </w:r>
      <w:r>
        <w:rPr>
          <w:rFonts w:hint="eastAsia" w:asciiTheme="minorEastAsia" w:hAnsiTheme="minorEastAsia" w:eastAsiaTheme="minorEastAsia" w:cstheme="minorEastAsia"/>
          <w:highlight w:val="none"/>
        </w:rPr>
        <w:t>同时，采购人可以按照评审报告推荐的中标候选人名单排序，确定下一候选人为中标人，</w:t>
      </w:r>
      <w:r>
        <w:rPr>
          <w:rFonts w:hint="eastAsia" w:asciiTheme="minorEastAsia" w:hAnsiTheme="minorEastAsia" w:eastAsiaTheme="minorEastAsia" w:cstheme="minorEastAsia"/>
          <w:szCs w:val="24"/>
          <w:highlight w:val="none"/>
        </w:rPr>
        <w:t>以此类推，</w:t>
      </w:r>
      <w:r>
        <w:rPr>
          <w:rFonts w:hint="eastAsia" w:asciiTheme="minorEastAsia" w:hAnsiTheme="minorEastAsia" w:eastAsiaTheme="minorEastAsia" w:cstheme="minorEastAsia"/>
          <w:highlight w:val="none"/>
        </w:rPr>
        <w:t>也可以重新开展政府采购活动。</w:t>
      </w:r>
      <w:r>
        <w:rPr>
          <w:rFonts w:hint="eastAsia" w:asciiTheme="minorEastAsia" w:hAnsiTheme="minorEastAsia" w:eastAsiaTheme="minorEastAsia" w:cstheme="minorEastAsia"/>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管理办法》的通知--财库[2020]46号规定的政策获取政府采购合同后，小型、微型企业不得分包或转包给大型、中型企业，中型企业不得分包或转包给大型企业。</w:t>
      </w:r>
    </w:p>
    <w:p>
      <w:pPr>
        <w:spacing w:line="560" w:lineRule="exact"/>
        <w:ind w:left="480" w:left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5、所签订的合同不得对招标文件确定的事项和中标人投标文件作实质性修改。</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463"/>
      <w:bookmarkStart w:id="45" w:name="_Toc458617740"/>
    </w:p>
    <w:p>
      <w:pPr>
        <w:pStyle w:val="4"/>
        <w:spacing w:line="560" w:lineRule="exact"/>
        <w:rPr>
          <w:rFonts w:hint="eastAsia" w:asciiTheme="minorEastAsia" w:hAnsiTheme="minorEastAsia" w:eastAsiaTheme="minorEastAsia" w:cstheme="minorEastAsia"/>
          <w:kern w:val="0"/>
          <w:sz w:val="28"/>
          <w:szCs w:val="28"/>
          <w:highlight w:val="none"/>
        </w:rPr>
      </w:pPr>
      <w:bookmarkStart w:id="46" w:name="_Toc1740"/>
      <w:r>
        <w:rPr>
          <w:rFonts w:hint="eastAsia" w:asciiTheme="minorEastAsia" w:hAnsiTheme="minorEastAsia" w:eastAsiaTheme="minorEastAsia" w:cstheme="minorEastAsia"/>
          <w:kern w:val="0"/>
          <w:sz w:val="28"/>
          <w:szCs w:val="28"/>
          <w:highlight w:val="none"/>
          <w:lang w:val="en-US" w:eastAsia="zh-CN"/>
        </w:rPr>
        <w:t>八</w:t>
      </w:r>
      <w:r>
        <w:rPr>
          <w:rFonts w:hint="eastAsia" w:asciiTheme="minorEastAsia" w:hAnsiTheme="minorEastAsia" w:eastAsiaTheme="minorEastAsia" w:cstheme="minorEastAsia"/>
          <w:kern w:val="0"/>
          <w:sz w:val="28"/>
          <w:szCs w:val="28"/>
          <w:highlight w:val="none"/>
        </w:rPr>
        <w:t>、合同的履约验收</w:t>
      </w:r>
      <w:bookmarkEnd w:id="46"/>
    </w:p>
    <w:p>
      <w:pPr>
        <w:spacing w:line="56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hint="eastAsia" w:asciiTheme="minorEastAsia" w:hAnsiTheme="minorEastAsia" w:eastAsiaTheme="minorEastAsia" w:cstheme="minorEastAsia"/>
          <w:kern w:val="0"/>
          <w:sz w:val="28"/>
          <w:szCs w:val="28"/>
          <w:highlight w:val="none"/>
        </w:rPr>
      </w:pPr>
      <w:bookmarkStart w:id="47" w:name="_Toc13047"/>
      <w:r>
        <w:rPr>
          <w:rFonts w:hint="eastAsia" w:asciiTheme="minorEastAsia" w:hAnsiTheme="minorEastAsia" w:eastAsiaTheme="minorEastAsia" w:cstheme="minorEastAsia"/>
          <w:kern w:val="0"/>
          <w:sz w:val="28"/>
          <w:szCs w:val="28"/>
          <w:highlight w:val="none"/>
          <w:lang w:val="en-US" w:eastAsia="zh-CN"/>
        </w:rPr>
        <w:t>九</w:t>
      </w:r>
      <w:r>
        <w:rPr>
          <w:rFonts w:hint="eastAsia" w:asciiTheme="minorEastAsia" w:hAnsiTheme="minorEastAsia" w:eastAsiaTheme="minorEastAsia" w:cstheme="minorEastAsia"/>
          <w:kern w:val="0"/>
          <w:sz w:val="28"/>
          <w:szCs w:val="28"/>
          <w:highlight w:val="none"/>
        </w:rPr>
        <w:t>、招标服务费</w:t>
      </w:r>
      <w:bookmarkEnd w:id="44"/>
      <w:bookmarkEnd w:id="45"/>
      <w:bookmarkEnd w:id="47"/>
    </w:p>
    <w:p>
      <w:pPr>
        <w:spacing w:line="56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Cs w:val="24"/>
          <w:highlight w:val="none"/>
        </w:rPr>
        <w:t>1、</w:t>
      </w:r>
      <w:r>
        <w:rPr>
          <w:rFonts w:hint="eastAsia" w:asciiTheme="minorEastAsia" w:hAnsiTheme="minorEastAsia" w:eastAsiaTheme="minorEastAsia" w:cstheme="minorEastAsia"/>
          <w:color w:val="auto"/>
          <w:szCs w:val="24"/>
          <w:highlight w:val="none"/>
        </w:rPr>
        <w:t>中标人在领取中标通知书时，</w:t>
      </w:r>
      <w:bookmarkStart w:id="48" w:name="_Toc193187089"/>
      <w:bookmarkStart w:id="49" w:name="_Toc194663910"/>
      <w:bookmarkStart w:id="50" w:name="_Toc193126874"/>
      <w:bookmarkStart w:id="51" w:name="_Toc188808820"/>
      <w:r>
        <w:rPr>
          <w:rFonts w:hint="eastAsia" w:asciiTheme="minorEastAsia" w:hAnsiTheme="minorEastAsia" w:eastAsiaTheme="minorEastAsia" w:cstheme="minorEastAsia"/>
          <w:color w:val="auto"/>
          <w:szCs w:val="24"/>
          <w:highlight w:val="none"/>
        </w:rPr>
        <w:t>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w:t>
      </w:r>
      <w:r>
        <w:rPr>
          <w:rFonts w:hint="eastAsia" w:asciiTheme="minorEastAsia" w:hAnsiTheme="minorEastAsia" w:eastAsiaTheme="minorEastAsia" w:cstheme="minorEastAsia"/>
          <w:color w:val="auto"/>
          <w:szCs w:val="24"/>
          <w:highlight w:val="none"/>
          <w:lang w:val="en-US" w:eastAsia="zh-CN"/>
        </w:rPr>
        <w:t>计算为贰万贰仟零肆拾元整（人民币22040元）</w:t>
      </w:r>
      <w:r>
        <w:rPr>
          <w:rFonts w:hint="eastAsia" w:asciiTheme="minorEastAsia" w:hAnsiTheme="minorEastAsia" w:eastAsiaTheme="minorEastAsia" w:cstheme="minorEastAsia"/>
          <w:color w:val="auto"/>
          <w:szCs w:val="24"/>
          <w:highlight w:val="none"/>
        </w:rPr>
        <w:t>，向</w:t>
      </w:r>
      <w:r>
        <w:rPr>
          <w:rFonts w:hint="eastAsia" w:asciiTheme="minorEastAsia" w:hAnsiTheme="minorEastAsia" w:eastAsiaTheme="minorEastAsia" w:cstheme="minorEastAsia"/>
          <w:color w:val="auto"/>
          <w:szCs w:val="24"/>
          <w:highlight w:val="none"/>
          <w:lang w:eastAsia="zh-CN"/>
        </w:rPr>
        <w:t>陕西中磊工程项目管理有限公司</w:t>
      </w:r>
      <w:r>
        <w:rPr>
          <w:rFonts w:hint="eastAsia" w:asciiTheme="minorEastAsia" w:hAnsiTheme="minorEastAsia" w:eastAsiaTheme="minorEastAsia" w:cstheme="minorEastAsia"/>
          <w:color w:val="auto"/>
          <w:szCs w:val="24"/>
          <w:highlight w:val="none"/>
        </w:rPr>
        <w:t>交纳招标服务费。</w:t>
      </w:r>
    </w:p>
    <w:p>
      <w:pPr>
        <w:spacing w:line="56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2、招标服务费应采用转账、现金形式交纳。</w:t>
      </w:r>
    </w:p>
    <w:p>
      <w:pPr>
        <w:pStyle w:val="4"/>
        <w:spacing w:line="560" w:lineRule="exact"/>
        <w:rPr>
          <w:rFonts w:hint="eastAsia" w:asciiTheme="minorEastAsia" w:hAnsiTheme="minorEastAsia" w:eastAsiaTheme="minorEastAsia" w:cstheme="minorEastAsia"/>
          <w:kern w:val="0"/>
          <w:sz w:val="28"/>
          <w:szCs w:val="28"/>
          <w:highlight w:val="none"/>
        </w:rPr>
      </w:pPr>
      <w:bookmarkStart w:id="52" w:name="_Toc458617464"/>
      <w:bookmarkStart w:id="53" w:name="_Toc458617741"/>
      <w:bookmarkStart w:id="54" w:name="_Toc2066"/>
      <w:r>
        <w:rPr>
          <w:rFonts w:hint="eastAsia" w:asciiTheme="minorEastAsia" w:hAnsiTheme="minorEastAsia" w:eastAsiaTheme="minorEastAsia" w:cstheme="minorEastAsia"/>
          <w:kern w:val="0"/>
          <w:sz w:val="28"/>
          <w:szCs w:val="28"/>
          <w:highlight w:val="none"/>
        </w:rPr>
        <w:t>十、</w:t>
      </w:r>
      <w:bookmarkEnd w:id="48"/>
      <w:bookmarkEnd w:id="49"/>
      <w:bookmarkEnd w:id="50"/>
      <w:bookmarkEnd w:id="51"/>
      <w:bookmarkEnd w:id="52"/>
      <w:bookmarkEnd w:id="53"/>
      <w:r>
        <w:rPr>
          <w:rFonts w:hint="eastAsia" w:asciiTheme="minorEastAsia" w:hAnsiTheme="minorEastAsia" w:eastAsiaTheme="minorEastAsia" w:cstheme="minorEastAsia"/>
          <w:kern w:val="0"/>
          <w:sz w:val="28"/>
          <w:szCs w:val="28"/>
          <w:highlight w:val="none"/>
        </w:rPr>
        <w:t>重新组织采购活动</w:t>
      </w:r>
      <w:bookmarkEnd w:id="54"/>
    </w:p>
    <w:p>
      <w:pPr>
        <w:spacing w:line="560" w:lineRule="exact"/>
        <w:ind w:firstLine="720" w:firstLineChars="3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Theme="minorEastAsia" w:hAnsiTheme="minorEastAsia" w:eastAsiaTheme="minorEastAsia" w:cstheme="minorEastAsia"/>
          <w:kern w:val="96"/>
          <w:szCs w:val="24"/>
          <w:highlight w:val="none"/>
        </w:rPr>
      </w:pPr>
      <w:r>
        <w:rPr>
          <w:rFonts w:hint="eastAsia" w:asciiTheme="minorEastAsia" w:hAnsiTheme="minorEastAsia" w:eastAsiaTheme="minorEastAsia" w:cstheme="minorEastAsia"/>
          <w:kern w:val="96"/>
          <w:szCs w:val="24"/>
          <w:highlight w:val="none"/>
        </w:rPr>
        <w:t>（1）因重大变故，采购任务取消的；</w:t>
      </w:r>
    </w:p>
    <w:p>
      <w:pPr>
        <w:spacing w:line="560" w:lineRule="exact"/>
        <w:ind w:firstLine="480"/>
        <w:rPr>
          <w:rFonts w:hint="eastAsia" w:asciiTheme="minorEastAsia" w:hAnsiTheme="minorEastAsia" w:eastAsiaTheme="minorEastAsia" w:cstheme="minorEastAsia"/>
          <w:kern w:val="96"/>
          <w:szCs w:val="24"/>
          <w:highlight w:val="none"/>
        </w:rPr>
      </w:pPr>
      <w:r>
        <w:rPr>
          <w:rFonts w:hint="eastAsia" w:asciiTheme="minorEastAsia" w:hAnsiTheme="minorEastAsia" w:eastAsiaTheme="minorEastAsia" w:cstheme="minorEastAsia"/>
          <w:kern w:val="96"/>
          <w:szCs w:val="24"/>
          <w:highlight w:val="none"/>
        </w:rPr>
        <w:t>（2）招标文件存在不合理条款或者招标程序不符合规定的；</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96"/>
          <w:szCs w:val="24"/>
          <w:highlight w:val="none"/>
        </w:rPr>
        <w:t>（3）</w:t>
      </w:r>
      <w:r>
        <w:rPr>
          <w:rFonts w:hint="eastAsia" w:asciiTheme="minorEastAsia" w:hAnsiTheme="minorEastAsia" w:eastAsiaTheme="minorEastAsia" w:cstheme="minorEastAsia"/>
          <w:szCs w:val="24"/>
          <w:highlight w:val="none"/>
        </w:rPr>
        <w:t>出现影响采购公正的违法、违规行为的；</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（4）投标截止后投标人不足3家或者通过资格审查或符合性审查的投标人不足3家的；</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（5）所有投标人的报价均超出采购预算或最高限价，采购人不能支付的。</w:t>
      </w:r>
    </w:p>
    <w:p>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Cs w:val="24"/>
          <w:highlight w:val="none"/>
          <w:lang w:val="en-US" w:eastAsia="zh-CN"/>
        </w:rPr>
        <w:t xml:space="preserve">    </w:t>
      </w:r>
    </w:p>
    <w:p>
      <w:pPr>
        <w:pStyle w:val="4"/>
        <w:tabs>
          <w:tab w:val="left" w:pos="6899"/>
        </w:tabs>
        <w:spacing w:line="560" w:lineRule="exact"/>
        <w:rPr>
          <w:rFonts w:hint="eastAsia" w:asciiTheme="minorEastAsia" w:hAnsiTheme="minorEastAsia" w:eastAsiaTheme="minorEastAsia" w:cstheme="minorEastAsia"/>
          <w:kern w:val="0"/>
          <w:sz w:val="28"/>
          <w:szCs w:val="28"/>
          <w:highlight w:val="none"/>
        </w:rPr>
      </w:pPr>
      <w:bookmarkStart w:id="55" w:name="_Toc458617465"/>
      <w:bookmarkStart w:id="56" w:name="_Toc458617742"/>
      <w:bookmarkStart w:id="57" w:name="_Toc1563"/>
      <w:r>
        <w:rPr>
          <w:rFonts w:hint="eastAsia" w:asciiTheme="minorEastAsia" w:hAnsiTheme="minorEastAsia" w:eastAsiaTheme="minorEastAsia" w:cstheme="minorEastAsia"/>
          <w:kern w:val="0"/>
          <w:sz w:val="28"/>
          <w:szCs w:val="28"/>
          <w:highlight w:val="none"/>
        </w:rPr>
        <w:t>十</w:t>
      </w:r>
      <w:r>
        <w:rPr>
          <w:rFonts w:hint="eastAsia" w:asciiTheme="minorEastAsia" w:hAnsiTheme="minorEastAsia" w:eastAsiaTheme="minorEastAsia" w:cstheme="minorEastAsia"/>
          <w:kern w:val="0"/>
          <w:sz w:val="28"/>
          <w:szCs w:val="28"/>
          <w:highlight w:val="none"/>
          <w:lang w:val="en-US" w:eastAsia="zh-CN"/>
        </w:rPr>
        <w:t>一</w:t>
      </w:r>
      <w:r>
        <w:rPr>
          <w:rFonts w:hint="eastAsia" w:asciiTheme="minorEastAsia" w:hAnsiTheme="minorEastAsia" w:eastAsiaTheme="minorEastAsia" w:cstheme="minorEastAsia"/>
          <w:kern w:val="0"/>
          <w:sz w:val="28"/>
          <w:szCs w:val="28"/>
          <w:highlight w:val="none"/>
        </w:rPr>
        <w:t>、</w:t>
      </w:r>
      <w:bookmarkEnd w:id="55"/>
      <w:bookmarkEnd w:id="56"/>
      <w:bookmarkStart w:id="58" w:name="_Toc458617466"/>
      <w:bookmarkStart w:id="59" w:name="_Toc458617743"/>
      <w:r>
        <w:rPr>
          <w:rFonts w:hint="eastAsia" w:asciiTheme="minorEastAsia" w:hAnsiTheme="minorEastAsia" w:eastAsiaTheme="minorEastAsia" w:cstheme="minorEastAsia"/>
          <w:kern w:val="0"/>
          <w:sz w:val="28"/>
          <w:szCs w:val="28"/>
          <w:highlight w:val="none"/>
        </w:rPr>
        <w:t>询问、质疑与投诉</w:t>
      </w:r>
      <w:bookmarkEnd w:id="57"/>
      <w:r>
        <w:rPr>
          <w:rFonts w:hint="eastAsia" w:asciiTheme="minorEastAsia" w:hAnsiTheme="minorEastAsia" w:eastAsiaTheme="minorEastAsia" w:cstheme="minorEastAsia"/>
          <w:kern w:val="0"/>
          <w:sz w:val="28"/>
          <w:szCs w:val="28"/>
          <w:highlight w:val="none"/>
        </w:rPr>
        <w:tab/>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1、询问</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投标人对政府采购活动事项有疑问的，可以向采购人、采购代理机构提出询问。</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2、质疑</w:t>
      </w:r>
    </w:p>
    <w:p>
      <w:pPr>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560" w:lineRule="exact"/>
        <w:ind w:firstLine="480" w:firstLineChars="200"/>
        <w:rPr>
          <w:rFonts w:hint="eastAsia" w:asciiTheme="minorEastAsia" w:hAnsiTheme="minorEastAsia" w:eastAsiaTheme="minorEastAsia" w:cstheme="minorEastAsia"/>
          <w:spacing w:val="-11"/>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spacing w:val="-11"/>
          <w:highlight w:val="none"/>
        </w:rPr>
        <w:t>对采购文件提出质疑的，为收到采购文件之日或者采购文件公告期限届满之日；</w:t>
      </w:r>
    </w:p>
    <w:p>
      <w:pPr>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（2）对采购过程提出质疑的，为各采购程序环节结束之日；</w:t>
      </w:r>
    </w:p>
    <w:p>
      <w:pPr>
        <w:spacing w:line="560" w:lineRule="exact"/>
        <w:ind w:firstLine="240" w:firstLineChars="100"/>
        <w:jc w:val="center"/>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highlight w:val="none"/>
        </w:rPr>
        <w:t xml:space="preserve">  （3）对中标或者成交结果提出质疑的，为中标或者成交结果公告期限届满之日。</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highlight w:val="none"/>
        </w:rPr>
        <w:t>2-2、投标人须在法</w:t>
      </w:r>
      <w:r>
        <w:rPr>
          <w:rFonts w:hint="eastAsia" w:asciiTheme="minorEastAsia" w:hAnsiTheme="minorEastAsia" w:eastAsiaTheme="minorEastAsia" w:cstheme="minorEastAsia"/>
          <w:szCs w:val="24"/>
          <w:highlight w:val="none"/>
        </w:rPr>
        <w:t>定质疑期内一次性提出针对同一采购程序环节的质疑。</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2-3、投标人须按照财政部发布的《政府采购供应商质疑函范本》及其制作说明提出质疑，详见“中国政府采购网（www.ccgp.gov.cn）”下载专区。</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2-6、投标人应在法定期限内以书面形式提出质疑，联系人： </w:t>
      </w:r>
      <w:r>
        <w:rPr>
          <w:rFonts w:hint="eastAsia" w:asciiTheme="minorEastAsia" w:hAnsiTheme="minorEastAsia" w:eastAsiaTheme="minorEastAsia" w:cstheme="minorEastAsia"/>
          <w:szCs w:val="24"/>
          <w:highlight w:val="none"/>
          <w:lang w:eastAsia="zh-CN"/>
        </w:rPr>
        <w:t>李工</w:t>
      </w:r>
      <w:r>
        <w:rPr>
          <w:rFonts w:hint="eastAsia" w:asciiTheme="minorEastAsia" w:hAnsiTheme="minorEastAsia" w:eastAsiaTheme="minorEastAsia" w:cstheme="minorEastAsia"/>
          <w:szCs w:val="24"/>
          <w:highlight w:val="none"/>
        </w:rPr>
        <w:t>，联系方式：</w:t>
      </w:r>
      <w:r>
        <w:rPr>
          <w:rFonts w:hint="eastAsia" w:asciiTheme="minorEastAsia" w:hAnsiTheme="minorEastAsia" w:eastAsiaTheme="minorEastAsia" w:cstheme="minorEastAsia"/>
          <w:szCs w:val="24"/>
          <w:highlight w:val="none"/>
          <w:lang w:eastAsia="zh-CN"/>
        </w:rPr>
        <w:t>029-88215577</w:t>
      </w:r>
      <w:r>
        <w:rPr>
          <w:rFonts w:hint="eastAsia" w:asciiTheme="minorEastAsia" w:hAnsiTheme="minorEastAsia" w:eastAsiaTheme="minorEastAsia" w:cstheme="minorEastAsia"/>
          <w:szCs w:val="24"/>
          <w:highlight w:val="none"/>
        </w:rPr>
        <w:t>，地址：</w:t>
      </w:r>
      <w:r>
        <w:rPr>
          <w:rFonts w:hint="eastAsia" w:asciiTheme="minorEastAsia" w:hAnsiTheme="minorEastAsia" w:eastAsiaTheme="minorEastAsia" w:cstheme="minorEastAsia"/>
          <w:szCs w:val="24"/>
          <w:highlight w:val="none"/>
          <w:lang w:eastAsia="zh-CN"/>
        </w:rPr>
        <w:t>陕西中磊工程项目管理有限公司</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zCs w:val="24"/>
          <w:highlight w:val="none"/>
          <w:lang w:eastAsia="zh-CN"/>
        </w:rPr>
        <w:t>西安市雁塔区科技三路融城云谷B座1804室</w:t>
      </w:r>
      <w:r>
        <w:rPr>
          <w:rFonts w:hint="eastAsia" w:asciiTheme="minorEastAsia" w:hAnsiTheme="minorEastAsia" w:eastAsiaTheme="minorEastAsia" w:cstheme="minorEastAsia"/>
          <w:szCs w:val="24"/>
          <w:highlight w:val="none"/>
        </w:rPr>
        <w:t>）。</w:t>
      </w:r>
    </w:p>
    <w:p>
      <w:pPr>
        <w:spacing w:line="5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3、投诉</w:t>
      </w:r>
    </w:p>
    <w:p>
      <w:pPr>
        <w:pStyle w:val="43"/>
        <w:spacing w:line="560" w:lineRule="exact"/>
        <w:ind w:firstLine="480"/>
        <w:rPr>
          <w:rFonts w:hint="eastAsia" w:asciiTheme="minorEastAsia" w:hAnsiTheme="minorEastAsia" w:eastAsiaTheme="minorEastAsia" w:cstheme="minorEastAsia"/>
          <w:kern w:val="2"/>
          <w:sz w:val="24"/>
          <w:szCs w:val="20"/>
          <w:highlight w:val="none"/>
        </w:rPr>
      </w:pPr>
      <w:r>
        <w:rPr>
          <w:rFonts w:hint="eastAsia" w:asciiTheme="minorEastAsia" w:hAnsiTheme="minorEastAsia" w:eastAsiaTheme="minorEastAsia" w:cstheme="minorEastAsia"/>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43"/>
        <w:spacing w:line="560" w:lineRule="exact"/>
        <w:ind w:firstLine="480"/>
        <w:rPr>
          <w:rFonts w:hint="eastAsia" w:asciiTheme="minorEastAsia" w:hAnsiTheme="minorEastAsia" w:eastAsiaTheme="minorEastAsia" w:cstheme="minorEastAsia"/>
          <w:kern w:val="2"/>
          <w:sz w:val="24"/>
          <w:szCs w:val="20"/>
          <w:highlight w:val="none"/>
        </w:rPr>
      </w:pPr>
      <w:r>
        <w:rPr>
          <w:rFonts w:hint="eastAsia" w:asciiTheme="minorEastAsia" w:hAnsiTheme="minorEastAsia" w:eastAsiaTheme="minorEastAsia" w:cstheme="minorEastAsia"/>
          <w:kern w:val="2"/>
          <w:sz w:val="24"/>
          <w:szCs w:val="20"/>
          <w:highlight w:val="none"/>
        </w:rPr>
        <w:t>3-2、本项目质疑投标人对采购人、采购代理机构的答复不满意或者采购人、采购代理机构未在规定时间内作出答复的，可在15个工作日内向</w:t>
      </w:r>
      <w:r>
        <w:rPr>
          <w:rFonts w:hint="eastAsia" w:asciiTheme="minorEastAsia" w:hAnsiTheme="minorEastAsia" w:eastAsiaTheme="minorEastAsia" w:cstheme="minorEastAsia"/>
          <w:kern w:val="2"/>
          <w:sz w:val="24"/>
          <w:szCs w:val="20"/>
          <w:highlight w:val="none"/>
          <w:u w:val="single"/>
          <w:lang w:eastAsia="zh-CN"/>
        </w:rPr>
        <w:t>西安市高陵区财政局</w:t>
      </w:r>
      <w:r>
        <w:rPr>
          <w:rFonts w:hint="eastAsia" w:asciiTheme="minorEastAsia" w:hAnsiTheme="minorEastAsia" w:eastAsiaTheme="minorEastAsia" w:cstheme="minorEastAsia"/>
          <w:kern w:val="2"/>
          <w:sz w:val="24"/>
          <w:szCs w:val="20"/>
          <w:highlight w:val="none"/>
        </w:rPr>
        <w:t>提起投诉。</w:t>
      </w:r>
    </w:p>
    <w:p>
      <w:pPr>
        <w:pStyle w:val="4"/>
        <w:spacing w:line="560" w:lineRule="exact"/>
        <w:rPr>
          <w:rFonts w:hint="eastAsia" w:asciiTheme="minorEastAsia" w:hAnsiTheme="minorEastAsia" w:eastAsiaTheme="minorEastAsia" w:cstheme="minorEastAsia"/>
          <w:kern w:val="0"/>
          <w:sz w:val="28"/>
          <w:szCs w:val="28"/>
          <w:highlight w:val="none"/>
        </w:rPr>
      </w:pPr>
      <w:bookmarkStart w:id="60" w:name="_Toc13668"/>
      <w:r>
        <w:rPr>
          <w:rFonts w:hint="eastAsia" w:asciiTheme="minorEastAsia" w:hAnsiTheme="minorEastAsia" w:eastAsiaTheme="minorEastAsia" w:cstheme="minorEastAsia"/>
          <w:kern w:val="0"/>
          <w:sz w:val="28"/>
          <w:szCs w:val="28"/>
          <w:highlight w:val="none"/>
        </w:rPr>
        <w:t>十</w:t>
      </w:r>
      <w:r>
        <w:rPr>
          <w:rFonts w:hint="eastAsia" w:asciiTheme="minorEastAsia" w:hAnsiTheme="minorEastAsia" w:eastAsiaTheme="minorEastAsia" w:cstheme="minorEastAsia"/>
          <w:kern w:val="0"/>
          <w:sz w:val="28"/>
          <w:szCs w:val="28"/>
          <w:highlight w:val="none"/>
          <w:lang w:val="en-US" w:eastAsia="zh-CN"/>
        </w:rPr>
        <w:t>二</w:t>
      </w:r>
      <w:r>
        <w:rPr>
          <w:rFonts w:hint="eastAsia" w:asciiTheme="minorEastAsia" w:hAnsiTheme="minorEastAsia" w:eastAsiaTheme="minorEastAsia" w:cstheme="minorEastAsia"/>
          <w:kern w:val="0"/>
          <w:sz w:val="28"/>
          <w:szCs w:val="28"/>
          <w:highlight w:val="none"/>
        </w:rPr>
        <w:t>、拒绝商业贿赂</w:t>
      </w:r>
      <w:bookmarkEnd w:id="58"/>
      <w:bookmarkEnd w:id="59"/>
      <w:bookmarkEnd w:id="60"/>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1、遵照陕西省财政厅的规定，采购人、采购代理机构、投标人和评审专家在招投标活动中，都要签订相应的《拒绝政府采购领域商业贿赂承诺书》，并对违反承诺的行为承担全部责任。</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2、投标人必须填写《拒绝政府采购领域商业贿赂承诺书》并附在投标文件中，同时应保证投标文件正、副本中一致。</w:t>
      </w:r>
    </w:p>
    <w:p>
      <w:pPr>
        <w:pStyle w:val="3"/>
        <w:spacing w:line="560" w:lineRule="exact"/>
        <w:rPr>
          <w:rFonts w:hint="eastAsia" w:asciiTheme="minorEastAsia" w:hAnsiTheme="minorEastAsia" w:eastAsiaTheme="minorEastAsia" w:cstheme="minorEastAsia"/>
          <w:kern w:val="0"/>
          <w:highlight w:val="none"/>
        </w:rPr>
        <w:sectPr>
          <w:footerReference r:id="rId17" w:type="first"/>
          <w:footerReference r:id="rId16" w:type="default"/>
          <w:pgSz w:w="11905" w:h="16840"/>
          <w:pgMar w:top="1417" w:right="1417" w:bottom="1417" w:left="1417" w:header="935" w:footer="771" w:gutter="0"/>
          <w:pgNumType w:fmt="numberInDash" w:start="1"/>
          <w:cols w:space="0" w:num="1"/>
          <w:titlePg/>
          <w:docGrid w:linePitch="312" w:charSpace="0"/>
        </w:sectPr>
      </w:pPr>
      <w:bookmarkStart w:id="61" w:name="_Toc458617467"/>
      <w:bookmarkStart w:id="62" w:name="_Toc458617744"/>
    </w:p>
    <w:p>
      <w:pPr>
        <w:pStyle w:val="3"/>
        <w:numPr>
          <w:ilvl w:val="0"/>
          <w:numId w:val="6"/>
        </w:numPr>
        <w:spacing w:line="480" w:lineRule="auto"/>
        <w:jc w:val="center"/>
        <w:rPr>
          <w:rFonts w:hint="eastAsia" w:asciiTheme="minorEastAsia" w:hAnsiTheme="minorEastAsia" w:eastAsiaTheme="minorEastAsia" w:cstheme="minorEastAsia"/>
          <w:spacing w:val="-3"/>
          <w:sz w:val="44"/>
          <w:szCs w:val="44"/>
        </w:rPr>
      </w:pPr>
      <w:bookmarkStart w:id="63" w:name="_Toc1808"/>
      <w:r>
        <w:rPr>
          <w:rFonts w:hint="eastAsia" w:asciiTheme="minorEastAsia" w:hAnsiTheme="minorEastAsia" w:eastAsiaTheme="minorEastAsia" w:cstheme="minorEastAsia"/>
          <w:kern w:val="0"/>
          <w:highlight w:val="none"/>
        </w:rPr>
        <w:t>采购内容及技术要求</w:t>
      </w:r>
      <w:bookmarkEnd w:id="61"/>
      <w:bookmarkEnd w:id="62"/>
      <w:bookmarkEnd w:id="63"/>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第一项概述</w:t>
      </w:r>
    </w:p>
    <w:p>
      <w:pPr>
        <w:pStyle w:val="25"/>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napToGrid/>
          <w:color w:val="auto"/>
          <w:kern w:val="0"/>
          <w:sz w:val="28"/>
          <w:lang w:val="en-US" w:eastAsia="zh-CN" w:bidi="zh-CN"/>
        </w:rPr>
        <w:t>高陵区概况</w:t>
      </w:r>
    </w:p>
    <w:p>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高陵区位于陕西省关中平原腹地，泾河、渭河两岸，西安市辖域北部。位于东经</w:t>
      </w:r>
      <w:r>
        <w:rPr>
          <w:rFonts w:hint="eastAsia" w:asciiTheme="minorEastAsia" w:hAnsiTheme="minorEastAsia" w:eastAsiaTheme="minorEastAsia" w:cstheme="minorEastAsia"/>
          <w:color w:val="auto"/>
          <w:spacing w:val="-14"/>
          <w:sz w:val="24"/>
          <w:szCs w:val="24"/>
          <w:lang w:val="en-US" w:eastAsia="zh-CN"/>
        </w:rPr>
        <w:t xml:space="preserve"> </w:t>
      </w:r>
      <w:r>
        <w:rPr>
          <w:rFonts w:hint="eastAsia" w:asciiTheme="minorEastAsia" w:hAnsiTheme="minorEastAsia" w:eastAsiaTheme="minorEastAsia" w:cstheme="minorEastAsia"/>
          <w:color w:val="auto"/>
          <w:spacing w:val="-14"/>
          <w:sz w:val="24"/>
          <w:szCs w:val="24"/>
        </w:rPr>
        <w:t>108°56′16″～109°11′15″，北纬</w:t>
      </w:r>
      <w:r>
        <w:rPr>
          <w:rFonts w:hint="eastAsia" w:asciiTheme="minorEastAsia" w:hAnsiTheme="minorEastAsia" w:eastAsiaTheme="minorEastAsia" w:cstheme="minorEastAsia"/>
          <w:color w:val="auto"/>
          <w:spacing w:val="-14"/>
          <w:sz w:val="24"/>
          <w:szCs w:val="24"/>
          <w:lang w:val="en-US" w:eastAsia="zh-CN"/>
        </w:rPr>
        <w:t xml:space="preserve"> </w:t>
      </w:r>
      <w:r>
        <w:rPr>
          <w:rFonts w:hint="eastAsia" w:asciiTheme="minorEastAsia" w:hAnsiTheme="minorEastAsia" w:eastAsiaTheme="minorEastAsia" w:cstheme="minorEastAsia"/>
          <w:color w:val="auto"/>
          <w:spacing w:val="-14"/>
          <w:sz w:val="24"/>
          <w:szCs w:val="24"/>
        </w:rPr>
        <w:t>34°25′</w:t>
      </w:r>
      <w:r>
        <w:rPr>
          <w:rFonts w:hint="eastAsia" w:asciiTheme="minorEastAsia" w:hAnsiTheme="minorEastAsia" w:eastAsiaTheme="minorEastAsia" w:cstheme="minorEastAsia"/>
          <w:color w:val="auto"/>
          <w:spacing w:val="-16"/>
          <w:sz w:val="24"/>
          <w:szCs w:val="24"/>
        </w:rPr>
        <w:t>00″～34°37′30″</w:t>
      </w:r>
      <w:r>
        <w:rPr>
          <w:rFonts w:hint="eastAsia" w:asciiTheme="minorEastAsia" w:hAnsiTheme="minorEastAsia" w:eastAsiaTheme="minorEastAsia" w:cstheme="minorEastAsia"/>
          <w:color w:val="auto"/>
          <w:sz w:val="24"/>
          <w:szCs w:val="24"/>
        </w:rPr>
        <w:t>，东靠</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"https://baike.baidu.com/item/%E4%B8%B4%E6%BD%BC%E5%8C%BA"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临潼区</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，南接</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"https://baike.baidu.com/item/%E6%9C%AA%E5%A4%AE%E5%8C%BA"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未央区</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"https://baike.baidu.com/item/%E7%81%9E%E6%A1%A5%E5%8C%BA"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灞桥区</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，西连</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"https://baike.baidu.com/item/%E5%92%B8%E9%98%B3"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咸阳</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市</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"https://baike.baidu.com/item/%E6%B8%AD%E5%9F%8E%E5%8C%BA"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渭城区</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"https://baike.baidu.com/item/%E4%B8%89%E5%8E%9F%E5%8E%BF"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三原县</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"https://baike.baidu.com/item/%E6%B3%BE%E9%98%B3%E5%8E%BF"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泾阳县</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，北临</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HYPERLINK "https://baike.baidu.com/item/%E9%98%8E%E8%89%AF%E5%8C%BA" \t "https://baike.baidu.com/item/%E9%AB%98%E9%99%B5%E5%8C%BA/_blank"</w:instrText>
      </w:r>
      <w:r>
        <w:rPr>
          <w:rFonts w:hint="eastAsia" w:asciiTheme="minorEastAsia" w:hAnsiTheme="minorEastAsia" w:eastAsiaTheme="minorEastAsia" w:cstheme="minorEastAsia"/>
          <w:color w:val="auto"/>
          <w:sz w:val="24"/>
          <w:szCs w:val="24"/>
        </w:rPr>
        <w:fldChar w:fldCharType="separate"/>
      </w:r>
      <w:r>
        <w:rPr>
          <w:rStyle w:val="34"/>
          <w:rFonts w:hint="eastAsia" w:asciiTheme="minorEastAsia" w:hAnsiTheme="minorEastAsia" w:eastAsiaTheme="minorEastAsia" w:cstheme="minorEastAsia"/>
          <w:color w:val="auto"/>
          <w:sz w:val="24"/>
          <w:szCs w:val="24"/>
          <w:u w:val="none"/>
        </w:rPr>
        <w:t>阎良区</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；东西长20.55千米，南北宽20.1千米，总面积294平方千米。本辖区有7个街道，32个城市社区、86个行政村，总人口44.2万人。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二、广播电视基本情况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应急信息发布现状</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现有应急信息发布手段主要通过电视、车载广播、各部门网站、微信、QQ、邮件、电话等方式进行发布，整体发布不够快捷有效，难以在应急时刻发挥重大作用。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color w:val="auto"/>
          <w:sz w:val="24"/>
          <w:szCs w:val="24"/>
        </w:rPr>
      </w:pPr>
      <w:bookmarkStart w:id="64" w:name="_Toc27922"/>
      <w:bookmarkStart w:id="65" w:name="_Toc16256"/>
      <w:r>
        <w:rPr>
          <w:rFonts w:hint="eastAsia" w:asciiTheme="minorEastAsia" w:hAnsiTheme="minorEastAsia" w:eastAsiaTheme="minorEastAsia" w:cstheme="minorEastAsia"/>
          <w:b w:val="0"/>
          <w:bCs/>
          <w:color w:val="auto"/>
          <w:sz w:val="24"/>
          <w:szCs w:val="24"/>
        </w:rPr>
        <w:t>现有广播电视</w:t>
      </w:r>
      <w:bookmarkEnd w:id="64"/>
      <w:bookmarkEnd w:id="65"/>
      <w:r>
        <w:rPr>
          <w:rFonts w:hint="eastAsia" w:asciiTheme="minorEastAsia" w:hAnsiTheme="minorEastAsia" w:eastAsiaTheme="minorEastAsia" w:cstheme="minorEastAsia"/>
          <w:b w:val="0"/>
          <w:bCs/>
          <w:color w:val="auto"/>
          <w:sz w:val="24"/>
          <w:szCs w:val="24"/>
          <w:lang w:val="en-US" w:eastAsia="zh-CN"/>
        </w:rPr>
        <w:t>基础：</w:t>
      </w:r>
      <w:r>
        <w:rPr>
          <w:rFonts w:hint="eastAsia" w:asciiTheme="minorEastAsia" w:hAnsiTheme="minorEastAsia" w:eastAsiaTheme="minorEastAsia" w:cstheme="minorEastAsia"/>
          <w:b w:val="0"/>
          <w:bCs/>
          <w:color w:val="auto"/>
          <w:sz w:val="24"/>
          <w:szCs w:val="24"/>
        </w:rPr>
        <w:t>高陵区广播电视台开办一套自办电视节目和一套广播调频频率（FM102.1MHZ），采用自采编播和收转中省市节目的方式，通过有线电视网络全天候播放，广播电视自办节目覆盖全区用户，每天自办</w:t>
      </w:r>
      <w:r>
        <w:rPr>
          <w:rFonts w:hint="eastAsia" w:asciiTheme="minorEastAsia" w:hAnsiTheme="minorEastAsia" w:eastAsiaTheme="minorEastAsia" w:cstheme="minorEastAsia"/>
          <w:b w:val="0"/>
          <w:bCs/>
          <w:color w:val="auto"/>
          <w:sz w:val="24"/>
          <w:szCs w:val="24"/>
          <w:lang w:val="en-US" w:eastAsia="zh-CN"/>
        </w:rPr>
        <w:t>电视节目</w:t>
      </w:r>
      <w:r>
        <w:rPr>
          <w:rFonts w:hint="eastAsia" w:asciiTheme="minorEastAsia" w:hAnsiTheme="minorEastAsia" w:eastAsiaTheme="minorEastAsia" w:cstheme="minorEastAsia"/>
          <w:b w:val="0"/>
          <w:bCs/>
          <w:color w:val="auto"/>
          <w:sz w:val="24"/>
          <w:szCs w:val="24"/>
        </w:rPr>
        <w:t>播出18小时。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color w:val="auto"/>
          <w:sz w:val="24"/>
          <w:szCs w:val="24"/>
        </w:rPr>
      </w:pPr>
      <w:bookmarkStart w:id="66" w:name="_Toc5698"/>
      <w:bookmarkStart w:id="67" w:name="_Toc31438"/>
      <w:r>
        <w:rPr>
          <w:rFonts w:hint="eastAsia" w:asciiTheme="minorEastAsia" w:hAnsiTheme="minorEastAsia" w:eastAsiaTheme="minorEastAsia" w:cstheme="minorEastAsia"/>
          <w:b w:val="0"/>
          <w:bCs/>
          <w:color w:val="auto"/>
          <w:sz w:val="24"/>
          <w:szCs w:val="24"/>
        </w:rPr>
        <w:t>现有应急广播现状</w:t>
      </w:r>
      <w:bookmarkEnd w:id="66"/>
      <w:bookmarkEnd w:id="67"/>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高陵区目前的广播主要以部分行政村自有的模拟广播为主</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没有部署县级平台和街办平台，只有村平台和终端，不能统一管控。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有线电视网络</w:t>
      </w:r>
      <w:r>
        <w:rPr>
          <w:rFonts w:hint="eastAsia" w:asciiTheme="minorEastAsia" w:hAnsiTheme="minorEastAsia" w:eastAsiaTheme="minorEastAsia" w:cstheme="minorEastAsia"/>
          <w:b w:val="0"/>
          <w:bCs/>
          <w:color w:val="auto"/>
          <w:sz w:val="24"/>
          <w:szCs w:val="24"/>
          <w:lang w:val="en-US" w:eastAsia="zh-CN"/>
        </w:rPr>
        <w:t>现状：</w:t>
      </w:r>
      <w:r>
        <w:rPr>
          <w:rFonts w:hint="eastAsia" w:asciiTheme="minorEastAsia" w:hAnsiTheme="minorEastAsia" w:eastAsiaTheme="minorEastAsia" w:cstheme="minorEastAsia"/>
          <w:b w:val="0"/>
          <w:bCs/>
          <w:color w:val="auto"/>
          <w:sz w:val="24"/>
          <w:szCs w:val="24"/>
        </w:rPr>
        <w:t>高陵区有线电视线路在全区境内已经达到了全覆盖，拟作为覆盖区域范围内应急广播终端的备用传输通道。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广电网络和三大网运营商全部通达。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val="0"/>
          <w:bCs/>
          <w:snapToGrid/>
          <w:color w:val="auto"/>
          <w:kern w:val="0"/>
          <w:sz w:val="24"/>
          <w:szCs w:val="24"/>
          <w:lang w:val="en-US" w:eastAsia="zh-CN" w:bidi="zh-CN"/>
        </w:rPr>
      </w:pPr>
      <w:bookmarkStart w:id="68" w:name="_Toc27145"/>
      <w:bookmarkStart w:id="69" w:name="_Toc27622"/>
      <w:r>
        <w:rPr>
          <w:rFonts w:hint="eastAsia" w:asciiTheme="minorEastAsia" w:hAnsiTheme="minorEastAsia" w:eastAsiaTheme="minorEastAsia" w:cstheme="minorEastAsia"/>
          <w:b w:val="0"/>
          <w:bCs/>
          <w:color w:val="auto"/>
          <w:sz w:val="24"/>
          <w:szCs w:val="24"/>
        </w:rPr>
        <w:t>存在的主要问题</w:t>
      </w:r>
      <w:bookmarkEnd w:id="68"/>
      <w:bookmarkEnd w:id="69"/>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现有广播系统采用无线调频方式传输数据到终端，终端不具备回传功能，终端的状态目前无法监管，整个广播点没法进行统一管理，对于突发的社会、气象、地质、公共卫生等突发事件无法进行统一、及时、有效的信息发布。因此，高陵区应急广播建设迫在眉睫。</w:t>
      </w:r>
    </w:p>
    <w:p>
      <w:pPr>
        <w:bidi w:val="0"/>
        <w:jc w:val="center"/>
        <w:outlineLvl w:val="0"/>
        <w:rPr>
          <w:rFonts w:hint="eastAsia" w:asciiTheme="minorEastAsia" w:hAnsiTheme="minorEastAsia" w:eastAsiaTheme="minorEastAsia" w:cstheme="minorEastAsia"/>
          <w:b/>
          <w:bCs/>
          <w:sz w:val="44"/>
          <w:szCs w:val="44"/>
          <w:lang w:val="zh-CN" w:eastAsia="zh-CN"/>
        </w:rPr>
      </w:pPr>
      <w:bookmarkStart w:id="70" w:name="_Toc27402"/>
      <w:bookmarkStart w:id="71" w:name="_Toc8296"/>
      <w:r>
        <w:rPr>
          <w:rFonts w:hint="eastAsia" w:asciiTheme="minorEastAsia" w:hAnsiTheme="minorEastAsia" w:eastAsiaTheme="minorEastAsia" w:cstheme="minorEastAsia"/>
          <w:b/>
          <w:bCs/>
          <w:sz w:val="44"/>
          <w:szCs w:val="44"/>
          <w:lang w:val="zh-CN" w:eastAsia="zh-CN"/>
        </w:rPr>
        <w:t>第</w:t>
      </w:r>
      <w:r>
        <w:rPr>
          <w:rFonts w:hint="eastAsia" w:asciiTheme="minorEastAsia" w:hAnsiTheme="minorEastAsia" w:eastAsiaTheme="minorEastAsia" w:cstheme="minorEastAsia"/>
          <w:b/>
          <w:bCs/>
          <w:sz w:val="44"/>
          <w:szCs w:val="44"/>
          <w:lang w:val="en-US" w:eastAsia="zh-CN"/>
        </w:rPr>
        <w:t xml:space="preserve">二项 </w:t>
      </w:r>
      <w:r>
        <w:rPr>
          <w:rFonts w:hint="eastAsia" w:asciiTheme="minorEastAsia" w:hAnsiTheme="minorEastAsia" w:eastAsiaTheme="minorEastAsia" w:cstheme="minorEastAsia"/>
          <w:b/>
          <w:bCs/>
          <w:sz w:val="44"/>
          <w:szCs w:val="44"/>
          <w:lang w:val="zh-CN" w:eastAsia="zh-CN"/>
        </w:rPr>
        <w:t>建设目标及内容</w:t>
      </w:r>
      <w:bookmarkEnd w:id="70"/>
      <w:bookmarkEnd w:id="71"/>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napToGrid/>
          <w:kern w:val="0"/>
          <w:sz w:val="28"/>
          <w:lang w:val="zh-CN" w:eastAsia="zh-CN" w:bidi="zh-CN"/>
        </w:rPr>
      </w:pPr>
      <w:bookmarkStart w:id="72" w:name="_Toc8995"/>
      <w:bookmarkStart w:id="73" w:name="_Toc25209"/>
      <w:r>
        <w:rPr>
          <w:rFonts w:hint="eastAsia" w:asciiTheme="minorEastAsia" w:hAnsiTheme="minorEastAsia" w:eastAsiaTheme="minorEastAsia" w:cstheme="minorEastAsia"/>
          <w:snapToGrid/>
          <w:kern w:val="0"/>
          <w:sz w:val="28"/>
          <w:lang w:val="zh-CN" w:eastAsia="zh-CN" w:bidi="zh-CN"/>
        </w:rPr>
        <w:t>一、建设目标</w:t>
      </w:r>
      <w:bookmarkEnd w:id="72"/>
      <w:bookmarkEnd w:id="73"/>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以满足各级政府和基层组织日常宣传、应急信息快速发布为主要目标,坚持预防与处置并重、常态与非常态结合,针对自然灾害、事故灾难、公共卫生和社会安全等突发事件的不同特点,按照"统筹规划、分级建设、安全可靠、快速高效、平战结合"的基本原则,充分利用现有的广播电视网络和基础设施,在街道办/行政村部署应急广播终端,提高应对各类突发事件中的信息发布能力,为全省应急广播系统建设奠定基础。</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项目建成后,将通过广播电视节目播出系统、调频广播系统、有线电视双向网络系统、地面数字电视系统、大喇叭系统等多种方式,实现应急广播信号在高陵区的综合覆盖,提升区、街道办、村三级的应急信息发布能力,形成区、街道办、村统一协调、上下贯通、可管可控、综合覆盖的应急广播体系。有效提升政府应急管理能力,最大限度减少社会公共资源和人民群众生命财产损失。</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高陵区应急广播系统项目与新建的前端和接收终端必须满足播发来自上级应急广播系统的应急广播消息、接受上级应急广播系统的管理调度等多项功能和性能指标要求。高陵区应急广播系统项目建设完成后,必须满足与西安市级平台,陕西省应急广播系统和国家级应急广播系统对接的要求。</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napToGrid/>
          <w:kern w:val="0"/>
          <w:sz w:val="28"/>
          <w:lang w:val="zh-CN" w:eastAsia="zh-CN" w:bidi="zh-CN"/>
        </w:rPr>
      </w:pPr>
      <w:bookmarkStart w:id="74" w:name="_Toc32311"/>
      <w:bookmarkStart w:id="75" w:name="_Toc1641"/>
      <w:r>
        <w:rPr>
          <w:rFonts w:hint="eastAsia" w:asciiTheme="minorEastAsia" w:hAnsiTheme="minorEastAsia" w:eastAsiaTheme="minorEastAsia" w:cstheme="minorEastAsia"/>
          <w:snapToGrid/>
          <w:kern w:val="0"/>
          <w:sz w:val="28"/>
          <w:lang w:val="zh-CN" w:eastAsia="zh-CN" w:bidi="zh-CN"/>
        </w:rPr>
        <w:t>二、建设内容</w:t>
      </w:r>
      <w:bookmarkEnd w:id="74"/>
      <w:bookmarkEnd w:id="75"/>
    </w:p>
    <w:p>
      <w:pPr>
        <w:keepNext w:val="0"/>
        <w:keepLines w:val="0"/>
        <w:pageBreakBefore w:val="0"/>
        <w:widowControl/>
        <w:kinsoku w:val="0"/>
        <w:wordWrap/>
        <w:overflowPunct/>
        <w:topLinePunct w:val="0"/>
        <w:autoSpaceDE w:val="0"/>
        <w:autoSpaceDN w:val="0"/>
        <w:bidi w:val="0"/>
        <w:adjustRightInd w:val="0"/>
        <w:snapToGrid w:val="0"/>
        <w:spacing w:line="325" w:lineRule="auto"/>
        <w:ind w:right="119" w:firstLine="476" w:firstLineChars="200"/>
        <w:textAlignment w:val="baseline"/>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本项目建设方案根据下拨的省级财政补助资金设计建设包含1套区级应急广播平台,1套应急信息发布前置系统,1套区级融媒体中心(广播电视台) 应急广播对接系统,1套有线数字电视对接适配系统，1套地面数字电视对接适配系统，1套调频广播应急广播对接系统，2套街道办级应急广播分控平台及终端,17套行政村应急广播平台及终端。</w:t>
      </w:r>
    </w:p>
    <w:p>
      <w:pPr>
        <w:keepNext w:val="0"/>
        <w:keepLines w:val="0"/>
        <w:pageBreakBefore w:val="0"/>
        <w:widowControl/>
        <w:kinsoku w:val="0"/>
        <w:wordWrap/>
        <w:overflowPunct/>
        <w:topLinePunct w:val="0"/>
        <w:autoSpaceDE w:val="0"/>
        <w:autoSpaceDN w:val="0"/>
        <w:bidi w:val="0"/>
        <w:adjustRightInd w:val="0"/>
        <w:snapToGrid w:val="0"/>
        <w:spacing w:line="325" w:lineRule="auto"/>
        <w:ind w:right="119" w:firstLine="476" w:firstLineChars="200"/>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自筹资金</w:t>
      </w:r>
      <w:r>
        <w:rPr>
          <w:rFonts w:hint="eastAsia" w:asciiTheme="minorEastAsia" w:hAnsiTheme="minorEastAsia" w:eastAsiaTheme="minorEastAsia" w:cstheme="minorEastAsia"/>
          <w:spacing w:val="-1"/>
          <w:sz w:val="24"/>
          <w:szCs w:val="24"/>
          <w:highlight w:val="none"/>
        </w:rPr>
        <w:t>设计</w:t>
      </w:r>
      <w:r>
        <w:rPr>
          <w:rFonts w:hint="eastAsia" w:asciiTheme="minorEastAsia" w:hAnsiTheme="minorEastAsia" w:eastAsiaTheme="minorEastAsia" w:cstheme="minorEastAsia"/>
          <w:spacing w:val="-1"/>
          <w:sz w:val="24"/>
          <w:szCs w:val="24"/>
          <w:highlight w:val="none"/>
          <w:lang w:val="en-US" w:eastAsia="zh-CN"/>
        </w:rPr>
        <w:t>建设</w:t>
      </w:r>
      <w:r>
        <w:rPr>
          <w:rFonts w:hint="eastAsia" w:asciiTheme="minorEastAsia" w:hAnsiTheme="minorEastAsia" w:eastAsiaTheme="minorEastAsia" w:cstheme="minorEastAsia"/>
          <w:spacing w:val="-1"/>
          <w:sz w:val="24"/>
          <w:szCs w:val="24"/>
          <w:highlight w:val="none"/>
        </w:rPr>
        <w:t>包含</w:t>
      </w:r>
      <w:r>
        <w:rPr>
          <w:rFonts w:hint="eastAsia" w:asciiTheme="minorEastAsia" w:hAnsiTheme="minorEastAsia" w:eastAsiaTheme="minorEastAsia" w:cstheme="minorEastAsia"/>
          <w:spacing w:val="-1"/>
          <w:sz w:val="24"/>
          <w:szCs w:val="24"/>
          <w:highlight w:val="none"/>
          <w:lang w:val="en-US" w:eastAsia="zh-CN"/>
        </w:rPr>
        <w:t>5套</w:t>
      </w:r>
      <w:r>
        <w:rPr>
          <w:rFonts w:hint="eastAsia" w:asciiTheme="minorEastAsia" w:hAnsiTheme="minorEastAsia" w:eastAsiaTheme="minorEastAsia" w:cstheme="minorEastAsia"/>
          <w:spacing w:val="-4"/>
          <w:sz w:val="24"/>
          <w:szCs w:val="24"/>
          <w:highlight w:val="none"/>
          <w:lang w:val="en-US" w:eastAsia="zh-CN"/>
        </w:rPr>
        <w:t>街道办</w:t>
      </w:r>
      <w:r>
        <w:rPr>
          <w:rFonts w:hint="eastAsia" w:asciiTheme="minorEastAsia" w:hAnsiTheme="minorEastAsia" w:eastAsiaTheme="minorEastAsia" w:cstheme="minorEastAsia"/>
          <w:spacing w:val="-1"/>
          <w:sz w:val="24"/>
          <w:szCs w:val="24"/>
          <w:highlight w:val="none"/>
        </w:rPr>
        <w:t>级应急广播分控平台及终端</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3套</w:t>
      </w:r>
      <w:r>
        <w:rPr>
          <w:rFonts w:hint="eastAsia" w:asciiTheme="minorEastAsia" w:hAnsiTheme="minorEastAsia" w:eastAsiaTheme="minorEastAsia" w:cstheme="minorEastAsia"/>
          <w:spacing w:val="-1"/>
          <w:sz w:val="24"/>
          <w:szCs w:val="24"/>
          <w:highlight w:val="none"/>
        </w:rPr>
        <w:t>行政村应急广播平台及终端</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并向满足建设条件的自然村部署应急广播终端,建成应急广播大喇叭系统。以上建设内容均符合《陕西省县级应急广播系统建设方案》等技术标准。</w:t>
      </w:r>
    </w:p>
    <w:p>
      <w:pPr>
        <w:keepNext w:val="0"/>
        <w:keepLines w:val="0"/>
        <w:pageBreakBefore w:val="0"/>
        <w:widowControl/>
        <w:kinsoku w:val="0"/>
        <w:wordWrap/>
        <w:overflowPunct/>
        <w:topLinePunct w:val="0"/>
        <w:autoSpaceDE w:val="0"/>
        <w:autoSpaceDN w:val="0"/>
        <w:bidi w:val="0"/>
        <w:adjustRightInd w:val="0"/>
        <w:snapToGrid w:val="0"/>
        <w:spacing w:line="325" w:lineRule="auto"/>
        <w:ind w:right="119" w:firstLine="476" w:firstLineChars="200"/>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highlight w:val="none"/>
        </w:rPr>
        <w:t>本项目建设内容包括</w:t>
      </w:r>
      <w:r>
        <w:rPr>
          <w:rFonts w:hint="eastAsia" w:asciiTheme="minorEastAsia" w:hAnsiTheme="minorEastAsia" w:eastAsiaTheme="minorEastAsia" w:cstheme="minorEastAsia"/>
          <w:spacing w:val="-1"/>
          <w:sz w:val="24"/>
          <w:szCs w:val="24"/>
          <w:highlight w:val="none"/>
          <w:lang w:val="en-US" w:eastAsia="zh-CN"/>
        </w:rPr>
        <w:t>区</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4"/>
          <w:sz w:val="24"/>
          <w:szCs w:val="24"/>
          <w:highlight w:val="none"/>
          <w:lang w:val="en-US" w:eastAsia="zh-CN"/>
        </w:rPr>
        <w:t>街道办</w:t>
      </w:r>
      <w:r>
        <w:rPr>
          <w:rFonts w:hint="eastAsia" w:asciiTheme="minorEastAsia" w:hAnsiTheme="minorEastAsia" w:eastAsiaTheme="minorEastAsia" w:cstheme="minorEastAsia"/>
          <w:spacing w:val="-1"/>
          <w:sz w:val="24"/>
          <w:szCs w:val="24"/>
          <w:highlight w:val="none"/>
        </w:rPr>
        <w:t>/行政村应急广播平台、</w:t>
      </w:r>
      <w:r>
        <w:rPr>
          <w:rFonts w:hint="eastAsia" w:asciiTheme="minorEastAsia" w:hAnsiTheme="minorEastAsia" w:eastAsiaTheme="minorEastAsia" w:cstheme="minorEastAsia"/>
          <w:spacing w:val="-4"/>
          <w:sz w:val="24"/>
          <w:szCs w:val="24"/>
          <w:highlight w:val="none"/>
          <w:lang w:val="en-US" w:eastAsia="zh-CN"/>
        </w:rPr>
        <w:t>街道办</w:t>
      </w:r>
      <w:r>
        <w:rPr>
          <w:rFonts w:hint="eastAsia" w:asciiTheme="minorEastAsia" w:hAnsiTheme="minorEastAsia" w:eastAsiaTheme="minorEastAsia" w:cstheme="minorEastAsia"/>
          <w:spacing w:val="-1"/>
          <w:sz w:val="24"/>
          <w:szCs w:val="24"/>
          <w:highlight w:val="none"/>
        </w:rPr>
        <w:t>/行政村及周边接</w:t>
      </w:r>
      <w:r>
        <w:rPr>
          <w:rFonts w:hint="eastAsia" w:asciiTheme="minorEastAsia" w:hAnsiTheme="minorEastAsia" w:eastAsiaTheme="minorEastAsia" w:cstheme="minorEastAsia"/>
          <w:spacing w:val="-1"/>
          <w:sz w:val="24"/>
          <w:szCs w:val="24"/>
        </w:rPr>
        <w:t>收终端。</w:t>
      </w:r>
    </w:p>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2"/>
        <w:rPr>
          <w:rFonts w:hint="eastAsia" w:asciiTheme="minorEastAsia" w:hAnsiTheme="minorEastAsia" w:eastAsiaTheme="minorEastAsia" w:cstheme="minorEastAsia"/>
          <w:b/>
          <w:bCs w:val="0"/>
          <w:snapToGrid/>
          <w:kern w:val="0"/>
          <w:sz w:val="28"/>
          <w:lang w:val="zh-CN" w:eastAsia="zh-CN" w:bidi="zh-CN"/>
        </w:rPr>
      </w:pPr>
      <w:bookmarkStart w:id="76" w:name="_Toc30611"/>
      <w:bookmarkStart w:id="77" w:name="_Toc24294"/>
      <w:r>
        <w:rPr>
          <w:rFonts w:hint="eastAsia" w:asciiTheme="minorEastAsia" w:hAnsiTheme="minorEastAsia" w:eastAsiaTheme="minorEastAsia" w:cstheme="minorEastAsia"/>
          <w:b/>
          <w:bCs w:val="0"/>
          <w:snapToGrid/>
          <w:kern w:val="0"/>
          <w:sz w:val="28"/>
          <w:lang w:val="zh-CN" w:eastAsia="zh-CN" w:bidi="zh-CN"/>
        </w:rPr>
        <w:t>1、</w:t>
      </w:r>
      <w:r>
        <w:rPr>
          <w:rFonts w:hint="eastAsia" w:asciiTheme="minorEastAsia" w:hAnsiTheme="minorEastAsia" w:eastAsiaTheme="minorEastAsia" w:cstheme="minorEastAsia"/>
          <w:b/>
          <w:bCs w:val="0"/>
          <w:snapToGrid/>
          <w:kern w:val="0"/>
          <w:sz w:val="28"/>
          <w:lang w:val="en-US" w:eastAsia="zh-CN" w:bidi="zh-CN"/>
        </w:rPr>
        <w:t>区</w:t>
      </w:r>
      <w:r>
        <w:rPr>
          <w:rFonts w:hint="eastAsia" w:asciiTheme="minorEastAsia" w:hAnsiTheme="minorEastAsia" w:eastAsiaTheme="minorEastAsia" w:cstheme="minorEastAsia"/>
          <w:b/>
          <w:bCs w:val="0"/>
          <w:snapToGrid/>
          <w:kern w:val="0"/>
          <w:sz w:val="28"/>
          <w:lang w:val="zh-CN" w:eastAsia="zh-CN" w:bidi="zh-CN"/>
        </w:rPr>
        <w:t>级应急广播平台建设</w:t>
      </w:r>
      <w:bookmarkEnd w:id="76"/>
      <w:bookmarkEnd w:id="77"/>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在高陵区建设一套区级应急广播平台。该平台负责对所辖区域应急广播系统的统一调度指挥和管理,具备应急预警信息发布接入、应急节目制作播发、辖区内应急广播资源管理、应急广播发布流程控制、发布资源调度、值守监看、应急广播消息分发传输等主要功能。为扩展区级融媒体中心的信息内容的发布和覆盖范围,提升相关信息的宣传效果,区应急广播平台应与区级融媒体中心技术平台实现对接。</w:t>
      </w:r>
    </w:p>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2"/>
        <w:rPr>
          <w:rFonts w:hint="eastAsia" w:asciiTheme="minorEastAsia" w:hAnsiTheme="minorEastAsia" w:eastAsiaTheme="minorEastAsia" w:cstheme="minorEastAsia"/>
          <w:b/>
          <w:bCs w:val="0"/>
          <w:snapToGrid/>
          <w:kern w:val="0"/>
          <w:sz w:val="28"/>
          <w:lang w:val="zh-CN" w:eastAsia="zh-CN" w:bidi="zh-CN"/>
        </w:rPr>
      </w:pPr>
      <w:bookmarkStart w:id="78" w:name="_Toc28072"/>
      <w:bookmarkStart w:id="79" w:name="_Toc16501"/>
      <w:r>
        <w:rPr>
          <w:rFonts w:hint="eastAsia" w:asciiTheme="minorEastAsia" w:hAnsiTheme="minorEastAsia" w:eastAsiaTheme="minorEastAsia" w:cstheme="minorEastAsia"/>
          <w:b/>
          <w:bCs w:val="0"/>
          <w:snapToGrid/>
          <w:kern w:val="0"/>
          <w:sz w:val="28"/>
          <w:lang w:val="zh-CN" w:eastAsia="zh-CN" w:bidi="zh-CN"/>
        </w:rPr>
        <w:t>2、应急信息发布前置系统建设</w:t>
      </w:r>
      <w:bookmarkEnd w:id="78"/>
      <w:bookmarkEnd w:id="79"/>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在高陵区应急管理局(应急救援指挥中心) 部署一套应急信息发布前置系统,为应急广播平台提供应急信息源并交由应急广播平台进行审核管理和传播,实现应急广播消息的覆盖。</w:t>
      </w:r>
    </w:p>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2"/>
        <w:rPr>
          <w:rFonts w:hint="eastAsia" w:asciiTheme="minorEastAsia" w:hAnsiTheme="minorEastAsia" w:eastAsiaTheme="minorEastAsia" w:cstheme="minorEastAsia"/>
          <w:b/>
          <w:bCs w:val="0"/>
          <w:snapToGrid/>
          <w:kern w:val="0"/>
          <w:sz w:val="28"/>
          <w:lang w:val="zh-CN" w:eastAsia="zh-CN" w:bidi="zh-CN"/>
        </w:rPr>
      </w:pPr>
      <w:bookmarkStart w:id="80" w:name="_Toc7967"/>
      <w:bookmarkStart w:id="81" w:name="_Toc29407"/>
      <w:r>
        <w:rPr>
          <w:rFonts w:hint="eastAsia" w:asciiTheme="minorEastAsia" w:hAnsiTheme="minorEastAsia" w:eastAsiaTheme="minorEastAsia" w:cstheme="minorEastAsia"/>
          <w:b/>
          <w:bCs w:val="0"/>
          <w:snapToGrid/>
          <w:kern w:val="0"/>
          <w:sz w:val="28"/>
          <w:lang w:val="zh-CN" w:eastAsia="zh-CN" w:bidi="zh-CN"/>
        </w:rPr>
        <w:t>3、传输覆盖网建设</w:t>
      </w:r>
      <w:bookmarkEnd w:id="80"/>
      <w:bookmarkEnd w:id="81"/>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应急广播信号传输覆盖网由IP、DVB-C、DTMB、FM、4G等网络组成,建设融媒体中心(广播电视台) 应急广播对接系统,利用原有传输覆盖网,同时租用有线宽带双向网络和4G网络,建立通达各</w:t>
      </w: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spacing w:val="-1"/>
          <w:sz w:val="24"/>
          <w:szCs w:val="24"/>
          <w:lang w:val="en-US" w:eastAsia="zh-CN"/>
        </w:rPr>
        <w:t xml:space="preserve"> 、行政村的应急广播大喇叭传输覆盖系统,形成全面综合信号覆盖网络,实现区、</w:t>
      </w: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spacing w:val="-1"/>
          <w:sz w:val="24"/>
          <w:szCs w:val="24"/>
          <w:lang w:val="en-US" w:eastAsia="zh-CN"/>
        </w:rPr>
        <w:t>、村前端对终端播发节目和控制。同时,系统采取多种类型的信号覆盖方式,在应急广播各级平台的统一调度下,可以达到通道备份、补充覆盖和覆盖资源最优利用的目的。</w:t>
      </w:r>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3"/>
        <w:rPr>
          <w:rFonts w:hint="eastAsia" w:asciiTheme="minorEastAsia" w:hAnsiTheme="minorEastAsia" w:eastAsiaTheme="minorEastAsia" w:cstheme="minorEastAsia"/>
          <w:b/>
          <w:bCs w:val="0"/>
          <w:snapToGrid/>
          <w:kern w:val="0"/>
          <w:sz w:val="28"/>
          <w:lang w:val="zh-CN" w:eastAsia="zh-CN" w:bidi="zh-CN"/>
        </w:rPr>
      </w:pPr>
      <w:r>
        <w:rPr>
          <w:rFonts w:hint="eastAsia" w:asciiTheme="minorEastAsia" w:hAnsiTheme="minorEastAsia" w:eastAsiaTheme="minorEastAsia" w:cstheme="minorEastAsia"/>
          <w:b/>
          <w:bCs w:val="0"/>
          <w:snapToGrid/>
          <w:kern w:val="0"/>
          <w:sz w:val="28"/>
          <w:lang w:val="zh-CN" w:eastAsia="zh-CN" w:bidi="zh-CN"/>
        </w:rPr>
        <w:t>1) 融媒体中心(广播电视台) 应急广播对接系统</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在高陵区融媒体中心部署一套融媒体中心(广播电视台) 应急广播对接系统。接收到应急广播消息后,根据调度指令和应急播出预案,采用自动文转语、主持人念稿、音视频播放、字幕插入等多种方式在频率频道节目中播出应急广播消息,并将应急广播消息的接收回执、播出处理情况反馈至区应急广播平台,将日常宣传节目传送至区应急广播平台。</w:t>
      </w:r>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3"/>
        <w:rPr>
          <w:rFonts w:hint="eastAsia" w:asciiTheme="minorEastAsia" w:hAnsiTheme="minorEastAsia" w:eastAsiaTheme="minorEastAsia" w:cstheme="minorEastAsia"/>
          <w:b/>
          <w:bCs w:val="0"/>
          <w:snapToGrid/>
          <w:kern w:val="0"/>
          <w:sz w:val="28"/>
          <w:lang w:val="zh-CN" w:eastAsia="zh-CN" w:bidi="zh-CN"/>
        </w:rPr>
      </w:pPr>
      <w:r>
        <w:rPr>
          <w:rFonts w:hint="eastAsia" w:asciiTheme="minorEastAsia" w:hAnsiTheme="minorEastAsia" w:eastAsiaTheme="minorEastAsia" w:cstheme="minorEastAsia"/>
          <w:b/>
          <w:bCs w:val="0"/>
          <w:snapToGrid/>
          <w:kern w:val="0"/>
          <w:sz w:val="28"/>
          <w:lang w:val="zh-CN" w:eastAsia="zh-CN" w:bidi="zh-CN"/>
        </w:rPr>
        <w:t>2）有线数字电视应急广播对接系统</w:t>
      </w:r>
    </w:p>
    <w:p>
      <w:pPr>
        <w:pStyle w:val="169"/>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在</w:t>
      </w:r>
      <w:r>
        <w:rPr>
          <w:rFonts w:hint="eastAsia" w:asciiTheme="minorEastAsia" w:hAnsiTheme="minorEastAsia" w:eastAsiaTheme="minorEastAsia" w:cstheme="minorEastAsia"/>
          <w:spacing w:val="-1"/>
          <w:sz w:val="24"/>
          <w:szCs w:val="24"/>
          <w:lang w:val="en-US" w:eastAsia="zh-CN"/>
        </w:rPr>
        <w:t>高陵区</w:t>
      </w:r>
      <w:r>
        <w:rPr>
          <w:rFonts w:hint="eastAsia" w:asciiTheme="minorEastAsia" w:hAnsiTheme="minorEastAsia" w:eastAsiaTheme="minorEastAsia" w:cstheme="minorEastAsia"/>
          <w:color w:val="000000"/>
        </w:rPr>
        <w:t>网络</w:t>
      </w:r>
      <w:r>
        <w:rPr>
          <w:rFonts w:hint="eastAsia" w:asciiTheme="minorEastAsia" w:hAnsiTheme="minorEastAsia" w:eastAsiaTheme="minorEastAsia" w:cstheme="minorEastAsia"/>
          <w:color w:val="000000"/>
          <w:lang w:val="en-US" w:eastAsia="zh-CN"/>
        </w:rPr>
        <w:t>支</w:t>
      </w:r>
      <w:r>
        <w:rPr>
          <w:rFonts w:hint="eastAsia" w:asciiTheme="minorEastAsia" w:hAnsiTheme="minorEastAsia" w:eastAsiaTheme="minorEastAsia" w:cstheme="minorEastAsia"/>
          <w:color w:val="000000"/>
        </w:rPr>
        <w:t>公司部署一套有线数字电视应急广播对接系统，在</w:t>
      </w:r>
      <w:r>
        <w:rPr>
          <w:rFonts w:hint="eastAsia" w:asciiTheme="minorEastAsia" w:hAnsiTheme="minorEastAsia" w:eastAsiaTheme="minorEastAsia" w:cstheme="minorEastAsia"/>
          <w:color w:val="000000"/>
          <w:lang w:val="en-US" w:eastAsia="zh-CN"/>
        </w:rPr>
        <w:t>区</w:t>
      </w:r>
      <w:r>
        <w:rPr>
          <w:rFonts w:hint="eastAsia" w:asciiTheme="minorEastAsia" w:hAnsiTheme="minorEastAsia" w:eastAsiaTheme="minorEastAsia" w:cstheme="minorEastAsia"/>
          <w:color w:val="000000"/>
        </w:rPr>
        <w:t>应急广播平台播发应急广播消息后，有线数字电视应急广播对接系统可实时接收到该应急广播消息并将其适配为数字电视信息。</w:t>
      </w:r>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3"/>
        <w:rPr>
          <w:rFonts w:hint="eastAsia" w:asciiTheme="minorEastAsia" w:hAnsiTheme="minorEastAsia" w:eastAsiaTheme="minorEastAsia" w:cstheme="minorEastAsia"/>
          <w:b/>
          <w:bCs w:val="0"/>
          <w:snapToGrid/>
          <w:kern w:val="0"/>
          <w:sz w:val="28"/>
          <w:lang w:val="zh-CN" w:eastAsia="zh-CN" w:bidi="zh-CN"/>
        </w:rPr>
      </w:pPr>
      <w:r>
        <w:rPr>
          <w:rFonts w:hint="eastAsia" w:asciiTheme="minorEastAsia" w:hAnsiTheme="minorEastAsia" w:eastAsiaTheme="minorEastAsia" w:cstheme="minorEastAsia"/>
          <w:b/>
          <w:bCs w:val="0"/>
          <w:snapToGrid/>
          <w:kern w:val="0"/>
          <w:sz w:val="28"/>
          <w:lang w:val="zh-CN" w:eastAsia="zh-CN" w:bidi="zh-CN"/>
        </w:rPr>
        <w:t>3）地面数字电视应急广播对接系统</w:t>
      </w:r>
    </w:p>
    <w:p>
      <w:pPr>
        <w:pStyle w:val="169"/>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在</w:t>
      </w:r>
      <w:r>
        <w:rPr>
          <w:rFonts w:hint="eastAsia" w:asciiTheme="minorEastAsia" w:hAnsiTheme="minorEastAsia" w:eastAsiaTheme="minorEastAsia" w:cstheme="minorEastAsia"/>
          <w:spacing w:val="-1"/>
          <w:sz w:val="24"/>
          <w:szCs w:val="24"/>
          <w:lang w:val="en-US" w:eastAsia="zh-CN"/>
        </w:rPr>
        <w:t>高陵区</w:t>
      </w:r>
      <w:r>
        <w:rPr>
          <w:rFonts w:hint="eastAsia" w:asciiTheme="minorEastAsia" w:hAnsiTheme="minorEastAsia" w:eastAsiaTheme="minorEastAsia" w:cstheme="minorEastAsia"/>
          <w:color w:val="000000"/>
        </w:rPr>
        <w:t>部署一套地面数字电视应急广播对接系统，在</w:t>
      </w:r>
      <w:r>
        <w:rPr>
          <w:rFonts w:hint="eastAsia" w:asciiTheme="minorEastAsia" w:hAnsiTheme="minorEastAsia" w:eastAsiaTheme="minorEastAsia" w:cstheme="minorEastAsia"/>
          <w:color w:val="000000"/>
          <w:lang w:val="en-US" w:eastAsia="zh-CN"/>
        </w:rPr>
        <w:t>区</w:t>
      </w:r>
      <w:r>
        <w:rPr>
          <w:rFonts w:hint="eastAsia" w:asciiTheme="minorEastAsia" w:hAnsiTheme="minorEastAsia" w:eastAsiaTheme="minorEastAsia" w:cstheme="minorEastAsia"/>
          <w:color w:val="000000"/>
        </w:rPr>
        <w:t>应急广播平台播发应急广播消息后，地面数字电视应急广播对接系统可实时接收到该应急广播消息并将其适配为数字电视信息。</w:t>
      </w:r>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3"/>
        <w:rPr>
          <w:rFonts w:hint="eastAsia" w:asciiTheme="minorEastAsia" w:hAnsiTheme="minorEastAsia" w:eastAsiaTheme="minorEastAsia" w:cstheme="minorEastAsia"/>
          <w:b/>
          <w:bCs w:val="0"/>
          <w:snapToGrid/>
          <w:kern w:val="0"/>
          <w:sz w:val="28"/>
          <w:lang w:val="zh-CN" w:eastAsia="zh-CN" w:bidi="zh-CN"/>
        </w:rPr>
      </w:pPr>
      <w:r>
        <w:rPr>
          <w:rFonts w:hint="eastAsia" w:asciiTheme="minorEastAsia" w:hAnsiTheme="minorEastAsia" w:eastAsiaTheme="minorEastAsia" w:cstheme="minorEastAsia"/>
          <w:b/>
          <w:bCs w:val="0"/>
          <w:snapToGrid/>
          <w:kern w:val="0"/>
          <w:sz w:val="28"/>
          <w:lang w:val="zh-CN" w:eastAsia="zh-CN" w:bidi="zh-CN"/>
        </w:rPr>
        <w:t>4）调频广播应急广播对接系统</w:t>
      </w:r>
    </w:p>
    <w:p>
      <w:pPr>
        <w:pStyle w:val="169"/>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在</w:t>
      </w:r>
      <w:r>
        <w:rPr>
          <w:rFonts w:hint="eastAsia" w:asciiTheme="minorEastAsia" w:hAnsiTheme="minorEastAsia" w:eastAsiaTheme="minorEastAsia" w:cstheme="minorEastAsia"/>
          <w:color w:val="000000"/>
          <w:lang w:val="en-US" w:eastAsia="zh-CN"/>
        </w:rPr>
        <w:t>高陵区</w:t>
      </w:r>
      <w:r>
        <w:rPr>
          <w:rFonts w:hint="eastAsia" w:asciiTheme="minorEastAsia" w:hAnsiTheme="minorEastAsia" w:eastAsiaTheme="minorEastAsia" w:cstheme="minorEastAsia"/>
          <w:color w:val="000000"/>
        </w:rPr>
        <w:t>部署一套调频广播应急广播对接系统，在</w:t>
      </w:r>
      <w:r>
        <w:rPr>
          <w:rFonts w:hint="eastAsia" w:asciiTheme="minorEastAsia" w:hAnsiTheme="minorEastAsia" w:eastAsiaTheme="minorEastAsia" w:cstheme="minorEastAsia"/>
          <w:color w:val="000000"/>
          <w:lang w:val="en-US" w:eastAsia="zh-CN"/>
        </w:rPr>
        <w:t>区</w:t>
      </w:r>
      <w:r>
        <w:rPr>
          <w:rFonts w:hint="eastAsia" w:asciiTheme="minorEastAsia" w:hAnsiTheme="minorEastAsia" w:eastAsiaTheme="minorEastAsia" w:cstheme="minorEastAsia"/>
          <w:color w:val="000000"/>
        </w:rPr>
        <w:t>应急广播平台播发应急广播消息后，调频广播应急广播对接系统可实时接收到该应急广播消息解码输出模拟音频信号和RDS信号，并通过音频切换器将应急广播模拟音频信号和原有音频进行切换，切换后的信号输出给下级音频。</w:t>
      </w:r>
    </w:p>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2"/>
        <w:rPr>
          <w:rFonts w:hint="eastAsia" w:asciiTheme="minorEastAsia" w:hAnsiTheme="minorEastAsia" w:eastAsiaTheme="minorEastAsia" w:cstheme="minorEastAsia"/>
          <w:b/>
          <w:bCs w:val="0"/>
          <w:snapToGrid/>
          <w:kern w:val="0"/>
          <w:sz w:val="28"/>
          <w:lang w:val="zh-CN" w:eastAsia="zh-CN" w:bidi="zh-CN"/>
        </w:rPr>
      </w:pPr>
      <w:bookmarkStart w:id="82" w:name="_Toc24841"/>
      <w:bookmarkStart w:id="83" w:name="_Toc19917"/>
      <w:r>
        <w:rPr>
          <w:rFonts w:hint="eastAsia" w:asciiTheme="minorEastAsia" w:hAnsiTheme="minorEastAsia" w:eastAsiaTheme="minorEastAsia" w:cstheme="minorEastAsia"/>
          <w:b/>
          <w:bCs w:val="0"/>
          <w:snapToGrid/>
          <w:kern w:val="0"/>
          <w:sz w:val="28"/>
          <w:lang w:val="en-US" w:eastAsia="zh-CN" w:bidi="zh-CN"/>
        </w:rPr>
        <w:t>4</w:t>
      </w:r>
      <w:r>
        <w:rPr>
          <w:rFonts w:hint="eastAsia" w:asciiTheme="minorEastAsia" w:hAnsiTheme="minorEastAsia" w:eastAsiaTheme="minorEastAsia" w:cstheme="minorEastAsia"/>
          <w:b/>
          <w:bCs w:val="0"/>
          <w:snapToGrid/>
          <w:kern w:val="0"/>
          <w:sz w:val="28"/>
          <w:lang w:val="zh-CN" w:eastAsia="zh-CN" w:bidi="zh-CN"/>
        </w:rPr>
        <w:t>、</w:t>
      </w:r>
      <w:r>
        <w:rPr>
          <w:rFonts w:hint="eastAsia" w:asciiTheme="minorEastAsia" w:hAnsiTheme="minorEastAsia" w:eastAsiaTheme="minorEastAsia" w:cstheme="minorEastAsia"/>
          <w:b/>
          <w:bCs w:val="0"/>
          <w:snapToGrid/>
          <w:kern w:val="0"/>
          <w:sz w:val="28"/>
          <w:lang w:val="en-US" w:eastAsia="zh-CN" w:bidi="zh-CN"/>
        </w:rPr>
        <w:t>街道办</w:t>
      </w:r>
      <w:r>
        <w:rPr>
          <w:rFonts w:hint="eastAsia" w:asciiTheme="minorEastAsia" w:hAnsiTheme="minorEastAsia" w:eastAsiaTheme="minorEastAsia" w:cstheme="minorEastAsia"/>
          <w:b/>
          <w:bCs w:val="0"/>
          <w:snapToGrid/>
          <w:kern w:val="0"/>
          <w:sz w:val="28"/>
          <w:lang w:val="zh-CN" w:eastAsia="zh-CN" w:bidi="zh-CN"/>
        </w:rPr>
        <w:t>/行政村应急广播平台建设</w:t>
      </w:r>
      <w:bookmarkEnd w:id="82"/>
      <w:bookmarkEnd w:id="83"/>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为便于</w:t>
      </w: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spacing w:val="-1"/>
          <w:sz w:val="24"/>
          <w:szCs w:val="24"/>
          <w:lang w:val="en-US" w:eastAsia="zh-CN"/>
        </w:rPr>
        <w:t>和村级基层部门消息的发布,提升本系统的使用效率,本项目将</w:t>
      </w:r>
      <w:r>
        <w:rPr>
          <w:rFonts w:hint="eastAsia" w:asciiTheme="minorEastAsia" w:hAnsiTheme="minorEastAsia" w:eastAsiaTheme="minorEastAsia" w:cstheme="minorEastAsia"/>
          <w:spacing w:val="-1"/>
          <w:sz w:val="24"/>
          <w:szCs w:val="24"/>
          <w:highlight w:val="none"/>
          <w:lang w:val="en-US" w:eastAsia="zh-CN"/>
        </w:rPr>
        <w:t>建设7个</w:t>
      </w:r>
      <w:r>
        <w:rPr>
          <w:rFonts w:hint="eastAsia" w:asciiTheme="minorEastAsia" w:hAnsiTheme="minorEastAsia" w:eastAsiaTheme="minorEastAsia" w:cstheme="minorEastAsia"/>
          <w:spacing w:val="-4"/>
          <w:sz w:val="24"/>
          <w:szCs w:val="24"/>
          <w:highlight w:val="none"/>
          <w:lang w:val="en-US" w:eastAsia="zh-CN"/>
        </w:rPr>
        <w:t>街道办</w:t>
      </w:r>
      <w:r>
        <w:rPr>
          <w:rFonts w:hint="eastAsia" w:asciiTheme="minorEastAsia" w:hAnsiTheme="minorEastAsia" w:eastAsiaTheme="minorEastAsia" w:cstheme="minorEastAsia"/>
          <w:spacing w:val="-1"/>
          <w:sz w:val="24"/>
          <w:szCs w:val="24"/>
          <w:highlight w:val="none"/>
          <w:lang w:val="en-US" w:eastAsia="zh-CN"/>
        </w:rPr>
        <w:t>分控平台实现对</w:t>
      </w:r>
      <w:r>
        <w:rPr>
          <w:rFonts w:hint="eastAsia" w:asciiTheme="minorEastAsia" w:hAnsiTheme="minorEastAsia" w:eastAsiaTheme="minorEastAsia" w:cstheme="minorEastAsia"/>
          <w:spacing w:val="-4"/>
          <w:sz w:val="24"/>
          <w:szCs w:val="24"/>
          <w:highlight w:val="none"/>
          <w:lang w:val="en-US" w:eastAsia="zh-CN"/>
        </w:rPr>
        <w:t>街道办</w:t>
      </w:r>
      <w:r>
        <w:rPr>
          <w:rFonts w:hint="eastAsia" w:asciiTheme="minorEastAsia" w:hAnsiTheme="minorEastAsia" w:eastAsiaTheme="minorEastAsia" w:cstheme="minorEastAsia"/>
          <w:spacing w:val="-1"/>
          <w:sz w:val="24"/>
          <w:szCs w:val="24"/>
          <w:highlight w:val="none"/>
          <w:lang w:val="en-US" w:eastAsia="zh-CN"/>
        </w:rPr>
        <w:t>辖区内行政村前端和终端设备的调度和管理,建设20个行政</w:t>
      </w:r>
      <w:r>
        <w:rPr>
          <w:rFonts w:hint="eastAsia" w:asciiTheme="minorEastAsia" w:hAnsiTheme="minorEastAsia" w:eastAsiaTheme="minorEastAsia" w:cstheme="minorEastAsia"/>
          <w:spacing w:val="-1"/>
          <w:sz w:val="24"/>
          <w:szCs w:val="24"/>
          <w:lang w:val="en-US" w:eastAsia="zh-CN"/>
        </w:rPr>
        <w:t>村(社区) 平台对所辖终端设备进行调度和管理,具备本地信号接入、辖区内应急广播资源控制和管理等主要功能。为提高系统在灾害事件发生时的可用性,区级应急广播平台、</w:t>
      </w: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spacing w:val="-1"/>
          <w:sz w:val="24"/>
          <w:szCs w:val="24"/>
          <w:lang w:val="en-US" w:eastAsia="zh-CN"/>
        </w:rPr>
        <w:t>分控平台和行政村前端均配置有满载工作时间2小时的UPS电源。</w:t>
      </w:r>
    </w:p>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2"/>
        <w:rPr>
          <w:rFonts w:hint="eastAsia" w:asciiTheme="minorEastAsia" w:hAnsiTheme="minorEastAsia" w:eastAsiaTheme="minorEastAsia" w:cstheme="minorEastAsia"/>
          <w:b/>
          <w:bCs w:val="0"/>
          <w:snapToGrid/>
          <w:kern w:val="0"/>
          <w:sz w:val="28"/>
          <w:lang w:val="en-US" w:eastAsia="zh-CN" w:bidi="zh-CN"/>
        </w:rPr>
      </w:pPr>
      <w:bookmarkStart w:id="84" w:name="_Toc9229"/>
      <w:bookmarkStart w:id="85" w:name="_Toc16433"/>
      <w:r>
        <w:rPr>
          <w:rFonts w:hint="eastAsia" w:asciiTheme="minorEastAsia" w:hAnsiTheme="minorEastAsia" w:eastAsiaTheme="minorEastAsia" w:cstheme="minorEastAsia"/>
          <w:b/>
          <w:bCs w:val="0"/>
          <w:snapToGrid/>
          <w:kern w:val="0"/>
          <w:sz w:val="28"/>
          <w:lang w:val="en-US" w:eastAsia="zh-CN" w:bidi="zh-CN"/>
        </w:rPr>
        <w:t>5、街道办/行政村及周边接收终端建设</w:t>
      </w:r>
      <w:bookmarkEnd w:id="84"/>
      <w:bookmarkEnd w:id="85"/>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3"/>
        <w:rPr>
          <w:rFonts w:hint="eastAsia" w:asciiTheme="minorEastAsia" w:hAnsiTheme="minorEastAsia" w:eastAsiaTheme="minorEastAsia" w:cstheme="minorEastAsia"/>
          <w:b/>
          <w:bCs w:val="0"/>
          <w:snapToGrid/>
          <w:color w:val="auto"/>
          <w:kern w:val="0"/>
          <w:sz w:val="28"/>
          <w:lang w:val="zh-CN" w:eastAsia="zh-CN" w:bidi="zh-CN"/>
        </w:rPr>
      </w:pPr>
      <w:r>
        <w:rPr>
          <w:rFonts w:hint="eastAsia" w:asciiTheme="minorEastAsia" w:hAnsiTheme="minorEastAsia" w:eastAsiaTheme="minorEastAsia" w:cstheme="minorEastAsia"/>
          <w:b/>
          <w:bCs w:val="0"/>
          <w:snapToGrid/>
          <w:color w:val="auto"/>
          <w:kern w:val="0"/>
          <w:sz w:val="28"/>
          <w:lang w:val="zh-CN" w:eastAsia="zh-CN" w:bidi="zh-CN"/>
        </w:rPr>
        <w:t xml:space="preserve">1) </w:t>
      </w:r>
      <w:r>
        <w:rPr>
          <w:rFonts w:hint="eastAsia" w:asciiTheme="minorEastAsia" w:hAnsiTheme="minorEastAsia" w:eastAsiaTheme="minorEastAsia" w:cstheme="minorEastAsia"/>
          <w:b/>
          <w:bCs w:val="0"/>
          <w:snapToGrid/>
          <w:color w:val="auto"/>
          <w:kern w:val="0"/>
          <w:sz w:val="28"/>
          <w:lang w:val="en-US" w:eastAsia="zh-CN" w:bidi="zh-CN"/>
        </w:rPr>
        <w:t>街道办</w:t>
      </w:r>
      <w:r>
        <w:rPr>
          <w:rFonts w:hint="eastAsia" w:asciiTheme="minorEastAsia" w:hAnsiTheme="minorEastAsia" w:eastAsiaTheme="minorEastAsia" w:cstheme="minorEastAsia"/>
          <w:b/>
          <w:bCs w:val="0"/>
          <w:snapToGrid/>
          <w:color w:val="auto"/>
          <w:kern w:val="0"/>
          <w:sz w:val="28"/>
          <w:lang w:val="zh-CN" w:eastAsia="zh-CN" w:bidi="zh-CN"/>
        </w:rPr>
        <w:t>接收终端建设</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在</w:t>
      </w:r>
      <w:r>
        <w:rPr>
          <w:rFonts w:hint="eastAsia" w:asciiTheme="minorEastAsia" w:hAnsiTheme="minorEastAsia" w:eastAsiaTheme="minorEastAsia" w:cstheme="minorEastAsia"/>
          <w:color w:val="auto"/>
          <w:spacing w:val="-4"/>
          <w:sz w:val="24"/>
          <w:szCs w:val="24"/>
          <w:lang w:val="en-US" w:eastAsia="zh-CN"/>
        </w:rPr>
        <w:t>街道办</w:t>
      </w:r>
      <w:r>
        <w:rPr>
          <w:rFonts w:hint="eastAsia" w:asciiTheme="minorEastAsia" w:hAnsiTheme="minorEastAsia" w:eastAsiaTheme="minorEastAsia" w:cstheme="minorEastAsia"/>
          <w:color w:val="auto"/>
          <w:spacing w:val="-1"/>
          <w:sz w:val="24"/>
          <w:szCs w:val="24"/>
          <w:lang w:val="en-US" w:eastAsia="zh-CN"/>
        </w:rPr>
        <w:t>所在地安装多模音柱,每个</w:t>
      </w:r>
      <w:r>
        <w:rPr>
          <w:rFonts w:hint="eastAsia" w:asciiTheme="minorEastAsia" w:hAnsiTheme="minorEastAsia" w:eastAsiaTheme="minorEastAsia" w:cstheme="minorEastAsia"/>
          <w:color w:val="auto"/>
          <w:spacing w:val="-4"/>
          <w:sz w:val="24"/>
          <w:szCs w:val="24"/>
          <w:lang w:val="en-US" w:eastAsia="zh-CN"/>
        </w:rPr>
        <w:t>街道办</w:t>
      </w:r>
      <w:r>
        <w:rPr>
          <w:rFonts w:hint="eastAsia" w:asciiTheme="minorEastAsia" w:hAnsiTheme="minorEastAsia" w:eastAsiaTheme="minorEastAsia" w:cstheme="minorEastAsia"/>
          <w:color w:val="auto"/>
          <w:spacing w:val="-1"/>
          <w:sz w:val="24"/>
          <w:szCs w:val="24"/>
          <w:lang w:val="en-US" w:eastAsia="zh-CN"/>
        </w:rPr>
        <w:t>部署2台多模音柱（用于日常播出使用），在街办级应急广播适配器后端增加功放+2只大喇叭（用于应急播出使用），在实际实施安装过程中可以进行适当的调整点位。</w:t>
      </w:r>
    </w:p>
    <w:p>
      <w:pPr>
        <w:pStyle w:val="6"/>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3"/>
        <w:rPr>
          <w:rFonts w:hint="eastAsia" w:asciiTheme="minorEastAsia" w:hAnsiTheme="minorEastAsia" w:eastAsiaTheme="minorEastAsia" w:cstheme="minorEastAsia"/>
          <w:b/>
          <w:bCs w:val="0"/>
          <w:snapToGrid/>
          <w:color w:val="auto"/>
          <w:kern w:val="0"/>
          <w:sz w:val="28"/>
          <w:lang w:val="zh-CN" w:eastAsia="zh-CN" w:bidi="zh-CN"/>
        </w:rPr>
      </w:pPr>
      <w:r>
        <w:rPr>
          <w:rFonts w:hint="eastAsia" w:asciiTheme="minorEastAsia" w:hAnsiTheme="minorEastAsia" w:eastAsiaTheme="minorEastAsia" w:cstheme="minorEastAsia"/>
          <w:b/>
          <w:bCs w:val="0"/>
          <w:snapToGrid/>
          <w:color w:val="auto"/>
          <w:kern w:val="0"/>
          <w:sz w:val="28"/>
          <w:lang w:val="zh-CN" w:eastAsia="zh-CN" w:bidi="zh-CN"/>
        </w:rPr>
        <w:t>2) 行政村接收终端建设</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在行政村(社区)及其周边根据居住人口数量平均部署5个广播播放点位,广播播放点位包含村委会一个广播点,采用适配器(内置数字功放) +2个大喇叭,自然村小组2台多模收扩机+4个高音喇叭+2个多模音柱,每个村安装点位数量可根据实际情况调整按照实际人口密度地域大小在实际实施安装过程中可以进行适当的调整点位。</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结合高陵区地形地貌和现有应急广播系统,充分考虑系统使用简单便捷,最大程度降低系统建设成本。选择使用IP（4G、5G)/调频/DTMB/有线电视传输网的方式进行应急广播系统建设，且各应急广播点位间隔大于500米。</w:t>
      </w:r>
      <w:r>
        <w:rPr>
          <w:rFonts w:hint="eastAsia" w:asciiTheme="minorEastAsia" w:hAnsiTheme="minorEastAsia" w:eastAsiaTheme="minorEastAsia" w:cstheme="minorEastAsia"/>
          <w:color w:val="auto"/>
          <w:spacing w:val="-1"/>
          <w:sz w:val="24"/>
          <w:szCs w:val="24"/>
          <w:highlight w:val="none"/>
          <w:lang w:val="en-US" w:eastAsia="zh-CN"/>
        </w:rPr>
        <w:t>多模收扩机、音柱等终端设备应配置后备电源，以提升工作可靠性。</w:t>
      </w:r>
      <w:r>
        <w:rPr>
          <w:rFonts w:hint="eastAsia" w:asciiTheme="minorEastAsia" w:hAnsiTheme="minorEastAsia" w:eastAsiaTheme="minorEastAsia" w:cstheme="minorEastAsia"/>
          <w:spacing w:val="-1"/>
          <w:sz w:val="24"/>
          <w:szCs w:val="24"/>
          <w:lang w:val="en-US" w:eastAsia="zh-CN"/>
        </w:rPr>
        <w:t>同时,接收终端均可根据现场实际情况调节音量大小,避免出现音量过大/过小造成的扰民/无法收听等影响。</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本项目系统严格按照省局2019年8月份出台的技术要求《陕西省县级应急广播系统建设方案》和《关于实施2022年省级财政补助县级应急广播体系建设项目有关事项的通知》(陕广电事〔2022〕109号)进行设计。</w:t>
      </w:r>
    </w:p>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2"/>
        <w:rPr>
          <w:rFonts w:hint="eastAsia" w:asciiTheme="minorEastAsia" w:hAnsiTheme="minorEastAsia" w:eastAsiaTheme="minorEastAsia" w:cstheme="minorEastAsia"/>
          <w:b/>
          <w:bCs w:val="0"/>
          <w:snapToGrid/>
          <w:kern w:val="0"/>
          <w:sz w:val="28"/>
          <w:lang w:val="en-US" w:eastAsia="zh-CN" w:bidi="zh-CN"/>
        </w:rPr>
      </w:pPr>
      <w:bookmarkStart w:id="86" w:name="_Toc23976"/>
      <w:bookmarkStart w:id="87" w:name="_Toc4710"/>
      <w:r>
        <w:rPr>
          <w:rFonts w:hint="eastAsia" w:asciiTheme="minorEastAsia" w:hAnsiTheme="minorEastAsia" w:eastAsiaTheme="minorEastAsia" w:cstheme="minorEastAsia"/>
          <w:b/>
          <w:bCs w:val="0"/>
          <w:snapToGrid/>
          <w:kern w:val="0"/>
          <w:sz w:val="28"/>
          <w:lang w:val="en-US" w:eastAsia="zh-CN" w:bidi="zh-CN"/>
        </w:rPr>
        <w:t>6、整体建设内容清单如下</w:t>
      </w:r>
      <w:bookmarkEnd w:id="86"/>
      <w:bookmarkEnd w:id="87"/>
    </w:p>
    <w:tbl>
      <w:tblPr>
        <w:tblStyle w:val="26"/>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679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县域</w:t>
            </w: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内容</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82"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县城</w:t>
            </w: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应急信息发布前置系统</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区级应急广播平台</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82" w:type="dxa"/>
            <w:vMerge w:val="continue"/>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区级融媒体中心(广播电视台)应急广播对接系统</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4"/>
                <w:sz w:val="24"/>
                <w:szCs w:val="24"/>
                <w:lang w:val="en-US" w:eastAsia="zh-CN"/>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zh-CN" w:eastAsia="zh-CN" w:bidi="ar"/>
              </w:rPr>
              <w:t>有线数字电视应急广播对接系统</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4"/>
                <w:sz w:val="24"/>
                <w:szCs w:val="24"/>
                <w:lang w:val="en-US" w:eastAsia="zh-CN"/>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zh-CN" w:eastAsia="zh-CN" w:bidi="ar"/>
              </w:rPr>
            </w:pPr>
            <w:r>
              <w:rPr>
                <w:rFonts w:hint="eastAsia" w:asciiTheme="minorEastAsia" w:hAnsiTheme="minorEastAsia" w:eastAsiaTheme="minorEastAsia" w:cstheme="minorEastAsia"/>
                <w:i w:val="0"/>
                <w:iCs w:val="0"/>
                <w:snapToGrid w:val="0"/>
                <w:color w:val="000000"/>
                <w:kern w:val="0"/>
                <w:sz w:val="24"/>
                <w:szCs w:val="24"/>
                <w:u w:val="none"/>
                <w:lang w:val="zh-CN" w:eastAsia="zh-CN" w:bidi="ar"/>
              </w:rPr>
              <w:t>调频广播应急广播对接系统</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pacing w:val="-4"/>
                <w:sz w:val="24"/>
                <w:szCs w:val="24"/>
                <w:lang w:val="en-US" w:eastAsia="zh-CN"/>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zh-CN" w:eastAsia="zh-CN" w:bidi="ar"/>
              </w:rPr>
              <w:t>地面数字电视应急广播对接系统</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4"/>
                <w:sz w:val="24"/>
                <w:szCs w:val="24"/>
                <w:lang w:val="en-US" w:eastAsia="zh-CN"/>
              </w:rPr>
              <w:t>街道办</w:t>
            </w: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分控平台</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jc w:val="center"/>
              <w:rPr>
                <w:rFonts w:hint="eastAsia" w:asciiTheme="minorEastAsia" w:hAnsiTheme="minorEastAsia" w:eastAsiaTheme="minorEastAsia" w:cstheme="minorEastAsia"/>
                <w:i w:val="0"/>
                <w:iCs w:val="0"/>
                <w:color w:val="000000"/>
                <w:sz w:val="24"/>
                <w:szCs w:val="24"/>
                <w:highlight w:val="none"/>
                <w:u w:val="none"/>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终端点</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村级</w:t>
            </w: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行政村平台</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jc w:val="center"/>
              <w:rPr>
                <w:rFonts w:hint="eastAsia" w:asciiTheme="minorEastAsia" w:hAnsiTheme="minorEastAsia" w:eastAsiaTheme="minorEastAsia" w:cstheme="minorEastAsia"/>
                <w:i w:val="0"/>
                <w:iCs w:val="0"/>
                <w:color w:val="000000"/>
                <w:sz w:val="24"/>
                <w:szCs w:val="24"/>
                <w:highlight w:val="none"/>
                <w:u w:val="none"/>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行政村终端点</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4"/>
                <w:sz w:val="24"/>
                <w:szCs w:val="24"/>
                <w:lang w:val="en-US" w:eastAsia="zh-CN"/>
              </w:rPr>
              <w:t>街道办</w:t>
            </w: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分控平台</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jc w:val="center"/>
              <w:rPr>
                <w:rFonts w:hint="eastAsia" w:asciiTheme="minorEastAsia" w:hAnsiTheme="minorEastAsia" w:eastAsiaTheme="minorEastAsia" w:cstheme="minorEastAsia"/>
                <w:i w:val="0"/>
                <w:iCs w:val="0"/>
                <w:color w:val="000000"/>
                <w:sz w:val="24"/>
                <w:szCs w:val="24"/>
                <w:highlight w:val="none"/>
                <w:u w:val="none"/>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spacing w:val="-4"/>
                <w:sz w:val="24"/>
                <w:szCs w:val="24"/>
                <w:lang w:val="en-US" w:eastAsia="zh-CN"/>
              </w:rPr>
              <w:t>街道办</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终端点</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restar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村级</w:t>
            </w: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行政村平台</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82" w:type="dxa"/>
            <w:vMerge w:val="continue"/>
            <w:noWrap w:val="0"/>
            <w:vAlign w:val="center"/>
          </w:tcPr>
          <w:p>
            <w:pPr>
              <w:jc w:val="center"/>
              <w:rPr>
                <w:rFonts w:hint="eastAsia" w:asciiTheme="minorEastAsia" w:hAnsiTheme="minorEastAsia" w:eastAsiaTheme="minorEastAsia" w:cstheme="minorEastAsia"/>
                <w:i w:val="0"/>
                <w:iCs w:val="0"/>
                <w:color w:val="000000"/>
                <w:sz w:val="24"/>
                <w:szCs w:val="24"/>
                <w:highlight w:val="none"/>
                <w:u w:val="none"/>
              </w:rPr>
            </w:pPr>
          </w:p>
        </w:tc>
        <w:tc>
          <w:tcPr>
            <w:tcW w:w="679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行政村终端点</w:t>
            </w:r>
          </w:p>
        </w:tc>
        <w:tc>
          <w:tcPr>
            <w:tcW w:w="12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15</w:t>
            </w:r>
          </w:p>
        </w:tc>
      </w:tr>
    </w:tbl>
    <w:p>
      <w:pPr>
        <w:pStyle w:val="5"/>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firstLine="562" w:firstLineChars="200"/>
        <w:jc w:val="left"/>
        <w:textAlignment w:val="auto"/>
        <w:outlineLvl w:val="2"/>
        <w:rPr>
          <w:rFonts w:hint="eastAsia" w:asciiTheme="minorEastAsia" w:hAnsiTheme="minorEastAsia" w:eastAsiaTheme="minorEastAsia" w:cstheme="minorEastAsia"/>
          <w:b/>
          <w:bCs w:val="0"/>
          <w:snapToGrid/>
          <w:kern w:val="0"/>
          <w:sz w:val="28"/>
          <w:lang w:val="en-US" w:eastAsia="zh-CN" w:bidi="zh-CN"/>
        </w:rPr>
      </w:pPr>
      <w:bookmarkStart w:id="88" w:name="_Toc4622"/>
      <w:bookmarkStart w:id="89" w:name="_Toc19764"/>
      <w:bookmarkStart w:id="90" w:name="_Toc18136"/>
      <w:r>
        <w:rPr>
          <w:rFonts w:hint="eastAsia" w:asciiTheme="minorEastAsia" w:hAnsiTheme="minorEastAsia" w:eastAsiaTheme="minorEastAsia" w:cstheme="minorEastAsia"/>
          <w:b/>
          <w:bCs w:val="0"/>
          <w:snapToGrid/>
          <w:kern w:val="0"/>
          <w:sz w:val="28"/>
          <w:lang w:val="en-US" w:eastAsia="zh-CN" w:bidi="zh-CN"/>
        </w:rPr>
        <w:t>7、建设点位</w:t>
      </w:r>
      <w:bookmarkEnd w:id="88"/>
      <w:bookmarkEnd w:id="89"/>
      <w:bookmarkEnd w:id="90"/>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次项目省补助资金建设街道办分控平台2个，行政村（社区）17个。自筹资金建设街道办分控平台5个，行政村（社区）3个。每个街道办部署2台多模音柱（用于日常播出使用），在街办级应急广播适配器后端增加功放+2只大喇叭（用于应急播出使用），根据实际情况可自行调配每个街道办的广播点位。每个行政村（社区）根据居住人口数量配备终端，每个行政村平均部署5个广播点位，广播播放点位包含村委会一个广播点，采用适配器（内置数字功放）+大喇叭，自然村小组采用多模收扩机和多模音柱覆盖，根据实际情况调配每个行政村的多模收扩机和多模音柱广播点位。</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napToGrid/>
          <w:kern w:val="0"/>
          <w:sz w:val="28"/>
          <w:lang w:val="zh-CN" w:eastAsia="zh-CN" w:bidi="zh-CN"/>
        </w:rPr>
      </w:pPr>
      <w:bookmarkStart w:id="91" w:name="_Toc21929"/>
      <w:bookmarkStart w:id="92" w:name="_Toc29377"/>
      <w:r>
        <w:rPr>
          <w:rFonts w:hint="eastAsia" w:asciiTheme="minorEastAsia" w:hAnsiTheme="minorEastAsia" w:eastAsiaTheme="minorEastAsia" w:cstheme="minorEastAsia"/>
          <w:snapToGrid/>
          <w:kern w:val="0"/>
          <w:sz w:val="28"/>
          <w:lang w:val="en-US" w:eastAsia="zh-CN" w:bidi="zh-CN"/>
        </w:rPr>
        <w:t>三</w:t>
      </w:r>
      <w:r>
        <w:rPr>
          <w:rFonts w:hint="eastAsia" w:asciiTheme="minorEastAsia" w:hAnsiTheme="minorEastAsia" w:eastAsiaTheme="minorEastAsia" w:cstheme="minorEastAsia"/>
          <w:snapToGrid/>
          <w:kern w:val="0"/>
          <w:sz w:val="28"/>
          <w:lang w:val="zh-CN" w:eastAsia="zh-CN" w:bidi="zh-CN"/>
        </w:rPr>
        <w:t>、建设相关技术标准和规范</w:t>
      </w:r>
      <w:bookmarkEnd w:id="91"/>
      <w:bookmarkEnd w:id="92"/>
    </w:p>
    <w:p>
      <w:pPr>
        <w:spacing w:before="142" w:line="360" w:lineRule="auto"/>
        <w:ind w:firstLine="4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w w:val="98"/>
          <w:sz w:val="24"/>
          <w:szCs w:val="24"/>
        </w:rPr>
        <w:t>系统设计主要依据以下标准或规范: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079—2018 应急广播系统总体技术规范》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080—2018 应急广播系统资源分类及编码规范》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081—2018 应急广播安全保护技术规范 数字签名》</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082—2018 应急广播消息格式规范》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083—2018 应急广播平台接口规范》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085—2018 模拟调频应急广播技术规范》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086—2018 有线数字电视应急广播技术规范》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087—2018 地面数字电视应急广播技术规范》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088—2018 县级应急广播系统技术规范》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《GD/J 089—2018 应急广播大喇叭系统技术规范》</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《县级应急广播系统暂行技术要求（广电总局科技司2015年12月印发》</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《GY/T 5093-2020 应急广播平台工程建设技术标准》</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GB/T 22240-2020 信息安全技术 网络安全等级保护定级指南</w:t>
      </w:r>
      <w:r>
        <w:rPr>
          <w:rFonts w:hint="eastAsia" w:asciiTheme="minorEastAsia" w:hAnsiTheme="minorEastAsia" w:eastAsiaTheme="minorEastAsia" w:cstheme="minorEastAsia"/>
          <w:sz w:val="24"/>
          <w:szCs w:val="24"/>
        </w:rPr>
        <w:t>》</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GB/T 22239-2019 信息安全技术网络安全等级保护基本要求</w:t>
      </w:r>
      <w:r>
        <w:rPr>
          <w:rFonts w:hint="eastAsia" w:asciiTheme="minorEastAsia" w:hAnsiTheme="minorEastAsia" w:eastAsiaTheme="minorEastAsia" w:cstheme="minorEastAsia"/>
          <w:sz w:val="24"/>
          <w:szCs w:val="24"/>
        </w:rPr>
        <w:t>》</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《GB/T 25070-2019 信息安全技术网络安全等级保护安全设计技术要求》</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GM/T 0054-2018 信息系统密码应用基本要求</w:t>
      </w:r>
      <w:r>
        <w:rPr>
          <w:rFonts w:hint="eastAsia" w:asciiTheme="minorEastAsia" w:hAnsiTheme="minorEastAsia" w:eastAsiaTheme="minorEastAsia" w:cstheme="minorEastAsia"/>
          <w:sz w:val="24"/>
          <w:szCs w:val="24"/>
        </w:rPr>
        <w:t>》</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GGY/T 337-2020 广播电视网络安全等级保护定级指南</w:t>
      </w:r>
      <w:r>
        <w:rPr>
          <w:rFonts w:hint="eastAsia" w:asciiTheme="minorEastAsia" w:hAnsiTheme="minorEastAsia" w:eastAsiaTheme="minorEastAsia" w:cstheme="minorEastAsia"/>
          <w:sz w:val="24"/>
          <w:szCs w:val="24"/>
        </w:rPr>
        <w:t>》</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GY/T 352—2021广播电视网络安全等级保护基本要求</w:t>
      </w:r>
      <w:r>
        <w:rPr>
          <w:rFonts w:hint="eastAsia" w:asciiTheme="minorEastAsia" w:hAnsiTheme="minorEastAsia" w:eastAsiaTheme="minorEastAsia" w:cstheme="minorEastAsia"/>
          <w:sz w:val="24"/>
          <w:szCs w:val="24"/>
        </w:rPr>
        <w:t>》</w:t>
      </w:r>
    </w:p>
    <w:p>
      <w:pPr>
        <w:numPr>
          <w:ilvl w:val="0"/>
          <w:numId w:val="8"/>
        </w:numPr>
        <w:autoSpaceDE/>
        <w:autoSpaceDN/>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《中华人民共和国突发事件应对法》（中华人民共和国主席令第69号）</w:t>
      </w:r>
    </w:p>
    <w:p>
      <w:pPr>
        <w:keepNext w:val="0"/>
        <w:keepLines w:val="0"/>
        <w:pageBreakBefore w:val="0"/>
        <w:widowControl/>
        <w:numPr>
          <w:ilvl w:val="0"/>
          <w:numId w:val="8"/>
        </w:numPr>
        <w:kinsoku w:val="0"/>
        <w:wordWrap/>
        <w:overflowPunct/>
        <w:topLinePunct w:val="0"/>
        <w:autoSpaceDE/>
        <w:autoSpaceDN/>
        <w:bidi w:val="0"/>
        <w:adjustRightInd w:val="0"/>
        <w:snapToGrid w:val="0"/>
        <w:spacing w:line="360" w:lineRule="auto"/>
        <w:ind w:left="420" w:hanging="42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《国家突发公共事件总体应急预案》（国务院第79次常务会议）</w:t>
      </w:r>
    </w:p>
    <w:p>
      <w:pPr>
        <w:keepNext w:val="0"/>
        <w:keepLines w:val="0"/>
        <w:pageBreakBefore w:val="0"/>
        <w:widowControl/>
        <w:numPr>
          <w:ilvl w:val="0"/>
          <w:numId w:val="9"/>
        </w:numPr>
        <w:kinsoku w:val="0"/>
        <w:wordWrap/>
        <w:overflowPunct/>
        <w:topLinePunct w:val="0"/>
        <w:autoSpaceDE/>
        <w:autoSpaceDN/>
        <w:bidi w:val="0"/>
        <w:adjustRightInd w:val="0"/>
        <w:snapToGrid w:val="0"/>
        <w:spacing w:line="360" w:lineRule="auto"/>
        <w:ind w:left="420" w:leftChars="0" w:hanging="42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《国家突发事件预警信息发布系统运行管理办法（试行）》（国办秘函[2015]32号）</w:t>
      </w:r>
    </w:p>
    <w:p>
      <w:pPr>
        <w:keepNext w:val="0"/>
        <w:keepLines w:val="0"/>
        <w:pageBreakBefore w:val="0"/>
        <w:widowControl/>
        <w:numPr>
          <w:ilvl w:val="0"/>
          <w:numId w:val="9"/>
        </w:numPr>
        <w:kinsoku w:val="0"/>
        <w:wordWrap/>
        <w:overflowPunct/>
        <w:topLinePunct w:val="0"/>
        <w:bidi w:val="0"/>
        <w:adjustRightInd w:val="0"/>
        <w:snapToGrid w:val="0"/>
        <w:spacing w:line="360" w:lineRule="auto"/>
        <w:ind w:left="420" w:leftChars="0" w:right="128" w:rightChars="0" w:hanging="420" w:firstLineChars="0"/>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lang w:val="en-US" w:eastAsia="zh-CN"/>
        </w:rPr>
        <w:t>关于实施2022年省级财政补助县级应急广播体系建设项目有关事项的通知》(陕广电事〔2022〕109号)</w:t>
      </w:r>
    </w:p>
    <w:p>
      <w:pPr>
        <w:spacing w:line="360" w:lineRule="auto"/>
        <w:rPr>
          <w:rFonts w:hint="eastAsia" w:asciiTheme="minorEastAsia" w:hAnsiTheme="minorEastAsia" w:eastAsiaTheme="minorEastAsia" w:cstheme="minorEastAsia"/>
          <w:sz w:val="32"/>
          <w:szCs w:val="32"/>
        </w:rPr>
      </w:pPr>
    </w:p>
    <w:p>
      <w:pPr>
        <w:bidi w:val="0"/>
        <w:spacing w:line="360" w:lineRule="auto"/>
        <w:jc w:val="center"/>
        <w:outlineLvl w:val="0"/>
        <w:rPr>
          <w:rFonts w:hint="eastAsia" w:asciiTheme="minorEastAsia" w:hAnsiTheme="minorEastAsia" w:eastAsiaTheme="minorEastAsia" w:cstheme="minorEastAsia"/>
          <w:b/>
          <w:bCs/>
          <w:sz w:val="44"/>
          <w:szCs w:val="44"/>
          <w:lang w:val="zh-CN" w:eastAsia="zh-CN"/>
        </w:rPr>
      </w:pPr>
      <w:bookmarkStart w:id="93" w:name="_Toc16843"/>
      <w:bookmarkStart w:id="94" w:name="_Toc29686"/>
      <w:r>
        <w:rPr>
          <w:rFonts w:hint="eastAsia" w:asciiTheme="minorEastAsia" w:hAnsiTheme="minorEastAsia" w:eastAsiaTheme="minorEastAsia" w:cstheme="minorEastAsia"/>
          <w:b/>
          <w:bCs/>
          <w:sz w:val="44"/>
          <w:szCs w:val="44"/>
          <w:lang w:val="zh-CN" w:eastAsia="zh-CN"/>
        </w:rPr>
        <w:t>第</w:t>
      </w:r>
      <w:r>
        <w:rPr>
          <w:rFonts w:hint="eastAsia" w:asciiTheme="minorEastAsia" w:hAnsiTheme="minorEastAsia" w:eastAsiaTheme="minorEastAsia" w:cstheme="minorEastAsia"/>
          <w:b/>
          <w:bCs/>
          <w:sz w:val="44"/>
          <w:szCs w:val="44"/>
          <w:lang w:val="en-US" w:eastAsia="zh-CN"/>
        </w:rPr>
        <w:t xml:space="preserve">三项 </w:t>
      </w:r>
      <w:r>
        <w:rPr>
          <w:rFonts w:hint="eastAsia" w:asciiTheme="minorEastAsia" w:hAnsiTheme="minorEastAsia" w:eastAsiaTheme="minorEastAsia" w:cstheme="minorEastAsia"/>
          <w:b/>
          <w:bCs/>
          <w:sz w:val="44"/>
          <w:szCs w:val="44"/>
          <w:lang w:val="zh-CN" w:eastAsia="zh-CN"/>
        </w:rPr>
        <w:t>应急广播系统主要设备技术要求</w:t>
      </w:r>
      <w:bookmarkEnd w:id="93"/>
      <w:bookmarkEnd w:id="94"/>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技术方案整体系统构架、功能和各设备技术要求及参数不低于《陕西省县级应急广播系统建设方案》要求。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多模音柱和多模收扩机应满足以下技术要求：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一、多模音柱:</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 功能要求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1.可设置本设备IP地址、端口号等参数;</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2.可接收来自上级调频信号、IP信号(有线和4G)、DTMB/DVB-C信号,实现远程广播控制功能;</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3.支持管理平台远程配置工作参数(包括:音量、调频频率、DTMB频率等);</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4.集成国密算法芯片,具有验签功能。符合GD/J081-2018应急广播安全保护技术规范数字签名;</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 xml:space="preserve">5.支持2种以上信号同时激活工作,优先级可选; </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6.配置通信模块支持回传功能;</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7.具有防雷防水和短路保护功能。</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 接口要求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1.FM输入接口:公制F母座,1路输入内置2分配,配置2个调谐器;</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2.DTMB(DVB-C)或独立输入接口:英制 F 母座,1路及以上;</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3.网络接口:RJ45;</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4.内置扬声器输出。</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(三) 性能要求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1.工作电压范围: AC: 160V~260V;</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2.FM输入频率范围: 87MHz～108MHz;</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3.DTMB/DVB-C频段: 47OMHz～802MHz。</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4.额定输出功率:不小于25瓦。</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二、多模收扩机:</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 功能要求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1.可设置本设备IP地址、端口号等参数;</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2.可接收来自上级调频信号、IP信号(有线和4G)、DTMB/DVB-C信号,实现远程广播控制功能;</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3.支持管理平台远程配置工作参数(包括:音量、调频频率、DTMB 频率等);</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4.集成国密算法芯片,具有验签功能。符合GD/J081-2018应急广播安全保护技术规范数字签名;</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 xml:space="preserve">5.支持2种以上信号同时激活工作,优先级可选; </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 xml:space="preserve">6.配置通信模块支持回传功能;                </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7.具有防雷防水和短路保护功能。</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 接口要求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1.FM输入接口:公制F母座,1路输入内置2分配,配置 2个调谐器;</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2.DTMB(DVB-C)或独立输入接口: 英制 F母座,1 路及以上;</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3.网络接口: RJ45;</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4.输出接口: 音频接线柱。</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(三) 性能要求</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1.工作电压范围: AC:160V～260V;</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 xml:space="preserve">2.FM输入频率范围: 87MHz～108MHz;         </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 xml:space="preserve">3.DTMB/DVB-C频段: 47OMHz～802MHz。                </w:t>
      </w:r>
    </w:p>
    <w:p>
      <w:pPr>
        <w:keepNext w:val="0"/>
        <w:keepLines w:val="0"/>
        <w:pageBreakBefore w:val="0"/>
        <w:wordWrap/>
        <w:overflowPunct/>
        <w:topLinePunct w:val="0"/>
        <w:autoSpaceDE w:val="0"/>
        <w:autoSpaceDN w:val="0"/>
        <w:bidi w:val="0"/>
        <w:spacing w:line="360" w:lineRule="auto"/>
        <w:ind w:right="126" w:firstLine="476" w:firstLineChars="200"/>
        <w:rPr>
          <w:rFonts w:hint="eastAsia" w:asciiTheme="minorEastAsia" w:hAnsiTheme="minorEastAsia" w:eastAsiaTheme="minorEastAsia" w:cstheme="minorEastAsia"/>
          <w:spacing w:val="7"/>
          <w:sz w:val="34"/>
          <w:szCs w:val="34"/>
          <w:lang w:eastAsia="zh-CN"/>
        </w:rPr>
      </w:pPr>
      <w:r>
        <w:rPr>
          <w:rFonts w:hint="eastAsia" w:asciiTheme="minorEastAsia" w:hAnsiTheme="minorEastAsia" w:eastAsiaTheme="minorEastAsia" w:cstheme="minorEastAsia"/>
          <w:spacing w:val="-1"/>
          <w:sz w:val="24"/>
          <w:szCs w:val="24"/>
          <w:lang w:val="en-US" w:eastAsia="zh-CN"/>
        </w:rPr>
        <w:t>4.额定输出功率:不小于外接扬声器功率总和。</w:t>
      </w:r>
    </w:p>
    <w:p>
      <w:pPr>
        <w:pStyle w:val="38"/>
        <w:rPr>
          <w:rFonts w:hint="eastAsia" w:asciiTheme="minorEastAsia" w:hAnsiTheme="minorEastAsia" w:eastAsiaTheme="minorEastAsia" w:cstheme="minorEastAsia"/>
        </w:rPr>
        <w:sectPr>
          <w:footerReference r:id="rId18" w:type="default"/>
          <w:pgSz w:w="11970" w:h="16870"/>
          <w:pgMar w:top="1433" w:right="1405" w:bottom="1134" w:left="1659" w:header="1020" w:footer="907" w:gutter="0"/>
          <w:pgBorders>
            <w:top w:val="none" w:sz="0" w:space="0"/>
            <w:left w:val="none" w:sz="0" w:space="0"/>
            <w:bottom w:val="none" w:sz="0" w:space="0"/>
            <w:right w:val="none" w:sz="0" w:space="0"/>
          </w:pgBorders>
          <w:pgNumType w:fmt="numberInDash"/>
          <w:cols w:space="720" w:num="1"/>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napToGrid/>
          <w:kern w:val="0"/>
          <w:sz w:val="28"/>
          <w:lang w:val="en-US" w:eastAsia="zh-CN" w:bidi="zh-CN"/>
        </w:rPr>
      </w:pPr>
      <w:bookmarkStart w:id="95" w:name="_Toc6946"/>
      <w:bookmarkStart w:id="96" w:name="_Toc32635"/>
      <w:r>
        <w:rPr>
          <w:rFonts w:hint="eastAsia" w:asciiTheme="minorEastAsia" w:hAnsiTheme="minorEastAsia" w:eastAsiaTheme="minorEastAsia" w:cstheme="minorEastAsia"/>
          <w:snapToGrid/>
          <w:kern w:val="0"/>
          <w:sz w:val="28"/>
          <w:lang w:val="en-US" w:eastAsia="zh-CN" w:bidi="zh-CN"/>
        </w:rPr>
        <w:t>三、应急广播系统设备清单</w:t>
      </w:r>
      <w:bookmarkEnd w:id="95"/>
      <w:bookmarkEnd w:id="96"/>
    </w:p>
    <w:p>
      <w:pPr>
        <w:numPr>
          <w:ilvl w:val="0"/>
          <w:numId w:val="0"/>
        </w:numPr>
        <w:spacing w:line="360" w:lineRule="auto"/>
        <w:jc w:val="center"/>
        <w:rPr>
          <w:rFonts w:hint="eastAsia" w:ascii="仿宋_GB2312" w:hAnsi="仿宋_GB2312" w:eastAsia="仿宋_GB2312" w:cs="仿宋_GB2312"/>
          <w:b/>
          <w:bCs w:val="0"/>
          <w:color w:val="auto"/>
          <w:sz w:val="28"/>
          <w:szCs w:val="28"/>
          <w:u w:val="none"/>
          <w:lang w:val="en-US" w:eastAsia="zh-CN"/>
        </w:rPr>
      </w:pPr>
      <w:r>
        <w:rPr>
          <w:rFonts w:hint="eastAsia" w:asciiTheme="minorEastAsia" w:hAnsiTheme="minorEastAsia" w:eastAsiaTheme="minorEastAsia" w:cstheme="minorEastAsia"/>
          <w:b/>
          <w:bCs w:val="0"/>
          <w:color w:val="auto"/>
          <w:sz w:val="28"/>
          <w:szCs w:val="28"/>
          <w:u w:val="none"/>
          <w:lang w:val="en-US" w:eastAsia="zh-CN"/>
        </w:rPr>
        <w:t xml:space="preserve">             </w:t>
      </w:r>
      <w:r>
        <w:rPr>
          <w:rFonts w:hint="eastAsia" w:ascii="仿宋_GB2312" w:hAnsi="仿宋_GB2312" w:eastAsia="仿宋_GB2312" w:cs="仿宋_GB2312"/>
          <w:b/>
          <w:bCs w:val="0"/>
          <w:color w:val="auto"/>
          <w:sz w:val="28"/>
          <w:szCs w:val="28"/>
          <w:u w:val="none"/>
          <w:lang w:val="en-US" w:eastAsia="zh-CN"/>
        </w:rPr>
        <w:t xml:space="preserve">                     </w:t>
      </w:r>
    </w:p>
    <w:p>
      <w:pPr>
        <w:numPr>
          <w:ilvl w:val="0"/>
          <w:numId w:val="0"/>
        </w:numPr>
        <w:spacing w:line="360" w:lineRule="auto"/>
        <w:jc w:val="right"/>
        <w:rPr>
          <w:rFonts w:hint="eastAsia" w:ascii="仿宋_GB2312" w:hAnsi="仿宋_GB2312" w:eastAsia="仿宋_GB2312" w:cs="仿宋_GB2312"/>
          <w:b/>
          <w:bCs w:val="0"/>
          <w:color w:val="auto"/>
          <w:sz w:val="24"/>
          <w:szCs w:val="24"/>
          <w:u w:val="none"/>
          <w:lang w:val="en-US" w:eastAsia="zh-CN"/>
        </w:rPr>
      </w:pPr>
      <w:r>
        <w:rPr>
          <w:rFonts w:hint="eastAsia" w:ascii="仿宋_GB2312" w:hAnsi="仿宋_GB2312" w:eastAsia="仿宋_GB2312" w:cs="仿宋_GB2312"/>
          <w:b/>
          <w:bCs w:val="0"/>
          <w:color w:val="auto"/>
          <w:sz w:val="28"/>
          <w:szCs w:val="28"/>
          <w:u w:val="none"/>
          <w:lang w:val="en-US" w:eastAsia="zh-CN"/>
        </w:rPr>
        <w:t xml:space="preserve">  </w:t>
      </w:r>
      <w:r>
        <w:rPr>
          <w:rFonts w:hint="eastAsia" w:ascii="仿宋_GB2312" w:hAnsi="仿宋_GB2312" w:eastAsia="仿宋_GB2312" w:cs="仿宋_GB2312"/>
          <w:b/>
          <w:bCs w:val="0"/>
          <w:color w:val="auto"/>
          <w:sz w:val="24"/>
          <w:szCs w:val="24"/>
          <w:u w:val="none"/>
          <w:lang w:val="en-US" w:eastAsia="zh-CN"/>
        </w:rPr>
        <w:t>单位：元</w:t>
      </w:r>
    </w:p>
    <w:tbl>
      <w:tblPr>
        <w:tblStyle w:val="26"/>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3665"/>
        <w:gridCol w:w="850"/>
        <w:gridCol w:w="810"/>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项目设备名称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应急广播平台软件系统</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应用服务器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数据服务器（含存储）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PC 工作站</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接入交换机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核心交换机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监听音箱</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话筒</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调音台</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时钟服务器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机架式收音头</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区级应急广播大喇叭适配器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在线式 UPS 电源</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区级应急广播安全专用设备</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15</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防火墙</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16</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入侵检测系统</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17</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数据库软件</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18</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综合日志审计系统</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19</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网络防病毒系统</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20</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操作系统</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播控台</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机柜</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辅材及安装调试</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项目设备名称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应急消息发布前置系统软件</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USB 密码器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交换机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PC 工作站</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IP 话筒</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监听音箱</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播控桌及机柜</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辅材及安装调试</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项目设备名称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广播电视台应急广播适配器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USB 密码器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交换机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PC 工作站</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项目设备名称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调频广播应急广播适配器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音频切换器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项目设备名称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地面数字电视应急广播适配器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项目设备名称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IP 复用器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有线数字电视应急广播适配器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街道办级应急广播大喇叭适配器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街道办级应急广播分控平台软件</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话筒</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室外高音喇叭25W</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PC 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多模音柱</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播控桌及机柜</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UPS 电源</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交换机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8位插座</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被覆线</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400</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辅材及安装调试</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村级应急广播大喇叭适配器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话筒</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室外高音喇叭25W</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34</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shd w:val="clear" w:color="auto" w:fill="auto"/>
                <w:lang w:val="en-US" w:eastAsia="zh-CN"/>
              </w:rPr>
            </w:pPr>
            <w:r>
              <w:rPr>
                <w:rFonts w:hint="eastAsia" w:ascii="仿宋_GB2312" w:hAnsi="仿宋_GB2312" w:eastAsia="仿宋_GB2312" w:cs="仿宋_GB2312"/>
                <w:i w:val="0"/>
                <w:iCs w:val="0"/>
                <w:color w:val="auto"/>
                <w:sz w:val="24"/>
                <w:szCs w:val="24"/>
                <w:highlight w:val="none"/>
                <w:u w:val="none"/>
                <w:shd w:val="clear" w:color="auto" w:fill="auto"/>
                <w:lang w:val="en-US" w:eastAsia="zh-CN"/>
              </w:rPr>
              <w:t>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shd w:val="clear" w:color="auto" w:fill="auto"/>
              </w:rPr>
            </w:pPr>
            <w:r>
              <w:rPr>
                <w:rFonts w:hint="eastAsia" w:ascii="仿宋_GB2312" w:hAnsi="仿宋_GB2312" w:eastAsia="仿宋_GB2312" w:cs="仿宋_GB2312"/>
                <w:i w:val="0"/>
                <w:iCs w:val="0"/>
                <w:snapToGrid w:val="0"/>
                <w:color w:val="auto"/>
                <w:kern w:val="0"/>
                <w:sz w:val="24"/>
                <w:szCs w:val="24"/>
                <w:highlight w:val="none"/>
                <w:u w:val="none"/>
                <w:shd w:val="clear" w:color="auto" w:fill="auto"/>
                <w:lang w:val="en-US" w:eastAsia="zh-CN" w:bidi="ar"/>
              </w:rPr>
              <w:t>多模收扩机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shd w:val="clear" w:color="auto" w:fill="auto"/>
              </w:rPr>
            </w:pPr>
            <w:r>
              <w:rPr>
                <w:rFonts w:hint="eastAsia" w:ascii="仿宋_GB2312" w:hAnsi="仿宋_GB2312" w:eastAsia="仿宋_GB2312" w:cs="仿宋_GB2312"/>
                <w:i w:val="0"/>
                <w:iCs w:val="0"/>
                <w:snapToGrid w:val="0"/>
                <w:color w:val="auto"/>
                <w:kern w:val="0"/>
                <w:sz w:val="24"/>
                <w:szCs w:val="24"/>
                <w:highlight w:val="none"/>
                <w:u w:val="none"/>
                <w:shd w:val="clear" w:color="auto" w:fill="auto"/>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shd w:val="clear" w:color="auto" w:fill="auto"/>
                <w:lang w:val="en-US"/>
              </w:rPr>
            </w:pPr>
            <w:r>
              <w:rPr>
                <w:rFonts w:hint="eastAsia" w:ascii="仿宋_GB2312" w:hAnsi="仿宋_GB2312" w:eastAsia="仿宋_GB2312" w:cs="仿宋_GB2312"/>
                <w:i w:val="0"/>
                <w:iCs w:val="0"/>
                <w:snapToGrid w:val="0"/>
                <w:color w:val="auto"/>
                <w:kern w:val="0"/>
                <w:sz w:val="24"/>
                <w:szCs w:val="24"/>
                <w:highlight w:val="none"/>
                <w:u w:val="none"/>
                <w:shd w:val="clear" w:color="auto" w:fill="auto"/>
                <w:lang w:val="en-US" w:eastAsia="zh-CN" w:bidi="ar"/>
              </w:rPr>
              <w:t>34</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24"/>
                <w:szCs w:val="24"/>
                <w:highlight w:val="none"/>
                <w:u w:val="none"/>
                <w:shd w:val="clear" w:color="auto" w:fil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室外高音喇叭25W</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68</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多模音柱</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34</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播控桌及机柜</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UPS 电源</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被覆线</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5100</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辅材及安装调试</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街道办</w:t>
            </w:r>
            <w:r>
              <w:rPr>
                <w:rStyle w:val="170"/>
                <w:rFonts w:hint="eastAsia" w:ascii="仿宋_GB2312" w:hAnsi="仿宋_GB2312" w:eastAsia="仿宋_GB2312" w:cs="仿宋_GB2312"/>
                <w:snapToGrid w:val="0"/>
                <w:color w:val="000000"/>
                <w:lang w:val="en-US" w:eastAsia="zh-CN" w:bidi="ar"/>
              </w:rPr>
              <w:t>级应急广播大喇叭适配器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街道办</w:t>
            </w:r>
            <w:r>
              <w:rPr>
                <w:rStyle w:val="170"/>
                <w:rFonts w:hint="eastAsia" w:ascii="仿宋_GB2312" w:hAnsi="仿宋_GB2312" w:eastAsia="仿宋_GB2312" w:cs="仿宋_GB2312"/>
                <w:snapToGrid w:val="0"/>
                <w:color w:val="000000"/>
                <w:lang w:val="en-US" w:eastAsia="zh-CN" w:bidi="ar"/>
              </w:rPr>
              <w:t>级应急广播分控平台软件</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话筒</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室外高音喇叭25W</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PC 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多模音柱</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播控桌及机柜</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UPS 电源</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交换机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8位插座</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被覆线</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1000</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辅材及安装调试</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序号</w:t>
            </w:r>
          </w:p>
        </w:tc>
        <w:tc>
          <w:tcPr>
            <w:tcW w:w="3665"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项目名称</w:t>
            </w:r>
          </w:p>
        </w:tc>
        <w:tc>
          <w:tcPr>
            <w:tcW w:w="85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单位</w:t>
            </w:r>
          </w:p>
        </w:tc>
        <w:tc>
          <w:tcPr>
            <w:tcW w:w="810"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数量</w:t>
            </w:r>
          </w:p>
        </w:tc>
        <w:tc>
          <w:tcPr>
            <w:tcW w:w="1941" w:type="dxa"/>
            <w:shd w:val="clear" w:color="auto" w:fill="D8D8D8"/>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村级应急广播大喇叭适配器</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话筒</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室外高音喇叭25W</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多模收扩机</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5</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室外高音喇叭25W</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只</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12</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多模音柱</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播控桌及机柜</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8</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UPS 电源</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9</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被覆线</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900</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10</w:t>
            </w:r>
          </w:p>
        </w:tc>
        <w:tc>
          <w:tcPr>
            <w:tcW w:w="366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辅材及安装调试</w:t>
            </w:r>
          </w:p>
        </w:tc>
        <w:tc>
          <w:tcPr>
            <w:tcW w:w="85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194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329"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项目验收及绩效评价费用：120000元（暂列金）</w:t>
            </w:r>
          </w:p>
        </w:tc>
      </w:tr>
    </w:tbl>
    <w:p>
      <w:pPr>
        <w:pStyle w:val="2"/>
        <w:rPr>
          <w:rFonts w:hint="eastAsia" w:asciiTheme="minorEastAsia" w:hAnsiTheme="minorEastAsia" w:eastAsiaTheme="minorEastAsia" w:cstheme="minorEastAsia"/>
          <w:lang w:val="en-US" w:eastAsia="zh-CN"/>
        </w:rPr>
      </w:pPr>
    </w:p>
    <w:tbl>
      <w:tblPr>
        <w:tblStyle w:val="26"/>
        <w:tblW w:w="10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7"/>
        <w:gridCol w:w="883"/>
        <w:gridCol w:w="8118"/>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9758" w:type="dxa"/>
            <w:gridSpan w:val="3"/>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sz w:val="28"/>
                <w:szCs w:val="24"/>
                <w:highlight w:val="none"/>
              </w:rPr>
              <w:t>设备技术参数要求(以下参数要求为基本要求，各项参数可相同可优于</w:t>
            </w:r>
            <w:r>
              <w:rPr>
                <w:rFonts w:hint="eastAsia" w:asciiTheme="minorEastAsia" w:hAnsiTheme="minorEastAsia" w:eastAsiaTheme="minorEastAsia" w:cstheme="minorEastAsia"/>
                <w:b/>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D8D8D8"/>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序号</w:t>
            </w:r>
          </w:p>
        </w:tc>
        <w:tc>
          <w:tcPr>
            <w:tcW w:w="883" w:type="dxa"/>
            <w:shd w:val="clear" w:color="auto" w:fill="D8D8D8"/>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项目设备名称</w:t>
            </w:r>
          </w:p>
        </w:tc>
        <w:tc>
          <w:tcPr>
            <w:tcW w:w="8118" w:type="dxa"/>
            <w:shd w:val="clear" w:color="auto" w:fill="D8D8D8"/>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应急广播平台软件系统</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1.信息接入功能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(1)心跳发送功能：按照一定的时间间隔定时向上级应急广播平台发送心跳数据包；</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(2)信息主动上报：当本平台维护的应急广播平台、前端/台站、应急广播适配器、传输覆盖播出设备、终端等信息发生修改时，主动上报至上级应急广播平台；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(3)信息被动上报：根据上级应急广播平台的要求，将本平台维护的应急广播平台、前端/台站、应急广播适配器、传输覆盖播出设备、终端等信息反馈至上级应急广播平台；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(4)状态主动上报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a.当本平台维护的应急广播平台、调频适配器、地面数字电视适配器等设备发生故障时，主动上报至上级应急广播平台；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b.当本平台维护的前端/台站、传输覆盖播出设备、终端等设备发生故障时，主动上报至上级应急广播平台；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(5)状态被动上报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a.根据上级应急广播平台的要求，将本平台维护的应急广播平台、调频适配器、中波适配器、地面数字电视适配器等状态反馈至上级应急广播平台；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b.根据上级应急广播平台的要求，将本平台维护的前端/台站、传输覆盖播出设备、终端等设备发生故障时，主动上报至上级应急广播平台。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(6)应急广播播发接入并响应</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能接收和响应上级应急广播平台发送的、要求启动调频适配器、中波适配器、地面数字电视适配器进行应急广播播发的指令，能正确处理未到时、已到时未过期、已过期三种时间指令，并将接收处理结果、播出结果反馈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能接收和响应上级应急广播平台发送的、要求启动应急广播大喇叭系统进行应急广播播发的指令，能正确处理未到时、已到时未过期、已过期三种时间指令，并将接收处理结果播出结果反馈至上级应急广播平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.能够与应急部门的预警信息发布系统对接。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(7)播发状态查询</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支持和响应上级应急广播平台发送的某条应急广播消息播发状态查询指令，并反馈查询结果。</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(8)播发记录查询</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支持和响应上级应急广播平台发送的某时间段的播发记录查询指令，并反馈查询结果。</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2.信息处理功能要求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(1)接入信息解析处理：能对接收到的应急信息、应急广播消息的关键内容(来源单位、消息类型、事件级别、发布时间、发布内容等)进行解析和存储功能；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)接入信息提示功能：能将接收到信息/消息的关键内容在界面上展示。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3.信息制作和审核功能要求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(1)自动文转语功能：具有将应急广播文本内容(汉语)自动转换成语音文件的功能，语音文件格式要求为mp3；</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)音频文件流化功能：能够将接收到的 mp3 的音频文件转化成 IP 实时流；</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)信息审核功能：具有对本地广播资源(应急广播文本内容自动文转语生成的语音文件、应急广播音频文件)进行审核、预览功能。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4.资源管理功能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(1)资源管理：可进行前端/台站适配器、大喇叭县乡村适配器、终端等资源的管理、资源编码的分配管理；</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(2)资源状态获取及显示功能：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a.能获取调频适配器、地面数字电视适配器回传的状态，并在系统中进行查看或展示； </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b.能获取前端/台站、大喇叭县乡村适配器、终端回传的状态，并在系统中进行查看或展示。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(3)资源故障报警功能：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a.可根据调频适配器、地面数字电视适配器的回传状态，状态异常时可自动触发声光报警</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b.可根据前端/台站、大喇叭县乡村适配器、终端的回传状态，状态异常时可自动触发声光报警。</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5.资源调度功能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)调度预案管理：具备调度预案编辑和维护功能，调度预案至少应包括对不同事件级别的应急广播发布需求，建立对应的资源调度策略和原则；</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(2)资源调度功能：应能根据发布需求、调度预案，生成本次资源调度方案的功能，并可由人工介入修改调度方案；</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)应急广播消息指令生成功能：应能根据资源调度方案，自动生成应急广播消息指令的功能；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)播发任务监管功能：可获取并监管当前系统正在进行的应急广播发布任务。</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6.生成播发</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)县级融媒体中心(广播电视台)频率频道播出：能与县级融媒体中心(广播电视台)频率频道播出系统/应急广播适配器对接，发布应急广播消息；</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(2)无线/有线台站播出：能与调频适配器、地面数字电视适配器对接，发布应急广播消息</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(3)有线前端播出：能与有线前端的应急广播适配器对接，发布应急广播消息</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(4)应急广播大喇叭播出：能与县级应急广播大喇叭适配器对接，发布应急广播消息、下发应急广播 tar 文件；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(5)播发状态监视：能获取各通道播发状态，并展示播发进程。</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7.效果评估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(1)发布进程数据采集和展示功能：能在播发过程中采集系统主要环节的数据，如调频适配器、中波适配器、地面数字电视适配器和已有村村响系统的响应状态，并进行动态展示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(2)事后评估功能：能在发布结束后，对播发覆盖率、播发时效等指标进行评估；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(3)查询统计功能：能对应急信息、应急广播消息等内容的检索与查询，支持简单检索和各种查询条件相组合的复杂检索.</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8.安全管理要求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)证书列表导入功能：支持省认证中心发布的证书列表文件的导入；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)证书发放功能：能实现通过县应急广播大喇叭适配器向终端发放证书更新指令，更新终端的证书列表；</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(3)签名验签功能：对上级应急广播平台、县应急广播大喇叭适配器、前端/台站适配器的数据交互，支持签名和验签功能。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9.运维管理要求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(1)权限管理功能：实现对用户、角色、权限的分配和管理功能； </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(2)基础数据维护功能：实现行政区域管理等；</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(3)系统服务管理：支持系统参数配置；</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)数据同步管理：具备与上级应急广播平台的对接功能，具有将本平台的未上传的数据同步到上级平台功能。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10.大喇叭管控</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)支持对县应急广播大喇叭适配器进行本机参数配置功能：支持对县应急广播大喇叭适配器进行网络参数、应急广播资源编码、回传参数、白名单等参数配置；</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)支持对县应急广播大喇叭适配器进行数据查询功能：支持对县应急广播大喇叭适配器进行输入输出通道、播发记录、故障详情查询功能，并反馈正确的数据记录；</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(3)支持通过县应急广播大喇叭适配器发出 RDS、DTMB、DVB-C、IP 指令控制大喇叭终端的功能。输出指令符合 GD/J089-2018 应急广播大喇叭系统技术规范；</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)能获取县应急广播大喇叭适配器主动上报数据：能获取县级适配器主动通过网络向平台上报应急广播消息播发的开始和结束状态；</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)能与县应急广播大喇叭适配器保持心跳维持功能：能通过网络向获取县级适配器发送心跳数据包；</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)支持分区域播发控制：支持分区域播发控制；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)支持接收应急广播大喇叭适配器以推送的实时音频流：支持接收并存储应急广播大喇叭适配器以RTP 单播形式推送的 MP3 格式的实时音频流并存储为 mp3 文件。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11.性能要求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)自动播发响应时长 &lt;10 秒</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)应急信息并行接入能力≥5 路；</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(3)并行播发能力 ≥2 路。</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12.升级扩展功能要求</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在县级融媒体中心技术系统建立后，县级应急广播平台核心软件应能进行升级后与融媒体中心技术系统实现对接，通过融媒体中心进行应急广播消息发布。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624"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应用服务器</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一主一备，运行县级应急广播系统软件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)CPU：配置双 Intel 至强处理器，主频不低于 2.1GHz，支持不低于 16 核 32 线程；</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)内存：不低于 16GB;</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)硬盘：配置 SATA 硬盘，容量不小于 1TB;</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)具备热插拔冗余双电源模块，确保高可靠不间断运行；</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)支持安装操作系统(Windows、Linux)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数据服务器（含存储）</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一主一备，数据存储和管理</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)CPU:配置双 Intel 至强处理器，主频不低于 2.1GHz，支持不低于 16 核 32 线程；</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)内存：不低于 16GB；</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)硬盘容量：配置 SSD 硬盘，容量不小于 64GB。配置 SATA 硬盘，容量不小于 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PC 工作站</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)国产品牌台式机；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)CPU：不低于 3.6GHz；</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)内存：不低于 8GB DDR4；</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)硬盘：不少于 1TB;</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)显卡：独立显卡；</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)显示器：液晶不小于 21 英寸；</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)含 Windows 操作系统；</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)含 USB 鼠标键盘。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接入交换机</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)以太网交换机主机；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)支持 24 个 10/100/1000BASE-T 电口；</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)支持 2 个 1000BASE-X SFP 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核心交换机</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)以太网企业级三层交换机；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)支持不少于 48 个 10/100/1000BASE-T 电口；</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)支持不少于 4 个 1000BASE-X SFP 端口；</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)包转发率：不低于 87Mpps/144Mpps;</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)交换容量：不低于 336Gbps/2.56Tbps。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监听音箱</w:t>
            </w:r>
          </w:p>
        </w:tc>
        <w:tc>
          <w:tcPr>
            <w:tcW w:w="8118" w:type="dxa"/>
            <w:shd w:val="clear" w:color="auto" w:fill="auto"/>
            <w:vAlign w:val="top"/>
          </w:tcPr>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(1)集接收、放大、播放功能于一体；</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(2)内置不小于 4 时全频扬声器，音量连续可调；</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(3)采用环保木质外壳；</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(4)RF 输入：1 路 DVB-C 或 DTMB:F 座(英制 75 欧)；</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(5)IP 输入：RJ45 百兆口；</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(6)FM 输入接口：公制 F 母座，1 路输入内置 2 分配，配置 2 个调谐器；</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(7)接收模式：DVB-C/DTMB-T/IP/FM</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(8)音频输出功率：≥10W；</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(9)电源：AC 220V±15%，50/60Hz.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话筒</w:t>
            </w:r>
          </w:p>
        </w:tc>
        <w:tc>
          <w:tcPr>
            <w:tcW w:w="8118" w:type="dxa"/>
            <w:shd w:val="clear" w:color="auto" w:fill="auto"/>
            <w:vAlign w:val="top"/>
          </w:tcPr>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(1)类型：动圈话筒；</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(2)指向性：心型指向；</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(3)适用范围：会议话筒；</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(4)频率范围：40～15000Hz；</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(5)供电电源： DC 3V;</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(6)灵敏度：-45dB(3.5mV/Pa)3dB;</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(7)输出阻抗：600Ω；</w:t>
            </w:r>
          </w:p>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(8)参考适音距离：(20-50)cm。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调音台</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)话筒：2 线路输入：2 个单声道，2 个立体声；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)频响：+0.5dB/-0.SdB(20Hz-20kHz)；</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)总谐波失真：0.01%@+8dBu(20Hz-20kHz)；</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)输入通道：不少于 6 通道：单声道：2;</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)立体声：2 输出通道：STEREO OUT:2; PHONES: 1；</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)母线：立体声：1 电平表：2x7-点距 LED 电平表[PEAK，+6，+3，0，-3，-10，-20dB]</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)电源电压：+48V；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时钟服务器</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)支持同时接收 GPS 信号和北斗导航系统信号；</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)具有自动锁定信号的功能；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)采用高稳恒温晶振，具有低相位噪声和高稳定度；</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)支持时间日期信息显示；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)支持显示北斗和 GPS 信号源个数(卫星个数)；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)前面板具有告警、信号、GPS、北斗等 LED 指示灯，实时指示设备当前时标等的状态</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)具有断电记忆配置功能，来电重启恢复(无需重新配置)；</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)系统整体功耗小，采用无风扇设计，运行可靠稳定；</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)标准 19 英寸机架式机箱结构，紧凑，美观，高可靠性；</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)天线输入接口：BNC 接头，阴型，50Ω</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)网口：10/100M/1000M 自适应以太网接口，RJ45。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机架式收音头</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)标准机箱设计，1U 铝合金面板，美观实用；</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 AM/FM 波段，微电脑控制，数字调谐系统；</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)具有手动存储及自动搜索存储电台的功能，具有音频信号电平指示及断电记忆功能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)轻触按键控制，数字定频、选频、荧光 VFD 显示有自动调谐、存台/记忆功能；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)99 个电台频率储存、终生记忆；</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)输出电平频谱显示；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)红外线远距离全功能遥控；</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)输入频率范围：FM:87-108MHz;AM:522-1625KHz；</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)调频信噪比：≥45dB；</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)限噪灵敏度：FM≤20μV;</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)输出电平：500mV;</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)输出阻抗：1K。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区级应急广播大喇叭适配器</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1.总体要求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)具备输出音频信号及 RDS 指令信号，控制终端进行应急广播消息播发的功能，输出信号符合GD/J085-2018 模拟调频应急广播技术规范。</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)具备输出音频信号及DTMB/DVB-C 指令信号，控制终端进行应急广播消息播发的功能输出信号符合GD/J087-2018 地面数字电视应急广播技术规范和GD/J086-2018 有线数字电视应急广播技术规范。</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)具备输出音频信号及 IP 指令信号，控制终端进行应急广播消息播发的功能，输出信号符合 GD/J089-2018 应急广播大喇叭系统技术规范附录 D。</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)配置国密算法安全芯片，与安全服务系统保持一致。</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2.功能要求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)可通过前面板液晶屏及按键，对设备 IP 地址、端口号进行设置。</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)可脱离管理平台实现对下一级进行本地广播功能(调频要求)。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)支持 U 盘(MPEG-1 Layer 2 和 MP3 格式文件)广播、线路广播、话筒广播，U 盘广播可通过按键选择上下曲。</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)具有监听功能：内置监听喇叭，监听音量可调节，具有音频存储功能(MPEG-1 Layer2 和 MP3)。</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)可设置定时广播(≥3 组)，广播音源可选择话筒广播、U 盘、调频接收、线路输入。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)可在管理平台中对本设备的工作参数配置。</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)可在管理平台中对本设备进行领用和回收操作。</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)可在管理平台中控制本设备的工作状态，可以读取本设备的当前状态。</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)设备本地优先级模式：话筒广播(紧急)&gt;调频&gt;IP&gt;DTMB&gt;DVB-C&gt;话筒广播(日常)&gt;U 盘&gt;线路广播。</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)支持一键切换为紧急模式。</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)集成国密算法芯片，具有签名、验签功能，签名验签《CD/J081-2018 应急广播安全保护技术规范数字签名》要求。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)支持模块化设计，IP 模块、调频模块、TS 模块(输出)、4G 通信模块。</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)具备本地播发、上级信号接收播发、管理平台控制播发功能。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)在相同优先级的情况下，具备本地多音源切换功能。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)支持分区域播发控制。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)采用标准机架式硬件设备，不得采用基于服务器的软件设备。</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3.接口要求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)具有 1 路 AC220V 可控电源输出，输出功率≥ 1000W。</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 1 路及以上音频输出，接口类型：RCA 莲花母座。</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 2 路及以上线路音频输入接口，RCA 莲花母座或 BNC.</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)话筒输入：具有 6.5mm 话筒接口和 3.5mm 话筒接口。</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)麦克风输入：具有 1 路麦克风。</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)网络接口：RJ45，≥100M，2 个。</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)FM 输入接口：公制 F 母座，1 路输入内置 2 分配，配置 2 个调谐器。</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)FM 输出接口：公制 F 母座，输出 1 路。</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)RDS 输出接口：BNC，输出幅度 0～1Vp-p 通过旋钮可调，输出阻抗低阻，测试负载600 欧姆。</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)ASI 输出接口：BNC 或者RJ45。</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)USB 接口：2 个 USB 接口。</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4.性能要求</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)信噪比：≥65dB(本设备音频输入输出：线路 OdBu)。</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)频响：40z-15KHz(±3dB)(本设备音频输入输出：线路 0dBu)。</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)谐波失真：≤1%(本设备音频输入输出：线路 OdBu)。</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)音频输出电平：0.775±10% V(r.m.s) (线路 OdBu)</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)音频输出阻抗：低阻，&lt;100 欧姆。</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)音频输入阻抗：高阻，&gt;10K 欧姆。</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)FM 输出频率范围：87MHz~108MHz。</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)节目信号并行播发量(同时播发不同节目的能力)不低于 2 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在线式 UPS 电源</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)UPS 类型在线式</w:t>
            </w:r>
          </w:p>
          <w:p>
            <w:pPr>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额定功率10000W</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)整机效率达到 90%</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)输入配线三相四线+地线</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)输入电压范围 210-475VV</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)输入频率范围 46-64Hz，50/60Hz</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)输入功因 &gt;0.95</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)输出电压范围 AC 220(1±1%) V</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)输出频率范围市电模式：46-54Hz/56-64Hz(与输入市电频率同步)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)电流峰值比3:1</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)输出功因0.8</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)过载能力Load&lt;105%，长期运行</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)电压电流16pcs×12VDC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区级应急广播安全专用设备</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)支持应急广播专用国产密码算法短证书应用；</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)支持国产密码算法和通用密码算法的并行应用，支持国产SM1/SM4 等算法；支持国产 SW3 和通用SHA1/SHA256 等算法；支持国产SM2 和通用 RSA(1024 和 2048)等算法；</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)采用国家密码管理局批准的硬件芯片实现各类密码算法，保证算法的高安全性，采用 WN8 物理噪声源芯片产生高质量的真随机数作为密钥，保证密钥的高强度。</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)支持对广播消息签名及验证，支持应急广播体系多级联动、支持安全证书链认证；</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)提供图形化的设备管理客户端软件，可运行于 windows 系统；管理终端与设备间可通过串口或网口进行连接。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)提供基于 IC 卡的管理机制，采用智能 IC 卡辅助完成设备管理中的身份认证或密钥数据的安全存储；</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)支持提供应急广播证书更新、证书信任列表共更新、证书下载等服务，</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)支持通过 WEB 方式登陆控制台，对证书及其相关参数进行配置，以提高服务管理效率。</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)密钥或证书备份恢复：支持内部密钥或证书的安全备份和恢复，可实现互备或负载的多台设备间的同步；</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)单台设备证书管理量&gt;5000 张；</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)设备签名验签符合《6D/J081-2018 应急广播安全保护技术规范数字签名》要求。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防火墙</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)1U 机箱；</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)配置 4 个 10/100/1000Base-T 接口，具备专用的管理接口；</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)防火墙吞吐率：2Gbps；</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)最大并发连接数：150 万；</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)提供三年维保服务。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入侵检测系统</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)1U 机箱；</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)配置 4 个 10/100/1000Base-T 接口，具备专用的管理接口；</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)IDS 检测性能：1Gbps;</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)提供三年维保服务，IDS 规则库升级许可。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数据库软件</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)适用硬件环境：兼容 32 位及 64 位计算技术 Intel x86，IA32，IA64， AMD Opteron, IBM PowerPC 等；</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)适用软件环境：Windows/Linux/Solaris；</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)提供多种编程语言 API，包括 C、C++、Python、Java、Per1、PHP、.NET 等；</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)提供 TCP/IP、ODBC 和 JDBC 等多种数据库连接途径；</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)使用标准的 SQL 数据语言形式；</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)提供用于管理、检查、优化数据库操作的管理工具，支持软件升级、技术预警、企业级性能监控；</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)可提供优化建议、故障排除、安装配置与部署等技术支持服务。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综合日志审计系统</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)含日志收集、存储、查询、统计分析等功能；</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)提供 50 个日志源采集许可；</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)提供三年软件维保升级服务；</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)机房配套及其他。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19</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网络防病毒系统</w:t>
            </w:r>
          </w:p>
        </w:tc>
        <w:tc>
          <w:tcPr>
            <w:tcW w:w="8118" w:type="dxa"/>
            <w:shd w:val="clear" w:color="auto" w:fill="auto"/>
            <w:vAlign w:val="top"/>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)含本地查杀、云查杀能力，支持对僵尸、木马、蠕虫、文件病毒、恶意程序的检测和查杀能力；</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)支持对服务器和 PC 的漏洞修补功能，能够防护系统关键点、注册表改写、驱动加载进程注入等恶意行为；</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 5 台服务器、5 台 PC 的授权许可；</w:t>
            </w:r>
          </w:p>
          <w:p>
            <w:pPr>
              <w:bidi w:val="0"/>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)提供三年软件维保升级服务。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操作系统</w:t>
            </w:r>
          </w:p>
        </w:tc>
        <w:tc>
          <w:tcPr>
            <w:tcW w:w="811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windows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播控台</w:t>
            </w:r>
          </w:p>
        </w:tc>
        <w:tc>
          <w:tcPr>
            <w:tcW w:w="8118" w:type="dxa"/>
            <w:shd w:val="clear" w:color="auto" w:fill="auto"/>
            <w:vAlign w:val="center"/>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播控台（ 三联，定制）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)尺寸：桌面宽度 600mm，长度台面深度 1800mm，柜体台面高度 750mm。</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)静电喷粉设计工艺，表面光滑无毛刺，防腐。</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)控制桌面为全平。</w:t>
            </w:r>
          </w:p>
          <w:p>
            <w:pPr>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)台面配有推拉式键盘抽屉，最右边预留有鼠标线孔，动圈话筒线多余长度可放入该孔进行隐藏。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机柜</w:t>
            </w:r>
          </w:p>
        </w:tc>
        <w:tc>
          <w:tcPr>
            <w:tcW w:w="8118" w:type="dxa"/>
            <w:shd w:val="clear" w:color="auto" w:fill="auto"/>
            <w:vAlign w:val="center"/>
          </w:tcPr>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)42U/尺寸 800*1200*2000mm;</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)至少支持 1000KG 的负载承重；</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)配置多负载安全电源插座；</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)20 对 L 支架；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)风扇不少于 2 只；</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)机柜能可靠接地；</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)机柜前门为单开平面网孔门，后门为双开平面网孔门；</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)角钢焊接安装底架；</w:t>
            </w:r>
          </w:p>
          <w:p>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)表面处理：酸洗，磷化后镀彩锌和静电喷涂塑粉；</w:t>
            </w:r>
          </w:p>
          <w:p>
            <w:pPr>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)20 位 PDU 安装，机柜后面安装，左右各 1 个。(支持功率不小于 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1248"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23</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辅材及安装调试</w:t>
            </w:r>
          </w:p>
        </w:tc>
        <w:tc>
          <w:tcPr>
            <w:tcW w:w="811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包括设备安装、连通、调试直至正常工作需要的所有附属设备设施、线缆辅材和相关服务等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9758" w:type="dxa"/>
            <w:gridSpan w:val="3"/>
            <w:shd w:val="clear" w:color="auto" w:fill="auto"/>
            <w:vAlign w:val="center"/>
          </w:tcPr>
          <w:p>
            <w:pPr>
              <w:jc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2、应急信息发布前置系统设备清单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应急消息发布前置系统软件</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身份认证：确认前置系统访问者的身份的合法性。通过用户名密码以及USB_key等方式进行认证；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用户管理：注</w:t>
            </w:r>
            <w:r>
              <w:rPr>
                <w:rFonts w:hint="eastAsia" w:asciiTheme="minorEastAsia" w:hAnsiTheme="minorEastAsia" w:eastAsiaTheme="minorEastAsia" w:cstheme="minorEastAsia"/>
                <w:spacing w:val="-10"/>
                <w:sz w:val="24"/>
                <w:szCs w:val="24"/>
                <w:highlight w:val="none"/>
                <w:lang w:val="en-US" w:eastAsia="zh-CN"/>
              </w:rPr>
              <w:t>册维护可</w:t>
            </w:r>
            <w:r>
              <w:rPr>
                <w:rFonts w:hint="eastAsia" w:asciiTheme="minorEastAsia" w:hAnsiTheme="minorEastAsia" w:eastAsiaTheme="minorEastAsia" w:cstheme="minorEastAsia"/>
                <w:spacing w:val="-10"/>
                <w:sz w:val="24"/>
                <w:szCs w:val="24"/>
                <w:highlight w:val="none"/>
              </w:rPr>
              <w:t>使用系统的人员信息；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权限管理：根据实际业务为不同的用户分配不同的权限；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信息录入：能够在本地进行应急信息的录入，包括预警内容、事件等级、覆盖区域等，并进行内容核对；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5.</w:t>
            </w:r>
            <w:r>
              <w:rPr>
                <w:rFonts w:hint="eastAsia" w:asciiTheme="minorEastAsia" w:hAnsiTheme="minorEastAsia" w:eastAsiaTheme="minorEastAsia" w:cstheme="minorEastAsia"/>
                <w:spacing w:val="-10"/>
                <w:sz w:val="24"/>
                <w:szCs w:val="24"/>
                <w:highlight w:val="none"/>
              </w:rPr>
              <w:t>信息提交：对录入信息进行核查及验证，完成后进行上传提交。对提交的内容调用 USB 密码器进行签名保护</w:t>
            </w:r>
            <w:r>
              <w:rPr>
                <w:rFonts w:hint="eastAsia" w:asciiTheme="minorEastAsia" w:hAnsiTheme="minorEastAsia" w:eastAsiaTheme="minorEastAsia" w:cstheme="minorEastAsia"/>
                <w:spacing w:val="-10"/>
                <w:sz w:val="24"/>
                <w:szCs w:val="24"/>
                <w:highlight w:val="none"/>
                <w:lang w:eastAsia="zh-CN"/>
              </w:rPr>
              <w:t>，</w:t>
            </w:r>
            <w:r>
              <w:rPr>
                <w:rFonts w:hint="eastAsia" w:asciiTheme="minorEastAsia" w:hAnsiTheme="minorEastAsia" w:eastAsiaTheme="minorEastAsia" w:cstheme="minorEastAsia"/>
                <w:spacing w:val="-10"/>
                <w:sz w:val="24"/>
                <w:szCs w:val="24"/>
                <w:highlight w:val="none"/>
              </w:rPr>
              <w:t>数据格式符合GD/J083-2018 应急广播平台接口规范；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6.</w:t>
            </w:r>
            <w:r>
              <w:rPr>
                <w:rFonts w:hint="eastAsia" w:asciiTheme="minorEastAsia" w:hAnsiTheme="minorEastAsia" w:eastAsiaTheme="minorEastAsia" w:cstheme="minorEastAsia"/>
                <w:spacing w:val="-10"/>
                <w:sz w:val="24"/>
                <w:szCs w:val="24"/>
                <w:highlight w:val="none"/>
              </w:rPr>
              <w:t>结果反馈：应急信息提交结果能够返回前置系统，使得前置机 使用者能够看到所提交应急信息的执行响应情况；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7.</w:t>
            </w:r>
            <w:r>
              <w:rPr>
                <w:rFonts w:hint="eastAsia" w:asciiTheme="minorEastAsia" w:hAnsiTheme="minorEastAsia" w:eastAsiaTheme="minorEastAsia" w:cstheme="minorEastAsia"/>
                <w:spacing w:val="-10"/>
                <w:sz w:val="24"/>
                <w:szCs w:val="24"/>
                <w:highlight w:val="none"/>
              </w:rPr>
              <w:t>操作日志：详能够查询本前置系统所有的操作日志，包括用户登录信息、信息上传信息；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8.</w:t>
            </w:r>
            <w:r>
              <w:rPr>
                <w:rFonts w:hint="eastAsia" w:asciiTheme="minorEastAsia" w:hAnsiTheme="minorEastAsia" w:eastAsiaTheme="minorEastAsia" w:cstheme="minorEastAsia"/>
                <w:spacing w:val="-10"/>
                <w:sz w:val="24"/>
                <w:szCs w:val="24"/>
                <w:highlight w:val="none"/>
              </w:rPr>
              <w:t>附属支撑：支持文字、图片、音视频等多种方式应急信息接入及发布；</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9.</w:t>
            </w:r>
            <w:r>
              <w:rPr>
                <w:rFonts w:hint="eastAsia" w:asciiTheme="minorEastAsia" w:hAnsiTheme="minorEastAsia" w:eastAsiaTheme="minorEastAsia" w:cstheme="minorEastAsia"/>
                <w:spacing w:val="-10"/>
                <w:sz w:val="24"/>
                <w:szCs w:val="24"/>
                <w:highlight w:val="none"/>
              </w:rPr>
              <w:t>支持应急广播发布结果以数据、图表等多种方式查看及导出。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USB 密码器</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支持应急广播专用国产密码算法短证书应用；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支对应急广播消息进行签名保护，支持可信证书列表，并实现 基于此可信证书列表的消息验证；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支持国产密码算法和通用密码算法的并行应用, 支持国产SM1/SM4 等算法；支持国产 SM3 和通用 SHA1/SHA256 等算法；支持国产 SM2 和通用 RSA(1024 和 2048)等算法；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采用国家密码管理局批准的硬件芯片实现各类密码算法，保证算法的高安全性，采用 WNG8 物理噪声源芯片产生高质量的真随机数作为密钥，保证密钥的高强度。</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5.</w:t>
            </w:r>
            <w:r>
              <w:rPr>
                <w:rFonts w:hint="eastAsia" w:asciiTheme="minorEastAsia" w:hAnsiTheme="minorEastAsia" w:eastAsiaTheme="minorEastAsia" w:cstheme="minorEastAsia"/>
                <w:spacing w:val="-10"/>
                <w:sz w:val="24"/>
                <w:szCs w:val="24"/>
                <w:highlight w:val="none"/>
              </w:rPr>
              <w:t>采用的数字证书和数字签名技术符合 GD/J《应急广播安全保护技术规范数字签名》的要求。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交换机</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支持不少于 24 个 10/100/1000BASE-T 电口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支持不少于 4 个 1000BASE-X SFP 端口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包转发率：不低于 51Mpps/126Mpps</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交换容量：不低于 336Gbps/3.36Tbps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PC 工作站</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国产品牌台式机；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CPU:不低于 3.6GHz；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内存</w:t>
            </w:r>
            <w:r>
              <w:rPr>
                <w:rFonts w:hint="eastAsia" w:asciiTheme="minorEastAsia" w:hAnsiTheme="minorEastAsia" w:eastAsiaTheme="minorEastAsia" w:cstheme="minorEastAsia"/>
                <w:spacing w:val="-10"/>
                <w:sz w:val="24"/>
                <w:szCs w:val="24"/>
                <w:highlight w:val="none"/>
                <w:lang w:eastAsia="zh-CN"/>
              </w:rPr>
              <w:t>：</w:t>
            </w:r>
            <w:r>
              <w:rPr>
                <w:rFonts w:hint="eastAsia" w:asciiTheme="minorEastAsia" w:hAnsiTheme="minorEastAsia" w:eastAsiaTheme="minorEastAsia" w:cstheme="minorEastAsia"/>
                <w:spacing w:val="-10"/>
                <w:sz w:val="24"/>
                <w:szCs w:val="24"/>
                <w:highlight w:val="none"/>
              </w:rPr>
              <w:t>不低于 8GB DDR4；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硬盘：不少于 1TB；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5.</w:t>
            </w:r>
            <w:r>
              <w:rPr>
                <w:rFonts w:hint="eastAsia" w:asciiTheme="minorEastAsia" w:hAnsiTheme="minorEastAsia" w:eastAsiaTheme="minorEastAsia" w:cstheme="minorEastAsia"/>
                <w:spacing w:val="-10"/>
                <w:sz w:val="24"/>
                <w:szCs w:val="24"/>
                <w:highlight w:val="none"/>
              </w:rPr>
              <w:t>显卡：独立显卡；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6.</w:t>
            </w:r>
            <w:r>
              <w:rPr>
                <w:rFonts w:hint="eastAsia" w:asciiTheme="minorEastAsia" w:hAnsiTheme="minorEastAsia" w:eastAsiaTheme="minorEastAsia" w:cstheme="minorEastAsia"/>
                <w:spacing w:val="-10"/>
                <w:sz w:val="24"/>
                <w:szCs w:val="24"/>
                <w:highlight w:val="none"/>
              </w:rPr>
              <w:t>显示器：液晶不小于 21 英寸；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7.</w:t>
            </w:r>
            <w:r>
              <w:rPr>
                <w:rFonts w:hint="eastAsia" w:asciiTheme="minorEastAsia" w:hAnsiTheme="minorEastAsia" w:eastAsiaTheme="minorEastAsia" w:cstheme="minorEastAsia"/>
                <w:spacing w:val="-10"/>
                <w:sz w:val="24"/>
                <w:szCs w:val="24"/>
                <w:highlight w:val="none"/>
              </w:rPr>
              <w:t>含 Windows 操作系统；</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8.</w:t>
            </w:r>
            <w:r>
              <w:rPr>
                <w:rFonts w:hint="eastAsia" w:asciiTheme="minorEastAsia" w:hAnsiTheme="minorEastAsia" w:eastAsiaTheme="minorEastAsia" w:cstheme="minorEastAsia"/>
                <w:spacing w:val="-10"/>
                <w:sz w:val="24"/>
                <w:szCs w:val="24"/>
                <w:highlight w:val="none"/>
              </w:rPr>
              <w:t>含 USB 鼠标键盘；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IP 话筒</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支持实时应急播出；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支持按优先级广播，紧急广播优先播出；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支持分区域广播；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支持保存 40 条播出记录；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5.</w:t>
            </w:r>
            <w:r>
              <w:rPr>
                <w:rFonts w:hint="eastAsia" w:asciiTheme="minorEastAsia" w:hAnsiTheme="minorEastAsia" w:eastAsiaTheme="minorEastAsia" w:cstheme="minorEastAsia"/>
                <w:spacing w:val="-10"/>
                <w:sz w:val="24"/>
                <w:szCs w:val="24"/>
                <w:highlight w:val="none"/>
              </w:rPr>
              <w:t>支持设置屏幕锁定密码，保证控制系统安全；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6.</w:t>
            </w:r>
            <w:r>
              <w:rPr>
                <w:rFonts w:hint="eastAsia" w:asciiTheme="minorEastAsia" w:hAnsiTheme="minorEastAsia" w:eastAsiaTheme="minorEastAsia" w:cstheme="minorEastAsia"/>
                <w:spacing w:val="-10"/>
                <w:sz w:val="24"/>
                <w:szCs w:val="24"/>
                <w:highlight w:val="none"/>
              </w:rPr>
              <w:t>内置监听扬声器，高保真信号源监听；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7.</w:t>
            </w:r>
            <w:r>
              <w:rPr>
                <w:rFonts w:hint="eastAsia" w:asciiTheme="minorEastAsia" w:hAnsiTheme="minorEastAsia" w:eastAsiaTheme="minorEastAsia" w:cstheme="minorEastAsia"/>
                <w:spacing w:val="-10"/>
                <w:sz w:val="24"/>
                <w:szCs w:val="24"/>
                <w:highlight w:val="none"/>
              </w:rPr>
              <w:t>支持一键式开启应急/正常广播功能；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8.</w:t>
            </w:r>
            <w:r>
              <w:rPr>
                <w:rFonts w:hint="eastAsia" w:asciiTheme="minorEastAsia" w:hAnsiTheme="minorEastAsia" w:eastAsiaTheme="minorEastAsia" w:cstheme="minorEastAsia"/>
                <w:spacing w:val="-10"/>
                <w:sz w:val="24"/>
                <w:szCs w:val="24"/>
                <w:highlight w:val="none"/>
              </w:rPr>
              <w:t>应急广播优先级可自定义选择（上级优先/下级优先）功能；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9.</w:t>
            </w:r>
            <w:r>
              <w:rPr>
                <w:rFonts w:hint="eastAsia" w:asciiTheme="minorEastAsia" w:hAnsiTheme="minorEastAsia" w:eastAsiaTheme="minorEastAsia" w:cstheme="minorEastAsia"/>
                <w:spacing w:val="-10"/>
                <w:sz w:val="24"/>
                <w:szCs w:val="24"/>
                <w:highlight w:val="none"/>
              </w:rPr>
              <w:t>具有监听输出音源功能，监听音量可调；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10.</w:t>
            </w:r>
            <w:r>
              <w:rPr>
                <w:rFonts w:hint="eastAsia" w:asciiTheme="minorEastAsia" w:hAnsiTheme="minorEastAsia" w:eastAsiaTheme="minorEastAsia" w:cstheme="minorEastAsia"/>
                <w:spacing w:val="-10"/>
                <w:sz w:val="24"/>
                <w:szCs w:val="24"/>
                <w:highlight w:val="none"/>
              </w:rPr>
              <w:t>具有一路话筒输入，两路音频输入接口，话筒和音频音量大小可调；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11.</w:t>
            </w:r>
            <w:r>
              <w:rPr>
                <w:rFonts w:hint="eastAsia" w:asciiTheme="minorEastAsia" w:hAnsiTheme="minorEastAsia" w:eastAsiaTheme="minorEastAsia" w:cstheme="minorEastAsia"/>
                <w:spacing w:val="-10"/>
                <w:sz w:val="24"/>
                <w:szCs w:val="24"/>
                <w:highlight w:val="none"/>
              </w:rPr>
              <w:t>系统逻辑码寻址操作功能；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12.</w:t>
            </w:r>
            <w:r>
              <w:rPr>
                <w:rFonts w:hint="eastAsia" w:asciiTheme="minorEastAsia" w:hAnsiTheme="minorEastAsia" w:eastAsiaTheme="minorEastAsia" w:cstheme="minorEastAsia"/>
                <w:spacing w:val="-10"/>
                <w:sz w:val="24"/>
                <w:szCs w:val="24"/>
                <w:highlight w:val="none"/>
              </w:rPr>
              <w:t>支持 USB 播放功能/升级；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13.</w:t>
            </w:r>
            <w:r>
              <w:rPr>
                <w:rFonts w:hint="eastAsia" w:asciiTheme="minorEastAsia" w:hAnsiTheme="minorEastAsia" w:eastAsiaTheme="minorEastAsia" w:cstheme="minorEastAsia"/>
                <w:spacing w:val="-10"/>
                <w:sz w:val="24"/>
                <w:szCs w:val="24"/>
                <w:highlight w:val="none"/>
              </w:rPr>
              <w:t>路 USB 输入；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14.</w:t>
            </w:r>
            <w:r>
              <w:rPr>
                <w:rFonts w:hint="eastAsia" w:asciiTheme="minorEastAsia" w:hAnsiTheme="minorEastAsia" w:eastAsiaTheme="minorEastAsia" w:cstheme="minorEastAsia"/>
                <w:spacing w:val="-10"/>
                <w:sz w:val="24"/>
                <w:szCs w:val="24"/>
                <w:highlight w:val="none"/>
              </w:rPr>
              <w:t>组音频输入：非平衡立体声音频，RCA；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15.</w:t>
            </w:r>
            <w:r>
              <w:rPr>
                <w:rFonts w:hint="eastAsia" w:asciiTheme="minorEastAsia" w:hAnsiTheme="minorEastAsia" w:eastAsiaTheme="minorEastAsia" w:cstheme="minorEastAsia"/>
                <w:spacing w:val="-10"/>
                <w:sz w:val="24"/>
                <w:szCs w:val="24"/>
                <w:highlight w:val="none"/>
              </w:rPr>
              <w:t>个话筒接口：支持 2 路话筒插入（1 个通道）；</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16.</w:t>
            </w:r>
            <w:r>
              <w:rPr>
                <w:rFonts w:hint="eastAsia" w:asciiTheme="minorEastAsia" w:hAnsiTheme="minorEastAsia" w:eastAsiaTheme="minorEastAsia" w:cstheme="minorEastAsia"/>
                <w:spacing w:val="-10"/>
                <w:sz w:val="24"/>
                <w:szCs w:val="24"/>
                <w:highlight w:val="none"/>
              </w:rPr>
              <w:t>IP 输出： UDP 协议，10/100M 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监听音箱</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集接收、放大、播放功能于一体；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内置不小于 4 吋全频扬声器，音量连续可调；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采用环保木质外壳；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RF 输入：1 路 DVB-C 或 DTMB：F 座（英制 75Ω）；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5.</w:t>
            </w:r>
            <w:r>
              <w:rPr>
                <w:rFonts w:hint="eastAsia" w:asciiTheme="minorEastAsia" w:hAnsiTheme="minorEastAsia" w:eastAsiaTheme="minorEastAsia" w:cstheme="minorEastAsia"/>
                <w:spacing w:val="-10"/>
                <w:sz w:val="24"/>
                <w:szCs w:val="24"/>
                <w:highlight w:val="none"/>
              </w:rPr>
              <w:t>IP 输入：RJ45 百兆口；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6.</w:t>
            </w:r>
            <w:r>
              <w:rPr>
                <w:rFonts w:hint="eastAsia" w:asciiTheme="minorEastAsia" w:hAnsiTheme="minorEastAsia" w:eastAsiaTheme="minorEastAsia" w:cstheme="minorEastAsia"/>
                <w:spacing w:val="-10"/>
                <w:sz w:val="24"/>
                <w:szCs w:val="24"/>
                <w:highlight w:val="none"/>
              </w:rPr>
              <w:t>FM 输入接口：公制 F 母座，1 路输入内置 2 分配，配置 2 个调谐器；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7.</w:t>
            </w:r>
            <w:r>
              <w:rPr>
                <w:rFonts w:hint="eastAsia" w:asciiTheme="minorEastAsia" w:hAnsiTheme="minorEastAsia" w:eastAsiaTheme="minorEastAsia" w:cstheme="minorEastAsia"/>
                <w:spacing w:val="-10"/>
                <w:sz w:val="24"/>
                <w:szCs w:val="24"/>
                <w:highlight w:val="none"/>
              </w:rPr>
              <w:t>接收模式：DVB-C/DTMB-T/IP/FM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8.</w:t>
            </w:r>
            <w:r>
              <w:rPr>
                <w:rFonts w:hint="eastAsia" w:asciiTheme="minorEastAsia" w:hAnsiTheme="minorEastAsia" w:eastAsiaTheme="minorEastAsia" w:cstheme="minorEastAsia"/>
                <w:spacing w:val="-10"/>
                <w:sz w:val="24"/>
                <w:szCs w:val="24"/>
                <w:highlight w:val="none"/>
              </w:rPr>
              <w:t>音频输出功率:≥10W；</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9.</w:t>
            </w:r>
            <w:r>
              <w:rPr>
                <w:rFonts w:hint="eastAsia" w:asciiTheme="minorEastAsia" w:hAnsiTheme="minorEastAsia" w:eastAsiaTheme="minorEastAsia" w:cstheme="minorEastAsia"/>
                <w:spacing w:val="-10"/>
                <w:sz w:val="24"/>
                <w:szCs w:val="24"/>
                <w:highlight w:val="none"/>
              </w:rPr>
              <w:t>电源：AC 220V±15</w:t>
            </w:r>
            <w:r>
              <w:rPr>
                <w:rFonts w:hint="eastAsia" w:asciiTheme="minorEastAsia" w:hAnsiTheme="minorEastAsia" w:eastAsiaTheme="minorEastAsia" w:cstheme="minorEastAsia"/>
                <w:spacing w:val="-10"/>
                <w:sz w:val="24"/>
                <w:szCs w:val="24"/>
                <w:highlight w:val="none"/>
                <w:lang w:val="en-US" w:eastAsia="zh-CN"/>
              </w:rPr>
              <w:t>%</w:t>
            </w:r>
            <w:r>
              <w:rPr>
                <w:rFonts w:hint="eastAsia" w:asciiTheme="minorEastAsia" w:hAnsiTheme="minorEastAsia" w:eastAsiaTheme="minorEastAsia" w:cstheme="minorEastAsia"/>
                <w:spacing w:val="-10"/>
                <w:sz w:val="24"/>
                <w:szCs w:val="24"/>
                <w:highlight w:val="none"/>
              </w:rPr>
              <w:t>，50/60Hz。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播控桌及机柜</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播控桌（三联，定制，以下供参考）</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rPr>
              <w:t>尺寸：桌面宽度 600mm，长度台面深度 1800mm，柜体台面高度750mm。</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rPr>
              <w:t>静电喷粉设计工艺，表面光滑无毛刺，防腐。</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rPr>
              <w:t>控制桌面为全平。</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425" w:leftChars="0" w:hanging="425"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rPr>
              <w:t>台面配有推拉式键盘抽屉，最右边预留有鼠标线孔，动圈话筒线多余长度可放入该孔进行隐藏。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1248"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辅材及安装调试</w:t>
            </w:r>
          </w:p>
        </w:tc>
        <w:tc>
          <w:tcPr>
            <w:tcW w:w="811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包括设备安装、连通、调试直至正常工作需要的所有附属设备设施、线缆辅材和相关服务等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9758" w:type="dxa"/>
            <w:gridSpan w:val="3"/>
            <w:shd w:val="clear" w:color="auto" w:fill="auto"/>
            <w:vAlign w:val="center"/>
          </w:tcPr>
          <w:p>
            <w:pPr>
              <w:jc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3、区级融媒体中心（广播电视台）应急广播对接系统设备清单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广播电视台应急广播适配器</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1.适配器具备与县级应急广播平台对接功能，接口符合 GD/J 083—2018 应急广播平台接口规范；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2.应急消息接收：可接收解析适配省级应急广播调度控制平台推送的应急信息；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3.应急消息验证：对接收到的应急信息要进行数字签名认证。以保证接收信息的有效性；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4.应急消息提示：接收到有效的应急信息后提示用户；接收到非有效的信息后要给出安全报警提示；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5.确认反馈：接收到应急信息后按照接口规范中规定的通用反馈格式将结果数据返回给调度控制平台；</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6.信息提交系统：对录入信息进行核查及验证，完成后进行上传提交。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USB 密码器</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支持应急广播专用国产密码算法短证书应用；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支对应急广播消息进行签名保护，支持可信证书列表，并实现 基于此可信证书列表的消息验证；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支持国产密码算法和通用密码算法的并行应用, 支持国产SM1/SM4 等算法；支持国产 SM3 和通用 SHA1/SHA256 等算法；支持国产 SM2 和通用 RSA(1024 和 2048)等算法；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采用国家密码管理局批准的硬件芯片实现各类密码算法，保证算法的高安全性，采用 WNG8 物理噪声源芯片产生高质量的真随机数作为密钥，保证密钥的高强度。</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5.</w:t>
            </w:r>
            <w:r>
              <w:rPr>
                <w:rFonts w:hint="eastAsia" w:asciiTheme="minorEastAsia" w:hAnsiTheme="minorEastAsia" w:eastAsiaTheme="minorEastAsia" w:cstheme="minorEastAsia"/>
                <w:spacing w:val="-10"/>
                <w:sz w:val="24"/>
                <w:szCs w:val="24"/>
                <w:highlight w:val="none"/>
              </w:rPr>
              <w:t>采用的数字证书和数字签名技术符合 GD/J《应急广播安全保护技术规范数字签名》的要求。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交换机</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支持不少于 24 个 10/100/1000BASE-T 电口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支持不少于 4 个 1000BASE-X SFP 端口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包转发率：不低于 51Mpps/126Mpps</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交换容量：不低于 336Gbps/3.36Tbps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PC 工作站</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1.</w:t>
            </w:r>
            <w:r>
              <w:rPr>
                <w:rFonts w:hint="eastAsia" w:asciiTheme="minorEastAsia" w:hAnsiTheme="minorEastAsia" w:eastAsiaTheme="minorEastAsia" w:cstheme="minorEastAsia"/>
                <w:spacing w:val="-10"/>
                <w:sz w:val="24"/>
                <w:szCs w:val="24"/>
                <w:highlight w:val="none"/>
              </w:rPr>
              <w:t>国产品牌台式机；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2.</w:t>
            </w:r>
            <w:r>
              <w:rPr>
                <w:rFonts w:hint="eastAsia" w:asciiTheme="minorEastAsia" w:hAnsiTheme="minorEastAsia" w:eastAsiaTheme="minorEastAsia" w:cstheme="minorEastAsia"/>
                <w:spacing w:val="-10"/>
                <w:sz w:val="24"/>
                <w:szCs w:val="24"/>
                <w:highlight w:val="none"/>
              </w:rPr>
              <w:t>CPU:不低于 3.6GHz；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3.</w:t>
            </w:r>
            <w:r>
              <w:rPr>
                <w:rFonts w:hint="eastAsia" w:asciiTheme="minorEastAsia" w:hAnsiTheme="minorEastAsia" w:eastAsiaTheme="minorEastAsia" w:cstheme="minorEastAsia"/>
                <w:spacing w:val="-10"/>
                <w:sz w:val="24"/>
                <w:szCs w:val="24"/>
                <w:highlight w:val="none"/>
              </w:rPr>
              <w:t>内存：不低于 8GB DDR4；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硬盘：不少于 1TB；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5.</w:t>
            </w:r>
            <w:r>
              <w:rPr>
                <w:rFonts w:hint="eastAsia" w:asciiTheme="minorEastAsia" w:hAnsiTheme="minorEastAsia" w:eastAsiaTheme="minorEastAsia" w:cstheme="minorEastAsia"/>
                <w:spacing w:val="-10"/>
                <w:sz w:val="24"/>
                <w:szCs w:val="24"/>
                <w:highlight w:val="none"/>
              </w:rPr>
              <w:t>显卡：独立显卡；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6.</w:t>
            </w:r>
            <w:r>
              <w:rPr>
                <w:rFonts w:hint="eastAsia" w:asciiTheme="minorEastAsia" w:hAnsiTheme="minorEastAsia" w:eastAsiaTheme="minorEastAsia" w:cstheme="minorEastAsia"/>
                <w:spacing w:val="-10"/>
                <w:sz w:val="24"/>
                <w:szCs w:val="24"/>
                <w:highlight w:val="none"/>
              </w:rPr>
              <w:t>显示器：液晶不小于 21 英寸；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lang w:val="en-US" w:eastAsia="zh-CN"/>
              </w:rPr>
              <w:t>7.</w:t>
            </w:r>
            <w:r>
              <w:rPr>
                <w:rFonts w:hint="eastAsia" w:asciiTheme="minorEastAsia" w:hAnsiTheme="minorEastAsia" w:eastAsiaTheme="minorEastAsia" w:cstheme="minorEastAsia"/>
                <w:spacing w:val="-10"/>
                <w:sz w:val="24"/>
                <w:szCs w:val="24"/>
                <w:highlight w:val="none"/>
              </w:rPr>
              <w:t>含 Windows 操作系统；</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8.</w:t>
            </w:r>
            <w:r>
              <w:rPr>
                <w:rFonts w:hint="eastAsia" w:asciiTheme="minorEastAsia" w:hAnsiTheme="minorEastAsia" w:eastAsiaTheme="minorEastAsia" w:cstheme="minorEastAsia"/>
                <w:spacing w:val="-10"/>
                <w:sz w:val="24"/>
                <w:szCs w:val="24"/>
                <w:highlight w:val="none"/>
              </w:rPr>
              <w:t>含 USB 鼠标键盘。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9758" w:type="dxa"/>
            <w:gridSpan w:val="3"/>
            <w:shd w:val="clear" w:color="auto" w:fill="auto"/>
            <w:vAlign w:val="center"/>
          </w:tcPr>
          <w:p>
            <w:pPr>
              <w:jc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4、调频广播应急广播对接系统设备清单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调频广播应急广播适配器</w:t>
            </w:r>
          </w:p>
        </w:tc>
        <w:tc>
          <w:tcPr>
            <w:tcW w:w="8118" w:type="dxa"/>
            <w:shd w:val="clear" w:color="auto" w:fill="auto"/>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满足《GD/J 083—2018 应急广播平台接口规范》、《GDJ 085-2018 模拟调频应急广播技术规范》要求。                          </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应急广播平台接口功能要求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(1)具备与上级应急广播平台对接的接口，接口实现符合《GD/J 083 —2018 应急广播平台接口规范》；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(2)采用硬件方式，具备对接收到的应急广播消息进行验签，对向下级发送的应急广播表进行签名的功能；处理要求《GD/J 081-2018 应急广播安全保护技术规范 数字签名》要求；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(3)实现调频广播的RDS应急广播协议封装、适配、发送，包括调频广播 RDS 基带编码、应急广播 RDS 数据生成、RDS发送，以及应急广播音频输出功能。输出信号符合 GD/J 085—2018 模拟调频应急广播技术规范。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2.基本功能要求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(1)具备前面板液晶屏及按键，可查询IP 地址等主要参数和设备告警状态。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(2)设备配置管理，应急广播业务配置与监测，均可通过浏览器访问操作。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(3)支持以太网接口100M/1000M，支持主备1+1模式配置。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(4)支持应急广播节目的接收和存储、解码。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(5)支持应急广播指令的接收和存储、分析。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(6)具备RS232或其他接口，可外接其他应急广播监测设备。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(7)系统必须具有灵活、先进的备份机制，确保安全播出。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(8)具备双电源供电，电源支持交/直流可选，支持电源模块的热备份及热插拔，在更换电源模块时不会导致业务中断，具备断电直通功能。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(9)设备支持实时告警功能。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(10)设备具有100Base-T以太网接口，可实现基于 SNMP 的集中网络管理。可通过统一网管软件系统的监控管理进行设备配置，并实现通过网管统一集中进行状态监控，并支持软件升级；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(11)支持与调频发射机自动化系统对接的功能，能从自动化系统中获取发射机工作状态。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(12)支持输出控制指令，控制音频切换器切换输出应急广播音频节目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3.调频广播功能要求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(1)具备应急广播模拟音频输出，支持立体声差分音频信号输出；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(2)具备应急广播 RDS 基带信号输出，可直接对接调频发射机RDS接口；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(3)基带 RDS 输出幅度可进行调节。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4.安全加密功能要求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(1)采用硬件方式进行安全加密；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(2)具备对加载有国密算法保护的应急广播协议的封装功能；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(3)具备对加载有国密算法保护的应急广播协议的接收解析功能。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5.接口要求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（1）机架设计：采用19英寸机架式设计。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（2）电源输出接口：具有 1 路 AC220V 可控电源输出。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（3）音频输出接口：具有 1 路及以上音频输出，接口类型：RCA 莲花母座。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（4）音频输入接口：具有 2 路及以上线路音频输入接口，RCA 莲 花母座或BNC。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（5）话筒输入接口：具有 6.5mm 话筒接口。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（6）网络接口：RJ45， ≥100M，2 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（7）FM 输入接口：公制 F 母座，1 路输入内置 2 分配，配置 2 个 调谐器。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（8）FM 输出接口：公制 F 母座，输出 1 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（9）RDS 输出接口：BNC，输出幅度0～1Vp-p 可调，输出阻抗低阻，测试负载 600 欧姆。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6.性能要求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（1）工作电压范围：AC:160V～260V。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 xml:space="preserve">（2）信噪比：≥65dB（本设备音频输入输出：线路 0dBu）。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（3）频响：40Hz～15KHz (±3dB)（本设备音频输入输出：线路 0dBu）。</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（4）谐波失真 ≤1%（本设备音频输入输出：线路 0dBu）。</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（5）音频输出电平：0.775±10% V（r.m.s）（线路 0dBu）。</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（6）音频输出阻抗：低阻，&lt;100 欧姆。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（7）音频输入阻抗：高阻，&gt;10K 欧姆。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（8）FM 输入/输出频率范围：87MHz～108MHz。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音频切换器</w:t>
            </w:r>
          </w:p>
        </w:tc>
        <w:tc>
          <w:tcPr>
            <w:tcW w:w="8118" w:type="dxa"/>
            <w:shd w:val="clear" w:color="auto" w:fill="auto"/>
            <w:vAlign w:val="top"/>
          </w:tcPr>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整机为单机嵌入式广播级模块化设备，至少具备 6 个热插拔的 多功能扩展卡槽，可根据不同应用场景配置卫星/有线/无线解调 接收、加解扰、编转码、适配等不同的板卡，具备高可靠性和扩展性，确保广播电视安全播出。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2.设备前面板具备液晶屏及按键，可查询设备基本信息。</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 2 路模拟差分音频切换输入接口，2 路模拟差分音频切换 输出接口。</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4.支持主备两路模拟音频切换功能，每路均支持断电信号直通功能。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5.具备手动/自动输出选择功能，自动情况下当前信源丢失后自动 切换到有信源的通道。</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6.每路音频输入输出，均支持左右声道立体声，并且为差分信号输入输出。</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7.设备可通过网管设置 2 进 2 出或 3 进 1 出的模拟差分音频切换功能。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8.具有设置参数断电保存功能；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9.具有以太网通讯接口，支持 TCP/IP 协议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支持TCP以及UDP的连接方式。</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10.支持应急广播音频切换功能，能够与调频广播应急广播适配器 进行集成对接为一台设备。</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11.具备设备配置管理。</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12.具备双电源模块供电，支持电源模块的热插拔，更换电源模块时业务不中断。</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13.设备支持实时告警功能。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14.设备具有100Base-T以太网接口，接口类型RJ45。</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15.可实现基于 SNMP 的集中网络管理，支持软件升级。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16.设备必须支持双电源供电方式，电源支持交/直流可选。     </w:t>
            </w:r>
          </w:p>
          <w:p>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17.支持电源模块的热备份及热插拔，在更换电源模块时不会导致业务中断。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9758" w:type="dxa"/>
            <w:gridSpan w:val="3"/>
            <w:shd w:val="clear" w:color="auto" w:fill="auto"/>
            <w:vAlign w:val="center"/>
          </w:tcPr>
          <w:p>
            <w:pPr>
              <w:jc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5、地面数字电视应急广播对接系统设备清单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地面数字电视应急广播适配器</w:t>
            </w:r>
          </w:p>
        </w:tc>
        <w:tc>
          <w:tcPr>
            <w:tcW w:w="8118" w:type="dxa"/>
            <w:shd w:val="clear" w:color="auto" w:fill="auto"/>
            <w:vAlign w:val="center"/>
          </w:tcPr>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满足《GD/J 083—2018 应急广播平台接口规范》、《GDJ 087-2018 地面数字电视应急广播技术规范》要求。                      </w:t>
            </w:r>
          </w:p>
          <w:p>
            <w:pPr>
              <w:keepNext w:val="0"/>
              <w:keepLines w:val="0"/>
              <w:widowControl/>
              <w:numPr>
                <w:ilvl w:val="0"/>
                <w:numId w:val="12"/>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应急广播平台联动功能要求                                </w:t>
            </w:r>
          </w:p>
          <w:p>
            <w:pPr>
              <w:keepNext w:val="0"/>
              <w:keepLines w:val="0"/>
              <w:widowControl/>
              <w:numPr>
                <w:ilvl w:val="0"/>
                <w:numId w:val="0"/>
              </w:numPr>
              <w:suppressLineNumbers w:val="0"/>
              <w:spacing w:line="360" w:lineRule="auto"/>
              <w:ind w:right="0" w:right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)具备与上级应急广播平台对接的接口，接口实现符合《GD/J 083 —2018 应急广播平台接口规范》。                           </w:t>
            </w:r>
          </w:p>
          <w:p>
            <w:pPr>
              <w:keepNext w:val="0"/>
              <w:keepLines w:val="0"/>
              <w:widowControl/>
              <w:numPr>
                <w:ilvl w:val="0"/>
                <w:numId w:val="0"/>
              </w:numPr>
              <w:suppressLineNumbers w:val="0"/>
              <w:spacing w:line="360" w:lineRule="auto"/>
              <w:ind w:right="0" w:right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(2)可接收上级应急广播平台发来的应急广播消息，按照标准规范实现协议解析。</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)内置符合国密算法的安全模块，具备对接收到的应急广播消息 进行验签，对向下级发送的应急广播表进行签名的功能，处理符合《GD/J 081—2018 应急广播安全保护技术规范数字签名》；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能够与应急广播平台实现接口联动，实现如下功能对接：应急广播消息播发请求、应急广播消息播发状态查询、应急广播消息播发状态反馈、运维数据请求、台站（前端）信息上报、适配器信息上报、传输覆盖播出设备信息上报、播发记录上报、适配器状态上报、传输覆盖播出设备状态上报、心跳检测、处理结果通知实现地面数字电视的应急广播协议封装、适配、发送，包括地面数字电视 TS 流的应急广播索引表、应急广播内容表，以及应急 广播音视频传输流的处理，输出信号符合《GD/J 087—2018 地面 数字电视应急广播技术规范》；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(5)地面数字电视机顶盒可依据该规范接收该应急广播消息，实现字幕、图片、音频、音视频的应急广播功能。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2.基本功能要求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(1)具备前面板液晶屏及按键，可查询 IP 地址和设备告警状态。</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(2)整机采用嵌入式专用设备设计，以确保广播电视安全播出的稳定可靠。</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(3)设备配置管理，应急广播业务配置与监测，均可通过浏览器访问操作。</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(4)设备处理 TS 流符合 MPEG-2 标准，204/188 包长可灵活设置。</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(5)具备 1 个及以上千兆 IP 接口，每个接口有效码率须不低于 800Mbps，确保应急广播并发能力。</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(6)支持应急广播节目的接收和存储、解码。</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(7)支持应急广播指令的接收和存储、分析。</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(8)具备 RS232 接口，可外接其他应急广播监测设备。</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(9)系统必须具有灵活、先进的备份机制，具备包括设备 1+1 热备份、板卡备份、端口备份、节目备份在内的多级备份能力；确保安全播出。</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(10)具备双电源供电，电源支持交/直流可选，支持电源模块的热 备份及热插拔，在更换电源模块时不会导致业务中断。</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(11)设备支持实时告警功能。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(12)设备具有100Base-T 以太网接口，可实现基于 SNMP 的集中网络管理。可通过统一网管软件系统的监控管理进行设备配置，并实现  通过网管统一集中进行状态监控；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(13)设备要求具备网管 IP 接口，可支持软件升级。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(14)支持与地面数字电视发射机自动化系统对接的功能，能从自动化系统中获取发射机工作状态。</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3.地面数字电视功能要求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(1)具备数字电视 TS 流的应急广播索引表、应急广播内容表，以及应急广播音视频传输流的输出接口，支持ASI、IP输出。</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(2)ASI与千兆 IP 接口支持MPTS与SPTS，支持 GbE 全双工输入和输出。</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(3)支持数字电视 TS 流的 PSI/SI 表编辑、修改、插入功能。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(4)支持应急广播表预览功能，能够对下发的应急广播索引表和应 急广播内容表的详细字段定义进行本地预览查看，按照标准规范 进行表分析。</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(5)具备数字电视复用功能，复用系统输出的复用流必须符合国家标准；</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(6)复用系统必须支持 PID 的重新映射，支持对 PID 码流的过滤；</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(7)具备 1 路及以上 ASI 输入、1 路及以上 ASI 输出接口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4.安全加密功能要求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(1)具备两个及以上 USB 接口，内置安全模块。</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(2)具备对加载有国密算法保护的应急广播协议的封装功能。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5.接口要求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 19 英寸标准机架式设计，插卡式结构，可根据不同应用场景配置不同的板卡。</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 2 个及以上千兆 IP 接口。</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 1 路串口，接口类型：RS232。</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 1 路网管 IP 接口，接口类型：RJ45。</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(5)具备 2 个 USB 接口，接口类型：USB TypeA。</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(6)具备 1 路及以上 ASI 输入、1 路及以上 ASI 输出接口，接 口类型：BNC。</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(7)具备 1 路交流电源输入接口，接口类型：三芯电源插座。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6.性能要求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(1)工作电压范围：AC:100V～260V。</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(2)千兆 IP 吞吐率：≥800Mbps。</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)ASI 接口码率：≥200Mbps。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0633" w:type="dxa"/>
            <w:gridSpan w:val="4"/>
            <w:shd w:val="clear" w:color="auto" w:fill="auto"/>
            <w:vAlign w:val="center"/>
          </w:tcPr>
          <w:p>
            <w:pPr>
              <w:jc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6、有线数字电视应急广播对接系统设备清单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IP 复用器</w:t>
            </w:r>
          </w:p>
        </w:tc>
        <w:tc>
          <w:tcPr>
            <w:tcW w:w="8993" w:type="dxa"/>
            <w:gridSpan w:val="2"/>
            <w:shd w:val="clear" w:color="auto" w:fill="auto"/>
            <w:vAlign w:val="top"/>
          </w:tcPr>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 ISO13818 和 EN300468 标准</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 512 路 IP 输入（MPTS 或者 SPTS)</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 2 路 ASI 输出，每路最高码率达 210Mbps</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 2 路 IP 输出，每路最高码率达 230Mbps</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 PCR 精确调整</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6.支持超大缓存，抗突发码流</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 SDT 表插入</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 PID 透传</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9.每一路复用支持不少于 512 个 PID</w:t>
            </w:r>
          </w:p>
          <w:p>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10.支持中英文液晶显示和按键操作，Web 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有线数字电视应急广播适配器</w:t>
            </w:r>
          </w:p>
        </w:tc>
        <w:tc>
          <w:tcPr>
            <w:tcW w:w="8118" w:type="dxa"/>
            <w:shd w:val="clear" w:color="auto" w:fill="auto"/>
            <w:vAlign w:val="top"/>
          </w:tcPr>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满足《GD/J 083—2018 应急广播平台接口规范》、《GDJ 086-2018 有线数字电视应急广播技术规范》要求。                      </w:t>
            </w:r>
          </w:p>
          <w:p>
            <w:pPr>
              <w:keepNext w:val="0"/>
              <w:keepLines w:val="0"/>
              <w:widowControl/>
              <w:numPr>
                <w:ilvl w:val="0"/>
                <w:numId w:val="13"/>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应急广播平台联动功能要求                                </w:t>
            </w:r>
          </w:p>
          <w:p>
            <w:pPr>
              <w:keepNext w:val="0"/>
              <w:keepLines w:val="0"/>
              <w:widowControl/>
              <w:numPr>
                <w:ilvl w:val="0"/>
                <w:numId w:val="0"/>
              </w:numPr>
              <w:suppressLineNumbers w:val="0"/>
              <w:spacing w:line="360" w:lineRule="auto"/>
              <w:ind w:right="0" w:right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)具备与上级应急广播平台对接的接口，接口实现符合《GD/J083 —2018 应急广播平台接口规范》。                           </w:t>
            </w:r>
          </w:p>
          <w:p>
            <w:pPr>
              <w:keepNext w:val="0"/>
              <w:keepLines w:val="0"/>
              <w:widowControl/>
              <w:numPr>
                <w:ilvl w:val="0"/>
                <w:numId w:val="0"/>
              </w:numPr>
              <w:suppressLineNumbers w:val="0"/>
              <w:spacing w:line="360" w:lineRule="auto"/>
              <w:ind w:right="0" w:right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(2)可接收上级应急广播平台发来的应急广播消息，按照标准规范实现协议解析。</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)内置符合国密算法的安全模块，具备对接收到的应急广播消息进行验签，对向下级发送的应急广播表进行签名的功能，处理符合《GD/J 081—2018 应急广播安全保护技术规范 数字签名》；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能够与应急广播平台实现接口联动，实现如下功能对接：应急广播消息播发请求、应急广播消息播发状态查询、应急广播消息播发状态反馈、运维数据请求、台站（前端）信息上报、适配器信息上报、传输覆盖播出设备信息上报、播发记录上报、适配器状态上报、传输覆盖播出设备状态上报、心跳检测、处理结果通知。</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(5)实现有线数字电视的应急广播协议封装、适配、发送，包括有线数字电视TS流的应急广播索引表、应急广播内容表，以及应急广播音视频传输流的处理，输出信号符合《GDJ 086-2018 有线 数字电视应急广播技术规范》；有线数字电视机顶盒可依据该规 范接收该应急广播消息，实现字幕、图片、音频、音视频的应急 广播功能。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2.基本功能要求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(1)具备前面板液晶屏及按键，可查询 IP 地址和设备告警状态。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(2)整机采用嵌入式专用设备设计，以确保广播电视安全播出的稳定可靠。</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(3)设备配置管理，应急广播业务配置与监测，均可通过浏览器访问操作。</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(4)设备处理 TS 流符合 MPEG-2 标准，204/188包长可灵活设置。</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(5)具备 2 个及以上千兆 IP 接口，每个接口有效码率须不低于 800Mbps，确保应急广播并发能力。</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(6)支持应急广播节目的接收和存储、解码。</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(7)支持应急广播指令的接收和存储、分析。</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(8)具备 RS232 接口，可外接其他应急广播监测设备。</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(9)系统必须具有灵活、先进的备份机制，具备包括设备 1+1 热备份、板卡备份、端口备份、节目备份在内的多级备份能力，确保安全播出。</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(10)具备双电源供电，电源支持交/直流可选，支持电源模块的热备份及热插拔，在更换电源模块时不会导致业务中断。</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(11)设备支持实时告警功能。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(12)设备具有 100Base-T 以太网接口，可实现基于 SNMP 的集中网络管理。可通过统一网管软件系统的监控管理进行设备配置，并实现通过网管统一集中进行状态监控。</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(13)设备要求具备网管 IP 接口，可支持软件升级。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3.有线数字电视功能要求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(1)具备数字电视 TS 流的应急广播索引表、应急广播内容表，以及应急广播音视频传输流的输出接口，支持ASI、IP输出。</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(2)ASI 与千兆 IP 接口支持 MPTS 与 SPTS，支持 GbE 全双工输入和输出。</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(3)支持数字电视 TS 流的 PSI/SI 表编辑、修改、插入功能。</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(4)支持应急广播表预览功能，能够对下发的应急广播索引表和应急广播内容表的详细字段定义进行本地预览查看，按照标准规范 进行表分析。</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(5)具备数字电视复用功能，复用系统输出的复用流必须符合国家标准；</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(6)复用系统必须支持 PID 的重新映射，支持对 PID 码流的过滤；</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(7)具备 1 路及以上 ASI 输入、1 路及以上 ASI 输出接口。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4.安全加密功能要求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(1)具备两个及以上 USB 接口，内置安全模块。</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(2)具备对加载有国密算法保护的应急广播协议的封装功能。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5.接口要求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 19 英寸标准机架式设计，插卡式结构，可根据不同应用场景配置不同的板卡。</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 1 个及以上千兆 IP 接口。</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 1 路串口，接口类型：RS232。</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 1 路网管 IP 接口，接口类型：RJ45。</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(5)具备 2 个 USB 接口，接口类型：USB TypeA。</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(6)具备 1 路及以上 ASI 输入、1 路及以上 ASI 输出接口，接口类型：BNC。</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(7)具备 1 路交流电源输入接口，接口类型：三芯电源插座。 </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6.性能要求</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(1)工作电压范围：AC:100V～260V。</w:t>
            </w:r>
          </w:p>
          <w:p>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(2)千兆 IP 吞吐率： ≥800Mbps。</w:t>
            </w:r>
          </w:p>
          <w:p>
            <w:pPr>
              <w:keepNext w:val="0"/>
              <w:keepLines w:val="0"/>
              <w:widowControl/>
              <w:numPr>
                <w:ilvl w:val="0"/>
                <w:numId w:val="0"/>
              </w:numPr>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)ASI 接口码率： ≥200Mbps。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0633" w:type="dxa"/>
            <w:gridSpan w:val="4"/>
            <w:shd w:val="clear" w:color="auto" w:fill="auto"/>
            <w:vAlign w:val="center"/>
          </w:tcPr>
          <w:p>
            <w:pPr>
              <w:jc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7、街道办级应急广播分控平台设备清单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519"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街道办级应急广播大喇叭适配器</w:t>
            </w:r>
          </w:p>
        </w:tc>
        <w:tc>
          <w:tcPr>
            <w:tcW w:w="8118" w:type="dxa"/>
            <w:shd w:val="clear" w:color="auto" w:fill="auto"/>
            <w:vAlign w:val="center"/>
          </w:tcPr>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r>
              <w:rPr>
                <w:rFonts w:hint="eastAsia" w:asciiTheme="minorEastAsia" w:hAnsiTheme="minorEastAsia" w:eastAsiaTheme="minorEastAsia" w:cstheme="minorEastAsia"/>
                <w:i w:val="0"/>
                <w:iCs w:val="0"/>
                <w:color w:val="000000"/>
                <w:sz w:val="24"/>
                <w:szCs w:val="24"/>
                <w:u w:val="none"/>
              </w:rPr>
              <w:t>.总体要求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000000"/>
                <w:sz w:val="24"/>
                <w:szCs w:val="24"/>
                <w:u w:val="none"/>
              </w:rPr>
              <w:t>应预留通过直播卫星进行远程唤醒播发应急广播消息的接口；</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可接收上级调频信号，解调出音频信号及 RDS 数据，做出相应的播发/停止动作。信号处理符合 GD/J 085—2018 模拟调频应急广播技术规范；</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可接收上级 DTMB/DVB-C 信号，解调出音频信号及控制信号，做出相应的播发/停止动作。信号处理符合 GD/J 087—2018 地面数字电视应急广播技术规范和 GD/J 086—2018 有线数字电视应急广播技术规范；</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可接收上级 IP 信号（有线和 4G），解调出音频信号及控制信号，做出相应的播发/停止动作。信号处理符合 GD/J 089—2018 应急广播大喇叭系统技术规范附录 D；</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具有本地音源和上级收转信号调频编码输出，可输出标准的RDS 调频信号，进行信号传输。信号输出符合 GD/J 085—2018 模拟调频应急广播技术规范；</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具备输出 IP 音频信号及 IP 指令信号，控制终端进行应急广播消息播发的功能，输出信号符合 GD/J 089—2018 应急广播大喇叭系统技术规范附录 D。</w:t>
            </w:r>
          </w:p>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2.功能要求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000000"/>
                <w:sz w:val="24"/>
                <w:szCs w:val="24"/>
                <w:u w:val="none"/>
              </w:rPr>
              <w:t>可通过前面板液晶屏及按键，对设备IP地址、端口号进行设置；</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可脱离管理平台实现本级广播的功能；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支持本地音源广播，包括U盘（MP3 格式文件）广播、线路广播、话筒广播可通过按键选择上下曲；</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具有监听功能：内置监听喇叭，监听音量可调节，具有音频存储功能，音频编码格式为 MP3,标称存储容量≥8GB；</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可设置定时广播（≥3个时间段），广播音源可选择话筒广播、U 盘、调频接收、线路输入；</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支持远程对本设备的网络参数、应急广播资源编码、回传参数工作参数配置；</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支持读取安全模块编号功能，支持管理平台更新证书；</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具备响应管理平台发出的控制和读取状态指令的功能；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支持将话筒广播一键切换为紧急模式；</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集成国密算法芯片，具有签名、验签功能。符合《GD/J 081-2018 应急广播安全保护技术规范 数字签名》要求；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支持通道，必须支持 IP 和调频、DTMB（输入）、DVB-C（输入）， 4G 播发应急广播消息通道；</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具备本地播发、上级信号接收播发功能；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具备本地多音源切换功能；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支持分区域播发控制；</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支持广播模式自动切换功能，当设备处于日常广播模式时，应急广播消息</w:t>
            </w:r>
            <w:r>
              <w:rPr>
                <w:rFonts w:hint="eastAsia" w:asciiTheme="minorEastAsia" w:hAnsiTheme="minorEastAsia" w:eastAsiaTheme="minorEastAsia" w:cstheme="minorEastAsia"/>
                <w:i w:val="0"/>
                <w:iCs w:val="0"/>
                <w:color w:val="auto"/>
                <w:sz w:val="24"/>
                <w:szCs w:val="24"/>
                <w:u w:val="none"/>
              </w:rPr>
              <w:t>能自动切断日常广播播发应急消息，应急广播消息播发完毕，切换回原来的日常广播状态。</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lang w:val="en-US" w:eastAsia="zh-CN"/>
              </w:rPr>
              <w:t>支持音频功放输出的功能。</w:t>
            </w:r>
          </w:p>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3.接口要求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auto"/>
                <w:sz w:val="24"/>
                <w:szCs w:val="24"/>
                <w:u w:val="none"/>
              </w:rPr>
              <w:t>采用 19 英寸机架式设计；</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具有 1 路 AC220V 可控电源输出；</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具有 1 路及以上音频输出，接口类型：RCA 莲花母座；</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具有 2 路及以上线路音频输入接口，RCA 莲花母座或 BNC；</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话筒输入：具有 6.5mm 和 3.5mm 两个话筒接口；</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网络接口：RJ45，≥100M，2 个；</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FM 输入接口：公制 F 母座，1 路输入内置 2 分配，配置 2 个调谐器；</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FM 输出接口：公制 F 母座，输出 1 路；</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RDS 输出接口：BNC，输出幅度 0～1Vp-p 通过旋钮可调，输出阻抗低阻，测试负载 600 欧姆；</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DTMB（DVB-C）或独立输入接口：英制 F 母座，1 路及以上；</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监听接口：具有监听喇叭和 3.5mm 耳机插孔，监听音量通过旋钮可调。</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7"/>
                <w:sz w:val="24"/>
                <w:szCs w:val="24"/>
              </w:rPr>
              <w:t xml:space="preserve"> 组音频功放输出，</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pacing w:val="-9"/>
                <w:sz w:val="24"/>
                <w:szCs w:val="24"/>
              </w:rPr>
              <w:t xml:space="preserve"> 个纯铜镀金音频功放接线柱，推动 </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pacing w:val="-17"/>
                <w:sz w:val="24"/>
                <w:szCs w:val="24"/>
              </w:rPr>
              <w:t xml:space="preserve"> 个功率为 </w:t>
            </w:r>
            <w:r>
              <w:rPr>
                <w:rFonts w:hint="eastAsia" w:asciiTheme="minorEastAsia" w:hAnsiTheme="minorEastAsia" w:eastAsiaTheme="minorEastAsia" w:cstheme="minorEastAsia"/>
                <w:sz w:val="24"/>
                <w:szCs w:val="24"/>
              </w:rPr>
              <w:t>25W</w:t>
            </w:r>
            <w:r>
              <w:rPr>
                <w:rFonts w:hint="eastAsia" w:asciiTheme="minorEastAsia" w:hAnsiTheme="minorEastAsia" w:eastAsiaTheme="minorEastAsia" w:cstheme="minorEastAsia"/>
                <w:spacing w:val="-10"/>
                <w:sz w:val="24"/>
                <w:szCs w:val="24"/>
              </w:rPr>
              <w:t xml:space="preserve"> 的高清喇叭。</w:t>
            </w:r>
          </w:p>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4.性能要求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000000"/>
                <w:sz w:val="24"/>
                <w:szCs w:val="24"/>
                <w:u w:val="none"/>
              </w:rPr>
              <w:t>工作电压范围：AC:160V～260V；</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信噪比：≥65dB（本设备音频输入输出：线路 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频响：40Hz～15KHz (±3dB)（本设备音频输入输出：线路0dBu）；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谐波失真：≤1%（本设备音频输入输出：线路 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音频输出电平：0.775±10% V（r.m.s）（线路 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音频输出阻抗：低阻，&lt;100 欧姆；</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音频输入阻抗：高阻，&gt;10K 欧姆；</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FM 输入/输出频率范围：87MHz～108MHz；</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DTMB 频段：470MHz～802MHz；</w:t>
            </w:r>
          </w:p>
          <w:p>
            <w:pPr>
              <w:keepNext w:val="0"/>
              <w:keepLines w:val="0"/>
              <w:widowControl/>
              <w:numPr>
                <w:ilvl w:val="0"/>
                <w:numId w:val="0"/>
              </w:numPr>
              <w:suppressLineNumbers w:val="0"/>
              <w:spacing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DVB-C 频段：470MHz～802MHz。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街道办级应急广播分控平台软件</w:t>
            </w:r>
          </w:p>
        </w:tc>
        <w:tc>
          <w:tcPr>
            <w:tcW w:w="8118"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r>
              <w:rPr>
                <w:rFonts w:hint="eastAsia" w:asciiTheme="minorEastAsia" w:hAnsiTheme="minorEastAsia" w:eastAsiaTheme="minorEastAsia" w:cstheme="minorEastAsia"/>
                <w:i w:val="0"/>
                <w:iCs w:val="0"/>
                <w:color w:val="000000"/>
                <w:sz w:val="24"/>
                <w:szCs w:val="24"/>
                <w:u w:val="none"/>
              </w:rPr>
              <w:t>自动播出控制</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满足各乡镇和行政村的广播全覆盖需要，并为今后扩容终端提供支持。可以实现乡镇和行政村联机开关，自动实现每天不同时间段的开、关机，能够实现全系统无人值守；具备实现乡镇和行政村本地或远程应急控制功能，上一级平台能够控制所辖区域内的任一前端和接收终端设备的开关，并能实现对特定区域的广播。</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2.</w:t>
            </w:r>
            <w:r>
              <w:rPr>
                <w:rFonts w:hint="eastAsia" w:asciiTheme="minorEastAsia" w:hAnsiTheme="minorEastAsia" w:eastAsiaTheme="minorEastAsia" w:cstheme="minorEastAsia"/>
                <w:i w:val="0"/>
                <w:iCs w:val="0"/>
                <w:color w:val="000000"/>
                <w:sz w:val="24"/>
                <w:szCs w:val="24"/>
                <w:u w:val="none"/>
              </w:rPr>
              <w:t>各级独立播出</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乡镇平台应在没有上级信号支持的情况下具备独立播出能力。村级在设置广播室的情况下可播出本级简单信息，在未设置广播室的情况下可通过通讯工具或其它方式实现村级信息的插播。</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3.</w:t>
            </w:r>
            <w:r>
              <w:rPr>
                <w:rFonts w:hint="eastAsia" w:asciiTheme="minorEastAsia" w:hAnsiTheme="minorEastAsia" w:eastAsiaTheme="minorEastAsia" w:cstheme="minorEastAsia"/>
                <w:i w:val="0"/>
                <w:iCs w:val="0"/>
                <w:color w:val="000000"/>
                <w:sz w:val="24"/>
                <w:szCs w:val="24"/>
                <w:u w:val="none"/>
              </w:rPr>
              <w:t>应急插播</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应急状态下可按照应急播出优先原则实现各级系统的应急插播： 在应急状态下，可直接点亮紧急信号灯，同时接受终端的音量自动调整为最大状态，应急广播结束后自动回复到原设置值。</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4.</w:t>
            </w:r>
            <w:r>
              <w:rPr>
                <w:rFonts w:hint="eastAsia" w:asciiTheme="minorEastAsia" w:hAnsiTheme="minorEastAsia" w:eastAsiaTheme="minorEastAsia" w:cstheme="minorEastAsia"/>
                <w:i w:val="0"/>
                <w:iCs w:val="0"/>
                <w:color w:val="000000"/>
                <w:sz w:val="24"/>
                <w:szCs w:val="24"/>
                <w:u w:val="none"/>
              </w:rPr>
              <w:t>播出层级优先控制</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系统播出控制的优先级设计应遵循上级节目播出优先于下级节目的总体原则。</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5.</w:t>
            </w:r>
            <w:r>
              <w:rPr>
                <w:rFonts w:hint="eastAsia" w:asciiTheme="minorEastAsia" w:hAnsiTheme="minorEastAsia" w:eastAsiaTheme="minorEastAsia" w:cstheme="minorEastAsia"/>
                <w:i w:val="0"/>
                <w:iCs w:val="0"/>
                <w:color w:val="000000"/>
                <w:sz w:val="24"/>
                <w:szCs w:val="24"/>
                <w:u w:val="none"/>
              </w:rPr>
              <w:t>在日常播出状态下，各级系统应能满足省市节目联播的需要；非联播时段，各级系统可播出本机信息，但当上级系统播出时下级系统不能插播。</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6.</w:t>
            </w:r>
            <w:r>
              <w:rPr>
                <w:rFonts w:hint="eastAsia" w:asciiTheme="minorEastAsia" w:hAnsiTheme="minorEastAsia" w:eastAsiaTheme="minorEastAsia" w:cstheme="minorEastAsia"/>
                <w:i w:val="0"/>
                <w:iCs w:val="0"/>
                <w:color w:val="000000"/>
                <w:sz w:val="24"/>
                <w:szCs w:val="24"/>
                <w:u w:val="none"/>
              </w:rPr>
              <w:t>在非日常固定播出时段，上级系统可根据需要打开下级系统或 不通过下级系统直接打开终端播出通知等信息；镇、村级系统可随时插播本级信息，非固定时段的信息播出也应遵循上级优先原则。</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7.</w:t>
            </w:r>
            <w:r>
              <w:rPr>
                <w:rFonts w:hint="eastAsia" w:asciiTheme="minorEastAsia" w:hAnsiTheme="minorEastAsia" w:eastAsiaTheme="minorEastAsia" w:cstheme="minorEastAsia"/>
                <w:i w:val="0"/>
                <w:iCs w:val="0"/>
                <w:color w:val="000000"/>
                <w:sz w:val="24"/>
                <w:szCs w:val="24"/>
                <w:u w:val="none"/>
              </w:rPr>
              <w:t>应急状态下，各级系统均可打断本级正在播出的上级或本级正常节目，通过输入应急编码插播本级应急信息。各级应急播出均可通过远程控制方式实现；应急播出也应遵循上级优先原则，即上级正在播放应急信息时，下级不能插播应急信息。</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8.</w:t>
            </w:r>
            <w:r>
              <w:rPr>
                <w:rFonts w:hint="eastAsia" w:asciiTheme="minorEastAsia" w:hAnsiTheme="minorEastAsia" w:eastAsiaTheme="minorEastAsia" w:cstheme="minorEastAsia"/>
                <w:i w:val="0"/>
                <w:iCs w:val="0"/>
                <w:color w:val="000000"/>
                <w:sz w:val="24"/>
                <w:szCs w:val="24"/>
                <w:u w:val="none"/>
              </w:rPr>
              <w:t>系统应具备完善的技术措施保障上述的优先级原则，同时系统也应具备用户根据需要调整优先级的技术能力。</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9.</w:t>
            </w:r>
            <w:r>
              <w:rPr>
                <w:rFonts w:hint="eastAsia" w:asciiTheme="minorEastAsia" w:hAnsiTheme="minorEastAsia" w:eastAsiaTheme="minorEastAsia" w:cstheme="minorEastAsia"/>
                <w:i w:val="0"/>
                <w:iCs w:val="0"/>
                <w:color w:val="000000"/>
                <w:sz w:val="24"/>
                <w:szCs w:val="24"/>
                <w:u w:val="none"/>
              </w:rPr>
              <w:t>终端可寻址控制</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系统可以实现乡镇和行政村按照各自不同的行政级别和区域划分（逻辑码）实现对大喇叭终端分组控制，分组广播；也可以通过终 端点对点对终端进行控制。理论上应可控制终端所有广播参数，如音量、开关机等。需要调节音量时可以通过设置在前端的智能编码控制器方便的实现远程智能调节；开关机操作时能够实现声音的渐强渐弱，即淡入淡出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10.</w:t>
            </w:r>
            <w:r>
              <w:rPr>
                <w:rFonts w:hint="eastAsia" w:asciiTheme="minorEastAsia" w:hAnsiTheme="minorEastAsia" w:eastAsiaTheme="minorEastAsia" w:cstheme="minorEastAsia"/>
                <w:i w:val="0"/>
                <w:iCs w:val="0"/>
                <w:color w:val="000000"/>
                <w:sz w:val="24"/>
                <w:szCs w:val="24"/>
                <w:u w:val="none"/>
              </w:rPr>
              <w:t>安全播出控制</w:t>
            </w:r>
          </w:p>
          <w:p>
            <w:pPr>
              <w:spacing w:line="360" w:lineRule="auto"/>
              <w:ind w:left="0" w:leftChars="0" w:right="0" w:rightChars="0" w:firstLine="480" w:firstLineChars="20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整个系统应具备安全防范功能：整个系统应具备完善的抗干扰、防插播、防盗播、防错播、防漏播等安全播出技术措施，确保系统安全播出。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话筒</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1.类型：动圈话筒；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2.指向性：心型指向；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3.适用范围：会议话筒；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4.频率范围：40～15000Hz；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5.供电电源： DC 3V；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6.灵敏度：-45dB(3.5mV/Pa)3dB；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7.输出阻抗：600Ω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8.参考适音距离:(20-50)cm。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90"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室外高音喇叭25W</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1.额定功率:25W；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2.阻抗:16 欧姆；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3.灵敏度级:≥100；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4.频率范围:500-6000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PC 机</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1.国产品牌台式机；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2.CPU:不低于 3.6GHz；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3.内存：不低于 8GB DDR4；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4.硬盘：不少于 1TB；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5.显卡：独立显卡；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6.显示器：液晶不小于 21 英寸；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7.含 Windows 操作系统；</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8.含 USB 鼠标键盘；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多模音柱</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（一）功能要求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1.可设置本设备IP地址、端口号等参数；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2.可接收来自上级调频信号、IP信号（有线和4G）、DTMB/DVB-C信号，实现远程广播控制功能；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3.支持管理平台远程配置工作参数（包括：音量、调频频率、DTMB频率等）；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4.集成国密算法芯片，具有验签功能。符合GD/J 081—2018 应急广播安全保护技术规范 数字签名；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5.支持IP、调频或地面数字电视等2种以上信号同时激活工作，优先级可选；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6.配置通信模块支持回传功能；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7.具有防雷防水和短路保护功能。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（二）接口要求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1.FM输入接口：公制F母座，1路输入内置2分配，配置2个调谐器；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2.DTMB（DVB-C）或独立输入接口：英制 F 母座，1 路及以上；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3.网络接口：RJ45；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4.内置扬声器输出。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（三）性能要求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1.工作电压范围：AC:160V～260V；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2.FM输入频率范围：87MHz～108MHz；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3.DTMB/DVB-C频段：470MHz～802MHz。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4.额定输出功率：不小于25瓦。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播控桌及机柜</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根据需求采购，以下参数供参考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1.材料：采用优质冷轧钢板经剪切，冲压，折弯，焊接；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2.两联播控桌，表面镀锌处理后静电喷塑工艺装配;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3.柜面：柜面采用绿色环保型粉沫高温塑化，对人体及周围环境不产生危害，无毒、无副作用，使用时无异味；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4.隔板：坚固耐用，性能优良，1.5 板材，下面柜体可用 1.2 毫米；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5.锁具：锁具精美产品气度非凡，安全系数高。锁具采用知名品牌，透明度好永不生锈；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6.抽屉：高强压型抽屉，推拉顺畅，造型精美，经久耐用。</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7.自带机柜能分别安装所有设备,大结构能拆卸方便运输、搬运进房间安装。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624"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UPS 电源</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1.在断电时，应急供电功率≮ 500W，满载后备时间2小时；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2.整机效率 达到 90%；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3.输入电压范围 115-300VV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4.输入频率范围 46-64Hz，50/60Hz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5.输入功因 &gt;0.99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6.输出电压范围 AC 220（1±2%）V；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7.输出频率范围 50±0.2%Hz；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8.电流峰值比 3:1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9.输出功因 0.8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10.过载能力 负载≤125%，维持 1min；≤150%，维持 30s；≥150%， 立即转旁路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11.电压电流 16pcs×12VDC ；</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12.噪音值 &lt;50dB。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交换机</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1.以太网交换机；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2.不少于 8 口；</w:t>
            </w:r>
          </w:p>
          <w:p>
            <w:pPr>
              <w:numPr>
                <w:ilvl w:val="0"/>
                <w:numId w:val="0"/>
              </w:numPr>
              <w:spacing w:line="36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3.每个端口支持自适应、双工模式。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8位插座</w:t>
            </w:r>
          </w:p>
        </w:tc>
        <w:tc>
          <w:tcPr>
            <w:tcW w:w="8118" w:type="dxa"/>
            <w:shd w:val="clear" w:color="auto" w:fill="auto"/>
            <w:vAlign w:val="center"/>
          </w:tcPr>
          <w:p>
            <w:pPr>
              <w:spacing w:line="360" w:lineRule="auto"/>
              <w:ind w:left="0" w:leftChars="0" w:right="0" w:righ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8"/>
                <w:sz w:val="24"/>
                <w:szCs w:val="24"/>
                <w:highlight w:val="none"/>
                <w:lang w:val="en-US" w:eastAsia="zh-CN" w:bidi="zh-CN"/>
              </w:rPr>
              <w:t>8位，电流：10A；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被覆线</w:t>
            </w:r>
          </w:p>
        </w:tc>
        <w:tc>
          <w:tcPr>
            <w:tcW w:w="811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8"/>
                <w:sz w:val="24"/>
                <w:szCs w:val="24"/>
                <w:highlight w:val="none"/>
                <w:lang w:val="en-US" w:eastAsia="zh-CN" w:bidi="zh-CN"/>
              </w:rPr>
              <w:t>喇叭专用线缆，铝线；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1248"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辅材及安装调试</w:t>
            </w:r>
          </w:p>
        </w:tc>
        <w:tc>
          <w:tcPr>
            <w:tcW w:w="811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包括设备安装、连通、调试直至正常工作需要的所有附属设备设施、线缆辅材和相关服务等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9758" w:type="dxa"/>
            <w:gridSpan w:val="3"/>
            <w:shd w:val="clear" w:color="auto" w:fill="auto"/>
            <w:vAlign w:val="center"/>
          </w:tcPr>
          <w:p>
            <w:pPr>
              <w:jc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8、行政村应急广播平台及终端设备清单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村级应急广播大喇叭适配器</w:t>
            </w:r>
          </w:p>
        </w:tc>
        <w:tc>
          <w:tcPr>
            <w:tcW w:w="8118" w:type="dxa"/>
            <w:shd w:val="clear" w:color="auto" w:fill="auto"/>
            <w:vAlign w:val="center"/>
          </w:tcPr>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r>
              <w:rPr>
                <w:rFonts w:hint="eastAsia" w:asciiTheme="minorEastAsia" w:hAnsiTheme="minorEastAsia" w:eastAsiaTheme="minorEastAsia" w:cstheme="minorEastAsia"/>
                <w:i w:val="0"/>
                <w:iCs w:val="0"/>
                <w:color w:val="000000"/>
                <w:sz w:val="24"/>
                <w:szCs w:val="24"/>
                <w:u w:val="none"/>
              </w:rPr>
              <w:t>.总体要求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000000"/>
                <w:sz w:val="24"/>
                <w:szCs w:val="24"/>
                <w:u w:val="none"/>
              </w:rPr>
              <w:t>应预留通过直播卫星进行远程唤醒播发应急广播消息的接口；</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可接收上级调频信号，解调出音频信号及 RDS 数据，做出相应的播发/停止动作。信号处理符合 GD/J 085—2018 模拟调频应急广播技术规范；</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可接收上级 DTMB/DVB-C 信号，解调出音频信号及控制信号， 做出相应的播发/停止动作。信号处理符合 GD/J 087—2018 地面数字电视应急广播技术规范和 GD/J 086—2018 有线数字电视应急广播技术规范；</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可接收上级 IP 信号（有线和 4G），解调出音频信号及控制信号，做出相应的播发/停止动作。信号处理符合 GD/J 089—2018 应急广播大喇叭系统技术规范附录 D；</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具有本地音源和上级收转信号调频编码输出，可输出标准的RDS 调频信号，进行信号传输。信号输出符合 GD/J 085—2018 模拟调频应急广播技术规范；</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具备输出 IP 音频信号及 IP 指令信号，控制终端进行应急广播消息播发的功能，输出信号符合 GD/J 089—2018 应急广播大喇叭系统技术规范附录 D。</w:t>
            </w:r>
          </w:p>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2.功能要求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000000"/>
                <w:sz w:val="24"/>
                <w:szCs w:val="24"/>
                <w:u w:val="none"/>
              </w:rPr>
              <w:t>可通过前面板液晶屏及按键，对设备 IP 地址、端口号进行设置；</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可脱离管理平台实现本级广播的功能；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支持本地音源广播，包括 U 盘（MP3 格式文件）广播、线路广播、话筒广播可通过按键选择上下曲；</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具有监听功能：内置监听喇叭，监听音量可调节，具有音频存储功能，音频编码格式为 MP3,标称存储容量≥8GB；</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可设置定时广播（≥3个时间段），广播音源可选择话筒广播、U 盘、调频接收、线路输入；</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支持远程对本设备的网络参数、应急广播资源编码、回传参数工作参数配置；</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支持读取安全模块编号功能，支持管理平台更新证书；</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具备响应管理平台发出的控制和读取状态指令的功能；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支持将话筒广播一键切换为紧急模式；</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集成国密算法芯片，具有签名、验签功能。符合《GD/J081-2018 应急广播安全保护技术规范数字签名》要求；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支持通道，必须支持 IP 和调频、DTMB（输入）、DVB-C（输入）， 4G 播发应急广播消息通道；</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具备本地播发、上级信号接收播发功能；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具备本地多音源切换功能；</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支持分区域播发控制；</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支持广播模式自动切换功能，当设备处于日常广播模式时，应急广播消息</w:t>
            </w:r>
            <w:r>
              <w:rPr>
                <w:rFonts w:hint="eastAsia" w:asciiTheme="minorEastAsia" w:hAnsiTheme="minorEastAsia" w:eastAsiaTheme="minorEastAsia" w:cstheme="minorEastAsia"/>
                <w:i w:val="0"/>
                <w:iCs w:val="0"/>
                <w:color w:val="auto"/>
                <w:sz w:val="24"/>
                <w:szCs w:val="24"/>
                <w:u w:val="none"/>
              </w:rPr>
              <w:t>能自动切断日常广播播发应急消息，应急广播消息播发完毕，切换回原来的日常广播状态。</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lang w:val="en-US" w:eastAsia="zh-CN"/>
              </w:rPr>
              <w:t>支持音频功放输出的功能。</w:t>
            </w:r>
          </w:p>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rPr>
              <w:t>3.接口要求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auto"/>
                <w:sz w:val="24"/>
                <w:szCs w:val="24"/>
                <w:u w:val="none"/>
              </w:rPr>
              <w:t>采用 19 英寸机架式设计；</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具有 1 路 AC220V 可控电源输出；</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具有 1 路及以上音频输出，接口类型：RCA 莲花母座；</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具有 2 路及以上线路音频输入接口，RCA 莲花母座或 BNC；</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话筒输入：具有 6.5mm 和 3.5mm 两个话筒接口；</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网络接口：RJ45，≥100M，2 个；</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FM 输入接口：公制 F 母座，1 路输入内置 2 分配，配置 2 个调谐器；</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FM 输出接口：公制 F 母座，输出 1 路；</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jc w:val="left"/>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RDS 输出接口：BNC，输出幅度 0～1Vp-p 通过旋钮可调，输出阻抗低阻，测试负载 600 欧姆；</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auto"/>
                <w:sz w:val="24"/>
                <w:szCs w:val="24"/>
                <w:u w:val="none"/>
              </w:rPr>
              <w:t>DTMB（DVB-C）或独立输入接口：英制 F 母座，1 路及以上；</w:t>
            </w:r>
          </w:p>
          <w:p>
            <w:pPr>
              <w:pStyle w:val="60"/>
              <w:spacing w:before="7" w:line="314" w:lineRule="auto"/>
              <w:ind w:left="5" w:right="-15"/>
              <w:jc w:val="left"/>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sz w:val="24"/>
                <w:szCs w:val="24"/>
                <w:u w:val="none"/>
                <w:lang w:eastAsia="zh-CN"/>
              </w:rPr>
              <w:t>（</w:t>
            </w:r>
            <w:r>
              <w:rPr>
                <w:rFonts w:hint="eastAsia" w:asciiTheme="minorEastAsia" w:hAnsiTheme="minorEastAsia" w:eastAsiaTheme="minorEastAsia" w:cstheme="minorEastAsia"/>
                <w:i w:val="0"/>
                <w:iCs w:val="0"/>
                <w:color w:val="auto"/>
                <w:sz w:val="24"/>
                <w:szCs w:val="24"/>
                <w:u w:val="none"/>
                <w:lang w:val="en-US" w:eastAsia="zh-CN"/>
              </w:rPr>
              <w:t>11</w:t>
            </w:r>
            <w:r>
              <w:rPr>
                <w:rFonts w:hint="eastAsia" w:asciiTheme="minorEastAsia" w:hAnsiTheme="minorEastAsia" w:eastAsiaTheme="minorEastAsia" w:cstheme="minorEastAsia"/>
                <w:i w:val="0"/>
                <w:iCs w:val="0"/>
                <w:color w:val="auto"/>
                <w:sz w:val="24"/>
                <w:szCs w:val="24"/>
                <w:u w:val="none"/>
                <w:lang w:eastAsia="zh-CN"/>
              </w:rPr>
              <w:t>）</w:t>
            </w:r>
            <w:r>
              <w:rPr>
                <w:rFonts w:hint="eastAsia" w:asciiTheme="minorEastAsia" w:hAnsiTheme="minorEastAsia" w:eastAsiaTheme="minorEastAsia" w:cstheme="minorEastAsia"/>
                <w:i w:val="0"/>
                <w:iCs w:val="0"/>
                <w:color w:val="auto"/>
                <w:sz w:val="24"/>
                <w:szCs w:val="24"/>
                <w:u w:val="none"/>
              </w:rPr>
              <w:t>监听接口：具有监听喇叭和 3.5mm 耳机插孔，监听音量通过旋钮可调。</w:t>
            </w:r>
          </w:p>
          <w:p>
            <w:pPr>
              <w:pStyle w:val="60"/>
              <w:spacing w:before="7" w:line="314" w:lineRule="auto"/>
              <w:ind w:left="5" w:right="-1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r>
              <w:rPr>
                <w:rFonts w:hint="eastAsia" w:asciiTheme="minorEastAsia" w:hAnsiTheme="minorEastAsia" w:eastAsiaTheme="minorEastAsia" w:cstheme="minorEastAsia"/>
                <w:spacing w:val="-7"/>
                <w:sz w:val="24"/>
                <w:szCs w:val="24"/>
              </w:rPr>
              <w:t xml:space="preserve"> 组音频功放输出，</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pacing w:val="-9"/>
                <w:sz w:val="24"/>
                <w:szCs w:val="24"/>
              </w:rPr>
              <w:t xml:space="preserve"> 个纯铜镀金音频功放接线柱，推动 </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pacing w:val="-17"/>
                <w:sz w:val="24"/>
                <w:szCs w:val="24"/>
              </w:rPr>
              <w:t xml:space="preserve"> 个功率为 </w:t>
            </w:r>
            <w:r>
              <w:rPr>
                <w:rFonts w:hint="eastAsia" w:asciiTheme="minorEastAsia" w:hAnsiTheme="minorEastAsia" w:eastAsiaTheme="minorEastAsia" w:cstheme="minorEastAsia"/>
                <w:sz w:val="24"/>
                <w:szCs w:val="24"/>
              </w:rPr>
              <w:t>25W</w:t>
            </w:r>
            <w:r>
              <w:rPr>
                <w:rFonts w:hint="eastAsia" w:asciiTheme="minorEastAsia" w:hAnsiTheme="minorEastAsia" w:eastAsiaTheme="minorEastAsia" w:cstheme="minorEastAsia"/>
                <w:spacing w:val="-10"/>
                <w:sz w:val="24"/>
                <w:szCs w:val="24"/>
              </w:rPr>
              <w:t xml:space="preserve"> 的高清喇叭。</w:t>
            </w:r>
          </w:p>
          <w:p>
            <w:pPr>
              <w:keepNext w:val="0"/>
              <w:keepLines w:val="0"/>
              <w:pageBreakBefore w:val="0"/>
              <w:kinsoku/>
              <w:wordWrap/>
              <w:overflowPunct/>
              <w:topLinePunct w:val="0"/>
              <w:autoSpaceDE/>
              <w:autoSpaceDN/>
              <w:bidi w:val="0"/>
              <w:adjustRightInd/>
              <w:snapToGrid/>
              <w:spacing w:before="0" w:line="360" w:lineRule="auto"/>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4.性能要求</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olor w:val="000000"/>
                <w:sz w:val="24"/>
                <w:szCs w:val="24"/>
                <w:u w:val="none"/>
              </w:rPr>
              <w:t>工作电压范围：AC:160V～260V；</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信噪比：≥65dB（本设备音频输入输出：线路 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频响：40Hz～15KHz (±3dB)（本设备音频输入输出：线路0dBu）；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谐波失真：≤1%（本设备音频输入输出：线路 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音频输出电平：0.775±10% V（r.m.s）（线路 0dBu）；</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音频输出阻抗：低阻，&lt;100 欧姆；</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音频输入阻抗：高阻，&gt;10K 欧姆；</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FM 输入/输出频率范围：87MHz～108MHz；</w:t>
            </w:r>
          </w:p>
          <w:p>
            <w:pPr>
              <w:keepNext w:val="0"/>
              <w:keepLines w:val="0"/>
              <w:pageBreakBefore w:val="0"/>
              <w:numPr>
                <w:ilvl w:val="0"/>
                <w:numId w:val="0"/>
              </w:numPr>
              <w:kinsoku/>
              <w:wordWrap/>
              <w:overflowPunct/>
              <w:topLinePunct w:val="0"/>
              <w:autoSpaceDE/>
              <w:autoSpaceDN/>
              <w:bidi w:val="0"/>
              <w:adjustRightInd/>
              <w:snapToGrid/>
              <w:spacing w:before="0" w:line="360" w:lineRule="auto"/>
              <w:ind w:left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DTMB 频段：470MHz～802MHz；</w:t>
            </w:r>
          </w:p>
          <w:p>
            <w:pPr>
              <w:keepNext w:val="0"/>
              <w:keepLines w:val="0"/>
              <w:widowControl/>
              <w:numPr>
                <w:ilvl w:val="0"/>
                <w:numId w:val="0"/>
              </w:numPr>
              <w:suppressLineNumbers w:val="0"/>
              <w:spacing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olor w:val="000000"/>
                <w:sz w:val="24"/>
                <w:szCs w:val="24"/>
                <w:u w:val="none"/>
              </w:rPr>
              <w:t>DVB-C 频段：470MHz～802MHz。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话筒</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1.类型：动圈话筒；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2.指向性：心型指向；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3.适用范围：会议话筒；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4.频率范围：40～15000Hz；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5.供电电源： DC 3V；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6.灵敏度：-45dB(3.5mV/Pa)3dB；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7.输出阻抗：600Ω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8.参考适音距离:(20-50)cm。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室外高音喇叭25W</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1.额定功率:25W；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2.阻抗:16 欧姆；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3.灵敏度级:≥100；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4.频率范围:500-6000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624"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4</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snapToGrid w:val="0"/>
                <w:color w:val="000000"/>
                <w:kern w:val="0"/>
                <w:sz w:val="24"/>
                <w:szCs w:val="24"/>
                <w:highlight w:val="none"/>
                <w:u w:val="none"/>
                <w:lang w:val="en-US" w:eastAsia="zh-CN" w:bidi="ar"/>
              </w:rPr>
              <w:t>多模收扩机</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（一）功能要求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1.可设置本设备IP地址、端口号等参数；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2.可接收来自上级调频信号、IP信号（有线和4G）、DTMB/DVB-C信号，实现远程广播控制功能；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3.支持管理平台远程配置工作参数（包括：音量、调频频率、DTMB频率等）；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4.集成国密算法芯片，具有验签功能。符合GD/J 081—2018 应急广播安全保护技术规范 数字签名；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5.支持IP、调频或地面数字电视等2种以上信号同时激活工作，优先级可选；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6.配置通信模块支持回传功能；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7.具有防雷防水和短路保护功能。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（二）接口要求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1.FM输入接口：公制F母座，1路输入内置2分配，配置2个调谐器；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2.DTMB（DVB-C）或独立输入接口：英制 F 母座，1 路及以上；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3.网络接口：RJ45；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4.输出接口：音频接线柱。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（三）性能要求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1.工作电压范围：AC:160V～260V；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2.FM输入频率范围：87MHz～108MHz；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3.DTMB/DVB-C频段：470MHz～802MHz。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yellow"/>
                <w:u w:val="none"/>
              </w:rPr>
            </w:pPr>
            <w:r>
              <w:rPr>
                <w:rFonts w:hint="eastAsia" w:asciiTheme="minorEastAsia" w:hAnsiTheme="minorEastAsia" w:eastAsiaTheme="minorEastAsia" w:cstheme="minorEastAsia"/>
                <w:spacing w:val="-10"/>
                <w:sz w:val="24"/>
                <w:szCs w:val="24"/>
                <w:highlight w:val="none"/>
                <w:lang w:val="en-US" w:eastAsia="zh-CN"/>
              </w:rPr>
              <w:t>4.额定输出功率：不小于外接扬声器功率总和。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室外高音喇叭25W</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1.额定功率:25W；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2.阻抗:16 欧姆；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3.灵敏度级:≥100；</w:t>
            </w:r>
          </w:p>
          <w:p>
            <w:pP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4.频率范围:500-6000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624"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多模音柱</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（一）功能要求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1.可设置本设备IP地址、端口号等参数；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2.可接收来自上级调频信号、IP信号（有线和4G）、DTMB/DVB-C信号，实现远程广播控制功能；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3.支持管理平台远程配置工作参数（包括：音量、调频频率、DTMB频率等）；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4.集成国密算法芯片，具有验签功能。符合GD/J 081—2018 应急广播安全保护技术规范 数字签名；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5.支持IP、调频或地面数字电视等2种以上信号同时激活工作，优先级可选；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6.配置通信模块支持回传功能；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7.具有防雷防水和短路保护功能。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（二）接口要求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1.FM输入接口：公制F母座，1路输入内置2分配，配置2个调谐器；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2.DTMB（DVB-C）或独立输入接口：英制 F 母座，1 路及以上；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3.网络接口：RJ45；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4.内置扬声器输出。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（三）性能要求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1.工作电压范围：AC:160V～260V；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2.FM输入频率范围：87MHz～108MHz；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3.DTMB/DVB-C频段：470MHz～802MHz。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4.额定输出功率：不小于25瓦。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播控桌及机柜</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根据需求采购，以下参数供参考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1.材料：采用优质冷轧钢板经剪切，冲压，折弯，焊接；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2.单联播控桌，表面镀锌处理后静电喷塑工艺装配;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3.柜面：柜面采用绿色环保型粉沫高温塑化，对人体及周围环境不产生危害，无毒、无副作用，使用时无异味；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4.隔板：坚固耐用，性能优良，1.5 板材，下面柜体可用 1.2 毫米；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5.锁具：锁具精美产品气度非凡，安全系数高。锁具采用知名品牌，透明度好永不生锈；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8.抽屉：高强压型抽屉，推拉顺畅，造型精美，经久耐用；</w:t>
            </w:r>
          </w:p>
          <w:p>
            <w:pPr>
              <w:numPr>
                <w:ilvl w:val="0"/>
                <w:numId w:val="0"/>
              </w:numPr>
              <w:spacing w:line="360" w:lineRule="auto"/>
              <w:ind w:left="0" w:leftChars="0" w:right="0" w:righ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9.自带机柜能分别安装所有设备,大结构能拆卸方便运输、搬运进房间安装。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875" w:type="dxa"/>
          <w:trHeight w:val="624"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UPS 电源</w:t>
            </w:r>
          </w:p>
        </w:tc>
        <w:tc>
          <w:tcPr>
            <w:tcW w:w="811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1.在断电时，应急供电功率≮ 500W，满载后备时间2小时；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2.整机效率 达到 90%；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3.输入电压范围 115-300VV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4.输入频率范围 46-64Hz，50/60Hz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5.输入功因 &gt;0.99；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6.输出电压范围 AC 220（1±2%）V；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7.输出频率范围 50±0.2%Hz；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8.电流峰值比 3:1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9.输出功因 0.8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10.过载能力 负载≤125%，维持 1min；≤150%，维持 30s；≥150%， 立即转旁路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11.电压电流 16pcs×12VDC；</w:t>
            </w:r>
          </w:p>
          <w:p>
            <w:pPr>
              <w:numPr>
                <w:ilvl w:val="0"/>
                <w:numId w:val="0"/>
              </w:numPr>
              <w:spacing w:line="360" w:lineRule="auto"/>
              <w:ind w:left="0" w:leftChars="0" w:right="0" w:righ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12.噪音值 &lt;50dB。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5" w:type="dxa"/>
          <w:trHeight w:val="312"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被覆线</w:t>
            </w:r>
          </w:p>
        </w:tc>
        <w:tc>
          <w:tcPr>
            <w:tcW w:w="811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pacing w:val="-10"/>
                <w:sz w:val="24"/>
                <w:szCs w:val="24"/>
                <w:highlight w:val="none"/>
                <w:lang w:val="en-US" w:eastAsia="zh-CN"/>
              </w:rPr>
              <w:t>喇叭专用线缆，铝线；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5" w:type="dxa"/>
          <w:trHeight w:val="768" w:hRule="atLeast"/>
          <w:jc w:val="center"/>
        </w:trPr>
        <w:tc>
          <w:tcPr>
            <w:tcW w:w="757"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c>
          <w:tcPr>
            <w:tcW w:w="883"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辅材及安装调试</w:t>
            </w:r>
          </w:p>
        </w:tc>
        <w:tc>
          <w:tcPr>
            <w:tcW w:w="8118"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包括设备安装、连通、调试直至正常工作需要的所有附属设备设施、线缆辅材和相关服务等</w:t>
            </w:r>
          </w:p>
        </w:tc>
      </w:tr>
    </w:tbl>
    <w:p>
      <w:pPr>
        <w:rPr>
          <w:rFonts w:hint="eastAsia" w:asciiTheme="minorEastAsia" w:hAnsiTheme="minorEastAsia" w:eastAsiaTheme="minorEastAsia" w:cstheme="minorEastAsia"/>
          <w:lang w:val="en-US" w:eastAsia="zh-CN"/>
        </w:rPr>
        <w:sectPr>
          <w:pgSz w:w="11900" w:h="16820"/>
          <w:pgMar w:top="1429" w:right="1293" w:bottom="1293" w:left="1644" w:header="964" w:footer="964" w:gutter="0"/>
          <w:pgBorders>
            <w:top w:val="none" w:sz="0" w:space="0"/>
            <w:left w:val="none" w:sz="0" w:space="0"/>
            <w:bottom w:val="none" w:sz="0" w:space="0"/>
            <w:right w:val="none" w:sz="0" w:space="0"/>
          </w:pgBorders>
          <w:pgNumType w:fmt="numberInDash"/>
          <w:cols w:space="720" w:num="1"/>
        </w:sectPr>
      </w:pPr>
    </w:p>
    <w:p>
      <w:pPr>
        <w:pStyle w:val="3"/>
        <w:spacing w:line="360" w:lineRule="auto"/>
        <w:jc w:val="center"/>
        <w:rPr>
          <w:rFonts w:hint="eastAsia" w:asciiTheme="minorEastAsia" w:hAnsiTheme="minorEastAsia" w:eastAsiaTheme="minorEastAsia" w:cstheme="minorEastAsia"/>
          <w:highlight w:val="none"/>
        </w:rPr>
      </w:pPr>
      <w:bookmarkStart w:id="97" w:name="_Toc5553"/>
      <w:r>
        <w:rPr>
          <w:rFonts w:hint="eastAsia" w:asciiTheme="minorEastAsia" w:hAnsiTheme="minorEastAsia" w:eastAsiaTheme="minorEastAsia" w:cstheme="minorEastAsia"/>
          <w:highlight w:val="none"/>
        </w:rPr>
        <w:t>第四章  商务要求</w:t>
      </w:r>
      <w:bookmarkEnd w:id="97"/>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b/>
          <w:szCs w:val="24"/>
          <w:highlight w:val="none"/>
        </w:rPr>
        <w:t>一、交货期及地点：</w:t>
      </w:r>
    </w:p>
    <w:p>
      <w:pPr>
        <w:adjustRightInd w:val="0"/>
        <w:snapToGrid w:val="0"/>
        <w:spacing w:line="560" w:lineRule="exact"/>
        <w:ind w:firstLine="600" w:firstLineChars="250"/>
        <w:rPr>
          <w:rFonts w:hint="eastAsia" w:asciiTheme="minorEastAsia" w:hAnsiTheme="minorEastAsia" w:eastAsiaTheme="minorEastAsia" w:cstheme="minorEastAsia"/>
          <w:szCs w:val="24"/>
          <w:highlight w:val="none"/>
        </w:rPr>
      </w:pPr>
      <w:bookmarkStart w:id="98" w:name="_Toc167712839"/>
      <w:bookmarkStart w:id="99" w:name="_Toc167715234"/>
      <w:bookmarkStart w:id="100" w:name="_Toc167714037"/>
      <w:r>
        <w:rPr>
          <w:rFonts w:hint="eastAsia" w:asciiTheme="minorEastAsia" w:hAnsiTheme="minorEastAsia" w:eastAsiaTheme="minorEastAsia" w:cstheme="minorEastAsia"/>
          <w:szCs w:val="24"/>
          <w:highlight w:val="none"/>
        </w:rPr>
        <w:t>1、 交货期：</w:t>
      </w:r>
      <w:bookmarkEnd w:id="98"/>
      <w:bookmarkEnd w:id="99"/>
      <w:bookmarkEnd w:id="100"/>
      <w:r>
        <w:rPr>
          <w:rFonts w:hint="eastAsia" w:asciiTheme="minorEastAsia" w:hAnsiTheme="minorEastAsia" w:eastAsiaTheme="minorEastAsia" w:cstheme="minorEastAsia"/>
          <w:szCs w:val="24"/>
          <w:highlight w:val="none"/>
        </w:rPr>
        <w:t>自合同签订之日起60个</w:t>
      </w:r>
      <w:r>
        <w:rPr>
          <w:rFonts w:hint="eastAsia" w:asciiTheme="minorEastAsia" w:hAnsiTheme="minorEastAsia" w:eastAsiaTheme="minorEastAsia" w:cstheme="minorEastAsia"/>
          <w:szCs w:val="24"/>
          <w:highlight w:val="none"/>
          <w:lang w:val="en-US" w:eastAsia="zh-CN"/>
        </w:rPr>
        <w:t>日历日</w:t>
      </w:r>
      <w:r>
        <w:rPr>
          <w:rFonts w:hint="eastAsia" w:asciiTheme="minorEastAsia" w:hAnsiTheme="minorEastAsia" w:eastAsiaTheme="minorEastAsia" w:cstheme="minorEastAsia"/>
          <w:szCs w:val="24"/>
          <w:highlight w:val="none"/>
        </w:rPr>
        <w:t>内交付完毕。</w:t>
      </w:r>
    </w:p>
    <w:p>
      <w:pPr>
        <w:adjustRightInd w:val="0"/>
        <w:snapToGrid w:val="0"/>
        <w:spacing w:line="560" w:lineRule="exact"/>
        <w:ind w:firstLine="600" w:firstLineChars="2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 交货地点：西安市高陵区融媒体中心（区广播电视台）指定地点。</w:t>
      </w:r>
    </w:p>
    <w:p>
      <w:pPr>
        <w:spacing w:line="560" w:lineRule="exact"/>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二、包装、运输、安装、调试及培训要求：</w:t>
      </w:r>
    </w:p>
    <w:p>
      <w:pPr>
        <w:spacing w:line="560" w:lineRule="exact"/>
        <w:ind w:firstLine="600" w:firstLineChars="2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2、运输：</w:t>
      </w:r>
      <w:r>
        <w:rPr>
          <w:rFonts w:hint="eastAsia" w:asciiTheme="minorEastAsia" w:hAnsiTheme="minorEastAsia" w:eastAsiaTheme="minorEastAsia" w:cstheme="minorEastAsia"/>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3、安装、调试及培训：中标人负责所有设备的安装、调试、培训工作，所有费用一次包死在总价内。</w:t>
      </w:r>
      <w:bookmarkStart w:id="101" w:name="_Toc167714062"/>
      <w:bookmarkStart w:id="102" w:name="_Toc167712864"/>
      <w:bookmarkStart w:id="103" w:name="_Toc167715259"/>
      <w:r>
        <w:rPr>
          <w:rFonts w:hint="eastAsia" w:asciiTheme="minorEastAsia" w:hAnsiTheme="minorEastAsia" w:eastAsiaTheme="minorEastAsia" w:cstheme="minorEastAsia"/>
          <w:szCs w:val="24"/>
          <w:highlight w:val="none"/>
        </w:rPr>
        <w:t>每套设备安装调试完毕后，中标人必须安排技术人员对使用单位的设备管理人员进行操作应用及维护保养方面的技能培训</w:t>
      </w:r>
      <w:bookmarkEnd w:id="101"/>
      <w:bookmarkEnd w:id="102"/>
      <w:bookmarkEnd w:id="103"/>
      <w:r>
        <w:rPr>
          <w:rFonts w:hint="eastAsia" w:asciiTheme="minorEastAsia" w:hAnsiTheme="minorEastAsia" w:eastAsiaTheme="minorEastAsia" w:cstheme="minorEastAsia"/>
          <w:szCs w:val="24"/>
          <w:highlight w:val="none"/>
        </w:rPr>
        <w:t>，使其掌握基本技能。</w:t>
      </w:r>
    </w:p>
    <w:p>
      <w:pPr>
        <w:adjustRightInd w:val="0"/>
        <w:snapToGrid w:val="0"/>
        <w:spacing w:line="560" w:lineRule="exact"/>
        <w:rPr>
          <w:rFonts w:hint="eastAsia" w:asciiTheme="minorEastAsia" w:hAnsiTheme="minorEastAsia" w:eastAsiaTheme="minorEastAsia" w:cstheme="minorEastAsia"/>
          <w:b/>
          <w:szCs w:val="24"/>
          <w:highlight w:val="none"/>
          <w:u w:val="wavyHeavy" w:color="FF0000"/>
        </w:rPr>
      </w:pPr>
      <w:r>
        <w:rPr>
          <w:rFonts w:hint="eastAsia" w:asciiTheme="minorEastAsia" w:hAnsiTheme="minorEastAsia" w:eastAsiaTheme="minorEastAsia" w:cstheme="minorEastAsia"/>
          <w:b/>
          <w:szCs w:val="24"/>
          <w:highlight w:val="none"/>
        </w:rPr>
        <w:t>三、付款方式：</w:t>
      </w:r>
    </w:p>
    <w:p>
      <w:pPr>
        <w:tabs>
          <w:tab w:val="left" w:pos="3918"/>
        </w:tabs>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bookmarkStart w:id="104" w:name="_Toc167712842"/>
      <w:bookmarkStart w:id="105" w:name="_Toc167715237"/>
      <w:bookmarkStart w:id="106" w:name="_Toc167714040"/>
      <w:r>
        <w:rPr>
          <w:rFonts w:hint="eastAsia" w:asciiTheme="minorEastAsia" w:hAnsiTheme="minorEastAsia" w:eastAsiaTheme="minorEastAsia" w:cstheme="minorEastAsia"/>
          <w:szCs w:val="24"/>
          <w:highlight w:val="none"/>
        </w:rPr>
        <w:t>双方自行协商。</w:t>
      </w:r>
    </w:p>
    <w:p>
      <w:pPr>
        <w:adjustRightInd w:val="0"/>
        <w:snapToGrid w:val="0"/>
        <w:spacing w:line="560" w:lineRule="exact"/>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四、验收</w:t>
      </w:r>
      <w:bookmarkEnd w:id="104"/>
      <w:bookmarkEnd w:id="105"/>
      <w:bookmarkEnd w:id="106"/>
      <w:bookmarkStart w:id="107" w:name="_Toc167712843"/>
      <w:bookmarkStart w:id="108" w:name="_Toc167715238"/>
      <w:bookmarkStart w:id="109" w:name="_Toc167714041"/>
      <w:r>
        <w:rPr>
          <w:rFonts w:hint="eastAsia" w:asciiTheme="minorEastAsia" w:hAnsiTheme="minorEastAsia" w:eastAsiaTheme="minorEastAsia" w:cstheme="minorEastAsia"/>
          <w:b/>
          <w:szCs w:val="24"/>
          <w:highlight w:val="none"/>
        </w:rPr>
        <w:t>:</w:t>
      </w:r>
      <w:r>
        <w:rPr>
          <w:rFonts w:hint="eastAsia" w:asciiTheme="minorEastAsia" w:hAnsiTheme="minorEastAsia" w:eastAsiaTheme="minorEastAsia" w:cstheme="minorEastAsia"/>
          <w:b/>
          <w:szCs w:val="24"/>
          <w:highlight w:val="none"/>
        </w:rPr>
        <w:tab/>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1、项目验收分初验和终验:</w:t>
      </w:r>
      <w:bookmarkEnd w:id="107"/>
      <w:bookmarkEnd w:id="108"/>
      <w:bookmarkEnd w:id="109"/>
      <w:bookmarkStart w:id="110" w:name="_Toc167715239"/>
      <w:bookmarkStart w:id="111" w:name="_Toc167712844"/>
      <w:bookmarkStart w:id="112" w:name="_Toc167714042"/>
    </w:p>
    <w:bookmarkEnd w:id="110"/>
    <w:bookmarkEnd w:id="111"/>
    <w:bookmarkEnd w:id="112"/>
    <w:p>
      <w:pPr>
        <w:spacing w:line="560" w:lineRule="exact"/>
        <w:ind w:firstLine="480" w:firstLineChars="200"/>
        <w:rPr>
          <w:rFonts w:hint="eastAsia" w:asciiTheme="minorEastAsia" w:hAnsiTheme="minorEastAsia" w:eastAsiaTheme="minorEastAsia" w:cstheme="minorEastAsia"/>
          <w:szCs w:val="24"/>
          <w:highlight w:val="none"/>
        </w:rPr>
      </w:pPr>
      <w:bookmarkStart w:id="113" w:name="_Toc167714044"/>
      <w:bookmarkStart w:id="114" w:name="_Toc167715241"/>
      <w:bookmarkStart w:id="115" w:name="_Toc167712846"/>
      <w:r>
        <w:rPr>
          <w:rFonts w:hint="eastAsia" w:asciiTheme="minorEastAsia" w:hAnsiTheme="minorEastAsia" w:eastAsiaTheme="minorEastAsia" w:cstheme="minorEastAsia"/>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终验：所有货物(设备)安装、调试完毕，正常使用30个日历日后，由采购人进行终验（最终验收），合格后签发《终验合格单》。</w:t>
      </w:r>
      <w:r>
        <w:rPr>
          <w:rFonts w:hint="eastAsia" w:asciiTheme="minorEastAsia" w:hAnsiTheme="minorEastAsia" w:eastAsiaTheme="minorEastAsia" w:cstheme="minorEastAsia"/>
          <w:szCs w:val="24"/>
          <w:highlight w:val="none"/>
        </w:rPr>
        <w:cr/>
      </w:r>
      <w:r>
        <w:rPr>
          <w:rFonts w:hint="eastAsia" w:asciiTheme="minorEastAsia" w:hAnsiTheme="minorEastAsia" w:eastAsiaTheme="minorEastAsia" w:cstheme="minorEastAsia"/>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3、验收依据</w:t>
      </w:r>
      <w:bookmarkEnd w:id="113"/>
      <w:bookmarkEnd w:id="114"/>
      <w:bookmarkEnd w:id="115"/>
      <w:bookmarkStart w:id="116" w:name="_Toc167714045"/>
      <w:bookmarkStart w:id="117" w:name="_Toc167715242"/>
      <w:bookmarkStart w:id="118" w:name="_Toc167712847"/>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（1）合同文本及合同补充文件（条款）</w:t>
      </w:r>
      <w:bookmarkEnd w:id="116"/>
      <w:bookmarkEnd w:id="117"/>
      <w:bookmarkEnd w:id="118"/>
      <w:r>
        <w:rPr>
          <w:rFonts w:hint="eastAsia" w:asciiTheme="minorEastAsia" w:hAnsiTheme="minorEastAsia" w:eastAsiaTheme="minorEastAsia" w:cstheme="minorEastAsia"/>
          <w:szCs w:val="24"/>
          <w:highlight w:val="none"/>
        </w:rPr>
        <w:t xml:space="preserve">； </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（2）产品的合法来源渠道证明文件、响应功能证明材料；</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（3）招标文件；</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（4）中标人的投标文件；</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（5）货物清单；</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（6）生产厂家的企业资质、货物的执行标准。</w:t>
      </w:r>
    </w:p>
    <w:p>
      <w:pPr>
        <w:spacing w:line="560" w:lineRule="exact"/>
        <w:ind w:firstLine="482" w:firstLineChars="200"/>
        <w:rPr>
          <w:rFonts w:hint="eastAsia" w:asciiTheme="minorEastAsia" w:hAnsiTheme="minorEastAsia" w:eastAsiaTheme="minorEastAsia" w:cstheme="minorEastAsia"/>
          <w:b/>
          <w:szCs w:val="24"/>
          <w:highlight w:val="none"/>
        </w:rPr>
      </w:pPr>
      <w:bookmarkStart w:id="119" w:name="_Toc167714047"/>
      <w:bookmarkStart w:id="120" w:name="_Toc167715244"/>
      <w:bookmarkStart w:id="121" w:name="_Toc167712849"/>
      <w:r>
        <w:rPr>
          <w:rFonts w:hint="eastAsia" w:asciiTheme="minorEastAsia" w:hAnsiTheme="minorEastAsia" w:eastAsiaTheme="minorEastAsia" w:cstheme="minorEastAsia"/>
          <w:b/>
          <w:szCs w:val="24"/>
          <w:highlight w:val="none"/>
        </w:rPr>
        <w:t>五、</w:t>
      </w:r>
      <w:bookmarkEnd w:id="119"/>
      <w:bookmarkEnd w:id="120"/>
      <w:bookmarkEnd w:id="121"/>
      <w:bookmarkStart w:id="122" w:name="_Toc167712853"/>
      <w:bookmarkStart w:id="123" w:name="_Toc167714051"/>
      <w:bookmarkStart w:id="124" w:name="_Toc167715248"/>
      <w:r>
        <w:rPr>
          <w:rFonts w:hint="eastAsia" w:asciiTheme="minorEastAsia" w:hAnsiTheme="minorEastAsia" w:eastAsiaTheme="minorEastAsia" w:cstheme="minorEastAsia"/>
          <w:b/>
          <w:szCs w:val="24"/>
          <w:highlight w:val="none"/>
        </w:rPr>
        <w:t>质量保证</w:t>
      </w:r>
      <w:bookmarkEnd w:id="122"/>
      <w:bookmarkEnd w:id="123"/>
      <w:bookmarkEnd w:id="124"/>
    </w:p>
    <w:p>
      <w:pPr>
        <w:spacing w:line="560" w:lineRule="exact"/>
        <w:ind w:firstLine="472" w:firstLineChars="196"/>
        <w:rPr>
          <w:rFonts w:hint="eastAsia" w:asciiTheme="minorEastAsia" w:hAnsiTheme="minorEastAsia" w:eastAsiaTheme="minorEastAsia" w:cstheme="minorEastAsia"/>
          <w:szCs w:val="24"/>
          <w:highlight w:val="none"/>
        </w:rPr>
      </w:pPr>
      <w:bookmarkStart w:id="125" w:name="_Toc167714055"/>
      <w:bookmarkStart w:id="126" w:name="_Toc167712857"/>
      <w:bookmarkStart w:id="127" w:name="_Toc167715252"/>
      <w:r>
        <w:rPr>
          <w:rFonts w:hint="eastAsia" w:asciiTheme="minorEastAsia" w:hAnsiTheme="minorEastAsia" w:eastAsiaTheme="minorEastAsia" w:cstheme="minorEastAsia"/>
          <w:b/>
          <w:szCs w:val="24"/>
          <w:highlight w:val="none"/>
        </w:rPr>
        <w:t>1、质保期为终验合格后不少于12个月。</w:t>
      </w:r>
      <w:r>
        <w:rPr>
          <w:rFonts w:hint="eastAsia" w:asciiTheme="minorEastAsia" w:hAnsiTheme="minorEastAsia" w:eastAsiaTheme="minorEastAsia" w:cstheme="minorEastAsia"/>
          <w:kern w:val="0"/>
          <w:szCs w:val="24"/>
          <w:highlight w:val="none"/>
        </w:rPr>
        <w:t>中标人承诺的质保时间超过招标文件要求的，按其承诺时间质保。</w:t>
      </w:r>
    </w:p>
    <w:p>
      <w:pPr>
        <w:adjustRightInd w:val="0"/>
        <w:snapToGrid w:val="0"/>
        <w:spacing w:line="560" w:lineRule="exact"/>
        <w:ind w:firstLine="470" w:firstLineChars="196"/>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2、中标人承诺的质保期起始时间为终验合格之日。</w:t>
      </w:r>
      <w:bookmarkStart w:id="128" w:name="_Toc167715250"/>
      <w:bookmarkStart w:id="129" w:name="_Toc167712855"/>
      <w:bookmarkStart w:id="130" w:name="_Toc167714053"/>
    </w:p>
    <w:p>
      <w:pPr>
        <w:adjustRightInd w:val="0"/>
        <w:snapToGrid w:val="0"/>
        <w:spacing w:line="560" w:lineRule="exact"/>
        <w:ind w:firstLine="470" w:firstLineChars="196"/>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3、所有产品质量必须符合国家有关规范和相关政策。所有设备及辅材必须是未使用过的新产品，质量优良、渠道正当，配置合理。</w:t>
      </w:r>
      <w:bookmarkEnd w:id="128"/>
      <w:bookmarkEnd w:id="129"/>
      <w:bookmarkEnd w:id="130"/>
      <w:bookmarkStart w:id="131" w:name="_Toc167714054"/>
      <w:bookmarkStart w:id="132" w:name="_Toc167715251"/>
      <w:bookmarkStart w:id="133" w:name="_Toc167712856"/>
    </w:p>
    <w:p>
      <w:pPr>
        <w:adjustRightInd w:val="0"/>
        <w:snapToGrid w:val="0"/>
        <w:spacing w:line="560" w:lineRule="exact"/>
        <w:ind w:firstLine="470" w:firstLineChars="196"/>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4、质保期出现的质量问题由中标人负责解决并承担所有费用。质保期后如需更换零部件，中标人应以优惠价提供。</w:t>
      </w:r>
      <w:bookmarkEnd w:id="131"/>
      <w:bookmarkEnd w:id="132"/>
      <w:bookmarkEnd w:id="133"/>
    </w:p>
    <w:bookmarkEnd w:id="125"/>
    <w:bookmarkEnd w:id="126"/>
    <w:bookmarkEnd w:id="127"/>
    <w:p>
      <w:pPr>
        <w:adjustRightInd w:val="0"/>
        <w:spacing w:line="560" w:lineRule="exact"/>
        <w:ind w:firstLine="482" w:firstLineChars="200"/>
        <w:rPr>
          <w:rFonts w:hint="eastAsia" w:asciiTheme="minorEastAsia" w:hAnsiTheme="minorEastAsia" w:eastAsiaTheme="minorEastAsia" w:cstheme="minorEastAsia"/>
          <w:b/>
          <w:szCs w:val="24"/>
          <w:highlight w:val="none"/>
        </w:rPr>
      </w:pPr>
      <w:bookmarkStart w:id="134" w:name="_Toc167715263"/>
      <w:bookmarkStart w:id="135" w:name="_Toc167714066"/>
      <w:bookmarkStart w:id="136" w:name="_Toc167712868"/>
      <w:r>
        <w:rPr>
          <w:rFonts w:hint="eastAsia" w:asciiTheme="minorEastAsia" w:hAnsiTheme="minorEastAsia" w:eastAsiaTheme="minorEastAsia" w:cstheme="minorEastAsia"/>
          <w:b/>
          <w:szCs w:val="24"/>
          <w:highlight w:val="none"/>
        </w:rPr>
        <w:t>六、合同实施：</w:t>
      </w:r>
      <w:bookmarkEnd w:id="134"/>
      <w:bookmarkEnd w:id="135"/>
      <w:bookmarkEnd w:id="136"/>
      <w:bookmarkStart w:id="137" w:name="_Toc167715264"/>
      <w:bookmarkStart w:id="138" w:name="_Toc167714067"/>
      <w:bookmarkStart w:id="139" w:name="_Toc167712869"/>
    </w:p>
    <w:p>
      <w:pPr>
        <w:adjustRightIn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1 </w:t>
      </w:r>
      <w:bookmarkEnd w:id="137"/>
      <w:bookmarkEnd w:id="138"/>
      <w:bookmarkEnd w:id="139"/>
      <w:r>
        <w:rPr>
          <w:rFonts w:hint="eastAsia" w:asciiTheme="minorEastAsia" w:hAnsiTheme="minorEastAsia" w:eastAsiaTheme="minorEastAsia" w:cstheme="minorEastAsia"/>
          <w:szCs w:val="24"/>
          <w:highlight w:val="none"/>
        </w:rPr>
        <w:t>、中标人应在合同签订后7个日历日内安排人员（项目组成人员简历表所列）与使用单位就送货、安装、调试、培训等工作进行安排、部署。</w:t>
      </w:r>
      <w:bookmarkStart w:id="140" w:name="_Toc167714068"/>
      <w:bookmarkStart w:id="141" w:name="_Toc167715265"/>
      <w:bookmarkStart w:id="142" w:name="_Toc167712870"/>
    </w:p>
    <w:p>
      <w:pPr>
        <w:adjustRightIn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w:t>
      </w:r>
      <w:bookmarkEnd w:id="140"/>
      <w:bookmarkEnd w:id="141"/>
      <w:bookmarkEnd w:id="142"/>
      <w:r>
        <w:rPr>
          <w:rFonts w:hint="eastAsia" w:asciiTheme="minorEastAsia" w:hAnsiTheme="minorEastAsia" w:eastAsiaTheme="minorEastAsia" w:cstheme="minorEastAsia"/>
          <w:szCs w:val="24"/>
          <w:highlight w:val="none"/>
        </w:rPr>
        <w:t xml:space="preserve"> 、若未能在交货期内完成合同规定的义务，由此对采购人造成的延误和一切损失，由中标人承担和赔偿。</w:t>
      </w:r>
    </w:p>
    <w:p>
      <w:pPr>
        <w:adjustRightInd w:val="0"/>
        <w:spacing w:line="560" w:lineRule="exact"/>
        <w:ind w:firstLine="482" w:firstLineChars="2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七、违约责任：</w:t>
      </w:r>
    </w:p>
    <w:p>
      <w:pPr>
        <w:adjustRightIn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1、按《中华人民共和国民法典》中的相关条款执行。</w:t>
      </w:r>
    </w:p>
    <w:p>
      <w:pPr>
        <w:adjustRightIn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highlight w:val="none"/>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329565</wp:posOffset>
                </wp:positionV>
                <wp:extent cx="5487670" cy="493395"/>
                <wp:effectExtent l="4445" t="5080" r="13335" b="15875"/>
                <wp:wrapSquare wrapText="bothSides"/>
                <wp:docPr id="14" name="Text Box 2"/>
                <wp:cNvGraphicFramePr/>
                <a:graphic xmlns:a="http://schemas.openxmlformats.org/drawingml/2006/main">
                  <a:graphicData uri="http://schemas.microsoft.com/office/word/2010/wordprocessingShape">
                    <wps:wsp>
                      <wps:cNvSpPr txBox="1"/>
                      <wps:spPr>
                        <a:xfrm>
                          <a:off x="0" y="0"/>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Text Box 2" o:spid="_x0000_s1026" o:spt="202" type="#_x0000_t202" style="position:absolute;left:0pt;margin-left:3.25pt;margin-top:25.95pt;height:38.85pt;width:432.1pt;mso-wrap-distance-bottom:0pt;mso-wrap-distance-left:9pt;mso-wrap-distance-right:9pt;mso-wrap-distance-top:0pt;z-index:251661312;mso-width-relative:page;mso-height-relative:page;" fillcolor="#FFFFFF" filled="t" stroked="t"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5swpDXAAAACAEAAA8A&#10;AAAAAAAAAQAgAAAAIgAAAGRycy9kb3ducmV2LnhtbFBLAQIUABQAAAAIAIdO4kDR/aXhGAIAAGwE&#10;AAAOAAAAAAAAAAEAIAAAACYBAABkcnMvZTJvRG9jLnhtbFBLBQYAAAAABgAGAFkBAACwBQAAAAA=&#10;">
                <v:fill on="t" focussize="0,0"/>
                <v:stroke color="#000000" joinstyle="miter"/>
                <v:imagedata o:title=""/>
                <o:lock v:ext="edit" aspectratio="f"/>
                <v:textbox>
                  <w:txbxContent>
                    <w:p>
                      <w:pPr>
                        <w:tabs>
                          <w:tab w:val="left" w:pos="3485"/>
                        </w:tabs>
                        <w:spacing w:line="520" w:lineRule="exact"/>
                        <w:jc w:val="center"/>
                        <w:rPr>
                          <w:rFonts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p>
    <w:p>
      <w:pPr>
        <w:spacing w:line="560" w:lineRule="exact"/>
        <w:jc w:val="center"/>
        <w:rPr>
          <w:rFonts w:hint="eastAsia" w:asciiTheme="minorEastAsia" w:hAnsiTheme="minorEastAsia" w:eastAsiaTheme="minorEastAsia" w:cstheme="minorEastAsia"/>
          <w:b/>
          <w:sz w:val="44"/>
          <w:szCs w:val="44"/>
          <w:highlight w:val="none"/>
        </w:rPr>
      </w:pPr>
    </w:p>
    <w:p>
      <w:pPr>
        <w:spacing w:line="560" w:lineRule="exact"/>
        <w:jc w:val="center"/>
        <w:rPr>
          <w:rFonts w:hint="eastAsia" w:asciiTheme="minorEastAsia" w:hAnsiTheme="minorEastAsia" w:eastAsiaTheme="minorEastAsia" w:cstheme="minorEastAsia"/>
          <w:b/>
          <w:sz w:val="44"/>
          <w:szCs w:val="44"/>
          <w:highlight w:val="none"/>
        </w:rPr>
      </w:pPr>
    </w:p>
    <w:p>
      <w:pPr>
        <w:spacing w:line="560" w:lineRule="exact"/>
        <w:jc w:val="center"/>
        <w:rPr>
          <w:rFonts w:hint="eastAsia" w:asciiTheme="minorEastAsia" w:hAnsiTheme="minorEastAsia" w:eastAsiaTheme="minorEastAsia" w:cstheme="minorEastAsia"/>
          <w:b/>
          <w:sz w:val="44"/>
          <w:szCs w:val="44"/>
          <w:highlight w:val="none"/>
        </w:rPr>
      </w:pPr>
    </w:p>
    <w:p>
      <w:pPr>
        <w:spacing w:line="560" w:lineRule="exact"/>
        <w:jc w:val="center"/>
        <w:rPr>
          <w:rFonts w:hint="eastAsia" w:asciiTheme="minorEastAsia" w:hAnsiTheme="minorEastAsia" w:eastAsiaTheme="minorEastAsia" w:cstheme="minorEastAsia"/>
          <w:b/>
          <w:sz w:val="44"/>
          <w:szCs w:val="44"/>
          <w:highlight w:val="none"/>
        </w:rPr>
      </w:pPr>
    </w:p>
    <w:p>
      <w:pPr>
        <w:spacing w:line="560" w:lineRule="exact"/>
        <w:jc w:val="center"/>
        <w:rPr>
          <w:rFonts w:hint="eastAsia" w:asciiTheme="minorEastAsia" w:hAnsiTheme="minorEastAsia" w:eastAsiaTheme="minorEastAsia" w:cstheme="minorEastAsia"/>
          <w:b/>
          <w:sz w:val="44"/>
          <w:szCs w:val="44"/>
          <w:highlight w:val="none"/>
        </w:rPr>
      </w:pPr>
    </w:p>
    <w:p>
      <w:pPr>
        <w:spacing w:line="560" w:lineRule="exact"/>
        <w:jc w:val="center"/>
        <w:rPr>
          <w:rFonts w:hint="eastAsia" w:asciiTheme="minorEastAsia" w:hAnsiTheme="minorEastAsia" w:eastAsiaTheme="minorEastAsia" w:cstheme="minorEastAsia"/>
          <w:b/>
          <w:sz w:val="44"/>
          <w:szCs w:val="44"/>
          <w:highlight w:val="none"/>
        </w:rPr>
      </w:pPr>
    </w:p>
    <w:p>
      <w:pPr>
        <w:rPr>
          <w:rFonts w:hint="eastAsia" w:asciiTheme="minorEastAsia" w:hAnsiTheme="minorEastAsia" w:eastAsiaTheme="minorEastAsia" w:cstheme="minorEastAsia"/>
          <w:highlight w:val="none"/>
        </w:rPr>
      </w:pPr>
      <w:bookmarkStart w:id="143" w:name="_Toc458617746"/>
      <w:bookmarkStart w:id="144" w:name="_Toc458617469"/>
      <w:r>
        <w:rPr>
          <w:rFonts w:hint="eastAsia" w:asciiTheme="minorEastAsia" w:hAnsiTheme="minorEastAsia" w:eastAsiaTheme="minorEastAsia" w:cstheme="minorEastAsia"/>
          <w:highlight w:val="none"/>
        </w:rPr>
        <w:br w:type="page"/>
      </w:r>
    </w:p>
    <w:p>
      <w:pPr>
        <w:pStyle w:val="3"/>
        <w:spacing w:line="560" w:lineRule="exact"/>
        <w:jc w:val="center"/>
        <w:rPr>
          <w:rFonts w:hint="eastAsia" w:asciiTheme="minorEastAsia" w:hAnsiTheme="minorEastAsia" w:eastAsiaTheme="minorEastAsia" w:cstheme="minorEastAsia"/>
          <w:szCs w:val="24"/>
          <w:highlight w:val="none"/>
        </w:rPr>
      </w:pPr>
      <w:bookmarkStart w:id="145" w:name="_Toc13873"/>
      <w:r>
        <w:rPr>
          <w:rFonts w:hint="eastAsia" w:asciiTheme="minorEastAsia" w:hAnsiTheme="minorEastAsia" w:eastAsiaTheme="minorEastAsia" w:cstheme="minorEastAsia"/>
          <w:highlight w:val="none"/>
        </w:rPr>
        <w:t>第五章  合同条款</w:t>
      </w:r>
      <w:bookmarkEnd w:id="143"/>
      <w:bookmarkEnd w:id="144"/>
      <w:r>
        <w:rPr>
          <w:rFonts w:hint="eastAsia" w:asciiTheme="minorEastAsia" w:hAnsiTheme="minorEastAsia" w:eastAsiaTheme="minorEastAsia" w:cstheme="minorEastAsia"/>
          <w:sz w:val="36"/>
          <w:szCs w:val="36"/>
          <w:highlight w:val="none"/>
        </w:rPr>
        <w:t>（仅供参考）</w:t>
      </w:r>
      <w:bookmarkEnd w:id="145"/>
    </w:p>
    <w:p>
      <w:pPr>
        <w:spacing w:line="540" w:lineRule="exact"/>
        <w:rPr>
          <w:rFonts w:hint="eastAsia" w:asciiTheme="minorEastAsia" w:hAnsiTheme="minorEastAsia" w:eastAsiaTheme="minorEastAsia" w:cstheme="minorEastAsia"/>
          <w:b/>
          <w:sz w:val="18"/>
          <w:szCs w:val="18"/>
          <w:highlight w:val="none"/>
          <w:u w:color="FF0000"/>
        </w:rPr>
      </w:pPr>
      <w:r>
        <w:rPr>
          <w:rFonts w:hint="eastAsia" w:asciiTheme="minorEastAsia" w:hAnsiTheme="minorEastAsia" w:eastAsiaTheme="minorEastAsia" w:cstheme="minorEastAsia"/>
          <w:szCs w:val="24"/>
          <w:highlight w:val="none"/>
        </w:rPr>
        <w:t>一、供货合同格式</w:t>
      </w:r>
    </w:p>
    <w:p>
      <w:pPr>
        <w:widowControl/>
        <w:wordWrap w:val="0"/>
        <w:topLinePunct/>
        <w:spacing w:line="540" w:lineRule="exact"/>
        <w:ind w:right="-226" w:rightChars="-94" w:firstLine="480" w:firstLineChars="200"/>
        <w:jc w:val="left"/>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lang w:eastAsia="zh-CN"/>
        </w:rPr>
        <w:t>2022年高陵区应急广播体系建设</w:t>
      </w:r>
      <w:r>
        <w:rPr>
          <w:rFonts w:hint="eastAsia" w:asciiTheme="minorEastAsia" w:hAnsiTheme="minorEastAsia" w:eastAsiaTheme="minorEastAsia" w:cstheme="minorEastAsia"/>
          <w:szCs w:val="24"/>
          <w:highlight w:val="none"/>
        </w:rPr>
        <w:t xml:space="preserve"> (文件编号：</w:t>
      </w:r>
      <w:r>
        <w:rPr>
          <w:rFonts w:hint="eastAsia" w:asciiTheme="minorEastAsia" w:hAnsiTheme="minorEastAsia" w:eastAsiaTheme="minorEastAsia" w:cstheme="minorEastAsia"/>
          <w:szCs w:val="24"/>
          <w:highlight w:val="none"/>
          <w:lang w:val="en-US" w:eastAsia="zh-CN"/>
        </w:rPr>
        <w:t>SXZL-2022-1201</w:t>
      </w:r>
      <w:r>
        <w:rPr>
          <w:rFonts w:hint="eastAsia" w:asciiTheme="minorEastAsia" w:hAnsiTheme="minorEastAsia" w:eastAsiaTheme="minorEastAsia" w:cstheme="minorEastAsia"/>
          <w:szCs w:val="24"/>
          <w:highlight w:val="none"/>
        </w:rPr>
        <w:t>)，在</w:t>
      </w:r>
      <w:r>
        <w:rPr>
          <w:rFonts w:hint="eastAsia" w:asciiTheme="minorEastAsia" w:hAnsiTheme="minorEastAsia" w:eastAsiaTheme="minorEastAsia" w:cstheme="minorEastAsia"/>
          <w:szCs w:val="24"/>
          <w:highlight w:val="none"/>
          <w:lang w:eastAsia="zh-CN"/>
        </w:rPr>
        <w:t>西安市高陵区财政局</w:t>
      </w:r>
      <w:r>
        <w:rPr>
          <w:rFonts w:hint="eastAsia" w:asciiTheme="minorEastAsia" w:hAnsiTheme="minorEastAsia" w:eastAsiaTheme="minorEastAsia" w:cstheme="minorEastAsia"/>
          <w:szCs w:val="24"/>
          <w:highlight w:val="none"/>
        </w:rPr>
        <w:t>的监督管理</w:t>
      </w:r>
      <w:r>
        <w:rPr>
          <w:rFonts w:hint="eastAsia" w:asciiTheme="minorEastAsia" w:hAnsiTheme="minorEastAsia" w:eastAsiaTheme="minorEastAsia" w:cstheme="minorEastAsia"/>
          <w:kern w:val="0"/>
          <w:szCs w:val="24"/>
          <w:highlight w:val="none"/>
        </w:rPr>
        <w:t>下，由</w:t>
      </w:r>
      <w:r>
        <w:rPr>
          <w:rFonts w:hint="eastAsia" w:asciiTheme="minorEastAsia" w:hAnsiTheme="minorEastAsia" w:eastAsiaTheme="minorEastAsia" w:cstheme="minorEastAsia"/>
          <w:kern w:val="0"/>
          <w:szCs w:val="24"/>
          <w:highlight w:val="none"/>
          <w:lang w:eastAsia="zh-CN"/>
        </w:rPr>
        <w:t>陕西中磊工程项目管理有限公司</w:t>
      </w:r>
      <w:r>
        <w:rPr>
          <w:rFonts w:hint="eastAsia" w:asciiTheme="minorEastAsia" w:hAnsiTheme="minorEastAsia" w:eastAsiaTheme="minorEastAsia" w:cstheme="minorEastAsia"/>
          <w:kern w:val="0"/>
          <w:szCs w:val="24"/>
          <w:highlight w:val="none"/>
        </w:rPr>
        <w:t>组织公开招标。西安市高陵区融媒体中心（区广播电视台）(以下简称“买方”)确定 (中标单位名称) （以下简称“卖方”）为中标单位。</w:t>
      </w:r>
    </w:p>
    <w:p>
      <w:pPr>
        <w:spacing w:line="540" w:lineRule="exact"/>
        <w:ind w:right="240" w:rightChars="100"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依据《中华人民共和国民法典》、《中华人民共和国政府采购法》《中华人民共和国政府采购法实施条例》，买方通过公开招标采购</w:t>
      </w:r>
      <w:r>
        <w:rPr>
          <w:rFonts w:hint="eastAsia" w:asciiTheme="minorEastAsia" w:hAnsiTheme="minorEastAsia" w:eastAsiaTheme="minorEastAsia" w:cstheme="minorEastAsia"/>
          <w:kern w:val="0"/>
          <w:szCs w:val="24"/>
          <w:highlight w:val="none"/>
          <w:u w:val="single"/>
        </w:rPr>
        <w:t xml:space="preserve">（货物名称） </w:t>
      </w:r>
      <w:r>
        <w:rPr>
          <w:rFonts w:hint="eastAsia" w:asciiTheme="minorEastAsia" w:hAnsiTheme="minorEastAsia" w:eastAsiaTheme="minorEastAsia" w:cstheme="minorEastAsia"/>
          <w:kern w:val="0"/>
          <w:szCs w:val="24"/>
          <w:highlight w:val="none"/>
        </w:rPr>
        <w:t>，并接受了卖方以价格</w:t>
      </w:r>
      <w:r>
        <w:rPr>
          <w:rFonts w:hint="eastAsia" w:asciiTheme="minorEastAsia" w:hAnsiTheme="minorEastAsia" w:eastAsiaTheme="minorEastAsia" w:cstheme="minorEastAsia"/>
          <w:kern w:val="0"/>
          <w:szCs w:val="24"/>
          <w:highlight w:val="none"/>
          <w:u w:val="single"/>
        </w:rPr>
        <w:t>(中标金额大写)</w:t>
      </w:r>
      <w:r>
        <w:rPr>
          <w:rFonts w:hint="eastAsia" w:asciiTheme="minorEastAsia" w:hAnsiTheme="minorEastAsia" w:eastAsiaTheme="minorEastAsia" w:cstheme="minorEastAsia"/>
          <w:kern w:val="0"/>
          <w:szCs w:val="24"/>
          <w:highlight w:val="none"/>
        </w:rPr>
        <w:t>(以下简称“合同价”)提供的产品及服务。</w:t>
      </w:r>
    </w:p>
    <w:p>
      <w:pPr>
        <w:spacing w:line="540" w:lineRule="exact"/>
        <w:ind w:firstLine="480" w:firstLineChars="200"/>
        <w:rPr>
          <w:rFonts w:hint="eastAsia" w:asciiTheme="minorEastAsia" w:hAnsiTheme="minorEastAsia" w:eastAsiaTheme="minorEastAsia" w:cstheme="minorEastAsia"/>
          <w:szCs w:val="24"/>
          <w:highlight w:val="none"/>
        </w:rPr>
      </w:pPr>
      <w:bookmarkStart w:id="146" w:name="_Toc194663916"/>
      <w:bookmarkStart w:id="147" w:name="_Toc188808831"/>
      <w:bookmarkStart w:id="148" w:name="_Toc193187095"/>
      <w:bookmarkStart w:id="149" w:name="_Toc193126879"/>
      <w:r>
        <w:rPr>
          <w:rFonts w:hint="eastAsia" w:asciiTheme="minorEastAsia" w:hAnsiTheme="minorEastAsia" w:eastAsiaTheme="minorEastAsia" w:cstheme="minorEastAsia"/>
          <w:szCs w:val="24"/>
          <w:highlight w:val="none"/>
        </w:rPr>
        <w:t>本合同在此声明如下：</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1、本合同中的词语和术语的含义与合同条款中定义的相同。</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2、下述文件是本合同的一部分，并与本合同一起阅读和解释：</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1）合同条款</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2）合同条款附件</w:t>
      </w:r>
    </w:p>
    <w:p>
      <w:pPr>
        <w:spacing w:line="540" w:lineRule="exact"/>
        <w:ind w:firstLine="840" w:firstLineChars="3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附件1—设备清单</w:t>
      </w:r>
    </w:p>
    <w:p>
      <w:pPr>
        <w:spacing w:line="540" w:lineRule="exact"/>
        <w:ind w:firstLine="840" w:firstLineChars="3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附件2—质量保证承诺</w:t>
      </w:r>
    </w:p>
    <w:p>
      <w:pPr>
        <w:spacing w:line="540" w:lineRule="exact"/>
        <w:ind w:firstLine="840" w:firstLineChars="3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附件3—售后服务方案</w:t>
      </w:r>
    </w:p>
    <w:p>
      <w:pPr>
        <w:spacing w:line="540" w:lineRule="exact"/>
        <w:ind w:firstLine="840" w:firstLineChars="35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附件4—培训计划</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3）中标通知书</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4）招标文件</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5）投标文件</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3、考虑到买方将按照本合同向卖方支付货款，卖方在此保证全部按照合同的规定向买方提供货物和服务，并修补缺陷。</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4、考虑到卖方提供的货物和服务并修补缺陷，买方在此保证按照合同规定的时间和方式向卖方支付合同价或其他按合同规定应支付的金额。</w:t>
      </w:r>
    </w:p>
    <w:p>
      <w:pPr>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5、付款方式：</w:t>
      </w:r>
    </w:p>
    <w:p>
      <w:pPr>
        <w:tabs>
          <w:tab w:val="left" w:pos="3918"/>
        </w:tabs>
        <w:adjustRightInd w:val="0"/>
        <w:snapToGrid w:val="0"/>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双方自行协商</w:t>
      </w:r>
    </w:p>
    <w:p>
      <w:pPr>
        <w:adjustRightInd w:val="0"/>
        <w:snapToGrid w:val="0"/>
        <w:spacing w:line="540" w:lineRule="exact"/>
        <w:ind w:firstLine="480" w:firstLineChars="200"/>
        <w:jc w:val="lef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6、交 货 期：</w:t>
      </w:r>
      <w:r>
        <w:rPr>
          <w:rFonts w:hint="eastAsia" w:asciiTheme="minorEastAsia" w:hAnsiTheme="minorEastAsia" w:eastAsiaTheme="minorEastAsia" w:cstheme="minorEastAsia"/>
          <w:szCs w:val="24"/>
          <w:highlight w:val="none"/>
          <w:u w:val="single"/>
          <w:lang w:val="en-US" w:eastAsia="zh-CN"/>
        </w:rPr>
        <w:t>自合同签订之日起60个日历日内交付完毕。</w:t>
      </w:r>
    </w:p>
    <w:p>
      <w:pPr>
        <w:adjustRightInd w:val="0"/>
        <w:snapToGrid w:val="0"/>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交货地点：西安市高陵区融媒体中心（区广播电视台）指定地点。                           </w:t>
      </w:r>
    </w:p>
    <w:p>
      <w:pPr>
        <w:adjustRightInd w:val="0"/>
        <w:snapToGrid w:val="0"/>
        <w:spacing w:line="54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7、本合同一式伍份，其中，买方贰份，卖方贰份，采购代理机构备案壹份。</w:t>
      </w:r>
    </w:p>
    <w:p>
      <w:pPr>
        <w:adjustRightInd w:val="0"/>
        <w:snapToGrid w:val="0"/>
        <w:spacing w:line="54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8、本合同由买卖双方共同签字盖章，自买卖双方签字盖章之日起生效。</w:t>
      </w:r>
    </w:p>
    <w:tbl>
      <w:tblPr>
        <w:tblStyle w:val="26"/>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买方名称： </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地    址： </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邮    编：</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电    话：</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传    真：</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代表签字：</w:t>
            </w:r>
          </w:p>
          <w:p>
            <w:pPr>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盖章：</w:t>
            </w:r>
          </w:p>
          <w:p>
            <w:pPr>
              <w:autoSpaceDE w:val="0"/>
              <w:autoSpaceDN w:val="0"/>
              <w:spacing w:line="54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年  月  日     </w:t>
            </w:r>
          </w:p>
        </w:tc>
        <w:tc>
          <w:tcPr>
            <w:tcW w:w="3936" w:type="dxa"/>
            <w:tcMar>
              <w:top w:w="113" w:type="dxa"/>
              <w:left w:w="113" w:type="dxa"/>
              <w:bottom w:w="113" w:type="dxa"/>
              <w:right w:w="113" w:type="dxa"/>
            </w:tcMar>
          </w:tcPr>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卖方名称：</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地    址： </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邮    编： </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电    话： </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传    真：  </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开户银行：</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帐    号：</w:t>
            </w:r>
          </w:p>
          <w:p>
            <w:pPr>
              <w:autoSpaceDE w:val="0"/>
              <w:autoSpaceDN w:val="0"/>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代表签字</w:t>
            </w:r>
          </w:p>
          <w:p>
            <w:pPr>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盖章：</w:t>
            </w:r>
          </w:p>
          <w:p>
            <w:pPr>
              <w:spacing w:line="54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             年  月  日</w:t>
            </w:r>
          </w:p>
        </w:tc>
        <w:tc>
          <w:tcPr>
            <w:tcW w:w="3936" w:type="dxa"/>
            <w:tcMar>
              <w:top w:w="113" w:type="dxa"/>
              <w:left w:w="113" w:type="dxa"/>
              <w:bottom w:w="113" w:type="dxa"/>
              <w:right w:w="113" w:type="dxa"/>
            </w:tcMar>
          </w:tcPr>
          <w:p>
            <w:pPr>
              <w:spacing w:line="540" w:lineRule="exact"/>
              <w:ind w:left="240" w:leftChars="100"/>
              <w:rPr>
                <w:rFonts w:hint="eastAsia" w:asciiTheme="minorEastAsia" w:hAnsiTheme="minorEastAsia" w:eastAsiaTheme="minorEastAsia" w:cstheme="minorEastAsia"/>
                <w:szCs w:val="24"/>
                <w:highlight w:val="none"/>
              </w:rPr>
            </w:pPr>
          </w:p>
        </w:tc>
        <w:tc>
          <w:tcPr>
            <w:tcW w:w="3936" w:type="dxa"/>
            <w:tcMar>
              <w:top w:w="113" w:type="dxa"/>
              <w:left w:w="113" w:type="dxa"/>
              <w:bottom w:w="113" w:type="dxa"/>
              <w:right w:w="113" w:type="dxa"/>
            </w:tcMar>
          </w:tcPr>
          <w:p>
            <w:pPr>
              <w:spacing w:line="540" w:lineRule="exact"/>
              <w:ind w:left="240" w:leftChars="100"/>
              <w:rPr>
                <w:rFonts w:hint="eastAsia" w:asciiTheme="minorEastAsia" w:hAnsiTheme="minorEastAsia" w:eastAsiaTheme="minorEastAsia" w:cstheme="minorEastAsia"/>
                <w:szCs w:val="24"/>
                <w:highlight w:val="none"/>
              </w:rPr>
            </w:pPr>
          </w:p>
        </w:tc>
      </w:tr>
      <w:bookmarkEnd w:id="146"/>
      <w:bookmarkEnd w:id="147"/>
      <w:bookmarkEnd w:id="148"/>
      <w:bookmarkEnd w:id="149"/>
    </w:tbl>
    <w:p>
      <w:pPr>
        <w:spacing w:line="560" w:lineRule="exact"/>
        <w:rPr>
          <w:rFonts w:hint="eastAsia" w:asciiTheme="minorEastAsia" w:hAnsiTheme="minorEastAsia" w:eastAsiaTheme="minorEastAsia" w:cstheme="minorEastAsia"/>
          <w:szCs w:val="24"/>
          <w:highlight w:val="none"/>
        </w:rPr>
      </w:pPr>
    </w:p>
    <w:p>
      <w:pP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br w:type="page"/>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二、合同条款</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1、定义</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本合同下列术语应解释为：</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1-2、“合同价”系指根据本合同规定卖方在正确地完全履行合同义务后买方应支付给卖方的价款。</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1-3、“货物”系指卖方根据本合同规定须向买方提供的一切产品、部件或其它材料。</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1-5、“</w:t>
      </w:r>
      <w:r>
        <w:rPr>
          <w:rFonts w:hint="eastAsia" w:asciiTheme="minorEastAsia" w:hAnsiTheme="minorEastAsia" w:eastAsiaTheme="minorEastAsia" w:cstheme="minorEastAsia"/>
          <w:kern w:val="0"/>
          <w:szCs w:val="24"/>
          <w:highlight w:val="none"/>
        </w:rPr>
        <w:t>项目现场”系指本合同项下货物安装、运行的场地。</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1-6、“合同条款”系指本合同条款。</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1-7、“买方”是指购买货物和服务的单位即西安市高陵区融媒体中心（区广播电视台）。</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1-8、“卖方”是指提供本合同内的货物和服务的公司或其它实体即中标人。</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1-9、“天”指日历天数。</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2、适用性</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本合同条款适用于没有被本项目招标文件规定条款、卖方的投标文件承诺条款所取代的范围。</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3、</w:t>
      </w:r>
      <w:r>
        <w:rPr>
          <w:rFonts w:hint="eastAsia" w:asciiTheme="minorEastAsia" w:hAnsiTheme="minorEastAsia" w:eastAsiaTheme="minorEastAsia" w:cstheme="minorEastAsia"/>
          <w:szCs w:val="24"/>
          <w:highlight w:val="none"/>
        </w:rPr>
        <w:t>使用合同文件和资料</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4、专利权</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5、技术规格</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6、检验和测试</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6-2、检验和测试在买方指定的交货地点进行。</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7、包装及运输</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8、伴随服务</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（1）实施或监督所供货物的现场组装 和/或试运行；</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（2）提供货物组装 和/或 维修所需的工具；</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（3）为所供货物的每一适当的单台设备提供详细的操作和维护手册；</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9、备品备件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9-1、卖方可能被要求提供下列与备品备件有关的材料、通知和资料：</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10、质量保证</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10-1、质量保证期为终验合格之日起个月。</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11、索赔</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12、变更指令</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Theme="minorEastAsia" w:hAnsiTheme="minorEastAsia" w:eastAsiaTheme="minorEastAsia" w:cstheme="minorEastAsia"/>
          <w:spacing w:val="-4"/>
          <w:kern w:val="0"/>
          <w:szCs w:val="24"/>
          <w:highlight w:val="none"/>
        </w:rPr>
      </w:pPr>
      <w:r>
        <w:rPr>
          <w:rFonts w:hint="eastAsia" w:asciiTheme="minorEastAsia" w:hAnsiTheme="minorEastAsia" w:eastAsiaTheme="minorEastAsia" w:cstheme="minorEastAsia"/>
          <w:kern w:val="0"/>
          <w:szCs w:val="24"/>
          <w:highlight w:val="none"/>
        </w:rPr>
        <w:t>（1）</w:t>
      </w:r>
      <w:r>
        <w:rPr>
          <w:rFonts w:hint="eastAsia" w:asciiTheme="minorEastAsia" w:hAnsiTheme="minorEastAsia" w:eastAsiaTheme="minorEastAsia" w:cstheme="minorEastAsia"/>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（2）运输或包装的方法；</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（3）交货地点；</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（4）卖方提供的服务。</w:t>
      </w:r>
    </w:p>
    <w:p>
      <w:pPr>
        <w:autoSpaceDN w:val="0"/>
        <w:adjustRightInd w:val="0"/>
        <w:spacing w:line="560" w:lineRule="exact"/>
        <w:ind w:firstLine="464"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pacing w:val="-4"/>
          <w:kern w:val="0"/>
          <w:szCs w:val="24"/>
          <w:highlight w:val="none"/>
        </w:rPr>
        <w:t>12-2、</w:t>
      </w:r>
      <w:r>
        <w:rPr>
          <w:rFonts w:hint="eastAsia" w:asciiTheme="minorEastAsia" w:hAnsiTheme="minorEastAsia" w:eastAsiaTheme="minorEastAsia" w:cstheme="minorEastAsia"/>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13、合同修改</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14、转让</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15、卖方履约延误</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16、验收</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16-1、项目验收分初验和终验:</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终验：所有货物(设备)安装、调试完毕，正常使用10个日历日后，由采购人进行终验（最终验收），合格后签发《终验合格单》。</w:t>
      </w:r>
      <w:r>
        <w:rPr>
          <w:rFonts w:hint="eastAsia" w:asciiTheme="minorEastAsia" w:hAnsiTheme="minorEastAsia" w:eastAsiaTheme="minorEastAsia" w:cstheme="minorEastAsia"/>
          <w:szCs w:val="24"/>
          <w:highlight w:val="none"/>
        </w:rPr>
        <w:cr/>
      </w:r>
      <w:r>
        <w:rPr>
          <w:rFonts w:hint="eastAsia" w:asciiTheme="minorEastAsia" w:hAnsiTheme="minorEastAsia" w:eastAsiaTheme="minorEastAsia" w:cstheme="minorEastAsia"/>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16-3、验收依据</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（1）合同文本及合同补充文件（条款）； </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（2）产品的合法来源渠道证明文件、响应功能证明材料；</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（3）招标文件；</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（4）中标人的投标文件；</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（5）货物清单；</w:t>
      </w:r>
    </w:p>
    <w:p>
      <w:pPr>
        <w:adjustRightInd w:val="0"/>
        <w:snapToGrid w:val="0"/>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（6）生产厂家的企业资质、货物的执行标准。</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17、误期赔偿费</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除合同条款第19条规定的情况外，如果卖方没有按照合同规定的时间交货和提供服务，买方应在不影响</w:t>
      </w:r>
      <w:r>
        <w:rPr>
          <w:rFonts w:hint="eastAsia" w:asciiTheme="minorEastAsia" w:hAnsiTheme="minorEastAsia" w:eastAsiaTheme="minorEastAsia" w:cstheme="minorEastAsia"/>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18、违约终止合同</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（1）如果卖方未能在合同规定的期限内或买方根据合同条款第15-2条的规定同意延长的期限内提供部分或全部货物；或</w:t>
      </w:r>
      <w:r>
        <w:rPr>
          <w:rFonts w:hint="eastAsia" w:asciiTheme="minorEastAsia" w:hAnsiTheme="minorEastAsia" w:eastAsiaTheme="minorEastAsia" w:cstheme="minorEastAsia"/>
          <w:szCs w:val="24"/>
          <w:highlight w:val="none"/>
        </w:rPr>
        <w:t>误期赔偿费达到最高限额。</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（2）如果卖方未能履行合同规定的其它任何义务。</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19、不可抗力</w:t>
      </w:r>
      <w:r>
        <w:rPr>
          <w:rFonts w:hint="eastAsia" w:asciiTheme="minorEastAsia" w:hAnsiTheme="minorEastAsia" w:eastAsiaTheme="minorEastAsia" w:cstheme="minorEastAsia"/>
          <w:kern w:val="0"/>
          <w:szCs w:val="24"/>
          <w:highlight w:val="none"/>
        </w:rPr>
        <w:tab/>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20、因破产而终止合同</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21、因买方的便利而终止合同</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22、争议的解决</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22-2、向有管辖权的人民法院起诉。</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23、适用法律</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24、通知</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25、税款</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26、合同生效</w:t>
      </w:r>
    </w:p>
    <w:p>
      <w:pPr>
        <w:adjustRightInd w:val="0"/>
        <w:snapToGrid w:val="0"/>
        <w:spacing w:line="560" w:lineRule="exact"/>
        <w:ind w:firstLine="480" w:firstLineChars="200"/>
        <w:rPr>
          <w:rFonts w:hint="eastAsia" w:asciiTheme="minorEastAsia" w:hAnsiTheme="minorEastAsia" w:eastAsiaTheme="minorEastAsia" w:cstheme="minorEastAsia"/>
          <w:b/>
          <w:sz w:val="18"/>
          <w:szCs w:val="18"/>
          <w:highlight w:val="none"/>
          <w:u w:color="FF0000"/>
        </w:rPr>
      </w:pPr>
      <w:r>
        <w:rPr>
          <w:rFonts w:hint="eastAsia" w:asciiTheme="minorEastAsia" w:hAnsiTheme="minorEastAsia" w:eastAsiaTheme="minorEastAsia" w:cstheme="minorEastAsia"/>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Theme="minorEastAsia" w:hAnsiTheme="minorEastAsia" w:eastAsiaTheme="minorEastAsia" w:cstheme="minorEastAsia"/>
          <w:b/>
          <w:sz w:val="18"/>
          <w:szCs w:val="18"/>
          <w:highlight w:val="none"/>
          <w:u w:color="FF0000"/>
        </w:rPr>
      </w:pPr>
      <w:r>
        <w:rPr>
          <w:rFonts w:hint="eastAsia" w:asciiTheme="minorEastAsia" w:hAnsiTheme="minorEastAsia" w:eastAsiaTheme="minorEastAsia" w:cstheme="minorEastAsia"/>
          <w:b/>
          <w:sz w:val="18"/>
          <w:szCs w:val="18"/>
          <w:highlight w:val="none"/>
          <w:u w:color="FF0000"/>
        </w:rPr>
        <w:br w:type="page"/>
      </w:r>
    </w:p>
    <w:p>
      <w:pPr>
        <w:pStyle w:val="3"/>
        <w:numPr>
          <w:ilvl w:val="0"/>
          <w:numId w:val="14"/>
        </w:numPr>
        <w:spacing w:line="560" w:lineRule="exact"/>
        <w:jc w:val="center"/>
        <w:rPr>
          <w:rFonts w:hint="eastAsia" w:asciiTheme="minorEastAsia" w:hAnsiTheme="minorEastAsia" w:eastAsiaTheme="minorEastAsia" w:cstheme="minorEastAsia"/>
          <w:highlight w:val="none"/>
        </w:rPr>
      </w:pPr>
      <w:bookmarkStart w:id="150" w:name="_Toc458617470"/>
      <w:bookmarkStart w:id="151" w:name="_Toc458617747"/>
      <w:bookmarkStart w:id="152" w:name="_Toc17147"/>
      <w:r>
        <w:rPr>
          <w:rFonts w:hint="eastAsia" w:asciiTheme="minorEastAsia" w:hAnsiTheme="minorEastAsia" w:eastAsiaTheme="minorEastAsia" w:cstheme="minorEastAsia"/>
          <w:highlight w:val="none"/>
        </w:rPr>
        <w:t>投标文件格式</w:t>
      </w:r>
      <w:bookmarkEnd w:id="150"/>
      <w:bookmarkEnd w:id="151"/>
      <w:bookmarkEnd w:id="152"/>
    </w:p>
    <w:p>
      <w:pPr>
        <w:spacing w:line="56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投标文件编制说明</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1、投标文件应当按照招标文件给定的格式和要求编制，格式之外的可自行编写。</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Theme="minorEastAsia" w:hAnsiTheme="minorEastAsia" w:eastAsiaTheme="minorEastAsia" w:cstheme="minorEastAsia"/>
          <w:szCs w:val="24"/>
          <w:highlight w:val="none"/>
        </w:rPr>
      </w:pPr>
    </w:p>
    <w:p>
      <w:pPr>
        <w:pStyle w:val="2"/>
        <w:rPr>
          <w:rFonts w:hint="eastAsia" w:asciiTheme="minorEastAsia" w:hAnsiTheme="minorEastAsia" w:eastAsiaTheme="minorEastAsia" w:cstheme="minorEastAsia"/>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spacing w:line="560" w:lineRule="exact"/>
        <w:ind w:firstLine="4003" w:firstLineChars="1246"/>
        <w:rPr>
          <w:rFonts w:hint="eastAsia" w:asciiTheme="minorEastAsia" w:hAnsiTheme="minorEastAsia" w:eastAsiaTheme="minorEastAsia" w:cstheme="minorEastAsia"/>
          <w:b/>
          <w:sz w:val="32"/>
          <w:szCs w:val="32"/>
          <w:highlight w:val="none"/>
        </w:rPr>
      </w:pPr>
    </w:p>
    <w:p>
      <w:pPr>
        <w:pStyle w:val="2"/>
        <w:rPr>
          <w:rFonts w:hint="eastAsia" w:asciiTheme="minorEastAsia" w:hAnsiTheme="minorEastAsia" w:eastAsiaTheme="minorEastAsia" w:cstheme="minorEastAsia"/>
          <w:highlight w:val="none"/>
        </w:rPr>
      </w:pPr>
    </w:p>
    <w:p>
      <w:pPr>
        <w:spacing w:line="640" w:lineRule="exact"/>
        <w:rPr>
          <w:rFonts w:hint="eastAsia" w:asciiTheme="minorEastAsia" w:hAnsiTheme="minorEastAsia" w:eastAsiaTheme="minorEastAsia" w:cstheme="minorEastAsia"/>
          <w:b/>
          <w:sz w:val="36"/>
          <w:szCs w:val="36"/>
          <w:highlight w:val="none"/>
        </w:rPr>
      </w:pPr>
    </w:p>
    <w:p>
      <w:pP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p>
    <w:p>
      <w:pPr>
        <w:spacing w:line="640" w:lineRule="exact"/>
        <w:jc w:val="right"/>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sz w:val="36"/>
          <w:highlight w:val="none"/>
        </w:rPr>
        <mc:AlternateContent>
          <mc:Choice Requires="wps">
            <w:drawing>
              <wp:anchor distT="0" distB="0" distL="114300" distR="114300" simplePos="0" relativeHeight="251669504" behindDoc="0" locked="0" layoutInCell="1" allowOverlap="1">
                <wp:simplePos x="0" y="0"/>
                <wp:positionH relativeFrom="column">
                  <wp:posOffset>4141470</wp:posOffset>
                </wp:positionH>
                <wp:positionV relativeFrom="paragraph">
                  <wp:posOffset>152400</wp:posOffset>
                </wp:positionV>
                <wp:extent cx="1494790" cy="370205"/>
                <wp:effectExtent l="4445" t="4445" r="5715" b="6350"/>
                <wp:wrapNone/>
                <wp:docPr id="5" name="文本框 13"/>
                <wp:cNvGraphicFramePr/>
                <a:graphic xmlns:a="http://schemas.openxmlformats.org/drawingml/2006/main">
                  <a:graphicData uri="http://schemas.microsoft.com/office/word/2010/wordprocessingShape">
                    <wps:wsp>
                      <wps:cNvSpPr txBox="1"/>
                      <wps:spPr>
                        <a:xfrm>
                          <a:off x="0" y="0"/>
                          <a:ext cx="1494790"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upright="1"/>
                    </wps:wsp>
                  </a:graphicData>
                </a:graphic>
              </wp:anchor>
            </w:drawing>
          </mc:Choice>
          <mc:Fallback>
            <w:pict>
              <v:shape id="文本框 13" o:spid="_x0000_s1026" o:spt="202" type="#_x0000_t202" style="position:absolute;left:0pt;margin-left:326.1pt;margin-top:12pt;height:29.15pt;width:117.7pt;z-index:251669504;mso-width-relative:page;mso-height-relative:page;" fillcolor="#FFFFFF" filled="t" stroked="t" coordsize="21600,21600" o:gfxdata="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41fNnYAAAACQEAAA8AAAAAAAAAAQAgAAAA&#10;IgAAAGRycy9kb3ducmV2LnhtbFBLAQIUABQAAAAIAIdO4kDCcuR0CwIAADcEAAAOAAAAAAAAAAEA&#10;IAAAACcBAABkcnMvZTJvRG9jLnhtbFBLBQYAAAAABgAGAFkBAACkBQAAAAA=&#10;">
                <v:fill on="t" focussize="0,0"/>
                <v:stroke color="#000000" joinstyle="miter"/>
                <v:imagedata o:title=""/>
                <o:lock v:ext="edit" aspectratio="f"/>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spacing w:line="560" w:lineRule="exact"/>
        <w:rPr>
          <w:rFonts w:hint="eastAsia" w:asciiTheme="minorEastAsia" w:hAnsiTheme="minorEastAsia" w:eastAsiaTheme="minorEastAsia" w:cstheme="minorEastAsia"/>
          <w:b/>
          <w:sz w:val="36"/>
          <w:szCs w:val="36"/>
          <w:highlight w:val="none"/>
        </w:rPr>
      </w:pPr>
    </w:p>
    <w:p>
      <w:pPr>
        <w:spacing w:line="560" w:lineRule="exact"/>
        <w:rPr>
          <w:rFonts w:hint="eastAsia" w:asciiTheme="minorEastAsia" w:hAnsiTheme="minorEastAsia" w:eastAsiaTheme="minorEastAsia" w:cstheme="minorEastAsia"/>
          <w:b/>
          <w:sz w:val="36"/>
          <w:szCs w:val="36"/>
          <w:highlight w:val="none"/>
        </w:rPr>
      </w:pPr>
    </w:p>
    <w:p>
      <w:pPr>
        <w:spacing w:line="560" w:lineRule="exact"/>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rPr>
        <w:t xml:space="preserve">文件编号: </w:t>
      </w:r>
      <w:r>
        <w:rPr>
          <w:rFonts w:hint="eastAsia" w:asciiTheme="minorEastAsia" w:hAnsiTheme="minorEastAsia" w:eastAsiaTheme="minorEastAsia" w:cstheme="minorEastAsia"/>
          <w:b/>
          <w:sz w:val="36"/>
          <w:szCs w:val="36"/>
          <w:highlight w:val="none"/>
          <w:lang w:eastAsia="zh-CN"/>
        </w:rPr>
        <w:t>SXZL-2022-1201</w:t>
      </w:r>
    </w:p>
    <w:p>
      <w:pPr>
        <w:pStyle w:val="19"/>
        <w:rPr>
          <w:rFonts w:hint="eastAsia" w:asciiTheme="minorEastAsia" w:hAnsiTheme="minorEastAsia" w:eastAsiaTheme="minorEastAsia" w:cstheme="minorEastAsia"/>
          <w:highlight w:val="none"/>
        </w:rPr>
      </w:pPr>
    </w:p>
    <w:p>
      <w:pPr>
        <w:adjustRightInd w:val="0"/>
        <w:spacing w:beforeLines="50" w:line="360" w:lineRule="auto"/>
        <w:jc w:val="center"/>
        <w:rPr>
          <w:rFonts w:hint="eastAsia" w:asciiTheme="minorEastAsia" w:hAnsiTheme="minorEastAsia" w:eastAsiaTheme="minorEastAsia" w:cstheme="minorEastAsia"/>
          <w:b/>
          <w:spacing w:val="-22"/>
          <w:sz w:val="56"/>
          <w:szCs w:val="56"/>
          <w:highlight w:val="none"/>
          <w:shd w:val="clear" w:color="auto" w:fill="FFFFFF"/>
        </w:rPr>
      </w:pPr>
    </w:p>
    <w:p>
      <w:pPr>
        <w:adjustRightInd w:val="0"/>
        <w:spacing w:beforeLines="50" w:line="360" w:lineRule="auto"/>
        <w:jc w:val="center"/>
        <w:rPr>
          <w:rFonts w:hint="eastAsia" w:asciiTheme="minorEastAsia" w:hAnsiTheme="minorEastAsia" w:eastAsiaTheme="minorEastAsia" w:cstheme="minorEastAsia"/>
          <w:b/>
          <w:spacing w:val="-22"/>
          <w:sz w:val="56"/>
          <w:szCs w:val="56"/>
          <w:highlight w:val="none"/>
          <w:shd w:val="clear" w:color="auto" w:fill="FFFFFF"/>
          <w:lang w:eastAsia="zh-CN"/>
        </w:rPr>
      </w:pPr>
      <w:r>
        <w:rPr>
          <w:rFonts w:hint="eastAsia" w:asciiTheme="minorEastAsia" w:hAnsiTheme="minorEastAsia" w:eastAsiaTheme="minorEastAsia" w:cstheme="minorEastAsia"/>
          <w:b/>
          <w:spacing w:val="-22"/>
          <w:sz w:val="56"/>
          <w:szCs w:val="56"/>
          <w:highlight w:val="none"/>
          <w:shd w:val="clear" w:color="auto" w:fill="FFFFFF"/>
          <w:lang w:eastAsia="zh-CN"/>
        </w:rPr>
        <w:t>2022年高陵区应急广播体系建设</w:t>
      </w:r>
    </w:p>
    <w:p>
      <w:pPr>
        <w:spacing w:beforeLines="50" w:line="560" w:lineRule="exact"/>
        <w:ind w:right="-998" w:rightChars="-416" w:firstLine="2960" w:firstLineChars="388"/>
        <w:rPr>
          <w:rFonts w:hint="eastAsia" w:asciiTheme="minorEastAsia" w:hAnsiTheme="minorEastAsia" w:eastAsiaTheme="minorEastAsia" w:cstheme="minorEastAsia"/>
          <w:b/>
          <w:bCs/>
          <w:spacing w:val="20"/>
          <w:kern w:val="0"/>
          <w:sz w:val="72"/>
          <w:szCs w:val="72"/>
          <w:highlight w:val="none"/>
        </w:rPr>
      </w:pPr>
    </w:p>
    <w:p>
      <w:pPr>
        <w:pStyle w:val="40"/>
        <w:ind w:firstLine="480"/>
        <w:rPr>
          <w:rFonts w:hint="eastAsia" w:asciiTheme="minorEastAsia" w:hAnsiTheme="minorEastAsia" w:eastAsiaTheme="minorEastAsia" w:cstheme="minorEastAsia"/>
          <w:highlight w:val="none"/>
        </w:rPr>
      </w:pPr>
    </w:p>
    <w:p>
      <w:pPr>
        <w:pStyle w:val="40"/>
        <w:ind w:firstLine="480"/>
        <w:rPr>
          <w:rFonts w:hint="eastAsia" w:asciiTheme="minorEastAsia" w:hAnsiTheme="minorEastAsia" w:eastAsiaTheme="minorEastAsia" w:cstheme="minorEastAsia"/>
          <w:highlight w:val="none"/>
        </w:rPr>
      </w:pPr>
    </w:p>
    <w:p>
      <w:pPr>
        <w:spacing w:beforeLines="50" w:line="560" w:lineRule="exact"/>
        <w:ind w:right="-998" w:rightChars="-416" w:firstLine="2960" w:firstLineChars="388"/>
        <w:rPr>
          <w:rFonts w:hint="eastAsia" w:asciiTheme="minorEastAsia" w:hAnsiTheme="minorEastAsia" w:eastAsiaTheme="minorEastAsia" w:cstheme="minorEastAsia"/>
          <w:b/>
          <w:bCs/>
          <w:spacing w:val="20"/>
          <w:kern w:val="0"/>
          <w:sz w:val="72"/>
          <w:szCs w:val="72"/>
          <w:highlight w:val="none"/>
        </w:rPr>
      </w:pPr>
      <w:r>
        <w:rPr>
          <w:rFonts w:hint="eastAsia" w:asciiTheme="minorEastAsia" w:hAnsiTheme="minorEastAsia" w:eastAsiaTheme="minorEastAsia" w:cstheme="minorEastAsia"/>
          <w:b/>
          <w:bCs/>
          <w:spacing w:val="20"/>
          <w:kern w:val="0"/>
          <w:sz w:val="72"/>
          <w:szCs w:val="72"/>
          <w:highlight w:val="none"/>
        </w:rPr>
        <w:t>投标文件</w:t>
      </w:r>
    </w:p>
    <w:p>
      <w:pPr>
        <w:spacing w:line="560" w:lineRule="exact"/>
        <w:rPr>
          <w:rFonts w:hint="eastAsia" w:asciiTheme="minorEastAsia" w:hAnsiTheme="minorEastAsia" w:eastAsiaTheme="minorEastAsia" w:cstheme="minorEastAsia"/>
          <w:sz w:val="32"/>
          <w:highlight w:val="none"/>
        </w:rPr>
      </w:pPr>
    </w:p>
    <w:p>
      <w:pPr>
        <w:spacing w:line="560" w:lineRule="exact"/>
        <w:rPr>
          <w:rFonts w:hint="eastAsia" w:asciiTheme="minorEastAsia" w:hAnsiTheme="minorEastAsia" w:eastAsiaTheme="minorEastAsia" w:cstheme="minorEastAsia"/>
          <w:sz w:val="32"/>
          <w:highlight w:val="none"/>
        </w:rPr>
      </w:pPr>
    </w:p>
    <w:p>
      <w:pPr>
        <w:pStyle w:val="19"/>
        <w:rPr>
          <w:rFonts w:hint="eastAsia" w:asciiTheme="minorEastAsia" w:hAnsiTheme="minorEastAsia" w:eastAsiaTheme="minorEastAsia" w:cstheme="minorEastAsia"/>
          <w:sz w:val="32"/>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spacing w:beforeLines="70" w:line="560" w:lineRule="exact"/>
        <w:ind w:firstLine="1634" w:firstLineChars="550"/>
        <w:rPr>
          <w:rFonts w:hint="eastAsia" w:asciiTheme="minorEastAsia" w:hAnsiTheme="minorEastAsia" w:eastAsiaTheme="minorEastAsia" w:cstheme="minorEastAsia"/>
          <w:b/>
          <w:bCs/>
          <w:spacing w:val="8"/>
          <w:sz w:val="28"/>
          <w:szCs w:val="28"/>
          <w:highlight w:val="none"/>
          <w:u w:val="single"/>
        </w:rPr>
      </w:pPr>
      <w:r>
        <w:rPr>
          <w:rFonts w:hint="eastAsia" w:asciiTheme="minorEastAsia" w:hAnsiTheme="minorEastAsia" w:eastAsiaTheme="minorEastAsia" w:cstheme="minorEastAsia"/>
          <w:b/>
          <w:spacing w:val="8"/>
          <w:sz w:val="28"/>
          <w:szCs w:val="28"/>
          <w:highlight w:val="none"/>
        </w:rPr>
        <w:t>投 标 单 位：</w:t>
      </w:r>
    </w:p>
    <w:p>
      <w:pPr>
        <w:spacing w:beforeLines="70" w:line="560" w:lineRule="exact"/>
        <w:ind w:firstLine="1661" w:firstLineChars="591"/>
        <w:rPr>
          <w:rFonts w:hint="eastAsia"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sz w:val="28"/>
          <w:szCs w:val="28"/>
          <w:highlight w:val="none"/>
        </w:rPr>
        <w:t>采购代理机构：</w:t>
      </w:r>
    </w:p>
    <w:p>
      <w:pPr>
        <w:spacing w:line="560" w:lineRule="exact"/>
        <w:ind w:firstLine="1661" w:firstLineChars="591"/>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28"/>
          <w:szCs w:val="28"/>
          <w:highlight w:val="none"/>
        </w:rPr>
        <w:t>时        间：</w:t>
      </w:r>
      <w:bookmarkStart w:id="153" w:name="_Toc169838532"/>
      <w:bookmarkStart w:id="154" w:name="_Toc175033592"/>
      <w:bookmarkStart w:id="155" w:name="_Toc193126881"/>
      <w:bookmarkStart w:id="156" w:name="_Toc170980552"/>
      <w:bookmarkStart w:id="157" w:name="_Toc173549978"/>
      <w:bookmarkStart w:id="158" w:name="_Toc167590775"/>
      <w:bookmarkStart w:id="159" w:name="_Toc154482479"/>
      <w:bookmarkStart w:id="160" w:name="_Toc170980453"/>
      <w:bookmarkStart w:id="161" w:name="_Toc167591330"/>
      <w:bookmarkStart w:id="162" w:name="_Toc167591144"/>
      <w:bookmarkStart w:id="163" w:name="_Toc193187097"/>
      <w:bookmarkStart w:id="164" w:name="_Toc188808833"/>
      <w:bookmarkStart w:id="165" w:name="_Toc167591043"/>
      <w:bookmarkStart w:id="166" w:name="_Toc167849360"/>
      <w:bookmarkStart w:id="167" w:name="_Toc194663918"/>
      <w:bookmarkStart w:id="168" w:name="_Toc169846873"/>
      <w:bookmarkStart w:id="169" w:name="_Toc167591492"/>
      <w:bookmarkStart w:id="170" w:name="_Toc175032437"/>
      <w:bookmarkStart w:id="171" w:name="_Toc169846776"/>
    </w:p>
    <w:p>
      <w:pPr>
        <w:spacing w:line="560" w:lineRule="exact"/>
        <w:ind w:left="240" w:leftChars="100" w:firstLine="4003" w:firstLineChars="1246"/>
        <w:rPr>
          <w:rFonts w:hint="eastAsia" w:asciiTheme="minorEastAsia" w:hAnsiTheme="minorEastAsia" w:eastAsiaTheme="minorEastAsia" w:cstheme="minorEastAsia"/>
          <w:b/>
          <w:sz w:val="32"/>
          <w:szCs w:val="32"/>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p>
    <w:p>
      <w:pPr>
        <w:spacing w:line="560" w:lineRule="exact"/>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目  录</w:t>
      </w:r>
    </w:p>
    <w:p>
      <w:pPr>
        <w:spacing w:line="500" w:lineRule="exact"/>
        <w:ind w:firstLine="1200" w:firstLineChars="5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1．投标函（格式）</w:t>
      </w:r>
    </w:p>
    <w:p>
      <w:pPr>
        <w:spacing w:line="500" w:lineRule="exact"/>
        <w:ind w:firstLine="1200" w:firstLineChars="5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2．开标一览表（格式）</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3．投标分项报价表（格式）</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4．节能环保、环境标志产品明细表 （格式，若有）</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5. 选配件报价表（格式，若有）</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6．货物说明一览表（格式）</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7．技术规格响应偏离表（格式）</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8．商务条款响应偏离表（格式）</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9. 资格证明文件</w:t>
      </w:r>
    </w:p>
    <w:p>
      <w:pPr>
        <w:autoSpaceDE w:val="0"/>
        <w:autoSpaceDN w:val="0"/>
        <w:spacing w:line="500" w:lineRule="exact"/>
        <w:ind w:firstLine="1200" w:firstLineChars="5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10. 业绩证明材料（以合同为准，复印件加盖公章）</w:t>
      </w:r>
    </w:p>
    <w:p>
      <w:pPr>
        <w:spacing w:line="500" w:lineRule="exact"/>
        <w:ind w:firstLine="1200" w:firstLineChars="5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11. 产品的合法渠道证明文件</w:t>
      </w:r>
    </w:p>
    <w:p>
      <w:pPr>
        <w:spacing w:line="500" w:lineRule="exact"/>
        <w:ind w:firstLine="1200" w:firstLineChars="5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12.</w:t>
      </w:r>
      <w:r>
        <w:rPr>
          <w:rFonts w:hint="eastAsia" w:asciiTheme="minorEastAsia" w:hAnsiTheme="minorEastAsia" w:eastAsiaTheme="minorEastAsia" w:cstheme="minorEastAsia"/>
          <w:kern w:val="0"/>
          <w:szCs w:val="24"/>
          <w:highlight w:val="none"/>
        </w:rPr>
        <w:t xml:space="preserve"> 项目实施方案</w:t>
      </w:r>
    </w:p>
    <w:p>
      <w:pPr>
        <w:spacing w:line="500" w:lineRule="exact"/>
        <w:ind w:firstLine="1200" w:firstLineChars="5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13.</w:t>
      </w:r>
      <w:r>
        <w:rPr>
          <w:rFonts w:hint="eastAsia" w:asciiTheme="minorEastAsia" w:hAnsiTheme="minorEastAsia" w:eastAsiaTheme="minorEastAsia" w:cstheme="minorEastAsia"/>
          <w:kern w:val="0"/>
          <w:szCs w:val="24"/>
          <w:highlight w:val="none"/>
        </w:rPr>
        <w:t xml:space="preserve"> 产品的技术文件</w:t>
      </w:r>
    </w:p>
    <w:p>
      <w:pPr>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14. 质量保证</w:t>
      </w:r>
    </w:p>
    <w:p>
      <w:pPr>
        <w:spacing w:line="500" w:lineRule="exact"/>
        <w:ind w:firstLine="1200" w:firstLineChars="5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15. 售后服务及培训计划</w:t>
      </w:r>
    </w:p>
    <w:p>
      <w:pPr>
        <w:autoSpaceDE w:val="0"/>
        <w:autoSpaceDN w:val="0"/>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16. 投标人认为有必要说明的事宜（若有）</w:t>
      </w:r>
    </w:p>
    <w:p>
      <w:pPr>
        <w:autoSpaceDE w:val="0"/>
        <w:autoSpaceDN w:val="0"/>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17. 投标人承诺书（格式）</w:t>
      </w:r>
    </w:p>
    <w:p>
      <w:pPr>
        <w:autoSpaceDE w:val="0"/>
        <w:autoSpaceDN w:val="0"/>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18.《中小企业声明函》（格式，若有）</w:t>
      </w:r>
    </w:p>
    <w:p>
      <w:pPr>
        <w:autoSpaceDE w:val="0"/>
        <w:autoSpaceDN w:val="0"/>
        <w:spacing w:line="500" w:lineRule="exact"/>
        <w:ind w:left="240" w:leftChars="100" w:firstLine="960" w:firstLineChars="4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kern w:val="0"/>
          <w:szCs w:val="24"/>
          <w:highlight w:val="none"/>
        </w:rPr>
        <w:t>19.《残疾人福利性单位声明函》</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Start w:id="172" w:name="_Toc1386"/>
      <w:bookmarkStart w:id="173" w:name="_Toc25120"/>
      <w:bookmarkStart w:id="174" w:name="_Toc458617471"/>
      <w:bookmarkStart w:id="175" w:name="_Toc193126882"/>
      <w:bookmarkStart w:id="176" w:name="_Toc194663919"/>
      <w:bookmarkStart w:id="177" w:name="_Toc188808834"/>
      <w:bookmarkStart w:id="178" w:name="_Toc193187098"/>
      <w:r>
        <w:rPr>
          <w:rFonts w:hint="eastAsia" w:asciiTheme="minorEastAsia" w:hAnsiTheme="minorEastAsia" w:eastAsiaTheme="minorEastAsia" w:cstheme="minorEastAsia"/>
          <w:szCs w:val="24"/>
          <w:highlight w:val="none"/>
        </w:rPr>
        <w:t>（格式，若有）</w:t>
      </w:r>
    </w:p>
    <w:p>
      <w:pPr>
        <w:autoSpaceDE w:val="0"/>
        <w:autoSpaceDN w:val="0"/>
        <w:spacing w:line="500" w:lineRule="exact"/>
        <w:ind w:left="240" w:leftChars="100" w:firstLine="960" w:firstLineChars="4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20. 《监狱、戒毒企业声明函》（格式，若有）</w:t>
      </w:r>
    </w:p>
    <w:p>
      <w:pPr>
        <w:pStyle w:val="2"/>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pPr>
        <w:pStyle w:val="43"/>
        <w:spacing w:line="560" w:lineRule="exact"/>
        <w:ind w:firstLine="0" w:firstLineChars="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1.投标函</w:t>
      </w:r>
      <w:bookmarkEnd w:id="172"/>
      <w:bookmarkEnd w:id="173"/>
      <w:bookmarkEnd w:id="174"/>
      <w:r>
        <w:rPr>
          <w:rFonts w:hint="eastAsia" w:asciiTheme="minorEastAsia" w:hAnsiTheme="minorEastAsia" w:eastAsiaTheme="minorEastAsia" w:cstheme="minorEastAsia"/>
          <w:bCs/>
          <w:sz w:val="22"/>
          <w:szCs w:val="20"/>
          <w:highlight w:val="none"/>
        </w:rPr>
        <w:t>（格式）</w:t>
      </w:r>
    </w:p>
    <w:p>
      <w:pPr>
        <w:spacing w:line="560" w:lineRule="exact"/>
        <w:ind w:left="240" w:leftChars="100"/>
        <w:rPr>
          <w:rFonts w:hint="eastAsia" w:asciiTheme="minorEastAsia" w:hAnsiTheme="minorEastAsia" w:eastAsiaTheme="minorEastAsia" w:cstheme="minorEastAsia"/>
          <w:szCs w:val="21"/>
          <w:highlight w:val="none"/>
        </w:rPr>
      </w:pPr>
    </w:p>
    <w:p>
      <w:pPr>
        <w:spacing w:line="560" w:lineRule="exact"/>
        <w:rPr>
          <w:rFonts w:hint="eastAsia" w:asciiTheme="minorEastAsia" w:hAnsiTheme="minorEastAsia" w:eastAsiaTheme="minorEastAsia" w:cstheme="minorEastAsia"/>
          <w:b/>
          <w:szCs w:val="24"/>
          <w:highlight w:val="none"/>
          <w:lang w:eastAsia="zh-CN"/>
        </w:rPr>
      </w:pPr>
      <w:r>
        <w:rPr>
          <w:rFonts w:hint="eastAsia" w:asciiTheme="minorEastAsia" w:hAnsiTheme="minorEastAsia" w:eastAsiaTheme="minorEastAsia" w:cstheme="minorEastAsia"/>
          <w:b/>
          <w:szCs w:val="24"/>
          <w:highlight w:val="none"/>
        </w:rPr>
        <w:t>致：</w:t>
      </w:r>
      <w:r>
        <w:rPr>
          <w:rFonts w:hint="eastAsia" w:asciiTheme="minorEastAsia" w:hAnsiTheme="minorEastAsia" w:eastAsiaTheme="minorEastAsia" w:cstheme="minorEastAsia"/>
          <w:b/>
          <w:szCs w:val="24"/>
          <w:highlight w:val="none"/>
          <w:lang w:eastAsia="zh-CN"/>
        </w:rPr>
        <w:t>陕西中磊工程项目管理有限公司</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根据贵单位</w:t>
      </w:r>
      <w:r>
        <w:rPr>
          <w:rFonts w:hint="eastAsia" w:asciiTheme="minorEastAsia" w:hAnsiTheme="minorEastAsia" w:eastAsiaTheme="minorEastAsia" w:cstheme="minorEastAsia"/>
          <w:szCs w:val="24"/>
          <w:highlight w:val="none"/>
          <w:u w:val="single"/>
        </w:rPr>
        <w:t xml:space="preserve">         （招标项目名称）    </w:t>
      </w:r>
      <w:r>
        <w:rPr>
          <w:rFonts w:hint="eastAsia" w:asciiTheme="minorEastAsia" w:hAnsiTheme="minorEastAsia" w:eastAsiaTheme="minorEastAsia" w:cstheme="minorEastAsia"/>
          <w:szCs w:val="24"/>
          <w:highlight w:val="none"/>
        </w:rPr>
        <w:t>项目</w:t>
      </w:r>
      <w:r>
        <w:rPr>
          <w:rFonts w:hint="eastAsia" w:asciiTheme="minorEastAsia" w:hAnsiTheme="minorEastAsia" w:eastAsiaTheme="minorEastAsia" w:cstheme="minorEastAsia"/>
          <w:szCs w:val="24"/>
          <w:highlight w:val="none"/>
          <w:u w:val="single"/>
        </w:rPr>
        <w:t>（项目编号）</w:t>
      </w:r>
      <w:r>
        <w:rPr>
          <w:rFonts w:hint="eastAsia" w:asciiTheme="minorEastAsia" w:hAnsiTheme="minorEastAsia" w:eastAsiaTheme="minorEastAsia" w:cstheme="minorEastAsia"/>
          <w:szCs w:val="24"/>
          <w:highlight w:val="none"/>
        </w:rPr>
        <w:t>的招标公告，我方代表</w:t>
      </w:r>
      <w:r>
        <w:rPr>
          <w:rFonts w:hint="eastAsia" w:asciiTheme="minorEastAsia" w:hAnsiTheme="minorEastAsia" w:eastAsiaTheme="minorEastAsia" w:cstheme="minorEastAsia"/>
          <w:szCs w:val="24"/>
          <w:highlight w:val="none"/>
          <w:u w:val="single"/>
        </w:rPr>
        <w:t xml:space="preserve">   （姓名、职务）   </w:t>
      </w:r>
      <w:r>
        <w:rPr>
          <w:rFonts w:hint="eastAsia" w:asciiTheme="minorEastAsia" w:hAnsiTheme="minorEastAsia" w:eastAsiaTheme="minorEastAsia" w:cstheme="minorEastAsia"/>
          <w:szCs w:val="24"/>
          <w:highlight w:val="none"/>
        </w:rPr>
        <w:t>经正式授权并代表</w:t>
      </w:r>
      <w:r>
        <w:rPr>
          <w:rFonts w:hint="eastAsia" w:asciiTheme="minorEastAsia" w:hAnsiTheme="minorEastAsia" w:eastAsiaTheme="minorEastAsia" w:cstheme="minorEastAsia"/>
          <w:szCs w:val="24"/>
          <w:highlight w:val="none"/>
          <w:u w:val="single"/>
        </w:rPr>
        <w:t xml:space="preserve">     （投标人名称）     </w:t>
      </w:r>
      <w:r>
        <w:rPr>
          <w:rFonts w:hint="eastAsia" w:asciiTheme="minorEastAsia" w:hAnsiTheme="minorEastAsia" w:eastAsiaTheme="minorEastAsia" w:cstheme="minorEastAsia"/>
          <w:szCs w:val="24"/>
          <w:highlight w:val="none"/>
        </w:rPr>
        <w:t>就该项目进行投标。</w:t>
      </w:r>
    </w:p>
    <w:p>
      <w:pPr>
        <w:spacing w:line="560" w:lineRule="exact"/>
        <w:ind w:firstLine="472"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在此，我方郑重声明以下诸点，并负法律责任：</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1、我方提交的投标文件正本一份，副本四份，电子文件一份，“开标一览表”一份。</w:t>
      </w:r>
    </w:p>
    <w:p>
      <w:pPr>
        <w:spacing w:line="560" w:lineRule="exact"/>
        <w:ind w:firstLine="470" w:firstLineChars="196"/>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2、我方所附投标报价表中应提交和交付的货物/服务投标总价为人民币：</w:t>
      </w:r>
      <w:r>
        <w:rPr>
          <w:rFonts w:hint="eastAsia" w:asciiTheme="minorEastAsia" w:hAnsiTheme="minorEastAsia" w:eastAsiaTheme="minorEastAsia" w:cstheme="minorEastAsia"/>
          <w:szCs w:val="24"/>
          <w:highlight w:val="none"/>
          <w:u w:val="single"/>
        </w:rPr>
        <w:t>（同时用汉字大写和数字表示的投标总价）</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b/>
          <w:bCs/>
          <w:color w:val="FF0000"/>
          <w:szCs w:val="24"/>
          <w:highlight w:val="none"/>
        </w:rPr>
        <w:t>该报价一次报死</w:t>
      </w:r>
      <w:r>
        <w:rPr>
          <w:rFonts w:hint="eastAsia" w:asciiTheme="minorEastAsia" w:hAnsiTheme="minorEastAsia" w:eastAsiaTheme="minorEastAsia" w:cstheme="minorEastAsia"/>
          <w:b/>
          <w:bCs/>
          <w:szCs w:val="24"/>
          <w:highlight w:val="none"/>
        </w:rPr>
        <w:t>，</w:t>
      </w:r>
      <w:r>
        <w:rPr>
          <w:rFonts w:hint="eastAsia" w:asciiTheme="minorEastAsia" w:hAnsiTheme="minorEastAsia" w:eastAsiaTheme="minorEastAsia" w:cstheme="minorEastAsia"/>
          <w:szCs w:val="24"/>
          <w:highlight w:val="none"/>
        </w:rPr>
        <w:t>不受市场因素的影响。</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3、我方已详细审查全部招标文件，完全理解并同意放弃对这方面有不明及误解质疑的权力。</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4、我方同意按照要求提供投标有关的一切数据或资料。</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5、我方将按招标文件的规定履行合同责任和义务。</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6、我方完全理解最低报价不是中标的唯一条件，采购人有权选择质优价廉的货物/服务。</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7、我方同意按招标文件规定，遵守贵方有关招标的各项规定。</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8、若我方中标，我方保证按有关规定向贵方支付招标服务费。</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9、投标有效期为自提交投标文件的截止之日起90个日历日。</w:t>
      </w:r>
    </w:p>
    <w:p>
      <w:pPr>
        <w:spacing w:line="560" w:lineRule="exact"/>
        <w:ind w:firstLine="470"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szCs w:val="24"/>
          <w:highlight w:val="none"/>
        </w:rPr>
        <w:t>10、所有关于本项目的函电，请按下列地址联系：</w:t>
      </w:r>
    </w:p>
    <w:p>
      <w:pPr>
        <w:spacing w:line="560" w:lineRule="exact"/>
        <w:ind w:firstLine="480" w:firstLineChars="200"/>
        <w:rPr>
          <w:rFonts w:hint="eastAsia" w:asciiTheme="minorEastAsia" w:hAnsiTheme="minorEastAsia" w:eastAsiaTheme="minorEastAsia" w:cstheme="minorEastAsia"/>
          <w:szCs w:val="24"/>
          <w:highlight w:val="none"/>
        </w:rPr>
      </w:pPr>
    </w:p>
    <w:p>
      <w:pPr>
        <w:spacing w:line="560" w:lineRule="exact"/>
        <w:ind w:firstLine="480" w:firstLineChars="200"/>
        <w:rPr>
          <w:rFonts w:hint="eastAsia" w:asciiTheme="minorEastAsia" w:hAnsiTheme="minorEastAsia" w:eastAsiaTheme="minorEastAsia" w:cstheme="minorEastAsia"/>
          <w:szCs w:val="24"/>
          <w:highlight w:val="none"/>
        </w:rPr>
      </w:pPr>
    </w:p>
    <w:p>
      <w:pPr>
        <w:spacing w:line="560" w:lineRule="exact"/>
        <w:rPr>
          <w:rFonts w:hint="eastAsia" w:asciiTheme="minorEastAsia" w:hAnsiTheme="minorEastAsia" w:eastAsiaTheme="minorEastAsia" w:cstheme="minorEastAsia"/>
          <w:szCs w:val="24"/>
          <w:highlight w:val="none"/>
        </w:rPr>
      </w:pP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rPr>
        <w:t>投标人名称（公章）：</w:t>
      </w: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rPr>
        <w:t>详 细 地 址：</w:t>
      </w: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rPr>
        <w:t>邮 政 编 码：</w:t>
      </w: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lang w:val="zh-CN"/>
        </w:rPr>
        <w:t>电       话：</w:t>
      </w: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lang w:val="zh-CN"/>
        </w:rPr>
        <w:t>传       真：</w:t>
      </w: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rPr>
        <w:t>电 子 邮 件：</w:t>
      </w: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lang w:val="zh-CN"/>
        </w:rPr>
        <w:t>开 户 银 行：</w:t>
      </w:r>
    </w:p>
    <w:p>
      <w:pPr>
        <w:spacing w:line="560" w:lineRule="exact"/>
        <w:ind w:firstLine="480" w:firstLineChars="2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lang w:val="zh-CN"/>
        </w:rPr>
        <w:t>帐       号：</w:t>
      </w: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p>
      <w:pPr>
        <w:autoSpaceDE w:val="0"/>
        <w:autoSpaceDN w:val="0"/>
        <w:adjustRightInd w:val="0"/>
        <w:spacing w:line="560" w:lineRule="exact"/>
        <w:ind w:left="840" w:leftChars="100" w:hanging="600"/>
        <w:rPr>
          <w:rFonts w:hint="eastAsia" w:asciiTheme="minorEastAsia" w:hAnsiTheme="minorEastAsia" w:eastAsiaTheme="minorEastAsia" w:cstheme="minorEastAsia"/>
          <w:szCs w:val="24"/>
          <w:highlight w:val="none"/>
          <w:lang w:val="zh-CN"/>
        </w:rPr>
      </w:pPr>
    </w:p>
    <w:bookmarkEnd w:id="175"/>
    <w:bookmarkEnd w:id="176"/>
    <w:bookmarkEnd w:id="177"/>
    <w:bookmarkEnd w:id="178"/>
    <w:p>
      <w:pPr>
        <w:pStyle w:val="43"/>
        <w:spacing w:line="560" w:lineRule="exact"/>
        <w:ind w:firstLine="0" w:firstLineChars="0"/>
        <w:rPr>
          <w:rFonts w:hint="eastAsia" w:asciiTheme="minorEastAsia" w:hAnsiTheme="minorEastAsia" w:eastAsiaTheme="minorEastAsia" w:cstheme="minorEastAsia"/>
          <w:sz w:val="24"/>
          <w:szCs w:val="24"/>
          <w:highlight w:val="none"/>
        </w:rPr>
      </w:pPr>
      <w:bookmarkStart w:id="179" w:name="_Toc6986"/>
      <w:bookmarkStart w:id="180" w:name="_Toc5497"/>
      <w:bookmarkStart w:id="181" w:name="_Toc458617472"/>
      <w:bookmarkStart w:id="182" w:name="_Toc194663926"/>
      <w:bookmarkStart w:id="183" w:name="_Toc188808840"/>
      <w:bookmarkStart w:id="184" w:name="_Toc193187105"/>
      <w:bookmarkStart w:id="185" w:name="_Toc193126889"/>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Cs/>
          <w:sz w:val="24"/>
          <w:szCs w:val="21"/>
          <w:highlight w:val="none"/>
        </w:rPr>
      </w:pPr>
      <w:r>
        <w:rPr>
          <w:rFonts w:hint="eastAsia" w:asciiTheme="minorEastAsia" w:hAnsiTheme="minorEastAsia" w:eastAsiaTheme="minorEastAsia" w:cstheme="minorEastAsia"/>
          <w:b/>
          <w:highlight w:val="none"/>
        </w:rPr>
        <w:t>2.开标一览表</w:t>
      </w:r>
      <w:bookmarkEnd w:id="179"/>
      <w:bookmarkEnd w:id="180"/>
      <w:bookmarkEnd w:id="181"/>
      <w:r>
        <w:rPr>
          <w:rFonts w:hint="eastAsia" w:asciiTheme="minorEastAsia" w:hAnsiTheme="minorEastAsia" w:eastAsiaTheme="minorEastAsia" w:cstheme="minorEastAsia"/>
          <w:bCs/>
          <w:sz w:val="24"/>
          <w:szCs w:val="21"/>
          <w:highlight w:val="none"/>
        </w:rPr>
        <w:t>（格式）</w:t>
      </w:r>
    </w:p>
    <w:p>
      <w:pPr>
        <w:spacing w:line="560" w:lineRule="exact"/>
        <w:ind w:left="240" w:leftChars="100"/>
        <w:jc w:val="center"/>
        <w:rPr>
          <w:rFonts w:hint="eastAsia" w:asciiTheme="minorEastAsia" w:hAnsiTheme="minorEastAsia" w:eastAsiaTheme="minorEastAsia" w:cstheme="minorEastAsia"/>
          <w:b/>
          <w:bCs/>
          <w:sz w:val="36"/>
          <w:szCs w:val="21"/>
          <w:highlight w:val="none"/>
        </w:rPr>
      </w:pPr>
    </w:p>
    <w:p>
      <w:pPr>
        <w:spacing w:line="560" w:lineRule="exact"/>
        <w:rPr>
          <w:rFonts w:hint="eastAsia" w:asciiTheme="minorEastAsia" w:hAnsiTheme="minorEastAsia" w:eastAsiaTheme="minorEastAsia" w:cstheme="minorEastAsia"/>
          <w:b/>
          <w:bCs/>
          <w:sz w:val="36"/>
          <w:szCs w:val="21"/>
          <w:highlight w:val="none"/>
        </w:rPr>
      </w:pPr>
    </w:p>
    <w:p>
      <w:pPr>
        <w:spacing w:line="560" w:lineRule="exact"/>
        <w:ind w:firstLine="120" w:firstLineChars="50"/>
        <w:rPr>
          <w:rFonts w:hint="eastAsia" w:asciiTheme="minorEastAsia" w:hAnsiTheme="minorEastAsia" w:eastAsiaTheme="minorEastAsia" w:cstheme="minorEastAsia"/>
          <w:bCs/>
          <w:kern w:val="0"/>
          <w:szCs w:val="24"/>
          <w:highlight w:val="none"/>
          <w:u w:val="single"/>
        </w:rPr>
      </w:pPr>
      <w:r>
        <w:rPr>
          <w:rFonts w:hint="eastAsia" w:asciiTheme="minorEastAsia" w:hAnsiTheme="minorEastAsia" w:eastAsiaTheme="minorEastAsia" w:cstheme="minorEastAsia"/>
          <w:bCs/>
          <w:kern w:val="0"/>
          <w:szCs w:val="24"/>
          <w:highlight w:val="none"/>
        </w:rPr>
        <w:t>投标人名称：</w:t>
      </w:r>
    </w:p>
    <w:tbl>
      <w:tblPr>
        <w:tblStyle w:val="26"/>
        <w:tblpPr w:leftFromText="180" w:rightFromText="180" w:vertAnchor="text" w:horzAnchor="page" w:tblpX="799" w:tblpY="215"/>
        <w:tblOverlap w:val="never"/>
        <w:tblW w:w="905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4"/>
        <w:gridCol w:w="2830"/>
        <w:gridCol w:w="2502"/>
        <w:gridCol w:w="21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9" w:hRule="atLeast"/>
        </w:trPr>
        <w:tc>
          <w:tcPr>
            <w:tcW w:w="1574" w:type="dxa"/>
            <w:vAlign w:val="center"/>
          </w:tcPr>
          <w:p>
            <w:pPr>
              <w:spacing w:line="560" w:lineRule="exact"/>
              <w:ind w:right="163" w:rightChars="68" w:firstLine="118" w:firstLineChars="49"/>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项目编号</w:t>
            </w:r>
          </w:p>
        </w:tc>
        <w:tc>
          <w:tcPr>
            <w:tcW w:w="2830" w:type="dxa"/>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投标总价</w:t>
            </w:r>
          </w:p>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（人民币:元）</w:t>
            </w:r>
          </w:p>
        </w:tc>
        <w:tc>
          <w:tcPr>
            <w:tcW w:w="2502"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交货期</w:t>
            </w:r>
          </w:p>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w:t>
            </w:r>
            <w:r>
              <w:rPr>
                <w:rFonts w:hint="eastAsia" w:asciiTheme="minorEastAsia" w:hAnsiTheme="minorEastAsia" w:eastAsiaTheme="minorEastAsia" w:cstheme="minorEastAsia"/>
                <w:b/>
                <w:szCs w:val="24"/>
                <w:highlight w:val="none"/>
                <w:lang w:val="en-US" w:eastAsia="zh-CN"/>
              </w:rPr>
              <w:t>工作日</w:t>
            </w:r>
            <w:r>
              <w:rPr>
                <w:rFonts w:hint="eastAsia" w:asciiTheme="minorEastAsia" w:hAnsiTheme="minorEastAsia" w:eastAsiaTheme="minorEastAsia" w:cstheme="minorEastAsia"/>
                <w:b/>
                <w:szCs w:val="24"/>
                <w:highlight w:val="none"/>
              </w:rPr>
              <w:t>）</w:t>
            </w:r>
          </w:p>
        </w:tc>
        <w:tc>
          <w:tcPr>
            <w:tcW w:w="2151"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质保期</w:t>
            </w:r>
          </w:p>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74" w:type="dxa"/>
            <w:vMerge w:val="restart"/>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2830"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2502"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2151"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1574" w:type="dxa"/>
            <w:vMerge w:val="continue"/>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483" w:type="dxa"/>
            <w:gridSpan w:val="3"/>
            <w:tcBorders>
              <w:top w:val="single" w:color="auto" w:sz="4" w:space="0"/>
            </w:tcBorders>
            <w:vAlign w:val="center"/>
          </w:tcPr>
          <w:p>
            <w:pPr>
              <w:spacing w:line="560" w:lineRule="exact"/>
              <w:ind w:left="240" w:leftChars="100"/>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 xml:space="preserve">（大写）                                </w:t>
            </w:r>
          </w:p>
        </w:tc>
      </w:tr>
    </w:tbl>
    <w:p>
      <w:pPr>
        <w:spacing w:line="560" w:lineRule="exact"/>
        <w:ind w:left="240" w:leftChars="100" w:firstLine="480" w:firstLineChars="200"/>
        <w:rPr>
          <w:rFonts w:hint="eastAsia" w:asciiTheme="minorEastAsia" w:hAnsiTheme="minorEastAsia" w:eastAsiaTheme="minorEastAsia" w:cstheme="minorEastAsia"/>
          <w:szCs w:val="24"/>
          <w:highlight w:val="none"/>
        </w:rPr>
      </w:pPr>
    </w:p>
    <w:p>
      <w:pPr>
        <w:spacing w:line="560" w:lineRule="exact"/>
        <w:rPr>
          <w:rFonts w:hint="eastAsia" w:asciiTheme="minorEastAsia" w:hAnsiTheme="minorEastAsia" w:eastAsiaTheme="minorEastAsia" w:cstheme="minorEastAsia"/>
          <w:szCs w:val="24"/>
          <w:highlight w:val="none"/>
        </w:rPr>
      </w:pPr>
    </w:p>
    <w:p>
      <w:pPr>
        <w:spacing w:line="560" w:lineRule="exact"/>
        <w:rPr>
          <w:rFonts w:hint="eastAsia" w:asciiTheme="minorEastAsia" w:hAnsiTheme="minorEastAsia" w:eastAsiaTheme="minorEastAsia" w:cstheme="minorEastAsia"/>
          <w:szCs w:val="24"/>
          <w:highlight w:val="none"/>
          <w:lang w:val="zh-CN"/>
        </w:rPr>
      </w:pPr>
    </w:p>
    <w:p>
      <w:pPr>
        <w:spacing w:line="560" w:lineRule="exact"/>
        <w:rPr>
          <w:rFonts w:hint="eastAsia" w:asciiTheme="minorEastAsia" w:hAnsiTheme="minorEastAsia" w:eastAsiaTheme="minorEastAsia" w:cstheme="minorEastAsia"/>
          <w:szCs w:val="24"/>
          <w:highlight w:val="none"/>
          <w:lang w:val="zh-CN"/>
        </w:rPr>
      </w:pPr>
    </w:p>
    <w:p>
      <w:pPr>
        <w:spacing w:line="560" w:lineRule="exact"/>
        <w:rPr>
          <w:rFonts w:hint="eastAsia" w:asciiTheme="minorEastAsia" w:hAnsiTheme="minorEastAsia" w:eastAsiaTheme="minorEastAsia" w:cstheme="minorEastAsia"/>
          <w:szCs w:val="24"/>
          <w:highlight w:val="none"/>
          <w:lang w:val="zh-CN"/>
        </w:rPr>
      </w:pPr>
    </w:p>
    <w:p>
      <w:pPr>
        <w:spacing w:line="560" w:lineRule="exact"/>
        <w:rPr>
          <w:rFonts w:hint="eastAsia" w:asciiTheme="minorEastAsia" w:hAnsiTheme="minorEastAsia" w:eastAsiaTheme="minorEastAsia" w:cstheme="minorEastAsia"/>
          <w:szCs w:val="24"/>
          <w:highlight w:val="none"/>
          <w:lang w:val="zh-CN"/>
        </w:rPr>
      </w:pPr>
    </w:p>
    <w:p>
      <w:pPr>
        <w:spacing w:line="560" w:lineRule="exact"/>
        <w:rPr>
          <w:rFonts w:hint="eastAsia" w:asciiTheme="minorEastAsia" w:hAnsiTheme="minorEastAsia" w:eastAsiaTheme="minorEastAsia" w:cstheme="minorEastAsia"/>
          <w:szCs w:val="24"/>
          <w:highlight w:val="none"/>
          <w:lang w:val="zh-CN"/>
        </w:rPr>
      </w:pPr>
    </w:p>
    <w:p>
      <w:pPr>
        <w:pStyle w:val="43"/>
        <w:spacing w:line="560" w:lineRule="exact"/>
        <w:ind w:firstLine="0" w:firstLineChars="0"/>
        <w:rPr>
          <w:rFonts w:hint="eastAsia" w:asciiTheme="minorEastAsia" w:hAnsiTheme="minorEastAsia" w:eastAsiaTheme="minorEastAsia" w:cstheme="minorEastAsia"/>
          <w:sz w:val="24"/>
          <w:szCs w:val="24"/>
          <w:highlight w:val="none"/>
        </w:rPr>
      </w:pPr>
      <w:bookmarkStart w:id="186" w:name="_Toc10249"/>
      <w:bookmarkStart w:id="187" w:name="_Toc9029"/>
      <w:bookmarkStart w:id="188" w:name="_Toc458617473"/>
      <w:bookmarkStart w:id="189" w:name="_Toc167849364"/>
      <w:bookmarkStart w:id="190" w:name="_Toc169838536"/>
      <w:bookmarkStart w:id="191" w:name="_Toc154482483"/>
      <w:bookmarkStart w:id="192" w:name="_Toc167590779"/>
      <w:bookmarkStart w:id="193" w:name="_Toc175032441"/>
      <w:bookmarkStart w:id="194" w:name="_Toc173549982"/>
      <w:bookmarkStart w:id="195" w:name="_Toc188808836"/>
      <w:bookmarkStart w:id="196" w:name="_Toc193126885"/>
      <w:bookmarkStart w:id="197" w:name="_Toc193187101"/>
      <w:bookmarkStart w:id="198" w:name="_Toc175033596"/>
      <w:bookmarkStart w:id="199" w:name="_Toc170980457"/>
      <w:bookmarkStart w:id="200" w:name="_Toc167591496"/>
      <w:bookmarkStart w:id="201" w:name="_Toc169846877"/>
      <w:bookmarkStart w:id="202" w:name="_Toc170980556"/>
      <w:bookmarkStart w:id="203" w:name="_Toc167591047"/>
      <w:bookmarkStart w:id="204" w:name="_Toc194663922"/>
      <w:bookmarkStart w:id="205" w:name="_Toc167591148"/>
      <w:bookmarkStart w:id="206" w:name="_Toc169846780"/>
      <w:bookmarkStart w:id="207" w:name="_Toc167591334"/>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pPr>
        <w:pStyle w:val="43"/>
        <w:spacing w:line="560" w:lineRule="exact"/>
        <w:ind w:firstLine="0" w:firstLineChars="0"/>
        <w:rPr>
          <w:rFonts w:hint="eastAsia" w:asciiTheme="minorEastAsia" w:hAnsiTheme="minorEastAsia" w:eastAsiaTheme="minorEastAsia" w:cstheme="minorEastAsia"/>
          <w:bCs/>
          <w:sz w:val="24"/>
          <w:szCs w:val="21"/>
          <w:highlight w:val="none"/>
        </w:rPr>
      </w:pPr>
      <w:r>
        <w:rPr>
          <w:rFonts w:hint="eastAsia" w:asciiTheme="minorEastAsia" w:hAnsiTheme="minorEastAsia" w:eastAsiaTheme="minorEastAsia" w:cstheme="minorEastAsia"/>
          <w:b/>
          <w:highlight w:val="none"/>
        </w:rPr>
        <w:t>3.投标分项报价表</w:t>
      </w:r>
      <w:bookmarkEnd w:id="186"/>
      <w:bookmarkEnd w:id="187"/>
      <w:bookmarkEnd w:id="188"/>
      <w:r>
        <w:rPr>
          <w:rFonts w:hint="eastAsia" w:asciiTheme="minorEastAsia" w:hAnsiTheme="minorEastAsia" w:eastAsiaTheme="minorEastAsia" w:cstheme="minorEastAsia"/>
          <w:bCs/>
          <w:sz w:val="24"/>
          <w:szCs w:val="21"/>
          <w:highlight w:val="none"/>
        </w:rPr>
        <w:t>（格式）</w:t>
      </w:r>
    </w:p>
    <w:p>
      <w:pPr>
        <w:spacing w:line="560" w:lineRule="exact"/>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rPr>
        <w:t>投标人名称：</w:t>
      </w:r>
      <w:r>
        <w:rPr>
          <w:rFonts w:hint="eastAsia" w:asciiTheme="minorEastAsia" w:hAnsiTheme="minorEastAsia" w:eastAsiaTheme="minorEastAsia" w:cstheme="minorEastAsia"/>
          <w:szCs w:val="24"/>
          <w:highlight w:val="none"/>
          <w:lang w:val="en-US" w:eastAsia="zh-CN"/>
        </w:rPr>
        <w:t xml:space="preserve">               </w:t>
      </w:r>
      <w:r>
        <w:rPr>
          <w:rFonts w:hint="eastAsia" w:asciiTheme="minorEastAsia" w:hAnsiTheme="minorEastAsia" w:eastAsiaTheme="minorEastAsia" w:cstheme="minorEastAsia"/>
          <w:bCs/>
          <w:kern w:val="0"/>
          <w:szCs w:val="24"/>
          <w:highlight w:val="none"/>
        </w:rPr>
        <w:t>项目编号</w:t>
      </w:r>
      <w:r>
        <w:rPr>
          <w:rFonts w:hint="eastAsia" w:asciiTheme="minorEastAsia" w:hAnsiTheme="minorEastAsia" w:eastAsiaTheme="minorEastAsia" w:cstheme="minorEastAsia"/>
          <w:szCs w:val="24"/>
          <w:highlight w:val="none"/>
        </w:rPr>
        <w:t>：</w:t>
      </w:r>
    </w:p>
    <w:tbl>
      <w:tblPr>
        <w:tblStyle w:val="26"/>
        <w:tblW w:w="939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59"/>
        <w:gridCol w:w="1718"/>
        <w:gridCol w:w="988"/>
        <w:gridCol w:w="1154"/>
        <w:gridCol w:w="745"/>
        <w:gridCol w:w="913"/>
        <w:gridCol w:w="921"/>
        <w:gridCol w:w="12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550" w:type="dxa"/>
            <w:vAlign w:val="center"/>
          </w:tcPr>
          <w:p>
            <w:pPr>
              <w:spacing w:line="560" w:lineRule="exact"/>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序号</w:t>
            </w:r>
          </w:p>
        </w:tc>
        <w:tc>
          <w:tcPr>
            <w:tcW w:w="1159" w:type="dxa"/>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名    称</w:t>
            </w:r>
          </w:p>
        </w:tc>
        <w:tc>
          <w:tcPr>
            <w:tcW w:w="1718" w:type="dxa"/>
            <w:vAlign w:val="center"/>
          </w:tcPr>
          <w:p>
            <w:pPr>
              <w:spacing w:line="560" w:lineRule="exact"/>
              <w:ind w:firstLine="116" w:firstLineChars="48"/>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品牌/型号</w:t>
            </w:r>
          </w:p>
        </w:tc>
        <w:tc>
          <w:tcPr>
            <w:tcW w:w="988"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制造厂家</w:t>
            </w:r>
          </w:p>
        </w:tc>
        <w:tc>
          <w:tcPr>
            <w:tcW w:w="1154" w:type="dxa"/>
            <w:vAlign w:val="center"/>
          </w:tcPr>
          <w:p>
            <w:pPr>
              <w:spacing w:line="560" w:lineRule="exact"/>
              <w:ind w:left="14" w:leftChars="6"/>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单位</w:t>
            </w:r>
          </w:p>
        </w:tc>
        <w:tc>
          <w:tcPr>
            <w:tcW w:w="745" w:type="dxa"/>
            <w:tcBorders>
              <w:top w:val="single" w:color="auto" w:sz="4" w:space="0"/>
            </w:tcBorders>
            <w:vAlign w:val="center"/>
          </w:tcPr>
          <w:p>
            <w:pPr>
              <w:spacing w:line="560" w:lineRule="exact"/>
              <w:ind w:left="14" w:leftChars="6"/>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数量</w:t>
            </w:r>
          </w:p>
        </w:tc>
        <w:tc>
          <w:tcPr>
            <w:tcW w:w="913" w:type="dxa"/>
            <w:tcBorders>
              <w:top w:val="single" w:color="auto" w:sz="4" w:space="0"/>
            </w:tcBorders>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单价</w:t>
            </w:r>
          </w:p>
          <w:p>
            <w:pPr>
              <w:spacing w:line="560" w:lineRule="exact"/>
              <w:ind w:left="53" w:leftChars="22"/>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（人民币元）</w:t>
            </w:r>
          </w:p>
        </w:tc>
        <w:tc>
          <w:tcPr>
            <w:tcW w:w="921" w:type="dxa"/>
            <w:tcMar>
              <w:top w:w="28" w:type="dxa"/>
              <w:left w:w="57" w:type="dxa"/>
              <w:bottom w:w="28" w:type="dxa"/>
              <w:right w:w="57" w:type="dxa"/>
            </w:tcMar>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总价</w:t>
            </w:r>
          </w:p>
          <w:p>
            <w:pPr>
              <w:spacing w:line="560" w:lineRule="exact"/>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（人民币元）</w:t>
            </w:r>
          </w:p>
        </w:tc>
        <w:tc>
          <w:tcPr>
            <w:tcW w:w="1248" w:type="dxa"/>
            <w:tcMar>
              <w:top w:w="28" w:type="dxa"/>
              <w:left w:w="57" w:type="dxa"/>
              <w:bottom w:w="28" w:type="dxa"/>
              <w:right w:w="57"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Borders>
              <w:bottom w:val="single" w:color="auto" w:sz="4" w:space="0"/>
            </w:tcBorders>
            <w:tcMar>
              <w:left w:w="57" w:type="dxa"/>
              <w:right w:w="57"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718"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Borders>
              <w:bottom w:val="single" w:color="auto" w:sz="4" w:space="0"/>
            </w:tcBorders>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Borders>
              <w:bottom w:val="single" w:color="auto" w:sz="4" w:space="0"/>
            </w:tcBorders>
            <w:tcMar>
              <w:left w:w="57" w:type="dxa"/>
              <w:right w:w="57"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718"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Borders>
              <w:bottom w:val="single" w:color="auto" w:sz="4" w:space="0"/>
            </w:tcBorders>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Borders>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71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71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71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Borders>
              <w:top w:val="single" w:color="auto" w:sz="4" w:space="0"/>
            </w:tcBorders>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71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71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0"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9"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71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8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154"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745"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13"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921" w:type="dxa"/>
            <w:tcMar>
              <w:left w:w="57"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48" w:type="dxa"/>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709" w:type="dxa"/>
            <w:gridSpan w:val="2"/>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总 计（人民币元）</w:t>
            </w:r>
          </w:p>
        </w:tc>
        <w:tc>
          <w:tcPr>
            <w:tcW w:w="7687" w:type="dxa"/>
            <w:gridSpan w:val="7"/>
            <w:tcMar>
              <w:left w:w="57" w:type="dxa"/>
              <w:right w:w="57" w:type="dxa"/>
            </w:tcMar>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r>
    </w:tbl>
    <w:p>
      <w:pPr>
        <w:pStyle w:val="43"/>
        <w:spacing w:line="560" w:lineRule="exact"/>
        <w:ind w:firstLine="0" w:firstLineChars="0"/>
        <w:rPr>
          <w:rFonts w:hint="eastAsia" w:asciiTheme="minorEastAsia" w:hAnsiTheme="minorEastAsia" w:eastAsiaTheme="minorEastAsia" w:cstheme="minorEastAsia"/>
          <w:sz w:val="24"/>
          <w:szCs w:val="24"/>
          <w:highlight w:val="none"/>
        </w:rPr>
      </w:pP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u w:val="single"/>
        </w:rPr>
        <w:br w:type="page"/>
      </w:r>
    </w:p>
    <w:p>
      <w:pPr>
        <w:pStyle w:val="43"/>
        <w:spacing w:line="560" w:lineRule="exact"/>
        <w:ind w:firstLine="0" w:firstLineChars="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 xml:space="preserve">4、节能环保、环境标志产品明细表 </w:t>
      </w:r>
      <w:r>
        <w:rPr>
          <w:rFonts w:hint="eastAsia" w:asciiTheme="minorEastAsia" w:hAnsiTheme="minorEastAsia" w:eastAsiaTheme="minorEastAsia" w:cstheme="minorEastAsia"/>
          <w:bCs/>
          <w:sz w:val="24"/>
          <w:szCs w:val="24"/>
          <w:highlight w:val="none"/>
        </w:rPr>
        <w:t>（格式，若有）</w:t>
      </w:r>
    </w:p>
    <w:p>
      <w:pPr>
        <w:pStyle w:val="43"/>
        <w:spacing w:line="520" w:lineRule="exact"/>
        <w:ind w:firstLine="170" w:firstLineChars="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bCs/>
          <w:sz w:val="24"/>
          <w:szCs w:val="24"/>
          <w:highlight w:val="none"/>
        </w:rPr>
        <w:t>项目编号</w:t>
      </w:r>
      <w:r>
        <w:rPr>
          <w:rFonts w:hint="eastAsia" w:asciiTheme="minorEastAsia" w:hAnsiTheme="minorEastAsia" w:eastAsiaTheme="minorEastAsia" w:cstheme="minorEastAsia"/>
          <w:sz w:val="24"/>
          <w:szCs w:val="24"/>
          <w:highlight w:val="none"/>
        </w:rPr>
        <w:t>：</w:t>
      </w:r>
    </w:p>
    <w:tbl>
      <w:tblPr>
        <w:tblStyle w:val="26"/>
        <w:tblW w:w="10114" w:type="dxa"/>
        <w:jc w:val="center"/>
        <w:tblLayout w:type="fixed"/>
        <w:tblCellMar>
          <w:top w:w="0" w:type="dxa"/>
          <w:left w:w="108" w:type="dxa"/>
          <w:bottom w:w="0" w:type="dxa"/>
          <w:right w:w="108" w:type="dxa"/>
        </w:tblCellMar>
      </w:tblPr>
      <w:tblGrid>
        <w:gridCol w:w="590"/>
        <w:gridCol w:w="1610"/>
        <w:gridCol w:w="1408"/>
        <w:gridCol w:w="1309"/>
        <w:gridCol w:w="1006"/>
        <w:gridCol w:w="1308"/>
        <w:gridCol w:w="603"/>
        <w:gridCol w:w="1107"/>
        <w:gridCol w:w="1173"/>
      </w:tblGrid>
      <w:tr>
        <w:tblPrEx>
          <w:tblCellMar>
            <w:top w:w="0" w:type="dxa"/>
            <w:left w:w="108" w:type="dxa"/>
            <w:bottom w:w="0" w:type="dxa"/>
            <w:right w:w="108" w:type="dxa"/>
          </w:tblCellMar>
        </w:tblPrEx>
        <w:trPr>
          <w:trHeight w:val="891" w:hRule="atLeast"/>
          <w:jc w:val="center"/>
        </w:trPr>
        <w:tc>
          <w:tcPr>
            <w:tcW w:w="5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序号</w:t>
            </w:r>
          </w:p>
        </w:tc>
        <w:tc>
          <w:tcPr>
            <w:tcW w:w="16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产品名称</w:t>
            </w:r>
          </w:p>
        </w:tc>
        <w:tc>
          <w:tcPr>
            <w:tcW w:w="140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制造厂家</w:t>
            </w:r>
          </w:p>
        </w:tc>
        <w:tc>
          <w:tcPr>
            <w:tcW w:w="130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规格型号</w:t>
            </w:r>
          </w:p>
        </w:tc>
        <w:tc>
          <w:tcPr>
            <w:tcW w:w="10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类别</w:t>
            </w:r>
          </w:p>
        </w:tc>
        <w:tc>
          <w:tcPr>
            <w:tcW w:w="13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认证证书编号</w:t>
            </w:r>
          </w:p>
        </w:tc>
        <w:tc>
          <w:tcPr>
            <w:tcW w:w="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数量</w:t>
            </w:r>
          </w:p>
        </w:tc>
        <w:tc>
          <w:tcPr>
            <w:tcW w:w="11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单价</w:t>
            </w:r>
          </w:p>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（人民币元）</w:t>
            </w:r>
          </w:p>
        </w:tc>
        <w:tc>
          <w:tcPr>
            <w:tcW w:w="11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总价</w:t>
            </w:r>
          </w:p>
          <w:p>
            <w:pPr>
              <w:autoSpaceDE w:val="0"/>
              <w:autoSpaceDN w:val="0"/>
              <w:adjustRightInd w:val="0"/>
              <w:snapToGrid w:val="0"/>
              <w:spacing w:line="52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（人民币元）</w:t>
            </w: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52" w:hRule="atLeast"/>
          <w:jc w:val="center"/>
        </w:trPr>
        <w:tc>
          <w:tcPr>
            <w:tcW w:w="59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6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40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9"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00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3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60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07"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c>
          <w:tcPr>
            <w:tcW w:w="117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Theme="minorEastAsia" w:hAnsiTheme="minorEastAsia" w:eastAsiaTheme="minorEastAsia" w:cstheme="minorEastAsia"/>
                <w:highlight w:val="none"/>
              </w:rPr>
            </w:pPr>
          </w:p>
        </w:tc>
      </w:tr>
      <w:tr>
        <w:tblPrEx>
          <w:tblCellMar>
            <w:top w:w="0" w:type="dxa"/>
            <w:left w:w="108" w:type="dxa"/>
            <w:bottom w:w="0" w:type="dxa"/>
            <w:right w:w="108" w:type="dxa"/>
          </w:tblCellMar>
        </w:tblPrEx>
        <w:trPr>
          <w:trHeight w:val="465" w:hRule="atLeast"/>
          <w:jc w:val="center"/>
        </w:trPr>
        <w:tc>
          <w:tcPr>
            <w:tcW w:w="5923"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合计（人民币</w:t>
            </w:r>
            <w:r>
              <w:rPr>
                <w:rFonts w:hint="eastAsia" w:asciiTheme="minorEastAsia" w:hAnsiTheme="minorEastAsia" w:eastAsiaTheme="minorEastAsia" w:cstheme="minorEastAsia"/>
                <w:szCs w:val="24"/>
                <w:highlight w:val="none"/>
              </w:rPr>
              <w:t>元</w:t>
            </w:r>
            <w:r>
              <w:rPr>
                <w:rFonts w:hint="eastAsia" w:asciiTheme="minorEastAsia" w:hAnsiTheme="minorEastAsia" w:eastAsiaTheme="minorEastAsia" w:cstheme="minorEastAsia"/>
                <w:highlight w:val="none"/>
              </w:rPr>
              <w:t>）</w:t>
            </w:r>
          </w:p>
        </w:tc>
        <w:tc>
          <w:tcPr>
            <w:tcW w:w="4191"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Theme="minorEastAsia" w:hAnsiTheme="minorEastAsia" w:eastAsiaTheme="minorEastAsia" w:cstheme="minorEastAsia"/>
                <w:highlight w:val="none"/>
              </w:rPr>
            </w:pPr>
          </w:p>
        </w:tc>
      </w:tr>
    </w:tbl>
    <w:p>
      <w:pPr>
        <w:autoSpaceDE w:val="0"/>
        <w:autoSpaceDN w:val="0"/>
        <w:adjustRightInd w:val="0"/>
        <w:snapToGrid w:val="0"/>
        <w:spacing w:line="520" w:lineRule="exact"/>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注：如投标产品为节能环保、环境标志产品，须按格式逐项填写，并附相关证明，否则评审时不予计分，没有请填“无”。</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bookmarkStart w:id="208" w:name="_Toc193126884"/>
      <w:bookmarkStart w:id="209" w:name="_Toc4842"/>
      <w:bookmarkStart w:id="210" w:name="_Toc193187100"/>
      <w:bookmarkStart w:id="211" w:name="_Toc17354"/>
      <w:bookmarkStart w:id="212" w:name="_Toc458617474"/>
      <w:bookmarkStart w:id="213" w:name="_Toc194663921"/>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pPr>
        <w:pStyle w:val="43"/>
        <w:spacing w:line="560" w:lineRule="exact"/>
        <w:ind w:firstLineChars="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highlight w:val="none"/>
        </w:rPr>
        <w:t>5.选配件报价表</w:t>
      </w:r>
      <w:bookmarkEnd w:id="208"/>
      <w:bookmarkEnd w:id="209"/>
      <w:bookmarkEnd w:id="210"/>
      <w:bookmarkEnd w:id="211"/>
      <w:bookmarkEnd w:id="212"/>
      <w:bookmarkEnd w:id="213"/>
      <w:r>
        <w:rPr>
          <w:rFonts w:hint="eastAsia" w:asciiTheme="minorEastAsia" w:hAnsiTheme="minorEastAsia" w:eastAsiaTheme="minorEastAsia" w:cstheme="minorEastAsia"/>
          <w:bCs/>
          <w:sz w:val="24"/>
          <w:szCs w:val="24"/>
          <w:highlight w:val="none"/>
        </w:rPr>
        <w:t>（格式，若有）</w:t>
      </w:r>
    </w:p>
    <w:p>
      <w:pPr>
        <w:spacing w:line="56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 xml:space="preserve">投标人名称：                                 </w:t>
      </w:r>
    </w:p>
    <w:p>
      <w:pPr>
        <w:spacing w:line="560" w:lineRule="exact"/>
        <w:ind w:left="240" w:leftChars="1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rPr>
        <w:t xml:space="preserve"> 项目编号：</w:t>
      </w:r>
    </w:p>
    <w:tbl>
      <w:tblPr>
        <w:tblStyle w:val="26"/>
        <w:tblW w:w="107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59"/>
        <w:gridCol w:w="1254"/>
        <w:gridCol w:w="1045"/>
        <w:gridCol w:w="1359"/>
        <w:gridCol w:w="731"/>
        <w:gridCol w:w="836"/>
        <w:gridCol w:w="1254"/>
        <w:gridCol w:w="1254"/>
        <w:gridCol w:w="10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627"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序号</w:t>
            </w:r>
          </w:p>
        </w:tc>
        <w:tc>
          <w:tcPr>
            <w:tcW w:w="1359" w:type="dxa"/>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名   称</w:t>
            </w:r>
          </w:p>
        </w:tc>
        <w:tc>
          <w:tcPr>
            <w:tcW w:w="1254"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品牌/型号</w:t>
            </w:r>
          </w:p>
        </w:tc>
        <w:tc>
          <w:tcPr>
            <w:tcW w:w="1045"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制造厂家</w:t>
            </w:r>
          </w:p>
        </w:tc>
        <w:tc>
          <w:tcPr>
            <w:tcW w:w="1359"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规格和说明</w:t>
            </w:r>
          </w:p>
        </w:tc>
        <w:tc>
          <w:tcPr>
            <w:tcW w:w="731"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单位</w:t>
            </w:r>
          </w:p>
        </w:tc>
        <w:tc>
          <w:tcPr>
            <w:tcW w:w="836"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数量</w:t>
            </w:r>
          </w:p>
        </w:tc>
        <w:tc>
          <w:tcPr>
            <w:tcW w:w="1254" w:type="dxa"/>
            <w:vAlign w:val="center"/>
          </w:tcPr>
          <w:p>
            <w:pPr>
              <w:spacing w:line="560" w:lineRule="exact"/>
              <w:ind w:firstLine="472"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单价</w:t>
            </w:r>
          </w:p>
          <w:p>
            <w:pPr>
              <w:spacing w:line="560" w:lineRule="exact"/>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（人民币元）</w:t>
            </w:r>
          </w:p>
        </w:tc>
        <w:tc>
          <w:tcPr>
            <w:tcW w:w="1254" w:type="dxa"/>
            <w:vAlign w:val="center"/>
          </w:tcPr>
          <w:p>
            <w:pPr>
              <w:spacing w:line="560" w:lineRule="exact"/>
              <w:ind w:firstLine="472" w:firstLineChars="196"/>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总价</w:t>
            </w:r>
          </w:p>
          <w:p>
            <w:pPr>
              <w:spacing w:line="560" w:lineRule="exact"/>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（人民币元）</w:t>
            </w:r>
          </w:p>
        </w:tc>
        <w:tc>
          <w:tcPr>
            <w:tcW w:w="1053" w:type="dxa"/>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7"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7"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7"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7" w:type="dxa"/>
            <w:tcBorders>
              <w:bottom w:val="single" w:color="auto" w:sz="4" w:space="0"/>
            </w:tcBorders>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tcBorders>
              <w:bottom w:val="single" w:color="auto" w:sz="4" w:space="0"/>
            </w:tcBorders>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tcBorders>
              <w:bottom w:val="single" w:color="auto" w:sz="4" w:space="0"/>
            </w:tcBorders>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7"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7"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7"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27"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45"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359"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73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836"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254"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053"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r>
    </w:tbl>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pStyle w:val="43"/>
        <w:spacing w:line="560" w:lineRule="exact"/>
        <w:ind w:firstLine="170" w:firstLineChars="71"/>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u w:val="single"/>
        </w:rPr>
        <w:br w:type="page"/>
      </w:r>
      <w:bookmarkStart w:id="214" w:name="_Toc10875"/>
      <w:bookmarkStart w:id="215" w:name="_Toc458617475"/>
      <w:bookmarkStart w:id="216" w:name="_Toc16402"/>
      <w:r>
        <w:rPr>
          <w:rFonts w:hint="eastAsia" w:asciiTheme="minorEastAsia" w:hAnsiTheme="minorEastAsia" w:eastAsiaTheme="minorEastAsia" w:cstheme="minorEastAsia"/>
          <w:b/>
          <w:highlight w:val="none"/>
        </w:rPr>
        <w:t>6.货物说明一览表</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14"/>
      <w:bookmarkEnd w:id="215"/>
      <w:bookmarkEnd w:id="216"/>
      <w:r>
        <w:rPr>
          <w:rFonts w:hint="eastAsia" w:asciiTheme="minorEastAsia" w:hAnsiTheme="minorEastAsia" w:eastAsiaTheme="minorEastAsia" w:cstheme="minorEastAsia"/>
          <w:bCs/>
          <w:sz w:val="24"/>
          <w:szCs w:val="21"/>
          <w:highlight w:val="none"/>
        </w:rPr>
        <w:t>（格式）</w:t>
      </w:r>
    </w:p>
    <w:p>
      <w:pPr>
        <w:spacing w:line="560" w:lineRule="exact"/>
        <w:ind w:left="240" w:left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投标人名称：</w:t>
      </w:r>
    </w:p>
    <w:p>
      <w:pPr>
        <w:spacing w:line="560" w:lineRule="exact"/>
        <w:ind w:left="240" w:leftChars="10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bCs/>
          <w:kern w:val="0"/>
          <w:szCs w:val="24"/>
          <w:highlight w:val="none"/>
        </w:rPr>
        <w:t>项目编号</w:t>
      </w:r>
      <w:r>
        <w:rPr>
          <w:rFonts w:hint="eastAsia" w:asciiTheme="minorEastAsia" w:hAnsiTheme="minorEastAsia" w:eastAsiaTheme="minorEastAsia" w:cstheme="minorEastAsia"/>
          <w:szCs w:val="24"/>
          <w:highlight w:val="none"/>
        </w:rPr>
        <w:t>：</w:t>
      </w:r>
    </w:p>
    <w:tbl>
      <w:tblPr>
        <w:tblStyle w:val="26"/>
        <w:tblW w:w="95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81"/>
        <w:gridCol w:w="1110"/>
        <w:gridCol w:w="3455"/>
        <w:gridCol w:w="1234"/>
        <w:gridCol w:w="740"/>
        <w:gridCol w:w="8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91"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序号</w:t>
            </w:r>
          </w:p>
        </w:tc>
        <w:tc>
          <w:tcPr>
            <w:tcW w:w="1481" w:type="dxa"/>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名    称</w:t>
            </w:r>
          </w:p>
        </w:tc>
        <w:tc>
          <w:tcPr>
            <w:tcW w:w="1110"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品牌/型号</w:t>
            </w:r>
          </w:p>
        </w:tc>
        <w:tc>
          <w:tcPr>
            <w:tcW w:w="3455" w:type="dxa"/>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配置、规格及主要技术参数</w:t>
            </w:r>
          </w:p>
        </w:tc>
        <w:tc>
          <w:tcPr>
            <w:tcW w:w="1234" w:type="dxa"/>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制造厂家</w:t>
            </w:r>
          </w:p>
        </w:tc>
        <w:tc>
          <w:tcPr>
            <w:tcW w:w="740" w:type="dxa"/>
            <w:tcMar>
              <w:top w:w="28" w:type="dxa"/>
              <w:left w:w="57" w:type="dxa"/>
              <w:bottom w:w="28" w:type="dxa"/>
              <w:right w:w="57" w:type="dxa"/>
            </w:tcMar>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数量</w:t>
            </w:r>
          </w:p>
        </w:tc>
        <w:tc>
          <w:tcPr>
            <w:tcW w:w="846" w:type="dxa"/>
            <w:tcMar>
              <w:top w:w="28" w:type="dxa"/>
              <w:left w:w="57" w:type="dxa"/>
              <w:bottom w:w="28" w:type="dxa"/>
              <w:right w:w="57" w:type="dxa"/>
            </w:tcMar>
            <w:vAlign w:val="center"/>
          </w:tcPr>
          <w:p>
            <w:pPr>
              <w:spacing w:line="560" w:lineRule="exact"/>
              <w:ind w:left="-24" w:leftChars="-1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91" w:type="dxa"/>
          </w:tcPr>
          <w:p>
            <w:pPr>
              <w:spacing w:line="560" w:lineRule="exact"/>
              <w:ind w:left="240" w:leftChars="100"/>
              <w:jc w:val="center"/>
              <w:rPr>
                <w:rFonts w:hint="eastAsia" w:asciiTheme="minorEastAsia" w:hAnsiTheme="minorEastAsia" w:eastAsiaTheme="minorEastAsia" w:cstheme="minorEastAsia"/>
                <w:szCs w:val="24"/>
                <w:highlight w:val="none"/>
              </w:rPr>
            </w:pPr>
          </w:p>
        </w:tc>
        <w:tc>
          <w:tcPr>
            <w:tcW w:w="1481" w:type="dxa"/>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10"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3455"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1234" w:type="dxa"/>
          </w:tcPr>
          <w:p>
            <w:pPr>
              <w:spacing w:line="560" w:lineRule="exact"/>
              <w:ind w:left="240" w:leftChars="100"/>
              <w:rPr>
                <w:rFonts w:hint="eastAsia" w:asciiTheme="minorEastAsia" w:hAnsiTheme="minorEastAsia" w:eastAsiaTheme="minorEastAsia" w:cstheme="minorEastAsia"/>
                <w:szCs w:val="24"/>
                <w:highlight w:val="none"/>
                <w:u w:val="single"/>
              </w:rPr>
            </w:pPr>
          </w:p>
        </w:tc>
        <w:tc>
          <w:tcPr>
            <w:tcW w:w="740" w:type="dxa"/>
            <w:tcMar>
              <w:top w:w="28" w:type="dxa"/>
              <w:left w:w="57" w:type="dxa"/>
              <w:bottom w:w="28" w:type="dxa"/>
              <w:right w:w="57" w:type="dxa"/>
            </w:tcMar>
          </w:tcPr>
          <w:p>
            <w:pPr>
              <w:spacing w:line="560" w:lineRule="exact"/>
              <w:ind w:left="240" w:leftChars="100"/>
              <w:jc w:val="center"/>
              <w:rPr>
                <w:rFonts w:hint="eastAsia" w:asciiTheme="minorEastAsia" w:hAnsiTheme="minorEastAsia" w:eastAsiaTheme="minorEastAsia" w:cstheme="minorEastAsia"/>
                <w:szCs w:val="24"/>
                <w:highlight w:val="none"/>
                <w:u w:val="single"/>
              </w:rPr>
            </w:pPr>
          </w:p>
        </w:tc>
        <w:tc>
          <w:tcPr>
            <w:tcW w:w="846" w:type="dxa"/>
            <w:tcMar>
              <w:top w:w="28" w:type="dxa"/>
              <w:left w:w="57" w:type="dxa"/>
              <w:bottom w:w="28" w:type="dxa"/>
              <w:right w:w="57" w:type="dxa"/>
            </w:tcMar>
          </w:tcPr>
          <w:p>
            <w:pPr>
              <w:spacing w:line="560" w:lineRule="exact"/>
              <w:ind w:left="240" w:leftChars="100"/>
              <w:rPr>
                <w:rFonts w:hint="eastAsia" w:asciiTheme="minorEastAsia" w:hAnsiTheme="minorEastAsia" w:eastAsiaTheme="minorEastAsia" w:cstheme="minorEastAsia"/>
                <w:szCs w:val="24"/>
                <w:highlight w:val="none"/>
                <w:u w:val="single"/>
              </w:rPr>
            </w:pPr>
          </w:p>
        </w:tc>
      </w:tr>
    </w:tbl>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Cs/>
          <w:sz w:val="24"/>
          <w:szCs w:val="21"/>
          <w:highlight w:val="none"/>
        </w:rPr>
      </w:pPr>
      <w:r>
        <w:rPr>
          <w:rFonts w:hint="eastAsia" w:asciiTheme="minorEastAsia" w:hAnsiTheme="minorEastAsia" w:eastAsiaTheme="minorEastAsia" w:cstheme="minorEastAsia"/>
          <w:b/>
          <w:highlight w:val="none"/>
        </w:rPr>
        <w:t>7.技术规格响应偏离表</w:t>
      </w:r>
      <w:r>
        <w:rPr>
          <w:rFonts w:hint="eastAsia" w:asciiTheme="minorEastAsia" w:hAnsiTheme="minorEastAsia" w:eastAsiaTheme="minorEastAsia" w:cstheme="minorEastAsia"/>
          <w:bCs/>
          <w:sz w:val="24"/>
          <w:szCs w:val="21"/>
          <w:highlight w:val="none"/>
        </w:rPr>
        <w:t>（格式）</w:t>
      </w:r>
    </w:p>
    <w:p>
      <w:pPr>
        <w:spacing w:line="560" w:lineRule="exact"/>
        <w:jc w:val="left"/>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Cs w:val="24"/>
          <w:highlight w:val="none"/>
        </w:rPr>
        <w:t>投标人名称：            项目编号：</w:t>
      </w:r>
    </w:p>
    <w:tbl>
      <w:tblPr>
        <w:tblStyle w:val="26"/>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582"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c>
          <w:tcPr>
            <w:tcW w:w="1119" w:type="dxa"/>
            <w:tcMar>
              <w:top w:w="57" w:type="dxa"/>
              <w:left w:w="28" w:type="dxa"/>
              <w:bottom w:w="57" w:type="dxa"/>
              <w:right w:w="28" w:type="dxa"/>
            </w:tcMar>
            <w:vAlign w:val="center"/>
          </w:tcPr>
          <w:p>
            <w:pPr>
              <w:spacing w:line="560" w:lineRule="exact"/>
              <w:rPr>
                <w:rFonts w:hint="eastAsia" w:asciiTheme="minorEastAsia" w:hAnsiTheme="minorEastAsia" w:eastAsiaTheme="minorEastAsia" w:cstheme="minorEastAsia"/>
                <w:szCs w:val="24"/>
                <w:highlight w:val="none"/>
              </w:rPr>
            </w:pPr>
          </w:p>
        </w:tc>
      </w:tr>
    </w:tbl>
    <w:p>
      <w:pPr>
        <w:spacing w:line="440" w:lineRule="exact"/>
        <w:ind w:left="240" w:leftChars="100"/>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注：本表请按项目的实际技术参数，逐条对应招标文件第三章《采购内容及技术要求》认真填写，偏离情况填写：优于、等于或低于，偏离说明对偏离情况做出详细说明。</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bookmarkStart w:id="217" w:name="_Toc193126887"/>
      <w:bookmarkStart w:id="218" w:name="_Toc194663924"/>
      <w:bookmarkStart w:id="219" w:name="_Toc188808838"/>
      <w:bookmarkStart w:id="220" w:name="_Toc193187103"/>
      <w:bookmarkStart w:id="221" w:name="_Toc11969"/>
      <w:bookmarkStart w:id="222" w:name="_Toc458617476"/>
      <w:bookmarkStart w:id="223" w:name="_Toc2240"/>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pStyle w:val="43"/>
        <w:spacing w:line="560" w:lineRule="exact"/>
        <w:ind w:firstLineChars="71"/>
        <w:rPr>
          <w:rFonts w:hint="eastAsia" w:asciiTheme="minorEastAsia" w:hAnsiTheme="minorEastAsia" w:eastAsiaTheme="minorEastAsia" w:cstheme="minorEastAsia"/>
          <w:b/>
          <w:highlight w:val="none"/>
        </w:rPr>
      </w:pPr>
    </w:p>
    <w:p>
      <w:pPr>
        <w:pStyle w:val="43"/>
        <w:spacing w:line="560" w:lineRule="exact"/>
        <w:ind w:firstLineChars="71"/>
        <w:rPr>
          <w:rFonts w:hint="eastAsia" w:asciiTheme="minorEastAsia" w:hAnsiTheme="minorEastAsia" w:eastAsiaTheme="minorEastAsia" w:cstheme="minorEastAsia"/>
          <w:bCs/>
          <w:sz w:val="24"/>
          <w:szCs w:val="21"/>
          <w:highlight w:val="none"/>
        </w:rPr>
      </w:pPr>
      <w:r>
        <w:rPr>
          <w:rFonts w:hint="eastAsia" w:asciiTheme="minorEastAsia" w:hAnsiTheme="minorEastAsia" w:eastAsiaTheme="minorEastAsia" w:cstheme="minorEastAsia"/>
          <w:b/>
          <w:highlight w:val="none"/>
        </w:rPr>
        <w:t>8.商务条款响应偏离表</w:t>
      </w:r>
      <w:bookmarkEnd w:id="217"/>
      <w:bookmarkEnd w:id="218"/>
      <w:bookmarkEnd w:id="219"/>
      <w:bookmarkEnd w:id="220"/>
      <w:bookmarkEnd w:id="221"/>
      <w:bookmarkEnd w:id="222"/>
      <w:bookmarkEnd w:id="223"/>
      <w:r>
        <w:rPr>
          <w:rFonts w:hint="eastAsia" w:asciiTheme="minorEastAsia" w:hAnsiTheme="minorEastAsia" w:eastAsiaTheme="minorEastAsia" w:cstheme="minorEastAsia"/>
          <w:bCs/>
          <w:sz w:val="24"/>
          <w:szCs w:val="21"/>
          <w:highlight w:val="none"/>
        </w:rPr>
        <w:t>（格式）</w:t>
      </w:r>
    </w:p>
    <w:p>
      <w:pPr>
        <w:spacing w:line="56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投标人名称：               项目编号：</w:t>
      </w:r>
    </w:p>
    <w:tbl>
      <w:tblPr>
        <w:tblStyle w:val="26"/>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Theme="minorEastAsia" w:hAnsiTheme="minorEastAsia" w:eastAsiaTheme="minorEastAsia" w:cstheme="minorEastAsia"/>
                <w:szCs w:val="24"/>
                <w:highlight w:val="none"/>
              </w:rPr>
            </w:pPr>
          </w:p>
        </w:tc>
      </w:tr>
    </w:tbl>
    <w:p>
      <w:pPr>
        <w:spacing w:line="560" w:lineRule="exact"/>
        <w:ind w:left="240" w:leftChars="100"/>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注：本表按照招标文件第四章《商务要求》逐条响应，否则按无效投标处理。偏离情况填写：优于、等于或低于，偏离说明对偏离情况做出详细说明。</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投标人名称</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单位公章）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法定代表人或被授权人（签字或盖章）</w:t>
      </w:r>
      <w:r>
        <w:rPr>
          <w:rFonts w:hint="eastAsia" w:asciiTheme="minorEastAsia" w:hAnsiTheme="minorEastAsia" w:eastAsiaTheme="minorEastAsia" w:cstheme="minorEastAsia"/>
          <w:sz w:val="24"/>
          <w:szCs w:val="24"/>
          <w:highlight w:val="none"/>
        </w:rPr>
        <w:t xml:space="preserve">：                 </w:t>
      </w:r>
    </w:p>
    <w:p>
      <w:pPr>
        <w:pStyle w:val="43"/>
        <w:spacing w:line="560" w:lineRule="exact"/>
        <w:ind w:firstLine="0" w:firstLineChars="0"/>
        <w:rPr>
          <w:rFonts w:hint="eastAsia"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z w:val="24"/>
          <w:szCs w:val="24"/>
          <w:highlight w:val="none"/>
        </w:rPr>
        <w:t>日 期：</w:t>
      </w:r>
    </w:p>
    <w:p>
      <w:pPr>
        <w:spacing w:line="560" w:lineRule="exact"/>
        <w:rPr>
          <w:rFonts w:hint="eastAsia" w:asciiTheme="minorEastAsia" w:hAnsiTheme="minorEastAsia" w:eastAsiaTheme="minorEastAsia" w:cstheme="minorEastAsia"/>
          <w:b/>
          <w:kern w:val="0"/>
          <w:sz w:val="28"/>
          <w:highlight w:val="none"/>
        </w:rPr>
      </w:pPr>
      <w:r>
        <w:rPr>
          <w:rFonts w:hint="eastAsia" w:asciiTheme="minorEastAsia" w:hAnsiTheme="minorEastAsia" w:eastAsiaTheme="minorEastAsia" w:cstheme="minorEastAsia"/>
          <w:szCs w:val="21"/>
          <w:highlight w:val="none"/>
          <w:u w:val="single"/>
        </w:rPr>
        <w:br w:type="page"/>
      </w:r>
    </w:p>
    <w:p>
      <w:pPr>
        <w:pStyle w:val="43"/>
        <w:spacing w:line="560" w:lineRule="exact"/>
        <w:ind w:firstLineChars="71"/>
        <w:rPr>
          <w:rFonts w:hint="eastAsia" w:asciiTheme="minorEastAsia" w:hAnsiTheme="minorEastAsia" w:eastAsiaTheme="minorEastAsia" w:cstheme="minorEastAsia"/>
          <w:b/>
          <w:highlight w:val="none"/>
          <w:u w:val="wavyHeavy" w:color="FF0000"/>
        </w:rPr>
      </w:pPr>
      <w:bookmarkStart w:id="224" w:name="_Toc28085"/>
      <w:bookmarkStart w:id="225" w:name="_Toc458617478"/>
      <w:bookmarkStart w:id="226" w:name="_Toc5659"/>
      <w:r>
        <w:rPr>
          <w:rFonts w:hint="eastAsia" w:asciiTheme="minorEastAsia" w:hAnsiTheme="minorEastAsia" w:eastAsiaTheme="minorEastAsia" w:cstheme="minorEastAsia"/>
          <w:b/>
          <w:highlight w:val="none"/>
        </w:rPr>
        <w:t>9.资格证明文件</w:t>
      </w:r>
      <w:bookmarkEnd w:id="182"/>
      <w:bookmarkEnd w:id="183"/>
      <w:bookmarkEnd w:id="184"/>
      <w:bookmarkEnd w:id="185"/>
      <w:bookmarkEnd w:id="224"/>
      <w:bookmarkEnd w:id="225"/>
      <w:bookmarkEnd w:id="226"/>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（1）基本资格条件：符合《中华人民共和国政府采购法》第二十二条的规定：</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3、税收缴纳证明：提供2022年1月1日至今任意一个月的缴费凭据；（依法免税的投标人应提供相关文件证明）</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5、提供具有履行本合同所必需的设备和专业技术能力的说明及承诺；（格式自拟，加盖投标人公章）</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6、提供参加政府采购活动前三年内在经营活动中没有重大违法记录的书面声明。（格式自拟，加盖投标人公章）</w:t>
      </w:r>
    </w:p>
    <w:p>
      <w:pPr>
        <w:spacing w:line="52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（2）、特定资格条件：</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Theme="minorEastAsia" w:hAnsiTheme="minorEastAsia" w:eastAsiaTheme="minorEastAsia" w:cstheme="minorEastAsia"/>
          <w:b/>
          <w:bCs/>
          <w:sz w:val="24"/>
          <w:highlight w:val="none"/>
        </w:rPr>
        <w:t>(格式后附）</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Theme="minorEastAsia" w:hAnsiTheme="minorEastAsia" w:eastAsiaTheme="minorEastAsia" w:cstheme="minorEastAsia"/>
          <w:b/>
          <w:bCs/>
          <w:sz w:val="24"/>
          <w:highlight w:val="none"/>
        </w:rPr>
        <w:t>(格式后附）</w:t>
      </w:r>
    </w:p>
    <w:p>
      <w:pPr>
        <w:pStyle w:val="43"/>
        <w:spacing w:line="520" w:lineRule="exact"/>
        <w:ind w:firstLine="480"/>
        <w:rPr>
          <w:rFonts w:hint="eastAsia" w:asciiTheme="minorEastAsia" w:hAnsiTheme="minorEastAsia" w:eastAsiaTheme="minorEastAsia" w:cstheme="minorEastAsia"/>
          <w:sz w:val="24"/>
          <w:highlight w:val="none"/>
        </w:rPr>
      </w:pP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43"/>
        <w:spacing w:line="520" w:lineRule="exact"/>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4、单位负责人为同一人或者存在直接控股、管理关系的不同投标人，不得参加同一合同项下的政府采购活动；（提供书面承诺函，格式自拟加盖投标人公章）</w:t>
      </w:r>
    </w:p>
    <w:p>
      <w:pPr>
        <w:pStyle w:val="43"/>
        <w:spacing w:line="520" w:lineRule="exact"/>
        <w:ind w:firstLine="480"/>
        <w:rPr>
          <w:rFonts w:hint="eastAsia" w:asciiTheme="minorEastAsia" w:hAnsiTheme="minorEastAsia" w:eastAsiaTheme="minorEastAsia" w:cstheme="minorEastAsia"/>
          <w:sz w:val="24"/>
          <w:highlight w:val="none"/>
        </w:rPr>
      </w:pPr>
    </w:p>
    <w:p>
      <w:pPr>
        <w:pStyle w:val="2"/>
        <w:spacing w:line="560" w:lineRule="exact"/>
        <w:rPr>
          <w:rFonts w:hint="eastAsia" w:asciiTheme="minorEastAsia" w:hAnsiTheme="minorEastAsia" w:eastAsiaTheme="minorEastAsia" w:cstheme="minorEastAsia"/>
          <w:szCs w:val="24"/>
          <w:highlight w:val="none"/>
        </w:rPr>
      </w:pPr>
    </w:p>
    <w:p>
      <w:pPr>
        <w:rPr>
          <w:rFonts w:hint="eastAsia" w:asciiTheme="minorEastAsia" w:hAnsiTheme="minorEastAsia" w:eastAsiaTheme="minorEastAsia" w:cstheme="minorEastAsia"/>
          <w:szCs w:val="24"/>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pPr>
        <w:spacing w:line="560" w:lineRule="exact"/>
        <w:ind w:left="240" w:leftChars="100"/>
        <w:jc w:val="center"/>
        <w:rPr>
          <w:rFonts w:hint="eastAsia" w:asciiTheme="minorEastAsia" w:hAnsiTheme="minorEastAsia" w:eastAsiaTheme="minorEastAsia" w:cstheme="minorEastAsia"/>
          <w:b/>
          <w:bCs/>
          <w:sz w:val="28"/>
          <w:szCs w:val="28"/>
          <w:highlight w:val="none"/>
        </w:rPr>
      </w:pPr>
      <w:bookmarkStart w:id="227" w:name="_Toc47262070"/>
      <w:bookmarkStart w:id="228" w:name="_Toc49019498"/>
      <w:bookmarkStart w:id="229" w:name="_Toc47418732"/>
      <w:bookmarkStart w:id="230" w:name="_Toc47261886"/>
      <w:bookmarkStart w:id="231" w:name="_Toc47418939"/>
      <w:bookmarkStart w:id="232" w:name="_Toc49019237"/>
      <w:bookmarkStart w:id="233" w:name="_Toc48995852"/>
      <w:bookmarkStart w:id="234" w:name="_Toc47261691"/>
      <w:bookmarkStart w:id="235" w:name="_Toc47418256"/>
      <w:bookmarkStart w:id="236" w:name="_Toc48791236"/>
      <w:r>
        <w:rPr>
          <w:rFonts w:hint="eastAsia" w:asciiTheme="minorEastAsia" w:hAnsiTheme="minorEastAsia" w:eastAsiaTheme="minorEastAsia" w:cstheme="minorEastAsia"/>
          <w:b/>
          <w:bCs/>
          <w:sz w:val="28"/>
          <w:szCs w:val="28"/>
          <w:highlight w:val="none"/>
        </w:rPr>
        <w:t>法定代表人</w:t>
      </w:r>
      <w:r>
        <w:rPr>
          <w:rFonts w:hint="eastAsia" w:asciiTheme="minorEastAsia" w:hAnsiTheme="minorEastAsia" w:eastAsiaTheme="minorEastAsia" w:cstheme="minorEastAsia"/>
          <w:b/>
          <w:bCs/>
          <w:sz w:val="28"/>
          <w:szCs w:val="28"/>
          <w:highlight w:val="none"/>
          <w:lang w:val="en-US" w:eastAsia="zh-CN"/>
        </w:rPr>
        <w:t>或负责人</w:t>
      </w:r>
      <w:r>
        <w:rPr>
          <w:rFonts w:hint="eastAsia" w:asciiTheme="minorEastAsia" w:hAnsiTheme="minorEastAsia" w:eastAsiaTheme="minorEastAsia" w:cstheme="minorEastAsia"/>
          <w:b/>
          <w:bCs/>
          <w:sz w:val="28"/>
          <w:szCs w:val="28"/>
          <w:highlight w:val="none"/>
        </w:rPr>
        <w:t>资格证明书</w:t>
      </w:r>
    </w:p>
    <w:tbl>
      <w:tblPr>
        <w:tblStyle w:val="26"/>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lang w:eastAsia="zh-CN"/>
              </w:rPr>
            </w:pPr>
            <w:r>
              <w:rPr>
                <w:rFonts w:hint="eastAsia" w:asciiTheme="minorEastAsia" w:hAnsiTheme="minorEastAsia" w:eastAsiaTheme="minorEastAsia" w:cstheme="minorEastAsia"/>
                <w:bCs/>
                <w:caps/>
                <w:szCs w:val="24"/>
                <w:highlight w:val="none"/>
              </w:rPr>
              <w:t>致：</w:t>
            </w:r>
            <w:r>
              <w:rPr>
                <w:rFonts w:hint="eastAsia" w:asciiTheme="minorEastAsia" w:hAnsiTheme="minorEastAsia" w:eastAsiaTheme="minorEastAsia" w:cstheme="minorEastAsia"/>
                <w:bCs/>
                <w:caps/>
                <w:szCs w:val="24"/>
                <w:highlight w:val="none"/>
                <w:lang w:eastAsia="zh-CN"/>
              </w:rPr>
              <w:t>陕西中磊工程项目管理有限公司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企业</w:t>
            </w:r>
          </w:p>
          <w:p>
            <w:pPr>
              <w:tabs>
                <w:tab w:val="right" w:leader="dot" w:pos="9022"/>
              </w:tabs>
              <w:autoSpaceDE w:val="0"/>
              <w:autoSpaceDN w:val="0"/>
              <w:adjustRightInd w:val="0"/>
              <w:spacing w:line="560" w:lineRule="exact"/>
              <w:ind w:firstLine="240" w:firstLineChars="100"/>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2470" w:type="dxa"/>
          </w:tcPr>
          <w:p>
            <w:pPr>
              <w:tabs>
                <w:tab w:val="right" w:leader="dot" w:pos="9022"/>
              </w:tabs>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2470" w:type="dxa"/>
          </w:tcPr>
          <w:p>
            <w:pPr>
              <w:tabs>
                <w:tab w:val="right" w:leader="dot" w:pos="9022"/>
              </w:tabs>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法定代</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法定代表人身份证复印件</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spacing w:val="-4"/>
                <w:szCs w:val="24"/>
                <w:highlight w:val="none"/>
              </w:rPr>
            </w:pP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szCs w:val="24"/>
                <w:highlight w:val="none"/>
              </w:rPr>
              <w:t xml:space="preserve">投标人名称：（投标人单位公章）  </w:t>
            </w:r>
            <w:r>
              <w:rPr>
                <w:rFonts w:hint="eastAsia" w:asciiTheme="minorEastAsia" w:hAnsiTheme="minorEastAsia" w:cstheme="minorEastAsia"/>
                <w:szCs w:val="24"/>
                <w:highlight w:val="none"/>
                <w:lang w:val="en-US" w:eastAsia="zh-CN"/>
              </w:rPr>
              <w:t xml:space="preserve">                   </w:t>
            </w:r>
            <w:r>
              <w:rPr>
                <w:rFonts w:hint="eastAsia" w:asciiTheme="minorEastAsia" w:hAnsiTheme="minorEastAsia" w:eastAsiaTheme="minorEastAsia" w:cstheme="minorEastAsia"/>
                <w:szCs w:val="24"/>
                <w:highlight w:val="none"/>
              </w:rPr>
              <w:t xml:space="preserve">    日 期：</w:t>
            </w:r>
          </w:p>
        </w:tc>
      </w:tr>
    </w:tbl>
    <w:p>
      <w:pPr>
        <w:spacing w:line="560" w:lineRule="exact"/>
        <w:ind w:left="240" w:leftChars="100"/>
        <w:jc w:val="center"/>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kern w:val="0"/>
          <w:highlight w:val="none"/>
        </w:rPr>
        <w:t>（法定代表人直接投标，只须提供法定代表人证明书及身份证原件）</w:t>
      </w:r>
      <w:r>
        <w:rPr>
          <w:rFonts w:hint="eastAsia" w:asciiTheme="minorEastAsia" w:hAnsiTheme="minorEastAsia" w:eastAsiaTheme="minorEastAsia" w:cstheme="minorEastAsia"/>
          <w:b/>
          <w:bCs/>
          <w:szCs w:val="24"/>
          <w:highlight w:val="none"/>
        </w:rPr>
        <w:br w:type="page"/>
      </w:r>
    </w:p>
    <w:p>
      <w:pPr>
        <w:spacing w:line="560" w:lineRule="exact"/>
        <w:ind w:left="240" w:leftChars="10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w:t>
      </w:r>
      <w:r>
        <w:rPr>
          <w:rFonts w:hint="eastAsia" w:asciiTheme="minorEastAsia" w:hAnsiTheme="minorEastAsia" w:eastAsiaTheme="minorEastAsia" w:cstheme="minorEastAsia"/>
          <w:b/>
          <w:bCs/>
          <w:sz w:val="28"/>
          <w:szCs w:val="28"/>
          <w:highlight w:val="none"/>
          <w:lang w:val="en-US" w:eastAsia="zh-CN"/>
        </w:rPr>
        <w:t>或负责人</w:t>
      </w:r>
      <w:r>
        <w:rPr>
          <w:rFonts w:hint="eastAsia" w:asciiTheme="minorEastAsia" w:hAnsiTheme="minorEastAsia" w:eastAsiaTheme="minorEastAsia" w:cstheme="minorEastAsia"/>
          <w:b/>
          <w:bCs/>
          <w:sz w:val="28"/>
          <w:szCs w:val="28"/>
          <w:highlight w:val="none"/>
        </w:rPr>
        <w:t>授权委托书</w:t>
      </w:r>
    </w:p>
    <w:tbl>
      <w:tblPr>
        <w:tblStyle w:val="26"/>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lang w:eastAsia="zh-CN"/>
              </w:rPr>
            </w:pPr>
            <w:r>
              <w:rPr>
                <w:rFonts w:hint="eastAsia" w:asciiTheme="minorEastAsia" w:hAnsiTheme="minorEastAsia" w:eastAsiaTheme="minorEastAsia" w:cstheme="minorEastAsia"/>
                <w:bCs/>
                <w:caps/>
                <w:szCs w:val="24"/>
                <w:highlight w:val="none"/>
              </w:rPr>
              <w:t>致：</w:t>
            </w:r>
            <w:r>
              <w:rPr>
                <w:rFonts w:hint="eastAsia" w:asciiTheme="minorEastAsia" w:hAnsiTheme="minorEastAsia" w:eastAsiaTheme="minorEastAsia" w:cstheme="minorEastAsia"/>
                <w:bCs/>
                <w:caps/>
                <w:szCs w:val="24"/>
                <w:highlight w:val="none"/>
                <w:lang w:eastAsia="zh-CN"/>
              </w:rPr>
              <w:t>陕西中磊工程项目管理有限公司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被授</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权项</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目与</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本授权书</w:t>
            </w:r>
            <w:r>
              <w:rPr>
                <w:rFonts w:hint="eastAsia" w:asciiTheme="minorEastAsia" w:hAnsiTheme="minorEastAsia" w:eastAsiaTheme="minorEastAsia" w:cstheme="minorEastAsia"/>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法定代表人身份证复印件</w:t>
            </w:r>
          </w:p>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（粘贴处）</w:t>
            </w:r>
          </w:p>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被授权人身份证复印件</w:t>
            </w:r>
          </w:p>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（粘贴处）</w:t>
            </w:r>
          </w:p>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Theme="minorEastAsia" w:hAnsiTheme="minorEastAsia" w:eastAsiaTheme="minorEastAsia" w:cstheme="minorEastAsia"/>
                <w:bCs/>
                <w:caps/>
                <w:szCs w:val="24"/>
                <w:highlight w:val="none"/>
              </w:rPr>
            </w:pPr>
            <w:r>
              <w:rPr>
                <w:rFonts w:hint="eastAsia" w:asciiTheme="minorEastAsia" w:hAnsiTheme="minorEastAsia" w:eastAsiaTheme="minorEastAsia" w:cstheme="minorEastAsia"/>
                <w:bCs/>
                <w:caps/>
                <w:szCs w:val="24"/>
                <w:highlight w:val="none"/>
              </w:rPr>
              <w:t xml:space="preserve">投标人名称：（投标人单位公章）  </w:t>
            </w:r>
            <w:r>
              <w:rPr>
                <w:rFonts w:hint="eastAsia" w:asciiTheme="minorEastAsia" w:hAnsiTheme="minorEastAsia" w:cstheme="minorEastAsia"/>
                <w:bCs/>
                <w:caps/>
                <w:szCs w:val="24"/>
                <w:highlight w:val="none"/>
                <w:lang w:val="en-US" w:eastAsia="zh-CN"/>
              </w:rPr>
              <w:t xml:space="preserve">                                </w:t>
            </w:r>
            <w:r>
              <w:rPr>
                <w:rFonts w:hint="eastAsia" w:asciiTheme="minorEastAsia" w:hAnsiTheme="minorEastAsia" w:eastAsiaTheme="minorEastAsia" w:cstheme="minorEastAsia"/>
                <w:bCs/>
                <w:caps/>
                <w:szCs w:val="24"/>
                <w:highlight w:val="none"/>
              </w:rPr>
              <w:t xml:space="preserve">  日 期：</w:t>
            </w:r>
          </w:p>
        </w:tc>
      </w:tr>
      <w:bookmarkEnd w:id="227"/>
      <w:bookmarkEnd w:id="228"/>
      <w:bookmarkEnd w:id="229"/>
      <w:bookmarkEnd w:id="230"/>
      <w:bookmarkEnd w:id="231"/>
      <w:bookmarkEnd w:id="232"/>
      <w:bookmarkEnd w:id="233"/>
      <w:bookmarkEnd w:id="234"/>
      <w:bookmarkEnd w:id="235"/>
      <w:bookmarkEnd w:id="236"/>
    </w:tbl>
    <w:p>
      <w:pPr>
        <w:pStyle w:val="43"/>
        <w:spacing w:line="560" w:lineRule="exact"/>
        <w:ind w:firstLine="0" w:firstLineChars="0"/>
        <w:jc w:val="cente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sz w:val="24"/>
          <w:highlight w:val="none"/>
        </w:rPr>
        <w:t>（被授权人投标时，须提供法定代表人授权委托书及被授权人身份证原件）</w:t>
      </w:r>
    </w:p>
    <w:p>
      <w:pPr>
        <w:pStyle w:val="43"/>
        <w:spacing w:line="560" w:lineRule="exact"/>
        <w:ind w:firstLine="0" w:firstLineChars="0"/>
        <w:rPr>
          <w:rFonts w:hint="eastAsia" w:asciiTheme="minorEastAsia" w:hAnsiTheme="minorEastAsia" w:eastAsiaTheme="minorEastAsia" w:cstheme="minorEastAsia"/>
          <w:b/>
          <w:sz w:val="20"/>
          <w:szCs w:val="16"/>
          <w:highlight w:val="none"/>
        </w:rPr>
      </w:pPr>
      <w:r>
        <w:rPr>
          <w:rFonts w:hint="eastAsia" w:asciiTheme="minorEastAsia" w:hAnsiTheme="minorEastAsia" w:eastAsiaTheme="minorEastAsia" w:cstheme="minorEastAsia"/>
          <w:b/>
          <w:highlight w:val="none"/>
        </w:rPr>
        <w:t>10.</w:t>
      </w:r>
      <w:bookmarkStart w:id="237" w:name="_Toc188808842"/>
      <w:bookmarkStart w:id="238" w:name="_Toc193126891"/>
      <w:r>
        <w:rPr>
          <w:rFonts w:hint="eastAsia" w:asciiTheme="minorEastAsia" w:hAnsiTheme="minorEastAsia" w:eastAsiaTheme="minorEastAsia" w:cstheme="minorEastAsia"/>
          <w:b/>
          <w:highlight w:val="none"/>
        </w:rPr>
        <w:t>业绩证明材料（以合同为准，复印件加盖公章）</w:t>
      </w:r>
    </w:p>
    <w:p>
      <w:pPr>
        <w:pStyle w:val="43"/>
        <w:spacing w:line="560" w:lineRule="exact"/>
        <w:ind w:firstLine="0" w:firstLineChars="0"/>
        <w:rPr>
          <w:rFonts w:hint="eastAsia" w:asciiTheme="minorEastAsia" w:hAnsiTheme="minorEastAsia" w:eastAsiaTheme="minorEastAsia" w:cstheme="minorEastAsia"/>
          <w:b/>
          <w:szCs w:val="28"/>
          <w:highlight w:val="none"/>
        </w:rPr>
      </w:pPr>
      <w:bookmarkStart w:id="239" w:name="_Toc937"/>
      <w:bookmarkStart w:id="240" w:name="_Toc458617479"/>
      <w:bookmarkStart w:id="241" w:name="_Toc14386"/>
    </w:p>
    <w:p>
      <w:pPr>
        <w:pStyle w:val="43"/>
        <w:spacing w:line="560" w:lineRule="exact"/>
        <w:ind w:firstLine="0" w:firstLineChars="0"/>
        <w:rPr>
          <w:rFonts w:hint="eastAsia" w:asciiTheme="minorEastAsia" w:hAnsiTheme="minorEastAsia" w:eastAsiaTheme="minorEastAsia" w:cstheme="minorEastAsia"/>
          <w:b/>
          <w:szCs w:val="28"/>
          <w:highlight w:val="none"/>
        </w:rPr>
      </w:pPr>
    </w:p>
    <w:p>
      <w:pPr>
        <w:pStyle w:val="43"/>
        <w:spacing w:line="560" w:lineRule="exact"/>
        <w:ind w:firstLine="0" w:firstLineChars="0"/>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highlight w:val="none"/>
        </w:rPr>
        <w:t>11.产品的合法渠道证明文件</w:t>
      </w:r>
      <w:bookmarkEnd w:id="239"/>
      <w:bookmarkEnd w:id="240"/>
      <w:bookmarkEnd w:id="241"/>
      <w:bookmarkStart w:id="242" w:name="_Toc193187107"/>
      <w:bookmarkStart w:id="243" w:name="_Toc193126901"/>
      <w:bookmarkStart w:id="244" w:name="_Toc194663938"/>
      <w:bookmarkStart w:id="245" w:name="_Toc23126"/>
      <w:bookmarkStart w:id="246" w:name="_Toc458617480"/>
      <w:bookmarkStart w:id="247" w:name="_Toc23774"/>
    </w:p>
    <w:p>
      <w:pPr>
        <w:pStyle w:val="2"/>
        <w:rPr>
          <w:rFonts w:hint="eastAsia" w:asciiTheme="minorEastAsia" w:hAnsiTheme="minorEastAsia" w:eastAsiaTheme="minorEastAsia" w:cstheme="minorEastAsia"/>
          <w:highlight w:val="none"/>
        </w:rPr>
      </w:pPr>
    </w:p>
    <w:p>
      <w:pPr>
        <w:pStyle w:val="43"/>
        <w:spacing w:line="560" w:lineRule="exact"/>
        <w:ind w:firstLineChars="71"/>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12.</w:t>
      </w:r>
      <w:bookmarkEnd w:id="242"/>
      <w:bookmarkEnd w:id="243"/>
      <w:bookmarkEnd w:id="244"/>
      <w:r>
        <w:rPr>
          <w:rFonts w:hint="eastAsia" w:asciiTheme="minorEastAsia" w:hAnsiTheme="minorEastAsia" w:eastAsiaTheme="minorEastAsia" w:cstheme="minorEastAsia"/>
          <w:b/>
          <w:highlight w:val="none"/>
        </w:rPr>
        <w:t>项目实施方案</w:t>
      </w:r>
    </w:p>
    <w:bookmarkEnd w:id="245"/>
    <w:bookmarkEnd w:id="246"/>
    <w:bookmarkEnd w:id="247"/>
    <w:p>
      <w:pPr>
        <w:pStyle w:val="43"/>
        <w:spacing w:line="560" w:lineRule="exact"/>
        <w:ind w:firstLine="0" w:firstLineChars="0"/>
        <w:rPr>
          <w:rFonts w:hint="eastAsia" w:asciiTheme="minorEastAsia" w:hAnsiTheme="minorEastAsia" w:eastAsiaTheme="minorEastAsia" w:cstheme="minorEastAsia"/>
          <w:b/>
          <w:szCs w:val="28"/>
          <w:highlight w:val="none"/>
        </w:rPr>
      </w:pPr>
      <w:bookmarkStart w:id="248" w:name="_Toc193126902"/>
      <w:bookmarkStart w:id="249" w:name="_Toc188808852"/>
      <w:bookmarkStart w:id="250" w:name="_Toc194663939"/>
      <w:bookmarkStart w:id="251" w:name="_Toc193187108"/>
    </w:p>
    <w:p>
      <w:pPr>
        <w:pStyle w:val="43"/>
        <w:spacing w:line="560" w:lineRule="exact"/>
        <w:ind w:firstLine="0" w:firstLineChars="0"/>
        <w:rPr>
          <w:rFonts w:hint="eastAsia" w:asciiTheme="minorEastAsia" w:hAnsiTheme="minorEastAsia" w:eastAsiaTheme="minorEastAsia" w:cstheme="minorEastAsia"/>
          <w:b/>
          <w:szCs w:val="28"/>
          <w:highlight w:val="none"/>
        </w:rPr>
      </w:pPr>
    </w:p>
    <w:p>
      <w:pPr>
        <w:pStyle w:val="43"/>
        <w:spacing w:line="560" w:lineRule="exact"/>
        <w:ind w:firstLine="0" w:firstLineChars="0"/>
        <w:rPr>
          <w:rFonts w:hint="eastAsia" w:asciiTheme="minorEastAsia" w:hAnsiTheme="minorEastAsia" w:eastAsiaTheme="minorEastAsia" w:cstheme="minorEastAsia"/>
          <w:b/>
          <w:szCs w:val="28"/>
          <w:highlight w:val="none"/>
        </w:rPr>
      </w:pPr>
      <w:r>
        <w:rPr>
          <w:rFonts w:hint="eastAsia" w:asciiTheme="minorEastAsia" w:hAnsiTheme="minorEastAsia" w:eastAsiaTheme="minorEastAsia" w:cstheme="minorEastAsia"/>
          <w:b/>
          <w:szCs w:val="28"/>
          <w:highlight w:val="none"/>
        </w:rPr>
        <w:t>13.</w:t>
      </w:r>
      <w:r>
        <w:rPr>
          <w:rFonts w:hint="eastAsia" w:asciiTheme="minorEastAsia" w:hAnsiTheme="minorEastAsia" w:eastAsiaTheme="minorEastAsia" w:cstheme="minorEastAsia"/>
          <w:b/>
          <w:highlight w:val="none"/>
        </w:rPr>
        <w:t>产品的技术文件</w:t>
      </w:r>
    </w:p>
    <w:p>
      <w:pPr>
        <w:pStyle w:val="43"/>
        <w:spacing w:line="560" w:lineRule="exact"/>
        <w:ind w:firstLine="0" w:firstLineChars="0"/>
        <w:rPr>
          <w:rFonts w:hint="eastAsia" w:asciiTheme="minorEastAsia" w:hAnsiTheme="minorEastAsia" w:eastAsiaTheme="minorEastAsia" w:cstheme="minorEastAsia"/>
          <w:b/>
          <w:highlight w:val="none"/>
        </w:rPr>
      </w:pPr>
      <w:bookmarkStart w:id="252" w:name="_Toc17505"/>
      <w:bookmarkStart w:id="253" w:name="_Toc458617481"/>
      <w:bookmarkStart w:id="254" w:name="_Toc8306"/>
    </w:p>
    <w:p>
      <w:pPr>
        <w:pStyle w:val="43"/>
        <w:spacing w:line="560" w:lineRule="exact"/>
        <w:ind w:firstLineChars="71"/>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14.质量保证</w:t>
      </w:r>
      <w:bookmarkEnd w:id="248"/>
      <w:bookmarkEnd w:id="249"/>
      <w:bookmarkEnd w:id="250"/>
      <w:bookmarkEnd w:id="251"/>
      <w:bookmarkEnd w:id="252"/>
      <w:bookmarkEnd w:id="253"/>
      <w:bookmarkEnd w:id="254"/>
      <w:bookmarkStart w:id="255" w:name="_Toc194663941"/>
      <w:bookmarkStart w:id="256" w:name="_Toc193126904"/>
      <w:bookmarkStart w:id="257" w:name="_Toc188808854"/>
      <w:bookmarkStart w:id="258" w:name="_Toc193187110"/>
      <w:r>
        <w:rPr>
          <w:rFonts w:hint="eastAsia" w:asciiTheme="minorEastAsia" w:hAnsiTheme="minorEastAsia" w:eastAsiaTheme="minorEastAsia" w:cstheme="minorEastAsia"/>
          <w:b/>
          <w:highlight w:val="none"/>
        </w:rPr>
        <w:t xml:space="preserve">承诺 </w:t>
      </w:r>
    </w:p>
    <w:p>
      <w:pPr>
        <w:spacing w:line="560" w:lineRule="exact"/>
        <w:outlineLvl w:val="1"/>
        <w:rPr>
          <w:rFonts w:hint="eastAsia" w:asciiTheme="minorEastAsia" w:hAnsiTheme="minorEastAsia" w:eastAsiaTheme="minorEastAsia" w:cstheme="minorEastAsia"/>
          <w:b/>
          <w:sz w:val="28"/>
          <w:szCs w:val="28"/>
          <w:highlight w:val="none"/>
        </w:rPr>
      </w:pPr>
    </w:p>
    <w:p>
      <w:pPr>
        <w:pStyle w:val="17"/>
        <w:rPr>
          <w:rFonts w:hint="eastAsia" w:asciiTheme="minorEastAsia" w:hAnsiTheme="minorEastAsia" w:eastAsiaTheme="minorEastAsia" w:cstheme="minorEastAsia"/>
          <w:highlight w:val="none"/>
        </w:rPr>
      </w:pPr>
    </w:p>
    <w:p>
      <w:pPr>
        <w:pStyle w:val="17"/>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43"/>
        <w:spacing w:line="560" w:lineRule="exact"/>
        <w:ind w:firstLine="0" w:firstLineChars="0"/>
        <w:rPr>
          <w:rFonts w:hint="eastAsia" w:asciiTheme="minorEastAsia" w:hAnsiTheme="minorEastAsia" w:eastAsiaTheme="minorEastAsia" w:cstheme="minorEastAsia"/>
          <w:b/>
          <w:highlight w:val="none"/>
        </w:rPr>
      </w:pPr>
      <w:bookmarkStart w:id="259" w:name="_Toc458617482"/>
      <w:bookmarkStart w:id="260" w:name="_Toc21757"/>
      <w:bookmarkStart w:id="261" w:name="_Toc2456"/>
      <w:r>
        <w:rPr>
          <w:rFonts w:hint="eastAsia" w:asciiTheme="minorEastAsia" w:hAnsiTheme="minorEastAsia" w:eastAsiaTheme="minorEastAsia" w:cstheme="minorEastAsia"/>
          <w:b/>
          <w:highlight w:val="none"/>
        </w:rPr>
        <w:t>15.售后服务</w:t>
      </w:r>
      <w:bookmarkEnd w:id="255"/>
      <w:bookmarkEnd w:id="256"/>
      <w:bookmarkEnd w:id="257"/>
      <w:bookmarkEnd w:id="258"/>
      <w:bookmarkEnd w:id="259"/>
      <w:bookmarkEnd w:id="260"/>
      <w:bookmarkEnd w:id="261"/>
      <w:bookmarkStart w:id="262" w:name="_Toc6260"/>
      <w:bookmarkStart w:id="263" w:name="_Toc11302"/>
      <w:bookmarkStart w:id="264" w:name="_Toc458617483"/>
      <w:bookmarkStart w:id="265" w:name="_Toc193187111"/>
      <w:bookmarkStart w:id="266" w:name="_Toc194663942"/>
      <w:bookmarkStart w:id="267" w:name="_Toc193126905"/>
      <w:bookmarkStart w:id="268" w:name="_Toc188808855"/>
      <w:r>
        <w:rPr>
          <w:rFonts w:hint="eastAsia" w:asciiTheme="minorEastAsia" w:hAnsiTheme="minorEastAsia" w:eastAsiaTheme="minorEastAsia" w:cstheme="minorEastAsia"/>
          <w:b/>
          <w:highlight w:val="none"/>
        </w:rPr>
        <w:t>及培训计划</w:t>
      </w:r>
      <w:bookmarkEnd w:id="262"/>
      <w:bookmarkEnd w:id="263"/>
      <w:bookmarkEnd w:id="264"/>
    </w:p>
    <w:p>
      <w:pPr>
        <w:pStyle w:val="43"/>
        <w:spacing w:line="560" w:lineRule="exact"/>
        <w:ind w:firstLine="0" w:firstLineChars="0"/>
        <w:rPr>
          <w:rFonts w:hint="eastAsia" w:asciiTheme="minorEastAsia" w:hAnsiTheme="minorEastAsia" w:eastAsiaTheme="minorEastAsia" w:cstheme="minorEastAsia"/>
          <w:b/>
          <w:highlight w:val="none"/>
        </w:rPr>
      </w:pPr>
      <w:bookmarkStart w:id="269" w:name="_Toc458617484"/>
      <w:bookmarkStart w:id="270" w:name="_Toc27682"/>
      <w:bookmarkStart w:id="271" w:name="_Toc6949"/>
    </w:p>
    <w:p>
      <w:pPr>
        <w:pStyle w:val="43"/>
        <w:spacing w:line="560" w:lineRule="exact"/>
        <w:ind w:firstLine="0" w:firstLineChars="0"/>
        <w:rPr>
          <w:rFonts w:hint="eastAsia" w:asciiTheme="minorEastAsia" w:hAnsiTheme="minorEastAsia" w:eastAsiaTheme="minorEastAsia" w:cstheme="minorEastAsia"/>
          <w:b/>
          <w:highlight w:val="none"/>
        </w:rPr>
      </w:pPr>
    </w:p>
    <w:p>
      <w:pPr>
        <w:pStyle w:val="43"/>
        <w:spacing w:line="560" w:lineRule="exact"/>
        <w:ind w:firstLine="0" w:firstLineChars="0"/>
        <w:rPr>
          <w:rFonts w:hint="eastAsia" w:asciiTheme="minorEastAsia" w:hAnsiTheme="minorEastAsia" w:eastAsiaTheme="minorEastAsia" w:cstheme="minorEastAsia"/>
          <w:bCs/>
          <w:sz w:val="24"/>
          <w:szCs w:val="21"/>
          <w:highlight w:val="none"/>
        </w:rPr>
      </w:pPr>
      <w:r>
        <w:rPr>
          <w:rFonts w:hint="eastAsia" w:asciiTheme="minorEastAsia" w:hAnsiTheme="minorEastAsia" w:eastAsiaTheme="minorEastAsia" w:cstheme="minorEastAsia"/>
          <w:b/>
          <w:highlight w:val="none"/>
        </w:rPr>
        <w:t>16.投标人认为有必要补充说明的事宜</w:t>
      </w:r>
      <w:bookmarkEnd w:id="269"/>
      <w:bookmarkEnd w:id="270"/>
      <w:bookmarkEnd w:id="271"/>
      <w:r>
        <w:rPr>
          <w:rFonts w:hint="eastAsia" w:asciiTheme="minorEastAsia" w:hAnsiTheme="minorEastAsia" w:eastAsiaTheme="minorEastAsia" w:cstheme="minorEastAsia"/>
          <w:bCs/>
          <w:sz w:val="24"/>
          <w:szCs w:val="21"/>
          <w:highlight w:val="none"/>
        </w:rPr>
        <w:t>（若有）</w:t>
      </w:r>
    </w:p>
    <w:p>
      <w:pPr>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br w:type="page"/>
      </w:r>
    </w:p>
    <w:p>
      <w:pPr>
        <w:pStyle w:val="43"/>
        <w:spacing w:line="560" w:lineRule="exact"/>
        <w:ind w:firstLine="0" w:firstLineChars="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bCs/>
          <w:szCs w:val="28"/>
          <w:highlight w:val="none"/>
        </w:rPr>
        <w:t>17.</w:t>
      </w:r>
      <w:bookmarkEnd w:id="265"/>
      <w:bookmarkEnd w:id="266"/>
      <w:bookmarkEnd w:id="267"/>
      <w:bookmarkEnd w:id="268"/>
      <w:r>
        <w:rPr>
          <w:rFonts w:hint="eastAsia" w:asciiTheme="minorEastAsia" w:hAnsiTheme="minorEastAsia" w:eastAsiaTheme="minorEastAsia" w:cstheme="minorEastAsia"/>
          <w:b/>
          <w:bCs/>
          <w:szCs w:val="28"/>
          <w:highlight w:val="none"/>
        </w:rPr>
        <w:t>投标人承诺书</w:t>
      </w:r>
    </w:p>
    <w:p>
      <w:pPr>
        <w:widowControl/>
        <w:spacing w:line="560" w:lineRule="exact"/>
        <w:rPr>
          <w:rFonts w:hint="eastAsia" w:asciiTheme="minorEastAsia" w:hAnsiTheme="minorEastAsia" w:eastAsiaTheme="minorEastAsia" w:cstheme="minorEastAsia"/>
          <w:b/>
          <w:bCs/>
          <w:kern w:val="0"/>
          <w:sz w:val="32"/>
          <w:szCs w:val="32"/>
          <w:highlight w:val="none"/>
        </w:rPr>
      </w:pPr>
    </w:p>
    <w:p>
      <w:pPr>
        <w:widowControl/>
        <w:spacing w:line="560" w:lineRule="exact"/>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陕西省政府采购投标人</w:t>
      </w:r>
    </w:p>
    <w:p>
      <w:pPr>
        <w:widowControl/>
        <w:spacing w:line="560" w:lineRule="exact"/>
        <w:jc w:val="center"/>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拒绝政府采购领域商业贿赂承诺书Ⅰ</w:t>
      </w:r>
    </w:p>
    <w:p>
      <w:pPr>
        <w:widowControl/>
        <w:spacing w:line="560" w:lineRule="exact"/>
        <w:ind w:firstLine="480" w:firstLineChars="200"/>
        <w:jc w:val="left"/>
        <w:rPr>
          <w:rFonts w:hint="eastAsia" w:asciiTheme="minorEastAsia" w:hAnsiTheme="minorEastAsia" w:eastAsiaTheme="minorEastAsia" w:cstheme="minorEastAsia"/>
          <w:kern w:val="0"/>
          <w:highlight w:val="none"/>
        </w:rPr>
      </w:pP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为响应党中央、国务院关于治理政府采购领域商业贿赂行为的号召，</w:t>
      </w:r>
      <w:r>
        <w:rPr>
          <w:rFonts w:hint="eastAsia" w:asciiTheme="minorEastAsia" w:hAnsiTheme="minorEastAsia" w:eastAsiaTheme="minorEastAsia" w:cstheme="minorEastAsia"/>
          <w:kern w:val="0"/>
          <w:highlight w:val="none"/>
        </w:rPr>
        <w:t xml:space="preserve">我单位作为     </w:t>
      </w:r>
      <w:r>
        <w:rPr>
          <w:rFonts w:hint="eastAsia" w:asciiTheme="minorEastAsia" w:hAnsiTheme="minorEastAsia" w:eastAsiaTheme="minorEastAsia" w:cstheme="minorEastAsia"/>
          <w:kern w:val="0"/>
          <w:highlight w:val="none"/>
          <w:u w:val="single"/>
        </w:rPr>
        <w:t xml:space="preserve">（项目名称）         </w:t>
      </w:r>
      <w:r>
        <w:rPr>
          <w:rFonts w:hint="eastAsia" w:asciiTheme="minorEastAsia" w:hAnsiTheme="minorEastAsia" w:eastAsiaTheme="minorEastAsia" w:cstheme="minorEastAsia"/>
          <w:kern w:val="0"/>
          <w:highlight w:val="none"/>
        </w:rPr>
        <w:t xml:space="preserve"> 的投标人，</w:t>
      </w:r>
      <w:r>
        <w:rPr>
          <w:rFonts w:hint="eastAsia" w:asciiTheme="minorEastAsia" w:hAnsiTheme="minorEastAsia" w:eastAsiaTheme="minorEastAsia" w:cstheme="minorEastAsia"/>
          <w:kern w:val="0"/>
          <w:szCs w:val="24"/>
          <w:highlight w:val="none"/>
        </w:rPr>
        <w:t xml:space="preserve">在此庄严承诺：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1、在参与政府采购活动中遵纪守法、诚信经营、公平竞标。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2、不向采购人、采购代理机构和政府采购评审专家进行任何形式的商业贿赂以谋取交易机会。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3、不向政府采购采购代理机构和采购人提供虚假资质文件或采用虚假应标方式参与政府采购市场竞争并谋取中标、成交。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4、不采取“围标、陪标”等商业欺诈手段获得政府采购定单。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5、不采取不正当手段低毁、排挤其他投标人。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6、不在提供商品和服务时“偷梁换柱、以次充好”损害采购人的合法权益。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7、不与采购人、采购代理机构政府采购评审专家或其它投标人恶意串通，进行质疑和投诉，维护政府采购市场秩序。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8、尊重和接受政府采购监督管理部门的监督和政府采购代理机构招标要求，承担因违约行为给采购人造成的损失。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 xml:space="preserve">  9、不发生其他有悖于政府采购公开、公平、公正和诚信原则的行为。 </w:t>
      </w:r>
    </w:p>
    <w:p>
      <w:pPr>
        <w:pStyle w:val="19"/>
        <w:rPr>
          <w:rFonts w:hint="eastAsia" w:asciiTheme="minorEastAsia" w:hAnsiTheme="minorEastAsia" w:eastAsiaTheme="minorEastAsia" w:cstheme="minorEastAsia"/>
          <w:highlight w:val="none"/>
        </w:rPr>
      </w:pP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p>
    <w:p>
      <w:pPr>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br w:type="page"/>
      </w:r>
    </w:p>
    <w:p>
      <w:pPr>
        <w:widowControl/>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承诺单位：</w:t>
      </w:r>
      <w:r>
        <w:rPr>
          <w:rFonts w:hint="eastAsia" w:asciiTheme="minorEastAsia" w:hAnsiTheme="minorEastAsia" w:eastAsiaTheme="minorEastAsia" w:cstheme="minorEastAsia"/>
          <w:kern w:val="0"/>
          <w:szCs w:val="24"/>
          <w:highlight w:val="none"/>
          <w:u w:val="single"/>
        </w:rPr>
        <w:t>　　                 　</w:t>
      </w:r>
      <w:r>
        <w:rPr>
          <w:rFonts w:hint="eastAsia" w:asciiTheme="minorEastAsia" w:hAnsiTheme="minorEastAsia" w:eastAsiaTheme="minorEastAsia" w:cstheme="minorEastAsia"/>
          <w:kern w:val="0"/>
          <w:szCs w:val="24"/>
          <w:highlight w:val="none"/>
        </w:rPr>
        <w:t xml:space="preserve">（盖章） </w:t>
      </w:r>
    </w:p>
    <w:p>
      <w:pPr>
        <w:widowControl/>
        <w:spacing w:line="560" w:lineRule="exact"/>
        <w:ind w:firstLine="240" w:firstLine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全权代表：</w:t>
      </w:r>
      <w:r>
        <w:rPr>
          <w:rFonts w:hint="eastAsia" w:asciiTheme="minorEastAsia" w:hAnsiTheme="minorEastAsia" w:eastAsiaTheme="minorEastAsia" w:cstheme="minorEastAsia"/>
          <w:kern w:val="0"/>
          <w:szCs w:val="24"/>
          <w:highlight w:val="none"/>
          <w:u w:val="single"/>
        </w:rPr>
        <w:t>　　　　　     　　　　</w:t>
      </w:r>
      <w:r>
        <w:rPr>
          <w:rFonts w:hint="eastAsia" w:asciiTheme="minorEastAsia" w:hAnsiTheme="minorEastAsia" w:eastAsiaTheme="minorEastAsia" w:cstheme="minorEastAsia"/>
          <w:kern w:val="0"/>
          <w:szCs w:val="24"/>
          <w:highlight w:val="none"/>
        </w:rPr>
        <w:t xml:space="preserve">（签字） </w:t>
      </w:r>
    </w:p>
    <w:p>
      <w:pPr>
        <w:widowControl/>
        <w:spacing w:line="560" w:lineRule="exact"/>
        <w:ind w:firstLine="240" w:firstLineChars="100"/>
        <w:rPr>
          <w:rFonts w:hint="eastAsia" w:asciiTheme="minorEastAsia" w:hAnsiTheme="minorEastAsia" w:eastAsiaTheme="minorEastAsia" w:cstheme="minorEastAsia"/>
          <w:kern w:val="0"/>
          <w:szCs w:val="24"/>
          <w:highlight w:val="none"/>
          <w:u w:val="single"/>
        </w:rPr>
      </w:pPr>
      <w:r>
        <w:rPr>
          <w:rFonts w:hint="eastAsia" w:asciiTheme="minorEastAsia" w:hAnsiTheme="minorEastAsia" w:eastAsiaTheme="minorEastAsia" w:cstheme="minorEastAsia"/>
          <w:kern w:val="0"/>
          <w:szCs w:val="24"/>
          <w:highlight w:val="none"/>
        </w:rPr>
        <w:t>地　　址：</w:t>
      </w:r>
    </w:p>
    <w:p>
      <w:pPr>
        <w:widowControl/>
        <w:spacing w:line="560" w:lineRule="exact"/>
        <w:ind w:left="240" w:leftChars="100"/>
        <w:rPr>
          <w:rFonts w:hint="eastAsia" w:asciiTheme="minorEastAsia" w:hAnsiTheme="minorEastAsia" w:eastAsiaTheme="minorEastAsia" w:cstheme="minorEastAsia"/>
          <w:kern w:val="0"/>
          <w:szCs w:val="24"/>
          <w:highlight w:val="none"/>
          <w:u w:val="single"/>
        </w:rPr>
      </w:pPr>
      <w:r>
        <w:rPr>
          <w:rFonts w:hint="eastAsia" w:asciiTheme="minorEastAsia" w:hAnsiTheme="minorEastAsia" w:eastAsiaTheme="minorEastAsia" w:cstheme="minorEastAsia"/>
          <w:kern w:val="0"/>
          <w:szCs w:val="24"/>
          <w:highlight w:val="none"/>
        </w:rPr>
        <w:t>邮    编：</w:t>
      </w:r>
      <w:r>
        <w:rPr>
          <w:rFonts w:hint="eastAsia" w:asciiTheme="minorEastAsia" w:hAnsiTheme="minorEastAsia" w:eastAsiaTheme="minorEastAsia" w:cstheme="minorEastAsia"/>
          <w:kern w:val="0"/>
          <w:szCs w:val="24"/>
          <w:highlight w:val="none"/>
          <w:u w:val="single"/>
        </w:rPr>
        <w:t xml:space="preserve">　　                     　　 </w:t>
      </w:r>
    </w:p>
    <w:p>
      <w:pPr>
        <w:widowControl/>
        <w:spacing w:line="560" w:lineRule="exact"/>
        <w:ind w:left="240" w:leftChars="100"/>
        <w:rPr>
          <w:rFonts w:hint="eastAsia"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电　　话：</w:t>
      </w:r>
      <w:r>
        <w:rPr>
          <w:rFonts w:hint="eastAsia" w:asciiTheme="minorEastAsia" w:hAnsiTheme="minorEastAsia" w:eastAsiaTheme="minorEastAsia" w:cstheme="minorEastAsia"/>
          <w:kern w:val="0"/>
          <w:szCs w:val="24"/>
          <w:highlight w:val="none"/>
          <w:u w:val="single"/>
        </w:rPr>
        <w:t>　　　                　　　　</w:t>
      </w:r>
      <w:r>
        <w:rPr>
          <w:rFonts w:hint="eastAsia" w:asciiTheme="minorEastAsia" w:hAnsiTheme="minorEastAsia" w:eastAsiaTheme="minorEastAsia" w:cstheme="minorEastAsia"/>
          <w:kern w:val="0"/>
          <w:szCs w:val="24"/>
          <w:highlight w:val="none"/>
        </w:rPr>
        <w:t xml:space="preserve">　　 </w:t>
      </w:r>
    </w:p>
    <w:p>
      <w:pPr>
        <w:widowControl/>
        <w:spacing w:line="560" w:lineRule="exact"/>
        <w:ind w:firstLine="480" w:firstLineChars="200"/>
        <w:rPr>
          <w:rFonts w:hint="eastAsia" w:asciiTheme="minorEastAsia" w:hAnsiTheme="minorEastAsia" w:eastAsiaTheme="minorEastAsia" w:cstheme="minorEastAsia"/>
          <w:kern w:val="0"/>
          <w:szCs w:val="24"/>
          <w:highlight w:val="none"/>
        </w:rPr>
      </w:pPr>
    </w:p>
    <w:p>
      <w:pPr>
        <w:spacing w:line="560" w:lineRule="exact"/>
        <w:ind w:firstLine="4920" w:firstLineChars="2050"/>
        <w:rPr>
          <w:rFonts w:hint="eastAsia" w:asciiTheme="minorEastAsia" w:hAnsiTheme="minorEastAsia" w:eastAsiaTheme="minorEastAsia" w:cstheme="minorEastAsia"/>
          <w:kern w:val="0"/>
          <w:szCs w:val="24"/>
          <w:highlight w:val="none"/>
        </w:rPr>
        <w:sectPr>
          <w:headerReference r:id="rId20" w:type="first"/>
          <w:footerReference r:id="rId22" w:type="first"/>
          <w:headerReference r:id="rId19" w:type="default"/>
          <w:footerReference r:id="rId21" w:type="default"/>
          <w:pgSz w:w="11905" w:h="16840"/>
          <w:pgMar w:top="1417" w:right="1417" w:bottom="1417" w:left="1417" w:header="935" w:footer="907" w:gutter="0"/>
          <w:pgNumType w:fmt="numberInDash"/>
          <w:cols w:space="0" w:num="1"/>
          <w:titlePg/>
          <w:docGrid w:linePitch="312" w:charSpace="0"/>
        </w:sectPr>
      </w:pPr>
      <w:r>
        <w:rPr>
          <w:rFonts w:hint="eastAsia" w:asciiTheme="minorEastAsia" w:hAnsiTheme="minorEastAsia" w:eastAsiaTheme="minorEastAsia" w:cstheme="minorEastAsia"/>
          <w:kern w:val="0"/>
          <w:szCs w:val="24"/>
          <w:highlight w:val="none"/>
        </w:rPr>
        <w:t>年　　月　　日</w:t>
      </w:r>
    </w:p>
    <w:bookmarkEnd w:id="237"/>
    <w:bookmarkEnd w:id="238"/>
    <w:p>
      <w:pPr>
        <w:spacing w:line="360" w:lineRule="atLeast"/>
        <w:jc w:val="center"/>
        <w:rPr>
          <w:rFonts w:hint="eastAsia" w:asciiTheme="minorEastAsia" w:hAnsiTheme="minorEastAsia" w:eastAsiaTheme="minorEastAsia" w:cstheme="minorEastAsia"/>
          <w:b/>
          <w:sz w:val="32"/>
          <w:szCs w:val="32"/>
          <w:highlight w:val="none"/>
        </w:rPr>
      </w:pPr>
      <w:bookmarkStart w:id="272" w:name="_Toc458617748"/>
      <w:r>
        <w:rPr>
          <w:rFonts w:hint="eastAsia" w:asciiTheme="minorEastAsia" w:hAnsiTheme="minorEastAsia" w:eastAsiaTheme="minorEastAsia" w:cstheme="minorEastAsia"/>
          <w:b/>
          <w:sz w:val="32"/>
          <w:szCs w:val="32"/>
          <w:highlight w:val="none"/>
        </w:rPr>
        <w:t>承诺书Ⅱ</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lang w:eastAsia="zh-CN"/>
              </w:rPr>
              <w:t>陕西中磊工程项目管理有限公司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p>
        </w:tc>
        <w:tc>
          <w:tcPr>
            <w:tcW w:w="3420" w:type="dxa"/>
            <w:vAlign w:val="center"/>
          </w:tcPr>
          <w:p>
            <w:pPr>
              <w:spacing w:line="6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w:t>
            </w:r>
          </w:p>
        </w:tc>
        <w:tc>
          <w:tcPr>
            <w:tcW w:w="2340" w:type="dxa"/>
            <w:vAlign w:val="center"/>
          </w:tcPr>
          <w:p>
            <w:pPr>
              <w:spacing w:line="6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（公章）</w:t>
            </w:r>
          </w:p>
        </w:tc>
        <w:tc>
          <w:tcPr>
            <w:tcW w:w="3420" w:type="dxa"/>
            <w:vAlign w:val="center"/>
          </w:tcPr>
          <w:p>
            <w:pPr>
              <w:spacing w:line="6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（签字或盖章）</w:t>
            </w:r>
          </w:p>
        </w:tc>
        <w:tc>
          <w:tcPr>
            <w:tcW w:w="2340" w:type="dxa"/>
            <w:vAlign w:val="center"/>
          </w:tcPr>
          <w:p>
            <w:pPr>
              <w:spacing w:line="640" w:lineRule="exact"/>
              <w:ind w:firstLine="240" w:firstLineChars="1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  月  日</w:t>
            </w:r>
          </w:p>
        </w:tc>
      </w:tr>
    </w:tbl>
    <w:p>
      <w:pPr>
        <w:spacing w:line="360" w:lineRule="atLeast"/>
        <w:jc w:val="center"/>
        <w:rPr>
          <w:rFonts w:hint="eastAsia" w:asciiTheme="minorEastAsia" w:hAnsiTheme="minorEastAsia" w:eastAsiaTheme="minorEastAsia" w:cstheme="minorEastAsia"/>
          <w:b/>
          <w:sz w:val="32"/>
          <w:szCs w:val="32"/>
          <w:highlight w:val="none"/>
        </w:rPr>
      </w:pPr>
    </w:p>
    <w:p>
      <w:pPr>
        <w:spacing w:line="360" w:lineRule="atLeas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承诺书Ⅲ</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lang w:eastAsia="zh-CN"/>
              </w:rPr>
              <w:t>陕西中磊工程项目管理有限公司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作为参加贵公司组织的招标采购项目的投标人，本公司郑重申告并承诺：近三年受到有关行政主管部门的行政处理、不良行为记录为次（没有填零），如有隐瞒实情，愿承担一切责任及后果。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w:t>
            </w:r>
          </w:p>
        </w:tc>
        <w:tc>
          <w:tcPr>
            <w:tcW w:w="23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（公章）</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（签字或盖章）</w:t>
            </w:r>
          </w:p>
        </w:tc>
        <w:tc>
          <w:tcPr>
            <w:tcW w:w="2340" w:type="dxa"/>
            <w:vAlign w:val="center"/>
          </w:tcPr>
          <w:p>
            <w:pPr>
              <w:spacing w:line="360" w:lineRule="atLeast"/>
              <w:ind w:firstLine="240" w:firstLineChars="1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  月  日</w:t>
            </w:r>
          </w:p>
        </w:tc>
      </w:tr>
    </w:tbl>
    <w:p>
      <w:pPr>
        <w:spacing w:line="360" w:lineRule="atLeas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r>
        <w:rPr>
          <w:rFonts w:hint="eastAsia" w:asciiTheme="minorEastAsia" w:hAnsiTheme="minorEastAsia" w:eastAsiaTheme="minorEastAsia" w:cstheme="minorEastAsia"/>
          <w:b/>
          <w:sz w:val="32"/>
          <w:szCs w:val="32"/>
          <w:highlight w:val="none"/>
        </w:rPr>
        <w:t>承诺书Ⅳ</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lang w:eastAsia="zh-CN"/>
              </w:rPr>
              <w:t>陕西中磊工程项目管理有限公司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作为参加贵公司组织的招标采购项目的投标人，本公司郑重申告：近三年因产品供货问题（水货、替代品、次品、翻新品等）的不法行为记录为次（没有填零），如有隐瞒实情，愿承担一切责任及后果。</w:t>
            </w:r>
          </w:p>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w:t>
            </w:r>
          </w:p>
        </w:tc>
        <w:tc>
          <w:tcPr>
            <w:tcW w:w="23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（公章）</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（签字或盖章）</w:t>
            </w:r>
          </w:p>
        </w:tc>
        <w:tc>
          <w:tcPr>
            <w:tcW w:w="2340" w:type="dxa"/>
            <w:vAlign w:val="center"/>
          </w:tcPr>
          <w:p>
            <w:pPr>
              <w:spacing w:line="360" w:lineRule="atLeast"/>
              <w:ind w:firstLine="240" w:firstLineChars="1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  月  日</w:t>
            </w:r>
          </w:p>
        </w:tc>
      </w:tr>
    </w:tbl>
    <w:p>
      <w:pPr>
        <w:spacing w:line="360" w:lineRule="auto"/>
        <w:ind w:right="480"/>
        <w:rPr>
          <w:rFonts w:hint="eastAsia" w:asciiTheme="minorEastAsia" w:hAnsiTheme="minorEastAsia" w:eastAsiaTheme="minorEastAsia" w:cstheme="minorEastAsia"/>
          <w:szCs w:val="28"/>
          <w:highlight w:val="none"/>
        </w:rPr>
      </w:pPr>
    </w:p>
    <w:p>
      <w:pPr>
        <w:spacing w:line="360" w:lineRule="atLeas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承诺书</w:t>
      </w:r>
      <w:r>
        <w:rPr>
          <w:rFonts w:hint="eastAsia" w:asciiTheme="minorEastAsia" w:hAnsiTheme="minorEastAsia" w:eastAsiaTheme="minorEastAsia" w:cstheme="minorEastAsia"/>
          <w:b/>
          <w:sz w:val="36"/>
          <w:szCs w:val="36"/>
          <w:highlight w:val="none"/>
        </w:rPr>
        <w:fldChar w:fldCharType="begin"/>
      </w:r>
      <w:r>
        <w:rPr>
          <w:rFonts w:hint="eastAsia" w:asciiTheme="minorEastAsia" w:hAnsiTheme="minorEastAsia" w:eastAsiaTheme="minorEastAsia" w:cstheme="minorEastAsia"/>
          <w:b/>
          <w:sz w:val="36"/>
          <w:szCs w:val="36"/>
          <w:highlight w:val="none"/>
        </w:rPr>
        <w:instrText xml:space="preserve"> = 5 \* ROMAN </w:instrText>
      </w:r>
      <w:r>
        <w:rPr>
          <w:rFonts w:hint="eastAsia" w:asciiTheme="minorEastAsia" w:hAnsiTheme="minorEastAsia" w:eastAsiaTheme="minorEastAsia" w:cstheme="minorEastAsia"/>
          <w:b/>
          <w:sz w:val="36"/>
          <w:szCs w:val="36"/>
          <w:highlight w:val="none"/>
        </w:rPr>
        <w:fldChar w:fldCharType="separate"/>
      </w:r>
      <w:r>
        <w:rPr>
          <w:rFonts w:hint="eastAsia" w:asciiTheme="minorEastAsia" w:hAnsiTheme="minorEastAsia" w:eastAsiaTheme="minorEastAsia" w:cstheme="minorEastAsia"/>
          <w:b/>
          <w:sz w:val="36"/>
          <w:szCs w:val="36"/>
          <w:highlight w:val="none"/>
        </w:rPr>
        <w:t>V</w:t>
      </w:r>
      <w:r>
        <w:rPr>
          <w:rFonts w:hint="eastAsia" w:asciiTheme="minorEastAsia" w:hAnsiTheme="minorEastAsia" w:eastAsiaTheme="minorEastAsia" w:cstheme="minorEastAsia"/>
          <w:b/>
          <w:sz w:val="36"/>
          <w:szCs w:val="36"/>
          <w:highlight w:val="none"/>
        </w:rPr>
        <w:fldChar w:fldCharType="end"/>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360" w:lineRule="atLeas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lang w:eastAsia="zh-CN"/>
              </w:rPr>
              <w:t>陕西中磊工程项目管理有限公司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vAlign w:val="center"/>
          </w:tcPr>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w:t>
            </w:r>
          </w:p>
        </w:tc>
        <w:tc>
          <w:tcPr>
            <w:tcW w:w="23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（公章）</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（签字或盖章）</w:t>
            </w:r>
          </w:p>
        </w:tc>
        <w:tc>
          <w:tcPr>
            <w:tcW w:w="2340" w:type="dxa"/>
            <w:vAlign w:val="center"/>
          </w:tcPr>
          <w:p>
            <w:pPr>
              <w:spacing w:line="360" w:lineRule="atLeast"/>
              <w:ind w:firstLine="240" w:firstLineChars="1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  月  日</w:t>
            </w:r>
          </w:p>
        </w:tc>
      </w:tr>
    </w:tbl>
    <w:p>
      <w:pPr>
        <w:spacing w:line="360" w:lineRule="atLeast"/>
        <w:jc w:val="center"/>
        <w:rPr>
          <w:rFonts w:hint="eastAsia" w:asciiTheme="minorEastAsia" w:hAnsiTheme="minorEastAsia" w:eastAsiaTheme="minorEastAsia" w:cstheme="minorEastAsia"/>
          <w:b/>
          <w:sz w:val="32"/>
          <w:szCs w:val="32"/>
          <w:highlight w:val="none"/>
        </w:rPr>
      </w:pPr>
    </w:p>
    <w:p>
      <w:pP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p>
    <w:p>
      <w:pPr>
        <w:spacing w:line="360" w:lineRule="atLeas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承诺书Ⅵ</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lang w:eastAsia="zh-CN"/>
              </w:rPr>
              <w:t>陕西中磊工程项目管理有限公司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作为参加贵公司组织的招标采购项目的投标人，本公司承诺：我单位法人代表及主要负责人所在的公司在近三年内没有违法违规行为，如有，我单位自愿放弃本次项目的投标。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w:t>
            </w:r>
          </w:p>
        </w:tc>
        <w:tc>
          <w:tcPr>
            <w:tcW w:w="23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（公章）</w:t>
            </w:r>
          </w:p>
        </w:tc>
        <w:tc>
          <w:tcPr>
            <w:tcW w:w="3420" w:type="dxa"/>
            <w:vAlign w:val="center"/>
          </w:tcPr>
          <w:p>
            <w:pPr>
              <w:spacing w:line="36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（签字或盖章）</w:t>
            </w:r>
          </w:p>
        </w:tc>
        <w:tc>
          <w:tcPr>
            <w:tcW w:w="2340" w:type="dxa"/>
            <w:vAlign w:val="center"/>
          </w:tcPr>
          <w:p>
            <w:pPr>
              <w:spacing w:line="360" w:lineRule="atLeast"/>
              <w:ind w:firstLine="240" w:firstLineChars="1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年  月  日</w:t>
            </w:r>
          </w:p>
        </w:tc>
      </w:tr>
    </w:tbl>
    <w:p>
      <w:pPr>
        <w:rPr>
          <w:rFonts w:hint="eastAsia" w:asciiTheme="minorEastAsia" w:hAnsiTheme="minorEastAsia" w:eastAsiaTheme="minorEastAsia" w:cstheme="minorEastAsia"/>
          <w:b/>
          <w:bCs/>
          <w:szCs w:val="28"/>
          <w:highlight w:val="none"/>
        </w:rPr>
      </w:pPr>
    </w:p>
    <w:p>
      <w:pPr>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br w:type="page"/>
      </w:r>
    </w:p>
    <w:p>
      <w:pPr>
        <w:pStyle w:val="43"/>
        <w:spacing w:line="560" w:lineRule="exact"/>
        <w:ind w:firstLine="174" w:firstLineChars="6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Cs w:val="28"/>
          <w:highlight w:val="none"/>
        </w:rPr>
        <w:t>18.《中小企业声明函》</w:t>
      </w:r>
      <w:bookmarkEnd w:id="272"/>
      <w:bookmarkStart w:id="273" w:name="OLE_LINK19"/>
      <w:r>
        <w:rPr>
          <w:rFonts w:hint="eastAsia" w:asciiTheme="minorEastAsia" w:hAnsiTheme="minorEastAsia" w:eastAsiaTheme="minorEastAsia" w:cstheme="minorEastAsia"/>
          <w:sz w:val="24"/>
          <w:szCs w:val="24"/>
          <w:highlight w:val="none"/>
        </w:rPr>
        <w:t>（格式，若有）</w:t>
      </w:r>
    </w:p>
    <w:bookmarkEnd w:id="273"/>
    <w:p>
      <w:pPr>
        <w:spacing w:line="640" w:lineRule="exact"/>
        <w:jc w:val="center"/>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中小企业声明函(货物）</w:t>
      </w:r>
      <w:r>
        <w:rPr>
          <w:rFonts w:hint="eastAsia" w:asciiTheme="minorEastAsia" w:hAnsiTheme="minorEastAsia" w:eastAsiaTheme="minorEastAsia" w:cstheme="minorEastAsia"/>
          <w:b/>
          <w:bCs/>
          <w:kern w:val="0"/>
          <w:sz w:val="20"/>
          <w:szCs w:val="20"/>
          <w:highlight w:val="none"/>
        </w:rPr>
        <w:t>(非中小企业不填写)</w:t>
      </w:r>
    </w:p>
    <w:p>
      <w:pPr>
        <w:spacing w:line="560" w:lineRule="exact"/>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rPr>
        <w:t>致：</w:t>
      </w:r>
      <w:r>
        <w:rPr>
          <w:rFonts w:hint="eastAsia" w:asciiTheme="minorEastAsia" w:hAnsiTheme="minorEastAsia" w:eastAsiaTheme="minorEastAsia" w:cstheme="minorEastAsia"/>
          <w:szCs w:val="24"/>
          <w:highlight w:val="none"/>
          <w:lang w:eastAsia="zh-CN"/>
        </w:rPr>
        <w:t>陕西中磊工程项目管理有限公司</w:t>
      </w:r>
    </w:p>
    <w:p>
      <w:pPr>
        <w:spacing w:line="560" w:lineRule="exact"/>
        <w:ind w:firstLine="435"/>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本公司郑重声明，根据《政府采购促进中小企业发展管理办法》（财库【2020】46号）的规定，本公司参加</w:t>
      </w:r>
      <w:r>
        <w:rPr>
          <w:rFonts w:hint="eastAsia" w:asciiTheme="minorEastAsia" w:hAnsiTheme="minorEastAsia" w:eastAsiaTheme="minorEastAsia" w:cstheme="minorEastAsia"/>
          <w:szCs w:val="24"/>
          <w:highlight w:val="none"/>
          <w:u w:val="single"/>
        </w:rPr>
        <w:t xml:space="preserve"> （单位名称）</w:t>
      </w:r>
      <w:r>
        <w:rPr>
          <w:rFonts w:hint="eastAsia" w:asciiTheme="minorEastAsia" w:hAnsiTheme="minorEastAsia" w:eastAsiaTheme="minorEastAsia" w:cstheme="minorEastAsia"/>
          <w:szCs w:val="24"/>
          <w:highlight w:val="none"/>
        </w:rPr>
        <w:t xml:space="preserve"> 的</w:t>
      </w:r>
      <w:r>
        <w:rPr>
          <w:rFonts w:hint="eastAsia" w:asciiTheme="minorEastAsia" w:hAnsiTheme="minorEastAsia" w:eastAsiaTheme="minorEastAsia" w:cstheme="minorEastAsia"/>
          <w:szCs w:val="24"/>
          <w:highlight w:val="none"/>
          <w:u w:val="single"/>
        </w:rPr>
        <w:t>（项目名称）</w:t>
      </w:r>
      <w:r>
        <w:rPr>
          <w:rFonts w:hint="eastAsia" w:asciiTheme="minorEastAsia" w:hAnsiTheme="minorEastAsia" w:eastAsiaTheme="minorEastAsia" w:cstheme="minorEastAsia"/>
          <w:szCs w:val="24"/>
          <w:highlight w:val="none"/>
        </w:rPr>
        <w:t>采购活动，提供的货物全部由符合政策要求的中小企业制造。相关企业的具体情况如下：</w:t>
      </w:r>
    </w:p>
    <w:p>
      <w:pPr>
        <w:spacing w:line="560" w:lineRule="exact"/>
        <w:ind w:firstLine="720" w:firstLineChars="3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w:t>
      </w:r>
      <w:r>
        <w:rPr>
          <w:rFonts w:hint="eastAsia" w:asciiTheme="minorEastAsia" w:hAnsiTheme="minorEastAsia" w:eastAsiaTheme="minorEastAsia" w:cstheme="minorEastAsia"/>
          <w:szCs w:val="24"/>
          <w:highlight w:val="none"/>
          <w:u w:val="single"/>
        </w:rPr>
        <w:t xml:space="preserve">（标的名称） </w:t>
      </w:r>
      <w:r>
        <w:rPr>
          <w:rFonts w:hint="eastAsia" w:asciiTheme="minorEastAsia" w:hAnsiTheme="minorEastAsia" w:eastAsiaTheme="minorEastAsia" w:cstheme="minorEastAsia"/>
          <w:szCs w:val="24"/>
          <w:highlight w:val="none"/>
        </w:rPr>
        <w:t>，属于</w:t>
      </w:r>
      <w:r>
        <w:rPr>
          <w:rFonts w:hint="eastAsia" w:asciiTheme="minorEastAsia" w:hAnsiTheme="minorEastAsia" w:eastAsiaTheme="minorEastAsia" w:cstheme="minorEastAsia"/>
          <w:szCs w:val="24"/>
          <w:highlight w:val="none"/>
          <w:u w:val="single"/>
        </w:rPr>
        <w:t xml:space="preserve"> （采购文件中明确的所属行业） </w:t>
      </w:r>
      <w:r>
        <w:rPr>
          <w:rFonts w:hint="eastAsia" w:asciiTheme="minorEastAsia" w:hAnsiTheme="minorEastAsia" w:eastAsiaTheme="minorEastAsia" w:cstheme="minorEastAsia"/>
          <w:szCs w:val="24"/>
          <w:highlight w:val="none"/>
        </w:rPr>
        <w:t>行业；制造商为</w:t>
      </w:r>
      <w:r>
        <w:rPr>
          <w:rFonts w:hint="eastAsia" w:asciiTheme="minorEastAsia" w:hAnsiTheme="minorEastAsia" w:eastAsiaTheme="minorEastAsia" w:cstheme="minorEastAsia"/>
          <w:szCs w:val="24"/>
          <w:highlight w:val="none"/>
          <w:u w:val="single"/>
        </w:rPr>
        <w:t>（企业名称）</w:t>
      </w:r>
      <w:r>
        <w:rPr>
          <w:rFonts w:hint="eastAsia" w:asciiTheme="minorEastAsia" w:hAnsiTheme="minorEastAsia" w:eastAsiaTheme="minorEastAsia" w:cstheme="minorEastAsia"/>
          <w:szCs w:val="24"/>
          <w:highlight w:val="none"/>
        </w:rPr>
        <w:t>，从业人员人，营业收入为万元，资产总额为万元</w:t>
      </w:r>
      <w:r>
        <w:rPr>
          <w:rFonts w:hint="eastAsia" w:asciiTheme="minorEastAsia" w:hAnsiTheme="minorEastAsia" w:eastAsiaTheme="minorEastAsia" w:cstheme="minorEastAsia"/>
          <w:szCs w:val="24"/>
          <w:highlight w:val="none"/>
          <w:vertAlign w:val="superscript"/>
        </w:rPr>
        <w:t>1</w:t>
      </w:r>
      <w:r>
        <w:rPr>
          <w:rFonts w:hint="eastAsia" w:asciiTheme="minorEastAsia" w:hAnsiTheme="minorEastAsia" w:eastAsiaTheme="minorEastAsia" w:cstheme="minorEastAsia"/>
          <w:szCs w:val="24"/>
          <w:highlight w:val="none"/>
        </w:rPr>
        <w:t>，属于</w:t>
      </w:r>
      <w:r>
        <w:rPr>
          <w:rFonts w:hint="eastAsia" w:asciiTheme="minorEastAsia" w:hAnsiTheme="minorEastAsia" w:eastAsiaTheme="minorEastAsia" w:cstheme="minorEastAsia"/>
          <w:szCs w:val="24"/>
          <w:highlight w:val="none"/>
          <w:u w:val="single"/>
        </w:rPr>
        <w:t>（中型企业、小型企业、微型企业）</w:t>
      </w:r>
      <w:r>
        <w:rPr>
          <w:rFonts w:hint="eastAsia" w:asciiTheme="minorEastAsia" w:hAnsiTheme="minorEastAsia" w:eastAsiaTheme="minorEastAsia" w:cstheme="minorEastAsia"/>
          <w:szCs w:val="24"/>
          <w:highlight w:val="none"/>
        </w:rPr>
        <w:t xml:space="preserve">； </w:t>
      </w:r>
    </w:p>
    <w:p>
      <w:pPr>
        <w:spacing w:line="560" w:lineRule="exact"/>
        <w:ind w:firstLine="720" w:firstLineChars="3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t>2.</w:t>
      </w:r>
      <w:r>
        <w:rPr>
          <w:rFonts w:hint="eastAsia" w:asciiTheme="minorEastAsia" w:hAnsiTheme="minorEastAsia" w:eastAsiaTheme="minorEastAsia" w:cstheme="minorEastAsia"/>
          <w:szCs w:val="24"/>
          <w:highlight w:val="none"/>
          <w:u w:val="single"/>
        </w:rPr>
        <w:t xml:space="preserve"> （标的名称）</w:t>
      </w:r>
      <w:r>
        <w:rPr>
          <w:rFonts w:hint="eastAsia" w:asciiTheme="minorEastAsia" w:hAnsiTheme="minorEastAsia" w:eastAsiaTheme="minorEastAsia" w:cstheme="minorEastAsia"/>
          <w:szCs w:val="24"/>
          <w:highlight w:val="none"/>
        </w:rPr>
        <w:t xml:space="preserve"> ，属于</w:t>
      </w:r>
      <w:r>
        <w:rPr>
          <w:rFonts w:hint="eastAsia" w:asciiTheme="minorEastAsia" w:hAnsiTheme="minorEastAsia" w:eastAsiaTheme="minorEastAsia" w:cstheme="minorEastAsia"/>
          <w:szCs w:val="24"/>
          <w:highlight w:val="none"/>
          <w:u w:val="single"/>
        </w:rPr>
        <w:t xml:space="preserve"> （采购文件中明确的所属行业） </w:t>
      </w:r>
      <w:r>
        <w:rPr>
          <w:rFonts w:hint="eastAsia" w:asciiTheme="minorEastAsia" w:hAnsiTheme="minorEastAsia" w:eastAsiaTheme="minorEastAsia" w:cstheme="minorEastAsia"/>
          <w:szCs w:val="24"/>
          <w:highlight w:val="none"/>
        </w:rPr>
        <w:t>行业；制造商为</w:t>
      </w:r>
      <w:r>
        <w:rPr>
          <w:rFonts w:hint="eastAsia" w:asciiTheme="minorEastAsia" w:hAnsiTheme="minorEastAsia" w:eastAsiaTheme="minorEastAsia" w:cstheme="minorEastAsia"/>
          <w:szCs w:val="24"/>
          <w:highlight w:val="none"/>
          <w:u w:val="single"/>
        </w:rPr>
        <w:t>（企业名称）</w:t>
      </w:r>
      <w:r>
        <w:rPr>
          <w:rFonts w:hint="eastAsia" w:asciiTheme="minorEastAsia" w:hAnsiTheme="minorEastAsia" w:eastAsiaTheme="minorEastAsia" w:cstheme="minorEastAsia"/>
          <w:szCs w:val="24"/>
          <w:highlight w:val="none"/>
        </w:rPr>
        <w:t>，从业人员人，营业收入为万元，资产总额为万元，属于</w:t>
      </w:r>
      <w:r>
        <w:rPr>
          <w:rFonts w:hint="eastAsia" w:asciiTheme="minorEastAsia" w:hAnsiTheme="minorEastAsia" w:eastAsiaTheme="minorEastAsia" w:cstheme="minorEastAsia"/>
          <w:szCs w:val="24"/>
          <w:highlight w:val="none"/>
          <w:u w:val="single"/>
        </w:rPr>
        <w:t>（中型企业、小型企业、微型企业）</w:t>
      </w:r>
      <w:r>
        <w:rPr>
          <w:rFonts w:hint="eastAsia" w:asciiTheme="minorEastAsia" w:hAnsiTheme="minorEastAsia" w:eastAsiaTheme="minorEastAsia" w:cstheme="minorEastAsia"/>
          <w:szCs w:val="24"/>
          <w:highlight w:val="none"/>
        </w:rPr>
        <w:t xml:space="preserve">； </w:t>
      </w:r>
    </w:p>
    <w:p>
      <w:pPr>
        <w:spacing w:line="560" w:lineRule="exact"/>
        <w:ind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w:t>
      </w:r>
    </w:p>
    <w:p>
      <w:pPr>
        <w:pStyle w:val="2"/>
        <w:spacing w:before="105" w:line="560" w:lineRule="exact"/>
        <w:ind w:right="417" w:firstLine="645"/>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以上企业，不属于大企业的分支机构，不存在控股股东为大企业的情形，也不存在与大企业的负责人为同一人的情形。</w:t>
      </w:r>
    </w:p>
    <w:p>
      <w:pPr>
        <w:pStyle w:val="2"/>
        <w:spacing w:line="560" w:lineRule="exact"/>
        <w:ind w:right="372" w:firstLine="645"/>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本企业对上述声明内容的真实性负责。如有虚假，将依法承担相应责任。</w:t>
      </w:r>
    </w:p>
    <w:p>
      <w:pPr>
        <w:pStyle w:val="2"/>
        <w:spacing w:before="35" w:line="560" w:lineRule="exact"/>
        <w:ind w:left="4060" w:right="2166"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企业名称（盖章）：</w:t>
      </w:r>
    </w:p>
    <w:p>
      <w:pPr>
        <w:pStyle w:val="2"/>
        <w:spacing w:before="35" w:line="560" w:lineRule="exact"/>
        <w:ind w:left="4060" w:right="2166" w:firstLine="240" w:firstLineChars="1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日期：</w:t>
      </w:r>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59264" behindDoc="1" locked="0" layoutInCell="1" allowOverlap="1">
                <wp:simplePos x="0" y="0"/>
                <wp:positionH relativeFrom="page">
                  <wp:posOffset>1200785</wp:posOffset>
                </wp:positionH>
                <wp:positionV relativeFrom="page">
                  <wp:posOffset>8739505</wp:posOffset>
                </wp:positionV>
                <wp:extent cx="5016500" cy="366395"/>
                <wp:effectExtent l="0" t="0" r="0" b="0"/>
                <wp:wrapNone/>
                <wp:docPr id="2" name="文本框 11"/>
                <wp:cNvGraphicFramePr/>
                <a:graphic xmlns:a="http://schemas.openxmlformats.org/drawingml/2006/main">
                  <a:graphicData uri="http://schemas.microsoft.com/office/word/2010/wordprocessingShape">
                    <wps:wsp>
                      <wps:cNvSpPr txBox="1"/>
                      <wps:spPr>
                        <a:xfrm>
                          <a:off x="0" y="0"/>
                          <a:ext cx="5016500" cy="366395"/>
                        </a:xfrm>
                        <a:prstGeom prst="rect">
                          <a:avLst/>
                        </a:prstGeom>
                        <a:noFill/>
                        <a:ln>
                          <a:noFill/>
                        </a:ln>
                      </wps:spPr>
                      <wps:txbx>
                        <w:txbxContent>
                          <w:p>
                            <w:pPr>
                              <w:spacing w:before="5"/>
                              <w:ind w:left="20"/>
                              <w:jc w:val="left"/>
                              <w:rPr>
                                <w:rFonts w:ascii="宋体" w:eastAsia="宋体"/>
                                <w:sz w:val="18"/>
                              </w:rPr>
                            </w:pPr>
                            <w:r>
                              <w:rPr>
                                <w:rFonts w:hint="eastAsia" w:ascii="楷体" w:hAnsi="楷体" w:eastAsia="楷体" w:cs="楷体"/>
                                <w:position w:val="6"/>
                                <w:sz w:val="11"/>
                              </w:rPr>
                              <w:t>1</w:t>
                            </w:r>
                            <w:r>
                              <w:rPr>
                                <w:rFonts w:hint="eastAsia" w:ascii="楷体" w:hAnsi="楷体" w:eastAsia="楷体" w:cs="楷体"/>
                                <w:sz w:val="18"/>
                              </w:rPr>
                              <w:t>从业人员、营业收入、资产总额填报上一年度数据，无上一年度数据的新成立企业可不填报。</w:t>
                            </w:r>
                          </w:p>
                          <w:p>
                            <w:pPr>
                              <w:spacing w:before="8"/>
                              <w:ind w:left="866"/>
                              <w:jc w:val="center"/>
                              <w:rPr>
                                <w:rFonts w:ascii="Calibri"/>
                                <w:sz w:val="18"/>
                              </w:rPr>
                            </w:pPr>
                          </w:p>
                        </w:txbxContent>
                      </wps:txbx>
                      <wps:bodyPr lIns="0" tIns="0" rIns="0" bIns="0" upright="1"/>
                    </wps:wsp>
                  </a:graphicData>
                </a:graphic>
              </wp:anchor>
            </w:drawing>
          </mc:Choice>
          <mc:Fallback>
            <w:pict>
              <v:shape id="文本框 11" o:spid="_x0000_s1026" o:spt="202" type="#_x0000_t202" style="position:absolute;left:0pt;margin-left:94.55pt;margin-top:688.15pt;height:28.85pt;width:395pt;mso-position-horizontal-relative:page;mso-position-vertical-relative:page;z-index:-251657216;mso-width-relative:page;mso-height-relative:page;" filled="f" stroked="f" coordsize="21600,21600" o:gfxdata="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dIog2gAAAA0BAAAPAAAAAAAAAAEAIAAAACIAAABkcnMvZG93bnJldi54bWxQ&#10;SwECFAAUAAAACACHTuJASD4Pg7wBAABzAwAADgAAAAAAAAABACAAAAApAQAAZHJzL2Uyb0RvYy54&#10;bWxQSwUGAAAAAAYABgBZAQAAVwUAAAAA&#10;">
                <v:fill on="f" focussize="0,0"/>
                <v:stroke on="f"/>
                <v:imagedata o:title=""/>
                <o:lock v:ext="edit" aspectratio="f"/>
                <v:textbox inset="0mm,0mm,0mm,0mm">
                  <w:txbxContent>
                    <w:p>
                      <w:pPr>
                        <w:spacing w:before="5"/>
                        <w:ind w:left="20"/>
                        <w:jc w:val="left"/>
                        <w:rPr>
                          <w:rFonts w:ascii="宋体" w:eastAsia="宋体"/>
                          <w:sz w:val="18"/>
                        </w:rPr>
                      </w:pPr>
                      <w:r>
                        <w:rPr>
                          <w:rFonts w:hint="eastAsia" w:ascii="楷体" w:hAnsi="楷体" w:eastAsia="楷体" w:cs="楷体"/>
                          <w:position w:val="6"/>
                          <w:sz w:val="11"/>
                        </w:rPr>
                        <w:t>1</w:t>
                      </w:r>
                      <w:r>
                        <w:rPr>
                          <w:rFonts w:hint="eastAsia" w:ascii="楷体" w:hAnsi="楷体" w:eastAsia="楷体" w:cs="楷体"/>
                          <w:sz w:val="18"/>
                        </w:rPr>
                        <w:t>从业人员、营业收入、资产总额填报上一年度数据，无上一年度数据的新成立企业可不填报。</w:t>
                      </w:r>
                    </w:p>
                    <w:p>
                      <w:pPr>
                        <w:spacing w:before="8"/>
                        <w:ind w:left="866"/>
                        <w:jc w:val="center"/>
                        <w:rPr>
                          <w:rFonts w:ascii="Calibri"/>
                          <w:sz w:val="18"/>
                        </w:rPr>
                      </w:pPr>
                    </w:p>
                  </w:txbxContent>
                </v:textbox>
              </v:shape>
            </w:pict>
          </mc:Fallback>
        </mc:AlternateContent>
      </w:r>
    </w:p>
    <w:p>
      <w:pPr>
        <w:rPr>
          <w:rFonts w:hint="eastAsia" w:asciiTheme="minorEastAsia" w:hAnsiTheme="minorEastAsia" w:eastAsiaTheme="minorEastAsia" w:cstheme="minorEastAsia"/>
          <w:szCs w:val="24"/>
          <w:highlight w:val="none"/>
        </w:rPr>
      </w:pPr>
    </w:p>
    <w:p>
      <w:pPr>
        <w:spacing w:line="480" w:lineRule="exact"/>
        <w:ind w:firstLine="241" w:firstLineChars="100"/>
        <w:rPr>
          <w:rFonts w:hint="eastAsia" w:asciiTheme="minorEastAsia" w:hAnsiTheme="minorEastAsia" w:eastAsiaTheme="minorEastAsia" w:cstheme="minorEastAsia"/>
          <w:b/>
          <w:highlight w:val="none"/>
        </w:rPr>
      </w:pPr>
    </w:p>
    <w:p>
      <w:pPr>
        <w:pStyle w:val="2"/>
        <w:rPr>
          <w:rFonts w:hint="eastAsia" w:asciiTheme="minorEastAsia" w:hAnsiTheme="minorEastAsia" w:eastAsiaTheme="minorEastAsia" w:cstheme="minorEastAsia"/>
          <w:highlight w:val="none"/>
        </w:rPr>
        <w:sectPr>
          <w:footerReference r:id="rId23" w:type="default"/>
          <w:pgSz w:w="11905" w:h="16840"/>
          <w:pgMar w:top="1417" w:right="1417" w:bottom="1417" w:left="1417" w:header="935" w:footer="907" w:gutter="0"/>
          <w:pgNumType w:fmt="numberInDash"/>
          <w:cols w:space="0" w:num="1"/>
          <w:titlePg/>
        </w:sectPr>
      </w:pPr>
    </w:p>
    <w:p>
      <w:pPr>
        <w:pStyle w:val="43"/>
        <w:spacing w:line="560" w:lineRule="exact"/>
        <w:ind w:firstLine="174" w:firstLineChars="62"/>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19.《残疾人福利性单位声明函》</w:t>
      </w:r>
      <w:r>
        <w:rPr>
          <w:rFonts w:hint="eastAsia" w:asciiTheme="minorEastAsia" w:hAnsiTheme="minorEastAsia" w:eastAsiaTheme="minorEastAsia" w:cstheme="minorEastAsia"/>
          <w:sz w:val="24"/>
          <w:szCs w:val="24"/>
          <w:highlight w:val="none"/>
        </w:rPr>
        <w:t>（格式，若有）</w:t>
      </w:r>
    </w:p>
    <w:p>
      <w:pPr>
        <w:spacing w:line="560" w:lineRule="exact"/>
        <w:jc w:val="center"/>
        <w:rPr>
          <w:rFonts w:hint="eastAsia" w:asciiTheme="minorEastAsia" w:hAnsiTheme="minorEastAsia" w:eastAsiaTheme="minorEastAsia" w:cstheme="minorEastAsia"/>
          <w:b/>
          <w:spacing w:val="6"/>
          <w:szCs w:val="24"/>
          <w:highlight w:val="none"/>
        </w:rPr>
      </w:pPr>
      <w:bookmarkStart w:id="274" w:name="OLE_LINK14"/>
    </w:p>
    <w:p>
      <w:pPr>
        <w:spacing w:line="560" w:lineRule="exact"/>
        <w:jc w:val="center"/>
        <w:rPr>
          <w:rFonts w:hint="eastAsia" w:asciiTheme="minorEastAsia" w:hAnsiTheme="minorEastAsia" w:eastAsiaTheme="minorEastAsia" w:cstheme="minorEastAsia"/>
          <w:b/>
          <w:spacing w:val="6"/>
          <w:szCs w:val="24"/>
          <w:highlight w:val="none"/>
        </w:rPr>
      </w:pPr>
      <w:r>
        <w:rPr>
          <w:rFonts w:hint="eastAsia" w:asciiTheme="minorEastAsia" w:hAnsiTheme="minorEastAsia" w:eastAsiaTheme="minorEastAsia" w:cstheme="minorEastAsia"/>
          <w:b/>
          <w:spacing w:val="6"/>
          <w:szCs w:val="24"/>
          <w:highlight w:val="none"/>
        </w:rPr>
        <w:t>残疾人福利性单位声明函</w:t>
      </w:r>
      <w:r>
        <w:rPr>
          <w:rFonts w:hint="eastAsia" w:asciiTheme="minorEastAsia" w:hAnsiTheme="minorEastAsia" w:eastAsiaTheme="minorEastAsia" w:cstheme="minorEastAsia"/>
          <w:b/>
          <w:spacing w:val="6"/>
          <w:sz w:val="22"/>
          <w:highlight w:val="none"/>
          <w:lang w:val="zh-CN"/>
        </w:rPr>
        <w:t>（非</w:t>
      </w:r>
      <w:r>
        <w:rPr>
          <w:rFonts w:hint="eastAsia" w:asciiTheme="minorEastAsia" w:hAnsiTheme="minorEastAsia" w:eastAsiaTheme="minorEastAsia" w:cstheme="minorEastAsia"/>
          <w:b/>
          <w:spacing w:val="6"/>
          <w:sz w:val="22"/>
          <w:highlight w:val="none"/>
        </w:rPr>
        <w:t>残疾人福利企业</w:t>
      </w:r>
      <w:r>
        <w:rPr>
          <w:rFonts w:hint="eastAsia" w:asciiTheme="minorEastAsia" w:hAnsiTheme="minorEastAsia" w:eastAsiaTheme="minorEastAsia" w:cstheme="minorEastAsia"/>
          <w:b/>
          <w:spacing w:val="6"/>
          <w:sz w:val="22"/>
          <w:highlight w:val="none"/>
          <w:lang w:val="zh-CN"/>
        </w:rPr>
        <w:t>不</w:t>
      </w:r>
      <w:r>
        <w:rPr>
          <w:rFonts w:hint="eastAsia" w:asciiTheme="minorEastAsia" w:hAnsiTheme="minorEastAsia" w:eastAsiaTheme="minorEastAsia" w:cstheme="minorEastAsia"/>
          <w:b/>
          <w:spacing w:val="6"/>
          <w:sz w:val="22"/>
          <w:highlight w:val="none"/>
        </w:rPr>
        <w:t>填写</w:t>
      </w:r>
      <w:r>
        <w:rPr>
          <w:rFonts w:hint="eastAsia" w:asciiTheme="minorEastAsia" w:hAnsiTheme="minorEastAsia" w:eastAsiaTheme="minorEastAsia" w:cstheme="minorEastAsia"/>
          <w:b/>
          <w:spacing w:val="6"/>
          <w:sz w:val="22"/>
          <w:highlight w:val="none"/>
          <w:lang w:val="zh-CN"/>
        </w:rPr>
        <w:t>）</w:t>
      </w:r>
    </w:p>
    <w:bookmarkEnd w:id="274"/>
    <w:p>
      <w:pPr>
        <w:spacing w:line="560" w:lineRule="exact"/>
        <w:rPr>
          <w:rFonts w:hint="eastAsia" w:asciiTheme="minorEastAsia" w:hAnsiTheme="minorEastAsia" w:eastAsiaTheme="minorEastAsia" w:cstheme="minorEastAsia"/>
          <w:b/>
          <w:spacing w:val="6"/>
          <w:szCs w:val="24"/>
          <w:highlight w:val="none"/>
        </w:rPr>
      </w:pPr>
    </w:p>
    <w:p>
      <w:pPr>
        <w:spacing w:line="560" w:lineRule="exact"/>
        <w:ind w:firstLine="504" w:firstLineChars="200"/>
        <w:rPr>
          <w:rFonts w:hint="eastAsia" w:asciiTheme="minorEastAsia" w:hAnsiTheme="minorEastAsia" w:eastAsiaTheme="minorEastAsia" w:cstheme="minorEastAsia"/>
          <w:spacing w:val="6"/>
          <w:szCs w:val="24"/>
          <w:highlight w:val="none"/>
        </w:rPr>
      </w:pPr>
      <w:r>
        <w:rPr>
          <w:rFonts w:hint="eastAsia" w:asciiTheme="minorEastAsia" w:hAnsiTheme="minorEastAsia" w:eastAsiaTheme="minorEastAsia" w:cstheme="minorEastAsia"/>
          <w:spacing w:val="6"/>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Cs w:val="24"/>
          <w:highlight w:val="none"/>
        </w:rPr>
        <w:t>〔2017〕 141</w:t>
      </w:r>
      <w:r>
        <w:rPr>
          <w:rFonts w:hint="eastAsia" w:asciiTheme="minorEastAsia" w:hAnsiTheme="minorEastAsia" w:eastAsiaTheme="minorEastAsia" w:cstheme="minorEastAsia"/>
          <w:spacing w:val="6"/>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hint="eastAsia" w:asciiTheme="minorEastAsia" w:hAnsiTheme="minorEastAsia" w:eastAsiaTheme="minorEastAsia" w:cstheme="minorEastAsia"/>
          <w:spacing w:val="6"/>
          <w:szCs w:val="24"/>
          <w:highlight w:val="none"/>
        </w:rPr>
      </w:pPr>
      <w:r>
        <w:rPr>
          <w:rFonts w:hint="eastAsia" w:asciiTheme="minorEastAsia" w:hAnsiTheme="minorEastAsia" w:eastAsiaTheme="minorEastAsia" w:cstheme="minorEastAsia"/>
          <w:spacing w:val="6"/>
          <w:szCs w:val="24"/>
          <w:highlight w:val="none"/>
        </w:rPr>
        <w:t>本单位对上述声明的真实性负责。如有虚假，将依法承担相应责任。</w:t>
      </w:r>
    </w:p>
    <w:p>
      <w:pPr>
        <w:spacing w:line="560" w:lineRule="exact"/>
        <w:ind w:firstLine="504" w:firstLineChars="200"/>
        <w:rPr>
          <w:rFonts w:hint="eastAsia" w:asciiTheme="minorEastAsia" w:hAnsiTheme="minorEastAsia" w:eastAsiaTheme="minorEastAsia" w:cstheme="minorEastAsia"/>
          <w:spacing w:val="6"/>
          <w:szCs w:val="24"/>
          <w:highlight w:val="none"/>
        </w:rPr>
      </w:pPr>
    </w:p>
    <w:p>
      <w:pPr>
        <w:spacing w:line="560" w:lineRule="exact"/>
        <w:ind w:firstLine="504" w:firstLineChars="200"/>
        <w:rPr>
          <w:rFonts w:hint="eastAsia" w:asciiTheme="minorEastAsia" w:hAnsiTheme="minorEastAsia" w:eastAsiaTheme="minorEastAsia" w:cstheme="minorEastAsia"/>
          <w:spacing w:val="6"/>
          <w:szCs w:val="24"/>
          <w:highlight w:val="none"/>
        </w:rPr>
      </w:pPr>
    </w:p>
    <w:p>
      <w:pPr>
        <w:tabs>
          <w:tab w:val="left" w:pos="4860"/>
        </w:tabs>
        <w:spacing w:line="560" w:lineRule="exact"/>
        <w:ind w:right="1560" w:firstLine="504" w:firstLineChars="200"/>
        <w:jc w:val="center"/>
        <w:rPr>
          <w:rFonts w:hint="eastAsia" w:asciiTheme="minorEastAsia" w:hAnsiTheme="minorEastAsia" w:eastAsiaTheme="minorEastAsia" w:cstheme="minorEastAsia"/>
          <w:spacing w:val="6"/>
          <w:szCs w:val="24"/>
          <w:highlight w:val="none"/>
          <w:u w:val="single"/>
        </w:rPr>
      </w:pPr>
      <w:r>
        <w:rPr>
          <w:rFonts w:hint="eastAsia" w:asciiTheme="minorEastAsia" w:hAnsiTheme="minorEastAsia" w:eastAsiaTheme="minorEastAsia" w:cstheme="minorEastAsia"/>
          <w:spacing w:val="6"/>
          <w:szCs w:val="24"/>
          <w:highlight w:val="none"/>
        </w:rPr>
        <w:t xml:space="preserve">              单位名称（盖章）：</w:t>
      </w:r>
    </w:p>
    <w:p>
      <w:pPr>
        <w:tabs>
          <w:tab w:val="left" w:pos="4860"/>
        </w:tabs>
        <w:spacing w:line="560" w:lineRule="exact"/>
        <w:ind w:right="1560" w:firstLine="504" w:firstLineChars="200"/>
        <w:jc w:val="center"/>
        <w:rPr>
          <w:rFonts w:hint="eastAsia" w:asciiTheme="minorEastAsia" w:hAnsiTheme="minorEastAsia" w:eastAsiaTheme="minorEastAsia" w:cstheme="minorEastAsia"/>
          <w:spacing w:val="6"/>
          <w:szCs w:val="24"/>
          <w:highlight w:val="none"/>
        </w:rPr>
      </w:pPr>
      <w:r>
        <w:rPr>
          <w:rFonts w:hint="eastAsia" w:asciiTheme="minorEastAsia" w:hAnsiTheme="minorEastAsia" w:eastAsiaTheme="minorEastAsia" w:cstheme="minorEastAsia"/>
          <w:spacing w:val="6"/>
          <w:szCs w:val="24"/>
          <w:highlight w:val="none"/>
        </w:rPr>
        <w:t xml:space="preserve">                        日  期：</w:t>
      </w:r>
    </w:p>
    <w:p>
      <w:pPr>
        <w:spacing w:line="480" w:lineRule="exact"/>
        <w:rPr>
          <w:rFonts w:hint="eastAsia" w:asciiTheme="minorEastAsia" w:hAnsiTheme="minorEastAsia" w:eastAsiaTheme="minorEastAsia" w:cstheme="minorEastAsia"/>
          <w:b/>
          <w:highlight w:val="none"/>
        </w:rPr>
      </w:pPr>
    </w:p>
    <w:p>
      <w:pPr>
        <w:spacing w:line="480" w:lineRule="exact"/>
        <w:rPr>
          <w:rFonts w:hint="eastAsia" w:asciiTheme="minorEastAsia" w:hAnsiTheme="minorEastAsia" w:eastAsiaTheme="minorEastAsia" w:cstheme="minorEastAsia"/>
          <w:b/>
          <w:highlight w:val="none"/>
        </w:rPr>
      </w:pPr>
    </w:p>
    <w:p>
      <w:pPr>
        <w:spacing w:line="480" w:lineRule="exact"/>
        <w:rPr>
          <w:rFonts w:hint="eastAsia" w:asciiTheme="minorEastAsia" w:hAnsiTheme="minorEastAsia" w:eastAsiaTheme="minorEastAsia" w:cstheme="minorEastAsia"/>
          <w:b/>
          <w:highlight w:val="none"/>
        </w:rPr>
      </w:pPr>
    </w:p>
    <w:p>
      <w:pPr>
        <w:spacing w:line="360" w:lineRule="auto"/>
        <w:ind w:firstLine="422" w:firstLineChars="200"/>
        <w:rPr>
          <w:rFonts w:hint="eastAsia" w:asciiTheme="minorEastAsia" w:hAnsiTheme="minorEastAsia" w:eastAsiaTheme="minorEastAsia" w:cstheme="minorEastAsia"/>
          <w:b/>
          <w:kern w:val="0"/>
          <w:sz w:val="21"/>
          <w:szCs w:val="20"/>
          <w:highlight w:val="none"/>
          <w:lang w:val="zh-CN"/>
        </w:rPr>
      </w:pPr>
      <w:r>
        <w:rPr>
          <w:rFonts w:hint="eastAsia" w:asciiTheme="minorEastAsia" w:hAnsiTheme="minorEastAsia" w:eastAsiaTheme="minorEastAsia" w:cstheme="minorEastAsia"/>
          <w:b/>
          <w:kern w:val="0"/>
          <w:sz w:val="21"/>
          <w:szCs w:val="20"/>
          <w:highlight w:val="none"/>
          <w:lang w:val="zh-CN"/>
        </w:rPr>
        <w:t>备注：投标人提供的《残疾人福利性单位声明函》必须真实有效，如果被举报经查实出具虚假声明函的，将被取消投标资格，并按有关规定予以处理。</w:t>
      </w:r>
    </w:p>
    <w:p>
      <w:pPr>
        <w:tabs>
          <w:tab w:val="left" w:pos="4860"/>
        </w:tabs>
        <w:spacing w:line="560" w:lineRule="exact"/>
        <w:ind w:right="1560" w:firstLine="504" w:firstLineChars="200"/>
        <w:jc w:val="center"/>
        <w:rPr>
          <w:rFonts w:hint="eastAsia" w:asciiTheme="minorEastAsia" w:hAnsiTheme="minorEastAsia" w:eastAsiaTheme="minorEastAsia" w:cstheme="minorEastAsia"/>
          <w:spacing w:val="6"/>
          <w:szCs w:val="24"/>
          <w:highlight w:val="none"/>
        </w:rPr>
      </w:pPr>
      <w:r>
        <w:rPr>
          <w:rFonts w:hint="eastAsia" w:asciiTheme="minorEastAsia" w:hAnsiTheme="minorEastAsia" w:eastAsiaTheme="minorEastAsia" w:cstheme="minorEastAsia"/>
          <w:spacing w:val="6"/>
          <w:szCs w:val="24"/>
          <w:highlight w:val="none"/>
        </w:rPr>
        <w:br w:type="page"/>
      </w:r>
    </w:p>
    <w:p>
      <w:pPr>
        <w:pStyle w:val="43"/>
        <w:spacing w:line="56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Cs w:val="28"/>
          <w:highlight w:val="none"/>
        </w:rPr>
        <w:t>20.《监狱、戒毒企业声明函》</w:t>
      </w:r>
      <w:r>
        <w:rPr>
          <w:rFonts w:hint="eastAsia" w:asciiTheme="minorEastAsia" w:hAnsiTheme="minorEastAsia" w:eastAsiaTheme="minorEastAsia" w:cstheme="minorEastAsia"/>
          <w:sz w:val="24"/>
          <w:szCs w:val="24"/>
          <w:highlight w:val="none"/>
        </w:rPr>
        <w:t>（格式，若有）</w:t>
      </w:r>
    </w:p>
    <w:p>
      <w:pPr>
        <w:snapToGrid w:val="0"/>
        <w:spacing w:line="640" w:lineRule="exact"/>
        <w:ind w:firstLine="1512" w:firstLineChars="600"/>
        <w:rPr>
          <w:rFonts w:hint="eastAsia" w:asciiTheme="minorEastAsia" w:hAnsiTheme="minorEastAsia" w:eastAsiaTheme="minorEastAsia" w:cstheme="minorEastAsia"/>
          <w:spacing w:val="6"/>
          <w:szCs w:val="24"/>
          <w:highlight w:val="none"/>
        </w:rPr>
      </w:pPr>
    </w:p>
    <w:p>
      <w:pPr>
        <w:snapToGrid w:val="0"/>
        <w:spacing w:line="640" w:lineRule="exact"/>
        <w:ind w:firstLine="1687" w:firstLineChars="600"/>
        <w:rPr>
          <w:rFonts w:hint="eastAsia" w:asciiTheme="minorEastAsia" w:hAnsiTheme="minorEastAsia" w:eastAsiaTheme="minorEastAsia" w:cstheme="minorEastAsia"/>
          <w:b/>
          <w:spacing w:val="6"/>
          <w:sz w:val="21"/>
          <w:szCs w:val="21"/>
          <w:highlight w:val="none"/>
          <w:u w:val="double"/>
          <w:lang w:val="zh-CN"/>
        </w:rPr>
      </w:pPr>
      <w:r>
        <w:rPr>
          <w:rFonts w:hint="eastAsia" w:asciiTheme="minorEastAsia" w:hAnsiTheme="minorEastAsia" w:eastAsiaTheme="minorEastAsia" w:cstheme="minorEastAsia"/>
          <w:b/>
          <w:kern w:val="0"/>
          <w:sz w:val="28"/>
          <w:szCs w:val="28"/>
          <w:highlight w:val="none"/>
          <w:lang w:val="zh-CN"/>
        </w:rPr>
        <w:t>监狱、戒毒企业声明函</w:t>
      </w:r>
      <w:r>
        <w:rPr>
          <w:rFonts w:hint="eastAsia" w:asciiTheme="minorEastAsia" w:hAnsiTheme="minorEastAsia" w:eastAsiaTheme="minorEastAsia" w:cstheme="minorEastAsia"/>
          <w:b/>
          <w:spacing w:val="6"/>
          <w:sz w:val="21"/>
          <w:szCs w:val="21"/>
          <w:highlight w:val="none"/>
          <w:lang w:val="zh-CN"/>
        </w:rPr>
        <w:t>（非监狱、戒毒企业不填写）</w:t>
      </w:r>
    </w:p>
    <w:p>
      <w:pPr>
        <w:spacing w:line="640" w:lineRule="exact"/>
        <w:ind w:firstLine="504" w:firstLineChars="200"/>
        <w:rPr>
          <w:rFonts w:hint="eastAsia" w:asciiTheme="minorEastAsia" w:hAnsiTheme="minorEastAsia" w:eastAsiaTheme="minorEastAsia" w:cstheme="minorEastAsia"/>
          <w:spacing w:val="6"/>
          <w:szCs w:val="24"/>
          <w:highlight w:val="none"/>
        </w:rPr>
      </w:pPr>
    </w:p>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本单位郑重声明，根据《</w:t>
      </w:r>
      <w:r>
        <w:rPr>
          <w:rFonts w:hint="eastAsia" w:asciiTheme="minorEastAsia" w:hAnsiTheme="minorEastAsia" w:eastAsiaTheme="minorEastAsia" w:cstheme="minorEastAsia"/>
          <w:spacing w:val="-4"/>
          <w:kern w:val="0"/>
          <w:highlight w:val="none"/>
        </w:rPr>
        <w:t>财政部 司法部 关于政府采购支持监狱企业发展有关问题的通知</w:t>
      </w:r>
      <w:r>
        <w:rPr>
          <w:rFonts w:hint="eastAsia" w:asciiTheme="minorEastAsia" w:hAnsiTheme="minorEastAsia" w:eastAsiaTheme="minorEastAsia" w:cstheme="minorEastAsia"/>
          <w:highlight w:val="none"/>
        </w:rPr>
        <w:t>》（财库〔2014〕68号）的规定，本单位为符合条件的监狱、戒毒企业，且本单位参加的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本单位对上述声明的真实性负责。如有虚假，将依法承担相应责任。</w:t>
      </w:r>
    </w:p>
    <w:p>
      <w:pPr>
        <w:spacing w:line="640" w:lineRule="exact"/>
        <w:ind w:firstLine="480" w:firstLineChars="200"/>
        <w:rPr>
          <w:rFonts w:hint="eastAsia" w:asciiTheme="minorEastAsia" w:hAnsiTheme="minorEastAsia" w:eastAsiaTheme="minorEastAsia" w:cstheme="minorEastAsia"/>
          <w:highlight w:val="none"/>
        </w:rPr>
      </w:pPr>
    </w:p>
    <w:p>
      <w:pPr>
        <w:spacing w:line="640" w:lineRule="exact"/>
        <w:ind w:firstLine="480" w:firstLineChars="200"/>
        <w:rPr>
          <w:rFonts w:hint="eastAsia" w:asciiTheme="minorEastAsia" w:hAnsiTheme="minorEastAsia" w:eastAsiaTheme="minorEastAsia" w:cstheme="minorEastAsia"/>
          <w:highlight w:val="none"/>
        </w:rPr>
      </w:pPr>
    </w:p>
    <w:p>
      <w:pPr>
        <w:tabs>
          <w:tab w:val="left" w:pos="4860"/>
          <w:tab w:val="left" w:pos="8040"/>
          <w:tab w:val="left" w:pos="8160"/>
        </w:tabs>
        <w:spacing w:line="640" w:lineRule="exact"/>
        <w:ind w:right="862" w:firstLine="480" w:firstLineChars="200"/>
        <w:jc w:val="center"/>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 xml:space="preserve">            投标人全称（公章）：</w:t>
      </w:r>
    </w:p>
    <w:p>
      <w:pPr>
        <w:tabs>
          <w:tab w:val="left" w:pos="4860"/>
        </w:tabs>
        <w:spacing w:line="640" w:lineRule="exact"/>
        <w:ind w:right="1560" w:firstLine="480" w:firstLineChars="2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cstheme="minorEastAsia"/>
          <w:highlight w:val="none"/>
          <w:lang w:val="en-US" w:eastAsia="zh-CN"/>
        </w:rPr>
        <w:t xml:space="preserve">        </w:t>
      </w:r>
      <w:r>
        <w:rPr>
          <w:rFonts w:hint="eastAsia" w:asciiTheme="minorEastAsia" w:hAnsiTheme="minorEastAsia" w:eastAsiaTheme="minorEastAsia" w:cstheme="minorEastAsia"/>
          <w:highlight w:val="none"/>
        </w:rPr>
        <w:t xml:space="preserve">  日  期：</w:t>
      </w:r>
      <w:r>
        <w:rPr>
          <w:rFonts w:hint="eastAsia" w:asciiTheme="minorEastAsia" w:hAnsiTheme="minorEastAsia" w:cstheme="minorEastAsia"/>
          <w:highlight w:val="none"/>
          <w:lang w:val="en-US" w:eastAsia="zh-CN"/>
        </w:rPr>
        <w:t xml:space="preserve">   </w:t>
      </w:r>
      <w:r>
        <w:rPr>
          <w:rFonts w:hint="eastAsia" w:asciiTheme="minorEastAsia" w:hAnsiTheme="minorEastAsia" w:eastAsiaTheme="minorEastAsia" w:cstheme="minorEastAsia"/>
          <w:highlight w:val="none"/>
        </w:rPr>
        <w:t>年</w:t>
      </w:r>
      <w:r>
        <w:rPr>
          <w:rFonts w:hint="eastAsia" w:asciiTheme="minorEastAsia" w:hAnsiTheme="minorEastAsia" w:cstheme="minorEastAsia"/>
          <w:highlight w:val="none"/>
          <w:lang w:val="en-US" w:eastAsia="zh-CN"/>
        </w:rPr>
        <w:t xml:space="preserve">   </w:t>
      </w:r>
      <w:r>
        <w:rPr>
          <w:rFonts w:hint="eastAsia" w:asciiTheme="minorEastAsia" w:hAnsiTheme="minorEastAsia" w:eastAsiaTheme="minorEastAsia" w:cstheme="minorEastAsia"/>
          <w:highlight w:val="none"/>
        </w:rPr>
        <w:t>月</w:t>
      </w:r>
      <w:r>
        <w:rPr>
          <w:rFonts w:hint="eastAsia" w:asciiTheme="minorEastAsia" w:hAnsiTheme="minorEastAsia" w:cstheme="minorEastAsia"/>
          <w:highlight w:val="none"/>
          <w:lang w:val="en-US" w:eastAsia="zh-CN"/>
        </w:rPr>
        <w:t xml:space="preserve">   </w:t>
      </w:r>
      <w:r>
        <w:rPr>
          <w:rFonts w:hint="eastAsia" w:asciiTheme="minorEastAsia" w:hAnsiTheme="minorEastAsia" w:eastAsiaTheme="minorEastAsia" w:cstheme="minorEastAsia"/>
          <w:highlight w:val="none"/>
        </w:rPr>
        <w:t>日</w:t>
      </w:r>
    </w:p>
    <w:p>
      <w:pPr>
        <w:spacing w:line="360" w:lineRule="auto"/>
        <w:ind w:firstLine="504" w:firstLineChars="200"/>
        <w:rPr>
          <w:rFonts w:hint="eastAsia" w:asciiTheme="minorEastAsia" w:hAnsiTheme="minorEastAsia" w:eastAsiaTheme="minorEastAsia" w:cstheme="minorEastAsia"/>
          <w:bCs/>
          <w:spacing w:val="6"/>
          <w:highlight w:val="none"/>
          <w:shd w:val="pct10" w:color="auto" w:fill="FFFFFF"/>
        </w:rPr>
      </w:pPr>
    </w:p>
    <w:p>
      <w:pPr>
        <w:spacing w:line="360" w:lineRule="auto"/>
        <w:ind w:firstLine="444" w:firstLineChars="200"/>
        <w:rPr>
          <w:rFonts w:hint="eastAsia" w:asciiTheme="minorEastAsia" w:hAnsiTheme="minorEastAsia" w:eastAsiaTheme="minorEastAsia" w:cstheme="minorEastAsia"/>
          <w:bCs/>
          <w:spacing w:val="6"/>
          <w:sz w:val="21"/>
          <w:szCs w:val="20"/>
          <w:highlight w:val="none"/>
          <w:shd w:val="pct10" w:color="auto" w:fill="FFFFFF"/>
        </w:rPr>
      </w:pPr>
    </w:p>
    <w:p>
      <w:pPr>
        <w:pStyle w:val="2"/>
        <w:rPr>
          <w:rFonts w:hint="eastAsia" w:asciiTheme="minorEastAsia" w:hAnsiTheme="minorEastAsia" w:eastAsiaTheme="minorEastAsia" w:cstheme="minorEastAsia"/>
          <w:bCs/>
          <w:spacing w:val="6"/>
          <w:sz w:val="21"/>
          <w:szCs w:val="20"/>
          <w:highlight w:val="none"/>
          <w:shd w:val="pct10" w:color="auto" w:fill="FFFFFF"/>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sz w:val="28"/>
          <w:szCs w:val="28"/>
          <w:highlight w:val="none"/>
        </w:rPr>
        <w:sectPr>
          <w:headerReference r:id="rId24" w:type="first"/>
          <w:footerReference r:id="rId25" w:type="first"/>
          <w:pgSz w:w="11905" w:h="16840"/>
          <w:pgMar w:top="1417" w:right="1417" w:bottom="1417" w:left="1417" w:header="935" w:footer="907" w:gutter="0"/>
          <w:pgNumType w:fmt="numberInDash"/>
          <w:cols w:space="0" w:num="1"/>
          <w:titlePg/>
          <w:docGrid w:linePitch="312" w:charSpace="0"/>
        </w:sectPr>
      </w:pPr>
      <w:r>
        <w:rPr>
          <w:rFonts w:hint="eastAsia" w:asciiTheme="minorEastAsia" w:hAnsiTheme="minorEastAsia" w:eastAsiaTheme="minorEastAsia" w:cstheme="minorEastAsia"/>
          <w:b/>
          <w:kern w:val="0"/>
          <w:sz w:val="21"/>
          <w:szCs w:val="20"/>
          <w:highlight w:val="none"/>
          <w:lang w:val="zh-CN"/>
        </w:rPr>
        <w:t>备注：投标人提供的《</w:t>
      </w:r>
      <w:r>
        <w:rPr>
          <w:rFonts w:hint="eastAsia" w:asciiTheme="minorEastAsia" w:hAnsiTheme="minorEastAsia" w:eastAsiaTheme="minorEastAsia" w:cstheme="minorEastAsia"/>
          <w:b/>
          <w:sz w:val="21"/>
          <w:szCs w:val="20"/>
          <w:highlight w:val="none"/>
        </w:rPr>
        <w:t>监狱、戒毒企业</w:t>
      </w:r>
      <w:r>
        <w:rPr>
          <w:rFonts w:hint="eastAsia" w:asciiTheme="minorEastAsia" w:hAnsiTheme="minorEastAsia" w:eastAsiaTheme="minorEastAsia" w:cstheme="minorEastAsia"/>
          <w:b/>
          <w:kern w:val="0"/>
          <w:sz w:val="21"/>
          <w:szCs w:val="20"/>
          <w:highlight w:val="none"/>
          <w:lang w:val="zh-CN"/>
        </w:rPr>
        <w:t>声明函》必须真实有效，</w:t>
      </w:r>
      <w:r>
        <w:rPr>
          <w:rFonts w:hint="eastAsia" w:asciiTheme="minorEastAsia" w:hAnsiTheme="minorEastAsia" w:eastAsiaTheme="minorEastAsia" w:cstheme="minorEastAsia"/>
          <w:b/>
          <w:sz w:val="21"/>
          <w:szCs w:val="20"/>
          <w:highlight w:val="none"/>
        </w:rPr>
        <w:t>投标人应当提供由省级以上监狱管理局、戒毒管理局(含新疆生产建设兵团)出具的属于监狱企业的证明</w:t>
      </w:r>
    </w:p>
    <w:p>
      <w:pPr>
        <w:pStyle w:val="6"/>
        <w:jc w:val="both"/>
        <w:rPr>
          <w:rFonts w:hint="eastAsia" w:asciiTheme="minorEastAsia" w:hAnsiTheme="minorEastAsia" w:eastAsiaTheme="minorEastAsia" w:cstheme="minorEastAsia"/>
          <w:highlight w:val="none"/>
        </w:rPr>
      </w:pPr>
    </w:p>
    <w:sectPr>
      <w:headerReference r:id="rId27" w:type="first"/>
      <w:footerReference r:id="rId29" w:type="first"/>
      <w:headerReference r:id="rId26" w:type="default"/>
      <w:footerReference r:id="rId28" w:type="default"/>
      <w:pgSz w:w="11905" w:h="16840"/>
      <w:pgMar w:top="1417" w:right="1417" w:bottom="1417" w:left="1417" w:header="935" w:footer="1020" w:gutter="0"/>
      <w:pgNumType w:fmt="numberInDash"/>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480" w:hangingChars="200"/>
      <w:jc w:val="center"/>
      <w:rPr>
        <w:rFonts w:hint="default" w:ascii="仿宋" w:hAnsi="仿宋" w:eastAsia="仿宋" w:cs="仿宋"/>
        <w:b/>
        <w:sz w:val="18"/>
        <w:szCs w:val="18"/>
        <w:u w:val="singl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- 35 -</w:t>
                    </w:r>
                    <w:r>
                      <w:fldChar w:fldCharType="end"/>
                    </w:r>
                  </w:p>
                </w:txbxContent>
              </v:textbox>
            </v:shape>
          </w:pict>
        </mc:Fallback>
      </mc:AlternateContent>
    </w:r>
    <w:r>
      <w:rPr>
        <w:rFonts w:hint="eastAsia"/>
        <w:u w:val="single"/>
      </w:rPr>
      <w:drawing>
        <wp:inline distT="0" distB="0" distL="114300" distR="114300">
          <wp:extent cx="292100" cy="170180"/>
          <wp:effectExtent l="0" t="0" r="12700" b="1270"/>
          <wp:docPr id="54"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sz w:val="18"/>
        <w:szCs w:val="18"/>
        <w:u w:val="single"/>
        <w:lang w:eastAsia="zh-CN"/>
      </w:rPr>
      <w:t>陕西中磊工程项目管理有限公司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   电 话</w:t>
    </w:r>
    <w:r>
      <w:rPr>
        <w:rFonts w:hint="eastAsia" w:ascii="仿宋" w:hAnsi="仿宋" w:eastAsia="仿宋" w:cs="仿宋"/>
        <w:b/>
        <w:sz w:val="18"/>
        <w:szCs w:val="18"/>
        <w:u w:val="single"/>
        <w:lang w:eastAsia="zh-CN"/>
      </w:rPr>
      <w:t>：</w:t>
    </w:r>
    <w:r>
      <w:rPr>
        <w:rFonts w:hint="eastAsia" w:ascii="仿宋" w:hAnsi="仿宋" w:eastAsia="仿宋" w:cs="仿宋"/>
        <w:b/>
        <w:sz w:val="18"/>
        <w:szCs w:val="18"/>
        <w:u w:val="single"/>
      </w:rPr>
      <w:t>029-</w:t>
    </w:r>
    <w:r>
      <w:rPr>
        <w:rFonts w:hint="eastAsia" w:ascii="仿宋" w:hAnsi="仿宋" w:eastAsia="仿宋" w:cs="仿宋"/>
        <w:b/>
        <w:sz w:val="18"/>
        <w:szCs w:val="18"/>
        <w:u w:val="single"/>
        <w:lang w:val="en-US" w:eastAsia="zh-CN"/>
      </w:rPr>
      <w:t>88215577</w:t>
    </w:r>
  </w:p>
  <w:p>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480" w:hangingChars="200"/>
      <w:jc w:val="center"/>
      <w:rPr>
        <w:rFonts w:hint="default" w:ascii="仿宋" w:hAnsi="仿宋" w:eastAsia="仿宋" w:cs="仿宋"/>
        <w:b/>
        <w:sz w:val="18"/>
        <w:szCs w:val="18"/>
        <w:u w:val="single"/>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- 80 -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- 80 -</w:t>
                    </w:r>
                    <w:r>
                      <w:fldChar w:fldCharType="end"/>
                    </w:r>
                  </w:p>
                </w:txbxContent>
              </v:textbox>
            </v:shape>
          </w:pict>
        </mc:Fallback>
      </mc:AlternateContent>
    </w:r>
    <w:r>
      <w:rPr>
        <w:rFonts w:hint="eastAsia"/>
        <w:u w:val="single"/>
      </w:rPr>
      <w:drawing>
        <wp:inline distT="0" distB="0" distL="114300" distR="114300">
          <wp:extent cx="292100" cy="170180"/>
          <wp:effectExtent l="0" t="0" r="12700" b="1270"/>
          <wp:docPr id="62"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sz w:val="18"/>
        <w:szCs w:val="18"/>
        <w:u w:val="single"/>
        <w:lang w:eastAsia="zh-CN"/>
      </w:rPr>
      <w:t>陕西中磊工程项目管理有限公司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   电 话</w:t>
    </w:r>
    <w:r>
      <w:rPr>
        <w:rFonts w:hint="eastAsia" w:ascii="仿宋" w:hAnsi="仿宋" w:eastAsia="仿宋" w:cs="仿宋"/>
        <w:b/>
        <w:sz w:val="18"/>
        <w:szCs w:val="18"/>
        <w:u w:val="single"/>
        <w:lang w:eastAsia="zh-CN"/>
      </w:rPr>
      <w:t>：</w:t>
    </w:r>
    <w:r>
      <w:rPr>
        <w:rFonts w:hint="eastAsia" w:ascii="仿宋" w:hAnsi="仿宋" w:eastAsia="仿宋" w:cs="仿宋"/>
        <w:b/>
        <w:sz w:val="18"/>
        <w:szCs w:val="18"/>
        <w:u w:val="single"/>
      </w:rPr>
      <w:t>029-</w:t>
    </w:r>
    <w:r>
      <w:rPr>
        <w:rFonts w:hint="eastAsia" w:ascii="仿宋" w:hAnsi="仿宋" w:eastAsia="仿宋" w:cs="仿宋"/>
        <w:b/>
        <w:sz w:val="18"/>
        <w:szCs w:val="18"/>
        <w:u w:val="single"/>
        <w:lang w:val="en-US" w:eastAsia="zh-CN"/>
      </w:rPr>
      <w:t>88215577</w:t>
    </w:r>
  </w:p>
  <w:p>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ascii="仿宋" w:hAnsi="仿宋" w:eastAsia="仿宋" w:cs="仿宋"/>
        <w:b/>
        <w:sz w:val="18"/>
        <w:szCs w:val="18"/>
        <w:u w:val="single"/>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- 79 -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- 79 -</w:t>
                    </w:r>
                    <w:r>
                      <w:fldChar w:fldCharType="end"/>
                    </w:r>
                  </w:p>
                </w:txbxContent>
              </v:textbox>
            </v:shape>
          </w:pict>
        </mc:Fallback>
      </mc:AlternateContent>
    </w:r>
    <w:r>
      <w:rPr>
        <w:rFonts w:hint="eastAsia"/>
        <w:u w:val="single"/>
      </w:rPr>
      <w:drawing>
        <wp:inline distT="0" distB="0" distL="114300" distR="114300">
          <wp:extent cx="292100" cy="170180"/>
          <wp:effectExtent l="0" t="0" r="12700" b="1270"/>
          <wp:docPr id="64"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sz w:val="18"/>
        <w:szCs w:val="18"/>
        <w:u w:val="single"/>
        <w:lang w:eastAsia="zh-CN"/>
      </w:rPr>
      <w:t>陕西中磊工程项目管理有限公司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   电 话</w:t>
    </w:r>
    <w:r>
      <w:rPr>
        <w:rFonts w:hint="eastAsia" w:ascii="仿宋" w:hAnsi="仿宋" w:eastAsia="仿宋" w:cs="仿宋"/>
        <w:b/>
        <w:sz w:val="18"/>
        <w:szCs w:val="18"/>
        <w:u w:val="single"/>
        <w:lang w:eastAsia="zh-CN"/>
      </w:rPr>
      <w:t>：</w:t>
    </w:r>
    <w:r>
      <w:rPr>
        <w:rFonts w:hint="eastAsia" w:ascii="仿宋" w:hAnsi="仿宋" w:eastAsia="仿宋" w:cs="仿宋"/>
        <w:b/>
        <w:sz w:val="18"/>
        <w:szCs w:val="18"/>
        <w:u w:val="single"/>
      </w:rPr>
      <w:t>029-</w:t>
    </w:r>
    <w:r>
      <w:rPr>
        <w:rFonts w:hint="eastAsia" w:ascii="仿宋" w:hAnsi="仿宋" w:eastAsia="仿宋" w:cs="仿宋"/>
        <w:b/>
        <w:sz w:val="18"/>
        <w:szCs w:val="18"/>
        <w:u w:val="single"/>
        <w:lang w:val="en-US" w:eastAsia="zh-CN"/>
      </w:rPr>
      <w:t>88215577</w:t>
    </w:r>
  </w:p>
  <w:p>
    <w:pPr>
      <w:spacing w:line="280" w:lineRule="exact"/>
      <w:rPr>
        <w:rFonts w:ascii="仿宋" w:hAnsi="仿宋" w:eastAsia="仿宋" w:cs="仿宋"/>
        <w:bCs/>
        <w:sz w:val="18"/>
        <w:szCs w:val="18"/>
        <w:u w:val="single"/>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480" w:hangingChars="200"/>
      <w:jc w:val="center"/>
      <w:rPr>
        <w:rFonts w:hint="default" w:ascii="仿宋" w:hAnsi="仿宋" w:eastAsia="仿宋" w:cs="仿宋"/>
        <w:b/>
        <w:sz w:val="18"/>
        <w:szCs w:val="18"/>
        <w:u w:val="single"/>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- 113 -</w:t>
                    </w:r>
                    <w:r>
                      <w:fldChar w:fldCharType="end"/>
                    </w:r>
                  </w:p>
                </w:txbxContent>
              </v:textbox>
            </v:shape>
          </w:pict>
        </mc:Fallback>
      </mc:AlternateContent>
    </w:r>
    <w:r>
      <w:rPr>
        <w:rFonts w:hint="eastAsia"/>
        <w:u w:val="single"/>
      </w:rPr>
      <w:drawing>
        <wp:inline distT="0" distB="0" distL="114300" distR="114300">
          <wp:extent cx="292100" cy="170180"/>
          <wp:effectExtent l="0" t="0" r="12700" b="1270"/>
          <wp:docPr id="56"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sz w:val="18"/>
        <w:szCs w:val="18"/>
        <w:u w:val="single"/>
        <w:lang w:eastAsia="zh-CN"/>
      </w:rPr>
      <w:t>陕西中磊工程项目管理有限公司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   电 话</w:t>
    </w:r>
    <w:r>
      <w:rPr>
        <w:rFonts w:hint="eastAsia" w:ascii="仿宋" w:hAnsi="仿宋" w:eastAsia="仿宋" w:cs="仿宋"/>
        <w:b/>
        <w:sz w:val="18"/>
        <w:szCs w:val="18"/>
        <w:u w:val="single"/>
        <w:lang w:eastAsia="zh-CN"/>
      </w:rPr>
      <w:t>：</w:t>
    </w:r>
    <w:r>
      <w:rPr>
        <w:rFonts w:hint="eastAsia" w:ascii="仿宋" w:hAnsi="仿宋" w:eastAsia="仿宋" w:cs="仿宋"/>
        <w:b/>
        <w:sz w:val="18"/>
        <w:szCs w:val="18"/>
        <w:u w:val="single"/>
      </w:rPr>
      <w:t>029-</w:t>
    </w:r>
    <w:r>
      <w:rPr>
        <w:rFonts w:hint="eastAsia" w:ascii="仿宋" w:hAnsi="仿宋" w:eastAsia="仿宋" w:cs="仿宋"/>
        <w:b/>
        <w:sz w:val="18"/>
        <w:szCs w:val="18"/>
        <w:u w:val="single"/>
        <w:lang w:val="en-US" w:eastAsia="zh-CN"/>
      </w:rPr>
      <w:t>88215577</w:t>
    </w:r>
  </w:p>
  <w:p>
    <w:pPr>
      <w:pStyle w:val="1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480" w:hangingChars="200"/>
      <w:jc w:val="center"/>
      <w:rPr>
        <w:rFonts w:hint="default" w:ascii="仿宋" w:hAnsi="仿宋" w:eastAsia="仿宋" w:cs="仿宋"/>
        <w:b/>
        <w:sz w:val="18"/>
        <w:szCs w:val="18"/>
        <w:u w:val="single"/>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- 116 -</w:t>
                    </w:r>
                    <w:r>
                      <w:fldChar w:fldCharType="end"/>
                    </w:r>
                  </w:p>
                </w:txbxContent>
              </v:textbox>
            </v:shape>
          </w:pict>
        </mc:Fallback>
      </mc:AlternateContent>
    </w:r>
    <w:r>
      <w:rPr>
        <w:rFonts w:hint="eastAsia"/>
        <w:u w:val="single"/>
      </w:rPr>
      <w:drawing>
        <wp:inline distT="0" distB="0" distL="114300" distR="114300">
          <wp:extent cx="292100" cy="170180"/>
          <wp:effectExtent l="0" t="0" r="12700" b="1270"/>
          <wp:docPr id="60"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sz w:val="18"/>
        <w:szCs w:val="18"/>
        <w:u w:val="single"/>
        <w:lang w:eastAsia="zh-CN"/>
      </w:rPr>
      <w:t>陕西中磊工程项目管理有限公司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   电 话</w:t>
    </w:r>
    <w:r>
      <w:rPr>
        <w:rFonts w:hint="eastAsia" w:ascii="仿宋" w:hAnsi="仿宋" w:eastAsia="仿宋" w:cs="仿宋"/>
        <w:b/>
        <w:sz w:val="18"/>
        <w:szCs w:val="18"/>
        <w:u w:val="single"/>
        <w:lang w:eastAsia="zh-CN"/>
      </w:rPr>
      <w:t>：</w:t>
    </w:r>
    <w:r>
      <w:rPr>
        <w:rFonts w:hint="eastAsia" w:ascii="仿宋" w:hAnsi="仿宋" w:eastAsia="仿宋" w:cs="仿宋"/>
        <w:b/>
        <w:sz w:val="18"/>
        <w:szCs w:val="18"/>
        <w:u w:val="single"/>
      </w:rPr>
      <w:t>029-</w:t>
    </w:r>
    <w:r>
      <w:rPr>
        <w:rFonts w:hint="eastAsia" w:ascii="仿宋" w:hAnsi="仿宋" w:eastAsia="仿宋" w:cs="仿宋"/>
        <w:b/>
        <w:sz w:val="18"/>
        <w:szCs w:val="18"/>
        <w:u w:val="single"/>
        <w:lang w:val="en-US" w:eastAsia="zh-CN"/>
      </w:rPr>
      <w:t>88215577</w:t>
    </w:r>
  </w:p>
  <w:p>
    <w:pPr>
      <w:pStyle w:val="1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0" w:hanging="360" w:hangingChars="20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b/>
        <w:sz w:val="18"/>
        <w:szCs w:val="18"/>
        <w:u w:val="single"/>
        <w:lang w:eastAsia="zh-CN"/>
      </w:rPr>
      <w:t>陕西中磊工程项目管理有限公司</w:t>
    </w:r>
    <w:r>
      <w:rPr>
        <w:rFonts w:hint="eastAsia" w:ascii="仿宋" w:hAnsi="仿宋" w:eastAsia="仿宋" w:cs="仿宋"/>
        <w:b/>
        <w:sz w:val="18"/>
        <w:szCs w:val="18"/>
        <w:u w:val="single"/>
      </w:rPr>
      <w:t xml:space="preserve">  地 址：</w:t>
    </w:r>
    <w:r>
      <w:rPr>
        <w:rFonts w:hint="eastAsia" w:ascii="仿宋" w:hAnsi="仿宋" w:eastAsia="仿宋" w:cs="仿宋"/>
        <w:b/>
        <w:sz w:val="18"/>
        <w:szCs w:val="18"/>
        <w:u w:val="single"/>
        <w:lang w:eastAsia="zh-CN"/>
      </w:rPr>
      <w:t>西安市雁塔区科技三路融城云谷B座1804室</w:t>
    </w:r>
    <w:r>
      <w:rPr>
        <w:rFonts w:hint="eastAsia" w:ascii="仿宋" w:hAnsi="仿宋" w:eastAsia="仿宋" w:cs="仿宋"/>
        <w:b/>
        <w:sz w:val="18"/>
        <w:szCs w:val="18"/>
        <w:u w:val="single"/>
      </w:rPr>
      <w:t xml:space="preserve">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ascii="楷体" w:hAnsi="楷体" w:eastAsia="楷体" w:cs="楷体"/>
        <w:b/>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480" w:hangingChars="200"/>
      <w:jc w:val="center"/>
      <w:rPr>
        <w:rFonts w:hint="default" w:ascii="仿宋" w:hAnsi="仿宋" w:eastAsia="仿宋" w:cs="仿宋"/>
        <w:b/>
        <w:sz w:val="18"/>
        <w:szCs w:val="18"/>
        <w:u w:val="single"/>
        <w:lang w:val="en-US" w:eastAsia="zh-CN"/>
      </w:rPr>
    </w:pPr>
    <w:r>
      <w:rPr>
        <w:rFonts w:hint="eastAsia"/>
        <w:u w:val="single"/>
      </w:rPr>
      <w:drawing>
        <wp:inline distT="0" distB="0" distL="114300" distR="114300">
          <wp:extent cx="292100" cy="170180"/>
          <wp:effectExtent l="0" t="0" r="12700" b="1270"/>
          <wp:docPr id="25"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sz w:val="18"/>
        <w:szCs w:val="18"/>
        <w:u w:val="single"/>
        <w:lang w:eastAsia="zh-CN"/>
      </w:rPr>
      <w:t>陕西中磊工程项目管理有限公司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   电 话</w:t>
    </w:r>
    <w:r>
      <w:rPr>
        <w:rFonts w:hint="eastAsia" w:ascii="仿宋" w:hAnsi="仿宋" w:eastAsia="仿宋" w:cs="仿宋"/>
        <w:b/>
        <w:sz w:val="18"/>
        <w:szCs w:val="18"/>
        <w:u w:val="single"/>
        <w:lang w:eastAsia="zh-CN"/>
      </w:rPr>
      <w:t>：</w:t>
    </w:r>
    <w:r>
      <w:rPr>
        <w:rFonts w:hint="eastAsia" w:ascii="仿宋" w:hAnsi="仿宋" w:eastAsia="仿宋" w:cs="仿宋"/>
        <w:b/>
        <w:sz w:val="18"/>
        <w:szCs w:val="18"/>
        <w:u w:val="single"/>
      </w:rPr>
      <w:t>029-</w:t>
    </w:r>
    <w:r>
      <w:rPr>
        <w:rFonts w:hint="eastAsia" w:ascii="仿宋" w:hAnsi="仿宋" w:eastAsia="仿宋" w:cs="仿宋"/>
        <w:b/>
        <w:sz w:val="18"/>
        <w:szCs w:val="18"/>
        <w:u w:val="single"/>
        <w:lang w:val="en-US" w:eastAsia="zh-CN"/>
      </w:rPr>
      <w:t>88215577</w:t>
    </w: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default" w:ascii="楷体" w:hAnsi="楷体" w:eastAsia="楷体" w:cs="楷体"/>
        <w:b/>
        <w:bCs/>
        <w:sz w:val="18"/>
        <w:szCs w:val="18"/>
        <w:u w:val="single"/>
        <w:lang w:val="en-US"/>
      </w:rPr>
    </w:pPr>
    <w:r>
      <w:rPr>
        <w:rFonts w:hint="eastAsia"/>
        <w:b/>
        <w:bCs/>
        <w:sz w:val="18"/>
        <w:szCs w:val="18"/>
        <w:u w:val="single"/>
      </w:rPr>
      <w:drawing>
        <wp:inline distT="0" distB="0" distL="114300" distR="114300">
          <wp:extent cx="292100" cy="170180"/>
          <wp:effectExtent l="0" t="0" r="12700" b="1270"/>
          <wp:docPr id="26"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bCs/>
        <w:sz w:val="18"/>
        <w:szCs w:val="18"/>
        <w:u w:val="single"/>
        <w:lang w:eastAsia="zh-CN"/>
      </w:rPr>
      <w:t>陕西中磊工程项目管理有限公司</w:t>
    </w:r>
    <w:r>
      <w:rPr>
        <w:rFonts w:hint="eastAsia" w:ascii="仿宋" w:hAnsi="仿宋" w:eastAsia="仿宋" w:cs="仿宋"/>
        <w:b/>
        <w:bCs/>
        <w:sz w:val="18"/>
        <w:szCs w:val="18"/>
        <w:u w:val="single"/>
      </w:rPr>
      <w:t xml:space="preserve">    </w:t>
    </w:r>
    <w:r>
      <w:rPr>
        <w:rFonts w:hint="eastAsia" w:ascii="仿宋" w:hAnsi="仿宋" w:eastAsia="仿宋" w:cs="仿宋"/>
        <w:b/>
        <w:bCs/>
        <w:sz w:val="18"/>
        <w:szCs w:val="18"/>
        <w:u w:val="single"/>
        <w:lang w:val="en-US" w:eastAsia="zh-CN"/>
      </w:rPr>
      <w:t xml:space="preserve">                           </w:t>
    </w:r>
    <w:r>
      <w:rPr>
        <w:rFonts w:hint="eastAsia" w:ascii="仿宋" w:hAnsi="仿宋" w:eastAsia="仿宋" w:cs="仿宋"/>
        <w:b/>
        <w:bCs/>
        <w:sz w:val="18"/>
        <w:szCs w:val="18"/>
        <w:u w:val="single"/>
      </w:rPr>
      <w:t xml:space="preserve"> </w:t>
    </w:r>
    <w:r>
      <w:rPr>
        <w:rFonts w:hint="eastAsia" w:ascii="仿宋" w:hAnsi="仿宋" w:eastAsia="仿宋" w:cs="仿宋"/>
        <w:b/>
        <w:bCs/>
        <w:sz w:val="18"/>
        <w:szCs w:val="18"/>
        <w:u w:val="single"/>
        <w:lang w:val="en-US" w:eastAsia="zh-CN"/>
      </w:rPr>
      <w:t xml:space="preserve">          </w:t>
    </w:r>
    <w:r>
      <w:rPr>
        <w:rFonts w:hint="eastAsia" w:ascii="仿宋" w:hAnsi="仿宋" w:eastAsia="仿宋" w:cs="仿宋"/>
        <w:b/>
        <w:bCs/>
        <w:sz w:val="18"/>
        <w:szCs w:val="18"/>
        <w:u w:val="single"/>
      </w:rPr>
      <w:t xml:space="preserve">   电 话：029-</w:t>
    </w:r>
    <w:r>
      <w:rPr>
        <w:rFonts w:hint="eastAsia" w:ascii="仿宋" w:hAnsi="仿宋" w:eastAsia="仿宋" w:cs="仿宋"/>
        <w:b/>
        <w:bCs/>
        <w:sz w:val="18"/>
        <w:szCs w:val="18"/>
        <w:u w:val="single"/>
        <w:lang w:val="en-US" w:eastAsia="zh-CN"/>
      </w:rPr>
      <w:t>88215577</w:t>
    </w:r>
  </w:p>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280" w:lineRule="exact"/>
      <w:ind w:left="361" w:hanging="480" w:hangingChars="200"/>
      <w:jc w:val="center"/>
      <w:rPr>
        <w:rFonts w:ascii="宋体" w:hAnsi="宋体"/>
        <w:b/>
        <w:sz w:val="21"/>
        <w:szCs w:val="16"/>
        <w:u w:val="none"/>
      </w:rPr>
    </w:pPr>
    <w:r>
      <w:rPr>
        <w:sz w:val="24"/>
        <w:u w:val="none"/>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u w:val="none"/>
      </w:rPr>
      <w:drawing>
        <wp:inline distT="0" distB="0" distL="114300" distR="114300">
          <wp:extent cx="292100" cy="170180"/>
          <wp:effectExtent l="0" t="0" r="12700" b="1270"/>
          <wp:docPr id="78"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sz w:val="18"/>
        <w:szCs w:val="18"/>
        <w:u w:val="none"/>
        <w:lang w:eastAsia="zh-CN"/>
      </w:rPr>
      <w:t>陕西中磊工程项目管理有限公司</w:t>
    </w:r>
    <w:r>
      <w:rPr>
        <w:rFonts w:hint="eastAsia" w:ascii="仿宋" w:hAnsi="仿宋" w:eastAsia="仿宋" w:cs="仿宋"/>
        <w:b/>
        <w:sz w:val="18"/>
        <w:szCs w:val="18"/>
        <w:u w:val="none"/>
      </w:rPr>
      <w:t xml:space="preserve">  </w:t>
    </w:r>
    <w:r>
      <w:rPr>
        <w:rFonts w:hint="eastAsia" w:ascii="仿宋" w:hAnsi="仿宋" w:eastAsia="仿宋" w:cs="仿宋"/>
        <w:b/>
        <w:sz w:val="18"/>
        <w:szCs w:val="18"/>
        <w:u w:val="none"/>
        <w:lang w:val="en-US" w:eastAsia="zh-CN"/>
      </w:rPr>
      <w:t xml:space="preserve">                                         </w:t>
    </w:r>
    <w:r>
      <w:rPr>
        <w:rFonts w:hint="eastAsia" w:ascii="仿宋" w:hAnsi="仿宋" w:eastAsia="仿宋" w:cs="仿宋"/>
        <w:b/>
        <w:sz w:val="18"/>
        <w:szCs w:val="18"/>
        <w:u w:val="none"/>
      </w:rPr>
      <w:t xml:space="preserve">   电 话</w:t>
    </w:r>
    <w:r>
      <w:rPr>
        <w:rFonts w:hint="eastAsia" w:ascii="仿宋" w:hAnsi="仿宋" w:eastAsia="仿宋" w:cs="仿宋"/>
        <w:b/>
        <w:sz w:val="18"/>
        <w:szCs w:val="18"/>
        <w:u w:val="none"/>
        <w:lang w:eastAsia="zh-CN"/>
      </w:rPr>
      <w:t>：</w:t>
    </w:r>
    <w:r>
      <w:rPr>
        <w:rFonts w:hint="eastAsia" w:ascii="仿宋" w:hAnsi="仿宋" w:eastAsia="仿宋" w:cs="仿宋"/>
        <w:b/>
        <w:sz w:val="18"/>
        <w:szCs w:val="18"/>
        <w:u w:val="none"/>
      </w:rPr>
      <w:t>029-</w:t>
    </w:r>
    <w:r>
      <w:rPr>
        <w:rFonts w:hint="eastAsia" w:ascii="仿宋" w:hAnsi="仿宋" w:eastAsia="仿宋" w:cs="仿宋"/>
        <w:b/>
        <w:sz w:val="18"/>
        <w:szCs w:val="18"/>
        <w:u w:val="none"/>
        <w:lang w:val="en-US" w:eastAsia="zh-CN"/>
      </w:rPr>
      <w:t>88215577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default" w:ascii="楷体" w:hAnsi="楷体" w:eastAsia="楷体" w:cs="楷体"/>
        <w:b/>
        <w:bCs/>
        <w:sz w:val="18"/>
        <w:szCs w:val="18"/>
        <w:u w:val="single"/>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b/>
        <w:bCs/>
        <w:sz w:val="18"/>
        <w:szCs w:val="18"/>
        <w:u w:val="single"/>
      </w:rPr>
      <w:drawing>
        <wp:inline distT="0" distB="0" distL="114300" distR="114300">
          <wp:extent cx="292100" cy="170180"/>
          <wp:effectExtent l="0" t="0" r="12700" b="1270"/>
          <wp:docPr id="79" name="图片 1" descr="9e37733f8d77ebd96118e43b29ff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 descr="9e37733f8d77ebd96118e43b29ff6ae"/>
                  <pic:cNvPicPr>
                    <a:picLocks noChangeAspect="1"/>
                  </pic:cNvPicPr>
                </pic:nvPicPr>
                <pic:blipFill>
                  <a:blip r:embed="rId1"/>
                  <a:stretch>
                    <a:fillRect/>
                  </a:stretch>
                </pic:blipFill>
                <pic:spPr>
                  <a:xfrm>
                    <a:off x="0" y="0"/>
                    <a:ext cx="292100" cy="170180"/>
                  </a:xfrm>
                  <a:prstGeom prst="rect">
                    <a:avLst/>
                  </a:prstGeom>
                  <a:noFill/>
                  <a:ln>
                    <a:noFill/>
                  </a:ln>
                </pic:spPr>
              </pic:pic>
            </a:graphicData>
          </a:graphic>
        </wp:inline>
      </w:drawing>
    </w:r>
    <w:r>
      <w:rPr>
        <w:rFonts w:hint="eastAsia" w:ascii="仿宋" w:hAnsi="仿宋" w:eastAsia="仿宋" w:cs="仿宋"/>
        <w:b/>
        <w:bCs/>
        <w:sz w:val="18"/>
        <w:szCs w:val="18"/>
        <w:u w:val="single"/>
        <w:lang w:eastAsia="zh-CN"/>
      </w:rPr>
      <w:t>陕西中磊工程项目管理有限公司</w:t>
    </w:r>
    <w:r>
      <w:rPr>
        <w:rFonts w:hint="eastAsia" w:ascii="仿宋" w:hAnsi="仿宋" w:eastAsia="仿宋" w:cs="仿宋"/>
        <w:b/>
        <w:bCs/>
        <w:sz w:val="18"/>
        <w:szCs w:val="18"/>
        <w:u w:val="single"/>
      </w:rPr>
      <w:t xml:space="preserve">    </w:t>
    </w:r>
    <w:r>
      <w:rPr>
        <w:rFonts w:hint="eastAsia" w:ascii="仿宋" w:hAnsi="仿宋" w:eastAsia="仿宋" w:cs="仿宋"/>
        <w:b/>
        <w:bCs/>
        <w:sz w:val="18"/>
        <w:szCs w:val="18"/>
        <w:u w:val="single"/>
        <w:lang w:val="en-US" w:eastAsia="zh-CN"/>
      </w:rPr>
      <w:t xml:space="preserve">                           </w:t>
    </w:r>
    <w:r>
      <w:rPr>
        <w:rFonts w:hint="eastAsia" w:ascii="仿宋" w:hAnsi="仿宋" w:eastAsia="仿宋" w:cs="仿宋"/>
        <w:b/>
        <w:bCs/>
        <w:sz w:val="18"/>
        <w:szCs w:val="18"/>
        <w:u w:val="single"/>
      </w:rPr>
      <w:t xml:space="preserve"> </w:t>
    </w:r>
    <w:r>
      <w:rPr>
        <w:rFonts w:hint="eastAsia" w:ascii="仿宋" w:hAnsi="仿宋" w:eastAsia="仿宋" w:cs="仿宋"/>
        <w:b/>
        <w:bCs/>
        <w:sz w:val="18"/>
        <w:szCs w:val="18"/>
        <w:u w:val="single"/>
        <w:lang w:val="en-US" w:eastAsia="zh-CN"/>
      </w:rPr>
      <w:t xml:space="preserve">          </w:t>
    </w:r>
    <w:r>
      <w:rPr>
        <w:rFonts w:hint="eastAsia" w:ascii="仿宋" w:hAnsi="仿宋" w:eastAsia="仿宋" w:cs="仿宋"/>
        <w:b/>
        <w:bCs/>
        <w:sz w:val="18"/>
        <w:szCs w:val="18"/>
        <w:u w:val="single"/>
      </w:rPr>
      <w:t xml:space="preserve">   电 话：029-</w:t>
    </w:r>
    <w:r>
      <w:rPr>
        <w:rFonts w:hint="eastAsia" w:ascii="仿宋" w:hAnsi="仿宋" w:eastAsia="仿宋" w:cs="仿宋"/>
        <w:b/>
        <w:bCs/>
        <w:sz w:val="18"/>
        <w:szCs w:val="18"/>
        <w:u w:val="single"/>
        <w:lang w:val="en-US" w:eastAsia="zh-CN"/>
      </w:rPr>
      <w:t>88215577</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pacing w:line="440" w:lineRule="exact"/>
      <w:jc w:val="left"/>
      <w:rPr>
        <w:rFonts w:ascii="楷体" w:hAnsi="楷体" w:eastAsia="楷体" w:cs="楷体"/>
      </w:rPr>
    </w:pPr>
    <w:r>
      <w:rPr>
        <w:rFonts w:hint="eastAsia" w:ascii="仿宋" w:hAnsi="仿宋" w:eastAsia="仿宋" w:cs="仿宋"/>
        <w:bCs/>
        <w:u w:val="single"/>
        <w:lang w:eastAsia="zh-CN"/>
      </w:rPr>
      <w:t>2022年高陵区应急广播体系建设</w:t>
    </w:r>
    <w:r>
      <w:rPr>
        <w:rFonts w:hint="eastAsia" w:ascii="仿宋" w:hAnsi="仿宋" w:eastAsia="仿宋" w:cs="仿宋"/>
        <w:bCs/>
        <w:u w:val="single"/>
      </w:rPr>
      <w:t xml:space="preserve">项目                                公开招标文件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16"/>
        <w:szCs w:val="16"/>
      </w:rPr>
    </w:pPr>
    <w:r>
      <w:rPr>
        <w:rFonts w:hint="eastAsia" w:ascii="仿宋" w:hAnsi="仿宋" w:eastAsia="仿宋" w:cs="仿宋"/>
        <w:b/>
        <w:sz w:val="18"/>
        <w:szCs w:val="18"/>
        <w:lang w:eastAsia="zh-CN"/>
      </w:rPr>
      <w:t>2022年高陵区应急广播体系建设</w:t>
    </w:r>
    <w:r>
      <w:rPr>
        <w:rFonts w:hint="eastAsia" w:ascii="仿宋" w:hAnsi="仿宋" w:eastAsia="仿宋" w:cs="仿宋"/>
        <w:b/>
        <w:sz w:val="18"/>
        <w:szCs w:val="18"/>
      </w:rPr>
      <w:t xml:space="preserve">                   </w:t>
    </w:r>
    <w:r>
      <w:rPr>
        <w:rFonts w:hint="eastAsia" w:ascii="仿宋" w:hAnsi="仿宋" w:eastAsia="仿宋" w:cs="仿宋"/>
        <w:b/>
        <w:sz w:val="18"/>
        <w:szCs w:val="18"/>
        <w:lang w:val="en-US" w:eastAsia="zh-CN"/>
      </w:rPr>
      <w:t xml:space="preserve">                                                        </w:t>
    </w:r>
    <w:r>
      <w:rPr>
        <w:rFonts w:hint="eastAsia" w:ascii="仿宋" w:hAnsi="仿宋" w:eastAsia="仿宋" w:cs="仿宋"/>
        <w:b/>
        <w:sz w:val="18"/>
        <w:szCs w:val="18"/>
      </w:rPr>
      <w:t xml:space="preserve">公开招标文件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pacing w:line="480" w:lineRule="exact"/>
      <w:jc w:val="both"/>
      <w:rPr>
        <w:b/>
        <w:bC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pacing w:line="440" w:lineRule="exact"/>
      <w:jc w:val="left"/>
      <w:rPr>
        <w:rFonts w:ascii="楷体" w:hAnsi="楷体" w:eastAsia="楷体" w:cs="楷体"/>
        <w:b/>
        <w:sz w:val="20"/>
        <w:szCs w:val="20"/>
      </w:rPr>
    </w:pPr>
    <w:r>
      <w:rPr>
        <w:rFonts w:hint="eastAsia" w:ascii="仿宋" w:hAnsi="仿宋" w:eastAsia="仿宋" w:cs="仿宋"/>
        <w:b/>
        <w:sz w:val="18"/>
        <w:szCs w:val="18"/>
        <w:u w:val="single"/>
        <w:lang w:eastAsia="zh-CN"/>
      </w:rPr>
      <w:t>2022年高陵区应急广播体系建设</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招标文件 </w:t>
    </w:r>
    <w:r>
      <w:rPr>
        <w:rFonts w:hint="eastAsia" w:ascii="仿宋" w:hAnsi="仿宋" w:eastAsia="仿宋" w:cs="仿宋"/>
        <w:b/>
        <w:sz w:val="20"/>
        <w:szCs w:val="20"/>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spacing w:line="440" w:lineRule="exact"/>
      <w:jc w:val="left"/>
      <w:rPr>
        <w:rFonts w:ascii="宋体" w:hAnsi="宋体" w:eastAsia="楷体"/>
        <w:b/>
        <w:u w:val="single"/>
      </w:rPr>
    </w:pPr>
    <w:r>
      <w:rPr>
        <w:rFonts w:hint="eastAsia" w:ascii="仿宋" w:hAnsi="仿宋" w:eastAsia="仿宋" w:cs="仿宋"/>
        <w:b/>
        <w:u w:val="single"/>
        <w:lang w:eastAsia="zh-CN"/>
      </w:rPr>
      <w:t>2022年高陵区应急广播体系建设</w:t>
    </w:r>
    <w:r>
      <w:rPr>
        <w:rFonts w:hint="eastAsia" w:ascii="仿宋" w:hAnsi="仿宋" w:eastAsia="仿宋" w:cs="仿宋"/>
        <w:b/>
        <w:u w:val="single"/>
      </w:rPr>
      <w:t xml:space="preserve">项目                                                     公开招标文件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仿宋" w:hAnsi="仿宋" w:eastAsia="仿宋" w:cs="仿宋"/>
        <w:b/>
        <w:sz w:val="18"/>
        <w:szCs w:val="18"/>
        <w:u w:val="none"/>
        <w:lang w:eastAsia="zh-CN"/>
      </w:rPr>
      <w:t>2022年高陵区应急广播体系建设</w:t>
    </w:r>
    <w:r>
      <w:rPr>
        <w:rFonts w:hint="eastAsia" w:ascii="仿宋" w:hAnsi="仿宋" w:eastAsia="仿宋" w:cs="仿宋"/>
        <w:b/>
        <w:sz w:val="18"/>
        <w:szCs w:val="18"/>
        <w:u w:val="none"/>
      </w:rPr>
      <w:t xml:space="preserve">                                               </w:t>
    </w:r>
    <w:r>
      <w:rPr>
        <w:rFonts w:hint="eastAsia" w:ascii="仿宋" w:hAnsi="仿宋" w:eastAsia="仿宋" w:cs="仿宋"/>
        <w:b/>
        <w:sz w:val="18"/>
        <w:szCs w:val="18"/>
        <w:u w:val="none"/>
        <w:lang w:val="en-US" w:eastAsia="zh-CN"/>
      </w:rPr>
      <w:t xml:space="preserve">              </w:t>
    </w:r>
    <w:r>
      <w:rPr>
        <w:rFonts w:hint="eastAsia" w:ascii="仿宋" w:hAnsi="仿宋" w:eastAsia="仿宋" w:cs="仿宋"/>
        <w:b/>
        <w:sz w:val="18"/>
        <w:szCs w:val="18"/>
        <w:u w:val="none"/>
      </w:rPr>
      <w:t xml:space="preserve">招标文件 </w:t>
    </w:r>
    <w:r>
      <w:rPr>
        <w:rFonts w:hint="eastAsia" w:ascii="仿宋" w:hAnsi="仿宋" w:eastAsia="仿宋" w:cs="仿宋"/>
        <w:b/>
        <w:sz w:val="20"/>
        <w:szCs w:val="20"/>
        <w:u w:val="non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仿宋" w:hAnsi="仿宋" w:eastAsia="仿宋" w:cs="仿宋"/>
        <w:b/>
        <w:sz w:val="18"/>
        <w:szCs w:val="18"/>
        <w:u w:val="none"/>
        <w:lang w:eastAsia="zh-CN"/>
      </w:rPr>
      <w:t>2022年高陵区应急广播体系建设</w:t>
    </w:r>
    <w:r>
      <w:rPr>
        <w:rFonts w:hint="eastAsia" w:ascii="仿宋" w:hAnsi="仿宋" w:eastAsia="仿宋" w:cs="仿宋"/>
        <w:b/>
        <w:sz w:val="18"/>
        <w:szCs w:val="18"/>
        <w:u w:val="none"/>
      </w:rPr>
      <w:t xml:space="preserve">                                               </w:t>
    </w:r>
    <w:r>
      <w:rPr>
        <w:rFonts w:hint="eastAsia" w:ascii="仿宋" w:hAnsi="仿宋" w:eastAsia="仿宋" w:cs="仿宋"/>
        <w:b/>
        <w:sz w:val="18"/>
        <w:szCs w:val="18"/>
        <w:u w:val="none"/>
        <w:lang w:val="en-US" w:eastAsia="zh-CN"/>
      </w:rPr>
      <w:t xml:space="preserve">              </w:t>
    </w:r>
    <w:r>
      <w:rPr>
        <w:rFonts w:hint="eastAsia" w:ascii="仿宋" w:hAnsi="仿宋" w:eastAsia="仿宋" w:cs="仿宋"/>
        <w:b/>
        <w:sz w:val="18"/>
        <w:szCs w:val="18"/>
        <w:u w:val="none"/>
      </w:rPr>
      <w:t xml:space="preserve">招标文件 </w:t>
    </w:r>
    <w:r>
      <w:rPr>
        <w:rFonts w:hint="eastAsia" w:ascii="仿宋" w:hAnsi="仿宋" w:eastAsia="仿宋" w:cs="仿宋"/>
        <w:b/>
        <w:sz w:val="20"/>
        <w:szCs w:val="20"/>
        <w:u w:val="non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b/>
      </w:rPr>
    </w:pPr>
    <w:r>
      <w:rPr>
        <w:rFonts w:hint="eastAsia" w:ascii="仿宋" w:hAnsi="仿宋" w:eastAsia="仿宋" w:cs="仿宋"/>
        <w:b/>
        <w:lang w:eastAsia="zh-CN"/>
      </w:rPr>
      <w:t>2022年高陵区应急广播体系建设</w:t>
    </w:r>
    <w:r>
      <w:rPr>
        <w:rFonts w:hint="eastAsia" w:ascii="仿宋" w:hAnsi="仿宋" w:eastAsia="仿宋" w:cs="仿宋"/>
        <w:b/>
      </w:rPr>
      <w:t xml:space="preserve">项目                        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A64D8"/>
    <w:multiLevelType w:val="singleLevel"/>
    <w:tmpl w:val="8FEA64D8"/>
    <w:lvl w:ilvl="0" w:tentative="0">
      <w:start w:val="1"/>
      <w:numFmt w:val="bullet"/>
      <w:lvlText w:val=""/>
      <w:lvlJc w:val="left"/>
      <w:pPr>
        <w:ind w:left="420" w:hanging="420"/>
      </w:pPr>
      <w:rPr>
        <w:rFonts w:hint="default" w:ascii="Wingdings" w:hAnsi="Wingdings"/>
      </w:rPr>
    </w:lvl>
  </w:abstractNum>
  <w:abstractNum w:abstractNumId="1">
    <w:nsid w:val="B43C1E05"/>
    <w:multiLevelType w:val="singleLevel"/>
    <w:tmpl w:val="B43C1E05"/>
    <w:lvl w:ilvl="0" w:tentative="0">
      <w:start w:val="1"/>
      <w:numFmt w:val="decimal"/>
      <w:suff w:val="nothing"/>
      <w:lvlText w:val="（%1）"/>
      <w:lvlJc w:val="left"/>
      <w:pPr>
        <w:ind w:left="240"/>
      </w:pPr>
    </w:lvl>
  </w:abstractNum>
  <w:abstractNum w:abstractNumId="2">
    <w:nsid w:val="C5869A75"/>
    <w:multiLevelType w:val="singleLevel"/>
    <w:tmpl w:val="C5869A75"/>
    <w:lvl w:ilvl="0" w:tentative="0">
      <w:start w:val="1"/>
      <w:numFmt w:val="decimal"/>
      <w:lvlText w:val="%1."/>
      <w:lvlJc w:val="left"/>
      <w:pPr>
        <w:tabs>
          <w:tab w:val="left" w:pos="312"/>
        </w:tabs>
      </w:pPr>
    </w:lvl>
  </w:abstractNum>
  <w:abstractNum w:abstractNumId="3">
    <w:nsid w:val="F8DC9CD1"/>
    <w:multiLevelType w:val="singleLevel"/>
    <w:tmpl w:val="F8DC9CD1"/>
    <w:lvl w:ilvl="0" w:tentative="0">
      <w:start w:val="6"/>
      <w:numFmt w:val="chineseCounting"/>
      <w:suff w:val="space"/>
      <w:lvlText w:val="第%1章"/>
      <w:lvlJc w:val="left"/>
      <w:rPr>
        <w:rFonts w:hint="eastAsia"/>
      </w:rPr>
    </w:lvl>
  </w:abstractNum>
  <w:abstractNum w:abstractNumId="4">
    <w:nsid w:val="0000000E"/>
    <w:multiLevelType w:val="singleLevel"/>
    <w:tmpl w:val="0000000E"/>
    <w:lvl w:ilvl="0" w:tentative="0">
      <w:start w:val="2"/>
      <w:numFmt w:val="decimal"/>
      <w:suff w:val="nothing"/>
      <w:lvlText w:val="%1）"/>
      <w:lvlJc w:val="left"/>
    </w:lvl>
  </w:abstractNum>
  <w:abstractNum w:abstractNumId="5">
    <w:nsid w:val="01041D89"/>
    <w:multiLevelType w:val="singleLevel"/>
    <w:tmpl w:val="01041D89"/>
    <w:lvl w:ilvl="0" w:tentative="0">
      <w:start w:val="1"/>
      <w:numFmt w:val="chineseCounting"/>
      <w:suff w:val="space"/>
      <w:lvlText w:val="第%1章"/>
      <w:lvlJc w:val="left"/>
      <w:rPr>
        <w:rFonts w:hint="eastAsia"/>
      </w:rPr>
    </w:lvl>
  </w:abstractNum>
  <w:abstractNum w:abstractNumId="6">
    <w:nsid w:val="0E616FC1"/>
    <w:multiLevelType w:val="singleLevel"/>
    <w:tmpl w:val="0E616FC1"/>
    <w:lvl w:ilvl="0" w:tentative="0">
      <w:start w:val="1"/>
      <w:numFmt w:val="decimal"/>
      <w:lvlText w:val="(%1)"/>
      <w:lvlJc w:val="left"/>
      <w:pPr>
        <w:ind w:left="425" w:hanging="425"/>
      </w:pPr>
      <w:rPr>
        <w:rFonts w:hint="default"/>
      </w:rPr>
    </w:lvl>
  </w:abstractNum>
  <w:abstractNum w:abstractNumId="7">
    <w:nsid w:val="243D3A16"/>
    <w:multiLevelType w:val="singleLevel"/>
    <w:tmpl w:val="243D3A16"/>
    <w:lvl w:ilvl="0" w:tentative="0">
      <w:start w:val="1"/>
      <w:numFmt w:val="chineseCounting"/>
      <w:suff w:val="nothing"/>
      <w:lvlText w:val="%1、"/>
      <w:lvlJc w:val="left"/>
      <w:rPr>
        <w:rFonts w:hint="eastAsia"/>
      </w:rPr>
    </w:lvl>
  </w:abstractNum>
  <w:abstractNum w:abstractNumId="8">
    <w:nsid w:val="576A36EB"/>
    <w:multiLevelType w:val="singleLevel"/>
    <w:tmpl w:val="576A36EB"/>
    <w:lvl w:ilvl="0" w:tentative="0">
      <w:start w:val="1"/>
      <w:numFmt w:val="decimal"/>
      <w:suff w:val="nothing"/>
      <w:lvlText w:val="（%1）"/>
      <w:lvlJc w:val="left"/>
    </w:lvl>
  </w:abstractNum>
  <w:abstractNum w:abstractNumId="9">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6131D8C7"/>
    <w:multiLevelType w:val="singleLevel"/>
    <w:tmpl w:val="6131D8C7"/>
    <w:lvl w:ilvl="0" w:tentative="0">
      <w:start w:val="3"/>
      <w:numFmt w:val="chineseCounting"/>
      <w:suff w:val="space"/>
      <w:lvlText w:val="第%1章"/>
      <w:lvlJc w:val="left"/>
    </w:lvl>
  </w:abstractNum>
  <w:abstractNum w:abstractNumId="11">
    <w:nsid w:val="640874B4"/>
    <w:multiLevelType w:val="singleLevel"/>
    <w:tmpl w:val="640874B4"/>
    <w:lvl w:ilvl="0" w:tentative="0">
      <w:start w:val="1"/>
      <w:numFmt w:val="decimal"/>
      <w:lvlText w:val="%1."/>
      <w:lvlJc w:val="left"/>
      <w:pPr>
        <w:tabs>
          <w:tab w:val="left" w:pos="312"/>
        </w:tabs>
      </w:pPr>
    </w:lvl>
  </w:abstractNum>
  <w:abstractNum w:abstractNumId="12">
    <w:nsid w:val="6ADEDEA9"/>
    <w:multiLevelType w:val="singleLevel"/>
    <w:tmpl w:val="6ADEDEA9"/>
    <w:lvl w:ilvl="0" w:tentative="0">
      <w:start w:val="1"/>
      <w:numFmt w:val="decimal"/>
      <w:lvlText w:val="%1."/>
      <w:lvlJc w:val="left"/>
      <w:pPr>
        <w:tabs>
          <w:tab w:val="left" w:pos="312"/>
        </w:tabs>
      </w:pPr>
    </w:lvl>
  </w:abstractNum>
  <w:abstractNum w:abstractNumId="13">
    <w:nsid w:val="748D28AB"/>
    <w:multiLevelType w:val="multilevel"/>
    <w:tmpl w:val="748D28A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5"/>
  </w:num>
  <w:num w:numId="3">
    <w:abstractNumId w:val="1"/>
  </w:num>
  <w:num w:numId="4">
    <w:abstractNumId w:val="4"/>
  </w:num>
  <w:num w:numId="5">
    <w:abstractNumId w:val="8"/>
  </w:num>
  <w:num w:numId="6">
    <w:abstractNumId w:val="10"/>
  </w:num>
  <w:num w:numId="7">
    <w:abstractNumId w:val="7"/>
  </w:num>
  <w:num w:numId="8">
    <w:abstractNumId w:val="13"/>
  </w:num>
  <w:num w:numId="9">
    <w:abstractNumId w:val="0"/>
  </w:num>
  <w:num w:numId="10">
    <w:abstractNumId w:val="6"/>
  </w:num>
  <w:num w:numId="11">
    <w:abstractNumId w:val="12"/>
  </w:num>
  <w:num w:numId="12">
    <w:abstractNumId w:val="1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OTkyOTAzNmFjZjA1NzFlMzA1MDY4MjdjNjhkZTAifQ=="/>
  </w:docVars>
  <w:rsids>
    <w:rsidRoot w:val="00172A27"/>
    <w:rsid w:val="000D1E4A"/>
    <w:rsid w:val="001332BF"/>
    <w:rsid w:val="00172A27"/>
    <w:rsid w:val="00212B6B"/>
    <w:rsid w:val="002B2614"/>
    <w:rsid w:val="002D1185"/>
    <w:rsid w:val="00326A93"/>
    <w:rsid w:val="003F04EF"/>
    <w:rsid w:val="00415775"/>
    <w:rsid w:val="00415DA5"/>
    <w:rsid w:val="004276D9"/>
    <w:rsid w:val="00437251"/>
    <w:rsid w:val="004D4113"/>
    <w:rsid w:val="004F223F"/>
    <w:rsid w:val="0054681D"/>
    <w:rsid w:val="00587AFA"/>
    <w:rsid w:val="00622852"/>
    <w:rsid w:val="006512A4"/>
    <w:rsid w:val="006E4C02"/>
    <w:rsid w:val="007B1225"/>
    <w:rsid w:val="007B30B1"/>
    <w:rsid w:val="008563F8"/>
    <w:rsid w:val="009140CB"/>
    <w:rsid w:val="00A86B23"/>
    <w:rsid w:val="00B24411"/>
    <w:rsid w:val="00B507E4"/>
    <w:rsid w:val="00C66EE4"/>
    <w:rsid w:val="00CA45D3"/>
    <w:rsid w:val="00D04A1F"/>
    <w:rsid w:val="00E84244"/>
    <w:rsid w:val="00F11854"/>
    <w:rsid w:val="00F35AEF"/>
    <w:rsid w:val="01055DED"/>
    <w:rsid w:val="012357C5"/>
    <w:rsid w:val="0124044D"/>
    <w:rsid w:val="012F172C"/>
    <w:rsid w:val="012F2A87"/>
    <w:rsid w:val="01377E18"/>
    <w:rsid w:val="0139540B"/>
    <w:rsid w:val="013B4745"/>
    <w:rsid w:val="013F27E7"/>
    <w:rsid w:val="014C0D5E"/>
    <w:rsid w:val="01523E16"/>
    <w:rsid w:val="015509EB"/>
    <w:rsid w:val="016D5D6E"/>
    <w:rsid w:val="01770D23"/>
    <w:rsid w:val="01792237"/>
    <w:rsid w:val="017C0051"/>
    <w:rsid w:val="017D4B6D"/>
    <w:rsid w:val="018B4AD5"/>
    <w:rsid w:val="019F1377"/>
    <w:rsid w:val="01A9549C"/>
    <w:rsid w:val="01B444B0"/>
    <w:rsid w:val="01B93012"/>
    <w:rsid w:val="01CA3F1A"/>
    <w:rsid w:val="01D17056"/>
    <w:rsid w:val="01DC0309"/>
    <w:rsid w:val="01E07E04"/>
    <w:rsid w:val="01E72F16"/>
    <w:rsid w:val="01F6245E"/>
    <w:rsid w:val="020B2B51"/>
    <w:rsid w:val="022C51CF"/>
    <w:rsid w:val="023D0CA8"/>
    <w:rsid w:val="0272187E"/>
    <w:rsid w:val="0273481D"/>
    <w:rsid w:val="027B5DA6"/>
    <w:rsid w:val="028E56AC"/>
    <w:rsid w:val="029C5C96"/>
    <w:rsid w:val="029D4595"/>
    <w:rsid w:val="029E1D87"/>
    <w:rsid w:val="02B01361"/>
    <w:rsid w:val="02BC3862"/>
    <w:rsid w:val="02C11121"/>
    <w:rsid w:val="02C92423"/>
    <w:rsid w:val="02CA10BB"/>
    <w:rsid w:val="02E00A2B"/>
    <w:rsid w:val="02E24518"/>
    <w:rsid w:val="02EA5B34"/>
    <w:rsid w:val="02F219E1"/>
    <w:rsid w:val="02FE10CF"/>
    <w:rsid w:val="03092897"/>
    <w:rsid w:val="03114ED8"/>
    <w:rsid w:val="031C45A2"/>
    <w:rsid w:val="03226876"/>
    <w:rsid w:val="032822E5"/>
    <w:rsid w:val="032F672A"/>
    <w:rsid w:val="033E3C8D"/>
    <w:rsid w:val="0363799C"/>
    <w:rsid w:val="03666CBA"/>
    <w:rsid w:val="037759DB"/>
    <w:rsid w:val="03804B01"/>
    <w:rsid w:val="038B23B4"/>
    <w:rsid w:val="03927018"/>
    <w:rsid w:val="03F25C0E"/>
    <w:rsid w:val="0402140E"/>
    <w:rsid w:val="040E606A"/>
    <w:rsid w:val="0413485F"/>
    <w:rsid w:val="042302C3"/>
    <w:rsid w:val="04286C44"/>
    <w:rsid w:val="04681381"/>
    <w:rsid w:val="047000DE"/>
    <w:rsid w:val="048076C9"/>
    <w:rsid w:val="04892B3B"/>
    <w:rsid w:val="04A35E84"/>
    <w:rsid w:val="04EF0188"/>
    <w:rsid w:val="050359C4"/>
    <w:rsid w:val="05145A42"/>
    <w:rsid w:val="05243AD3"/>
    <w:rsid w:val="05244660"/>
    <w:rsid w:val="0544323B"/>
    <w:rsid w:val="055B54AB"/>
    <w:rsid w:val="055F0593"/>
    <w:rsid w:val="056B1570"/>
    <w:rsid w:val="057C07ED"/>
    <w:rsid w:val="0582059A"/>
    <w:rsid w:val="05867375"/>
    <w:rsid w:val="05881D5D"/>
    <w:rsid w:val="059A78A9"/>
    <w:rsid w:val="059F6C93"/>
    <w:rsid w:val="05C32147"/>
    <w:rsid w:val="05CC27DB"/>
    <w:rsid w:val="05E12F78"/>
    <w:rsid w:val="05E338DE"/>
    <w:rsid w:val="05E85EDC"/>
    <w:rsid w:val="05EC66C9"/>
    <w:rsid w:val="05EF4934"/>
    <w:rsid w:val="05F10974"/>
    <w:rsid w:val="05FB470C"/>
    <w:rsid w:val="06075EFA"/>
    <w:rsid w:val="06113EC5"/>
    <w:rsid w:val="063B2138"/>
    <w:rsid w:val="06424AAD"/>
    <w:rsid w:val="066702F8"/>
    <w:rsid w:val="06671B17"/>
    <w:rsid w:val="067261DB"/>
    <w:rsid w:val="06730A9B"/>
    <w:rsid w:val="06842B31"/>
    <w:rsid w:val="068968D6"/>
    <w:rsid w:val="068C0996"/>
    <w:rsid w:val="06942BE2"/>
    <w:rsid w:val="069A21EB"/>
    <w:rsid w:val="06AD6D7A"/>
    <w:rsid w:val="06B1749B"/>
    <w:rsid w:val="06B90E07"/>
    <w:rsid w:val="06C83614"/>
    <w:rsid w:val="06DB69A0"/>
    <w:rsid w:val="06E174F0"/>
    <w:rsid w:val="071F38A0"/>
    <w:rsid w:val="073B1519"/>
    <w:rsid w:val="074309B5"/>
    <w:rsid w:val="074D45F0"/>
    <w:rsid w:val="075238C8"/>
    <w:rsid w:val="075409F1"/>
    <w:rsid w:val="07634D60"/>
    <w:rsid w:val="077716F8"/>
    <w:rsid w:val="0784427C"/>
    <w:rsid w:val="079C558D"/>
    <w:rsid w:val="07A86BC0"/>
    <w:rsid w:val="07B06814"/>
    <w:rsid w:val="07B1292F"/>
    <w:rsid w:val="07B83524"/>
    <w:rsid w:val="07ED6184"/>
    <w:rsid w:val="07FF518E"/>
    <w:rsid w:val="08167EB9"/>
    <w:rsid w:val="081E722F"/>
    <w:rsid w:val="08263A7B"/>
    <w:rsid w:val="08343F08"/>
    <w:rsid w:val="08390C7A"/>
    <w:rsid w:val="084F5E63"/>
    <w:rsid w:val="08591B53"/>
    <w:rsid w:val="087361B7"/>
    <w:rsid w:val="08865858"/>
    <w:rsid w:val="08C40321"/>
    <w:rsid w:val="08C916A1"/>
    <w:rsid w:val="08D93C4A"/>
    <w:rsid w:val="08DF02AB"/>
    <w:rsid w:val="08F62F8E"/>
    <w:rsid w:val="09132E62"/>
    <w:rsid w:val="091A2465"/>
    <w:rsid w:val="09212671"/>
    <w:rsid w:val="092959CA"/>
    <w:rsid w:val="092F3308"/>
    <w:rsid w:val="0952618D"/>
    <w:rsid w:val="096F0401"/>
    <w:rsid w:val="09875E86"/>
    <w:rsid w:val="09917F6C"/>
    <w:rsid w:val="09AF7900"/>
    <w:rsid w:val="09B84246"/>
    <w:rsid w:val="09E3201C"/>
    <w:rsid w:val="09EE72C6"/>
    <w:rsid w:val="0A0018ED"/>
    <w:rsid w:val="0A0C6A2E"/>
    <w:rsid w:val="0A2817E2"/>
    <w:rsid w:val="0A405FB1"/>
    <w:rsid w:val="0A4B6101"/>
    <w:rsid w:val="0A530AAC"/>
    <w:rsid w:val="0A5663A8"/>
    <w:rsid w:val="0A5D6092"/>
    <w:rsid w:val="0A783EE1"/>
    <w:rsid w:val="0A8660B1"/>
    <w:rsid w:val="0A9E5956"/>
    <w:rsid w:val="0AC05AD3"/>
    <w:rsid w:val="0AD24C5E"/>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F7122A"/>
    <w:rsid w:val="0BF76B33"/>
    <w:rsid w:val="0C0B13B7"/>
    <w:rsid w:val="0C160487"/>
    <w:rsid w:val="0C1B324A"/>
    <w:rsid w:val="0C2A4A9B"/>
    <w:rsid w:val="0C2C5130"/>
    <w:rsid w:val="0C394E6F"/>
    <w:rsid w:val="0C7C3AF1"/>
    <w:rsid w:val="0C7F7B3F"/>
    <w:rsid w:val="0C8D0FFD"/>
    <w:rsid w:val="0C942762"/>
    <w:rsid w:val="0C9F35C5"/>
    <w:rsid w:val="0CA34C15"/>
    <w:rsid w:val="0CB02C73"/>
    <w:rsid w:val="0CB4444F"/>
    <w:rsid w:val="0CB76658"/>
    <w:rsid w:val="0CCA7874"/>
    <w:rsid w:val="0CCE1649"/>
    <w:rsid w:val="0CD143AE"/>
    <w:rsid w:val="0CD35D61"/>
    <w:rsid w:val="0CDD25B5"/>
    <w:rsid w:val="0CDD71F7"/>
    <w:rsid w:val="0CFD5D54"/>
    <w:rsid w:val="0D0509C0"/>
    <w:rsid w:val="0D0A04D3"/>
    <w:rsid w:val="0D141443"/>
    <w:rsid w:val="0D2A3412"/>
    <w:rsid w:val="0D3C343A"/>
    <w:rsid w:val="0D68320E"/>
    <w:rsid w:val="0D6F3E84"/>
    <w:rsid w:val="0D7414F9"/>
    <w:rsid w:val="0D7504FF"/>
    <w:rsid w:val="0D7541CB"/>
    <w:rsid w:val="0D771362"/>
    <w:rsid w:val="0D7B584C"/>
    <w:rsid w:val="0D9061B4"/>
    <w:rsid w:val="0D971B21"/>
    <w:rsid w:val="0DC066B8"/>
    <w:rsid w:val="0DDC6F83"/>
    <w:rsid w:val="0DF37BA7"/>
    <w:rsid w:val="0E035AFD"/>
    <w:rsid w:val="0E0368CC"/>
    <w:rsid w:val="0E0C77C9"/>
    <w:rsid w:val="0E1C5299"/>
    <w:rsid w:val="0E26697C"/>
    <w:rsid w:val="0E492B32"/>
    <w:rsid w:val="0E50645E"/>
    <w:rsid w:val="0E516D66"/>
    <w:rsid w:val="0E56494C"/>
    <w:rsid w:val="0E613CA6"/>
    <w:rsid w:val="0E687109"/>
    <w:rsid w:val="0EA31D7A"/>
    <w:rsid w:val="0EAE1199"/>
    <w:rsid w:val="0EC45296"/>
    <w:rsid w:val="0ECD1414"/>
    <w:rsid w:val="0ED717DB"/>
    <w:rsid w:val="0ED767A3"/>
    <w:rsid w:val="0EDC0DEC"/>
    <w:rsid w:val="0F032FD0"/>
    <w:rsid w:val="0F1C53D9"/>
    <w:rsid w:val="0F22324D"/>
    <w:rsid w:val="0F3B7A08"/>
    <w:rsid w:val="0F473211"/>
    <w:rsid w:val="0F517930"/>
    <w:rsid w:val="0F6E0F54"/>
    <w:rsid w:val="0F730FDF"/>
    <w:rsid w:val="0F851B60"/>
    <w:rsid w:val="0FAB058B"/>
    <w:rsid w:val="0FDD068A"/>
    <w:rsid w:val="0FE42502"/>
    <w:rsid w:val="0FEB3F6C"/>
    <w:rsid w:val="0FF2353C"/>
    <w:rsid w:val="10366258"/>
    <w:rsid w:val="10533972"/>
    <w:rsid w:val="106C4BBB"/>
    <w:rsid w:val="107408FA"/>
    <w:rsid w:val="10871698"/>
    <w:rsid w:val="108D5328"/>
    <w:rsid w:val="10A34A02"/>
    <w:rsid w:val="10BC3591"/>
    <w:rsid w:val="10BE4AFC"/>
    <w:rsid w:val="10BF4AC4"/>
    <w:rsid w:val="10C71E23"/>
    <w:rsid w:val="10DC1574"/>
    <w:rsid w:val="10E50A2A"/>
    <w:rsid w:val="10E60340"/>
    <w:rsid w:val="10F62C44"/>
    <w:rsid w:val="10F70157"/>
    <w:rsid w:val="11026414"/>
    <w:rsid w:val="11040411"/>
    <w:rsid w:val="11097885"/>
    <w:rsid w:val="11196266"/>
    <w:rsid w:val="112C3F71"/>
    <w:rsid w:val="113863E8"/>
    <w:rsid w:val="11423D95"/>
    <w:rsid w:val="11440F71"/>
    <w:rsid w:val="11625C09"/>
    <w:rsid w:val="11686CB0"/>
    <w:rsid w:val="116A6B7F"/>
    <w:rsid w:val="1194672F"/>
    <w:rsid w:val="11AE5A5C"/>
    <w:rsid w:val="11B22024"/>
    <w:rsid w:val="11D0732A"/>
    <w:rsid w:val="11E2074A"/>
    <w:rsid w:val="11E410CE"/>
    <w:rsid w:val="11EB0E21"/>
    <w:rsid w:val="12194051"/>
    <w:rsid w:val="12441018"/>
    <w:rsid w:val="12636497"/>
    <w:rsid w:val="12696E37"/>
    <w:rsid w:val="12802962"/>
    <w:rsid w:val="12837C26"/>
    <w:rsid w:val="1288628B"/>
    <w:rsid w:val="128F4B3E"/>
    <w:rsid w:val="12931771"/>
    <w:rsid w:val="1297299C"/>
    <w:rsid w:val="129C1085"/>
    <w:rsid w:val="12A24466"/>
    <w:rsid w:val="12AB57C6"/>
    <w:rsid w:val="12B916D9"/>
    <w:rsid w:val="12C62D16"/>
    <w:rsid w:val="12C66E1B"/>
    <w:rsid w:val="12D30FCC"/>
    <w:rsid w:val="12E0108A"/>
    <w:rsid w:val="12E5382D"/>
    <w:rsid w:val="12EA441C"/>
    <w:rsid w:val="12F72695"/>
    <w:rsid w:val="130C1DB4"/>
    <w:rsid w:val="132E72DF"/>
    <w:rsid w:val="13435AC3"/>
    <w:rsid w:val="13456171"/>
    <w:rsid w:val="137D3F12"/>
    <w:rsid w:val="1381103D"/>
    <w:rsid w:val="13813A05"/>
    <w:rsid w:val="13974ECE"/>
    <w:rsid w:val="13A0181A"/>
    <w:rsid w:val="13A5784A"/>
    <w:rsid w:val="13BA1D03"/>
    <w:rsid w:val="13BD38DE"/>
    <w:rsid w:val="13C52B29"/>
    <w:rsid w:val="13DF4459"/>
    <w:rsid w:val="13FE4229"/>
    <w:rsid w:val="140439B4"/>
    <w:rsid w:val="14090F70"/>
    <w:rsid w:val="140A6FFA"/>
    <w:rsid w:val="14192869"/>
    <w:rsid w:val="14193DE5"/>
    <w:rsid w:val="142E6F39"/>
    <w:rsid w:val="143A24B3"/>
    <w:rsid w:val="14404038"/>
    <w:rsid w:val="14442427"/>
    <w:rsid w:val="1450503A"/>
    <w:rsid w:val="146107D5"/>
    <w:rsid w:val="146D0D6E"/>
    <w:rsid w:val="148467C3"/>
    <w:rsid w:val="14A12155"/>
    <w:rsid w:val="14B46A8F"/>
    <w:rsid w:val="14C00317"/>
    <w:rsid w:val="14D07C41"/>
    <w:rsid w:val="14D110EB"/>
    <w:rsid w:val="14E94C0C"/>
    <w:rsid w:val="14EA7F1C"/>
    <w:rsid w:val="14ED2ACB"/>
    <w:rsid w:val="14ED3D4F"/>
    <w:rsid w:val="14EF5962"/>
    <w:rsid w:val="14F345D7"/>
    <w:rsid w:val="14F372D7"/>
    <w:rsid w:val="1506296A"/>
    <w:rsid w:val="151B3FA6"/>
    <w:rsid w:val="15206496"/>
    <w:rsid w:val="152278DB"/>
    <w:rsid w:val="1529097F"/>
    <w:rsid w:val="15293666"/>
    <w:rsid w:val="154E568E"/>
    <w:rsid w:val="15612E6D"/>
    <w:rsid w:val="157647B4"/>
    <w:rsid w:val="15816A00"/>
    <w:rsid w:val="15883310"/>
    <w:rsid w:val="158F0C46"/>
    <w:rsid w:val="15BB209F"/>
    <w:rsid w:val="15BD216B"/>
    <w:rsid w:val="15DB0CA8"/>
    <w:rsid w:val="15E17FEB"/>
    <w:rsid w:val="15FA64EA"/>
    <w:rsid w:val="160E0421"/>
    <w:rsid w:val="161E1E16"/>
    <w:rsid w:val="16357A0B"/>
    <w:rsid w:val="163F4A7E"/>
    <w:rsid w:val="16446C59"/>
    <w:rsid w:val="164C117E"/>
    <w:rsid w:val="16605739"/>
    <w:rsid w:val="167E5D20"/>
    <w:rsid w:val="1688735E"/>
    <w:rsid w:val="1697633D"/>
    <w:rsid w:val="16A9014A"/>
    <w:rsid w:val="16B85F78"/>
    <w:rsid w:val="16C53D60"/>
    <w:rsid w:val="16CB2E16"/>
    <w:rsid w:val="16EE2F79"/>
    <w:rsid w:val="16F4105E"/>
    <w:rsid w:val="16FB5F57"/>
    <w:rsid w:val="16FE2244"/>
    <w:rsid w:val="17090F66"/>
    <w:rsid w:val="17102234"/>
    <w:rsid w:val="171505C0"/>
    <w:rsid w:val="17162CA4"/>
    <w:rsid w:val="171921EC"/>
    <w:rsid w:val="17282B08"/>
    <w:rsid w:val="173338BA"/>
    <w:rsid w:val="173510B8"/>
    <w:rsid w:val="1750478E"/>
    <w:rsid w:val="175301E9"/>
    <w:rsid w:val="17625B4B"/>
    <w:rsid w:val="17646E49"/>
    <w:rsid w:val="176C1469"/>
    <w:rsid w:val="176E561B"/>
    <w:rsid w:val="179000BC"/>
    <w:rsid w:val="17AE1FA3"/>
    <w:rsid w:val="17BC0CF5"/>
    <w:rsid w:val="17BE36CE"/>
    <w:rsid w:val="17DE12E7"/>
    <w:rsid w:val="17F20DEB"/>
    <w:rsid w:val="17F6732D"/>
    <w:rsid w:val="18116E71"/>
    <w:rsid w:val="181C111E"/>
    <w:rsid w:val="18275A8E"/>
    <w:rsid w:val="183B5375"/>
    <w:rsid w:val="18513CDE"/>
    <w:rsid w:val="18527BFC"/>
    <w:rsid w:val="185F4462"/>
    <w:rsid w:val="18825D67"/>
    <w:rsid w:val="18826EA4"/>
    <w:rsid w:val="18836302"/>
    <w:rsid w:val="18865395"/>
    <w:rsid w:val="18874B24"/>
    <w:rsid w:val="188A78FE"/>
    <w:rsid w:val="18900317"/>
    <w:rsid w:val="18BA0CCF"/>
    <w:rsid w:val="18CB7939"/>
    <w:rsid w:val="18CE7630"/>
    <w:rsid w:val="18E35026"/>
    <w:rsid w:val="18E51E11"/>
    <w:rsid w:val="18FA4C52"/>
    <w:rsid w:val="19063C12"/>
    <w:rsid w:val="190F021E"/>
    <w:rsid w:val="191275CB"/>
    <w:rsid w:val="19177932"/>
    <w:rsid w:val="191D31E8"/>
    <w:rsid w:val="19287A4C"/>
    <w:rsid w:val="192D1987"/>
    <w:rsid w:val="192D2635"/>
    <w:rsid w:val="19362169"/>
    <w:rsid w:val="19383276"/>
    <w:rsid w:val="1943640C"/>
    <w:rsid w:val="194C6169"/>
    <w:rsid w:val="195C14A3"/>
    <w:rsid w:val="196977F2"/>
    <w:rsid w:val="196C4F56"/>
    <w:rsid w:val="197B498D"/>
    <w:rsid w:val="199C65D8"/>
    <w:rsid w:val="199E386A"/>
    <w:rsid w:val="19A93FB3"/>
    <w:rsid w:val="19AD6C6F"/>
    <w:rsid w:val="19B6156E"/>
    <w:rsid w:val="19C169F0"/>
    <w:rsid w:val="19C77D2E"/>
    <w:rsid w:val="19E1220D"/>
    <w:rsid w:val="19E768A4"/>
    <w:rsid w:val="19EC76B5"/>
    <w:rsid w:val="1A053724"/>
    <w:rsid w:val="1A0A2802"/>
    <w:rsid w:val="1A20007A"/>
    <w:rsid w:val="1A2127C9"/>
    <w:rsid w:val="1A3441CE"/>
    <w:rsid w:val="1A353D3A"/>
    <w:rsid w:val="1A3A0D62"/>
    <w:rsid w:val="1A422589"/>
    <w:rsid w:val="1A435612"/>
    <w:rsid w:val="1A4F2F04"/>
    <w:rsid w:val="1A5C3EFC"/>
    <w:rsid w:val="1A655C5C"/>
    <w:rsid w:val="1A74734D"/>
    <w:rsid w:val="1A80467A"/>
    <w:rsid w:val="1A8E2FFB"/>
    <w:rsid w:val="1A9A6CA4"/>
    <w:rsid w:val="1AA014F2"/>
    <w:rsid w:val="1AAE69FD"/>
    <w:rsid w:val="1AE72B08"/>
    <w:rsid w:val="1AFF2903"/>
    <w:rsid w:val="1B060011"/>
    <w:rsid w:val="1B1A6039"/>
    <w:rsid w:val="1B1B4F5A"/>
    <w:rsid w:val="1B234DD1"/>
    <w:rsid w:val="1B503750"/>
    <w:rsid w:val="1B50707D"/>
    <w:rsid w:val="1B525722"/>
    <w:rsid w:val="1B730FBA"/>
    <w:rsid w:val="1B781C93"/>
    <w:rsid w:val="1B87230D"/>
    <w:rsid w:val="1BA33337"/>
    <w:rsid w:val="1BBB35A3"/>
    <w:rsid w:val="1BBD281B"/>
    <w:rsid w:val="1BE0539F"/>
    <w:rsid w:val="1BEA36C9"/>
    <w:rsid w:val="1C152E24"/>
    <w:rsid w:val="1C1B7095"/>
    <w:rsid w:val="1C2D5F08"/>
    <w:rsid w:val="1C316C17"/>
    <w:rsid w:val="1C331FB5"/>
    <w:rsid w:val="1C372579"/>
    <w:rsid w:val="1C383C46"/>
    <w:rsid w:val="1C4673D1"/>
    <w:rsid w:val="1C4F3541"/>
    <w:rsid w:val="1C632A91"/>
    <w:rsid w:val="1C6D1A46"/>
    <w:rsid w:val="1C745FAB"/>
    <w:rsid w:val="1C817A29"/>
    <w:rsid w:val="1C865987"/>
    <w:rsid w:val="1CBD25FA"/>
    <w:rsid w:val="1CBD2F9B"/>
    <w:rsid w:val="1CBF3D37"/>
    <w:rsid w:val="1CC50AA2"/>
    <w:rsid w:val="1CC542FF"/>
    <w:rsid w:val="1CCD1B66"/>
    <w:rsid w:val="1CDC25B0"/>
    <w:rsid w:val="1CF562EB"/>
    <w:rsid w:val="1CF9709D"/>
    <w:rsid w:val="1D0F6716"/>
    <w:rsid w:val="1D172126"/>
    <w:rsid w:val="1D337C17"/>
    <w:rsid w:val="1D3A4269"/>
    <w:rsid w:val="1D50226F"/>
    <w:rsid w:val="1D58544F"/>
    <w:rsid w:val="1D61602F"/>
    <w:rsid w:val="1D7157E9"/>
    <w:rsid w:val="1D9474D1"/>
    <w:rsid w:val="1DA60DBD"/>
    <w:rsid w:val="1DA975B6"/>
    <w:rsid w:val="1DB45E8F"/>
    <w:rsid w:val="1DCA1BD7"/>
    <w:rsid w:val="1DD161C7"/>
    <w:rsid w:val="1DDF4275"/>
    <w:rsid w:val="1DFC4345"/>
    <w:rsid w:val="1E290DC9"/>
    <w:rsid w:val="1E2C5F17"/>
    <w:rsid w:val="1E49223A"/>
    <w:rsid w:val="1E4A0464"/>
    <w:rsid w:val="1E4F6E0B"/>
    <w:rsid w:val="1E5A2FDA"/>
    <w:rsid w:val="1E5C4B51"/>
    <w:rsid w:val="1E6964CA"/>
    <w:rsid w:val="1E6C435F"/>
    <w:rsid w:val="1E7237CC"/>
    <w:rsid w:val="1E80551E"/>
    <w:rsid w:val="1E867E3E"/>
    <w:rsid w:val="1E97780C"/>
    <w:rsid w:val="1EA74D18"/>
    <w:rsid w:val="1EAA4AFF"/>
    <w:rsid w:val="1EAF2557"/>
    <w:rsid w:val="1EB06311"/>
    <w:rsid w:val="1EC60C39"/>
    <w:rsid w:val="1ED01E7C"/>
    <w:rsid w:val="1ED11AC5"/>
    <w:rsid w:val="1ED3701A"/>
    <w:rsid w:val="1ED400B8"/>
    <w:rsid w:val="1ED40BEC"/>
    <w:rsid w:val="1EE12E22"/>
    <w:rsid w:val="1EF601FB"/>
    <w:rsid w:val="1F0266B7"/>
    <w:rsid w:val="1F073C5F"/>
    <w:rsid w:val="1F097C64"/>
    <w:rsid w:val="1F1B7BE1"/>
    <w:rsid w:val="1F4B6242"/>
    <w:rsid w:val="1F554D19"/>
    <w:rsid w:val="1F6223AD"/>
    <w:rsid w:val="1F8452B0"/>
    <w:rsid w:val="1FA37E2C"/>
    <w:rsid w:val="1FD3721C"/>
    <w:rsid w:val="1FDA5EC4"/>
    <w:rsid w:val="1FEA44CB"/>
    <w:rsid w:val="1FF752B6"/>
    <w:rsid w:val="1FFB7F79"/>
    <w:rsid w:val="1FFD1DA0"/>
    <w:rsid w:val="201D7676"/>
    <w:rsid w:val="202B1E56"/>
    <w:rsid w:val="203B5D40"/>
    <w:rsid w:val="20520BA1"/>
    <w:rsid w:val="20525340"/>
    <w:rsid w:val="20731008"/>
    <w:rsid w:val="20A7794A"/>
    <w:rsid w:val="20CC5161"/>
    <w:rsid w:val="20DD65CC"/>
    <w:rsid w:val="20DF14B0"/>
    <w:rsid w:val="20EC3370"/>
    <w:rsid w:val="20F81C87"/>
    <w:rsid w:val="2107732F"/>
    <w:rsid w:val="212479FC"/>
    <w:rsid w:val="2125239E"/>
    <w:rsid w:val="213071C1"/>
    <w:rsid w:val="213345E1"/>
    <w:rsid w:val="217E72AA"/>
    <w:rsid w:val="21983295"/>
    <w:rsid w:val="21A470C7"/>
    <w:rsid w:val="21A5220F"/>
    <w:rsid w:val="21A76E86"/>
    <w:rsid w:val="21A9409D"/>
    <w:rsid w:val="21C90368"/>
    <w:rsid w:val="21C93E43"/>
    <w:rsid w:val="21D9248D"/>
    <w:rsid w:val="21ED33E6"/>
    <w:rsid w:val="21FB7029"/>
    <w:rsid w:val="220C2809"/>
    <w:rsid w:val="22151983"/>
    <w:rsid w:val="221F065E"/>
    <w:rsid w:val="2238284E"/>
    <w:rsid w:val="224D5266"/>
    <w:rsid w:val="22631FB1"/>
    <w:rsid w:val="226B006C"/>
    <w:rsid w:val="227C2CCE"/>
    <w:rsid w:val="228C7A05"/>
    <w:rsid w:val="22972603"/>
    <w:rsid w:val="229C477C"/>
    <w:rsid w:val="22A420D9"/>
    <w:rsid w:val="22AB2F38"/>
    <w:rsid w:val="22AE02AF"/>
    <w:rsid w:val="22BB79DA"/>
    <w:rsid w:val="22C30BD7"/>
    <w:rsid w:val="22CA31C9"/>
    <w:rsid w:val="22D06515"/>
    <w:rsid w:val="22D5669C"/>
    <w:rsid w:val="22DD7278"/>
    <w:rsid w:val="22EB2228"/>
    <w:rsid w:val="23371C43"/>
    <w:rsid w:val="233D6F48"/>
    <w:rsid w:val="234D186E"/>
    <w:rsid w:val="235360D7"/>
    <w:rsid w:val="235D306F"/>
    <w:rsid w:val="2362550E"/>
    <w:rsid w:val="2374115A"/>
    <w:rsid w:val="23865F50"/>
    <w:rsid w:val="238E2AF8"/>
    <w:rsid w:val="23977CA8"/>
    <w:rsid w:val="23B221C1"/>
    <w:rsid w:val="23B501F5"/>
    <w:rsid w:val="23B77F19"/>
    <w:rsid w:val="23B94AAA"/>
    <w:rsid w:val="23CB1C0B"/>
    <w:rsid w:val="23E87193"/>
    <w:rsid w:val="240406AE"/>
    <w:rsid w:val="24060E09"/>
    <w:rsid w:val="240E33FD"/>
    <w:rsid w:val="24173B5E"/>
    <w:rsid w:val="242D1523"/>
    <w:rsid w:val="24350B84"/>
    <w:rsid w:val="243F3724"/>
    <w:rsid w:val="24416D82"/>
    <w:rsid w:val="245840A6"/>
    <w:rsid w:val="24831C33"/>
    <w:rsid w:val="248C32DF"/>
    <w:rsid w:val="248D64FB"/>
    <w:rsid w:val="249C21F4"/>
    <w:rsid w:val="24C061DB"/>
    <w:rsid w:val="24C063A4"/>
    <w:rsid w:val="24C40077"/>
    <w:rsid w:val="24C46C7F"/>
    <w:rsid w:val="24F03545"/>
    <w:rsid w:val="25064086"/>
    <w:rsid w:val="2508510A"/>
    <w:rsid w:val="250E5D48"/>
    <w:rsid w:val="250F557F"/>
    <w:rsid w:val="2513384C"/>
    <w:rsid w:val="252C08C4"/>
    <w:rsid w:val="252D413F"/>
    <w:rsid w:val="252E255C"/>
    <w:rsid w:val="2536380C"/>
    <w:rsid w:val="25430663"/>
    <w:rsid w:val="255418A8"/>
    <w:rsid w:val="256154CC"/>
    <w:rsid w:val="25693605"/>
    <w:rsid w:val="256B38EE"/>
    <w:rsid w:val="256C2323"/>
    <w:rsid w:val="257F78F7"/>
    <w:rsid w:val="259454BD"/>
    <w:rsid w:val="259D70CC"/>
    <w:rsid w:val="25A02751"/>
    <w:rsid w:val="25A51CCF"/>
    <w:rsid w:val="25AC056E"/>
    <w:rsid w:val="25B52913"/>
    <w:rsid w:val="25C3506D"/>
    <w:rsid w:val="25DD6823"/>
    <w:rsid w:val="25E505BC"/>
    <w:rsid w:val="25E649CE"/>
    <w:rsid w:val="25F57456"/>
    <w:rsid w:val="25F609E6"/>
    <w:rsid w:val="260A4725"/>
    <w:rsid w:val="260B64D3"/>
    <w:rsid w:val="26372F0E"/>
    <w:rsid w:val="26380130"/>
    <w:rsid w:val="26452162"/>
    <w:rsid w:val="265570F7"/>
    <w:rsid w:val="265F7849"/>
    <w:rsid w:val="2664440E"/>
    <w:rsid w:val="26792478"/>
    <w:rsid w:val="26AA3247"/>
    <w:rsid w:val="26AD7B8E"/>
    <w:rsid w:val="26B20955"/>
    <w:rsid w:val="26B24DF9"/>
    <w:rsid w:val="26BF7B51"/>
    <w:rsid w:val="26C6302D"/>
    <w:rsid w:val="26CE14DA"/>
    <w:rsid w:val="26EB5B51"/>
    <w:rsid w:val="26EE5A36"/>
    <w:rsid w:val="26EF4DE2"/>
    <w:rsid w:val="26F50BDB"/>
    <w:rsid w:val="26F7280B"/>
    <w:rsid w:val="26FE4E7F"/>
    <w:rsid w:val="272A5FBD"/>
    <w:rsid w:val="272C4EF1"/>
    <w:rsid w:val="272E10E9"/>
    <w:rsid w:val="27513170"/>
    <w:rsid w:val="2759523E"/>
    <w:rsid w:val="275B0BB9"/>
    <w:rsid w:val="27775B13"/>
    <w:rsid w:val="27870A9C"/>
    <w:rsid w:val="278C6260"/>
    <w:rsid w:val="278D0C17"/>
    <w:rsid w:val="27925D43"/>
    <w:rsid w:val="27AF2CA0"/>
    <w:rsid w:val="27B76F7E"/>
    <w:rsid w:val="27C90A53"/>
    <w:rsid w:val="2801667A"/>
    <w:rsid w:val="280E56A9"/>
    <w:rsid w:val="281178FD"/>
    <w:rsid w:val="28172BDD"/>
    <w:rsid w:val="285B02BE"/>
    <w:rsid w:val="28811AC2"/>
    <w:rsid w:val="28941480"/>
    <w:rsid w:val="289C575D"/>
    <w:rsid w:val="28A21EE1"/>
    <w:rsid w:val="28A4544E"/>
    <w:rsid w:val="28A50596"/>
    <w:rsid w:val="28A86B5F"/>
    <w:rsid w:val="28CB4833"/>
    <w:rsid w:val="28E42265"/>
    <w:rsid w:val="28E97F29"/>
    <w:rsid w:val="2919115F"/>
    <w:rsid w:val="29253FFF"/>
    <w:rsid w:val="292672E2"/>
    <w:rsid w:val="292809E6"/>
    <w:rsid w:val="2938145D"/>
    <w:rsid w:val="294301B4"/>
    <w:rsid w:val="29481585"/>
    <w:rsid w:val="294A6AD1"/>
    <w:rsid w:val="294F363A"/>
    <w:rsid w:val="29802F8C"/>
    <w:rsid w:val="29843C2C"/>
    <w:rsid w:val="299B3C02"/>
    <w:rsid w:val="29AA0B85"/>
    <w:rsid w:val="29B01376"/>
    <w:rsid w:val="29B05C8A"/>
    <w:rsid w:val="29CB6F7F"/>
    <w:rsid w:val="29CC694D"/>
    <w:rsid w:val="29D33A58"/>
    <w:rsid w:val="29DD3F3B"/>
    <w:rsid w:val="29E90A73"/>
    <w:rsid w:val="29EF290B"/>
    <w:rsid w:val="2A2361E0"/>
    <w:rsid w:val="2A377938"/>
    <w:rsid w:val="2A39304D"/>
    <w:rsid w:val="2A3A1778"/>
    <w:rsid w:val="2A5A1271"/>
    <w:rsid w:val="2A5B5A23"/>
    <w:rsid w:val="2A703001"/>
    <w:rsid w:val="2A7B5F86"/>
    <w:rsid w:val="2AA00955"/>
    <w:rsid w:val="2AAD2577"/>
    <w:rsid w:val="2ACD779E"/>
    <w:rsid w:val="2AD61463"/>
    <w:rsid w:val="2ADE6251"/>
    <w:rsid w:val="2B01663B"/>
    <w:rsid w:val="2B0330EB"/>
    <w:rsid w:val="2B0D2B5D"/>
    <w:rsid w:val="2B3F0DEA"/>
    <w:rsid w:val="2B50489C"/>
    <w:rsid w:val="2B520958"/>
    <w:rsid w:val="2B5330CD"/>
    <w:rsid w:val="2B716D0A"/>
    <w:rsid w:val="2B8E79ED"/>
    <w:rsid w:val="2B9745EB"/>
    <w:rsid w:val="2B9F34D7"/>
    <w:rsid w:val="2BF84B95"/>
    <w:rsid w:val="2BFA3C7B"/>
    <w:rsid w:val="2C2B420A"/>
    <w:rsid w:val="2C5177DB"/>
    <w:rsid w:val="2C5746C9"/>
    <w:rsid w:val="2C6A4DE8"/>
    <w:rsid w:val="2C6E531E"/>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31F0A"/>
    <w:rsid w:val="2D0D31CA"/>
    <w:rsid w:val="2D1813B0"/>
    <w:rsid w:val="2D2D7366"/>
    <w:rsid w:val="2D5D7B79"/>
    <w:rsid w:val="2D637222"/>
    <w:rsid w:val="2D7B4BF1"/>
    <w:rsid w:val="2DAA4A7C"/>
    <w:rsid w:val="2DBC364F"/>
    <w:rsid w:val="2DBE4625"/>
    <w:rsid w:val="2DC055B8"/>
    <w:rsid w:val="2DC113FE"/>
    <w:rsid w:val="2DD15DA4"/>
    <w:rsid w:val="2DED1B78"/>
    <w:rsid w:val="2E1343CF"/>
    <w:rsid w:val="2E1E430F"/>
    <w:rsid w:val="2E2D1F06"/>
    <w:rsid w:val="2E407B36"/>
    <w:rsid w:val="2E487979"/>
    <w:rsid w:val="2E506092"/>
    <w:rsid w:val="2E626225"/>
    <w:rsid w:val="2E631B17"/>
    <w:rsid w:val="2E6C4E49"/>
    <w:rsid w:val="2E757732"/>
    <w:rsid w:val="2E7B0F51"/>
    <w:rsid w:val="2E7E6BE3"/>
    <w:rsid w:val="2E8F5A76"/>
    <w:rsid w:val="2E9E012E"/>
    <w:rsid w:val="2EB251DE"/>
    <w:rsid w:val="2ECD0A22"/>
    <w:rsid w:val="2ED32D30"/>
    <w:rsid w:val="2EF61388"/>
    <w:rsid w:val="2F01235C"/>
    <w:rsid w:val="2F385590"/>
    <w:rsid w:val="2F385D91"/>
    <w:rsid w:val="2F3B117B"/>
    <w:rsid w:val="2F442969"/>
    <w:rsid w:val="2F5F4D24"/>
    <w:rsid w:val="2F61560E"/>
    <w:rsid w:val="2F726093"/>
    <w:rsid w:val="2F783A2A"/>
    <w:rsid w:val="2F7E052C"/>
    <w:rsid w:val="2F7E20B0"/>
    <w:rsid w:val="2F8F7D10"/>
    <w:rsid w:val="2F906FF8"/>
    <w:rsid w:val="2FF729FF"/>
    <w:rsid w:val="300512D8"/>
    <w:rsid w:val="301069EF"/>
    <w:rsid w:val="3012492F"/>
    <w:rsid w:val="301B091F"/>
    <w:rsid w:val="30292A80"/>
    <w:rsid w:val="302A3C52"/>
    <w:rsid w:val="30393E95"/>
    <w:rsid w:val="303C0946"/>
    <w:rsid w:val="30546F10"/>
    <w:rsid w:val="307125A3"/>
    <w:rsid w:val="30804691"/>
    <w:rsid w:val="30A16DC3"/>
    <w:rsid w:val="30A752A2"/>
    <w:rsid w:val="30B43F6C"/>
    <w:rsid w:val="30CC528D"/>
    <w:rsid w:val="30CD4E6D"/>
    <w:rsid w:val="30DC11B0"/>
    <w:rsid w:val="30E66B9A"/>
    <w:rsid w:val="30E82D1B"/>
    <w:rsid w:val="30E952C1"/>
    <w:rsid w:val="30EE5C9D"/>
    <w:rsid w:val="30F300DB"/>
    <w:rsid w:val="310C74DD"/>
    <w:rsid w:val="3133496E"/>
    <w:rsid w:val="313703B3"/>
    <w:rsid w:val="31377547"/>
    <w:rsid w:val="313C4765"/>
    <w:rsid w:val="313E0380"/>
    <w:rsid w:val="31536540"/>
    <w:rsid w:val="31554CFE"/>
    <w:rsid w:val="3157169C"/>
    <w:rsid w:val="3163741B"/>
    <w:rsid w:val="31660CB9"/>
    <w:rsid w:val="316F12FA"/>
    <w:rsid w:val="317F1F84"/>
    <w:rsid w:val="317F52E7"/>
    <w:rsid w:val="319E21A8"/>
    <w:rsid w:val="31A400A6"/>
    <w:rsid w:val="31B448F8"/>
    <w:rsid w:val="31C4112D"/>
    <w:rsid w:val="31C613CE"/>
    <w:rsid w:val="31CF19CB"/>
    <w:rsid w:val="3210318C"/>
    <w:rsid w:val="32121212"/>
    <w:rsid w:val="3218445A"/>
    <w:rsid w:val="32246337"/>
    <w:rsid w:val="3228271D"/>
    <w:rsid w:val="322F1E66"/>
    <w:rsid w:val="323D6705"/>
    <w:rsid w:val="32756B2E"/>
    <w:rsid w:val="32B93E22"/>
    <w:rsid w:val="332330F3"/>
    <w:rsid w:val="332E0AFE"/>
    <w:rsid w:val="33346E7E"/>
    <w:rsid w:val="334233B5"/>
    <w:rsid w:val="334E2B10"/>
    <w:rsid w:val="338D5193"/>
    <w:rsid w:val="33944C88"/>
    <w:rsid w:val="339A6860"/>
    <w:rsid w:val="33A3621B"/>
    <w:rsid w:val="33A930DF"/>
    <w:rsid w:val="33CB3569"/>
    <w:rsid w:val="33D23C1C"/>
    <w:rsid w:val="33D9318C"/>
    <w:rsid w:val="33E47652"/>
    <w:rsid w:val="33F84719"/>
    <w:rsid w:val="3403693D"/>
    <w:rsid w:val="340907AC"/>
    <w:rsid w:val="343D19BC"/>
    <w:rsid w:val="34511E57"/>
    <w:rsid w:val="345B07DB"/>
    <w:rsid w:val="34602BF4"/>
    <w:rsid w:val="3461567F"/>
    <w:rsid w:val="346B13B4"/>
    <w:rsid w:val="34784159"/>
    <w:rsid w:val="34834764"/>
    <w:rsid w:val="34864294"/>
    <w:rsid w:val="348A089D"/>
    <w:rsid w:val="349419A1"/>
    <w:rsid w:val="34954270"/>
    <w:rsid w:val="34AF7F0F"/>
    <w:rsid w:val="34BF3CD1"/>
    <w:rsid w:val="34D36FCB"/>
    <w:rsid w:val="34ED489E"/>
    <w:rsid w:val="34F75FCE"/>
    <w:rsid w:val="34FB56A9"/>
    <w:rsid w:val="34FF0821"/>
    <w:rsid w:val="350E66D5"/>
    <w:rsid w:val="35125D28"/>
    <w:rsid w:val="35135DE5"/>
    <w:rsid w:val="352552E3"/>
    <w:rsid w:val="35292E4E"/>
    <w:rsid w:val="352A6222"/>
    <w:rsid w:val="3552741C"/>
    <w:rsid w:val="35543CEB"/>
    <w:rsid w:val="3575320F"/>
    <w:rsid w:val="35880003"/>
    <w:rsid w:val="358B37A9"/>
    <w:rsid w:val="35C672EF"/>
    <w:rsid w:val="35D37514"/>
    <w:rsid w:val="35EC254E"/>
    <w:rsid w:val="36031236"/>
    <w:rsid w:val="360432C6"/>
    <w:rsid w:val="361643BC"/>
    <w:rsid w:val="3635517E"/>
    <w:rsid w:val="364E1DBD"/>
    <w:rsid w:val="365D70AD"/>
    <w:rsid w:val="368708DF"/>
    <w:rsid w:val="368E4B68"/>
    <w:rsid w:val="36BB53A8"/>
    <w:rsid w:val="36BE5E23"/>
    <w:rsid w:val="36BF5033"/>
    <w:rsid w:val="36C472FE"/>
    <w:rsid w:val="36C71921"/>
    <w:rsid w:val="36E30215"/>
    <w:rsid w:val="36FF448C"/>
    <w:rsid w:val="37046530"/>
    <w:rsid w:val="372C5176"/>
    <w:rsid w:val="37371245"/>
    <w:rsid w:val="374F1BF5"/>
    <w:rsid w:val="375607F8"/>
    <w:rsid w:val="375C07E0"/>
    <w:rsid w:val="37773C20"/>
    <w:rsid w:val="37896CF9"/>
    <w:rsid w:val="379301A5"/>
    <w:rsid w:val="37D5200F"/>
    <w:rsid w:val="37DB6D52"/>
    <w:rsid w:val="37E6048F"/>
    <w:rsid w:val="37EC3B69"/>
    <w:rsid w:val="37EF0D21"/>
    <w:rsid w:val="37F004DA"/>
    <w:rsid w:val="37F0245C"/>
    <w:rsid w:val="380C7A67"/>
    <w:rsid w:val="38351594"/>
    <w:rsid w:val="383B7389"/>
    <w:rsid w:val="383C1711"/>
    <w:rsid w:val="38413AE0"/>
    <w:rsid w:val="385F1AFA"/>
    <w:rsid w:val="386E6D96"/>
    <w:rsid w:val="387434A8"/>
    <w:rsid w:val="38A87967"/>
    <w:rsid w:val="38B14AD4"/>
    <w:rsid w:val="38BE4D8A"/>
    <w:rsid w:val="38D73CFB"/>
    <w:rsid w:val="38DC3260"/>
    <w:rsid w:val="390E1E02"/>
    <w:rsid w:val="3915015C"/>
    <w:rsid w:val="392628AE"/>
    <w:rsid w:val="39382C8B"/>
    <w:rsid w:val="39406108"/>
    <w:rsid w:val="39497683"/>
    <w:rsid w:val="39695EA8"/>
    <w:rsid w:val="397A53E5"/>
    <w:rsid w:val="398B6386"/>
    <w:rsid w:val="39934616"/>
    <w:rsid w:val="39A668D6"/>
    <w:rsid w:val="39BE3330"/>
    <w:rsid w:val="39C35DCF"/>
    <w:rsid w:val="39C728BC"/>
    <w:rsid w:val="39D57530"/>
    <w:rsid w:val="3A28763D"/>
    <w:rsid w:val="3A40613F"/>
    <w:rsid w:val="3A475A72"/>
    <w:rsid w:val="3A4A0105"/>
    <w:rsid w:val="3A5272F0"/>
    <w:rsid w:val="3A5D320E"/>
    <w:rsid w:val="3A6E4CBE"/>
    <w:rsid w:val="3A734C3F"/>
    <w:rsid w:val="3A8328DC"/>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5403C"/>
    <w:rsid w:val="3B576456"/>
    <w:rsid w:val="3B5A5BE4"/>
    <w:rsid w:val="3B676B03"/>
    <w:rsid w:val="3B6A6D16"/>
    <w:rsid w:val="3B705648"/>
    <w:rsid w:val="3B7364AD"/>
    <w:rsid w:val="3B853139"/>
    <w:rsid w:val="3B8B3101"/>
    <w:rsid w:val="3B99017C"/>
    <w:rsid w:val="3B9D0916"/>
    <w:rsid w:val="3B9E48BA"/>
    <w:rsid w:val="3BC34FD9"/>
    <w:rsid w:val="3BC56483"/>
    <w:rsid w:val="3BCF25C4"/>
    <w:rsid w:val="3BD86C58"/>
    <w:rsid w:val="3BDB41B0"/>
    <w:rsid w:val="3BE12916"/>
    <w:rsid w:val="3BE850ED"/>
    <w:rsid w:val="3BEC5070"/>
    <w:rsid w:val="3BF61A45"/>
    <w:rsid w:val="3BFC0ABB"/>
    <w:rsid w:val="3BFE1F4A"/>
    <w:rsid w:val="3BFE4566"/>
    <w:rsid w:val="3C207D13"/>
    <w:rsid w:val="3C3976F6"/>
    <w:rsid w:val="3C3B203F"/>
    <w:rsid w:val="3C3C316B"/>
    <w:rsid w:val="3C514A37"/>
    <w:rsid w:val="3C5C3D07"/>
    <w:rsid w:val="3C5E7F90"/>
    <w:rsid w:val="3C756E3E"/>
    <w:rsid w:val="3C7C153C"/>
    <w:rsid w:val="3C802B2B"/>
    <w:rsid w:val="3C8214A5"/>
    <w:rsid w:val="3CA06481"/>
    <w:rsid w:val="3CA52204"/>
    <w:rsid w:val="3CAE6D48"/>
    <w:rsid w:val="3CE547C2"/>
    <w:rsid w:val="3CF9519B"/>
    <w:rsid w:val="3D0A7808"/>
    <w:rsid w:val="3D0E3359"/>
    <w:rsid w:val="3D1B69F5"/>
    <w:rsid w:val="3D265052"/>
    <w:rsid w:val="3D3B6738"/>
    <w:rsid w:val="3D42011F"/>
    <w:rsid w:val="3D6407A3"/>
    <w:rsid w:val="3D6E3256"/>
    <w:rsid w:val="3D80309E"/>
    <w:rsid w:val="3D9C3270"/>
    <w:rsid w:val="3DCA6E13"/>
    <w:rsid w:val="3DCC4131"/>
    <w:rsid w:val="3DD07E50"/>
    <w:rsid w:val="3E013C65"/>
    <w:rsid w:val="3E0878BC"/>
    <w:rsid w:val="3E0C4F21"/>
    <w:rsid w:val="3E122E4D"/>
    <w:rsid w:val="3E136A36"/>
    <w:rsid w:val="3E160C8A"/>
    <w:rsid w:val="3E2312D7"/>
    <w:rsid w:val="3E387F22"/>
    <w:rsid w:val="3E3D66EE"/>
    <w:rsid w:val="3E40319B"/>
    <w:rsid w:val="3E4D56DB"/>
    <w:rsid w:val="3E570181"/>
    <w:rsid w:val="3E812F4E"/>
    <w:rsid w:val="3E836939"/>
    <w:rsid w:val="3E8454A0"/>
    <w:rsid w:val="3E9901B3"/>
    <w:rsid w:val="3E9A677D"/>
    <w:rsid w:val="3EC0465A"/>
    <w:rsid w:val="3EC771AC"/>
    <w:rsid w:val="3ECB2DBD"/>
    <w:rsid w:val="3EDC3C7D"/>
    <w:rsid w:val="3EE4627D"/>
    <w:rsid w:val="3EFD11FA"/>
    <w:rsid w:val="3F0C53C6"/>
    <w:rsid w:val="3F1E6A7C"/>
    <w:rsid w:val="3F2102B1"/>
    <w:rsid w:val="3F210EC9"/>
    <w:rsid w:val="3F27793E"/>
    <w:rsid w:val="3F2B7A13"/>
    <w:rsid w:val="3F335F63"/>
    <w:rsid w:val="3F475E4A"/>
    <w:rsid w:val="3F483382"/>
    <w:rsid w:val="3F571E72"/>
    <w:rsid w:val="3F596CF5"/>
    <w:rsid w:val="3F650911"/>
    <w:rsid w:val="3FA60E7C"/>
    <w:rsid w:val="3FB928FC"/>
    <w:rsid w:val="3FC43688"/>
    <w:rsid w:val="3FC5258F"/>
    <w:rsid w:val="3FCE1901"/>
    <w:rsid w:val="3FE23C01"/>
    <w:rsid w:val="3FEB51AC"/>
    <w:rsid w:val="3FF33B69"/>
    <w:rsid w:val="3FFA115C"/>
    <w:rsid w:val="3FFC3900"/>
    <w:rsid w:val="4009429C"/>
    <w:rsid w:val="402970A9"/>
    <w:rsid w:val="404F6E14"/>
    <w:rsid w:val="405B2791"/>
    <w:rsid w:val="40606C2F"/>
    <w:rsid w:val="407B1A4D"/>
    <w:rsid w:val="408049E1"/>
    <w:rsid w:val="408137B6"/>
    <w:rsid w:val="408178BE"/>
    <w:rsid w:val="408A2B7E"/>
    <w:rsid w:val="409D3C6E"/>
    <w:rsid w:val="40A31C8C"/>
    <w:rsid w:val="40AB1595"/>
    <w:rsid w:val="40AF007F"/>
    <w:rsid w:val="40BE466E"/>
    <w:rsid w:val="40BF627F"/>
    <w:rsid w:val="40C003E6"/>
    <w:rsid w:val="40C8662A"/>
    <w:rsid w:val="40CE0ED0"/>
    <w:rsid w:val="40E10A8C"/>
    <w:rsid w:val="410D6A4B"/>
    <w:rsid w:val="410F6A02"/>
    <w:rsid w:val="411141F8"/>
    <w:rsid w:val="4121618D"/>
    <w:rsid w:val="41291E14"/>
    <w:rsid w:val="414413B8"/>
    <w:rsid w:val="41465FC8"/>
    <w:rsid w:val="4156445A"/>
    <w:rsid w:val="416A10A3"/>
    <w:rsid w:val="417A5FF0"/>
    <w:rsid w:val="41826AE7"/>
    <w:rsid w:val="418402D9"/>
    <w:rsid w:val="419B175C"/>
    <w:rsid w:val="41B67136"/>
    <w:rsid w:val="41D72072"/>
    <w:rsid w:val="41F528B8"/>
    <w:rsid w:val="41FA48BA"/>
    <w:rsid w:val="42051E29"/>
    <w:rsid w:val="4228529E"/>
    <w:rsid w:val="422D25F9"/>
    <w:rsid w:val="42307F0D"/>
    <w:rsid w:val="423546AB"/>
    <w:rsid w:val="424D7A5D"/>
    <w:rsid w:val="42516D59"/>
    <w:rsid w:val="42625183"/>
    <w:rsid w:val="426B045B"/>
    <w:rsid w:val="42760EAB"/>
    <w:rsid w:val="42807E2C"/>
    <w:rsid w:val="42846E8E"/>
    <w:rsid w:val="42874D2A"/>
    <w:rsid w:val="428A21A6"/>
    <w:rsid w:val="428B390F"/>
    <w:rsid w:val="42966D5D"/>
    <w:rsid w:val="429D0D37"/>
    <w:rsid w:val="42A653BA"/>
    <w:rsid w:val="42AB1075"/>
    <w:rsid w:val="42B03B3D"/>
    <w:rsid w:val="42BE6BA7"/>
    <w:rsid w:val="42D17CD5"/>
    <w:rsid w:val="42DB2D12"/>
    <w:rsid w:val="42DD389C"/>
    <w:rsid w:val="42DE2AAC"/>
    <w:rsid w:val="43086A11"/>
    <w:rsid w:val="43087C4A"/>
    <w:rsid w:val="431471CA"/>
    <w:rsid w:val="43291B47"/>
    <w:rsid w:val="432C0C29"/>
    <w:rsid w:val="433520F6"/>
    <w:rsid w:val="433C731A"/>
    <w:rsid w:val="436D590E"/>
    <w:rsid w:val="4374370A"/>
    <w:rsid w:val="43816903"/>
    <w:rsid w:val="438C45B0"/>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6153A"/>
    <w:rsid w:val="44363141"/>
    <w:rsid w:val="443F4C85"/>
    <w:rsid w:val="44446C38"/>
    <w:rsid w:val="44472BCC"/>
    <w:rsid w:val="44515DC7"/>
    <w:rsid w:val="4454229E"/>
    <w:rsid w:val="445E05A4"/>
    <w:rsid w:val="4462484A"/>
    <w:rsid w:val="44626645"/>
    <w:rsid w:val="44690EA9"/>
    <w:rsid w:val="449648D0"/>
    <w:rsid w:val="44986654"/>
    <w:rsid w:val="449B7DBF"/>
    <w:rsid w:val="44B55D88"/>
    <w:rsid w:val="44DC29EB"/>
    <w:rsid w:val="44DD1A31"/>
    <w:rsid w:val="44F3240C"/>
    <w:rsid w:val="44F73CE5"/>
    <w:rsid w:val="44F84650"/>
    <w:rsid w:val="44FD4940"/>
    <w:rsid w:val="452615A5"/>
    <w:rsid w:val="452911C3"/>
    <w:rsid w:val="453110FA"/>
    <w:rsid w:val="45380EAE"/>
    <w:rsid w:val="45431D84"/>
    <w:rsid w:val="454C6201"/>
    <w:rsid w:val="454E0A80"/>
    <w:rsid w:val="45607318"/>
    <w:rsid w:val="456848E6"/>
    <w:rsid w:val="456B0E9A"/>
    <w:rsid w:val="457356E1"/>
    <w:rsid w:val="457A56BB"/>
    <w:rsid w:val="457F0835"/>
    <w:rsid w:val="45901F42"/>
    <w:rsid w:val="45B61DB8"/>
    <w:rsid w:val="45BD1FBC"/>
    <w:rsid w:val="45CD3F04"/>
    <w:rsid w:val="45D4449A"/>
    <w:rsid w:val="45D75901"/>
    <w:rsid w:val="45DC4C85"/>
    <w:rsid w:val="45DD1704"/>
    <w:rsid w:val="45DE6F05"/>
    <w:rsid w:val="45ED2C31"/>
    <w:rsid w:val="45F858B5"/>
    <w:rsid w:val="460652C7"/>
    <w:rsid w:val="46091005"/>
    <w:rsid w:val="46383D12"/>
    <w:rsid w:val="464F5D68"/>
    <w:rsid w:val="466573DB"/>
    <w:rsid w:val="466B6068"/>
    <w:rsid w:val="4670684F"/>
    <w:rsid w:val="467F6055"/>
    <w:rsid w:val="46992809"/>
    <w:rsid w:val="46B74038"/>
    <w:rsid w:val="46C73B51"/>
    <w:rsid w:val="46DD5893"/>
    <w:rsid w:val="46E121E3"/>
    <w:rsid w:val="46E804A0"/>
    <w:rsid w:val="46F705B5"/>
    <w:rsid w:val="47006CEC"/>
    <w:rsid w:val="4703610C"/>
    <w:rsid w:val="47182C2B"/>
    <w:rsid w:val="471C2E4A"/>
    <w:rsid w:val="471E4A10"/>
    <w:rsid w:val="47283607"/>
    <w:rsid w:val="47365880"/>
    <w:rsid w:val="47470C00"/>
    <w:rsid w:val="47617BC5"/>
    <w:rsid w:val="47726B9D"/>
    <w:rsid w:val="47754A35"/>
    <w:rsid w:val="477570E2"/>
    <w:rsid w:val="477804F9"/>
    <w:rsid w:val="479B74B7"/>
    <w:rsid w:val="47A54B82"/>
    <w:rsid w:val="47B34FC5"/>
    <w:rsid w:val="47B55A11"/>
    <w:rsid w:val="47C1116A"/>
    <w:rsid w:val="47C969BB"/>
    <w:rsid w:val="47DB0AEF"/>
    <w:rsid w:val="47E32C0C"/>
    <w:rsid w:val="47ED3E2A"/>
    <w:rsid w:val="482468EA"/>
    <w:rsid w:val="48256827"/>
    <w:rsid w:val="48426317"/>
    <w:rsid w:val="48427ACE"/>
    <w:rsid w:val="4848607E"/>
    <w:rsid w:val="48504E40"/>
    <w:rsid w:val="486D3064"/>
    <w:rsid w:val="486E2084"/>
    <w:rsid w:val="489D1D0E"/>
    <w:rsid w:val="48A10C08"/>
    <w:rsid w:val="48AE76E2"/>
    <w:rsid w:val="48B7515A"/>
    <w:rsid w:val="48BB4EC6"/>
    <w:rsid w:val="48C267D2"/>
    <w:rsid w:val="48CD6A98"/>
    <w:rsid w:val="48DB2CE5"/>
    <w:rsid w:val="48DD1AEA"/>
    <w:rsid w:val="48ED73F7"/>
    <w:rsid w:val="494D34B4"/>
    <w:rsid w:val="49531DF8"/>
    <w:rsid w:val="496421BE"/>
    <w:rsid w:val="497854A4"/>
    <w:rsid w:val="499B4C71"/>
    <w:rsid w:val="499E5BE3"/>
    <w:rsid w:val="49B52386"/>
    <w:rsid w:val="49B8210F"/>
    <w:rsid w:val="49BB234A"/>
    <w:rsid w:val="49C63487"/>
    <w:rsid w:val="49DB003F"/>
    <w:rsid w:val="49DD4B67"/>
    <w:rsid w:val="49E60E0F"/>
    <w:rsid w:val="49E65861"/>
    <w:rsid w:val="4A01680F"/>
    <w:rsid w:val="4A0270C9"/>
    <w:rsid w:val="4A047EDF"/>
    <w:rsid w:val="4A0A4480"/>
    <w:rsid w:val="4A176B9D"/>
    <w:rsid w:val="4A3E42B1"/>
    <w:rsid w:val="4A531EA6"/>
    <w:rsid w:val="4A540A2C"/>
    <w:rsid w:val="4A583F0B"/>
    <w:rsid w:val="4A5D08DF"/>
    <w:rsid w:val="4A7A41D7"/>
    <w:rsid w:val="4A807380"/>
    <w:rsid w:val="4A840EEF"/>
    <w:rsid w:val="4A8B1860"/>
    <w:rsid w:val="4A946414"/>
    <w:rsid w:val="4A955A6C"/>
    <w:rsid w:val="4A982852"/>
    <w:rsid w:val="4A992F22"/>
    <w:rsid w:val="4AAE2BCA"/>
    <w:rsid w:val="4ABD4214"/>
    <w:rsid w:val="4AFA208B"/>
    <w:rsid w:val="4B0A3310"/>
    <w:rsid w:val="4B1A06F3"/>
    <w:rsid w:val="4B20492F"/>
    <w:rsid w:val="4B215F25"/>
    <w:rsid w:val="4B3576CB"/>
    <w:rsid w:val="4B3D1E78"/>
    <w:rsid w:val="4B444FB2"/>
    <w:rsid w:val="4B595064"/>
    <w:rsid w:val="4B601D2A"/>
    <w:rsid w:val="4B670046"/>
    <w:rsid w:val="4B672180"/>
    <w:rsid w:val="4B6E1D26"/>
    <w:rsid w:val="4B807E8F"/>
    <w:rsid w:val="4B870ABA"/>
    <w:rsid w:val="4B920889"/>
    <w:rsid w:val="4B996870"/>
    <w:rsid w:val="4BA46E08"/>
    <w:rsid w:val="4BAB7FF4"/>
    <w:rsid w:val="4BC73B78"/>
    <w:rsid w:val="4BC77460"/>
    <w:rsid w:val="4BCF201E"/>
    <w:rsid w:val="4C2524E7"/>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C65395"/>
    <w:rsid w:val="4CD5793B"/>
    <w:rsid w:val="4CD80E01"/>
    <w:rsid w:val="4CDE02B9"/>
    <w:rsid w:val="4CFB5C1C"/>
    <w:rsid w:val="4D0F78F1"/>
    <w:rsid w:val="4D2C295F"/>
    <w:rsid w:val="4D3F2693"/>
    <w:rsid w:val="4D4D0E1D"/>
    <w:rsid w:val="4D4D4426"/>
    <w:rsid w:val="4D4E796F"/>
    <w:rsid w:val="4D4F6EEF"/>
    <w:rsid w:val="4D5D085A"/>
    <w:rsid w:val="4D807194"/>
    <w:rsid w:val="4D9277A9"/>
    <w:rsid w:val="4D9438AB"/>
    <w:rsid w:val="4D995F1E"/>
    <w:rsid w:val="4DA644C0"/>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CE0CD5"/>
    <w:rsid w:val="4ED22A57"/>
    <w:rsid w:val="4ED92E23"/>
    <w:rsid w:val="4EE964BF"/>
    <w:rsid w:val="4F0B12EB"/>
    <w:rsid w:val="4F277882"/>
    <w:rsid w:val="4F306048"/>
    <w:rsid w:val="4F313C6F"/>
    <w:rsid w:val="4F416BC0"/>
    <w:rsid w:val="4F6476F0"/>
    <w:rsid w:val="4F6A2B78"/>
    <w:rsid w:val="4F762AE3"/>
    <w:rsid w:val="4F7D2F66"/>
    <w:rsid w:val="4F8C33D2"/>
    <w:rsid w:val="4F9F3258"/>
    <w:rsid w:val="4F9F3566"/>
    <w:rsid w:val="4FAF0352"/>
    <w:rsid w:val="4FB3614F"/>
    <w:rsid w:val="4FBC4B75"/>
    <w:rsid w:val="50292472"/>
    <w:rsid w:val="502B58CD"/>
    <w:rsid w:val="503324EC"/>
    <w:rsid w:val="503E4E84"/>
    <w:rsid w:val="50432740"/>
    <w:rsid w:val="504D48EB"/>
    <w:rsid w:val="506177CB"/>
    <w:rsid w:val="506D1CE6"/>
    <w:rsid w:val="50756606"/>
    <w:rsid w:val="50781C7F"/>
    <w:rsid w:val="507C3FF5"/>
    <w:rsid w:val="50950193"/>
    <w:rsid w:val="50B535BC"/>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557EF"/>
    <w:rsid w:val="521F4AC1"/>
    <w:rsid w:val="522B490F"/>
    <w:rsid w:val="522C4379"/>
    <w:rsid w:val="52315D30"/>
    <w:rsid w:val="524E2361"/>
    <w:rsid w:val="52985353"/>
    <w:rsid w:val="529F24A2"/>
    <w:rsid w:val="52AA7CFA"/>
    <w:rsid w:val="52B171E6"/>
    <w:rsid w:val="52B529EC"/>
    <w:rsid w:val="52D7336D"/>
    <w:rsid w:val="52DB122A"/>
    <w:rsid w:val="52E13D67"/>
    <w:rsid w:val="52E27A56"/>
    <w:rsid w:val="52E80195"/>
    <w:rsid w:val="52E82C9B"/>
    <w:rsid w:val="52E846A6"/>
    <w:rsid w:val="52F64BDB"/>
    <w:rsid w:val="531536B7"/>
    <w:rsid w:val="532129F8"/>
    <w:rsid w:val="533233B6"/>
    <w:rsid w:val="5333575C"/>
    <w:rsid w:val="53431BBB"/>
    <w:rsid w:val="5345258D"/>
    <w:rsid w:val="534E32E5"/>
    <w:rsid w:val="53501C8A"/>
    <w:rsid w:val="537C2D95"/>
    <w:rsid w:val="538709E1"/>
    <w:rsid w:val="53890B0C"/>
    <w:rsid w:val="53921F79"/>
    <w:rsid w:val="53942A5B"/>
    <w:rsid w:val="539A0A2E"/>
    <w:rsid w:val="539B0D65"/>
    <w:rsid w:val="539C7BB1"/>
    <w:rsid w:val="53A254EF"/>
    <w:rsid w:val="53AE179F"/>
    <w:rsid w:val="53B74C02"/>
    <w:rsid w:val="53B80357"/>
    <w:rsid w:val="53C63F53"/>
    <w:rsid w:val="53CA60F3"/>
    <w:rsid w:val="53DA3115"/>
    <w:rsid w:val="53E37A46"/>
    <w:rsid w:val="53E60B87"/>
    <w:rsid w:val="53E813CD"/>
    <w:rsid w:val="53FD6E04"/>
    <w:rsid w:val="54147818"/>
    <w:rsid w:val="54284D48"/>
    <w:rsid w:val="542C0D25"/>
    <w:rsid w:val="543036B4"/>
    <w:rsid w:val="543B06DD"/>
    <w:rsid w:val="544607AB"/>
    <w:rsid w:val="544F6C7E"/>
    <w:rsid w:val="54507C6E"/>
    <w:rsid w:val="54523FAB"/>
    <w:rsid w:val="54606D4B"/>
    <w:rsid w:val="546F563B"/>
    <w:rsid w:val="54715AD1"/>
    <w:rsid w:val="54737B83"/>
    <w:rsid w:val="54767A69"/>
    <w:rsid w:val="54771DDB"/>
    <w:rsid w:val="54800851"/>
    <w:rsid w:val="548117E3"/>
    <w:rsid w:val="548D1DAF"/>
    <w:rsid w:val="549E6667"/>
    <w:rsid w:val="54A33DD4"/>
    <w:rsid w:val="54B83081"/>
    <w:rsid w:val="54CD7213"/>
    <w:rsid w:val="54D07368"/>
    <w:rsid w:val="54D27679"/>
    <w:rsid w:val="54FA20B3"/>
    <w:rsid w:val="552D41F8"/>
    <w:rsid w:val="5530235E"/>
    <w:rsid w:val="553A11F2"/>
    <w:rsid w:val="554A1014"/>
    <w:rsid w:val="554D547D"/>
    <w:rsid w:val="555812FC"/>
    <w:rsid w:val="558504DB"/>
    <w:rsid w:val="55855303"/>
    <w:rsid w:val="5599207C"/>
    <w:rsid w:val="55BA23F6"/>
    <w:rsid w:val="55C17A4A"/>
    <w:rsid w:val="55C776A4"/>
    <w:rsid w:val="55C86FE2"/>
    <w:rsid w:val="55D93944"/>
    <w:rsid w:val="55DB20F6"/>
    <w:rsid w:val="55E0012B"/>
    <w:rsid w:val="55E22738"/>
    <w:rsid w:val="55E53654"/>
    <w:rsid w:val="55F16398"/>
    <w:rsid w:val="55FA5978"/>
    <w:rsid w:val="560471D1"/>
    <w:rsid w:val="5620288D"/>
    <w:rsid w:val="56262D0A"/>
    <w:rsid w:val="562F094C"/>
    <w:rsid w:val="56303DF0"/>
    <w:rsid w:val="563C241F"/>
    <w:rsid w:val="5645459C"/>
    <w:rsid w:val="564845D6"/>
    <w:rsid w:val="56497A16"/>
    <w:rsid w:val="564B1CD3"/>
    <w:rsid w:val="56523972"/>
    <w:rsid w:val="56526786"/>
    <w:rsid w:val="568D4159"/>
    <w:rsid w:val="56900687"/>
    <w:rsid w:val="569017FC"/>
    <w:rsid w:val="56AA326E"/>
    <w:rsid w:val="56B557FE"/>
    <w:rsid w:val="56B86A4A"/>
    <w:rsid w:val="56C90586"/>
    <w:rsid w:val="56D20E62"/>
    <w:rsid w:val="56E53FAA"/>
    <w:rsid w:val="56F15FB4"/>
    <w:rsid w:val="57032FAA"/>
    <w:rsid w:val="57083A80"/>
    <w:rsid w:val="570A1F63"/>
    <w:rsid w:val="570F4518"/>
    <w:rsid w:val="57101FBF"/>
    <w:rsid w:val="57192727"/>
    <w:rsid w:val="572C1D0F"/>
    <w:rsid w:val="572E2ABD"/>
    <w:rsid w:val="57393751"/>
    <w:rsid w:val="57511B9A"/>
    <w:rsid w:val="57537352"/>
    <w:rsid w:val="575B1004"/>
    <w:rsid w:val="5771718C"/>
    <w:rsid w:val="577D318D"/>
    <w:rsid w:val="5791578D"/>
    <w:rsid w:val="57986AAA"/>
    <w:rsid w:val="57A273D9"/>
    <w:rsid w:val="57A66822"/>
    <w:rsid w:val="57AF5A40"/>
    <w:rsid w:val="57C97408"/>
    <w:rsid w:val="57CC546B"/>
    <w:rsid w:val="57E82929"/>
    <w:rsid w:val="57EA769F"/>
    <w:rsid w:val="57EC1C9C"/>
    <w:rsid w:val="58022941"/>
    <w:rsid w:val="580632C8"/>
    <w:rsid w:val="580C02FC"/>
    <w:rsid w:val="58277B25"/>
    <w:rsid w:val="5830410B"/>
    <w:rsid w:val="58310F67"/>
    <w:rsid w:val="583A1FAC"/>
    <w:rsid w:val="583E68FD"/>
    <w:rsid w:val="5846711A"/>
    <w:rsid w:val="58553838"/>
    <w:rsid w:val="585A1073"/>
    <w:rsid w:val="585D5C86"/>
    <w:rsid w:val="587E5B83"/>
    <w:rsid w:val="588C01E0"/>
    <w:rsid w:val="589A6EED"/>
    <w:rsid w:val="589D01E1"/>
    <w:rsid w:val="58A54D70"/>
    <w:rsid w:val="58BE78AD"/>
    <w:rsid w:val="58CA70BC"/>
    <w:rsid w:val="58CF664E"/>
    <w:rsid w:val="58D161EE"/>
    <w:rsid w:val="58DC20DE"/>
    <w:rsid w:val="58E56323"/>
    <w:rsid w:val="58EC223F"/>
    <w:rsid w:val="58ED1D81"/>
    <w:rsid w:val="58ED6689"/>
    <w:rsid w:val="58F50CD5"/>
    <w:rsid w:val="59031290"/>
    <w:rsid w:val="590F1BC4"/>
    <w:rsid w:val="5919022D"/>
    <w:rsid w:val="591D661A"/>
    <w:rsid w:val="592A6680"/>
    <w:rsid w:val="59402032"/>
    <w:rsid w:val="59464947"/>
    <w:rsid w:val="594A6B94"/>
    <w:rsid w:val="594D270F"/>
    <w:rsid w:val="595405FB"/>
    <w:rsid w:val="59797E10"/>
    <w:rsid w:val="598007BD"/>
    <w:rsid w:val="59821BF3"/>
    <w:rsid w:val="59831117"/>
    <w:rsid w:val="599D1711"/>
    <w:rsid w:val="59A32903"/>
    <w:rsid w:val="59B25B64"/>
    <w:rsid w:val="59B65B0A"/>
    <w:rsid w:val="59C71F63"/>
    <w:rsid w:val="59DD38F5"/>
    <w:rsid w:val="59E72771"/>
    <w:rsid w:val="59FB19D7"/>
    <w:rsid w:val="59FC1DF4"/>
    <w:rsid w:val="5A0170D0"/>
    <w:rsid w:val="5A0D79FC"/>
    <w:rsid w:val="5A207B2C"/>
    <w:rsid w:val="5A273430"/>
    <w:rsid w:val="5A2D57D7"/>
    <w:rsid w:val="5A3C0B29"/>
    <w:rsid w:val="5A4D5D2C"/>
    <w:rsid w:val="5A5D1EE9"/>
    <w:rsid w:val="5A646519"/>
    <w:rsid w:val="5A6E4321"/>
    <w:rsid w:val="5A6F07AD"/>
    <w:rsid w:val="5A743B23"/>
    <w:rsid w:val="5A786D03"/>
    <w:rsid w:val="5A8810C1"/>
    <w:rsid w:val="5A953CA8"/>
    <w:rsid w:val="5AA20354"/>
    <w:rsid w:val="5AA4013C"/>
    <w:rsid w:val="5AAA217B"/>
    <w:rsid w:val="5ADD173D"/>
    <w:rsid w:val="5AFF1EAD"/>
    <w:rsid w:val="5B1D4B5D"/>
    <w:rsid w:val="5B245381"/>
    <w:rsid w:val="5B266B67"/>
    <w:rsid w:val="5BA004B1"/>
    <w:rsid w:val="5BA64A59"/>
    <w:rsid w:val="5BB42013"/>
    <w:rsid w:val="5BC71BFF"/>
    <w:rsid w:val="5BCE3661"/>
    <w:rsid w:val="5BDE4B2E"/>
    <w:rsid w:val="5BE6497C"/>
    <w:rsid w:val="5BF53D6D"/>
    <w:rsid w:val="5BF66452"/>
    <w:rsid w:val="5BFE2754"/>
    <w:rsid w:val="5C00251E"/>
    <w:rsid w:val="5C0C5517"/>
    <w:rsid w:val="5C1D44E7"/>
    <w:rsid w:val="5C243A94"/>
    <w:rsid w:val="5C362DC6"/>
    <w:rsid w:val="5C513933"/>
    <w:rsid w:val="5C684A5F"/>
    <w:rsid w:val="5C7C22C9"/>
    <w:rsid w:val="5CBF559E"/>
    <w:rsid w:val="5CCB049C"/>
    <w:rsid w:val="5CD246B1"/>
    <w:rsid w:val="5D104C52"/>
    <w:rsid w:val="5D1610E5"/>
    <w:rsid w:val="5D1F134D"/>
    <w:rsid w:val="5D225E96"/>
    <w:rsid w:val="5D536746"/>
    <w:rsid w:val="5D5479DF"/>
    <w:rsid w:val="5D8B235F"/>
    <w:rsid w:val="5D935CC9"/>
    <w:rsid w:val="5D9929C5"/>
    <w:rsid w:val="5DA1690A"/>
    <w:rsid w:val="5DA344BD"/>
    <w:rsid w:val="5DAB1604"/>
    <w:rsid w:val="5DAC7F7B"/>
    <w:rsid w:val="5DC00E21"/>
    <w:rsid w:val="5DEF4991"/>
    <w:rsid w:val="5E004546"/>
    <w:rsid w:val="5E1F03B4"/>
    <w:rsid w:val="5E223849"/>
    <w:rsid w:val="5E31684C"/>
    <w:rsid w:val="5E4B7FB9"/>
    <w:rsid w:val="5E52320C"/>
    <w:rsid w:val="5E64188D"/>
    <w:rsid w:val="5E6B6BD9"/>
    <w:rsid w:val="5E9D2BEC"/>
    <w:rsid w:val="5EAE6349"/>
    <w:rsid w:val="5EB805C9"/>
    <w:rsid w:val="5EEC5CE5"/>
    <w:rsid w:val="5EF731E5"/>
    <w:rsid w:val="5F004E6E"/>
    <w:rsid w:val="5F010358"/>
    <w:rsid w:val="5F095904"/>
    <w:rsid w:val="5F232B8A"/>
    <w:rsid w:val="5F285753"/>
    <w:rsid w:val="5F3B01E3"/>
    <w:rsid w:val="5F3D041A"/>
    <w:rsid w:val="5F416DD5"/>
    <w:rsid w:val="5F4327F6"/>
    <w:rsid w:val="5F454D59"/>
    <w:rsid w:val="5F4F0951"/>
    <w:rsid w:val="5F660454"/>
    <w:rsid w:val="5F6D308F"/>
    <w:rsid w:val="5F89663A"/>
    <w:rsid w:val="5FA25FD2"/>
    <w:rsid w:val="5FA840C8"/>
    <w:rsid w:val="5FAF21EE"/>
    <w:rsid w:val="5FAF3AE3"/>
    <w:rsid w:val="5FD84CCD"/>
    <w:rsid w:val="5FD95DF5"/>
    <w:rsid w:val="5FE17C6A"/>
    <w:rsid w:val="60153E06"/>
    <w:rsid w:val="601B7860"/>
    <w:rsid w:val="60285208"/>
    <w:rsid w:val="602C2F4B"/>
    <w:rsid w:val="603A6C4E"/>
    <w:rsid w:val="603E2C7E"/>
    <w:rsid w:val="605D4A17"/>
    <w:rsid w:val="606E74AB"/>
    <w:rsid w:val="607F4815"/>
    <w:rsid w:val="60C66FF8"/>
    <w:rsid w:val="60C715F3"/>
    <w:rsid w:val="60C831F4"/>
    <w:rsid w:val="60CA46DE"/>
    <w:rsid w:val="60D962FE"/>
    <w:rsid w:val="60DA1FB7"/>
    <w:rsid w:val="60F03797"/>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A020A"/>
    <w:rsid w:val="61BF0A39"/>
    <w:rsid w:val="61D23AE4"/>
    <w:rsid w:val="61D74436"/>
    <w:rsid w:val="61DF72E6"/>
    <w:rsid w:val="61E33ADD"/>
    <w:rsid w:val="61FC40A6"/>
    <w:rsid w:val="62095690"/>
    <w:rsid w:val="620A7850"/>
    <w:rsid w:val="62150569"/>
    <w:rsid w:val="621D6280"/>
    <w:rsid w:val="62232E5A"/>
    <w:rsid w:val="623F1255"/>
    <w:rsid w:val="62845FB8"/>
    <w:rsid w:val="62913539"/>
    <w:rsid w:val="62925A24"/>
    <w:rsid w:val="62947959"/>
    <w:rsid w:val="629F4600"/>
    <w:rsid w:val="62B27BC4"/>
    <w:rsid w:val="62B3264F"/>
    <w:rsid w:val="62B87B19"/>
    <w:rsid w:val="62C15A67"/>
    <w:rsid w:val="62CC63A3"/>
    <w:rsid w:val="62D13DAB"/>
    <w:rsid w:val="62D5208D"/>
    <w:rsid w:val="62D949A4"/>
    <w:rsid w:val="6308497A"/>
    <w:rsid w:val="630A00B2"/>
    <w:rsid w:val="63117187"/>
    <w:rsid w:val="633D44AA"/>
    <w:rsid w:val="63687677"/>
    <w:rsid w:val="638130A6"/>
    <w:rsid w:val="638F1AF4"/>
    <w:rsid w:val="63AA5BC2"/>
    <w:rsid w:val="63B4356F"/>
    <w:rsid w:val="63CF48F8"/>
    <w:rsid w:val="63E1229E"/>
    <w:rsid w:val="63F840D4"/>
    <w:rsid w:val="64027B30"/>
    <w:rsid w:val="640F41A2"/>
    <w:rsid w:val="641D14C4"/>
    <w:rsid w:val="642719FF"/>
    <w:rsid w:val="644B3147"/>
    <w:rsid w:val="6465549E"/>
    <w:rsid w:val="646C3009"/>
    <w:rsid w:val="64721148"/>
    <w:rsid w:val="64735320"/>
    <w:rsid w:val="64B30238"/>
    <w:rsid w:val="64D01B87"/>
    <w:rsid w:val="64D178B9"/>
    <w:rsid w:val="64D77A7E"/>
    <w:rsid w:val="64E73DF1"/>
    <w:rsid w:val="64F0414B"/>
    <w:rsid w:val="64FF1C3C"/>
    <w:rsid w:val="65012D42"/>
    <w:rsid w:val="65143021"/>
    <w:rsid w:val="652A63DB"/>
    <w:rsid w:val="652F58D3"/>
    <w:rsid w:val="653E1ABB"/>
    <w:rsid w:val="655B7102"/>
    <w:rsid w:val="656575F4"/>
    <w:rsid w:val="656738B8"/>
    <w:rsid w:val="657021F5"/>
    <w:rsid w:val="65713C4C"/>
    <w:rsid w:val="65722B1B"/>
    <w:rsid w:val="657B402C"/>
    <w:rsid w:val="65A23327"/>
    <w:rsid w:val="65B826BD"/>
    <w:rsid w:val="65C26555"/>
    <w:rsid w:val="65DC7921"/>
    <w:rsid w:val="65E317A8"/>
    <w:rsid w:val="65ED6C11"/>
    <w:rsid w:val="65FC7C13"/>
    <w:rsid w:val="6613537E"/>
    <w:rsid w:val="66152556"/>
    <w:rsid w:val="66300342"/>
    <w:rsid w:val="66334C1F"/>
    <w:rsid w:val="663A3856"/>
    <w:rsid w:val="663B51C1"/>
    <w:rsid w:val="66442670"/>
    <w:rsid w:val="665611EB"/>
    <w:rsid w:val="665A29E1"/>
    <w:rsid w:val="666329BA"/>
    <w:rsid w:val="66680388"/>
    <w:rsid w:val="667416AB"/>
    <w:rsid w:val="667C4915"/>
    <w:rsid w:val="668019A3"/>
    <w:rsid w:val="668F7D8F"/>
    <w:rsid w:val="66A546B3"/>
    <w:rsid w:val="66A912E3"/>
    <w:rsid w:val="66AB6843"/>
    <w:rsid w:val="66B42F90"/>
    <w:rsid w:val="66CD2666"/>
    <w:rsid w:val="66E47E9A"/>
    <w:rsid w:val="66FC5136"/>
    <w:rsid w:val="66FD4E0B"/>
    <w:rsid w:val="670901AC"/>
    <w:rsid w:val="672A302E"/>
    <w:rsid w:val="67491773"/>
    <w:rsid w:val="675121D1"/>
    <w:rsid w:val="67650EA7"/>
    <w:rsid w:val="6767500B"/>
    <w:rsid w:val="676F41FA"/>
    <w:rsid w:val="67841E7B"/>
    <w:rsid w:val="678E19A2"/>
    <w:rsid w:val="67945E5C"/>
    <w:rsid w:val="67C63136"/>
    <w:rsid w:val="67D172DA"/>
    <w:rsid w:val="67F22E4A"/>
    <w:rsid w:val="67F24D27"/>
    <w:rsid w:val="67F42206"/>
    <w:rsid w:val="683D0B85"/>
    <w:rsid w:val="6859024B"/>
    <w:rsid w:val="685F19E3"/>
    <w:rsid w:val="68636054"/>
    <w:rsid w:val="68672885"/>
    <w:rsid w:val="6889707C"/>
    <w:rsid w:val="688D3FD7"/>
    <w:rsid w:val="68914153"/>
    <w:rsid w:val="68920C43"/>
    <w:rsid w:val="689C679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835459"/>
    <w:rsid w:val="69935DE8"/>
    <w:rsid w:val="6994351D"/>
    <w:rsid w:val="699B55F7"/>
    <w:rsid w:val="69CA04A8"/>
    <w:rsid w:val="69D9013F"/>
    <w:rsid w:val="69F741A2"/>
    <w:rsid w:val="69FE6E97"/>
    <w:rsid w:val="6A185E40"/>
    <w:rsid w:val="6A1C73EF"/>
    <w:rsid w:val="6A1D5127"/>
    <w:rsid w:val="6A3949FB"/>
    <w:rsid w:val="6A457C16"/>
    <w:rsid w:val="6A550048"/>
    <w:rsid w:val="6A6857B4"/>
    <w:rsid w:val="6A6B5D71"/>
    <w:rsid w:val="6A8E0CFE"/>
    <w:rsid w:val="6AA81A91"/>
    <w:rsid w:val="6AAD4C88"/>
    <w:rsid w:val="6AC41808"/>
    <w:rsid w:val="6AE0238F"/>
    <w:rsid w:val="6AF46091"/>
    <w:rsid w:val="6B195886"/>
    <w:rsid w:val="6B447524"/>
    <w:rsid w:val="6B854DB8"/>
    <w:rsid w:val="6BA05817"/>
    <w:rsid w:val="6BEE1234"/>
    <w:rsid w:val="6C0C10C6"/>
    <w:rsid w:val="6C1A02D9"/>
    <w:rsid w:val="6C1F4FB5"/>
    <w:rsid w:val="6C385E5A"/>
    <w:rsid w:val="6C4E481F"/>
    <w:rsid w:val="6C5C7602"/>
    <w:rsid w:val="6C5E67E5"/>
    <w:rsid w:val="6C70509E"/>
    <w:rsid w:val="6C867BD8"/>
    <w:rsid w:val="6C897CC8"/>
    <w:rsid w:val="6C8D7504"/>
    <w:rsid w:val="6C8E7FF3"/>
    <w:rsid w:val="6CA32D3B"/>
    <w:rsid w:val="6CB055BD"/>
    <w:rsid w:val="6CB56456"/>
    <w:rsid w:val="6CB95002"/>
    <w:rsid w:val="6CC137A3"/>
    <w:rsid w:val="6CCC3A0B"/>
    <w:rsid w:val="6CCF41D4"/>
    <w:rsid w:val="6CDA3D2E"/>
    <w:rsid w:val="6CE5509D"/>
    <w:rsid w:val="6CEA61B3"/>
    <w:rsid w:val="6D1022EC"/>
    <w:rsid w:val="6D113871"/>
    <w:rsid w:val="6D1B703E"/>
    <w:rsid w:val="6D2546CA"/>
    <w:rsid w:val="6D2C4E96"/>
    <w:rsid w:val="6D2F429A"/>
    <w:rsid w:val="6D394BFC"/>
    <w:rsid w:val="6D445346"/>
    <w:rsid w:val="6D4C40EA"/>
    <w:rsid w:val="6D535020"/>
    <w:rsid w:val="6D5B4E6F"/>
    <w:rsid w:val="6D6479C3"/>
    <w:rsid w:val="6D857BC4"/>
    <w:rsid w:val="6D91263F"/>
    <w:rsid w:val="6D954F12"/>
    <w:rsid w:val="6D9E6B0A"/>
    <w:rsid w:val="6DAC0736"/>
    <w:rsid w:val="6DB93DFC"/>
    <w:rsid w:val="6DCD71EF"/>
    <w:rsid w:val="6DCF0384"/>
    <w:rsid w:val="6DD742F7"/>
    <w:rsid w:val="6DDA142E"/>
    <w:rsid w:val="6DE27BA2"/>
    <w:rsid w:val="6DF712F5"/>
    <w:rsid w:val="6E47267B"/>
    <w:rsid w:val="6E540736"/>
    <w:rsid w:val="6E601F9E"/>
    <w:rsid w:val="6E6925E9"/>
    <w:rsid w:val="6E8C2E06"/>
    <w:rsid w:val="6E916B4D"/>
    <w:rsid w:val="6EBD2E31"/>
    <w:rsid w:val="6EC707CC"/>
    <w:rsid w:val="6EE710C0"/>
    <w:rsid w:val="6EED4691"/>
    <w:rsid w:val="6F037511"/>
    <w:rsid w:val="6F087CC4"/>
    <w:rsid w:val="6F1268A1"/>
    <w:rsid w:val="6F151728"/>
    <w:rsid w:val="6F23376B"/>
    <w:rsid w:val="6F3D79B6"/>
    <w:rsid w:val="6F664487"/>
    <w:rsid w:val="6F6E474D"/>
    <w:rsid w:val="6F6F3E14"/>
    <w:rsid w:val="6F830F20"/>
    <w:rsid w:val="6F8664ED"/>
    <w:rsid w:val="6FBE16E5"/>
    <w:rsid w:val="6FC337BC"/>
    <w:rsid w:val="6FC47F24"/>
    <w:rsid w:val="6FC667B7"/>
    <w:rsid w:val="6FD04AE8"/>
    <w:rsid w:val="6FD33091"/>
    <w:rsid w:val="6FDC162A"/>
    <w:rsid w:val="6FDC44E0"/>
    <w:rsid w:val="6FDD6525"/>
    <w:rsid w:val="6FE30F1E"/>
    <w:rsid w:val="6FF9505C"/>
    <w:rsid w:val="703A3132"/>
    <w:rsid w:val="703A3AFA"/>
    <w:rsid w:val="703A4681"/>
    <w:rsid w:val="70457B12"/>
    <w:rsid w:val="704F4E9C"/>
    <w:rsid w:val="707E05D0"/>
    <w:rsid w:val="70811B26"/>
    <w:rsid w:val="708244C1"/>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609F9"/>
    <w:rsid w:val="715765A8"/>
    <w:rsid w:val="7172779E"/>
    <w:rsid w:val="717552D6"/>
    <w:rsid w:val="7181116E"/>
    <w:rsid w:val="71A06F30"/>
    <w:rsid w:val="71C54FAD"/>
    <w:rsid w:val="71C85D97"/>
    <w:rsid w:val="71DB20DB"/>
    <w:rsid w:val="71DF1321"/>
    <w:rsid w:val="72190478"/>
    <w:rsid w:val="721D327C"/>
    <w:rsid w:val="722C7603"/>
    <w:rsid w:val="72352E2A"/>
    <w:rsid w:val="723751A3"/>
    <w:rsid w:val="725B3487"/>
    <w:rsid w:val="726308E2"/>
    <w:rsid w:val="726B400C"/>
    <w:rsid w:val="726E6079"/>
    <w:rsid w:val="72744F0E"/>
    <w:rsid w:val="72785D98"/>
    <w:rsid w:val="728B2099"/>
    <w:rsid w:val="729B5B36"/>
    <w:rsid w:val="72B35287"/>
    <w:rsid w:val="72C30A05"/>
    <w:rsid w:val="72C31732"/>
    <w:rsid w:val="72E57670"/>
    <w:rsid w:val="72E849C4"/>
    <w:rsid w:val="72FF46E8"/>
    <w:rsid w:val="7309711B"/>
    <w:rsid w:val="7318135E"/>
    <w:rsid w:val="732348BD"/>
    <w:rsid w:val="73470B82"/>
    <w:rsid w:val="73556C95"/>
    <w:rsid w:val="735D56FE"/>
    <w:rsid w:val="736639D2"/>
    <w:rsid w:val="736C5E03"/>
    <w:rsid w:val="73A6170B"/>
    <w:rsid w:val="73D42779"/>
    <w:rsid w:val="73DD51A0"/>
    <w:rsid w:val="73E13BF4"/>
    <w:rsid w:val="73E3171A"/>
    <w:rsid w:val="73E5115F"/>
    <w:rsid w:val="73F05C68"/>
    <w:rsid w:val="73FB6E93"/>
    <w:rsid w:val="73FF497F"/>
    <w:rsid w:val="7410293E"/>
    <w:rsid w:val="74176E58"/>
    <w:rsid w:val="74267DF1"/>
    <w:rsid w:val="742817A0"/>
    <w:rsid w:val="74355268"/>
    <w:rsid w:val="745A3FA1"/>
    <w:rsid w:val="745A54CE"/>
    <w:rsid w:val="747353EF"/>
    <w:rsid w:val="747B608F"/>
    <w:rsid w:val="74974E4F"/>
    <w:rsid w:val="749A6BDF"/>
    <w:rsid w:val="74A521A7"/>
    <w:rsid w:val="74AF0D4A"/>
    <w:rsid w:val="74BE2458"/>
    <w:rsid w:val="74C10DD9"/>
    <w:rsid w:val="74C33E4E"/>
    <w:rsid w:val="74C45CA6"/>
    <w:rsid w:val="74CB4254"/>
    <w:rsid w:val="74D359E3"/>
    <w:rsid w:val="74DB0660"/>
    <w:rsid w:val="74F75D5F"/>
    <w:rsid w:val="75080509"/>
    <w:rsid w:val="750E27C7"/>
    <w:rsid w:val="751520A8"/>
    <w:rsid w:val="7532425C"/>
    <w:rsid w:val="7543351B"/>
    <w:rsid w:val="755620AE"/>
    <w:rsid w:val="756056DD"/>
    <w:rsid w:val="75844AE0"/>
    <w:rsid w:val="758516A6"/>
    <w:rsid w:val="759762C9"/>
    <w:rsid w:val="7598328E"/>
    <w:rsid w:val="75986D1A"/>
    <w:rsid w:val="759D618A"/>
    <w:rsid w:val="75A97067"/>
    <w:rsid w:val="75AE319A"/>
    <w:rsid w:val="75B11ED2"/>
    <w:rsid w:val="75B24EF7"/>
    <w:rsid w:val="75BF1E0A"/>
    <w:rsid w:val="75CC0C58"/>
    <w:rsid w:val="75D51F38"/>
    <w:rsid w:val="75DF7A1C"/>
    <w:rsid w:val="762A110B"/>
    <w:rsid w:val="762F41B1"/>
    <w:rsid w:val="76355800"/>
    <w:rsid w:val="763F7CD2"/>
    <w:rsid w:val="7646502B"/>
    <w:rsid w:val="76520811"/>
    <w:rsid w:val="7653028C"/>
    <w:rsid w:val="766742B8"/>
    <w:rsid w:val="76802AA6"/>
    <w:rsid w:val="7698687A"/>
    <w:rsid w:val="769B6DFE"/>
    <w:rsid w:val="76AC0DE3"/>
    <w:rsid w:val="76AC2FAB"/>
    <w:rsid w:val="76C555D2"/>
    <w:rsid w:val="76F65C09"/>
    <w:rsid w:val="77115B9B"/>
    <w:rsid w:val="7721368A"/>
    <w:rsid w:val="773027D1"/>
    <w:rsid w:val="773B1476"/>
    <w:rsid w:val="77401D44"/>
    <w:rsid w:val="77422BFC"/>
    <w:rsid w:val="775C13BB"/>
    <w:rsid w:val="775E6259"/>
    <w:rsid w:val="77606B82"/>
    <w:rsid w:val="7784439D"/>
    <w:rsid w:val="7790268A"/>
    <w:rsid w:val="7796561D"/>
    <w:rsid w:val="779C67B0"/>
    <w:rsid w:val="77BF11BB"/>
    <w:rsid w:val="77C807D0"/>
    <w:rsid w:val="77D914A6"/>
    <w:rsid w:val="77F33EA5"/>
    <w:rsid w:val="77F57B49"/>
    <w:rsid w:val="77FC726A"/>
    <w:rsid w:val="78015423"/>
    <w:rsid w:val="78065E21"/>
    <w:rsid w:val="78092026"/>
    <w:rsid w:val="7825083A"/>
    <w:rsid w:val="78337982"/>
    <w:rsid w:val="7840538D"/>
    <w:rsid w:val="78443A4F"/>
    <w:rsid w:val="785B5E7F"/>
    <w:rsid w:val="786F030A"/>
    <w:rsid w:val="78974E9C"/>
    <w:rsid w:val="78AD3A04"/>
    <w:rsid w:val="78AE50CC"/>
    <w:rsid w:val="78C2184C"/>
    <w:rsid w:val="78CA4C57"/>
    <w:rsid w:val="79070BEF"/>
    <w:rsid w:val="79084E2A"/>
    <w:rsid w:val="790C6BE5"/>
    <w:rsid w:val="79304A13"/>
    <w:rsid w:val="79423DE2"/>
    <w:rsid w:val="795466FB"/>
    <w:rsid w:val="796171A5"/>
    <w:rsid w:val="797352EE"/>
    <w:rsid w:val="797C46A7"/>
    <w:rsid w:val="797F058B"/>
    <w:rsid w:val="79863274"/>
    <w:rsid w:val="79983DBB"/>
    <w:rsid w:val="799E3886"/>
    <w:rsid w:val="79AB3CFB"/>
    <w:rsid w:val="79AC51A9"/>
    <w:rsid w:val="79AC5821"/>
    <w:rsid w:val="79B4774B"/>
    <w:rsid w:val="79B93659"/>
    <w:rsid w:val="79D66388"/>
    <w:rsid w:val="79ED09E8"/>
    <w:rsid w:val="79FA3CE1"/>
    <w:rsid w:val="7A150154"/>
    <w:rsid w:val="7A200DCD"/>
    <w:rsid w:val="7A2A3475"/>
    <w:rsid w:val="7A51609D"/>
    <w:rsid w:val="7A7A449B"/>
    <w:rsid w:val="7A7C4677"/>
    <w:rsid w:val="7A8A3D33"/>
    <w:rsid w:val="7A8A6D94"/>
    <w:rsid w:val="7A9D1AF2"/>
    <w:rsid w:val="7AA049F7"/>
    <w:rsid w:val="7AAB1305"/>
    <w:rsid w:val="7AB33BBE"/>
    <w:rsid w:val="7AC5733B"/>
    <w:rsid w:val="7ACD5297"/>
    <w:rsid w:val="7AD73021"/>
    <w:rsid w:val="7ADC47C3"/>
    <w:rsid w:val="7AE658A6"/>
    <w:rsid w:val="7AE75F94"/>
    <w:rsid w:val="7AF028DE"/>
    <w:rsid w:val="7AFD2567"/>
    <w:rsid w:val="7B330527"/>
    <w:rsid w:val="7B3D7962"/>
    <w:rsid w:val="7B3E5193"/>
    <w:rsid w:val="7B681689"/>
    <w:rsid w:val="7B76061B"/>
    <w:rsid w:val="7BAD023F"/>
    <w:rsid w:val="7BB65DD0"/>
    <w:rsid w:val="7BBB055C"/>
    <w:rsid w:val="7BBD4F47"/>
    <w:rsid w:val="7BC1580A"/>
    <w:rsid w:val="7BDB07B3"/>
    <w:rsid w:val="7BFD43B8"/>
    <w:rsid w:val="7C064A66"/>
    <w:rsid w:val="7C0844BB"/>
    <w:rsid w:val="7C1F52BA"/>
    <w:rsid w:val="7C3519A7"/>
    <w:rsid w:val="7C467E54"/>
    <w:rsid w:val="7C504E5F"/>
    <w:rsid w:val="7C636D7B"/>
    <w:rsid w:val="7C66727A"/>
    <w:rsid w:val="7C6D6003"/>
    <w:rsid w:val="7C87012C"/>
    <w:rsid w:val="7C8A5BC2"/>
    <w:rsid w:val="7CBC1BE2"/>
    <w:rsid w:val="7CC448B2"/>
    <w:rsid w:val="7CC959C7"/>
    <w:rsid w:val="7CEF347D"/>
    <w:rsid w:val="7CF6186E"/>
    <w:rsid w:val="7CF95B0B"/>
    <w:rsid w:val="7CFE2AF1"/>
    <w:rsid w:val="7D047736"/>
    <w:rsid w:val="7D0A382D"/>
    <w:rsid w:val="7D11179C"/>
    <w:rsid w:val="7D2F4329"/>
    <w:rsid w:val="7D3704C0"/>
    <w:rsid w:val="7D414A16"/>
    <w:rsid w:val="7D4457F6"/>
    <w:rsid w:val="7D4E5163"/>
    <w:rsid w:val="7D512740"/>
    <w:rsid w:val="7D7E6ECE"/>
    <w:rsid w:val="7D9C4976"/>
    <w:rsid w:val="7DAF3DF1"/>
    <w:rsid w:val="7DBD1A7E"/>
    <w:rsid w:val="7DC7520F"/>
    <w:rsid w:val="7DDA3896"/>
    <w:rsid w:val="7DE13763"/>
    <w:rsid w:val="7DEC7CA4"/>
    <w:rsid w:val="7DF56D2F"/>
    <w:rsid w:val="7DFA2799"/>
    <w:rsid w:val="7E0B2A9C"/>
    <w:rsid w:val="7E0E6C77"/>
    <w:rsid w:val="7E1C414C"/>
    <w:rsid w:val="7E3048C1"/>
    <w:rsid w:val="7E515808"/>
    <w:rsid w:val="7E5704FB"/>
    <w:rsid w:val="7E5C3572"/>
    <w:rsid w:val="7E5E3D70"/>
    <w:rsid w:val="7E742EE1"/>
    <w:rsid w:val="7E830CAF"/>
    <w:rsid w:val="7E8B0B81"/>
    <w:rsid w:val="7E8F2D75"/>
    <w:rsid w:val="7EA454A5"/>
    <w:rsid w:val="7ED405DD"/>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55E87"/>
    <w:rsid w:val="7F9978A1"/>
    <w:rsid w:val="7F9C2283"/>
    <w:rsid w:val="7F9F5B66"/>
    <w:rsid w:val="7FA51862"/>
    <w:rsid w:val="7FB47F73"/>
    <w:rsid w:val="7FB61109"/>
    <w:rsid w:val="7FD75502"/>
    <w:rsid w:val="7FDC6271"/>
    <w:rsid w:val="7FE55C2D"/>
    <w:rsid w:val="7FF22503"/>
    <w:rsid w:val="7FF81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7"/>
    <w:qFormat/>
    <w:uiPriority w:val="0"/>
    <w:pPr>
      <w:keepNext/>
      <w:keepLines/>
      <w:jc w:val="left"/>
      <w:outlineLvl w:val="3"/>
    </w:pPr>
    <w:rPr>
      <w:rFonts w:hint="eastAsia" w:ascii="Arial" w:hAnsi="Arial" w:eastAsia="宋体" w:cs="Times New Roman"/>
      <w:b/>
      <w:sz w:val="32"/>
    </w:rPr>
  </w:style>
  <w:style w:type="paragraph" w:styleId="8">
    <w:name w:val="heading 5"/>
    <w:basedOn w:val="1"/>
    <w:next w:val="1"/>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sz w:val="28"/>
    </w:rPr>
  </w:style>
  <w:style w:type="paragraph" w:styleId="9">
    <w:name w:val="heading 6"/>
    <w:basedOn w:val="1"/>
    <w:next w:val="1"/>
    <w:semiHidden/>
    <w:unhideWhenUsed/>
    <w:qFormat/>
    <w:uiPriority w:val="0"/>
    <w:pPr>
      <w:spacing w:line="17" w:lineRule="atLeast"/>
      <w:jc w:val="left"/>
      <w:outlineLvl w:val="5"/>
    </w:pPr>
    <w:rPr>
      <w:rFonts w:hint="eastAsia" w:ascii="宋体" w:hAnsi="宋体" w:eastAsia="宋体" w:cs="Times New Roman"/>
      <w:b/>
      <w:kern w:val="0"/>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7">
    <w:name w:val="Normal Indent"/>
    <w:basedOn w:val="1"/>
    <w:next w:val="1"/>
    <w:qFormat/>
    <w:uiPriority w:val="0"/>
    <w:pPr>
      <w:ind w:firstLine="420"/>
    </w:pPr>
    <w:rPr>
      <w:rFonts w:ascii="Times New Roman" w:hAnsi="Times New Roman"/>
      <w:sz w:val="21"/>
    </w:rPr>
  </w:style>
  <w:style w:type="paragraph" w:styleId="10">
    <w:name w:val="annotation text"/>
    <w:basedOn w:val="1"/>
    <w:qFormat/>
    <w:uiPriority w:val="0"/>
    <w:pPr>
      <w:jc w:val="left"/>
    </w:pPr>
  </w:style>
  <w:style w:type="paragraph" w:styleId="11">
    <w:name w:val="Body Text Indent"/>
    <w:basedOn w:val="1"/>
    <w:next w:val="12"/>
    <w:qFormat/>
    <w:uiPriority w:val="0"/>
    <w:pPr>
      <w:ind w:left="420" w:leftChars="200"/>
    </w:pPr>
  </w:style>
  <w:style w:type="paragraph" w:customStyle="1" w:styleId="1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Block Text"/>
    <w:basedOn w:val="1"/>
    <w:qFormat/>
    <w:uiPriority w:val="0"/>
    <w:pPr>
      <w:ind w:left="1440" w:leftChars="700" w:right="700" w:rightChars="700"/>
    </w:pPr>
    <w:rPr>
      <w:rFonts w:ascii="Times New Roman" w:hAnsi="Times New Roman" w:eastAsia="宋体" w:cs="Times New Roman"/>
    </w:rPr>
  </w:style>
  <w:style w:type="paragraph" w:styleId="14">
    <w:name w:val="toc 3"/>
    <w:basedOn w:val="1"/>
    <w:next w:val="1"/>
    <w:qFormat/>
    <w:uiPriority w:val="0"/>
    <w:pPr>
      <w:spacing w:before="312" w:beforeLines="100" w:beforeAutospacing="0" w:line="360" w:lineRule="auto"/>
      <w:ind w:left="480" w:firstLine="480" w:firstLineChars="200"/>
      <w:jc w:val="left"/>
    </w:pPr>
    <w:rPr>
      <w:rFonts w:ascii="Times New Roman" w:hAnsi="Times New Roman" w:eastAsia="宋体" w:cs="Times New Roman"/>
      <w:i/>
      <w:sz w:val="24"/>
    </w:rPr>
  </w:style>
  <w:style w:type="paragraph" w:styleId="15">
    <w:name w:val="Plain Text"/>
    <w:basedOn w:val="1"/>
    <w:qFormat/>
    <w:uiPriority w:val="0"/>
    <w:rPr>
      <w:rFonts w:ascii="宋体" w:hAnsi="Courier New" w:eastAsia="宋体"/>
      <w:sz w:val="21"/>
    </w:rPr>
  </w:style>
  <w:style w:type="paragraph" w:styleId="16">
    <w:name w:val="Date"/>
    <w:basedOn w:val="1"/>
    <w:next w:val="1"/>
    <w:qFormat/>
    <w:uiPriority w:val="0"/>
    <w:rPr>
      <w:szCs w:val="20"/>
    </w:rPr>
  </w:style>
  <w:style w:type="paragraph" w:styleId="17">
    <w:name w:val="footer"/>
    <w:basedOn w:val="1"/>
    <w:next w:val="1"/>
    <w:qFormat/>
    <w:uiPriority w:val="0"/>
    <w:pPr>
      <w:tabs>
        <w:tab w:val="center" w:pos="4153"/>
        <w:tab w:val="right" w:pos="8306"/>
      </w:tabs>
      <w:snapToGrid w:val="0"/>
      <w:jc w:val="left"/>
    </w:pPr>
    <w:rPr>
      <w:rFonts w:eastAsia="宋体"/>
      <w:sz w:val="18"/>
      <w:szCs w:val="18"/>
    </w:rPr>
  </w:style>
  <w:style w:type="paragraph" w:styleId="18">
    <w:name w:val="header"/>
    <w:basedOn w:val="1"/>
    <w:link w:val="16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 w:val="21"/>
      <w:szCs w:val="24"/>
    </w:rPr>
  </w:style>
  <w:style w:type="paragraph" w:styleId="20">
    <w:name w:val="toc 2"/>
    <w:basedOn w:val="1"/>
    <w:next w:val="1"/>
    <w:qFormat/>
    <w:uiPriority w:val="0"/>
    <w:pPr>
      <w:ind w:left="420" w:leftChars="200"/>
    </w:pPr>
    <w:rPr>
      <w:sz w:val="21"/>
      <w:szCs w:val="24"/>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22">
    <w:name w:val="Normal (Web)"/>
    <w:basedOn w:val="1"/>
    <w:next w:val="1"/>
    <w:qFormat/>
    <w:uiPriority w:val="0"/>
    <w:pPr>
      <w:jc w:val="left"/>
    </w:pPr>
    <w:rPr>
      <w:rFonts w:cs="Times New Roman"/>
      <w:kern w:val="0"/>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2"/>
    <w:unhideWhenUsed/>
    <w:qFormat/>
    <w:uiPriority w:val="99"/>
    <w:pPr>
      <w:ind w:firstLine="420" w:firstLineChars="100"/>
    </w:pPr>
  </w:style>
  <w:style w:type="paragraph" w:styleId="25">
    <w:name w:val="Body Text First Indent 2"/>
    <w:basedOn w:val="11"/>
    <w:qFormat/>
    <w:uiPriority w:val="0"/>
    <w:pPr>
      <w:tabs>
        <w:tab w:val="left" w:pos="4900"/>
      </w:tabs>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yperlink"/>
    <w:basedOn w:val="28"/>
    <w:qFormat/>
    <w:uiPriority w:val="0"/>
    <w:rPr>
      <w:rFonts w:ascii="宋体" w:hAnsi="宋体" w:eastAsia="宋体"/>
      <w:b/>
      <w:color w:val="0000FF"/>
      <w:kern w:val="2"/>
      <w:sz w:val="24"/>
      <w:szCs w:val="24"/>
      <w:u w:val="single"/>
      <w:lang w:val="en-US" w:eastAsia="zh-CN" w:bidi="ar-SA"/>
    </w:rPr>
  </w:style>
  <w:style w:type="character" w:styleId="35">
    <w:name w:val="HTML Code"/>
    <w:basedOn w:val="28"/>
    <w:qFormat/>
    <w:uiPriority w:val="0"/>
    <w:rPr>
      <w:rFonts w:hint="default" w:ascii="Menlo" w:hAnsi="Menlo" w:eastAsia="Menlo" w:cs="Menlo"/>
      <w:color w:val="C7254E"/>
      <w:sz w:val="21"/>
      <w:szCs w:val="21"/>
      <w:shd w:val="clear" w:color="auto" w:fill="F9F2F4"/>
    </w:rPr>
  </w:style>
  <w:style w:type="character" w:styleId="36">
    <w:name w:val="HTML Keyboard"/>
    <w:basedOn w:val="28"/>
    <w:qFormat/>
    <w:uiPriority w:val="0"/>
    <w:rPr>
      <w:rFonts w:ascii="Menlo" w:hAnsi="Menlo" w:eastAsia="Menlo" w:cs="Menlo"/>
      <w:color w:val="FFFFFF"/>
      <w:sz w:val="21"/>
      <w:szCs w:val="21"/>
      <w:shd w:val="clear" w:color="auto" w:fill="333333"/>
    </w:rPr>
  </w:style>
  <w:style w:type="character" w:styleId="37">
    <w:name w:val="HTML Sample"/>
    <w:basedOn w:val="28"/>
    <w:qFormat/>
    <w:uiPriority w:val="0"/>
    <w:rPr>
      <w:rFonts w:hint="default" w:ascii="Menlo" w:hAnsi="Menlo" w:eastAsia="Menlo" w:cs="Menlo"/>
      <w:sz w:val="21"/>
      <w:szCs w:val="21"/>
    </w:rPr>
  </w:style>
  <w:style w:type="paragraph" w:customStyle="1" w:styleId="38">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39">
    <w:name w:val="段"/>
    <w:next w:val="1"/>
    <w:qFormat/>
    <w:uiPriority w:val="99"/>
    <w:pPr>
      <w:tabs>
        <w:tab w:val="center" w:pos="4201"/>
        <w:tab w:val="right" w:leader="dot" w:pos="9298"/>
      </w:tabs>
      <w:autoSpaceDE w:val="0"/>
      <w:autoSpaceDN w:val="0"/>
      <w:spacing w:line="360" w:lineRule="auto"/>
      <w:ind w:firstLine="420" w:firstLineChars="200"/>
      <w:jc w:val="both"/>
    </w:pPr>
    <w:rPr>
      <w:rFonts w:ascii="宋体" w:hAnsi="宋体" w:eastAsia="仿宋" w:cs="Times New Roman"/>
      <w:sz w:val="28"/>
      <w:lang w:val="en-US" w:eastAsia="zh-CN" w:bidi="ar-SA"/>
    </w:rPr>
  </w:style>
  <w:style w:type="paragraph" w:customStyle="1" w:styleId="40">
    <w:name w:val="列出段落1"/>
    <w:basedOn w:val="1"/>
    <w:qFormat/>
    <w:uiPriority w:val="0"/>
    <w:pPr>
      <w:ind w:firstLine="420" w:firstLineChars="200"/>
    </w:pPr>
    <w:rPr>
      <w:rFonts w:ascii="Calibri" w:hAnsi="Calibri" w:cs="黑体"/>
    </w:rPr>
  </w:style>
  <w:style w:type="paragraph" w:customStyle="1" w:styleId="41">
    <w:name w:val="正文缩进1"/>
    <w:basedOn w:val="1"/>
    <w:qFormat/>
    <w:uiPriority w:val="0"/>
    <w:pPr>
      <w:ind w:firstLine="420" w:firstLineChars="200"/>
    </w:pPr>
  </w:style>
  <w:style w:type="paragraph" w:customStyle="1" w:styleId="42">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43">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44">
    <w:name w:val="p15"/>
    <w:basedOn w:val="1"/>
    <w:qFormat/>
    <w:uiPriority w:val="99"/>
    <w:pPr>
      <w:widowControl/>
    </w:pPr>
    <w:rPr>
      <w:kern w:val="0"/>
      <w:sz w:val="21"/>
      <w:szCs w:val="21"/>
    </w:rPr>
  </w:style>
  <w:style w:type="paragraph" w:customStyle="1" w:styleId="45">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6">
    <w:name w:val="old"/>
    <w:basedOn w:val="28"/>
    <w:qFormat/>
    <w:uiPriority w:val="0"/>
    <w:rPr>
      <w:color w:val="999999"/>
    </w:rPr>
  </w:style>
  <w:style w:type="character" w:customStyle="1" w:styleId="47">
    <w:name w:val="hover3"/>
    <w:basedOn w:val="28"/>
    <w:qFormat/>
    <w:uiPriority w:val="0"/>
    <w:rPr>
      <w:shd w:val="clear" w:color="auto" w:fill="EEEEEE"/>
    </w:rPr>
  </w:style>
  <w:style w:type="character" w:customStyle="1" w:styleId="48">
    <w:name w:val="glyphicon4"/>
    <w:basedOn w:val="28"/>
    <w:qFormat/>
    <w:uiPriority w:val="0"/>
  </w:style>
  <w:style w:type="character" w:customStyle="1" w:styleId="49">
    <w:name w:val="hour_am"/>
    <w:basedOn w:val="28"/>
    <w:qFormat/>
    <w:uiPriority w:val="0"/>
  </w:style>
  <w:style w:type="character" w:customStyle="1" w:styleId="50">
    <w:name w:val="hour_pm"/>
    <w:basedOn w:val="28"/>
    <w:qFormat/>
    <w:uiPriority w:val="0"/>
  </w:style>
  <w:style w:type="character" w:customStyle="1" w:styleId="51">
    <w:name w:val="button"/>
    <w:basedOn w:val="28"/>
    <w:qFormat/>
    <w:uiPriority w:val="0"/>
  </w:style>
  <w:style w:type="character" w:customStyle="1" w:styleId="52">
    <w:name w:val="tmpztreemove_arrow"/>
    <w:basedOn w:val="28"/>
    <w:qFormat/>
    <w:uiPriority w:val="0"/>
    <w:rPr>
      <w:shd w:val="clear" w:color="auto" w:fill="FFFFFF"/>
    </w:rPr>
  </w:style>
  <w:style w:type="character" w:customStyle="1" w:styleId="53">
    <w:name w:val="indent"/>
    <w:basedOn w:val="28"/>
    <w:qFormat/>
    <w:uiPriority w:val="0"/>
  </w:style>
  <w:style w:type="paragraph" w:customStyle="1" w:styleId="54">
    <w:name w:val="title1"/>
    <w:basedOn w:val="1"/>
    <w:qFormat/>
    <w:uiPriority w:val="0"/>
    <w:pPr>
      <w:spacing w:before="150" w:line="450" w:lineRule="atLeast"/>
      <w:jc w:val="left"/>
    </w:pPr>
    <w:rPr>
      <w:rFonts w:cs="Times New Roman"/>
      <w:b/>
      <w:kern w:val="0"/>
      <w:szCs w:val="24"/>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列出段落2"/>
    <w:basedOn w:val="1"/>
    <w:qFormat/>
    <w:uiPriority w:val="34"/>
    <w:pPr>
      <w:ind w:firstLine="420" w:firstLineChars="200"/>
    </w:pPr>
  </w:style>
  <w:style w:type="paragraph" w:customStyle="1" w:styleId="57">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8">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color="000000"/>
      <w:lang w:val="en-US" w:eastAsia="zh-CN" w:bidi="ar-SA"/>
    </w:rPr>
  </w:style>
  <w:style w:type="character" w:customStyle="1" w:styleId="59">
    <w:name w:val="NormalCharacter"/>
    <w:qFormat/>
    <w:uiPriority w:val="0"/>
  </w:style>
  <w:style w:type="paragraph" w:customStyle="1" w:styleId="60">
    <w:name w:val="Table Paragraph"/>
    <w:basedOn w:val="1"/>
    <w:qFormat/>
    <w:uiPriority w:val="1"/>
    <w:pPr>
      <w:autoSpaceDE w:val="0"/>
      <w:autoSpaceDN w:val="0"/>
      <w:spacing w:before="137"/>
      <w:ind w:left="108"/>
      <w:jc w:val="center"/>
    </w:pPr>
    <w:rPr>
      <w:rFonts w:ascii="宋体" w:hAnsi="宋体" w:cs="宋体"/>
      <w:kern w:val="0"/>
      <w:sz w:val="22"/>
      <w:lang w:val="zh-CN" w:bidi="zh-CN"/>
    </w:rPr>
  </w:style>
  <w:style w:type="paragraph" w:customStyle="1" w:styleId="61">
    <w:name w:val="彩色列表 - 强调文字颜色 11"/>
    <w:basedOn w:val="1"/>
    <w:qFormat/>
    <w:uiPriority w:val="34"/>
    <w:pPr>
      <w:ind w:firstLine="420" w:firstLineChars="200"/>
    </w:pPr>
    <w:rPr>
      <w:rFonts w:ascii="Calibri" w:hAnsi="Calibri"/>
    </w:rPr>
  </w:style>
  <w:style w:type="character" w:customStyle="1" w:styleId="62">
    <w:name w:val="font01"/>
    <w:basedOn w:val="28"/>
    <w:qFormat/>
    <w:uiPriority w:val="0"/>
    <w:rPr>
      <w:rFonts w:hint="default" w:ascii="Arial" w:hAnsi="Arial" w:cs="Arial"/>
      <w:color w:val="000000"/>
      <w:sz w:val="22"/>
      <w:szCs w:val="22"/>
      <w:u w:val="none"/>
    </w:rPr>
  </w:style>
  <w:style w:type="character" w:customStyle="1" w:styleId="63">
    <w:name w:val="font41"/>
    <w:basedOn w:val="28"/>
    <w:qFormat/>
    <w:uiPriority w:val="0"/>
    <w:rPr>
      <w:rFonts w:hint="default" w:ascii="Arial" w:hAnsi="Arial" w:cs="Arial"/>
      <w:color w:val="000000"/>
      <w:sz w:val="22"/>
      <w:szCs w:val="22"/>
      <w:u w:val="none"/>
    </w:rPr>
  </w:style>
  <w:style w:type="character" w:customStyle="1" w:styleId="64">
    <w:name w:val="font101"/>
    <w:basedOn w:val="28"/>
    <w:qFormat/>
    <w:uiPriority w:val="0"/>
    <w:rPr>
      <w:rFonts w:ascii="Arial" w:hAnsi="Arial" w:cs="Arial"/>
      <w:color w:val="000000"/>
      <w:sz w:val="20"/>
      <w:szCs w:val="20"/>
      <w:u w:val="none"/>
    </w:rPr>
  </w:style>
  <w:style w:type="character" w:customStyle="1" w:styleId="65">
    <w:name w:val="font61"/>
    <w:basedOn w:val="28"/>
    <w:qFormat/>
    <w:uiPriority w:val="0"/>
    <w:rPr>
      <w:rFonts w:hint="eastAsia" w:ascii="仿宋" w:hAnsi="仿宋" w:eastAsia="仿宋" w:cs="仿宋"/>
      <w:color w:val="000000"/>
      <w:sz w:val="20"/>
      <w:szCs w:val="20"/>
      <w:u w:val="none"/>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标题 5（有编号）（绿盟科技）"/>
    <w:basedOn w:val="1"/>
    <w:next w:val="68"/>
    <w:qFormat/>
    <w:uiPriority w:val="0"/>
    <w:pPr>
      <w:keepNext/>
      <w:keepLines/>
      <w:numPr>
        <w:ilvl w:val="4"/>
        <w:numId w:val="1"/>
      </w:numPr>
      <w:spacing w:before="280" w:after="156" w:line="377" w:lineRule="auto"/>
      <w:outlineLvl w:val="4"/>
    </w:pPr>
    <w:rPr>
      <w:rFonts w:eastAsia="黑体"/>
      <w:b/>
      <w:szCs w:val="28"/>
    </w:rPr>
  </w:style>
  <w:style w:type="paragraph" w:customStyle="1" w:styleId="68">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9">
    <w:name w:val="font11"/>
    <w:basedOn w:val="28"/>
    <w:qFormat/>
    <w:uiPriority w:val="0"/>
    <w:rPr>
      <w:rFonts w:hint="eastAsia" w:ascii="宋体" w:hAnsi="宋体" w:eastAsia="宋体" w:cs="宋体"/>
      <w:color w:val="000000"/>
      <w:sz w:val="22"/>
      <w:szCs w:val="22"/>
      <w:u w:val="none"/>
    </w:rPr>
  </w:style>
  <w:style w:type="character" w:customStyle="1" w:styleId="70">
    <w:name w:val="nth-of-type(1)"/>
    <w:basedOn w:val="28"/>
    <w:qFormat/>
    <w:uiPriority w:val="0"/>
  </w:style>
  <w:style w:type="character" w:customStyle="1" w:styleId="71">
    <w:name w:val="nth-of-type(1)1"/>
    <w:basedOn w:val="28"/>
    <w:qFormat/>
    <w:uiPriority w:val="0"/>
  </w:style>
  <w:style w:type="character" w:customStyle="1" w:styleId="72">
    <w:name w:val="nth-of-type(1)2"/>
    <w:basedOn w:val="28"/>
    <w:qFormat/>
    <w:uiPriority w:val="0"/>
  </w:style>
  <w:style w:type="character" w:customStyle="1" w:styleId="73">
    <w:name w:val="nth-of-type(1)3"/>
    <w:basedOn w:val="28"/>
    <w:qFormat/>
    <w:uiPriority w:val="0"/>
  </w:style>
  <w:style w:type="character" w:customStyle="1" w:styleId="74">
    <w:name w:val="nth-of-type(1)4"/>
    <w:basedOn w:val="28"/>
    <w:qFormat/>
    <w:uiPriority w:val="0"/>
  </w:style>
  <w:style w:type="character" w:customStyle="1" w:styleId="75">
    <w:name w:val="nth-of-type(1)5"/>
    <w:basedOn w:val="28"/>
    <w:qFormat/>
    <w:uiPriority w:val="0"/>
  </w:style>
  <w:style w:type="character" w:customStyle="1" w:styleId="76">
    <w:name w:val="nth-of-type(1)6"/>
    <w:basedOn w:val="28"/>
    <w:qFormat/>
    <w:uiPriority w:val="0"/>
    <w:rPr>
      <w:rFonts w:ascii="SourceHanSansCN-Regular" w:hAnsi="SourceHanSansCN-Regular" w:eastAsia="SourceHanSansCN-Regular" w:cs="SourceHanSansCN-Regular"/>
      <w:color w:val="FB560A"/>
      <w:sz w:val="21"/>
      <w:szCs w:val="21"/>
    </w:rPr>
  </w:style>
  <w:style w:type="character" w:customStyle="1" w:styleId="77">
    <w:name w:val="nth-of-type(1)7"/>
    <w:basedOn w:val="28"/>
    <w:qFormat/>
    <w:uiPriority w:val="0"/>
  </w:style>
  <w:style w:type="character" w:customStyle="1" w:styleId="78">
    <w:name w:val="nth-of-type(1)8"/>
    <w:basedOn w:val="28"/>
    <w:qFormat/>
    <w:uiPriority w:val="0"/>
  </w:style>
  <w:style w:type="character" w:customStyle="1" w:styleId="79">
    <w:name w:val="nth-of-type(1)9"/>
    <w:basedOn w:val="28"/>
    <w:qFormat/>
    <w:uiPriority w:val="0"/>
  </w:style>
  <w:style w:type="character" w:customStyle="1" w:styleId="80">
    <w:name w:val="nth-of-type(1)10"/>
    <w:basedOn w:val="28"/>
    <w:qFormat/>
    <w:uiPriority w:val="0"/>
  </w:style>
  <w:style w:type="character" w:customStyle="1" w:styleId="81">
    <w:name w:val="nth-of-type(1)11"/>
    <w:basedOn w:val="28"/>
    <w:qFormat/>
    <w:uiPriority w:val="0"/>
  </w:style>
  <w:style w:type="character" w:customStyle="1" w:styleId="82">
    <w:name w:val="nth-of-type(1)12"/>
    <w:basedOn w:val="28"/>
    <w:qFormat/>
    <w:uiPriority w:val="0"/>
  </w:style>
  <w:style w:type="character" w:customStyle="1" w:styleId="83">
    <w:name w:val="nth-of-type(1)13"/>
    <w:basedOn w:val="28"/>
    <w:qFormat/>
    <w:uiPriority w:val="0"/>
    <w:rPr>
      <w:sz w:val="21"/>
      <w:szCs w:val="21"/>
    </w:rPr>
  </w:style>
  <w:style w:type="character" w:customStyle="1" w:styleId="84">
    <w:name w:val="nth-of-type(1)14"/>
    <w:basedOn w:val="28"/>
    <w:qFormat/>
    <w:uiPriority w:val="0"/>
  </w:style>
  <w:style w:type="character" w:customStyle="1" w:styleId="85">
    <w:name w:val="nth-of-type(1)15"/>
    <w:basedOn w:val="28"/>
    <w:qFormat/>
    <w:uiPriority w:val="0"/>
  </w:style>
  <w:style w:type="character" w:customStyle="1" w:styleId="86">
    <w:name w:val="nth-of-type(1)16"/>
    <w:basedOn w:val="28"/>
    <w:qFormat/>
    <w:uiPriority w:val="0"/>
  </w:style>
  <w:style w:type="character" w:customStyle="1" w:styleId="87">
    <w:name w:val="nth-of-type(1)17"/>
    <w:basedOn w:val="28"/>
    <w:qFormat/>
    <w:uiPriority w:val="0"/>
  </w:style>
  <w:style w:type="character" w:customStyle="1" w:styleId="88">
    <w:name w:val="nth-of-type(1)18"/>
    <w:basedOn w:val="28"/>
    <w:qFormat/>
    <w:uiPriority w:val="0"/>
  </w:style>
  <w:style w:type="character" w:customStyle="1" w:styleId="89">
    <w:name w:val="hover25"/>
    <w:basedOn w:val="28"/>
    <w:qFormat/>
    <w:uiPriority w:val="0"/>
    <w:rPr>
      <w:color w:val="167AE0"/>
    </w:rPr>
  </w:style>
  <w:style w:type="character" w:customStyle="1" w:styleId="90">
    <w:name w:val="layui-this"/>
    <w:basedOn w:val="28"/>
    <w:qFormat/>
    <w:uiPriority w:val="0"/>
    <w:rPr>
      <w:bdr w:val="single" w:color="EEEEEE" w:sz="6" w:space="0"/>
      <w:shd w:val="clear" w:color="auto" w:fill="FFFFFF"/>
    </w:rPr>
  </w:style>
  <w:style w:type="character" w:customStyle="1" w:styleId="91">
    <w:name w:val="nth-of-type(5)"/>
    <w:basedOn w:val="28"/>
    <w:qFormat/>
    <w:uiPriority w:val="0"/>
  </w:style>
  <w:style w:type="character" w:customStyle="1" w:styleId="92">
    <w:name w:val="nth-of-type(5)1"/>
    <w:basedOn w:val="28"/>
    <w:qFormat/>
    <w:uiPriority w:val="0"/>
  </w:style>
  <w:style w:type="character" w:customStyle="1" w:styleId="93">
    <w:name w:val="nth-of-type(5)2"/>
    <w:basedOn w:val="28"/>
    <w:qFormat/>
    <w:uiPriority w:val="0"/>
  </w:style>
  <w:style w:type="character" w:customStyle="1" w:styleId="94">
    <w:name w:val="nth-of-type(5)3"/>
    <w:basedOn w:val="28"/>
    <w:qFormat/>
    <w:uiPriority w:val="0"/>
  </w:style>
  <w:style w:type="character" w:customStyle="1" w:styleId="95">
    <w:name w:val="nth-of-type(5)4"/>
    <w:basedOn w:val="28"/>
    <w:qFormat/>
    <w:uiPriority w:val="0"/>
    <w:rPr>
      <w:sz w:val="21"/>
      <w:szCs w:val="21"/>
    </w:rPr>
  </w:style>
  <w:style w:type="character" w:customStyle="1" w:styleId="96">
    <w:name w:val="nth-of-type(5)5"/>
    <w:basedOn w:val="28"/>
    <w:qFormat/>
    <w:uiPriority w:val="0"/>
  </w:style>
  <w:style w:type="character" w:customStyle="1" w:styleId="97">
    <w:name w:val="nth-of-type(5)6"/>
    <w:basedOn w:val="28"/>
    <w:qFormat/>
    <w:uiPriority w:val="0"/>
  </w:style>
  <w:style w:type="character" w:customStyle="1" w:styleId="98">
    <w:name w:val="nth-of-type(2)"/>
    <w:basedOn w:val="28"/>
    <w:qFormat/>
    <w:uiPriority w:val="0"/>
  </w:style>
  <w:style w:type="character" w:customStyle="1" w:styleId="99">
    <w:name w:val="nth-of-type(2)1"/>
    <w:basedOn w:val="28"/>
    <w:qFormat/>
    <w:uiPriority w:val="0"/>
  </w:style>
  <w:style w:type="character" w:customStyle="1" w:styleId="100">
    <w:name w:val="nth-of-type(2)2"/>
    <w:basedOn w:val="28"/>
    <w:qFormat/>
    <w:uiPriority w:val="0"/>
  </w:style>
  <w:style w:type="character" w:customStyle="1" w:styleId="101">
    <w:name w:val="nth-of-type(2)3"/>
    <w:basedOn w:val="28"/>
    <w:qFormat/>
    <w:uiPriority w:val="0"/>
  </w:style>
  <w:style w:type="character" w:customStyle="1" w:styleId="102">
    <w:name w:val="nth-of-type(2)4"/>
    <w:basedOn w:val="28"/>
    <w:qFormat/>
    <w:uiPriority w:val="0"/>
  </w:style>
  <w:style w:type="character" w:customStyle="1" w:styleId="103">
    <w:name w:val="nth-of-type(2)5"/>
    <w:basedOn w:val="28"/>
    <w:qFormat/>
    <w:uiPriority w:val="0"/>
  </w:style>
  <w:style w:type="character" w:customStyle="1" w:styleId="104">
    <w:name w:val="nth-of-type(2)6"/>
    <w:basedOn w:val="28"/>
    <w:qFormat/>
    <w:uiPriority w:val="0"/>
  </w:style>
  <w:style w:type="character" w:customStyle="1" w:styleId="105">
    <w:name w:val="nth-of-type(2)7"/>
    <w:basedOn w:val="28"/>
    <w:qFormat/>
    <w:uiPriority w:val="0"/>
  </w:style>
  <w:style w:type="character" w:customStyle="1" w:styleId="106">
    <w:name w:val="nth-of-type(2)8"/>
    <w:basedOn w:val="28"/>
    <w:qFormat/>
    <w:uiPriority w:val="0"/>
  </w:style>
  <w:style w:type="character" w:customStyle="1" w:styleId="107">
    <w:name w:val="nth-of-type(2)9"/>
    <w:basedOn w:val="28"/>
    <w:qFormat/>
    <w:uiPriority w:val="0"/>
  </w:style>
  <w:style w:type="character" w:customStyle="1" w:styleId="108">
    <w:name w:val="nth-of-type(2)10"/>
    <w:basedOn w:val="28"/>
    <w:qFormat/>
    <w:uiPriority w:val="0"/>
    <w:rPr>
      <w:sz w:val="21"/>
      <w:szCs w:val="21"/>
    </w:rPr>
  </w:style>
  <w:style w:type="character" w:customStyle="1" w:styleId="109">
    <w:name w:val="nth-of-type(2)11"/>
    <w:basedOn w:val="28"/>
    <w:qFormat/>
    <w:uiPriority w:val="0"/>
  </w:style>
  <w:style w:type="character" w:customStyle="1" w:styleId="110">
    <w:name w:val="nth-of-type(2)12"/>
    <w:basedOn w:val="28"/>
    <w:qFormat/>
    <w:uiPriority w:val="0"/>
  </w:style>
  <w:style w:type="character" w:customStyle="1" w:styleId="111">
    <w:name w:val="nth-of-type(2)13"/>
    <w:basedOn w:val="28"/>
    <w:qFormat/>
    <w:uiPriority w:val="0"/>
  </w:style>
  <w:style w:type="character" w:customStyle="1" w:styleId="112">
    <w:name w:val="nth-of-type(2)14"/>
    <w:basedOn w:val="28"/>
    <w:qFormat/>
    <w:uiPriority w:val="0"/>
  </w:style>
  <w:style w:type="character" w:customStyle="1" w:styleId="113">
    <w:name w:val="before2"/>
    <w:basedOn w:val="28"/>
    <w:qFormat/>
    <w:uiPriority w:val="0"/>
    <w:rPr>
      <w:shd w:val="clear" w:color="auto" w:fill="C20E0C"/>
    </w:rPr>
  </w:style>
  <w:style w:type="character" w:customStyle="1" w:styleId="114">
    <w:name w:val="nth-of-type(4)"/>
    <w:basedOn w:val="28"/>
    <w:qFormat/>
    <w:uiPriority w:val="0"/>
  </w:style>
  <w:style w:type="character" w:customStyle="1" w:styleId="115">
    <w:name w:val="nth-of-type(4)1"/>
    <w:basedOn w:val="28"/>
    <w:qFormat/>
    <w:uiPriority w:val="0"/>
  </w:style>
  <w:style w:type="character" w:customStyle="1" w:styleId="116">
    <w:name w:val="nth-of-type(4)2"/>
    <w:basedOn w:val="28"/>
    <w:qFormat/>
    <w:uiPriority w:val="0"/>
  </w:style>
  <w:style w:type="character" w:customStyle="1" w:styleId="117">
    <w:name w:val="nth-of-type(4)3"/>
    <w:basedOn w:val="28"/>
    <w:qFormat/>
    <w:uiPriority w:val="0"/>
  </w:style>
  <w:style w:type="character" w:customStyle="1" w:styleId="118">
    <w:name w:val="nth-of-type(4)4"/>
    <w:basedOn w:val="28"/>
    <w:qFormat/>
    <w:uiPriority w:val="0"/>
    <w:rPr>
      <w:sz w:val="21"/>
      <w:szCs w:val="21"/>
    </w:rPr>
  </w:style>
  <w:style w:type="character" w:customStyle="1" w:styleId="119">
    <w:name w:val="nth-of-type(4)5"/>
    <w:basedOn w:val="28"/>
    <w:qFormat/>
    <w:uiPriority w:val="0"/>
  </w:style>
  <w:style w:type="character" w:customStyle="1" w:styleId="120">
    <w:name w:val="nth-of-type(4)6"/>
    <w:basedOn w:val="28"/>
    <w:qFormat/>
    <w:uiPriority w:val="0"/>
  </w:style>
  <w:style w:type="character" w:customStyle="1" w:styleId="121">
    <w:name w:val="nth-of-type(4)7"/>
    <w:basedOn w:val="28"/>
    <w:qFormat/>
    <w:uiPriority w:val="0"/>
  </w:style>
  <w:style w:type="character" w:customStyle="1" w:styleId="122">
    <w:name w:val="nth-of-type(4)8"/>
    <w:basedOn w:val="28"/>
    <w:qFormat/>
    <w:uiPriority w:val="0"/>
  </w:style>
  <w:style w:type="character" w:customStyle="1" w:styleId="123">
    <w:name w:val="nth-of-type(6)"/>
    <w:basedOn w:val="28"/>
    <w:qFormat/>
    <w:uiPriority w:val="0"/>
  </w:style>
  <w:style w:type="character" w:customStyle="1" w:styleId="124">
    <w:name w:val="nth-of-type(6)1"/>
    <w:basedOn w:val="28"/>
    <w:qFormat/>
    <w:uiPriority w:val="0"/>
    <w:rPr>
      <w:color w:val="0082DF"/>
    </w:rPr>
  </w:style>
  <w:style w:type="character" w:customStyle="1" w:styleId="125">
    <w:name w:val="nth-of-type(6)2"/>
    <w:basedOn w:val="28"/>
    <w:qFormat/>
    <w:uiPriority w:val="0"/>
  </w:style>
  <w:style w:type="character" w:customStyle="1" w:styleId="126">
    <w:name w:val="nth-of-type(6)3"/>
    <w:basedOn w:val="28"/>
    <w:qFormat/>
    <w:uiPriority w:val="0"/>
  </w:style>
  <w:style w:type="character" w:customStyle="1" w:styleId="127">
    <w:name w:val="nth-of-type(6)4"/>
    <w:basedOn w:val="28"/>
    <w:qFormat/>
    <w:uiPriority w:val="0"/>
  </w:style>
  <w:style w:type="character" w:customStyle="1" w:styleId="128">
    <w:name w:val="nth-of-type(6)5"/>
    <w:basedOn w:val="28"/>
    <w:qFormat/>
    <w:uiPriority w:val="0"/>
  </w:style>
  <w:style w:type="character" w:customStyle="1" w:styleId="129">
    <w:name w:val="nth-of-type(8)"/>
    <w:basedOn w:val="28"/>
    <w:qFormat/>
    <w:uiPriority w:val="0"/>
  </w:style>
  <w:style w:type="character" w:customStyle="1" w:styleId="130">
    <w:name w:val="lineshow"/>
    <w:basedOn w:val="28"/>
    <w:qFormat/>
    <w:uiPriority w:val="0"/>
  </w:style>
  <w:style w:type="character" w:customStyle="1" w:styleId="131">
    <w:name w:val="lineshow1"/>
    <w:basedOn w:val="28"/>
    <w:qFormat/>
    <w:uiPriority w:val="0"/>
  </w:style>
  <w:style w:type="character" w:customStyle="1" w:styleId="132">
    <w:name w:val="nth-child(3)"/>
    <w:basedOn w:val="28"/>
    <w:qFormat/>
    <w:uiPriority w:val="0"/>
  </w:style>
  <w:style w:type="character" w:customStyle="1" w:styleId="133">
    <w:name w:val="nth-of-type(7)"/>
    <w:basedOn w:val="28"/>
    <w:qFormat/>
    <w:uiPriority w:val="0"/>
  </w:style>
  <w:style w:type="character" w:customStyle="1" w:styleId="134">
    <w:name w:val="nth-of-type(7)1"/>
    <w:basedOn w:val="28"/>
    <w:qFormat/>
    <w:uiPriority w:val="0"/>
  </w:style>
  <w:style w:type="character" w:customStyle="1" w:styleId="135">
    <w:name w:val="nth-of-type(7)2"/>
    <w:basedOn w:val="28"/>
    <w:qFormat/>
    <w:uiPriority w:val="0"/>
  </w:style>
  <w:style w:type="character" w:customStyle="1" w:styleId="136">
    <w:name w:val="nth-of-type(3)"/>
    <w:basedOn w:val="28"/>
    <w:qFormat/>
    <w:uiPriority w:val="0"/>
  </w:style>
  <w:style w:type="character" w:customStyle="1" w:styleId="137">
    <w:name w:val="nth-of-type(3)1"/>
    <w:basedOn w:val="28"/>
    <w:qFormat/>
    <w:uiPriority w:val="0"/>
  </w:style>
  <w:style w:type="character" w:customStyle="1" w:styleId="138">
    <w:name w:val="nth-of-type(3)2"/>
    <w:basedOn w:val="28"/>
    <w:qFormat/>
    <w:uiPriority w:val="0"/>
  </w:style>
  <w:style w:type="character" w:customStyle="1" w:styleId="139">
    <w:name w:val="nth-of-type(3)3"/>
    <w:basedOn w:val="28"/>
    <w:qFormat/>
    <w:uiPriority w:val="0"/>
    <w:rPr>
      <w:sz w:val="21"/>
      <w:szCs w:val="21"/>
    </w:rPr>
  </w:style>
  <w:style w:type="character" w:customStyle="1" w:styleId="140">
    <w:name w:val="nth-of-type(3)4"/>
    <w:basedOn w:val="28"/>
    <w:qFormat/>
    <w:uiPriority w:val="0"/>
  </w:style>
  <w:style w:type="character" w:customStyle="1" w:styleId="141">
    <w:name w:val="nth-of-type(3)5"/>
    <w:basedOn w:val="28"/>
    <w:qFormat/>
    <w:uiPriority w:val="0"/>
  </w:style>
  <w:style w:type="character" w:customStyle="1" w:styleId="142">
    <w:name w:val="nth-of-type(3)6"/>
    <w:basedOn w:val="28"/>
    <w:qFormat/>
    <w:uiPriority w:val="0"/>
  </w:style>
  <w:style w:type="character" w:customStyle="1" w:styleId="143">
    <w:name w:val="nth-of-type(3)7"/>
    <w:basedOn w:val="28"/>
    <w:qFormat/>
    <w:uiPriority w:val="0"/>
  </w:style>
  <w:style w:type="character" w:customStyle="1" w:styleId="144">
    <w:name w:val="nth-of-type(9)"/>
    <w:basedOn w:val="28"/>
    <w:qFormat/>
    <w:uiPriority w:val="0"/>
  </w:style>
  <w:style w:type="character" w:customStyle="1" w:styleId="145">
    <w:name w:val="nth-of-type(10)"/>
    <w:basedOn w:val="28"/>
    <w:qFormat/>
    <w:uiPriority w:val="0"/>
  </w:style>
  <w:style w:type="character" w:customStyle="1" w:styleId="146">
    <w:name w:val="titleshow"/>
    <w:basedOn w:val="28"/>
    <w:qFormat/>
    <w:uiPriority w:val="0"/>
    <w:rPr>
      <w:color w:val="3E464C"/>
    </w:rPr>
  </w:style>
  <w:style w:type="character" w:customStyle="1" w:styleId="147">
    <w:name w:val="nth-child(2)"/>
    <w:basedOn w:val="28"/>
    <w:qFormat/>
    <w:uiPriority w:val="0"/>
  </w:style>
  <w:style w:type="character" w:customStyle="1" w:styleId="148">
    <w:name w:val="last-child1"/>
    <w:basedOn w:val="28"/>
    <w:qFormat/>
    <w:uiPriority w:val="0"/>
    <w:rPr>
      <w:color w:val="FFFFFF"/>
    </w:rPr>
  </w:style>
  <w:style w:type="character" w:customStyle="1" w:styleId="149">
    <w:name w:val="last-child2"/>
    <w:basedOn w:val="28"/>
    <w:qFormat/>
    <w:uiPriority w:val="0"/>
  </w:style>
  <w:style w:type="character" w:customStyle="1" w:styleId="150">
    <w:name w:val="last-child3"/>
    <w:basedOn w:val="28"/>
    <w:qFormat/>
    <w:uiPriority w:val="0"/>
  </w:style>
  <w:style w:type="character" w:customStyle="1" w:styleId="151">
    <w:name w:val="nth-child(1)"/>
    <w:basedOn w:val="28"/>
    <w:qFormat/>
    <w:uiPriority w:val="0"/>
  </w:style>
  <w:style w:type="character" w:customStyle="1" w:styleId="152">
    <w:name w:val="first-child1"/>
    <w:basedOn w:val="28"/>
    <w:qFormat/>
    <w:uiPriority w:val="0"/>
  </w:style>
  <w:style w:type="character" w:customStyle="1" w:styleId="153">
    <w:name w:val="first-child2"/>
    <w:basedOn w:val="28"/>
    <w:qFormat/>
    <w:uiPriority w:val="0"/>
  </w:style>
  <w:style w:type="character" w:customStyle="1" w:styleId="154">
    <w:name w:val="first-child3"/>
    <w:basedOn w:val="28"/>
    <w:qFormat/>
    <w:uiPriority w:val="0"/>
  </w:style>
  <w:style w:type="character" w:customStyle="1" w:styleId="155">
    <w:name w:val="first-child4"/>
    <w:basedOn w:val="28"/>
    <w:qFormat/>
    <w:uiPriority w:val="0"/>
  </w:style>
  <w:style w:type="character" w:customStyle="1" w:styleId="156">
    <w:name w:val="layui-laypage-curr"/>
    <w:basedOn w:val="28"/>
    <w:qFormat/>
    <w:uiPriority w:val="0"/>
  </w:style>
  <w:style w:type="character" w:customStyle="1" w:styleId="157">
    <w:name w:val="before"/>
    <w:basedOn w:val="28"/>
    <w:qFormat/>
    <w:uiPriority w:val="0"/>
    <w:rPr>
      <w:shd w:val="clear" w:color="auto" w:fill="C20E0C"/>
    </w:rPr>
  </w:style>
  <w:style w:type="character" w:customStyle="1" w:styleId="158">
    <w:name w:val="layui-this4"/>
    <w:basedOn w:val="28"/>
    <w:qFormat/>
    <w:uiPriority w:val="0"/>
    <w:rPr>
      <w:bdr w:val="single" w:color="EEEEEE" w:sz="6" w:space="0"/>
      <w:shd w:val="clear" w:color="auto" w:fill="FFFFFF"/>
    </w:rPr>
  </w:style>
  <w:style w:type="character" w:customStyle="1" w:styleId="159">
    <w:name w:val="hover26"/>
    <w:basedOn w:val="28"/>
    <w:qFormat/>
    <w:uiPriority w:val="0"/>
    <w:rPr>
      <w:color w:val="167AE0"/>
    </w:rPr>
  </w:style>
  <w:style w:type="character" w:customStyle="1" w:styleId="160">
    <w:name w:val="hover"/>
    <w:basedOn w:val="28"/>
    <w:qFormat/>
    <w:uiPriority w:val="0"/>
  </w:style>
  <w:style w:type="character" w:customStyle="1" w:styleId="161">
    <w:name w:val="hover1"/>
    <w:basedOn w:val="28"/>
    <w:qFormat/>
    <w:uiPriority w:val="0"/>
    <w:rPr>
      <w:color w:val="167AE0"/>
    </w:rPr>
  </w:style>
  <w:style w:type="character" w:customStyle="1" w:styleId="162">
    <w:name w:val="hover24"/>
    <w:basedOn w:val="28"/>
    <w:qFormat/>
    <w:uiPriority w:val="0"/>
    <w:rPr>
      <w:color w:val="167AE0"/>
    </w:rPr>
  </w:style>
  <w:style w:type="character" w:customStyle="1" w:styleId="163">
    <w:name w:val="first-child"/>
    <w:basedOn w:val="28"/>
    <w:qFormat/>
    <w:uiPriority w:val="0"/>
  </w:style>
  <w:style w:type="character" w:customStyle="1" w:styleId="164">
    <w:name w:val="last-child"/>
    <w:basedOn w:val="28"/>
    <w:qFormat/>
    <w:uiPriority w:val="0"/>
  </w:style>
  <w:style w:type="character" w:customStyle="1" w:styleId="165">
    <w:name w:val="nth-of-type(1)19"/>
    <w:basedOn w:val="28"/>
    <w:qFormat/>
    <w:uiPriority w:val="0"/>
  </w:style>
  <w:style w:type="character" w:customStyle="1" w:styleId="166">
    <w:name w:val="font71"/>
    <w:basedOn w:val="28"/>
    <w:qFormat/>
    <w:uiPriority w:val="0"/>
    <w:rPr>
      <w:rFonts w:ascii="Arial" w:hAnsi="Arial" w:cs="Arial"/>
      <w:color w:val="000000"/>
      <w:sz w:val="20"/>
      <w:szCs w:val="20"/>
      <w:u w:val="none"/>
    </w:rPr>
  </w:style>
  <w:style w:type="character" w:customStyle="1" w:styleId="167">
    <w:name w:val="font51"/>
    <w:basedOn w:val="28"/>
    <w:qFormat/>
    <w:uiPriority w:val="0"/>
    <w:rPr>
      <w:rFonts w:hint="default" w:ascii="Times New Roman" w:hAnsi="Times New Roman" w:cs="Times New Roman"/>
      <w:color w:val="000000"/>
      <w:sz w:val="20"/>
      <w:szCs w:val="20"/>
      <w:u w:val="none"/>
    </w:rPr>
  </w:style>
  <w:style w:type="character" w:customStyle="1" w:styleId="168">
    <w:name w:val="页眉 Char"/>
    <w:basedOn w:val="28"/>
    <w:link w:val="18"/>
    <w:qFormat/>
    <w:uiPriority w:val="0"/>
    <w:rPr>
      <w:rFonts w:asciiTheme="minorHAnsi" w:hAnsiTheme="minorHAnsi" w:eastAsiaTheme="minorEastAsia" w:cstheme="minorBidi"/>
      <w:kern w:val="2"/>
      <w:sz w:val="18"/>
      <w:szCs w:val="18"/>
    </w:rPr>
  </w:style>
  <w:style w:type="paragraph" w:customStyle="1" w:styleId="169">
    <w:name w:val="正文内容"/>
    <w:basedOn w:val="1"/>
    <w:qFormat/>
    <w:uiPriority w:val="0"/>
    <w:pPr>
      <w:adjustRightInd w:val="0"/>
      <w:spacing w:line="360" w:lineRule="auto"/>
    </w:pPr>
    <w:rPr>
      <w:rFonts w:eastAsia="宋体"/>
      <w:sz w:val="24"/>
      <w:szCs w:val="20"/>
    </w:rPr>
  </w:style>
  <w:style w:type="character" w:customStyle="1" w:styleId="170">
    <w:name w:val="font21"/>
    <w:basedOn w:val="2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14.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122</Pages>
  <Words>58510</Words>
  <Characters>64768</Characters>
  <Lines>99</Lines>
  <Paragraphs>147</Paragraphs>
  <TotalTime>10</TotalTime>
  <ScaleCrop>false</ScaleCrop>
  <LinksUpToDate>false</LinksUpToDate>
  <CharactersWithSpaces>67452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April</cp:lastModifiedBy>
  <cp:lastPrinted>2021-07-12T06:24:00Z</cp:lastPrinted>
  <dcterms:modified xsi:type="dcterms:W3CDTF">2022-12-27T09:41:28Z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53203384946D4BB9994290F3D83D7A23</vt:lpwstr>
  </property>
  <property fmtid="{D5CDD505-2E9C-101B-9397-08002B2CF9AE}" pid="4" name="commondata">
    <vt:lpwstr>eyJoZGlkIjoiZDA1NjllZTBmZjRkODQ4Yzg1ZWZjMzk1NDljZWE0OWQifQ==</vt:lpwstr>
  </property>
</Properties>
</file>