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drawing>
          <wp:inline distT="0" distB="0" distL="114300" distR="114300">
            <wp:extent cx="5760085" cy="8145780"/>
            <wp:effectExtent l="0" t="0" r="12065" b="7620"/>
            <wp:docPr id="1" name="图片 1" descr="doc11106820220401105010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11106820220401105010_002"/>
                    <pic:cNvPicPr>
                      <a:picLocks noChangeAspect="1"/>
                    </pic:cNvPicPr>
                  </pic:nvPicPr>
                  <pic:blipFill>
                    <a:blip r:embed="rId10"/>
                    <a:stretch>
                      <a:fillRect/>
                    </a:stretch>
                  </pic:blipFill>
                  <pic:spPr>
                    <a:xfrm>
                      <a:off x="0" y="0"/>
                      <a:ext cx="5760085" cy="8145780"/>
                    </a:xfrm>
                    <a:prstGeom prst="rect">
                      <a:avLst/>
                    </a:prstGeom>
                  </pic:spPr>
                </pic:pic>
              </a:graphicData>
            </a:graphic>
          </wp:inline>
        </w:drawing>
      </w:r>
    </w:p>
    <w:p>
      <w:pPr>
        <w:rPr>
          <w:rFonts w:hint="eastAsia" w:ascii="仿宋" w:hAnsi="仿宋" w:eastAsia="仿宋" w:cs="仿宋"/>
          <w:b/>
          <w:bCs/>
          <w:color w:val="auto"/>
          <w:sz w:val="32"/>
          <w:szCs w:val="32"/>
        </w:rPr>
      </w:pPr>
      <w:r>
        <w:rPr>
          <w:rFonts w:hint="eastAsia" w:ascii="仿宋" w:hAnsi="仿宋" w:eastAsia="仿宋" w:cs="仿宋"/>
          <w:b/>
          <w:bCs/>
          <w:color w:val="auto"/>
          <w:sz w:val="32"/>
          <w:szCs w:val="32"/>
        </w:rPr>
        <w:br w:type="page"/>
      </w:r>
    </w:p>
    <w:p>
      <w:pPr>
        <w:pStyle w:val="2"/>
        <w:rPr>
          <w:rFonts w:hint="eastAsia"/>
        </w:rPr>
      </w:pPr>
    </w:p>
    <w:p>
      <w:pPr>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highlight w:val="none"/>
          <w:lang w:eastAsia="zh-CN"/>
        </w:rPr>
        <w:t>HXGJXM2022-ZC-CS1021</w:t>
      </w:r>
    </w:p>
    <w:p>
      <w:pPr>
        <w:rPr>
          <w:rFonts w:hint="eastAsia" w:ascii="仿宋" w:hAnsi="仿宋" w:eastAsia="仿宋" w:cs="仿宋"/>
          <w:b/>
          <w:bCs/>
          <w:color w:val="auto"/>
          <w:sz w:val="36"/>
          <w:szCs w:val="36"/>
        </w:rPr>
      </w:pPr>
    </w:p>
    <w:p>
      <w:pPr>
        <w:rPr>
          <w:rFonts w:hint="eastAsia" w:ascii="仿宋" w:hAnsi="仿宋" w:eastAsia="仿宋" w:cs="仿宋"/>
          <w:b/>
          <w:bCs/>
          <w:color w:val="auto"/>
          <w:sz w:val="70"/>
          <w:szCs w:val="70"/>
        </w:rPr>
      </w:pPr>
    </w:p>
    <w:p>
      <w:pPr>
        <w:spacing w:line="720" w:lineRule="auto"/>
        <w:jc w:val="center"/>
        <w:rPr>
          <w:rFonts w:hint="eastAsia" w:ascii="仿宋" w:hAnsi="仿宋" w:eastAsia="仿宋" w:cs="仿宋"/>
          <w:b/>
          <w:bCs/>
          <w:color w:val="auto"/>
          <w:sz w:val="44"/>
          <w:szCs w:val="44"/>
          <w:lang w:eastAsia="zh-CN"/>
        </w:rPr>
      </w:pPr>
      <w:r>
        <w:rPr>
          <w:rFonts w:hint="eastAsia" w:ascii="仿宋" w:hAnsi="仿宋" w:eastAsia="仿宋" w:cs="仿宋"/>
          <w:b/>
          <w:bCs/>
          <w:color w:val="auto"/>
          <w:sz w:val="44"/>
          <w:szCs w:val="44"/>
          <w:highlight w:val="none"/>
          <w:lang w:eastAsia="zh-CN"/>
        </w:rPr>
        <w:t>2021年市级水利维修建设资金项目（蓝田县三岔河小流域水土保持综合治理工程）</w:t>
      </w:r>
    </w:p>
    <w:p>
      <w:pPr>
        <w:jc w:val="center"/>
        <w:rPr>
          <w:rFonts w:hint="eastAsia" w:ascii="仿宋" w:hAnsi="仿宋" w:eastAsia="仿宋" w:cs="仿宋"/>
          <w:b/>
          <w:bCs/>
          <w:color w:val="auto"/>
          <w:sz w:val="36"/>
          <w:szCs w:val="36"/>
        </w:rPr>
      </w:pPr>
    </w:p>
    <w:p>
      <w:pPr>
        <w:jc w:val="center"/>
        <w:rPr>
          <w:rFonts w:hint="eastAsia" w:ascii="仿宋" w:hAnsi="仿宋" w:eastAsia="仿宋" w:cs="仿宋"/>
          <w:b/>
          <w:bCs/>
          <w:color w:val="auto"/>
          <w:sz w:val="36"/>
          <w:szCs w:val="36"/>
        </w:rPr>
      </w:pPr>
    </w:p>
    <w:p>
      <w:pPr>
        <w:jc w:val="center"/>
        <w:rPr>
          <w:rFonts w:hint="eastAsia" w:ascii="仿宋" w:hAnsi="仿宋" w:eastAsia="仿宋" w:cs="仿宋"/>
          <w:b/>
          <w:bCs/>
          <w:color w:val="auto"/>
          <w:sz w:val="36"/>
          <w:szCs w:val="36"/>
        </w:rPr>
      </w:pPr>
    </w:p>
    <w:p>
      <w:pPr>
        <w:spacing w:line="780" w:lineRule="auto"/>
        <w:jc w:val="center"/>
        <w:rPr>
          <w:rFonts w:hint="eastAsia" w:ascii="仿宋" w:hAnsi="仿宋" w:eastAsia="仿宋" w:cs="仿宋"/>
          <w:b/>
          <w:color w:val="auto"/>
          <w:sz w:val="72"/>
          <w:szCs w:val="72"/>
          <w:lang w:eastAsia="zh-CN"/>
        </w:rPr>
      </w:pPr>
      <w:bookmarkStart w:id="0" w:name="_Toc363463325"/>
      <w:r>
        <w:rPr>
          <w:rFonts w:hint="eastAsia" w:ascii="仿宋" w:hAnsi="仿宋" w:eastAsia="仿宋" w:cs="仿宋"/>
          <w:b/>
          <w:color w:val="auto"/>
          <w:sz w:val="72"/>
          <w:szCs w:val="72"/>
          <w:lang w:eastAsia="zh-CN"/>
        </w:rPr>
        <w:t>竞争性磋商文件</w:t>
      </w:r>
    </w:p>
    <w:p>
      <w:pPr>
        <w:jc w:val="center"/>
        <w:rPr>
          <w:rFonts w:hint="eastAsia" w:ascii="仿宋" w:hAnsi="仿宋" w:eastAsia="仿宋" w:cs="仿宋"/>
          <w:b/>
          <w:bCs/>
          <w:color w:val="auto"/>
          <w:sz w:val="96"/>
          <w:szCs w:val="96"/>
        </w:rPr>
      </w:pPr>
    </w:p>
    <w:p>
      <w:pPr>
        <w:rPr>
          <w:rFonts w:hint="eastAsia" w:ascii="仿宋" w:hAnsi="仿宋" w:eastAsia="仿宋" w:cs="仿宋"/>
          <w:color w:val="auto"/>
        </w:rPr>
      </w:pPr>
    </w:p>
    <w:p>
      <w:pPr>
        <w:rPr>
          <w:rFonts w:hint="eastAsia" w:ascii="仿宋" w:hAnsi="仿宋" w:eastAsia="仿宋" w:cs="仿宋"/>
          <w:color w:val="auto"/>
        </w:rPr>
      </w:pPr>
    </w:p>
    <w:bookmarkEnd w:id="0"/>
    <w:p>
      <w:pPr>
        <w:jc w:val="center"/>
        <w:rPr>
          <w:rFonts w:hint="eastAsia" w:ascii="仿宋" w:hAnsi="仿宋" w:eastAsia="仿宋" w:cs="仿宋"/>
          <w:color w:val="auto"/>
          <w:sz w:val="36"/>
          <w:szCs w:val="36"/>
        </w:rPr>
      </w:pPr>
    </w:p>
    <w:p>
      <w:pPr>
        <w:jc w:val="center"/>
        <w:rPr>
          <w:rFonts w:hint="eastAsia" w:ascii="仿宋" w:hAnsi="仿宋" w:eastAsia="仿宋" w:cs="仿宋"/>
          <w:color w:val="auto"/>
          <w:sz w:val="36"/>
          <w:szCs w:val="36"/>
        </w:rPr>
      </w:pPr>
    </w:p>
    <w:p>
      <w:pPr>
        <w:rPr>
          <w:rFonts w:hint="eastAsia" w:ascii="仿宋" w:hAnsi="仿宋" w:eastAsia="仿宋" w:cs="仿宋"/>
          <w:color w:val="auto"/>
          <w:sz w:val="18"/>
          <w:szCs w:val="18"/>
        </w:rPr>
      </w:pPr>
    </w:p>
    <w:p>
      <w:pPr>
        <w:pStyle w:val="2"/>
        <w:rPr>
          <w:rFonts w:hint="eastAsia" w:ascii="仿宋" w:hAnsi="仿宋" w:eastAsia="仿宋" w:cs="仿宋"/>
          <w:color w:val="auto"/>
        </w:rPr>
      </w:pPr>
    </w:p>
    <w:p>
      <w:pPr>
        <w:rPr>
          <w:rFonts w:hint="eastAsia" w:ascii="仿宋" w:hAnsi="仿宋" w:eastAsia="仿宋" w:cs="仿宋"/>
          <w:color w:val="auto"/>
          <w:sz w:val="18"/>
          <w:szCs w:val="18"/>
        </w:rPr>
      </w:pPr>
    </w:p>
    <w:p>
      <w:pPr>
        <w:rPr>
          <w:rFonts w:hint="eastAsia" w:ascii="仿宋" w:hAnsi="仿宋" w:eastAsia="仿宋" w:cs="仿宋"/>
          <w:color w:val="auto"/>
          <w:sz w:val="18"/>
          <w:szCs w:val="18"/>
        </w:rPr>
      </w:pPr>
    </w:p>
    <w:p>
      <w:pPr>
        <w:rPr>
          <w:rFonts w:hint="eastAsia" w:ascii="仿宋" w:hAnsi="仿宋" w:eastAsia="仿宋" w:cs="仿宋"/>
          <w:color w:val="auto"/>
          <w:sz w:val="18"/>
          <w:szCs w:val="18"/>
        </w:rPr>
      </w:pPr>
    </w:p>
    <w:p>
      <w:pPr>
        <w:rPr>
          <w:rFonts w:hint="eastAsia" w:ascii="仿宋" w:hAnsi="仿宋" w:eastAsia="仿宋" w:cs="仿宋"/>
          <w:color w:val="auto"/>
          <w:sz w:val="18"/>
          <w:szCs w:val="18"/>
        </w:rPr>
      </w:pPr>
    </w:p>
    <w:p>
      <w:pPr>
        <w:jc w:val="center"/>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华夏国际项目管理有限公司</w:t>
      </w:r>
    </w:p>
    <w:p>
      <w:pPr>
        <w:tabs>
          <w:tab w:val="left" w:pos="525"/>
        </w:tabs>
        <w:ind w:left="-2" w:leftChars="-1" w:firstLine="1"/>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二〇</w:t>
      </w:r>
      <w:r>
        <w:rPr>
          <w:rFonts w:hint="eastAsia" w:ascii="仿宋" w:hAnsi="仿宋" w:eastAsia="仿宋" w:cs="仿宋"/>
          <w:b/>
          <w:bCs/>
          <w:color w:val="auto"/>
          <w:sz w:val="32"/>
          <w:szCs w:val="32"/>
          <w:highlight w:val="none"/>
          <w:lang w:eastAsia="zh-CN"/>
        </w:rPr>
        <w:t>二</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rPr>
        <w:t>月</w:t>
      </w:r>
    </w:p>
    <w:p>
      <w:pPr>
        <w:spacing w:line="800" w:lineRule="exact"/>
        <w:jc w:val="center"/>
        <w:rPr>
          <w:rFonts w:hint="eastAsia" w:ascii="仿宋" w:hAnsi="仿宋" w:eastAsia="仿宋" w:cs="仿宋"/>
          <w:b/>
          <w:bCs/>
          <w:color w:val="auto"/>
          <w:sz w:val="32"/>
          <w:szCs w:val="32"/>
        </w:rPr>
      </w:pPr>
    </w:p>
    <w:p>
      <w:pPr>
        <w:keepNext w:val="0"/>
        <w:keepLines w:val="0"/>
        <w:pageBreakBefore w:val="0"/>
        <w:widowControl w:val="0"/>
        <w:kinsoku/>
        <w:wordWrap/>
        <w:overflowPunct/>
        <w:topLinePunct w:val="0"/>
        <w:autoSpaceDE/>
        <w:autoSpaceDN/>
        <w:bidi w:val="0"/>
        <w:adjustRightInd/>
        <w:snapToGrid/>
        <w:spacing w:after="165" w:afterLines="50"/>
        <w:jc w:val="center"/>
        <w:textAlignment w:val="auto"/>
        <w:outlineLvl w:val="9"/>
        <w:rPr>
          <w:rFonts w:hint="eastAsia" w:ascii="仿宋" w:hAnsi="仿宋" w:eastAsia="仿宋" w:cs="仿宋"/>
          <w:b/>
          <w:bCs/>
          <w:color w:val="auto"/>
          <w:sz w:val="36"/>
          <w:szCs w:val="36"/>
        </w:rPr>
      </w:pPr>
      <w:bookmarkStart w:id="1" w:name="_Toc5293"/>
      <w:bookmarkStart w:id="2" w:name="_Toc16218"/>
      <w:bookmarkStart w:id="3" w:name="_Toc438073527"/>
      <w:bookmarkStart w:id="4" w:name="_Toc20652"/>
      <w:bookmarkStart w:id="5" w:name="_Toc21518"/>
      <w:bookmarkStart w:id="6" w:name="_Toc20858"/>
      <w:bookmarkStart w:id="7" w:name="_Toc19886"/>
      <w:bookmarkStart w:id="8" w:name="_Toc389582033"/>
      <w:r>
        <w:rPr>
          <w:rFonts w:hint="eastAsia" w:ascii="仿宋" w:hAnsi="仿宋" w:eastAsia="仿宋" w:cs="仿宋"/>
          <w:b/>
          <w:bCs/>
          <w:color w:val="auto"/>
          <w:sz w:val="36"/>
          <w:szCs w:val="36"/>
        </w:rPr>
        <w:t>特别提示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，在此我们特别提醒您注意以下事项：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有关</w:t>
      </w:r>
      <w:r>
        <w:rPr>
          <w:rFonts w:hint="eastAsia" w:ascii="仿宋" w:hAnsi="仿宋" w:eastAsia="仿宋" w:cs="仿宋"/>
          <w:b/>
          <w:bCs/>
          <w:color w:val="auto"/>
          <w:sz w:val="24"/>
          <w:szCs w:val="24"/>
          <w:lang w:eastAsia="zh-CN"/>
        </w:rPr>
        <w:t>磋商响应</w:t>
      </w:r>
      <w:r>
        <w:rPr>
          <w:rFonts w:hint="eastAsia" w:ascii="仿宋" w:hAnsi="仿宋" w:eastAsia="仿宋" w:cs="仿宋"/>
          <w:b/>
          <w:bCs/>
          <w:color w:val="auto"/>
          <w:sz w:val="24"/>
          <w:szCs w:val="24"/>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、请</w:t>
      </w:r>
      <w:r>
        <w:rPr>
          <w:rFonts w:hint="eastAsia" w:ascii="仿宋" w:hAnsi="仿宋" w:eastAsia="仿宋" w:cs="仿宋"/>
          <w:b w:val="0"/>
          <w:bCs w:val="0"/>
          <w:color w:val="auto"/>
          <w:sz w:val="24"/>
          <w:szCs w:val="24"/>
        </w:rPr>
        <w:t>仔细阅读</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文件并正确理解</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文件中各项具体要求。如对</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文件有疑问，请在</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文件规定的时间内以书面形式提出，逾期将被</w:t>
      </w:r>
      <w:r>
        <w:rPr>
          <w:rFonts w:hint="eastAsia" w:ascii="仿宋" w:hAnsi="仿宋" w:eastAsia="仿宋" w:cs="仿宋"/>
          <w:b w:val="0"/>
          <w:bCs w:val="0"/>
          <w:color w:val="auto"/>
          <w:sz w:val="24"/>
          <w:szCs w:val="24"/>
          <w:lang w:eastAsia="zh-CN"/>
        </w:rPr>
        <w:t>拒绝</w:t>
      </w:r>
      <w:r>
        <w:rPr>
          <w:rFonts w:hint="eastAsia" w:ascii="仿宋" w:hAnsi="仿宋" w:eastAsia="仿宋" w:cs="仿宋"/>
          <w:b w:val="0"/>
          <w:bCs w:val="0"/>
          <w:color w:val="auto"/>
          <w:sz w:val="24"/>
          <w:szCs w:val="24"/>
        </w:rPr>
        <w:t>受理。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2、请严格按照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文件载明的</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文件的格式要求编制</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文件须胶装成册</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3、请仔细核对</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文件是否已按照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文件的要求签字、签章和加盖单位公章，实质性条款是否满足</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文件中所附资格证明等资料是否齐全、有效且是否满足</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4、请您按照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文件要求密封</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文件，并正确标记</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提示：</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文件若不满足以上条件将有被否决的风险</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二、有关</w:t>
      </w:r>
      <w:r>
        <w:rPr>
          <w:rFonts w:hint="eastAsia" w:ascii="仿宋" w:hAnsi="仿宋" w:eastAsia="仿宋" w:cs="仿宋"/>
          <w:b/>
          <w:bCs/>
          <w:color w:val="auto"/>
          <w:sz w:val="24"/>
          <w:szCs w:val="24"/>
          <w:lang w:eastAsia="zh-CN"/>
        </w:rPr>
        <w:t>磋商：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eastAsia="zh-CN"/>
        </w:rPr>
        <w:t>除磋商文件要求递交的文件和资料外，</w:t>
      </w:r>
      <w:r>
        <w:rPr>
          <w:rFonts w:hint="eastAsia" w:ascii="仿宋" w:hAnsi="仿宋" w:eastAsia="仿宋" w:cs="仿宋"/>
          <w:b w:val="0"/>
          <w:bCs w:val="0"/>
          <w:color w:val="auto"/>
          <w:sz w:val="24"/>
          <w:szCs w:val="24"/>
        </w:rPr>
        <w:t>请随身携带</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文件要求提供的其他备查文件原件。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rPr>
        <w:t>2、请务必考虑天气情况、交通情况以及您对</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地址的路线熟悉等情况于</w:t>
      </w:r>
      <w:r>
        <w:rPr>
          <w:rFonts w:hint="eastAsia" w:ascii="仿宋" w:hAnsi="仿宋" w:eastAsia="仿宋" w:cs="仿宋"/>
          <w:b w:val="0"/>
          <w:bCs w:val="0"/>
          <w:color w:val="auto"/>
          <w:sz w:val="24"/>
          <w:szCs w:val="24"/>
          <w:highlight w:val="none"/>
          <w:lang w:val="en-US" w:eastAsia="zh-CN"/>
        </w:rPr>
        <w:t>磋商公告规定的时间及地点</w:t>
      </w:r>
      <w:r>
        <w:rPr>
          <w:rFonts w:hint="eastAsia" w:ascii="仿宋" w:hAnsi="仿宋" w:eastAsia="仿宋" w:cs="仿宋"/>
          <w:b w:val="0"/>
          <w:bCs w:val="0"/>
          <w:color w:val="auto"/>
          <w:sz w:val="24"/>
          <w:szCs w:val="24"/>
          <w:highlight w:val="none"/>
        </w:rPr>
        <w:t>递交</w:t>
      </w:r>
      <w:r>
        <w:rPr>
          <w:rFonts w:hint="eastAsia" w:ascii="仿宋" w:hAnsi="仿宋" w:eastAsia="仿宋" w:cs="仿宋"/>
          <w:b w:val="0"/>
          <w:bCs w:val="0"/>
          <w:color w:val="auto"/>
          <w:sz w:val="24"/>
          <w:szCs w:val="24"/>
          <w:highlight w:val="none"/>
          <w:lang w:eastAsia="zh-CN"/>
        </w:rPr>
        <w:t>磋商响应</w:t>
      </w:r>
      <w:r>
        <w:rPr>
          <w:rFonts w:hint="eastAsia" w:ascii="仿宋" w:hAnsi="仿宋" w:eastAsia="仿宋" w:cs="仿宋"/>
          <w:b w:val="0"/>
          <w:bCs w:val="0"/>
          <w:color w:val="auto"/>
          <w:sz w:val="24"/>
          <w:szCs w:val="24"/>
          <w:highlight w:val="none"/>
        </w:rPr>
        <w:t>文件，</w:t>
      </w:r>
      <w:r>
        <w:rPr>
          <w:rFonts w:hint="eastAsia" w:ascii="仿宋" w:hAnsi="仿宋" w:eastAsia="仿宋" w:cs="仿宋"/>
          <w:b w:val="0"/>
          <w:bCs w:val="0"/>
          <w:color w:val="auto"/>
          <w:sz w:val="24"/>
          <w:szCs w:val="24"/>
          <w:highlight w:val="none"/>
          <w:lang w:eastAsia="zh-CN"/>
        </w:rPr>
        <w:t>磋商响应</w:t>
      </w:r>
      <w:r>
        <w:rPr>
          <w:rFonts w:hint="eastAsia" w:ascii="仿宋" w:hAnsi="仿宋" w:eastAsia="仿宋" w:cs="仿宋"/>
          <w:b w:val="0"/>
          <w:bCs w:val="0"/>
          <w:color w:val="auto"/>
          <w:sz w:val="24"/>
          <w:szCs w:val="24"/>
          <w:highlight w:val="none"/>
        </w:rPr>
        <w:t>文件逾期到达，将被拒绝接收。</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3、各供应商限派一名代表（法定代表人或授权代表）参加磋商活动，省内人员</w:t>
      </w:r>
      <w:r>
        <w:rPr>
          <w:rFonts w:hint="eastAsia" w:ascii="仿宋" w:hAnsi="仿宋" w:eastAsia="仿宋" w:cs="仿宋"/>
          <w:b/>
          <w:bCs/>
          <w:color w:val="auto"/>
          <w:kern w:val="2"/>
          <w:sz w:val="24"/>
          <w:szCs w:val="24"/>
          <w:lang w:val="en-US" w:eastAsia="zh-CN" w:bidi="ar-SA"/>
        </w:rPr>
        <w:t>须</w:t>
      </w:r>
      <w:r>
        <w:rPr>
          <w:rFonts w:hint="eastAsia" w:ascii="仿宋" w:hAnsi="仿宋" w:eastAsia="仿宋" w:cs="仿宋"/>
          <w:b/>
          <w:bCs/>
          <w:color w:val="auto"/>
          <w:sz w:val="24"/>
          <w:szCs w:val="24"/>
          <w:lang w:val="en-US" w:eastAsia="zh-CN"/>
        </w:rPr>
        <w:t>持西安市一码通绿码，省外人员须符合西安市疫情防控的相关规定。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、请到达文件递交地点后及时到</w:t>
      </w:r>
      <w:r>
        <w:rPr>
          <w:rFonts w:hint="eastAsia" w:ascii="仿宋" w:hAnsi="仿宋" w:eastAsia="仿宋" w:cs="仿宋"/>
          <w:b w:val="0"/>
          <w:bCs w:val="0"/>
          <w:color w:val="auto"/>
          <w:sz w:val="24"/>
          <w:szCs w:val="24"/>
          <w:lang w:eastAsia="zh-CN"/>
        </w:rPr>
        <w:t>磋商响应</w:t>
      </w:r>
      <w:r>
        <w:rPr>
          <w:rFonts w:hint="eastAsia" w:ascii="仿宋" w:hAnsi="仿宋" w:eastAsia="仿宋" w:cs="仿宋"/>
          <w:b w:val="0"/>
          <w:bCs w:val="0"/>
          <w:color w:val="auto"/>
          <w:sz w:val="24"/>
          <w:szCs w:val="24"/>
        </w:rPr>
        <w:t>文件接收处签字登记</w:t>
      </w:r>
      <w:r>
        <w:rPr>
          <w:rFonts w:hint="eastAsia" w:ascii="仿宋" w:hAnsi="仿宋" w:eastAsia="仿宋" w:cs="仿宋"/>
          <w:b w:val="0"/>
          <w:b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w:t>
      </w:r>
      <w:r>
        <w:rPr>
          <w:rFonts w:hint="eastAsia" w:ascii="仿宋" w:hAnsi="仿宋" w:eastAsia="仿宋" w:cs="仿宋"/>
          <w:b/>
          <w:bCs/>
          <w:color w:val="auto"/>
          <w:sz w:val="24"/>
          <w:szCs w:val="24"/>
        </w:rPr>
        <w:t>、关于弃标的说明</w:t>
      </w:r>
      <w:r>
        <w:rPr>
          <w:rFonts w:hint="eastAsia" w:ascii="仿宋" w:hAnsi="仿宋" w:eastAsia="仿宋" w:cs="仿宋"/>
          <w:b/>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rPr>
        <w:t>按照《西安市财政局关于促进政府采购公平竞争优化营商环境的通知》（市财函〔2021) 431号）规定：供应商登记免费领取磋商文件的，如不参与项目磋商，应在递交磋商响应文件截止时间前一日以书面形式告知釆购代理机构。否则，采购代理机构可以向财政部门反映情况并提供相应的佐证。供应商一年内累计出现三次该情形，将被监管部门记录为失信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四、关于供应商注册登记提醒：</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outlineLvl w:val="9"/>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请各</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仔细</w:t>
      </w:r>
      <w:r>
        <w:rPr>
          <w:rFonts w:hint="eastAsia" w:ascii="仿宋" w:hAnsi="仿宋" w:eastAsia="仿宋" w:cs="仿宋"/>
          <w:b/>
          <w:bCs/>
          <w:color w:val="auto"/>
          <w:sz w:val="24"/>
          <w:szCs w:val="24"/>
          <w:lang w:eastAsia="zh-CN"/>
        </w:rPr>
        <w:t>阅</w:t>
      </w:r>
      <w:r>
        <w:rPr>
          <w:rFonts w:hint="eastAsia" w:ascii="仿宋" w:hAnsi="仿宋" w:eastAsia="仿宋" w:cs="仿宋"/>
          <w:b/>
          <w:bCs/>
          <w:color w:val="auto"/>
          <w:sz w:val="24"/>
          <w:szCs w:val="24"/>
        </w:rPr>
        <w:t>读上述提示。如需帮助，请您与我们的工作人员联系</w:t>
      </w:r>
      <w:r>
        <w:rPr>
          <w:rFonts w:hint="eastAsia" w:ascii="仿宋" w:hAnsi="仿宋" w:eastAsia="仿宋" w:cs="仿宋"/>
          <w:b/>
          <w:bCs/>
          <w:color w:val="auto"/>
          <w:sz w:val="24"/>
          <w:szCs w:val="24"/>
          <w:lang w:eastAsia="zh-CN"/>
        </w:rPr>
        <w:t>，我们将非常高兴地为您服务。</w:t>
      </w:r>
    </w:p>
    <w:p>
      <w:pPr>
        <w:jc w:val="center"/>
        <w:rPr>
          <w:rFonts w:hint="eastAsia" w:ascii="仿宋" w:hAnsi="仿宋" w:eastAsia="仿宋" w:cs="仿宋"/>
          <w:b/>
          <w:bCs/>
          <w:color w:val="auto"/>
          <w:sz w:val="44"/>
          <w:szCs w:val="44"/>
        </w:rPr>
        <w:sectPr>
          <w:headerReference r:id="rId4" w:type="first"/>
          <w:headerReference r:id="rId3" w:type="default"/>
          <w:footerReference r:id="rId5" w:type="default"/>
          <w:pgSz w:w="11906" w:h="16838"/>
          <w:pgMar w:top="1417" w:right="1418" w:bottom="1417" w:left="1417" w:header="851" w:footer="850" w:gutter="0"/>
          <w:pgNumType w:fmt="decimal"/>
          <w:cols w:space="720" w:num="1"/>
          <w:titlePg/>
          <w:rtlGutter w:val="0"/>
          <w:docGrid w:type="lines" w:linePitch="312" w:charSpace="0"/>
        </w:sectPr>
      </w:pPr>
    </w:p>
    <w:p>
      <w:pPr>
        <w:spacing w:line="360" w:lineRule="auto"/>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目</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录</w:t>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"1-3" \h \u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_Toc10815 </w:instrText>
      </w:r>
      <w:r>
        <w:rPr>
          <w:rFonts w:hint="eastAsia" w:ascii="仿宋" w:hAnsi="仿宋" w:eastAsia="仿宋" w:cs="仿宋"/>
          <w:color w:val="auto"/>
          <w:sz w:val="28"/>
          <w:szCs w:val="28"/>
        </w:rPr>
        <w:fldChar w:fldCharType="separate"/>
      </w:r>
      <w:r>
        <w:rPr>
          <w:rFonts w:hint="eastAsia" w:ascii="仿宋" w:hAnsi="仿宋" w:eastAsia="仿宋" w:cs="仿宋"/>
          <w:bCs/>
          <w:color w:val="auto"/>
          <w:sz w:val="28"/>
          <w:szCs w:val="28"/>
        </w:rPr>
        <w:t>第一章</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竞争性磋商公告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_Toc10815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_Toc12054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第二章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_Toc12054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_Toc10644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第三章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评审方法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_Toc10644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_Toc4006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第四章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合同条款及格式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_Toc4006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_Toc9746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第五章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工程量清单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_Toc9746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31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_Toc1684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lang w:val="en-US" w:eastAsia="zh-CN"/>
        </w:rPr>
        <w:t>第六章 图纸</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_Toc1684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40</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_Toc16560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第七章 技术</w:t>
      </w:r>
      <w:r>
        <w:rPr>
          <w:rFonts w:hint="eastAsia" w:ascii="仿宋" w:hAnsi="仿宋" w:eastAsia="仿宋" w:cs="仿宋"/>
          <w:color w:val="auto"/>
          <w:sz w:val="28"/>
          <w:szCs w:val="28"/>
          <w:lang w:eastAsia="zh-CN"/>
        </w:rPr>
        <w:t>标准及</w:t>
      </w:r>
      <w:r>
        <w:rPr>
          <w:rFonts w:hint="eastAsia" w:ascii="仿宋" w:hAnsi="仿宋" w:eastAsia="仿宋" w:cs="仿宋"/>
          <w:color w:val="auto"/>
          <w:sz w:val="28"/>
          <w:szCs w:val="28"/>
        </w:rPr>
        <w:t>要求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_Toc16560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41</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8"/>
        </w:tabs>
        <w:kinsoku/>
        <w:wordWrap/>
        <w:overflowPunct/>
        <w:topLinePunct w:val="0"/>
        <w:autoSpaceDE/>
        <w:autoSpaceDN/>
        <w:bidi w:val="0"/>
        <w:adjustRightInd/>
        <w:snapToGrid/>
        <w:spacing w:line="600" w:lineRule="auto"/>
        <w:textAlignment w:val="auto"/>
        <w:outlineLvl w:val="9"/>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_Toc27303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第八章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竞争性磋商响应文件</w:t>
      </w:r>
      <w:r>
        <w:rPr>
          <w:rFonts w:hint="eastAsia" w:ascii="仿宋" w:hAnsi="仿宋" w:eastAsia="仿宋" w:cs="仿宋"/>
          <w:color w:val="auto"/>
          <w:sz w:val="28"/>
          <w:szCs w:val="28"/>
        </w:rPr>
        <w:t>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_Toc27303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42</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24"/>
        <w:keepNext w:val="0"/>
        <w:keepLines w:val="0"/>
        <w:pageBreakBefore w:val="0"/>
        <w:widowControl w:val="0"/>
        <w:tabs>
          <w:tab w:val="right" w:leader="dot" w:pos="8787"/>
        </w:tabs>
        <w:kinsoku/>
        <w:wordWrap/>
        <w:overflowPunct/>
        <w:topLinePunct w:val="0"/>
        <w:autoSpaceDE/>
        <w:autoSpaceDN/>
        <w:bidi w:val="0"/>
        <w:adjustRightInd/>
        <w:snapToGrid/>
        <w:spacing w:before="0" w:after="0" w:line="60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8"/>
          <w:szCs w:val="28"/>
        </w:rPr>
        <w:fldChar w:fldCharType="end"/>
      </w:r>
    </w:p>
    <w:p>
      <w:pPr>
        <w:rPr>
          <w:rFonts w:hint="eastAsia" w:ascii="仿宋" w:hAnsi="仿宋" w:eastAsia="仿宋" w:cs="仿宋"/>
          <w:color w:val="auto"/>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p>
      <w:pPr>
        <w:rPr>
          <w:rFonts w:hint="eastAsia" w:ascii="仿宋" w:hAnsi="仿宋" w:eastAsia="仿宋" w:cs="仿宋"/>
          <w:color w:val="auto"/>
          <w:sz w:val="36"/>
          <w:szCs w:val="36"/>
        </w:rPr>
      </w:pPr>
    </w:p>
    <w:bookmarkEnd w:id="1"/>
    <w:bookmarkEnd w:id="2"/>
    <w:bookmarkEnd w:id="3"/>
    <w:bookmarkEnd w:id="4"/>
    <w:bookmarkEnd w:id="5"/>
    <w:bookmarkEnd w:id="6"/>
    <w:bookmarkEnd w:id="7"/>
    <w:bookmarkEnd w:id="8"/>
    <w:p>
      <w:pPr>
        <w:pStyle w:val="3"/>
        <w:keepNext w:val="0"/>
        <w:keepLines/>
        <w:pageBreakBefore/>
        <w:spacing w:before="156" w:beforeLines="50" w:after="156" w:afterLines="50" w:line="360" w:lineRule="auto"/>
        <w:jc w:val="center"/>
        <w:outlineLvl w:val="0"/>
        <w:rPr>
          <w:rFonts w:hint="eastAsia" w:ascii="仿宋" w:hAnsi="仿宋" w:eastAsia="仿宋" w:cs="仿宋"/>
          <w:b/>
          <w:bCs/>
          <w:color w:val="auto"/>
          <w:sz w:val="32"/>
          <w:szCs w:val="32"/>
        </w:rPr>
        <w:sectPr>
          <w:headerReference r:id="rId6" w:type="default"/>
          <w:footerReference r:id="rId7" w:type="default"/>
          <w:pgSz w:w="11906" w:h="16838"/>
          <w:pgMar w:top="1417" w:right="1417" w:bottom="1417" w:left="1701" w:header="851" w:footer="992" w:gutter="0"/>
          <w:pgNumType w:start="1"/>
          <w:cols w:space="0" w:num="1"/>
          <w:docGrid w:type="lines" w:linePitch="312" w:charSpace="0"/>
        </w:sectPr>
      </w:pPr>
      <w:bookmarkStart w:id="9" w:name="_Toc2360"/>
      <w:bookmarkStart w:id="10" w:name="_Toc452384741"/>
      <w:bookmarkStart w:id="11" w:name="_Toc10815"/>
    </w:p>
    <w:p>
      <w:pPr>
        <w:pStyle w:val="3"/>
        <w:keepNext w:val="0"/>
        <w:keepLines/>
        <w:pageBreakBefore/>
        <w:widowControl w:val="0"/>
        <w:kinsoku/>
        <w:wordWrap/>
        <w:overflowPunct/>
        <w:topLinePunct w:val="0"/>
        <w:autoSpaceDE/>
        <w:autoSpaceDN/>
        <w:bidi w:val="0"/>
        <w:adjustRightInd/>
        <w:snapToGrid/>
        <w:spacing w:line="360" w:lineRule="auto"/>
        <w:jc w:val="center"/>
        <w:textAlignment w:val="auto"/>
        <w:outlineLvl w:val="0"/>
        <w:rPr>
          <w:rFonts w:hint="eastAsia" w:ascii="仿宋" w:hAnsi="仿宋" w:eastAsia="仿宋" w:cs="仿宋"/>
          <w:b/>
          <w:bCs/>
          <w:color w:val="auto"/>
          <w:sz w:val="32"/>
          <w:szCs w:val="32"/>
        </w:rPr>
      </w:pPr>
      <w:r>
        <w:rPr>
          <w:rFonts w:hint="eastAsia" w:ascii="仿宋" w:hAnsi="仿宋" w:eastAsia="仿宋" w:cs="仿宋"/>
          <w:b/>
          <w:bCs/>
          <w:color w:val="auto"/>
          <w:sz w:val="32"/>
          <w:szCs w:val="32"/>
        </w:rPr>
        <w:t>第一章</w:t>
      </w:r>
      <w:bookmarkEnd w:id="9"/>
      <w:bookmarkEnd w:id="10"/>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竞争性磋商公告</w:t>
      </w:r>
      <w:bookmarkEnd w:id="11"/>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60" w:lineRule="auto"/>
        <w:ind w:left="0" w:right="0"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i w:val="0"/>
          <w:caps w:val="0"/>
          <w:color w:val="auto"/>
          <w:spacing w:val="0"/>
          <w:sz w:val="24"/>
          <w:szCs w:val="24"/>
          <w:shd w:val="clear" w:fill="FFFFFF"/>
          <w:lang w:eastAsia="zh-CN"/>
        </w:rPr>
        <w:t>2021年市级水利维修建设资金项目（蓝田县三岔河小流域水土保持综合治理工程）</w:t>
      </w:r>
      <w:r>
        <w:rPr>
          <w:rFonts w:hint="eastAsia" w:ascii="仿宋" w:hAnsi="仿宋" w:eastAsia="仿宋" w:cs="仿宋"/>
          <w:b w:val="0"/>
          <w:bCs/>
          <w:i w:val="0"/>
          <w:caps w:val="0"/>
          <w:color w:val="auto"/>
          <w:spacing w:val="0"/>
          <w:sz w:val="24"/>
          <w:szCs w:val="24"/>
          <w:shd w:val="clear" w:fill="FFFFFF"/>
        </w:rPr>
        <w:t>潜在的供应商可在陕西省西安市高新区科技五路8号数字大厦11层获取</w:t>
      </w:r>
      <w:r>
        <w:rPr>
          <w:rFonts w:hint="eastAsia" w:ascii="仿宋" w:hAnsi="仿宋" w:eastAsia="仿宋" w:cs="仿宋"/>
          <w:b w:val="0"/>
          <w:bCs/>
          <w:i w:val="0"/>
          <w:caps w:val="0"/>
          <w:color w:val="auto"/>
          <w:spacing w:val="0"/>
          <w:sz w:val="24"/>
          <w:szCs w:val="24"/>
          <w:shd w:val="clear" w:fill="FFFFFF"/>
          <w:lang w:eastAsia="zh-CN"/>
        </w:rPr>
        <w:t>采购</w:t>
      </w:r>
      <w:r>
        <w:rPr>
          <w:rFonts w:hint="eastAsia" w:ascii="仿宋" w:hAnsi="仿宋" w:eastAsia="仿宋" w:cs="仿宋"/>
          <w:b w:val="0"/>
          <w:bCs/>
          <w:i w:val="0"/>
          <w:caps w:val="0"/>
          <w:color w:val="auto"/>
          <w:spacing w:val="0"/>
          <w:sz w:val="24"/>
          <w:szCs w:val="24"/>
          <w:shd w:val="clear" w:fill="FFFFFF"/>
        </w:rPr>
        <w:t>文件，并于</w:t>
      </w:r>
      <w:r>
        <w:rPr>
          <w:rFonts w:hint="eastAsia" w:ascii="仿宋" w:hAnsi="仿宋" w:eastAsia="仿宋" w:cs="仿宋"/>
          <w:b w:val="0"/>
          <w:bCs/>
          <w:i w:val="0"/>
          <w:caps w:val="0"/>
          <w:color w:val="auto"/>
          <w:spacing w:val="0"/>
          <w:sz w:val="24"/>
          <w:szCs w:val="24"/>
          <w:shd w:val="clear" w:fill="FFFFFF"/>
          <w:lang w:eastAsia="zh-CN"/>
        </w:rPr>
        <w:t>2022</w:t>
      </w:r>
      <w:r>
        <w:rPr>
          <w:rFonts w:hint="eastAsia" w:ascii="仿宋" w:hAnsi="仿宋" w:eastAsia="仿宋" w:cs="仿宋"/>
          <w:b w:val="0"/>
          <w:bCs/>
          <w:i w:val="0"/>
          <w:caps w:val="0"/>
          <w:color w:val="auto"/>
          <w:spacing w:val="0"/>
          <w:sz w:val="24"/>
          <w:szCs w:val="24"/>
          <w:shd w:val="clear" w:fill="FFFFFF"/>
        </w:rPr>
        <w:t>-</w:t>
      </w:r>
      <w:r>
        <w:rPr>
          <w:rFonts w:hint="eastAsia" w:ascii="仿宋" w:hAnsi="仿宋" w:eastAsia="仿宋" w:cs="仿宋"/>
          <w:b w:val="0"/>
          <w:bCs/>
          <w:i w:val="0"/>
          <w:caps w:val="0"/>
          <w:color w:val="auto"/>
          <w:spacing w:val="0"/>
          <w:sz w:val="24"/>
          <w:szCs w:val="24"/>
          <w:shd w:val="clear" w:fill="FFFFFF"/>
          <w:lang w:val="en-US" w:eastAsia="zh-CN"/>
        </w:rPr>
        <w:t>04</w:t>
      </w:r>
      <w:r>
        <w:rPr>
          <w:rFonts w:hint="eastAsia" w:ascii="仿宋" w:hAnsi="仿宋" w:eastAsia="仿宋" w:cs="仿宋"/>
          <w:b w:val="0"/>
          <w:bCs/>
          <w:i w:val="0"/>
          <w:caps w:val="0"/>
          <w:color w:val="auto"/>
          <w:spacing w:val="0"/>
          <w:sz w:val="24"/>
          <w:szCs w:val="24"/>
          <w:shd w:val="clear" w:fill="FFFFFF"/>
        </w:rPr>
        <w:t>-</w:t>
      </w:r>
      <w:r>
        <w:rPr>
          <w:rFonts w:hint="eastAsia" w:ascii="仿宋" w:hAnsi="仿宋" w:eastAsia="仿宋" w:cs="仿宋"/>
          <w:b w:val="0"/>
          <w:bCs/>
          <w:i w:val="0"/>
          <w:caps w:val="0"/>
          <w:color w:val="auto"/>
          <w:spacing w:val="0"/>
          <w:sz w:val="24"/>
          <w:szCs w:val="24"/>
          <w:shd w:val="clear" w:fill="FFFFFF"/>
          <w:lang w:val="en-US" w:eastAsia="zh-CN"/>
        </w:rPr>
        <w:t xml:space="preserve">11 </w:t>
      </w:r>
      <w:r>
        <w:rPr>
          <w:rFonts w:hint="eastAsia" w:ascii="仿宋" w:hAnsi="仿宋" w:eastAsia="仿宋" w:cs="仿宋"/>
          <w:b w:val="0"/>
          <w:bCs/>
          <w:i w:val="0"/>
          <w:caps w:val="0"/>
          <w:color w:val="auto"/>
          <w:spacing w:val="0"/>
          <w:sz w:val="24"/>
          <w:szCs w:val="24"/>
          <w:shd w:val="clear" w:fill="FFFFFF"/>
        </w:rPr>
        <w:t xml:space="preserve"> 14:30:00前递交</w:t>
      </w:r>
      <w:r>
        <w:rPr>
          <w:rFonts w:hint="eastAsia" w:ascii="仿宋" w:hAnsi="仿宋" w:eastAsia="仿宋" w:cs="仿宋"/>
          <w:b w:val="0"/>
          <w:bCs/>
          <w:i w:val="0"/>
          <w:caps w:val="0"/>
          <w:color w:val="auto"/>
          <w:spacing w:val="0"/>
          <w:sz w:val="24"/>
          <w:szCs w:val="24"/>
          <w:shd w:val="clear" w:fill="FFFFFF"/>
          <w:lang w:eastAsia="zh-CN"/>
        </w:rPr>
        <w:t>响应</w:t>
      </w:r>
      <w:r>
        <w:rPr>
          <w:rFonts w:hint="eastAsia" w:ascii="仿宋" w:hAnsi="仿宋" w:eastAsia="仿宋" w:cs="仿宋"/>
          <w:b w:val="0"/>
          <w:bCs/>
          <w:i w:val="0"/>
          <w:caps w:val="0"/>
          <w:color w:val="auto"/>
          <w:spacing w:val="0"/>
          <w:sz w:val="24"/>
          <w:szCs w:val="24"/>
          <w:shd w:val="clear" w:fill="FFFFFF"/>
        </w:rPr>
        <w:t>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4"/>
          <w:szCs w:val="24"/>
        </w:rPr>
      </w:pPr>
      <w:r>
        <w:rPr>
          <w:rFonts w:hint="eastAsia" w:ascii="仿宋" w:hAnsi="仿宋" w:eastAsia="仿宋" w:cs="仿宋"/>
          <w:b/>
          <w:i w:val="0"/>
          <w:caps w:val="0"/>
          <w:color w:val="auto"/>
          <w:spacing w:val="0"/>
          <w:sz w:val="24"/>
          <w:szCs w:val="24"/>
          <w:shd w:val="clear" w:fill="FFFFFF"/>
        </w:rPr>
        <w:t>一、项目基本情况</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b w:val="0"/>
          <w:bCs w:val="0"/>
          <w:color w:val="auto"/>
          <w:sz w:val="24"/>
          <w:szCs w:val="24"/>
          <w:lang w:eastAsia="zh-CN"/>
        </w:rPr>
      </w:pPr>
      <w:r>
        <w:rPr>
          <w:rFonts w:hint="eastAsia" w:ascii="仿宋" w:hAnsi="仿宋" w:eastAsia="仿宋" w:cs="仿宋"/>
          <w:i w:val="0"/>
          <w:caps w:val="0"/>
          <w:color w:val="auto"/>
          <w:spacing w:val="0"/>
          <w:sz w:val="24"/>
          <w:szCs w:val="24"/>
          <w:shd w:val="clear" w:fill="FFFFFF"/>
        </w:rPr>
        <w:t>1、项</w:t>
      </w:r>
      <w:r>
        <w:rPr>
          <w:rFonts w:hint="eastAsia" w:ascii="仿宋" w:hAnsi="仿宋" w:eastAsia="仿宋" w:cs="仿宋"/>
          <w:b w:val="0"/>
          <w:bCs w:val="0"/>
          <w:i w:val="0"/>
          <w:caps w:val="0"/>
          <w:color w:val="auto"/>
          <w:spacing w:val="0"/>
          <w:sz w:val="24"/>
          <w:szCs w:val="24"/>
          <w:shd w:val="clear" w:fill="FFFFFF"/>
        </w:rPr>
        <w:t>目编号：</w:t>
      </w:r>
      <w:r>
        <w:rPr>
          <w:rFonts w:hint="eastAsia" w:ascii="仿宋" w:hAnsi="仿宋" w:eastAsia="仿宋" w:cs="仿宋"/>
          <w:b w:val="0"/>
          <w:bCs w:val="0"/>
          <w:i w:val="0"/>
          <w:caps w:val="0"/>
          <w:color w:val="auto"/>
          <w:spacing w:val="0"/>
          <w:sz w:val="24"/>
          <w:szCs w:val="24"/>
          <w:shd w:val="clear" w:fill="FFFFFF"/>
          <w:lang w:eastAsia="zh-CN"/>
        </w:rPr>
        <w:t>HXGJXM2022-ZC-CS1021</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i w:val="0"/>
          <w:caps w:val="0"/>
          <w:color w:val="auto"/>
          <w:spacing w:val="0"/>
          <w:sz w:val="24"/>
          <w:szCs w:val="24"/>
          <w:shd w:val="clear" w:fill="FFFFFF"/>
        </w:rPr>
        <w:t>2、项目名称：</w:t>
      </w:r>
      <w:r>
        <w:rPr>
          <w:rFonts w:hint="eastAsia" w:ascii="仿宋" w:hAnsi="仿宋" w:eastAsia="仿宋" w:cs="仿宋"/>
          <w:b w:val="0"/>
          <w:bCs w:val="0"/>
          <w:i w:val="0"/>
          <w:caps w:val="0"/>
          <w:color w:val="auto"/>
          <w:spacing w:val="0"/>
          <w:sz w:val="24"/>
          <w:szCs w:val="24"/>
          <w:shd w:val="clear" w:fill="FFFFFF"/>
          <w:lang w:eastAsia="zh-CN"/>
        </w:rPr>
        <w:t>2021年市级水利维修建设资金项目（蓝田县三岔河小流域水土保持综合治理工程）</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i w:val="0"/>
          <w:caps w:val="0"/>
          <w:color w:val="auto"/>
          <w:spacing w:val="0"/>
          <w:sz w:val="24"/>
          <w:szCs w:val="24"/>
          <w:shd w:val="clear" w:fill="FFFFFF"/>
        </w:rPr>
        <w:t>3、预算金额：1393400</w:t>
      </w:r>
      <w:r>
        <w:rPr>
          <w:rFonts w:hint="eastAsia" w:ascii="仿宋" w:hAnsi="仿宋" w:eastAsia="仿宋" w:cs="仿宋"/>
          <w:b w:val="0"/>
          <w:bCs w:val="0"/>
          <w:i w:val="0"/>
          <w:caps w:val="0"/>
          <w:color w:val="auto"/>
          <w:spacing w:val="0"/>
          <w:sz w:val="24"/>
          <w:szCs w:val="24"/>
          <w:shd w:val="clear" w:fill="FFFFFF"/>
          <w:lang w:val="en-US" w:eastAsia="zh-CN"/>
        </w:rPr>
        <w:t>.00</w:t>
      </w:r>
      <w:r>
        <w:rPr>
          <w:rFonts w:hint="eastAsia" w:ascii="仿宋" w:hAnsi="仿宋" w:eastAsia="仿宋" w:cs="仿宋"/>
          <w:b w:val="0"/>
          <w:bCs w:val="0"/>
          <w:i w:val="0"/>
          <w:caps w:val="0"/>
          <w:color w:val="auto"/>
          <w:spacing w:val="0"/>
          <w:sz w:val="24"/>
          <w:szCs w:val="24"/>
          <w:shd w:val="clear" w:fill="FFFFFF"/>
          <w:lang w:eastAsia="zh-CN"/>
        </w:rPr>
        <w:t>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4、最高限价：1393400.00元</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lang w:eastAsia="zh-CN"/>
        </w:rPr>
      </w:pPr>
      <w:r>
        <w:rPr>
          <w:rFonts w:hint="eastAsia" w:ascii="仿宋" w:hAnsi="仿宋" w:eastAsia="仿宋" w:cs="仿宋"/>
          <w:i w:val="0"/>
          <w:caps w:val="0"/>
          <w:color w:val="auto"/>
          <w:spacing w:val="0"/>
          <w:sz w:val="24"/>
          <w:szCs w:val="24"/>
          <w:shd w:val="clear" w:fill="FFFFFF"/>
        </w:rPr>
        <w:t>5、采购需求：</w:t>
      </w:r>
      <w:r>
        <w:rPr>
          <w:rFonts w:hint="eastAsia" w:ascii="仿宋" w:hAnsi="仿宋" w:eastAsia="仿宋" w:cs="仿宋"/>
          <w:i w:val="0"/>
          <w:caps w:val="0"/>
          <w:color w:val="auto"/>
          <w:spacing w:val="0"/>
          <w:sz w:val="24"/>
          <w:szCs w:val="24"/>
          <w:shd w:val="clear" w:fill="FFFFFF"/>
          <w:lang w:eastAsia="zh-CN"/>
        </w:rPr>
        <w:t>2021年市级水利维修建设资金项目（蓝田县三岔河小流域水土保持综合治理工程）</w:t>
      </w:r>
      <w:r>
        <w:rPr>
          <w:rFonts w:hint="eastAsia" w:ascii="仿宋" w:hAnsi="仿宋" w:eastAsia="仿宋" w:cs="仿宋"/>
          <w:i w:val="0"/>
          <w:caps w:val="0"/>
          <w:color w:val="auto"/>
          <w:spacing w:val="0"/>
          <w:sz w:val="24"/>
          <w:szCs w:val="24"/>
          <w:shd w:val="clear" w:fill="FFFFFF"/>
        </w:rPr>
        <w:t>，1项， 采购预算：1393400.00元，项目概况：</w:t>
      </w:r>
      <w:r>
        <w:rPr>
          <w:rFonts w:hint="eastAsia" w:ascii="仿宋" w:hAnsi="仿宋" w:eastAsia="仿宋" w:cs="仿宋"/>
          <w:i w:val="0"/>
          <w:caps w:val="0"/>
          <w:color w:val="auto"/>
          <w:spacing w:val="0"/>
          <w:sz w:val="24"/>
          <w:szCs w:val="24"/>
          <w:shd w:val="clear" w:fill="FFFFFF"/>
          <w:lang w:val="en-US" w:eastAsia="zh-CN"/>
        </w:rPr>
        <w:t>水土保持综合治理</w:t>
      </w:r>
      <w:r>
        <w:rPr>
          <w:rFonts w:hint="eastAsia" w:ascii="仿宋" w:hAnsi="仿宋" w:eastAsia="仿宋" w:cs="仿宋"/>
          <w:i w:val="0"/>
          <w:caps w:val="0"/>
          <w:color w:val="auto"/>
          <w:spacing w:val="0"/>
          <w:sz w:val="24"/>
          <w:szCs w:val="24"/>
          <w:shd w:val="clear" w:fill="FFFFFF"/>
        </w:rPr>
        <w:t>，简要技术要求、用途：</w:t>
      </w:r>
      <w:r>
        <w:rPr>
          <w:rFonts w:hint="eastAsia" w:ascii="仿宋" w:hAnsi="仿宋" w:eastAsia="仿宋" w:cs="仿宋"/>
          <w:i w:val="0"/>
          <w:caps w:val="0"/>
          <w:color w:val="auto"/>
          <w:spacing w:val="0"/>
          <w:sz w:val="24"/>
          <w:szCs w:val="24"/>
          <w:shd w:val="clear" w:fill="FFFFFF"/>
          <w:lang w:val="en-US" w:eastAsia="zh-CN"/>
        </w:rPr>
        <w:t>水土保持</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6、合同履行期限：</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04</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 xml:space="preserve">13 </w:t>
      </w:r>
      <w:r>
        <w:rPr>
          <w:rFonts w:hint="eastAsia" w:ascii="仿宋" w:hAnsi="仿宋" w:eastAsia="仿宋" w:cs="仿宋"/>
          <w:i w:val="0"/>
          <w:caps w:val="0"/>
          <w:color w:val="auto"/>
          <w:spacing w:val="0"/>
          <w:sz w:val="24"/>
          <w:szCs w:val="24"/>
          <w:shd w:val="clear" w:fill="FFFFFF"/>
        </w:rPr>
        <w:t xml:space="preserve"> 09:00:00 至 </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09</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 xml:space="preserve">12 </w:t>
      </w:r>
      <w:r>
        <w:rPr>
          <w:rFonts w:hint="eastAsia" w:ascii="仿宋" w:hAnsi="仿宋" w:eastAsia="仿宋" w:cs="仿宋"/>
          <w:i w:val="0"/>
          <w:caps w:val="0"/>
          <w:color w:val="auto"/>
          <w:spacing w:val="0"/>
          <w:sz w:val="24"/>
          <w:szCs w:val="24"/>
          <w:shd w:val="clear" w:fill="FFFFFF"/>
        </w:rPr>
        <w:t xml:space="preserve"> 17:00:00（具体服务起止日期可随合同签订时间相应顺延）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7、本项目是否接受联合体投标：否</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二、响应供应商的资格要求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1、满足《中华人民共和国政府采购法》第二十二条规定</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4"/>
          <w:szCs w:val="24"/>
          <w:shd w:val="clear" w:fill="FFFFFF"/>
        </w:rPr>
      </w:pPr>
      <w:r>
        <w:rPr>
          <w:rFonts w:hint="eastAsia" w:ascii="仿宋" w:hAnsi="仿宋" w:eastAsia="仿宋" w:cs="仿宋"/>
          <w:i w:val="0"/>
          <w:caps w:val="0"/>
          <w:color w:val="auto"/>
          <w:spacing w:val="0"/>
          <w:sz w:val="24"/>
          <w:szCs w:val="24"/>
          <w:shd w:val="clear" w:fill="FFFFFF"/>
        </w:rPr>
        <w:t>2、落实政府采购政策需满足的资格要求：（1）《政府采购促进中小企业发展管理办法》（财库〔2020〕46号）；（2）《财政部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号）；（11）其他需要落实的政府采购政策，详见磋商文件。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lang w:eastAsia="zh-CN"/>
        </w:rPr>
      </w:pPr>
      <w:r>
        <w:rPr>
          <w:rFonts w:hint="eastAsia" w:ascii="仿宋" w:hAnsi="仿宋" w:eastAsia="仿宋" w:cs="仿宋"/>
          <w:i w:val="0"/>
          <w:caps w:val="0"/>
          <w:color w:val="auto"/>
          <w:spacing w:val="0"/>
          <w:sz w:val="24"/>
          <w:szCs w:val="24"/>
          <w:shd w:val="clear" w:fill="FFFFFF"/>
        </w:rPr>
        <w:t>3、本项目的特定资格要求：</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lang w:val="en-US" w:eastAsia="zh-CN"/>
        </w:rPr>
        <w:t>1</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rPr>
        <w:t>法定代表人授权书（附法定代表人、被授权人身份证复印件）及被授权人身份证（法定代表人直接参加磋商，须提供法定代表人身份证明及身份证原件）；</w:t>
      </w:r>
      <w:r>
        <w:rPr>
          <w:rFonts w:hint="eastAsia" w:ascii="仿宋" w:hAnsi="仿宋" w:eastAsia="仿宋" w:cs="仿宋"/>
          <w:i w:val="0"/>
          <w:caps w:val="0"/>
          <w:color w:val="auto"/>
          <w:spacing w:val="0"/>
          <w:sz w:val="24"/>
          <w:szCs w:val="24"/>
          <w:shd w:val="clear" w:fill="FFFFFF"/>
          <w:lang w:val="en-US" w:eastAsia="zh-CN"/>
        </w:rPr>
        <w:t>（2）</w:t>
      </w:r>
      <w:r>
        <w:rPr>
          <w:rFonts w:hint="eastAsia" w:ascii="仿宋" w:hAnsi="仿宋" w:eastAsia="仿宋" w:cs="仿宋"/>
          <w:i w:val="0"/>
          <w:caps w:val="0"/>
          <w:color w:val="auto"/>
          <w:spacing w:val="0"/>
          <w:sz w:val="24"/>
          <w:szCs w:val="24"/>
          <w:shd w:val="clear" w:fill="FFFFFF"/>
          <w:lang w:eastAsia="zh-CN"/>
        </w:rPr>
        <w:t>具备建设行政主管部门颁发的水利水电工程施工总承包三级及以上资质证书，同时具有合格有效的安全生产许可证；</w:t>
      </w:r>
      <w:r>
        <w:rPr>
          <w:rFonts w:hint="eastAsia" w:ascii="仿宋" w:hAnsi="仿宋" w:eastAsia="仿宋" w:cs="仿宋"/>
          <w:i w:val="0"/>
          <w:caps w:val="0"/>
          <w:color w:val="auto"/>
          <w:spacing w:val="0"/>
          <w:sz w:val="24"/>
          <w:szCs w:val="24"/>
          <w:shd w:val="clear" w:fill="FFFFFF"/>
          <w:lang w:val="en-US" w:eastAsia="zh-CN"/>
        </w:rPr>
        <w:t>（3）</w:t>
      </w:r>
      <w:r>
        <w:rPr>
          <w:rFonts w:hint="eastAsia" w:ascii="仿宋" w:hAnsi="仿宋" w:eastAsia="仿宋" w:cs="仿宋"/>
          <w:i w:val="0"/>
          <w:caps w:val="0"/>
          <w:color w:val="auto"/>
          <w:spacing w:val="0"/>
          <w:sz w:val="24"/>
          <w:szCs w:val="24"/>
          <w:shd w:val="clear" w:fill="FFFFFF"/>
          <w:lang w:eastAsia="zh-CN"/>
        </w:rPr>
        <w:t>拟派项目经理须具有水利水电工程专业二级及以上注册建造师证书和有效的安全生产考核证书（B证）且无在建工程、无不良记录（提供无在建工程、无不良记录承诺书）</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（4）</w:t>
      </w:r>
      <w:r>
        <w:rPr>
          <w:rFonts w:hint="eastAsia" w:ascii="仿宋" w:hAnsi="仿宋" w:eastAsia="仿宋" w:cs="仿宋"/>
          <w:i w:val="0"/>
          <w:caps w:val="0"/>
          <w:color w:val="auto"/>
          <w:spacing w:val="0"/>
          <w:sz w:val="24"/>
          <w:szCs w:val="24"/>
          <w:shd w:val="clear" w:fill="FFFFFF"/>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i w:val="0"/>
          <w:caps w:val="0"/>
          <w:color w:val="auto"/>
          <w:spacing w:val="0"/>
          <w:sz w:val="24"/>
          <w:szCs w:val="24"/>
          <w:shd w:val="clear" w:fill="FFFFFF"/>
          <w:lang w:eastAsia="zh-CN"/>
        </w:rPr>
        <w:t>。</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三、采购文件的获取方式</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时间：即日起至</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04</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 xml:space="preserve">08 </w:t>
      </w:r>
      <w:r>
        <w:rPr>
          <w:rFonts w:hint="eastAsia" w:ascii="仿宋" w:hAnsi="仿宋" w:eastAsia="仿宋" w:cs="仿宋"/>
          <w:i w:val="0"/>
          <w:caps w:val="0"/>
          <w:color w:val="auto"/>
          <w:spacing w:val="0"/>
          <w:sz w:val="24"/>
          <w:szCs w:val="24"/>
          <w:shd w:val="clear" w:fill="FFFFFF"/>
        </w:rPr>
        <w:t xml:space="preserve"> 17:00:00 止</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地点：陕西省西安市高新区科技五路8号数字大厦11层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方式：现场购买/邮寄</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售价：免费赠送</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Style w:val="38"/>
          <w:rFonts w:hint="eastAsia" w:ascii="仿宋" w:hAnsi="仿宋" w:eastAsia="仿宋" w:cs="仿宋"/>
          <w:b/>
          <w:i w:val="0"/>
          <w:caps w:val="0"/>
          <w:color w:val="auto"/>
          <w:spacing w:val="0"/>
          <w:sz w:val="24"/>
          <w:szCs w:val="24"/>
          <w:shd w:val="clear" w:fill="FFFFFF"/>
        </w:rPr>
        <w:t>注：</w:t>
      </w:r>
      <w:r>
        <w:rPr>
          <w:rStyle w:val="38"/>
          <w:rFonts w:hint="eastAsia" w:ascii="仿宋" w:hAnsi="仿宋" w:eastAsia="仿宋" w:cs="仿宋"/>
          <w:b/>
          <w:i w:val="0"/>
          <w:caps w:val="0"/>
          <w:color w:val="auto"/>
          <w:spacing w:val="0"/>
          <w:sz w:val="24"/>
          <w:szCs w:val="24"/>
          <w:shd w:val="clear" w:fill="FFFFFF"/>
          <w:lang w:eastAsia="zh-CN"/>
        </w:rPr>
        <w:t>获取</w:t>
      </w:r>
      <w:r>
        <w:rPr>
          <w:rStyle w:val="38"/>
          <w:rFonts w:hint="eastAsia" w:ascii="仿宋" w:hAnsi="仿宋" w:eastAsia="仿宋" w:cs="仿宋"/>
          <w:b/>
          <w:i w:val="0"/>
          <w:caps w:val="0"/>
          <w:color w:val="auto"/>
          <w:spacing w:val="0"/>
          <w:sz w:val="24"/>
          <w:szCs w:val="24"/>
          <w:shd w:val="clear" w:fill="FFFFFF"/>
        </w:rPr>
        <w:t>竞争性磋商文件请携带单位介绍信原件,经办人身份证原件及加盖供应商公章的复印件。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四、响应文件递交</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截止时间：</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04</w:t>
      </w:r>
      <w:r>
        <w:rPr>
          <w:rFonts w:hint="eastAsia" w:ascii="仿宋" w:hAnsi="仿宋" w:eastAsia="仿宋" w:cs="仿宋"/>
          <w:i w:val="0"/>
          <w:caps w:val="0"/>
          <w:color w:val="auto"/>
          <w:spacing w:val="0"/>
          <w:sz w:val="24"/>
          <w:szCs w:val="24"/>
          <w:shd w:val="clear" w:fill="FFFFFF"/>
        </w:rPr>
        <w:t>-</w:t>
      </w:r>
      <w:r>
        <w:rPr>
          <w:rFonts w:hint="eastAsia" w:ascii="仿宋" w:hAnsi="仿宋" w:eastAsia="仿宋" w:cs="仿宋"/>
          <w:i w:val="0"/>
          <w:caps w:val="0"/>
          <w:color w:val="auto"/>
          <w:spacing w:val="0"/>
          <w:sz w:val="24"/>
          <w:szCs w:val="24"/>
          <w:shd w:val="clear" w:fill="FFFFFF"/>
          <w:lang w:val="en-US" w:eastAsia="zh-CN"/>
        </w:rPr>
        <w:t xml:space="preserve">11 </w:t>
      </w:r>
      <w:r>
        <w:rPr>
          <w:rFonts w:hint="eastAsia" w:ascii="仿宋" w:hAnsi="仿宋" w:eastAsia="仿宋" w:cs="仿宋"/>
          <w:i w:val="0"/>
          <w:caps w:val="0"/>
          <w:color w:val="auto"/>
          <w:spacing w:val="0"/>
          <w:sz w:val="24"/>
          <w:szCs w:val="24"/>
          <w:shd w:val="clear" w:fill="FFFFFF"/>
        </w:rPr>
        <w:t xml:space="preserve"> 14:30:00</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地点：陕西省西安市高新区科技五路8号数字大厦11层</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五、公告期限</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自本公告发布之日起3个工作日。</w:t>
      </w:r>
    </w:p>
    <w:p>
      <w:pPr>
        <w:pStyle w:val="31"/>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其他补充事宜</w:t>
      </w:r>
    </w:p>
    <w:p>
      <w:pPr>
        <w:pStyle w:val="3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val="0"/>
          <w:bCs/>
          <w:i w:val="0"/>
          <w:caps w:val="0"/>
          <w:color w:val="auto"/>
          <w:spacing w:val="0"/>
          <w:sz w:val="24"/>
          <w:szCs w:val="24"/>
          <w:shd w:val="clear" w:color="auto" w:fill="FFFFFF"/>
          <w:lang w:val="en-US" w:eastAsia="zh-CN"/>
        </w:rPr>
        <w:t>落实的政府采购政策：本项目专门面向中小企业采购，供应商应为中小微企业或监狱企业或残疾人福利性单位。</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七、对本次采购提出询问，请按以下方式联系</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caps w:val="0"/>
          <w:color w:val="auto"/>
          <w:spacing w:val="0"/>
          <w:sz w:val="24"/>
          <w:szCs w:val="24"/>
          <w:shd w:val="clear" w:fill="FFFFFF"/>
        </w:rPr>
      </w:pPr>
      <w:r>
        <w:rPr>
          <w:rFonts w:hint="eastAsia" w:ascii="仿宋" w:hAnsi="仿宋" w:eastAsia="仿宋" w:cs="仿宋"/>
          <w:i w:val="0"/>
          <w:caps w:val="0"/>
          <w:color w:val="auto"/>
          <w:spacing w:val="0"/>
          <w:sz w:val="24"/>
          <w:szCs w:val="24"/>
          <w:shd w:val="clear" w:fill="FFFFFF"/>
        </w:rPr>
        <w:t>1、采购人信息：蓝田县水务局</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地址：蓝田县新城路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i w:val="0"/>
          <w:caps w:val="0"/>
          <w:color w:val="auto"/>
          <w:spacing w:val="0"/>
          <w:sz w:val="24"/>
          <w:szCs w:val="24"/>
          <w:shd w:val="clear" w:fill="FFFFFF"/>
        </w:rPr>
      </w:pPr>
      <w:r>
        <w:rPr>
          <w:rFonts w:hint="eastAsia" w:ascii="仿宋" w:hAnsi="仿宋" w:eastAsia="仿宋" w:cs="仿宋"/>
          <w:i w:val="0"/>
          <w:caps w:val="0"/>
          <w:color w:val="auto"/>
          <w:spacing w:val="0"/>
          <w:sz w:val="24"/>
          <w:szCs w:val="24"/>
          <w:shd w:val="clear" w:fill="FFFFFF"/>
        </w:rPr>
        <w:t>联系人：于老师</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电话：029-82879195</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2、项目联系方式</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项目联系人：李莹</w:t>
      </w:r>
      <w:r>
        <w:rPr>
          <w:rFonts w:hint="eastAsia" w:ascii="仿宋" w:hAnsi="仿宋" w:eastAsia="仿宋" w:cs="仿宋"/>
          <w:i w:val="0"/>
          <w:caps w:val="0"/>
          <w:color w:val="auto"/>
          <w:spacing w:val="0"/>
          <w:sz w:val="24"/>
          <w:szCs w:val="24"/>
          <w:shd w:val="clear" w:fill="FFFFFF"/>
          <w:lang w:eastAsia="zh-CN"/>
        </w:rPr>
        <w:t>、</w:t>
      </w:r>
      <w:r>
        <w:rPr>
          <w:rFonts w:hint="eastAsia" w:ascii="仿宋" w:hAnsi="仿宋" w:eastAsia="仿宋" w:cs="仿宋"/>
          <w:i w:val="0"/>
          <w:caps w:val="0"/>
          <w:color w:val="auto"/>
          <w:spacing w:val="0"/>
          <w:sz w:val="24"/>
          <w:szCs w:val="24"/>
          <w:shd w:val="clear" w:fill="FFFFFF"/>
        </w:rPr>
        <w:t>张艳萍</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lang w:val="en-US" w:eastAsia="zh-CN"/>
        </w:rPr>
      </w:pPr>
      <w:r>
        <w:rPr>
          <w:rFonts w:hint="eastAsia" w:ascii="仿宋" w:hAnsi="仿宋" w:eastAsia="仿宋" w:cs="仿宋"/>
          <w:i w:val="0"/>
          <w:caps w:val="0"/>
          <w:color w:val="auto"/>
          <w:spacing w:val="0"/>
          <w:sz w:val="24"/>
          <w:szCs w:val="24"/>
          <w:shd w:val="clear" w:fill="FFFFFF"/>
        </w:rPr>
        <w:t>电 话：029-88899970/72/73/75-81</w:t>
      </w:r>
      <w:r>
        <w:rPr>
          <w:rFonts w:hint="eastAsia" w:ascii="仿宋" w:hAnsi="仿宋" w:eastAsia="仿宋" w:cs="仿宋"/>
          <w:i w:val="0"/>
          <w:caps w:val="0"/>
          <w:color w:val="auto"/>
          <w:spacing w:val="0"/>
          <w:sz w:val="24"/>
          <w:szCs w:val="24"/>
          <w:shd w:val="clear" w:fill="FFFFFF"/>
          <w:lang w:val="en-US" w:eastAsia="zh-CN"/>
        </w:rPr>
        <w:t>6</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传 真：/</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3、采购代理机构信息</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名称：华夏国际项目管理有限公司</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联系地址：西安市高新区科技五路8号数字大厦11楼</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rPr>
        <w:t>联系方式：</w:t>
      </w:r>
      <w:r>
        <w:rPr>
          <w:rFonts w:hint="eastAsia" w:ascii="仿宋" w:hAnsi="仿宋" w:eastAsia="仿宋" w:cs="仿宋"/>
          <w:i w:val="0"/>
          <w:caps w:val="0"/>
          <w:color w:val="auto"/>
          <w:spacing w:val="0"/>
          <w:sz w:val="24"/>
          <w:szCs w:val="24"/>
          <w:u w:val="none"/>
          <w:shd w:val="clear" w:fill="FFFFFF"/>
        </w:rPr>
        <w:fldChar w:fldCharType="begin"/>
      </w:r>
      <w:r>
        <w:rPr>
          <w:rFonts w:hint="eastAsia" w:ascii="仿宋" w:hAnsi="仿宋" w:eastAsia="仿宋" w:cs="仿宋"/>
          <w:i w:val="0"/>
          <w:caps w:val="0"/>
          <w:color w:val="auto"/>
          <w:spacing w:val="0"/>
          <w:sz w:val="24"/>
          <w:szCs w:val="24"/>
          <w:u w:val="none"/>
          <w:shd w:val="clear" w:fill="FFFFFF"/>
        </w:rPr>
        <w:instrText xml:space="preserve"> HYPERLINK "http://www.ccgp.gov.cn/agency/a_agencylist.html" \t "http://www.ccgp-shaanxi.gov.cn/notice/_blank" </w:instrText>
      </w:r>
      <w:r>
        <w:rPr>
          <w:rFonts w:hint="eastAsia" w:ascii="仿宋" w:hAnsi="仿宋" w:eastAsia="仿宋" w:cs="仿宋"/>
          <w:i w:val="0"/>
          <w:caps w:val="0"/>
          <w:color w:val="auto"/>
          <w:spacing w:val="0"/>
          <w:sz w:val="24"/>
          <w:szCs w:val="24"/>
          <w:u w:val="none"/>
          <w:shd w:val="clear" w:fill="FFFFFF"/>
        </w:rPr>
        <w:fldChar w:fldCharType="separate"/>
      </w:r>
      <w:r>
        <w:rPr>
          <w:rStyle w:val="45"/>
          <w:rFonts w:hint="eastAsia" w:ascii="仿宋" w:hAnsi="仿宋" w:eastAsia="仿宋" w:cs="仿宋"/>
          <w:i w:val="0"/>
          <w:caps w:val="0"/>
          <w:color w:val="auto"/>
          <w:spacing w:val="0"/>
          <w:sz w:val="24"/>
          <w:szCs w:val="24"/>
          <w:u w:val="none"/>
          <w:shd w:val="clear" w:fill="FFFFFF"/>
        </w:rPr>
        <w:t>http://www.ccgp.gov.cn/agency/a_agencylist.html</w:t>
      </w:r>
      <w:r>
        <w:rPr>
          <w:rFonts w:hint="eastAsia" w:ascii="仿宋" w:hAnsi="仿宋" w:eastAsia="仿宋" w:cs="仿宋"/>
          <w:i w:val="0"/>
          <w:caps w:val="0"/>
          <w:color w:val="auto"/>
          <w:spacing w:val="0"/>
          <w:sz w:val="24"/>
          <w:szCs w:val="24"/>
          <w:u w:val="none"/>
          <w:shd w:val="clear" w:fill="FFFFFF"/>
        </w:rPr>
        <w:fldChar w:fldCharType="end"/>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4"/>
          <w:szCs w:val="24"/>
          <w:shd w:val="clear" w:fill="FFFFFF"/>
        </w:rPr>
      </w:pPr>
      <w:r>
        <w:rPr>
          <w:rFonts w:hint="eastAsia" w:ascii="仿宋" w:hAnsi="仿宋" w:eastAsia="仿宋" w:cs="仿宋"/>
          <w:b/>
          <w:i w:val="0"/>
          <w:caps w:val="0"/>
          <w:color w:val="auto"/>
          <w:spacing w:val="0"/>
          <w:sz w:val="24"/>
          <w:szCs w:val="24"/>
          <w:shd w:val="clear" w:fill="FFFFFF"/>
        </w:rPr>
        <w:t>八、附件：</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lang w:val="en-US" w:eastAsia="zh-CN"/>
        </w:rPr>
        <w:t xml:space="preserve">                   </w:t>
      </w:r>
      <w:r>
        <w:rPr>
          <w:rFonts w:hint="eastAsia" w:ascii="仿宋" w:hAnsi="仿宋" w:eastAsia="仿宋" w:cs="仿宋"/>
          <w:i w:val="0"/>
          <w:caps w:val="0"/>
          <w:color w:val="auto"/>
          <w:spacing w:val="0"/>
          <w:sz w:val="24"/>
          <w:szCs w:val="24"/>
          <w:shd w:val="clear" w:fill="FFFFFF"/>
        </w:rPr>
        <w:t>华夏国际项目管理有限公司</w:t>
      </w:r>
    </w:p>
    <w:p>
      <w:pPr>
        <w:pStyle w:val="3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outlineLvl w:val="9"/>
        <w:rPr>
          <w:rFonts w:hint="eastAsia" w:ascii="仿宋" w:hAnsi="仿宋" w:eastAsia="仿宋" w:cs="仿宋"/>
          <w:color w:val="auto"/>
          <w:sz w:val="24"/>
          <w:szCs w:val="24"/>
        </w:rPr>
      </w:pPr>
      <w:r>
        <w:rPr>
          <w:rFonts w:hint="eastAsia" w:ascii="仿宋" w:hAnsi="仿宋" w:eastAsia="仿宋" w:cs="仿宋"/>
          <w:i w:val="0"/>
          <w:caps w:val="0"/>
          <w:color w:val="auto"/>
          <w:spacing w:val="0"/>
          <w:sz w:val="24"/>
          <w:szCs w:val="24"/>
          <w:shd w:val="clear" w:fill="FFFFFF"/>
          <w:lang w:val="en-US" w:eastAsia="zh-CN"/>
        </w:rPr>
        <w:t xml:space="preserve">                  </w:t>
      </w:r>
      <w:r>
        <w:rPr>
          <w:rFonts w:hint="eastAsia" w:ascii="仿宋" w:hAnsi="仿宋" w:eastAsia="仿宋" w:cs="仿宋"/>
          <w:i w:val="0"/>
          <w:caps w:val="0"/>
          <w:color w:val="auto"/>
          <w:spacing w:val="0"/>
          <w:sz w:val="24"/>
          <w:szCs w:val="24"/>
          <w:shd w:val="clear" w:fill="FFFFFF"/>
          <w:lang w:eastAsia="zh-CN"/>
        </w:rPr>
        <w:t>2022</w:t>
      </w:r>
      <w:r>
        <w:rPr>
          <w:rFonts w:hint="eastAsia" w:ascii="仿宋" w:hAnsi="仿宋" w:eastAsia="仿宋" w:cs="仿宋"/>
          <w:i w:val="0"/>
          <w:caps w:val="0"/>
          <w:color w:val="auto"/>
          <w:spacing w:val="0"/>
          <w:sz w:val="24"/>
          <w:szCs w:val="24"/>
          <w:shd w:val="clear" w:fill="FFFFFF"/>
        </w:rPr>
        <w:t>年</w:t>
      </w:r>
      <w:r>
        <w:rPr>
          <w:rFonts w:hint="eastAsia" w:ascii="仿宋" w:hAnsi="仿宋" w:eastAsia="仿宋" w:cs="仿宋"/>
          <w:i w:val="0"/>
          <w:caps w:val="0"/>
          <w:color w:val="auto"/>
          <w:spacing w:val="0"/>
          <w:sz w:val="24"/>
          <w:szCs w:val="24"/>
          <w:shd w:val="clear" w:fill="FFFFFF"/>
          <w:lang w:val="en-US" w:eastAsia="zh-CN"/>
        </w:rPr>
        <w:t>03</w:t>
      </w:r>
      <w:r>
        <w:rPr>
          <w:rFonts w:hint="eastAsia" w:ascii="仿宋" w:hAnsi="仿宋" w:eastAsia="仿宋" w:cs="仿宋"/>
          <w:i w:val="0"/>
          <w:caps w:val="0"/>
          <w:color w:val="auto"/>
          <w:spacing w:val="0"/>
          <w:sz w:val="24"/>
          <w:szCs w:val="24"/>
          <w:shd w:val="clear" w:fill="FFFFFF"/>
        </w:rPr>
        <w:t>月</w:t>
      </w:r>
      <w:r>
        <w:rPr>
          <w:rFonts w:hint="eastAsia" w:ascii="仿宋" w:hAnsi="仿宋" w:eastAsia="仿宋" w:cs="仿宋"/>
          <w:i w:val="0"/>
          <w:caps w:val="0"/>
          <w:color w:val="auto"/>
          <w:spacing w:val="0"/>
          <w:sz w:val="24"/>
          <w:szCs w:val="24"/>
          <w:shd w:val="clear" w:fill="FFFFFF"/>
          <w:lang w:val="en-US" w:eastAsia="zh-CN"/>
        </w:rPr>
        <w:t>31</w:t>
      </w:r>
      <w:r>
        <w:rPr>
          <w:rFonts w:hint="eastAsia" w:ascii="仿宋" w:hAnsi="仿宋" w:eastAsia="仿宋" w:cs="仿宋"/>
          <w:i w:val="0"/>
          <w:caps w:val="0"/>
          <w:color w:val="auto"/>
          <w:spacing w:val="0"/>
          <w:sz w:val="24"/>
          <w:szCs w:val="24"/>
          <w:shd w:val="clear" w:fill="FFFFFF"/>
        </w:rPr>
        <w:t>日</w:t>
      </w:r>
    </w:p>
    <w:p>
      <w:pPr>
        <w:rPr>
          <w:rFonts w:hint="eastAsia" w:ascii="仿宋" w:hAnsi="仿宋" w:eastAsia="仿宋" w:cs="仿宋"/>
          <w:color w:val="auto"/>
        </w:rPr>
      </w:pPr>
    </w:p>
    <w:p>
      <w:pPr>
        <w:pStyle w:val="3"/>
        <w:keepNext w:val="0"/>
        <w:pageBreakBefore/>
        <w:spacing w:line="350" w:lineRule="auto"/>
        <w:jc w:val="center"/>
        <w:rPr>
          <w:rFonts w:hint="eastAsia" w:ascii="仿宋" w:hAnsi="仿宋" w:eastAsia="仿宋" w:cs="仿宋"/>
          <w:color w:val="auto"/>
        </w:rPr>
      </w:pPr>
      <w:bookmarkStart w:id="12" w:name="_Toc421778363"/>
      <w:bookmarkStart w:id="13" w:name="_Toc18593"/>
      <w:bookmarkStart w:id="14" w:name="_Toc12054"/>
      <w:r>
        <w:rPr>
          <w:rFonts w:hint="eastAsia" w:ascii="仿宋" w:hAnsi="仿宋" w:eastAsia="仿宋" w:cs="仿宋"/>
          <w:color w:val="auto"/>
        </w:rPr>
        <w:t>第二章</w:t>
      </w:r>
      <w:bookmarkEnd w:id="12"/>
      <w:bookmarkEnd w:id="13"/>
      <w:r>
        <w:rPr>
          <w:rFonts w:hint="eastAsia" w:ascii="仿宋" w:hAnsi="仿宋" w:eastAsia="仿宋" w:cs="仿宋"/>
          <w:color w:val="auto"/>
          <w:lang w:val="en-US" w:eastAsia="zh-CN"/>
        </w:rPr>
        <w:t xml:space="preserve">  </w:t>
      </w:r>
      <w:r>
        <w:rPr>
          <w:rFonts w:hint="eastAsia" w:ascii="仿宋" w:hAnsi="仿宋" w:eastAsia="仿宋" w:cs="仿宋"/>
          <w:color w:val="auto"/>
        </w:rPr>
        <w:t>供应商须知</w:t>
      </w:r>
      <w:bookmarkEnd w:id="14"/>
    </w:p>
    <w:p>
      <w:pPr>
        <w:spacing w:line="360" w:lineRule="auto"/>
        <w:jc w:val="center"/>
        <w:outlineLvl w:val="1"/>
        <w:rPr>
          <w:rFonts w:hint="eastAsia" w:ascii="仿宋" w:hAnsi="仿宋" w:eastAsia="仿宋" w:cs="仿宋"/>
          <w:b/>
          <w:bCs/>
          <w:color w:val="auto"/>
          <w:sz w:val="28"/>
          <w:szCs w:val="28"/>
        </w:rPr>
      </w:pPr>
      <w:bookmarkStart w:id="15" w:name="_Toc420591642"/>
      <w:bookmarkStart w:id="16" w:name="_Toc421778364"/>
      <w:bookmarkStart w:id="17" w:name="_Toc9103"/>
      <w:bookmarkStart w:id="18" w:name="_Toc19675"/>
      <w:r>
        <w:rPr>
          <w:rFonts w:hint="eastAsia" w:ascii="仿宋" w:hAnsi="仿宋" w:eastAsia="仿宋" w:cs="仿宋"/>
          <w:b/>
          <w:bCs/>
          <w:color w:val="auto"/>
          <w:sz w:val="28"/>
          <w:szCs w:val="28"/>
        </w:rPr>
        <w:t>供应商须知前附表</w:t>
      </w:r>
      <w:bookmarkEnd w:id="15"/>
      <w:bookmarkEnd w:id="16"/>
      <w:bookmarkEnd w:id="17"/>
      <w:bookmarkEnd w:id="18"/>
    </w:p>
    <w:tbl>
      <w:tblPr>
        <w:tblStyle w:val="35"/>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2493"/>
        <w:gridCol w:w="6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条款号</w:t>
            </w:r>
          </w:p>
        </w:tc>
        <w:tc>
          <w:tcPr>
            <w:tcW w:w="2493" w:type="dxa"/>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条款名称</w:t>
            </w:r>
          </w:p>
        </w:tc>
        <w:tc>
          <w:tcPr>
            <w:tcW w:w="6240" w:type="dxa"/>
            <w:vAlign w:val="center"/>
          </w:tcPr>
          <w:p>
            <w:pPr>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1.1.2</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招标人：</w:t>
            </w:r>
            <w:r>
              <w:rPr>
                <w:rFonts w:hint="eastAsia" w:ascii="仿宋" w:hAnsi="仿宋" w:eastAsia="仿宋" w:cs="仿宋"/>
                <w:color w:val="auto"/>
                <w:sz w:val="24"/>
                <w:szCs w:val="24"/>
                <w:lang w:eastAsia="zh-CN"/>
              </w:rPr>
              <w:t>蓝田县水务局</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　址：蓝田县新城路</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联系人：于老师</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联系方式：029-82879195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1.1.3</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采购代理机构</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名称：</w:t>
            </w:r>
            <w:r>
              <w:rPr>
                <w:rFonts w:hint="eastAsia" w:ascii="仿宋" w:hAnsi="仿宋" w:eastAsia="仿宋" w:cs="仿宋"/>
                <w:color w:val="auto"/>
                <w:sz w:val="24"/>
                <w:szCs w:val="24"/>
                <w:lang w:eastAsia="zh-CN"/>
              </w:rPr>
              <w:t>华夏国际项目管理有限公司</w:t>
            </w:r>
          </w:p>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地址：</w:t>
            </w:r>
            <w:r>
              <w:rPr>
                <w:rFonts w:hint="eastAsia" w:ascii="仿宋" w:hAnsi="仿宋" w:eastAsia="仿宋" w:cs="仿宋"/>
                <w:color w:val="auto"/>
                <w:sz w:val="24"/>
                <w:szCs w:val="24"/>
                <w:lang w:eastAsia="zh-CN"/>
              </w:rPr>
              <w:t>西安市高新区科技五路</w:t>
            </w:r>
            <w:r>
              <w:rPr>
                <w:rFonts w:hint="eastAsia" w:ascii="仿宋" w:hAnsi="仿宋" w:eastAsia="仿宋" w:cs="仿宋"/>
                <w:color w:val="auto"/>
                <w:sz w:val="24"/>
                <w:szCs w:val="24"/>
                <w:lang w:val="en-US" w:eastAsia="zh-CN"/>
              </w:rPr>
              <w:t>8号数字大厦11楼</w:t>
            </w:r>
          </w:p>
          <w:p>
            <w:pPr>
              <w:spacing w:line="360" w:lineRule="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联系人：李莹、张艳萍</w:t>
            </w:r>
          </w:p>
          <w:p>
            <w:pPr>
              <w:spacing w:line="360" w:lineRule="auto"/>
              <w:rPr>
                <w:rFonts w:hint="default" w:ascii="仿宋" w:hAnsi="仿宋" w:eastAsia="仿宋" w:cs="仿宋"/>
                <w:color w:val="auto"/>
                <w:sz w:val="24"/>
                <w:szCs w:val="24"/>
                <w:lang w:val="en-US"/>
              </w:rPr>
            </w:pPr>
            <w:r>
              <w:rPr>
                <w:rFonts w:hint="eastAsia" w:ascii="仿宋" w:hAnsi="仿宋" w:eastAsia="仿宋" w:cs="仿宋"/>
                <w:color w:val="auto"/>
                <w:sz w:val="24"/>
                <w:szCs w:val="24"/>
              </w:rPr>
              <w:t>电话：</w:t>
            </w:r>
            <w:r>
              <w:rPr>
                <w:rFonts w:hint="eastAsia" w:ascii="仿宋" w:hAnsi="仿宋" w:eastAsia="仿宋" w:cs="仿宋"/>
                <w:color w:val="auto"/>
                <w:sz w:val="24"/>
                <w:szCs w:val="24"/>
                <w:highlight w:val="none"/>
              </w:rPr>
              <w:t>88899970</w:t>
            </w:r>
            <w:r>
              <w:rPr>
                <w:rFonts w:hint="eastAsia" w:ascii="仿宋" w:hAnsi="仿宋" w:eastAsia="仿宋" w:cs="仿宋"/>
                <w:color w:val="auto"/>
                <w:sz w:val="24"/>
                <w:szCs w:val="24"/>
                <w:highlight w:val="none"/>
                <w:lang w:val="en-US" w:eastAsia="zh-CN"/>
              </w:rPr>
              <w:t>/72/73/75-816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1.1.5</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建设地点</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西安市蓝田县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资金来源</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1.2.2</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资金落实情况</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资金已落实到位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1.3.1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范围</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本项目规划新增水土流失治理面积6.0km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。主要建设内容包括:营造水士保持林</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.20hm</w:t>
            </w:r>
            <w:r>
              <w:rPr>
                <w:rFonts w:hint="eastAsia" w:ascii="仿宋" w:hAnsi="仿宋" w:eastAsia="仿宋" w:cs="仿宋"/>
                <w:color w:val="auto"/>
                <w:sz w:val="24"/>
                <w:szCs w:val="24"/>
                <w:highlight w:val="none"/>
                <w:vertAlign w:val="superscript"/>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rPr>
              <w:t>营造水土保持经济林40.20hm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，(其中花椒6.7hm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，核桃20.1hm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，柿子6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7hm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，樱桃6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7hm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);实施村内道路绿化0</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6hm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(长度1000m);对现有疏幼林地进行封禁，面积500.00hm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，其中补植面积45.00hm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，配套布设封禁网围栏1000m;封禁碑4座，水保宣传牌10块</w:t>
            </w:r>
            <w:r>
              <w:rPr>
                <w:rFonts w:hint="eastAsia" w:ascii="仿宋" w:hAnsi="仿宋" w:eastAsia="仿宋" w:cs="仿宋"/>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1.3.2</w:t>
            </w:r>
          </w:p>
        </w:tc>
        <w:tc>
          <w:tcPr>
            <w:tcW w:w="2493" w:type="dxa"/>
            <w:vAlign w:val="center"/>
          </w:tcPr>
          <w:p>
            <w:pPr>
              <w:spacing w:line="360"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计划工期</w:t>
            </w:r>
          </w:p>
        </w:tc>
        <w:tc>
          <w:tcPr>
            <w:tcW w:w="6240" w:type="dxa"/>
            <w:vAlign w:val="center"/>
          </w:tcPr>
          <w:p>
            <w:pPr>
              <w:pStyle w:val="12"/>
              <w:rPr>
                <w:rFonts w:hint="eastAsia" w:ascii="仿宋" w:hAnsi="仿宋" w:eastAsia="仿宋" w:cs="仿宋"/>
                <w:color w:val="auto"/>
                <w:sz w:val="24"/>
                <w:szCs w:val="24"/>
              </w:rPr>
            </w:pPr>
            <w:r>
              <w:rPr>
                <w:rFonts w:hint="eastAsia" w:ascii="仿宋" w:hAnsi="仿宋" w:eastAsia="仿宋" w:cs="仿宋"/>
                <w:color w:val="auto"/>
                <w:sz w:val="24"/>
                <w:szCs w:val="24"/>
              </w:rPr>
              <w:t>自合同签订之日起150日历</w:t>
            </w:r>
            <w:r>
              <w:rPr>
                <w:rFonts w:hint="eastAsia" w:ascii="仿宋" w:hAnsi="仿宋" w:eastAsia="仿宋" w:cs="仿宋"/>
                <w:color w:val="auto"/>
                <w:sz w:val="24"/>
                <w:szCs w:val="24"/>
                <w:lang w:val="en-US" w:eastAsia="zh-CN"/>
              </w:rPr>
              <w:t>天</w:t>
            </w:r>
            <w:r>
              <w:rPr>
                <w:rFonts w:hint="eastAsia" w:ascii="仿宋" w:hAnsi="仿宋" w:eastAsia="仿宋" w:cs="仿宋"/>
                <w:color w:val="auto"/>
                <w:sz w:val="24"/>
                <w:szCs w:val="24"/>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1.3.3</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质量标准</w:t>
            </w:r>
          </w:p>
        </w:tc>
        <w:tc>
          <w:tcPr>
            <w:tcW w:w="6240" w:type="dxa"/>
            <w:vAlign w:val="center"/>
          </w:tcPr>
          <w:p>
            <w:pPr>
              <w:spacing w:line="360" w:lineRule="auto"/>
              <w:rPr>
                <w:rFonts w:hint="eastAsia" w:ascii="仿宋" w:hAnsi="仿宋" w:eastAsia="仿宋" w:cs="仿宋"/>
                <w:color w:val="auto"/>
                <w:sz w:val="24"/>
                <w:szCs w:val="24"/>
              </w:rPr>
            </w:pPr>
            <w:bookmarkStart w:id="19" w:name="OLE_LINK18"/>
            <w:bookmarkStart w:id="20" w:name="OLE_LINK34"/>
            <w:r>
              <w:rPr>
                <w:rFonts w:hint="eastAsia" w:ascii="仿宋" w:hAnsi="仿宋" w:eastAsia="仿宋" w:cs="仿宋"/>
                <w:color w:val="auto"/>
                <w:kern w:val="0"/>
                <w:sz w:val="24"/>
                <w:szCs w:val="24"/>
              </w:rPr>
              <w:t>符合国家现行有关施工质量验收规范“合格”要求。</w:t>
            </w:r>
            <w:bookmarkEnd w:id="19"/>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1.4.1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资质证明文件</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1、基本资格条件：符合《中华人民共和国政府采购法》第二十二条的规定，并提供以下资料；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提供合格有效的法人或者其他组织的营业执照等证明文件，自然人的身份证明；</w:t>
            </w:r>
          </w:p>
          <w:p>
            <w:pPr>
              <w:keepNext w:val="0"/>
              <w:keepLines w:val="0"/>
              <w:pageBreakBefore w:val="0"/>
              <w:widowControl w:val="0"/>
              <w:kinsoku/>
              <w:wordWrap/>
              <w:overflowPunct/>
              <w:topLinePunct w:val="0"/>
              <w:autoSpaceDE/>
              <w:autoSpaceDN/>
              <w:bidi w:val="0"/>
              <w:adjustRightInd/>
              <w:snapToGrid/>
              <w:spacing w:line="440" w:lineRule="exact"/>
              <w:ind w:left="42" w:leftChars="20" w:right="0" w:rightChars="0"/>
              <w:jc w:val="both"/>
              <w:textAlignment w:val="auto"/>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是法人或其他组织的应提供营业执照等证明文件，</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是自然人的应提供有效的自然人身份证明</w:t>
            </w:r>
            <w:r>
              <w:rPr>
                <w:rFonts w:hint="eastAsia" w:ascii="仿宋" w:hAnsi="仿宋" w:eastAsia="仿宋" w:cs="仿宋"/>
                <w:b w:val="0"/>
                <w:bCs w:val="0"/>
                <w:color w:val="auto"/>
                <w:sz w:val="24"/>
                <w:szCs w:val="24"/>
                <w:highlight w:val="none"/>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提供2020年度经审计的财务报告</w:t>
            </w:r>
            <w:r>
              <w:rPr>
                <w:rFonts w:hint="eastAsia" w:ascii="仿宋" w:hAnsi="仿宋" w:eastAsia="仿宋" w:cs="仿宋"/>
                <w:color w:val="auto"/>
                <w:sz w:val="24"/>
                <w:szCs w:val="24"/>
              </w:rPr>
              <w:t>（成立时间至提交</w:t>
            </w:r>
            <w:r>
              <w:rPr>
                <w:rFonts w:hint="eastAsia" w:ascii="仿宋" w:hAnsi="仿宋" w:eastAsia="仿宋" w:cs="仿宋"/>
                <w:color w:val="auto"/>
                <w:sz w:val="24"/>
                <w:szCs w:val="24"/>
                <w:lang w:eastAsia="zh-CN"/>
              </w:rPr>
              <w:t>磋商响应文件</w:t>
            </w:r>
            <w:r>
              <w:rPr>
                <w:rFonts w:hint="eastAsia" w:ascii="仿宋" w:hAnsi="仿宋" w:eastAsia="仿宋" w:cs="仿宋"/>
                <w:color w:val="auto"/>
                <w:sz w:val="24"/>
                <w:szCs w:val="24"/>
              </w:rPr>
              <w:t>截止时间不足一年的可提供成立后任意时段的资产负债表），或其基本存款账户开户银行出具的资信证明及基本存款账户开户许可证</w:t>
            </w:r>
            <w:r>
              <w:rPr>
                <w:rFonts w:hint="eastAsia" w:ascii="仿宋" w:hAnsi="仿宋" w:eastAsia="仿宋" w:cs="仿宋"/>
                <w:color w:val="auto"/>
                <w:sz w:val="24"/>
                <w:szCs w:val="24"/>
                <w:lang w:eastAsia="zh-CN"/>
              </w:rPr>
              <w:t>（基本账户信息表）</w:t>
            </w:r>
            <w:r>
              <w:rPr>
                <w:rFonts w:hint="eastAsia" w:ascii="仿宋" w:hAnsi="仿宋" w:eastAsia="仿宋" w:cs="仿宋"/>
                <w:color w:val="auto"/>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提供具有履行合同所必需的设备和专业技术能力的承诺；（格式自拟）</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截止日前一年内已缴纳的至少一个月的纳税证明或完税证明，依法免税的单位应提供相关证明材料；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参加政府采购活动前3年内，在经营活动中没有重大违法记录的书面声明</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szCs w:val="24"/>
                <w:highlight w:val="none"/>
                <w:lang w:val="en-US" w:eastAsia="zh-CN"/>
              </w:rPr>
              <w:t>（格式自拟）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落实政府采购政策需满足的资格要求：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3、特定资格条件：</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法定代表人授权书（附法定代表人、被授权人身份证复印件）及被授权人身份证（法定代表人直接参加招标，须提供法定代表人身份证明及身份证原件）；</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lang w:eastAsia="zh-CN"/>
              </w:rPr>
              <w:t>具备建设行政主管部门颁发的水利水电工程施工总承包三级及以上资质证书，同时具有合格有效的安全生产许可证；</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拟派项目经理须具有水利水电工程专业二级及以上注册建造师证书和有效的安全生产考核证书（B证）且无在建工程、无不良记录（提供无在建工程、无不良记录承诺书）</w:t>
            </w:r>
            <w:r>
              <w:rPr>
                <w:rFonts w:hint="eastAsia" w:ascii="仿宋" w:hAnsi="仿宋" w:eastAsia="仿宋" w:cs="仿宋"/>
                <w:color w:val="auto"/>
                <w:sz w:val="24"/>
                <w:szCs w:val="24"/>
                <w:highlight w:val="none"/>
              </w:rPr>
              <w:t>；</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本项目不接受联合体磋商。</w:t>
            </w:r>
          </w:p>
          <w:p>
            <w:pPr>
              <w:spacing w:line="360" w:lineRule="auto"/>
              <w:ind w:firstLine="482" w:firstLineChars="20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4"/>
                <w:szCs w:val="24"/>
                <w:highlight w:val="none"/>
              </w:rPr>
              <w:t>以上为必备</w:t>
            </w:r>
            <w:r>
              <w:rPr>
                <w:rFonts w:hint="eastAsia" w:ascii="仿宋" w:hAnsi="仿宋" w:eastAsia="仿宋" w:cs="仿宋"/>
                <w:b/>
                <w:color w:val="auto"/>
                <w:sz w:val="24"/>
                <w:szCs w:val="24"/>
                <w:highlight w:val="none"/>
                <w:lang w:eastAsia="zh-CN"/>
              </w:rPr>
              <w:t>资格要求</w:t>
            </w:r>
            <w:r>
              <w:rPr>
                <w:rFonts w:hint="eastAsia" w:ascii="仿宋" w:hAnsi="仿宋" w:eastAsia="仿宋" w:cs="仿宋"/>
                <w:b/>
                <w:color w:val="auto"/>
                <w:sz w:val="24"/>
                <w:szCs w:val="24"/>
                <w:highlight w:val="none"/>
              </w:rPr>
              <w:t>，缺一项或某项达不到要求，按无效</w:t>
            </w:r>
            <w:r>
              <w:rPr>
                <w:rFonts w:hint="eastAsia" w:ascii="仿宋" w:hAnsi="仿宋" w:eastAsia="仿宋" w:cs="仿宋"/>
                <w:b/>
                <w:color w:val="auto"/>
                <w:sz w:val="24"/>
                <w:szCs w:val="24"/>
                <w:highlight w:val="none"/>
                <w:lang w:eastAsia="zh-CN"/>
              </w:rPr>
              <w:t>磋商</w:t>
            </w:r>
            <w:r>
              <w:rPr>
                <w:rFonts w:hint="eastAsia" w:ascii="仿宋" w:hAnsi="仿宋" w:eastAsia="仿宋" w:cs="仿宋"/>
                <w:b/>
                <w:color w:val="auto"/>
                <w:sz w:val="24"/>
                <w:szCs w:val="24"/>
                <w:highlight w:val="none"/>
              </w:rPr>
              <w:t>处理。除法定代表人授权书需将原件装订在</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文件正本中外，其他所有资质证件的复印件必须加盖单位公章附在</w:t>
            </w:r>
            <w:r>
              <w:rPr>
                <w:rFonts w:hint="eastAsia" w:ascii="仿宋" w:hAnsi="仿宋" w:eastAsia="仿宋" w:cs="仿宋"/>
                <w:b/>
                <w:color w:val="auto"/>
                <w:sz w:val="24"/>
                <w:szCs w:val="24"/>
                <w:highlight w:val="none"/>
                <w:lang w:eastAsia="zh-CN"/>
              </w:rPr>
              <w:t>响应</w:t>
            </w:r>
            <w:r>
              <w:rPr>
                <w:rFonts w:hint="eastAsia" w:ascii="仿宋" w:hAnsi="仿宋" w:eastAsia="仿宋" w:cs="仿宋"/>
                <w:b/>
                <w:color w:val="auto"/>
                <w:sz w:val="24"/>
                <w:szCs w:val="24"/>
                <w:highlight w:val="none"/>
              </w:rPr>
              <w:t>文件中</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资质证件原件</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特定资格条件2、3项除外</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随身携带以备审查。</w:t>
            </w:r>
            <w:r>
              <w:rPr>
                <w:rFonts w:hint="eastAsia" w:ascii="仿宋" w:hAnsi="仿宋" w:eastAsia="仿宋" w:cs="仿宋"/>
                <w:b/>
                <w:color w:val="auto"/>
                <w:sz w:val="24"/>
                <w:szCs w:val="24"/>
                <w:highlight w:val="none"/>
                <w:lang w:val="en-US" w:eastAsia="zh-CN"/>
              </w:rPr>
              <w:t xml:space="preserve">  </w:t>
            </w:r>
          </w:p>
          <w:p>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未注明要求原件</w:t>
            </w:r>
            <w:r>
              <w:rPr>
                <w:rFonts w:hint="eastAsia" w:ascii="仿宋" w:hAnsi="仿宋" w:eastAsia="仿宋" w:cs="仿宋"/>
                <w:color w:val="auto"/>
                <w:sz w:val="24"/>
                <w:szCs w:val="24"/>
                <w:lang w:eastAsia="zh-CN"/>
              </w:rPr>
              <w:t>（</w:t>
            </w:r>
            <w:r>
              <w:rPr>
                <w:rFonts w:hint="eastAsia" w:ascii="仿宋" w:hAnsi="仿宋" w:eastAsia="仿宋" w:cs="仿宋"/>
                <w:b/>
                <w:color w:val="auto"/>
                <w:sz w:val="24"/>
                <w:szCs w:val="24"/>
                <w:highlight w:val="none"/>
                <w:lang w:val="en-US" w:eastAsia="zh-CN"/>
              </w:rPr>
              <w:t>特定资格条件2、3项除外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的资格证明文件，在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后的任何时间，</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都有权随时要求审查原件</w:t>
            </w:r>
            <w:r>
              <w:rPr>
                <w:rFonts w:hint="eastAsia" w:ascii="仿宋" w:hAnsi="仿宋" w:eastAsia="仿宋" w:cs="仿宋"/>
                <w:color w:val="auto"/>
                <w:sz w:val="24"/>
                <w:szCs w:val="24"/>
                <w:lang w:eastAsia="zh-CN"/>
              </w:rPr>
              <w:t>（</w:t>
            </w:r>
            <w:r>
              <w:rPr>
                <w:rFonts w:hint="eastAsia" w:ascii="仿宋" w:hAnsi="仿宋" w:eastAsia="仿宋" w:cs="仿宋"/>
                <w:b/>
                <w:color w:val="auto"/>
                <w:sz w:val="24"/>
                <w:szCs w:val="24"/>
                <w:highlight w:val="none"/>
                <w:lang w:val="en-US" w:eastAsia="zh-CN"/>
              </w:rPr>
              <w:t>特定资格条件2、3项除外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，如果不能按规定时间提供，</w:t>
            </w:r>
            <w:r>
              <w:rPr>
                <w:rFonts w:hint="eastAsia" w:ascii="仿宋" w:hAnsi="仿宋" w:eastAsia="仿宋" w:cs="仿宋"/>
                <w:b w:val="0"/>
                <w:bCs/>
                <w:color w:val="auto"/>
                <w:sz w:val="24"/>
                <w:szCs w:val="24"/>
                <w:highlight w:val="none"/>
                <w:lang w:eastAsia="zh-CN"/>
              </w:rPr>
              <w:t>对供应商造成的不利后果</w:t>
            </w:r>
            <w:r>
              <w:rPr>
                <w:rFonts w:hint="eastAsia" w:ascii="仿宋" w:hAnsi="仿宋" w:eastAsia="仿宋" w:cs="仿宋"/>
                <w:color w:val="auto"/>
                <w:sz w:val="24"/>
                <w:szCs w:val="24"/>
                <w:lang w:eastAsia="zh-CN"/>
              </w:rPr>
              <w:t>由供应商自行承担</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踏勘现场</w:t>
            </w:r>
          </w:p>
        </w:tc>
        <w:tc>
          <w:tcPr>
            <w:tcW w:w="6240" w:type="dxa"/>
            <w:vAlign w:val="center"/>
          </w:tcPr>
          <w:p>
            <w:pPr>
              <w:pStyle w:val="2"/>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sym w:font="Wingdings" w:char="00FE"/>
            </w:r>
            <w:r>
              <w:rPr>
                <w:rFonts w:hint="eastAsia" w:ascii="仿宋" w:hAnsi="仿宋" w:eastAsia="仿宋" w:cs="仿宋"/>
                <w:color w:val="auto"/>
                <w:kern w:val="0"/>
                <w:sz w:val="24"/>
                <w:szCs w:val="24"/>
                <w:highlight w:val="none"/>
                <w:lang w:val="en-US" w:eastAsia="zh-CN" w:bidi="ar-SA"/>
              </w:rPr>
              <w:t>自行踏勘</w:t>
            </w:r>
          </w:p>
          <w:p>
            <w:pPr>
              <w:pStyle w:val="2"/>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联系人：于老师</w:t>
            </w:r>
          </w:p>
          <w:p>
            <w:pPr>
              <w:pStyle w:val="2"/>
              <w:keepNext w:val="0"/>
              <w:keepLines w:val="0"/>
              <w:pageBreakBefore w:val="0"/>
              <w:widowControl w:val="0"/>
              <w:kinsoku/>
              <w:wordWrap/>
              <w:overflowPunct/>
              <w:topLinePunct w:val="0"/>
              <w:autoSpaceDE/>
              <w:autoSpaceDN/>
              <w:bidi w:val="0"/>
              <w:adjustRightInd/>
              <w:snapToGrid/>
              <w:spacing w:after="0" w:afterLines="0" w:line="440" w:lineRule="exact"/>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lang w:val="en-US" w:eastAsia="zh-CN" w:bidi="ar-SA"/>
              </w:rPr>
              <w:t>联系方式：029-82879195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1.10</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答疑会</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不召开；若有疑问，均应在</w:t>
            </w:r>
            <w:r>
              <w:rPr>
                <w:rFonts w:hint="eastAsia" w:ascii="仿宋" w:hAnsi="仿宋" w:eastAsia="仿宋" w:cs="仿宋"/>
                <w:color w:val="auto"/>
                <w:sz w:val="24"/>
                <w:szCs w:val="24"/>
                <w:highlight w:val="none"/>
                <w:lang w:eastAsia="zh-CN"/>
              </w:rPr>
              <w:t>磋商响应文件递交截止时间</w:t>
            </w:r>
            <w:r>
              <w:rPr>
                <w:rFonts w:hint="eastAsia" w:ascii="仿宋" w:hAnsi="仿宋" w:eastAsia="仿宋" w:cs="仿宋"/>
                <w:color w:val="auto"/>
                <w:sz w:val="24"/>
                <w:szCs w:val="24"/>
                <w:highlight w:val="none"/>
                <w:lang w:val="en-US" w:eastAsia="zh-CN"/>
              </w:rPr>
              <w:t>3日前</w:t>
            </w:r>
            <w:r>
              <w:rPr>
                <w:rFonts w:hint="eastAsia" w:ascii="仿宋" w:hAnsi="仿宋" w:eastAsia="仿宋" w:cs="仿宋"/>
                <w:color w:val="auto"/>
                <w:sz w:val="24"/>
                <w:szCs w:val="24"/>
                <w:highlight w:val="none"/>
              </w:rPr>
              <w:t>以书面形式向采购代理机构提出。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1.11</w:t>
            </w:r>
          </w:p>
        </w:tc>
        <w:tc>
          <w:tcPr>
            <w:tcW w:w="2493" w:type="dxa"/>
            <w:vAlign w:val="center"/>
          </w:tcPr>
          <w:p>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分包</w:t>
            </w:r>
          </w:p>
        </w:tc>
        <w:tc>
          <w:tcPr>
            <w:tcW w:w="6240"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构成</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的其他材料</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澄清、修改、答疑文件、施工图纸、工程量清单等相关材料。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的疑问</w:t>
            </w:r>
          </w:p>
        </w:tc>
        <w:tc>
          <w:tcPr>
            <w:tcW w:w="6240" w:type="dxa"/>
            <w:vAlign w:val="center"/>
          </w:tcPr>
          <w:p>
            <w:pPr>
              <w:pStyle w:val="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磋商响应文件递交</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2.2.2</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澄清</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的截止时间</w:t>
            </w:r>
          </w:p>
        </w:tc>
        <w:tc>
          <w:tcPr>
            <w:tcW w:w="6240" w:type="dxa"/>
            <w:vAlign w:val="center"/>
          </w:tcPr>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磋商响应文件递交</w:t>
            </w:r>
            <w:r>
              <w:rPr>
                <w:rFonts w:hint="eastAsia" w:ascii="仿宋" w:hAnsi="仿宋" w:eastAsia="仿宋" w:cs="仿宋"/>
                <w:color w:val="auto"/>
                <w:sz w:val="24"/>
                <w:szCs w:val="24"/>
                <w:highlight w:val="none"/>
              </w:rPr>
              <w:t>截止时间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3.1.1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构成</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的其他材料</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的要求认为有利于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3.2.1</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工程计价方式</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本文件按照陕水规计发{2019}66号文《陕西省水利建筑工程概算定额》、《陕西省水利工程施工机械台班费定额》、水利部办财务函{2019}448号《水利部办公厅调整水利工程计价依据增值税计算标准的通知》等文件。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3.3.1</w:t>
            </w:r>
          </w:p>
        </w:tc>
        <w:tc>
          <w:tcPr>
            <w:tcW w:w="249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磋商有效期</w:t>
            </w:r>
          </w:p>
        </w:tc>
        <w:tc>
          <w:tcPr>
            <w:tcW w:w="6240" w:type="dxa"/>
            <w:vAlign w:val="center"/>
          </w:tcPr>
          <w:p>
            <w:pPr>
              <w:spacing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90日历天（从</w:t>
            </w:r>
            <w:r>
              <w:rPr>
                <w:rFonts w:hint="eastAsia" w:ascii="仿宋" w:hAnsi="仿宋" w:eastAsia="仿宋" w:cs="仿宋"/>
                <w:color w:val="auto"/>
                <w:sz w:val="24"/>
                <w:szCs w:val="24"/>
                <w:lang w:eastAsia="zh-CN"/>
              </w:rPr>
              <w:t>磋商响应文件递交</w:t>
            </w:r>
            <w:r>
              <w:rPr>
                <w:rFonts w:hint="eastAsia" w:ascii="仿宋" w:hAnsi="仿宋" w:eastAsia="仿宋" w:cs="仿宋"/>
                <w:color w:val="auto"/>
                <w:sz w:val="24"/>
                <w:szCs w:val="24"/>
              </w:rPr>
              <w:t>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3.4</w:t>
            </w:r>
          </w:p>
        </w:tc>
        <w:tc>
          <w:tcPr>
            <w:tcW w:w="249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磋商保证金</w:t>
            </w:r>
          </w:p>
        </w:tc>
        <w:tc>
          <w:tcPr>
            <w:tcW w:w="6240" w:type="dxa"/>
            <w:vAlign w:val="center"/>
          </w:tcPr>
          <w:p>
            <w:pPr>
              <w:pStyle w:val="17"/>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2"/>
                <w:lang w:val="en-US" w:eastAsia="zh-CN" w:bidi="ar-SA"/>
              </w:rPr>
              <w:t xml:space="preserve">☑ </w:t>
            </w:r>
            <w:r>
              <w:rPr>
                <w:rFonts w:hint="eastAsia" w:ascii="仿宋" w:hAnsi="仿宋" w:eastAsia="仿宋" w:cs="仿宋"/>
                <w:color w:val="auto"/>
                <w:kern w:val="0"/>
                <w:sz w:val="24"/>
                <w:szCs w:val="24"/>
                <w:lang w:val="en-US" w:eastAsia="zh-CN" w:bidi="ar-SA"/>
              </w:rPr>
              <w:t>不要求提供；</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本项目不要求提交磋商保证金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3.5</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是否允许递交</w:t>
            </w:r>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备选</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方案</w:t>
            </w:r>
          </w:p>
        </w:tc>
        <w:tc>
          <w:tcPr>
            <w:tcW w:w="6240" w:type="dxa"/>
            <w:vAlign w:val="center"/>
          </w:tcPr>
          <w:p>
            <w:pPr>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允许</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3.6.3</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签字或盖章要求</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封面、</w:t>
            </w:r>
            <w:r>
              <w:rPr>
                <w:rFonts w:hint="eastAsia" w:ascii="仿宋" w:hAnsi="仿宋" w:eastAsia="仿宋" w:cs="仿宋"/>
                <w:color w:val="auto"/>
                <w:sz w:val="24"/>
                <w:szCs w:val="24"/>
                <w:lang w:eastAsia="zh-CN"/>
              </w:rPr>
              <w:t>磋商响应函</w:t>
            </w:r>
            <w:r>
              <w:rPr>
                <w:rFonts w:hint="eastAsia" w:ascii="仿宋" w:hAnsi="仿宋" w:eastAsia="仿宋" w:cs="仿宋"/>
                <w:color w:val="auto"/>
                <w:sz w:val="24"/>
                <w:szCs w:val="24"/>
              </w:rPr>
              <w:t>及其它有要求处必须加盖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公章并经法定代表人或其委托代理人签字或盖章。</w:t>
            </w:r>
            <w:bookmarkStart w:id="21" w:name="_Toc343511347"/>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应无涂改或行间插字和增删。如确需修改，修改处必须由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公章并经法定代表人或其委托代理人签字或盖章。</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3.6.4</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份数</w:t>
            </w:r>
          </w:p>
        </w:tc>
        <w:tc>
          <w:tcPr>
            <w:tcW w:w="6240" w:type="dxa"/>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正本的份数：壹份；</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副本的份数：</w:t>
            </w:r>
            <w:r>
              <w:rPr>
                <w:rFonts w:hint="eastAsia" w:ascii="仿宋" w:hAnsi="仿宋" w:eastAsia="仿宋" w:cs="仿宋"/>
                <w:color w:val="auto"/>
                <w:sz w:val="24"/>
                <w:szCs w:val="24"/>
                <w:lang w:eastAsia="zh-CN"/>
              </w:rPr>
              <w:t>贰</w:t>
            </w:r>
            <w:r>
              <w:rPr>
                <w:rFonts w:hint="eastAsia" w:ascii="仿宋" w:hAnsi="仿宋" w:eastAsia="仿宋" w:cs="仿宋"/>
                <w:color w:val="auto"/>
                <w:sz w:val="24"/>
                <w:szCs w:val="24"/>
              </w:rPr>
              <w:t>份</w:t>
            </w:r>
            <w:r>
              <w:rPr>
                <w:rFonts w:hint="eastAsia" w:ascii="仿宋" w:hAnsi="仿宋" w:eastAsia="仿宋" w:cs="仿宋"/>
                <w:color w:val="auto"/>
                <w:sz w:val="24"/>
                <w:szCs w:val="24"/>
                <w:highlight w:val="none"/>
                <w:lang w:eastAsia="zh-CN"/>
              </w:rPr>
              <w:t>；</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报价一览表：</w:t>
            </w:r>
            <w:r>
              <w:rPr>
                <w:rFonts w:hint="eastAsia" w:ascii="仿宋" w:hAnsi="仿宋" w:eastAsia="仿宋" w:cs="仿宋"/>
                <w:color w:val="auto"/>
                <w:sz w:val="24"/>
                <w:szCs w:val="24"/>
                <w:highlight w:val="none"/>
              </w:rPr>
              <w:t>壹</w:t>
            </w:r>
            <w:r>
              <w:rPr>
                <w:rFonts w:hint="eastAsia" w:ascii="仿宋" w:hAnsi="仿宋" w:eastAsia="仿宋" w:cs="仿宋"/>
                <w:color w:val="auto"/>
                <w:sz w:val="24"/>
                <w:szCs w:val="24"/>
                <w:highlight w:val="none"/>
                <w:lang w:eastAsia="zh-CN"/>
              </w:rPr>
              <w:t>份；</w:t>
            </w:r>
          </w:p>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电子版（U盘）：壹份（需在盘面上标注</w:t>
            </w:r>
            <w:r>
              <w:rPr>
                <w:rFonts w:hint="eastAsia" w:ascii="仿宋" w:hAnsi="仿宋" w:eastAsia="仿宋" w:cs="仿宋"/>
                <w:color w:val="auto"/>
                <w:sz w:val="24"/>
                <w:szCs w:val="24"/>
                <w:highlight w:val="none"/>
                <w:lang w:val="en-US" w:eastAsia="zh-CN"/>
              </w:rPr>
              <w:t>供应商全称、项目名称、编号）</w:t>
            </w:r>
            <w:r>
              <w:rPr>
                <w:rFonts w:hint="eastAsia" w:ascii="仿宋" w:hAnsi="仿宋" w:eastAsia="仿宋" w:cs="仿宋"/>
                <w:color w:val="auto"/>
                <w:sz w:val="24"/>
                <w:szCs w:val="24"/>
                <w:highlight w:val="none"/>
                <w:lang w:eastAsia="zh-CN"/>
              </w:rPr>
              <w:t>。</w:t>
            </w:r>
          </w:p>
          <w:p>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电子版包括：</w:t>
            </w:r>
          </w:p>
          <w:p>
            <w:pPr>
              <w:numPr>
                <w:ilvl w:val="0"/>
                <w:numId w:val="4"/>
              </w:num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word版磋商响应文件；</w:t>
            </w:r>
          </w:p>
          <w:p>
            <w:pPr>
              <w:numPr>
                <w:ilvl w:val="0"/>
                <w:numId w:val="4"/>
              </w:num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磋商响应文件正本签字盖章后的PDF格式扫描件（与正本具有同等法律效力）；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73" w:type="dxa"/>
            <w:vAlign w:val="center"/>
          </w:tcPr>
          <w:p>
            <w:pPr>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4.1.2</w:t>
            </w:r>
          </w:p>
        </w:tc>
        <w:tc>
          <w:tcPr>
            <w:tcW w:w="249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密封要求</w:t>
            </w:r>
          </w:p>
        </w:tc>
        <w:tc>
          <w:tcPr>
            <w:tcW w:w="6240" w:type="dxa"/>
            <w:vAlign w:val="center"/>
          </w:tcPr>
          <w:p>
            <w:pPr>
              <w:numPr>
                <w:ilvl w:val="0"/>
                <w:numId w:val="0"/>
              </w:num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应将</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文件正本、所有的副本、电子版本、</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分别单独密封在封袋中（封袋不得有破损）。封袋应加贴封条，并在封线处加盖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7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4.1.</w:t>
            </w:r>
            <w:r>
              <w:rPr>
                <w:rFonts w:hint="eastAsia" w:ascii="仿宋" w:hAnsi="仿宋" w:eastAsia="仿宋" w:cs="仿宋"/>
                <w:color w:val="auto"/>
                <w:sz w:val="24"/>
                <w:szCs w:val="24"/>
                <w:lang w:val="en-US" w:eastAsia="zh-CN"/>
              </w:rPr>
              <w:t>3</w:t>
            </w:r>
          </w:p>
        </w:tc>
        <w:tc>
          <w:tcPr>
            <w:tcW w:w="249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封套上写明</w:t>
            </w:r>
          </w:p>
        </w:tc>
        <w:tc>
          <w:tcPr>
            <w:tcW w:w="6240" w:type="dxa"/>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人名称：</w:t>
            </w:r>
            <w:r>
              <w:rPr>
                <w:rFonts w:hint="eastAsia" w:ascii="仿宋" w:hAnsi="仿宋" w:eastAsia="仿宋" w:cs="仿宋"/>
                <w:color w:val="auto"/>
                <w:sz w:val="24"/>
                <w:szCs w:val="24"/>
                <w:highlight w:val="none"/>
                <w:lang w:eastAsia="zh-CN"/>
              </w:rPr>
              <w:t>蓝田县水务局</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名称以及标注“正本”、“副本”、“</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“电子版”字样，密封处应加盖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w:t>
            </w:r>
          </w:p>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u w:val="single"/>
              </w:rPr>
              <w:t>项目名称）</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在</w:t>
            </w:r>
            <w:r>
              <w:rPr>
                <w:rFonts w:hint="eastAsia" w:ascii="仿宋" w:hAnsi="仿宋" w:eastAsia="仿宋" w:cs="仿宋"/>
                <w:color w:val="auto"/>
                <w:sz w:val="24"/>
                <w:szCs w:val="24"/>
                <w:highlight w:val="none"/>
                <w:u w:val="single"/>
                <w:lang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整</w:t>
            </w:r>
            <w:r>
              <w:rPr>
                <w:rFonts w:hint="eastAsia" w:ascii="仿宋" w:hAnsi="仿宋" w:eastAsia="仿宋" w:cs="仿宋"/>
                <w:color w:val="auto"/>
                <w:sz w:val="24"/>
                <w:szCs w:val="24"/>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4.2.2</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递交</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截止时间、地点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u w:val="none"/>
                <w:lang w:eastAsia="zh-CN"/>
              </w:rPr>
              <w:t>见磋商公告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w:t>
            </w:r>
            <w:r>
              <w:rPr>
                <w:rFonts w:hint="eastAsia" w:ascii="仿宋" w:hAnsi="仿宋" w:eastAsia="仿宋" w:cs="仿宋"/>
                <w:color w:val="auto"/>
                <w:sz w:val="24"/>
                <w:szCs w:val="24"/>
                <w:highlight w:val="none"/>
                <w:u w:val="none"/>
                <w:lang w:eastAsia="zh-CN"/>
              </w:rPr>
              <w:t>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4.2.3</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是否退还</w:t>
            </w:r>
            <w:r>
              <w:rPr>
                <w:rFonts w:hint="eastAsia" w:ascii="仿宋" w:hAnsi="仿宋" w:eastAsia="仿宋" w:cs="仿宋"/>
                <w:color w:val="auto"/>
                <w:sz w:val="24"/>
                <w:szCs w:val="24"/>
                <w:lang w:eastAsia="zh-CN"/>
              </w:rPr>
              <w:t>竞争性磋商响应文件</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时间和地点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时间：</w:t>
            </w:r>
            <w:r>
              <w:rPr>
                <w:rFonts w:hint="eastAsia" w:ascii="仿宋" w:hAnsi="仿宋" w:eastAsia="仿宋" w:cs="仿宋"/>
                <w:color w:val="auto"/>
                <w:sz w:val="24"/>
                <w:szCs w:val="24"/>
                <w:highlight w:val="none"/>
                <w:u w:val="none"/>
                <w:lang w:eastAsia="zh-CN"/>
              </w:rPr>
              <w:t>同响应文件递交截止时间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地点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highlight w:val="none"/>
                <w:u w:val="none"/>
                <w:lang w:eastAsia="zh-CN"/>
              </w:rPr>
              <w:t>同响应文件递交地点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97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6.1.1</w:t>
            </w:r>
          </w:p>
        </w:tc>
        <w:tc>
          <w:tcPr>
            <w:tcW w:w="2493" w:type="dxa"/>
            <w:vAlign w:val="center"/>
          </w:tcPr>
          <w:p>
            <w:pPr>
              <w:spacing w:line="36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磋商小组</w:t>
            </w:r>
          </w:p>
        </w:tc>
        <w:tc>
          <w:tcPr>
            <w:tcW w:w="6240" w:type="dxa"/>
            <w:vAlign w:val="center"/>
          </w:tcPr>
          <w:p>
            <w:pPr>
              <w:spacing w:line="360" w:lineRule="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由</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代表和具备相</w:t>
            </w:r>
            <w:r>
              <w:rPr>
                <w:rFonts w:hint="eastAsia" w:ascii="仿宋" w:hAnsi="仿宋" w:eastAsia="仿宋" w:cs="仿宋"/>
                <w:color w:val="auto"/>
                <w:sz w:val="24"/>
                <w:szCs w:val="24"/>
                <w:highlight w:val="none"/>
              </w:rPr>
              <w:t>关专业的专家</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lang w:val="en-US" w:eastAsia="zh-CN"/>
              </w:rPr>
              <w:t>3人以上单数组成</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highlight w:val="none"/>
                <w:lang w:eastAsia="zh-CN"/>
              </w:rPr>
              <w:t>，其中采购人代表须持有授权书。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是否授权</w:t>
            </w:r>
            <w:r>
              <w:rPr>
                <w:rFonts w:hint="eastAsia" w:ascii="仿宋" w:hAnsi="仿宋" w:eastAsia="仿宋" w:cs="仿宋"/>
                <w:color w:val="auto"/>
                <w:sz w:val="24"/>
                <w:szCs w:val="24"/>
                <w:lang w:eastAsia="zh-CN"/>
              </w:rPr>
              <w:t>磋商小组</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确定</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人</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rPr>
              <w:t>否,</w:t>
            </w:r>
            <w:bookmarkStart w:id="22" w:name="OLE_LINK6"/>
            <w:r>
              <w:rPr>
                <w:rFonts w:hint="eastAsia" w:ascii="仿宋" w:hAnsi="仿宋" w:eastAsia="仿宋" w:cs="仿宋"/>
                <w:color w:val="auto"/>
                <w:sz w:val="24"/>
                <w:szCs w:val="24"/>
                <w:highlight w:val="none"/>
              </w:rPr>
              <w:t>推荐3名</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候选人</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履约</w:t>
            </w:r>
            <w:r>
              <w:rPr>
                <w:rFonts w:hint="eastAsia" w:ascii="仿宋" w:hAnsi="仿宋" w:eastAsia="仿宋" w:cs="仿宋"/>
                <w:color w:val="auto"/>
                <w:sz w:val="24"/>
                <w:szCs w:val="24"/>
                <w:highlight w:val="none"/>
                <w:lang w:eastAsia="zh-CN"/>
              </w:rPr>
              <w:t>保证金</w:t>
            </w:r>
          </w:p>
        </w:tc>
        <w:tc>
          <w:tcPr>
            <w:tcW w:w="6240" w:type="dxa"/>
            <w:vAlign w:val="center"/>
          </w:tcPr>
          <w:p>
            <w:pPr>
              <w:pStyle w:val="17"/>
              <w:keepNext w:val="0"/>
              <w:keepLines w:val="0"/>
              <w:pageBreakBefore w:val="0"/>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kern w:val="0"/>
                <w:sz w:val="24"/>
                <w:szCs w:val="24"/>
                <w:highlight w:val="none"/>
                <w:lang w:val="en-US" w:eastAsia="zh-CN" w:bidi="ar-SA"/>
              </w:rPr>
            </w:pPr>
            <w:bookmarkStart w:id="23" w:name="OLE_LINK97"/>
            <w:r>
              <w:rPr>
                <w:rFonts w:hint="eastAsia" w:ascii="仿宋" w:hAnsi="仿宋" w:eastAsia="仿宋" w:cs="仿宋"/>
                <w:b w:val="0"/>
                <w:bCs w:val="0"/>
                <w:color w:val="auto"/>
                <w:kern w:val="0"/>
                <w:sz w:val="24"/>
                <w:szCs w:val="24"/>
                <w:highlight w:val="none"/>
                <w:lang w:val="en-US" w:eastAsia="zh-CN" w:bidi="ar-SA"/>
              </w:rPr>
              <w:t>☑ 不要求提供</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 要求提供</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履约保证金的形式：电汇、转账、支票</w:t>
            </w:r>
          </w:p>
          <w:bookmarkEnd w:id="23"/>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bookmarkStart w:id="24" w:name="OLE_LINK2"/>
            <w:r>
              <w:rPr>
                <w:rFonts w:hint="eastAsia" w:ascii="仿宋" w:hAnsi="仿宋" w:eastAsia="仿宋" w:cs="仿宋"/>
                <w:color w:val="auto"/>
                <w:sz w:val="24"/>
                <w:szCs w:val="24"/>
                <w:highlight w:val="none"/>
              </w:rPr>
              <w:t>履约保证金</w:t>
            </w:r>
            <w:bookmarkEnd w:id="24"/>
            <w:r>
              <w:rPr>
                <w:rFonts w:hint="eastAsia" w:ascii="仿宋" w:hAnsi="仿宋" w:eastAsia="仿宋" w:cs="仿宋"/>
                <w:color w:val="auto"/>
                <w:sz w:val="24"/>
                <w:szCs w:val="24"/>
                <w:highlight w:val="none"/>
              </w:rPr>
              <w:t>的金额：</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总额*10%</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bookmarkStart w:id="25" w:name="OLE_LINK98"/>
            <w:r>
              <w:rPr>
                <w:rFonts w:hint="eastAsia" w:ascii="仿宋" w:hAnsi="仿宋" w:eastAsia="仿宋" w:cs="仿宋"/>
                <w:color w:val="auto"/>
                <w:sz w:val="24"/>
                <w:szCs w:val="24"/>
                <w:highlight w:val="none"/>
              </w:rPr>
              <w:t>履约保证金的退还：项目完工验收合格（以验收单为准）后</w:t>
            </w:r>
            <w:bookmarkEnd w:id="25"/>
            <w:r>
              <w:rPr>
                <w:rFonts w:hint="eastAsia" w:ascii="仿宋" w:hAnsi="仿宋" w:eastAsia="仿宋" w:cs="仿宋"/>
                <w:color w:val="auto"/>
                <w:sz w:val="24"/>
                <w:szCs w:val="24"/>
                <w:highlight w:val="none"/>
              </w:rPr>
              <w:t>，无息退还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exact"/>
          <w:jc w:val="center"/>
        </w:trPr>
        <w:tc>
          <w:tcPr>
            <w:tcW w:w="973"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49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lang w:eastAsia="zh-CN"/>
              </w:rPr>
              <w:t>招标</w:t>
            </w:r>
            <w:r>
              <w:rPr>
                <w:rFonts w:hint="eastAsia" w:ascii="仿宋" w:hAnsi="仿宋" w:eastAsia="仿宋" w:cs="仿宋"/>
                <w:b/>
                <w:bCs/>
                <w:color w:val="auto"/>
                <w:sz w:val="24"/>
                <w:szCs w:val="24"/>
              </w:rPr>
              <w:t>代理服务费</w:t>
            </w:r>
          </w:p>
        </w:tc>
        <w:tc>
          <w:tcPr>
            <w:tcW w:w="6240"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1、参照</w:t>
            </w:r>
            <w:r>
              <w:rPr>
                <w:rFonts w:hint="eastAsia" w:ascii="仿宋" w:hAnsi="仿宋" w:eastAsia="仿宋" w:cs="仿宋"/>
                <w:color w:val="auto"/>
                <w:sz w:val="24"/>
                <w:szCs w:val="24"/>
                <w:highlight w:val="none"/>
              </w:rPr>
              <w:t>国家计委颁发的《招标代理服务收费管理暂行办法》（计价格[2002]1980号）和国家发展改革委员会办公厅颁发的《关于招标代理服务收费有关问题的通知》（发改办价格[2003]857号）的有关规定执行。</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成交单位在领取成交通知书前，须向采购代理机构一次性支付</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highlight w:val="yellow"/>
                <w:lang w:eastAsia="zh-CN"/>
              </w:rPr>
            </w:pPr>
            <w:r>
              <w:rPr>
                <w:rFonts w:hint="eastAsia" w:ascii="仿宋" w:hAnsi="仿宋" w:eastAsia="仿宋" w:cs="仿宋"/>
                <w:b/>
                <w:bCs/>
                <w:color w:val="auto"/>
                <w:sz w:val="24"/>
                <w:szCs w:val="24"/>
                <w:lang w:val="en-US" w:eastAsia="zh-CN"/>
              </w:rPr>
              <w:t>12</w:t>
            </w:r>
            <w:r>
              <w:rPr>
                <w:rFonts w:hint="eastAsia" w:ascii="仿宋" w:hAnsi="仿宋" w:eastAsia="仿宋" w:cs="仿宋"/>
                <w:b/>
                <w:bCs/>
                <w:color w:val="auto"/>
                <w:sz w:val="24"/>
                <w:szCs w:val="24"/>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exact"/>
          <w:jc w:val="center"/>
        </w:trPr>
        <w:tc>
          <w:tcPr>
            <w:tcW w:w="9706"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（1）本项目专门面向中小企业采购。</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（2）本项目属性为工程。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highlight w:val="none"/>
                <w:lang w:val="en-US" w:eastAsia="zh-CN"/>
              </w:rPr>
              <w:t>（3）本项目采购标的所属行业为：</w:t>
            </w:r>
            <w:r>
              <w:rPr>
                <w:rFonts w:hint="eastAsia" w:ascii="仿宋" w:hAnsi="仿宋" w:eastAsia="仿宋" w:cs="仿宋"/>
                <w:b/>
                <w:bCs/>
                <w:color w:val="auto"/>
                <w:sz w:val="24"/>
                <w:szCs w:val="24"/>
                <w:highlight w:val="none"/>
                <w:u w:val="single"/>
                <w:lang w:val="en-US" w:eastAsia="zh-CN"/>
              </w:rPr>
              <w:t xml:space="preserve"> 其他未列明行业 </w:t>
            </w:r>
            <w:r>
              <w:rPr>
                <w:rFonts w:hint="eastAsia" w:ascii="仿宋" w:hAnsi="仿宋" w:eastAsia="仿宋" w:cs="仿宋"/>
                <w:b/>
                <w:bCs/>
                <w:color w:val="auto"/>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110" w:leftChars="52" w:hanging="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构成本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各个组成部分的文件，未经</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人书面同意，</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不得擅自复印和用于非本招标项目所需的其他目的。</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人全部或者部分使用未</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人</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110" w:leftChars="52" w:hanging="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构成</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组成部分的“通用合同条款”、“专用合同条款”、“技术标准和要求”和“工程量清单”等章节中出现的措辞“发包人”和“承包人”，在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阶段应当分别按“</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440" w:lineRule="exact"/>
              <w:ind w:left="68" w:leftChars="-2" w:hanging="72" w:hangingChars="3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由</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人和</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代理机构负责解释。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exact"/>
          <w:jc w:val="center"/>
        </w:trPr>
        <w:tc>
          <w:tcPr>
            <w:tcW w:w="970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招标代理服务费账户：</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户名：华夏国际项目管理有限公司</w:t>
            </w:r>
          </w:p>
          <w:p>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开户行：中国光大银行西安南二环支行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账号：78620188000097418</w:t>
            </w:r>
          </w:p>
          <w:p>
            <w:pPr>
              <w:keepNext w:val="0"/>
              <w:keepLines w:val="0"/>
              <w:pageBreakBefore w:val="0"/>
              <w:widowControl w:val="0"/>
              <w:kinsoku/>
              <w:wordWrap/>
              <w:overflowPunct/>
              <w:topLinePunct w:val="0"/>
              <w:autoSpaceDE/>
              <w:autoSpaceDN/>
              <w:bidi w:val="0"/>
              <w:adjustRightInd/>
              <w:snapToGrid/>
              <w:spacing w:line="400" w:lineRule="exact"/>
              <w:ind w:left="68" w:leftChars="-2" w:hanging="72" w:hangingChars="3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highlight w:val="none"/>
                <w:lang w:val="en-US" w:eastAsia="zh-CN"/>
              </w:rPr>
              <w:t>请成交供应商按照要求将招标代理服务费汇入以上指定账户，如因自身原因发生错误，产生的不利后果均由成交供应商自行承担。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exact"/>
          <w:jc w:val="center"/>
        </w:trPr>
        <w:tc>
          <w:tcPr>
            <w:tcW w:w="9706"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b/>
                <w:bCs/>
                <w:color w:val="auto"/>
                <w:sz w:val="24"/>
                <w:szCs w:val="24"/>
                <w:highlight w:val="none"/>
                <w:lang w:val="en-US" w:eastAsia="zh-CN"/>
              </w:rPr>
            </w:pPr>
            <w:bookmarkStart w:id="26" w:name="_Toc1185"/>
            <w:r>
              <w:rPr>
                <w:rFonts w:hint="eastAsia" w:ascii="仿宋" w:hAnsi="仿宋" w:eastAsia="仿宋" w:cs="仿宋"/>
                <w:b/>
                <w:bCs/>
                <w:color w:val="auto"/>
                <w:sz w:val="24"/>
                <w:szCs w:val="24"/>
                <w:highlight w:val="none"/>
                <w:lang w:val="en-US" w:eastAsia="zh-CN"/>
              </w:rPr>
              <w:t>信用担保</w:t>
            </w:r>
            <w:bookmarkEnd w:id="26"/>
            <w:r>
              <w:rPr>
                <w:rFonts w:hint="eastAsia" w:ascii="仿宋" w:hAnsi="仿宋" w:eastAsia="仿宋" w:cs="仿宋"/>
                <w:b/>
                <w:bCs/>
                <w:color w:val="auto"/>
                <w:sz w:val="24"/>
                <w:szCs w:val="24"/>
                <w:highlight w:val="none"/>
                <w:lang w:val="en-US" w:eastAsia="zh-CN"/>
              </w:rPr>
              <w:t>及信用融资：</w:t>
            </w:r>
          </w:p>
          <w:p>
            <w:pPr>
              <w:keepNext w:val="0"/>
              <w:keepLines w:val="0"/>
              <w:pageBreakBefore w:val="0"/>
              <w:widowControl w:val="0"/>
              <w:kinsoku/>
              <w:wordWrap/>
              <w:overflowPunct/>
              <w:topLinePunct w:val="0"/>
              <w:autoSpaceDE/>
              <w:autoSpaceDN/>
              <w:bidi w:val="0"/>
              <w:adjustRightInd/>
              <w:snapToGrid/>
              <w:spacing w:line="400" w:lineRule="exact"/>
              <w:ind w:left="68" w:leftChars="-2" w:hanging="72" w:hangingChars="30"/>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keepNext w:val="0"/>
              <w:keepLines w:val="0"/>
              <w:pageBreakBefore w:val="0"/>
              <w:widowControl w:val="0"/>
              <w:kinsoku/>
              <w:wordWrap/>
              <w:overflowPunct/>
              <w:topLinePunct w:val="0"/>
              <w:autoSpaceDE/>
              <w:autoSpaceDN/>
              <w:bidi w:val="0"/>
              <w:adjustRightInd/>
              <w:snapToGrid/>
              <w:spacing w:line="400" w:lineRule="exact"/>
              <w:ind w:left="68" w:leftChars="-2" w:hanging="72" w:hangingChars="30"/>
              <w:textAlignment w:val="auto"/>
              <w:rPr>
                <w:rFonts w:hint="eastAsia" w:ascii="仿宋" w:hAnsi="仿宋" w:eastAsia="仿宋" w:cs="仿宋"/>
                <w:b/>
                <w:bCs/>
                <w:color w:val="auto"/>
                <w:sz w:val="24"/>
                <w:szCs w:val="24"/>
                <w:highlight w:val="none"/>
                <w:lang w:val="en-US" w:eastAsia="zh-CN"/>
              </w:rPr>
            </w:pPr>
          </w:p>
        </w:tc>
      </w:tr>
    </w:tbl>
    <w:p>
      <w:pPr>
        <w:spacing w:line="360" w:lineRule="auto"/>
        <w:jc w:val="left"/>
        <w:rPr>
          <w:rFonts w:hint="eastAsia" w:ascii="仿宋" w:hAnsi="仿宋" w:eastAsia="仿宋" w:cs="仿宋"/>
          <w:color w:val="auto"/>
        </w:rPr>
        <w:sectPr>
          <w:footerReference r:id="rId8" w:type="default"/>
          <w:pgSz w:w="11906" w:h="16838"/>
          <w:pgMar w:top="1417" w:right="1417" w:bottom="1417" w:left="1701" w:header="851" w:footer="992" w:gutter="0"/>
          <w:pgNumType w:fmt="decimal" w:start="1"/>
          <w:cols w:space="0" w:num="1"/>
          <w:docGrid w:type="lines" w:linePitch="312" w:charSpace="0"/>
        </w:sectPr>
      </w:pPr>
    </w:p>
    <w:p>
      <w:pPr>
        <w:pStyle w:val="4"/>
        <w:jc w:val="center"/>
        <w:rPr>
          <w:rFonts w:hint="eastAsia" w:ascii="仿宋" w:hAnsi="仿宋" w:eastAsia="仿宋" w:cs="仿宋"/>
          <w:color w:val="auto"/>
        </w:rPr>
      </w:pPr>
      <w:bookmarkStart w:id="27" w:name="_Toc14938"/>
      <w:bookmarkStart w:id="28" w:name="_Toc18046"/>
      <w:bookmarkStart w:id="29" w:name="_Toc462213769"/>
      <w:bookmarkStart w:id="30" w:name="_Toc462213641"/>
      <w:bookmarkStart w:id="31" w:name="_Toc465432091"/>
      <w:bookmarkStart w:id="32" w:name="_Toc10069"/>
      <w:bookmarkStart w:id="33" w:name="_Toc425240464"/>
      <w:bookmarkStart w:id="34" w:name="_Toc421778365"/>
      <w:bookmarkStart w:id="35" w:name="_Toc420591643"/>
      <w:r>
        <w:rPr>
          <w:rFonts w:hint="eastAsia" w:ascii="仿宋" w:hAnsi="仿宋" w:eastAsia="仿宋" w:cs="仿宋"/>
          <w:color w:val="auto"/>
          <w:lang w:eastAsia="zh-CN"/>
        </w:rPr>
        <w:t>供应商</w:t>
      </w:r>
      <w:r>
        <w:rPr>
          <w:rFonts w:hint="eastAsia" w:ascii="仿宋" w:hAnsi="仿宋" w:eastAsia="仿宋" w:cs="仿宋"/>
          <w:color w:val="auto"/>
        </w:rPr>
        <w:t>须知正文部分</w:t>
      </w:r>
      <w:bookmarkEnd w:id="27"/>
      <w:bookmarkEnd w:id="28"/>
      <w:bookmarkEnd w:id="29"/>
      <w:bookmarkEnd w:id="30"/>
      <w:bookmarkEnd w:id="31"/>
      <w:bookmarkEnd w:id="32"/>
    </w:p>
    <w:p>
      <w:pPr>
        <w:pageBreakBefore w:val="0"/>
        <w:kinsoku/>
        <w:wordWrap/>
        <w:overflowPunct/>
        <w:topLinePunct w:val="0"/>
        <w:autoSpaceDE/>
        <w:autoSpaceDN/>
        <w:bidi w:val="0"/>
        <w:adjustRightInd/>
        <w:snapToGrid/>
        <w:spacing w:before="156" w:after="156" w:line="360" w:lineRule="auto"/>
        <w:jc w:val="left"/>
        <w:textAlignment w:val="auto"/>
        <w:rPr>
          <w:rFonts w:hint="eastAsia" w:ascii="仿宋" w:hAnsi="仿宋" w:eastAsia="仿宋" w:cs="仿宋"/>
          <w:b/>
          <w:color w:val="auto"/>
          <w:kern w:val="0"/>
          <w:sz w:val="24"/>
          <w:szCs w:val="24"/>
        </w:rPr>
      </w:pPr>
      <w:r>
        <w:rPr>
          <w:rFonts w:hint="eastAsia" w:ascii="仿宋" w:hAnsi="仿宋" w:eastAsia="仿宋" w:cs="仿宋"/>
          <w:b/>
          <w:color w:val="auto"/>
          <w:sz w:val="24"/>
          <w:szCs w:val="24"/>
          <w:lang w:val="en-US" w:eastAsia="zh-CN"/>
        </w:rPr>
        <w:t>1、</w:t>
      </w:r>
      <w:r>
        <w:rPr>
          <w:rFonts w:hint="eastAsia" w:ascii="仿宋" w:hAnsi="仿宋" w:eastAsia="仿宋" w:cs="仿宋"/>
          <w:b/>
          <w:color w:val="auto"/>
          <w:kern w:val="0"/>
          <w:sz w:val="24"/>
          <w:szCs w:val="24"/>
        </w:rPr>
        <w:t>总则</w:t>
      </w:r>
      <w:bookmarkEnd w:id="33"/>
      <w:bookmarkEnd w:id="34"/>
      <w:bookmarkEnd w:id="35"/>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 项目概况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 根据《中华人民共和国政府采购法》</w:t>
      </w:r>
      <w:r>
        <w:rPr>
          <w:rFonts w:hint="eastAsia" w:ascii="仿宋" w:hAnsi="仿宋" w:eastAsia="仿宋" w:cs="仿宋"/>
          <w:color w:val="auto"/>
          <w:sz w:val="24"/>
          <w:szCs w:val="24"/>
          <w:lang w:eastAsia="zh-CN"/>
        </w:rPr>
        <w:t>及实施条例</w:t>
      </w:r>
      <w:r>
        <w:rPr>
          <w:rFonts w:hint="eastAsia" w:ascii="仿宋" w:hAnsi="仿宋" w:eastAsia="仿宋" w:cs="仿宋"/>
          <w:color w:val="auto"/>
          <w:sz w:val="24"/>
          <w:szCs w:val="24"/>
        </w:rPr>
        <w:t>和关于印发《政府采购竞争性磋商采购方式管理暂行办法》的通知</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财库</w:t>
      </w:r>
      <w:r>
        <w:rPr>
          <w:rFonts w:hint="eastAsia" w:ascii="仿宋" w:hAnsi="仿宋" w:eastAsia="仿宋" w:cs="仿宋"/>
          <w:i w:val="0"/>
          <w:caps w:val="0"/>
          <w:color w:val="auto"/>
          <w:spacing w:val="0"/>
          <w:sz w:val="24"/>
          <w:szCs w:val="24"/>
          <w:shd w:val="clear" w:fill="FFFFFF"/>
        </w:rPr>
        <w:t>〔2014〕</w:t>
      </w:r>
      <w:r>
        <w:rPr>
          <w:rFonts w:hint="eastAsia" w:ascii="仿宋" w:hAnsi="仿宋" w:eastAsia="仿宋" w:cs="仿宋"/>
          <w:color w:val="auto"/>
          <w:sz w:val="24"/>
          <w:szCs w:val="24"/>
        </w:rPr>
        <w:t>214号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的规定，本项目已具备</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条件，现对本项目施工进行</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 本项目</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1.1.3 本项目</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rPr>
        <w:t>1.1.4本</w:t>
      </w:r>
      <w:r>
        <w:rPr>
          <w:rFonts w:hint="eastAsia" w:ascii="仿宋" w:hAnsi="仿宋" w:eastAsia="仿宋" w:cs="仿宋"/>
          <w:color w:val="auto"/>
          <w:sz w:val="24"/>
          <w:szCs w:val="24"/>
          <w:highlight w:val="none"/>
        </w:rPr>
        <w:t>项目监督机构：</w:t>
      </w:r>
      <w:r>
        <w:rPr>
          <w:rFonts w:hint="eastAsia" w:ascii="仿宋" w:hAnsi="仿宋" w:eastAsia="仿宋" w:cs="仿宋"/>
          <w:color w:val="auto"/>
          <w:sz w:val="24"/>
          <w:szCs w:val="24"/>
          <w:highlight w:val="none"/>
          <w:lang w:eastAsia="zh-CN"/>
        </w:rPr>
        <w:t>同级人民政府财政部门及有关部门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1.1.5本项目建设地点：见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 资金来源和落实情况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1.2.1 本项目的资金来源：见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1.2.2 本项目的资金落实情况：见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 招标范围、计划工期和质量要求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1.3.1 本次</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范围：见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1.3.2 本项目的计划工期：</w:t>
      </w:r>
      <w:bookmarkStart w:id="36" w:name="OLE_LINK8"/>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bookmarkEnd w:id="3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1.3.3 本项目的质量要求：见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1.4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资格要求及</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发售时间</w:t>
      </w:r>
    </w:p>
    <w:p>
      <w:pPr>
        <w:pStyle w:val="12"/>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1.4.1资格审查条件：见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1.4.2</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发售时间：见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 费用承担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准备和</w:t>
      </w:r>
      <w:r>
        <w:rPr>
          <w:rFonts w:hint="eastAsia" w:ascii="仿宋" w:hAnsi="仿宋" w:eastAsia="仿宋" w:cs="仿宋"/>
          <w:color w:val="auto"/>
          <w:sz w:val="24"/>
          <w:szCs w:val="24"/>
          <w:lang w:eastAsia="zh-CN"/>
        </w:rPr>
        <w:t>参加磋商</w:t>
      </w:r>
      <w:r>
        <w:rPr>
          <w:rFonts w:hint="eastAsia" w:ascii="仿宋" w:hAnsi="仿宋" w:eastAsia="仿宋" w:cs="仿宋"/>
          <w:color w:val="auto"/>
          <w:sz w:val="24"/>
          <w:szCs w:val="24"/>
        </w:rPr>
        <w:t>活动所发生的一切费用自理。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 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参与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活动的各方应对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中的商业和技术等秘密保密，违者应对由此造成的后果承担法律责任。</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 语言文字</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除专用术语外，与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有关的语言均使用中文。必要时专用术语应附有中文注释。</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 计量单位</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所有计量均采用中华人民共和国法定计量单位。</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 踏勘现场</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1.9.1</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不组织统一踏勘现场，由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自行安排。</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1.9.2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踏勘现场发生的一切费用自理，并自行负责在踏勘现场中所发生的人员伤亡和财产损失。</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1.9.3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应对工程现场及周围环境进行踏勘，充分了解现场环境、总体布置情况、工程地形地貌、工程现场道路、工程总体进度情况、储存空间、场内运输、装卸等限制条件及其它任何足以影响</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的情况，以便各</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获取须自主考虑的有关</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编制和合同签署所需的相关资料和数据，任何因忽视或误解工地情况而导致的索赔或工期延长申请将不获批准。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1.9.4 </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在踏勘现场中介绍的工程场地和相关的周边环境情况，</w:t>
      </w:r>
      <w:r>
        <w:rPr>
          <w:rFonts w:hint="eastAsia" w:ascii="仿宋" w:hAnsi="仿宋" w:eastAsia="仿宋" w:cs="仿宋"/>
          <w:color w:val="auto"/>
          <w:sz w:val="24"/>
          <w:szCs w:val="24"/>
          <w:lang w:eastAsia="zh-CN"/>
        </w:rPr>
        <w:t>供供应商</w:t>
      </w:r>
      <w:r>
        <w:rPr>
          <w:rFonts w:hint="eastAsia" w:ascii="仿宋" w:hAnsi="仿宋" w:eastAsia="仿宋" w:cs="仿宋"/>
          <w:color w:val="auto"/>
          <w:sz w:val="24"/>
          <w:szCs w:val="24"/>
        </w:rPr>
        <w:t>在编制</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时参考，</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不对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据此作出的判断和决策负责。</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1.10 </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答疑会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本项目不召开答疑会，</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、工程量清单、施工图以及施工现场条件等的疑问和要求澄清的内容，均应在</w:t>
      </w:r>
      <w:r>
        <w:rPr>
          <w:rFonts w:hint="eastAsia" w:ascii="仿宋" w:hAnsi="仿宋" w:eastAsia="仿宋" w:cs="仿宋"/>
          <w:color w:val="auto"/>
          <w:sz w:val="24"/>
          <w:szCs w:val="24"/>
          <w:lang w:eastAsia="zh-CN"/>
        </w:rPr>
        <w:t>磋商响应文件递交截止时间</w:t>
      </w:r>
      <w:r>
        <w:rPr>
          <w:rFonts w:hint="eastAsia" w:ascii="仿宋" w:hAnsi="仿宋" w:eastAsia="仿宋" w:cs="仿宋"/>
          <w:color w:val="auto"/>
          <w:sz w:val="24"/>
          <w:szCs w:val="24"/>
          <w:lang w:val="en-US" w:eastAsia="zh-CN"/>
        </w:rPr>
        <w:t>3日前</w:t>
      </w:r>
      <w:r>
        <w:rPr>
          <w:rFonts w:hint="eastAsia" w:ascii="仿宋" w:hAnsi="仿宋" w:eastAsia="仿宋" w:cs="仿宋"/>
          <w:color w:val="auto"/>
          <w:sz w:val="24"/>
          <w:szCs w:val="24"/>
        </w:rPr>
        <w:t>以书面形式向采购代理机构提出，</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做出统一解答和必要澄清后在</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前</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天以书面的《答疑纪要》发送所有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。答疑纪要为</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的组成部分，与</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具有同等法律效力。</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1.11 分包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不允许。</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1.12 偏离</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bookmarkStart w:id="37" w:name="_Toc425240465"/>
      <w:bookmarkStart w:id="38" w:name="_Toc421778366"/>
      <w:bookmarkStart w:id="39" w:name="_Toc420591644"/>
      <w:r>
        <w:rPr>
          <w:rFonts w:hint="eastAsia" w:ascii="仿宋" w:hAnsi="仿宋" w:eastAsia="仿宋" w:cs="仿宋"/>
          <w:color w:val="auto"/>
          <w:sz w:val="24"/>
          <w:szCs w:val="24"/>
        </w:rPr>
        <w:t>不满足</w:t>
      </w:r>
      <w:r>
        <w:rPr>
          <w:rFonts w:hint="eastAsia" w:ascii="仿宋" w:hAnsi="仿宋" w:eastAsia="仿宋" w:cs="仿宋"/>
          <w:color w:val="auto"/>
          <w:sz w:val="24"/>
          <w:szCs w:val="24"/>
          <w:lang w:eastAsia="zh-CN"/>
        </w:rPr>
        <w:t>评审方法</w:t>
      </w:r>
      <w:r>
        <w:rPr>
          <w:rFonts w:hint="eastAsia" w:ascii="仿宋" w:hAnsi="仿宋" w:eastAsia="仿宋" w:cs="仿宋"/>
          <w:color w:val="auto"/>
          <w:sz w:val="24"/>
          <w:szCs w:val="24"/>
        </w:rPr>
        <w:t>中初步评审标准的，视为发生重大偏离，其</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被否决。其余偏离视为细微偏离，</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将通过澄清方式对细微偏离进行澄清或修改。</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bookmarkEnd w:id="37"/>
      <w:bookmarkEnd w:id="38"/>
      <w:bookmarkEnd w:id="39"/>
      <w:r>
        <w:rPr>
          <w:rFonts w:hint="eastAsia" w:ascii="仿宋" w:hAnsi="仿宋" w:eastAsia="仿宋" w:cs="仿宋"/>
          <w:color w:val="auto"/>
          <w:sz w:val="24"/>
          <w:szCs w:val="24"/>
          <w:lang w:eastAsia="zh-CN"/>
        </w:rPr>
        <w:t>、竞争性磋商文件</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2.1 </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包括：</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竞争性磋商</w:t>
      </w:r>
      <w:r>
        <w:rPr>
          <w:rFonts w:hint="eastAsia" w:ascii="仿宋" w:hAnsi="仿宋" w:eastAsia="仿宋" w:cs="仿宋"/>
          <w:color w:val="auto"/>
          <w:sz w:val="24"/>
          <w:szCs w:val="24"/>
        </w:rPr>
        <w:t>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评审方法</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合同条款及格式</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(5）工程量清单；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(6）图纸；</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技术标准及</w:t>
      </w:r>
      <w:r>
        <w:rPr>
          <w:rFonts w:hint="eastAsia" w:ascii="仿宋" w:hAnsi="仿宋" w:eastAsia="仿宋" w:cs="仿宋"/>
          <w:color w:val="auto"/>
          <w:sz w:val="24"/>
          <w:szCs w:val="24"/>
        </w:rPr>
        <w:t>要求</w:t>
      </w:r>
      <w:r>
        <w:rPr>
          <w:rFonts w:hint="eastAsia" w:ascii="仿宋" w:hAnsi="仿宋" w:eastAsia="仿宋" w:cs="仿宋"/>
          <w:color w:val="auto"/>
          <w:sz w:val="24"/>
          <w:szCs w:val="24"/>
          <w:lang w:eastAsia="zh-CN"/>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格式。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根据本章第1.10 款</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rPr>
        <w:t>第2.2 款对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所作的澄清、修改，构成</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的组成部分。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2.2 </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的澄清及修改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bookmarkStart w:id="40" w:name="_Toc421778367"/>
      <w:bookmarkStart w:id="41" w:name="_Toc420591645"/>
      <w:bookmarkStart w:id="42" w:name="_Toc425240466"/>
      <w:r>
        <w:rPr>
          <w:rFonts w:hint="eastAsia" w:ascii="仿宋" w:hAnsi="仿宋" w:eastAsia="仿宋" w:cs="仿宋"/>
          <w:color w:val="auto"/>
          <w:sz w:val="24"/>
          <w:szCs w:val="24"/>
          <w:lang w:val="en-US" w:eastAsia="zh-CN"/>
        </w:rPr>
        <w:t>2.2.1在磋商响应文件截止时间前，采购代理机构可以视采购具体情况，延长竞争性磋商响应文件递交截止时间和磋商时间并在财政部门指定的媒体上发布变更公告，同时将变更时间书面通知所有获取竞争性磋商文件的供应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2.2.2采购代理机构如果对已发出的竞争性磋商文件进行必要的澄清或者修改，澄清或者修改的内容可能影响响应文件编制的，采购人、采购代理机构应当竞争性磋商文件要求提交竞争性磋商响应文件截止时间5日前，以书面形式通知所有获取竞争性磋商文件的供应商。</w:t>
      </w:r>
      <w:r>
        <w:rPr>
          <w:rFonts w:hint="eastAsia" w:ascii="仿宋" w:hAnsi="仿宋" w:eastAsia="仿宋" w:cs="仿宋"/>
          <w:color w:val="auto"/>
          <w:sz w:val="24"/>
          <w:szCs w:val="24"/>
          <w:highlight w:val="none"/>
          <w:lang w:val="en-US" w:eastAsia="zh-CN"/>
        </w:rPr>
        <w:t>不足5日的，应当顺延提交响应文件截止时间。</w:t>
      </w:r>
      <w:r>
        <w:rPr>
          <w:rFonts w:hint="eastAsia" w:ascii="仿宋" w:hAnsi="仿宋" w:eastAsia="仿宋" w:cs="仿宋"/>
          <w:color w:val="auto"/>
          <w:sz w:val="24"/>
          <w:szCs w:val="24"/>
          <w:lang w:val="en-US" w:eastAsia="zh-CN"/>
        </w:rPr>
        <w:t>该澄清或者修改的内容为竞争性磋商文件的组成部分。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2.2.3已经获取竞争性磋商文件的供应商对竞争性磋商文件有疑问的，均应在磋商截止日期3日前以书面形式向采购代理机构提出。采购代理机构视情况必要时将书面答复传送给所有获取竞争性磋商文件的供应商。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2.2.4供应商在收到上述通知后，应立即向采购代理机构回函确认。</w:t>
      </w:r>
    </w:p>
    <w:p>
      <w:pPr>
        <w:pStyle w:val="4"/>
        <w:keepNext/>
        <w:keepLines/>
        <w:pageBreakBefore w:val="0"/>
        <w:widowControl w:val="0"/>
        <w:kinsoku/>
        <w:wordWrap/>
        <w:overflowPunct/>
        <w:topLinePunct w:val="0"/>
        <w:autoSpaceDE/>
        <w:autoSpaceDN/>
        <w:bidi w:val="0"/>
        <w:adjustRightInd/>
        <w:snapToGrid/>
        <w:spacing w:before="20" w:after="20" w:line="360" w:lineRule="auto"/>
        <w:jc w:val="both"/>
        <w:textAlignment w:val="auto"/>
        <w:outlineLvl w:val="1"/>
        <w:rPr>
          <w:rFonts w:hint="eastAsia" w:ascii="仿宋" w:hAnsi="仿宋" w:eastAsia="仿宋" w:cs="仿宋"/>
          <w:color w:val="auto"/>
          <w:sz w:val="24"/>
          <w:szCs w:val="24"/>
          <w:lang w:eastAsia="zh-CN"/>
        </w:rPr>
      </w:pPr>
      <w:bookmarkStart w:id="43" w:name="_Toc25028"/>
      <w:r>
        <w:rPr>
          <w:rFonts w:hint="eastAsia" w:ascii="仿宋" w:hAnsi="仿宋" w:eastAsia="仿宋" w:cs="仿宋"/>
          <w:color w:val="auto"/>
          <w:sz w:val="24"/>
          <w:szCs w:val="24"/>
        </w:rPr>
        <w:t>3</w:t>
      </w:r>
      <w:bookmarkEnd w:id="40"/>
      <w:bookmarkEnd w:id="41"/>
      <w:bookmarkEnd w:id="42"/>
      <w:r>
        <w:rPr>
          <w:rFonts w:hint="eastAsia" w:ascii="仿宋" w:hAnsi="仿宋" w:eastAsia="仿宋" w:cs="仿宋"/>
          <w:color w:val="auto"/>
          <w:sz w:val="24"/>
          <w:szCs w:val="24"/>
          <w:lang w:eastAsia="zh-CN"/>
        </w:rPr>
        <w:t>、竞争性磋商响应文件</w:t>
      </w:r>
      <w:bookmarkEnd w:id="43"/>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3.1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及</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电子版的要求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3.1.1 </w:t>
      </w:r>
      <w:r>
        <w:rPr>
          <w:rFonts w:hint="eastAsia" w:ascii="仿宋" w:hAnsi="仿宋" w:eastAsia="仿宋" w:cs="仿宋"/>
          <w:color w:val="auto"/>
          <w:sz w:val="24"/>
          <w:szCs w:val="24"/>
          <w:highlight w:val="none"/>
          <w:lang w:eastAsia="zh-CN"/>
        </w:rPr>
        <w:t>竞争性磋商响应文件</w:t>
      </w:r>
      <w:r>
        <w:rPr>
          <w:rFonts w:hint="eastAsia" w:ascii="仿宋" w:hAnsi="仿宋" w:eastAsia="仿宋" w:cs="仿宋"/>
          <w:color w:val="auto"/>
          <w:sz w:val="24"/>
          <w:szCs w:val="24"/>
          <w:highlight w:val="none"/>
        </w:rPr>
        <w:t>应包括下列内容：</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第一部分    商务标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磋商响应函</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二、</w:t>
      </w:r>
      <w:r>
        <w:rPr>
          <w:rFonts w:hint="eastAsia" w:ascii="仿宋" w:hAnsi="仿宋" w:eastAsia="仿宋" w:cs="仿宋"/>
          <w:color w:val="auto"/>
          <w:sz w:val="24"/>
          <w:szCs w:val="24"/>
          <w:lang w:eastAsia="zh-CN"/>
        </w:rPr>
        <w:t>报价一览表</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四、法人授权委托书</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五、</w:t>
      </w:r>
      <w:r>
        <w:rPr>
          <w:rFonts w:hint="eastAsia" w:ascii="仿宋" w:hAnsi="仿宋" w:eastAsia="仿宋" w:cs="仿宋"/>
          <w:color w:val="auto"/>
          <w:sz w:val="24"/>
          <w:szCs w:val="24"/>
          <w:lang w:eastAsia="zh-CN"/>
        </w:rPr>
        <w:t>报价明细表</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六、商务响应与说明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七、承诺书</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要求的其他文件或承诺</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九、其他可以证明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实力的文件   </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第二部分    技术标</w:t>
      </w:r>
    </w:p>
    <w:p>
      <w:pPr>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第三部分    资格标</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bCs/>
          <w:color w:val="auto"/>
          <w:sz w:val="24"/>
          <w:szCs w:val="24"/>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的基本情况介绍和资格声明</w:t>
      </w:r>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资格证明文件</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3.2 </w:t>
      </w:r>
      <w:r>
        <w:rPr>
          <w:rFonts w:hint="eastAsia" w:ascii="仿宋" w:hAnsi="仿宋" w:eastAsia="仿宋" w:cs="仿宋"/>
          <w:color w:val="auto"/>
          <w:sz w:val="24"/>
          <w:szCs w:val="24"/>
          <w:lang w:eastAsia="zh-CN"/>
        </w:rPr>
        <w:t>磋商报价</w:t>
      </w:r>
    </w:p>
    <w:p>
      <w:pPr>
        <w:pageBreakBefore w:val="0"/>
        <w:kinsoku/>
        <w:wordWrap/>
        <w:overflowPunct/>
        <w:topLinePunct w:val="0"/>
        <w:autoSpaceDE/>
        <w:autoSpaceDN/>
        <w:bidi w:val="0"/>
        <w:adjustRightInd/>
        <w:snapToGrid/>
        <w:spacing w:line="360" w:lineRule="auto"/>
        <w:ind w:firstLine="496" w:firstLineChars="207"/>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3.2.1工程计价方式：本文件按照陕水规计发{2019}66号文《陕西省水利建筑工程概算定额》、《陕西省水利工程施工机械台班费定额》、水利部办财务函{2019}448号《水利部办公厅调整水利工程计价依据增值税计算标准的通知》等文件。</w:t>
      </w:r>
    </w:p>
    <w:p>
      <w:pPr>
        <w:pageBreakBefore w:val="0"/>
        <w:kinsoku/>
        <w:wordWrap/>
        <w:overflowPunct/>
        <w:topLinePunct w:val="0"/>
        <w:autoSpaceDE/>
        <w:autoSpaceDN/>
        <w:bidi w:val="0"/>
        <w:adjustRightInd/>
        <w:snapToGrid/>
        <w:spacing w:line="360" w:lineRule="auto"/>
        <w:ind w:firstLine="496" w:firstLineChars="207"/>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3.2.2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应按第五章“工程量清单”的要求填写。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3.2.3</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应按照施工图纸、工程量清单、补充通知、答疑纪要、合同条款、施工现场实际情况、拟定的施工方案或施工组织设计的相关内容及要求，并在满足</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的前提下，结合企业自身技术力量、设备装备水平、企业管理水平、市场价格行情自主报价。组价时应充分考虑相关费用在施工期间的政策调整、市场变动幅度、自然灾害、停电、停水、停工、窝工、施工现场条件及施工过程中发生的不可预见的风险因素，</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后综合单价不可作调整。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3.2.4</w:t>
      </w:r>
      <w:bookmarkStart w:id="44" w:name="OLE_LINK44"/>
      <w:r>
        <w:rPr>
          <w:rFonts w:hint="eastAsia" w:ascii="仿宋" w:hAnsi="仿宋" w:eastAsia="仿宋" w:cs="仿宋"/>
          <w:color w:val="auto"/>
          <w:sz w:val="24"/>
          <w:szCs w:val="24"/>
        </w:rPr>
        <w:t>本工程开工日期约为</w:t>
      </w:r>
      <w:r>
        <w:rPr>
          <w:rFonts w:hint="eastAsia" w:ascii="仿宋" w:hAnsi="仿宋" w:eastAsia="仿宋" w:cs="仿宋"/>
          <w:color w:val="auto"/>
          <w:sz w:val="24"/>
          <w:szCs w:val="24"/>
          <w:highlight w:val="none"/>
          <w:lang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月中旬，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组价时应</w:t>
      </w:r>
      <w:r>
        <w:rPr>
          <w:rFonts w:hint="eastAsia" w:ascii="仿宋" w:hAnsi="仿宋" w:eastAsia="仿宋" w:cs="仿宋"/>
          <w:color w:val="auto"/>
          <w:sz w:val="24"/>
          <w:szCs w:val="24"/>
        </w:rPr>
        <w:t>妥善考虑，正式施工时固定综合单价不因国家法律、行政法规和国家政策变化及原材料市场价发生变化等进行调整。</w:t>
      </w:r>
    </w:p>
    <w:bookmarkEnd w:id="44"/>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w:t>
      </w:r>
      <w:bookmarkStart w:id="45" w:name="OLE_LINK24"/>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应按</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中提供的工程量清单数量进行计价，不得修改清单工程量。</w:t>
      </w:r>
    </w:p>
    <w:bookmarkEnd w:id="45"/>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w:t>
      </w:r>
      <w:r>
        <w:rPr>
          <w:rFonts w:hint="eastAsia" w:ascii="仿宋" w:hAnsi="仿宋" w:eastAsia="仿宋" w:cs="仿宋"/>
          <w:color w:val="auto"/>
          <w:sz w:val="24"/>
          <w:szCs w:val="24"/>
          <w:highlight w:val="none"/>
        </w:rPr>
        <w:t>6除非</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予以修改，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应按本</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依据陕水规计发{2019}66号文《陕西省水利建筑工程概算定额》、《陕西省水利工程施工机械台班费定额》、水利部办财务函{2019}448号《水利部办公厅调整水利工程计价依据增值税计算标准的通知》等文件填报单价和合价。</w:t>
      </w:r>
      <w:r>
        <w:rPr>
          <w:rFonts w:hint="eastAsia" w:ascii="仿宋" w:hAnsi="仿宋" w:eastAsia="仿宋" w:cs="仿宋"/>
          <w:color w:val="auto"/>
          <w:sz w:val="24"/>
          <w:szCs w:val="24"/>
        </w:rPr>
        <w:t>每一分项工程只允许有一个报价，任何有选择的报价将不予接受。</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未填单价或合价的分项工程（零报价），视为该项费用已包括在其他价款的单价或合价内，并在工程实施后，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将不予支付，承包人必须按发包人代表指令完成工程量清单中未填入单价或合价的工程分项；若</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未填单价或合价的工程分项在实施中发生变更，无论变更增加或减少均按合同约定执行而且必须无条件执行发包人发出的变更通知。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3.2.7</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应先到工地踏勘以充分了解项目位置、现状、道路、储存空间、装卸限制及任何其他足以影响</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价的情况，任何因</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忽视或误解工地情况而导致的其提出的任何索赔或工期延长申请将不被批准。凡因</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阅读疏忽或误解，或因对施工现场、施工环境、市场行情等了解不清而造成的后果和风险，均由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负责。</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3.2.8编制</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的其他约定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bookmarkStart w:id="46" w:name="OLE_LINK21"/>
      <w:r>
        <w:rPr>
          <w:rFonts w:hint="eastAsia" w:ascii="仿宋" w:hAnsi="仿宋" w:eastAsia="仿宋" w:cs="仿宋"/>
          <w:color w:val="auto"/>
          <w:sz w:val="24"/>
          <w:szCs w:val="24"/>
        </w:rPr>
        <w:t>3.2.8.</w:t>
      </w:r>
      <w:bookmarkEnd w:id="46"/>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根据自行确定的施工组织设计或施工方案进行自主报价。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3.2.8.2</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应针对拟建工程编制保证安全施工、文明施工和环境保护的技术措施方案，并按</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的措施项目清单提供的数量报价。</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3.2.8.3规费、税金为不可竞争费，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不可随意改动，按规定标准计取。</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因承包本合同工程需缴纳的一切税费均由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自行承担，并包含在所报的单价或总价内。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应为建设工程和施工场地内自有人员及第三方人员生命财产及运至施工场地内用于工程的材料和待安装设备办理保险，</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价中应含的保险费，承包人装备险和承包人职工的（人身）事故险由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在其他项目清单保险费栏内自主列报，</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后包干使用。施工期间在施工区域内因非</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原因发生的设备、材料、人员等的损害、伤害，</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不再承担任何责任和费用。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中的总价要与综合单价相对应。所有工程量清单每个项目报价中的单价乘以工程量必须等于该项合价，合价累计必须等于合计。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3.2.8.</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lang w:eastAsia="zh-CN"/>
        </w:rPr>
        <w:t>磋商响应函</w:t>
      </w:r>
      <w:r>
        <w:rPr>
          <w:rFonts w:hint="eastAsia" w:ascii="仿宋" w:hAnsi="仿宋" w:eastAsia="仿宋" w:cs="仿宋"/>
          <w:color w:val="auto"/>
          <w:sz w:val="24"/>
          <w:szCs w:val="24"/>
        </w:rPr>
        <w:t>中的</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应与“</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总价”表中的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总价数字相符，不允许在</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中出现两个报价。任何有选择的报价将不予接受,否则按无效</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处理。</w:t>
      </w:r>
      <w:bookmarkStart w:id="47" w:name="OLE_LINK20"/>
      <w:bookmarkStart w:id="48" w:name="OLE_LINK74"/>
      <w:bookmarkStart w:id="49" w:name="OLE_LINK113"/>
      <w:bookmarkStart w:id="50" w:name="OLE_LINK63"/>
      <w:bookmarkStart w:id="51" w:name="OLE_LINK64"/>
      <w:bookmarkStart w:id="52" w:name="OLE_LINK114"/>
    </w:p>
    <w:bookmarkEnd w:id="47"/>
    <w:bookmarkEnd w:id="48"/>
    <w:bookmarkEnd w:id="49"/>
    <w:bookmarkEnd w:id="50"/>
    <w:bookmarkEnd w:id="51"/>
    <w:bookmarkEnd w:id="52"/>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3.2.9</w:t>
      </w:r>
      <w:r>
        <w:rPr>
          <w:rFonts w:hint="eastAsia" w:ascii="仿宋" w:hAnsi="仿宋" w:eastAsia="仿宋" w:cs="仿宋"/>
          <w:color w:val="auto"/>
          <w:sz w:val="24"/>
          <w:szCs w:val="24"/>
          <w:lang w:eastAsia="zh-CN"/>
        </w:rPr>
        <w:t>供应商报价</w:t>
      </w:r>
      <w:r>
        <w:rPr>
          <w:rFonts w:hint="eastAsia" w:ascii="仿宋" w:hAnsi="仿宋" w:eastAsia="仿宋" w:cs="仿宋"/>
          <w:color w:val="auto"/>
          <w:sz w:val="24"/>
          <w:szCs w:val="24"/>
        </w:rPr>
        <w:t>应包含招标代理服</w:t>
      </w:r>
      <w:r>
        <w:rPr>
          <w:rFonts w:hint="eastAsia" w:ascii="仿宋" w:hAnsi="仿宋" w:eastAsia="仿宋" w:cs="仿宋"/>
          <w:color w:val="auto"/>
          <w:sz w:val="24"/>
          <w:szCs w:val="24"/>
          <w:highlight w:val="none"/>
        </w:rPr>
        <w:t>务费，招标代理服务费</w:t>
      </w:r>
      <w:r>
        <w:rPr>
          <w:rFonts w:hint="eastAsia" w:ascii="仿宋" w:hAnsi="仿宋" w:eastAsia="仿宋" w:cs="仿宋"/>
          <w:color w:val="auto"/>
          <w:sz w:val="24"/>
          <w:szCs w:val="24"/>
          <w:highlight w:val="none"/>
          <w:lang w:val="en-US" w:eastAsia="zh-CN"/>
        </w:rPr>
        <w:t>参考</w:t>
      </w:r>
      <w:r>
        <w:rPr>
          <w:rFonts w:hint="eastAsia" w:ascii="仿宋" w:hAnsi="仿宋" w:eastAsia="仿宋" w:cs="仿宋"/>
          <w:color w:val="auto"/>
          <w:sz w:val="24"/>
          <w:szCs w:val="24"/>
          <w:highlight w:val="none"/>
        </w:rPr>
        <w:t>国家计委颁发的《招标代理服务收费管理暂行办法》（计价格[2002]1980号）和国家发展改革委员会办公厅颁发的《关于招标代理服务收费有关问题的通知》（发改办价格[2003]857号）的有关标准执行。</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3</w:t>
      </w:r>
      <w:r>
        <w:rPr>
          <w:rFonts w:hint="eastAsia" w:ascii="仿宋" w:hAnsi="仿宋" w:eastAsia="仿宋" w:cs="仿宋"/>
          <w:b/>
          <w:bCs/>
          <w:color w:val="auto"/>
          <w:sz w:val="24"/>
          <w:szCs w:val="24"/>
          <w:highlight w:val="none"/>
        </w:rPr>
        <w:t>.2.10本项目采购预算</w:t>
      </w:r>
      <w:r>
        <w:rPr>
          <w:rFonts w:hint="eastAsia" w:ascii="仿宋" w:hAnsi="仿宋" w:eastAsia="仿宋" w:cs="仿宋"/>
          <w:b/>
          <w:bCs/>
          <w:color w:val="auto"/>
          <w:sz w:val="24"/>
          <w:szCs w:val="24"/>
          <w:highlight w:val="none"/>
          <w:lang w:val="en-US" w:eastAsia="zh-CN"/>
        </w:rPr>
        <w:t>和最高限价</w:t>
      </w:r>
      <w:r>
        <w:rPr>
          <w:rFonts w:hint="eastAsia" w:ascii="仿宋" w:hAnsi="仿宋" w:eastAsia="仿宋" w:cs="仿宋"/>
          <w:b/>
          <w:bCs/>
          <w:color w:val="auto"/>
          <w:sz w:val="24"/>
          <w:szCs w:val="24"/>
          <w:highlight w:val="none"/>
          <w:lang w:eastAsia="zh-CN"/>
        </w:rPr>
        <w:t>：详见磋商公告</w:t>
      </w:r>
      <w:r>
        <w:rPr>
          <w:rFonts w:hint="eastAsia" w:ascii="仿宋" w:hAnsi="仿宋" w:eastAsia="仿宋" w:cs="仿宋"/>
          <w:b/>
          <w:bCs/>
          <w:color w:val="auto"/>
          <w:sz w:val="24"/>
          <w:szCs w:val="24"/>
          <w:highlight w:val="none"/>
        </w:rPr>
        <w:t>。凡</w:t>
      </w:r>
      <w:r>
        <w:rPr>
          <w:rFonts w:hint="eastAsia" w:ascii="仿宋" w:hAnsi="仿宋" w:eastAsia="仿宋" w:cs="仿宋"/>
          <w:b/>
          <w:bCs/>
          <w:color w:val="auto"/>
          <w:sz w:val="24"/>
          <w:szCs w:val="24"/>
          <w:highlight w:val="none"/>
          <w:lang w:eastAsia="zh-CN"/>
        </w:rPr>
        <w:t>磋商</w:t>
      </w:r>
      <w:r>
        <w:rPr>
          <w:rFonts w:hint="eastAsia" w:ascii="仿宋" w:hAnsi="仿宋" w:eastAsia="仿宋" w:cs="仿宋"/>
          <w:b/>
          <w:bCs/>
          <w:color w:val="auto"/>
          <w:sz w:val="24"/>
          <w:szCs w:val="24"/>
          <w:highlight w:val="none"/>
        </w:rPr>
        <w:t>总报价高于</w:t>
      </w:r>
      <w:r>
        <w:rPr>
          <w:rFonts w:hint="eastAsia" w:ascii="仿宋" w:hAnsi="仿宋" w:eastAsia="仿宋" w:cs="仿宋"/>
          <w:b/>
          <w:bCs/>
          <w:color w:val="auto"/>
          <w:sz w:val="24"/>
          <w:szCs w:val="24"/>
          <w:highlight w:val="none"/>
          <w:lang w:val="en-US" w:eastAsia="zh-CN"/>
        </w:rPr>
        <w:t>最高限价</w:t>
      </w:r>
      <w:r>
        <w:rPr>
          <w:rFonts w:hint="eastAsia" w:ascii="仿宋" w:hAnsi="仿宋" w:eastAsia="仿宋" w:cs="仿宋"/>
          <w:b/>
          <w:bCs/>
          <w:color w:val="auto"/>
          <w:sz w:val="24"/>
          <w:szCs w:val="24"/>
        </w:rPr>
        <w:t>的将被视为无效</w:t>
      </w:r>
      <w:r>
        <w:rPr>
          <w:rFonts w:hint="eastAsia" w:ascii="仿宋" w:hAnsi="仿宋" w:eastAsia="仿宋" w:cs="仿宋"/>
          <w:b/>
          <w:bCs/>
          <w:color w:val="auto"/>
          <w:sz w:val="24"/>
          <w:szCs w:val="24"/>
          <w:lang w:eastAsia="zh-CN"/>
        </w:rPr>
        <w:t>磋商</w:t>
      </w:r>
      <w:r>
        <w:rPr>
          <w:rFonts w:hint="eastAsia" w:ascii="仿宋" w:hAnsi="仿宋" w:eastAsia="仿宋" w:cs="仿宋"/>
          <w:b/>
          <w:bCs/>
          <w:color w:val="auto"/>
          <w:sz w:val="24"/>
          <w:szCs w:val="24"/>
        </w:rPr>
        <w:t>处理，不再参与后续</w:t>
      </w:r>
      <w:r>
        <w:rPr>
          <w:rFonts w:hint="eastAsia" w:ascii="仿宋" w:hAnsi="仿宋" w:eastAsia="仿宋" w:cs="仿宋"/>
          <w:b/>
          <w:bCs/>
          <w:color w:val="auto"/>
          <w:sz w:val="24"/>
          <w:szCs w:val="24"/>
          <w:lang w:eastAsia="zh-CN"/>
        </w:rPr>
        <w:t>评审</w:t>
      </w:r>
      <w:r>
        <w:rPr>
          <w:rFonts w:hint="eastAsia" w:ascii="仿宋" w:hAnsi="仿宋" w:eastAsia="仿宋" w:cs="仿宋"/>
          <w:b/>
          <w:bCs/>
          <w:color w:val="auto"/>
          <w:sz w:val="24"/>
          <w:szCs w:val="24"/>
        </w:rPr>
        <w:t>。</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3.3 </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有效期</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bookmarkStart w:id="53" w:name="OLE_LINK4"/>
      <w:r>
        <w:rPr>
          <w:rFonts w:hint="eastAsia" w:ascii="仿宋" w:hAnsi="仿宋" w:eastAsia="仿宋" w:cs="仿宋"/>
          <w:color w:val="auto"/>
          <w:sz w:val="24"/>
          <w:szCs w:val="24"/>
        </w:rPr>
        <w:t>3.3.1磋商响应文件应在“供应商须知前附表”中规定的期限内保持有效。磋商有效期不满足规定有效期的磋商响应文件将被视为非响应性磋商而予以拒绝。</w:t>
      </w:r>
      <w:bookmarkEnd w:id="53"/>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3.3.2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3.4 </w:t>
      </w:r>
      <w:r>
        <w:rPr>
          <w:rFonts w:hint="eastAsia" w:ascii="仿宋" w:hAnsi="仿宋" w:eastAsia="仿宋" w:cs="仿宋"/>
          <w:color w:val="auto"/>
          <w:sz w:val="24"/>
          <w:szCs w:val="24"/>
          <w:lang w:eastAsia="zh-CN"/>
        </w:rPr>
        <w:t>磋商保证金</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3.4.1本项目不要求提交磋商保证金。</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3.5备选</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方案</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须知前附表另有规定外，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不得递交备选</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方案。</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的编制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3.6.1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应按“</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格式”进行编写，如有必要，可以增加附页，作为</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的组成部分。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3.6.2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应当对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有关工期、</w:t>
      </w:r>
      <w:r>
        <w:rPr>
          <w:rFonts w:hint="eastAsia" w:ascii="仿宋" w:hAnsi="仿宋" w:eastAsia="仿宋" w:cs="仿宋"/>
          <w:color w:val="auto"/>
          <w:sz w:val="24"/>
          <w:szCs w:val="24"/>
          <w:lang w:eastAsia="zh-CN"/>
        </w:rPr>
        <w:t>磋商有效期</w:t>
      </w:r>
      <w:r>
        <w:rPr>
          <w:rFonts w:hint="eastAsia" w:ascii="仿宋" w:hAnsi="仿宋" w:eastAsia="仿宋" w:cs="仿宋"/>
          <w:color w:val="auto"/>
          <w:sz w:val="24"/>
          <w:szCs w:val="24"/>
        </w:rPr>
        <w:t>、质量要求、技术标准和要求、招标范围等实质性内容作出响应。</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3.6.3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应用不褪色的材料书写或打印，并由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的法定代表人或其委托代理人签字或盖章。委托代理人签字的，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应附法定代表人签署的授权委托书。</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应尽量避免涂改、行间插字或删除。如果出现上述情况，改动之处应加盖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公章或由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的法定代表人或其授权的代理人签字确认。所有要求签字（名）处，均须由签字（名）者本人用不褪色的蓝(黑)色墨水(汁)书写，不得用任何形式的图章代替。</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 xml:space="preserve">3.6.4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正本、副本</w:t>
      </w:r>
      <w:r>
        <w:rPr>
          <w:rFonts w:hint="eastAsia" w:ascii="仿宋" w:hAnsi="仿宋" w:eastAsia="仿宋" w:cs="仿宋"/>
          <w:color w:val="auto"/>
          <w:sz w:val="24"/>
          <w:szCs w:val="24"/>
          <w:lang w:eastAsia="zh-CN"/>
        </w:rPr>
        <w:t>、电子版、报价一览表</w:t>
      </w:r>
      <w:r>
        <w:rPr>
          <w:rFonts w:hint="eastAsia" w:ascii="仿宋" w:hAnsi="仿宋" w:eastAsia="仿宋" w:cs="仿宋"/>
          <w:color w:val="auto"/>
          <w:sz w:val="24"/>
          <w:szCs w:val="24"/>
        </w:rPr>
        <w:t>份数</w:t>
      </w:r>
      <w:r>
        <w:rPr>
          <w:rFonts w:hint="eastAsia" w:ascii="仿宋" w:hAnsi="仿宋" w:eastAsia="仿宋" w:cs="仿宋"/>
          <w:color w:val="auto"/>
          <w:sz w:val="24"/>
          <w:szCs w:val="24"/>
          <w:lang w:eastAsia="zh-CN"/>
        </w:rPr>
        <w:t>及要求</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3.6.5 所有</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正本和副本须</w:t>
      </w:r>
      <w:r>
        <w:rPr>
          <w:rFonts w:hint="eastAsia" w:ascii="仿宋" w:hAnsi="仿宋" w:eastAsia="仿宋" w:cs="仿宋"/>
          <w:color w:val="auto"/>
          <w:sz w:val="24"/>
          <w:szCs w:val="24"/>
          <w:highlight w:val="none"/>
        </w:rPr>
        <w:t>按第八章规定的顺序</w:t>
      </w:r>
      <w:r>
        <w:rPr>
          <w:rFonts w:hint="eastAsia" w:ascii="仿宋" w:hAnsi="仿宋" w:eastAsia="仿宋" w:cs="仿宋"/>
          <w:color w:val="auto"/>
          <w:sz w:val="24"/>
          <w:szCs w:val="24"/>
        </w:rPr>
        <w:t>编排、编制目录</w:t>
      </w:r>
      <w:r>
        <w:rPr>
          <w:rFonts w:hint="eastAsia" w:ascii="仿宋" w:hAnsi="仿宋" w:eastAsia="仿宋" w:cs="仿宋"/>
          <w:color w:val="auto"/>
          <w:sz w:val="24"/>
          <w:szCs w:val="24"/>
          <w:lang w:eastAsia="zh-CN"/>
        </w:rPr>
        <w:t>逐页标注连续页码，并分别胶装成册</w:t>
      </w:r>
      <w:r>
        <w:rPr>
          <w:rFonts w:hint="eastAsia" w:ascii="仿宋" w:hAnsi="仿宋" w:eastAsia="仿宋" w:cs="仿宋"/>
          <w:color w:val="auto"/>
          <w:sz w:val="24"/>
          <w:szCs w:val="24"/>
        </w:rPr>
        <w:t>。</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eastAsia="zh-CN"/>
        </w:rPr>
      </w:pPr>
      <w:bookmarkStart w:id="54" w:name="_Toc421778368"/>
      <w:bookmarkStart w:id="55" w:name="_Toc420591646"/>
      <w:bookmarkStart w:id="56" w:name="_Toc425240467"/>
      <w:r>
        <w:rPr>
          <w:rFonts w:hint="eastAsia" w:ascii="仿宋" w:hAnsi="仿宋" w:eastAsia="仿宋" w:cs="仿宋"/>
          <w:color w:val="auto"/>
          <w:sz w:val="24"/>
          <w:szCs w:val="24"/>
        </w:rPr>
        <w:t>4</w:t>
      </w:r>
      <w:bookmarkEnd w:id="54"/>
      <w:bookmarkEnd w:id="55"/>
      <w:bookmarkEnd w:id="56"/>
      <w:r>
        <w:rPr>
          <w:rFonts w:hint="eastAsia" w:ascii="仿宋" w:hAnsi="仿宋" w:eastAsia="仿宋" w:cs="仿宋"/>
          <w:color w:val="auto"/>
          <w:sz w:val="24"/>
          <w:szCs w:val="24"/>
          <w:lang w:eastAsia="zh-CN"/>
        </w:rPr>
        <w:t>、磋商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4.1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的密封和标记</w:t>
      </w:r>
    </w:p>
    <w:p>
      <w:pPr>
        <w:pageBreakBefore w:val="0"/>
        <w:kinsoku/>
        <w:wordWrap/>
        <w:overflowPunct/>
        <w:topLinePunct w:val="0"/>
        <w:autoSpaceDE/>
        <w:autoSpaceDN/>
        <w:bidi w:val="0"/>
        <w:adjustRightInd/>
        <w:snapToGrid/>
        <w:spacing w:line="360" w:lineRule="auto"/>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4.1.1</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的密封：</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须胶装成套且须用密封袋密封，包括</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正本、副本、电子版，</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需另外单独准备一份与正本内容一致的</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）须单独分别密封，若不一致，则按单独密封的</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为准。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4.1.2</w:t>
      </w:r>
      <w:r>
        <w:rPr>
          <w:rFonts w:hint="eastAsia" w:ascii="仿宋" w:hAnsi="仿宋" w:eastAsia="仿宋" w:cs="仿宋"/>
          <w:color w:val="auto"/>
          <w:sz w:val="24"/>
          <w:szCs w:val="24"/>
          <w:lang w:eastAsia="zh-CN"/>
        </w:rPr>
        <w:t>竞争性磋商响应文件密封要求见投标人须知前附表。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4.1.3封套</w:t>
      </w:r>
      <w:r>
        <w:rPr>
          <w:rFonts w:hint="eastAsia" w:ascii="仿宋" w:hAnsi="仿宋" w:eastAsia="仿宋" w:cs="仿宋"/>
          <w:color w:val="auto"/>
          <w:sz w:val="24"/>
          <w:szCs w:val="24"/>
          <w:lang w:eastAsia="zh-CN"/>
        </w:rPr>
        <w:t>要求</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4.1.4如果</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未对</w:t>
      </w:r>
      <w:r>
        <w:rPr>
          <w:rFonts w:hint="eastAsia" w:ascii="仿宋" w:hAnsi="仿宋" w:eastAsia="仿宋" w:cs="仿宋"/>
          <w:color w:val="auto"/>
          <w:sz w:val="24"/>
          <w:szCs w:val="24"/>
          <w:lang w:eastAsia="zh-CN"/>
        </w:rPr>
        <w:t>竞争性磋商响应</w:t>
      </w:r>
      <w:r>
        <w:rPr>
          <w:rFonts w:hint="eastAsia" w:ascii="仿宋" w:hAnsi="仿宋" w:eastAsia="仿宋" w:cs="仿宋"/>
          <w:color w:val="auto"/>
          <w:sz w:val="24"/>
          <w:szCs w:val="24"/>
        </w:rPr>
        <w:t>文件按上述要求进行完好密封，由此产生的不利后果由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自行承担。</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4.2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的递交</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4.2.1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应在</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须知前附表第4.2.2 项规定的</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截止时间前递交</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4.2.2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递交</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的地点：见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4.2.3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所递交的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不予退还。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4.2.4逾期送达的或者未送达指定地点的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不予受理。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4.3 </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的修改与撤回</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bookmarkStart w:id="57" w:name="_Toc425240468"/>
      <w:bookmarkStart w:id="58" w:name="_Toc420591647"/>
      <w:bookmarkStart w:id="59" w:name="_Toc421778369"/>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.1 供应商在递交</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后，可以修改或撤回其</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，也可以提出价格变动声明，但供应商必须在规定的磋商截止时间之前将修改或撤回或变动价格的书面通知文件递交到采购代理机构。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.2 供应商的修改或撤回或变动价格的通知应按本须知的规定编制、密封、标记和递交。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4.3</w:t>
      </w:r>
      <w:r>
        <w:rPr>
          <w:rFonts w:hint="eastAsia" w:ascii="仿宋" w:hAnsi="仿宋" w:eastAsia="仿宋" w:cs="仿宋"/>
          <w:color w:val="auto"/>
          <w:sz w:val="24"/>
          <w:szCs w:val="24"/>
        </w:rPr>
        <w:t>.3 在磋商截止时间之后，供应商不得对其</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做任何修改或撤回。</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eastAsia="zh-CN"/>
        </w:rPr>
      </w:pPr>
      <w:r>
        <w:rPr>
          <w:rFonts w:hint="eastAsia" w:ascii="仿宋" w:hAnsi="仿宋" w:eastAsia="仿宋" w:cs="仿宋"/>
          <w:color w:val="auto"/>
          <w:sz w:val="24"/>
          <w:szCs w:val="24"/>
        </w:rPr>
        <w:t>5</w:t>
      </w:r>
      <w:bookmarkEnd w:id="57"/>
      <w:bookmarkEnd w:id="58"/>
      <w:bookmarkEnd w:id="59"/>
      <w:r>
        <w:rPr>
          <w:rFonts w:hint="eastAsia" w:ascii="仿宋" w:hAnsi="仿宋" w:eastAsia="仿宋" w:cs="仿宋"/>
          <w:color w:val="auto"/>
          <w:sz w:val="24"/>
          <w:szCs w:val="24"/>
          <w:lang w:eastAsia="zh-CN"/>
        </w:rPr>
        <w:t>、磋商</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5.1 </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时间和地点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5.2</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程序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5.2.1</w:t>
      </w:r>
      <w:r>
        <w:rPr>
          <w:rFonts w:hint="eastAsia" w:ascii="仿宋" w:hAnsi="仿宋" w:eastAsia="仿宋" w:cs="仿宋"/>
          <w:color w:val="auto"/>
          <w:sz w:val="24"/>
          <w:szCs w:val="24"/>
        </w:rPr>
        <w:t>主持人按下列程序进行</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（1）宣布</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项目名称及</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接收截止时间，终止一切</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的接收工作，并宣布</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会</w:t>
      </w:r>
      <w:r>
        <w:rPr>
          <w:rFonts w:hint="eastAsia" w:ascii="仿宋" w:hAnsi="仿宋" w:eastAsia="仿宋" w:cs="仿宋"/>
          <w:color w:val="auto"/>
          <w:sz w:val="24"/>
          <w:szCs w:val="24"/>
          <w:lang w:eastAsia="zh-CN"/>
        </w:rPr>
        <w:t>议</w:t>
      </w:r>
      <w:r>
        <w:rPr>
          <w:rFonts w:hint="eastAsia" w:ascii="仿宋" w:hAnsi="仿宋" w:eastAsia="仿宋" w:cs="仿宋"/>
          <w:color w:val="auto"/>
          <w:sz w:val="24"/>
          <w:szCs w:val="24"/>
        </w:rPr>
        <w:t>开始；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（2）介绍</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采购代理机构</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监督管理部门和</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工作人员；</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（3）宣布本项目</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签到名单；</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（4）宣布</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会议纪律；</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须知前附表规定检查</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的密封情况；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（监标人）的监督下，将</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送交</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评审；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磋商会议</w:t>
      </w:r>
      <w:r>
        <w:rPr>
          <w:rFonts w:hint="eastAsia" w:ascii="仿宋" w:hAnsi="仿宋" w:eastAsia="仿宋" w:cs="仿宋"/>
          <w:color w:val="auto"/>
          <w:sz w:val="24"/>
          <w:szCs w:val="24"/>
        </w:rPr>
        <w:t>结束。</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eastAsia="zh-CN"/>
        </w:rPr>
      </w:pPr>
      <w:bookmarkStart w:id="60" w:name="_Toc420591648"/>
      <w:bookmarkStart w:id="61" w:name="_Toc425240469"/>
      <w:bookmarkStart w:id="62" w:name="_Toc421778370"/>
      <w:r>
        <w:rPr>
          <w:rFonts w:hint="eastAsia" w:ascii="仿宋" w:hAnsi="仿宋" w:eastAsia="仿宋" w:cs="仿宋"/>
          <w:color w:val="auto"/>
          <w:sz w:val="24"/>
          <w:szCs w:val="24"/>
        </w:rPr>
        <w:t>6</w:t>
      </w:r>
      <w:bookmarkEnd w:id="60"/>
      <w:bookmarkEnd w:id="61"/>
      <w:bookmarkEnd w:id="62"/>
      <w:r>
        <w:rPr>
          <w:rFonts w:hint="eastAsia" w:ascii="仿宋" w:hAnsi="仿宋" w:eastAsia="仿宋" w:cs="仿宋"/>
          <w:color w:val="auto"/>
          <w:sz w:val="24"/>
          <w:szCs w:val="24"/>
          <w:lang w:eastAsia="zh-CN"/>
        </w:rPr>
        <w:t>、评审</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6.1 </w:t>
      </w:r>
      <w:r>
        <w:rPr>
          <w:rFonts w:hint="eastAsia" w:ascii="仿宋" w:hAnsi="仿宋" w:eastAsia="仿宋" w:cs="仿宋"/>
          <w:color w:val="auto"/>
          <w:sz w:val="24"/>
          <w:szCs w:val="24"/>
          <w:lang w:eastAsia="zh-CN"/>
        </w:rPr>
        <w:t>磋商小组</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6.1.1</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由</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依法组建的</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负责。</w:t>
      </w:r>
      <w:r>
        <w:rPr>
          <w:rFonts w:hint="eastAsia" w:ascii="仿宋" w:hAnsi="仿宋" w:eastAsia="仿宋" w:cs="仿宋"/>
          <w:color w:val="auto"/>
          <w:sz w:val="24"/>
          <w:szCs w:val="24"/>
          <w:lang w:eastAsia="zh-CN"/>
        </w:rPr>
        <w:t>磋商小组组成：见供应商须知前附表</w:t>
      </w:r>
      <w:r>
        <w:rPr>
          <w:rFonts w:hint="eastAsia" w:ascii="仿宋" w:hAnsi="仿宋" w:eastAsia="仿宋" w:cs="仿宋"/>
          <w:color w:val="auto"/>
          <w:sz w:val="24"/>
          <w:szCs w:val="24"/>
          <w:highlight w:val="none"/>
        </w:rPr>
        <w:t>。磋商小组按照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方法独立进行</w:t>
      </w: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6.1.2磋商小组成员有下列情形之一的，应当回避：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）参加采购活动前3年内与供应商存在劳动关系；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）参加采购活动前3年内担任供应商的董事、监事；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）参加采购活动前3年内是供应商的控股股东或者实际控制人；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）与供应商的法定代表人或者负责人有夫妻、直系血亲、三代以内旁系血亲或者近姻亲关系；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）与供应商有其他可能影响政府采购活动公平、公正进行的关系。</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6.2 </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原则</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评审</w:t>
      </w:r>
      <w:r>
        <w:rPr>
          <w:rFonts w:hint="eastAsia" w:ascii="仿宋" w:hAnsi="仿宋" w:eastAsia="仿宋" w:cs="仿宋"/>
          <w:color w:val="auto"/>
          <w:sz w:val="24"/>
          <w:szCs w:val="24"/>
          <w:highlight w:val="none"/>
        </w:rPr>
        <w:t>活动遵循公平、公正、科学和择优的原则。</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6.3 </w:t>
      </w:r>
      <w:r>
        <w:rPr>
          <w:rFonts w:hint="eastAsia" w:ascii="仿宋" w:hAnsi="仿宋" w:eastAsia="仿宋" w:cs="仿宋"/>
          <w:color w:val="auto"/>
          <w:sz w:val="24"/>
          <w:szCs w:val="24"/>
          <w:lang w:eastAsia="zh-CN"/>
        </w:rPr>
        <w:t>评审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6.3.1</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按照第三章“评</w:t>
      </w:r>
      <w:r>
        <w:rPr>
          <w:rFonts w:hint="eastAsia" w:ascii="仿宋" w:hAnsi="仿宋" w:eastAsia="仿宋" w:cs="仿宋"/>
          <w:color w:val="auto"/>
          <w:sz w:val="24"/>
          <w:szCs w:val="24"/>
          <w:lang w:eastAsia="zh-CN"/>
        </w:rPr>
        <w:t>审方</w:t>
      </w:r>
      <w:r>
        <w:rPr>
          <w:rFonts w:hint="eastAsia" w:ascii="仿宋" w:hAnsi="仿宋" w:eastAsia="仿宋" w:cs="仿宋"/>
          <w:color w:val="auto"/>
          <w:sz w:val="24"/>
          <w:szCs w:val="24"/>
        </w:rPr>
        <w:t>法”规定的方法、评审因素、标准和程序对</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文件进行评审。第三章“评</w:t>
      </w:r>
      <w:r>
        <w:rPr>
          <w:rFonts w:hint="eastAsia" w:ascii="仿宋" w:hAnsi="仿宋" w:eastAsia="仿宋" w:cs="仿宋"/>
          <w:color w:val="auto"/>
          <w:sz w:val="24"/>
          <w:szCs w:val="24"/>
          <w:lang w:eastAsia="zh-CN"/>
        </w:rPr>
        <w:t>审方</w:t>
      </w:r>
      <w:r>
        <w:rPr>
          <w:rFonts w:hint="eastAsia" w:ascii="仿宋" w:hAnsi="仿宋" w:eastAsia="仿宋" w:cs="仿宋"/>
          <w:color w:val="auto"/>
          <w:sz w:val="24"/>
          <w:szCs w:val="24"/>
        </w:rPr>
        <w:t>法”没有规定的方法、评审因素和标准，不作为</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依据。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6.3.2</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过程的保密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（1）磋商小组成员和与评审活动有关的工作人员不得泄露有关</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的评审和比较、成交候选人的推荐以及与评审有关的其他情况。</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（2）在</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文件的评审、</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候选人推荐以及授予合同的过程中，</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施加影响的任何行为，都将会导致其</w:t>
      </w:r>
      <w:r>
        <w:rPr>
          <w:rFonts w:hint="eastAsia" w:ascii="仿宋" w:hAnsi="仿宋" w:eastAsia="仿宋" w:cs="仿宋"/>
          <w:color w:val="auto"/>
          <w:sz w:val="24"/>
          <w:szCs w:val="24"/>
          <w:lang w:eastAsia="zh-CN"/>
        </w:rPr>
        <w:t>响应文件</w:t>
      </w:r>
      <w:r>
        <w:rPr>
          <w:rFonts w:hint="eastAsia" w:ascii="仿宋" w:hAnsi="仿宋" w:eastAsia="仿宋" w:cs="仿宋"/>
          <w:color w:val="auto"/>
          <w:sz w:val="24"/>
          <w:szCs w:val="24"/>
        </w:rPr>
        <w:t>被拒绝直至取消其</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资格。</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人确定后，</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人不对未</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就评</w:t>
      </w:r>
      <w:r>
        <w:rPr>
          <w:rFonts w:hint="eastAsia" w:ascii="仿宋" w:hAnsi="仿宋" w:eastAsia="仿宋" w:cs="仿宋"/>
          <w:color w:val="auto"/>
          <w:sz w:val="24"/>
          <w:szCs w:val="24"/>
          <w:lang w:eastAsia="zh-CN"/>
        </w:rPr>
        <w:t>审</w:t>
      </w:r>
      <w:r>
        <w:rPr>
          <w:rFonts w:hint="eastAsia" w:ascii="仿宋" w:hAnsi="仿宋" w:eastAsia="仿宋" w:cs="仿宋"/>
          <w:color w:val="auto"/>
          <w:sz w:val="24"/>
          <w:szCs w:val="24"/>
        </w:rPr>
        <w:t>过程以及未能</w:t>
      </w:r>
      <w:r>
        <w:rPr>
          <w:rFonts w:hint="eastAsia" w:ascii="仿宋" w:hAnsi="仿宋" w:eastAsia="仿宋" w:cs="仿宋"/>
          <w:color w:val="auto"/>
          <w:sz w:val="24"/>
          <w:szCs w:val="24"/>
          <w:lang w:eastAsia="zh-CN"/>
        </w:rPr>
        <w:t>成交的</w:t>
      </w:r>
      <w:r>
        <w:rPr>
          <w:rFonts w:hint="eastAsia" w:ascii="仿宋" w:hAnsi="仿宋" w:eastAsia="仿宋" w:cs="仿宋"/>
          <w:color w:val="auto"/>
          <w:sz w:val="24"/>
          <w:szCs w:val="24"/>
        </w:rPr>
        <w:t>原因作出任何解释。未</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不得向</w:t>
      </w:r>
      <w:r>
        <w:rPr>
          <w:rFonts w:hint="eastAsia" w:ascii="仿宋" w:hAnsi="仿宋" w:eastAsia="仿宋" w:cs="仿宋"/>
          <w:color w:val="auto"/>
          <w:sz w:val="24"/>
          <w:szCs w:val="24"/>
          <w:lang w:eastAsia="zh-CN"/>
        </w:rPr>
        <w:t>磋商小组</w:t>
      </w:r>
      <w:r>
        <w:rPr>
          <w:rFonts w:hint="eastAsia" w:ascii="仿宋" w:hAnsi="仿宋" w:eastAsia="仿宋" w:cs="仿宋"/>
          <w:color w:val="auto"/>
          <w:sz w:val="24"/>
          <w:szCs w:val="24"/>
        </w:rPr>
        <w:t>组成人员或其他有关人员索问评</w:t>
      </w:r>
      <w:r>
        <w:rPr>
          <w:rFonts w:hint="eastAsia" w:ascii="仿宋" w:hAnsi="仿宋" w:eastAsia="仿宋" w:cs="仿宋"/>
          <w:color w:val="auto"/>
          <w:sz w:val="24"/>
          <w:szCs w:val="24"/>
          <w:lang w:eastAsia="zh-CN"/>
        </w:rPr>
        <w:t>审</w:t>
      </w:r>
      <w:r>
        <w:rPr>
          <w:rFonts w:hint="eastAsia" w:ascii="仿宋" w:hAnsi="仿宋" w:eastAsia="仿宋" w:cs="仿宋"/>
          <w:color w:val="auto"/>
          <w:sz w:val="24"/>
          <w:szCs w:val="24"/>
        </w:rPr>
        <w:t>过程的情况和材料。</w:t>
      </w:r>
    </w:p>
    <w:p>
      <w:pPr>
        <w:pStyle w:val="4"/>
        <w:keepNext/>
        <w:keepLines/>
        <w:pageBreakBefore w:val="0"/>
        <w:widowControl w:val="0"/>
        <w:kinsoku/>
        <w:wordWrap/>
        <w:overflowPunct/>
        <w:topLinePunct w:val="0"/>
        <w:autoSpaceDE/>
        <w:autoSpaceDN/>
        <w:bidi w:val="0"/>
        <w:adjustRightInd/>
        <w:snapToGrid/>
        <w:spacing w:before="20" w:after="20" w:line="360" w:lineRule="auto"/>
        <w:jc w:val="both"/>
        <w:textAlignment w:val="auto"/>
        <w:outlineLvl w:val="1"/>
        <w:rPr>
          <w:rFonts w:hint="eastAsia" w:ascii="仿宋" w:hAnsi="仿宋" w:eastAsia="仿宋" w:cs="仿宋"/>
          <w:color w:val="auto"/>
          <w:sz w:val="24"/>
          <w:szCs w:val="24"/>
        </w:rPr>
      </w:pPr>
      <w:bookmarkStart w:id="63" w:name="_Toc3800"/>
      <w:bookmarkStart w:id="64" w:name="_Toc421778371"/>
      <w:bookmarkStart w:id="65" w:name="_Toc420591649"/>
      <w:bookmarkStart w:id="66" w:name="_Toc425240470"/>
      <w:r>
        <w:rPr>
          <w:rFonts w:hint="eastAsia" w:ascii="仿宋" w:hAnsi="仿宋" w:eastAsia="仿宋" w:cs="仿宋"/>
          <w:color w:val="auto"/>
          <w:sz w:val="24"/>
          <w:szCs w:val="24"/>
        </w:rPr>
        <w:t>7</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合同授予</w:t>
      </w:r>
      <w:bookmarkEnd w:id="63"/>
      <w:bookmarkEnd w:id="64"/>
      <w:bookmarkEnd w:id="65"/>
      <w:bookmarkEnd w:id="66"/>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 定标方式</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磋商小组根据评审方法的规定对供应商进行评审排序，推荐</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名成交候选人，作为评审结果。评审结果由全体磋商小组成员签字确认。</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7.1.2采购人根据</w:t>
      </w:r>
      <w:r>
        <w:rPr>
          <w:rFonts w:hint="eastAsia" w:ascii="仿宋" w:hAnsi="仿宋" w:eastAsia="仿宋" w:cs="仿宋"/>
          <w:color w:val="auto"/>
          <w:sz w:val="24"/>
          <w:szCs w:val="24"/>
          <w:lang w:eastAsia="zh-CN"/>
        </w:rPr>
        <w:t>评审</w:t>
      </w:r>
      <w:r>
        <w:rPr>
          <w:rFonts w:hint="eastAsia" w:ascii="仿宋" w:hAnsi="仿宋" w:eastAsia="仿宋" w:cs="仿宋"/>
          <w:color w:val="auto"/>
          <w:sz w:val="24"/>
          <w:szCs w:val="24"/>
        </w:rPr>
        <w:t>报告中推荐的成交候选人排列顺序，确定排名第一的为成交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7.1.3排名第一的成交候选人放弃成交、在规定期限内未能签订合同、因不可抗力不能履行合同、不按照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要求提交履约保证金，或者被查实存在影响成交结果的违法行为等情形，不符合成交条件的，采购人可以按照磋商小组提出的成交候选人名单排序依次确定其他成交候选</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rPr>
        <w:t>为成交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，也可以重新组织竞争性磋商。</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7.1.4采购人也可以授权磋商小组评审后直接确定成交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7.1.5成交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确定之后，成交结果将在财政部门指定的政府采购信息发布媒体上公告。</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7.1.6供应商或者其他利害关系人对评审结果有异议的，应当在</w:t>
      </w:r>
      <w:r>
        <w:rPr>
          <w:rFonts w:hint="eastAsia" w:ascii="仿宋" w:hAnsi="仿宋" w:eastAsia="仿宋" w:cs="仿宋"/>
          <w:color w:val="auto"/>
          <w:sz w:val="24"/>
          <w:szCs w:val="24"/>
          <w:lang w:eastAsia="zh-CN"/>
        </w:rPr>
        <w:t>法律规定的时间内</w:t>
      </w:r>
      <w:r>
        <w:rPr>
          <w:rFonts w:hint="eastAsia" w:ascii="仿宋" w:hAnsi="仿宋" w:eastAsia="仿宋" w:cs="仿宋"/>
          <w:color w:val="auto"/>
          <w:sz w:val="24"/>
          <w:szCs w:val="24"/>
        </w:rPr>
        <w:t>提出。</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 成交通知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7.2.1采购代理机构向成交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发出《成交通知书》。 </w:t>
      </w:r>
      <w:r>
        <w:rPr>
          <w:rFonts w:hint="eastAsia" w:ascii="仿宋" w:hAnsi="仿宋" w:eastAsia="仿宋" w:cs="仿宋"/>
          <w:b/>
          <w:bCs/>
          <w:color w:val="auto"/>
          <w:sz w:val="24"/>
          <w:szCs w:val="24"/>
          <w:lang w:eastAsia="zh-CN"/>
        </w:rPr>
        <w:t>成交供应商在</w:t>
      </w:r>
      <w:r>
        <w:rPr>
          <w:rFonts w:hint="eastAsia" w:ascii="仿宋" w:hAnsi="仿宋" w:eastAsia="仿宋" w:cs="仿宋"/>
          <w:b/>
          <w:bCs/>
          <w:color w:val="auto"/>
          <w:sz w:val="24"/>
          <w:szCs w:val="24"/>
          <w:highlight w:val="none"/>
          <w:lang w:eastAsia="zh-CN"/>
        </w:rPr>
        <w:t>领取成交通知书时须携带法定代表人授权书及加盖单位公章的被授权人身份证复印件。</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7.2.2成交通知书对采购人和成交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具有同等法律效力。成交通知书发出之后，采购人改变成交结果，或者成交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放弃成交，应当承担相应的法律责任。</w:t>
      </w:r>
    </w:p>
    <w:p>
      <w:pPr>
        <w:spacing w:line="360" w:lineRule="auto"/>
        <w:ind w:firstLine="482" w:firstLineChars="200"/>
        <w:outlineLvl w:val="2"/>
        <w:rPr>
          <w:rFonts w:hint="eastAsia" w:ascii="仿宋" w:hAnsi="仿宋" w:eastAsia="仿宋" w:cs="仿宋"/>
          <w:b/>
          <w:bCs/>
          <w:color w:val="auto"/>
          <w:sz w:val="24"/>
          <w:szCs w:val="24"/>
          <w:lang w:eastAsia="zh-CN"/>
        </w:rPr>
      </w:pPr>
      <w:bookmarkStart w:id="67" w:name="_Toc393"/>
      <w:bookmarkStart w:id="68" w:name="_Toc19753"/>
      <w:r>
        <w:rPr>
          <w:rFonts w:hint="eastAsia" w:ascii="仿宋" w:hAnsi="仿宋" w:eastAsia="仿宋" w:cs="仿宋"/>
          <w:b/>
          <w:bCs/>
          <w:color w:val="auto"/>
          <w:sz w:val="24"/>
          <w:szCs w:val="24"/>
        </w:rPr>
        <w:t>7.3 履约</w:t>
      </w:r>
      <w:bookmarkEnd w:id="67"/>
      <w:bookmarkEnd w:id="68"/>
      <w:r>
        <w:rPr>
          <w:rFonts w:hint="eastAsia" w:ascii="仿宋" w:hAnsi="仿宋" w:eastAsia="仿宋" w:cs="仿宋"/>
          <w:b/>
          <w:bCs/>
          <w:color w:val="auto"/>
          <w:sz w:val="24"/>
          <w:szCs w:val="24"/>
          <w:lang w:eastAsia="zh-CN"/>
        </w:rPr>
        <w:t>保证金</w:t>
      </w:r>
    </w:p>
    <w:p>
      <w:pPr>
        <w:spacing w:line="360" w:lineRule="auto"/>
        <w:ind w:firstLine="420"/>
        <w:rPr>
          <w:rFonts w:hint="eastAsia" w:ascii="仿宋" w:hAnsi="仿宋" w:eastAsia="仿宋" w:cs="仿宋"/>
          <w:color w:val="auto"/>
          <w:sz w:val="24"/>
          <w:szCs w:val="24"/>
        </w:rPr>
      </w:pPr>
      <w:r>
        <w:rPr>
          <w:rFonts w:hint="eastAsia" w:ascii="仿宋" w:hAnsi="仿宋" w:eastAsia="仿宋" w:cs="仿宋"/>
          <w:color w:val="auto"/>
          <w:sz w:val="24"/>
        </w:rPr>
        <w:t>7.3.1</w:t>
      </w:r>
      <w:r>
        <w:rPr>
          <w:rFonts w:hint="eastAsia" w:ascii="仿宋" w:hAnsi="仿宋" w:eastAsia="仿宋" w:cs="仿宋"/>
          <w:color w:val="auto"/>
          <w:sz w:val="24"/>
          <w:lang w:eastAsia="zh-CN"/>
        </w:rPr>
        <w:t>履约保证金的形式和金额：</w:t>
      </w:r>
      <w:r>
        <w:rPr>
          <w:rFonts w:hint="eastAsia" w:ascii="仿宋" w:hAnsi="仿宋" w:eastAsia="仿宋" w:cs="仿宋"/>
          <w:color w:val="auto"/>
          <w:sz w:val="24"/>
        </w:rPr>
        <w:t>见投标人须知前附表</w:t>
      </w:r>
      <w:r>
        <w:rPr>
          <w:rFonts w:hint="eastAsia" w:ascii="仿宋" w:hAnsi="仿宋" w:eastAsia="仿宋" w:cs="仿宋"/>
          <w:color w:val="auto"/>
          <w:sz w:val="24"/>
          <w:lang w:eastAsia="zh-CN"/>
        </w:rPr>
        <w:t>。</w:t>
      </w:r>
    </w:p>
    <w:p>
      <w:pPr>
        <w:pStyle w:val="5"/>
        <w:pageBreakBefore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 xml:space="preserve"> 签订合同</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.1采购人应当自成交通知书发出之日起三十日内，按照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成交供应商竞争性磋商响应文件</w:t>
      </w:r>
      <w:r>
        <w:rPr>
          <w:rFonts w:hint="eastAsia" w:ascii="仿宋" w:hAnsi="仿宋" w:eastAsia="仿宋" w:cs="仿宋"/>
          <w:color w:val="auto"/>
          <w:sz w:val="24"/>
          <w:szCs w:val="24"/>
        </w:rPr>
        <w:t>（包括评审中形成的澄清文件）的约定，与</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签订书面合同。所签订的合同不得对</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（包括评审中形成的澄清文件）作实质性修改。</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green"/>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采购人自政府采购合同签订之日起2个工作日内，将政府采购合同在省级以上人民政府财政部门指定的媒体上公告，但政府采购合同中涉及国家秘密、商业秘密的内容除外。</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rPr>
      </w:pPr>
      <w:bookmarkStart w:id="69" w:name="_Toc420591653"/>
      <w:bookmarkStart w:id="70" w:name="_Toc421778375"/>
      <w:bookmarkStart w:id="71" w:name="_Toc425240474"/>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代理服务费</w:t>
      </w:r>
      <w:bookmarkEnd w:id="69"/>
      <w:bookmarkEnd w:id="70"/>
      <w:bookmarkEnd w:id="71"/>
      <w:r>
        <w:rPr>
          <w:rFonts w:hint="eastAsia" w:ascii="仿宋" w:hAnsi="仿宋" w:eastAsia="仿宋" w:cs="仿宋"/>
          <w:color w:val="auto"/>
          <w:sz w:val="24"/>
          <w:szCs w:val="24"/>
          <w:lang w:eastAsia="zh-CN"/>
        </w:rPr>
        <w:t>：详见“供应商须知前附表”。</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9、合同鉴证费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yellow"/>
          <w:lang w:val="en-US" w:eastAsia="zh-CN"/>
        </w:rPr>
      </w:pPr>
      <w:r>
        <w:rPr>
          <w:rFonts w:hint="eastAsia" w:ascii="仿宋" w:hAnsi="仿宋" w:eastAsia="仿宋" w:cs="仿宋"/>
          <w:b w:val="0"/>
          <w:bCs w:val="0"/>
          <w:color w:val="auto"/>
          <w:sz w:val="24"/>
          <w:szCs w:val="24"/>
          <w:highlight w:val="none"/>
          <w:lang w:val="en-US" w:eastAsia="zh-CN"/>
        </w:rPr>
        <w:t>本项目不收取合同鉴证费。</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Fonts w:hint="eastAsia" w:ascii="仿宋" w:hAnsi="仿宋" w:eastAsia="仿宋" w:cs="仿宋"/>
          <w:b w:val="0"/>
          <w:bCs w:val="0"/>
          <w:color w:val="auto"/>
          <w:sz w:val="24"/>
          <w:szCs w:val="24"/>
          <w:highlight w:val="none"/>
          <w:lang w:val="en-US" w:eastAsia="zh-CN"/>
        </w:rPr>
      </w:pPr>
      <w:bookmarkStart w:id="72" w:name="_Toc20671"/>
      <w:bookmarkStart w:id="73" w:name="_Toc421778376"/>
      <w:r>
        <w:rPr>
          <w:rFonts w:hint="eastAsia" w:ascii="仿宋" w:hAnsi="仿宋" w:eastAsia="仿宋" w:cs="仿宋"/>
          <w:b w:val="0"/>
          <w:bCs w:val="0"/>
          <w:color w:val="auto"/>
          <w:sz w:val="24"/>
          <w:szCs w:val="24"/>
          <w:highlight w:val="none"/>
          <w:lang w:val="en-US" w:eastAsia="zh-CN"/>
        </w:rPr>
        <w:t>10.1供应商认为磋商文件、采购过程、成交结果使自己的权益受到损害的，可以在知道或者应知其权益受到损害之日起7个工作日内，以书面形式向采购人、采购代理机构提出质疑。</w:t>
      </w:r>
    </w:p>
    <w:p>
      <w:pPr>
        <w:keepNext w:val="0"/>
        <w:keepLines w:val="0"/>
        <w:pageBreakBefore w:val="0"/>
        <w:widowControl w:val="0"/>
        <w:kinsoku/>
        <w:wordWrap/>
        <w:overflowPunct/>
        <w:topLinePunct w:val="0"/>
        <w:autoSpaceDE/>
        <w:autoSpaceDN/>
        <w:bidi w:val="0"/>
        <w:adjustRightInd/>
        <w:snapToGrid/>
        <w:spacing w:line="360" w:lineRule="auto"/>
        <w:ind w:left="0" w:leftChars="0" w:right="12" w:rightChars="0" w:firstLine="480" w:firstLineChars="0"/>
        <w:jc w:val="both"/>
        <w:textAlignment w:val="auto"/>
        <w:outlineLvl w:val="9"/>
        <w:rPr>
          <w:rStyle w:val="38"/>
          <w:rFonts w:hint="eastAsia" w:ascii="仿宋" w:hAnsi="仿宋" w:eastAsia="仿宋" w:cs="仿宋"/>
          <w:b/>
          <w:bCs w:val="0"/>
          <w:i w:val="0"/>
          <w:caps w:val="0"/>
          <w:color w:val="auto"/>
          <w:spacing w:val="0"/>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lang w:val="en-US" w:eastAsia="zh-CN"/>
        </w:rPr>
        <w:t>10.2供应商必须在法定质疑期内一次性提出针对同一采购程序环节的质疑。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8"/>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lang w:val="en-US" w:eastAsia="zh-CN"/>
        </w:rPr>
        <w:t>10</w:t>
      </w:r>
      <w:r>
        <w:rPr>
          <w:rStyle w:val="38"/>
          <w:rFonts w:hint="eastAsia" w:ascii="仿宋" w:hAnsi="仿宋" w:eastAsia="仿宋" w:cs="仿宋"/>
          <w:b w:val="0"/>
          <w:bCs/>
          <w:i w:val="0"/>
          <w:caps w:val="0"/>
          <w:color w:val="auto"/>
          <w:spacing w:val="0"/>
          <w:sz w:val="24"/>
          <w:szCs w:val="24"/>
          <w:highlight w:val="none"/>
          <w:shd w:val="clear" w:color="auto" w:fill="FFFFFF"/>
          <w:lang w:val="en-US" w:eastAsia="zh-CN"/>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 w:leftChars="0" w:right="0" w:rightChars="0" w:firstLine="518" w:firstLineChars="216"/>
        <w:jc w:val="both"/>
        <w:textAlignment w:val="auto"/>
        <w:outlineLvl w:val="9"/>
        <w:rPr>
          <w:rStyle w:val="38"/>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val="0"/>
          <w:color w:val="auto"/>
          <w:sz w:val="24"/>
          <w:szCs w:val="24"/>
          <w:highlight w:val="none"/>
          <w:lang w:val="en-US" w:eastAsia="zh-CN"/>
        </w:rPr>
        <w:t>10</w:t>
      </w:r>
      <w:r>
        <w:rPr>
          <w:rStyle w:val="38"/>
          <w:rFonts w:hint="eastAsia" w:ascii="仿宋" w:hAnsi="仿宋" w:eastAsia="仿宋" w:cs="仿宋"/>
          <w:b w:val="0"/>
          <w:bCs/>
          <w:i w:val="0"/>
          <w:caps w:val="0"/>
          <w:color w:val="auto"/>
          <w:spacing w:val="0"/>
          <w:sz w:val="24"/>
          <w:szCs w:val="24"/>
          <w:highlight w:val="none"/>
          <w:shd w:val="clear" w:color="auto" w:fill="FFFFFF"/>
          <w:lang w:val="en-US" w:eastAsia="zh-CN"/>
        </w:rPr>
        <w:t>.4以联合体形式参加政府采购活动的，其质疑应当由组成联合体的所有供应商共同提出。</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.5供应商提出质疑应当提交质疑函和必要的证明材料。质疑函应当包括下列内容：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.5.1供应商的姓名或者名称、地址、邮编、联系人及联系电话；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.5.2质疑项目的名称、编号；</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.5.4事实依据；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.5.5必要的法律依据；</w:t>
      </w:r>
    </w:p>
    <w:p>
      <w:pPr>
        <w:keepNext w:val="0"/>
        <w:keepLines w:val="0"/>
        <w:pageBreakBefore w:val="0"/>
        <w:widowControl w:val="0"/>
        <w:kinsoku/>
        <w:wordWrap/>
        <w:overflowPunct/>
        <w:topLinePunct w:val="0"/>
        <w:autoSpaceDE/>
        <w:autoSpaceDN/>
        <w:bidi w:val="0"/>
        <w:adjustRightInd/>
        <w:snapToGrid/>
        <w:spacing w:line="360" w:lineRule="auto"/>
        <w:ind w:right="12" w:rightChars="0" w:firstLine="480" w:firstLineChars="200"/>
        <w:jc w:val="both"/>
        <w:textAlignment w:val="auto"/>
        <w:outlineLvl w:val="9"/>
        <w:rPr>
          <w:rStyle w:val="38"/>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.5.6提出质疑的日期。</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有下列情形之一的，属于无效质疑，采购代理机构和采购人不予受理：</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不是参与本次政府采购项目的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rPr>
        <w:t>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与质疑事项不存在利害关系的；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szCs w:val="24"/>
          <w:highlight w:val="none"/>
        </w:rPr>
        <w:t>未在法定期限内提出质疑的；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rPr>
        <w:t>质疑未以书面形式提出，或质疑</w:t>
      </w:r>
      <w:r>
        <w:rPr>
          <w:rFonts w:hint="eastAsia" w:ascii="仿宋" w:hAnsi="仿宋" w:eastAsia="仿宋" w:cs="仿宋"/>
          <w:color w:val="auto"/>
          <w:sz w:val="24"/>
          <w:szCs w:val="24"/>
          <w:highlight w:val="none"/>
          <w:lang w:eastAsia="zh-CN"/>
        </w:rPr>
        <w:t>函</w:t>
      </w:r>
      <w:r>
        <w:rPr>
          <w:rFonts w:hint="eastAsia" w:ascii="仿宋" w:hAnsi="仿宋" w:eastAsia="仿宋" w:cs="仿宋"/>
          <w:color w:val="auto"/>
          <w:sz w:val="24"/>
          <w:szCs w:val="24"/>
          <w:highlight w:val="none"/>
        </w:rPr>
        <w:t>主要内容构成不完整的；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.6.5</w:t>
      </w:r>
      <w:r>
        <w:rPr>
          <w:rFonts w:hint="eastAsia" w:ascii="仿宋" w:hAnsi="仿宋" w:eastAsia="仿宋" w:cs="仿宋"/>
          <w:color w:val="auto"/>
          <w:sz w:val="24"/>
          <w:szCs w:val="24"/>
          <w:highlight w:val="none"/>
          <w:lang w:eastAsia="zh-CN"/>
        </w:rPr>
        <w:t>应当提交授权书而未提交的</w:t>
      </w:r>
      <w:r>
        <w:rPr>
          <w:rFonts w:hint="eastAsia" w:ascii="仿宋" w:hAnsi="仿宋" w:eastAsia="仿宋" w:cs="仿宋"/>
          <w:color w:val="auto"/>
          <w:sz w:val="24"/>
          <w:szCs w:val="24"/>
          <w:highlight w:val="none"/>
        </w:rPr>
        <w:t>；</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.6.6</w:t>
      </w:r>
      <w:r>
        <w:rPr>
          <w:rFonts w:hint="eastAsia" w:ascii="仿宋" w:hAnsi="仿宋" w:eastAsia="仿宋" w:cs="仿宋"/>
          <w:color w:val="auto"/>
          <w:sz w:val="24"/>
          <w:szCs w:val="24"/>
          <w:highlight w:val="none"/>
        </w:rPr>
        <w:t>以非法手段取得证据、材料的；</w:t>
      </w:r>
    </w:p>
    <w:p>
      <w:pPr>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.6.7</w:t>
      </w:r>
      <w:r>
        <w:rPr>
          <w:rFonts w:hint="eastAsia" w:ascii="仿宋" w:hAnsi="仿宋" w:eastAsia="仿宋" w:cs="仿宋"/>
          <w:color w:val="auto"/>
          <w:sz w:val="24"/>
          <w:szCs w:val="24"/>
          <w:highlight w:val="none"/>
        </w:rPr>
        <w:t>质疑答复后，同一质疑人就同一事项</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同一采购程序环节</w:t>
      </w:r>
      <w:r>
        <w:rPr>
          <w:rFonts w:hint="eastAsia" w:ascii="仿宋" w:hAnsi="仿宋" w:eastAsia="仿宋" w:cs="仿宋"/>
          <w:color w:val="auto"/>
          <w:sz w:val="24"/>
          <w:szCs w:val="24"/>
          <w:highlight w:val="none"/>
        </w:rPr>
        <w:t>再次提出质疑的；</w:t>
      </w:r>
    </w:p>
    <w:p>
      <w:pPr>
        <w:pageBreakBefore w:val="0"/>
        <w:widowControl/>
        <w:kinsoku/>
        <w:wordWrap/>
        <w:overflowPunct/>
        <w:topLinePunct w:val="0"/>
        <w:autoSpaceDE/>
        <w:autoSpaceDN/>
        <w:bidi w:val="0"/>
        <w:adjustRightInd/>
        <w:snapToGrid/>
        <w:spacing w:line="360" w:lineRule="auto"/>
        <w:ind w:firstLine="480" w:firstLineChars="200"/>
        <w:textAlignment w:val="auto"/>
        <w:rPr>
          <w:rStyle w:val="38"/>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.6.8</w:t>
      </w:r>
      <w:r>
        <w:rPr>
          <w:rFonts w:hint="eastAsia" w:ascii="仿宋" w:hAnsi="仿宋" w:eastAsia="仿宋" w:cs="仿宋"/>
          <w:color w:val="auto"/>
          <w:sz w:val="24"/>
          <w:szCs w:val="24"/>
          <w:highlight w:val="none"/>
        </w:rPr>
        <w:t>不符合法律、法规、规章和政府采购监管机构规定的其他条件的。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12" w:rightChars="0"/>
        <w:jc w:val="both"/>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10.7</w:t>
      </w:r>
      <w:r>
        <w:rPr>
          <w:rFonts w:hint="eastAsia" w:ascii="仿宋" w:hAnsi="仿宋" w:eastAsia="仿宋" w:cs="仿宋"/>
          <w:color w:val="auto"/>
          <w:sz w:val="24"/>
          <w:szCs w:val="24"/>
          <w:highlight w:val="none"/>
          <w:lang w:eastAsia="zh-CN"/>
        </w:rPr>
        <w:t>质疑答复</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.7.1采购人或采购代理机构</w:t>
      </w:r>
      <w:r>
        <w:rPr>
          <w:rFonts w:hint="eastAsia" w:ascii="仿宋" w:hAnsi="仿宋" w:eastAsia="仿宋" w:cs="仿宋"/>
          <w:color w:val="auto"/>
          <w:sz w:val="24"/>
          <w:szCs w:val="24"/>
          <w:highlight w:val="none"/>
        </w:rPr>
        <w:t>在收到质疑函后7个工作日内作出答复，并以书面形式通知质疑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和其他有关</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lang w:val="en-US" w:eastAsia="zh-CN"/>
        </w:rPr>
        <w:t>.7.2质疑供应商对采购人、采购代理机构的答复不满意，或者采购人、采购代理机构未在规定时间内作出答复的，可以在答复期满后15个工作日</w:t>
      </w:r>
      <w:r>
        <w:rPr>
          <w:rFonts w:hint="eastAsia" w:ascii="仿宋" w:hAnsi="仿宋" w:eastAsia="仿宋" w:cs="仿宋"/>
          <w:color w:val="auto"/>
          <w:sz w:val="24"/>
          <w:szCs w:val="24"/>
          <w:highlight w:val="none"/>
          <w:lang w:val="en-US" w:eastAsia="zh-CN"/>
        </w:rPr>
        <w:t>内向同级人民政府财政部门提起投诉。</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.8其他需要说明的事项</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8.1质疑函须按财政部《质疑函范本》给定的格式进行填写，范本下载详见【财政部国库司（gks.mof.gov.cn）】网站〖首页·政府采购管理〗栏目中的《政府采购供应商质疑函范本》。《政府采购供应商质疑函范本》链接地址：</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http://gks.mof.gov.cn/ztztz/zhengfucaigouguanli/201802/t20180201_2804589.htm</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10.8.2接收质疑函的方式：书面形式</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.8.3联系部门：华夏国际项目管理有限公司招标部</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.8.4联系电话：见供应商须知前附表</w:t>
      </w:r>
    </w:p>
    <w:p>
      <w:pPr>
        <w:pStyle w:val="11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jc w:val="left"/>
        <w:textAlignment w:val="auto"/>
        <w:outlineLvl w:val="9"/>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lang w:val="en-US" w:eastAsia="zh-CN"/>
        </w:rPr>
        <w:t>10</w:t>
      </w:r>
      <w:r>
        <w:rPr>
          <w:rFonts w:hint="eastAsia" w:ascii="仿宋" w:hAnsi="仿宋" w:eastAsia="仿宋" w:cs="仿宋"/>
          <w:color w:val="auto"/>
          <w:sz w:val="24"/>
          <w:szCs w:val="24"/>
          <w:highlight w:val="none"/>
          <w:lang w:val="en-US" w:eastAsia="zh-CN"/>
        </w:rPr>
        <w:t>.8.5通讯地址：</w:t>
      </w:r>
      <w:r>
        <w:rPr>
          <w:rFonts w:hint="eastAsia" w:ascii="仿宋" w:hAnsi="仿宋" w:eastAsia="仿宋" w:cs="仿宋"/>
          <w:color w:val="auto"/>
          <w:sz w:val="24"/>
          <w:szCs w:val="24"/>
        </w:rPr>
        <w:t>西安市高新区科技五路8号数字大厦11楼</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1磋商步骤为：第一次报价---初步评审---分别磋商---第二次报价---综合评审推荐成交候选人。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以供</w:t>
      </w:r>
      <w:r>
        <w:rPr>
          <w:rFonts w:hint="eastAsia" w:ascii="仿宋" w:hAnsi="仿宋" w:eastAsia="仿宋" w:cs="仿宋"/>
          <w:color w:val="auto"/>
          <w:sz w:val="24"/>
          <w:szCs w:val="24"/>
        </w:rPr>
        <w:t>应商递交的磋商响应文件中的总报价为第一次报价。分别磋商后，供应商现场填报的磋商响应总报价为第二次报价）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用竞争性磋商采购方式采购的政府购买服务项目（含政府和社会资本合作项目），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成交供应商确定后，成交供应商无正当理由拖延或拒签合同的，或未能按照规定的时间提供</w:t>
      </w:r>
      <w:r>
        <w:rPr>
          <w:rFonts w:hint="eastAsia" w:ascii="仿宋" w:hAnsi="仿宋" w:eastAsia="仿宋" w:cs="仿宋"/>
          <w:color w:val="auto"/>
          <w:sz w:val="24"/>
          <w:szCs w:val="24"/>
          <w:lang w:eastAsia="zh-CN"/>
        </w:rPr>
        <w:t>履约保证金</w:t>
      </w:r>
      <w:r>
        <w:rPr>
          <w:rFonts w:hint="eastAsia" w:ascii="仿宋" w:hAnsi="仿宋" w:eastAsia="仿宋" w:cs="仿宋"/>
          <w:color w:val="auto"/>
          <w:sz w:val="24"/>
          <w:szCs w:val="24"/>
        </w:rPr>
        <w:t>，采购人有权取消其成交资格，并按评审顺序重新确定成交供应商</w:t>
      </w:r>
      <w:r>
        <w:rPr>
          <w:rFonts w:hint="eastAsia" w:ascii="仿宋" w:hAnsi="仿宋" w:eastAsia="仿宋" w:cs="仿宋"/>
          <w:color w:val="auto"/>
          <w:sz w:val="24"/>
          <w:szCs w:val="24"/>
          <w:lang w:eastAsia="zh-CN"/>
        </w:rPr>
        <w:t>；供应商应按照政府采购相关法律法规承担相应的责任。</w:t>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4"/>
          <w:szCs w:val="24"/>
        </w:rPr>
      </w:pPr>
      <w:bookmarkStart w:id="74" w:name="_Toc425240473"/>
      <w:bookmarkStart w:id="75" w:name="_Toc420591652"/>
      <w:bookmarkStart w:id="76" w:name="_Toc421778374"/>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、需要补充的其他内容：</w:t>
      </w:r>
      <w:bookmarkStart w:id="77" w:name="_Toc356305901"/>
      <w:r>
        <w:rPr>
          <w:rFonts w:hint="eastAsia" w:ascii="仿宋" w:hAnsi="仿宋" w:eastAsia="仿宋" w:cs="仿宋"/>
          <w:color w:val="auto"/>
          <w:sz w:val="24"/>
          <w:szCs w:val="24"/>
        </w:rPr>
        <w:t>详见</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须知前附表</w:t>
      </w:r>
      <w:bookmarkEnd w:id="77"/>
      <w:r>
        <w:rPr>
          <w:rFonts w:hint="eastAsia" w:ascii="仿宋" w:hAnsi="仿宋" w:eastAsia="仿宋" w:cs="仿宋"/>
          <w:color w:val="auto"/>
          <w:sz w:val="24"/>
          <w:szCs w:val="24"/>
        </w:rPr>
        <w:t>。</w:t>
      </w:r>
      <w:bookmarkEnd w:id="74"/>
      <w:bookmarkEnd w:id="75"/>
      <w:bookmarkEnd w:id="76"/>
    </w:p>
    <w:p>
      <w:pPr>
        <w:pStyle w:val="2"/>
        <w:jc w:val="both"/>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2"/>
        <w:rPr>
          <w:rFonts w:hint="eastAsia" w:ascii="仿宋" w:hAnsi="仿宋" w:eastAsia="仿宋" w:cs="仿宋"/>
          <w:color w:val="auto"/>
        </w:rPr>
      </w:pPr>
    </w:p>
    <w:p>
      <w:pPr>
        <w:rPr>
          <w:rFonts w:hint="eastAsia" w:ascii="仿宋" w:hAnsi="仿宋" w:eastAsia="仿宋" w:cs="仿宋"/>
          <w:color w:val="auto"/>
        </w:rPr>
      </w:pPr>
      <w:r>
        <w:rPr>
          <w:rFonts w:hint="eastAsia" w:ascii="仿宋" w:hAnsi="仿宋" w:eastAsia="仿宋" w:cs="仿宋"/>
          <w:color w:val="auto"/>
        </w:rPr>
        <w:br w:type="page"/>
      </w:r>
    </w:p>
    <w:p>
      <w:pPr>
        <w:pStyle w:val="3"/>
        <w:spacing w:afterLines="50"/>
        <w:jc w:val="center"/>
        <w:rPr>
          <w:rFonts w:hint="eastAsia" w:ascii="仿宋" w:hAnsi="仿宋" w:eastAsia="仿宋" w:cs="仿宋"/>
          <w:color w:val="auto"/>
          <w:sz w:val="32"/>
          <w:szCs w:val="32"/>
        </w:rPr>
      </w:pPr>
      <w:bookmarkStart w:id="78" w:name="_Toc10644"/>
      <w:r>
        <w:rPr>
          <w:rFonts w:hint="eastAsia" w:ascii="仿宋" w:hAnsi="仿宋" w:eastAsia="仿宋" w:cs="仿宋"/>
          <w:color w:val="auto"/>
          <w:sz w:val="32"/>
          <w:szCs w:val="32"/>
        </w:rPr>
        <w:t>第三章</w:t>
      </w:r>
      <w:bookmarkEnd w:id="72"/>
      <w:bookmarkEnd w:id="73"/>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评审方法</w:t>
      </w:r>
      <w:bookmarkEnd w:id="7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一、评审方法</w:t>
      </w:r>
    </w:p>
    <w:p>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szCs w:val="24"/>
          <w:highlight w:val="none"/>
        </w:rPr>
        <w:t>按照《中华人民共和国政府采购法》</w:t>
      </w:r>
      <w:r>
        <w:rPr>
          <w:rFonts w:hint="eastAsia" w:ascii="仿宋" w:hAnsi="仿宋" w:eastAsia="仿宋" w:cs="仿宋"/>
          <w:color w:val="auto"/>
          <w:sz w:val="24"/>
          <w:szCs w:val="24"/>
          <w:highlight w:val="none"/>
          <w:lang w:eastAsia="zh-CN"/>
        </w:rPr>
        <w:t>及实施条例</w:t>
      </w:r>
      <w:r>
        <w:rPr>
          <w:rFonts w:hint="eastAsia" w:ascii="仿宋" w:hAnsi="仿宋" w:eastAsia="仿宋" w:cs="仿宋"/>
          <w:color w:val="auto"/>
          <w:sz w:val="24"/>
          <w:szCs w:val="24"/>
          <w:highlight w:val="none"/>
        </w:rPr>
        <w:t>和关于印发《政府采购竞争性磋商采购方式管理暂行办法》的通知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财库</w:t>
      </w:r>
      <w:r>
        <w:rPr>
          <w:rFonts w:hint="eastAsia" w:ascii="仿宋" w:hAnsi="仿宋" w:eastAsia="仿宋" w:cs="仿宋"/>
          <w:color w:val="auto"/>
          <w:sz w:val="24"/>
          <w:szCs w:val="24"/>
          <w:highlight w:val="none"/>
          <w:lang w:eastAsia="zh-CN"/>
        </w:rPr>
        <w:t>〔2014〕</w:t>
      </w:r>
      <w:r>
        <w:rPr>
          <w:rFonts w:hint="eastAsia" w:ascii="仿宋" w:hAnsi="仿宋" w:eastAsia="仿宋" w:cs="仿宋"/>
          <w:color w:val="auto"/>
          <w:sz w:val="24"/>
          <w:szCs w:val="24"/>
          <w:highlight w:val="none"/>
        </w:rPr>
        <w:t>214号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pacing w:val="4"/>
          <w:sz w:val="24"/>
          <w:szCs w:val="24"/>
          <w:highlight w:val="none"/>
        </w:rPr>
        <w:t>的规定，本次</w:t>
      </w:r>
      <w:r>
        <w:rPr>
          <w:rFonts w:hint="eastAsia" w:ascii="仿宋" w:hAnsi="仿宋" w:eastAsia="仿宋" w:cs="仿宋"/>
          <w:color w:val="auto"/>
          <w:spacing w:val="4"/>
          <w:sz w:val="24"/>
          <w:szCs w:val="24"/>
          <w:highlight w:val="none"/>
          <w:lang w:eastAsia="zh-CN"/>
        </w:rPr>
        <w:t>评审</w:t>
      </w:r>
      <w:r>
        <w:rPr>
          <w:rFonts w:hint="eastAsia" w:ascii="仿宋" w:hAnsi="仿宋" w:eastAsia="仿宋" w:cs="仿宋"/>
          <w:color w:val="auto"/>
          <w:spacing w:val="4"/>
          <w:sz w:val="24"/>
          <w:szCs w:val="24"/>
          <w:highlight w:val="none"/>
        </w:rPr>
        <w:t>采用综合评分法</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z w:val="24"/>
          <w:szCs w:val="24"/>
        </w:rPr>
        <w:t>即在最大限度地满足竞争性磋商文件实质性要求前提下，按照竞争性磋商文件中规定的各项因素和相应的权重分值进行综合评审后，以总得分最高的供应商作为成交候选</w:t>
      </w:r>
      <w:r>
        <w:rPr>
          <w:rFonts w:hint="eastAsia" w:ascii="仿宋" w:hAnsi="仿宋" w:eastAsia="仿宋" w:cs="仿宋"/>
          <w:color w:val="auto"/>
          <w:sz w:val="24"/>
          <w:szCs w:val="24"/>
          <w:lang w:eastAsia="zh-CN"/>
        </w:rPr>
        <w:t>人</w:t>
      </w:r>
      <w:r>
        <w:rPr>
          <w:rFonts w:hint="eastAsia" w:ascii="仿宋" w:hAnsi="仿宋" w:eastAsia="仿宋" w:cs="仿宋"/>
          <w:color w:val="auto"/>
          <w:sz w:val="24"/>
          <w:szCs w:val="24"/>
        </w:rPr>
        <w:t>并依次排序（最低报价不是</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的唯一标准）。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bookmarkStart w:id="79" w:name="_Toc465432103"/>
      <w:r>
        <w:rPr>
          <w:rFonts w:hint="eastAsia" w:ascii="仿宋" w:hAnsi="仿宋" w:eastAsia="仿宋" w:cs="仿宋"/>
          <w:b/>
          <w:color w:val="auto"/>
          <w:sz w:val="24"/>
          <w:szCs w:val="24"/>
          <w:highlight w:val="none"/>
          <w:lang w:eastAsia="zh-CN"/>
        </w:rPr>
        <w:t>二、评审原则</w:t>
      </w:r>
      <w:bookmarkEnd w:id="79"/>
    </w:p>
    <w:p>
      <w:pPr>
        <w:widowControl/>
        <w:snapToGrid w:val="0"/>
        <w:spacing w:line="360" w:lineRule="auto"/>
        <w:ind w:firstLine="315"/>
        <w:rPr>
          <w:rFonts w:hint="eastAsia" w:ascii="仿宋" w:hAnsi="仿宋" w:eastAsia="仿宋" w:cs="仿宋"/>
          <w:color w:val="auto"/>
          <w:kern w:val="0"/>
          <w:sz w:val="24"/>
        </w:rPr>
      </w:pPr>
      <w:r>
        <w:rPr>
          <w:rFonts w:hint="eastAsia" w:ascii="仿宋" w:hAnsi="仿宋" w:eastAsia="仿宋" w:cs="仿宋"/>
          <w:color w:val="auto"/>
          <w:kern w:val="0"/>
          <w:sz w:val="24"/>
        </w:rPr>
        <w:t>1、公平、公正、科学、择优。</w:t>
      </w:r>
    </w:p>
    <w:p>
      <w:pPr>
        <w:widowControl/>
        <w:snapToGrid w:val="0"/>
        <w:spacing w:line="360" w:lineRule="auto"/>
        <w:ind w:firstLine="315"/>
        <w:rPr>
          <w:rFonts w:hint="eastAsia" w:ascii="仿宋" w:hAnsi="仿宋" w:eastAsia="仿宋" w:cs="仿宋"/>
          <w:color w:val="auto"/>
          <w:kern w:val="0"/>
          <w:sz w:val="24"/>
        </w:rPr>
      </w:pPr>
      <w:r>
        <w:rPr>
          <w:rFonts w:hint="eastAsia" w:ascii="仿宋" w:hAnsi="仿宋" w:eastAsia="仿宋" w:cs="仿宋"/>
          <w:color w:val="auto"/>
          <w:kern w:val="0"/>
          <w:sz w:val="24"/>
        </w:rPr>
        <w:t>2、</w:t>
      </w:r>
      <w:r>
        <w:rPr>
          <w:rFonts w:hint="eastAsia" w:ascii="仿宋" w:hAnsi="仿宋" w:eastAsia="仿宋" w:cs="仿宋"/>
          <w:color w:val="auto"/>
          <w:sz w:val="24"/>
        </w:rPr>
        <w:t>工程质量符合国家各项施工及验收规范标准、工期满足</w:t>
      </w:r>
      <w:r>
        <w:rPr>
          <w:rFonts w:hint="eastAsia" w:ascii="仿宋" w:hAnsi="仿宋" w:eastAsia="仿宋" w:cs="仿宋"/>
          <w:color w:val="auto"/>
          <w:sz w:val="24"/>
          <w:lang w:eastAsia="zh-CN"/>
        </w:rPr>
        <w:t>竞争性磋商文件</w:t>
      </w:r>
      <w:r>
        <w:rPr>
          <w:rFonts w:hint="eastAsia" w:ascii="仿宋" w:hAnsi="仿宋" w:eastAsia="仿宋" w:cs="仿宋"/>
          <w:color w:val="auto"/>
          <w:sz w:val="24"/>
        </w:rPr>
        <w:t>要求、施工方案合理可行、</w:t>
      </w:r>
      <w:r>
        <w:rPr>
          <w:rFonts w:hint="eastAsia" w:ascii="仿宋" w:hAnsi="仿宋" w:eastAsia="仿宋" w:cs="仿宋"/>
          <w:color w:val="auto"/>
          <w:sz w:val="24"/>
          <w:lang w:eastAsia="zh-CN"/>
        </w:rPr>
        <w:t>磋商报价</w:t>
      </w:r>
      <w:r>
        <w:rPr>
          <w:rFonts w:hint="eastAsia" w:ascii="仿宋" w:hAnsi="仿宋" w:eastAsia="仿宋" w:cs="仿宋"/>
          <w:color w:val="auto"/>
          <w:sz w:val="24"/>
        </w:rPr>
        <w:t>合理低价</w:t>
      </w:r>
      <w:r>
        <w:rPr>
          <w:rFonts w:hint="eastAsia" w:ascii="仿宋" w:hAnsi="仿宋" w:eastAsia="仿宋" w:cs="仿宋"/>
          <w:color w:val="auto"/>
          <w:kern w:val="0"/>
          <w:sz w:val="24"/>
        </w:rPr>
        <w:t>。</w:t>
      </w:r>
    </w:p>
    <w:p>
      <w:pPr>
        <w:widowControl/>
        <w:snapToGrid w:val="0"/>
        <w:spacing w:line="360" w:lineRule="auto"/>
        <w:ind w:firstLine="315"/>
        <w:rPr>
          <w:rFonts w:hint="eastAsia" w:ascii="仿宋" w:hAnsi="仿宋" w:eastAsia="仿宋" w:cs="仿宋"/>
          <w:color w:val="auto"/>
          <w:kern w:val="0"/>
          <w:sz w:val="24"/>
        </w:rPr>
      </w:pPr>
      <w:r>
        <w:rPr>
          <w:rFonts w:hint="eastAsia" w:ascii="仿宋" w:hAnsi="仿宋" w:eastAsia="仿宋" w:cs="仿宋"/>
          <w:color w:val="auto"/>
          <w:kern w:val="0"/>
          <w:sz w:val="24"/>
        </w:rPr>
        <w:t>3、禁止不正当竞争。</w:t>
      </w:r>
      <w:bookmarkStart w:id="80" w:name="_Toc36346333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三、评审程序</w:t>
      </w:r>
      <w:bookmarkEnd w:id="80"/>
    </w:p>
    <w:p>
      <w:pPr>
        <w:pStyle w:val="2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96" w:firstLineChars="200"/>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按照竞争性磋商响应文件初审、澄清有关问题、分别磋商、二次报价、比较与评审、推荐成交候选人名单。在上一步评审中被认定为无效磋商者，不进入下一步的评审。</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72" w:firstLineChars="196"/>
        <w:jc w:val="both"/>
        <w:textAlignment w:val="auto"/>
        <w:outlineLvl w:val="9"/>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1、对磋商响应文件的初审：</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70" w:firstLineChars="196"/>
        <w:jc w:val="both"/>
        <w:textAlignment w:val="auto"/>
        <w:outlineLvl w:val="9"/>
        <w:rPr>
          <w:rFonts w:hint="eastAsia" w:ascii="仿宋" w:hAnsi="仿宋" w:eastAsia="仿宋" w:cs="仿宋"/>
          <w:b w:val="0"/>
          <w:bCs w:val="0"/>
          <w:color w:val="auto"/>
          <w:spacing w:val="4"/>
          <w:kern w:val="2"/>
          <w:sz w:val="24"/>
          <w:szCs w:val="24"/>
          <w:highlight w:val="none"/>
          <w:lang w:val="en-US" w:eastAsia="zh-CN" w:bidi="ar-SA"/>
        </w:rPr>
      </w:pPr>
      <w:r>
        <w:rPr>
          <w:rFonts w:hint="eastAsia" w:ascii="仿宋" w:hAnsi="仿宋" w:eastAsia="仿宋" w:cs="仿宋"/>
          <w:b w:val="0"/>
          <w:bCs w:val="0"/>
          <w:color w:val="auto"/>
          <w:sz w:val="24"/>
          <w:lang w:val="en-US" w:eastAsia="zh-CN"/>
        </w:rPr>
        <w:t>1.1</w:t>
      </w:r>
      <w:r>
        <w:rPr>
          <w:rFonts w:hint="eastAsia" w:ascii="仿宋" w:hAnsi="仿宋" w:eastAsia="仿宋" w:cs="仿宋"/>
          <w:b w:val="0"/>
          <w:bCs w:val="0"/>
          <w:color w:val="auto"/>
          <w:sz w:val="24"/>
        </w:rPr>
        <w:t>资格</w:t>
      </w:r>
      <w:r>
        <w:rPr>
          <w:rFonts w:hint="eastAsia" w:ascii="仿宋" w:hAnsi="仿宋" w:eastAsia="仿宋" w:cs="仿宋"/>
          <w:b w:val="0"/>
          <w:bCs w:val="0"/>
          <w:color w:val="auto"/>
          <w:sz w:val="24"/>
          <w:highlight w:val="none"/>
        </w:rPr>
        <w:t>性审查</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pacing w:val="4"/>
          <w:kern w:val="2"/>
          <w:sz w:val="24"/>
          <w:szCs w:val="24"/>
          <w:highlight w:val="none"/>
          <w:lang w:val="en-US" w:eastAsia="zh-CN" w:bidi="ar-SA"/>
        </w:rPr>
        <w:t>采购人将依据本章“四、评审标准 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pacing w:val="4"/>
          <w:kern w:val="2"/>
          <w:sz w:val="24"/>
          <w:szCs w:val="24"/>
          <w:highlight w:val="none"/>
          <w:lang w:val="en-US" w:eastAsia="zh-CN" w:bidi="ar-SA"/>
        </w:rPr>
        <w:t>第1.1</w:t>
      </w:r>
      <w:r>
        <w:rPr>
          <w:rFonts w:hint="eastAsia" w:ascii="仿宋" w:hAnsi="仿宋" w:eastAsia="仿宋" w:cs="仿宋"/>
          <w:b w:val="0"/>
          <w:bCs w:val="0"/>
          <w:color w:val="auto"/>
          <w:sz w:val="24"/>
          <w:highlight w:val="none"/>
        </w:rPr>
        <w:t>项规定的评审标准对</w:t>
      </w:r>
      <w:r>
        <w:rPr>
          <w:rFonts w:hint="eastAsia" w:ascii="仿宋" w:hAnsi="仿宋" w:eastAsia="仿宋" w:cs="仿宋"/>
          <w:b w:val="0"/>
          <w:bCs w:val="0"/>
          <w:color w:val="auto"/>
          <w:sz w:val="24"/>
          <w:highlight w:val="none"/>
          <w:lang w:eastAsia="zh-CN"/>
        </w:rPr>
        <w:t>供应商</w:t>
      </w:r>
      <w:r>
        <w:rPr>
          <w:rFonts w:hint="eastAsia" w:ascii="仿宋" w:hAnsi="仿宋" w:eastAsia="仿宋" w:cs="仿宋"/>
          <w:b w:val="0"/>
          <w:bCs w:val="0"/>
          <w:color w:val="auto"/>
          <w:sz w:val="24"/>
          <w:highlight w:val="none"/>
        </w:rPr>
        <w:t>进行资格性审查</w:t>
      </w:r>
      <w:r>
        <w:rPr>
          <w:rFonts w:hint="eastAsia" w:ascii="仿宋" w:hAnsi="仿宋" w:eastAsia="仿宋" w:cs="仿宋"/>
          <w:b w:val="0"/>
          <w:bCs w:val="0"/>
          <w:color w:val="auto"/>
          <w:sz w:val="24"/>
          <w:highlight w:val="none"/>
          <w:lang w:eastAsia="zh-CN"/>
        </w:rPr>
        <w:t>。</w:t>
      </w:r>
      <w:r>
        <w:rPr>
          <w:rFonts w:hint="eastAsia" w:ascii="仿宋" w:hAnsi="仿宋" w:eastAsia="仿宋" w:cs="仿宋"/>
          <w:b w:val="0"/>
          <w:bCs w:val="0"/>
          <w:color w:val="auto"/>
          <w:sz w:val="24"/>
          <w:highlight w:val="none"/>
        </w:rPr>
        <w:t>有一项不符合评审标准的，</w:t>
      </w:r>
      <w:r>
        <w:rPr>
          <w:rFonts w:hint="eastAsia" w:ascii="仿宋" w:hAnsi="仿宋" w:eastAsia="仿宋" w:cs="仿宋"/>
          <w:b w:val="0"/>
          <w:bCs w:val="0"/>
          <w:color w:val="auto"/>
          <w:kern w:val="0"/>
          <w:sz w:val="24"/>
          <w:highlight w:val="none"/>
        </w:rPr>
        <w:t>将被视为未实质性响应</w:t>
      </w:r>
      <w:r>
        <w:rPr>
          <w:rFonts w:hint="eastAsia" w:ascii="仿宋" w:hAnsi="仿宋" w:eastAsia="仿宋" w:cs="仿宋"/>
          <w:b w:val="0"/>
          <w:bCs w:val="0"/>
          <w:color w:val="auto"/>
          <w:kern w:val="0"/>
          <w:sz w:val="24"/>
          <w:highlight w:val="none"/>
          <w:lang w:eastAsia="zh-CN"/>
        </w:rPr>
        <w:t>磋商</w:t>
      </w:r>
      <w:r>
        <w:rPr>
          <w:rFonts w:hint="eastAsia" w:ascii="仿宋" w:hAnsi="仿宋" w:eastAsia="仿宋" w:cs="仿宋"/>
          <w:b w:val="0"/>
          <w:bCs w:val="0"/>
          <w:color w:val="auto"/>
          <w:kern w:val="0"/>
          <w:sz w:val="24"/>
          <w:highlight w:val="none"/>
        </w:rPr>
        <w:t>文件</w:t>
      </w:r>
      <w:r>
        <w:rPr>
          <w:rFonts w:hint="eastAsia" w:ascii="仿宋" w:hAnsi="仿宋" w:eastAsia="仿宋" w:cs="仿宋"/>
          <w:b w:val="0"/>
          <w:bCs w:val="0"/>
          <w:color w:val="auto"/>
          <w:kern w:val="0"/>
          <w:sz w:val="24"/>
          <w:highlight w:val="none"/>
          <w:lang w:eastAsia="zh-CN"/>
        </w:rPr>
        <w:t>，其磋商响应文件将按无效文件处理</w:t>
      </w:r>
      <w:r>
        <w:rPr>
          <w:rFonts w:hint="eastAsia" w:ascii="仿宋" w:hAnsi="仿宋" w:eastAsia="仿宋" w:cs="仿宋"/>
          <w:b w:val="0"/>
          <w:bCs w:val="0"/>
          <w:color w:val="auto"/>
          <w:kern w:val="0"/>
          <w:sz w:val="24"/>
          <w:highlight w:val="none"/>
        </w:rPr>
        <w:t>。</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86" w:firstLineChars="196"/>
        <w:jc w:val="both"/>
        <w:textAlignment w:val="auto"/>
        <w:outlineLvl w:val="9"/>
        <w:rPr>
          <w:rFonts w:hint="eastAsia" w:ascii="仿宋" w:hAnsi="仿宋" w:eastAsia="仿宋" w:cs="仿宋"/>
          <w:b w:val="0"/>
          <w:bCs w:val="0"/>
          <w:color w:val="auto"/>
          <w:spacing w:val="4"/>
          <w:sz w:val="24"/>
          <w:szCs w:val="24"/>
          <w:highlight w:val="none"/>
          <w:lang w:val="en-US" w:eastAsia="zh-CN"/>
        </w:rPr>
      </w:pPr>
      <w:r>
        <w:rPr>
          <w:rFonts w:hint="eastAsia" w:ascii="仿宋" w:hAnsi="仿宋" w:eastAsia="仿宋" w:cs="仿宋"/>
          <w:b w:val="0"/>
          <w:bCs w:val="0"/>
          <w:color w:val="auto"/>
          <w:spacing w:val="4"/>
          <w:sz w:val="24"/>
          <w:szCs w:val="24"/>
          <w:highlight w:val="none"/>
          <w:lang w:val="en-US" w:eastAsia="zh-CN"/>
        </w:rPr>
        <w:t>1</w:t>
      </w:r>
      <w:r>
        <w:rPr>
          <w:rFonts w:hint="eastAsia" w:ascii="仿宋" w:hAnsi="仿宋" w:eastAsia="仿宋" w:cs="仿宋"/>
          <w:b w:val="0"/>
          <w:bCs w:val="0"/>
          <w:color w:val="auto"/>
          <w:spacing w:val="4"/>
          <w:sz w:val="24"/>
          <w:szCs w:val="24"/>
          <w:highlight w:val="none"/>
        </w:rPr>
        <w:t>.2符合性审查</w:t>
      </w:r>
      <w:r>
        <w:rPr>
          <w:rFonts w:hint="eastAsia" w:ascii="仿宋" w:hAnsi="仿宋" w:eastAsia="仿宋" w:cs="仿宋"/>
          <w:b w:val="0"/>
          <w:bCs w:val="0"/>
          <w:color w:val="auto"/>
          <w:spacing w:val="4"/>
          <w:sz w:val="24"/>
          <w:szCs w:val="24"/>
          <w:highlight w:val="none"/>
          <w:lang w:eastAsia="zh-CN"/>
        </w:rPr>
        <w:t>：磋商小组</w:t>
      </w:r>
      <w:r>
        <w:rPr>
          <w:rFonts w:hint="eastAsia" w:ascii="仿宋" w:hAnsi="仿宋" w:eastAsia="仿宋" w:cs="仿宋"/>
          <w:b w:val="0"/>
          <w:bCs w:val="0"/>
          <w:color w:val="auto"/>
          <w:spacing w:val="4"/>
          <w:sz w:val="24"/>
          <w:szCs w:val="24"/>
          <w:highlight w:val="none"/>
        </w:rPr>
        <w:t>根据本章</w:t>
      </w:r>
      <w:r>
        <w:rPr>
          <w:rFonts w:hint="eastAsia" w:ascii="仿宋" w:hAnsi="仿宋" w:eastAsia="仿宋" w:cs="仿宋"/>
          <w:b w:val="0"/>
          <w:bCs w:val="0"/>
          <w:color w:val="auto"/>
          <w:spacing w:val="4"/>
          <w:sz w:val="24"/>
          <w:szCs w:val="24"/>
          <w:highlight w:val="none"/>
          <w:lang w:val="en-US" w:eastAsia="zh-CN"/>
        </w:rPr>
        <w:t>“四、评审标准 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left="0" w:leftChars="0" w:right="0" w:rightChars="0" w:firstLine="0" w:firstLineChars="0"/>
        <w:jc w:val="both"/>
        <w:textAlignment w:val="auto"/>
        <w:outlineLvl w:val="9"/>
        <w:rPr>
          <w:rFonts w:hint="eastAsia" w:ascii="仿宋" w:hAnsi="仿宋" w:eastAsia="仿宋" w:cs="仿宋"/>
          <w:b w:val="0"/>
          <w:bCs w:val="0"/>
          <w:color w:val="auto"/>
          <w:spacing w:val="4"/>
          <w:sz w:val="24"/>
          <w:szCs w:val="24"/>
          <w:highlight w:val="none"/>
        </w:rPr>
      </w:pPr>
      <w:r>
        <w:rPr>
          <w:rFonts w:hint="eastAsia" w:ascii="仿宋" w:hAnsi="仿宋" w:eastAsia="仿宋" w:cs="仿宋"/>
          <w:b w:val="0"/>
          <w:bCs w:val="0"/>
          <w:color w:val="auto"/>
          <w:spacing w:val="4"/>
          <w:sz w:val="24"/>
          <w:szCs w:val="24"/>
          <w:highlight w:val="none"/>
          <w:lang w:val="en-US" w:eastAsia="zh-CN"/>
        </w:rPr>
        <w:t>第1.2</w:t>
      </w:r>
      <w:r>
        <w:rPr>
          <w:rFonts w:hint="eastAsia" w:ascii="仿宋" w:hAnsi="仿宋" w:eastAsia="仿宋" w:cs="仿宋"/>
          <w:b w:val="0"/>
          <w:bCs w:val="0"/>
          <w:color w:val="auto"/>
          <w:spacing w:val="4"/>
          <w:sz w:val="24"/>
          <w:szCs w:val="24"/>
          <w:highlight w:val="none"/>
        </w:rPr>
        <w:t>项规定的评审标准对</w:t>
      </w:r>
      <w:r>
        <w:rPr>
          <w:rFonts w:hint="eastAsia" w:ascii="仿宋" w:hAnsi="仿宋" w:eastAsia="仿宋" w:cs="仿宋"/>
          <w:b w:val="0"/>
          <w:bCs w:val="0"/>
          <w:color w:val="auto"/>
          <w:spacing w:val="4"/>
          <w:sz w:val="24"/>
          <w:szCs w:val="24"/>
          <w:highlight w:val="none"/>
          <w:lang w:eastAsia="zh-CN"/>
        </w:rPr>
        <w:t>磋商响应文件</w:t>
      </w:r>
      <w:r>
        <w:rPr>
          <w:rFonts w:hint="eastAsia" w:ascii="仿宋" w:hAnsi="仿宋" w:eastAsia="仿宋" w:cs="仿宋"/>
          <w:b w:val="0"/>
          <w:bCs w:val="0"/>
          <w:color w:val="auto"/>
          <w:spacing w:val="4"/>
          <w:sz w:val="24"/>
          <w:szCs w:val="24"/>
          <w:highlight w:val="none"/>
        </w:rPr>
        <w:t>进行符合性</w:t>
      </w:r>
      <w:r>
        <w:rPr>
          <w:rFonts w:hint="eastAsia" w:ascii="仿宋" w:hAnsi="仿宋" w:eastAsia="仿宋" w:cs="仿宋"/>
          <w:b w:val="0"/>
          <w:bCs w:val="0"/>
          <w:color w:val="auto"/>
          <w:spacing w:val="4"/>
          <w:sz w:val="24"/>
          <w:szCs w:val="24"/>
          <w:highlight w:val="none"/>
          <w:lang w:eastAsia="zh-CN"/>
        </w:rPr>
        <w:t>审查</w:t>
      </w:r>
      <w:r>
        <w:rPr>
          <w:rFonts w:hint="eastAsia" w:ascii="仿宋" w:hAnsi="仿宋" w:eastAsia="仿宋" w:cs="仿宋"/>
          <w:b w:val="0"/>
          <w:bCs w:val="0"/>
          <w:color w:val="auto"/>
          <w:spacing w:val="4"/>
          <w:sz w:val="24"/>
          <w:szCs w:val="24"/>
          <w:highlight w:val="none"/>
        </w:rPr>
        <w:t>。有一项不符合评审标准的，将被视为未实质性响应磋商文件，其磋商响应文件将按无效文件处理。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right="0" w:rightChars="0" w:firstLine="486" w:firstLineChars="196"/>
        <w:jc w:val="both"/>
        <w:textAlignment w:val="auto"/>
        <w:outlineLvl w:val="9"/>
        <w:rPr>
          <w:rFonts w:hint="eastAsia" w:ascii="仿宋" w:hAnsi="仿宋" w:eastAsia="仿宋" w:cs="仿宋"/>
          <w:b w:val="0"/>
          <w:bCs w:val="0"/>
          <w:color w:val="auto"/>
          <w:lang w:val="en-US" w:eastAsia="zh-CN"/>
        </w:rPr>
      </w:pPr>
      <w:r>
        <w:rPr>
          <w:rFonts w:hint="eastAsia" w:ascii="仿宋" w:hAnsi="仿宋" w:eastAsia="仿宋" w:cs="仿宋"/>
          <w:b w:val="0"/>
          <w:bCs w:val="0"/>
          <w:color w:val="auto"/>
          <w:spacing w:val="4"/>
          <w:sz w:val="24"/>
          <w:szCs w:val="24"/>
          <w:highlight w:val="none"/>
          <w:lang w:val="en-US" w:eastAsia="zh-CN"/>
        </w:rPr>
        <w:t>1.3</w:t>
      </w:r>
      <w:r>
        <w:rPr>
          <w:rFonts w:hint="eastAsia" w:ascii="仿宋" w:hAnsi="仿宋" w:eastAsia="仿宋" w:cs="仿宋"/>
          <w:b w:val="0"/>
          <w:bCs w:val="0"/>
          <w:color w:val="auto"/>
          <w:spacing w:val="4"/>
          <w:sz w:val="24"/>
          <w:szCs w:val="24"/>
          <w:highlight w:val="none"/>
        </w:rPr>
        <w:t>在资格性审查</w:t>
      </w:r>
      <w:r>
        <w:rPr>
          <w:rFonts w:hint="eastAsia" w:ascii="仿宋" w:hAnsi="仿宋" w:eastAsia="仿宋" w:cs="仿宋"/>
          <w:b w:val="0"/>
          <w:bCs w:val="0"/>
          <w:color w:val="auto"/>
          <w:spacing w:val="4"/>
          <w:sz w:val="24"/>
          <w:szCs w:val="24"/>
          <w:highlight w:val="none"/>
          <w:lang w:eastAsia="zh-CN"/>
        </w:rPr>
        <w:t>阶</w:t>
      </w:r>
      <w:r>
        <w:rPr>
          <w:rFonts w:hint="eastAsia" w:ascii="仿宋" w:hAnsi="仿宋" w:eastAsia="仿宋" w:cs="仿宋"/>
          <w:b w:val="0"/>
          <w:bCs w:val="0"/>
          <w:color w:val="auto"/>
          <w:spacing w:val="4"/>
          <w:sz w:val="24"/>
          <w:szCs w:val="24"/>
          <w:highlight w:val="none"/>
        </w:rPr>
        <w:t>段，不符合</w:t>
      </w:r>
      <w:r>
        <w:rPr>
          <w:rFonts w:hint="eastAsia" w:ascii="仿宋" w:hAnsi="仿宋" w:eastAsia="仿宋" w:cs="仿宋"/>
          <w:b w:val="0"/>
          <w:bCs w:val="0"/>
          <w:color w:val="auto"/>
          <w:spacing w:val="4"/>
          <w:sz w:val="24"/>
          <w:szCs w:val="24"/>
          <w:highlight w:val="none"/>
          <w:lang w:eastAsia="zh-CN"/>
        </w:rPr>
        <w:t>磋商文件</w:t>
      </w:r>
      <w:r>
        <w:rPr>
          <w:rFonts w:hint="eastAsia" w:ascii="仿宋" w:hAnsi="仿宋" w:eastAsia="仿宋" w:cs="仿宋"/>
          <w:b w:val="0"/>
          <w:bCs w:val="0"/>
          <w:color w:val="auto"/>
          <w:spacing w:val="4"/>
          <w:sz w:val="24"/>
          <w:szCs w:val="24"/>
          <w:highlight w:val="none"/>
        </w:rPr>
        <w:t>要求的，不得进入符合性审查，在符合性审查时未通过的，不得进入后续评审环节。</w:t>
      </w:r>
    </w:p>
    <w:p>
      <w:pPr>
        <w:keepNext w:val="0"/>
        <w:keepLines w:val="0"/>
        <w:pageBreakBefore w:val="0"/>
        <w:widowControl w:val="0"/>
        <w:kinsoku/>
        <w:wordWrap/>
        <w:overflowPunct/>
        <w:topLinePunct w:val="0"/>
        <w:autoSpaceDE/>
        <w:autoSpaceDN/>
        <w:bidi w:val="0"/>
        <w:spacing w:before="120" w:beforeLines="50" w:after="120" w:afterLines="50" w:line="500" w:lineRule="exact"/>
        <w:ind w:right="0" w:rightChars="0" w:firstLine="482" w:firstLineChars="200"/>
        <w:jc w:val="both"/>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eastAsia="zh-CN"/>
        </w:rPr>
        <w:t>磋商响应</w:t>
      </w:r>
      <w:r>
        <w:rPr>
          <w:rFonts w:hint="eastAsia" w:ascii="仿宋" w:hAnsi="仿宋" w:eastAsia="仿宋" w:cs="仿宋"/>
          <w:b/>
          <w:color w:val="auto"/>
          <w:sz w:val="24"/>
          <w:highlight w:val="none"/>
        </w:rPr>
        <w:t>文件的澄清</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6" w:firstLineChars="196"/>
        <w:jc w:val="both"/>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2.1磋商小组发现供应商的报价明显低于其他磋商报价、或明显低于市场价格，使得其磋商报价可能低于其成本的，有可能影响产品质量或者不能诚信履约的，应当要求其在合理的时间内做出书面说明，必要时提交相关证明材料。供应商不能证明其报价合理性的，由磋商小组将其作为无效响应处理。</w:t>
      </w:r>
    </w:p>
    <w:p>
      <w:pPr>
        <w:keepNext w:val="0"/>
        <w:keepLines w:val="0"/>
        <w:pageBreakBefore w:val="0"/>
        <w:widowControl w:val="0"/>
        <w:tabs>
          <w:tab w:val="left" w:pos="0"/>
        </w:tabs>
        <w:kinsoku/>
        <w:wordWrap/>
        <w:overflowPunct/>
        <w:topLinePunct w:val="0"/>
        <w:autoSpaceDE/>
        <w:autoSpaceDN/>
        <w:bidi w:val="0"/>
        <w:adjustRightInd w:val="0"/>
        <w:snapToGrid w:val="0"/>
        <w:spacing w:line="500" w:lineRule="exact"/>
        <w:ind w:right="0" w:rightChars="0" w:firstLine="486" w:firstLineChars="196"/>
        <w:jc w:val="both"/>
        <w:textAlignment w:val="auto"/>
        <w:outlineLvl w:val="9"/>
        <w:rPr>
          <w:rFonts w:hint="eastAsia" w:ascii="仿宋" w:hAnsi="仿宋" w:eastAsia="仿宋" w:cs="仿宋"/>
          <w:b w:val="0"/>
          <w:bCs/>
          <w:color w:val="auto"/>
          <w:spacing w:val="4"/>
          <w:kern w:val="2"/>
          <w:sz w:val="24"/>
          <w:szCs w:val="24"/>
          <w:highlight w:val="none"/>
          <w:lang w:val="en-US" w:eastAsia="zh-CN" w:bidi="ar-SA"/>
        </w:rPr>
      </w:pPr>
      <w:r>
        <w:rPr>
          <w:rFonts w:hint="eastAsia" w:ascii="仿宋" w:hAnsi="仿宋" w:eastAsia="仿宋" w:cs="仿宋"/>
          <w:b w:val="0"/>
          <w:bCs/>
          <w:color w:val="auto"/>
          <w:spacing w:val="4"/>
          <w:kern w:val="2"/>
          <w:sz w:val="24"/>
          <w:szCs w:val="24"/>
          <w:highlight w:val="none"/>
          <w:lang w:val="en-US" w:eastAsia="zh-CN" w:bidi="ar-SA"/>
        </w:rPr>
        <w:t>2.2有效的书面澄清材料，是磋商响应文件的补充材料，成为磋商响应文件的组成部分。</w:t>
      </w:r>
    </w:p>
    <w:p>
      <w:pPr>
        <w:spacing w:line="360" w:lineRule="auto"/>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jc w:val="left"/>
        <w:rPr>
          <w:rFonts w:hint="eastAsia" w:ascii="仿宋" w:hAnsi="仿宋" w:eastAsia="仿宋" w:cs="仿宋"/>
          <w:color w:val="auto"/>
          <w:lang w:val="en-US" w:eastAsia="zh-CN"/>
        </w:rPr>
      </w:pPr>
      <w:r>
        <w:rPr>
          <w:rFonts w:hint="eastAsia" w:ascii="仿宋" w:hAnsi="仿宋" w:eastAsia="仿宋" w:cs="仿宋"/>
          <w:color w:val="auto"/>
          <w:sz w:val="24"/>
          <w:szCs w:val="24"/>
          <w:highlight w:val="none"/>
          <w:lang w:val="en-US" w:eastAsia="zh-CN"/>
        </w:rPr>
        <w:t>2.4、如果供应商在澄清规定期限内，未能答复或拒绝答复磋商小组提出的澄清要求，将由磋商小组根据其竞争性磋商响应文件按最大风险进行评审。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3、磋商：</w:t>
      </w:r>
      <w:r>
        <w:rPr>
          <w:rFonts w:hint="eastAsia" w:ascii="仿宋" w:hAnsi="仿宋" w:eastAsia="仿宋" w:cs="仿宋"/>
          <w:color w:val="auto"/>
          <w:sz w:val="24"/>
          <w:szCs w:val="24"/>
        </w:rPr>
        <w:t>磋商小组所有成员集中与单一供应商分别进行磋商，并要求供应商在规定的时间内提交最后报价。</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4、磋商过程中的实质性变动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50"/>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50"/>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4.2对竞争性磋商文件做出的实质性变动是磋商文件的有效组成部分，磋商小组应当及时以书面形式通知所有参加磋商的供应商。</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z w:val="24"/>
          <w:szCs w:val="24"/>
        </w:rPr>
        <w:t>综合评审：</w:t>
      </w:r>
      <w:r>
        <w:rPr>
          <w:rFonts w:hint="eastAsia" w:ascii="仿宋" w:hAnsi="仿宋" w:eastAsia="仿宋" w:cs="仿宋"/>
          <w:color w:val="auto"/>
          <w:sz w:val="24"/>
          <w:szCs w:val="24"/>
        </w:rPr>
        <w:t>对于经初审合格的所有供应商，由磋商小组各成员依据磋商响应文件和最终报价，按照下列</w:t>
      </w:r>
      <w:r>
        <w:rPr>
          <w:rFonts w:hint="eastAsia" w:ascii="仿宋" w:hAnsi="仿宋" w:eastAsia="仿宋" w:cs="仿宋"/>
          <w:color w:val="auto"/>
          <w:sz w:val="24"/>
          <w:szCs w:val="24"/>
          <w:highlight w:val="none"/>
          <w:lang w:eastAsia="zh-CN"/>
        </w:rPr>
        <w:t>评审方法</w:t>
      </w:r>
      <w:r>
        <w:rPr>
          <w:rFonts w:hint="eastAsia" w:ascii="仿宋" w:hAnsi="仿宋" w:eastAsia="仿宋" w:cs="仿宋"/>
          <w:color w:val="auto"/>
          <w:sz w:val="24"/>
          <w:szCs w:val="24"/>
          <w:highlight w:val="none"/>
        </w:rPr>
        <w:t>规</w:t>
      </w:r>
      <w:r>
        <w:rPr>
          <w:rFonts w:hint="eastAsia" w:ascii="仿宋" w:hAnsi="仿宋" w:eastAsia="仿宋" w:cs="仿宋"/>
          <w:color w:val="auto"/>
          <w:sz w:val="24"/>
          <w:szCs w:val="24"/>
        </w:rPr>
        <w:t>定的内容独立进行综合评价、比较打分，然后汇总每个供应商的得分，从高到低依次排序，推荐</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候选人。</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right="0" w:rightChars="0" w:firstLine="602" w:firstLineChars="25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推荐</w:t>
      </w:r>
      <w:r>
        <w:rPr>
          <w:rFonts w:hint="eastAsia" w:ascii="仿宋" w:hAnsi="仿宋" w:eastAsia="仿宋" w:cs="仿宋"/>
          <w:b/>
          <w:bCs/>
          <w:color w:val="auto"/>
          <w:sz w:val="24"/>
          <w:szCs w:val="24"/>
        </w:rPr>
        <w:t>成交候选人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textAlignment w:val="auto"/>
        <w:outlineLvl w:val="9"/>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磋商小组完成评审后，向采购人提出书面评审，并推荐</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名成交候选人，标明排列顺序。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四、评审标准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outlineLvl w:val="9"/>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lang w:eastAsia="zh-CN"/>
        </w:rPr>
        <w:t>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val="0"/>
          <w:bCs w:val="0"/>
          <w:color w:val="auto"/>
          <w:kern w:val="0"/>
          <w:sz w:val="24"/>
          <w:highlight w:val="none"/>
        </w:rPr>
      </w:pPr>
      <w:r>
        <w:rPr>
          <w:rFonts w:hint="eastAsia" w:ascii="仿宋" w:hAnsi="仿宋" w:eastAsia="仿宋" w:cs="仿宋"/>
          <w:b w:val="0"/>
          <w:bCs w:val="0"/>
          <w:color w:val="auto"/>
          <w:sz w:val="24"/>
          <w:highlight w:val="none"/>
          <w:lang w:val="en-US" w:eastAsia="zh-CN"/>
        </w:rPr>
        <w:t>1.1</w:t>
      </w:r>
      <w:r>
        <w:rPr>
          <w:rFonts w:hint="eastAsia" w:ascii="仿宋" w:hAnsi="仿宋" w:eastAsia="仿宋" w:cs="仿宋"/>
          <w:b w:val="0"/>
          <w:bCs w:val="0"/>
          <w:color w:val="auto"/>
          <w:sz w:val="24"/>
          <w:highlight w:val="none"/>
        </w:rPr>
        <w:t>资格性审查</w:t>
      </w:r>
      <w:r>
        <w:rPr>
          <w:rFonts w:hint="eastAsia" w:ascii="仿宋" w:hAnsi="仿宋" w:eastAsia="仿宋" w:cs="仿宋"/>
          <w:b w:val="0"/>
          <w:bCs w:val="0"/>
          <w:color w:val="auto"/>
          <w:sz w:val="24"/>
          <w:highlight w:val="none"/>
          <w:lang w:eastAsia="zh-CN"/>
        </w:rPr>
        <w:t>标准：见附件</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rPr>
        <w:t>2符合性审查</w:t>
      </w:r>
      <w:r>
        <w:rPr>
          <w:rFonts w:hint="eastAsia" w:ascii="仿宋" w:hAnsi="仿宋" w:eastAsia="仿宋" w:cs="仿宋"/>
          <w:b w:val="0"/>
          <w:bCs w:val="0"/>
          <w:color w:val="auto"/>
          <w:sz w:val="24"/>
          <w:highlight w:val="none"/>
          <w:lang w:eastAsia="zh-CN"/>
        </w:rPr>
        <w:t>标准：见附件</w:t>
      </w:r>
      <w:r>
        <w:rPr>
          <w:rFonts w:hint="eastAsia" w:ascii="仿宋" w:hAnsi="仿宋" w:eastAsia="仿宋" w:cs="仿宋"/>
          <w:b w:val="0"/>
          <w:bCs w:val="0"/>
          <w:color w:val="auto"/>
          <w:sz w:val="24"/>
          <w:highlight w:val="none"/>
          <w:lang w:val="en-US" w:eastAsia="zh-CN"/>
        </w:rPr>
        <w:t>1</w:t>
      </w:r>
      <w:r>
        <w:rPr>
          <w:rFonts w:hint="eastAsia" w:ascii="仿宋" w:hAnsi="仿宋" w:eastAsia="仿宋" w:cs="仿宋"/>
          <w:b w:val="0"/>
          <w:bCs w:val="0"/>
          <w:color w:val="auto"/>
          <w:sz w:val="24"/>
          <w:highlight w:val="none"/>
          <w:lang w:eastAsia="zh-CN"/>
        </w:rPr>
        <w:t>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outlineLvl w:val="9"/>
        <w:rPr>
          <w:rFonts w:hint="eastAsia" w:ascii="仿宋" w:hAnsi="仿宋" w:eastAsia="仿宋" w:cs="仿宋"/>
          <w:b/>
          <w:color w:val="auto"/>
          <w:sz w:val="24"/>
          <w:szCs w:val="22"/>
          <w:highlight w:val="none"/>
          <w:lang w:val="en-US" w:eastAsia="zh-CN"/>
        </w:rPr>
      </w:pPr>
      <w:r>
        <w:rPr>
          <w:rFonts w:hint="eastAsia" w:ascii="仿宋" w:hAnsi="仿宋" w:eastAsia="仿宋" w:cs="仿宋"/>
          <w:b/>
          <w:color w:val="auto"/>
          <w:sz w:val="24"/>
          <w:szCs w:val="22"/>
          <w:highlight w:val="none"/>
          <w:lang w:val="en-US" w:eastAsia="zh-CN"/>
        </w:rPr>
        <w:t>2、分值构成与评分标准</w:t>
      </w:r>
    </w:p>
    <w:p>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outlineLvl w:val="9"/>
        <w:rPr>
          <w:rFonts w:hint="eastAsia" w:ascii="仿宋" w:hAnsi="仿宋" w:eastAsia="仿宋" w:cs="仿宋"/>
          <w:b/>
          <w:bCs/>
          <w:color w:val="auto"/>
          <w:spacing w:val="4"/>
          <w:sz w:val="24"/>
          <w:szCs w:val="24"/>
          <w:highlight w:val="yellow"/>
        </w:rPr>
      </w:pPr>
      <w:r>
        <w:rPr>
          <w:rFonts w:hint="eastAsia" w:ascii="仿宋" w:hAnsi="仿宋" w:eastAsia="仿宋" w:cs="仿宋"/>
          <w:b w:val="0"/>
          <w:bCs/>
          <w:color w:val="auto"/>
          <w:sz w:val="24"/>
          <w:szCs w:val="22"/>
          <w:highlight w:val="none"/>
          <w:lang w:val="en-US" w:eastAsia="zh-CN"/>
        </w:rPr>
        <w:t>2.1分值构成：见附件2评标因素及权重分值表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五、磋商小组当履行下列义务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遵纪守法，客观、公正、廉洁地履行职责；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根据采购文件的规定独立进行评审，对个人的评审意见承担法律责任；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参与评审报告的起草；</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配合采购人、采购代理机构答复供应商提出的质疑；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配合财政部门的投诉处理和监督检查工作。</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bCs/>
          <w:color w:val="auto"/>
          <w:spacing w:val="4"/>
          <w:sz w:val="24"/>
          <w:szCs w:val="24"/>
          <w:highlight w:val="none"/>
          <w:lang w:val="en-US" w:eastAsia="zh-CN"/>
        </w:rPr>
      </w:pPr>
      <w:r>
        <w:rPr>
          <w:rFonts w:hint="eastAsia" w:ascii="仿宋" w:hAnsi="仿宋" w:eastAsia="仿宋" w:cs="仿宋"/>
          <w:b/>
          <w:color w:val="auto"/>
          <w:sz w:val="24"/>
          <w:szCs w:val="24"/>
          <w:highlight w:val="none"/>
          <w:lang w:eastAsia="zh-CN"/>
        </w:rPr>
        <w:t>六、</w:t>
      </w:r>
      <w:r>
        <w:rPr>
          <w:rFonts w:hint="eastAsia" w:ascii="仿宋" w:hAnsi="仿宋" w:eastAsia="仿宋" w:cs="仿宋"/>
          <w:b/>
          <w:bCs/>
          <w:color w:val="auto"/>
          <w:spacing w:val="4"/>
          <w:sz w:val="24"/>
          <w:szCs w:val="24"/>
          <w:highlight w:val="none"/>
          <w:lang w:val="en-US" w:eastAsia="zh-CN"/>
        </w:rPr>
        <w:t>无效响应文件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2" w:firstLineChars="200"/>
        <w:jc w:val="left"/>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出现下列情形之一的，磋商响应文件无效：</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没有按照竞争性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文件要求提供的竞争性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响应文件构成有重大缺项、</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响应文件格式不符合竞争性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文件要求；</w:t>
      </w:r>
    </w:p>
    <w:p>
      <w:pPr>
        <w:keepNext w:val="0"/>
        <w:keepLines w:val="0"/>
        <w:pageBreakBefore w:val="0"/>
        <w:widowControl w:val="0"/>
        <w:kinsoku w:val="0"/>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pacing w:val="-6"/>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竞争性</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响应文件未按竞争性</w:t>
      </w:r>
      <w:r>
        <w:rPr>
          <w:rFonts w:hint="eastAsia" w:ascii="仿宋" w:hAnsi="仿宋" w:eastAsia="仿宋" w:cs="仿宋"/>
          <w:color w:val="auto"/>
          <w:sz w:val="24"/>
          <w:highlight w:val="none"/>
          <w:lang w:eastAsia="zh-CN"/>
        </w:rPr>
        <w:t>磋商</w:t>
      </w:r>
      <w:r>
        <w:rPr>
          <w:rFonts w:hint="eastAsia" w:ascii="仿宋" w:hAnsi="仿宋" w:eastAsia="仿宋" w:cs="仿宋"/>
          <w:color w:val="auto"/>
          <w:sz w:val="24"/>
          <w:highlight w:val="none"/>
        </w:rPr>
        <w:t>文件要求密封、签署、盖章的；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资格证明文件不全的或无效的，或不符合国家规定的；</w:t>
      </w:r>
    </w:p>
    <w:p>
      <w:pPr>
        <w:keepNext w:val="0"/>
        <w:keepLines w:val="0"/>
        <w:pageBreakBefore w:val="0"/>
        <w:widowControl w:val="0"/>
        <w:tabs>
          <w:tab w:val="left" w:pos="1260"/>
        </w:tabs>
        <w:wordWrap/>
        <w:overflowPunct/>
        <w:topLinePunct w:val="0"/>
        <w:autoSpaceDE/>
        <w:autoSpaceDN/>
        <w:bidi w:val="0"/>
        <w:spacing w:line="360" w:lineRule="auto"/>
        <w:ind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pacing w:val="-6"/>
          <w:sz w:val="24"/>
          <w:highlight w:val="none"/>
        </w:rPr>
        <w:t>无</w:t>
      </w:r>
      <w:r>
        <w:rPr>
          <w:rFonts w:hint="eastAsia" w:ascii="仿宋" w:hAnsi="仿宋" w:eastAsia="仿宋" w:cs="仿宋"/>
          <w:color w:val="auto"/>
          <w:spacing w:val="-6"/>
          <w:sz w:val="24"/>
          <w:highlight w:val="none"/>
          <w:lang w:eastAsia="zh-CN"/>
        </w:rPr>
        <w:t>磋商</w:t>
      </w:r>
      <w:r>
        <w:rPr>
          <w:rFonts w:hint="eastAsia" w:ascii="仿宋" w:hAnsi="仿宋" w:eastAsia="仿宋" w:cs="仿宋"/>
          <w:color w:val="auto"/>
          <w:spacing w:val="-6"/>
          <w:sz w:val="24"/>
          <w:highlight w:val="none"/>
        </w:rPr>
        <w:t>有效期或有效期达不到竞争性</w:t>
      </w:r>
      <w:r>
        <w:rPr>
          <w:rFonts w:hint="eastAsia" w:ascii="仿宋" w:hAnsi="仿宋" w:eastAsia="仿宋" w:cs="仿宋"/>
          <w:color w:val="auto"/>
          <w:spacing w:val="-6"/>
          <w:sz w:val="24"/>
          <w:highlight w:val="none"/>
          <w:lang w:eastAsia="zh-CN"/>
        </w:rPr>
        <w:t>磋商</w:t>
      </w:r>
      <w:r>
        <w:rPr>
          <w:rFonts w:hint="eastAsia" w:ascii="仿宋" w:hAnsi="仿宋" w:eastAsia="仿宋" w:cs="仿宋"/>
          <w:color w:val="auto"/>
          <w:spacing w:val="-6"/>
          <w:sz w:val="24"/>
          <w:highlight w:val="none"/>
        </w:rPr>
        <w:t>文件要求的</w:t>
      </w:r>
      <w:r>
        <w:rPr>
          <w:rFonts w:hint="eastAsia" w:ascii="仿宋" w:hAnsi="仿宋" w:eastAsia="仿宋" w:cs="仿宋"/>
          <w:color w:val="auto"/>
          <w:sz w:val="24"/>
          <w:szCs w:val="24"/>
          <w:highlight w:val="none"/>
        </w:rPr>
        <w:t>；</w:t>
      </w:r>
    </w:p>
    <w:p>
      <w:pPr>
        <w:keepNext w:val="0"/>
        <w:keepLines w:val="0"/>
        <w:pageBreakBefore w:val="0"/>
        <w:widowControl w:val="0"/>
        <w:tabs>
          <w:tab w:val="left" w:pos="1260"/>
        </w:tabs>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有串通</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、以他人名义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、行贿、</w:t>
      </w:r>
      <w:r>
        <w:rPr>
          <w:rFonts w:hint="eastAsia" w:ascii="仿宋" w:hAnsi="仿宋" w:eastAsia="仿宋" w:cs="仿宋"/>
          <w:color w:val="auto"/>
          <w:sz w:val="24"/>
          <w:highlight w:val="none"/>
        </w:rPr>
        <w:t>提供虚假证明（包括第三方提供的虚假证明），开具虚假资质，出现虚假应答的，除按无效文件处理外，还将按照政府采购的有关规定进行处罚；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总报价</w:t>
      </w:r>
      <w:r>
        <w:rPr>
          <w:rFonts w:hint="eastAsia" w:ascii="仿宋" w:hAnsi="仿宋" w:eastAsia="仿宋" w:cs="仿宋"/>
          <w:color w:val="auto"/>
          <w:sz w:val="24"/>
          <w:szCs w:val="24"/>
          <w:highlight w:val="none"/>
          <w:lang w:eastAsia="zh-CN"/>
        </w:rPr>
        <w:t>超过</w:t>
      </w:r>
      <w:r>
        <w:rPr>
          <w:rFonts w:hint="eastAsia" w:ascii="仿宋" w:hAnsi="仿宋" w:eastAsia="仿宋" w:cs="仿宋"/>
          <w:color w:val="auto"/>
          <w:sz w:val="24"/>
          <w:szCs w:val="24"/>
          <w:highlight w:val="none"/>
        </w:rPr>
        <w:t>竞争性</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文件公布的采购预算的。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磋商响应</w:t>
      </w:r>
      <w:r>
        <w:rPr>
          <w:rFonts w:hint="eastAsia" w:ascii="仿宋" w:hAnsi="仿宋" w:eastAsia="仿宋" w:cs="仿宋"/>
          <w:color w:val="auto"/>
          <w:sz w:val="24"/>
          <w:szCs w:val="24"/>
          <w:highlight w:val="none"/>
        </w:rPr>
        <w:t>文件含有采购人不能接受的附加条件的</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仿宋" w:hAnsi="仿宋" w:eastAsia="仿宋" w:cs="仿宋"/>
          <w:b/>
          <w:color w:val="auto"/>
          <w:szCs w:val="24"/>
          <w:highlight w:val="none"/>
          <w:lang w:eastAsia="zh-CN"/>
        </w:rPr>
      </w:pPr>
      <w:r>
        <w:rPr>
          <w:rFonts w:hint="eastAsia" w:ascii="仿宋" w:hAnsi="仿宋" w:eastAsia="仿宋" w:cs="仿宋"/>
          <w:color w:val="auto"/>
          <w:sz w:val="24"/>
          <w:szCs w:val="24"/>
          <w:highlight w:val="none"/>
          <w:lang w:val="en-US" w:eastAsia="zh-CN"/>
        </w:rPr>
        <w:t>8、法律、法规规定的其他无效情形</w:t>
      </w:r>
      <w:r>
        <w:rPr>
          <w:rFonts w:hint="eastAsia" w:ascii="仿宋" w:hAnsi="仿宋" w:eastAsia="仿宋" w:cs="仿宋"/>
          <w:color w:val="auto"/>
          <w:sz w:val="24"/>
          <w:szCs w:val="24"/>
          <w:highlight w:val="none"/>
          <w:lang w:eastAsia="zh-CN"/>
        </w:rPr>
        <w:t>。</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七、政策性扣减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1</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政策性扣减范围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符合小型、微型企业或监狱企业</w:t>
      </w:r>
      <w:r>
        <w:rPr>
          <w:rFonts w:hint="eastAsia" w:ascii="仿宋" w:hAnsi="仿宋" w:eastAsia="仿宋" w:cs="仿宋"/>
          <w:color w:val="auto"/>
          <w:sz w:val="24"/>
          <w:szCs w:val="24"/>
          <w:highlight w:val="none"/>
          <w:lang w:eastAsia="zh-CN"/>
        </w:rPr>
        <w:t>、残疾人福利性单位</w:t>
      </w:r>
      <w:r>
        <w:rPr>
          <w:rFonts w:hint="eastAsia" w:ascii="仿宋" w:hAnsi="仿宋" w:eastAsia="仿宋" w:cs="仿宋"/>
          <w:color w:val="auto"/>
          <w:sz w:val="24"/>
          <w:szCs w:val="24"/>
          <w:highlight w:val="none"/>
        </w:rPr>
        <w:t>条件的，其投标报价价格评审时将按相应比例进行扣减。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1.2依据关于印发《政府采购促进中小企业发展管理办法》的通知（财库〔2020〕46号）的规定，在政府采购活动中，供应商提供的货物、工程或者服务符合下列情形的，享受中小企业扶持政策：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（2）在货物采购项目中，供应商提供的货物既有中小企业制造货物，也有大型企业制造货物的，不享受本办法规定的中小企业扶持政策。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（3）以联合体形式参加政府采购活动，联合体各方均为中小企业的，联合体视同中小企业。其中，联合体各方均为小微企业的，联合体视同小微企业。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(4)中小企业参加政府采购活动，应当出具符合财库〔2020〕46号规定的《中小企业声明函》,否则不得享受相关中小企业扶持政策。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1.3采购人拟采购产品属于优先采购节能、环境标志产品范围的，应当优先采购节能、环境标志产品；拟采购产品符合政府采购强制采购政策的，实行强制采购。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1.3.1采购人依据节能产品、环境标志产品品目清单和节能、环境标志产品认证证书实施政府优先采购和强制采购。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监狱企业参加政府采购活动时，视同</w:t>
      </w:r>
      <w:r>
        <w:rPr>
          <w:rFonts w:hint="eastAsia" w:ascii="仿宋" w:hAnsi="仿宋" w:eastAsia="仿宋" w:cs="仿宋"/>
          <w:color w:val="auto"/>
          <w:sz w:val="24"/>
          <w:szCs w:val="24"/>
          <w:highlight w:val="none"/>
          <w:lang w:eastAsia="zh-CN"/>
        </w:rPr>
        <w:t>小型、微型企业。</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lang w:eastAsia="zh-CN"/>
        </w:rPr>
        <w:t>符合条件的残疾人福利性单位在参加政府采购活动时，应当提供《残疾人福利性单位声明函》，并对声明的真实性负责。残疾人福利性单位</w:t>
      </w:r>
      <w:r>
        <w:rPr>
          <w:rFonts w:hint="eastAsia" w:ascii="仿宋" w:hAnsi="仿宋" w:eastAsia="仿宋" w:cs="仿宋"/>
          <w:color w:val="auto"/>
          <w:sz w:val="24"/>
          <w:szCs w:val="24"/>
          <w:highlight w:val="none"/>
        </w:rPr>
        <w:t>参加政府采购活动时，视同</w:t>
      </w:r>
      <w:r>
        <w:rPr>
          <w:rFonts w:hint="eastAsia" w:ascii="仿宋" w:hAnsi="仿宋" w:eastAsia="仿宋" w:cs="仿宋"/>
          <w:color w:val="auto"/>
          <w:sz w:val="24"/>
          <w:szCs w:val="24"/>
          <w:highlight w:val="none"/>
          <w:lang w:eastAsia="zh-CN"/>
        </w:rPr>
        <w:t>小型、微型企业；残疾人福利性单位属于小型、微型企业的，不重复享受政策。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2、政策性扣减方式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lang w:eastAsia="zh-CN"/>
        </w:rPr>
        <w:t>对于</w:t>
      </w:r>
      <w:r>
        <w:rPr>
          <w:rFonts w:hint="eastAsia" w:ascii="仿宋" w:hAnsi="仿宋" w:eastAsia="仿宋" w:cs="仿宋"/>
          <w:color w:val="auto"/>
          <w:spacing w:val="8"/>
          <w:sz w:val="24"/>
          <w:szCs w:val="24"/>
          <w:highlight w:val="none"/>
        </w:rPr>
        <w:t>未预留份额专门</w:t>
      </w:r>
      <w:r>
        <w:rPr>
          <w:rFonts w:hint="eastAsia" w:ascii="仿宋" w:hAnsi="仿宋" w:eastAsia="仿宋" w:cs="仿宋"/>
          <w:color w:val="auto"/>
          <w:sz w:val="24"/>
          <w:szCs w:val="24"/>
          <w:highlight w:val="none"/>
        </w:rPr>
        <w:t>面向中小企业采购的采购项目，以及预留份额项目的非预</w:t>
      </w:r>
      <w:r>
        <w:rPr>
          <w:rFonts w:hint="eastAsia" w:ascii="仿宋" w:hAnsi="仿宋" w:eastAsia="仿宋" w:cs="仿宋"/>
          <w:color w:val="auto"/>
          <w:spacing w:val="-2"/>
          <w:sz w:val="24"/>
          <w:szCs w:val="24"/>
          <w:highlight w:val="none"/>
        </w:rPr>
        <w:t>留部分采购包</w:t>
      </w:r>
      <w:r>
        <w:rPr>
          <w:rFonts w:hint="eastAsia" w:ascii="仿宋" w:hAnsi="仿宋" w:eastAsia="仿宋" w:cs="仿宋"/>
          <w:color w:val="auto"/>
          <w:spacing w:val="-2"/>
          <w:sz w:val="24"/>
          <w:szCs w:val="24"/>
          <w:highlight w:val="none"/>
          <w:lang w:eastAsia="zh-CN"/>
        </w:rPr>
        <w:t>中</w:t>
      </w:r>
      <w:r>
        <w:rPr>
          <w:rFonts w:hint="eastAsia" w:ascii="仿宋" w:hAnsi="仿宋" w:eastAsia="仿宋" w:cs="仿宋"/>
          <w:color w:val="auto"/>
          <w:sz w:val="24"/>
          <w:szCs w:val="24"/>
          <w:highlight w:val="none"/>
          <w:lang w:val="en-US" w:eastAsia="zh-CN"/>
        </w:rPr>
        <w:t>符合条件的小微企业</w:t>
      </w:r>
      <w:r>
        <w:rPr>
          <w:rFonts w:hint="eastAsia" w:ascii="仿宋" w:hAnsi="仿宋" w:eastAsia="仿宋" w:cs="仿宋"/>
          <w:color w:val="auto"/>
          <w:sz w:val="24"/>
          <w:szCs w:val="24"/>
          <w:highlight w:val="none"/>
          <w:lang w:eastAsia="zh-CN"/>
        </w:rPr>
        <w:t>报价给予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%的扣除。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30%以上的，对联合体或者大中型企业的报价给予1%的扣除；组成联合体或者接受分包的小微企业与联合体内其他企业、分包企业之间存在直接控股、管理关系的，不享受价格扣除优惠政策。</w:t>
      </w:r>
      <w:r>
        <w:rPr>
          <w:rFonts w:hint="eastAsia" w:ascii="仿宋" w:hAnsi="仿宋" w:eastAsia="仿宋" w:cs="仿宋"/>
          <w:b/>
          <w:bCs/>
          <w:color w:val="auto"/>
          <w:sz w:val="24"/>
          <w:szCs w:val="24"/>
          <w:highlight w:val="none"/>
          <w:lang w:val="en-US" w:eastAsia="zh-CN"/>
        </w:rPr>
        <w:t>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监狱企业、</w:t>
      </w:r>
      <w:r>
        <w:rPr>
          <w:rFonts w:hint="eastAsia" w:ascii="仿宋" w:hAnsi="仿宋" w:eastAsia="仿宋" w:cs="仿宋"/>
          <w:color w:val="auto"/>
          <w:sz w:val="24"/>
          <w:szCs w:val="24"/>
          <w:highlight w:val="none"/>
        </w:rPr>
        <w:t>残疾人福利性单位视同小微企业，享受预留份额、评审中价格扣除等促进中小企业发展的政府采购政策。</w:t>
      </w:r>
      <w:r>
        <w:rPr>
          <w:rFonts w:hint="eastAsia" w:ascii="仿宋" w:hAnsi="仿宋" w:eastAsia="仿宋" w:cs="仿宋"/>
          <w:color w:val="auto"/>
          <w:sz w:val="24"/>
          <w:szCs w:val="24"/>
          <w:highlight w:val="none"/>
          <w:lang w:eastAsia="zh-CN"/>
        </w:rPr>
        <w:t>监狱企业、</w:t>
      </w:r>
      <w:r>
        <w:rPr>
          <w:rFonts w:hint="eastAsia" w:ascii="仿宋" w:hAnsi="仿宋" w:eastAsia="仿宋" w:cs="仿宋"/>
          <w:color w:val="auto"/>
          <w:sz w:val="24"/>
          <w:szCs w:val="24"/>
          <w:highlight w:val="none"/>
        </w:rPr>
        <w:t>残疾人福利性单位属于</w:t>
      </w:r>
      <w:r>
        <w:rPr>
          <w:rFonts w:hint="eastAsia" w:ascii="仿宋" w:hAnsi="仿宋" w:eastAsia="仿宋" w:cs="仿宋"/>
          <w:color w:val="auto"/>
          <w:sz w:val="24"/>
          <w:szCs w:val="24"/>
          <w:highlight w:val="none"/>
          <w:lang w:eastAsia="zh-CN"/>
        </w:rPr>
        <w:t>小微</w:t>
      </w:r>
      <w:r>
        <w:rPr>
          <w:rFonts w:hint="eastAsia" w:ascii="仿宋" w:hAnsi="仿宋" w:eastAsia="仿宋" w:cs="仿宋"/>
          <w:color w:val="auto"/>
          <w:sz w:val="24"/>
          <w:szCs w:val="24"/>
          <w:highlight w:val="none"/>
        </w:rPr>
        <w:t>企业的，不重复享受政策。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享受支持中小型企业发展政策优惠的，可以同时享受节能、环境标志产品优先采购政策。</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成交价格=成交供应商的</w:t>
      </w:r>
      <w:r>
        <w:rPr>
          <w:rFonts w:hint="eastAsia" w:ascii="仿宋" w:hAnsi="仿宋" w:eastAsia="仿宋" w:cs="仿宋"/>
          <w:b/>
          <w:bCs/>
          <w:color w:val="auto"/>
          <w:sz w:val="24"/>
          <w:szCs w:val="24"/>
          <w:highlight w:val="none"/>
          <w:lang w:eastAsia="zh-CN"/>
        </w:rPr>
        <w:t>最终</w:t>
      </w:r>
      <w:r>
        <w:rPr>
          <w:rFonts w:hint="eastAsia" w:ascii="仿宋" w:hAnsi="仿宋" w:eastAsia="仿宋" w:cs="仿宋"/>
          <w:b/>
          <w:bCs/>
          <w:color w:val="auto"/>
          <w:sz w:val="24"/>
          <w:szCs w:val="24"/>
          <w:highlight w:val="none"/>
        </w:rPr>
        <w:t>磋商报价。</w:t>
      </w:r>
    </w:p>
    <w:p>
      <w:pPr>
        <w:keepNext w:val="0"/>
        <w:keepLines w:val="0"/>
        <w:pageBreakBefore w:val="0"/>
        <w:widowControl w:val="0"/>
        <w:kinsoku/>
        <w:wordWrap/>
        <w:overflowPunct/>
        <w:topLinePunct w:val="0"/>
        <w:autoSpaceDE/>
        <w:autoSpaceDN/>
        <w:bidi w:val="0"/>
        <w:adjustRightInd/>
        <w:snapToGrid/>
        <w:spacing w:after="120" w:afterLines="50" w:line="500" w:lineRule="exact"/>
        <w:ind w:left="0" w:leftChars="0" w:right="0" w:rightChars="0"/>
        <w:jc w:val="both"/>
        <w:textAlignment w:val="auto"/>
        <w:outlineLvl w:val="1"/>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kern w:val="0"/>
          <w:sz w:val="24"/>
          <w:szCs w:val="24"/>
          <w:highlight w:val="none"/>
        </w:rPr>
        <w:t>推荐并确定成交候选人</w:t>
      </w:r>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1、磋商结果报告由磋商小组全体成员签字确认。</w:t>
      </w:r>
    </w:p>
    <w:p>
      <w:pPr>
        <w:keepNext w:val="0"/>
        <w:keepLines w:val="0"/>
        <w:pageBreakBefore w:val="0"/>
        <w:widowControl w:val="0"/>
        <w:kinsoku/>
        <w:wordWrap/>
        <w:overflowPunct/>
        <w:topLinePunct w:val="0"/>
        <w:autoSpaceDE/>
        <w:autoSpaceDN/>
        <w:bidi w:val="0"/>
        <w:spacing w:line="460" w:lineRule="exact"/>
        <w:ind w:firstLine="496" w:firstLineChars="200"/>
        <w:jc w:val="left"/>
        <w:textAlignment w:val="auto"/>
        <w:outlineLvl w:val="9"/>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2、采购人根据磋商结果报告中推荐的成交候选人确定成交供应商，以复函通知采购代理机构。</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1"/>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九、特殊情况的处理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计算错误将按以下方法更正：</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一览表(报价表)内容与</w:t>
      </w:r>
      <w:r>
        <w:rPr>
          <w:rFonts w:hint="eastAsia" w:ascii="仿宋" w:hAnsi="仿宋" w:eastAsia="仿宋" w:cs="仿宋"/>
          <w:color w:val="auto"/>
          <w:sz w:val="24"/>
          <w:szCs w:val="24"/>
          <w:lang w:eastAsia="zh-CN"/>
        </w:rPr>
        <w:t>磋商响应</w:t>
      </w:r>
      <w:r>
        <w:rPr>
          <w:rFonts w:hint="eastAsia" w:ascii="仿宋" w:hAnsi="仿宋" w:eastAsia="仿宋" w:cs="仿宋"/>
          <w:color w:val="auto"/>
          <w:sz w:val="24"/>
          <w:szCs w:val="24"/>
        </w:rPr>
        <w:t>文件中</w:t>
      </w:r>
      <w:r>
        <w:rPr>
          <w:rFonts w:hint="eastAsia" w:ascii="仿宋" w:hAnsi="仿宋" w:eastAsia="仿宋" w:cs="仿宋"/>
          <w:color w:val="auto"/>
          <w:sz w:val="24"/>
          <w:szCs w:val="24"/>
          <w:lang w:eastAsia="zh-CN"/>
        </w:rPr>
        <w:t>相应内容</w:t>
      </w:r>
      <w:r>
        <w:rPr>
          <w:rFonts w:hint="eastAsia" w:ascii="仿宋" w:hAnsi="仿宋" w:eastAsia="仿宋" w:cs="仿宋"/>
          <w:color w:val="auto"/>
          <w:sz w:val="24"/>
          <w:szCs w:val="24"/>
        </w:rPr>
        <w:t>不一致的，以</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如果单独密封的</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一览表(报价表)与</w:t>
      </w:r>
      <w:r>
        <w:rPr>
          <w:rFonts w:hint="eastAsia" w:ascii="仿宋" w:hAnsi="仿宋" w:eastAsia="仿宋" w:cs="仿宋"/>
          <w:color w:val="auto"/>
          <w:sz w:val="24"/>
          <w:szCs w:val="24"/>
          <w:lang w:eastAsia="zh-CN"/>
        </w:rPr>
        <w:t>磋商响应文件</w:t>
      </w:r>
      <w:r>
        <w:rPr>
          <w:rFonts w:hint="eastAsia" w:ascii="仿宋" w:hAnsi="仿宋" w:eastAsia="仿宋" w:cs="仿宋"/>
          <w:color w:val="auto"/>
          <w:sz w:val="24"/>
          <w:szCs w:val="24"/>
        </w:rPr>
        <w:t>正本的</w:t>
      </w:r>
      <w:r>
        <w:rPr>
          <w:rFonts w:hint="eastAsia" w:ascii="仿宋" w:hAnsi="仿宋" w:eastAsia="仿宋" w:cs="仿宋"/>
          <w:color w:val="auto"/>
          <w:sz w:val="24"/>
          <w:szCs w:val="24"/>
          <w:lang w:eastAsia="zh-CN"/>
        </w:rPr>
        <w:t>报价一览表</w:t>
      </w:r>
      <w:r>
        <w:rPr>
          <w:rFonts w:hint="eastAsia" w:ascii="仿宋" w:hAnsi="仿宋" w:eastAsia="仿宋" w:cs="仿宋"/>
          <w:color w:val="auto"/>
          <w:sz w:val="24"/>
          <w:szCs w:val="24"/>
        </w:rPr>
        <w:t>(报价表)不一致，以单独密封的</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rPr>
        <w:t>一览表(报价表)为准。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1.2磋商响应</w:t>
      </w:r>
      <w:r>
        <w:rPr>
          <w:rFonts w:hint="eastAsia" w:ascii="仿宋" w:hAnsi="仿宋" w:eastAsia="仿宋" w:cs="仿宋"/>
          <w:color w:val="auto"/>
          <w:sz w:val="24"/>
          <w:szCs w:val="24"/>
        </w:rPr>
        <w:t>文件的大写金额和小写金额不一致的，以大写金额为准；</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CN"/>
        </w:rPr>
        <w:t>单价金额小数点或者百分比有明显错位的，以单独密封的报价一览表的总价为准，并修改单价；</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rPr>
        <w:t>总价金额与按单价汇总金额不一致的，以单价金额计算结果为准</w:t>
      </w:r>
      <w:r>
        <w:rPr>
          <w:rFonts w:hint="eastAsia" w:ascii="仿宋" w:hAnsi="仿宋" w:eastAsia="仿宋" w:cs="仿宋"/>
          <w:color w:val="auto"/>
          <w:sz w:val="24"/>
          <w:szCs w:val="24"/>
          <w:lang w:eastAsia="zh-CN"/>
        </w:rPr>
        <w:t>。</w:t>
      </w:r>
    </w:p>
    <w:p>
      <w:pPr>
        <w:keepNext w:val="0"/>
        <w:keepLines w:val="0"/>
        <w:pageBreakBefore w:val="0"/>
        <w:widowControl w:val="0"/>
        <w:wordWrap/>
        <w:overflowPunct/>
        <w:topLinePunct w:val="0"/>
        <w:autoSpaceDE/>
        <w:autoSpaceDN/>
        <w:bidi w:val="0"/>
        <w:spacing w:line="500" w:lineRule="exact"/>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按上述修正的</w:t>
      </w:r>
      <w:r>
        <w:rPr>
          <w:rFonts w:hint="eastAsia" w:ascii="仿宋" w:hAnsi="仿宋" w:eastAsia="仿宋" w:cs="仿宋"/>
          <w:color w:val="auto"/>
          <w:sz w:val="24"/>
          <w:szCs w:val="24"/>
          <w:lang w:eastAsia="zh-CN"/>
        </w:rPr>
        <w:t>顺序和</w:t>
      </w:r>
      <w:r>
        <w:rPr>
          <w:rFonts w:hint="eastAsia" w:ascii="仿宋" w:hAnsi="仿宋" w:eastAsia="仿宋" w:cs="仿宋"/>
          <w:color w:val="auto"/>
          <w:sz w:val="24"/>
          <w:szCs w:val="24"/>
        </w:rPr>
        <w:t>方法调整的报价应对</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具有约束力。如果</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不接受修正后的价格，其</w:t>
      </w:r>
      <w:r>
        <w:rPr>
          <w:rFonts w:hint="eastAsia" w:ascii="仿宋" w:hAnsi="仿宋" w:eastAsia="仿宋" w:cs="仿宋"/>
          <w:color w:val="auto"/>
          <w:sz w:val="24"/>
          <w:szCs w:val="24"/>
          <w:lang w:eastAsia="zh-CN"/>
        </w:rPr>
        <w:t>响应文件将按</w:t>
      </w:r>
      <w:r>
        <w:rPr>
          <w:rFonts w:hint="eastAsia" w:ascii="仿宋" w:hAnsi="仿宋" w:eastAsia="仿宋" w:cs="仿宋"/>
          <w:color w:val="auto"/>
          <w:sz w:val="24"/>
          <w:szCs w:val="24"/>
        </w:rPr>
        <w:t>无效</w:t>
      </w:r>
      <w:r>
        <w:rPr>
          <w:rFonts w:hint="eastAsia" w:ascii="仿宋" w:hAnsi="仿宋" w:eastAsia="仿宋" w:cs="仿宋"/>
          <w:color w:val="auto"/>
          <w:sz w:val="24"/>
          <w:szCs w:val="24"/>
          <w:lang w:eastAsia="zh-CN"/>
        </w:rPr>
        <w:t>响应</w:t>
      </w:r>
      <w:r>
        <w:rPr>
          <w:rFonts w:hint="eastAsia" w:ascii="仿宋" w:hAnsi="仿宋" w:eastAsia="仿宋" w:cs="仿宋"/>
          <w:color w:val="auto"/>
          <w:sz w:val="24"/>
          <w:szCs w:val="24"/>
        </w:rPr>
        <w:t>处理。</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对于竞争性磋商响应文件中明显的标点符号错误或不构成实质性偏差的不正规、不一致或不规则，采购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可以接受。</w:t>
      </w:r>
    </w:p>
    <w:p>
      <w:pPr>
        <w:pStyle w:val="2"/>
        <w:keepNext w:val="0"/>
        <w:keepLines w:val="0"/>
        <w:pageBreakBefore w:val="0"/>
        <w:widowControl w:val="0"/>
        <w:kinsoku/>
        <w:wordWrap/>
        <w:overflowPunct/>
        <w:topLinePunct w:val="0"/>
        <w:autoSpaceDE/>
        <w:autoSpaceDN/>
        <w:bidi w:val="0"/>
        <w:adjustRightInd/>
        <w:snapToGrid/>
        <w:spacing w:after="0" w:afterLines="0" w:line="360" w:lineRule="auto"/>
        <w:ind w:right="0" w:rightChars="0" w:firstLine="496" w:firstLineChars="200"/>
        <w:jc w:val="left"/>
        <w:textAlignment w:val="auto"/>
        <w:rPr>
          <w:rFonts w:hint="eastAsia" w:ascii="仿宋" w:hAnsi="仿宋" w:eastAsia="仿宋" w:cs="仿宋"/>
          <w:b w:val="0"/>
          <w:bCs w:val="0"/>
          <w:color w:val="auto"/>
          <w:spacing w:val="4"/>
          <w:kern w:val="2"/>
          <w:sz w:val="24"/>
          <w:szCs w:val="24"/>
          <w:lang w:val="en-US" w:eastAsia="zh-CN" w:bidi="ar-SA"/>
        </w:rPr>
      </w:pPr>
      <w:r>
        <w:rPr>
          <w:rFonts w:hint="eastAsia" w:ascii="仿宋" w:hAnsi="仿宋" w:eastAsia="仿宋" w:cs="仿宋"/>
          <w:b w:val="0"/>
          <w:bCs w:val="0"/>
          <w:color w:val="auto"/>
          <w:spacing w:val="4"/>
          <w:kern w:val="2"/>
          <w:sz w:val="24"/>
          <w:szCs w:val="24"/>
          <w:lang w:val="en-US" w:eastAsia="zh-CN" w:bidi="ar-SA"/>
        </w:rPr>
        <w:t>3、磋商过程中，若出现本评审方法以外的特殊情况时，将暂停评审，待磋商小组商榷后，再进行评定。</w:t>
      </w:r>
      <w:r>
        <w:rPr>
          <w:rFonts w:hint="eastAsia" w:ascii="仿宋" w:hAnsi="仿宋" w:eastAsia="仿宋" w:cs="仿宋"/>
          <w:b w:val="0"/>
          <w:bCs w:val="0"/>
          <w:color w:val="auto"/>
          <w:spacing w:val="4"/>
          <w:kern w:val="2"/>
          <w:sz w:val="24"/>
          <w:szCs w:val="24"/>
          <w:lang w:val="en-US" w:eastAsia="zh-CN" w:bidi="ar-SA"/>
        </w:rPr>
        <w:br w:type="page"/>
      </w: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附件</w:t>
      </w:r>
      <w:r>
        <w:rPr>
          <w:rFonts w:hint="eastAsia" w:ascii="仿宋" w:hAnsi="仿宋" w:eastAsia="仿宋" w:cs="仿宋"/>
          <w:color w:val="auto"/>
          <w:sz w:val="28"/>
          <w:szCs w:val="28"/>
          <w:lang w:val="en-US" w:eastAsia="zh-CN"/>
        </w:rPr>
        <w:t>1</w:t>
      </w: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初步审查要素表</w:t>
      </w:r>
    </w:p>
    <w:p>
      <w:pPr>
        <w:rPr>
          <w:rFonts w:hint="eastAsia" w:ascii="仿宋" w:hAnsi="仿宋" w:eastAsia="仿宋" w:cs="仿宋"/>
          <w:b/>
          <w:bCs/>
          <w:color w:val="auto"/>
          <w:sz w:val="24"/>
          <w:szCs w:val="24"/>
          <w:highlight w:val="none"/>
          <w:lang w:eastAsia="zh-CN"/>
        </w:rPr>
      </w:pPr>
    </w:p>
    <w:tbl>
      <w:tblPr>
        <w:tblStyle w:val="35"/>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条款号</w:t>
            </w:r>
          </w:p>
        </w:tc>
        <w:tc>
          <w:tcPr>
            <w:tcW w:w="2836" w:type="dxa"/>
            <w:gridSpan w:val="2"/>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评审因素</w:t>
            </w:r>
          </w:p>
        </w:tc>
        <w:tc>
          <w:tcPr>
            <w:tcW w:w="5319" w:type="dxa"/>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1.1</w:t>
            </w:r>
          </w:p>
        </w:tc>
        <w:tc>
          <w:tcPr>
            <w:tcW w:w="600"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资格评审</w:t>
            </w:r>
          </w:p>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标准</w:t>
            </w:r>
          </w:p>
        </w:tc>
        <w:tc>
          <w:tcPr>
            <w:tcW w:w="2836" w:type="dxa"/>
            <w:gridSpan w:val="2"/>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基本资格条件</w:t>
            </w:r>
          </w:p>
        </w:tc>
        <w:tc>
          <w:tcPr>
            <w:tcW w:w="5319" w:type="dxa"/>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供应商合法注册的法人或其他组织的营业执照等证明文件，自然人的身份证明；</w:t>
            </w:r>
          </w:p>
          <w:p>
            <w:pPr>
              <w:pStyle w:val="2"/>
              <w:numPr>
                <w:ilvl w:val="0"/>
                <w:numId w:val="0"/>
              </w:numPr>
              <w:jc w:val="both"/>
              <w:rPr>
                <w:rFonts w:hint="eastAsia" w:ascii="仿宋" w:hAnsi="仿宋" w:eastAsia="仿宋" w:cs="仿宋"/>
                <w:color w:val="auto"/>
                <w:lang w:val="en-US" w:eastAsia="zh-CN"/>
              </w:rPr>
            </w:pPr>
            <w:r>
              <w:rPr>
                <w:rFonts w:hint="eastAsia" w:ascii="仿宋" w:hAnsi="仿宋" w:eastAsia="仿宋" w:cs="仿宋"/>
                <w:b w:val="0"/>
                <w:bCs/>
                <w:color w:val="auto"/>
                <w:sz w:val="21"/>
                <w:szCs w:val="21"/>
                <w:highlight w:val="none"/>
              </w:rPr>
              <w:t>供应商是法人或其他组织的应提供营业执照等证明文件，供应商是自然人的应提供有效的自然人身份证明。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val="0"/>
                <w:color w:val="auto"/>
                <w:sz w:val="21"/>
                <w:szCs w:val="21"/>
                <w:highlight w:val="none"/>
                <w:lang w:val="en-US" w:eastAsia="zh-CN"/>
              </w:rPr>
              <w:t>2、提供2020年度经审计的财务报告（成立时间至提交磋商响应文件截止时间不足一年的可提供成立后任意时段的资产负债表），或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79" w:firstLineChars="38"/>
              <w:jc w:val="left"/>
              <w:textAlignment w:val="auto"/>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3、提供磋商截止日前一年内已缴纳的至少一个月的纳税证明或完税证明，依法免税的单位应提供相关证明材料；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79" w:firstLineChars="38"/>
              <w:jc w:val="left"/>
              <w:textAlignment w:val="auto"/>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4、提供磋商截止日前一年内已缴存的至少一个月的社会保障资金缴存单据或社保机构开具的社会保险参保缴费情况证明，依法不需要缴纳社会保障资金的单位应提供相关证明材料；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319" w:type="dxa"/>
            <w:vAlign w:val="center"/>
          </w:tcPr>
          <w:p>
            <w:pPr>
              <w:keepNext w:val="0"/>
              <w:keepLines w:val="0"/>
              <w:pageBreakBefore w:val="0"/>
              <w:widowControl w:val="0"/>
              <w:tabs>
                <w:tab w:val="left" w:pos="0"/>
              </w:tabs>
              <w:kinsoku/>
              <w:wordWrap/>
              <w:overflowPunct/>
              <w:topLinePunct w:val="0"/>
              <w:autoSpaceDE/>
              <w:autoSpaceDN/>
              <w:bidi w:val="0"/>
              <w:adjustRightInd w:val="0"/>
              <w:snapToGrid w:val="0"/>
              <w:spacing w:line="240" w:lineRule="auto"/>
              <w:ind w:left="-69" w:leftChars="-33" w:firstLine="79" w:firstLineChars="38"/>
              <w:jc w:val="left"/>
              <w:textAlignment w:val="auto"/>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5、提供具有履行合同所必需的设备和专业技术能力的承诺；（格式自拟）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6、参加政府采购活动前3年内，在经营活动中没有重大违法记录的书面声明；（格式自拟）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color w:val="auto"/>
                <w:sz w:val="21"/>
                <w:szCs w:val="21"/>
                <w:lang w:val="en-US" w:eastAsia="zh-CN"/>
              </w:rPr>
              <w:t>落实政府采购政策需满足的资格要求</w:t>
            </w: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专门面向中小企业采购，供应商应为中小微企业或监狱企业或残疾人福利性单位。供应商为中型、小型、微型企业的，提供《中小企业声明函》；供应商为监狱企业的，应提供监狱企业的证明文件；供应商为残疾人福利性单位的，应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特定资格条件</w:t>
            </w: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1、法定代表人/负责人授权书（附法定代表人/负责人、被授权人身份证复印件）及被授权人身份证（法定代表人/负责人直接参加磋商，须提供法定代表人/负责人身份证明及身份证原件）；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2、具备建设行政主管部门颁发的水利水电工程施工总承包三级及以上资质证书，同时具有合格有效的安全生产许可证；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3、拟派项目经理须具有水利水电工程专业二级及以上注册建造师证书和有效的安全生产考核证书（B证）且无在建工程、无不良记录（提供无在建工程、无不良记录承诺书）。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采购代理机构于本项目磋商公告发布后至磋商响应文件递交截止日查询相关信用记录，对列入失信被执行人、重大税收违法案件当事人名单、政府采购严重违法失信行为记录名单及其他不符合《中华人民共和国政府采购法》第二十二条规定的供应商，采购代理机构将拒绝其参与政府采购活动，查询结果以电子或纸质方式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2836" w:type="dxa"/>
            <w:gridSpan w:val="2"/>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p>
        </w:tc>
        <w:tc>
          <w:tcPr>
            <w:tcW w:w="5319" w:type="dxa"/>
            <w:vAlign w:val="center"/>
          </w:tcPr>
          <w:p>
            <w:pPr>
              <w:tabs>
                <w:tab w:val="left" w:pos="0"/>
              </w:tabs>
              <w:adjustRightInd w:val="0"/>
              <w:snapToGrid w:val="0"/>
              <w:spacing w:line="240" w:lineRule="auto"/>
              <w:jc w:val="left"/>
              <w:rPr>
                <w:rFonts w:hint="eastAsia" w:ascii="仿宋" w:hAnsi="仿宋" w:eastAsia="仿宋" w:cs="仿宋"/>
                <w:b w:val="0"/>
                <w:bCs/>
                <w:color w:val="auto"/>
                <w:sz w:val="21"/>
                <w:szCs w:val="21"/>
                <w:highlight w:val="none"/>
                <w:lang w:val="en-US" w:eastAsia="zh-CN" w:bidi="ar-SA"/>
              </w:rPr>
            </w:pPr>
            <w:r>
              <w:rPr>
                <w:rFonts w:hint="eastAsia" w:ascii="仿宋" w:hAnsi="仿宋" w:eastAsia="仿宋" w:cs="仿宋"/>
                <w:b w:val="0"/>
                <w:bCs/>
                <w:color w:val="auto"/>
                <w:sz w:val="21"/>
                <w:szCs w:val="21"/>
                <w:highlight w:val="none"/>
                <w:lang w:val="en-US" w:eastAsia="zh-CN"/>
              </w:rPr>
              <w:t>5、本项目不接受联合体磋商。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5"/>
            <w:vAlign w:val="center"/>
          </w:tcPr>
          <w:p>
            <w:pPr>
              <w:pStyle w:val="2"/>
              <w:ind w:left="0" w:leftChars="0" w:firstLine="0" w:firstLineChars="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注：</w:t>
            </w:r>
            <w:r>
              <w:rPr>
                <w:rFonts w:hint="eastAsia" w:ascii="仿宋" w:hAnsi="仿宋" w:eastAsia="仿宋" w:cs="仿宋"/>
                <w:b w:val="0"/>
                <w:bCs/>
                <w:color w:val="auto"/>
                <w:sz w:val="21"/>
                <w:szCs w:val="21"/>
                <w:highlight w:val="none"/>
              </w:rPr>
              <w:t>以上为必备</w:t>
            </w:r>
            <w:r>
              <w:rPr>
                <w:rFonts w:hint="eastAsia" w:ascii="仿宋" w:hAnsi="仿宋" w:eastAsia="仿宋" w:cs="仿宋"/>
                <w:b w:val="0"/>
                <w:bCs/>
                <w:color w:val="auto"/>
                <w:sz w:val="21"/>
                <w:szCs w:val="21"/>
                <w:highlight w:val="none"/>
                <w:lang w:eastAsia="zh-CN"/>
              </w:rPr>
              <w:t>资格条件</w:t>
            </w:r>
            <w:r>
              <w:rPr>
                <w:rFonts w:hint="eastAsia" w:ascii="仿宋" w:hAnsi="仿宋" w:eastAsia="仿宋" w:cs="仿宋"/>
                <w:b w:val="0"/>
                <w:bCs/>
                <w:color w:val="auto"/>
                <w:sz w:val="21"/>
                <w:szCs w:val="21"/>
                <w:highlight w:val="none"/>
              </w:rPr>
              <w:t>，缺一项或某项达不到要求，按无效</w:t>
            </w:r>
            <w:r>
              <w:rPr>
                <w:rFonts w:hint="eastAsia" w:ascii="仿宋" w:hAnsi="仿宋" w:eastAsia="仿宋" w:cs="仿宋"/>
                <w:b w:val="0"/>
                <w:bCs/>
                <w:color w:val="auto"/>
                <w:sz w:val="21"/>
                <w:szCs w:val="21"/>
                <w:highlight w:val="none"/>
                <w:lang w:eastAsia="zh-CN"/>
              </w:rPr>
              <w:t>文件</w:t>
            </w:r>
            <w:r>
              <w:rPr>
                <w:rFonts w:hint="eastAsia" w:ascii="仿宋" w:hAnsi="仿宋" w:eastAsia="仿宋" w:cs="仿宋"/>
                <w:b w:val="0"/>
                <w:bCs/>
                <w:color w:val="auto"/>
                <w:sz w:val="21"/>
                <w:szCs w:val="21"/>
                <w:highlight w:val="none"/>
              </w:rPr>
              <w:t>处理。资格审查时以</w:t>
            </w: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中所附证明材料</w:t>
            </w:r>
            <w:r>
              <w:rPr>
                <w:rFonts w:hint="eastAsia" w:ascii="仿宋" w:hAnsi="仿宋" w:eastAsia="仿宋" w:cs="仿宋"/>
                <w:color w:val="auto"/>
                <w:sz w:val="21"/>
                <w:szCs w:val="21"/>
                <w:lang w:eastAsia="zh-CN"/>
              </w:rPr>
              <w:t>（信用中国和中国政府采购网信用记录可不提供，由代理机构查询并留存）</w:t>
            </w:r>
            <w:r>
              <w:rPr>
                <w:rFonts w:hint="eastAsia" w:ascii="仿宋" w:hAnsi="仿宋" w:eastAsia="仿宋" w:cs="仿宋"/>
                <w:b w:val="0"/>
                <w:bCs/>
                <w:color w:val="auto"/>
                <w:sz w:val="21"/>
                <w:szCs w:val="21"/>
                <w:highlight w:val="none"/>
              </w:rPr>
              <w:t>为准，原件备查</w:t>
            </w:r>
            <w:r>
              <w:rPr>
                <w:rFonts w:hint="eastAsia" w:ascii="仿宋" w:hAnsi="仿宋" w:eastAsia="仿宋" w:cs="仿宋"/>
                <w:b w:val="0"/>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1.2</w:t>
            </w:r>
          </w:p>
        </w:tc>
        <w:tc>
          <w:tcPr>
            <w:tcW w:w="600"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符合性评审标准</w:t>
            </w:r>
          </w:p>
        </w:tc>
        <w:tc>
          <w:tcPr>
            <w:tcW w:w="567"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有效性审查</w:t>
            </w: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的签署盖章</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上</w:t>
            </w:r>
            <w:r>
              <w:rPr>
                <w:rFonts w:hint="eastAsia" w:ascii="仿宋" w:hAnsi="仿宋" w:eastAsia="仿宋" w:cs="仿宋"/>
                <w:b w:val="0"/>
                <w:bCs/>
                <w:color w:val="auto"/>
                <w:sz w:val="21"/>
                <w:szCs w:val="21"/>
                <w:highlight w:val="none"/>
                <w:lang w:eastAsia="zh-CN"/>
              </w:rPr>
              <w:t>法定代表人/负责人</w:t>
            </w:r>
            <w:r>
              <w:rPr>
                <w:rFonts w:hint="eastAsia" w:ascii="仿宋" w:hAnsi="仿宋" w:eastAsia="仿宋" w:cs="仿宋"/>
                <w:b w:val="0"/>
                <w:bCs/>
                <w:color w:val="auto"/>
                <w:sz w:val="21"/>
                <w:szCs w:val="21"/>
                <w:highlight w:val="none"/>
              </w:rPr>
              <w:t>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格式</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应符合“</w:t>
            </w: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报价</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按磋商文件要求报价</w:t>
            </w:r>
            <w:r>
              <w:rPr>
                <w:rFonts w:hint="eastAsia" w:ascii="仿宋" w:hAnsi="仿宋" w:eastAsia="仿宋" w:cs="仿宋"/>
                <w:b w:val="0"/>
                <w:bCs/>
                <w:color w:val="auto"/>
                <w:sz w:val="21"/>
                <w:szCs w:val="21"/>
                <w:highlight w:val="none"/>
              </w:rPr>
              <w:t>，不得提交选择性报价</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且每轮报价不超过采购预算金额或最高限价。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67"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完整性审查</w:t>
            </w: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份数</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应符合“</w:t>
            </w:r>
            <w:r>
              <w:rPr>
                <w:rFonts w:hint="eastAsia" w:ascii="仿宋" w:hAnsi="仿宋" w:eastAsia="仿宋" w:cs="仿宋"/>
                <w:b w:val="0"/>
                <w:bCs/>
                <w:color w:val="auto"/>
                <w:sz w:val="21"/>
                <w:szCs w:val="21"/>
                <w:highlight w:val="none"/>
                <w:lang w:eastAsia="zh-CN"/>
              </w:rPr>
              <w:t>供应商</w:t>
            </w:r>
            <w:r>
              <w:rPr>
                <w:rFonts w:hint="eastAsia" w:ascii="仿宋" w:hAnsi="仿宋" w:eastAsia="仿宋" w:cs="仿宋"/>
                <w:b w:val="0"/>
                <w:bCs/>
                <w:color w:val="auto"/>
                <w:sz w:val="21"/>
                <w:szCs w:val="21"/>
                <w:highlight w:val="none"/>
              </w:rPr>
              <w:t>须知前附表”规定的正本、副本、电子文件</w:t>
            </w:r>
            <w:r>
              <w:rPr>
                <w:rFonts w:hint="eastAsia" w:ascii="仿宋" w:hAnsi="仿宋" w:eastAsia="仿宋" w:cs="仿宋"/>
                <w:b w:val="0"/>
                <w:bCs/>
                <w:color w:val="auto"/>
                <w:sz w:val="21"/>
                <w:szCs w:val="21"/>
                <w:highlight w:val="none"/>
                <w:lang w:eastAsia="zh-CN"/>
              </w:rPr>
              <w:t>、报价一览表</w:t>
            </w:r>
            <w:r>
              <w:rPr>
                <w:rFonts w:hint="eastAsia" w:ascii="仿宋" w:hAnsi="仿宋" w:eastAsia="仿宋" w:cs="仿宋"/>
                <w:b w:val="0"/>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内容</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磋商响应文件</w:t>
            </w:r>
            <w:r>
              <w:rPr>
                <w:rFonts w:hint="eastAsia" w:ascii="仿宋" w:hAnsi="仿宋" w:eastAsia="仿宋" w:cs="仿宋"/>
                <w:b w:val="0"/>
                <w:bCs/>
                <w:color w:val="auto"/>
                <w:sz w:val="21"/>
                <w:szCs w:val="21"/>
                <w:highlight w:val="none"/>
              </w:rPr>
              <w:t>内容</w:t>
            </w:r>
            <w:r>
              <w:rPr>
                <w:rFonts w:hint="eastAsia" w:ascii="仿宋" w:hAnsi="仿宋" w:eastAsia="仿宋" w:cs="仿宋"/>
                <w:b w:val="0"/>
                <w:bCs/>
                <w:color w:val="auto"/>
                <w:sz w:val="21"/>
                <w:szCs w:val="21"/>
                <w:highlight w:val="none"/>
                <w:lang w:val="en-US" w:eastAsia="zh-CN"/>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int="eastAsia" w:ascii="仿宋" w:hAnsi="仿宋" w:eastAsia="仿宋" w:cs="仿宋"/>
                <w:b w:val="0"/>
                <w:bCs/>
                <w:color w:val="auto"/>
                <w:sz w:val="21"/>
                <w:szCs w:val="21"/>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p>
        </w:tc>
        <w:tc>
          <w:tcPr>
            <w:tcW w:w="567" w:type="dxa"/>
            <w:vMerge w:val="restart"/>
            <w:vAlign w:val="center"/>
          </w:tcPr>
          <w:p>
            <w:pPr>
              <w:tabs>
                <w:tab w:val="left" w:pos="0"/>
              </w:tabs>
              <w:adjustRightInd w:val="0"/>
              <w:snapToGrid w:val="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响应性审查</w:t>
            </w: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对</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响应程度</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工</w:t>
            </w:r>
            <w:r>
              <w:rPr>
                <w:rFonts w:hint="eastAsia" w:ascii="仿宋" w:hAnsi="仿宋" w:eastAsia="仿宋" w:cs="仿宋"/>
                <w:b w:val="0"/>
                <w:bCs/>
                <w:color w:val="auto"/>
                <w:sz w:val="21"/>
                <w:szCs w:val="21"/>
                <w:highlight w:val="none"/>
              </w:rPr>
              <w:t>期</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中要求的</w:t>
            </w:r>
            <w:r>
              <w:rPr>
                <w:rFonts w:hint="eastAsia" w:ascii="仿宋" w:hAnsi="仿宋" w:eastAsia="仿宋" w:cs="仿宋"/>
                <w:b w:val="0"/>
                <w:bCs/>
                <w:color w:val="auto"/>
                <w:sz w:val="21"/>
                <w:szCs w:val="21"/>
                <w:highlight w:val="none"/>
                <w:lang w:eastAsia="zh-CN"/>
              </w:rPr>
              <w:t>工</w:t>
            </w:r>
            <w:r>
              <w:rPr>
                <w:rFonts w:hint="eastAsia" w:ascii="仿宋" w:hAnsi="仿宋" w:eastAsia="仿宋" w:cs="仿宋"/>
                <w:b w:val="0"/>
                <w:bCs/>
                <w:color w:val="auto"/>
                <w:sz w:val="21"/>
                <w:szCs w:val="21"/>
                <w:highlight w:val="none"/>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600"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567" w:type="dxa"/>
            <w:vMerge w:val="continue"/>
            <w:vAlign w:val="top"/>
          </w:tcPr>
          <w:p>
            <w:pPr>
              <w:tabs>
                <w:tab w:val="left" w:pos="0"/>
              </w:tabs>
              <w:adjustRightInd w:val="0"/>
              <w:snapToGrid w:val="0"/>
              <w:spacing w:line="360" w:lineRule="auto"/>
              <w:rPr>
                <w:rFonts w:hint="eastAsia" w:ascii="仿宋" w:hAnsi="仿宋" w:eastAsia="仿宋" w:cs="仿宋"/>
                <w:b w:val="0"/>
                <w:bCs/>
                <w:color w:val="auto"/>
                <w:sz w:val="21"/>
                <w:szCs w:val="21"/>
                <w:highlight w:val="none"/>
              </w:rPr>
            </w:pPr>
          </w:p>
        </w:tc>
        <w:tc>
          <w:tcPr>
            <w:tcW w:w="226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eastAsia="zh-CN"/>
              </w:rPr>
              <w:t>磋商</w:t>
            </w:r>
            <w:r>
              <w:rPr>
                <w:rFonts w:hint="eastAsia" w:ascii="仿宋" w:hAnsi="仿宋" w:eastAsia="仿宋" w:cs="仿宋"/>
                <w:b w:val="0"/>
                <w:bCs/>
                <w:color w:val="auto"/>
                <w:sz w:val="21"/>
                <w:szCs w:val="21"/>
                <w:highlight w:val="none"/>
              </w:rPr>
              <w:t>有效期</w:t>
            </w:r>
          </w:p>
        </w:tc>
        <w:tc>
          <w:tcPr>
            <w:tcW w:w="5319" w:type="dxa"/>
            <w:vAlign w:val="center"/>
          </w:tcPr>
          <w:p>
            <w:pPr>
              <w:tabs>
                <w:tab w:val="left" w:pos="0"/>
              </w:tabs>
              <w:adjustRightInd w:val="0"/>
              <w:snapToGrid w:val="0"/>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应满足</w:t>
            </w:r>
            <w:r>
              <w:rPr>
                <w:rFonts w:hint="eastAsia" w:ascii="仿宋" w:hAnsi="仿宋" w:eastAsia="仿宋" w:cs="仿宋"/>
                <w:b w:val="0"/>
                <w:bCs/>
                <w:color w:val="auto"/>
                <w:sz w:val="21"/>
                <w:szCs w:val="21"/>
                <w:highlight w:val="none"/>
                <w:lang w:eastAsia="zh-CN"/>
              </w:rPr>
              <w:t>磋商文件</w:t>
            </w:r>
            <w:r>
              <w:rPr>
                <w:rFonts w:hint="eastAsia" w:ascii="仿宋" w:hAnsi="仿宋" w:eastAsia="仿宋" w:cs="仿宋"/>
                <w:b w:val="0"/>
                <w:bCs/>
                <w:color w:val="auto"/>
                <w:sz w:val="21"/>
                <w:szCs w:val="21"/>
                <w:highlight w:val="none"/>
              </w:rPr>
              <w:t>中的规定</w:t>
            </w:r>
          </w:p>
        </w:tc>
      </w:tr>
    </w:tbl>
    <w:p>
      <w:pPr>
        <w:pStyle w:val="2"/>
        <w:rPr>
          <w:rFonts w:hint="eastAsia" w:ascii="仿宋" w:hAnsi="仿宋" w:eastAsia="仿宋" w:cs="仿宋"/>
          <w:b/>
          <w:bCs/>
          <w:color w:val="auto"/>
          <w:sz w:val="24"/>
          <w:szCs w:val="24"/>
          <w:highlight w:val="none"/>
          <w:lang w:eastAsia="zh-CN"/>
        </w:rPr>
      </w:pPr>
    </w:p>
    <w:p>
      <w:pPr>
        <w:rPr>
          <w:rFonts w:hint="eastAsia" w:ascii="仿宋" w:hAnsi="仿宋" w:eastAsia="仿宋" w:cs="仿宋"/>
          <w:b/>
          <w:bCs/>
          <w:color w:val="auto"/>
          <w:sz w:val="24"/>
          <w:szCs w:val="24"/>
          <w:highlight w:val="none"/>
          <w:lang w:eastAsia="zh-CN"/>
        </w:rPr>
      </w:pPr>
    </w:p>
    <w:p>
      <w:pPr>
        <w:pStyle w:val="2"/>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outlineLvl w:val="1"/>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附件</w:t>
      </w:r>
      <w:r>
        <w:rPr>
          <w:rFonts w:hint="eastAsia" w:ascii="仿宋" w:hAnsi="仿宋" w:eastAsia="仿宋" w:cs="仿宋"/>
          <w:color w:val="auto"/>
          <w:sz w:val="28"/>
          <w:szCs w:val="28"/>
          <w:lang w:val="en-US" w:eastAsia="zh-CN"/>
        </w:rPr>
        <w:t>2</w:t>
      </w:r>
    </w:p>
    <w:p>
      <w:pPr>
        <w:pStyle w:val="4"/>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评标因素及权重分值表</w:t>
      </w:r>
    </w:p>
    <w:tbl>
      <w:tblPr>
        <w:tblStyle w:val="35"/>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27"/>
        <w:gridCol w:w="486"/>
        <w:gridCol w:w="6518"/>
        <w:gridCol w:w="667"/>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blHeader/>
          <w:jc w:val="center"/>
        </w:trPr>
        <w:tc>
          <w:tcPr>
            <w:tcW w:w="699" w:type="dxa"/>
            <w:vAlign w:val="center"/>
          </w:tcPr>
          <w:p>
            <w:pPr>
              <w:pStyle w:val="19"/>
              <w:jc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类别</w:t>
            </w:r>
          </w:p>
        </w:tc>
        <w:tc>
          <w:tcPr>
            <w:tcW w:w="827" w:type="dxa"/>
            <w:vAlign w:val="center"/>
          </w:tcPr>
          <w:p>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总分</w:t>
            </w:r>
          </w:p>
        </w:tc>
        <w:tc>
          <w:tcPr>
            <w:tcW w:w="7004" w:type="dxa"/>
            <w:gridSpan w:val="2"/>
            <w:vAlign w:val="center"/>
          </w:tcPr>
          <w:p>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评标因素</w:t>
            </w:r>
          </w:p>
        </w:tc>
        <w:tc>
          <w:tcPr>
            <w:tcW w:w="667" w:type="dxa"/>
            <w:vAlign w:val="center"/>
          </w:tcPr>
          <w:p>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最高</w:t>
            </w:r>
          </w:p>
          <w:p>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得分</w:t>
            </w:r>
          </w:p>
        </w:tc>
        <w:tc>
          <w:tcPr>
            <w:tcW w:w="614" w:type="dxa"/>
            <w:vAlign w:val="center"/>
          </w:tcPr>
          <w:p>
            <w:pPr>
              <w:widowControl/>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9" w:type="dxa"/>
            <w:vAlign w:val="center"/>
          </w:tcPr>
          <w:p>
            <w:pPr>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投标价格</w:t>
            </w:r>
          </w:p>
        </w:tc>
        <w:tc>
          <w:tcPr>
            <w:tcW w:w="827" w:type="dxa"/>
            <w:vAlign w:val="center"/>
          </w:tcPr>
          <w:p>
            <w:pPr>
              <w:spacing w:line="560" w:lineRule="exact"/>
              <w:rPr>
                <w:rFonts w:hint="eastAsia" w:ascii="仿宋" w:hAnsi="仿宋" w:eastAsia="仿宋" w:cs="仿宋"/>
                <w:b/>
                <w:color w:val="auto"/>
                <w:sz w:val="21"/>
                <w:szCs w:val="21"/>
              </w:rPr>
            </w:pPr>
            <w:r>
              <w:rPr>
                <w:rFonts w:hint="eastAsia" w:ascii="仿宋" w:hAnsi="仿宋" w:eastAsia="仿宋" w:cs="仿宋"/>
                <w:b/>
                <w:color w:val="auto"/>
                <w:sz w:val="21"/>
                <w:szCs w:val="21"/>
                <w:lang w:val="en-US" w:eastAsia="zh-CN"/>
              </w:rPr>
              <w:t>30</w:t>
            </w:r>
            <w:r>
              <w:rPr>
                <w:rFonts w:hint="eastAsia" w:ascii="仿宋" w:hAnsi="仿宋" w:eastAsia="仿宋" w:cs="仿宋"/>
                <w:b/>
                <w:color w:val="auto"/>
                <w:sz w:val="21"/>
                <w:szCs w:val="21"/>
              </w:rPr>
              <w:t>分</w:t>
            </w:r>
          </w:p>
        </w:tc>
        <w:tc>
          <w:tcPr>
            <w:tcW w:w="7004" w:type="dxa"/>
            <w:gridSpan w:val="2"/>
            <w:vAlign w:val="center"/>
          </w:tcPr>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经初审合格的</w:t>
            </w:r>
            <w:r>
              <w:rPr>
                <w:rFonts w:hint="eastAsia" w:ascii="仿宋" w:hAnsi="仿宋" w:eastAsia="仿宋" w:cs="仿宋"/>
                <w:color w:val="auto"/>
                <w:sz w:val="21"/>
                <w:szCs w:val="21"/>
                <w:highlight w:val="none"/>
                <w:lang w:eastAsia="zh-CN"/>
              </w:rPr>
              <w:t>磋商</w:t>
            </w:r>
            <w:r>
              <w:rPr>
                <w:rFonts w:hint="eastAsia" w:ascii="仿宋" w:hAnsi="仿宋" w:eastAsia="仿宋" w:cs="仿宋"/>
                <w:color w:val="auto"/>
                <w:sz w:val="21"/>
                <w:szCs w:val="21"/>
                <w:highlight w:val="none"/>
              </w:rPr>
              <w:t>文件，其</w:t>
            </w:r>
            <w:r>
              <w:rPr>
                <w:rFonts w:hint="eastAsia" w:ascii="仿宋" w:hAnsi="仿宋" w:eastAsia="仿宋" w:cs="仿宋"/>
                <w:color w:val="auto"/>
                <w:sz w:val="21"/>
                <w:szCs w:val="21"/>
                <w:highlight w:val="none"/>
                <w:lang w:eastAsia="zh-CN"/>
              </w:rPr>
              <w:t>最终</w:t>
            </w:r>
            <w:r>
              <w:rPr>
                <w:rFonts w:hint="eastAsia" w:ascii="仿宋" w:hAnsi="仿宋" w:eastAsia="仿宋" w:cs="仿宋"/>
                <w:color w:val="auto"/>
                <w:sz w:val="21"/>
                <w:szCs w:val="21"/>
                <w:highlight w:val="none"/>
              </w:rPr>
              <w:t>报价为有效</w:t>
            </w:r>
            <w:r>
              <w:rPr>
                <w:rFonts w:hint="eastAsia" w:ascii="仿宋" w:hAnsi="仿宋" w:eastAsia="仿宋" w:cs="仿宋"/>
                <w:color w:val="auto"/>
                <w:sz w:val="21"/>
                <w:szCs w:val="21"/>
                <w:highlight w:val="none"/>
                <w:lang w:eastAsia="zh-CN"/>
              </w:rPr>
              <w:t>报</w:t>
            </w:r>
            <w:r>
              <w:rPr>
                <w:rFonts w:hint="eastAsia" w:ascii="仿宋" w:hAnsi="仿宋" w:eastAsia="仿宋" w:cs="仿宋"/>
                <w:color w:val="auto"/>
                <w:sz w:val="21"/>
                <w:szCs w:val="21"/>
                <w:highlight w:val="none"/>
              </w:rPr>
              <w:t>价。</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有效最低报价为基准价得</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按（</w:t>
            </w:r>
            <w:r>
              <w:rPr>
                <w:rFonts w:hint="eastAsia" w:ascii="仿宋" w:hAnsi="仿宋" w:eastAsia="仿宋" w:cs="仿宋"/>
                <w:color w:val="auto"/>
                <w:sz w:val="21"/>
                <w:szCs w:val="21"/>
                <w:highlight w:val="none"/>
                <w:lang w:eastAsia="zh-CN"/>
              </w:rPr>
              <w:t>磋商基准价</w:t>
            </w:r>
            <w:r>
              <w:rPr>
                <w:rFonts w:hint="eastAsia" w:ascii="仿宋" w:hAnsi="仿宋" w:eastAsia="仿宋" w:cs="仿宋"/>
                <w:color w:val="auto"/>
                <w:sz w:val="21"/>
                <w:szCs w:val="21"/>
                <w:highlight w:val="none"/>
              </w:rPr>
              <w:t>/有效</w:t>
            </w:r>
            <w:r>
              <w:rPr>
                <w:rFonts w:hint="eastAsia" w:ascii="仿宋" w:hAnsi="仿宋" w:eastAsia="仿宋" w:cs="仿宋"/>
                <w:color w:val="auto"/>
                <w:sz w:val="21"/>
                <w:szCs w:val="21"/>
                <w:highlight w:val="none"/>
                <w:lang w:eastAsia="zh-CN"/>
              </w:rPr>
              <w:t>最终磋商</w:t>
            </w:r>
            <w:r>
              <w:rPr>
                <w:rFonts w:hint="eastAsia" w:ascii="仿宋" w:hAnsi="仿宋" w:eastAsia="仿宋" w:cs="仿宋"/>
                <w:color w:val="auto"/>
                <w:sz w:val="21"/>
                <w:szCs w:val="21"/>
                <w:highlight w:val="none"/>
              </w:rPr>
              <w:t>报价）×</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0的公式计算</w:t>
            </w:r>
            <w:r>
              <w:rPr>
                <w:rFonts w:hint="eastAsia" w:ascii="仿宋" w:hAnsi="仿宋" w:eastAsia="仿宋" w:cs="仿宋"/>
                <w:color w:val="auto"/>
                <w:sz w:val="21"/>
                <w:szCs w:val="21"/>
                <w:highlight w:val="none"/>
                <w:lang w:eastAsia="zh-CN"/>
              </w:rPr>
              <w:t>报价</w:t>
            </w:r>
            <w:r>
              <w:rPr>
                <w:rFonts w:hint="eastAsia" w:ascii="仿宋" w:hAnsi="仿宋" w:eastAsia="仿宋" w:cs="仿宋"/>
                <w:color w:val="auto"/>
                <w:sz w:val="21"/>
                <w:szCs w:val="21"/>
                <w:highlight w:val="none"/>
              </w:rPr>
              <w:t>得分。</w:t>
            </w:r>
          </w:p>
          <w:p>
            <w:pPr>
              <w:keepNext w:val="0"/>
              <w:keepLines w:val="0"/>
              <w:pageBreakBefore w:val="0"/>
              <w:widowControl w:val="0"/>
              <w:kinsoku/>
              <w:wordWrap/>
              <w:overflowPunct/>
              <w:topLinePunct w:val="0"/>
              <w:autoSpaceDE/>
              <w:autoSpaceDN/>
              <w:bidi w:val="0"/>
              <w:adjustRightInd/>
              <w:snapToGrid/>
              <w:spacing w:line="288" w:lineRule="auto"/>
              <w:ind w:left="-94" w:leftChars="-45" w:firstLine="105" w:firstLineChars="5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报价不完整的，不进入</w:t>
            </w:r>
            <w:r>
              <w:rPr>
                <w:rFonts w:hint="eastAsia" w:ascii="仿宋" w:hAnsi="仿宋" w:eastAsia="仿宋" w:cs="仿宋"/>
                <w:color w:val="auto"/>
                <w:sz w:val="21"/>
                <w:szCs w:val="21"/>
                <w:highlight w:val="none"/>
                <w:lang w:eastAsia="zh-CN"/>
              </w:rPr>
              <w:t>磋商基</w:t>
            </w:r>
            <w:r>
              <w:rPr>
                <w:rFonts w:hint="eastAsia" w:ascii="仿宋" w:hAnsi="仿宋" w:eastAsia="仿宋" w:cs="仿宋"/>
                <w:color w:val="auto"/>
                <w:sz w:val="21"/>
                <w:szCs w:val="21"/>
                <w:highlight w:val="none"/>
              </w:rPr>
              <w:t>准价的计算，本项得0分。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0分</w:t>
            </w:r>
          </w:p>
        </w:tc>
        <w:tc>
          <w:tcPr>
            <w:tcW w:w="614" w:type="dxa"/>
            <w:vMerge w:val="restart"/>
            <w:vAlign w:val="center"/>
          </w:tcPr>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根</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据</w:t>
            </w:r>
          </w:p>
          <w:p>
            <w:pPr>
              <w:spacing w:line="360" w:lineRule="auto"/>
              <w:jc w:val="center"/>
              <w:rPr>
                <w:rFonts w:hint="eastAsia" w:ascii="仿宋" w:hAnsi="仿宋" w:eastAsia="仿宋" w:cs="仿宋"/>
                <w:b/>
                <w:color w:val="auto"/>
                <w:sz w:val="21"/>
                <w:szCs w:val="21"/>
                <w:lang w:eastAsia="zh-CN"/>
              </w:rPr>
            </w:pPr>
            <w:r>
              <w:rPr>
                <w:rFonts w:hint="eastAsia" w:ascii="仿宋" w:hAnsi="仿宋" w:eastAsia="仿宋" w:cs="仿宋"/>
                <w:b/>
                <w:color w:val="auto"/>
                <w:sz w:val="21"/>
                <w:szCs w:val="21"/>
                <w:lang w:val="en-US" w:eastAsia="zh-CN"/>
              </w:rPr>
              <w:t>磋商</w:t>
            </w:r>
          </w:p>
          <w:p>
            <w:pPr>
              <w:spacing w:line="360" w:lineRule="auto"/>
              <w:jc w:val="center"/>
              <w:rPr>
                <w:rFonts w:hint="eastAsia" w:ascii="仿宋" w:hAnsi="仿宋" w:eastAsia="仿宋" w:cs="仿宋"/>
                <w:b/>
                <w:color w:val="auto"/>
                <w:sz w:val="21"/>
                <w:szCs w:val="21"/>
                <w:lang w:eastAsia="zh-CN"/>
              </w:rPr>
            </w:pPr>
            <w:r>
              <w:rPr>
                <w:rFonts w:hint="eastAsia" w:ascii="仿宋" w:hAnsi="仿宋" w:eastAsia="仿宋" w:cs="仿宋"/>
                <w:b/>
                <w:color w:val="auto"/>
                <w:sz w:val="21"/>
                <w:szCs w:val="21"/>
                <w:lang w:val="en-US" w:eastAsia="zh-CN"/>
              </w:rPr>
              <w:t>响应</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文</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件</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的</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响</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应</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程  度</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按</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差</w:t>
            </w:r>
          </w:p>
          <w:p>
            <w:pPr>
              <w:spacing w:line="36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别</w:t>
            </w:r>
          </w:p>
          <w:p>
            <w:pPr>
              <w:spacing w:line="360" w:lineRule="auto"/>
              <w:jc w:val="center"/>
              <w:rPr>
                <w:rFonts w:hint="eastAsia" w:ascii="仿宋" w:hAnsi="仿宋" w:eastAsia="仿宋" w:cs="仿宋"/>
                <w:color w:val="auto"/>
                <w:sz w:val="21"/>
                <w:szCs w:val="21"/>
              </w:rPr>
            </w:pPr>
            <w:r>
              <w:rPr>
                <w:rFonts w:hint="eastAsia" w:ascii="仿宋" w:hAnsi="仿宋" w:eastAsia="仿宋" w:cs="仿宋"/>
                <w:b/>
                <w:color w:val="auto"/>
                <w:sz w:val="21"/>
                <w:szCs w:val="21"/>
              </w:rPr>
              <w:t>计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99" w:type="dxa"/>
            <w:vMerge w:val="restart"/>
            <w:vAlign w:val="center"/>
          </w:tcPr>
          <w:p>
            <w:pPr>
              <w:rPr>
                <w:rFonts w:hint="eastAsia" w:ascii="仿宋" w:hAnsi="仿宋" w:eastAsia="仿宋" w:cs="仿宋"/>
                <w:b/>
                <w:color w:val="auto"/>
                <w:sz w:val="21"/>
                <w:szCs w:val="21"/>
              </w:rPr>
            </w:pPr>
            <w:r>
              <w:rPr>
                <w:rFonts w:hint="eastAsia" w:ascii="仿宋" w:hAnsi="仿宋" w:eastAsia="仿宋" w:cs="仿宋"/>
                <w:b/>
                <w:color w:val="auto"/>
                <w:sz w:val="21"/>
                <w:szCs w:val="21"/>
              </w:rPr>
              <w:t>技术评审</w:t>
            </w:r>
          </w:p>
        </w:tc>
        <w:tc>
          <w:tcPr>
            <w:tcW w:w="827" w:type="dxa"/>
            <w:vMerge w:val="restart"/>
            <w:vAlign w:val="center"/>
          </w:tcPr>
          <w:p>
            <w:pPr>
              <w:spacing w:line="560" w:lineRule="exact"/>
              <w:rPr>
                <w:rFonts w:hint="eastAsia" w:ascii="仿宋" w:hAnsi="仿宋" w:eastAsia="仿宋" w:cs="仿宋"/>
                <w:b/>
                <w:bCs/>
                <w:color w:val="auto"/>
                <w:sz w:val="21"/>
                <w:szCs w:val="21"/>
              </w:rPr>
            </w:pPr>
            <w:r>
              <w:rPr>
                <w:rFonts w:hint="eastAsia" w:ascii="仿宋" w:hAnsi="仿宋" w:eastAsia="仿宋" w:cs="仿宋"/>
                <w:b/>
                <w:bCs/>
                <w:color w:val="auto"/>
                <w:sz w:val="21"/>
                <w:szCs w:val="21"/>
                <w:lang w:val="en-US" w:eastAsia="zh-CN"/>
              </w:rPr>
              <w:t>60</w:t>
            </w:r>
            <w:r>
              <w:rPr>
                <w:rFonts w:hint="eastAsia" w:ascii="仿宋" w:hAnsi="仿宋" w:eastAsia="仿宋" w:cs="仿宋"/>
                <w:b/>
                <w:bCs/>
                <w:color w:val="auto"/>
                <w:sz w:val="21"/>
                <w:szCs w:val="21"/>
              </w:rPr>
              <w:t>分</w:t>
            </w: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施工组织设计应满足技术标准和要求的内容，且对其内容完整性及整体编制水平进行评价。</w:t>
            </w:r>
            <w:r>
              <w:rPr>
                <w:rFonts w:hint="eastAsia" w:ascii="仿宋" w:hAnsi="仿宋" w:eastAsia="仿宋" w:cs="仿宋"/>
                <w:color w:val="auto"/>
                <w:highlight w:val="none"/>
                <w:lang w:eastAsia="zh-CN"/>
              </w:rPr>
              <w:t>计</w:t>
            </w:r>
            <w:r>
              <w:rPr>
                <w:rFonts w:hint="eastAsia" w:ascii="仿宋" w:hAnsi="仿宋" w:eastAsia="仿宋" w:cs="仿宋"/>
                <w:color w:val="auto"/>
                <w:sz w:val="21"/>
                <w:szCs w:val="21"/>
                <w:highlight w:val="none"/>
                <w:lang w:val="en-US" w:eastAsia="zh-CN"/>
              </w:rPr>
              <w:t>0-6分。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99" w:type="dxa"/>
            <w:vMerge w:val="continue"/>
            <w:vAlign w:val="center"/>
          </w:tcPr>
          <w:p>
            <w:pPr>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结合本项目技术标准和要求，制定详细的施工方案、方法与技术措施，施工工艺合理，符合行业规范及行业标准。计0-10分。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质量目标明确，管理体系健全，管理体系功能完善、管理幅度适宜。    计0-8分。</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安全生产目标明确，预防和动态控制制度完整、到位，管理体系和组织功能完善。计0-7分。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7分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文明施工体系健全，预防和动态控制制度完整、到位，管理体系和组织功能完善。计0-6分。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环境保护目标明确，预防和动态控制措施及制度完整、到位，管理体系和组织措施功能完善。计0-6分。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pStyle w:val="2"/>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highlight w:val="none"/>
                <w:lang w:val="en-US" w:eastAsia="zh-CN" w:bidi="ar-SA"/>
              </w:rPr>
              <w:t>总工期满足磋商文件要求、进度计划有横道图或网络图且工期控制合理。</w:t>
            </w:r>
            <w:r>
              <w:rPr>
                <w:rFonts w:hint="eastAsia" w:ascii="仿宋" w:hAnsi="仿宋" w:eastAsia="仿宋" w:cs="仿宋"/>
                <w:color w:val="auto"/>
                <w:sz w:val="21"/>
                <w:szCs w:val="21"/>
                <w:highlight w:val="none"/>
                <w:lang w:val="en-US" w:eastAsia="zh-CN"/>
              </w:rPr>
              <w:t>计0-7分。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7分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pStyle w:val="2"/>
              <w:jc w:val="left"/>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highlight w:val="none"/>
                <w:lang w:val="en-US" w:eastAsia="zh-CN" w:bidi="ar-SA"/>
              </w:rPr>
              <w:t>结合本项目实际配备合理的项目管理机构人员组成，专业齐全，有能力确保。</w:t>
            </w:r>
            <w:r>
              <w:rPr>
                <w:rFonts w:hint="eastAsia" w:ascii="仿宋" w:hAnsi="仿宋" w:eastAsia="仿宋" w:cs="仿宋"/>
                <w:color w:val="auto"/>
                <w:sz w:val="21"/>
                <w:szCs w:val="21"/>
                <w:highlight w:val="none"/>
                <w:lang w:val="en-US" w:eastAsia="zh-CN"/>
              </w:rPr>
              <w:t>计0-6分。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6分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9" w:type="dxa"/>
            <w:vMerge w:val="continue"/>
            <w:vAlign w:val="center"/>
          </w:tcPr>
          <w:p>
            <w:pPr>
              <w:spacing w:line="560" w:lineRule="exact"/>
              <w:rPr>
                <w:rFonts w:hint="eastAsia" w:ascii="仿宋" w:hAnsi="仿宋" w:eastAsia="仿宋" w:cs="仿宋"/>
                <w:b/>
                <w:color w:val="auto"/>
                <w:sz w:val="21"/>
                <w:szCs w:val="21"/>
              </w:rPr>
            </w:pPr>
          </w:p>
        </w:tc>
        <w:tc>
          <w:tcPr>
            <w:tcW w:w="827" w:type="dxa"/>
            <w:vMerge w:val="continue"/>
            <w:vAlign w:val="center"/>
          </w:tcPr>
          <w:p>
            <w:pPr>
              <w:spacing w:line="560" w:lineRule="exact"/>
              <w:rPr>
                <w:rFonts w:hint="eastAsia" w:ascii="仿宋" w:hAnsi="仿宋" w:eastAsia="仿宋" w:cs="仿宋"/>
                <w:b/>
                <w:bCs/>
                <w:color w:val="auto"/>
                <w:sz w:val="21"/>
                <w:szCs w:val="21"/>
              </w:rPr>
            </w:pPr>
          </w:p>
        </w:tc>
        <w:tc>
          <w:tcPr>
            <w:tcW w:w="486" w:type="dxa"/>
            <w:vAlign w:val="center"/>
          </w:tcPr>
          <w:p>
            <w:pPr>
              <w:numPr>
                <w:ilvl w:val="0"/>
                <w:numId w:val="7"/>
              </w:numPr>
              <w:spacing w:line="288" w:lineRule="auto"/>
              <w:jc w:val="center"/>
              <w:rPr>
                <w:rFonts w:hint="eastAsia" w:ascii="仿宋" w:hAnsi="仿宋" w:eastAsia="仿宋" w:cs="仿宋"/>
                <w:color w:val="auto"/>
                <w:sz w:val="21"/>
                <w:szCs w:val="21"/>
              </w:rPr>
            </w:pPr>
          </w:p>
        </w:tc>
        <w:tc>
          <w:tcPr>
            <w:tcW w:w="6518" w:type="dxa"/>
            <w:vAlign w:val="center"/>
          </w:tcPr>
          <w:p>
            <w:pPr>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szCs w:val="21"/>
                <w:highlight w:val="none"/>
              </w:rPr>
              <w:t>投标人对材料、设备的分配及使用计划的合理程度切实可行，操作性强。</w:t>
            </w:r>
            <w:r>
              <w:rPr>
                <w:rFonts w:hint="eastAsia" w:ascii="仿宋" w:hAnsi="仿宋" w:eastAsia="仿宋" w:cs="仿宋"/>
                <w:color w:val="auto"/>
                <w:sz w:val="21"/>
                <w:szCs w:val="21"/>
                <w:highlight w:val="none"/>
                <w:lang w:val="en-US" w:eastAsia="zh-CN"/>
              </w:rPr>
              <w:t>计0-4分。</w:t>
            </w:r>
          </w:p>
        </w:tc>
        <w:tc>
          <w:tcPr>
            <w:tcW w:w="667" w:type="dxa"/>
            <w:vAlign w:val="center"/>
          </w:tcPr>
          <w:p>
            <w:pPr>
              <w:spacing w:line="560" w:lineRule="exact"/>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4分</w:t>
            </w:r>
          </w:p>
        </w:tc>
        <w:tc>
          <w:tcPr>
            <w:tcW w:w="614" w:type="dxa"/>
            <w:vMerge w:val="continue"/>
            <w:vAlign w:val="center"/>
          </w:tcPr>
          <w:p>
            <w:pPr>
              <w:spacing w:line="560" w:lineRule="exact"/>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99" w:type="dxa"/>
            <w:vAlign w:val="center"/>
          </w:tcPr>
          <w:p>
            <w:pPr>
              <w:spacing w:line="56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履约能力评审</w:t>
            </w:r>
          </w:p>
        </w:tc>
        <w:tc>
          <w:tcPr>
            <w:tcW w:w="827" w:type="dxa"/>
            <w:vAlign w:val="center"/>
          </w:tcPr>
          <w:p>
            <w:pPr>
              <w:spacing w:line="560" w:lineRule="exact"/>
              <w:rPr>
                <w:rFonts w:hint="eastAsia" w:ascii="仿宋" w:hAnsi="仿宋" w:eastAsia="仿宋" w:cs="仿宋"/>
                <w:color w:val="auto"/>
                <w:sz w:val="21"/>
                <w:szCs w:val="21"/>
              </w:rPr>
            </w:pPr>
            <w:r>
              <w:rPr>
                <w:rFonts w:hint="eastAsia" w:ascii="仿宋" w:hAnsi="仿宋" w:eastAsia="仿宋" w:cs="仿宋"/>
                <w:b/>
                <w:bCs/>
                <w:color w:val="auto"/>
                <w:sz w:val="21"/>
                <w:szCs w:val="21"/>
              </w:rPr>
              <w:t>1</w:t>
            </w:r>
            <w:r>
              <w:rPr>
                <w:rFonts w:hint="eastAsia" w:ascii="仿宋" w:hAnsi="仿宋" w:eastAsia="仿宋" w:cs="仿宋"/>
                <w:b/>
                <w:bCs/>
                <w:color w:val="auto"/>
                <w:sz w:val="21"/>
                <w:szCs w:val="21"/>
                <w:lang w:val="en-US" w:eastAsia="zh-CN"/>
              </w:rPr>
              <w:t>0</w:t>
            </w:r>
            <w:r>
              <w:rPr>
                <w:rFonts w:hint="eastAsia" w:ascii="仿宋" w:hAnsi="仿宋" w:eastAsia="仿宋" w:cs="仿宋"/>
                <w:b/>
                <w:bCs/>
                <w:color w:val="auto"/>
                <w:sz w:val="21"/>
                <w:szCs w:val="21"/>
              </w:rPr>
              <w:t>分</w:t>
            </w:r>
          </w:p>
        </w:tc>
        <w:tc>
          <w:tcPr>
            <w:tcW w:w="486" w:type="dxa"/>
            <w:vAlign w:val="center"/>
          </w:tcPr>
          <w:p>
            <w:pPr>
              <w:numPr>
                <w:ilvl w:val="0"/>
                <w:numId w:val="8"/>
              </w:numPr>
              <w:spacing w:line="288" w:lineRule="auto"/>
              <w:jc w:val="center"/>
              <w:rPr>
                <w:rFonts w:hint="eastAsia" w:ascii="仿宋" w:hAnsi="仿宋" w:eastAsia="仿宋" w:cs="仿宋"/>
                <w:color w:val="auto"/>
                <w:sz w:val="21"/>
                <w:szCs w:val="21"/>
              </w:rPr>
            </w:pPr>
          </w:p>
        </w:tc>
        <w:tc>
          <w:tcPr>
            <w:tcW w:w="6518" w:type="dxa"/>
            <w:vAlign w:val="center"/>
          </w:tcPr>
          <w:p>
            <w:pPr>
              <w:spacing w:line="288" w:lineRule="auto"/>
              <w:rPr>
                <w:rFonts w:hint="eastAsia" w:ascii="仿宋" w:hAnsi="仿宋" w:eastAsia="仿宋" w:cs="仿宋"/>
                <w:color w:val="auto"/>
                <w:sz w:val="21"/>
                <w:szCs w:val="21"/>
                <w:lang w:val="en-US" w:eastAsia="zh-CN"/>
              </w:rPr>
            </w:pPr>
            <w:r>
              <w:rPr>
                <w:rFonts w:hint="eastAsia" w:ascii="仿宋" w:hAnsi="仿宋" w:eastAsia="仿宋" w:cs="仿宋"/>
                <w:color w:val="auto"/>
                <w:kern w:val="0"/>
                <w:sz w:val="21"/>
                <w:szCs w:val="21"/>
                <w:lang w:val="en-US" w:eastAsia="zh-CN" w:bidi="ar-SA"/>
              </w:rPr>
              <w:t>业绩：供应商近三年（2019年1月至今）同类施工项目业绩；每提供1份计2分，最高得10分。业绩证明（以合同或中标/成交通知书为准，须在磋商响应文件中附以上证明材料的扫描件加盖单位公章，原件备查）弄虚作假者，取消其成交资格。</w:t>
            </w:r>
          </w:p>
        </w:tc>
        <w:tc>
          <w:tcPr>
            <w:tcW w:w="667" w:type="dxa"/>
            <w:vAlign w:val="center"/>
          </w:tcPr>
          <w:p>
            <w:pPr>
              <w:spacing w:line="56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10分</w:t>
            </w:r>
          </w:p>
        </w:tc>
        <w:tc>
          <w:tcPr>
            <w:tcW w:w="614" w:type="dxa"/>
            <w:vMerge w:val="continue"/>
            <w:vAlign w:val="center"/>
          </w:tcPr>
          <w:p>
            <w:pPr>
              <w:spacing w:line="560" w:lineRule="exact"/>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699" w:type="dxa"/>
            <w:vAlign w:val="center"/>
          </w:tcPr>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b/>
                <w:bCs/>
                <w:color w:val="auto"/>
                <w:kern w:val="0"/>
                <w:sz w:val="21"/>
                <w:szCs w:val="21"/>
                <w:lang w:val="en-US" w:eastAsia="zh-CN" w:bidi="ar-SA"/>
              </w:rPr>
              <w:t>备注</w:t>
            </w:r>
          </w:p>
        </w:tc>
        <w:tc>
          <w:tcPr>
            <w:tcW w:w="9112" w:type="dxa"/>
            <w:gridSpan w:val="5"/>
            <w:tcBorders>
              <w:top w:val="single" w:color="auto" w:sz="4" w:space="0"/>
              <w:bottom w:val="single" w:color="auto" w:sz="4" w:space="0"/>
            </w:tcBorders>
            <w:vAlign w:val="top"/>
          </w:tcPr>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1、各评委应按照本评标办法独立打分。</w:t>
            </w:r>
          </w:p>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2、分项评分超出评分标准范围或磋商小组成员对客观评审因素评分不一致时，采购代理机构可以要求磋商小组复核或者书面说明理由，评标委员会拒绝的，应予记录并向本级财政部门报告。</w:t>
            </w:r>
          </w:p>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3、若出现综合得分并列时，比较价格得分，此分项得分高者排序在前；若价格得分仍相同，比较技术得分，此分项得分高者排序在前；若技术得分仍相同，则由全体磋商小组成员无记名投票，得票高者排序在前。</w:t>
            </w:r>
          </w:p>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4、计算结果保留两位小数，第三位“四舍五入”。</w:t>
            </w:r>
          </w:p>
          <w:p>
            <w:pPr>
              <w:spacing w:line="288" w:lineRule="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 xml:space="preserve">5、评标过程中，若出现特殊情况时，由磋商小组决定暂停评标，并提出具体处理意见。 </w:t>
            </w:r>
          </w:p>
        </w:tc>
      </w:tr>
    </w:tbl>
    <w:p>
      <w:pPr>
        <w:rPr>
          <w:rFonts w:hint="eastAsia" w:ascii="仿宋" w:hAnsi="仿宋" w:eastAsia="仿宋" w:cs="仿宋"/>
          <w:color w:val="auto"/>
        </w:rPr>
      </w:pPr>
      <w:bookmarkStart w:id="81" w:name="_Hlt128276537"/>
      <w:bookmarkEnd w:id="81"/>
      <w:bookmarkStart w:id="82" w:name="_Hlt128276660"/>
      <w:bookmarkEnd w:id="82"/>
      <w:bookmarkStart w:id="83" w:name="_Hlt128276530"/>
      <w:bookmarkEnd w:id="83"/>
      <w:bookmarkStart w:id="84" w:name="_Toc351989128"/>
      <w:bookmarkStart w:id="85" w:name="_Toc19346"/>
      <w:bookmarkStart w:id="86" w:name="_Toc421778377"/>
      <w:bookmarkStart w:id="87" w:name="_Toc221523521"/>
      <w:r>
        <w:rPr>
          <w:rFonts w:hint="eastAsia" w:ascii="仿宋" w:hAnsi="仿宋" w:eastAsia="仿宋" w:cs="仿宋"/>
          <w:color w:val="auto"/>
        </w:rPr>
        <w:br w:type="page"/>
      </w:r>
    </w:p>
    <w:p>
      <w:pPr>
        <w:pStyle w:val="3"/>
        <w:spacing w:line="350" w:lineRule="auto"/>
        <w:jc w:val="center"/>
        <w:rPr>
          <w:rFonts w:hint="eastAsia" w:ascii="仿宋" w:hAnsi="仿宋" w:eastAsia="仿宋" w:cs="仿宋"/>
          <w:color w:val="auto"/>
          <w:lang w:eastAsia="zh-CN"/>
        </w:rPr>
      </w:pPr>
      <w:bookmarkStart w:id="88" w:name="_Toc4006"/>
      <w:r>
        <w:rPr>
          <w:rFonts w:hint="eastAsia" w:ascii="仿宋" w:hAnsi="仿宋" w:eastAsia="仿宋" w:cs="仿宋"/>
          <w:color w:val="auto"/>
        </w:rPr>
        <w:t>第四章</w:t>
      </w:r>
      <w:r>
        <w:rPr>
          <w:rFonts w:hint="eastAsia" w:ascii="仿宋" w:hAnsi="仿宋" w:eastAsia="仿宋" w:cs="仿宋"/>
          <w:color w:val="auto"/>
          <w:lang w:val="en-US" w:eastAsia="zh-CN"/>
        </w:rPr>
        <w:t xml:space="preserve">  </w:t>
      </w:r>
      <w:bookmarkEnd w:id="84"/>
      <w:bookmarkEnd w:id="85"/>
      <w:bookmarkEnd w:id="86"/>
      <w:bookmarkEnd w:id="87"/>
      <w:bookmarkEnd w:id="88"/>
      <w:r>
        <w:rPr>
          <w:rFonts w:hint="eastAsia" w:ascii="仿宋" w:hAnsi="仿宋" w:eastAsia="仿宋" w:cs="仿宋"/>
          <w:color w:val="auto"/>
          <w:lang w:eastAsia="zh-CN"/>
        </w:rPr>
        <w:t>合同条款及格式</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ascii="仿宋" w:hAnsi="仿宋" w:eastAsia="仿宋" w:cs="仿宋"/>
          <w:color w:val="auto"/>
          <w:lang w:eastAsia="zh-CN"/>
        </w:rPr>
      </w:pPr>
    </w:p>
    <w:p>
      <w:pPr>
        <w:rPr>
          <w:rFonts w:hint="eastAsia" w:ascii="仿宋" w:hAnsi="仿宋" w:eastAsia="仿宋" w:cs="仿宋"/>
          <w:color w:val="auto"/>
          <w:lang w:eastAsia="zh-CN"/>
        </w:rPr>
      </w:pPr>
    </w:p>
    <w:p>
      <w:pPr>
        <w:pStyle w:val="2"/>
        <w:rPr>
          <w:rFonts w:hint="eastAsia"/>
          <w:color w:val="auto"/>
          <w:lang w:eastAsia="zh-CN"/>
        </w:rPr>
      </w:pPr>
    </w:p>
    <w:p>
      <w:pPr>
        <w:adjustRightInd w:val="0"/>
        <w:snapToGrid w:val="0"/>
        <w:spacing w:before="60" w:after="60" w:line="360" w:lineRule="auto"/>
        <w:jc w:val="center"/>
        <w:rPr>
          <w:rFonts w:hint="eastAsia" w:ascii="仿宋" w:hAnsi="仿宋" w:eastAsia="仿宋" w:cs="仿宋"/>
          <w:color w:val="auto"/>
          <w:sz w:val="24"/>
          <w:szCs w:val="24"/>
          <w:highlight w:val="none"/>
        </w:rPr>
      </w:pPr>
      <w:bookmarkStart w:id="89" w:name="_Toc24331"/>
      <w:bookmarkStart w:id="90" w:name="_Toc421778378"/>
      <w:bookmarkStart w:id="91" w:name="_Toc9746"/>
      <w:r>
        <w:rPr>
          <w:rFonts w:hint="eastAsia" w:ascii="仿宋" w:hAnsi="仿宋" w:eastAsia="仿宋" w:cs="仿宋"/>
          <w:b/>
          <w:color w:val="auto"/>
          <w:spacing w:val="4"/>
          <w:sz w:val="48"/>
          <w:szCs w:val="60"/>
          <w:highlight w:val="none"/>
          <w:lang w:eastAsia="zh-CN"/>
        </w:rPr>
        <w:t>2021年市级水利维修建设资金项目（蓝田县三岔河小流域水土保持综合治理工程）</w:t>
      </w:r>
    </w:p>
    <w:p>
      <w:pPr>
        <w:adjustRightInd w:val="0"/>
        <w:snapToGrid w:val="0"/>
        <w:spacing w:before="60" w:after="60" w:line="360" w:lineRule="auto"/>
        <w:rPr>
          <w:rFonts w:hint="eastAsia" w:ascii="仿宋" w:hAnsi="仿宋" w:eastAsia="仿宋" w:cs="仿宋"/>
          <w:color w:val="auto"/>
          <w:sz w:val="24"/>
          <w:szCs w:val="24"/>
          <w:highlight w:val="none"/>
        </w:rPr>
      </w:pPr>
    </w:p>
    <w:p>
      <w:pPr>
        <w:adjustRightInd w:val="0"/>
        <w:snapToGrid w:val="0"/>
        <w:spacing w:before="60" w:after="60" w:line="360" w:lineRule="auto"/>
        <w:rPr>
          <w:rFonts w:hint="eastAsia" w:ascii="仿宋" w:hAnsi="仿宋" w:eastAsia="仿宋" w:cs="仿宋"/>
          <w:color w:val="auto"/>
          <w:sz w:val="24"/>
          <w:szCs w:val="24"/>
          <w:highlight w:val="none"/>
        </w:rPr>
      </w:pPr>
    </w:p>
    <w:p>
      <w:pPr>
        <w:adjustRightInd w:val="0"/>
        <w:snapToGrid w:val="0"/>
        <w:spacing w:before="60" w:after="60" w:line="360" w:lineRule="auto"/>
        <w:rPr>
          <w:rFonts w:hint="eastAsia" w:ascii="仿宋" w:hAnsi="仿宋" w:eastAsia="仿宋" w:cs="仿宋"/>
          <w:color w:val="auto"/>
          <w:sz w:val="24"/>
          <w:szCs w:val="24"/>
          <w:highlight w:val="none"/>
        </w:rPr>
      </w:pPr>
    </w:p>
    <w:p>
      <w:pPr>
        <w:pStyle w:val="34"/>
        <w:rPr>
          <w:rFonts w:hint="eastAsia" w:ascii="仿宋" w:hAnsi="仿宋" w:eastAsia="仿宋" w:cs="仿宋"/>
          <w:color w:val="auto"/>
          <w:sz w:val="24"/>
          <w:szCs w:val="24"/>
          <w:highlight w:val="none"/>
        </w:rPr>
      </w:pPr>
    </w:p>
    <w:p>
      <w:pPr>
        <w:pStyle w:val="34"/>
        <w:rPr>
          <w:rFonts w:hint="eastAsia" w:ascii="仿宋" w:hAnsi="仿宋" w:eastAsia="仿宋" w:cs="仿宋"/>
          <w:color w:val="auto"/>
          <w:sz w:val="24"/>
          <w:szCs w:val="24"/>
          <w:highlight w:val="none"/>
        </w:rPr>
      </w:pPr>
    </w:p>
    <w:p>
      <w:pPr>
        <w:pStyle w:val="17"/>
        <w:rPr>
          <w:rFonts w:hint="eastAsia" w:ascii="仿宋" w:hAnsi="仿宋" w:eastAsia="仿宋" w:cs="仿宋"/>
          <w:color w:val="auto"/>
          <w:sz w:val="24"/>
          <w:szCs w:val="24"/>
          <w:highlight w:val="none"/>
        </w:rPr>
      </w:pPr>
    </w:p>
    <w:p>
      <w:pPr>
        <w:pStyle w:val="17"/>
        <w:rPr>
          <w:rFonts w:hint="eastAsia" w:ascii="仿宋" w:hAnsi="仿宋" w:eastAsia="仿宋" w:cs="仿宋"/>
          <w:color w:val="auto"/>
          <w:sz w:val="24"/>
          <w:szCs w:val="24"/>
          <w:highlight w:val="none"/>
        </w:rPr>
      </w:pPr>
    </w:p>
    <w:p>
      <w:pPr>
        <w:adjustRightInd w:val="0"/>
        <w:snapToGrid w:val="0"/>
        <w:spacing w:before="60" w:after="60" w:line="360" w:lineRule="auto"/>
        <w:rPr>
          <w:rFonts w:hint="eastAsia" w:ascii="仿宋" w:hAnsi="仿宋" w:eastAsia="仿宋" w:cs="仿宋"/>
          <w:color w:val="auto"/>
          <w:sz w:val="24"/>
          <w:szCs w:val="24"/>
          <w:highlight w:val="none"/>
        </w:rPr>
      </w:pPr>
    </w:p>
    <w:p>
      <w:pPr>
        <w:pStyle w:val="2"/>
        <w:rPr>
          <w:rFonts w:hint="eastAsia" w:ascii="仿宋" w:hAnsi="仿宋" w:eastAsia="仿宋" w:cs="仿宋"/>
          <w:color w:val="auto"/>
          <w:highlight w:val="none"/>
        </w:rPr>
      </w:pPr>
    </w:p>
    <w:p>
      <w:pPr>
        <w:spacing w:line="360" w:lineRule="auto"/>
        <w:ind w:firstLine="2341" w:firstLineChars="745"/>
        <w:jc w:val="left"/>
        <w:rPr>
          <w:rFonts w:hint="eastAsia" w:ascii="仿宋" w:hAnsi="仿宋" w:eastAsia="仿宋" w:cs="仿宋"/>
          <w:b/>
          <w:color w:val="auto"/>
          <w:w w:val="98"/>
          <w:sz w:val="32"/>
          <w:szCs w:val="32"/>
          <w:highlight w:val="none"/>
        </w:rPr>
      </w:pPr>
      <w:r>
        <w:rPr>
          <w:rFonts w:hint="eastAsia" w:ascii="仿宋" w:hAnsi="仿宋" w:eastAsia="仿宋" w:cs="仿宋"/>
          <w:b/>
          <w:color w:val="auto"/>
          <w:w w:val="98"/>
          <w:sz w:val="32"/>
          <w:szCs w:val="32"/>
          <w:highlight w:val="none"/>
        </w:rPr>
        <w:t>项目编号：</w:t>
      </w:r>
    </w:p>
    <w:p>
      <w:pPr>
        <w:spacing w:line="360" w:lineRule="auto"/>
        <w:ind w:firstLine="2341" w:firstLineChars="745"/>
        <w:jc w:val="left"/>
        <w:rPr>
          <w:rFonts w:hint="eastAsia" w:ascii="仿宋" w:hAnsi="仿宋" w:eastAsia="仿宋" w:cs="仿宋"/>
          <w:b/>
          <w:color w:val="auto"/>
          <w:w w:val="98"/>
          <w:sz w:val="32"/>
          <w:szCs w:val="32"/>
          <w:highlight w:val="none"/>
        </w:rPr>
      </w:pPr>
      <w:r>
        <w:rPr>
          <w:rFonts w:hint="eastAsia" w:ascii="仿宋" w:hAnsi="仿宋" w:eastAsia="仿宋" w:cs="仿宋"/>
          <w:b/>
          <w:color w:val="auto"/>
          <w:w w:val="98"/>
          <w:sz w:val="32"/>
          <w:szCs w:val="32"/>
          <w:highlight w:val="none"/>
        </w:rPr>
        <w:t>项目名称：</w:t>
      </w:r>
    </w:p>
    <w:p>
      <w:pPr>
        <w:spacing w:line="360" w:lineRule="auto"/>
        <w:ind w:firstLine="2393" w:firstLineChars="745"/>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采购人</w:t>
      </w:r>
      <w:r>
        <w:rPr>
          <w:rFonts w:hint="eastAsia" w:ascii="仿宋" w:hAnsi="仿宋" w:eastAsia="仿宋" w:cs="仿宋"/>
          <w:b/>
          <w:color w:val="auto"/>
          <w:sz w:val="32"/>
          <w:szCs w:val="32"/>
          <w:highlight w:val="none"/>
        </w:rPr>
        <w:t>：</w:t>
      </w:r>
      <w:r>
        <w:rPr>
          <w:rFonts w:hint="eastAsia" w:ascii="仿宋" w:hAnsi="仿宋" w:eastAsia="仿宋" w:cs="仿宋"/>
          <w:b/>
          <w:color w:val="auto"/>
          <w:sz w:val="32"/>
          <w:szCs w:val="32"/>
          <w:highlight w:val="none"/>
          <w:lang w:eastAsia="zh-CN"/>
        </w:rPr>
        <w:t>蓝田县水务局</w:t>
      </w:r>
    </w:p>
    <w:p>
      <w:pPr>
        <w:spacing w:line="360" w:lineRule="auto"/>
        <w:ind w:firstLine="2393" w:firstLineChars="745"/>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eastAsia="zh-CN"/>
        </w:rPr>
        <w:t>中标人</w:t>
      </w:r>
      <w:r>
        <w:rPr>
          <w:rFonts w:hint="eastAsia" w:ascii="仿宋" w:hAnsi="仿宋" w:eastAsia="仿宋" w:cs="仿宋"/>
          <w:b/>
          <w:color w:val="auto"/>
          <w:sz w:val="32"/>
          <w:szCs w:val="32"/>
          <w:highlight w:val="none"/>
        </w:rPr>
        <w:t>:</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pPr>
        <w:adjustRightInd w:val="0"/>
        <w:snapToGrid w:val="0"/>
        <w:spacing w:before="60" w:after="60" w:line="360" w:lineRule="auto"/>
        <w:jc w:val="center"/>
        <w:rPr>
          <w:rFonts w:hint="eastAsia" w:ascii="仿宋" w:hAnsi="仿宋" w:eastAsia="仿宋" w:cs="仿宋"/>
          <w:color w:val="auto"/>
          <w:sz w:val="24"/>
          <w:szCs w:val="24"/>
          <w:highlight w:val="none"/>
        </w:rPr>
      </w:pPr>
      <w:r>
        <w:rPr>
          <w:rFonts w:hint="eastAsia" w:ascii="仿宋" w:hAnsi="仿宋" w:eastAsia="仿宋" w:cs="仿宋"/>
          <w:b/>
          <w:color w:val="auto"/>
          <w:sz w:val="32"/>
          <w:szCs w:val="32"/>
          <w:highlight w:val="none"/>
        </w:rPr>
        <w:t>二〇二</w:t>
      </w:r>
      <w:r>
        <w:rPr>
          <w:rFonts w:hint="eastAsia" w:ascii="仿宋" w:hAnsi="仿宋" w:eastAsia="仿宋" w:cs="仿宋"/>
          <w:b/>
          <w:color w:val="auto"/>
          <w:sz w:val="32"/>
          <w:szCs w:val="32"/>
          <w:highlight w:val="none"/>
          <w:lang w:val="en-US" w:eastAsia="zh-CN"/>
        </w:rPr>
        <w:t>二</w:t>
      </w:r>
      <w:r>
        <w:rPr>
          <w:rFonts w:hint="eastAsia" w:ascii="仿宋" w:hAnsi="仿宋" w:eastAsia="仿宋" w:cs="仿宋"/>
          <w:b/>
          <w:color w:val="auto"/>
          <w:sz w:val="32"/>
          <w:szCs w:val="32"/>
          <w:highlight w:val="none"/>
        </w:rPr>
        <w:t>年    月    日</w:t>
      </w: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合同文件格式</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甲方（采购人）：</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乙方（中标人）： </w:t>
      </w:r>
    </w:p>
    <w:p>
      <w:pPr>
        <w:snapToGri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u w:val="single"/>
          <w:lang w:eastAsia="zh-CN"/>
        </w:rPr>
        <w:t>2021年市级水利维修建设资金项目（蓝田县三岔河小流域水土保持综合治理工程）</w:t>
      </w:r>
      <w:r>
        <w:rPr>
          <w:rFonts w:hint="eastAsia" w:ascii="仿宋" w:hAnsi="仿宋" w:eastAsia="仿宋" w:cs="仿宋"/>
          <w:bCs/>
          <w:color w:val="auto"/>
          <w:sz w:val="24"/>
          <w:szCs w:val="24"/>
          <w:highlight w:val="none"/>
          <w:u w:val="single"/>
        </w:rPr>
        <w:t>(项目编号：</w:t>
      </w:r>
      <w:r>
        <w:rPr>
          <w:rFonts w:hint="eastAsia" w:ascii="仿宋" w:hAnsi="仿宋" w:eastAsia="仿宋" w:cs="仿宋"/>
          <w:bCs/>
          <w:color w:val="auto"/>
          <w:sz w:val="24"/>
          <w:szCs w:val="24"/>
          <w:highlight w:val="none"/>
          <w:u w:val="single"/>
          <w:lang w:eastAsia="zh-CN"/>
        </w:rPr>
        <w:t>HXGJXM2022-ZC-CS1021</w:t>
      </w:r>
      <w:r>
        <w:rPr>
          <w:rFonts w:hint="eastAsia" w:ascii="仿宋" w:hAnsi="仿宋" w:eastAsia="仿宋" w:cs="仿宋"/>
          <w:bCs/>
          <w:color w:val="auto"/>
          <w:sz w:val="24"/>
          <w:szCs w:val="24"/>
          <w:highlight w:val="none"/>
          <w:u w:val="single"/>
        </w:rPr>
        <w:t>)</w:t>
      </w:r>
      <w:r>
        <w:rPr>
          <w:rFonts w:hint="eastAsia" w:ascii="仿宋" w:hAnsi="仿宋" w:eastAsia="仿宋" w:cs="仿宋"/>
          <w:bCs/>
          <w:color w:val="auto"/>
          <w:sz w:val="24"/>
          <w:szCs w:val="24"/>
          <w:highlight w:val="none"/>
        </w:rPr>
        <w:t>在华夏国际项目管理有限公司组织</w:t>
      </w:r>
      <w:r>
        <w:rPr>
          <w:rFonts w:hint="eastAsia" w:ascii="仿宋" w:hAnsi="仿宋" w:eastAsia="仿宋" w:cs="仿宋"/>
          <w:bCs/>
          <w:color w:val="auto"/>
          <w:sz w:val="24"/>
          <w:szCs w:val="24"/>
          <w:highlight w:val="none"/>
          <w:lang w:eastAsia="zh-CN"/>
        </w:rPr>
        <w:t>竞争性磋商</w:t>
      </w:r>
      <w:r>
        <w:rPr>
          <w:rFonts w:hint="eastAsia" w:ascii="仿宋" w:hAnsi="仿宋" w:eastAsia="仿宋" w:cs="仿宋"/>
          <w:bCs/>
          <w:color w:val="auto"/>
          <w:sz w:val="24"/>
          <w:szCs w:val="24"/>
          <w:highlight w:val="none"/>
        </w:rPr>
        <w:t>，(以下简称“甲方”)确定（以下简称“乙方”）为的中标人。</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依据《</w:t>
      </w:r>
      <w:r>
        <w:rPr>
          <w:rFonts w:hint="eastAsia" w:ascii="仿宋" w:hAnsi="仿宋" w:eastAsia="仿宋" w:cs="仿宋"/>
          <w:bCs/>
          <w:color w:val="auto"/>
          <w:sz w:val="24"/>
          <w:szCs w:val="24"/>
          <w:highlight w:val="none"/>
          <w:lang w:eastAsia="zh-CN"/>
        </w:rPr>
        <w:t>中华人民共和国民法典</w:t>
      </w:r>
      <w:r>
        <w:rPr>
          <w:rFonts w:hint="eastAsia" w:ascii="仿宋" w:hAnsi="仿宋" w:eastAsia="仿宋" w:cs="仿宋"/>
          <w:bCs/>
          <w:color w:val="auto"/>
          <w:sz w:val="24"/>
          <w:szCs w:val="24"/>
          <w:highlight w:val="none"/>
        </w:rPr>
        <w:t>》和《中华人民共和国政府采购法》，经双方协商按下述条款和条件签署本合同。</w:t>
      </w:r>
    </w:p>
    <w:p>
      <w:pPr>
        <w:autoSpaceDE w:val="0"/>
        <w:autoSpaceDN w:val="0"/>
        <w:adjustRightInd w:val="0"/>
        <w:spacing w:line="48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一、合同价款</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（一）合同总价款：</w:t>
      </w:r>
      <w:r>
        <w:rPr>
          <w:rFonts w:hint="eastAsia" w:ascii="仿宋" w:hAnsi="仿宋" w:eastAsia="仿宋" w:cs="仿宋"/>
          <w:bCs/>
          <w:color w:val="auto"/>
          <w:sz w:val="24"/>
          <w:szCs w:val="24"/>
          <w:highlight w:val="none"/>
          <w:lang w:eastAsia="zh-CN"/>
        </w:rPr>
        <w:t>大写：</w:t>
      </w:r>
      <w:r>
        <w:rPr>
          <w:rFonts w:hint="eastAsia" w:ascii="仿宋" w:hAnsi="仿宋" w:eastAsia="仿宋" w:cs="仿宋"/>
          <w:bCs/>
          <w:color w:val="auto"/>
          <w:sz w:val="24"/>
          <w:szCs w:val="24"/>
          <w:highlight w:val="none"/>
          <w:lang w:val="en-US" w:eastAsia="zh-CN"/>
        </w:rPr>
        <w:t xml:space="preserve">            （￥：     元）</w:t>
      </w:r>
      <w:r>
        <w:rPr>
          <w:rFonts w:hint="eastAsia" w:ascii="仿宋" w:hAnsi="仿宋" w:eastAsia="仿宋" w:cs="仿宋"/>
          <w:bCs/>
          <w:color w:val="auto"/>
          <w:sz w:val="24"/>
          <w:szCs w:val="24"/>
          <w:highlight w:val="none"/>
        </w:rPr>
        <w:t>。</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（二）合同总价包括：</w:t>
      </w:r>
      <w:r>
        <w:rPr>
          <w:rFonts w:hint="eastAsia" w:ascii="仿宋" w:hAnsi="仿宋" w:eastAsia="仿宋" w:cs="仿宋"/>
          <w:bCs/>
          <w:color w:val="auto"/>
          <w:sz w:val="24"/>
          <w:szCs w:val="24"/>
          <w:highlight w:val="none"/>
          <w:lang w:eastAsia="zh-CN"/>
        </w:rPr>
        <w:t>工程量清单的全部内容</w:t>
      </w:r>
      <w:r>
        <w:rPr>
          <w:rFonts w:hint="eastAsia" w:ascii="仿宋" w:hAnsi="仿宋" w:eastAsia="仿宋" w:cs="仿宋"/>
          <w:bCs/>
          <w:color w:val="auto"/>
          <w:sz w:val="24"/>
          <w:szCs w:val="24"/>
          <w:highlight w:val="none"/>
        </w:rPr>
        <w:t>，不受市场价变化的影响。合同价格为含税价。</w:t>
      </w:r>
    </w:p>
    <w:p>
      <w:pPr>
        <w:autoSpaceDE w:val="0"/>
        <w:autoSpaceDN w:val="0"/>
        <w:adjustRightInd w:val="0"/>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二、结算方式</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当承包人已完成合格工程量</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0%时，</w:t>
      </w:r>
      <w:r>
        <w:rPr>
          <w:rFonts w:hint="eastAsia" w:ascii="仿宋" w:hAnsi="仿宋" w:eastAsia="仿宋" w:cs="仿宋"/>
          <w:bCs/>
          <w:color w:val="auto"/>
          <w:sz w:val="24"/>
          <w:szCs w:val="24"/>
          <w:highlight w:val="none"/>
          <w:lang w:eastAsia="zh-CN"/>
        </w:rPr>
        <w:t>支付合同总价的</w:t>
      </w:r>
      <w:r>
        <w:rPr>
          <w:rFonts w:hint="eastAsia" w:ascii="仿宋" w:hAnsi="仿宋" w:eastAsia="仿宋" w:cs="仿宋"/>
          <w:bCs/>
          <w:color w:val="auto"/>
          <w:sz w:val="24"/>
          <w:szCs w:val="24"/>
          <w:highlight w:val="none"/>
          <w:lang w:val="en-US" w:eastAsia="zh-CN"/>
        </w:rPr>
        <w:t>50%</w:t>
      </w:r>
      <w:r>
        <w:rPr>
          <w:rFonts w:hint="eastAsia" w:ascii="仿宋" w:hAnsi="仿宋" w:eastAsia="仿宋" w:cs="仿宋"/>
          <w:bCs/>
          <w:color w:val="auto"/>
          <w:sz w:val="24"/>
          <w:szCs w:val="24"/>
          <w:highlight w:val="none"/>
        </w:rPr>
        <w:t>；</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当承包人已完成合格工程量</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0%时，</w:t>
      </w:r>
      <w:r>
        <w:rPr>
          <w:rFonts w:hint="eastAsia" w:ascii="仿宋" w:hAnsi="仿宋" w:eastAsia="仿宋" w:cs="仿宋"/>
          <w:bCs/>
          <w:color w:val="auto"/>
          <w:sz w:val="24"/>
          <w:szCs w:val="24"/>
          <w:highlight w:val="none"/>
          <w:lang w:eastAsia="zh-CN"/>
        </w:rPr>
        <w:t>付至合同总价的</w:t>
      </w:r>
      <w:r>
        <w:rPr>
          <w:rFonts w:hint="eastAsia" w:ascii="仿宋" w:hAnsi="仿宋" w:eastAsia="仿宋" w:cs="仿宋"/>
          <w:bCs/>
          <w:color w:val="auto"/>
          <w:sz w:val="24"/>
          <w:szCs w:val="24"/>
          <w:highlight w:val="none"/>
          <w:lang w:val="en-US" w:eastAsia="zh-CN"/>
        </w:rPr>
        <w:t>70%</w:t>
      </w:r>
      <w:r>
        <w:rPr>
          <w:rFonts w:hint="eastAsia" w:ascii="仿宋" w:hAnsi="仿宋" w:eastAsia="仿宋" w:cs="仿宋"/>
          <w:bCs/>
          <w:color w:val="auto"/>
          <w:sz w:val="24"/>
          <w:szCs w:val="24"/>
          <w:highlight w:val="none"/>
        </w:rPr>
        <w:t>；</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当工程竣工，经检测、验收合格，并将竣工资料及相关质量证明文件交付发包人，在完成审计后付至</w:t>
      </w:r>
      <w:r>
        <w:rPr>
          <w:rFonts w:hint="eastAsia" w:ascii="仿宋" w:hAnsi="仿宋" w:eastAsia="仿宋" w:cs="仿宋"/>
          <w:bCs/>
          <w:color w:val="auto"/>
          <w:sz w:val="24"/>
          <w:szCs w:val="24"/>
          <w:highlight w:val="none"/>
          <w:lang w:eastAsia="zh-CN"/>
        </w:rPr>
        <w:t>合同总价款</w:t>
      </w:r>
      <w:r>
        <w:rPr>
          <w:rFonts w:hint="eastAsia" w:ascii="仿宋" w:hAnsi="仿宋" w:eastAsia="仿宋" w:cs="仿宋"/>
          <w:bCs/>
          <w:color w:val="auto"/>
          <w:sz w:val="24"/>
          <w:szCs w:val="24"/>
          <w:highlight w:val="none"/>
        </w:rPr>
        <w:t>的97%。</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合同</w:t>
      </w:r>
      <w:r>
        <w:rPr>
          <w:rFonts w:hint="eastAsia" w:ascii="仿宋" w:hAnsi="仿宋" w:eastAsia="仿宋" w:cs="仿宋"/>
          <w:bCs/>
          <w:color w:val="auto"/>
          <w:sz w:val="24"/>
          <w:szCs w:val="24"/>
          <w:highlight w:val="none"/>
        </w:rPr>
        <w:t>总价款的3%作为工程质量保证金，从竣工验收合格之日起按照工程质量保修书约定的期限期满后，无施工质量问题则全额无息支付；</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）承包人应于发包人每次付款前提供等额正规发票。最后一次付款时应提供剩余款项全额正规发票。</w:t>
      </w:r>
    </w:p>
    <w:p>
      <w:pPr>
        <w:autoSpaceDE w:val="0"/>
        <w:autoSpaceDN w:val="0"/>
        <w:adjustRightInd w:val="0"/>
        <w:spacing w:line="480" w:lineRule="auto"/>
        <w:ind w:firstLine="482" w:firstLineChars="200"/>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三、实施地点及工期：</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（一）实施地点：甲方指定地点。</w:t>
      </w:r>
    </w:p>
    <w:p>
      <w:pPr>
        <w:autoSpaceDE w:val="0"/>
        <w:autoSpaceDN w:val="0"/>
        <w:adjustRightInd w:val="0"/>
        <w:spacing w:line="48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（二）工期：自合同签订之日起150日历</w:t>
      </w:r>
      <w:r>
        <w:rPr>
          <w:rFonts w:hint="eastAsia" w:ascii="仿宋" w:hAnsi="仿宋" w:eastAsia="仿宋" w:cs="仿宋"/>
          <w:bCs/>
          <w:color w:val="auto"/>
          <w:sz w:val="24"/>
          <w:szCs w:val="24"/>
          <w:highlight w:val="none"/>
          <w:lang w:val="en-US" w:eastAsia="zh-CN"/>
        </w:rPr>
        <w:t>天</w:t>
      </w:r>
      <w:r>
        <w:rPr>
          <w:rFonts w:hint="eastAsia" w:ascii="仿宋" w:hAnsi="仿宋" w:eastAsia="仿宋" w:cs="仿宋"/>
          <w:bCs/>
          <w:color w:val="auto"/>
          <w:sz w:val="24"/>
          <w:szCs w:val="24"/>
          <w:highlight w:val="none"/>
        </w:rPr>
        <w:t>内。</w:t>
      </w:r>
    </w:p>
    <w:p>
      <w:pPr>
        <w:pStyle w:val="3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仿宋" w:hAnsi="仿宋" w:eastAsia="仿宋" w:cs="仿宋"/>
          <w:color w:val="auto"/>
          <w:highlight w:val="none"/>
          <w:lang w:eastAsia="zh-CN"/>
        </w:rPr>
      </w:pPr>
      <w:r>
        <w:rPr>
          <w:rFonts w:hint="eastAsia" w:ascii="仿宋" w:hAnsi="仿宋" w:eastAsia="仿宋" w:cs="仿宋"/>
          <w:bCs/>
          <w:color w:val="auto"/>
          <w:kern w:val="2"/>
          <w:sz w:val="24"/>
          <w:szCs w:val="24"/>
          <w:highlight w:val="none"/>
          <w:lang w:val="en-US" w:eastAsia="zh-CN" w:bidi="ar-SA"/>
        </w:rPr>
        <w:t>（三）质保期：自本项目竣工验收合格之日起一年</w:t>
      </w:r>
    </w:p>
    <w:p>
      <w:pPr>
        <w:pStyle w:val="34"/>
        <w:keepNext w:val="0"/>
        <w:keepLines w:val="0"/>
        <w:pageBreakBefore w:val="0"/>
        <w:widowControl w:val="0"/>
        <w:kinsoku/>
        <w:wordWrap/>
        <w:overflowPunct/>
        <w:topLinePunct w:val="0"/>
        <w:autoSpaceDE/>
        <w:autoSpaceDN/>
        <w:bidi w:val="0"/>
        <w:adjustRightInd/>
        <w:snapToGrid/>
        <w:spacing w:line="480" w:lineRule="auto"/>
        <w:ind w:left="0" w:leftChars="0"/>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四、质量保证</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所选材料必须保证质量可靠、进货渠道正常，符合国家环保等相关标准，满足施工要求。</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工程质量符合国家有关规范，确保达到合格。</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该工程项目质量保修期按有关文件规定执行。</w:t>
      </w:r>
    </w:p>
    <w:p>
      <w:pPr>
        <w:spacing w:line="480" w:lineRule="auto"/>
        <w:ind w:firstLine="600" w:firstLineChars="24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五、双方责任</w:t>
      </w:r>
    </w:p>
    <w:p>
      <w:pPr>
        <w:spacing w:line="48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（一）甲方责任：</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1、甲方负责施工场地的提供，排除施工障碍的协调。</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2、组织设计、设计变更及现场签证，工程结算的审定等工作。</w:t>
      </w:r>
    </w:p>
    <w:p>
      <w:pPr>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3、对工程进度、质量进行监督检查。</w:t>
      </w:r>
    </w:p>
    <w:p>
      <w:pPr>
        <w:spacing w:line="48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4、组织有关单位对工程进行竣工验收。</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5、按时支付工程款。</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（二） 乙方责任：</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1、负责办理完成项目使用审批手续，负责工程安全文明施工、承担一切风险，满足甲方工程的需要。保证甲方正式投入使用，再无其他费用发生。</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进入甲方要求场地施工，应服从当地对治安、卫生、环保、社会保险等工程建设的统一管理，并按有关规定交纳费用以及因违反相关规定而造成的罚款。乙方按照国家和当地政府有关规定应采取的任何必要安全防护措施已包含在乙方的合同价款当中，甲方不另行支付。竣工后交甲方竣工图二份及甲方委托乙方办理项目手续的相关资料等，以备留档。</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按照设计说明进行施工，确保工程按合同规定的时间如期完工和交付；并应接受甲方代表或委派人员的检查、检验，乙方应为甲方人员检查提供便利条件，对不合格的部分按甲方代表及委派人员的要求返工修改，承担由自身原因导致的返工修改费用，工期不予顺延。</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提供的主要材料、设备必须有质量合格证等相关证件方可用于工程，对材料改变或代用必须经原设计单位同意，并发书面通知和甲方代表签证后，方可用于工程，任何一方认为对方提供的材料需要复检的，应允许复检。经复检符合质量要求的，方可用于工程，其复检费由要求一方承担，不符合质量要求的，应按有关规定处理，其复检费由提供材料、设备一方承担。</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5、隐蔽工程在覆盖前必须经甲方代表或现场监理代表验收签章后，方可进行下一道工序。</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6、遵守甲方施工场地的规章制度和管理，做到安全文明施工，做 好成品保护，对甲方提出的问题应在 24 小时内予以解决或处理；遵守有关施工规范和安全操作规程，如发生安全事故，乙方应及时通知甲方，积极采取有效的补救措施，如因此造成甲方、乙方或第三方人身或财产损失，全部责任由乙方自行承担。</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7、采取有效的安全保障措施，确保施工安全，包括悬挂警示标牌、装设围栏、配备安全人员等，并承担事故的全部费用和责任。</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8、工程竣工后提供竣工验收技术资料及竣工图</w:t>
      </w:r>
      <w:r>
        <w:rPr>
          <w:rFonts w:hint="eastAsia" w:ascii="仿宋" w:hAnsi="仿宋" w:eastAsia="仿宋" w:cs="仿宋"/>
          <w:color w:val="auto"/>
          <w:sz w:val="24"/>
          <w:szCs w:val="24"/>
          <w:highlight w:val="none"/>
          <w:u w:val="single"/>
        </w:rPr>
        <w:t>肆</w:t>
      </w:r>
      <w:r>
        <w:rPr>
          <w:rFonts w:hint="eastAsia" w:ascii="仿宋" w:hAnsi="仿宋" w:eastAsia="仿宋" w:cs="仿宋"/>
          <w:color w:val="auto"/>
          <w:sz w:val="24"/>
          <w:szCs w:val="24"/>
          <w:highlight w:val="none"/>
        </w:rPr>
        <w:t>套，办理工程竣工结算手续，参加工程竣工验收。</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9、已完工的项目，在交工前乙方应负责保管，清理现场达到建筑物无污染，现场无建筑垃圾。</w:t>
      </w:r>
    </w:p>
    <w:p>
      <w:pPr>
        <w:spacing w:line="48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10、本工程不得转包。</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11、乙方应在设备运行过程中，对安全隐患进行全面的不定期检查与维护，并对不按安全规程操作的施工单位及时制止，并报甲方进行处理。</w:t>
      </w:r>
    </w:p>
    <w:p>
      <w:pPr>
        <w:spacing w:line="480" w:lineRule="auto"/>
        <w:ind w:firstLine="480" w:firstLineChars="200"/>
        <w:rPr>
          <w:rFonts w:hint="eastAsia" w:ascii="仿宋" w:hAnsi="仿宋" w:eastAsia="仿宋" w:cs="仿宋"/>
          <w:b/>
          <w:color w:val="auto"/>
          <w:sz w:val="24"/>
          <w:szCs w:val="24"/>
          <w:highlight w:val="none"/>
          <w:lang w:val="zh-CN"/>
        </w:rPr>
      </w:pPr>
      <w:r>
        <w:rPr>
          <w:rFonts w:hint="eastAsia" w:ascii="仿宋" w:hAnsi="仿宋" w:eastAsia="仿宋" w:cs="仿宋"/>
          <w:color w:val="auto"/>
          <w:sz w:val="24"/>
          <w:szCs w:val="24"/>
          <w:highlight w:val="none"/>
        </w:rPr>
        <w:t>12、乙方不能按合同规定的工期竣工的，应向甲方支付违约金，每逾期一日，支付合同总价款万分之二的违约金，造成甲方损失的，还应赔偿甲方损失。</w:t>
      </w:r>
    </w:p>
    <w:p>
      <w:pPr>
        <w:spacing w:line="360" w:lineRule="auto"/>
        <w:ind w:firstLine="634" w:firstLineChars="263"/>
        <w:jc w:val="left"/>
        <w:textAlignment w:val="baseline"/>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六、组成合同的文件</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1．组成本合同的文件包括：</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(1)、本合同书</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文件及其附件</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磋商报价</w:t>
      </w:r>
      <w:r>
        <w:rPr>
          <w:rFonts w:hint="eastAsia" w:ascii="仿宋" w:hAnsi="仿宋" w:eastAsia="仿宋" w:cs="仿宋"/>
          <w:color w:val="auto"/>
          <w:sz w:val="24"/>
          <w:szCs w:val="24"/>
          <w:highlight w:val="none"/>
        </w:rPr>
        <w:t>清单表</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2．双方有关工程的洽商、变更等书面协议或文件、补充协议书均视为本合同的组成部分。</w:t>
      </w:r>
    </w:p>
    <w:p>
      <w:pPr>
        <w:autoSpaceDE w:val="0"/>
        <w:autoSpaceDN w:val="0"/>
        <w:adjustRightInd w:val="0"/>
        <w:spacing w:line="480" w:lineRule="auto"/>
        <w:ind w:firstLine="472" w:firstLineChars="196"/>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七、验收</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zh-CN"/>
        </w:rPr>
        <w:t>主材到现场后，由甲方对其进行验收，确认材料的产地、规格、数量。</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zh-CN"/>
        </w:rPr>
        <w:t>乙方工程完工后，进行自检，合格后准备验收文件，并书面通知甲方。</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甲方确认乙方的自检内容，验收合格作为工程的最终认可。</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zh-CN"/>
        </w:rPr>
        <w:t>验收依据：</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4-1、合同、磋商文件、磋商响应文件及承诺。</w:t>
      </w:r>
    </w:p>
    <w:p>
      <w:pPr>
        <w:autoSpaceDE w:val="0"/>
        <w:autoSpaceDN w:val="0"/>
        <w:adjustRightInd w:val="0"/>
        <w:spacing w:line="480" w:lineRule="auto"/>
        <w:ind w:firstLine="470" w:firstLineChars="196"/>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4-2、国家相关</w:t>
      </w:r>
      <w:r>
        <w:rPr>
          <w:rFonts w:hint="eastAsia" w:ascii="仿宋" w:hAnsi="仿宋" w:eastAsia="仿宋" w:cs="仿宋"/>
          <w:bCs/>
          <w:color w:val="auto"/>
          <w:sz w:val="24"/>
          <w:szCs w:val="24"/>
          <w:highlight w:val="none"/>
        </w:rPr>
        <w:t>标准、规范及有关技术文件</w:t>
      </w:r>
      <w:r>
        <w:rPr>
          <w:rFonts w:hint="eastAsia" w:ascii="仿宋" w:hAnsi="仿宋" w:eastAsia="仿宋" w:cs="仿宋"/>
          <w:color w:val="auto"/>
          <w:sz w:val="24"/>
          <w:szCs w:val="24"/>
          <w:highlight w:val="none"/>
          <w:lang w:val="zh-CN"/>
        </w:rPr>
        <w:t>。</w:t>
      </w:r>
    </w:p>
    <w:p>
      <w:pPr>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八、争议的解决方式</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合同执行过程中如发生争议，双方应及时协商解决，协商不成，双方均可向项目所在地人民法院起诉。</w:t>
      </w:r>
    </w:p>
    <w:p>
      <w:pPr>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九、其他</w:t>
      </w: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本合同未定事宜，双方可根据具体情况结合有关规定另行签订补充协议，补充协议与本合同具有同等法律效力。</w:t>
      </w:r>
    </w:p>
    <w:p>
      <w:pPr>
        <w:spacing w:line="48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十、附则</w:t>
      </w:r>
    </w:p>
    <w:p>
      <w:pPr>
        <w:tabs>
          <w:tab w:val="left" w:pos="0"/>
        </w:tabs>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（一）本合同一式份，正本份，甲、乙方各执份，副本份，甲方执份，乙方执份。</w:t>
      </w:r>
    </w:p>
    <w:p>
      <w:pPr>
        <w:spacing w:line="480" w:lineRule="auto"/>
        <w:ind w:firstLine="480" w:firstLineChars="200"/>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（二）合同经双方盖章后生效，各条款执行完毕后终止。</w:t>
      </w:r>
    </w:p>
    <w:tbl>
      <w:tblPr>
        <w:tblStyle w:val="35"/>
        <w:tblW w:w="8403" w:type="dxa"/>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甲  方</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乙  方</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ind w:firstLine="700" w:firstLineChars="350"/>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（盖章）</w:t>
            </w:r>
          </w:p>
        </w:tc>
        <w:tc>
          <w:tcPr>
            <w:tcW w:w="4202" w:type="dxa"/>
            <w:noWrap/>
            <w:vAlign w:val="center"/>
          </w:tcPr>
          <w:p>
            <w:pPr>
              <w:autoSpaceDE w:val="0"/>
              <w:autoSpaceDN w:val="0"/>
              <w:adjustRightInd w:val="0"/>
              <w:spacing w:line="480" w:lineRule="auto"/>
              <w:ind w:firstLine="800" w:firstLineChars="400"/>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（盖章）</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 xml:space="preserve">地址： </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地址：</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邮编：</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邮编：</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 xml:space="preserve">法定代表人： </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法定代表人：</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被授权代表：</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被授权代表：</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电话：</w:t>
            </w:r>
          </w:p>
        </w:tc>
        <w:tc>
          <w:tcPr>
            <w:tcW w:w="4202" w:type="dxa"/>
            <w:noWrap/>
            <w:vAlign w:val="center"/>
          </w:tcPr>
          <w:p>
            <w:pPr>
              <w:autoSpaceDE w:val="0"/>
              <w:autoSpaceDN w:val="0"/>
              <w:adjustRightInd w:val="0"/>
              <w:spacing w:line="480" w:lineRule="auto"/>
              <w:ind w:left="600" w:hanging="600" w:hangingChars="300"/>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电话：</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传真：</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传真：</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开户银行：</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开户银行：</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日期：</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r>
              <w:rPr>
                <w:rFonts w:hint="eastAsia" w:ascii="仿宋" w:hAnsi="仿宋" w:eastAsia="仿宋" w:cs="仿宋"/>
                <w:color w:val="auto"/>
                <w:spacing w:val="-20"/>
                <w:kern w:val="0"/>
                <w:sz w:val="24"/>
                <w:szCs w:val="24"/>
                <w:highlight w:val="none"/>
              </w:rPr>
              <w:t>日期：</w:t>
            </w: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napToGrid w:val="0"/>
              <w:spacing w:line="400" w:lineRule="exact"/>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鉴证方：</w:t>
            </w:r>
            <w:r>
              <w:rPr>
                <w:rFonts w:hint="eastAsia" w:ascii="仿宋" w:hAnsi="仿宋" w:eastAsia="仿宋" w:cs="仿宋"/>
                <w:color w:val="auto"/>
                <w:sz w:val="24"/>
                <w:szCs w:val="24"/>
                <w:highlight w:val="none"/>
                <w:u w:val="single"/>
              </w:rPr>
              <w:t xml:space="preserve">   （盖章）       </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napToGrid w:val="0"/>
              <w:spacing w:line="400" w:lineRule="exact"/>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 xml:space="preserve">地 址： </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napToGrid w:val="0"/>
              <w:spacing w:line="400" w:lineRule="exact"/>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邮政编码：</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p>
        </w:tc>
      </w:tr>
      <w:tr>
        <w:tblPrEx>
          <w:tblCellMar>
            <w:top w:w="0" w:type="dxa"/>
            <w:left w:w="108" w:type="dxa"/>
            <w:bottom w:w="0" w:type="dxa"/>
            <w:right w:w="108" w:type="dxa"/>
          </w:tblCellMar>
        </w:tblPrEx>
        <w:trPr>
          <w:trHeight w:val="567" w:hRule="exact"/>
          <w:jc w:val="center"/>
        </w:trPr>
        <w:tc>
          <w:tcPr>
            <w:tcW w:w="4201" w:type="dxa"/>
            <w:noWrap/>
            <w:vAlign w:val="center"/>
          </w:tcPr>
          <w:p>
            <w:pPr>
              <w:autoSpaceDE w:val="0"/>
              <w:autoSpaceDN w:val="0"/>
              <w:adjustRightInd w:val="0"/>
              <w:snapToGrid w:val="0"/>
              <w:spacing w:line="400" w:lineRule="exact"/>
              <w:rPr>
                <w:rFonts w:hint="eastAsia" w:ascii="仿宋" w:hAnsi="仿宋" w:eastAsia="仿宋" w:cs="仿宋"/>
                <w:color w:val="auto"/>
                <w:spacing w:val="-20"/>
                <w:kern w:val="0"/>
                <w:sz w:val="24"/>
                <w:szCs w:val="24"/>
                <w:highlight w:val="none"/>
              </w:rPr>
            </w:pPr>
            <w:r>
              <w:rPr>
                <w:rFonts w:hint="eastAsia" w:ascii="仿宋" w:hAnsi="仿宋" w:eastAsia="仿宋" w:cs="仿宋"/>
                <w:color w:val="auto"/>
                <w:sz w:val="24"/>
                <w:szCs w:val="24"/>
                <w:highlight w:val="none"/>
              </w:rPr>
              <w:t>电话：</w:t>
            </w:r>
          </w:p>
        </w:tc>
        <w:tc>
          <w:tcPr>
            <w:tcW w:w="4202" w:type="dxa"/>
            <w:noWrap/>
            <w:vAlign w:val="center"/>
          </w:tcPr>
          <w:p>
            <w:pPr>
              <w:autoSpaceDE w:val="0"/>
              <w:autoSpaceDN w:val="0"/>
              <w:adjustRightInd w:val="0"/>
              <w:spacing w:line="480" w:lineRule="auto"/>
              <w:rPr>
                <w:rFonts w:hint="eastAsia" w:ascii="仿宋" w:hAnsi="仿宋" w:eastAsia="仿宋" w:cs="仿宋"/>
                <w:color w:val="auto"/>
                <w:spacing w:val="-20"/>
                <w:kern w:val="0"/>
                <w:sz w:val="24"/>
                <w:szCs w:val="24"/>
                <w:highlight w:val="none"/>
              </w:rPr>
            </w:pPr>
          </w:p>
        </w:tc>
      </w:tr>
    </w:tbl>
    <w:p>
      <w:pPr>
        <w:pStyle w:val="3"/>
        <w:keepNext w:val="0"/>
        <w:pageBreakBefore/>
        <w:spacing w:line="350" w:lineRule="auto"/>
        <w:jc w:val="center"/>
        <w:rPr>
          <w:rFonts w:hint="eastAsia" w:ascii="仿宋" w:hAnsi="仿宋" w:eastAsia="仿宋" w:cs="仿宋"/>
          <w:b w:val="0"/>
          <w:bCs w:val="0"/>
          <w:color w:val="auto"/>
          <w:sz w:val="32"/>
          <w:szCs w:val="32"/>
        </w:rPr>
      </w:pPr>
      <w:r>
        <w:rPr>
          <w:rFonts w:hint="eastAsia" w:ascii="仿宋" w:hAnsi="仿宋" w:eastAsia="仿宋" w:cs="仿宋"/>
          <w:color w:val="auto"/>
          <w:sz w:val="32"/>
          <w:szCs w:val="32"/>
        </w:rPr>
        <w:t>第五章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工程量清单</w:t>
      </w:r>
      <w:bookmarkEnd w:id="89"/>
      <w:bookmarkEnd w:id="90"/>
      <w:bookmarkEnd w:id="91"/>
    </w:p>
    <w:p>
      <w:pPr>
        <w:jc w:val="center"/>
        <w:rPr>
          <w:rFonts w:hint="eastAsia" w:ascii="仿宋" w:hAnsi="仿宋" w:eastAsia="仿宋" w:cs="仿宋"/>
          <w:b/>
          <w:bCs/>
          <w:color w:val="auto"/>
          <w:sz w:val="24"/>
          <w:szCs w:val="24"/>
        </w:rPr>
      </w:pPr>
      <w:bookmarkStart w:id="92" w:name="_Toc420591492"/>
      <w:bookmarkStart w:id="93" w:name="_Toc358102909"/>
      <w:bookmarkStart w:id="94" w:name="_Toc221523530"/>
      <w:bookmarkStart w:id="95" w:name="_Toc373847090"/>
      <w:bookmarkStart w:id="96" w:name="_Toc420591657"/>
      <w:bookmarkStart w:id="97" w:name="_Toc421778379"/>
      <w:r>
        <w:rPr>
          <w:rFonts w:hint="eastAsia" w:ascii="仿宋" w:hAnsi="仿宋" w:eastAsia="仿宋" w:cs="仿宋"/>
          <w:b/>
          <w:bCs/>
          <w:color w:val="auto"/>
          <w:sz w:val="24"/>
          <w:szCs w:val="24"/>
        </w:rPr>
        <w:t>1．工程量清单说明</w:t>
      </w:r>
      <w:bookmarkEnd w:id="92"/>
      <w:bookmarkEnd w:id="93"/>
      <w:bookmarkEnd w:id="94"/>
      <w:bookmarkEnd w:id="95"/>
      <w:bookmarkEnd w:id="96"/>
      <w:bookmarkEnd w:id="97"/>
    </w:p>
    <w:p>
      <w:pPr>
        <w:spacing w:line="360" w:lineRule="auto"/>
        <w:ind w:firstLine="480" w:firstLineChars="200"/>
        <w:jc w:val="left"/>
        <w:rPr>
          <w:rFonts w:hint="eastAsia" w:ascii="仿宋" w:hAnsi="仿宋" w:eastAsia="仿宋" w:cs="仿宋"/>
          <w:color w:val="auto"/>
          <w:sz w:val="24"/>
          <w:szCs w:val="24"/>
        </w:rPr>
      </w:pPr>
      <w:bookmarkStart w:id="98" w:name="_Toc221523531"/>
      <w:r>
        <w:rPr>
          <w:rFonts w:hint="eastAsia" w:ascii="仿宋" w:hAnsi="仿宋" w:eastAsia="仿宋" w:cs="仿宋"/>
          <w:color w:val="auto"/>
          <w:sz w:val="24"/>
          <w:szCs w:val="24"/>
        </w:rPr>
        <w:t>一、工程概况</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本项目规划新增水土流失治理面积6.0km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。主要建设内容包括:营造水士保持林</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.20hm</w:t>
      </w:r>
      <w:r>
        <w:rPr>
          <w:rFonts w:hint="eastAsia" w:ascii="仿宋" w:hAnsi="仿宋" w:eastAsia="仿宋" w:cs="仿宋"/>
          <w:color w:val="auto"/>
          <w:sz w:val="24"/>
          <w:szCs w:val="24"/>
          <w:highlight w:val="none"/>
          <w:vertAlign w:val="superscript"/>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rPr>
        <w:t>营造水土保持经济林40.20hm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，(其中花椒6.7hm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，核桃20.1hm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，柿子6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7hm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，樱桃6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7hm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);实施村内道路绿化0</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6hm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(长度1000m);对现有疏幼林地进行封禁，面积500.00hm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，其中补植面积45.00hm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rPr>
        <w:t>，配套布设封禁网围栏1000m;封禁碑4座，水保宣传牌10块。具体内容详见工程量清单。</w:t>
      </w:r>
    </w:p>
    <w:p>
      <w:pPr>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二、编制依据</w:t>
      </w:r>
    </w:p>
    <w:p>
      <w:pPr>
        <w:spacing w:line="360" w:lineRule="auto"/>
        <w:ind w:firstLine="480" w:firstLineChars="2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1</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按陕水规计发[2019]66号文颁发的《陕西省水利工程概(估)算编制规定》，水利部发办财务函[2019]448号文执行，价格水平为2021年第三季度工程所在地市场价格。</w:t>
      </w:r>
    </w:p>
    <w:p>
      <w:pPr>
        <w:spacing w:line="360" w:lineRule="auto"/>
        <w:ind w:firstLine="480" w:firstLineChars="2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2</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陕西省水利厅关于发布试行《陕西省水利工程设计概(估)算编制规定》《陕西省水利建筑工程概算定额》等计价依据的通知(陕水规计发[2019]66号);</w:t>
      </w:r>
    </w:p>
    <w:p>
      <w:pPr>
        <w:spacing w:line="360" w:lineRule="auto"/>
        <w:ind w:firstLine="480" w:firstLineChars="2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3</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水利部办公厅《关于印发水利工程营业税改征增值税计价依据调整办法的通知》(办水总[2016]132号);</w:t>
      </w:r>
    </w:p>
    <w:p>
      <w:pPr>
        <w:spacing w:line="360" w:lineRule="auto"/>
        <w:ind w:firstLine="480" w:firstLineChars="2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4</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rPr>
        <w:t>水利部办公厅《关于调整水利工程计价依据增值税计算标准的通知》(办财务函[2019]448号)。</w:t>
      </w:r>
    </w:p>
    <w:p>
      <w:pPr>
        <w:spacing w:line="360" w:lineRule="auto"/>
        <w:ind w:firstLine="480" w:firstLineChars="200"/>
        <w:jc w:val="left"/>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5</w:t>
      </w:r>
      <w:r>
        <w:rPr>
          <w:rFonts w:hint="eastAsia" w:ascii="仿宋" w:hAnsi="仿宋" w:eastAsia="仿宋" w:cs="仿宋"/>
          <w:b w:val="0"/>
          <w:bCs/>
          <w:color w:val="auto"/>
          <w:sz w:val="24"/>
          <w:szCs w:val="24"/>
          <w:lang w:eastAsia="zh-CN"/>
        </w:rPr>
        <w:t>）其他一切最新政策及法规文件。</w:t>
      </w:r>
    </w:p>
    <w:p>
      <w:pPr>
        <w:rPr>
          <w:rFonts w:hint="eastAsia" w:ascii="仿宋" w:hAnsi="仿宋" w:eastAsia="仿宋" w:cs="仿宋"/>
          <w:b w:val="0"/>
          <w:bCs/>
          <w:color w:val="auto"/>
          <w:sz w:val="24"/>
          <w:szCs w:val="24"/>
          <w:lang w:eastAsia="zh-CN"/>
        </w:rPr>
      </w:pPr>
      <w:r>
        <w:rPr>
          <w:rFonts w:hint="eastAsia" w:ascii="仿宋" w:hAnsi="仿宋" w:eastAsia="仿宋" w:cs="仿宋"/>
          <w:b w:val="0"/>
          <w:bCs/>
          <w:color w:val="auto"/>
          <w:sz w:val="24"/>
          <w:szCs w:val="24"/>
          <w:lang w:eastAsia="zh-CN"/>
        </w:rPr>
        <w:br w:type="page"/>
      </w: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34"/>
        <w:gridCol w:w="4826"/>
        <w:gridCol w:w="994"/>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序号</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工程名称</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单位</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20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(一)</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林草措施投资（建筑工程部分）</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水保林（白皮松、侧柏混交林）</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侧柏纯林</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公顷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1.1.1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鱼鳞坑整地（小）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1.1.2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侧柏（高50-60cm）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1.1.3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栽植侧柏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白皮松纯林</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公顷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1.2.1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鱼鳞坑整地（小）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1.2.2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穴状整地（0.6m×0.6m）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1.2.3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白皮松（苗高1.5m）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1.2.4</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栽植白皮松</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经济林</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樱桃树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2.1.1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穴状整地（0.6m×0.6m）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2.1.2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樱桃树（胸径2cm）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2.1.3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栽植樱桃</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核桃树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2.2.1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穴状整地（0.6m×0.6m）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2.2.2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核桃树（胸径2cm）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2.2.3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栽植核桃树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2.2.4</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撒播草籽（苜蓿）</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hm²</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2.2.5</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草籽（苜蓿）</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kg</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柿子树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2.3.1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穴状整地（0.6m×0.6m）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2.3.2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柿子树（胸径2cm）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2.3.3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栽植柿子树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2.3.4</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撒播草籽（苜蓿）</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hm²</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2.3.5</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草籽（苜蓿）</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kg</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花椒树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0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2.4.1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穴状整地（0.6m×0.6m×0.6m）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2.4.2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花椒（地径2cm）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2.4.3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栽植花椒</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村内道路绿化</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m</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龙爪槐栽植费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龙爪槐（胸径3cm）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樱花栽植费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樱花（胸径3cm，苗高1.5-2.0m）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小叶黄杨球栽植费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小叶黄杨球（苗高40cm，冠幅60cm）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红叶小檗栽植费</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红叶小檗（苗高50cm）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绿叶小檗栽植</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绿叶小檗（苗高50cm）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highlight w:val="none"/>
                <w:u w:val="none"/>
              </w:rPr>
            </w:pPr>
            <w:r>
              <w:rPr>
                <w:rStyle w:val="109"/>
                <w:rFonts w:hint="eastAsia" w:ascii="仿宋" w:hAnsi="仿宋" w:eastAsia="仿宋" w:cs="仿宋"/>
                <w:highlight w:val="none"/>
                <w:lang w:val="en-US" w:eastAsia="zh-CN" w:bidi="ar"/>
              </w:rPr>
              <w:t>(二)</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highlight w:val="none"/>
                <w:u w:val="none"/>
              </w:rPr>
            </w:pPr>
            <w:r>
              <w:rPr>
                <w:rStyle w:val="109"/>
                <w:rFonts w:hint="eastAsia" w:ascii="仿宋" w:hAnsi="仿宋" w:eastAsia="仿宋" w:cs="仿宋"/>
                <w:highlight w:val="none"/>
                <w:lang w:val="en-US" w:eastAsia="zh-CN" w:bidi="ar"/>
              </w:rPr>
              <w:t>封育治理措施投资（建筑工程部分）</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highlight w:val="yellow"/>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护栏措施</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封禁围栏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1.1.1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混凝土桩铁丝围栏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m</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封禁碑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座</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水保宣传牌（1.2m*0.6m）</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块</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疏林（侧柏）补植</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鱼鳞坑整地（小）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侧柏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130"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68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栽植侧柏</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8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Style w:val="109"/>
                <w:rFonts w:hint="default" w:ascii="仿宋" w:hAnsi="仿宋" w:eastAsia="仿宋" w:cs="仿宋"/>
                <w:lang w:val="en-US" w:eastAsia="zh-CN" w:bidi="ar"/>
              </w:rPr>
            </w:pPr>
            <w:r>
              <w:rPr>
                <w:rStyle w:val="109"/>
                <w:rFonts w:hint="eastAsia" w:ascii="仿宋" w:hAnsi="仿宋" w:eastAsia="仿宋" w:cs="仿宋"/>
                <w:lang w:val="en-US" w:eastAsia="zh-CN" w:bidi="ar"/>
              </w:rPr>
              <w:t>暂列金</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Style w:val="109"/>
                <w:rFonts w:hint="default" w:ascii="仿宋" w:hAnsi="仿宋" w:eastAsia="仿宋" w:cs="仿宋"/>
                <w:lang w:val="en-US" w:eastAsia="zh-CN" w:bidi="ar"/>
              </w:rPr>
            </w:pPr>
            <w:r>
              <w:rPr>
                <w:rStyle w:val="109"/>
                <w:rFonts w:hint="eastAsia" w:ascii="仿宋" w:hAnsi="仿宋" w:eastAsia="仿宋" w:cs="仿宋"/>
                <w:lang w:val="en-US" w:eastAsia="zh-CN" w:bidi="ar"/>
              </w:rPr>
              <w:t>元</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43700</w:t>
            </w:r>
          </w:p>
        </w:tc>
      </w:tr>
    </w:tbl>
    <w:p>
      <w:pPr>
        <w:pStyle w:val="2"/>
        <w:jc w:val="both"/>
        <w:rPr>
          <w:rFonts w:hint="eastAsia"/>
          <w:lang w:eastAsia="zh-CN"/>
        </w:rPr>
      </w:pPr>
    </w:p>
    <w:p>
      <w:pPr>
        <w:jc w:val="center"/>
        <w:rPr>
          <w:rFonts w:hint="eastAsia" w:ascii="仿宋" w:hAnsi="仿宋" w:eastAsia="仿宋" w:cs="仿宋"/>
          <w:b/>
          <w:color w:val="auto"/>
          <w:sz w:val="24"/>
          <w:szCs w:val="24"/>
        </w:rPr>
      </w:pPr>
      <w:r>
        <w:rPr>
          <w:rFonts w:hint="eastAsia" w:ascii="仿宋" w:hAnsi="仿宋" w:eastAsia="仿宋" w:cs="仿宋"/>
          <w:b/>
          <w:bCs/>
          <w:color w:val="auto"/>
          <w:sz w:val="24"/>
          <w:szCs w:val="24"/>
          <w:highlight w:val="green"/>
        </w:rPr>
        <w:br w:type="page"/>
      </w:r>
      <w:bookmarkEnd w:id="98"/>
    </w:p>
    <w:p>
      <w:pPr>
        <w:pStyle w:val="3"/>
        <w:keepNext w:val="0"/>
        <w:pageBreakBefore/>
        <w:numPr>
          <w:ilvl w:val="0"/>
          <w:numId w:val="9"/>
        </w:numPr>
        <w:spacing w:line="350" w:lineRule="auto"/>
        <w:jc w:val="center"/>
        <w:rPr>
          <w:rFonts w:hint="eastAsia" w:ascii="仿宋" w:hAnsi="仿宋" w:eastAsia="仿宋" w:cs="仿宋"/>
          <w:color w:val="auto"/>
        </w:rPr>
      </w:pPr>
      <w:bookmarkStart w:id="99" w:name="_Toc1684"/>
      <w:bookmarkStart w:id="100" w:name="_Toc421778381"/>
      <w:bookmarkStart w:id="101" w:name="_Toc410"/>
      <w:r>
        <w:rPr>
          <w:rFonts w:hint="eastAsia" w:ascii="仿宋" w:hAnsi="仿宋" w:eastAsia="仿宋" w:cs="仿宋"/>
          <w:color w:val="auto"/>
          <w:lang w:val="en-US" w:eastAsia="zh-CN"/>
        </w:rPr>
        <w:t xml:space="preserve"> 图纸</w:t>
      </w:r>
      <w:bookmarkEnd w:id="99"/>
      <w:r>
        <w:rPr>
          <w:rFonts w:hint="eastAsia" w:ascii="仿宋" w:hAnsi="仿宋" w:eastAsia="仿宋" w:cs="仿宋"/>
          <w:color w:val="auto"/>
          <w:lang w:val="en-US" w:eastAsia="zh-CN"/>
        </w:rPr>
        <w:t xml:space="preserve"> </w:t>
      </w:r>
    </w:p>
    <w:p>
      <w:pPr>
        <w:spacing w:line="360" w:lineRule="auto"/>
        <w:jc w:val="center"/>
        <w:rPr>
          <w:rFonts w:hint="eastAsia" w:ascii="仿宋" w:hAnsi="仿宋" w:eastAsia="仿宋" w:cs="仿宋"/>
          <w:b/>
          <w:bCs/>
          <w:color w:val="auto"/>
        </w:rPr>
      </w:pPr>
      <w:r>
        <w:rPr>
          <w:rFonts w:hint="eastAsia" w:ascii="仿宋" w:hAnsi="仿宋" w:eastAsia="仿宋" w:cs="仿宋"/>
          <w:b/>
          <w:bCs/>
          <w:color w:val="auto"/>
        </w:rPr>
        <w:t>（图纸另册）</w:t>
      </w: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b/>
          <w:bCs/>
          <w:color w:val="auto"/>
        </w:rPr>
      </w:pPr>
    </w:p>
    <w:p>
      <w:pPr>
        <w:rPr>
          <w:rFonts w:hint="eastAsia" w:ascii="仿宋" w:hAnsi="仿宋" w:eastAsia="仿宋" w:cs="仿宋"/>
          <w:b/>
          <w:bCs/>
          <w:color w:val="auto"/>
        </w:rPr>
      </w:pPr>
    </w:p>
    <w:p>
      <w:pPr>
        <w:pStyle w:val="2"/>
        <w:rPr>
          <w:rFonts w:hint="eastAsia" w:ascii="仿宋" w:hAnsi="仿宋" w:eastAsia="仿宋" w:cs="仿宋"/>
          <w:color w:val="auto"/>
        </w:rPr>
      </w:pPr>
    </w:p>
    <w:p>
      <w:pPr>
        <w:rPr>
          <w:rFonts w:hint="eastAsia" w:ascii="仿宋" w:hAnsi="仿宋" w:eastAsia="仿宋" w:cs="仿宋"/>
          <w:color w:val="auto"/>
        </w:rPr>
      </w:pPr>
    </w:p>
    <w:p>
      <w:pPr>
        <w:pStyle w:val="3"/>
        <w:numPr>
          <w:ilvl w:val="0"/>
          <w:numId w:val="9"/>
        </w:numPr>
        <w:jc w:val="center"/>
        <w:rPr>
          <w:rFonts w:hint="eastAsia" w:ascii="仿宋" w:hAnsi="仿宋" w:eastAsia="仿宋" w:cs="仿宋"/>
          <w:color w:val="auto"/>
        </w:rPr>
      </w:pPr>
      <w:bookmarkStart w:id="102" w:name="_Toc16560"/>
      <w:r>
        <w:rPr>
          <w:rFonts w:hint="eastAsia" w:ascii="仿宋" w:hAnsi="仿宋" w:eastAsia="仿宋" w:cs="仿宋"/>
          <w:color w:val="auto"/>
          <w:lang w:val="en-US" w:eastAsia="zh-CN"/>
        </w:rPr>
        <w:t xml:space="preserve"> </w:t>
      </w:r>
      <w:r>
        <w:rPr>
          <w:rFonts w:hint="eastAsia" w:ascii="仿宋" w:hAnsi="仿宋" w:eastAsia="仿宋" w:cs="仿宋"/>
          <w:color w:val="auto"/>
        </w:rPr>
        <w:t>技术</w:t>
      </w:r>
      <w:r>
        <w:rPr>
          <w:rFonts w:hint="eastAsia" w:ascii="仿宋" w:hAnsi="仿宋" w:eastAsia="仿宋" w:cs="仿宋"/>
          <w:color w:val="auto"/>
          <w:lang w:eastAsia="zh-CN"/>
        </w:rPr>
        <w:t>标准及</w:t>
      </w:r>
      <w:r>
        <w:rPr>
          <w:rFonts w:hint="eastAsia" w:ascii="仿宋" w:hAnsi="仿宋" w:eastAsia="仿宋" w:cs="仿宋"/>
          <w:color w:val="auto"/>
        </w:rPr>
        <w:t>要求</w:t>
      </w:r>
      <w:bookmarkEnd w:id="100"/>
      <w:bookmarkEnd w:id="101"/>
      <w:bookmarkEnd w:id="102"/>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一、项目名称</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2021年市级水利维修建设资金项目（蓝田县三岔河小流域水土保持综合治理工程）</w:t>
      </w:r>
    </w:p>
    <w:p>
      <w:p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二、资金来源</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财政</w:t>
      </w:r>
      <w:r>
        <w:rPr>
          <w:rFonts w:hint="eastAsia" w:ascii="仿宋" w:hAnsi="仿宋" w:eastAsia="仿宋" w:cs="仿宋"/>
          <w:color w:val="auto"/>
          <w:sz w:val="24"/>
          <w:szCs w:val="24"/>
          <w:highlight w:val="none"/>
        </w:rPr>
        <w:t>资金</w:t>
      </w:r>
    </w:p>
    <w:p>
      <w:pPr>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三、工程内容</w:t>
      </w:r>
    </w:p>
    <w:p>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经济林总面积40.2公顷，主要布设在黑沟村和马王村的撂荒老旧梯田上，其中在小班编号92地块上栽植花椒，栽植间距为2m*3m，在小班编号19、61、130地块上栽植核桃，栽植间距4m*4m，在小班编号150地块上栽植柿子，栽植间距5m*5m，在小班编号33地块上栽植樱桃，栽植间距3m*3m。水保林总面积50.2公顷，布设为两块，一块布设在项目区沟道周边荒原地上，栽植树种为侧柏（苗高60cm），栽植面积49公顷。另外一块布设在靠近村庄及村道周围荒草地上，栽植树种为规格较高的白皮松（苗高150cm），栽植面积10.2公顷；在黑沟村内实施道路绿化长1000米，采用乔灌结合，乔木采用樱花、龙爪槐，灌木选用小叶黄杨球、红叶小檗、绿叶小檗。封禁主要布设在三岔河东西两侧及南部现有疏幼林地上，面积500公顷，对项目南侧部分地块进行封禁补植，面积45公顷，并设置封禁碑、封禁网围栏及水保宣传牌。</w:t>
      </w:r>
    </w:p>
    <w:p>
      <w:pPr>
        <w:spacing w:line="360" w:lineRule="auto"/>
        <w:rPr>
          <w:rFonts w:hint="default" w:ascii="仿宋" w:hAnsi="仿宋" w:eastAsia="仿宋" w:cs="仿宋"/>
          <w:color w:val="auto"/>
          <w:sz w:val="24"/>
          <w:szCs w:val="24"/>
          <w:highlight w:val="none"/>
          <w:lang w:val="en-US" w:eastAsia="zh-CN"/>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rPr>
          <w:rFonts w:hint="eastAsia" w:ascii="仿宋" w:hAnsi="仿宋" w:eastAsia="仿宋" w:cs="仿宋"/>
          <w:color w:val="auto"/>
        </w:rPr>
      </w:pPr>
    </w:p>
    <w:p>
      <w:pPr>
        <w:pStyle w:val="3"/>
        <w:keepNext w:val="0"/>
        <w:pageBreakBefore/>
        <w:spacing w:line="350" w:lineRule="auto"/>
        <w:jc w:val="center"/>
        <w:rPr>
          <w:rFonts w:hint="eastAsia" w:ascii="仿宋" w:hAnsi="仿宋" w:eastAsia="仿宋" w:cs="仿宋"/>
          <w:color w:val="auto"/>
          <w:sz w:val="32"/>
          <w:szCs w:val="32"/>
        </w:rPr>
      </w:pPr>
      <w:bookmarkStart w:id="103" w:name="_Toc421778384"/>
      <w:bookmarkStart w:id="104" w:name="_Toc12295"/>
      <w:bookmarkStart w:id="105" w:name="_Toc27303"/>
      <w:r>
        <w:rPr>
          <w:rFonts w:hint="eastAsia" w:ascii="仿宋" w:hAnsi="仿宋" w:eastAsia="仿宋" w:cs="仿宋"/>
          <w:color w:val="auto"/>
          <w:sz w:val="32"/>
          <w:szCs w:val="32"/>
        </w:rPr>
        <w:t>第八章</w:t>
      </w:r>
      <w:bookmarkEnd w:id="103"/>
      <w:bookmarkEnd w:id="104"/>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竞争性磋商响应文件</w:t>
      </w:r>
      <w:r>
        <w:rPr>
          <w:rFonts w:hint="eastAsia" w:ascii="仿宋" w:hAnsi="仿宋" w:eastAsia="仿宋" w:cs="仿宋"/>
          <w:color w:val="auto"/>
          <w:sz w:val="32"/>
          <w:szCs w:val="32"/>
        </w:rPr>
        <w:t>格式</w:t>
      </w:r>
      <w:bookmarkEnd w:id="105"/>
    </w:p>
    <w:p>
      <w:pPr>
        <w:spacing w:line="54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项目编号：</w:t>
      </w:r>
      <w:r>
        <w:rPr>
          <w:rFonts w:hint="eastAsia" w:ascii="仿宋" w:hAnsi="仿宋" w:eastAsia="仿宋" w:cs="仿宋"/>
          <w:b/>
          <w:bCs/>
          <w:color w:val="auto"/>
          <w:sz w:val="24"/>
          <w:szCs w:val="24"/>
          <w:highlight w:val="none"/>
          <w:lang w:eastAsia="zh-CN"/>
        </w:rPr>
        <w:t>HXGJXM2022-ZC-CS1021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rPr>
        <w:t>正本或副本）</w:t>
      </w:r>
    </w:p>
    <w:p>
      <w:pPr>
        <w:spacing w:line="360" w:lineRule="auto"/>
        <w:ind w:firstLine="420" w:firstLineChars="200"/>
        <w:rPr>
          <w:rFonts w:hint="eastAsia" w:ascii="仿宋" w:hAnsi="仿宋" w:eastAsia="仿宋" w:cs="仿宋"/>
          <w:color w:val="auto"/>
        </w:rPr>
      </w:pPr>
    </w:p>
    <w:p>
      <w:pPr>
        <w:spacing w:line="360" w:lineRule="auto"/>
        <w:ind w:firstLine="420" w:firstLineChars="200"/>
        <w:rPr>
          <w:rFonts w:hint="eastAsia" w:ascii="仿宋" w:hAnsi="仿宋" w:eastAsia="仿宋" w:cs="仿宋"/>
          <w:color w:val="auto"/>
        </w:rPr>
      </w:pPr>
    </w:p>
    <w:p>
      <w:pPr>
        <w:spacing w:line="360" w:lineRule="auto"/>
        <w:jc w:val="center"/>
        <w:rPr>
          <w:rFonts w:hint="eastAsia" w:ascii="仿宋" w:hAnsi="仿宋" w:eastAsia="仿宋" w:cs="仿宋"/>
          <w:b/>
          <w:bCs/>
          <w:color w:val="auto"/>
          <w:sz w:val="52"/>
          <w:szCs w:val="52"/>
        </w:rPr>
      </w:pPr>
    </w:p>
    <w:p>
      <w:pPr>
        <w:spacing w:line="360" w:lineRule="auto"/>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2021年市级水利维修建设资金项目（蓝田县三岔河小流域水土保持综合治理工程）</w:t>
      </w:r>
    </w:p>
    <w:p>
      <w:pPr>
        <w:spacing w:line="360" w:lineRule="auto"/>
        <w:jc w:val="center"/>
        <w:rPr>
          <w:rFonts w:hint="eastAsia" w:ascii="仿宋" w:hAnsi="仿宋" w:eastAsia="仿宋" w:cs="仿宋"/>
          <w:b/>
          <w:bCs/>
          <w:color w:val="auto"/>
          <w:sz w:val="44"/>
          <w:szCs w:val="44"/>
        </w:rPr>
      </w:pPr>
    </w:p>
    <w:p>
      <w:pPr>
        <w:spacing w:line="360" w:lineRule="auto"/>
        <w:rPr>
          <w:rFonts w:hint="eastAsia" w:ascii="仿宋" w:hAnsi="仿宋" w:eastAsia="仿宋" w:cs="仿宋"/>
          <w:color w:val="auto"/>
          <w:sz w:val="72"/>
          <w:szCs w:val="72"/>
        </w:rPr>
      </w:pPr>
    </w:p>
    <w:p>
      <w:pPr>
        <w:spacing w:line="360" w:lineRule="auto"/>
        <w:jc w:val="center"/>
        <w:rPr>
          <w:rFonts w:hint="eastAsia" w:ascii="仿宋" w:hAnsi="仿宋" w:eastAsia="仿宋" w:cs="仿宋"/>
          <w:b/>
          <w:bCs/>
          <w:color w:val="auto"/>
          <w:sz w:val="52"/>
          <w:szCs w:val="52"/>
          <w:lang w:eastAsia="zh-CN"/>
        </w:rPr>
      </w:pPr>
      <w:r>
        <w:rPr>
          <w:rFonts w:hint="eastAsia" w:ascii="仿宋" w:hAnsi="仿宋" w:eastAsia="仿宋" w:cs="仿宋"/>
          <w:b/>
          <w:bCs/>
          <w:color w:val="auto"/>
          <w:sz w:val="52"/>
          <w:szCs w:val="52"/>
          <w:lang w:eastAsia="zh-CN"/>
        </w:rPr>
        <w:t>竞争性磋商响应文件</w:t>
      </w:r>
    </w:p>
    <w:p>
      <w:pPr>
        <w:spacing w:line="360" w:lineRule="auto"/>
        <w:ind w:firstLine="420" w:firstLineChars="200"/>
        <w:rPr>
          <w:rFonts w:hint="eastAsia" w:ascii="仿宋" w:hAnsi="仿宋" w:eastAsia="仿宋" w:cs="仿宋"/>
          <w:color w:val="auto"/>
        </w:rPr>
      </w:pPr>
    </w:p>
    <w:p>
      <w:pPr>
        <w:spacing w:line="360" w:lineRule="auto"/>
        <w:ind w:firstLine="420" w:firstLineChars="200"/>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rPr>
          <w:rFonts w:hint="eastAsia" w:ascii="仿宋" w:hAnsi="仿宋" w:eastAsia="仿宋" w:cs="仿宋"/>
          <w:color w:val="auto"/>
        </w:rPr>
      </w:pPr>
    </w:p>
    <w:p>
      <w:pPr>
        <w:spacing w:line="360" w:lineRule="auto"/>
        <w:ind w:firstLine="420" w:firstLineChars="200"/>
        <w:rPr>
          <w:rFonts w:hint="eastAsia" w:ascii="仿宋" w:hAnsi="仿宋" w:eastAsia="仿宋" w:cs="仿宋"/>
          <w:color w:val="auto"/>
        </w:rPr>
      </w:pPr>
    </w:p>
    <w:p>
      <w:pPr>
        <w:spacing w:line="360" w:lineRule="auto"/>
        <w:ind w:firstLine="1124" w:firstLineChars="4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：（盖章）</w:t>
      </w:r>
    </w:p>
    <w:p>
      <w:pPr>
        <w:spacing w:line="360" w:lineRule="auto"/>
        <w:ind w:firstLine="1124" w:firstLineChars="4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法定代表人或其委托代理人：（签字或盖章）</w:t>
      </w:r>
    </w:p>
    <w:p>
      <w:pPr>
        <w:spacing w:line="360" w:lineRule="auto"/>
        <w:ind w:firstLine="1124" w:firstLineChars="4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p>
    <w:p>
      <w:pPr>
        <w:spacing w:line="360" w:lineRule="auto"/>
        <w:jc w:val="center"/>
        <w:rPr>
          <w:rFonts w:hint="eastAsia" w:ascii="仿宋" w:hAnsi="仿宋" w:eastAsia="仿宋" w:cs="仿宋"/>
          <w:color w:val="auto"/>
        </w:rPr>
        <w:sectPr>
          <w:pgSz w:w="11906" w:h="16838"/>
          <w:pgMar w:top="1417" w:right="1417" w:bottom="1417" w:left="1701" w:header="851" w:footer="992" w:gutter="0"/>
          <w:pgNumType w:fmt="decimal"/>
          <w:cols w:space="0" w:num="1"/>
          <w:docGrid w:type="lines" w:linePitch="312" w:charSpace="0"/>
        </w:sectPr>
      </w:pPr>
    </w:p>
    <w:p>
      <w:pPr>
        <w:jc w:val="center"/>
        <w:rPr>
          <w:rFonts w:hint="eastAsia" w:ascii="仿宋" w:hAnsi="仿宋" w:eastAsia="仿宋" w:cs="仿宋"/>
          <w:b/>
          <w:bCs/>
          <w:color w:val="auto"/>
          <w:sz w:val="32"/>
          <w:szCs w:val="32"/>
        </w:rPr>
      </w:pPr>
      <w:bookmarkStart w:id="106" w:name="_Toc420591666"/>
      <w:bookmarkStart w:id="107" w:name="_Toc372885969"/>
      <w:bookmarkStart w:id="108" w:name="_Toc420591500"/>
      <w:bookmarkStart w:id="109" w:name="_Toc421778385"/>
      <w:r>
        <w:rPr>
          <w:rFonts w:hint="eastAsia" w:ascii="仿宋" w:hAnsi="仿宋" w:eastAsia="仿宋" w:cs="仿宋"/>
          <w:b/>
          <w:bCs/>
          <w:color w:val="auto"/>
          <w:sz w:val="32"/>
          <w:szCs w:val="32"/>
        </w:rPr>
        <w:t>目</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录</w:t>
      </w:r>
      <w:bookmarkEnd w:id="106"/>
      <w:bookmarkEnd w:id="107"/>
      <w:bookmarkEnd w:id="108"/>
      <w:bookmarkEnd w:id="109"/>
    </w:p>
    <w:p>
      <w:pPr>
        <w:pStyle w:val="2"/>
        <w:rPr>
          <w:rFonts w:hint="eastAsia" w:ascii="仿宋" w:hAnsi="仿宋" w:eastAsia="仿宋" w:cs="仿宋"/>
          <w:color w:val="auto"/>
        </w:rPr>
      </w:pPr>
    </w:p>
    <w:p>
      <w:pPr>
        <w:spacing w:line="480" w:lineRule="auto"/>
        <w:ind w:left="2310" w:leftChars="11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第一部分    商务标</w:t>
      </w:r>
    </w:p>
    <w:p>
      <w:pPr>
        <w:spacing w:line="480" w:lineRule="auto"/>
        <w:ind w:left="2310" w:leftChars="1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磋商响应函</w:t>
      </w:r>
    </w:p>
    <w:p>
      <w:pPr>
        <w:spacing w:line="480" w:lineRule="auto"/>
        <w:ind w:left="2310" w:leftChars="1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二、</w:t>
      </w:r>
      <w:r>
        <w:rPr>
          <w:rFonts w:hint="eastAsia" w:ascii="仿宋" w:hAnsi="仿宋" w:eastAsia="仿宋" w:cs="仿宋"/>
          <w:color w:val="auto"/>
          <w:sz w:val="24"/>
          <w:szCs w:val="24"/>
          <w:lang w:eastAsia="zh-CN"/>
        </w:rPr>
        <w:t>报价一览表</w:t>
      </w:r>
    </w:p>
    <w:p>
      <w:pPr>
        <w:spacing w:line="480" w:lineRule="auto"/>
        <w:ind w:left="2310" w:leftChars="1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三、法定代表人身份证明</w:t>
      </w:r>
    </w:p>
    <w:p>
      <w:pPr>
        <w:spacing w:line="480" w:lineRule="auto"/>
        <w:ind w:left="2310" w:leftChars="1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四、法人授权委托书</w:t>
      </w:r>
    </w:p>
    <w:p>
      <w:pPr>
        <w:spacing w:line="480" w:lineRule="auto"/>
        <w:ind w:left="2310" w:leftChars="11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五、</w:t>
      </w:r>
      <w:r>
        <w:rPr>
          <w:rFonts w:hint="eastAsia" w:ascii="仿宋" w:hAnsi="仿宋" w:eastAsia="仿宋" w:cs="仿宋"/>
          <w:color w:val="auto"/>
          <w:sz w:val="24"/>
          <w:szCs w:val="24"/>
          <w:lang w:eastAsia="zh-CN"/>
        </w:rPr>
        <w:t>报价明细表</w:t>
      </w:r>
    </w:p>
    <w:p>
      <w:pPr>
        <w:spacing w:line="480" w:lineRule="auto"/>
        <w:ind w:left="2310" w:leftChars="1100"/>
        <w:jc w:val="left"/>
        <w:rPr>
          <w:rFonts w:hint="eastAsia" w:ascii="仿宋" w:hAnsi="仿宋" w:eastAsia="仿宋" w:cs="仿宋"/>
          <w:color w:val="auto"/>
          <w:sz w:val="24"/>
          <w:szCs w:val="24"/>
        </w:rPr>
      </w:pPr>
      <w:r>
        <w:rPr>
          <w:rFonts w:hint="eastAsia" w:ascii="仿宋" w:hAnsi="仿宋" w:eastAsia="仿宋" w:cs="仿宋"/>
          <w:color w:val="auto"/>
          <w:sz w:val="24"/>
          <w:szCs w:val="24"/>
        </w:rPr>
        <w:t>六、商务响应与说明</w:t>
      </w:r>
    </w:p>
    <w:p>
      <w:pPr>
        <w:spacing w:line="48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七、承诺书</w:t>
      </w:r>
    </w:p>
    <w:p>
      <w:pPr>
        <w:spacing w:line="48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highlight w:val="none"/>
        </w:rPr>
        <w:t xml:space="preserve"> 八、</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要求的其他文件或承诺</w:t>
      </w:r>
    </w:p>
    <w:p>
      <w:pPr>
        <w:spacing w:line="480" w:lineRule="auto"/>
        <w:ind w:left="2310" w:leftChars="1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九、其他可以证明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实力的文件   </w:t>
      </w:r>
    </w:p>
    <w:p>
      <w:pPr>
        <w:spacing w:line="480" w:lineRule="auto"/>
        <w:ind w:left="2310" w:leftChars="11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第二部分    技术标</w:t>
      </w:r>
    </w:p>
    <w:p>
      <w:pPr>
        <w:spacing w:line="480" w:lineRule="auto"/>
        <w:ind w:left="2310" w:leftChars="11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第三部分    资格标</w:t>
      </w:r>
    </w:p>
    <w:p>
      <w:pPr>
        <w:spacing w:line="480" w:lineRule="auto"/>
        <w:ind w:firstLine="2400" w:firstLineChars="1000"/>
        <w:jc w:val="left"/>
        <w:rPr>
          <w:rFonts w:hint="eastAsia" w:ascii="仿宋" w:hAnsi="仿宋" w:eastAsia="仿宋" w:cs="仿宋"/>
          <w:b/>
          <w:bCs/>
          <w:color w:val="auto"/>
          <w:sz w:val="32"/>
          <w:szCs w:val="32"/>
        </w:rPr>
      </w:pPr>
      <w:r>
        <w:rPr>
          <w:rFonts w:hint="eastAsia" w:ascii="仿宋" w:hAnsi="仿宋" w:eastAsia="仿宋" w:cs="仿宋"/>
          <w:color w:val="auto"/>
          <w:sz w:val="24"/>
          <w:szCs w:val="24"/>
        </w:rPr>
        <w:t>一、</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的基本情况介绍和资格声明</w:t>
      </w:r>
    </w:p>
    <w:p>
      <w:pPr>
        <w:spacing w:line="480" w:lineRule="auto"/>
        <w:ind w:firstLine="2400" w:firstLineChars="1000"/>
        <w:jc w:val="left"/>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资格证明文件</w:t>
      </w:r>
    </w:p>
    <w:p>
      <w:pPr>
        <w:spacing w:line="480" w:lineRule="auto"/>
        <w:jc w:val="left"/>
        <w:rPr>
          <w:rFonts w:hint="eastAsia" w:ascii="仿宋" w:hAnsi="仿宋" w:eastAsia="仿宋" w:cs="仿宋"/>
          <w:color w:val="auto"/>
          <w:sz w:val="24"/>
          <w:szCs w:val="24"/>
        </w:rPr>
      </w:pPr>
    </w:p>
    <w:p>
      <w:pPr>
        <w:spacing w:line="480" w:lineRule="auto"/>
        <w:ind w:firstLine="2448" w:firstLineChars="1020"/>
        <w:rPr>
          <w:rFonts w:hint="eastAsia" w:ascii="仿宋" w:hAnsi="仿宋" w:eastAsia="仿宋" w:cs="仿宋"/>
          <w:color w:val="auto"/>
          <w:sz w:val="24"/>
          <w:szCs w:val="24"/>
        </w:rPr>
      </w:pPr>
    </w:p>
    <w:p>
      <w:pPr>
        <w:spacing w:line="480" w:lineRule="auto"/>
        <w:rPr>
          <w:rFonts w:hint="eastAsia" w:ascii="仿宋" w:hAnsi="仿宋" w:eastAsia="仿宋" w:cs="仿宋"/>
          <w:color w:val="auto"/>
          <w:sz w:val="24"/>
          <w:szCs w:val="24"/>
        </w:rPr>
      </w:pPr>
    </w:p>
    <w:p>
      <w:pPr>
        <w:spacing w:line="480" w:lineRule="auto"/>
        <w:ind w:left="2310" w:leftChars="1100"/>
        <w:jc w:val="left"/>
        <w:rPr>
          <w:rFonts w:hint="eastAsia" w:ascii="仿宋" w:hAnsi="仿宋" w:eastAsia="仿宋" w:cs="仿宋"/>
          <w:b/>
          <w:bCs/>
          <w:color w:val="auto"/>
          <w:sz w:val="24"/>
          <w:szCs w:val="24"/>
        </w:rPr>
      </w:pPr>
      <w:bookmarkStart w:id="110" w:name="_Toc23278"/>
      <w:bookmarkStart w:id="111" w:name="_Toc32749"/>
      <w:bookmarkStart w:id="112" w:name="_Toc425240481"/>
      <w:bookmarkStart w:id="113" w:name="_Toc387"/>
      <w:bookmarkStart w:id="114" w:name="_Toc420591667"/>
      <w:bookmarkStart w:id="115" w:name="_Toc421778386"/>
    </w:p>
    <w:p>
      <w:pPr>
        <w:keepLines/>
        <w:pageBreakBefore/>
        <w:jc w:val="center"/>
        <w:outlineLvl w:val="1"/>
        <w:rPr>
          <w:rFonts w:hint="eastAsia" w:ascii="仿宋" w:hAnsi="仿宋" w:eastAsia="仿宋" w:cs="仿宋"/>
          <w:b/>
          <w:bCs/>
          <w:color w:val="auto"/>
          <w:sz w:val="32"/>
          <w:szCs w:val="32"/>
        </w:rPr>
      </w:pPr>
      <w:bookmarkStart w:id="116" w:name="_Toc25163"/>
      <w:r>
        <w:rPr>
          <w:rFonts w:hint="eastAsia" w:ascii="仿宋" w:hAnsi="仿宋" w:eastAsia="仿宋" w:cs="仿宋"/>
          <w:b/>
          <w:bCs/>
          <w:color w:val="auto"/>
          <w:sz w:val="32"/>
          <w:szCs w:val="32"/>
        </w:rPr>
        <w:t>第一部分 商务标</w:t>
      </w:r>
      <w:bookmarkEnd w:id="116"/>
    </w:p>
    <w:p>
      <w:pPr>
        <w:jc w:val="center"/>
        <w:outlineLvl w:val="1"/>
        <w:rPr>
          <w:rFonts w:hint="eastAsia" w:ascii="仿宋" w:hAnsi="仿宋" w:eastAsia="仿宋" w:cs="仿宋"/>
          <w:b/>
          <w:bCs/>
          <w:color w:val="auto"/>
          <w:sz w:val="32"/>
          <w:szCs w:val="32"/>
          <w:lang w:eastAsia="zh-CN"/>
        </w:rPr>
      </w:pPr>
      <w:bookmarkStart w:id="117" w:name="_Toc24435"/>
      <w:r>
        <w:rPr>
          <w:rFonts w:hint="eastAsia" w:ascii="仿宋" w:hAnsi="仿宋" w:eastAsia="仿宋" w:cs="仿宋"/>
          <w:b/>
          <w:bCs/>
          <w:color w:val="auto"/>
          <w:sz w:val="32"/>
          <w:szCs w:val="32"/>
        </w:rPr>
        <w:t>一、</w:t>
      </w:r>
      <w:bookmarkEnd w:id="110"/>
      <w:bookmarkEnd w:id="111"/>
      <w:bookmarkEnd w:id="112"/>
      <w:bookmarkEnd w:id="113"/>
      <w:bookmarkEnd w:id="114"/>
      <w:bookmarkEnd w:id="115"/>
      <w:r>
        <w:rPr>
          <w:rFonts w:hint="eastAsia" w:ascii="仿宋" w:hAnsi="仿宋" w:eastAsia="仿宋" w:cs="仿宋"/>
          <w:b/>
          <w:bCs/>
          <w:color w:val="auto"/>
          <w:sz w:val="32"/>
          <w:szCs w:val="32"/>
          <w:lang w:eastAsia="zh-CN"/>
        </w:rPr>
        <w:t>磋商响应函</w:t>
      </w:r>
      <w:bookmarkEnd w:id="117"/>
    </w:p>
    <w:p>
      <w:pPr>
        <w:pStyle w:val="31"/>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w:t>
      </w:r>
      <w:r>
        <w:rPr>
          <w:rFonts w:hint="eastAsia" w:ascii="仿宋" w:hAnsi="仿宋" w:eastAsia="仿宋" w:cs="仿宋"/>
          <w:color w:val="auto"/>
          <w:u w:val="single"/>
          <w:lang w:eastAsia="zh-CN"/>
        </w:rPr>
        <w:t>采购人</w:t>
      </w:r>
      <w:r>
        <w:rPr>
          <w:rFonts w:hint="eastAsia" w:ascii="仿宋" w:hAnsi="仿宋" w:eastAsia="仿宋" w:cs="仿宋"/>
          <w:color w:val="auto"/>
          <w:u w:val="single"/>
        </w:rPr>
        <w:t>）</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1、根据已收到</w:t>
      </w:r>
      <w:r>
        <w:rPr>
          <w:rFonts w:hint="eastAsia" w:ascii="仿宋" w:hAnsi="仿宋" w:eastAsia="仿宋" w:cs="仿宋"/>
          <w:color w:val="auto"/>
          <w:u w:val="single"/>
        </w:rPr>
        <w:t>（项目名称）（项目编号）</w:t>
      </w:r>
      <w:r>
        <w:rPr>
          <w:rFonts w:hint="eastAsia" w:ascii="仿宋" w:hAnsi="仿宋" w:eastAsia="仿宋" w:cs="仿宋"/>
          <w:color w:val="auto"/>
        </w:rPr>
        <w:t>的</w:t>
      </w:r>
      <w:r>
        <w:rPr>
          <w:rFonts w:hint="eastAsia" w:ascii="仿宋" w:hAnsi="仿宋" w:eastAsia="仿宋" w:cs="仿宋"/>
          <w:color w:val="auto"/>
          <w:lang w:eastAsia="zh-CN"/>
        </w:rPr>
        <w:t>竞争性磋商文件</w:t>
      </w:r>
      <w:r>
        <w:rPr>
          <w:rFonts w:hint="eastAsia" w:ascii="仿宋" w:hAnsi="仿宋" w:eastAsia="仿宋" w:cs="仿宋"/>
          <w:color w:val="auto"/>
        </w:rPr>
        <w:t>，遵照</w:t>
      </w:r>
      <w:r>
        <w:rPr>
          <w:rFonts w:hint="eastAsia" w:ascii="仿宋" w:hAnsi="仿宋" w:eastAsia="仿宋" w:cs="仿宋"/>
          <w:color w:val="auto"/>
          <w:szCs w:val="24"/>
          <w:highlight w:val="none"/>
        </w:rPr>
        <w:t>《中华人民共和国政府采购法》</w:t>
      </w:r>
      <w:r>
        <w:rPr>
          <w:rFonts w:hint="eastAsia" w:ascii="仿宋" w:hAnsi="仿宋" w:eastAsia="仿宋" w:cs="仿宋"/>
          <w:color w:val="auto"/>
          <w:szCs w:val="24"/>
          <w:highlight w:val="none"/>
          <w:lang w:eastAsia="zh-CN"/>
        </w:rPr>
        <w:t>及实施条例</w:t>
      </w:r>
      <w:r>
        <w:rPr>
          <w:rFonts w:hint="eastAsia" w:ascii="仿宋" w:hAnsi="仿宋" w:eastAsia="仿宋" w:cs="仿宋"/>
          <w:color w:val="auto"/>
          <w:szCs w:val="24"/>
          <w:highlight w:val="none"/>
        </w:rPr>
        <w:t>和关于印发《政府采购竞争性磋商采购方式管理暂行办法》的通知</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rPr>
        <w:t>财库</w:t>
      </w:r>
      <w:r>
        <w:rPr>
          <w:rFonts w:hint="eastAsia" w:ascii="仿宋" w:hAnsi="仿宋" w:eastAsia="仿宋" w:cs="仿宋"/>
          <w:color w:val="auto"/>
          <w:szCs w:val="24"/>
          <w:highlight w:val="none"/>
          <w:lang w:eastAsia="zh-CN"/>
        </w:rPr>
        <w:t>〔2014〕</w:t>
      </w:r>
      <w:r>
        <w:rPr>
          <w:rFonts w:hint="eastAsia" w:ascii="仿宋" w:hAnsi="仿宋" w:eastAsia="仿宋" w:cs="仿宋"/>
          <w:color w:val="auto"/>
          <w:szCs w:val="24"/>
          <w:highlight w:val="none"/>
        </w:rPr>
        <w:t>214号</w:t>
      </w:r>
      <w:r>
        <w:rPr>
          <w:rFonts w:hint="eastAsia" w:ascii="仿宋" w:hAnsi="仿宋" w:eastAsia="仿宋" w:cs="仿宋"/>
          <w:color w:val="auto"/>
          <w:szCs w:val="24"/>
          <w:highlight w:val="none"/>
          <w:lang w:eastAsia="zh-CN"/>
        </w:rPr>
        <w:t>）</w:t>
      </w:r>
      <w:r>
        <w:rPr>
          <w:rFonts w:hint="eastAsia" w:ascii="仿宋" w:hAnsi="仿宋" w:eastAsia="仿宋" w:cs="仿宋"/>
          <w:color w:val="auto"/>
          <w:highlight w:val="none"/>
        </w:rPr>
        <w:t>等有关规定，经踏勘本项目现场、参加答疑会议和仔细研究本工程</w:t>
      </w:r>
      <w:r>
        <w:rPr>
          <w:rFonts w:hint="eastAsia" w:ascii="仿宋" w:hAnsi="仿宋" w:eastAsia="仿宋" w:cs="仿宋"/>
          <w:color w:val="auto"/>
          <w:highlight w:val="none"/>
          <w:lang w:eastAsia="zh-CN"/>
        </w:rPr>
        <w:t>竞争性磋商文件</w:t>
      </w:r>
      <w:r>
        <w:rPr>
          <w:rFonts w:hint="eastAsia" w:ascii="仿宋" w:hAnsi="仿宋" w:eastAsia="仿宋" w:cs="仿宋"/>
          <w:color w:val="auto"/>
          <w:highlight w:val="none"/>
        </w:rPr>
        <w:t>、答疑纪要、合同条款、图纸、工程量清单</w:t>
      </w:r>
      <w:r>
        <w:rPr>
          <w:rFonts w:hint="eastAsia" w:ascii="仿宋" w:hAnsi="仿宋" w:eastAsia="仿宋" w:cs="仿宋"/>
          <w:color w:val="auto"/>
        </w:rPr>
        <w:t>及其他有关文件后，我方愿以人民币</w:t>
      </w:r>
      <w:r>
        <w:rPr>
          <w:rFonts w:hint="eastAsia" w:ascii="仿宋" w:hAnsi="仿宋" w:eastAsia="仿宋" w:cs="仿宋"/>
          <w:color w:val="auto"/>
          <w:u w:val="single"/>
        </w:rPr>
        <w:t>（大写）</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元（</w:t>
      </w:r>
      <w:r>
        <w:rPr>
          <w:rFonts w:hint="eastAsia" w:ascii="仿宋" w:hAnsi="仿宋" w:eastAsia="仿宋" w:cs="仿宋"/>
          <w:color w:val="auto"/>
          <w:u w:val="single"/>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元</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）的</w:t>
      </w:r>
      <w:r>
        <w:rPr>
          <w:rFonts w:hint="eastAsia" w:ascii="仿宋" w:hAnsi="仿宋" w:eastAsia="仿宋" w:cs="仿宋"/>
          <w:color w:val="auto"/>
          <w:lang w:eastAsia="zh-CN"/>
        </w:rPr>
        <w:t>磋商</w:t>
      </w:r>
      <w:r>
        <w:rPr>
          <w:rFonts w:hint="eastAsia" w:ascii="仿宋" w:hAnsi="仿宋" w:eastAsia="仿宋" w:cs="仿宋"/>
          <w:color w:val="auto"/>
        </w:rPr>
        <w:t>总报价，按</w:t>
      </w:r>
      <w:r>
        <w:rPr>
          <w:rFonts w:hint="eastAsia" w:ascii="仿宋" w:hAnsi="仿宋" w:eastAsia="仿宋" w:cs="仿宋"/>
          <w:color w:val="auto"/>
          <w:u w:val="single"/>
        </w:rPr>
        <w:t>（项目名称）（项目编号）</w:t>
      </w:r>
      <w:r>
        <w:rPr>
          <w:rFonts w:hint="eastAsia" w:ascii="仿宋" w:hAnsi="仿宋" w:eastAsia="仿宋" w:cs="仿宋"/>
          <w:color w:val="auto"/>
          <w:lang w:eastAsia="zh-CN"/>
        </w:rPr>
        <w:t>竞争性磋</w:t>
      </w:r>
      <w:r>
        <w:rPr>
          <w:rFonts w:hint="eastAsia" w:ascii="仿宋" w:hAnsi="仿宋" w:eastAsia="仿宋" w:cs="仿宋"/>
          <w:color w:val="auto"/>
          <w:highlight w:val="none"/>
          <w:lang w:eastAsia="zh-CN"/>
        </w:rPr>
        <w:t>商文件</w:t>
      </w:r>
      <w:r>
        <w:rPr>
          <w:rFonts w:hint="eastAsia" w:ascii="仿宋" w:hAnsi="仿宋" w:eastAsia="仿宋" w:cs="仿宋"/>
          <w:color w:val="auto"/>
          <w:highlight w:val="none"/>
        </w:rPr>
        <w:t>、答疑纪要、合</w:t>
      </w:r>
      <w:r>
        <w:rPr>
          <w:rFonts w:hint="eastAsia" w:ascii="仿宋" w:hAnsi="仿宋" w:eastAsia="仿宋" w:cs="仿宋"/>
          <w:color w:val="auto"/>
        </w:rPr>
        <w:t>同条款、施工图纸、工程量清单及其他有关文件等承包本工程的施工、竣工和保修，并承担任何质量缺陷保修责任。</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2、我方已详细审核全部</w:t>
      </w:r>
      <w:r>
        <w:rPr>
          <w:rFonts w:hint="eastAsia" w:ascii="仿宋" w:hAnsi="仿宋" w:eastAsia="仿宋" w:cs="仿宋"/>
          <w:color w:val="auto"/>
          <w:lang w:eastAsia="zh-CN"/>
        </w:rPr>
        <w:t>竞争性磋商文件</w:t>
      </w:r>
      <w:r>
        <w:rPr>
          <w:rFonts w:hint="eastAsia" w:ascii="仿宋" w:hAnsi="仿宋" w:eastAsia="仿宋" w:cs="仿宋"/>
          <w:color w:val="auto"/>
        </w:rPr>
        <w:t>及有关附件、工程现场条件、答疑纪要、补遗书等文件。</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3、该报价是完成本</w:t>
      </w:r>
      <w:r>
        <w:rPr>
          <w:rFonts w:hint="eastAsia" w:ascii="仿宋" w:hAnsi="仿宋" w:eastAsia="仿宋" w:cs="仿宋"/>
          <w:color w:val="auto"/>
          <w:lang w:eastAsia="zh-CN"/>
        </w:rPr>
        <w:t>竞争性磋商文件</w:t>
      </w:r>
      <w:r>
        <w:rPr>
          <w:rFonts w:hint="eastAsia" w:ascii="仿宋" w:hAnsi="仿宋" w:eastAsia="仿宋" w:cs="仿宋"/>
          <w:color w:val="auto"/>
        </w:rPr>
        <w:t>规定的、所需的一切费用，且不低于我单位工程施工的成本价。</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4、如果我方</w:t>
      </w:r>
      <w:r>
        <w:rPr>
          <w:rFonts w:hint="eastAsia" w:ascii="仿宋" w:hAnsi="仿宋" w:eastAsia="仿宋" w:cs="仿宋"/>
          <w:color w:val="auto"/>
          <w:lang w:eastAsia="zh-CN"/>
        </w:rPr>
        <w:t>成交</w:t>
      </w:r>
      <w:r>
        <w:rPr>
          <w:rFonts w:hint="eastAsia" w:ascii="仿宋" w:hAnsi="仿宋" w:eastAsia="仿宋" w:cs="仿宋"/>
          <w:color w:val="auto"/>
        </w:rPr>
        <w:t>，我方保证在</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none"/>
          <w:lang w:val="en-US" w:eastAsia="zh-CN"/>
        </w:rPr>
        <w:t>日历天内完工</w:t>
      </w:r>
      <w:r>
        <w:rPr>
          <w:rFonts w:hint="eastAsia" w:ascii="仿宋" w:hAnsi="仿宋" w:eastAsia="仿宋" w:cs="仿宋"/>
          <w:color w:val="auto"/>
        </w:rPr>
        <w:t>，并确保工程质量达到标准。拟派项目</w:t>
      </w:r>
      <w:r>
        <w:rPr>
          <w:rFonts w:hint="eastAsia" w:ascii="仿宋" w:hAnsi="仿宋" w:eastAsia="仿宋" w:cs="仿宋"/>
          <w:color w:val="auto"/>
          <w:lang w:eastAsia="zh-CN"/>
        </w:rPr>
        <w:t>经理</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，证书编号</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。我方同意本</w:t>
      </w:r>
      <w:r>
        <w:rPr>
          <w:rFonts w:hint="eastAsia" w:ascii="仿宋" w:hAnsi="仿宋" w:eastAsia="仿宋" w:cs="仿宋"/>
          <w:color w:val="auto"/>
          <w:lang w:eastAsia="zh-CN"/>
        </w:rPr>
        <w:t>磋商响应函</w:t>
      </w:r>
      <w:r>
        <w:rPr>
          <w:rFonts w:hint="eastAsia" w:ascii="仿宋" w:hAnsi="仿宋" w:eastAsia="仿宋" w:cs="仿宋"/>
          <w:color w:val="auto"/>
        </w:rPr>
        <w:t>在</w:t>
      </w:r>
      <w:r>
        <w:rPr>
          <w:rFonts w:hint="eastAsia" w:ascii="仿宋" w:hAnsi="仿宋" w:eastAsia="仿宋" w:cs="仿宋"/>
          <w:color w:val="auto"/>
          <w:lang w:eastAsia="zh-CN"/>
        </w:rPr>
        <w:t>竞争性磋商文件</w:t>
      </w:r>
      <w:r>
        <w:rPr>
          <w:rFonts w:hint="eastAsia" w:ascii="仿宋" w:hAnsi="仿宋" w:eastAsia="仿宋" w:cs="仿宋"/>
          <w:color w:val="auto"/>
        </w:rPr>
        <w:t>规定的提交</w:t>
      </w:r>
      <w:r>
        <w:rPr>
          <w:rFonts w:hint="eastAsia" w:ascii="仿宋" w:hAnsi="仿宋" w:eastAsia="仿宋" w:cs="仿宋"/>
          <w:color w:val="auto"/>
          <w:lang w:eastAsia="zh-CN"/>
        </w:rPr>
        <w:t>竞争性磋商响应文件</w:t>
      </w:r>
      <w:r>
        <w:rPr>
          <w:rFonts w:hint="eastAsia" w:ascii="仿宋" w:hAnsi="仿宋" w:eastAsia="仿宋" w:cs="仿宋"/>
          <w:color w:val="auto"/>
        </w:rPr>
        <w:t>截止时间后，在</w:t>
      </w:r>
      <w:r>
        <w:rPr>
          <w:rFonts w:hint="eastAsia" w:ascii="仿宋" w:hAnsi="仿宋" w:eastAsia="仿宋" w:cs="仿宋"/>
          <w:color w:val="auto"/>
          <w:lang w:eastAsia="zh-CN"/>
        </w:rPr>
        <w:t>竞争性磋商文件</w:t>
      </w:r>
      <w:r>
        <w:rPr>
          <w:rFonts w:hint="eastAsia" w:ascii="仿宋" w:hAnsi="仿宋" w:eastAsia="仿宋" w:cs="仿宋"/>
          <w:color w:val="auto"/>
        </w:rPr>
        <w:t>规定的</w:t>
      </w:r>
      <w:r>
        <w:rPr>
          <w:rFonts w:hint="eastAsia" w:ascii="仿宋" w:hAnsi="仿宋" w:eastAsia="仿宋" w:cs="仿宋"/>
          <w:color w:val="auto"/>
          <w:lang w:eastAsia="zh-CN"/>
        </w:rPr>
        <w:t>磋商有效期</w:t>
      </w:r>
      <w:r>
        <w:rPr>
          <w:rFonts w:hint="eastAsia" w:ascii="仿宋" w:hAnsi="仿宋" w:eastAsia="仿宋" w:cs="仿宋"/>
          <w:color w:val="auto"/>
        </w:rPr>
        <w:t>期满前对我方具有约束力，且随时准备接受你方发出的</w:t>
      </w:r>
      <w:r>
        <w:rPr>
          <w:rFonts w:hint="eastAsia" w:ascii="仿宋" w:hAnsi="仿宋" w:eastAsia="仿宋" w:cs="仿宋"/>
          <w:color w:val="auto"/>
          <w:lang w:eastAsia="zh-CN"/>
        </w:rPr>
        <w:t>成交</w:t>
      </w:r>
      <w:r>
        <w:rPr>
          <w:rFonts w:hint="eastAsia" w:ascii="仿宋" w:hAnsi="仿宋" w:eastAsia="仿宋" w:cs="仿宋"/>
          <w:color w:val="auto"/>
        </w:rPr>
        <w:t>通知书。</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5、如果我方</w:t>
      </w:r>
      <w:r>
        <w:rPr>
          <w:rFonts w:hint="eastAsia" w:ascii="仿宋" w:hAnsi="仿宋" w:eastAsia="仿宋" w:cs="仿宋"/>
          <w:color w:val="auto"/>
          <w:lang w:eastAsia="zh-CN"/>
        </w:rPr>
        <w:t>成交</w:t>
      </w:r>
      <w:r>
        <w:rPr>
          <w:rFonts w:hint="eastAsia" w:ascii="仿宋" w:hAnsi="仿宋" w:eastAsia="仿宋" w:cs="仿宋"/>
          <w:color w:val="auto"/>
        </w:rPr>
        <w:t>，我方将按照</w:t>
      </w:r>
      <w:r>
        <w:rPr>
          <w:rFonts w:hint="eastAsia" w:ascii="仿宋" w:hAnsi="仿宋" w:eastAsia="仿宋" w:cs="仿宋"/>
          <w:color w:val="auto"/>
          <w:lang w:eastAsia="zh-CN"/>
        </w:rPr>
        <w:t>采购人</w:t>
      </w:r>
      <w:r>
        <w:rPr>
          <w:rFonts w:hint="eastAsia" w:ascii="仿宋" w:hAnsi="仿宋" w:eastAsia="仿宋" w:cs="仿宋"/>
          <w:color w:val="auto"/>
        </w:rPr>
        <w:t>规定时间足额提交合同履约保证金。</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6、我方保证递交的本工程相关资料和</w:t>
      </w:r>
      <w:r>
        <w:rPr>
          <w:rFonts w:hint="eastAsia" w:ascii="仿宋" w:hAnsi="仿宋" w:eastAsia="仿宋" w:cs="仿宋"/>
          <w:color w:val="auto"/>
          <w:lang w:eastAsia="zh-CN"/>
        </w:rPr>
        <w:t>磋商响应函</w:t>
      </w:r>
      <w:r>
        <w:rPr>
          <w:rFonts w:hint="eastAsia" w:ascii="仿宋" w:hAnsi="仿宋" w:eastAsia="仿宋" w:cs="仿宋"/>
          <w:color w:val="auto"/>
        </w:rPr>
        <w:t>中各种附件是真实可靠的，如有不实，我方将无条件接受</w:t>
      </w:r>
      <w:r>
        <w:rPr>
          <w:rFonts w:hint="eastAsia" w:ascii="仿宋" w:hAnsi="仿宋" w:eastAsia="仿宋" w:cs="仿宋"/>
          <w:color w:val="auto"/>
          <w:lang w:eastAsia="zh-CN"/>
        </w:rPr>
        <w:t>采购人</w:t>
      </w:r>
      <w:r>
        <w:rPr>
          <w:rFonts w:hint="eastAsia" w:ascii="仿宋" w:hAnsi="仿宋" w:eastAsia="仿宋" w:cs="仿宋"/>
          <w:color w:val="auto"/>
        </w:rPr>
        <w:t>的处理决定，甚至自动退出</w:t>
      </w:r>
      <w:r>
        <w:rPr>
          <w:rFonts w:hint="eastAsia" w:ascii="仿宋" w:hAnsi="仿宋" w:eastAsia="仿宋" w:cs="仿宋"/>
          <w:color w:val="auto"/>
          <w:lang w:eastAsia="zh-CN"/>
        </w:rPr>
        <w:t>磋商</w:t>
      </w:r>
      <w:r>
        <w:rPr>
          <w:rFonts w:hint="eastAsia" w:ascii="仿宋" w:hAnsi="仿宋" w:eastAsia="仿宋" w:cs="仿宋"/>
          <w:color w:val="auto"/>
        </w:rPr>
        <w:t>，由此产生的一切后果均由我方负责。</w:t>
      </w:r>
    </w:p>
    <w:p>
      <w:pPr>
        <w:pStyle w:val="31"/>
        <w:spacing w:before="0" w:beforeAutospacing="0" w:after="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7、除非另外达成协议并生效，你方的</w:t>
      </w:r>
      <w:r>
        <w:rPr>
          <w:rFonts w:hint="eastAsia" w:ascii="仿宋" w:hAnsi="仿宋" w:eastAsia="仿宋" w:cs="仿宋"/>
          <w:color w:val="auto"/>
          <w:highlight w:val="none"/>
          <w:lang w:eastAsia="zh-CN"/>
        </w:rPr>
        <w:t>成交</w:t>
      </w:r>
      <w:r>
        <w:rPr>
          <w:rFonts w:hint="eastAsia" w:ascii="仿宋" w:hAnsi="仿宋" w:eastAsia="仿宋" w:cs="仿宋"/>
          <w:color w:val="auto"/>
          <w:highlight w:val="none"/>
        </w:rPr>
        <w:t>通知书和本</w:t>
      </w:r>
      <w:r>
        <w:rPr>
          <w:rFonts w:hint="eastAsia" w:ascii="仿宋" w:hAnsi="仿宋" w:eastAsia="仿宋" w:cs="仿宋"/>
          <w:color w:val="auto"/>
          <w:highlight w:val="none"/>
          <w:lang w:eastAsia="zh-CN"/>
        </w:rPr>
        <w:t>竞争性磋商响应文件</w:t>
      </w:r>
      <w:r>
        <w:rPr>
          <w:rFonts w:hint="eastAsia" w:ascii="仿宋" w:hAnsi="仿宋" w:eastAsia="仿宋" w:cs="仿宋"/>
          <w:color w:val="auto"/>
          <w:highlight w:val="none"/>
        </w:rPr>
        <w:t>将构成约束我们双方的合同。</w:t>
      </w:r>
    </w:p>
    <w:p>
      <w:pPr>
        <w:pStyle w:val="31"/>
        <w:spacing w:before="0" w:beforeAutospacing="0" w:after="0" w:afterAutospacing="0" w:line="360" w:lineRule="auto"/>
        <w:ind w:firstLine="480" w:firstLineChars="200"/>
        <w:rPr>
          <w:rStyle w:val="38"/>
          <w:rFonts w:hint="eastAsia" w:ascii="仿宋" w:hAnsi="仿宋" w:eastAsia="仿宋" w:cs="仿宋"/>
          <w:b w:val="0"/>
          <w:bCs w:val="0"/>
          <w:color w:val="auto"/>
        </w:rPr>
      </w:pPr>
      <w:r>
        <w:rPr>
          <w:rFonts w:hint="eastAsia" w:ascii="仿宋" w:hAnsi="仿宋" w:eastAsia="仿宋" w:cs="仿宋"/>
          <w:color w:val="auto"/>
          <w:highlight w:val="none"/>
        </w:rPr>
        <w:t>8、我方的</w:t>
      </w:r>
      <w:r>
        <w:rPr>
          <w:rFonts w:hint="eastAsia" w:ascii="仿宋" w:hAnsi="仿宋" w:eastAsia="仿宋" w:cs="仿宋"/>
          <w:color w:val="auto"/>
          <w:highlight w:val="none"/>
          <w:lang w:eastAsia="zh-CN"/>
        </w:rPr>
        <w:t>竞争性磋商响应文件</w:t>
      </w:r>
      <w:r>
        <w:rPr>
          <w:rFonts w:hint="eastAsia" w:ascii="仿宋" w:hAnsi="仿宋" w:eastAsia="仿宋" w:cs="仿宋"/>
          <w:color w:val="auto"/>
          <w:highlight w:val="none"/>
        </w:rPr>
        <w:t>在</w:t>
      </w:r>
      <w:r>
        <w:rPr>
          <w:rFonts w:hint="eastAsia" w:ascii="仿宋" w:hAnsi="仿宋" w:eastAsia="仿宋" w:cs="仿宋"/>
          <w:color w:val="auto"/>
          <w:highlight w:val="none"/>
          <w:lang w:eastAsia="zh-CN"/>
        </w:rPr>
        <w:t>磋商</w:t>
      </w:r>
      <w:r>
        <w:rPr>
          <w:rFonts w:hint="eastAsia" w:ascii="仿宋" w:hAnsi="仿宋" w:eastAsia="仿宋" w:cs="仿宋"/>
          <w:color w:val="auto"/>
          <w:highlight w:val="none"/>
        </w:rPr>
        <w:t>后</w:t>
      </w:r>
      <w:r>
        <w:rPr>
          <w:rFonts w:hint="eastAsia" w:ascii="仿宋" w:hAnsi="仿宋" w:eastAsia="仿宋" w:cs="仿宋"/>
          <w:color w:val="auto"/>
          <w:highlight w:val="none"/>
          <w:u w:val="single"/>
          <w:lang w:val="en-US" w:eastAsia="zh-CN"/>
        </w:rPr>
        <w:t xml:space="preserve">     天</w:t>
      </w:r>
      <w:r>
        <w:rPr>
          <w:rFonts w:hint="eastAsia" w:ascii="仿宋" w:hAnsi="仿宋" w:eastAsia="仿宋" w:cs="仿宋"/>
          <w:color w:val="auto"/>
          <w:highlight w:val="none"/>
        </w:rPr>
        <w:t>有效，在</w:t>
      </w:r>
      <w:r>
        <w:rPr>
          <w:rFonts w:hint="eastAsia" w:ascii="仿宋" w:hAnsi="仿宋" w:eastAsia="仿宋" w:cs="仿宋"/>
          <w:color w:val="auto"/>
          <w:highlight w:val="none"/>
          <w:lang w:eastAsia="zh-CN"/>
        </w:rPr>
        <w:t>磋商有效期</w:t>
      </w:r>
      <w:r>
        <w:rPr>
          <w:rFonts w:hint="eastAsia" w:ascii="仿宋" w:hAnsi="仿宋" w:eastAsia="仿宋" w:cs="仿宋"/>
          <w:color w:val="auto"/>
        </w:rPr>
        <w:t>内不修改或撤回</w:t>
      </w:r>
      <w:r>
        <w:rPr>
          <w:rFonts w:hint="eastAsia" w:ascii="仿宋" w:hAnsi="仿宋" w:eastAsia="仿宋" w:cs="仿宋"/>
          <w:color w:val="auto"/>
          <w:lang w:eastAsia="zh-CN"/>
        </w:rPr>
        <w:t>竞争性磋商响应文件</w:t>
      </w:r>
      <w:r>
        <w:rPr>
          <w:rFonts w:hint="eastAsia" w:ascii="仿宋" w:hAnsi="仿宋" w:eastAsia="仿宋" w:cs="仿宋"/>
          <w:color w:val="auto"/>
        </w:rPr>
        <w:t>。</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9、我方理解你方及</w:t>
      </w:r>
      <w:r>
        <w:rPr>
          <w:rFonts w:hint="eastAsia" w:ascii="仿宋" w:hAnsi="仿宋" w:eastAsia="仿宋" w:cs="仿宋"/>
          <w:color w:val="auto"/>
          <w:lang w:eastAsia="zh-CN"/>
        </w:rPr>
        <w:t>采购代理机构</w:t>
      </w:r>
      <w:r>
        <w:rPr>
          <w:rFonts w:hint="eastAsia" w:ascii="仿宋" w:hAnsi="仿宋" w:eastAsia="仿宋" w:cs="仿宋"/>
          <w:color w:val="auto"/>
        </w:rPr>
        <w:t>不另负担我们的任何</w:t>
      </w:r>
      <w:r>
        <w:rPr>
          <w:rFonts w:hint="eastAsia" w:ascii="仿宋" w:hAnsi="仿宋" w:eastAsia="仿宋" w:cs="仿宋"/>
          <w:color w:val="auto"/>
          <w:lang w:eastAsia="zh-CN"/>
        </w:rPr>
        <w:t>磋商</w:t>
      </w:r>
      <w:r>
        <w:rPr>
          <w:rFonts w:hint="eastAsia" w:ascii="仿宋" w:hAnsi="仿宋" w:eastAsia="仿宋" w:cs="仿宋"/>
          <w:color w:val="auto"/>
        </w:rPr>
        <w:t>费用，无论我方总报价中是否包括</w:t>
      </w:r>
      <w:r>
        <w:rPr>
          <w:rFonts w:hint="eastAsia" w:ascii="仿宋" w:hAnsi="仿宋" w:eastAsia="仿宋" w:cs="仿宋"/>
          <w:color w:val="auto"/>
          <w:lang w:eastAsia="zh-CN"/>
        </w:rPr>
        <w:t>磋商</w:t>
      </w:r>
      <w:r>
        <w:rPr>
          <w:rFonts w:hint="eastAsia" w:ascii="仿宋" w:hAnsi="仿宋" w:eastAsia="仿宋" w:cs="仿宋"/>
          <w:color w:val="auto"/>
        </w:rPr>
        <w:t>费用，也无论是否能够</w:t>
      </w:r>
      <w:r>
        <w:rPr>
          <w:rFonts w:hint="eastAsia" w:ascii="仿宋" w:hAnsi="仿宋" w:eastAsia="仿宋" w:cs="仿宋"/>
          <w:color w:val="auto"/>
          <w:lang w:eastAsia="zh-CN"/>
        </w:rPr>
        <w:t>成交</w:t>
      </w:r>
      <w:r>
        <w:rPr>
          <w:rFonts w:hint="eastAsia" w:ascii="仿宋" w:hAnsi="仿宋" w:eastAsia="仿宋" w:cs="仿宋"/>
          <w:color w:val="auto"/>
        </w:rPr>
        <w:t>，均不要求你方及</w:t>
      </w:r>
      <w:r>
        <w:rPr>
          <w:rFonts w:hint="eastAsia" w:ascii="仿宋" w:hAnsi="仿宋" w:eastAsia="仿宋" w:cs="仿宋"/>
          <w:color w:val="auto"/>
          <w:lang w:eastAsia="zh-CN"/>
        </w:rPr>
        <w:t>采购代理机构</w:t>
      </w:r>
      <w:r>
        <w:rPr>
          <w:rFonts w:hint="eastAsia" w:ascii="仿宋" w:hAnsi="仿宋" w:eastAsia="仿宋" w:cs="仿宋"/>
          <w:color w:val="auto"/>
        </w:rPr>
        <w:t>对</w:t>
      </w:r>
      <w:r>
        <w:rPr>
          <w:rFonts w:hint="eastAsia" w:ascii="仿宋" w:hAnsi="仿宋" w:eastAsia="仿宋" w:cs="仿宋"/>
          <w:color w:val="auto"/>
          <w:lang w:eastAsia="zh-CN"/>
        </w:rPr>
        <w:t>磋商</w:t>
      </w:r>
      <w:r>
        <w:rPr>
          <w:rFonts w:hint="eastAsia" w:ascii="仿宋" w:hAnsi="仿宋" w:eastAsia="仿宋" w:cs="仿宋"/>
          <w:color w:val="auto"/>
        </w:rPr>
        <w:t>费用做任何补偿。</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10、我方理解你方及</w:t>
      </w:r>
      <w:r>
        <w:rPr>
          <w:rFonts w:hint="eastAsia" w:ascii="仿宋" w:hAnsi="仿宋" w:eastAsia="仿宋" w:cs="仿宋"/>
          <w:color w:val="auto"/>
          <w:lang w:eastAsia="zh-CN"/>
        </w:rPr>
        <w:t>采购代理机构</w:t>
      </w:r>
      <w:r>
        <w:rPr>
          <w:rFonts w:hint="eastAsia" w:ascii="仿宋" w:hAnsi="仿宋" w:eastAsia="仿宋" w:cs="仿宋"/>
          <w:color w:val="auto"/>
        </w:rPr>
        <w:t>，我方不要求你方及</w:t>
      </w:r>
      <w:r>
        <w:rPr>
          <w:rFonts w:hint="eastAsia" w:ascii="仿宋" w:hAnsi="仿宋" w:eastAsia="仿宋" w:cs="仿宋"/>
          <w:color w:val="auto"/>
          <w:lang w:eastAsia="zh-CN"/>
        </w:rPr>
        <w:t>采购代理机构</w:t>
      </w:r>
      <w:r>
        <w:rPr>
          <w:rFonts w:hint="eastAsia" w:ascii="仿宋" w:hAnsi="仿宋" w:eastAsia="仿宋" w:cs="仿宋"/>
          <w:color w:val="auto"/>
        </w:rPr>
        <w:t>对未</w:t>
      </w:r>
      <w:r>
        <w:rPr>
          <w:rFonts w:hint="eastAsia" w:ascii="仿宋" w:hAnsi="仿宋" w:eastAsia="仿宋" w:cs="仿宋"/>
          <w:color w:val="auto"/>
          <w:lang w:eastAsia="zh-CN"/>
        </w:rPr>
        <w:t>成交</w:t>
      </w:r>
      <w:r>
        <w:rPr>
          <w:rFonts w:hint="eastAsia" w:ascii="仿宋" w:hAnsi="仿宋" w:eastAsia="仿宋" w:cs="仿宋"/>
          <w:color w:val="auto"/>
        </w:rPr>
        <w:t>原因做任何解释，也不退回</w:t>
      </w:r>
      <w:r>
        <w:rPr>
          <w:rFonts w:hint="eastAsia" w:ascii="仿宋" w:hAnsi="仿宋" w:eastAsia="仿宋" w:cs="仿宋"/>
          <w:color w:val="auto"/>
          <w:lang w:eastAsia="zh-CN"/>
        </w:rPr>
        <w:t>竞争性磋商响应文件</w:t>
      </w:r>
      <w:r>
        <w:rPr>
          <w:rFonts w:hint="eastAsia" w:ascii="仿宋" w:hAnsi="仿宋" w:eastAsia="仿宋" w:cs="仿宋"/>
          <w:color w:val="auto"/>
        </w:rPr>
        <w:t>。</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11、如果因我方原因放弃</w:t>
      </w:r>
      <w:r>
        <w:rPr>
          <w:rFonts w:hint="eastAsia" w:ascii="仿宋" w:hAnsi="仿宋" w:eastAsia="仿宋" w:cs="仿宋"/>
          <w:color w:val="auto"/>
          <w:lang w:eastAsia="zh-CN"/>
        </w:rPr>
        <w:t>成交</w:t>
      </w:r>
      <w:r>
        <w:rPr>
          <w:rFonts w:hint="eastAsia" w:ascii="仿宋" w:hAnsi="仿宋" w:eastAsia="仿宋" w:cs="仿宋"/>
          <w:color w:val="auto"/>
        </w:rPr>
        <w:t>，我方承诺，</w:t>
      </w:r>
      <w:r>
        <w:rPr>
          <w:rFonts w:hint="eastAsia" w:ascii="仿宋" w:hAnsi="仿宋" w:eastAsia="仿宋" w:cs="仿宋"/>
          <w:color w:val="auto"/>
          <w:lang w:eastAsia="zh-CN"/>
        </w:rPr>
        <w:t>将按照政府采购相关规定承担相应的责任</w:t>
      </w:r>
      <w:r>
        <w:rPr>
          <w:rFonts w:hint="eastAsia" w:ascii="仿宋" w:hAnsi="仿宋" w:eastAsia="仿宋" w:cs="仿宋"/>
          <w:color w:val="auto"/>
        </w:rPr>
        <w:t>。</w:t>
      </w:r>
    </w:p>
    <w:p>
      <w:pPr>
        <w:pStyle w:val="31"/>
        <w:spacing w:before="0" w:beforeAutospacing="0" w:after="0" w:afterAutospacing="0" w:line="360" w:lineRule="auto"/>
        <w:ind w:firstLine="480" w:firstLineChars="200"/>
        <w:rPr>
          <w:rFonts w:hint="eastAsia" w:ascii="仿宋" w:hAnsi="仿宋" w:eastAsia="仿宋" w:cs="仿宋"/>
          <w:color w:val="auto"/>
        </w:rPr>
      </w:pPr>
      <w:r>
        <w:rPr>
          <w:rFonts w:hint="eastAsia" w:ascii="仿宋" w:hAnsi="仿宋" w:eastAsia="仿宋" w:cs="仿宋"/>
          <w:color w:val="auto"/>
        </w:rPr>
        <w:t>12、若我方</w:t>
      </w:r>
      <w:r>
        <w:rPr>
          <w:rFonts w:hint="eastAsia" w:ascii="仿宋" w:hAnsi="仿宋" w:eastAsia="仿宋" w:cs="仿宋"/>
          <w:color w:val="auto"/>
          <w:lang w:eastAsia="zh-CN"/>
        </w:rPr>
        <w:t>成交</w:t>
      </w:r>
      <w:r>
        <w:rPr>
          <w:rFonts w:hint="eastAsia" w:ascii="仿宋" w:hAnsi="仿宋" w:eastAsia="仿宋" w:cs="仿宋"/>
          <w:color w:val="auto"/>
        </w:rPr>
        <w:t>，将按时按规定缴纳</w:t>
      </w:r>
      <w:r>
        <w:rPr>
          <w:rFonts w:hint="eastAsia" w:ascii="仿宋" w:hAnsi="仿宋" w:eastAsia="仿宋" w:cs="仿宋"/>
          <w:color w:val="auto"/>
          <w:lang w:eastAsia="zh-CN"/>
        </w:rPr>
        <w:t>招标</w:t>
      </w:r>
      <w:r>
        <w:rPr>
          <w:rFonts w:hint="eastAsia" w:ascii="仿宋" w:hAnsi="仿宋" w:eastAsia="仿宋" w:cs="仿宋"/>
          <w:color w:val="auto"/>
        </w:rPr>
        <w:t>代理服务费。</w:t>
      </w:r>
    </w:p>
    <w:p>
      <w:pPr>
        <w:pStyle w:val="31"/>
        <w:spacing w:before="0" w:beforeAutospacing="0" w:after="0" w:afterAutospacing="0" w:line="360" w:lineRule="auto"/>
        <w:ind w:firstLine="480" w:firstLineChars="200"/>
        <w:rPr>
          <w:rFonts w:hint="eastAsia" w:ascii="仿宋" w:hAnsi="仿宋" w:eastAsia="仿宋" w:cs="仿宋"/>
          <w:color w:val="auto"/>
        </w:rPr>
      </w:pPr>
    </w:p>
    <w:p>
      <w:pPr>
        <w:pStyle w:val="31"/>
        <w:spacing w:before="0" w:beforeAutospacing="0" w:after="0" w:afterAutospacing="0" w:line="360" w:lineRule="auto"/>
        <w:ind w:firstLine="480" w:firstLineChars="200"/>
        <w:rPr>
          <w:rFonts w:hint="eastAsia" w:ascii="仿宋" w:hAnsi="仿宋" w:eastAsia="仿宋" w:cs="仿宋"/>
          <w:color w:val="auto"/>
        </w:rPr>
      </w:pPr>
    </w:p>
    <w:p>
      <w:pPr>
        <w:pStyle w:val="31"/>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：（盖章）</w:t>
      </w:r>
    </w:p>
    <w:p>
      <w:pPr>
        <w:pStyle w:val="31"/>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电话：</w:t>
      </w:r>
    </w:p>
    <w:p>
      <w:pPr>
        <w:pStyle w:val="31"/>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法人代表或委托代理人：</w:t>
      </w:r>
      <w:r>
        <w:rPr>
          <w:rFonts w:hint="eastAsia" w:ascii="仿宋" w:hAnsi="仿宋" w:eastAsia="仿宋" w:cs="仿宋"/>
          <w:color w:val="auto"/>
          <w:lang w:val="en-US" w:eastAsia="zh-CN"/>
        </w:rPr>
        <w:t xml:space="preserve">       </w:t>
      </w:r>
      <w:r>
        <w:rPr>
          <w:rFonts w:hint="eastAsia" w:ascii="仿宋" w:hAnsi="仿宋" w:eastAsia="仿宋" w:cs="仿宋"/>
          <w:color w:val="auto"/>
        </w:rPr>
        <w:t>（签</w:t>
      </w:r>
      <w:r>
        <w:rPr>
          <w:rFonts w:hint="eastAsia" w:ascii="仿宋" w:hAnsi="仿宋" w:eastAsia="仿宋" w:cs="仿宋"/>
          <w:color w:val="auto"/>
          <w:lang w:eastAsia="zh-CN"/>
        </w:rPr>
        <w:t>字或盖</w:t>
      </w:r>
      <w:r>
        <w:rPr>
          <w:rFonts w:hint="eastAsia" w:ascii="仿宋" w:hAnsi="仿宋" w:eastAsia="仿宋" w:cs="仿宋"/>
          <w:color w:val="auto"/>
        </w:rPr>
        <w:t>章）</w:t>
      </w:r>
    </w:p>
    <w:p>
      <w:pPr>
        <w:pStyle w:val="31"/>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地址:</w:t>
      </w:r>
    </w:p>
    <w:p>
      <w:pPr>
        <w:pStyle w:val="31"/>
        <w:spacing w:before="0" w:beforeAutospacing="0" w:after="0" w:afterAutospacing="0" w:line="480" w:lineRule="auto"/>
        <w:ind w:firstLine="480" w:firstLineChars="200"/>
        <w:rPr>
          <w:rFonts w:hint="eastAsia" w:ascii="仿宋" w:hAnsi="仿宋" w:eastAsia="仿宋" w:cs="仿宋"/>
          <w:color w:val="auto"/>
        </w:rPr>
      </w:pPr>
      <w:r>
        <w:rPr>
          <w:rFonts w:hint="eastAsia" w:ascii="仿宋" w:hAnsi="仿宋" w:eastAsia="仿宋" w:cs="仿宋"/>
          <w:color w:val="auto"/>
        </w:rPr>
        <w:t>日期：年　月　日</w:t>
      </w:r>
    </w:p>
    <w:p>
      <w:pPr>
        <w:pStyle w:val="31"/>
        <w:spacing w:before="0" w:beforeAutospacing="0" w:after="0" w:afterAutospacing="0" w:line="360" w:lineRule="auto"/>
        <w:ind w:firstLine="480" w:firstLineChars="200"/>
        <w:rPr>
          <w:rFonts w:hint="eastAsia" w:ascii="仿宋" w:hAnsi="仿宋" w:eastAsia="仿宋" w:cs="仿宋"/>
          <w:color w:val="auto"/>
        </w:rPr>
      </w:pPr>
    </w:p>
    <w:p>
      <w:pPr>
        <w:pStyle w:val="31"/>
        <w:spacing w:before="0" w:beforeAutospacing="0" w:after="0" w:afterAutospacing="0" w:line="360" w:lineRule="auto"/>
        <w:ind w:firstLine="480" w:firstLineChars="200"/>
        <w:rPr>
          <w:rFonts w:hint="eastAsia" w:ascii="仿宋" w:hAnsi="仿宋" w:eastAsia="仿宋" w:cs="仿宋"/>
          <w:color w:val="auto"/>
        </w:rPr>
      </w:pPr>
    </w:p>
    <w:p>
      <w:pPr>
        <w:keepLines/>
        <w:pageBreakBefore/>
        <w:jc w:val="center"/>
        <w:outlineLvl w:val="1"/>
        <w:rPr>
          <w:rFonts w:hint="eastAsia" w:ascii="仿宋" w:hAnsi="仿宋" w:eastAsia="仿宋" w:cs="仿宋"/>
          <w:b/>
          <w:bCs/>
          <w:color w:val="auto"/>
          <w:sz w:val="32"/>
          <w:szCs w:val="32"/>
          <w:lang w:eastAsia="zh-CN"/>
        </w:rPr>
      </w:pPr>
      <w:bookmarkStart w:id="118" w:name="_Toc32443"/>
      <w:bookmarkStart w:id="119" w:name="_Toc11697"/>
      <w:bookmarkStart w:id="120" w:name="_Toc3816"/>
      <w:bookmarkStart w:id="121" w:name="_Toc425240482"/>
      <w:bookmarkStart w:id="122" w:name="_Toc420591668"/>
      <w:bookmarkStart w:id="123" w:name="_Toc3994"/>
      <w:bookmarkStart w:id="124" w:name="_Toc421778387"/>
      <w:r>
        <w:rPr>
          <w:rFonts w:hint="eastAsia" w:ascii="仿宋" w:hAnsi="仿宋" w:eastAsia="仿宋" w:cs="仿宋"/>
          <w:b/>
          <w:bCs/>
          <w:color w:val="auto"/>
          <w:sz w:val="32"/>
          <w:szCs w:val="32"/>
        </w:rPr>
        <w:t>二、</w:t>
      </w:r>
      <w:bookmarkEnd w:id="118"/>
      <w:bookmarkEnd w:id="119"/>
      <w:bookmarkEnd w:id="120"/>
      <w:bookmarkEnd w:id="121"/>
      <w:bookmarkEnd w:id="122"/>
      <w:bookmarkEnd w:id="123"/>
      <w:bookmarkEnd w:id="124"/>
      <w:r>
        <w:rPr>
          <w:rFonts w:hint="eastAsia" w:ascii="仿宋" w:hAnsi="仿宋" w:eastAsia="仿宋" w:cs="仿宋"/>
          <w:b/>
          <w:bCs/>
          <w:color w:val="auto"/>
          <w:sz w:val="32"/>
          <w:szCs w:val="32"/>
          <w:lang w:eastAsia="zh-CN"/>
        </w:rPr>
        <w:t>报价一览表</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bl>
      <w:tblPr>
        <w:tblStyle w:val="35"/>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6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Merge w:val="restart"/>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总报价（元）</w:t>
            </w:r>
          </w:p>
        </w:tc>
        <w:tc>
          <w:tcPr>
            <w:tcW w:w="6598"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Merge w:val="continue"/>
            <w:vAlign w:val="center"/>
          </w:tcPr>
          <w:p>
            <w:pPr>
              <w:jc w:val="center"/>
              <w:rPr>
                <w:rFonts w:hint="eastAsia" w:ascii="仿宋" w:hAnsi="仿宋" w:eastAsia="仿宋" w:cs="仿宋"/>
                <w:color w:val="auto"/>
                <w:sz w:val="24"/>
                <w:szCs w:val="24"/>
                <w:highlight w:val="none"/>
              </w:rPr>
            </w:pPr>
          </w:p>
        </w:tc>
        <w:tc>
          <w:tcPr>
            <w:tcW w:w="6598" w:type="dxa"/>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6598"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6598"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w:t>
            </w:r>
          </w:p>
        </w:tc>
        <w:tc>
          <w:tcPr>
            <w:tcW w:w="6598" w:type="dxa"/>
            <w:vAlign w:val="center"/>
          </w:tcPr>
          <w:p>
            <w:pP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049" w:type="dxa"/>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c>
          <w:tcPr>
            <w:tcW w:w="6598" w:type="dxa"/>
            <w:vAlign w:val="center"/>
          </w:tcPr>
          <w:p>
            <w:pPr>
              <w:rPr>
                <w:rFonts w:hint="eastAsia" w:ascii="仿宋" w:hAnsi="仿宋" w:eastAsia="仿宋" w:cs="仿宋"/>
                <w:color w:val="auto"/>
                <w:sz w:val="24"/>
                <w:szCs w:val="24"/>
              </w:rPr>
            </w:pPr>
          </w:p>
        </w:tc>
      </w:tr>
    </w:tbl>
    <w:p>
      <w:pPr>
        <w:spacing w:line="120" w:lineRule="exact"/>
        <w:rPr>
          <w:rFonts w:hint="eastAsia" w:ascii="仿宋" w:hAnsi="仿宋" w:eastAsia="仿宋" w:cs="仿宋"/>
          <w:color w:val="auto"/>
          <w:sz w:val="24"/>
          <w:szCs w:val="24"/>
        </w:rPr>
      </w:pPr>
    </w:p>
    <w:p>
      <w:pPr>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注：1、以上表内报价内容以元为单位，保留小数点后两位。</w:t>
      </w:r>
    </w:p>
    <w:p>
      <w:pPr>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 xml:space="preserve">    2、本表应按“</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须知”的规定密封单独提交。</w:t>
      </w:r>
    </w:p>
    <w:p>
      <w:pPr>
        <w:spacing w:line="280" w:lineRule="exact"/>
        <w:ind w:right="540" w:rightChars="257" w:firstLine="4440" w:firstLineChars="1850"/>
        <w:jc w:val="left"/>
        <w:rPr>
          <w:rFonts w:hint="eastAsia" w:ascii="仿宋" w:hAnsi="仿宋" w:eastAsia="仿宋" w:cs="仿宋"/>
          <w:color w:val="auto"/>
          <w:sz w:val="24"/>
          <w:szCs w:val="24"/>
        </w:rPr>
      </w:pPr>
    </w:p>
    <w:p>
      <w:pPr>
        <w:spacing w:line="280" w:lineRule="exact"/>
        <w:ind w:right="540" w:rightChars="257" w:firstLine="4440" w:firstLineChars="1850"/>
        <w:jc w:val="left"/>
        <w:rPr>
          <w:rFonts w:hint="eastAsia" w:ascii="仿宋" w:hAnsi="仿宋" w:eastAsia="仿宋" w:cs="仿宋"/>
          <w:color w:val="auto"/>
          <w:sz w:val="24"/>
          <w:szCs w:val="24"/>
        </w:rPr>
      </w:pPr>
    </w:p>
    <w:p>
      <w:pPr>
        <w:spacing w:line="280" w:lineRule="exact"/>
        <w:ind w:right="540" w:rightChars="257" w:firstLine="4440" w:firstLineChars="185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r>
        <w:rPr>
          <w:rFonts w:hint="eastAsia" w:ascii="仿宋" w:hAnsi="仿宋" w:eastAsia="仿宋" w:cs="仿宋"/>
          <w:color w:val="auto"/>
          <w:sz w:val="24"/>
          <w:szCs w:val="24"/>
          <w:u w:val="single"/>
        </w:rPr>
        <w:t>（加盖单位公章）</w:t>
      </w:r>
    </w:p>
    <w:p>
      <w:pPr>
        <w:spacing w:line="280" w:lineRule="exact"/>
        <w:ind w:right="540" w:rightChars="257" w:firstLine="360" w:firstLineChars="150"/>
        <w:jc w:val="left"/>
        <w:rPr>
          <w:rFonts w:hint="eastAsia" w:ascii="仿宋" w:hAnsi="仿宋" w:eastAsia="仿宋" w:cs="仿宋"/>
          <w:color w:val="auto"/>
          <w:sz w:val="24"/>
          <w:szCs w:val="24"/>
        </w:rPr>
      </w:pPr>
    </w:p>
    <w:p>
      <w:pPr>
        <w:spacing w:line="280" w:lineRule="exact"/>
        <w:ind w:right="540" w:rightChars="257" w:firstLine="4440" w:firstLineChars="1850"/>
        <w:jc w:val="left"/>
        <w:rPr>
          <w:rFonts w:hint="eastAsia" w:ascii="仿宋" w:hAnsi="仿宋" w:eastAsia="仿宋" w:cs="仿宋"/>
          <w:color w:val="auto"/>
          <w:sz w:val="24"/>
          <w:szCs w:val="24"/>
        </w:rPr>
      </w:pPr>
    </w:p>
    <w:p>
      <w:pPr>
        <w:spacing w:line="280" w:lineRule="exact"/>
        <w:ind w:right="540" w:rightChars="257" w:firstLine="4440" w:firstLineChars="1850"/>
        <w:jc w:val="left"/>
        <w:rPr>
          <w:rFonts w:hint="eastAsia" w:ascii="仿宋" w:hAnsi="仿宋" w:eastAsia="仿宋" w:cs="仿宋"/>
          <w:color w:val="auto"/>
          <w:sz w:val="24"/>
          <w:szCs w:val="24"/>
        </w:rPr>
      </w:pPr>
      <w:r>
        <w:rPr>
          <w:rFonts w:hint="eastAsia" w:ascii="仿宋" w:hAnsi="仿宋" w:eastAsia="仿宋" w:cs="仿宋"/>
          <w:color w:val="auto"/>
          <w:sz w:val="24"/>
          <w:szCs w:val="24"/>
        </w:rPr>
        <w:t>法定代表人/被授权人签</w:t>
      </w:r>
      <w:r>
        <w:rPr>
          <w:rFonts w:hint="eastAsia" w:ascii="仿宋" w:hAnsi="仿宋" w:eastAsia="仿宋" w:cs="仿宋"/>
          <w:color w:val="auto"/>
          <w:sz w:val="24"/>
          <w:szCs w:val="24"/>
          <w:lang w:eastAsia="zh-CN"/>
        </w:rPr>
        <w:t>字或盖</w:t>
      </w:r>
      <w:r>
        <w:rPr>
          <w:rFonts w:hint="eastAsia" w:ascii="仿宋" w:hAnsi="仿宋" w:eastAsia="仿宋" w:cs="仿宋"/>
          <w:color w:val="auto"/>
          <w:sz w:val="24"/>
          <w:szCs w:val="24"/>
        </w:rPr>
        <w:t>章：</w:t>
      </w:r>
    </w:p>
    <w:p>
      <w:pPr>
        <w:spacing w:line="280" w:lineRule="exact"/>
        <w:ind w:right="540" w:rightChars="257" w:firstLine="4440" w:firstLineChars="1850"/>
        <w:jc w:val="left"/>
        <w:rPr>
          <w:rFonts w:hint="eastAsia" w:ascii="仿宋" w:hAnsi="仿宋" w:eastAsia="仿宋" w:cs="仿宋"/>
          <w:color w:val="auto"/>
          <w:sz w:val="24"/>
          <w:szCs w:val="24"/>
        </w:rPr>
      </w:pPr>
    </w:p>
    <w:p>
      <w:pPr>
        <w:spacing w:line="280" w:lineRule="exact"/>
        <w:ind w:right="540" w:rightChars="257"/>
        <w:jc w:val="left"/>
        <w:rPr>
          <w:rFonts w:hint="eastAsia" w:ascii="仿宋" w:hAnsi="仿宋" w:eastAsia="仿宋" w:cs="仿宋"/>
          <w:color w:val="auto"/>
          <w:sz w:val="24"/>
          <w:szCs w:val="24"/>
        </w:rPr>
      </w:pPr>
    </w:p>
    <w:p>
      <w:pPr>
        <w:spacing w:line="280" w:lineRule="exact"/>
        <w:ind w:right="540" w:rightChars="257" w:firstLine="4440" w:firstLineChars="1850"/>
        <w:rPr>
          <w:rFonts w:hint="eastAsia" w:ascii="仿宋" w:hAnsi="仿宋" w:eastAsia="仿宋" w:cs="仿宋"/>
          <w:b/>
          <w:bCs/>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keepLines/>
        <w:pageBreakBefore/>
        <w:jc w:val="center"/>
        <w:outlineLvl w:val="1"/>
        <w:rPr>
          <w:rFonts w:hint="eastAsia" w:ascii="仿宋" w:hAnsi="仿宋" w:eastAsia="仿宋" w:cs="仿宋"/>
          <w:b/>
          <w:bCs/>
          <w:color w:val="auto"/>
          <w:sz w:val="32"/>
          <w:szCs w:val="32"/>
        </w:rPr>
      </w:pPr>
      <w:bookmarkStart w:id="125" w:name="_Toc8191"/>
      <w:bookmarkStart w:id="126" w:name="_Toc420591669"/>
      <w:bookmarkStart w:id="127" w:name="_Toc23559"/>
      <w:bookmarkStart w:id="128" w:name="_Toc14400"/>
      <w:bookmarkStart w:id="129" w:name="_Toc421778388"/>
      <w:bookmarkStart w:id="130" w:name="_Toc17870"/>
      <w:bookmarkStart w:id="131" w:name="_Toc425240483"/>
      <w:r>
        <w:rPr>
          <w:rFonts w:hint="eastAsia" w:ascii="仿宋" w:hAnsi="仿宋" w:eastAsia="仿宋" w:cs="仿宋"/>
          <w:b/>
          <w:bCs/>
          <w:color w:val="auto"/>
          <w:sz w:val="32"/>
          <w:szCs w:val="32"/>
        </w:rPr>
        <w:t>三、法定代表人身份证明</w:t>
      </w:r>
      <w:bookmarkEnd w:id="125"/>
      <w:bookmarkEnd w:id="126"/>
      <w:bookmarkEnd w:id="127"/>
      <w:bookmarkEnd w:id="128"/>
      <w:bookmarkEnd w:id="129"/>
      <w:bookmarkEnd w:id="130"/>
      <w:bookmarkEnd w:id="131"/>
    </w:p>
    <w:p>
      <w:pPr>
        <w:spacing w:line="360" w:lineRule="auto"/>
        <w:ind w:firstLine="420" w:firstLineChars="200"/>
        <w:rPr>
          <w:rFonts w:hint="eastAsia" w:ascii="仿宋" w:hAnsi="仿宋" w:eastAsia="仿宋" w:cs="仿宋"/>
          <w:color w:val="auto"/>
        </w:rPr>
      </w:pP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单位性质：</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地址：</w:t>
      </w: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rPr>
        <w:t>成立时间：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spacing w:line="48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经营期限：</w:t>
      </w:r>
    </w:p>
    <w:p>
      <w:pPr>
        <w:spacing w:line="48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姓名：</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性别：</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年龄：</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职务：</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系（</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名称）的法定代表人</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附：法定代表人身份证复印件。（</w:t>
      </w:r>
      <w:r>
        <w:rPr>
          <w:rFonts w:hint="eastAsia" w:ascii="仿宋" w:hAnsi="仿宋" w:eastAsia="仿宋" w:cs="仿宋"/>
          <w:color w:val="auto"/>
          <w:sz w:val="24"/>
          <w:szCs w:val="24"/>
          <w:lang w:val="en-US" w:eastAsia="zh-CN"/>
        </w:rPr>
        <w:t>正反面</w:t>
      </w:r>
      <w:r>
        <w:rPr>
          <w:rFonts w:hint="eastAsia" w:ascii="仿宋" w:hAnsi="仿宋" w:eastAsia="仿宋" w:cs="仿宋"/>
          <w:color w:val="auto"/>
          <w:sz w:val="24"/>
          <w:szCs w:val="24"/>
        </w:rPr>
        <w:t>）</w:t>
      </w:r>
    </w:p>
    <w:p>
      <w:pPr>
        <w:pStyle w:val="2"/>
        <w:jc w:val="both"/>
        <w:rPr>
          <w:rFonts w:hint="eastAsia" w:ascii="仿宋" w:hAnsi="仿宋" w:eastAsia="仿宋" w:cs="仿宋"/>
          <w:color w:val="auto"/>
        </w:rPr>
      </w:pPr>
    </w:p>
    <w:p>
      <w:pPr>
        <w:spacing w:line="480" w:lineRule="auto"/>
        <w:ind w:firstLine="960" w:firstLineChars="400"/>
        <w:rPr>
          <w:rFonts w:hint="eastAsia" w:ascii="仿宋" w:hAnsi="仿宋" w:eastAsia="仿宋" w:cs="仿宋"/>
          <w:color w:val="auto"/>
          <w:sz w:val="24"/>
          <w:szCs w:val="24"/>
        </w:rPr>
      </w:pPr>
      <w:r>
        <w:rPr>
          <w:rFonts w:hint="eastAsia" w:ascii="仿宋" w:hAnsi="仿宋" w:eastAsia="仿宋" w:cs="仿宋"/>
          <w:color w:val="auto"/>
          <w:sz w:val="24"/>
          <w:szCs w:val="24"/>
        </w:rPr>
        <w:t>特此证明</w:t>
      </w: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 w:firstLineChars="200"/>
        <w:rPr>
          <w:rFonts w:hint="eastAsia" w:ascii="仿宋" w:hAnsi="仿宋" w:eastAsia="仿宋" w:cs="仿宋"/>
          <w:color w:val="auto"/>
          <w:sz w:val="24"/>
          <w:szCs w:val="24"/>
        </w:rPr>
      </w:pPr>
    </w:p>
    <w:p>
      <w:pPr>
        <w:spacing w:line="360" w:lineRule="auto"/>
        <w:ind w:firstLine="4800" w:firstLineChars="20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（盖章）</w:t>
      </w:r>
    </w:p>
    <w:p>
      <w:pPr>
        <w:spacing w:line="360" w:lineRule="auto"/>
        <w:ind w:firstLine="5160" w:firstLineChars="2150"/>
        <w:rPr>
          <w:rFonts w:hint="eastAsia" w:ascii="仿宋" w:hAnsi="仿宋" w:eastAsia="仿宋" w:cs="仿宋"/>
          <w:color w:val="auto"/>
          <w:sz w:val="24"/>
          <w:szCs w:val="24"/>
          <w:u w:val="single"/>
        </w:rPr>
      </w:pPr>
    </w:p>
    <w:p>
      <w:pPr>
        <w:spacing w:line="360" w:lineRule="auto"/>
        <w:ind w:firstLine="5040" w:firstLineChars="2100"/>
        <w:rPr>
          <w:rFonts w:hint="eastAsia" w:ascii="仿宋" w:hAnsi="仿宋" w:eastAsia="仿宋" w:cs="仿宋"/>
          <w:color w:val="auto"/>
          <w:sz w:val="24"/>
          <w:szCs w:val="24"/>
        </w:rPr>
      </w:pP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pStyle w:val="2"/>
        <w:rPr>
          <w:rFonts w:hint="eastAsia" w:ascii="仿宋" w:hAnsi="仿宋" w:eastAsia="仿宋" w:cs="仿宋"/>
          <w:color w:val="auto"/>
          <w:sz w:val="24"/>
          <w:szCs w:val="24"/>
        </w:rPr>
      </w:pPr>
    </w:p>
    <w:p>
      <w:pPr>
        <w:pStyle w:val="2"/>
        <w:numPr>
          <w:ilvl w:val="0"/>
          <w:numId w:val="0"/>
        </w:numPr>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zh-CN" w:eastAsia="zh-CN"/>
        </w:rPr>
        <w:t>仅限法定代表人参加时提供。</w:t>
      </w:r>
    </w:p>
    <w:p>
      <w:pPr>
        <w:rPr>
          <w:rFonts w:hint="eastAsia" w:ascii="仿宋" w:hAnsi="仿宋" w:eastAsia="仿宋" w:cs="仿宋"/>
          <w:color w:val="auto"/>
        </w:rPr>
        <w:sectPr>
          <w:pgSz w:w="11906" w:h="16838"/>
          <w:pgMar w:top="1417" w:right="1417" w:bottom="1417" w:left="1701" w:header="851" w:footer="992" w:gutter="0"/>
          <w:pgNumType w:fmt="decimal"/>
          <w:cols w:space="0" w:num="1"/>
          <w:docGrid w:type="lines" w:linePitch="312" w:charSpace="0"/>
        </w:sectPr>
      </w:pPr>
    </w:p>
    <w:p>
      <w:pPr>
        <w:keepLines/>
        <w:pageBreakBefore/>
        <w:spacing w:line="360" w:lineRule="auto"/>
        <w:jc w:val="center"/>
        <w:outlineLvl w:val="1"/>
        <w:rPr>
          <w:rFonts w:hint="eastAsia" w:ascii="仿宋" w:hAnsi="仿宋" w:eastAsia="仿宋" w:cs="仿宋"/>
          <w:b/>
          <w:bCs/>
          <w:color w:val="auto"/>
          <w:sz w:val="32"/>
          <w:szCs w:val="32"/>
        </w:rPr>
      </w:pPr>
      <w:bookmarkStart w:id="132" w:name="_Toc1856"/>
      <w:bookmarkStart w:id="133" w:name="_Toc13782"/>
      <w:bookmarkStart w:id="134" w:name="_Toc421778389"/>
      <w:bookmarkStart w:id="135" w:name="_Toc13749"/>
      <w:bookmarkStart w:id="136" w:name="_Toc420591670"/>
      <w:bookmarkStart w:id="137" w:name="_Toc425240484"/>
      <w:bookmarkStart w:id="138" w:name="_Toc9626"/>
      <w:r>
        <w:rPr>
          <w:rFonts w:hint="eastAsia" w:ascii="仿宋" w:hAnsi="仿宋" w:eastAsia="仿宋" w:cs="仿宋"/>
          <w:b/>
          <w:bCs/>
          <w:color w:val="auto"/>
          <w:sz w:val="32"/>
          <w:szCs w:val="32"/>
        </w:rPr>
        <w:t>四、法人授权委托书</w:t>
      </w:r>
      <w:bookmarkEnd w:id="132"/>
      <w:bookmarkEnd w:id="133"/>
      <w:bookmarkEnd w:id="134"/>
      <w:bookmarkEnd w:id="135"/>
      <w:bookmarkEnd w:id="136"/>
      <w:bookmarkEnd w:id="137"/>
      <w:bookmarkEnd w:id="138"/>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（姓名）</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系</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名称）的法定代表人，现委托</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（姓名）为我方代理人。代理人根据授权，以我方名义签署、澄清、说明、补正、递交、撤回、修改</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rPr>
        <w:t>（项目名称）</w:t>
      </w:r>
      <w:r>
        <w:rPr>
          <w:rFonts w:hint="eastAsia" w:ascii="仿宋" w:hAnsi="仿宋" w:eastAsia="仿宋" w:cs="仿宋"/>
          <w:color w:val="auto"/>
          <w:sz w:val="24"/>
          <w:szCs w:val="24"/>
          <w:lang w:eastAsia="zh-CN"/>
        </w:rPr>
        <w:t>竞争性磋商响应文件</w:t>
      </w:r>
      <w:r>
        <w:rPr>
          <w:rFonts w:hint="eastAsia" w:ascii="仿宋" w:hAnsi="仿宋" w:eastAsia="仿宋" w:cs="仿宋"/>
          <w:color w:val="auto"/>
          <w:sz w:val="24"/>
          <w:szCs w:val="24"/>
        </w:rPr>
        <w:t>、签订合同和处理有关事宜，其法律后果由我方承担。</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代理人无转委托权。</w:t>
      </w:r>
    </w:p>
    <w:p>
      <w:pPr>
        <w:spacing w:line="360" w:lineRule="auto"/>
        <w:ind w:firstLine="480" w:firstLineChars="200"/>
        <w:rPr>
          <w:rFonts w:hint="eastAsia" w:ascii="仿宋" w:hAnsi="仿宋" w:eastAsia="仿宋" w:cs="仿宋"/>
          <w:color w:val="auto"/>
          <w:sz w:val="24"/>
          <w:szCs w:val="24"/>
          <w:highlight w:val="none"/>
        </w:rPr>
      </w:pPr>
      <w:bookmarkStart w:id="139" w:name="_Toc214090947"/>
      <w:bookmarkStart w:id="140" w:name="_Toc201637979"/>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日</w:t>
      </w:r>
      <w:r>
        <w:rPr>
          <w:rFonts w:hint="eastAsia" w:ascii="仿宋" w:hAnsi="仿宋" w:eastAsia="仿宋" w:cs="仿宋"/>
          <w:color w:val="auto"/>
          <w:sz w:val="24"/>
          <w:szCs w:val="24"/>
          <w:highlight w:val="none"/>
        </w:rPr>
        <w:t>签字生效，特此证明！</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委托期限：自磋商响应文件递交截止之日算起90日历天</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r>
        <w:rPr>
          <w:rFonts w:hint="eastAsia" w:ascii="仿宋" w:hAnsi="仿宋" w:eastAsia="仿宋" w:cs="仿宋"/>
          <w:color w:val="auto"/>
          <w:sz w:val="24"/>
          <w:szCs w:val="24"/>
          <w:highlight w:val="none"/>
        </w:rPr>
        <w:t>签</w:t>
      </w:r>
      <w:r>
        <w:rPr>
          <w:rFonts w:hint="eastAsia" w:ascii="仿宋" w:hAnsi="仿宋" w:eastAsia="仿宋" w:cs="仿宋"/>
          <w:color w:val="auto"/>
          <w:sz w:val="24"/>
          <w:szCs w:val="24"/>
          <w:highlight w:val="none"/>
          <w:lang w:eastAsia="zh-CN"/>
        </w:rPr>
        <w:t>字或盖</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被授权人签字：</w:t>
      </w:r>
      <w:bookmarkEnd w:id="139"/>
      <w:bookmarkEnd w:id="140"/>
    </w:p>
    <w:p>
      <w:pPr>
        <w:spacing w:line="360" w:lineRule="auto"/>
        <w:ind w:firstLine="480" w:firstLineChars="200"/>
        <w:rPr>
          <w:rFonts w:hint="eastAsia" w:ascii="仿宋" w:hAnsi="仿宋" w:eastAsia="仿宋" w:cs="仿宋"/>
          <w:color w:val="auto"/>
          <w:sz w:val="24"/>
          <w:szCs w:val="24"/>
        </w:rPr>
      </w:pPr>
      <w:bookmarkStart w:id="141" w:name="_Toc214090948"/>
      <w:bookmarkStart w:id="142" w:name="_Toc201637980"/>
      <w:r>
        <w:rPr>
          <w:rFonts w:hint="eastAsia" w:ascii="仿宋" w:hAnsi="仿宋" w:eastAsia="仿宋" w:cs="仿宋"/>
          <w:color w:val="auto"/>
          <w:sz w:val="24"/>
          <w:szCs w:val="24"/>
        </w:rPr>
        <w:t>职务：</w:t>
      </w:r>
      <w:bookmarkEnd w:id="141"/>
      <w:bookmarkEnd w:id="142"/>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职务：</w:t>
      </w:r>
    </w:p>
    <w:p>
      <w:pPr>
        <w:spacing w:line="360" w:lineRule="auto"/>
        <w:ind w:firstLine="480" w:firstLineChars="200"/>
        <w:rPr>
          <w:rFonts w:hint="eastAsia" w:ascii="仿宋" w:hAnsi="仿宋" w:eastAsia="仿宋" w:cs="仿宋"/>
          <w:color w:val="auto"/>
          <w:sz w:val="24"/>
          <w:szCs w:val="24"/>
        </w:rPr>
      </w:pPr>
      <w:bookmarkStart w:id="143" w:name="_Toc201637981"/>
      <w:bookmarkStart w:id="144" w:name="_Toc214090949"/>
      <w:r>
        <w:rPr>
          <w:rFonts w:hint="eastAsia" w:ascii="仿宋" w:hAnsi="仿宋" w:eastAsia="仿宋" w:cs="仿宋"/>
          <w:color w:val="auto"/>
          <w:sz w:val="24"/>
          <w:szCs w:val="24"/>
        </w:rPr>
        <w:t>身份证号：</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身份证号：</w:t>
      </w:r>
      <w:bookmarkEnd w:id="143"/>
      <w:bookmarkEnd w:id="144"/>
    </w:p>
    <w:p>
      <w:pPr>
        <w:spacing w:line="360" w:lineRule="auto"/>
        <w:rPr>
          <w:rFonts w:hint="eastAsia" w:ascii="仿宋" w:hAnsi="仿宋" w:eastAsia="仿宋" w:cs="仿宋"/>
          <w:color w:val="auto"/>
          <w:sz w:val="24"/>
          <w:szCs w:val="24"/>
        </w:rPr>
      </w:pPr>
      <w:bookmarkStart w:id="145" w:name="_Toc214090950"/>
      <w:bookmarkStart w:id="146" w:name="_Toc201637982"/>
      <w:r>
        <w:rPr>
          <w:rFonts w:hint="eastAsia" w:ascii="仿宋" w:hAnsi="仿宋" w:eastAsia="仿宋" w:cs="仿宋"/>
          <w:color w:val="auto"/>
          <w:sz w:val="24"/>
          <w:szCs w:val="24"/>
        </w:rPr>
        <w:t>附：法定代表人、被授权人身份证复印件。（二代身份证正、反两面都需复印）</w:t>
      </w:r>
      <w:bookmarkEnd w:id="145"/>
      <w:bookmarkEnd w:id="146"/>
    </w:p>
    <w:tbl>
      <w:tblPr>
        <w:tblStyle w:val="35"/>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2"/>
        <w:gridCol w:w="4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4652" w:type="dxa"/>
            <w:vAlign w:val="center"/>
          </w:tcPr>
          <w:p>
            <w:pPr>
              <w:spacing w:line="360" w:lineRule="auto"/>
              <w:jc w:val="center"/>
              <w:rPr>
                <w:rFonts w:hint="eastAsia" w:ascii="仿宋" w:hAnsi="仿宋" w:eastAsia="仿宋" w:cs="仿宋"/>
                <w:color w:val="auto"/>
                <w:sz w:val="24"/>
                <w:szCs w:val="24"/>
              </w:rPr>
            </w:pPr>
            <w:bookmarkStart w:id="147" w:name="_Toc214090951"/>
            <w:bookmarkStart w:id="148" w:name="_Toc201637983"/>
            <w:r>
              <w:rPr>
                <w:rFonts w:hint="eastAsia" w:ascii="仿宋" w:hAnsi="仿宋" w:eastAsia="仿宋" w:cs="仿宋"/>
                <w:color w:val="auto"/>
                <w:sz w:val="24"/>
                <w:szCs w:val="24"/>
              </w:rPr>
              <w:t>法定代表人身份证复印件</w:t>
            </w:r>
            <w:bookmarkEnd w:id="147"/>
            <w:bookmarkEnd w:id="148"/>
          </w:p>
          <w:p>
            <w:pPr>
              <w:spacing w:line="360" w:lineRule="auto"/>
              <w:jc w:val="center"/>
              <w:rPr>
                <w:rFonts w:hint="eastAsia" w:ascii="仿宋" w:hAnsi="仿宋" w:eastAsia="仿宋" w:cs="仿宋"/>
                <w:color w:val="auto"/>
                <w:sz w:val="24"/>
                <w:szCs w:val="24"/>
              </w:rPr>
            </w:pPr>
            <w:bookmarkStart w:id="149" w:name="_Toc201637984"/>
            <w:bookmarkStart w:id="150" w:name="_Toc214090952"/>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粘贴处</w:t>
            </w:r>
            <w:r>
              <w:rPr>
                <w:rFonts w:hint="eastAsia" w:ascii="仿宋" w:hAnsi="仿宋" w:eastAsia="仿宋" w:cs="仿宋"/>
                <w:color w:val="auto"/>
                <w:sz w:val="24"/>
                <w:szCs w:val="24"/>
              </w:rPr>
              <w:t>）</w:t>
            </w:r>
            <w:bookmarkEnd w:id="149"/>
            <w:bookmarkEnd w:id="150"/>
          </w:p>
        </w:tc>
        <w:tc>
          <w:tcPr>
            <w:tcW w:w="4649" w:type="dxa"/>
            <w:vAlign w:val="center"/>
          </w:tcPr>
          <w:p>
            <w:pPr>
              <w:spacing w:line="360" w:lineRule="auto"/>
              <w:jc w:val="center"/>
              <w:rPr>
                <w:rFonts w:hint="eastAsia" w:ascii="仿宋" w:hAnsi="仿宋" w:eastAsia="仿宋" w:cs="仿宋"/>
                <w:color w:val="auto"/>
                <w:sz w:val="24"/>
                <w:szCs w:val="24"/>
              </w:rPr>
            </w:pPr>
            <w:bookmarkStart w:id="151" w:name="_Toc214090953"/>
            <w:bookmarkStart w:id="152" w:name="_Toc201637985"/>
            <w:r>
              <w:rPr>
                <w:rFonts w:hint="eastAsia" w:ascii="仿宋" w:hAnsi="仿宋" w:eastAsia="仿宋" w:cs="仿宋"/>
                <w:color w:val="auto"/>
                <w:sz w:val="24"/>
                <w:szCs w:val="24"/>
              </w:rPr>
              <w:t>被授权人身份证复印件</w:t>
            </w:r>
            <w:bookmarkEnd w:id="151"/>
            <w:bookmarkEnd w:id="152"/>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jc w:val="center"/>
        </w:trPr>
        <w:tc>
          <w:tcPr>
            <w:tcW w:w="4652" w:type="dxa"/>
            <w:vAlign w:val="center"/>
          </w:tcPr>
          <w:p>
            <w:pPr>
              <w:spacing w:line="360" w:lineRule="auto"/>
              <w:jc w:val="center"/>
              <w:rPr>
                <w:rFonts w:hint="eastAsia" w:ascii="仿宋" w:hAnsi="仿宋" w:eastAsia="仿宋" w:cs="仿宋"/>
                <w:color w:val="auto"/>
                <w:sz w:val="24"/>
                <w:szCs w:val="24"/>
              </w:rPr>
            </w:pPr>
            <w:bookmarkStart w:id="153" w:name="_Toc214090955"/>
            <w:bookmarkStart w:id="154" w:name="_Toc201637987"/>
            <w:r>
              <w:rPr>
                <w:rFonts w:hint="eastAsia" w:ascii="仿宋" w:hAnsi="仿宋" w:eastAsia="仿宋" w:cs="仿宋"/>
                <w:color w:val="auto"/>
                <w:sz w:val="24"/>
                <w:szCs w:val="24"/>
              </w:rPr>
              <w:t>法定代表人身份证复印件</w:t>
            </w:r>
            <w:bookmarkEnd w:id="153"/>
            <w:bookmarkEnd w:id="154"/>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（粘贴处）</w:t>
            </w:r>
          </w:p>
        </w:tc>
        <w:tc>
          <w:tcPr>
            <w:tcW w:w="4649" w:type="dxa"/>
            <w:vAlign w:val="center"/>
          </w:tcPr>
          <w:p>
            <w:pPr>
              <w:spacing w:line="360" w:lineRule="auto"/>
              <w:jc w:val="center"/>
              <w:rPr>
                <w:rFonts w:hint="eastAsia" w:ascii="仿宋" w:hAnsi="仿宋" w:eastAsia="仿宋" w:cs="仿宋"/>
                <w:color w:val="auto"/>
                <w:sz w:val="24"/>
                <w:szCs w:val="24"/>
              </w:rPr>
            </w:pPr>
            <w:bookmarkStart w:id="155" w:name="_Toc201637989"/>
            <w:bookmarkStart w:id="156" w:name="_Toc214090957"/>
            <w:r>
              <w:rPr>
                <w:rFonts w:hint="eastAsia" w:ascii="仿宋" w:hAnsi="仿宋" w:eastAsia="仿宋" w:cs="仿宋"/>
                <w:color w:val="auto"/>
                <w:sz w:val="24"/>
                <w:szCs w:val="24"/>
              </w:rPr>
              <w:t>被授权人身份证复印件</w:t>
            </w:r>
            <w:bookmarkEnd w:id="155"/>
            <w:bookmarkEnd w:id="156"/>
          </w:p>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（粘贴处）</w:t>
            </w:r>
          </w:p>
        </w:tc>
      </w:tr>
    </w:tbl>
    <w:p>
      <w:pPr>
        <w:spacing w:line="360" w:lineRule="auto"/>
        <w:rPr>
          <w:rFonts w:hint="eastAsia" w:ascii="仿宋" w:hAnsi="仿宋" w:eastAsia="仿宋" w:cs="仿宋"/>
          <w:color w:val="auto"/>
          <w:sz w:val="24"/>
          <w:szCs w:val="24"/>
        </w:rPr>
      </w:pPr>
    </w:p>
    <w:p>
      <w:pPr>
        <w:spacing w:line="480" w:lineRule="auto"/>
        <w:ind w:left="424" w:leftChars="202" w:right="540" w:rightChars="257"/>
        <w:jc w:val="left"/>
        <w:rPr>
          <w:rFonts w:hint="eastAsia" w:ascii="仿宋" w:hAnsi="仿宋" w:eastAsia="仿宋" w:cs="仿宋"/>
          <w:color w:val="auto"/>
          <w:sz w:val="24"/>
          <w:szCs w:val="24"/>
          <w:highlight w:val="none"/>
        </w:rPr>
      </w:pPr>
      <w:bookmarkStart w:id="157" w:name="_Toc421778390"/>
      <w:bookmarkStart w:id="158" w:name="_Toc425240485"/>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名称：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（加盖单位公章）      </w:t>
      </w:r>
    </w:p>
    <w:p>
      <w:pPr>
        <w:spacing w:line="480" w:lineRule="auto"/>
        <w:ind w:right="540" w:rightChars="257" w:firstLine="480" w:firstLineChars="200"/>
        <w:jc w:val="left"/>
        <w:rPr>
          <w:rFonts w:hint="eastAsia" w:ascii="仿宋" w:hAnsi="仿宋" w:eastAsia="仿宋" w:cs="仿宋"/>
          <w:b/>
          <w:color w:val="auto"/>
          <w:sz w:val="24"/>
          <w:szCs w:val="24"/>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lang w:eastAsia="zh-CN"/>
        </w:rPr>
        <w:t>注：法定代表人参加时无需提供。</w:t>
      </w:r>
      <w:r>
        <w:rPr>
          <w:rFonts w:hint="eastAsia" w:ascii="仿宋" w:hAnsi="仿宋" w:eastAsia="仿宋" w:cs="仿宋"/>
          <w:color w:val="auto"/>
          <w:sz w:val="24"/>
          <w:szCs w:val="24"/>
        </w:rPr>
        <w:br w:type="page"/>
      </w:r>
    </w:p>
    <w:p>
      <w:pPr>
        <w:keepLines/>
        <w:pageBreakBefore/>
        <w:jc w:val="center"/>
        <w:outlineLvl w:val="1"/>
        <w:rPr>
          <w:rFonts w:hint="eastAsia" w:ascii="仿宋" w:hAnsi="仿宋" w:eastAsia="仿宋" w:cs="仿宋"/>
          <w:b/>
          <w:bCs/>
          <w:color w:val="auto"/>
          <w:sz w:val="32"/>
          <w:szCs w:val="32"/>
          <w:lang w:eastAsia="zh-CN"/>
        </w:rPr>
      </w:pPr>
      <w:bookmarkStart w:id="159" w:name="_Toc16495"/>
      <w:bookmarkStart w:id="160" w:name="_Toc8044"/>
      <w:bookmarkStart w:id="161" w:name="_Toc7828"/>
      <w:bookmarkStart w:id="162" w:name="_Toc13497"/>
      <w:r>
        <w:rPr>
          <w:rFonts w:hint="eastAsia" w:ascii="仿宋" w:hAnsi="仿宋" w:eastAsia="仿宋" w:cs="仿宋"/>
          <w:b/>
          <w:bCs/>
          <w:color w:val="auto"/>
          <w:sz w:val="32"/>
          <w:szCs w:val="32"/>
        </w:rPr>
        <w:t>五、</w:t>
      </w:r>
      <w:bookmarkEnd w:id="159"/>
      <w:bookmarkEnd w:id="160"/>
      <w:bookmarkEnd w:id="161"/>
      <w:bookmarkEnd w:id="162"/>
      <w:r>
        <w:rPr>
          <w:rFonts w:hint="eastAsia" w:ascii="仿宋" w:hAnsi="仿宋" w:eastAsia="仿宋" w:cs="仿宋"/>
          <w:b/>
          <w:bCs/>
          <w:color w:val="auto"/>
          <w:sz w:val="32"/>
          <w:szCs w:val="32"/>
          <w:lang w:eastAsia="zh-CN"/>
        </w:rPr>
        <w:t>报价明细表</w:t>
      </w:r>
    </w:p>
    <w:tbl>
      <w:tblPr>
        <w:tblStyle w:val="3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16"/>
        <w:gridCol w:w="3850"/>
        <w:gridCol w:w="787"/>
        <w:gridCol w:w="913"/>
        <w:gridCol w:w="913"/>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序号</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工程名称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单位</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数量</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Style w:val="109"/>
                <w:rFonts w:hint="default" w:ascii="仿宋" w:hAnsi="仿宋" w:eastAsia="仿宋" w:cs="仿宋"/>
                <w:lang w:val="en-US" w:eastAsia="zh-CN" w:bidi="ar"/>
              </w:rPr>
            </w:pPr>
            <w:r>
              <w:rPr>
                <w:rStyle w:val="109"/>
                <w:rFonts w:hint="eastAsia" w:ascii="仿宋" w:hAnsi="仿宋" w:eastAsia="仿宋" w:cs="仿宋"/>
                <w:lang w:val="en-US" w:eastAsia="zh-CN" w:bidi="ar"/>
              </w:rPr>
              <w:t>单价（元）</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Style w:val="109"/>
                <w:rFonts w:hint="default" w:ascii="仿宋" w:hAnsi="仿宋" w:eastAsia="仿宋" w:cs="仿宋"/>
                <w:lang w:val="en-US" w:eastAsia="zh-CN" w:bidi="ar"/>
              </w:rPr>
            </w:pPr>
            <w:r>
              <w:rPr>
                <w:rStyle w:val="109"/>
                <w:rFonts w:hint="eastAsia" w:ascii="仿宋" w:hAnsi="仿宋" w:eastAsia="仿宋" w:cs="仿宋"/>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(一)</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林草措施投资（建筑工程部分）</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水保林（白皮松、侧柏混交林）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59.2</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侧柏纯林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公顷</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1.1.1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鱼鳞坑整地（小）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40817</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1.1.2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侧柏（高50-60cm）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41633</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1.1.3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栽植侧柏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40817</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白皮松纯林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公顷</w:t>
            </w:r>
            <w:bookmarkStart w:id="181" w:name="_GoBack"/>
            <w:bookmarkEnd w:id="181"/>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1.2.1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鱼鳞坑整地（小）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7933</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1.2.2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穴状整地（0.6m×0.6m）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1.2.3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白皮松（苗高1.5m）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11559</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1.2.4</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栽植白皮松</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11332</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经济林</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40.2</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樱桃树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2.1.1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穴状整地（0.6m×0.6m）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7444</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2.1.2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樱桃树（胸径2cm）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7593</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2.1.3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栽植樱桃</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7444</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核桃树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2.2.1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穴状整地（0.6m×0.6m）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12563</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2.2.2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核桃树（胸径2cm）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12814</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2.2.3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栽植核桃树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12563</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2.2.4</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撒播草籽（苜蓿）</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200" w:firstLineChars="10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hm²</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2.2.5</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草籽（苜蓿）</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kg</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502.5</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柿子树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2.3.1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穴状整地（0.6m×0.6m）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2.3.2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柿子树（胸径2cm）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2734</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2.3.3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栽植柿子树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2.3.4</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撒播草籽（苜蓿）</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200" w:firstLineChars="10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hm²</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2.3.5</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草籽（苜蓿）</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kg</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167.5</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花椒树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2.4.1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穴状整地（0.6m×0.6m×0.6m）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11162</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2.4.2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花椒（地径2cm）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11385</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2.4.3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栽植花椒</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11162</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村内道路绿化</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m</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穴状整地</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1333</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龙爪槐栽植费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龙爪槐（胸径3cm）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樱花栽植费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樱花（胸径3cm，苗高1.5-2.0m）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小叶黄杨球栽植费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667</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小叶黄杨球（苗高40cm，冠幅60cm）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红叶小檗栽植费</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红叶小檗（苗高50cm）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22032</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绿叶小檗栽植</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绿叶小檗（苗高50cm）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22032</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highlight w:val="none"/>
                <w:lang w:val="en-US" w:eastAsia="zh-CN" w:bidi="ar"/>
              </w:rPr>
              <w:t>(二)</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highlight w:val="none"/>
                <w:lang w:val="en-US" w:eastAsia="zh-CN" w:bidi="ar"/>
              </w:rPr>
              <w:t>封育治理措施投资（建筑工程部分）</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护栏措施</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封禁围栏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1.1.1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混凝土桩铁丝围栏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m</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封禁碑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座</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水保宣传牌（1.2m*0.6m）</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块</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疏林（侧柏）补植</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公顷</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鱼鳞坑整地（小）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6750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侧柏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6885</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2138"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栽植侧柏</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Style w:val="109"/>
                <w:rFonts w:hint="eastAsia" w:ascii="仿宋" w:hAnsi="仿宋" w:eastAsia="仿宋" w:cs="仿宋"/>
                <w:lang w:val="en-US" w:eastAsia="zh-CN" w:bidi="ar"/>
              </w:rPr>
              <w:t>株</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6750</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30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Style w:val="109"/>
                <w:rFonts w:hint="default" w:ascii="仿宋" w:hAnsi="仿宋" w:eastAsia="仿宋" w:cs="仿宋"/>
                <w:lang w:val="en-US" w:eastAsia="zh-CN" w:bidi="ar"/>
              </w:rPr>
            </w:pPr>
            <w:r>
              <w:rPr>
                <w:rStyle w:val="109"/>
                <w:rFonts w:hint="eastAsia" w:ascii="仿宋" w:hAnsi="仿宋" w:eastAsia="仿宋" w:cs="仿宋"/>
                <w:lang w:val="en-US" w:eastAsia="zh-CN" w:bidi="ar"/>
              </w:rPr>
              <w:t>暂列金额</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ind w:firstLineChars="0"/>
              <w:jc w:val="center"/>
              <w:textAlignment w:val="top"/>
              <w:rPr>
                <w:rStyle w:val="109"/>
                <w:rFonts w:hint="default" w:ascii="仿宋" w:hAnsi="仿宋" w:eastAsia="仿宋" w:cs="仿宋"/>
                <w:lang w:val="en-US" w:eastAsia="zh-CN" w:bidi="ar"/>
              </w:rPr>
            </w:pPr>
            <w:r>
              <w:rPr>
                <w:rStyle w:val="109"/>
                <w:rFonts w:hint="eastAsia" w:ascii="仿宋" w:hAnsi="仿宋" w:eastAsia="仿宋" w:cs="仿宋"/>
                <w:lang w:val="en-US" w:eastAsia="zh-CN" w:bidi="ar"/>
              </w:rPr>
              <w:t>元</w:t>
            </w: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default" w:ascii="仿宋" w:hAnsi="仿宋" w:eastAsia="仿宋" w:cs="仿宋"/>
                <w:i w:val="0"/>
                <w:iCs w:val="0"/>
                <w:color w:val="000000"/>
                <w:kern w:val="0"/>
                <w:sz w:val="18"/>
                <w:szCs w:val="18"/>
                <w:u w:val="none"/>
                <w:lang w:val="en-US" w:eastAsia="zh-CN" w:bidi="ar"/>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right"/>
              <w:textAlignment w:val="top"/>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30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Style w:val="109"/>
                <w:rFonts w:hint="eastAsia" w:ascii="仿宋" w:hAnsi="仿宋" w:eastAsia="仿宋" w:cs="仿宋"/>
                <w:lang w:val="en-US" w:eastAsia="zh-CN" w:bidi="ar"/>
              </w:rPr>
            </w:pPr>
            <w:r>
              <w:rPr>
                <w:rFonts w:hint="eastAsia" w:ascii="仿宋" w:hAnsi="仿宋" w:eastAsia="仿宋" w:cs="仿宋"/>
                <w:i w:val="0"/>
                <w:iCs w:val="0"/>
                <w:color w:val="000000"/>
                <w:kern w:val="0"/>
                <w:sz w:val="18"/>
                <w:szCs w:val="18"/>
                <w:u w:val="none"/>
                <w:lang w:val="en-US" w:eastAsia="zh-CN" w:bidi="ar"/>
              </w:rPr>
              <w:t>总价（元）=（一）+（二）+暂列金额</w:t>
            </w:r>
          </w:p>
        </w:tc>
        <w:tc>
          <w:tcPr>
            <w:tcW w:w="196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仿宋" w:hAnsi="仿宋" w:eastAsia="仿宋" w:cs="仿宋"/>
                <w:i w:val="0"/>
                <w:iCs w:val="0"/>
                <w:color w:val="000000"/>
                <w:kern w:val="0"/>
                <w:sz w:val="18"/>
                <w:szCs w:val="18"/>
                <w:u w:val="none"/>
                <w:lang w:val="en-US" w:eastAsia="zh-CN" w:bidi="ar"/>
              </w:rPr>
            </w:pPr>
          </w:p>
        </w:tc>
      </w:tr>
    </w:tbl>
    <w:p>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63" w:name="_Toc5947"/>
      <w:bookmarkStart w:id="164" w:name="_Toc3574"/>
    </w:p>
    <w:p>
      <w:pPr>
        <w:keepLines/>
        <w:pageBreakBefore/>
        <w:jc w:val="center"/>
        <w:outlineLvl w:val="1"/>
        <w:rPr>
          <w:rFonts w:hint="eastAsia" w:ascii="仿宋" w:hAnsi="仿宋" w:eastAsia="仿宋" w:cs="仿宋"/>
          <w:b/>
          <w:bCs/>
          <w:color w:val="auto"/>
          <w:sz w:val="32"/>
          <w:szCs w:val="32"/>
        </w:rPr>
      </w:pPr>
      <w:bookmarkStart w:id="165" w:name="_Toc21095"/>
      <w:bookmarkStart w:id="166" w:name="_Toc6747"/>
      <w:bookmarkStart w:id="167" w:name="_Toc15602"/>
      <w:bookmarkStart w:id="168" w:name="_Toc6797"/>
      <w:r>
        <w:rPr>
          <w:rFonts w:hint="eastAsia" w:ascii="仿宋" w:hAnsi="仿宋" w:eastAsia="仿宋" w:cs="仿宋"/>
          <w:b/>
          <w:bCs/>
          <w:color w:val="auto"/>
          <w:sz w:val="32"/>
          <w:szCs w:val="32"/>
        </w:rPr>
        <w:t>六、商务响应与说明</w:t>
      </w:r>
      <w:bookmarkEnd w:id="165"/>
      <w:bookmarkEnd w:id="166"/>
      <w:bookmarkEnd w:id="167"/>
      <w:bookmarkEnd w:id="168"/>
    </w:p>
    <w:p>
      <w:pPr>
        <w:spacing w:after="120" w:line="44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p>
      <w:pPr>
        <w:spacing w:after="120" w:line="440" w:lineRule="exact"/>
        <w:ind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按照</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的商务要求编制商务响应与说明，格式不限。但</w:t>
      </w:r>
      <w:r>
        <w:rPr>
          <w:rFonts w:hint="eastAsia" w:ascii="仿宋" w:hAnsi="仿宋" w:eastAsia="仿宋" w:cs="仿宋"/>
          <w:b/>
          <w:bCs/>
          <w:color w:val="auto"/>
          <w:sz w:val="24"/>
          <w:szCs w:val="24"/>
        </w:rPr>
        <w:t>内容至少应包括如下：</w:t>
      </w:r>
    </w:p>
    <w:p>
      <w:pPr>
        <w:spacing w:line="408" w:lineRule="auto"/>
        <w:ind w:left="525" w:leftChars="2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磋商报价</w:t>
      </w:r>
      <w:r>
        <w:rPr>
          <w:rFonts w:hint="eastAsia" w:ascii="仿宋" w:hAnsi="仿宋" w:eastAsia="仿宋" w:cs="仿宋"/>
          <w:color w:val="auto"/>
          <w:sz w:val="24"/>
          <w:szCs w:val="24"/>
        </w:rPr>
        <w:t>所包含的全部内容；</w:t>
      </w:r>
    </w:p>
    <w:p>
      <w:pPr>
        <w:spacing w:line="408" w:lineRule="auto"/>
        <w:ind w:left="525" w:leftChars="2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对工期、地点、验收、服务承诺、结算方式、合同条款等</w:t>
      </w:r>
      <w:r>
        <w:rPr>
          <w:rFonts w:hint="eastAsia" w:ascii="仿宋" w:hAnsi="仿宋" w:eastAsia="仿宋" w:cs="仿宋"/>
          <w:color w:val="auto"/>
          <w:sz w:val="24"/>
          <w:szCs w:val="24"/>
          <w:lang w:eastAsia="zh-CN"/>
        </w:rPr>
        <w:t>磋商</w:t>
      </w:r>
      <w:r>
        <w:rPr>
          <w:rFonts w:hint="eastAsia" w:ascii="仿宋" w:hAnsi="仿宋" w:eastAsia="仿宋" w:cs="仿宋"/>
          <w:color w:val="auto"/>
          <w:sz w:val="24"/>
          <w:szCs w:val="24"/>
        </w:rPr>
        <w:t>响应；</w:t>
      </w:r>
    </w:p>
    <w:p>
      <w:pPr>
        <w:spacing w:line="408" w:lineRule="auto"/>
        <w:ind w:left="525" w:leftChars="2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中要求的其它内容。</w:t>
      </w: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keepLines/>
        <w:pageBreakBefore/>
        <w:numPr>
          <w:ilvl w:val="0"/>
          <w:numId w:val="0"/>
        </w:numPr>
        <w:ind w:leftChars="0"/>
        <w:jc w:val="center"/>
        <w:outlineLvl w:val="1"/>
        <w:rPr>
          <w:rFonts w:hint="eastAsia" w:ascii="仿宋" w:hAnsi="仿宋" w:eastAsia="仿宋" w:cs="仿宋"/>
          <w:b/>
          <w:bCs/>
          <w:color w:val="auto"/>
          <w:sz w:val="32"/>
          <w:szCs w:val="32"/>
          <w:lang w:eastAsia="zh-CN"/>
        </w:rPr>
      </w:pPr>
      <w:bookmarkStart w:id="169" w:name="_Toc31221"/>
      <w:r>
        <w:rPr>
          <w:rFonts w:hint="eastAsia" w:ascii="仿宋" w:hAnsi="仿宋" w:eastAsia="仿宋" w:cs="仿宋"/>
          <w:b/>
          <w:bCs/>
          <w:color w:val="auto"/>
          <w:sz w:val="32"/>
          <w:szCs w:val="32"/>
          <w:lang w:eastAsia="zh-CN"/>
        </w:rPr>
        <w:t>七、承诺书</w:t>
      </w:r>
      <w:bookmarkEnd w:id="169"/>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lang w:val="en-US" w:eastAsia="zh-CN"/>
        </w:rPr>
        <w:t>7.1陕</w:t>
      </w:r>
      <w:r>
        <w:rPr>
          <w:rFonts w:hint="eastAsia" w:ascii="仿宋" w:hAnsi="仿宋" w:eastAsia="仿宋" w:cs="仿宋"/>
          <w:b/>
          <w:bCs/>
          <w:color w:val="auto"/>
          <w:sz w:val="30"/>
          <w:szCs w:val="30"/>
        </w:rPr>
        <w:t>西省政府采购供应商拒绝政府采购领域商业贿赂承诺书</w:t>
      </w:r>
    </w:p>
    <w:p>
      <w:pPr>
        <w:keepNext w:val="0"/>
        <w:keepLines w:val="0"/>
        <w:pageBreakBefore w:val="0"/>
        <w:widowControl/>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为响应党中央、国务院关于治理政府采购领域商业贿赂行为的号召，我公司在此庄严承诺：</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在参与政府采购活动中遵纪守法、诚信经营、公平竞标。</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不向政府采购人、采购代理机构和政府采购评审专家进行任何形式的商业贿赂以谋取交易机会。</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不向政府采购代理机构和采购人提供虚假资质文件或采用虚假应标方式参与政府采购市场竞争并谋取中标、成交。</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不采取“围标、陪标”等商业欺诈手段获得政府采购定单。</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不采取不正当手段诋毁、排挤其他供应商。</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不在提供商品和服务时“偷梁换柱、以次充好”损害采购人的合法权益。</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不与采购人、采购代理机构政府采购评审专家或其它供应商恶意串通，进行质疑和投诉，维护政府采购市场秩序。</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尊重和接受政府采购监督管理部门的监督和政府采购代理机构招标采购要求，承担因违约行为给采购人造成的损失。</w:t>
      </w:r>
    </w:p>
    <w:p>
      <w:pPr>
        <w:keepNext w:val="0"/>
        <w:keepLines w:val="0"/>
        <w:pageBreakBefore w:val="0"/>
        <w:widowControl/>
        <w:numPr>
          <w:ilvl w:val="0"/>
          <w:numId w:val="10"/>
        </w:numPr>
        <w:kinsoku/>
        <w:wordWrap/>
        <w:overflowPunct/>
        <w:topLinePunct w:val="0"/>
        <w:autoSpaceDE/>
        <w:autoSpaceDN/>
        <w:bidi w:val="0"/>
        <w:adjustRightInd/>
        <w:snapToGrid/>
        <w:spacing w:line="408" w:lineRule="auto"/>
        <w:ind w:left="0" w:leftChars="0" w:firstLine="420" w:firstLineChars="200"/>
        <w:jc w:val="left"/>
        <w:textAlignment w:val="auto"/>
        <w:rPr>
          <w:rFonts w:hint="eastAsia" w:ascii="仿宋" w:hAnsi="仿宋" w:eastAsia="仿宋" w:cs="仿宋"/>
          <w:color w:val="auto"/>
        </w:rPr>
      </w:pPr>
      <w:r>
        <w:rPr>
          <w:rFonts w:hint="eastAsia" w:ascii="仿宋" w:hAnsi="仿宋" w:eastAsia="仿宋" w:cs="仿宋"/>
          <w:color w:val="auto"/>
        </w:rPr>
        <w:t>不发生其他有悖于政府采购公开、公平、公正和诚信原则的行为。</w:t>
      </w:r>
      <w:r>
        <w:rPr>
          <w:rFonts w:hint="eastAsia" w:ascii="仿宋" w:hAnsi="仿宋" w:eastAsia="仿宋" w:cs="仿宋"/>
          <w:color w:val="auto"/>
        </w:rPr>
        <w:br w:type="textWrapping"/>
      </w:r>
    </w:p>
    <w:p>
      <w:pPr>
        <w:widowControl/>
        <w:spacing w:line="408" w:lineRule="auto"/>
        <w:ind w:left="239" w:leftChars="114"/>
        <w:jc w:val="left"/>
        <w:rPr>
          <w:rFonts w:hint="eastAsia" w:ascii="仿宋" w:hAnsi="仿宋" w:eastAsia="仿宋" w:cs="仿宋"/>
          <w:color w:val="auto"/>
        </w:rPr>
      </w:pPr>
      <w:r>
        <w:rPr>
          <w:rFonts w:hint="eastAsia" w:ascii="仿宋" w:hAnsi="仿宋" w:eastAsia="仿宋" w:cs="仿宋"/>
          <w:color w:val="auto"/>
        </w:rPr>
        <w:t>承诺单位：</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（盖章）</w:t>
      </w:r>
      <w:r>
        <w:rPr>
          <w:rFonts w:hint="eastAsia" w:ascii="仿宋" w:hAnsi="仿宋" w:eastAsia="仿宋" w:cs="仿宋"/>
          <w:color w:val="auto"/>
        </w:rPr>
        <w:br w:type="textWrapping"/>
      </w:r>
      <w:r>
        <w:rPr>
          <w:rFonts w:hint="eastAsia" w:ascii="仿宋" w:hAnsi="仿宋" w:eastAsia="仿宋" w:cs="仿宋"/>
          <w:color w:val="auto"/>
          <w:lang w:eastAsia="zh-CN"/>
        </w:rPr>
        <w:t>被授权人</w:t>
      </w:r>
      <w:r>
        <w:rPr>
          <w:rFonts w:hint="eastAsia" w:ascii="仿宋" w:hAnsi="仿宋" w:eastAsia="仿宋" w:cs="仿宋"/>
          <w:color w:val="auto"/>
        </w:rPr>
        <w:t>：</w:t>
      </w:r>
      <w:r>
        <w:rPr>
          <w:rFonts w:hint="eastAsia" w:ascii="仿宋" w:hAnsi="仿宋" w:eastAsia="仿宋" w:cs="仿宋"/>
          <w:color w:val="auto"/>
          <w:u w:val="single"/>
          <w:lang w:val="en-US" w:eastAsia="zh-CN"/>
        </w:rPr>
        <w:t xml:space="preserve">                       </w:t>
      </w:r>
      <w:r>
        <w:rPr>
          <w:rFonts w:hint="eastAsia" w:ascii="仿宋" w:hAnsi="仿宋" w:eastAsia="仿宋" w:cs="仿宋"/>
          <w:color w:val="auto"/>
        </w:rPr>
        <w:t>（</w:t>
      </w:r>
      <w:r>
        <w:rPr>
          <w:rFonts w:hint="eastAsia" w:ascii="仿宋" w:hAnsi="仿宋" w:eastAsia="仿宋" w:cs="仿宋"/>
          <w:color w:val="auto"/>
          <w:szCs w:val="24"/>
        </w:rPr>
        <w:t>签</w:t>
      </w:r>
      <w:r>
        <w:rPr>
          <w:rFonts w:hint="eastAsia" w:ascii="仿宋" w:hAnsi="仿宋" w:eastAsia="仿宋" w:cs="仿宋"/>
          <w:color w:val="auto"/>
          <w:szCs w:val="24"/>
          <w:lang w:eastAsia="zh-CN"/>
        </w:rPr>
        <w:t>字</w:t>
      </w:r>
      <w:r>
        <w:rPr>
          <w:rFonts w:hint="eastAsia" w:ascii="仿宋" w:hAnsi="仿宋" w:eastAsia="仿宋" w:cs="仿宋"/>
          <w:color w:val="auto"/>
        </w:rPr>
        <w:t>）</w:t>
      </w:r>
      <w:r>
        <w:rPr>
          <w:rFonts w:hint="eastAsia" w:ascii="仿宋" w:hAnsi="仿宋" w:eastAsia="仿宋" w:cs="仿宋"/>
          <w:color w:val="auto"/>
        </w:rPr>
        <w:br w:type="textWrapping"/>
      </w:r>
      <w:r>
        <w:rPr>
          <w:rFonts w:hint="eastAsia" w:ascii="仿宋" w:hAnsi="仿宋" w:eastAsia="仿宋" w:cs="仿宋"/>
          <w:color w:val="auto"/>
        </w:rPr>
        <w:t>地  址：</w:t>
      </w:r>
      <w:r>
        <w:rPr>
          <w:rFonts w:hint="eastAsia" w:ascii="仿宋" w:hAnsi="仿宋" w:eastAsia="仿宋" w:cs="仿宋"/>
          <w:color w:val="auto"/>
          <w:u w:val="single"/>
        </w:rPr>
        <w:t>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w:t>
      </w:r>
      <w:r>
        <w:rPr>
          <w:rFonts w:hint="eastAsia" w:ascii="仿宋" w:hAnsi="仿宋" w:eastAsia="仿宋" w:cs="仿宋"/>
          <w:color w:val="auto"/>
        </w:rPr>
        <w:t>  </w:t>
      </w:r>
    </w:p>
    <w:p>
      <w:pPr>
        <w:widowControl/>
        <w:spacing w:line="408" w:lineRule="auto"/>
        <w:ind w:left="239" w:leftChars="114"/>
        <w:jc w:val="left"/>
        <w:rPr>
          <w:rFonts w:hint="eastAsia" w:ascii="仿宋" w:hAnsi="仿宋" w:eastAsia="仿宋" w:cs="仿宋"/>
          <w:color w:val="auto"/>
        </w:rPr>
      </w:pPr>
      <w:r>
        <w:rPr>
          <w:rFonts w:hint="eastAsia" w:ascii="仿宋" w:hAnsi="仿宋" w:eastAsia="仿宋" w:cs="仿宋"/>
          <w:color w:val="auto"/>
        </w:rPr>
        <w:t>邮  编：</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br w:type="textWrapping"/>
      </w:r>
      <w:r>
        <w:rPr>
          <w:rFonts w:hint="eastAsia" w:ascii="仿宋" w:hAnsi="仿宋" w:eastAsia="仿宋" w:cs="仿宋"/>
          <w:color w:val="auto"/>
        </w:rPr>
        <w:t>电  话：</w:t>
      </w:r>
      <w:r>
        <w:rPr>
          <w:rFonts w:hint="eastAsia" w:ascii="仿宋" w:hAnsi="仿宋" w:eastAsia="仿宋" w:cs="仿宋"/>
          <w:color w:val="auto"/>
          <w:u w:val="single"/>
        </w:rPr>
        <w:t>         </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rPr>
        <w:t>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年  月  日</w:t>
      </w: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lang w:val="zh-CN" w:eastAsia="zh-CN"/>
        </w:rPr>
      </w:pPr>
      <w:r>
        <w:rPr>
          <w:rFonts w:hint="eastAsia" w:ascii="仿宋" w:hAnsi="仿宋" w:eastAsia="仿宋" w:cs="仿宋"/>
          <w:b/>
          <w:bCs/>
          <w:color w:val="auto"/>
          <w:sz w:val="30"/>
          <w:szCs w:val="30"/>
          <w:lang w:val="en-US" w:eastAsia="zh-CN"/>
        </w:rPr>
        <w:t>7.2</w:t>
      </w:r>
      <w:r>
        <w:rPr>
          <w:rFonts w:hint="eastAsia" w:ascii="仿宋" w:hAnsi="仿宋" w:eastAsia="仿宋" w:cs="仿宋"/>
          <w:b/>
          <w:bCs/>
          <w:color w:val="auto"/>
          <w:sz w:val="30"/>
          <w:szCs w:val="30"/>
          <w:lang w:val="zh-CN" w:eastAsia="zh-CN"/>
        </w:rPr>
        <w:t>供应商企业关系关联承诺书</w:t>
      </w:r>
    </w:p>
    <w:p>
      <w:pPr>
        <w:pStyle w:val="2"/>
        <w:rPr>
          <w:rFonts w:hint="eastAsia" w:ascii="仿宋" w:hAnsi="仿宋" w:eastAsia="仿宋" w:cs="仿宋"/>
          <w:color w:val="auto"/>
          <w:lang w:val="zh-CN"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1、供应商在本项目磋商中，不存在与其它供应商负责人为同一人，有控股、管理等关联关系承诺：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1.1管理关系说明：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我单位管理的具有独立法人的下属单位有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我单位的上级管理单位有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1.2股权关系说明：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我单位控股的单位有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我单位被</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单位控股。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1.3单位负责人：</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u w:val="single"/>
          <w:lang w:val="en-US" w:eastAsia="zh-CN"/>
        </w:rPr>
        <w:t xml:space="preserve">   否   </w:t>
      </w:r>
      <w:r>
        <w:rPr>
          <w:rFonts w:hint="eastAsia" w:ascii="仿宋" w:hAnsi="仿宋" w:eastAsia="仿宋" w:cs="仿宋"/>
          <w:b w:val="0"/>
          <w:bCs w:val="0"/>
          <w:color w:val="auto"/>
          <w:sz w:val="24"/>
          <w:szCs w:val="24"/>
          <w:highlight w:val="none"/>
          <w:lang w:val="en-US" w:eastAsia="zh-CN"/>
        </w:rPr>
        <w:t>（是或否，没有填否） 为采购项目提供整体设计、规范编制或者项目管理、监理、检测等服务的供应商。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3、其他与本项目有关的利害关系说明：</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我单位承诺以上说明真实有效，无虚假内容或隐瞒。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pStyle w:val="2"/>
        <w:rPr>
          <w:rFonts w:hint="eastAsia" w:ascii="仿宋" w:hAnsi="仿宋" w:eastAsia="仿宋" w:cs="仿宋"/>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供应商名称</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法定代表人或被授权人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color w:val="auto"/>
          <w:kern w:val="0"/>
          <w:sz w:val="24"/>
        </w:rPr>
      </w:pPr>
      <w:r>
        <w:rPr>
          <w:rFonts w:hint="eastAsia" w:ascii="仿宋" w:hAnsi="仿宋" w:eastAsia="仿宋" w:cs="仿宋"/>
          <w:b w:val="0"/>
          <w:bCs w:val="0"/>
          <w:color w:val="auto"/>
          <w:sz w:val="24"/>
          <w:szCs w:val="24"/>
          <w:highlight w:val="none"/>
          <w:lang w:val="en-US" w:eastAsia="zh-CN"/>
        </w:rPr>
        <w:t xml:space="preserve">      </w:t>
      </w:r>
    </w:p>
    <w:p>
      <w:pPr>
        <w:widowControl/>
        <w:spacing w:line="408" w:lineRule="auto"/>
        <w:ind w:left="239" w:leftChars="114"/>
        <w:jc w:val="right"/>
        <w:rPr>
          <w:rFonts w:hint="eastAsia" w:ascii="仿宋" w:hAnsi="仿宋" w:eastAsia="仿宋" w:cs="仿宋"/>
          <w:color w:val="auto"/>
          <w:kern w:val="0"/>
          <w:sz w:val="24"/>
        </w:rPr>
      </w:pPr>
    </w:p>
    <w:p>
      <w:pPr>
        <w:widowControl/>
        <w:spacing w:line="408" w:lineRule="auto"/>
        <w:ind w:left="239" w:leftChars="114"/>
        <w:jc w:val="right"/>
        <w:rPr>
          <w:rFonts w:hint="eastAsia" w:ascii="仿宋" w:hAnsi="仿宋" w:eastAsia="仿宋" w:cs="仿宋"/>
          <w:color w:val="auto"/>
          <w:kern w:val="0"/>
          <w:sz w:val="24"/>
        </w:rPr>
      </w:pPr>
      <w:r>
        <w:rPr>
          <w:rFonts w:hint="eastAsia" w:ascii="仿宋" w:hAnsi="仿宋" w:eastAsia="仿宋" w:cs="仿宋"/>
          <w:color w:val="auto"/>
          <w:kern w:val="0"/>
          <w:sz w:val="24"/>
        </w:rPr>
        <w:t>                     年  月  日</w:t>
      </w:r>
    </w:p>
    <w:p>
      <w:pPr>
        <w:spacing w:line="408" w:lineRule="auto"/>
        <w:ind w:left="525" w:leftChars="250"/>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rPr>
      </w:pPr>
    </w:p>
    <w:p>
      <w:pPr>
        <w:spacing w:line="408" w:lineRule="auto"/>
        <w:ind w:left="525" w:leftChars="250"/>
        <w:rPr>
          <w:rFonts w:hint="eastAsia" w:ascii="仿宋" w:hAnsi="仿宋" w:eastAsia="仿宋" w:cs="仿宋"/>
          <w:color w:val="auto"/>
          <w:sz w:val="24"/>
          <w:szCs w:val="24"/>
        </w:rPr>
      </w:pPr>
    </w:p>
    <w:p>
      <w:pPr>
        <w:spacing w:line="408" w:lineRule="auto"/>
        <w:ind w:left="525" w:leftChars="250"/>
        <w:rPr>
          <w:rFonts w:hint="eastAsia" w:ascii="仿宋" w:hAnsi="仿宋" w:eastAsia="仿宋" w:cs="仿宋"/>
          <w:color w:val="auto"/>
          <w:sz w:val="24"/>
          <w:szCs w:val="24"/>
        </w:rPr>
      </w:pPr>
    </w:p>
    <w:p>
      <w:pPr>
        <w:widowControl/>
        <w:numPr>
          <w:ilvl w:val="0"/>
          <w:numId w:val="11"/>
        </w:numPr>
        <w:jc w:val="center"/>
        <w:outlineLvl w:val="1"/>
        <w:rPr>
          <w:rFonts w:hint="eastAsia" w:ascii="仿宋" w:hAnsi="仿宋" w:eastAsia="仿宋" w:cs="仿宋"/>
          <w:b/>
          <w:bCs/>
          <w:color w:val="auto"/>
          <w:sz w:val="32"/>
          <w:szCs w:val="32"/>
        </w:rPr>
      </w:pPr>
      <w:bookmarkStart w:id="170" w:name="_Toc22069"/>
      <w:r>
        <w:rPr>
          <w:rFonts w:hint="eastAsia" w:ascii="仿宋" w:hAnsi="仿宋" w:eastAsia="仿宋" w:cs="仿宋"/>
          <w:b/>
          <w:bCs/>
          <w:color w:val="auto"/>
          <w:sz w:val="32"/>
          <w:szCs w:val="32"/>
          <w:lang w:eastAsia="zh-CN"/>
        </w:rPr>
        <w:t>竞争性磋商文件</w:t>
      </w:r>
      <w:r>
        <w:rPr>
          <w:rFonts w:hint="eastAsia" w:ascii="仿宋" w:hAnsi="仿宋" w:eastAsia="仿宋" w:cs="仿宋"/>
          <w:b/>
          <w:bCs/>
          <w:color w:val="auto"/>
          <w:sz w:val="32"/>
          <w:szCs w:val="32"/>
        </w:rPr>
        <w:t>要求的其他文件或承诺</w:t>
      </w:r>
      <w:bookmarkEnd w:id="170"/>
    </w:p>
    <w:p>
      <w:pPr>
        <w:pStyle w:val="2"/>
        <w:rPr>
          <w:rFonts w:hint="eastAsia" w:ascii="仿宋" w:hAnsi="仿宋" w:eastAsia="仿宋" w:cs="仿宋"/>
          <w:color w:val="auto"/>
        </w:rPr>
      </w:pPr>
    </w:p>
    <w:p>
      <w:pPr>
        <w:pStyle w:val="2"/>
        <w:numPr>
          <w:ilvl w:val="0"/>
          <w:numId w:val="12"/>
        </w:numPr>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基本存款账户开户许可证（基本账户信息表）</w:t>
      </w:r>
    </w:p>
    <w:p>
      <w:pPr>
        <w:pStyle w:val="2"/>
        <w:numPr>
          <w:ilvl w:val="0"/>
          <w:numId w:val="12"/>
        </w:numPr>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其他文件。</w:t>
      </w:r>
    </w:p>
    <w:p>
      <w:pPr>
        <w:keepLines/>
        <w:pageBreakBefore/>
        <w:jc w:val="center"/>
        <w:outlineLvl w:val="1"/>
        <w:rPr>
          <w:rFonts w:hint="eastAsia" w:ascii="仿宋" w:hAnsi="仿宋" w:eastAsia="仿宋" w:cs="仿宋"/>
          <w:b/>
          <w:bCs/>
          <w:color w:val="auto"/>
          <w:sz w:val="32"/>
          <w:szCs w:val="32"/>
          <w:highlight w:val="none"/>
        </w:rPr>
      </w:pPr>
      <w:bookmarkStart w:id="171" w:name="_Toc13500"/>
      <w:r>
        <w:rPr>
          <w:rFonts w:hint="eastAsia" w:ascii="仿宋" w:hAnsi="仿宋" w:eastAsia="仿宋" w:cs="仿宋"/>
          <w:b/>
          <w:bCs/>
          <w:color w:val="auto"/>
          <w:sz w:val="32"/>
          <w:szCs w:val="32"/>
          <w:highlight w:val="none"/>
        </w:rPr>
        <w:t>九、其他可以证明</w:t>
      </w:r>
      <w:r>
        <w:rPr>
          <w:rFonts w:hint="eastAsia" w:ascii="仿宋" w:hAnsi="仿宋" w:eastAsia="仿宋" w:cs="仿宋"/>
          <w:b/>
          <w:bCs/>
          <w:color w:val="auto"/>
          <w:sz w:val="32"/>
          <w:szCs w:val="32"/>
          <w:highlight w:val="none"/>
          <w:lang w:eastAsia="zh-CN"/>
        </w:rPr>
        <w:t>供应商</w:t>
      </w:r>
      <w:r>
        <w:rPr>
          <w:rFonts w:hint="eastAsia" w:ascii="仿宋" w:hAnsi="仿宋" w:eastAsia="仿宋" w:cs="仿宋"/>
          <w:b/>
          <w:bCs/>
          <w:color w:val="auto"/>
          <w:sz w:val="32"/>
          <w:szCs w:val="32"/>
          <w:highlight w:val="none"/>
        </w:rPr>
        <w:t>实力的文件</w:t>
      </w:r>
      <w:bookmarkEnd w:id="171"/>
    </w:p>
    <w:p>
      <w:pPr>
        <w:spacing w:line="408" w:lineRule="auto"/>
        <w:rPr>
          <w:rFonts w:hint="eastAsia" w:ascii="仿宋" w:hAnsi="仿宋" w:eastAsia="仿宋" w:cs="仿宋"/>
          <w:color w:val="auto"/>
          <w:sz w:val="32"/>
          <w:szCs w:val="32"/>
        </w:rPr>
      </w:pPr>
    </w:p>
    <w:p>
      <w:pPr>
        <w:spacing w:line="408" w:lineRule="auto"/>
        <w:ind w:left="525" w:leftChars="250"/>
        <w:rPr>
          <w:rFonts w:hint="eastAsia" w:ascii="仿宋" w:hAnsi="仿宋" w:eastAsia="仿宋" w:cs="仿宋"/>
          <w:color w:val="auto"/>
          <w:sz w:val="24"/>
          <w:szCs w:val="24"/>
        </w:rPr>
      </w:pPr>
      <w:r>
        <w:rPr>
          <w:rFonts w:hint="eastAsia" w:ascii="仿宋" w:hAnsi="仿宋" w:eastAsia="仿宋" w:cs="仿宋"/>
          <w:color w:val="auto"/>
          <w:sz w:val="24"/>
          <w:szCs w:val="24"/>
        </w:rPr>
        <w:br w:type="page"/>
      </w:r>
    </w:p>
    <w:p>
      <w:pPr>
        <w:keepLines/>
        <w:pageBreakBefore/>
        <w:jc w:val="center"/>
        <w:outlineLvl w:val="1"/>
        <w:rPr>
          <w:rFonts w:hint="eastAsia" w:ascii="仿宋" w:hAnsi="仿宋" w:eastAsia="仿宋" w:cs="仿宋"/>
          <w:b/>
          <w:bCs/>
          <w:color w:val="auto"/>
          <w:sz w:val="32"/>
          <w:szCs w:val="32"/>
        </w:rPr>
      </w:pPr>
      <w:bookmarkStart w:id="172" w:name="_Toc22342"/>
      <w:r>
        <w:rPr>
          <w:rFonts w:hint="eastAsia" w:ascii="仿宋" w:hAnsi="仿宋" w:eastAsia="仿宋" w:cs="仿宋"/>
          <w:b/>
          <w:bCs/>
          <w:color w:val="auto"/>
          <w:sz w:val="32"/>
          <w:szCs w:val="32"/>
        </w:rPr>
        <w:t>第二部分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技术</w:t>
      </w:r>
      <w:bookmarkEnd w:id="163"/>
      <w:bookmarkEnd w:id="164"/>
      <w:r>
        <w:rPr>
          <w:rFonts w:hint="eastAsia" w:ascii="仿宋" w:hAnsi="仿宋" w:eastAsia="仿宋" w:cs="仿宋"/>
          <w:b/>
          <w:bCs/>
          <w:color w:val="auto"/>
          <w:sz w:val="32"/>
          <w:szCs w:val="32"/>
        </w:rPr>
        <w:t>标</w:t>
      </w:r>
      <w:bookmarkEnd w:id="172"/>
    </w:p>
    <w:p>
      <w:pPr>
        <w:spacing w:after="12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spacing w:after="120" w:line="440" w:lineRule="exact"/>
        <w:rPr>
          <w:rFonts w:hint="eastAsia" w:ascii="仿宋" w:hAnsi="仿宋" w:eastAsia="仿宋" w:cs="仿宋"/>
          <w:color w:val="auto"/>
          <w:highlight w:val="none"/>
        </w:rPr>
      </w:pPr>
      <w:r>
        <w:rPr>
          <w:rFonts w:hint="eastAsia" w:ascii="仿宋" w:hAnsi="仿宋" w:eastAsia="仿宋" w:cs="仿宋"/>
          <w:color w:val="auto"/>
          <w:sz w:val="24"/>
          <w:szCs w:val="24"/>
          <w:highlight w:val="none"/>
        </w:rPr>
        <w:t>项目编号：</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编制的施工组织设计包含以下内容：</w:t>
      </w:r>
    </w:p>
    <w:p>
      <w:pPr>
        <w:spacing w:line="58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（1）评标办法技术标要求的内容</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合理化建议</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认为有必要说明的问题</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施工组织设计除采用文字表述外可附下列图表，图表及格式要求附后。</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附表一</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拟投入本工程的主要施工设备表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附表二</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拟配备本工程的试验和检测仪器设备表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附表三</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劳动力计划表</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附表四</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计划开、竣工日期和施工进度网络图</w:t>
      </w:r>
    </w:p>
    <w:p>
      <w:pPr>
        <w:spacing w:line="5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临时用地表</w:t>
      </w:r>
    </w:p>
    <w:p>
      <w:pPr>
        <w:spacing w:line="580" w:lineRule="exact"/>
        <w:ind w:firstLine="480" w:firstLineChars="200"/>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rPr>
      </w:pPr>
    </w:p>
    <w:p>
      <w:pPr>
        <w:pStyle w:val="2"/>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2"/>
        <w:rPr>
          <w:rFonts w:hint="eastAsia" w:ascii="仿宋" w:hAnsi="仿宋" w:eastAsia="仿宋" w:cs="仿宋"/>
          <w:color w:val="auto"/>
          <w:sz w:val="24"/>
          <w:szCs w:val="24"/>
        </w:rPr>
      </w:pPr>
    </w:p>
    <w:p>
      <w:pPr>
        <w:rPr>
          <w:rFonts w:hint="eastAsia" w:ascii="仿宋" w:hAnsi="仿宋" w:eastAsia="仿宋" w:cs="仿宋"/>
          <w:color w:val="auto"/>
        </w:rPr>
      </w:pPr>
    </w:p>
    <w:p>
      <w:pPr>
        <w:spacing w:beforeLines="50" w:afterLines="100" w:line="420" w:lineRule="exact"/>
        <w:rPr>
          <w:rFonts w:hint="eastAsia" w:ascii="仿宋" w:hAnsi="仿宋" w:eastAsia="仿宋" w:cs="仿宋"/>
          <w:b/>
          <w:bCs/>
          <w:color w:val="auto"/>
          <w:sz w:val="24"/>
          <w:szCs w:val="24"/>
        </w:rPr>
      </w:pPr>
      <w:r>
        <w:rPr>
          <w:rFonts w:hint="eastAsia" w:ascii="仿宋" w:hAnsi="仿宋" w:eastAsia="仿宋" w:cs="仿宋"/>
          <w:b/>
          <w:bCs/>
          <w:color w:val="auto"/>
          <w:sz w:val="24"/>
          <w:szCs w:val="24"/>
        </w:rPr>
        <w:t>附表一：拟投入本工程的主要施工设备表</w:t>
      </w:r>
    </w:p>
    <w:tbl>
      <w:tblPr>
        <w:tblStyle w:val="35"/>
        <w:tblW w:w="94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117"/>
        <w:gridCol w:w="992"/>
        <w:gridCol w:w="709"/>
        <w:gridCol w:w="1134"/>
        <w:gridCol w:w="1134"/>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8" w:type="dxa"/>
            <w:vAlign w:val="center"/>
          </w:tcPr>
          <w:p>
            <w:pPr>
              <w:jc w:val="center"/>
              <w:rPr>
                <w:rFonts w:hint="eastAsia" w:ascii="仿宋" w:hAnsi="仿宋" w:eastAsia="仿宋" w:cs="仿宋"/>
                <w:color w:val="auto"/>
              </w:rPr>
            </w:pPr>
            <w:r>
              <w:rPr>
                <w:rFonts w:hint="eastAsia" w:ascii="仿宋" w:hAnsi="仿宋" w:eastAsia="仿宋" w:cs="仿宋"/>
                <w:color w:val="auto"/>
              </w:rPr>
              <w:t>序号</w:t>
            </w:r>
          </w:p>
        </w:tc>
        <w:tc>
          <w:tcPr>
            <w:tcW w:w="1117" w:type="dxa"/>
            <w:vAlign w:val="center"/>
          </w:tcPr>
          <w:p>
            <w:pPr>
              <w:jc w:val="center"/>
              <w:rPr>
                <w:rFonts w:hint="eastAsia" w:ascii="仿宋" w:hAnsi="仿宋" w:eastAsia="仿宋" w:cs="仿宋"/>
                <w:color w:val="auto"/>
              </w:rPr>
            </w:pPr>
            <w:r>
              <w:rPr>
                <w:rFonts w:hint="eastAsia" w:ascii="仿宋" w:hAnsi="仿宋" w:eastAsia="仿宋" w:cs="仿宋"/>
                <w:color w:val="auto"/>
              </w:rPr>
              <w:t>设备</w:t>
            </w:r>
          </w:p>
          <w:p>
            <w:pPr>
              <w:jc w:val="center"/>
              <w:rPr>
                <w:rFonts w:hint="eastAsia" w:ascii="仿宋" w:hAnsi="仿宋" w:eastAsia="仿宋" w:cs="仿宋"/>
                <w:color w:val="auto"/>
              </w:rPr>
            </w:pPr>
            <w:r>
              <w:rPr>
                <w:rFonts w:hint="eastAsia" w:ascii="仿宋" w:hAnsi="仿宋" w:eastAsia="仿宋" w:cs="仿宋"/>
                <w:color w:val="auto"/>
              </w:rPr>
              <w:t>名称</w:t>
            </w:r>
          </w:p>
        </w:tc>
        <w:tc>
          <w:tcPr>
            <w:tcW w:w="992" w:type="dxa"/>
            <w:vAlign w:val="center"/>
          </w:tcPr>
          <w:p>
            <w:pPr>
              <w:jc w:val="center"/>
              <w:rPr>
                <w:rFonts w:hint="eastAsia" w:ascii="仿宋" w:hAnsi="仿宋" w:eastAsia="仿宋" w:cs="仿宋"/>
                <w:color w:val="auto"/>
              </w:rPr>
            </w:pPr>
            <w:r>
              <w:rPr>
                <w:rFonts w:hint="eastAsia" w:ascii="仿宋" w:hAnsi="仿宋" w:eastAsia="仿宋" w:cs="仿宋"/>
                <w:color w:val="auto"/>
              </w:rPr>
              <w:t>型号</w:t>
            </w:r>
          </w:p>
          <w:p>
            <w:pPr>
              <w:jc w:val="center"/>
              <w:rPr>
                <w:rFonts w:hint="eastAsia" w:ascii="仿宋" w:hAnsi="仿宋" w:eastAsia="仿宋" w:cs="仿宋"/>
                <w:color w:val="auto"/>
              </w:rPr>
            </w:pPr>
            <w:r>
              <w:rPr>
                <w:rFonts w:hint="eastAsia" w:ascii="仿宋" w:hAnsi="仿宋" w:eastAsia="仿宋" w:cs="仿宋"/>
                <w:color w:val="auto"/>
              </w:rPr>
              <w:t>规格</w:t>
            </w:r>
          </w:p>
        </w:tc>
        <w:tc>
          <w:tcPr>
            <w:tcW w:w="709" w:type="dxa"/>
            <w:vAlign w:val="center"/>
          </w:tcPr>
          <w:p>
            <w:pPr>
              <w:jc w:val="center"/>
              <w:rPr>
                <w:rFonts w:hint="eastAsia" w:ascii="仿宋" w:hAnsi="仿宋" w:eastAsia="仿宋" w:cs="仿宋"/>
                <w:color w:val="auto"/>
              </w:rPr>
            </w:pPr>
            <w:r>
              <w:rPr>
                <w:rFonts w:hint="eastAsia" w:ascii="仿宋" w:hAnsi="仿宋" w:eastAsia="仿宋" w:cs="仿宋"/>
                <w:color w:val="auto"/>
              </w:rPr>
              <w:t>数量</w:t>
            </w:r>
          </w:p>
        </w:tc>
        <w:tc>
          <w:tcPr>
            <w:tcW w:w="1134" w:type="dxa"/>
            <w:vAlign w:val="center"/>
          </w:tcPr>
          <w:p>
            <w:pPr>
              <w:jc w:val="center"/>
              <w:rPr>
                <w:rFonts w:hint="eastAsia" w:ascii="仿宋" w:hAnsi="仿宋" w:eastAsia="仿宋" w:cs="仿宋"/>
                <w:color w:val="auto"/>
              </w:rPr>
            </w:pPr>
            <w:r>
              <w:rPr>
                <w:rFonts w:hint="eastAsia" w:ascii="仿宋" w:hAnsi="仿宋" w:eastAsia="仿宋" w:cs="仿宋"/>
                <w:color w:val="auto"/>
              </w:rPr>
              <w:t>国别</w:t>
            </w:r>
          </w:p>
          <w:p>
            <w:pPr>
              <w:jc w:val="center"/>
              <w:rPr>
                <w:rFonts w:hint="eastAsia" w:ascii="仿宋" w:hAnsi="仿宋" w:eastAsia="仿宋" w:cs="仿宋"/>
                <w:color w:val="auto"/>
              </w:rPr>
            </w:pPr>
            <w:r>
              <w:rPr>
                <w:rFonts w:hint="eastAsia" w:ascii="仿宋" w:hAnsi="仿宋" w:eastAsia="仿宋" w:cs="仿宋"/>
                <w:color w:val="auto"/>
              </w:rPr>
              <w:t>产地</w:t>
            </w:r>
          </w:p>
        </w:tc>
        <w:tc>
          <w:tcPr>
            <w:tcW w:w="1134" w:type="dxa"/>
            <w:vAlign w:val="center"/>
          </w:tcPr>
          <w:p>
            <w:pPr>
              <w:jc w:val="center"/>
              <w:rPr>
                <w:rFonts w:hint="eastAsia" w:ascii="仿宋" w:hAnsi="仿宋" w:eastAsia="仿宋" w:cs="仿宋"/>
                <w:color w:val="auto"/>
              </w:rPr>
            </w:pPr>
            <w:r>
              <w:rPr>
                <w:rFonts w:hint="eastAsia" w:ascii="仿宋" w:hAnsi="仿宋" w:eastAsia="仿宋" w:cs="仿宋"/>
                <w:color w:val="auto"/>
              </w:rPr>
              <w:t>额定功率</w:t>
            </w:r>
          </w:p>
          <w:p>
            <w:pPr>
              <w:jc w:val="center"/>
              <w:rPr>
                <w:rFonts w:hint="eastAsia" w:ascii="仿宋" w:hAnsi="仿宋" w:eastAsia="仿宋" w:cs="仿宋"/>
                <w:color w:val="auto"/>
              </w:rPr>
            </w:pPr>
            <w:r>
              <w:rPr>
                <w:rFonts w:hint="eastAsia" w:ascii="仿宋" w:hAnsi="仿宋" w:eastAsia="仿宋" w:cs="仿宋"/>
                <w:color w:val="auto"/>
              </w:rPr>
              <w:t>（KW）</w:t>
            </w:r>
          </w:p>
        </w:tc>
        <w:tc>
          <w:tcPr>
            <w:tcW w:w="1843" w:type="dxa"/>
            <w:vAlign w:val="center"/>
          </w:tcPr>
          <w:p>
            <w:pPr>
              <w:jc w:val="center"/>
              <w:rPr>
                <w:rFonts w:hint="eastAsia" w:ascii="仿宋" w:hAnsi="仿宋" w:eastAsia="仿宋" w:cs="仿宋"/>
                <w:color w:val="auto"/>
              </w:rPr>
            </w:pPr>
            <w:r>
              <w:rPr>
                <w:rFonts w:hint="eastAsia" w:ascii="仿宋" w:hAnsi="仿宋" w:eastAsia="仿宋" w:cs="仿宋"/>
                <w:color w:val="auto"/>
              </w:rPr>
              <w:t>用于施工部位</w:t>
            </w:r>
          </w:p>
        </w:tc>
        <w:tc>
          <w:tcPr>
            <w:tcW w:w="1701" w:type="dxa"/>
            <w:vAlign w:val="center"/>
          </w:tcPr>
          <w:p>
            <w:pPr>
              <w:jc w:val="center"/>
              <w:rPr>
                <w:rFonts w:hint="eastAsia" w:ascii="仿宋" w:hAnsi="仿宋" w:eastAsia="仿宋" w:cs="仿宋"/>
                <w:color w:val="auto"/>
              </w:rPr>
            </w:pPr>
            <w:r>
              <w:rPr>
                <w:rFonts w:hint="eastAsia" w:ascii="仿宋" w:hAnsi="仿宋" w:eastAsia="仿宋" w:cs="仿宋"/>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vAlign w:val="center"/>
          </w:tcPr>
          <w:p>
            <w:pPr>
              <w:jc w:val="center"/>
              <w:rPr>
                <w:rFonts w:hint="eastAsia" w:ascii="仿宋" w:hAnsi="仿宋" w:eastAsia="仿宋" w:cs="仿宋"/>
                <w:color w:val="auto"/>
              </w:rPr>
            </w:pPr>
          </w:p>
        </w:tc>
        <w:tc>
          <w:tcPr>
            <w:tcW w:w="1117" w:type="dxa"/>
            <w:vAlign w:val="center"/>
          </w:tcPr>
          <w:p>
            <w:pPr>
              <w:jc w:val="center"/>
              <w:rPr>
                <w:rFonts w:hint="eastAsia" w:ascii="仿宋" w:hAnsi="仿宋" w:eastAsia="仿宋" w:cs="仿宋"/>
                <w:color w:val="auto"/>
              </w:rPr>
            </w:pPr>
          </w:p>
        </w:tc>
        <w:tc>
          <w:tcPr>
            <w:tcW w:w="992" w:type="dxa"/>
            <w:vAlign w:val="center"/>
          </w:tcPr>
          <w:p>
            <w:pPr>
              <w:jc w:val="center"/>
              <w:rPr>
                <w:rFonts w:hint="eastAsia" w:ascii="仿宋" w:hAnsi="仿宋" w:eastAsia="仿宋" w:cs="仿宋"/>
                <w:color w:val="auto"/>
              </w:rPr>
            </w:pPr>
          </w:p>
        </w:tc>
        <w:tc>
          <w:tcPr>
            <w:tcW w:w="709"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134" w:type="dxa"/>
            <w:vAlign w:val="center"/>
          </w:tcPr>
          <w:p>
            <w:pPr>
              <w:jc w:val="center"/>
              <w:rPr>
                <w:rFonts w:hint="eastAsia" w:ascii="仿宋" w:hAnsi="仿宋" w:eastAsia="仿宋" w:cs="仿宋"/>
                <w:color w:val="auto"/>
              </w:rPr>
            </w:pPr>
          </w:p>
        </w:tc>
        <w:tc>
          <w:tcPr>
            <w:tcW w:w="1843" w:type="dxa"/>
            <w:vAlign w:val="center"/>
          </w:tcPr>
          <w:p>
            <w:pPr>
              <w:jc w:val="center"/>
              <w:rPr>
                <w:rFonts w:hint="eastAsia" w:ascii="仿宋" w:hAnsi="仿宋" w:eastAsia="仿宋" w:cs="仿宋"/>
                <w:color w:val="auto"/>
              </w:rPr>
            </w:pPr>
          </w:p>
        </w:tc>
        <w:tc>
          <w:tcPr>
            <w:tcW w:w="1701" w:type="dxa"/>
            <w:vAlign w:val="center"/>
          </w:tcPr>
          <w:p>
            <w:pPr>
              <w:jc w:val="center"/>
              <w:rPr>
                <w:rFonts w:hint="eastAsia" w:ascii="仿宋" w:hAnsi="仿宋" w:eastAsia="仿宋" w:cs="仿宋"/>
                <w:color w:val="auto"/>
              </w:rPr>
            </w:pPr>
          </w:p>
        </w:tc>
      </w:tr>
    </w:tbl>
    <w:p>
      <w:pPr>
        <w:spacing w:line="420" w:lineRule="exact"/>
        <w:rPr>
          <w:rFonts w:hint="eastAsia" w:ascii="仿宋" w:hAnsi="仿宋" w:eastAsia="仿宋" w:cs="仿宋"/>
          <w:color w:val="auto"/>
          <w:sz w:val="24"/>
          <w:szCs w:val="24"/>
        </w:rPr>
      </w:pPr>
    </w:p>
    <w:p>
      <w:pPr>
        <w:spacing w:beforeLines="50" w:afterLines="100" w:line="420" w:lineRule="exact"/>
        <w:rPr>
          <w:rFonts w:hint="eastAsia" w:ascii="仿宋" w:hAnsi="仿宋" w:eastAsia="仿宋" w:cs="仿宋"/>
          <w:b/>
          <w:bCs/>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bCs/>
          <w:color w:val="auto"/>
          <w:sz w:val="24"/>
          <w:szCs w:val="24"/>
        </w:rPr>
        <w:t>附表二：拟配备本工程的试验和检测仪器设备表</w:t>
      </w:r>
    </w:p>
    <w:tbl>
      <w:tblPr>
        <w:tblStyle w:val="35"/>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624"/>
        <w:gridCol w:w="1362"/>
        <w:gridCol w:w="1001"/>
        <w:gridCol w:w="1180"/>
        <w:gridCol w:w="1402"/>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098" w:type="dxa"/>
            <w:vAlign w:val="center"/>
          </w:tcPr>
          <w:p>
            <w:pPr>
              <w:jc w:val="center"/>
              <w:rPr>
                <w:rFonts w:hint="eastAsia" w:ascii="仿宋" w:hAnsi="仿宋" w:eastAsia="仿宋" w:cs="仿宋"/>
                <w:color w:val="auto"/>
              </w:rPr>
            </w:pPr>
            <w:r>
              <w:rPr>
                <w:rFonts w:hint="eastAsia" w:ascii="仿宋" w:hAnsi="仿宋" w:eastAsia="仿宋" w:cs="仿宋"/>
                <w:color w:val="auto"/>
              </w:rPr>
              <w:t>序号</w:t>
            </w:r>
          </w:p>
        </w:tc>
        <w:tc>
          <w:tcPr>
            <w:tcW w:w="1624" w:type="dxa"/>
            <w:vAlign w:val="center"/>
          </w:tcPr>
          <w:p>
            <w:pPr>
              <w:jc w:val="center"/>
              <w:rPr>
                <w:rFonts w:hint="eastAsia" w:ascii="仿宋" w:hAnsi="仿宋" w:eastAsia="仿宋" w:cs="仿宋"/>
                <w:color w:val="auto"/>
              </w:rPr>
            </w:pPr>
            <w:r>
              <w:rPr>
                <w:rFonts w:hint="eastAsia" w:ascii="仿宋" w:hAnsi="仿宋" w:eastAsia="仿宋" w:cs="仿宋"/>
                <w:color w:val="auto"/>
              </w:rPr>
              <w:t>仪器设备名称</w:t>
            </w:r>
          </w:p>
        </w:tc>
        <w:tc>
          <w:tcPr>
            <w:tcW w:w="1362" w:type="dxa"/>
            <w:vAlign w:val="center"/>
          </w:tcPr>
          <w:p>
            <w:pPr>
              <w:jc w:val="center"/>
              <w:rPr>
                <w:rFonts w:hint="eastAsia" w:ascii="仿宋" w:hAnsi="仿宋" w:eastAsia="仿宋" w:cs="仿宋"/>
                <w:color w:val="auto"/>
              </w:rPr>
            </w:pPr>
            <w:r>
              <w:rPr>
                <w:rFonts w:hint="eastAsia" w:ascii="仿宋" w:hAnsi="仿宋" w:eastAsia="仿宋" w:cs="仿宋"/>
                <w:color w:val="auto"/>
              </w:rPr>
              <w:t>型号</w:t>
            </w:r>
          </w:p>
          <w:p>
            <w:pPr>
              <w:jc w:val="center"/>
              <w:rPr>
                <w:rFonts w:hint="eastAsia" w:ascii="仿宋" w:hAnsi="仿宋" w:eastAsia="仿宋" w:cs="仿宋"/>
                <w:color w:val="auto"/>
              </w:rPr>
            </w:pPr>
            <w:r>
              <w:rPr>
                <w:rFonts w:hint="eastAsia" w:ascii="仿宋" w:hAnsi="仿宋" w:eastAsia="仿宋" w:cs="仿宋"/>
                <w:color w:val="auto"/>
              </w:rPr>
              <w:t>规格</w:t>
            </w:r>
          </w:p>
        </w:tc>
        <w:tc>
          <w:tcPr>
            <w:tcW w:w="1001" w:type="dxa"/>
            <w:vAlign w:val="center"/>
          </w:tcPr>
          <w:p>
            <w:pPr>
              <w:jc w:val="center"/>
              <w:rPr>
                <w:rFonts w:hint="eastAsia" w:ascii="仿宋" w:hAnsi="仿宋" w:eastAsia="仿宋" w:cs="仿宋"/>
                <w:color w:val="auto"/>
              </w:rPr>
            </w:pPr>
            <w:r>
              <w:rPr>
                <w:rFonts w:hint="eastAsia" w:ascii="仿宋" w:hAnsi="仿宋" w:eastAsia="仿宋" w:cs="仿宋"/>
                <w:color w:val="auto"/>
              </w:rPr>
              <w:t>数量</w:t>
            </w:r>
          </w:p>
        </w:tc>
        <w:tc>
          <w:tcPr>
            <w:tcW w:w="1180" w:type="dxa"/>
            <w:vAlign w:val="center"/>
          </w:tcPr>
          <w:p>
            <w:pPr>
              <w:jc w:val="center"/>
              <w:rPr>
                <w:rFonts w:hint="eastAsia" w:ascii="仿宋" w:hAnsi="仿宋" w:eastAsia="仿宋" w:cs="仿宋"/>
                <w:color w:val="auto"/>
              </w:rPr>
            </w:pPr>
            <w:r>
              <w:rPr>
                <w:rFonts w:hint="eastAsia" w:ascii="仿宋" w:hAnsi="仿宋" w:eastAsia="仿宋" w:cs="仿宋"/>
                <w:color w:val="auto"/>
              </w:rPr>
              <w:t>国别</w:t>
            </w:r>
          </w:p>
          <w:p>
            <w:pPr>
              <w:jc w:val="center"/>
              <w:rPr>
                <w:rFonts w:hint="eastAsia" w:ascii="仿宋" w:hAnsi="仿宋" w:eastAsia="仿宋" w:cs="仿宋"/>
                <w:color w:val="auto"/>
              </w:rPr>
            </w:pPr>
            <w:r>
              <w:rPr>
                <w:rFonts w:hint="eastAsia" w:ascii="仿宋" w:hAnsi="仿宋" w:eastAsia="仿宋" w:cs="仿宋"/>
                <w:color w:val="auto"/>
              </w:rPr>
              <w:t>产地</w:t>
            </w:r>
          </w:p>
        </w:tc>
        <w:tc>
          <w:tcPr>
            <w:tcW w:w="1402" w:type="dxa"/>
            <w:vAlign w:val="center"/>
          </w:tcPr>
          <w:p>
            <w:pPr>
              <w:jc w:val="center"/>
              <w:rPr>
                <w:rFonts w:hint="eastAsia" w:ascii="仿宋" w:hAnsi="仿宋" w:eastAsia="仿宋" w:cs="仿宋"/>
                <w:color w:val="auto"/>
              </w:rPr>
            </w:pPr>
            <w:r>
              <w:rPr>
                <w:rFonts w:hint="eastAsia" w:ascii="仿宋" w:hAnsi="仿宋" w:eastAsia="仿宋" w:cs="仿宋"/>
                <w:color w:val="auto"/>
              </w:rPr>
              <w:t>用途</w:t>
            </w:r>
          </w:p>
        </w:tc>
        <w:tc>
          <w:tcPr>
            <w:tcW w:w="1279" w:type="dxa"/>
            <w:vAlign w:val="center"/>
          </w:tcPr>
          <w:p>
            <w:pPr>
              <w:jc w:val="center"/>
              <w:rPr>
                <w:rFonts w:hint="eastAsia" w:ascii="仿宋" w:hAnsi="仿宋" w:eastAsia="仿宋" w:cs="仿宋"/>
                <w:color w:val="auto"/>
              </w:rPr>
            </w:pPr>
            <w:r>
              <w:rPr>
                <w:rFonts w:hint="eastAsia" w:ascii="仿宋" w:hAnsi="仿宋" w:eastAsia="仿宋" w:cs="仿宋"/>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98" w:type="dxa"/>
            <w:vAlign w:val="center"/>
          </w:tcPr>
          <w:p>
            <w:pPr>
              <w:jc w:val="center"/>
              <w:rPr>
                <w:rFonts w:hint="eastAsia" w:ascii="仿宋" w:hAnsi="仿宋" w:eastAsia="仿宋" w:cs="仿宋"/>
                <w:color w:val="auto"/>
              </w:rPr>
            </w:pPr>
          </w:p>
        </w:tc>
        <w:tc>
          <w:tcPr>
            <w:tcW w:w="1624" w:type="dxa"/>
            <w:vAlign w:val="center"/>
          </w:tcPr>
          <w:p>
            <w:pPr>
              <w:jc w:val="center"/>
              <w:rPr>
                <w:rFonts w:hint="eastAsia" w:ascii="仿宋" w:hAnsi="仿宋" w:eastAsia="仿宋" w:cs="仿宋"/>
                <w:color w:val="auto"/>
              </w:rPr>
            </w:pPr>
          </w:p>
        </w:tc>
        <w:tc>
          <w:tcPr>
            <w:tcW w:w="1362" w:type="dxa"/>
            <w:vAlign w:val="center"/>
          </w:tcPr>
          <w:p>
            <w:pPr>
              <w:jc w:val="center"/>
              <w:rPr>
                <w:rFonts w:hint="eastAsia" w:ascii="仿宋" w:hAnsi="仿宋" w:eastAsia="仿宋" w:cs="仿宋"/>
                <w:color w:val="auto"/>
              </w:rPr>
            </w:pPr>
          </w:p>
        </w:tc>
        <w:tc>
          <w:tcPr>
            <w:tcW w:w="1001" w:type="dxa"/>
            <w:vAlign w:val="center"/>
          </w:tcPr>
          <w:p>
            <w:pPr>
              <w:jc w:val="center"/>
              <w:rPr>
                <w:rFonts w:hint="eastAsia" w:ascii="仿宋" w:hAnsi="仿宋" w:eastAsia="仿宋" w:cs="仿宋"/>
                <w:color w:val="auto"/>
              </w:rPr>
            </w:pPr>
          </w:p>
        </w:tc>
        <w:tc>
          <w:tcPr>
            <w:tcW w:w="1180" w:type="dxa"/>
            <w:vAlign w:val="center"/>
          </w:tcPr>
          <w:p>
            <w:pPr>
              <w:jc w:val="center"/>
              <w:rPr>
                <w:rFonts w:hint="eastAsia" w:ascii="仿宋" w:hAnsi="仿宋" w:eastAsia="仿宋" w:cs="仿宋"/>
                <w:color w:val="auto"/>
              </w:rPr>
            </w:pPr>
          </w:p>
        </w:tc>
        <w:tc>
          <w:tcPr>
            <w:tcW w:w="1402" w:type="dxa"/>
            <w:vAlign w:val="center"/>
          </w:tcPr>
          <w:p>
            <w:pPr>
              <w:jc w:val="center"/>
              <w:rPr>
                <w:rFonts w:hint="eastAsia" w:ascii="仿宋" w:hAnsi="仿宋" w:eastAsia="仿宋" w:cs="仿宋"/>
                <w:color w:val="auto"/>
              </w:rPr>
            </w:pPr>
          </w:p>
        </w:tc>
        <w:tc>
          <w:tcPr>
            <w:tcW w:w="1279" w:type="dxa"/>
            <w:vAlign w:val="center"/>
          </w:tcPr>
          <w:p>
            <w:pPr>
              <w:jc w:val="center"/>
              <w:rPr>
                <w:rFonts w:hint="eastAsia" w:ascii="仿宋" w:hAnsi="仿宋" w:eastAsia="仿宋" w:cs="仿宋"/>
                <w:color w:val="auto"/>
              </w:rPr>
            </w:pPr>
          </w:p>
        </w:tc>
      </w:tr>
    </w:tbl>
    <w:p>
      <w:pPr>
        <w:spacing w:beforeLines="50" w:afterLines="50" w:line="48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附表三：劳动力计划表</w:t>
      </w:r>
    </w:p>
    <w:p>
      <w:pPr>
        <w:spacing w:beforeLines="50" w:afterLines="50" w:line="480" w:lineRule="auto"/>
        <w:rPr>
          <w:rFonts w:hint="eastAsia" w:ascii="仿宋" w:hAnsi="仿宋" w:eastAsia="仿宋" w:cs="仿宋"/>
          <w:b/>
          <w:bCs/>
          <w:color w:val="auto"/>
          <w:sz w:val="24"/>
          <w:szCs w:val="24"/>
        </w:rPr>
      </w:pPr>
      <w:r>
        <w:rPr>
          <w:rFonts w:hint="eastAsia" w:ascii="仿宋" w:hAnsi="仿宋" w:eastAsia="仿宋" w:cs="仿宋"/>
          <w:color w:val="auto"/>
          <w:sz w:val="24"/>
          <w:szCs w:val="24"/>
        </w:rPr>
        <w:t>单位：人</w:t>
      </w:r>
    </w:p>
    <w:tbl>
      <w:tblPr>
        <w:tblStyle w:val="35"/>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vAlign w:val="center"/>
          </w:tcPr>
          <w:p>
            <w:pPr>
              <w:jc w:val="center"/>
              <w:rPr>
                <w:rFonts w:hint="eastAsia" w:ascii="仿宋" w:hAnsi="仿宋" w:eastAsia="仿宋" w:cs="仿宋"/>
                <w:color w:val="auto"/>
              </w:rPr>
            </w:pPr>
            <w:r>
              <w:rPr>
                <w:rFonts w:hint="eastAsia" w:ascii="仿宋" w:hAnsi="仿宋" w:eastAsia="仿宋" w:cs="仿宋"/>
                <w:color w:val="auto"/>
              </w:rPr>
              <w:t>工种</w:t>
            </w:r>
          </w:p>
        </w:tc>
        <w:tc>
          <w:tcPr>
            <w:tcW w:w="7425" w:type="dxa"/>
            <w:gridSpan w:val="7"/>
            <w:vAlign w:val="center"/>
          </w:tcPr>
          <w:p>
            <w:pPr>
              <w:jc w:val="center"/>
              <w:rPr>
                <w:rFonts w:hint="eastAsia" w:ascii="仿宋" w:hAnsi="仿宋" w:eastAsia="仿宋" w:cs="仿宋"/>
                <w:color w:val="auto"/>
              </w:rPr>
            </w:pPr>
            <w:r>
              <w:rPr>
                <w:rFonts w:hint="eastAsia" w:ascii="仿宋" w:hAnsi="仿宋" w:eastAsia="仿宋" w:cs="仿宋"/>
                <w:color w:val="auto"/>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pPr>
              <w:spacing w:line="360" w:lineRule="auto"/>
              <w:jc w:val="center"/>
              <w:rPr>
                <w:rFonts w:hint="eastAsia" w:ascii="仿宋" w:hAnsi="仿宋" w:eastAsia="仿宋" w:cs="仿宋"/>
                <w:color w:val="auto"/>
              </w:rPr>
            </w:pPr>
          </w:p>
        </w:tc>
        <w:tc>
          <w:tcPr>
            <w:tcW w:w="1047"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c>
          <w:tcPr>
            <w:tcW w:w="1063" w:type="dxa"/>
            <w:vAlign w:val="center"/>
          </w:tcPr>
          <w:p>
            <w:pPr>
              <w:spacing w:line="360" w:lineRule="auto"/>
              <w:jc w:val="center"/>
              <w:rPr>
                <w:rFonts w:hint="eastAsia" w:ascii="仿宋" w:hAnsi="仿宋" w:eastAsia="仿宋" w:cs="仿宋"/>
                <w:color w:val="auto"/>
              </w:rPr>
            </w:pPr>
          </w:p>
        </w:tc>
      </w:tr>
    </w:tbl>
    <w:p>
      <w:pPr>
        <w:spacing w:line="580" w:lineRule="exact"/>
        <w:rPr>
          <w:rFonts w:hint="eastAsia" w:ascii="仿宋" w:hAnsi="仿宋" w:eastAsia="仿宋" w:cs="仿宋"/>
          <w:b/>
          <w:bCs/>
          <w:color w:val="auto"/>
          <w:spacing w:val="4"/>
          <w:sz w:val="24"/>
          <w:szCs w:val="24"/>
        </w:rPr>
      </w:pPr>
    </w:p>
    <w:p>
      <w:pPr>
        <w:spacing w:beforeLines="50" w:afterLines="10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br w:type="page"/>
      </w:r>
      <w:r>
        <w:rPr>
          <w:rFonts w:hint="eastAsia" w:ascii="仿宋" w:hAnsi="仿宋" w:eastAsia="仿宋" w:cs="仿宋"/>
          <w:b/>
          <w:bCs/>
          <w:color w:val="auto"/>
          <w:sz w:val="24"/>
          <w:szCs w:val="24"/>
        </w:rPr>
        <w:t>附表四：计划开、竣工日期和施工进度网络图</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应递交施工进度网络图或施工进度表，说明按</w:t>
      </w:r>
      <w:r>
        <w:rPr>
          <w:rFonts w:hint="eastAsia" w:ascii="仿宋" w:hAnsi="仿宋" w:eastAsia="仿宋" w:cs="仿宋"/>
          <w:color w:val="auto"/>
          <w:sz w:val="24"/>
          <w:szCs w:val="24"/>
          <w:lang w:eastAsia="zh-CN"/>
        </w:rPr>
        <w:t>竞争性磋商文件</w:t>
      </w:r>
      <w:r>
        <w:rPr>
          <w:rFonts w:hint="eastAsia" w:ascii="仿宋" w:hAnsi="仿宋" w:eastAsia="仿宋" w:cs="仿宋"/>
          <w:color w:val="auto"/>
          <w:sz w:val="24"/>
          <w:szCs w:val="24"/>
        </w:rPr>
        <w:t>要求的计划工期进行施工的各个关键日期。</w:t>
      </w:r>
    </w:p>
    <w:p>
      <w:pPr>
        <w:spacing w:line="48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施工进度表可采用网络图或横道图表示。</w:t>
      </w:r>
    </w:p>
    <w:p>
      <w:pPr>
        <w:spacing w:beforeLines="50" w:afterLines="100" w:line="480" w:lineRule="auto"/>
        <w:rPr>
          <w:rFonts w:hint="eastAsia" w:ascii="仿宋" w:hAnsi="仿宋" w:eastAsia="仿宋" w:cs="仿宋"/>
          <w:color w:val="auto"/>
          <w:sz w:val="24"/>
          <w:szCs w:val="24"/>
        </w:rPr>
      </w:pPr>
    </w:p>
    <w:p>
      <w:pPr>
        <w:spacing w:beforeLines="50" w:afterLines="100" w:line="420" w:lineRule="exact"/>
        <w:rPr>
          <w:rFonts w:hint="eastAsia" w:ascii="仿宋" w:hAnsi="仿宋" w:eastAsia="仿宋" w:cs="仿宋"/>
          <w:b/>
          <w:bCs/>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bCs/>
          <w:color w:val="auto"/>
          <w:sz w:val="24"/>
          <w:szCs w:val="24"/>
        </w:rPr>
        <w:t>附表五：临时用地表</w:t>
      </w:r>
    </w:p>
    <w:tbl>
      <w:tblPr>
        <w:tblStyle w:val="35"/>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082"/>
        <w:gridCol w:w="2082"/>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vAlign w:val="center"/>
          </w:tcPr>
          <w:p>
            <w:pPr>
              <w:jc w:val="center"/>
              <w:rPr>
                <w:rFonts w:hint="eastAsia" w:ascii="仿宋" w:hAnsi="仿宋" w:eastAsia="仿宋" w:cs="仿宋"/>
                <w:color w:val="auto"/>
              </w:rPr>
            </w:pPr>
            <w:r>
              <w:rPr>
                <w:rFonts w:hint="eastAsia" w:ascii="仿宋" w:hAnsi="仿宋" w:eastAsia="仿宋" w:cs="仿宋"/>
                <w:color w:val="auto"/>
              </w:rPr>
              <w:t>用途</w:t>
            </w:r>
          </w:p>
        </w:tc>
        <w:tc>
          <w:tcPr>
            <w:tcW w:w="2082" w:type="dxa"/>
            <w:vAlign w:val="center"/>
          </w:tcPr>
          <w:p>
            <w:pPr>
              <w:jc w:val="center"/>
              <w:rPr>
                <w:rFonts w:hint="eastAsia" w:ascii="仿宋" w:hAnsi="仿宋" w:eastAsia="仿宋" w:cs="仿宋"/>
                <w:color w:val="auto"/>
              </w:rPr>
            </w:pPr>
            <w:r>
              <w:rPr>
                <w:rFonts w:hint="eastAsia" w:ascii="仿宋" w:hAnsi="仿宋" w:eastAsia="仿宋" w:cs="仿宋"/>
                <w:color w:val="auto"/>
              </w:rPr>
              <w:t>面积（平方米）</w:t>
            </w:r>
          </w:p>
        </w:tc>
        <w:tc>
          <w:tcPr>
            <w:tcW w:w="2082" w:type="dxa"/>
            <w:vAlign w:val="center"/>
          </w:tcPr>
          <w:p>
            <w:pPr>
              <w:jc w:val="center"/>
              <w:rPr>
                <w:rFonts w:hint="eastAsia" w:ascii="仿宋" w:hAnsi="仿宋" w:eastAsia="仿宋" w:cs="仿宋"/>
                <w:color w:val="auto"/>
              </w:rPr>
            </w:pPr>
            <w:r>
              <w:rPr>
                <w:rFonts w:hint="eastAsia" w:ascii="仿宋" w:hAnsi="仿宋" w:eastAsia="仿宋" w:cs="仿宋"/>
                <w:color w:val="auto"/>
              </w:rPr>
              <w:t>位置</w:t>
            </w:r>
          </w:p>
        </w:tc>
        <w:tc>
          <w:tcPr>
            <w:tcW w:w="2082" w:type="dxa"/>
            <w:vAlign w:val="center"/>
          </w:tcPr>
          <w:p>
            <w:pPr>
              <w:jc w:val="center"/>
              <w:rPr>
                <w:rFonts w:hint="eastAsia" w:ascii="仿宋" w:hAnsi="仿宋" w:eastAsia="仿宋" w:cs="仿宋"/>
                <w:color w:val="auto"/>
              </w:rPr>
            </w:pPr>
            <w:r>
              <w:rPr>
                <w:rFonts w:hint="eastAsia" w:ascii="仿宋" w:hAnsi="仿宋" w:eastAsia="仿宋" w:cs="仿宋"/>
                <w:color w:val="auto"/>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7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c>
          <w:tcPr>
            <w:tcW w:w="2082" w:type="dxa"/>
          </w:tcPr>
          <w:p>
            <w:pPr>
              <w:rPr>
                <w:rFonts w:hint="eastAsia" w:ascii="仿宋" w:hAnsi="仿宋" w:eastAsia="仿宋" w:cs="仿宋"/>
                <w:color w:val="auto"/>
              </w:rPr>
            </w:pPr>
          </w:p>
        </w:tc>
      </w:tr>
    </w:tbl>
    <w:p>
      <w:pPr>
        <w:keepLines/>
        <w:pageBreakBefore/>
        <w:jc w:val="center"/>
        <w:outlineLvl w:val="1"/>
        <w:rPr>
          <w:rFonts w:hint="eastAsia" w:ascii="仿宋" w:hAnsi="仿宋" w:eastAsia="仿宋" w:cs="仿宋"/>
          <w:b/>
          <w:bCs/>
          <w:color w:val="auto"/>
          <w:sz w:val="32"/>
          <w:szCs w:val="32"/>
        </w:rPr>
      </w:pPr>
      <w:bookmarkStart w:id="173" w:name="_Toc11640"/>
      <w:bookmarkStart w:id="174" w:name="_Toc18300"/>
      <w:bookmarkStart w:id="175" w:name="_Toc20335"/>
      <w:bookmarkStart w:id="176" w:name="_Toc16618"/>
      <w:r>
        <w:rPr>
          <w:rFonts w:hint="eastAsia" w:ascii="仿宋" w:hAnsi="仿宋" w:eastAsia="仿宋" w:cs="仿宋"/>
          <w:b/>
          <w:bCs/>
          <w:color w:val="auto"/>
          <w:sz w:val="32"/>
          <w:szCs w:val="32"/>
        </w:rPr>
        <w:t>第三部分</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资格标</w:t>
      </w:r>
      <w:bookmarkEnd w:id="173"/>
    </w:p>
    <w:p>
      <w:pPr>
        <w:keepLines/>
        <w:pageBreakBefore/>
        <w:jc w:val="center"/>
        <w:outlineLvl w:val="1"/>
        <w:rPr>
          <w:rFonts w:hint="eastAsia" w:ascii="仿宋" w:hAnsi="仿宋" w:eastAsia="仿宋" w:cs="仿宋"/>
          <w:b/>
          <w:color w:val="auto"/>
          <w:sz w:val="32"/>
          <w:szCs w:val="32"/>
        </w:rPr>
      </w:pPr>
      <w:bookmarkStart w:id="177" w:name="_Toc18660"/>
      <w:r>
        <w:rPr>
          <w:rFonts w:hint="eastAsia" w:ascii="仿宋" w:hAnsi="仿宋" w:eastAsia="仿宋" w:cs="仿宋"/>
          <w:b/>
          <w:bCs/>
          <w:color w:val="auto"/>
          <w:sz w:val="32"/>
          <w:szCs w:val="32"/>
          <w:lang w:eastAsia="zh-CN"/>
        </w:rPr>
        <w:t>一、供应商</w:t>
      </w:r>
      <w:r>
        <w:rPr>
          <w:rFonts w:hint="eastAsia" w:ascii="仿宋" w:hAnsi="仿宋" w:eastAsia="仿宋" w:cs="仿宋"/>
          <w:b/>
          <w:bCs/>
          <w:color w:val="auto"/>
          <w:sz w:val="32"/>
          <w:szCs w:val="32"/>
        </w:rPr>
        <w:t>的基本情况介绍和资格声明</w:t>
      </w:r>
      <w:bookmarkEnd w:id="177"/>
    </w:p>
    <w:p>
      <w:pPr>
        <w:numPr>
          <w:ilvl w:val="0"/>
          <w:numId w:val="13"/>
        </w:numPr>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供应商</w:t>
      </w:r>
      <w:r>
        <w:rPr>
          <w:rFonts w:hint="eastAsia" w:ascii="仿宋" w:hAnsi="仿宋" w:eastAsia="仿宋" w:cs="仿宋"/>
          <w:b/>
          <w:bCs/>
          <w:color w:val="auto"/>
          <w:sz w:val="32"/>
          <w:szCs w:val="32"/>
        </w:rPr>
        <w:t>的基本情况介绍</w:t>
      </w:r>
    </w:p>
    <w:p>
      <w:pPr>
        <w:numPr>
          <w:ilvl w:val="0"/>
          <w:numId w:val="0"/>
        </w:num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（格式自拟）</w:t>
      </w:r>
    </w:p>
    <w:p>
      <w:pPr>
        <w:numPr>
          <w:ilvl w:val="0"/>
          <w:numId w:val="0"/>
        </w:numPr>
        <w:jc w:val="center"/>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（二）供应商资格声明</w:t>
      </w:r>
    </w:p>
    <w:p>
      <w:pPr>
        <w:numPr>
          <w:ilvl w:val="0"/>
          <w:numId w:val="14"/>
        </w:num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名称及其它情况</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名称：____________________________________</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地   址：电  话：</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成立和注册日期：</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主管部门：</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公司性质：</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职工总人数：</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工程技术及管理人员数分别为：</w:t>
      </w:r>
    </w:p>
    <w:p>
      <w:pPr>
        <w:numPr>
          <w:ilvl w:val="0"/>
          <w:numId w:val="15"/>
        </w:numPr>
        <w:spacing w:line="520" w:lineRule="exact"/>
        <w:ind w:left="210" w:leftChars="100"/>
        <w:jc w:val="left"/>
        <w:rPr>
          <w:rFonts w:hint="eastAsia" w:ascii="仿宋" w:hAnsi="仿宋" w:eastAsia="仿宋" w:cs="仿宋"/>
          <w:color w:val="auto"/>
          <w:sz w:val="24"/>
          <w:szCs w:val="24"/>
        </w:rPr>
      </w:pPr>
      <w:r>
        <w:rPr>
          <w:rFonts w:hint="eastAsia" w:ascii="仿宋" w:hAnsi="仿宋" w:eastAsia="仿宋" w:cs="仿宋"/>
          <w:color w:val="auto"/>
          <w:sz w:val="24"/>
          <w:szCs w:val="24"/>
        </w:rPr>
        <w:t>本年度</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 xml:space="preserve">的主要财务情况（到  </w:t>
      </w:r>
      <w:r>
        <w:rPr>
          <w:rFonts w:hint="eastAsia" w:ascii="仿宋" w:hAnsi="仿宋" w:eastAsia="仿宋" w:cs="仿宋"/>
          <w:color w:val="auto"/>
          <w:sz w:val="24"/>
          <w:szCs w:val="24"/>
          <w:u w:val="single"/>
        </w:rPr>
        <w:t xml:space="preserve">年  月  日 </w:t>
      </w:r>
      <w:r>
        <w:rPr>
          <w:rFonts w:hint="eastAsia" w:ascii="仿宋" w:hAnsi="仿宋" w:eastAsia="仿宋" w:cs="仿宋"/>
          <w:color w:val="auto"/>
          <w:sz w:val="24"/>
          <w:szCs w:val="24"/>
        </w:rPr>
        <w:t>止）</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注册资金：</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固定资产：</w:t>
      </w:r>
    </w:p>
    <w:p>
      <w:pPr>
        <w:spacing w:line="520" w:lineRule="exact"/>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原    值：</w:t>
      </w:r>
    </w:p>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      净    值：</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流动资产：</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长期负债：</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短期负债：</w:t>
      </w:r>
    </w:p>
    <w:p>
      <w:pPr>
        <w:numPr>
          <w:ilvl w:val="0"/>
          <w:numId w:val="16"/>
        </w:numPr>
        <w:spacing w:line="520" w:lineRule="exact"/>
        <w:ind w:left="691" w:leftChars="329"/>
        <w:jc w:val="left"/>
        <w:rPr>
          <w:rFonts w:hint="eastAsia" w:ascii="仿宋" w:hAnsi="仿宋" w:eastAsia="仿宋" w:cs="仿宋"/>
          <w:color w:val="auto"/>
          <w:sz w:val="24"/>
          <w:szCs w:val="24"/>
        </w:rPr>
      </w:pPr>
      <w:r>
        <w:rPr>
          <w:rFonts w:hint="eastAsia" w:ascii="仿宋" w:hAnsi="仿宋" w:eastAsia="仿宋" w:cs="仿宋"/>
          <w:color w:val="auto"/>
          <w:sz w:val="24"/>
          <w:szCs w:val="24"/>
        </w:rPr>
        <w:t>销售收入/主营业务收入：</w:t>
      </w:r>
    </w:p>
    <w:p>
      <w:pPr>
        <w:numPr>
          <w:ilvl w:val="0"/>
          <w:numId w:val="14"/>
        </w:num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最近三年的年度总营业额：</w:t>
      </w:r>
    </w:p>
    <w:p>
      <w:pPr>
        <w:numPr>
          <w:ilvl w:val="0"/>
          <w:numId w:val="14"/>
        </w:num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最近三年法律纠纷情况</w:t>
      </w:r>
    </w:p>
    <w:tbl>
      <w:tblPr>
        <w:tblStyle w:val="35"/>
        <w:tblW w:w="9004"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pPr>
              <w:spacing w:line="5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时间</w:t>
            </w:r>
          </w:p>
        </w:tc>
        <w:tc>
          <w:tcPr>
            <w:tcW w:w="2280" w:type="dxa"/>
            <w:vAlign w:val="center"/>
          </w:tcPr>
          <w:p>
            <w:pPr>
              <w:spacing w:line="5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案由</w:t>
            </w:r>
          </w:p>
        </w:tc>
        <w:tc>
          <w:tcPr>
            <w:tcW w:w="1826" w:type="dxa"/>
            <w:vAlign w:val="center"/>
          </w:tcPr>
          <w:p>
            <w:pPr>
              <w:spacing w:line="5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涉及金额</w:t>
            </w:r>
          </w:p>
        </w:tc>
        <w:tc>
          <w:tcPr>
            <w:tcW w:w="2919" w:type="dxa"/>
            <w:vAlign w:val="center"/>
          </w:tcPr>
          <w:p>
            <w:pPr>
              <w:spacing w:line="52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color w:val="auto"/>
                <w:sz w:val="24"/>
                <w:szCs w:val="24"/>
              </w:rPr>
            </w:pPr>
          </w:p>
        </w:tc>
        <w:tc>
          <w:tcPr>
            <w:tcW w:w="2280" w:type="dxa"/>
          </w:tcPr>
          <w:p>
            <w:pPr>
              <w:spacing w:line="520" w:lineRule="exact"/>
              <w:jc w:val="left"/>
              <w:rPr>
                <w:rFonts w:hint="eastAsia" w:ascii="仿宋" w:hAnsi="仿宋" w:eastAsia="仿宋" w:cs="仿宋"/>
                <w:color w:val="auto"/>
                <w:sz w:val="24"/>
                <w:szCs w:val="24"/>
              </w:rPr>
            </w:pPr>
          </w:p>
        </w:tc>
        <w:tc>
          <w:tcPr>
            <w:tcW w:w="1826" w:type="dxa"/>
          </w:tcPr>
          <w:p>
            <w:pPr>
              <w:spacing w:line="520" w:lineRule="exact"/>
              <w:jc w:val="left"/>
              <w:rPr>
                <w:rFonts w:hint="eastAsia" w:ascii="仿宋" w:hAnsi="仿宋" w:eastAsia="仿宋" w:cs="仿宋"/>
                <w:color w:val="auto"/>
                <w:sz w:val="24"/>
                <w:szCs w:val="24"/>
              </w:rPr>
            </w:pPr>
          </w:p>
        </w:tc>
        <w:tc>
          <w:tcPr>
            <w:tcW w:w="2919" w:type="dxa"/>
          </w:tcPr>
          <w:p>
            <w:pPr>
              <w:spacing w:line="52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color w:val="auto"/>
                <w:sz w:val="24"/>
                <w:szCs w:val="24"/>
              </w:rPr>
            </w:pPr>
          </w:p>
        </w:tc>
        <w:tc>
          <w:tcPr>
            <w:tcW w:w="2280" w:type="dxa"/>
          </w:tcPr>
          <w:p>
            <w:pPr>
              <w:spacing w:line="520" w:lineRule="exact"/>
              <w:jc w:val="left"/>
              <w:rPr>
                <w:rFonts w:hint="eastAsia" w:ascii="仿宋" w:hAnsi="仿宋" w:eastAsia="仿宋" w:cs="仿宋"/>
                <w:color w:val="auto"/>
                <w:sz w:val="24"/>
                <w:szCs w:val="24"/>
              </w:rPr>
            </w:pPr>
          </w:p>
        </w:tc>
        <w:tc>
          <w:tcPr>
            <w:tcW w:w="1826" w:type="dxa"/>
          </w:tcPr>
          <w:p>
            <w:pPr>
              <w:spacing w:line="520" w:lineRule="exact"/>
              <w:jc w:val="left"/>
              <w:rPr>
                <w:rFonts w:hint="eastAsia" w:ascii="仿宋" w:hAnsi="仿宋" w:eastAsia="仿宋" w:cs="仿宋"/>
                <w:color w:val="auto"/>
                <w:sz w:val="24"/>
                <w:szCs w:val="24"/>
              </w:rPr>
            </w:pPr>
          </w:p>
        </w:tc>
        <w:tc>
          <w:tcPr>
            <w:tcW w:w="2919" w:type="dxa"/>
          </w:tcPr>
          <w:p>
            <w:pPr>
              <w:spacing w:line="520" w:lineRule="exact"/>
              <w:jc w:val="left"/>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line="520" w:lineRule="exact"/>
              <w:jc w:val="left"/>
              <w:rPr>
                <w:rFonts w:hint="eastAsia" w:ascii="仿宋" w:hAnsi="仿宋" w:eastAsia="仿宋" w:cs="仿宋"/>
                <w:color w:val="auto"/>
                <w:sz w:val="24"/>
                <w:szCs w:val="24"/>
              </w:rPr>
            </w:pPr>
          </w:p>
        </w:tc>
        <w:tc>
          <w:tcPr>
            <w:tcW w:w="2280" w:type="dxa"/>
          </w:tcPr>
          <w:p>
            <w:pPr>
              <w:spacing w:line="520" w:lineRule="exact"/>
              <w:jc w:val="left"/>
              <w:rPr>
                <w:rFonts w:hint="eastAsia" w:ascii="仿宋" w:hAnsi="仿宋" w:eastAsia="仿宋" w:cs="仿宋"/>
                <w:color w:val="auto"/>
                <w:sz w:val="24"/>
                <w:szCs w:val="24"/>
              </w:rPr>
            </w:pPr>
          </w:p>
        </w:tc>
        <w:tc>
          <w:tcPr>
            <w:tcW w:w="1826" w:type="dxa"/>
          </w:tcPr>
          <w:p>
            <w:pPr>
              <w:spacing w:line="520" w:lineRule="exact"/>
              <w:jc w:val="left"/>
              <w:rPr>
                <w:rFonts w:hint="eastAsia" w:ascii="仿宋" w:hAnsi="仿宋" w:eastAsia="仿宋" w:cs="仿宋"/>
                <w:color w:val="auto"/>
                <w:sz w:val="24"/>
                <w:szCs w:val="24"/>
              </w:rPr>
            </w:pPr>
          </w:p>
        </w:tc>
        <w:tc>
          <w:tcPr>
            <w:tcW w:w="2919" w:type="dxa"/>
          </w:tcPr>
          <w:p>
            <w:pPr>
              <w:spacing w:line="520" w:lineRule="exact"/>
              <w:jc w:val="left"/>
              <w:rPr>
                <w:rFonts w:hint="eastAsia" w:ascii="仿宋" w:hAnsi="仿宋" w:eastAsia="仿宋" w:cs="仿宋"/>
                <w:color w:val="auto"/>
                <w:sz w:val="24"/>
                <w:szCs w:val="24"/>
              </w:rPr>
            </w:pPr>
          </w:p>
        </w:tc>
      </w:tr>
    </w:tbl>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4、有关银行的名称和地址：</w:t>
      </w:r>
    </w:p>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5、其他情况：</w:t>
      </w:r>
    </w:p>
    <w:p>
      <w:pPr>
        <w:spacing w:line="520" w:lineRule="exact"/>
        <w:ind w:firstLine="360" w:firstLineChars="150"/>
        <w:jc w:val="left"/>
        <w:rPr>
          <w:rFonts w:hint="eastAsia" w:ascii="仿宋" w:hAnsi="仿宋" w:eastAsia="仿宋" w:cs="仿宋"/>
          <w:color w:val="auto"/>
          <w:sz w:val="24"/>
          <w:szCs w:val="24"/>
        </w:rPr>
      </w:pPr>
      <w:r>
        <w:rPr>
          <w:rFonts w:hint="eastAsia" w:ascii="仿宋" w:hAnsi="仿宋" w:eastAsia="仿宋" w:cs="仿宋"/>
          <w:color w:val="auto"/>
          <w:sz w:val="24"/>
          <w:szCs w:val="24"/>
        </w:rPr>
        <w:t>我们保证上述声明是真实的、正确的，并提供了全部能提供的资料和数据；如贵方要求我们同意出示进一步证明文件。</w:t>
      </w:r>
    </w:p>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授权代表签字：</w:t>
      </w:r>
    </w:p>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授权代表的职务：</w:t>
      </w:r>
    </w:p>
    <w:p>
      <w:pPr>
        <w:spacing w:line="52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电话号和传真号：</w:t>
      </w:r>
    </w:p>
    <w:p>
      <w:pPr>
        <w:spacing w:line="520" w:lineRule="exact"/>
        <w:ind w:right="960"/>
        <w:rPr>
          <w:rFonts w:hint="eastAsia" w:ascii="仿宋" w:hAnsi="仿宋" w:eastAsia="仿宋" w:cs="仿宋"/>
          <w:color w:val="auto"/>
          <w:sz w:val="24"/>
          <w:szCs w:val="24"/>
        </w:rPr>
      </w:pPr>
    </w:p>
    <w:p>
      <w:pPr>
        <w:spacing w:line="520" w:lineRule="exact"/>
        <w:ind w:right="960" w:firstLine="5040" w:firstLineChars="2100"/>
        <w:rPr>
          <w:rFonts w:hint="eastAsia" w:ascii="仿宋" w:hAnsi="仿宋" w:eastAsia="仿宋" w:cs="仿宋"/>
          <w:color w:val="auto"/>
          <w:sz w:val="24"/>
          <w:szCs w:val="24"/>
        </w:rPr>
      </w:pPr>
      <w:r>
        <w:rPr>
          <w:rFonts w:hint="eastAsia" w:ascii="仿宋" w:hAnsi="仿宋" w:eastAsia="仿宋" w:cs="仿宋"/>
          <w:color w:val="auto"/>
          <w:sz w:val="24"/>
          <w:szCs w:val="24"/>
        </w:rPr>
        <w:t>公   章:</w:t>
      </w:r>
    </w:p>
    <w:p>
      <w:pPr>
        <w:wordWrap w:val="0"/>
        <w:spacing w:line="520" w:lineRule="exact"/>
        <w:ind w:right="48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   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日</w:t>
      </w:r>
    </w:p>
    <w:p>
      <w:pPr>
        <w:tabs>
          <w:tab w:val="left" w:pos="1799"/>
        </w:tabs>
        <w:jc w:val="left"/>
        <w:rPr>
          <w:rFonts w:hint="eastAsia" w:ascii="仿宋" w:hAnsi="仿宋" w:eastAsia="仿宋" w:cs="仿宋"/>
          <w:b/>
          <w:bCs/>
          <w:color w:val="auto"/>
          <w:sz w:val="24"/>
          <w:szCs w:val="24"/>
        </w:rPr>
      </w:pPr>
    </w:p>
    <w:p>
      <w:pPr>
        <w:keepLines/>
        <w:pageBreakBefore/>
        <w:jc w:val="center"/>
        <w:outlineLvl w:val="1"/>
        <w:rPr>
          <w:rFonts w:hint="eastAsia" w:ascii="仿宋" w:hAnsi="仿宋" w:eastAsia="仿宋" w:cs="仿宋"/>
          <w:b/>
          <w:bCs/>
          <w:color w:val="auto"/>
          <w:sz w:val="32"/>
          <w:szCs w:val="32"/>
        </w:rPr>
      </w:pPr>
      <w:bookmarkStart w:id="178" w:name="_Toc22089"/>
      <w:r>
        <w:rPr>
          <w:rFonts w:hint="eastAsia" w:ascii="仿宋" w:hAnsi="仿宋" w:eastAsia="仿宋" w:cs="仿宋"/>
          <w:b/>
          <w:bCs/>
          <w:color w:val="auto"/>
          <w:sz w:val="32"/>
          <w:szCs w:val="32"/>
        </w:rPr>
        <w:t>二、</w:t>
      </w:r>
      <w:r>
        <w:rPr>
          <w:rFonts w:hint="eastAsia" w:ascii="仿宋" w:hAnsi="仿宋" w:eastAsia="仿宋" w:cs="仿宋"/>
          <w:b/>
          <w:bCs/>
          <w:color w:val="auto"/>
          <w:sz w:val="32"/>
          <w:szCs w:val="32"/>
          <w:lang w:eastAsia="zh-CN"/>
        </w:rPr>
        <w:t>供应商</w:t>
      </w:r>
      <w:r>
        <w:rPr>
          <w:rFonts w:hint="eastAsia" w:ascii="仿宋" w:hAnsi="仿宋" w:eastAsia="仿宋" w:cs="仿宋"/>
          <w:b/>
          <w:bCs/>
          <w:color w:val="auto"/>
          <w:sz w:val="32"/>
          <w:szCs w:val="32"/>
        </w:rPr>
        <w:t>资格证明文件</w:t>
      </w:r>
      <w:bookmarkEnd w:id="178"/>
    </w:p>
    <w:p>
      <w:pPr>
        <w:pStyle w:val="2"/>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（见</w:t>
      </w:r>
      <w:r>
        <w:rPr>
          <w:rFonts w:hint="eastAsia" w:ascii="仿宋" w:hAnsi="仿宋" w:eastAsia="仿宋" w:cs="仿宋"/>
          <w:b/>
          <w:bCs/>
          <w:color w:val="auto"/>
          <w:sz w:val="24"/>
          <w:szCs w:val="24"/>
          <w:highlight w:val="none"/>
          <w:lang w:eastAsia="zh-CN"/>
        </w:rPr>
        <w:t>初步审查要素表</w:t>
      </w:r>
      <w:r>
        <w:rPr>
          <w:rFonts w:hint="eastAsia" w:ascii="仿宋" w:hAnsi="仿宋" w:eastAsia="仿宋" w:cs="仿宋"/>
          <w:b/>
          <w:bCs/>
          <w:color w:val="auto"/>
          <w:sz w:val="24"/>
          <w:szCs w:val="24"/>
          <w:highlight w:val="none"/>
        </w:rPr>
        <w:t>）</w:t>
      </w:r>
    </w:p>
    <w:bookmarkEnd w:id="157"/>
    <w:bookmarkEnd w:id="158"/>
    <w:bookmarkEnd w:id="174"/>
    <w:bookmarkEnd w:id="175"/>
    <w:bookmarkEnd w:id="176"/>
    <w:p>
      <w:pPr>
        <w:keepLines/>
        <w:pageBreakBefore/>
        <w:widowControl w:val="0"/>
        <w:kinsoku/>
        <w:wordWrap/>
        <w:overflowPunct/>
        <w:topLinePunct w:val="0"/>
        <w:autoSpaceDE/>
        <w:autoSpaceDN/>
        <w:bidi w:val="0"/>
        <w:adjustRightInd/>
        <w:snapToGrid/>
        <w:spacing w:before="100" w:beforeAutospacing="0" w:afterLines="50" w:line="360" w:lineRule="auto"/>
        <w:textAlignment w:val="auto"/>
        <w:outlineLvl w:val="2"/>
        <w:rPr>
          <w:rFonts w:hint="eastAsia" w:ascii="仿宋" w:hAnsi="仿宋" w:eastAsia="仿宋" w:cs="仿宋"/>
          <w:b/>
          <w:color w:val="auto"/>
          <w:sz w:val="28"/>
          <w:szCs w:val="28"/>
        </w:rPr>
      </w:pPr>
      <w:r>
        <w:rPr>
          <w:rFonts w:hint="eastAsia" w:ascii="仿宋" w:hAnsi="仿宋" w:eastAsia="仿宋" w:cs="仿宋"/>
          <w:b/>
          <w:color w:val="auto"/>
          <w:sz w:val="28"/>
          <w:szCs w:val="28"/>
        </w:rPr>
        <w:t>附件1：</w:t>
      </w:r>
    </w:p>
    <w:p>
      <w:pPr>
        <w:pStyle w:val="5"/>
        <w:keepNext/>
        <w:keepLines w:val="0"/>
        <w:pageBreakBefore w:val="0"/>
        <w:widowControl w:val="0"/>
        <w:kinsoku/>
        <w:wordWrap/>
        <w:overflowPunct/>
        <w:topLinePunct w:val="0"/>
        <w:autoSpaceDE/>
        <w:autoSpaceDN/>
        <w:bidi w:val="0"/>
        <w:adjustRightInd/>
        <w:snapToGrid/>
        <w:spacing w:beforeAutospacing="0"/>
        <w:jc w:val="center"/>
        <w:textAlignment w:val="auto"/>
        <w:outlineLvl w:val="2"/>
        <w:rPr>
          <w:rFonts w:hint="eastAsia" w:ascii="仿宋" w:hAnsi="仿宋" w:eastAsia="仿宋" w:cs="仿宋"/>
          <w:color w:val="auto"/>
          <w:sz w:val="32"/>
          <w:szCs w:val="32"/>
        </w:rPr>
      </w:pPr>
      <w:r>
        <w:rPr>
          <w:rFonts w:hint="eastAsia" w:ascii="仿宋" w:hAnsi="仿宋" w:eastAsia="仿宋" w:cs="仿宋"/>
          <w:color w:val="auto"/>
          <w:sz w:val="32"/>
          <w:szCs w:val="32"/>
        </w:rPr>
        <w:t>中小企业声明函（工程、服务）</w:t>
      </w:r>
    </w:p>
    <w:p>
      <w:pPr>
        <w:pStyle w:val="2"/>
        <w:keepNext w:val="0"/>
        <w:keepLines w:val="0"/>
        <w:pageBreakBefore w:val="0"/>
        <w:widowControl w:val="0"/>
        <w:kinsoku/>
        <w:wordWrap/>
        <w:overflowPunct/>
        <w:topLinePunct w:val="0"/>
        <w:autoSpaceDE/>
        <w:autoSpaceDN/>
        <w:bidi w:val="0"/>
        <w:adjustRightInd/>
        <w:snapToGrid/>
        <w:spacing w:before="55" w:after="0" w:afterLines="0" w:line="360" w:lineRule="auto"/>
        <w:ind w:right="415" w:firstLine="640"/>
        <w:textAlignment w:val="auto"/>
        <w:outlineLvl w:val="9"/>
        <w:rPr>
          <w:rFonts w:hint="eastAsia" w:ascii="仿宋" w:hAnsi="仿宋" w:eastAsia="仿宋" w:cs="仿宋"/>
          <w:b w:val="0"/>
          <w:bCs w:val="0"/>
          <w:color w:val="auto"/>
          <w:spacing w:val="-2"/>
          <w:sz w:val="24"/>
          <w:szCs w:val="24"/>
        </w:rPr>
      </w:pPr>
    </w:p>
    <w:p>
      <w:pPr>
        <w:pStyle w:val="2"/>
        <w:keepNext w:val="0"/>
        <w:keepLines w:val="0"/>
        <w:pageBreakBefore w:val="0"/>
        <w:widowControl w:val="0"/>
        <w:kinsoku/>
        <w:wordWrap/>
        <w:overflowPunct/>
        <w:topLinePunct w:val="0"/>
        <w:autoSpaceDE/>
        <w:autoSpaceDN/>
        <w:bidi w:val="0"/>
        <w:adjustRightInd/>
        <w:snapToGrid/>
        <w:spacing w:before="55" w:after="0" w:afterLines="0" w:line="360" w:lineRule="auto"/>
        <w:ind w:right="0" w:rightChars="0" w:firstLine="640"/>
        <w:jc w:val="left"/>
        <w:textAlignment w:val="auto"/>
        <w:outlineLvl w:val="9"/>
        <w:rPr>
          <w:rFonts w:hint="eastAsia" w:ascii="仿宋" w:hAnsi="仿宋" w:eastAsia="仿宋" w:cs="仿宋"/>
          <w:b w:val="0"/>
          <w:bCs w:val="0"/>
          <w:color w:val="auto"/>
          <w:spacing w:val="-2"/>
          <w:sz w:val="24"/>
          <w:szCs w:val="24"/>
        </w:rPr>
      </w:pPr>
      <w:r>
        <w:rPr>
          <w:rFonts w:hint="eastAsia" w:ascii="仿宋" w:hAnsi="仿宋" w:eastAsia="仿宋" w:cs="仿宋"/>
          <w:b w:val="0"/>
          <w:bCs w:val="0"/>
          <w:color w:val="auto"/>
          <w:spacing w:val="-2"/>
          <w:sz w:val="24"/>
          <w:szCs w:val="24"/>
        </w:rPr>
        <w:t>本公司（联合体）郑重声明，根据《政府采购促进中小企业发展管理办法》（财库﹝2020﹞46 号）的规定，本公司（联合体）参加</w:t>
      </w:r>
      <w:r>
        <w:rPr>
          <w:rFonts w:hint="eastAsia" w:ascii="仿宋" w:hAnsi="仿宋" w:eastAsia="仿宋" w:cs="仿宋"/>
          <w:b w:val="0"/>
          <w:bCs w:val="0"/>
          <w:color w:val="auto"/>
          <w:spacing w:val="-2"/>
          <w:sz w:val="24"/>
          <w:szCs w:val="24"/>
          <w:u w:val="single"/>
        </w:rPr>
        <w:t>（单位名称）</w:t>
      </w:r>
      <w:r>
        <w:rPr>
          <w:rFonts w:hint="eastAsia" w:ascii="仿宋" w:hAnsi="仿宋" w:eastAsia="仿宋" w:cs="仿宋"/>
          <w:b w:val="0"/>
          <w:bCs w:val="0"/>
          <w:color w:val="auto"/>
          <w:spacing w:val="-2"/>
          <w:sz w:val="24"/>
          <w:szCs w:val="24"/>
        </w:rPr>
        <w:t>的</w:t>
      </w:r>
      <w:r>
        <w:rPr>
          <w:rFonts w:hint="eastAsia" w:ascii="仿宋" w:hAnsi="仿宋" w:eastAsia="仿宋" w:cs="仿宋"/>
          <w:b w:val="0"/>
          <w:bCs w:val="0"/>
          <w:color w:val="auto"/>
          <w:spacing w:val="-2"/>
          <w:sz w:val="24"/>
          <w:szCs w:val="24"/>
          <w:u w:val="single"/>
        </w:rPr>
        <w:t>（项目名称）</w:t>
      </w:r>
      <w:r>
        <w:rPr>
          <w:rFonts w:hint="eastAsia" w:ascii="仿宋" w:hAnsi="仿宋" w:eastAsia="仿宋" w:cs="仿宋"/>
          <w:b w:val="0"/>
          <w:bCs w:val="0"/>
          <w:color w:val="auto"/>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13"/>
        <w:pageBreakBefore w:val="0"/>
        <w:numPr>
          <w:ilvl w:val="0"/>
          <w:numId w:val="17"/>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lang w:val="zh-CN" w:eastAsia="zh-CN"/>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lang w:val="zh-CN" w:eastAsia="zh-CN"/>
        </w:rPr>
        <w:t>（采购文件中明确的所属行业）</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rPr>
        <w:t>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万元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pStyle w:val="113"/>
        <w:pageBreakBefore w:val="0"/>
        <w:numPr>
          <w:ilvl w:val="0"/>
          <w:numId w:val="17"/>
        </w:numP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u w:val="single"/>
          <w:lang w:val="zh-CN" w:eastAsia="zh-CN"/>
        </w:rPr>
        <w:t>（标的名称）</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lang w:val="zh-CN" w:eastAsia="zh-CN"/>
        </w:rPr>
        <w:t>（采购文件中明确的所属行业）</w:t>
      </w:r>
      <w:r>
        <w:rPr>
          <w:rFonts w:hint="eastAsia" w:ascii="仿宋" w:hAnsi="仿宋" w:eastAsia="仿宋" w:cs="仿宋"/>
          <w:color w:val="auto"/>
          <w:sz w:val="24"/>
          <w:szCs w:val="24"/>
          <w:lang w:val="zh-CN" w:eastAsia="zh-CN"/>
        </w:rPr>
        <w:t>；</w:t>
      </w:r>
      <w:r>
        <w:rPr>
          <w:rFonts w:hint="eastAsia" w:ascii="仿宋" w:hAnsi="仿宋" w:eastAsia="仿宋" w:cs="仿宋"/>
          <w:color w:val="auto"/>
          <w:sz w:val="24"/>
          <w:szCs w:val="24"/>
        </w:rPr>
        <w:t>承建（承接）企业为</w:t>
      </w:r>
      <w:r>
        <w:rPr>
          <w:rFonts w:hint="eastAsia" w:ascii="仿宋" w:hAnsi="仿宋" w:eastAsia="仿宋" w:cs="仿宋"/>
          <w:color w:val="auto"/>
          <w:sz w:val="24"/>
          <w:szCs w:val="24"/>
          <w:u w:val="single"/>
        </w:rPr>
        <w:t>（企业名称）</w:t>
      </w:r>
      <w:r>
        <w:rPr>
          <w:rFonts w:hint="eastAsia" w:ascii="仿宋" w:hAnsi="仿宋" w:eastAsia="仿宋" w:cs="仿宋"/>
          <w:color w:val="auto"/>
          <w:sz w:val="24"/>
          <w:szCs w:val="24"/>
        </w:rPr>
        <w:t>，从业人员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人，营业收入为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万元，资产总额为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万元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属于</w:t>
      </w:r>
      <w:r>
        <w:rPr>
          <w:rFonts w:hint="eastAsia" w:ascii="仿宋" w:hAnsi="仿宋" w:eastAsia="仿宋" w:cs="仿宋"/>
          <w:color w:val="auto"/>
          <w:sz w:val="24"/>
          <w:szCs w:val="24"/>
          <w:u w:val="single"/>
        </w:rPr>
        <w:t>（中型企业、小型企业、微型企业）</w:t>
      </w:r>
      <w:r>
        <w:rPr>
          <w:rFonts w:hint="eastAsia" w:ascii="仿宋" w:hAnsi="仿宋" w:eastAsia="仿宋" w:cs="仿宋"/>
          <w:color w:val="auto"/>
          <w:sz w:val="24"/>
          <w:szCs w:val="24"/>
        </w:rPr>
        <w:t>；</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zh-CN" w:eastAsia="zh-CN"/>
        </w:rPr>
      </w:pPr>
      <w:r>
        <w:rPr>
          <w:rFonts w:hint="eastAsia" w:ascii="仿宋" w:hAnsi="仿宋" w:eastAsia="仿宋" w:cs="仿宋"/>
          <w:color w:val="auto"/>
          <w:sz w:val="24"/>
          <w:szCs w:val="24"/>
          <w:u w:val="none"/>
          <w:lang w:val="zh-CN" w:eastAsia="zh-CN"/>
        </w:rPr>
        <w:t>……</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zh-CN" w:eastAsia="zh-CN"/>
        </w:rPr>
      </w:pPr>
      <w:r>
        <w:rPr>
          <w:rFonts w:hint="eastAsia" w:ascii="仿宋" w:hAnsi="仿宋" w:eastAsia="仿宋" w:cs="仿宋"/>
          <w:color w:val="auto"/>
          <w:sz w:val="24"/>
          <w:szCs w:val="24"/>
          <w:u w:val="none"/>
          <w:lang w:val="zh-CN" w:eastAsia="zh-CN"/>
        </w:rPr>
        <w:t>以上企业，不属于大企业的分支机构，不存在控股股东为大企业的情形，也不存在与大企业的负责人为同一人的情形。</w:t>
      </w:r>
    </w:p>
    <w:p>
      <w:pPr>
        <w:pStyle w:val="113"/>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u w:val="none"/>
          <w:lang w:val="zh-CN" w:eastAsia="zh-CN"/>
        </w:rPr>
      </w:pPr>
      <w:r>
        <w:rPr>
          <w:rFonts w:hint="eastAsia" w:ascii="仿宋" w:hAnsi="仿宋" w:eastAsia="仿宋" w:cs="仿宋"/>
          <w:color w:val="auto"/>
          <w:sz w:val="24"/>
          <w:szCs w:val="24"/>
          <w:u w:val="none"/>
          <w:lang w:val="zh-CN" w:eastAsia="zh-CN"/>
        </w:rPr>
        <w:t>本企业对上述声明内容的真实性负责。如有虚假，将依法承担相应责任。</w:t>
      </w:r>
    </w:p>
    <w:p>
      <w:pPr>
        <w:pStyle w:val="113"/>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pPr>
        <w:pStyle w:val="113"/>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企业名称（盖章）：</w:t>
      </w:r>
    </w:p>
    <w:p>
      <w:pPr>
        <w:pStyle w:val="113"/>
        <w:keepNext w:val="0"/>
        <w:keepLines w:val="0"/>
        <w:pageBreakBefore w:val="0"/>
        <w:widowControl w:val="0"/>
        <w:kinsoku/>
        <w:wordWrap/>
        <w:overflowPunct/>
        <w:topLinePunct w:val="0"/>
        <w:autoSpaceDE/>
        <w:autoSpaceDN/>
        <w:bidi w:val="0"/>
        <w:adjustRightInd/>
        <w:snapToGrid/>
        <w:spacing w:line="360" w:lineRule="auto"/>
        <w:ind w:firstLine="4560" w:firstLineChars="1900"/>
        <w:jc w:val="left"/>
        <w:textAlignment w:val="auto"/>
        <w:outlineLvl w:val="9"/>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日期：</w:t>
      </w:r>
    </w:p>
    <w:p>
      <w:pPr>
        <w:pStyle w:val="11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rPr>
      </w:pPr>
    </w:p>
    <w:p>
      <w:pPr>
        <w:pStyle w:val="113"/>
        <w:pageBreakBefore w:val="0"/>
        <w:kinsoku/>
        <w:wordWrap/>
        <w:overflowPunct/>
        <w:topLinePunct w:val="0"/>
        <w:autoSpaceDE/>
        <w:autoSpaceDN/>
        <w:bidi w:val="0"/>
        <w:adjustRightInd/>
        <w:snapToGrid/>
        <w:spacing w:line="360" w:lineRule="auto"/>
        <w:ind w:left="630" w:leftChars="0" w:hanging="630" w:hangingChars="300"/>
        <w:textAlignment w:val="auto"/>
        <w:rPr>
          <w:rFonts w:hint="eastAsia" w:ascii="仿宋" w:hAnsi="仿宋" w:eastAsia="仿宋" w:cs="仿宋"/>
          <w:color w:val="auto"/>
          <w:spacing w:val="-8"/>
          <w:sz w:val="21"/>
          <w:szCs w:val="21"/>
          <w:lang w:eastAsia="zh-CN"/>
        </w:rPr>
      </w:pPr>
      <w:r>
        <w:rPr>
          <w:rFonts w:hint="eastAsia" w:ascii="仿宋" w:hAnsi="仿宋" w:eastAsia="仿宋" w:cs="仿宋"/>
          <w:color w:val="auto"/>
          <w:sz w:val="21"/>
          <w:szCs w:val="21"/>
          <w:lang w:eastAsia="zh-CN"/>
        </w:rPr>
        <w:t>备注：</w:t>
      </w:r>
      <w:r>
        <w:rPr>
          <w:rFonts w:hint="eastAsia" w:ascii="仿宋" w:hAnsi="仿宋" w:eastAsia="仿宋" w:cs="仿宋"/>
          <w:color w:val="auto"/>
          <w:sz w:val="21"/>
          <w:szCs w:val="21"/>
          <w:lang w:val="en-US" w:eastAsia="zh-CN"/>
        </w:rPr>
        <w:t>1、</w:t>
      </w:r>
      <w:r>
        <w:rPr>
          <w:rFonts w:hint="eastAsia" w:ascii="仿宋" w:hAnsi="仿宋" w:eastAsia="仿宋" w:cs="仿宋"/>
          <w:color w:val="auto"/>
          <w:spacing w:val="-8"/>
          <w:sz w:val="21"/>
          <w:szCs w:val="21"/>
        </w:rPr>
        <w:t>中小企业参加政府采购活动，应当按照</w:t>
      </w:r>
      <w:r>
        <w:rPr>
          <w:rFonts w:hint="eastAsia" w:ascii="仿宋" w:hAnsi="仿宋" w:eastAsia="仿宋" w:cs="仿宋"/>
          <w:color w:val="auto"/>
          <w:spacing w:val="-8"/>
          <w:sz w:val="21"/>
          <w:szCs w:val="21"/>
          <w:lang w:eastAsia="zh-CN"/>
        </w:rPr>
        <w:t>《政府采购促进中小企业发展管理办法》（财库〔2020〕46号）</w:t>
      </w:r>
      <w:r>
        <w:rPr>
          <w:rFonts w:hint="eastAsia" w:ascii="仿宋" w:hAnsi="仿宋" w:eastAsia="仿宋" w:cs="仿宋"/>
          <w:color w:val="auto"/>
          <w:spacing w:val="-8"/>
          <w:sz w:val="21"/>
          <w:szCs w:val="21"/>
        </w:rPr>
        <w:t>规定和《中小企业划型标准规定》（工信部联企业〔2011〕300号），如实填写并</w:t>
      </w:r>
      <w:r>
        <w:rPr>
          <w:rFonts w:hint="eastAsia" w:ascii="仿宋" w:hAnsi="仿宋" w:eastAsia="仿宋" w:cs="仿宋"/>
          <w:color w:val="auto"/>
          <w:spacing w:val="-8"/>
          <w:sz w:val="21"/>
          <w:szCs w:val="21"/>
          <w:lang w:eastAsia="zh-CN"/>
        </w:rPr>
        <w:t>提交本</w:t>
      </w:r>
      <w:r>
        <w:rPr>
          <w:rFonts w:hint="eastAsia" w:ascii="仿宋" w:hAnsi="仿宋" w:eastAsia="仿宋" w:cs="仿宋"/>
          <w:color w:val="auto"/>
          <w:spacing w:val="-8"/>
          <w:sz w:val="21"/>
          <w:szCs w:val="21"/>
        </w:rPr>
        <w:t>《中小企业声明函》</w:t>
      </w:r>
      <w:r>
        <w:rPr>
          <w:rFonts w:hint="eastAsia" w:ascii="仿宋" w:hAnsi="仿宋" w:eastAsia="仿宋" w:cs="仿宋"/>
          <w:color w:val="auto"/>
          <w:spacing w:val="-8"/>
          <w:sz w:val="21"/>
          <w:szCs w:val="21"/>
          <w:lang w:eastAsia="zh-CN"/>
        </w:rPr>
        <w:t>。</w:t>
      </w:r>
    </w:p>
    <w:p>
      <w:pPr>
        <w:pStyle w:val="113"/>
        <w:pageBreakBefore w:val="0"/>
        <w:kinsoku/>
        <w:wordWrap/>
        <w:overflowPunct/>
        <w:topLinePunct w:val="0"/>
        <w:autoSpaceDE/>
        <w:autoSpaceDN/>
        <w:bidi w:val="0"/>
        <w:adjustRightInd/>
        <w:snapToGrid/>
        <w:spacing w:line="360" w:lineRule="auto"/>
        <w:ind w:left="615" w:leftChars="293" w:firstLine="19" w:firstLineChars="1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pacing w:val="-8"/>
          <w:sz w:val="21"/>
          <w:szCs w:val="21"/>
          <w:lang w:val="en-US" w:eastAsia="zh-CN"/>
        </w:rPr>
        <w:t>2、从业人员、营业收入、资产总额填报上一年度数据，无上一年度数据的新成立企业可不填报。</w:t>
      </w:r>
    </w:p>
    <w:p>
      <w:pPr>
        <w:pStyle w:val="113"/>
        <w:pageBreakBefore w:val="0"/>
        <w:kinsoku/>
        <w:wordWrap/>
        <w:overflowPunct/>
        <w:topLinePunct w:val="0"/>
        <w:autoSpaceDE/>
        <w:autoSpaceDN/>
        <w:bidi w:val="0"/>
        <w:adjustRightInd/>
        <w:snapToGrid/>
        <w:spacing w:line="360" w:lineRule="auto"/>
        <w:ind w:left="630" w:leftChars="300" w:firstLine="0" w:firstLineChars="0"/>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3、本项目所属行业为：</w:t>
      </w:r>
      <w:r>
        <w:rPr>
          <w:rFonts w:hint="eastAsia" w:ascii="仿宋" w:hAnsi="仿宋" w:eastAsia="仿宋" w:cs="仿宋"/>
          <w:b/>
          <w:bCs/>
          <w:color w:val="auto"/>
          <w:sz w:val="21"/>
          <w:szCs w:val="21"/>
          <w:u w:val="single"/>
          <w:lang w:val="en-US" w:eastAsia="zh-CN"/>
        </w:rPr>
        <w:t>其他未列明行业</w:t>
      </w:r>
      <w:r>
        <w:rPr>
          <w:rFonts w:hint="eastAsia" w:ascii="仿宋" w:hAnsi="仿宋" w:eastAsia="仿宋" w:cs="仿宋"/>
          <w:b/>
          <w:bCs/>
          <w:color w:val="auto"/>
          <w:sz w:val="21"/>
          <w:szCs w:val="21"/>
          <w:u w:val="none"/>
          <w:lang w:val="en-US" w:eastAsia="zh-CN"/>
        </w:rPr>
        <w:t>。</w:t>
      </w:r>
    </w:p>
    <w:p>
      <w:pPr>
        <w:spacing w:line="360" w:lineRule="auto"/>
        <w:ind w:right="640"/>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before="100" w:beforeAutospacing="0" w:after="156" w:afterLines="50" w:line="360" w:lineRule="auto"/>
        <w:textAlignment w:val="auto"/>
        <w:outlineLvl w:val="2"/>
        <w:rPr>
          <w:rFonts w:hint="eastAsia" w:ascii="仿宋" w:hAnsi="仿宋" w:eastAsia="仿宋" w:cs="仿宋"/>
          <w:b/>
          <w:bCs/>
          <w:color w:val="auto"/>
          <w:spacing w:val="6"/>
          <w:sz w:val="30"/>
          <w:szCs w:val="30"/>
        </w:rPr>
      </w:pPr>
      <w:r>
        <w:rPr>
          <w:rFonts w:hint="eastAsia" w:ascii="仿宋" w:hAnsi="仿宋" w:eastAsia="仿宋" w:cs="仿宋"/>
          <w:b/>
          <w:bCs/>
          <w:color w:val="auto"/>
          <w:spacing w:val="6"/>
          <w:sz w:val="30"/>
          <w:szCs w:val="30"/>
        </w:rPr>
        <w:t>附件</w:t>
      </w:r>
      <w:r>
        <w:rPr>
          <w:rFonts w:hint="eastAsia" w:ascii="仿宋" w:hAnsi="仿宋" w:eastAsia="仿宋" w:cs="仿宋"/>
          <w:b/>
          <w:bCs/>
          <w:color w:val="auto"/>
          <w:spacing w:val="6"/>
          <w:sz w:val="30"/>
          <w:szCs w:val="30"/>
          <w:lang w:val="en-US" w:eastAsia="zh-CN"/>
        </w:rPr>
        <w:t>2</w:t>
      </w:r>
      <w:r>
        <w:rPr>
          <w:rFonts w:hint="eastAsia" w:ascii="仿宋" w:hAnsi="仿宋" w:eastAsia="仿宋" w:cs="仿宋"/>
          <w:b/>
          <w:bCs/>
          <w:color w:val="auto"/>
          <w:spacing w:val="6"/>
          <w:sz w:val="30"/>
          <w:szCs w:val="30"/>
        </w:rPr>
        <w:t>：</w:t>
      </w:r>
    </w:p>
    <w:p>
      <w:pPr>
        <w:keepNext w:val="0"/>
        <w:keepLines w:val="0"/>
        <w:pageBreakBefore w:val="0"/>
        <w:widowControl w:val="0"/>
        <w:kinsoku/>
        <w:wordWrap/>
        <w:overflowPunct/>
        <w:topLinePunct w:val="0"/>
        <w:autoSpaceDE/>
        <w:autoSpaceDN/>
        <w:bidi w:val="0"/>
        <w:adjustRightInd/>
        <w:snapToGrid/>
        <w:spacing w:beforeAutospacing="0" w:line="588" w:lineRule="exact"/>
        <w:jc w:val="center"/>
        <w:textAlignment w:val="auto"/>
        <w:outlineLvl w:val="2"/>
        <w:rPr>
          <w:rFonts w:hint="eastAsia" w:ascii="仿宋" w:hAnsi="仿宋" w:eastAsia="仿宋" w:cs="仿宋"/>
          <w:b/>
          <w:color w:val="auto"/>
          <w:spacing w:val="6"/>
          <w:sz w:val="32"/>
          <w:szCs w:val="32"/>
        </w:rPr>
      </w:pPr>
      <w:bookmarkStart w:id="179" w:name="OLE_LINK13"/>
      <w:bookmarkStart w:id="180" w:name="OLE_LINK14"/>
      <w:r>
        <w:rPr>
          <w:rFonts w:hint="eastAsia" w:ascii="仿宋" w:hAnsi="仿宋" w:eastAsia="仿宋" w:cs="仿宋"/>
          <w:b/>
          <w:color w:val="auto"/>
          <w:spacing w:val="6"/>
          <w:sz w:val="32"/>
          <w:szCs w:val="32"/>
        </w:rPr>
        <w:t>残疾人福利性单位声明函</w:t>
      </w:r>
    </w:p>
    <w:bookmarkEnd w:id="179"/>
    <w:bookmarkEnd w:id="180"/>
    <w:p>
      <w:pPr>
        <w:spacing w:line="588" w:lineRule="exact"/>
        <w:rPr>
          <w:rFonts w:hint="eastAsia" w:ascii="仿宋" w:hAnsi="仿宋" w:eastAsia="仿宋" w:cs="仿宋"/>
          <w:b/>
          <w:color w:val="auto"/>
          <w:spacing w:val="6"/>
          <w:sz w:val="30"/>
          <w:szCs w:val="30"/>
        </w:rPr>
      </w:pPr>
    </w:p>
    <w:p>
      <w:pPr>
        <w:spacing w:line="588" w:lineRule="exact"/>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本单位郑重声明，根据《财政部 民政部 中国残疾人联合会关于促进残疾人就业政府采购政策的通知》（财库</w:t>
      </w:r>
      <w:r>
        <w:rPr>
          <w:rFonts w:hint="eastAsia" w:ascii="仿宋" w:hAnsi="仿宋" w:eastAsia="仿宋" w:cs="仿宋"/>
          <w:color w:val="auto"/>
          <w:sz w:val="24"/>
          <w:szCs w:val="24"/>
        </w:rPr>
        <w:t>〔2017〕 141</w:t>
      </w:r>
      <w:r>
        <w:rPr>
          <w:rFonts w:hint="eastAsia" w:ascii="仿宋" w:hAnsi="仿宋" w:eastAsia="仿宋" w:cs="仿宋"/>
          <w:color w:val="auto"/>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本单位对上述声明的真实性负责。如有虚假，将依法承担相应责任。</w:t>
      </w:r>
    </w:p>
    <w:p>
      <w:pPr>
        <w:spacing w:line="588" w:lineRule="exact"/>
        <w:ind w:firstLine="444" w:firstLineChars="200"/>
        <w:rPr>
          <w:rFonts w:hint="eastAsia" w:ascii="仿宋" w:hAnsi="仿宋" w:eastAsia="仿宋" w:cs="仿宋"/>
          <w:color w:val="auto"/>
          <w:spacing w:val="6"/>
          <w:szCs w:val="24"/>
        </w:rPr>
      </w:pPr>
    </w:p>
    <w:p>
      <w:pPr>
        <w:spacing w:line="588" w:lineRule="exact"/>
        <w:ind w:firstLine="444" w:firstLineChars="200"/>
        <w:rPr>
          <w:rFonts w:hint="eastAsia" w:ascii="仿宋" w:hAnsi="仿宋" w:eastAsia="仿宋" w:cs="仿宋"/>
          <w:color w:val="auto"/>
          <w:spacing w:val="6"/>
          <w:szCs w:val="24"/>
        </w:rPr>
      </w:pPr>
    </w:p>
    <w:p>
      <w:pPr>
        <w:spacing w:line="588" w:lineRule="exact"/>
        <w:ind w:firstLine="504" w:firstLineChars="200"/>
        <w:rPr>
          <w:rFonts w:hint="eastAsia" w:ascii="仿宋" w:hAnsi="仿宋" w:eastAsia="仿宋" w:cs="仿宋"/>
          <w:color w:val="auto"/>
          <w:spacing w:val="6"/>
          <w:sz w:val="24"/>
          <w:szCs w:val="24"/>
        </w:rPr>
      </w:pPr>
    </w:p>
    <w:p>
      <w:pPr>
        <w:spacing w:line="588" w:lineRule="exact"/>
        <w:ind w:firstLine="504" w:firstLineChars="200"/>
        <w:rPr>
          <w:rFonts w:hint="eastAsia" w:ascii="仿宋" w:hAnsi="仿宋" w:eastAsia="仿宋" w:cs="仿宋"/>
          <w:color w:val="auto"/>
          <w:spacing w:val="6"/>
          <w:sz w:val="24"/>
          <w:szCs w:val="24"/>
        </w:rPr>
      </w:pPr>
    </w:p>
    <w:p>
      <w:pPr>
        <w:tabs>
          <w:tab w:val="left" w:pos="4860"/>
        </w:tabs>
        <w:spacing w:line="588" w:lineRule="exact"/>
        <w:ind w:right="1560" w:firstLine="504" w:firstLineChars="200"/>
        <w:jc w:val="center"/>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 xml:space="preserve">               单位名称（盖章）：</w:t>
      </w:r>
    </w:p>
    <w:p>
      <w:pPr>
        <w:tabs>
          <w:tab w:val="left" w:pos="4860"/>
        </w:tabs>
        <w:spacing w:line="588" w:lineRule="exact"/>
        <w:ind w:right="1560" w:firstLine="504" w:firstLineChars="200"/>
        <w:jc w:val="center"/>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 xml:space="preserve">       日    期：</w:t>
      </w: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yellow"/>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sz w:val="24"/>
          <w:szCs w:val="24"/>
          <w:highlight w:val="none"/>
          <w:lang w:eastAsia="zh-CN"/>
        </w:rPr>
        <w:t>符合条件的残疾人福利性单位在参加政府采购活动时，应当提供《残疾人福利性单位声明函》，并对声明的真实性负责；非残疾人福利性单位无需提供。</w:t>
      </w: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仿宋" w:hAnsi="仿宋" w:eastAsia="仿宋" w:cs="仿宋"/>
          <w:b/>
          <w:bCs/>
          <w:color w:val="auto"/>
          <w:spacing w:val="6"/>
          <w:kern w:val="0"/>
          <w:sz w:val="30"/>
          <w:szCs w:val="30"/>
          <w:lang w:val="en-US" w:eastAsia="zh-CN" w:bidi="ar-SA"/>
        </w:rPr>
      </w:pPr>
    </w:p>
    <w:p>
      <w:pPr>
        <w:pStyle w:val="2"/>
        <w:keepNext w:val="0"/>
        <w:keepLines w:val="0"/>
        <w:pageBreakBefore w:val="0"/>
        <w:widowControl w:val="0"/>
        <w:kinsoku/>
        <w:wordWrap/>
        <w:overflowPunct/>
        <w:topLinePunct w:val="0"/>
        <w:autoSpaceDE/>
        <w:autoSpaceDN/>
        <w:bidi w:val="0"/>
        <w:adjustRightInd/>
        <w:snapToGrid/>
        <w:jc w:val="left"/>
        <w:textAlignment w:val="auto"/>
        <w:outlineLvl w:val="2"/>
        <w:rPr>
          <w:rFonts w:hint="eastAsia" w:ascii="仿宋" w:hAnsi="仿宋" w:eastAsia="仿宋" w:cs="仿宋"/>
          <w:b/>
          <w:bCs/>
          <w:color w:val="auto"/>
          <w:spacing w:val="6"/>
          <w:kern w:val="0"/>
          <w:sz w:val="30"/>
          <w:szCs w:val="30"/>
          <w:lang w:val="en-US" w:eastAsia="zh-CN" w:bidi="ar-SA"/>
        </w:rPr>
      </w:pPr>
      <w:r>
        <w:rPr>
          <w:rFonts w:hint="eastAsia" w:ascii="仿宋" w:hAnsi="仿宋" w:eastAsia="仿宋" w:cs="仿宋"/>
          <w:b/>
          <w:bCs/>
          <w:color w:val="auto"/>
          <w:spacing w:val="6"/>
          <w:kern w:val="0"/>
          <w:sz w:val="30"/>
          <w:szCs w:val="30"/>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center"/>
        <w:textAlignment w:val="auto"/>
        <w:outlineLvl w:val="2"/>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监狱企业证明文件</w:t>
      </w:r>
    </w:p>
    <w:p>
      <w:pPr>
        <w:pStyle w:val="2"/>
        <w:rPr>
          <w:rFonts w:hint="eastAsia" w:ascii="仿宋" w:hAnsi="仿宋" w:eastAsia="仿宋" w:cs="仿宋"/>
          <w:color w:val="auto"/>
          <w:lang w:eastAsia="zh-CN"/>
        </w:rPr>
      </w:pPr>
    </w:p>
    <w:p>
      <w:pPr>
        <w:spacing w:line="50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82" w:firstLineChars="20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监狱企业参加政府采购活动时，应当提供由省级以上监狱管理局、戒毒管理局（含新疆生产建设兵团）出具的属于监狱企业的证明文件</w:t>
      </w:r>
      <w:r>
        <w:rPr>
          <w:rFonts w:hint="eastAsia" w:ascii="仿宋" w:hAnsi="仿宋" w:eastAsia="仿宋" w:cs="仿宋"/>
          <w:b/>
          <w:bCs/>
          <w:color w:val="auto"/>
          <w:sz w:val="24"/>
          <w:szCs w:val="24"/>
          <w:highlight w:val="none"/>
          <w:lang w:eastAsia="zh-CN"/>
        </w:rPr>
        <w:t>，非监狱企业无需提供</w:t>
      </w:r>
      <w:r>
        <w:rPr>
          <w:rFonts w:hint="eastAsia" w:ascii="仿宋" w:hAnsi="仿宋" w:eastAsia="仿宋" w:cs="仿宋"/>
          <w:b/>
          <w:bCs/>
          <w:color w:val="auto"/>
          <w:sz w:val="24"/>
          <w:szCs w:val="24"/>
        </w:rPr>
        <w:t>。</w:t>
      </w:r>
    </w:p>
    <w:p>
      <w:pPr>
        <w:tabs>
          <w:tab w:val="left" w:pos="1620"/>
          <w:tab w:val="left" w:pos="1800"/>
        </w:tabs>
        <w:spacing w:line="440" w:lineRule="exact"/>
        <w:ind w:right="540" w:rightChars="257"/>
        <w:rPr>
          <w:rFonts w:hint="eastAsia" w:ascii="仿宋" w:hAnsi="仿宋" w:eastAsia="仿宋" w:cs="仿宋"/>
          <w:color w:val="auto"/>
          <w:sz w:val="24"/>
          <w:szCs w:val="24"/>
        </w:rPr>
      </w:pPr>
    </w:p>
    <w:p>
      <w:pPr>
        <w:spacing w:line="360" w:lineRule="auto"/>
        <w:ind w:right="640"/>
        <w:rPr>
          <w:rFonts w:hint="eastAsia" w:ascii="仿宋" w:hAnsi="仿宋" w:eastAsia="仿宋" w:cs="仿宋"/>
          <w:color w:val="auto"/>
          <w:sz w:val="24"/>
          <w:szCs w:val="24"/>
        </w:rPr>
      </w:pPr>
    </w:p>
    <w:p>
      <w:pPr>
        <w:spacing w:line="360" w:lineRule="auto"/>
        <w:ind w:right="640"/>
        <w:rPr>
          <w:rFonts w:hint="eastAsia" w:ascii="仿宋" w:hAnsi="仿宋" w:eastAsia="仿宋" w:cs="仿宋"/>
          <w:color w:val="auto"/>
          <w:sz w:val="24"/>
          <w:szCs w:val="24"/>
        </w:rPr>
      </w:pPr>
    </w:p>
    <w:p>
      <w:pPr>
        <w:spacing w:line="550" w:lineRule="exact"/>
        <w:ind w:right="640"/>
        <w:rPr>
          <w:rFonts w:hint="eastAsia" w:ascii="仿宋" w:hAnsi="仿宋" w:eastAsia="仿宋" w:cs="仿宋"/>
          <w:color w:val="auto"/>
          <w:sz w:val="24"/>
          <w:szCs w:val="24"/>
        </w:rPr>
      </w:pPr>
    </w:p>
    <w:sectPr>
      <w:pgSz w:w="11906" w:h="16838"/>
      <w:pgMar w:top="1417" w:right="1417" w:bottom="1417" w:left="1701"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ascii="仿宋" w:hAnsi="仿宋" w:eastAsia="仿宋" w:cs="仿宋"/>
        <w:highlight w:val="none"/>
      </w:rPr>
    </w:pPr>
    <w:r>
      <w:rPr>
        <w:rFonts w:hint="eastAsia" w:ascii="仿宋" w:hAnsi="仿宋" w:eastAsia="仿宋" w:cs="仿宋"/>
        <w:sz w:val="18"/>
        <w:szCs w:val="18"/>
        <w:lang w:eastAsia="zh-CN"/>
      </w:rPr>
      <w:t>华夏国际项目管理有限公司</w:t>
    </w:r>
    <w:r>
      <w:rPr>
        <w:rFonts w:hint="eastAsia" w:ascii="仿宋" w:hAnsi="仿宋" w:eastAsia="仿宋" w:cs="仿宋"/>
        <w:sz w:val="18"/>
        <w:szCs w:val="18"/>
        <w:lang w:val="en-US" w:eastAsia="zh-CN"/>
      </w:rPr>
      <w:t xml:space="preserve">                                 </w:t>
    </w:r>
    <w:r>
      <w:rPr>
        <w:rFonts w:hint="eastAsia" w:ascii="仿宋" w:hAnsi="仿宋" w:eastAsia="仿宋" w:cs="仿宋"/>
        <w:sz w:val="18"/>
        <w:szCs w:val="18"/>
        <w:highlight w:val="none"/>
        <w:lang w:val="en-US" w:eastAsia="zh-CN"/>
      </w:rPr>
      <w:t xml:space="preserve"> </w:t>
    </w:r>
    <w:r>
      <w:rPr>
        <w:rFonts w:hint="eastAsia" w:ascii="仿宋" w:hAnsi="仿宋" w:eastAsia="仿宋" w:cs="仿宋"/>
        <w:sz w:val="18"/>
        <w:szCs w:val="18"/>
        <w:highlight w:val="none"/>
        <w:lang w:eastAsia="zh-CN"/>
      </w:rPr>
      <w:tab/>
    </w:r>
    <w:r>
      <w:rPr>
        <w:rFonts w:hint="eastAsia" w:ascii="仿宋" w:hAnsi="仿宋" w:eastAsia="仿宋" w:cs="仿宋"/>
        <w:sz w:val="18"/>
        <w:szCs w:val="18"/>
        <w:highlight w:val="none"/>
        <w:lang w:eastAsia="zh-CN"/>
      </w:rPr>
      <w:t>地址：西安市高新区科技五路8号数字大厦11楼</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rPr>
        <w:rFonts w:hint="eastAsia" w:ascii="仿宋" w:hAnsi="仿宋" w:eastAsia="仿宋" w:cs="仿宋"/>
        <w:lang w:val="en-US" w:eastAsia="zh-CN"/>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margin">
                <wp:posOffset>2760980</wp:posOffset>
              </wp:positionH>
              <wp:positionV relativeFrom="paragraph">
                <wp:posOffset>-1905</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4pt;margin-top:-0.15pt;height:10.35pt;width:9.05pt;mso-position-horizontal-relative:margin;mso-wrap-style:none;z-index:251659264;mso-width-relative:page;mso-height-relative:page;" filled="f" stroked="f" coordsize="21600,21600" o:gfxdata="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4O3OZ1gAAAAgBAAAPAAAAAAAAAAEAIAAAACIAAABkcnMvZG93bnJl&#10;di54bWxQSwECFAAUAAAACACHTuJAXhqPXzgCAABvBAAADgAAAAAAAAABACAAAAAlAQAAZHJzL2Uy&#10;b0RvYy54bWxQSwUGAAAAAAYABgBZAQAAz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v:textbox>
            </v:shape>
          </w:pict>
        </mc:Fallback>
      </mc:AlternateContent>
    </w:r>
    <w:r>
      <w:rPr>
        <w:rFonts w:hint="eastAsia" w:ascii="仿宋" w:hAnsi="仿宋" w:eastAsia="仿宋" w:cs="仿宋"/>
        <w:lang w:eastAsia="zh-CN"/>
      </w:rPr>
      <w:t>华夏国际项目管理有限公司</w:t>
    </w:r>
    <w:r>
      <w:rPr>
        <w:rFonts w:hint="eastAsia" w:ascii="仿宋" w:hAnsi="仿宋" w:eastAsia="仿宋" w:cs="仿宋"/>
        <w:lang w:val="en-US" w:eastAsia="zh-CN"/>
      </w:rPr>
      <w:t xml:space="preserve">                               </w:t>
    </w:r>
    <w:r>
      <w:rPr>
        <w:rFonts w:hint="eastAsia" w:ascii="仿宋" w:hAnsi="仿宋" w:eastAsia="仿宋" w:cs="仿宋"/>
        <w:sz w:val="18"/>
        <w:szCs w:val="18"/>
        <w:lang w:eastAsia="zh-CN"/>
      </w:rPr>
      <w:t>地址：西安市高新区科技五路8号数字大厦11楼</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p>
    <w:pPr>
      <w:pStyle w:val="22"/>
      <w:rPr>
        <w:rFonts w:hint="eastAsia" w:ascii="仿宋" w:hAnsi="仿宋" w:eastAsia="仿宋" w:cs="仿宋"/>
        <w:lang w:val="en-US" w:eastAsia="zh-CN"/>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margin">
                <wp:posOffset>2760980</wp:posOffset>
              </wp:positionH>
              <wp:positionV relativeFrom="paragraph">
                <wp:posOffset>-1905</wp:posOffset>
              </wp:positionV>
              <wp:extent cx="114935"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left:217.4pt;margin-top:-0.15pt;height:10.35pt;width:9.05pt;mso-position-horizontal-relative:margin;mso-wrap-style:none;z-index:251660288;mso-width-relative:page;mso-height-relative:page;" filled="f" stroked="f" coordsize="21600,21600" o:gfxdata="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4O3OZ1gAAAAgBAAAPAAAAAAAAAAEAIAAAACIAAABkcnMvZG93bnJl&#10;di54bWxQSwECFAAUAAAACACHTuJA9ujB2jgCAABvBAAADgAAAAAAAAABACAAAAAlAQAAZHJzL2Uy&#10;b0RvYy54bWxQSwUGAAAAAAYABgBZAQAAz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97</w:t>
                    </w:r>
                    <w:r>
                      <w:rPr>
                        <w:rFonts w:hint="eastAsia"/>
                        <w:sz w:val="18"/>
                      </w:rPr>
                      <w:fldChar w:fldCharType="end"/>
                    </w:r>
                  </w:p>
                </w:txbxContent>
              </v:textbox>
            </v:shape>
          </w:pict>
        </mc:Fallback>
      </mc:AlternateContent>
    </w:r>
    <w:r>
      <w:rPr>
        <w:rFonts w:hint="eastAsia" w:ascii="仿宋" w:hAnsi="仿宋" w:eastAsia="仿宋" w:cs="仿宋"/>
        <w:lang w:eastAsia="zh-CN"/>
      </w:rPr>
      <w:t>华夏国际项目管理有限公司</w:t>
    </w:r>
    <w:r>
      <w:rPr>
        <w:rFonts w:hint="eastAsia" w:ascii="仿宋" w:hAnsi="仿宋" w:eastAsia="仿宋" w:cs="仿宋"/>
        <w:lang w:val="en-US" w:eastAsia="zh-CN"/>
      </w:rPr>
      <w:t xml:space="preserve">                               </w:t>
    </w:r>
    <w:r>
      <w:rPr>
        <w:rFonts w:hint="eastAsia" w:ascii="仿宋" w:hAnsi="仿宋" w:eastAsia="仿宋" w:cs="仿宋"/>
        <w:sz w:val="18"/>
        <w:szCs w:val="18"/>
        <w:lang w:eastAsia="zh-CN"/>
      </w:rPr>
      <w:t>地址：西安市高新区科技五路8号数字大厦11楼</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rPr>
        <w:rFonts w:hAnsi="宋体" w:cs="宋体"/>
        <w:szCs w:val="24"/>
      </w:rPr>
    </w:pPr>
    <w:r>
      <w:rPr>
        <w:rFonts w:hint="eastAsia" w:ascii="仿宋" w:hAnsi="仿宋" w:eastAsia="仿宋" w:cs="仿宋"/>
        <w:bCs/>
        <w:sz w:val="18"/>
        <w:szCs w:val="18"/>
        <w:u w:val="single"/>
        <w:lang w:eastAsia="zh-CN"/>
      </w:rPr>
      <w:t>2021年市级水利维修建设资金项目（蓝田县三岔河小流域水土保持综合治理工程）</w:t>
    </w:r>
    <w:r>
      <w:rPr>
        <w:rFonts w:hint="eastAsia" w:ascii="仿宋" w:hAnsi="仿宋" w:eastAsia="仿宋" w:cs="仿宋"/>
        <w:bCs/>
        <w:sz w:val="18"/>
        <w:szCs w:val="18"/>
        <w:u w:val="single"/>
      </w:rPr>
      <w:t xml:space="preserve"> </w:t>
    </w:r>
    <w:r>
      <w:rPr>
        <w:rFonts w:hint="eastAsia" w:ascii="仿宋" w:hAnsi="仿宋" w:eastAsia="仿宋" w:cs="仿宋"/>
        <w:bCs/>
        <w:sz w:val="18"/>
        <w:szCs w:val="18"/>
        <w:u w:val="single"/>
        <w:lang w:val="en-US" w:eastAsia="zh-CN"/>
      </w:rPr>
      <w:t xml:space="preserve">            </w:t>
    </w:r>
    <w:r>
      <w:rPr>
        <w:rFonts w:hint="eastAsia" w:ascii="仿宋" w:hAnsi="仿宋" w:eastAsia="仿宋" w:cs="仿宋"/>
        <w:bCs/>
        <w:sz w:val="18"/>
        <w:szCs w:val="18"/>
        <w:u w:val="single"/>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rPr>
        <w:rFonts w:hint="eastAsia" w:ascii="仿宋" w:hAnsi="仿宋" w:eastAsia="仿宋" w:cs="仿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left" w:pos="5251"/>
        <w:tab w:val="clear" w:pos="4153"/>
      </w:tabs>
      <w:jc w:val="both"/>
      <w:rPr>
        <w:rFonts w:hint="eastAsia" w:ascii="仿宋" w:hAnsi="仿宋" w:eastAsia="仿宋" w:cs="仿宋"/>
        <w:u w:val="none"/>
        <w:lang w:eastAsia="zh-CN"/>
      </w:rPr>
    </w:pPr>
    <w:r>
      <w:rPr>
        <w:rFonts w:hint="eastAsia" w:ascii="仿宋" w:hAnsi="仿宋" w:eastAsia="仿宋" w:cs="仿宋"/>
        <w:lang w:eastAsia="zh-CN"/>
      </w:rPr>
      <w:t>2021年市级水利维修建设资金项目（蓝田县三岔河小流域水土保持综合治理工程）</w:t>
    </w:r>
    <w:r>
      <w:rPr>
        <w:rFonts w:hint="eastAsia" w:ascii="仿宋" w:hAnsi="仿宋" w:eastAsia="仿宋" w:cs="仿宋"/>
        <w:lang w:val="en-US" w:eastAsia="zh-CN"/>
      </w:rPr>
      <w:t xml:space="preserve"> </w:t>
    </w:r>
    <w:r>
      <w:rPr>
        <w:rFonts w:hint="eastAsia" w:ascii="仿宋" w:hAnsi="仿宋" w:eastAsia="仿宋" w:cs="仿宋"/>
      </w:rPr>
      <w:t xml:space="preserve">           </w:t>
    </w:r>
    <w:r>
      <w:rPr>
        <w:rFonts w:hint="eastAsia" w:ascii="仿宋" w:hAnsi="仿宋" w:eastAsia="仿宋" w:cs="仿宋"/>
        <w:bCs/>
        <w:sz w:val="18"/>
        <w:szCs w:val="18"/>
        <w:u w:val="none"/>
        <w:lang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6E805"/>
    <w:multiLevelType w:val="singleLevel"/>
    <w:tmpl w:val="8666E805"/>
    <w:lvl w:ilvl="0" w:tentative="0">
      <w:start w:val="1"/>
      <w:numFmt w:val="decimal"/>
      <w:suff w:val="nothing"/>
      <w:lvlText w:val="%1、"/>
      <w:lvlJc w:val="left"/>
    </w:lvl>
  </w:abstractNum>
  <w:abstractNum w:abstractNumId="1">
    <w:nsid w:val="88F483E0"/>
    <w:multiLevelType w:val="singleLevel"/>
    <w:tmpl w:val="88F483E0"/>
    <w:lvl w:ilvl="0" w:tentative="0">
      <w:start w:val="1"/>
      <w:numFmt w:val="decimal"/>
      <w:suff w:val="nothing"/>
      <w:lvlText w:val="%1、"/>
      <w:lvlJc w:val="left"/>
    </w:lvl>
  </w:abstractNum>
  <w:abstractNum w:abstractNumId="2">
    <w:nsid w:val="9682BD26"/>
    <w:multiLevelType w:val="singleLevel"/>
    <w:tmpl w:val="9682BD26"/>
    <w:lvl w:ilvl="0" w:tentative="0">
      <w:start w:val="1"/>
      <w:numFmt w:val="decimal"/>
      <w:suff w:val="nothing"/>
      <w:lvlText w:val="%1、"/>
      <w:lvlJc w:val="left"/>
    </w:lvl>
  </w:abstractNum>
  <w:abstractNum w:abstractNumId="3">
    <w:nsid w:val="A7DDED23"/>
    <w:multiLevelType w:val="singleLevel"/>
    <w:tmpl w:val="A7DDED23"/>
    <w:lvl w:ilvl="0" w:tentative="0">
      <w:start w:val="8"/>
      <w:numFmt w:val="chineseCounting"/>
      <w:suff w:val="nothing"/>
      <w:lvlText w:val="%1、"/>
      <w:lvlJc w:val="left"/>
      <w:rPr>
        <w:rFonts w:hint="eastAsia"/>
      </w:rPr>
    </w:lvl>
  </w:abstractNum>
  <w:abstractNum w:abstractNumId="4">
    <w:nsid w:val="B9A1F9B7"/>
    <w:multiLevelType w:val="singleLevel"/>
    <w:tmpl w:val="B9A1F9B7"/>
    <w:lvl w:ilvl="0" w:tentative="0">
      <w:start w:val="6"/>
      <w:numFmt w:val="chineseCounting"/>
      <w:suff w:val="nothing"/>
      <w:lvlText w:val="%1、"/>
      <w:lvlJc w:val="left"/>
      <w:rPr>
        <w:rFonts w:hint="eastAsia"/>
      </w:rPr>
    </w:lvl>
  </w:abstractNum>
  <w:abstractNum w:abstractNumId="5">
    <w:nsid w:val="E0DC7E9A"/>
    <w:multiLevelType w:val="singleLevel"/>
    <w:tmpl w:val="E0DC7E9A"/>
    <w:lvl w:ilvl="0" w:tentative="0">
      <w:start w:val="1"/>
      <w:numFmt w:val="decimal"/>
      <w:suff w:val="nothing"/>
      <w:lvlText w:val="（%1）"/>
      <w:lvlJc w:val="left"/>
    </w:lvl>
  </w:abstractNum>
  <w:abstractNum w:abstractNumId="6">
    <w:nsid w:val="ED157E40"/>
    <w:multiLevelType w:val="singleLevel"/>
    <w:tmpl w:val="ED157E40"/>
    <w:lvl w:ilvl="0" w:tentative="0">
      <w:start w:val="5"/>
      <w:numFmt w:val="decimal"/>
      <w:suff w:val="nothing"/>
      <w:lvlText w:val="%1、"/>
      <w:lvlJc w:val="left"/>
    </w:lvl>
  </w:abstractNum>
  <w:abstractNum w:abstractNumId="7">
    <w:nsid w:val="05B652DA"/>
    <w:multiLevelType w:val="singleLevel"/>
    <w:tmpl w:val="05B652DA"/>
    <w:lvl w:ilvl="0" w:tentative="0">
      <w:start w:val="1"/>
      <w:numFmt w:val="decimalEnclosedCircle"/>
      <w:lvlText w:val="%1"/>
      <w:lvlJc w:val="left"/>
      <w:pPr>
        <w:tabs>
          <w:tab w:val="left" w:pos="810"/>
        </w:tabs>
        <w:ind w:left="810" w:hanging="330"/>
      </w:pPr>
      <w:rPr>
        <w:rFonts w:hint="eastAsia"/>
      </w:rPr>
    </w:lvl>
  </w:abstractNum>
  <w:abstractNum w:abstractNumId="8">
    <w:nsid w:val="2372421E"/>
    <w:multiLevelType w:val="singleLevel"/>
    <w:tmpl w:val="2372421E"/>
    <w:lvl w:ilvl="0" w:tentative="0">
      <w:start w:val="1"/>
      <w:numFmt w:val="decimal"/>
      <w:lvlText w:val="(%1)"/>
      <w:lvlJc w:val="left"/>
      <w:pPr>
        <w:tabs>
          <w:tab w:val="left" w:pos="420"/>
        </w:tabs>
        <w:ind w:left="0" w:leftChars="0" w:firstLine="0" w:firstLineChars="0"/>
      </w:pPr>
      <w:rPr>
        <w:rFonts w:hint="default"/>
      </w:rPr>
    </w:lvl>
  </w:abstractNum>
  <w:abstractNum w:abstractNumId="9">
    <w:nsid w:val="23B22A7C"/>
    <w:multiLevelType w:val="multilevel"/>
    <w:tmpl w:val="23B22A7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0D3E5A"/>
    <w:multiLevelType w:val="singleLevel"/>
    <w:tmpl w:val="240D3E5A"/>
    <w:lvl w:ilvl="0" w:tentative="0">
      <w:start w:val="1"/>
      <w:numFmt w:val="decimal"/>
      <w:lvlText w:val="%1、"/>
      <w:lvlJc w:val="left"/>
      <w:pPr>
        <w:tabs>
          <w:tab w:val="left" w:pos="480"/>
        </w:tabs>
        <w:ind w:left="480" w:hanging="480"/>
      </w:pPr>
      <w:rPr>
        <w:rFonts w:hint="eastAsia"/>
      </w:rPr>
    </w:lvl>
  </w:abstractNum>
  <w:abstractNum w:abstractNumId="11">
    <w:nsid w:val="287AEC02"/>
    <w:multiLevelType w:val="singleLevel"/>
    <w:tmpl w:val="287AEC02"/>
    <w:lvl w:ilvl="0" w:tentative="0">
      <w:start w:val="1"/>
      <w:numFmt w:val="decimal"/>
      <w:lvlText w:val="(%1)"/>
      <w:lvlJc w:val="left"/>
      <w:pPr>
        <w:tabs>
          <w:tab w:val="left" w:pos="420"/>
        </w:tabs>
        <w:ind w:left="0" w:leftChars="0" w:firstLine="0" w:firstLineChars="0"/>
      </w:pPr>
      <w:rPr>
        <w:rFonts w:hint="default"/>
      </w:rPr>
    </w:lvl>
  </w:abstractNum>
  <w:abstractNum w:abstractNumId="12">
    <w:nsid w:val="2E2861B5"/>
    <w:multiLevelType w:val="multilevel"/>
    <w:tmpl w:val="2E2861B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0C1BFB"/>
    <w:multiLevelType w:val="singleLevel"/>
    <w:tmpl w:val="4C0C1BFB"/>
    <w:lvl w:ilvl="0" w:tentative="0">
      <w:start w:val="1"/>
      <w:numFmt w:val="decimal"/>
      <w:lvlText w:val="（%1）"/>
      <w:lvlJc w:val="left"/>
      <w:pPr>
        <w:tabs>
          <w:tab w:val="left" w:pos="810"/>
        </w:tabs>
        <w:ind w:left="810" w:hanging="810"/>
      </w:pPr>
      <w:rPr>
        <w:rFonts w:hint="eastAsia"/>
      </w:rPr>
    </w:lvl>
  </w:abstractNum>
  <w:abstractNum w:abstractNumId="14">
    <w:nsid w:val="57675E35"/>
    <w:multiLevelType w:val="singleLevel"/>
    <w:tmpl w:val="57675E35"/>
    <w:lvl w:ilvl="0" w:tentative="0">
      <w:start w:val="6"/>
      <w:numFmt w:val="chineseCounting"/>
      <w:suff w:val="space"/>
      <w:lvlText w:val="第%1章"/>
      <w:lvlJc w:val="left"/>
    </w:lvl>
  </w:abstractNum>
  <w:abstractNum w:abstractNumId="15">
    <w:nsid w:val="5913EF5B"/>
    <w:multiLevelType w:val="singleLevel"/>
    <w:tmpl w:val="5913EF5B"/>
    <w:lvl w:ilvl="0" w:tentative="0">
      <w:start w:val="1"/>
      <w:numFmt w:val="chineseCounting"/>
      <w:suff w:val="nothing"/>
      <w:lvlText w:val="（%1）"/>
      <w:lvlJc w:val="left"/>
    </w:lvl>
  </w:abstractNum>
  <w:abstractNum w:abstractNumId="16">
    <w:nsid w:val="7ED0A0DE"/>
    <w:multiLevelType w:val="singleLevel"/>
    <w:tmpl w:val="7ED0A0DE"/>
    <w:lvl w:ilvl="0" w:tentative="0">
      <w:start w:val="1"/>
      <w:numFmt w:val="decimal"/>
      <w:suff w:val="nothing"/>
      <w:lvlText w:val="%1、"/>
      <w:lvlJc w:val="left"/>
    </w:lvl>
  </w:abstractNum>
  <w:num w:numId="1">
    <w:abstractNumId w:val="4"/>
  </w:num>
  <w:num w:numId="2">
    <w:abstractNumId w:val="8"/>
  </w:num>
  <w:num w:numId="3">
    <w:abstractNumId w:val="11"/>
  </w:num>
  <w:num w:numId="4">
    <w:abstractNumId w:val="5"/>
  </w:num>
  <w:num w:numId="5">
    <w:abstractNumId w:val="6"/>
  </w:num>
  <w:num w:numId="6">
    <w:abstractNumId w:val="2"/>
  </w:num>
  <w:num w:numId="7">
    <w:abstractNumId w:val="9"/>
  </w:num>
  <w:num w:numId="8">
    <w:abstractNumId w:val="12"/>
  </w:num>
  <w:num w:numId="9">
    <w:abstractNumId w:val="14"/>
  </w:num>
  <w:num w:numId="10">
    <w:abstractNumId w:val="1"/>
  </w:num>
  <w:num w:numId="11">
    <w:abstractNumId w:val="3"/>
  </w:num>
  <w:num w:numId="12">
    <w:abstractNumId w:val="0"/>
  </w:num>
  <w:num w:numId="13">
    <w:abstractNumId w:val="15"/>
  </w:num>
  <w:num w:numId="14">
    <w:abstractNumId w:val="10"/>
  </w:num>
  <w:num w:numId="15">
    <w:abstractNumId w:val="13"/>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79"/>
    <w:rsid w:val="0000215D"/>
    <w:rsid w:val="00003F19"/>
    <w:rsid w:val="0000558E"/>
    <w:rsid w:val="000067FE"/>
    <w:rsid w:val="00006F45"/>
    <w:rsid w:val="00007B0C"/>
    <w:rsid w:val="00010632"/>
    <w:rsid w:val="00010FA5"/>
    <w:rsid w:val="00012150"/>
    <w:rsid w:val="000122FE"/>
    <w:rsid w:val="00013C0B"/>
    <w:rsid w:val="00014D51"/>
    <w:rsid w:val="000150E1"/>
    <w:rsid w:val="0001566F"/>
    <w:rsid w:val="00015A14"/>
    <w:rsid w:val="00016449"/>
    <w:rsid w:val="000207FF"/>
    <w:rsid w:val="00021267"/>
    <w:rsid w:val="00023783"/>
    <w:rsid w:val="000239F4"/>
    <w:rsid w:val="000250BB"/>
    <w:rsid w:val="000253E5"/>
    <w:rsid w:val="000255CB"/>
    <w:rsid w:val="000261B6"/>
    <w:rsid w:val="000268D2"/>
    <w:rsid w:val="00027D20"/>
    <w:rsid w:val="00031201"/>
    <w:rsid w:val="00034583"/>
    <w:rsid w:val="00034BC2"/>
    <w:rsid w:val="00034C7E"/>
    <w:rsid w:val="00036283"/>
    <w:rsid w:val="00037304"/>
    <w:rsid w:val="000404EA"/>
    <w:rsid w:val="00041B9E"/>
    <w:rsid w:val="00041EDA"/>
    <w:rsid w:val="0004251E"/>
    <w:rsid w:val="00042A62"/>
    <w:rsid w:val="00043948"/>
    <w:rsid w:val="00044508"/>
    <w:rsid w:val="00044AF2"/>
    <w:rsid w:val="00044E7D"/>
    <w:rsid w:val="00045300"/>
    <w:rsid w:val="00045850"/>
    <w:rsid w:val="0005063C"/>
    <w:rsid w:val="00051E3B"/>
    <w:rsid w:val="00051EFE"/>
    <w:rsid w:val="00052AB3"/>
    <w:rsid w:val="00054965"/>
    <w:rsid w:val="00054F2A"/>
    <w:rsid w:val="000566F1"/>
    <w:rsid w:val="00057F94"/>
    <w:rsid w:val="00060ABB"/>
    <w:rsid w:val="00061B72"/>
    <w:rsid w:val="0006202B"/>
    <w:rsid w:val="00062425"/>
    <w:rsid w:val="0006264A"/>
    <w:rsid w:val="00063042"/>
    <w:rsid w:val="00064C8A"/>
    <w:rsid w:val="00067CEF"/>
    <w:rsid w:val="0007163C"/>
    <w:rsid w:val="00072AAF"/>
    <w:rsid w:val="00073176"/>
    <w:rsid w:val="00073C4A"/>
    <w:rsid w:val="000743DF"/>
    <w:rsid w:val="0007508E"/>
    <w:rsid w:val="000757D9"/>
    <w:rsid w:val="00075BFF"/>
    <w:rsid w:val="000766BC"/>
    <w:rsid w:val="00076752"/>
    <w:rsid w:val="00076FBC"/>
    <w:rsid w:val="000775BE"/>
    <w:rsid w:val="000779E0"/>
    <w:rsid w:val="00081F9C"/>
    <w:rsid w:val="000827B7"/>
    <w:rsid w:val="00083F35"/>
    <w:rsid w:val="0008479A"/>
    <w:rsid w:val="0008507C"/>
    <w:rsid w:val="000853F7"/>
    <w:rsid w:val="000858A6"/>
    <w:rsid w:val="000858D9"/>
    <w:rsid w:val="00085F58"/>
    <w:rsid w:val="00086702"/>
    <w:rsid w:val="00086D83"/>
    <w:rsid w:val="00086E59"/>
    <w:rsid w:val="00087B37"/>
    <w:rsid w:val="0009055A"/>
    <w:rsid w:val="00090774"/>
    <w:rsid w:val="00091267"/>
    <w:rsid w:val="00091347"/>
    <w:rsid w:val="00092735"/>
    <w:rsid w:val="00092B1B"/>
    <w:rsid w:val="000951CD"/>
    <w:rsid w:val="000957CC"/>
    <w:rsid w:val="00097DA7"/>
    <w:rsid w:val="000A0454"/>
    <w:rsid w:val="000A1062"/>
    <w:rsid w:val="000A2244"/>
    <w:rsid w:val="000A23E9"/>
    <w:rsid w:val="000A36D5"/>
    <w:rsid w:val="000A4140"/>
    <w:rsid w:val="000A419A"/>
    <w:rsid w:val="000A6318"/>
    <w:rsid w:val="000A6CAF"/>
    <w:rsid w:val="000B0256"/>
    <w:rsid w:val="000B0687"/>
    <w:rsid w:val="000B0EFE"/>
    <w:rsid w:val="000B36B7"/>
    <w:rsid w:val="000B37C2"/>
    <w:rsid w:val="000B3D2B"/>
    <w:rsid w:val="000B5FF5"/>
    <w:rsid w:val="000B76DF"/>
    <w:rsid w:val="000B79AF"/>
    <w:rsid w:val="000C07B5"/>
    <w:rsid w:val="000C2924"/>
    <w:rsid w:val="000C3701"/>
    <w:rsid w:val="000C49DB"/>
    <w:rsid w:val="000C5BE0"/>
    <w:rsid w:val="000C5EC2"/>
    <w:rsid w:val="000C7211"/>
    <w:rsid w:val="000C7440"/>
    <w:rsid w:val="000D0609"/>
    <w:rsid w:val="000D0BDF"/>
    <w:rsid w:val="000D1205"/>
    <w:rsid w:val="000D14CD"/>
    <w:rsid w:val="000D1ED0"/>
    <w:rsid w:val="000D1EF1"/>
    <w:rsid w:val="000D228C"/>
    <w:rsid w:val="000D3416"/>
    <w:rsid w:val="000D3F99"/>
    <w:rsid w:val="000D4D1B"/>
    <w:rsid w:val="000D5AE6"/>
    <w:rsid w:val="000D6425"/>
    <w:rsid w:val="000D693A"/>
    <w:rsid w:val="000D6E95"/>
    <w:rsid w:val="000E007C"/>
    <w:rsid w:val="000E0DB5"/>
    <w:rsid w:val="000E1449"/>
    <w:rsid w:val="000E2E1A"/>
    <w:rsid w:val="000E2E98"/>
    <w:rsid w:val="000E37C1"/>
    <w:rsid w:val="000E49DB"/>
    <w:rsid w:val="000E61E4"/>
    <w:rsid w:val="000E7294"/>
    <w:rsid w:val="000F0F67"/>
    <w:rsid w:val="000F18B6"/>
    <w:rsid w:val="000F1FAC"/>
    <w:rsid w:val="000F2187"/>
    <w:rsid w:val="000F2CF5"/>
    <w:rsid w:val="000F38E6"/>
    <w:rsid w:val="000F4453"/>
    <w:rsid w:val="000F4691"/>
    <w:rsid w:val="000F4C8E"/>
    <w:rsid w:val="000F50FE"/>
    <w:rsid w:val="000F536C"/>
    <w:rsid w:val="000F61F4"/>
    <w:rsid w:val="000F6F95"/>
    <w:rsid w:val="000F7CD7"/>
    <w:rsid w:val="00100E29"/>
    <w:rsid w:val="00105369"/>
    <w:rsid w:val="00105862"/>
    <w:rsid w:val="0010628B"/>
    <w:rsid w:val="001066D1"/>
    <w:rsid w:val="0010704D"/>
    <w:rsid w:val="0010706C"/>
    <w:rsid w:val="001074EA"/>
    <w:rsid w:val="00107737"/>
    <w:rsid w:val="00107DDE"/>
    <w:rsid w:val="001106A2"/>
    <w:rsid w:val="001107E0"/>
    <w:rsid w:val="00110965"/>
    <w:rsid w:val="00111DC3"/>
    <w:rsid w:val="0011393E"/>
    <w:rsid w:val="00113CE9"/>
    <w:rsid w:val="001140D6"/>
    <w:rsid w:val="001149FD"/>
    <w:rsid w:val="00115496"/>
    <w:rsid w:val="001156F4"/>
    <w:rsid w:val="00115775"/>
    <w:rsid w:val="001171E8"/>
    <w:rsid w:val="00117318"/>
    <w:rsid w:val="001177F0"/>
    <w:rsid w:val="00117AF5"/>
    <w:rsid w:val="00117CF8"/>
    <w:rsid w:val="00117F8A"/>
    <w:rsid w:val="00120166"/>
    <w:rsid w:val="001206F3"/>
    <w:rsid w:val="001228AB"/>
    <w:rsid w:val="00122E2F"/>
    <w:rsid w:val="0012400F"/>
    <w:rsid w:val="00124F99"/>
    <w:rsid w:val="00125D85"/>
    <w:rsid w:val="00126EC1"/>
    <w:rsid w:val="001275FA"/>
    <w:rsid w:val="00127AA9"/>
    <w:rsid w:val="00130A9B"/>
    <w:rsid w:val="00131740"/>
    <w:rsid w:val="0013354C"/>
    <w:rsid w:val="00133AED"/>
    <w:rsid w:val="00133E39"/>
    <w:rsid w:val="0013465C"/>
    <w:rsid w:val="00135740"/>
    <w:rsid w:val="0013722A"/>
    <w:rsid w:val="00137566"/>
    <w:rsid w:val="00140847"/>
    <w:rsid w:val="00140DD7"/>
    <w:rsid w:val="00141A92"/>
    <w:rsid w:val="0014274E"/>
    <w:rsid w:val="00143711"/>
    <w:rsid w:val="00143D6F"/>
    <w:rsid w:val="00144199"/>
    <w:rsid w:val="00144BF8"/>
    <w:rsid w:val="001453FC"/>
    <w:rsid w:val="0014592E"/>
    <w:rsid w:val="00146C59"/>
    <w:rsid w:val="00146EF9"/>
    <w:rsid w:val="0014723D"/>
    <w:rsid w:val="001512AC"/>
    <w:rsid w:val="0015152E"/>
    <w:rsid w:val="00152D0A"/>
    <w:rsid w:val="00153D19"/>
    <w:rsid w:val="0015492B"/>
    <w:rsid w:val="001556A0"/>
    <w:rsid w:val="001560AE"/>
    <w:rsid w:val="001573B2"/>
    <w:rsid w:val="001600AE"/>
    <w:rsid w:val="001605A3"/>
    <w:rsid w:val="001605C5"/>
    <w:rsid w:val="00160BDD"/>
    <w:rsid w:val="001610BE"/>
    <w:rsid w:val="00161674"/>
    <w:rsid w:val="00161C80"/>
    <w:rsid w:val="00161E4E"/>
    <w:rsid w:val="00162887"/>
    <w:rsid w:val="00162A0A"/>
    <w:rsid w:val="00163B78"/>
    <w:rsid w:val="00166761"/>
    <w:rsid w:val="001667E9"/>
    <w:rsid w:val="0016771A"/>
    <w:rsid w:val="001700B4"/>
    <w:rsid w:val="001719EB"/>
    <w:rsid w:val="00172A27"/>
    <w:rsid w:val="001731C2"/>
    <w:rsid w:val="00173969"/>
    <w:rsid w:val="001740D0"/>
    <w:rsid w:val="00176B19"/>
    <w:rsid w:val="00176B72"/>
    <w:rsid w:val="00177602"/>
    <w:rsid w:val="001804C7"/>
    <w:rsid w:val="00181C7E"/>
    <w:rsid w:val="00182FAB"/>
    <w:rsid w:val="00183994"/>
    <w:rsid w:val="001851EE"/>
    <w:rsid w:val="001876E9"/>
    <w:rsid w:val="00190942"/>
    <w:rsid w:val="00191A80"/>
    <w:rsid w:val="00192AF9"/>
    <w:rsid w:val="001930CE"/>
    <w:rsid w:val="001935D1"/>
    <w:rsid w:val="00193A79"/>
    <w:rsid w:val="0019465E"/>
    <w:rsid w:val="00195687"/>
    <w:rsid w:val="00196728"/>
    <w:rsid w:val="00196929"/>
    <w:rsid w:val="00197C31"/>
    <w:rsid w:val="001A060F"/>
    <w:rsid w:val="001A1834"/>
    <w:rsid w:val="001A23B9"/>
    <w:rsid w:val="001A3911"/>
    <w:rsid w:val="001A3A75"/>
    <w:rsid w:val="001A3FFF"/>
    <w:rsid w:val="001A4AC9"/>
    <w:rsid w:val="001A4D86"/>
    <w:rsid w:val="001A4DFD"/>
    <w:rsid w:val="001A4FC1"/>
    <w:rsid w:val="001A5705"/>
    <w:rsid w:val="001A5ABF"/>
    <w:rsid w:val="001A66EF"/>
    <w:rsid w:val="001A70A5"/>
    <w:rsid w:val="001A74DC"/>
    <w:rsid w:val="001B0C6C"/>
    <w:rsid w:val="001B1D2F"/>
    <w:rsid w:val="001B32E1"/>
    <w:rsid w:val="001B33C6"/>
    <w:rsid w:val="001B47A4"/>
    <w:rsid w:val="001B4CDE"/>
    <w:rsid w:val="001B4FDA"/>
    <w:rsid w:val="001B55E2"/>
    <w:rsid w:val="001B69BD"/>
    <w:rsid w:val="001C0D55"/>
    <w:rsid w:val="001C284B"/>
    <w:rsid w:val="001C3DAA"/>
    <w:rsid w:val="001C43B7"/>
    <w:rsid w:val="001C4E56"/>
    <w:rsid w:val="001C628C"/>
    <w:rsid w:val="001C6407"/>
    <w:rsid w:val="001D0C72"/>
    <w:rsid w:val="001D203D"/>
    <w:rsid w:val="001D2B52"/>
    <w:rsid w:val="001D3AC7"/>
    <w:rsid w:val="001D5204"/>
    <w:rsid w:val="001D73F4"/>
    <w:rsid w:val="001E02F9"/>
    <w:rsid w:val="001E25AF"/>
    <w:rsid w:val="001E279A"/>
    <w:rsid w:val="001E413F"/>
    <w:rsid w:val="001E4B9A"/>
    <w:rsid w:val="001E5281"/>
    <w:rsid w:val="001E58D2"/>
    <w:rsid w:val="001E634C"/>
    <w:rsid w:val="001E7667"/>
    <w:rsid w:val="001E79C4"/>
    <w:rsid w:val="001F0441"/>
    <w:rsid w:val="001F0F75"/>
    <w:rsid w:val="001F23D3"/>
    <w:rsid w:val="001F248A"/>
    <w:rsid w:val="001F4067"/>
    <w:rsid w:val="001F5288"/>
    <w:rsid w:val="001F57EB"/>
    <w:rsid w:val="001F626C"/>
    <w:rsid w:val="001F6290"/>
    <w:rsid w:val="001F7C94"/>
    <w:rsid w:val="0020010D"/>
    <w:rsid w:val="00200837"/>
    <w:rsid w:val="0020121B"/>
    <w:rsid w:val="00201A4C"/>
    <w:rsid w:val="002039A8"/>
    <w:rsid w:val="00203EBE"/>
    <w:rsid w:val="00203F16"/>
    <w:rsid w:val="00205499"/>
    <w:rsid w:val="002055E6"/>
    <w:rsid w:val="002058B4"/>
    <w:rsid w:val="002064AA"/>
    <w:rsid w:val="002068C4"/>
    <w:rsid w:val="002079D7"/>
    <w:rsid w:val="0021054F"/>
    <w:rsid w:val="00213086"/>
    <w:rsid w:val="002133C4"/>
    <w:rsid w:val="00213C10"/>
    <w:rsid w:val="002140D4"/>
    <w:rsid w:val="00215EE4"/>
    <w:rsid w:val="00216B93"/>
    <w:rsid w:val="00223FDF"/>
    <w:rsid w:val="00225792"/>
    <w:rsid w:val="00226047"/>
    <w:rsid w:val="00226893"/>
    <w:rsid w:val="00226ECF"/>
    <w:rsid w:val="002308EB"/>
    <w:rsid w:val="002317A8"/>
    <w:rsid w:val="00233377"/>
    <w:rsid w:val="002337D5"/>
    <w:rsid w:val="0023488A"/>
    <w:rsid w:val="002348C5"/>
    <w:rsid w:val="00234E13"/>
    <w:rsid w:val="00236865"/>
    <w:rsid w:val="002369EB"/>
    <w:rsid w:val="002372E1"/>
    <w:rsid w:val="00240261"/>
    <w:rsid w:val="00240310"/>
    <w:rsid w:val="00241476"/>
    <w:rsid w:val="00242784"/>
    <w:rsid w:val="0024369B"/>
    <w:rsid w:val="00244963"/>
    <w:rsid w:val="00244B56"/>
    <w:rsid w:val="00245B38"/>
    <w:rsid w:val="00246D4A"/>
    <w:rsid w:val="00247780"/>
    <w:rsid w:val="00247965"/>
    <w:rsid w:val="00250CDF"/>
    <w:rsid w:val="002516F8"/>
    <w:rsid w:val="0025250C"/>
    <w:rsid w:val="00252E6B"/>
    <w:rsid w:val="00253665"/>
    <w:rsid w:val="002536FB"/>
    <w:rsid w:val="002543BE"/>
    <w:rsid w:val="002548AF"/>
    <w:rsid w:val="00255263"/>
    <w:rsid w:val="00257784"/>
    <w:rsid w:val="0025783C"/>
    <w:rsid w:val="00260832"/>
    <w:rsid w:val="002611DA"/>
    <w:rsid w:val="002616DA"/>
    <w:rsid w:val="00261CB6"/>
    <w:rsid w:val="00262354"/>
    <w:rsid w:val="002625AC"/>
    <w:rsid w:val="0026424F"/>
    <w:rsid w:val="00264325"/>
    <w:rsid w:val="002648C1"/>
    <w:rsid w:val="00264D24"/>
    <w:rsid w:val="00265BDA"/>
    <w:rsid w:val="0026675B"/>
    <w:rsid w:val="0026771E"/>
    <w:rsid w:val="00270797"/>
    <w:rsid w:val="002707F7"/>
    <w:rsid w:val="00271396"/>
    <w:rsid w:val="00271A13"/>
    <w:rsid w:val="00271AEE"/>
    <w:rsid w:val="00272085"/>
    <w:rsid w:val="00273A0D"/>
    <w:rsid w:val="002741B4"/>
    <w:rsid w:val="002744D2"/>
    <w:rsid w:val="00274E73"/>
    <w:rsid w:val="00275AD7"/>
    <w:rsid w:val="00276E55"/>
    <w:rsid w:val="00276ED2"/>
    <w:rsid w:val="002777C0"/>
    <w:rsid w:val="00277A72"/>
    <w:rsid w:val="0028145F"/>
    <w:rsid w:val="00281ACC"/>
    <w:rsid w:val="00281F6A"/>
    <w:rsid w:val="002823A6"/>
    <w:rsid w:val="002829A6"/>
    <w:rsid w:val="002836EA"/>
    <w:rsid w:val="00283E70"/>
    <w:rsid w:val="002848E4"/>
    <w:rsid w:val="00285445"/>
    <w:rsid w:val="002856F8"/>
    <w:rsid w:val="002873BC"/>
    <w:rsid w:val="00287927"/>
    <w:rsid w:val="00290D84"/>
    <w:rsid w:val="0029328E"/>
    <w:rsid w:val="00293942"/>
    <w:rsid w:val="00293E7E"/>
    <w:rsid w:val="00294075"/>
    <w:rsid w:val="00294297"/>
    <w:rsid w:val="00294CA0"/>
    <w:rsid w:val="00295AB4"/>
    <w:rsid w:val="00295DEF"/>
    <w:rsid w:val="002963A4"/>
    <w:rsid w:val="002A085F"/>
    <w:rsid w:val="002A11CB"/>
    <w:rsid w:val="002A15ED"/>
    <w:rsid w:val="002A3044"/>
    <w:rsid w:val="002A3444"/>
    <w:rsid w:val="002A34D1"/>
    <w:rsid w:val="002A460D"/>
    <w:rsid w:val="002A56C7"/>
    <w:rsid w:val="002A5964"/>
    <w:rsid w:val="002A5DBA"/>
    <w:rsid w:val="002A5E24"/>
    <w:rsid w:val="002A7061"/>
    <w:rsid w:val="002A7299"/>
    <w:rsid w:val="002A745E"/>
    <w:rsid w:val="002B0500"/>
    <w:rsid w:val="002B0A45"/>
    <w:rsid w:val="002B1E2E"/>
    <w:rsid w:val="002B28D2"/>
    <w:rsid w:val="002B450F"/>
    <w:rsid w:val="002B4694"/>
    <w:rsid w:val="002B747E"/>
    <w:rsid w:val="002C071F"/>
    <w:rsid w:val="002C0D55"/>
    <w:rsid w:val="002C1340"/>
    <w:rsid w:val="002C158B"/>
    <w:rsid w:val="002C3DCF"/>
    <w:rsid w:val="002C3E1B"/>
    <w:rsid w:val="002C4D14"/>
    <w:rsid w:val="002C4E4A"/>
    <w:rsid w:val="002C589E"/>
    <w:rsid w:val="002C74A1"/>
    <w:rsid w:val="002D08E0"/>
    <w:rsid w:val="002D2CC6"/>
    <w:rsid w:val="002D3494"/>
    <w:rsid w:val="002D4239"/>
    <w:rsid w:val="002D4B56"/>
    <w:rsid w:val="002D5573"/>
    <w:rsid w:val="002D616A"/>
    <w:rsid w:val="002D652C"/>
    <w:rsid w:val="002D6C1C"/>
    <w:rsid w:val="002D7BA7"/>
    <w:rsid w:val="002D7C37"/>
    <w:rsid w:val="002E1205"/>
    <w:rsid w:val="002E4A0F"/>
    <w:rsid w:val="002E4A7A"/>
    <w:rsid w:val="002E61D6"/>
    <w:rsid w:val="002E719D"/>
    <w:rsid w:val="002E783B"/>
    <w:rsid w:val="002F0E0D"/>
    <w:rsid w:val="002F0F35"/>
    <w:rsid w:val="002F1355"/>
    <w:rsid w:val="002F149D"/>
    <w:rsid w:val="002F1905"/>
    <w:rsid w:val="002F5377"/>
    <w:rsid w:val="002F694A"/>
    <w:rsid w:val="002F6BC6"/>
    <w:rsid w:val="002F7AE9"/>
    <w:rsid w:val="002F7BD0"/>
    <w:rsid w:val="00300043"/>
    <w:rsid w:val="00300997"/>
    <w:rsid w:val="0030100D"/>
    <w:rsid w:val="003045A3"/>
    <w:rsid w:val="00304B5E"/>
    <w:rsid w:val="00304F2A"/>
    <w:rsid w:val="003053A1"/>
    <w:rsid w:val="003055DB"/>
    <w:rsid w:val="00305E04"/>
    <w:rsid w:val="0030648E"/>
    <w:rsid w:val="0030689B"/>
    <w:rsid w:val="00306A95"/>
    <w:rsid w:val="00307FE7"/>
    <w:rsid w:val="003112C0"/>
    <w:rsid w:val="00312B54"/>
    <w:rsid w:val="00313A8C"/>
    <w:rsid w:val="0031416E"/>
    <w:rsid w:val="003145A1"/>
    <w:rsid w:val="00314B49"/>
    <w:rsid w:val="00314BA6"/>
    <w:rsid w:val="00314DED"/>
    <w:rsid w:val="0031504C"/>
    <w:rsid w:val="003152EB"/>
    <w:rsid w:val="00315DB4"/>
    <w:rsid w:val="003165E9"/>
    <w:rsid w:val="003166BE"/>
    <w:rsid w:val="003168A2"/>
    <w:rsid w:val="00316904"/>
    <w:rsid w:val="0032098B"/>
    <w:rsid w:val="0032098F"/>
    <w:rsid w:val="00320C33"/>
    <w:rsid w:val="00321127"/>
    <w:rsid w:val="003215E9"/>
    <w:rsid w:val="003219D6"/>
    <w:rsid w:val="00322D65"/>
    <w:rsid w:val="00324293"/>
    <w:rsid w:val="00324477"/>
    <w:rsid w:val="00324FFF"/>
    <w:rsid w:val="003258FF"/>
    <w:rsid w:val="003259B2"/>
    <w:rsid w:val="00325EF0"/>
    <w:rsid w:val="003269A8"/>
    <w:rsid w:val="00326A3F"/>
    <w:rsid w:val="00326C2C"/>
    <w:rsid w:val="00326F9F"/>
    <w:rsid w:val="0032713D"/>
    <w:rsid w:val="003273BA"/>
    <w:rsid w:val="00330B51"/>
    <w:rsid w:val="003314B6"/>
    <w:rsid w:val="00332B47"/>
    <w:rsid w:val="00332F7B"/>
    <w:rsid w:val="0033316A"/>
    <w:rsid w:val="00334454"/>
    <w:rsid w:val="00334C72"/>
    <w:rsid w:val="00335C95"/>
    <w:rsid w:val="00336655"/>
    <w:rsid w:val="0033751D"/>
    <w:rsid w:val="00337DAF"/>
    <w:rsid w:val="0034158C"/>
    <w:rsid w:val="0034160A"/>
    <w:rsid w:val="003419D1"/>
    <w:rsid w:val="00341C64"/>
    <w:rsid w:val="00342B1D"/>
    <w:rsid w:val="00343297"/>
    <w:rsid w:val="00343341"/>
    <w:rsid w:val="00343455"/>
    <w:rsid w:val="003435C6"/>
    <w:rsid w:val="00343E83"/>
    <w:rsid w:val="003442F3"/>
    <w:rsid w:val="00344AB1"/>
    <w:rsid w:val="00344BB4"/>
    <w:rsid w:val="00345252"/>
    <w:rsid w:val="00345898"/>
    <w:rsid w:val="00345CF8"/>
    <w:rsid w:val="003465A5"/>
    <w:rsid w:val="00350931"/>
    <w:rsid w:val="0035140B"/>
    <w:rsid w:val="00351421"/>
    <w:rsid w:val="00351ABB"/>
    <w:rsid w:val="00351E22"/>
    <w:rsid w:val="00353E0B"/>
    <w:rsid w:val="00355059"/>
    <w:rsid w:val="00355ABB"/>
    <w:rsid w:val="003567E1"/>
    <w:rsid w:val="0035748E"/>
    <w:rsid w:val="00357DCF"/>
    <w:rsid w:val="00360820"/>
    <w:rsid w:val="00360C7A"/>
    <w:rsid w:val="00360D21"/>
    <w:rsid w:val="0036213C"/>
    <w:rsid w:val="003628DA"/>
    <w:rsid w:val="003635DF"/>
    <w:rsid w:val="0036504C"/>
    <w:rsid w:val="0036539D"/>
    <w:rsid w:val="00366D46"/>
    <w:rsid w:val="003676C3"/>
    <w:rsid w:val="003709FF"/>
    <w:rsid w:val="00370C7C"/>
    <w:rsid w:val="00372978"/>
    <w:rsid w:val="00372FE9"/>
    <w:rsid w:val="00376AA0"/>
    <w:rsid w:val="00377517"/>
    <w:rsid w:val="003778E6"/>
    <w:rsid w:val="0038006A"/>
    <w:rsid w:val="00381D92"/>
    <w:rsid w:val="00381E45"/>
    <w:rsid w:val="00382532"/>
    <w:rsid w:val="003826D1"/>
    <w:rsid w:val="003839DF"/>
    <w:rsid w:val="00384677"/>
    <w:rsid w:val="00384B2A"/>
    <w:rsid w:val="00384BA6"/>
    <w:rsid w:val="003869B0"/>
    <w:rsid w:val="00387339"/>
    <w:rsid w:val="00387AC6"/>
    <w:rsid w:val="00387F4C"/>
    <w:rsid w:val="00391036"/>
    <w:rsid w:val="0039378A"/>
    <w:rsid w:val="003943FC"/>
    <w:rsid w:val="003944CC"/>
    <w:rsid w:val="00395253"/>
    <w:rsid w:val="003955B0"/>
    <w:rsid w:val="0039571F"/>
    <w:rsid w:val="00395CFD"/>
    <w:rsid w:val="003965EF"/>
    <w:rsid w:val="00396815"/>
    <w:rsid w:val="00396DE2"/>
    <w:rsid w:val="0039742B"/>
    <w:rsid w:val="00397BC0"/>
    <w:rsid w:val="003A0846"/>
    <w:rsid w:val="003A08B8"/>
    <w:rsid w:val="003A15EC"/>
    <w:rsid w:val="003A2331"/>
    <w:rsid w:val="003A3B47"/>
    <w:rsid w:val="003A403D"/>
    <w:rsid w:val="003A5163"/>
    <w:rsid w:val="003A6636"/>
    <w:rsid w:val="003A6FD1"/>
    <w:rsid w:val="003B020A"/>
    <w:rsid w:val="003B1786"/>
    <w:rsid w:val="003B21BF"/>
    <w:rsid w:val="003B435C"/>
    <w:rsid w:val="003B465A"/>
    <w:rsid w:val="003B4721"/>
    <w:rsid w:val="003B5ACB"/>
    <w:rsid w:val="003B65AD"/>
    <w:rsid w:val="003B705B"/>
    <w:rsid w:val="003B7837"/>
    <w:rsid w:val="003C13C5"/>
    <w:rsid w:val="003C199E"/>
    <w:rsid w:val="003C263C"/>
    <w:rsid w:val="003C3899"/>
    <w:rsid w:val="003C4EDE"/>
    <w:rsid w:val="003C56DD"/>
    <w:rsid w:val="003C5C6E"/>
    <w:rsid w:val="003C607E"/>
    <w:rsid w:val="003C705B"/>
    <w:rsid w:val="003C7EEE"/>
    <w:rsid w:val="003D1D9D"/>
    <w:rsid w:val="003D2330"/>
    <w:rsid w:val="003D2963"/>
    <w:rsid w:val="003D413E"/>
    <w:rsid w:val="003D432D"/>
    <w:rsid w:val="003D4474"/>
    <w:rsid w:val="003D44EE"/>
    <w:rsid w:val="003D6C75"/>
    <w:rsid w:val="003D78AE"/>
    <w:rsid w:val="003E24C8"/>
    <w:rsid w:val="003E4F4E"/>
    <w:rsid w:val="003E66EE"/>
    <w:rsid w:val="003E6DE2"/>
    <w:rsid w:val="003E70C5"/>
    <w:rsid w:val="003F2889"/>
    <w:rsid w:val="003F29E2"/>
    <w:rsid w:val="003F3D0C"/>
    <w:rsid w:val="003F5EA8"/>
    <w:rsid w:val="003F7747"/>
    <w:rsid w:val="003F7C5E"/>
    <w:rsid w:val="00400424"/>
    <w:rsid w:val="004007DF"/>
    <w:rsid w:val="00400B94"/>
    <w:rsid w:val="00401072"/>
    <w:rsid w:val="00402B06"/>
    <w:rsid w:val="004059B8"/>
    <w:rsid w:val="00406279"/>
    <w:rsid w:val="00406336"/>
    <w:rsid w:val="00407BD5"/>
    <w:rsid w:val="0041008F"/>
    <w:rsid w:val="00410B10"/>
    <w:rsid w:val="0041149B"/>
    <w:rsid w:val="00412E98"/>
    <w:rsid w:val="004148C2"/>
    <w:rsid w:val="00414940"/>
    <w:rsid w:val="00415502"/>
    <w:rsid w:val="00415682"/>
    <w:rsid w:val="00415B59"/>
    <w:rsid w:val="004164DC"/>
    <w:rsid w:val="00416C79"/>
    <w:rsid w:val="00417BC1"/>
    <w:rsid w:val="00417E61"/>
    <w:rsid w:val="00417FD0"/>
    <w:rsid w:val="0042034E"/>
    <w:rsid w:val="00421BEF"/>
    <w:rsid w:val="00422A70"/>
    <w:rsid w:val="004234ED"/>
    <w:rsid w:val="0042412F"/>
    <w:rsid w:val="0042482C"/>
    <w:rsid w:val="00424BE0"/>
    <w:rsid w:val="00424D92"/>
    <w:rsid w:val="00426321"/>
    <w:rsid w:val="00426675"/>
    <w:rsid w:val="00426E0C"/>
    <w:rsid w:val="0042751E"/>
    <w:rsid w:val="004275F7"/>
    <w:rsid w:val="00430106"/>
    <w:rsid w:val="0043142C"/>
    <w:rsid w:val="004336CE"/>
    <w:rsid w:val="004339A8"/>
    <w:rsid w:val="00436B63"/>
    <w:rsid w:val="00436E21"/>
    <w:rsid w:val="004373B3"/>
    <w:rsid w:val="00437D15"/>
    <w:rsid w:val="004413DF"/>
    <w:rsid w:val="00443339"/>
    <w:rsid w:val="00443ADB"/>
    <w:rsid w:val="00444ABC"/>
    <w:rsid w:val="00445040"/>
    <w:rsid w:val="0044547A"/>
    <w:rsid w:val="004463AA"/>
    <w:rsid w:val="004468E4"/>
    <w:rsid w:val="004478EA"/>
    <w:rsid w:val="0045090B"/>
    <w:rsid w:val="00450A87"/>
    <w:rsid w:val="00450B27"/>
    <w:rsid w:val="00451EB7"/>
    <w:rsid w:val="00452807"/>
    <w:rsid w:val="004529FC"/>
    <w:rsid w:val="00452DE9"/>
    <w:rsid w:val="00452E0E"/>
    <w:rsid w:val="00453E2B"/>
    <w:rsid w:val="00454002"/>
    <w:rsid w:val="00454FEF"/>
    <w:rsid w:val="00455009"/>
    <w:rsid w:val="00456486"/>
    <w:rsid w:val="00456C1F"/>
    <w:rsid w:val="004573E5"/>
    <w:rsid w:val="0045761A"/>
    <w:rsid w:val="0046147B"/>
    <w:rsid w:val="00463AF9"/>
    <w:rsid w:val="00464883"/>
    <w:rsid w:val="00464A18"/>
    <w:rsid w:val="00464C9F"/>
    <w:rsid w:val="00464FE3"/>
    <w:rsid w:val="0046566C"/>
    <w:rsid w:val="00467AA9"/>
    <w:rsid w:val="00471204"/>
    <w:rsid w:val="0047152D"/>
    <w:rsid w:val="00471C02"/>
    <w:rsid w:val="00472526"/>
    <w:rsid w:val="00472BBF"/>
    <w:rsid w:val="0047365F"/>
    <w:rsid w:val="0047608A"/>
    <w:rsid w:val="00476B1B"/>
    <w:rsid w:val="004775F1"/>
    <w:rsid w:val="004804AF"/>
    <w:rsid w:val="004825BE"/>
    <w:rsid w:val="00483287"/>
    <w:rsid w:val="00483886"/>
    <w:rsid w:val="00483EEF"/>
    <w:rsid w:val="00483F65"/>
    <w:rsid w:val="0048418B"/>
    <w:rsid w:val="00485C12"/>
    <w:rsid w:val="004864CA"/>
    <w:rsid w:val="00486D20"/>
    <w:rsid w:val="004879D4"/>
    <w:rsid w:val="004917C2"/>
    <w:rsid w:val="0049354B"/>
    <w:rsid w:val="004938FE"/>
    <w:rsid w:val="00493ED2"/>
    <w:rsid w:val="004941FA"/>
    <w:rsid w:val="004949CB"/>
    <w:rsid w:val="004952CC"/>
    <w:rsid w:val="00495569"/>
    <w:rsid w:val="004957D0"/>
    <w:rsid w:val="00495A8F"/>
    <w:rsid w:val="00496898"/>
    <w:rsid w:val="00496C07"/>
    <w:rsid w:val="00497D28"/>
    <w:rsid w:val="004A0786"/>
    <w:rsid w:val="004A0C10"/>
    <w:rsid w:val="004A1262"/>
    <w:rsid w:val="004A16C9"/>
    <w:rsid w:val="004A1DE8"/>
    <w:rsid w:val="004A2401"/>
    <w:rsid w:val="004A242E"/>
    <w:rsid w:val="004A2525"/>
    <w:rsid w:val="004A259A"/>
    <w:rsid w:val="004A3228"/>
    <w:rsid w:val="004A3BFE"/>
    <w:rsid w:val="004A3EDB"/>
    <w:rsid w:val="004A3F12"/>
    <w:rsid w:val="004A3F98"/>
    <w:rsid w:val="004A4B21"/>
    <w:rsid w:val="004A4DE6"/>
    <w:rsid w:val="004A5D9F"/>
    <w:rsid w:val="004A5DBB"/>
    <w:rsid w:val="004A6319"/>
    <w:rsid w:val="004A64C7"/>
    <w:rsid w:val="004B0429"/>
    <w:rsid w:val="004B05C4"/>
    <w:rsid w:val="004B1211"/>
    <w:rsid w:val="004B23C1"/>
    <w:rsid w:val="004B273F"/>
    <w:rsid w:val="004B28DF"/>
    <w:rsid w:val="004B415D"/>
    <w:rsid w:val="004B452A"/>
    <w:rsid w:val="004B46C8"/>
    <w:rsid w:val="004B4CDA"/>
    <w:rsid w:val="004B583E"/>
    <w:rsid w:val="004B5A39"/>
    <w:rsid w:val="004B5D87"/>
    <w:rsid w:val="004B5FDF"/>
    <w:rsid w:val="004B6C28"/>
    <w:rsid w:val="004B78E1"/>
    <w:rsid w:val="004C00D8"/>
    <w:rsid w:val="004C0F45"/>
    <w:rsid w:val="004C1A8D"/>
    <w:rsid w:val="004C1B0F"/>
    <w:rsid w:val="004C24CD"/>
    <w:rsid w:val="004C28F1"/>
    <w:rsid w:val="004C299D"/>
    <w:rsid w:val="004C35B5"/>
    <w:rsid w:val="004C42E9"/>
    <w:rsid w:val="004C508E"/>
    <w:rsid w:val="004C67CB"/>
    <w:rsid w:val="004C6B00"/>
    <w:rsid w:val="004C71F6"/>
    <w:rsid w:val="004D2348"/>
    <w:rsid w:val="004D24FF"/>
    <w:rsid w:val="004D2903"/>
    <w:rsid w:val="004D5029"/>
    <w:rsid w:val="004D5382"/>
    <w:rsid w:val="004D5933"/>
    <w:rsid w:val="004D6F1D"/>
    <w:rsid w:val="004D70FF"/>
    <w:rsid w:val="004E0834"/>
    <w:rsid w:val="004E0A9C"/>
    <w:rsid w:val="004E1CAA"/>
    <w:rsid w:val="004E296D"/>
    <w:rsid w:val="004E2A7D"/>
    <w:rsid w:val="004E6395"/>
    <w:rsid w:val="004F25CB"/>
    <w:rsid w:val="004F25EE"/>
    <w:rsid w:val="004F2B59"/>
    <w:rsid w:val="004F39F0"/>
    <w:rsid w:val="004F41C3"/>
    <w:rsid w:val="004F5DCD"/>
    <w:rsid w:val="004F6D27"/>
    <w:rsid w:val="004F763B"/>
    <w:rsid w:val="00502CD3"/>
    <w:rsid w:val="00502F4C"/>
    <w:rsid w:val="00503576"/>
    <w:rsid w:val="00503902"/>
    <w:rsid w:val="00504ADC"/>
    <w:rsid w:val="00504BC3"/>
    <w:rsid w:val="00505650"/>
    <w:rsid w:val="005067FE"/>
    <w:rsid w:val="005075A6"/>
    <w:rsid w:val="00507FE4"/>
    <w:rsid w:val="00511488"/>
    <w:rsid w:val="00511A65"/>
    <w:rsid w:val="005136C2"/>
    <w:rsid w:val="00514121"/>
    <w:rsid w:val="00514D22"/>
    <w:rsid w:val="00514F52"/>
    <w:rsid w:val="005159F7"/>
    <w:rsid w:val="00515ED1"/>
    <w:rsid w:val="00516308"/>
    <w:rsid w:val="0051642B"/>
    <w:rsid w:val="005164E8"/>
    <w:rsid w:val="00517B7C"/>
    <w:rsid w:val="005214F2"/>
    <w:rsid w:val="005243FD"/>
    <w:rsid w:val="0052465A"/>
    <w:rsid w:val="005252CA"/>
    <w:rsid w:val="00530B56"/>
    <w:rsid w:val="00531062"/>
    <w:rsid w:val="005320FC"/>
    <w:rsid w:val="00532115"/>
    <w:rsid w:val="00532427"/>
    <w:rsid w:val="005324EA"/>
    <w:rsid w:val="00532A6F"/>
    <w:rsid w:val="005330FD"/>
    <w:rsid w:val="00533263"/>
    <w:rsid w:val="00534EA3"/>
    <w:rsid w:val="005358CF"/>
    <w:rsid w:val="00535A3E"/>
    <w:rsid w:val="005360E7"/>
    <w:rsid w:val="005408D8"/>
    <w:rsid w:val="00541199"/>
    <w:rsid w:val="00542C92"/>
    <w:rsid w:val="00542CE1"/>
    <w:rsid w:val="00542F1A"/>
    <w:rsid w:val="005440E4"/>
    <w:rsid w:val="00544D7C"/>
    <w:rsid w:val="005458E1"/>
    <w:rsid w:val="00546455"/>
    <w:rsid w:val="00546AFC"/>
    <w:rsid w:val="00546ED8"/>
    <w:rsid w:val="00547454"/>
    <w:rsid w:val="005475FC"/>
    <w:rsid w:val="00547FE8"/>
    <w:rsid w:val="00550174"/>
    <w:rsid w:val="0055075A"/>
    <w:rsid w:val="00550ACA"/>
    <w:rsid w:val="00552AD4"/>
    <w:rsid w:val="00553FA5"/>
    <w:rsid w:val="0055415C"/>
    <w:rsid w:val="0055424B"/>
    <w:rsid w:val="00556EF9"/>
    <w:rsid w:val="0055706C"/>
    <w:rsid w:val="00557310"/>
    <w:rsid w:val="005577B7"/>
    <w:rsid w:val="0056018A"/>
    <w:rsid w:val="00560BE2"/>
    <w:rsid w:val="005611C3"/>
    <w:rsid w:val="00561891"/>
    <w:rsid w:val="00562289"/>
    <w:rsid w:val="005623D7"/>
    <w:rsid w:val="00563157"/>
    <w:rsid w:val="00564824"/>
    <w:rsid w:val="00565294"/>
    <w:rsid w:val="0056614E"/>
    <w:rsid w:val="00566DF0"/>
    <w:rsid w:val="00566FAF"/>
    <w:rsid w:val="005670FF"/>
    <w:rsid w:val="00567614"/>
    <w:rsid w:val="005706A1"/>
    <w:rsid w:val="00571181"/>
    <w:rsid w:val="00575E36"/>
    <w:rsid w:val="00576610"/>
    <w:rsid w:val="00577116"/>
    <w:rsid w:val="005776AE"/>
    <w:rsid w:val="0058068B"/>
    <w:rsid w:val="00581BBD"/>
    <w:rsid w:val="0058448D"/>
    <w:rsid w:val="00584A45"/>
    <w:rsid w:val="00584B97"/>
    <w:rsid w:val="0058555B"/>
    <w:rsid w:val="00586AFC"/>
    <w:rsid w:val="00586D61"/>
    <w:rsid w:val="0058757C"/>
    <w:rsid w:val="00587EF3"/>
    <w:rsid w:val="005916AE"/>
    <w:rsid w:val="00591C56"/>
    <w:rsid w:val="005939DD"/>
    <w:rsid w:val="00593C1E"/>
    <w:rsid w:val="00593CF6"/>
    <w:rsid w:val="00593D05"/>
    <w:rsid w:val="0059488D"/>
    <w:rsid w:val="00594C47"/>
    <w:rsid w:val="00596310"/>
    <w:rsid w:val="00596823"/>
    <w:rsid w:val="00596F90"/>
    <w:rsid w:val="005A0DC1"/>
    <w:rsid w:val="005A16F1"/>
    <w:rsid w:val="005A1715"/>
    <w:rsid w:val="005A2CE8"/>
    <w:rsid w:val="005A33CB"/>
    <w:rsid w:val="005A3777"/>
    <w:rsid w:val="005A3D5C"/>
    <w:rsid w:val="005A4281"/>
    <w:rsid w:val="005A514E"/>
    <w:rsid w:val="005A6C23"/>
    <w:rsid w:val="005A74A9"/>
    <w:rsid w:val="005A7ECC"/>
    <w:rsid w:val="005B0CB5"/>
    <w:rsid w:val="005B158E"/>
    <w:rsid w:val="005B24C4"/>
    <w:rsid w:val="005B2A68"/>
    <w:rsid w:val="005B5E46"/>
    <w:rsid w:val="005B6EC3"/>
    <w:rsid w:val="005B74AB"/>
    <w:rsid w:val="005B7E51"/>
    <w:rsid w:val="005B7E79"/>
    <w:rsid w:val="005C0946"/>
    <w:rsid w:val="005C0A0C"/>
    <w:rsid w:val="005C274F"/>
    <w:rsid w:val="005C2ED4"/>
    <w:rsid w:val="005C42E6"/>
    <w:rsid w:val="005C64C4"/>
    <w:rsid w:val="005C7BF1"/>
    <w:rsid w:val="005C7FD1"/>
    <w:rsid w:val="005D1DB8"/>
    <w:rsid w:val="005D2427"/>
    <w:rsid w:val="005D2FB2"/>
    <w:rsid w:val="005D50D6"/>
    <w:rsid w:val="005D55D6"/>
    <w:rsid w:val="005D55F2"/>
    <w:rsid w:val="005D5D1B"/>
    <w:rsid w:val="005D5DFC"/>
    <w:rsid w:val="005D6EB3"/>
    <w:rsid w:val="005D731F"/>
    <w:rsid w:val="005E02B6"/>
    <w:rsid w:val="005E0D30"/>
    <w:rsid w:val="005E19D5"/>
    <w:rsid w:val="005E207B"/>
    <w:rsid w:val="005E26B3"/>
    <w:rsid w:val="005E2A2F"/>
    <w:rsid w:val="005E39B3"/>
    <w:rsid w:val="005E4047"/>
    <w:rsid w:val="005E428E"/>
    <w:rsid w:val="005E47A5"/>
    <w:rsid w:val="005E4DC1"/>
    <w:rsid w:val="005E5C4C"/>
    <w:rsid w:val="005E6BDA"/>
    <w:rsid w:val="005E7499"/>
    <w:rsid w:val="005E74BC"/>
    <w:rsid w:val="005F1DA8"/>
    <w:rsid w:val="005F34E0"/>
    <w:rsid w:val="005F49D7"/>
    <w:rsid w:val="005F4E8C"/>
    <w:rsid w:val="005F501B"/>
    <w:rsid w:val="005F6034"/>
    <w:rsid w:val="005F62B6"/>
    <w:rsid w:val="005F6A5A"/>
    <w:rsid w:val="005F790C"/>
    <w:rsid w:val="005F7CFD"/>
    <w:rsid w:val="006005D1"/>
    <w:rsid w:val="00601EE4"/>
    <w:rsid w:val="0060395C"/>
    <w:rsid w:val="00604328"/>
    <w:rsid w:val="006043DC"/>
    <w:rsid w:val="006053B5"/>
    <w:rsid w:val="00605807"/>
    <w:rsid w:val="0060766B"/>
    <w:rsid w:val="00607912"/>
    <w:rsid w:val="00610DE2"/>
    <w:rsid w:val="00612465"/>
    <w:rsid w:val="006128B4"/>
    <w:rsid w:val="00613E45"/>
    <w:rsid w:val="00614546"/>
    <w:rsid w:val="00614600"/>
    <w:rsid w:val="006158B7"/>
    <w:rsid w:val="00615CA0"/>
    <w:rsid w:val="006164E5"/>
    <w:rsid w:val="00617C80"/>
    <w:rsid w:val="00626914"/>
    <w:rsid w:val="00626D9A"/>
    <w:rsid w:val="006272FE"/>
    <w:rsid w:val="006300BF"/>
    <w:rsid w:val="006306F3"/>
    <w:rsid w:val="0063302D"/>
    <w:rsid w:val="00633B51"/>
    <w:rsid w:val="00633C79"/>
    <w:rsid w:val="00633F2E"/>
    <w:rsid w:val="00634ED8"/>
    <w:rsid w:val="00635FDB"/>
    <w:rsid w:val="00636654"/>
    <w:rsid w:val="0063750B"/>
    <w:rsid w:val="00640763"/>
    <w:rsid w:val="0064098E"/>
    <w:rsid w:val="00640F8F"/>
    <w:rsid w:val="00642103"/>
    <w:rsid w:val="0064239C"/>
    <w:rsid w:val="00642604"/>
    <w:rsid w:val="006435EF"/>
    <w:rsid w:val="00643A52"/>
    <w:rsid w:val="00643A64"/>
    <w:rsid w:val="006443DA"/>
    <w:rsid w:val="0064459F"/>
    <w:rsid w:val="00644E57"/>
    <w:rsid w:val="00645B0C"/>
    <w:rsid w:val="00646D9A"/>
    <w:rsid w:val="006474B9"/>
    <w:rsid w:val="006476DD"/>
    <w:rsid w:val="006477CA"/>
    <w:rsid w:val="00647C89"/>
    <w:rsid w:val="00651B96"/>
    <w:rsid w:val="00651E72"/>
    <w:rsid w:val="00651FDB"/>
    <w:rsid w:val="0065269B"/>
    <w:rsid w:val="00653020"/>
    <w:rsid w:val="006541A4"/>
    <w:rsid w:val="00655B1B"/>
    <w:rsid w:val="006560A3"/>
    <w:rsid w:val="006562D1"/>
    <w:rsid w:val="00656831"/>
    <w:rsid w:val="006574B2"/>
    <w:rsid w:val="00657E88"/>
    <w:rsid w:val="00660096"/>
    <w:rsid w:val="00660AE7"/>
    <w:rsid w:val="006614CE"/>
    <w:rsid w:val="00662E41"/>
    <w:rsid w:val="00662EE3"/>
    <w:rsid w:val="00664655"/>
    <w:rsid w:val="00664EE4"/>
    <w:rsid w:val="0066572F"/>
    <w:rsid w:val="00665EE0"/>
    <w:rsid w:val="006676B6"/>
    <w:rsid w:val="006701AA"/>
    <w:rsid w:val="006706B8"/>
    <w:rsid w:val="00670740"/>
    <w:rsid w:val="00672DB5"/>
    <w:rsid w:val="006743BE"/>
    <w:rsid w:val="006752D4"/>
    <w:rsid w:val="00677E41"/>
    <w:rsid w:val="00681E86"/>
    <w:rsid w:val="0068204C"/>
    <w:rsid w:val="006833B4"/>
    <w:rsid w:val="00683C24"/>
    <w:rsid w:val="00685DB5"/>
    <w:rsid w:val="006861D7"/>
    <w:rsid w:val="006869D1"/>
    <w:rsid w:val="00687A9C"/>
    <w:rsid w:val="00690869"/>
    <w:rsid w:val="00690D3B"/>
    <w:rsid w:val="0069226B"/>
    <w:rsid w:val="00692507"/>
    <w:rsid w:val="0069255B"/>
    <w:rsid w:val="0069258B"/>
    <w:rsid w:val="00692C52"/>
    <w:rsid w:val="00694C16"/>
    <w:rsid w:val="006957A4"/>
    <w:rsid w:val="00695C58"/>
    <w:rsid w:val="006964CC"/>
    <w:rsid w:val="00696527"/>
    <w:rsid w:val="00696B3E"/>
    <w:rsid w:val="00696DB6"/>
    <w:rsid w:val="006978E7"/>
    <w:rsid w:val="006A03D8"/>
    <w:rsid w:val="006A1870"/>
    <w:rsid w:val="006A1CF8"/>
    <w:rsid w:val="006A3C30"/>
    <w:rsid w:val="006A3CF4"/>
    <w:rsid w:val="006A4BD7"/>
    <w:rsid w:val="006A54DC"/>
    <w:rsid w:val="006A5E34"/>
    <w:rsid w:val="006A71B8"/>
    <w:rsid w:val="006A7538"/>
    <w:rsid w:val="006A7722"/>
    <w:rsid w:val="006A785C"/>
    <w:rsid w:val="006B1C0E"/>
    <w:rsid w:val="006B33A7"/>
    <w:rsid w:val="006B50E2"/>
    <w:rsid w:val="006B76EF"/>
    <w:rsid w:val="006C07C5"/>
    <w:rsid w:val="006C0FAE"/>
    <w:rsid w:val="006C1D4D"/>
    <w:rsid w:val="006C26D1"/>
    <w:rsid w:val="006C3378"/>
    <w:rsid w:val="006C3E9F"/>
    <w:rsid w:val="006C4286"/>
    <w:rsid w:val="006C43A1"/>
    <w:rsid w:val="006C4BCF"/>
    <w:rsid w:val="006C56E5"/>
    <w:rsid w:val="006C6B24"/>
    <w:rsid w:val="006C79BA"/>
    <w:rsid w:val="006C7E1C"/>
    <w:rsid w:val="006D0516"/>
    <w:rsid w:val="006D0F9C"/>
    <w:rsid w:val="006D15D6"/>
    <w:rsid w:val="006D2CD4"/>
    <w:rsid w:val="006D3FE8"/>
    <w:rsid w:val="006D4E7D"/>
    <w:rsid w:val="006D7742"/>
    <w:rsid w:val="006E0AAF"/>
    <w:rsid w:val="006E3E48"/>
    <w:rsid w:val="006E4252"/>
    <w:rsid w:val="006E4488"/>
    <w:rsid w:val="006E5974"/>
    <w:rsid w:val="006E622A"/>
    <w:rsid w:val="006E6C07"/>
    <w:rsid w:val="006E70B2"/>
    <w:rsid w:val="006F03A6"/>
    <w:rsid w:val="006F1A86"/>
    <w:rsid w:val="006F2065"/>
    <w:rsid w:val="006F5870"/>
    <w:rsid w:val="007004A0"/>
    <w:rsid w:val="007009A0"/>
    <w:rsid w:val="00700E93"/>
    <w:rsid w:val="00700F3C"/>
    <w:rsid w:val="00701464"/>
    <w:rsid w:val="0070301A"/>
    <w:rsid w:val="007043D5"/>
    <w:rsid w:val="00704AFF"/>
    <w:rsid w:val="00705367"/>
    <w:rsid w:val="00705631"/>
    <w:rsid w:val="007058D8"/>
    <w:rsid w:val="00705990"/>
    <w:rsid w:val="007114B4"/>
    <w:rsid w:val="00713395"/>
    <w:rsid w:val="00713CAC"/>
    <w:rsid w:val="00715D2A"/>
    <w:rsid w:val="007164A3"/>
    <w:rsid w:val="0072059E"/>
    <w:rsid w:val="00720899"/>
    <w:rsid w:val="007208E1"/>
    <w:rsid w:val="007219DC"/>
    <w:rsid w:val="00721E57"/>
    <w:rsid w:val="00722CB9"/>
    <w:rsid w:val="00723F95"/>
    <w:rsid w:val="00723FC8"/>
    <w:rsid w:val="007250D5"/>
    <w:rsid w:val="0072674D"/>
    <w:rsid w:val="00726BE3"/>
    <w:rsid w:val="00730050"/>
    <w:rsid w:val="007302FE"/>
    <w:rsid w:val="00730BD6"/>
    <w:rsid w:val="00730F53"/>
    <w:rsid w:val="00732527"/>
    <w:rsid w:val="00732EB3"/>
    <w:rsid w:val="00734095"/>
    <w:rsid w:val="007340FE"/>
    <w:rsid w:val="00734C2B"/>
    <w:rsid w:val="00736150"/>
    <w:rsid w:val="007371EF"/>
    <w:rsid w:val="00737469"/>
    <w:rsid w:val="0073749D"/>
    <w:rsid w:val="00740A92"/>
    <w:rsid w:val="007440D7"/>
    <w:rsid w:val="00744AAE"/>
    <w:rsid w:val="00745043"/>
    <w:rsid w:val="0074547D"/>
    <w:rsid w:val="007471FC"/>
    <w:rsid w:val="0074758A"/>
    <w:rsid w:val="00747CD4"/>
    <w:rsid w:val="00753A11"/>
    <w:rsid w:val="00753BFC"/>
    <w:rsid w:val="00754EDE"/>
    <w:rsid w:val="00755C48"/>
    <w:rsid w:val="007562ED"/>
    <w:rsid w:val="0075687B"/>
    <w:rsid w:val="00757242"/>
    <w:rsid w:val="00757A2B"/>
    <w:rsid w:val="00757B02"/>
    <w:rsid w:val="00760272"/>
    <w:rsid w:val="00760AE4"/>
    <w:rsid w:val="00761B42"/>
    <w:rsid w:val="00761BBC"/>
    <w:rsid w:val="00761D26"/>
    <w:rsid w:val="007625E7"/>
    <w:rsid w:val="007652EE"/>
    <w:rsid w:val="00765B7A"/>
    <w:rsid w:val="0076632B"/>
    <w:rsid w:val="0076768B"/>
    <w:rsid w:val="0076772D"/>
    <w:rsid w:val="00770E38"/>
    <w:rsid w:val="00770F71"/>
    <w:rsid w:val="0077116A"/>
    <w:rsid w:val="0077172B"/>
    <w:rsid w:val="00773475"/>
    <w:rsid w:val="00774490"/>
    <w:rsid w:val="00776725"/>
    <w:rsid w:val="00776FF2"/>
    <w:rsid w:val="007770B2"/>
    <w:rsid w:val="007778E6"/>
    <w:rsid w:val="00780ADB"/>
    <w:rsid w:val="007828F4"/>
    <w:rsid w:val="00782FAB"/>
    <w:rsid w:val="0078329E"/>
    <w:rsid w:val="007845CB"/>
    <w:rsid w:val="00785AD9"/>
    <w:rsid w:val="00786629"/>
    <w:rsid w:val="00786DDF"/>
    <w:rsid w:val="007874A6"/>
    <w:rsid w:val="00787927"/>
    <w:rsid w:val="00787DFF"/>
    <w:rsid w:val="00790259"/>
    <w:rsid w:val="007907BA"/>
    <w:rsid w:val="00790A70"/>
    <w:rsid w:val="00791709"/>
    <w:rsid w:val="00792B25"/>
    <w:rsid w:val="00793829"/>
    <w:rsid w:val="0079405C"/>
    <w:rsid w:val="00796496"/>
    <w:rsid w:val="00796B92"/>
    <w:rsid w:val="007A0361"/>
    <w:rsid w:val="007A0EF1"/>
    <w:rsid w:val="007A32D3"/>
    <w:rsid w:val="007A55D5"/>
    <w:rsid w:val="007A61F5"/>
    <w:rsid w:val="007A6263"/>
    <w:rsid w:val="007A6A3F"/>
    <w:rsid w:val="007A6E23"/>
    <w:rsid w:val="007A6E70"/>
    <w:rsid w:val="007A7D4C"/>
    <w:rsid w:val="007B112D"/>
    <w:rsid w:val="007B26A4"/>
    <w:rsid w:val="007B39F0"/>
    <w:rsid w:val="007B3DEF"/>
    <w:rsid w:val="007B4CB7"/>
    <w:rsid w:val="007B7E53"/>
    <w:rsid w:val="007B7F53"/>
    <w:rsid w:val="007C0103"/>
    <w:rsid w:val="007C040F"/>
    <w:rsid w:val="007C0561"/>
    <w:rsid w:val="007C0B6D"/>
    <w:rsid w:val="007C0F27"/>
    <w:rsid w:val="007C1458"/>
    <w:rsid w:val="007C1E05"/>
    <w:rsid w:val="007C28CC"/>
    <w:rsid w:val="007C2DF7"/>
    <w:rsid w:val="007C3E26"/>
    <w:rsid w:val="007C40CA"/>
    <w:rsid w:val="007C4132"/>
    <w:rsid w:val="007C5664"/>
    <w:rsid w:val="007C56E3"/>
    <w:rsid w:val="007C6FFA"/>
    <w:rsid w:val="007D0012"/>
    <w:rsid w:val="007D0844"/>
    <w:rsid w:val="007D196F"/>
    <w:rsid w:val="007D2422"/>
    <w:rsid w:val="007D35BD"/>
    <w:rsid w:val="007D3C5E"/>
    <w:rsid w:val="007D46B4"/>
    <w:rsid w:val="007D4BC5"/>
    <w:rsid w:val="007D4E85"/>
    <w:rsid w:val="007D673A"/>
    <w:rsid w:val="007D75D2"/>
    <w:rsid w:val="007D7BF4"/>
    <w:rsid w:val="007E1A07"/>
    <w:rsid w:val="007E1C3B"/>
    <w:rsid w:val="007E32DE"/>
    <w:rsid w:val="007E3AD5"/>
    <w:rsid w:val="007E4A67"/>
    <w:rsid w:val="007E543B"/>
    <w:rsid w:val="007E60DE"/>
    <w:rsid w:val="007E6C3F"/>
    <w:rsid w:val="007F2E3C"/>
    <w:rsid w:val="007F3EEE"/>
    <w:rsid w:val="007F3F52"/>
    <w:rsid w:val="007F524C"/>
    <w:rsid w:val="007F57CC"/>
    <w:rsid w:val="007F6B6F"/>
    <w:rsid w:val="007F6C36"/>
    <w:rsid w:val="007F798B"/>
    <w:rsid w:val="007F7BFA"/>
    <w:rsid w:val="00802206"/>
    <w:rsid w:val="00802AEF"/>
    <w:rsid w:val="00802F34"/>
    <w:rsid w:val="00803770"/>
    <w:rsid w:val="0080544A"/>
    <w:rsid w:val="008071F5"/>
    <w:rsid w:val="00810261"/>
    <w:rsid w:val="0081154C"/>
    <w:rsid w:val="00812569"/>
    <w:rsid w:val="00812E84"/>
    <w:rsid w:val="00812F83"/>
    <w:rsid w:val="00813B2F"/>
    <w:rsid w:val="00813B51"/>
    <w:rsid w:val="00815020"/>
    <w:rsid w:val="0081511E"/>
    <w:rsid w:val="00815CD6"/>
    <w:rsid w:val="008163F9"/>
    <w:rsid w:val="008164CE"/>
    <w:rsid w:val="0081685F"/>
    <w:rsid w:val="00816B2A"/>
    <w:rsid w:val="00816CBF"/>
    <w:rsid w:val="008171DA"/>
    <w:rsid w:val="008210BB"/>
    <w:rsid w:val="00822139"/>
    <w:rsid w:val="008223E3"/>
    <w:rsid w:val="0082399C"/>
    <w:rsid w:val="0082479D"/>
    <w:rsid w:val="008252CB"/>
    <w:rsid w:val="008258E5"/>
    <w:rsid w:val="0083027D"/>
    <w:rsid w:val="008309FA"/>
    <w:rsid w:val="00831AE2"/>
    <w:rsid w:val="008328DC"/>
    <w:rsid w:val="00832CA2"/>
    <w:rsid w:val="008333CF"/>
    <w:rsid w:val="0083351B"/>
    <w:rsid w:val="00834AF1"/>
    <w:rsid w:val="00835455"/>
    <w:rsid w:val="0083686F"/>
    <w:rsid w:val="008375E0"/>
    <w:rsid w:val="00840A3F"/>
    <w:rsid w:val="00840D35"/>
    <w:rsid w:val="00840D7D"/>
    <w:rsid w:val="00840F5A"/>
    <w:rsid w:val="00841A0D"/>
    <w:rsid w:val="00841BB0"/>
    <w:rsid w:val="0084405E"/>
    <w:rsid w:val="0084520D"/>
    <w:rsid w:val="008459DB"/>
    <w:rsid w:val="0084704A"/>
    <w:rsid w:val="0084715E"/>
    <w:rsid w:val="0084746F"/>
    <w:rsid w:val="00847976"/>
    <w:rsid w:val="00850485"/>
    <w:rsid w:val="00851433"/>
    <w:rsid w:val="00851625"/>
    <w:rsid w:val="0085208F"/>
    <w:rsid w:val="008526CA"/>
    <w:rsid w:val="008535FC"/>
    <w:rsid w:val="0085438A"/>
    <w:rsid w:val="00856863"/>
    <w:rsid w:val="00857683"/>
    <w:rsid w:val="00857C2A"/>
    <w:rsid w:val="00860CC0"/>
    <w:rsid w:val="00860DEA"/>
    <w:rsid w:val="00862977"/>
    <w:rsid w:val="00863FF0"/>
    <w:rsid w:val="00864505"/>
    <w:rsid w:val="00866569"/>
    <w:rsid w:val="00866628"/>
    <w:rsid w:val="008677FA"/>
    <w:rsid w:val="00867FD1"/>
    <w:rsid w:val="00870767"/>
    <w:rsid w:val="00870C48"/>
    <w:rsid w:val="00870DE1"/>
    <w:rsid w:val="00870F8B"/>
    <w:rsid w:val="00873713"/>
    <w:rsid w:val="0087372C"/>
    <w:rsid w:val="00875054"/>
    <w:rsid w:val="00875775"/>
    <w:rsid w:val="00875A6B"/>
    <w:rsid w:val="0087634B"/>
    <w:rsid w:val="00877C7C"/>
    <w:rsid w:val="00880AF1"/>
    <w:rsid w:val="00880B6D"/>
    <w:rsid w:val="00881AF8"/>
    <w:rsid w:val="008822AC"/>
    <w:rsid w:val="00882836"/>
    <w:rsid w:val="00884127"/>
    <w:rsid w:val="00884B9A"/>
    <w:rsid w:val="008853E0"/>
    <w:rsid w:val="008855AA"/>
    <w:rsid w:val="00885B72"/>
    <w:rsid w:val="0088703B"/>
    <w:rsid w:val="0088745D"/>
    <w:rsid w:val="008900B2"/>
    <w:rsid w:val="0089036D"/>
    <w:rsid w:val="008906F0"/>
    <w:rsid w:val="00892D20"/>
    <w:rsid w:val="008934F3"/>
    <w:rsid w:val="00893568"/>
    <w:rsid w:val="00894544"/>
    <w:rsid w:val="008952C3"/>
    <w:rsid w:val="00895D6A"/>
    <w:rsid w:val="008A0212"/>
    <w:rsid w:val="008A0A76"/>
    <w:rsid w:val="008A1374"/>
    <w:rsid w:val="008A1631"/>
    <w:rsid w:val="008A1BD6"/>
    <w:rsid w:val="008A1DC9"/>
    <w:rsid w:val="008A3175"/>
    <w:rsid w:val="008A4CFE"/>
    <w:rsid w:val="008A5972"/>
    <w:rsid w:val="008A5FCF"/>
    <w:rsid w:val="008A7DCC"/>
    <w:rsid w:val="008B09B6"/>
    <w:rsid w:val="008B1741"/>
    <w:rsid w:val="008B1D1E"/>
    <w:rsid w:val="008B2F8C"/>
    <w:rsid w:val="008B51F3"/>
    <w:rsid w:val="008B5D20"/>
    <w:rsid w:val="008B6D7E"/>
    <w:rsid w:val="008C1413"/>
    <w:rsid w:val="008C239C"/>
    <w:rsid w:val="008C4691"/>
    <w:rsid w:val="008C4708"/>
    <w:rsid w:val="008C4CE6"/>
    <w:rsid w:val="008C4D25"/>
    <w:rsid w:val="008C63B9"/>
    <w:rsid w:val="008C6D28"/>
    <w:rsid w:val="008C6D66"/>
    <w:rsid w:val="008C778E"/>
    <w:rsid w:val="008C7C01"/>
    <w:rsid w:val="008D1304"/>
    <w:rsid w:val="008D3368"/>
    <w:rsid w:val="008D34BB"/>
    <w:rsid w:val="008D369B"/>
    <w:rsid w:val="008D445D"/>
    <w:rsid w:val="008D57BF"/>
    <w:rsid w:val="008D67CF"/>
    <w:rsid w:val="008E052B"/>
    <w:rsid w:val="008E1515"/>
    <w:rsid w:val="008E43C7"/>
    <w:rsid w:val="008E63E8"/>
    <w:rsid w:val="008F0418"/>
    <w:rsid w:val="008F08DC"/>
    <w:rsid w:val="008F1381"/>
    <w:rsid w:val="008F1AEF"/>
    <w:rsid w:val="008F1F5D"/>
    <w:rsid w:val="008F1FEF"/>
    <w:rsid w:val="008F2A9E"/>
    <w:rsid w:val="008F3376"/>
    <w:rsid w:val="008F38EE"/>
    <w:rsid w:val="008F6135"/>
    <w:rsid w:val="008F6305"/>
    <w:rsid w:val="008F71AF"/>
    <w:rsid w:val="009008A0"/>
    <w:rsid w:val="00900A44"/>
    <w:rsid w:val="00902F35"/>
    <w:rsid w:val="009032D5"/>
    <w:rsid w:val="0090418B"/>
    <w:rsid w:val="00905055"/>
    <w:rsid w:val="00905D2A"/>
    <w:rsid w:val="00906A2A"/>
    <w:rsid w:val="00907097"/>
    <w:rsid w:val="0091056D"/>
    <w:rsid w:val="00910A7E"/>
    <w:rsid w:val="0091134E"/>
    <w:rsid w:val="00912F26"/>
    <w:rsid w:val="00913BFD"/>
    <w:rsid w:val="00913C71"/>
    <w:rsid w:val="009153F3"/>
    <w:rsid w:val="00921464"/>
    <w:rsid w:val="0092189F"/>
    <w:rsid w:val="0092192D"/>
    <w:rsid w:val="009222DB"/>
    <w:rsid w:val="00924A26"/>
    <w:rsid w:val="009270FA"/>
    <w:rsid w:val="0092722E"/>
    <w:rsid w:val="009275FC"/>
    <w:rsid w:val="0092774D"/>
    <w:rsid w:val="00930159"/>
    <w:rsid w:val="0093060C"/>
    <w:rsid w:val="00930D99"/>
    <w:rsid w:val="00931116"/>
    <w:rsid w:val="00932C9E"/>
    <w:rsid w:val="00932EDE"/>
    <w:rsid w:val="00933C86"/>
    <w:rsid w:val="00933D37"/>
    <w:rsid w:val="00933F77"/>
    <w:rsid w:val="0093469D"/>
    <w:rsid w:val="00935035"/>
    <w:rsid w:val="00936700"/>
    <w:rsid w:val="0093675E"/>
    <w:rsid w:val="00937530"/>
    <w:rsid w:val="009375D9"/>
    <w:rsid w:val="009401A8"/>
    <w:rsid w:val="00940BB3"/>
    <w:rsid w:val="009422E0"/>
    <w:rsid w:val="00943D1E"/>
    <w:rsid w:val="00943E1C"/>
    <w:rsid w:val="00944E26"/>
    <w:rsid w:val="0094581A"/>
    <w:rsid w:val="009478F7"/>
    <w:rsid w:val="00950301"/>
    <w:rsid w:val="00950CD0"/>
    <w:rsid w:val="00953C46"/>
    <w:rsid w:val="00955285"/>
    <w:rsid w:val="00956536"/>
    <w:rsid w:val="00956BD1"/>
    <w:rsid w:val="00956E9E"/>
    <w:rsid w:val="009570EA"/>
    <w:rsid w:val="00957A54"/>
    <w:rsid w:val="0096194D"/>
    <w:rsid w:val="00961986"/>
    <w:rsid w:val="0096221F"/>
    <w:rsid w:val="009637FE"/>
    <w:rsid w:val="00964264"/>
    <w:rsid w:val="00964438"/>
    <w:rsid w:val="00965B78"/>
    <w:rsid w:val="009662CE"/>
    <w:rsid w:val="00966DAA"/>
    <w:rsid w:val="00966E31"/>
    <w:rsid w:val="00966FF8"/>
    <w:rsid w:val="00970CB2"/>
    <w:rsid w:val="00971A0F"/>
    <w:rsid w:val="00971A9E"/>
    <w:rsid w:val="009723FF"/>
    <w:rsid w:val="009735B5"/>
    <w:rsid w:val="009736B0"/>
    <w:rsid w:val="00974A57"/>
    <w:rsid w:val="009774F4"/>
    <w:rsid w:val="00980F75"/>
    <w:rsid w:val="009820C6"/>
    <w:rsid w:val="009831D2"/>
    <w:rsid w:val="00983FA9"/>
    <w:rsid w:val="00984257"/>
    <w:rsid w:val="0098456F"/>
    <w:rsid w:val="00984818"/>
    <w:rsid w:val="009848B7"/>
    <w:rsid w:val="00986852"/>
    <w:rsid w:val="00986891"/>
    <w:rsid w:val="00986CD7"/>
    <w:rsid w:val="00991DBA"/>
    <w:rsid w:val="009923C1"/>
    <w:rsid w:val="009930C0"/>
    <w:rsid w:val="00993A2A"/>
    <w:rsid w:val="00994C29"/>
    <w:rsid w:val="00995510"/>
    <w:rsid w:val="00995C6F"/>
    <w:rsid w:val="00995E71"/>
    <w:rsid w:val="009964A4"/>
    <w:rsid w:val="0099695F"/>
    <w:rsid w:val="009969FF"/>
    <w:rsid w:val="0099726F"/>
    <w:rsid w:val="009A0ABB"/>
    <w:rsid w:val="009A1031"/>
    <w:rsid w:val="009A12EA"/>
    <w:rsid w:val="009A1867"/>
    <w:rsid w:val="009A1EC7"/>
    <w:rsid w:val="009A31C3"/>
    <w:rsid w:val="009A4536"/>
    <w:rsid w:val="009A75C4"/>
    <w:rsid w:val="009A7D6A"/>
    <w:rsid w:val="009B0153"/>
    <w:rsid w:val="009B02EB"/>
    <w:rsid w:val="009B04EF"/>
    <w:rsid w:val="009B0DF4"/>
    <w:rsid w:val="009B1281"/>
    <w:rsid w:val="009B2622"/>
    <w:rsid w:val="009B426B"/>
    <w:rsid w:val="009B4D11"/>
    <w:rsid w:val="009B50D9"/>
    <w:rsid w:val="009B62F1"/>
    <w:rsid w:val="009C0C51"/>
    <w:rsid w:val="009C1706"/>
    <w:rsid w:val="009C1FD3"/>
    <w:rsid w:val="009C2BC1"/>
    <w:rsid w:val="009C3441"/>
    <w:rsid w:val="009C4B3A"/>
    <w:rsid w:val="009C4EA2"/>
    <w:rsid w:val="009C53DF"/>
    <w:rsid w:val="009C5CEA"/>
    <w:rsid w:val="009C5FEC"/>
    <w:rsid w:val="009C73E2"/>
    <w:rsid w:val="009D0907"/>
    <w:rsid w:val="009D1524"/>
    <w:rsid w:val="009D1E2E"/>
    <w:rsid w:val="009D2859"/>
    <w:rsid w:val="009D292F"/>
    <w:rsid w:val="009D2B34"/>
    <w:rsid w:val="009D35BA"/>
    <w:rsid w:val="009D3AF0"/>
    <w:rsid w:val="009D3B13"/>
    <w:rsid w:val="009D3B31"/>
    <w:rsid w:val="009D43B2"/>
    <w:rsid w:val="009D493C"/>
    <w:rsid w:val="009D5217"/>
    <w:rsid w:val="009D5D97"/>
    <w:rsid w:val="009D5F81"/>
    <w:rsid w:val="009D62AD"/>
    <w:rsid w:val="009D6324"/>
    <w:rsid w:val="009D7EAE"/>
    <w:rsid w:val="009E05DC"/>
    <w:rsid w:val="009E0872"/>
    <w:rsid w:val="009E15B7"/>
    <w:rsid w:val="009E291F"/>
    <w:rsid w:val="009E3443"/>
    <w:rsid w:val="009E3CE2"/>
    <w:rsid w:val="009E3D76"/>
    <w:rsid w:val="009E3DFC"/>
    <w:rsid w:val="009F005D"/>
    <w:rsid w:val="009F11D8"/>
    <w:rsid w:val="009F1CD2"/>
    <w:rsid w:val="009F2973"/>
    <w:rsid w:val="009F35F2"/>
    <w:rsid w:val="009F36D4"/>
    <w:rsid w:val="009F4248"/>
    <w:rsid w:val="009F4901"/>
    <w:rsid w:val="009F50F8"/>
    <w:rsid w:val="009F529A"/>
    <w:rsid w:val="009F62E2"/>
    <w:rsid w:val="009F72A9"/>
    <w:rsid w:val="009F767D"/>
    <w:rsid w:val="009F7757"/>
    <w:rsid w:val="009F7798"/>
    <w:rsid w:val="009F7821"/>
    <w:rsid w:val="00A005F2"/>
    <w:rsid w:val="00A00A4D"/>
    <w:rsid w:val="00A00D2B"/>
    <w:rsid w:val="00A0135D"/>
    <w:rsid w:val="00A015CE"/>
    <w:rsid w:val="00A02E5E"/>
    <w:rsid w:val="00A034F0"/>
    <w:rsid w:val="00A05C5E"/>
    <w:rsid w:val="00A05D6E"/>
    <w:rsid w:val="00A0695D"/>
    <w:rsid w:val="00A06B85"/>
    <w:rsid w:val="00A0732C"/>
    <w:rsid w:val="00A0764F"/>
    <w:rsid w:val="00A1131C"/>
    <w:rsid w:val="00A1247C"/>
    <w:rsid w:val="00A12A61"/>
    <w:rsid w:val="00A12E0B"/>
    <w:rsid w:val="00A13293"/>
    <w:rsid w:val="00A13FB4"/>
    <w:rsid w:val="00A1466B"/>
    <w:rsid w:val="00A14C1E"/>
    <w:rsid w:val="00A14FFF"/>
    <w:rsid w:val="00A152A4"/>
    <w:rsid w:val="00A16722"/>
    <w:rsid w:val="00A16881"/>
    <w:rsid w:val="00A16AF8"/>
    <w:rsid w:val="00A17027"/>
    <w:rsid w:val="00A20876"/>
    <w:rsid w:val="00A20985"/>
    <w:rsid w:val="00A22CCF"/>
    <w:rsid w:val="00A235CC"/>
    <w:rsid w:val="00A24464"/>
    <w:rsid w:val="00A2621D"/>
    <w:rsid w:val="00A27C16"/>
    <w:rsid w:val="00A317B8"/>
    <w:rsid w:val="00A32282"/>
    <w:rsid w:val="00A32F43"/>
    <w:rsid w:val="00A3350E"/>
    <w:rsid w:val="00A33644"/>
    <w:rsid w:val="00A336B8"/>
    <w:rsid w:val="00A33DBF"/>
    <w:rsid w:val="00A33FA7"/>
    <w:rsid w:val="00A36AB6"/>
    <w:rsid w:val="00A37946"/>
    <w:rsid w:val="00A40BE1"/>
    <w:rsid w:val="00A40D3F"/>
    <w:rsid w:val="00A40DB4"/>
    <w:rsid w:val="00A42413"/>
    <w:rsid w:val="00A429E9"/>
    <w:rsid w:val="00A42A19"/>
    <w:rsid w:val="00A42AC4"/>
    <w:rsid w:val="00A43D1C"/>
    <w:rsid w:val="00A44950"/>
    <w:rsid w:val="00A45F6A"/>
    <w:rsid w:val="00A460F7"/>
    <w:rsid w:val="00A464D4"/>
    <w:rsid w:val="00A4734C"/>
    <w:rsid w:val="00A4789F"/>
    <w:rsid w:val="00A50496"/>
    <w:rsid w:val="00A512D5"/>
    <w:rsid w:val="00A51391"/>
    <w:rsid w:val="00A513A2"/>
    <w:rsid w:val="00A51F5C"/>
    <w:rsid w:val="00A51F91"/>
    <w:rsid w:val="00A5214B"/>
    <w:rsid w:val="00A523CF"/>
    <w:rsid w:val="00A52596"/>
    <w:rsid w:val="00A52F8F"/>
    <w:rsid w:val="00A5312F"/>
    <w:rsid w:val="00A54A2C"/>
    <w:rsid w:val="00A54F40"/>
    <w:rsid w:val="00A5737B"/>
    <w:rsid w:val="00A5743C"/>
    <w:rsid w:val="00A57CE1"/>
    <w:rsid w:val="00A6065E"/>
    <w:rsid w:val="00A60C5E"/>
    <w:rsid w:val="00A620CF"/>
    <w:rsid w:val="00A63948"/>
    <w:rsid w:val="00A64767"/>
    <w:rsid w:val="00A64D85"/>
    <w:rsid w:val="00A65329"/>
    <w:rsid w:val="00A65377"/>
    <w:rsid w:val="00A65464"/>
    <w:rsid w:val="00A667C5"/>
    <w:rsid w:val="00A66A0D"/>
    <w:rsid w:val="00A6702C"/>
    <w:rsid w:val="00A6771A"/>
    <w:rsid w:val="00A67812"/>
    <w:rsid w:val="00A67E28"/>
    <w:rsid w:val="00A705EB"/>
    <w:rsid w:val="00A70E83"/>
    <w:rsid w:val="00A73075"/>
    <w:rsid w:val="00A733AA"/>
    <w:rsid w:val="00A73767"/>
    <w:rsid w:val="00A73D00"/>
    <w:rsid w:val="00A74E9C"/>
    <w:rsid w:val="00A74EC6"/>
    <w:rsid w:val="00A74F00"/>
    <w:rsid w:val="00A75837"/>
    <w:rsid w:val="00A773D4"/>
    <w:rsid w:val="00A77EF9"/>
    <w:rsid w:val="00A82867"/>
    <w:rsid w:val="00A829A1"/>
    <w:rsid w:val="00A82D09"/>
    <w:rsid w:val="00A82EA5"/>
    <w:rsid w:val="00A86D30"/>
    <w:rsid w:val="00A8725D"/>
    <w:rsid w:val="00A87AC5"/>
    <w:rsid w:val="00A905EA"/>
    <w:rsid w:val="00A908FA"/>
    <w:rsid w:val="00A90DB8"/>
    <w:rsid w:val="00A9400D"/>
    <w:rsid w:val="00A94280"/>
    <w:rsid w:val="00A94792"/>
    <w:rsid w:val="00A949E8"/>
    <w:rsid w:val="00A958A4"/>
    <w:rsid w:val="00A95A9C"/>
    <w:rsid w:val="00A95C34"/>
    <w:rsid w:val="00A95FE5"/>
    <w:rsid w:val="00A96799"/>
    <w:rsid w:val="00A967DC"/>
    <w:rsid w:val="00A9699A"/>
    <w:rsid w:val="00A96CBD"/>
    <w:rsid w:val="00AA1C39"/>
    <w:rsid w:val="00AA25CD"/>
    <w:rsid w:val="00AA2774"/>
    <w:rsid w:val="00AA2A5A"/>
    <w:rsid w:val="00AA32B9"/>
    <w:rsid w:val="00AA3519"/>
    <w:rsid w:val="00AA351D"/>
    <w:rsid w:val="00AA39D7"/>
    <w:rsid w:val="00AA433D"/>
    <w:rsid w:val="00AA4F5D"/>
    <w:rsid w:val="00AA50D1"/>
    <w:rsid w:val="00AA6B4C"/>
    <w:rsid w:val="00AA7399"/>
    <w:rsid w:val="00AA7864"/>
    <w:rsid w:val="00AA7921"/>
    <w:rsid w:val="00AB01C7"/>
    <w:rsid w:val="00AB0A63"/>
    <w:rsid w:val="00AB142D"/>
    <w:rsid w:val="00AB2B9F"/>
    <w:rsid w:val="00AB472A"/>
    <w:rsid w:val="00AB4AD6"/>
    <w:rsid w:val="00AB4F07"/>
    <w:rsid w:val="00AB4F49"/>
    <w:rsid w:val="00AB7187"/>
    <w:rsid w:val="00AB73A2"/>
    <w:rsid w:val="00AC0442"/>
    <w:rsid w:val="00AC07C9"/>
    <w:rsid w:val="00AC33A8"/>
    <w:rsid w:val="00AC360D"/>
    <w:rsid w:val="00AC5948"/>
    <w:rsid w:val="00AC6EBD"/>
    <w:rsid w:val="00AC6EFF"/>
    <w:rsid w:val="00AC7755"/>
    <w:rsid w:val="00AD0890"/>
    <w:rsid w:val="00AD2BBD"/>
    <w:rsid w:val="00AD2BD1"/>
    <w:rsid w:val="00AD3373"/>
    <w:rsid w:val="00AD3FED"/>
    <w:rsid w:val="00AD60BC"/>
    <w:rsid w:val="00AD622A"/>
    <w:rsid w:val="00AD69CD"/>
    <w:rsid w:val="00AD7024"/>
    <w:rsid w:val="00AD7A08"/>
    <w:rsid w:val="00AD7AD5"/>
    <w:rsid w:val="00AD7CD6"/>
    <w:rsid w:val="00AE0460"/>
    <w:rsid w:val="00AE0C6D"/>
    <w:rsid w:val="00AE0FF5"/>
    <w:rsid w:val="00AE2DDE"/>
    <w:rsid w:val="00AE344B"/>
    <w:rsid w:val="00AE3B95"/>
    <w:rsid w:val="00AE60F9"/>
    <w:rsid w:val="00AE63A7"/>
    <w:rsid w:val="00AE6CE5"/>
    <w:rsid w:val="00AE7CD5"/>
    <w:rsid w:val="00AE7E8B"/>
    <w:rsid w:val="00AF1E2F"/>
    <w:rsid w:val="00AF23AD"/>
    <w:rsid w:val="00AF270E"/>
    <w:rsid w:val="00AF28A5"/>
    <w:rsid w:val="00AF2953"/>
    <w:rsid w:val="00AF3B95"/>
    <w:rsid w:val="00AF3D5F"/>
    <w:rsid w:val="00AF5B06"/>
    <w:rsid w:val="00AF5FA9"/>
    <w:rsid w:val="00B01054"/>
    <w:rsid w:val="00B02F64"/>
    <w:rsid w:val="00B037B0"/>
    <w:rsid w:val="00B0472B"/>
    <w:rsid w:val="00B04F2F"/>
    <w:rsid w:val="00B07E99"/>
    <w:rsid w:val="00B1039B"/>
    <w:rsid w:val="00B10887"/>
    <w:rsid w:val="00B10B3D"/>
    <w:rsid w:val="00B12247"/>
    <w:rsid w:val="00B1360F"/>
    <w:rsid w:val="00B1445C"/>
    <w:rsid w:val="00B144E5"/>
    <w:rsid w:val="00B146D9"/>
    <w:rsid w:val="00B14B6A"/>
    <w:rsid w:val="00B14E18"/>
    <w:rsid w:val="00B161F1"/>
    <w:rsid w:val="00B16716"/>
    <w:rsid w:val="00B16976"/>
    <w:rsid w:val="00B17173"/>
    <w:rsid w:val="00B2034D"/>
    <w:rsid w:val="00B208FD"/>
    <w:rsid w:val="00B20D9F"/>
    <w:rsid w:val="00B21725"/>
    <w:rsid w:val="00B21730"/>
    <w:rsid w:val="00B23038"/>
    <w:rsid w:val="00B23678"/>
    <w:rsid w:val="00B23A69"/>
    <w:rsid w:val="00B23C78"/>
    <w:rsid w:val="00B23DB4"/>
    <w:rsid w:val="00B276D3"/>
    <w:rsid w:val="00B27AA9"/>
    <w:rsid w:val="00B30660"/>
    <w:rsid w:val="00B30A28"/>
    <w:rsid w:val="00B32771"/>
    <w:rsid w:val="00B359B9"/>
    <w:rsid w:val="00B35C98"/>
    <w:rsid w:val="00B402F6"/>
    <w:rsid w:val="00B40795"/>
    <w:rsid w:val="00B410D4"/>
    <w:rsid w:val="00B41B8D"/>
    <w:rsid w:val="00B42329"/>
    <w:rsid w:val="00B42FA1"/>
    <w:rsid w:val="00B43118"/>
    <w:rsid w:val="00B43178"/>
    <w:rsid w:val="00B43364"/>
    <w:rsid w:val="00B43886"/>
    <w:rsid w:val="00B43FCE"/>
    <w:rsid w:val="00B44E5B"/>
    <w:rsid w:val="00B44EA4"/>
    <w:rsid w:val="00B44F1B"/>
    <w:rsid w:val="00B451FA"/>
    <w:rsid w:val="00B45C48"/>
    <w:rsid w:val="00B45E67"/>
    <w:rsid w:val="00B46066"/>
    <w:rsid w:val="00B46F2B"/>
    <w:rsid w:val="00B471E1"/>
    <w:rsid w:val="00B473C2"/>
    <w:rsid w:val="00B47624"/>
    <w:rsid w:val="00B47F5F"/>
    <w:rsid w:val="00B5057E"/>
    <w:rsid w:val="00B50D10"/>
    <w:rsid w:val="00B51EC9"/>
    <w:rsid w:val="00B53003"/>
    <w:rsid w:val="00B53F6B"/>
    <w:rsid w:val="00B5475D"/>
    <w:rsid w:val="00B54FCE"/>
    <w:rsid w:val="00B56DE1"/>
    <w:rsid w:val="00B56F89"/>
    <w:rsid w:val="00B57A7C"/>
    <w:rsid w:val="00B57CA0"/>
    <w:rsid w:val="00B600DA"/>
    <w:rsid w:val="00B6084B"/>
    <w:rsid w:val="00B614C4"/>
    <w:rsid w:val="00B62365"/>
    <w:rsid w:val="00B64671"/>
    <w:rsid w:val="00B6574D"/>
    <w:rsid w:val="00B6596B"/>
    <w:rsid w:val="00B659DC"/>
    <w:rsid w:val="00B65C4F"/>
    <w:rsid w:val="00B67402"/>
    <w:rsid w:val="00B705DC"/>
    <w:rsid w:val="00B71E43"/>
    <w:rsid w:val="00B727F0"/>
    <w:rsid w:val="00B7330E"/>
    <w:rsid w:val="00B73E0E"/>
    <w:rsid w:val="00B75050"/>
    <w:rsid w:val="00B758AB"/>
    <w:rsid w:val="00B807F4"/>
    <w:rsid w:val="00B80C93"/>
    <w:rsid w:val="00B8135F"/>
    <w:rsid w:val="00B813E2"/>
    <w:rsid w:val="00B85E39"/>
    <w:rsid w:val="00B872FA"/>
    <w:rsid w:val="00B8752E"/>
    <w:rsid w:val="00B87829"/>
    <w:rsid w:val="00B87A96"/>
    <w:rsid w:val="00B87AE6"/>
    <w:rsid w:val="00B910F2"/>
    <w:rsid w:val="00B932B0"/>
    <w:rsid w:val="00B944C5"/>
    <w:rsid w:val="00B94E20"/>
    <w:rsid w:val="00B94ECD"/>
    <w:rsid w:val="00B9511E"/>
    <w:rsid w:val="00B965A0"/>
    <w:rsid w:val="00B973E6"/>
    <w:rsid w:val="00BA0C34"/>
    <w:rsid w:val="00BA1767"/>
    <w:rsid w:val="00BA1E41"/>
    <w:rsid w:val="00BA2167"/>
    <w:rsid w:val="00BA236C"/>
    <w:rsid w:val="00BA2962"/>
    <w:rsid w:val="00BA38F0"/>
    <w:rsid w:val="00BA3FA5"/>
    <w:rsid w:val="00BA5CB6"/>
    <w:rsid w:val="00BA6C3D"/>
    <w:rsid w:val="00BA77A3"/>
    <w:rsid w:val="00BB3150"/>
    <w:rsid w:val="00BB4062"/>
    <w:rsid w:val="00BB4137"/>
    <w:rsid w:val="00BB45D2"/>
    <w:rsid w:val="00BB5225"/>
    <w:rsid w:val="00BB6131"/>
    <w:rsid w:val="00BC0BC0"/>
    <w:rsid w:val="00BC1E0F"/>
    <w:rsid w:val="00BC2B7D"/>
    <w:rsid w:val="00BC3C60"/>
    <w:rsid w:val="00BC5FA3"/>
    <w:rsid w:val="00BC75B5"/>
    <w:rsid w:val="00BC76B0"/>
    <w:rsid w:val="00BC7B17"/>
    <w:rsid w:val="00BD01B5"/>
    <w:rsid w:val="00BD1849"/>
    <w:rsid w:val="00BD19FF"/>
    <w:rsid w:val="00BD37E1"/>
    <w:rsid w:val="00BD59A6"/>
    <w:rsid w:val="00BD5F1F"/>
    <w:rsid w:val="00BD6F36"/>
    <w:rsid w:val="00BD6F65"/>
    <w:rsid w:val="00BE0068"/>
    <w:rsid w:val="00BE101D"/>
    <w:rsid w:val="00BE207D"/>
    <w:rsid w:val="00BE2A79"/>
    <w:rsid w:val="00BE2C12"/>
    <w:rsid w:val="00BE2F33"/>
    <w:rsid w:val="00BE36F0"/>
    <w:rsid w:val="00BE4F35"/>
    <w:rsid w:val="00BE7D14"/>
    <w:rsid w:val="00BF0323"/>
    <w:rsid w:val="00BF070D"/>
    <w:rsid w:val="00BF0D6B"/>
    <w:rsid w:val="00BF2777"/>
    <w:rsid w:val="00BF2B86"/>
    <w:rsid w:val="00BF3110"/>
    <w:rsid w:val="00BF36F9"/>
    <w:rsid w:val="00BF3870"/>
    <w:rsid w:val="00BF4F60"/>
    <w:rsid w:val="00BF68FD"/>
    <w:rsid w:val="00BF732E"/>
    <w:rsid w:val="00BF7364"/>
    <w:rsid w:val="00BF75F8"/>
    <w:rsid w:val="00BF7DDE"/>
    <w:rsid w:val="00C00A6A"/>
    <w:rsid w:val="00C03DD7"/>
    <w:rsid w:val="00C03FCA"/>
    <w:rsid w:val="00C04313"/>
    <w:rsid w:val="00C0478A"/>
    <w:rsid w:val="00C06733"/>
    <w:rsid w:val="00C06D59"/>
    <w:rsid w:val="00C107A7"/>
    <w:rsid w:val="00C10CC9"/>
    <w:rsid w:val="00C11C68"/>
    <w:rsid w:val="00C11E5A"/>
    <w:rsid w:val="00C15E0F"/>
    <w:rsid w:val="00C16A68"/>
    <w:rsid w:val="00C16BBD"/>
    <w:rsid w:val="00C171BA"/>
    <w:rsid w:val="00C20582"/>
    <w:rsid w:val="00C22098"/>
    <w:rsid w:val="00C2243C"/>
    <w:rsid w:val="00C23472"/>
    <w:rsid w:val="00C23BB2"/>
    <w:rsid w:val="00C2549E"/>
    <w:rsid w:val="00C26C4E"/>
    <w:rsid w:val="00C33152"/>
    <w:rsid w:val="00C33A46"/>
    <w:rsid w:val="00C33A58"/>
    <w:rsid w:val="00C340E6"/>
    <w:rsid w:val="00C34C14"/>
    <w:rsid w:val="00C36A7B"/>
    <w:rsid w:val="00C36CC6"/>
    <w:rsid w:val="00C37BD5"/>
    <w:rsid w:val="00C4010A"/>
    <w:rsid w:val="00C40F5A"/>
    <w:rsid w:val="00C41584"/>
    <w:rsid w:val="00C41B14"/>
    <w:rsid w:val="00C426B6"/>
    <w:rsid w:val="00C435D4"/>
    <w:rsid w:val="00C44C79"/>
    <w:rsid w:val="00C44E10"/>
    <w:rsid w:val="00C45577"/>
    <w:rsid w:val="00C46473"/>
    <w:rsid w:val="00C46763"/>
    <w:rsid w:val="00C5173F"/>
    <w:rsid w:val="00C54244"/>
    <w:rsid w:val="00C5429E"/>
    <w:rsid w:val="00C60502"/>
    <w:rsid w:val="00C61032"/>
    <w:rsid w:val="00C613E1"/>
    <w:rsid w:val="00C6169C"/>
    <w:rsid w:val="00C6303F"/>
    <w:rsid w:val="00C6357D"/>
    <w:rsid w:val="00C635B3"/>
    <w:rsid w:val="00C64121"/>
    <w:rsid w:val="00C66442"/>
    <w:rsid w:val="00C66BBD"/>
    <w:rsid w:val="00C673CB"/>
    <w:rsid w:val="00C67E1B"/>
    <w:rsid w:val="00C7036F"/>
    <w:rsid w:val="00C70395"/>
    <w:rsid w:val="00C706C9"/>
    <w:rsid w:val="00C7189E"/>
    <w:rsid w:val="00C71D3D"/>
    <w:rsid w:val="00C72109"/>
    <w:rsid w:val="00C726DF"/>
    <w:rsid w:val="00C72928"/>
    <w:rsid w:val="00C74181"/>
    <w:rsid w:val="00C752FD"/>
    <w:rsid w:val="00C75F8A"/>
    <w:rsid w:val="00C7728D"/>
    <w:rsid w:val="00C804E2"/>
    <w:rsid w:val="00C80732"/>
    <w:rsid w:val="00C8128E"/>
    <w:rsid w:val="00C8207F"/>
    <w:rsid w:val="00C85968"/>
    <w:rsid w:val="00C86AFD"/>
    <w:rsid w:val="00C87673"/>
    <w:rsid w:val="00C87CD7"/>
    <w:rsid w:val="00C90E5D"/>
    <w:rsid w:val="00C914E8"/>
    <w:rsid w:val="00C9197B"/>
    <w:rsid w:val="00C9224A"/>
    <w:rsid w:val="00C92861"/>
    <w:rsid w:val="00C92A16"/>
    <w:rsid w:val="00C932E6"/>
    <w:rsid w:val="00C9369D"/>
    <w:rsid w:val="00C93BD7"/>
    <w:rsid w:val="00C93BF4"/>
    <w:rsid w:val="00C95040"/>
    <w:rsid w:val="00C95596"/>
    <w:rsid w:val="00C96509"/>
    <w:rsid w:val="00C96E07"/>
    <w:rsid w:val="00C9736F"/>
    <w:rsid w:val="00CA021C"/>
    <w:rsid w:val="00CA05F2"/>
    <w:rsid w:val="00CA104E"/>
    <w:rsid w:val="00CA123F"/>
    <w:rsid w:val="00CA2089"/>
    <w:rsid w:val="00CA2540"/>
    <w:rsid w:val="00CA259C"/>
    <w:rsid w:val="00CA3398"/>
    <w:rsid w:val="00CA3C23"/>
    <w:rsid w:val="00CA3F6C"/>
    <w:rsid w:val="00CA45E3"/>
    <w:rsid w:val="00CA4858"/>
    <w:rsid w:val="00CA488B"/>
    <w:rsid w:val="00CA4A96"/>
    <w:rsid w:val="00CA4FEE"/>
    <w:rsid w:val="00CA5788"/>
    <w:rsid w:val="00CA626D"/>
    <w:rsid w:val="00CA64FE"/>
    <w:rsid w:val="00CA6641"/>
    <w:rsid w:val="00CA6D78"/>
    <w:rsid w:val="00CA710A"/>
    <w:rsid w:val="00CA7A32"/>
    <w:rsid w:val="00CB0186"/>
    <w:rsid w:val="00CB1237"/>
    <w:rsid w:val="00CB2266"/>
    <w:rsid w:val="00CB29DB"/>
    <w:rsid w:val="00CB2E95"/>
    <w:rsid w:val="00CB35A8"/>
    <w:rsid w:val="00CB46EC"/>
    <w:rsid w:val="00CB4D0E"/>
    <w:rsid w:val="00CB599E"/>
    <w:rsid w:val="00CB5F9E"/>
    <w:rsid w:val="00CB650F"/>
    <w:rsid w:val="00CB6DD0"/>
    <w:rsid w:val="00CB70AE"/>
    <w:rsid w:val="00CB7D7F"/>
    <w:rsid w:val="00CB7EA8"/>
    <w:rsid w:val="00CC03F7"/>
    <w:rsid w:val="00CC0D11"/>
    <w:rsid w:val="00CC1264"/>
    <w:rsid w:val="00CC1E42"/>
    <w:rsid w:val="00CC319C"/>
    <w:rsid w:val="00CC474A"/>
    <w:rsid w:val="00CC48E7"/>
    <w:rsid w:val="00CC5024"/>
    <w:rsid w:val="00CC56D5"/>
    <w:rsid w:val="00CC5CFF"/>
    <w:rsid w:val="00CC63A1"/>
    <w:rsid w:val="00CD045D"/>
    <w:rsid w:val="00CD09A6"/>
    <w:rsid w:val="00CD09F1"/>
    <w:rsid w:val="00CD0AA7"/>
    <w:rsid w:val="00CD200E"/>
    <w:rsid w:val="00CD3152"/>
    <w:rsid w:val="00CD3516"/>
    <w:rsid w:val="00CD3A55"/>
    <w:rsid w:val="00CD3F00"/>
    <w:rsid w:val="00CD4375"/>
    <w:rsid w:val="00CD4670"/>
    <w:rsid w:val="00CD49AB"/>
    <w:rsid w:val="00CD51A7"/>
    <w:rsid w:val="00CD5645"/>
    <w:rsid w:val="00CD57BA"/>
    <w:rsid w:val="00CD5841"/>
    <w:rsid w:val="00CD662A"/>
    <w:rsid w:val="00CD67A5"/>
    <w:rsid w:val="00CD728C"/>
    <w:rsid w:val="00CD7809"/>
    <w:rsid w:val="00CD7A71"/>
    <w:rsid w:val="00CE0BAC"/>
    <w:rsid w:val="00CE0FD8"/>
    <w:rsid w:val="00CE164A"/>
    <w:rsid w:val="00CE1CB0"/>
    <w:rsid w:val="00CE1E96"/>
    <w:rsid w:val="00CE2E05"/>
    <w:rsid w:val="00CE3024"/>
    <w:rsid w:val="00CE357B"/>
    <w:rsid w:val="00CE3E2B"/>
    <w:rsid w:val="00CE4321"/>
    <w:rsid w:val="00CE4939"/>
    <w:rsid w:val="00CE5D19"/>
    <w:rsid w:val="00CE6E3A"/>
    <w:rsid w:val="00CE72E3"/>
    <w:rsid w:val="00CF0E17"/>
    <w:rsid w:val="00CF19AA"/>
    <w:rsid w:val="00CF28EF"/>
    <w:rsid w:val="00CF2F86"/>
    <w:rsid w:val="00CF3F27"/>
    <w:rsid w:val="00CF5508"/>
    <w:rsid w:val="00CF5BE7"/>
    <w:rsid w:val="00CF6731"/>
    <w:rsid w:val="00CF6825"/>
    <w:rsid w:val="00CF6DD0"/>
    <w:rsid w:val="00CF6EF3"/>
    <w:rsid w:val="00CF7872"/>
    <w:rsid w:val="00CF7F3C"/>
    <w:rsid w:val="00D0081E"/>
    <w:rsid w:val="00D00A95"/>
    <w:rsid w:val="00D03427"/>
    <w:rsid w:val="00D037AC"/>
    <w:rsid w:val="00D043DE"/>
    <w:rsid w:val="00D0445C"/>
    <w:rsid w:val="00D05824"/>
    <w:rsid w:val="00D1007E"/>
    <w:rsid w:val="00D101F6"/>
    <w:rsid w:val="00D10459"/>
    <w:rsid w:val="00D120F0"/>
    <w:rsid w:val="00D1228C"/>
    <w:rsid w:val="00D12BC2"/>
    <w:rsid w:val="00D1336A"/>
    <w:rsid w:val="00D13F3C"/>
    <w:rsid w:val="00D149AE"/>
    <w:rsid w:val="00D15278"/>
    <w:rsid w:val="00D1546A"/>
    <w:rsid w:val="00D15E7E"/>
    <w:rsid w:val="00D16AB1"/>
    <w:rsid w:val="00D17078"/>
    <w:rsid w:val="00D1731B"/>
    <w:rsid w:val="00D202F2"/>
    <w:rsid w:val="00D20B5D"/>
    <w:rsid w:val="00D20C5B"/>
    <w:rsid w:val="00D20D6B"/>
    <w:rsid w:val="00D21FE4"/>
    <w:rsid w:val="00D2225B"/>
    <w:rsid w:val="00D222BA"/>
    <w:rsid w:val="00D23080"/>
    <w:rsid w:val="00D2380A"/>
    <w:rsid w:val="00D24775"/>
    <w:rsid w:val="00D24B12"/>
    <w:rsid w:val="00D25451"/>
    <w:rsid w:val="00D255A3"/>
    <w:rsid w:val="00D26A6E"/>
    <w:rsid w:val="00D27154"/>
    <w:rsid w:val="00D2762A"/>
    <w:rsid w:val="00D30C27"/>
    <w:rsid w:val="00D30F4D"/>
    <w:rsid w:val="00D31429"/>
    <w:rsid w:val="00D31751"/>
    <w:rsid w:val="00D32CE8"/>
    <w:rsid w:val="00D34377"/>
    <w:rsid w:val="00D343EB"/>
    <w:rsid w:val="00D3452E"/>
    <w:rsid w:val="00D35860"/>
    <w:rsid w:val="00D35B3F"/>
    <w:rsid w:val="00D36099"/>
    <w:rsid w:val="00D36156"/>
    <w:rsid w:val="00D40FE3"/>
    <w:rsid w:val="00D42FBF"/>
    <w:rsid w:val="00D43008"/>
    <w:rsid w:val="00D43014"/>
    <w:rsid w:val="00D43BD4"/>
    <w:rsid w:val="00D44280"/>
    <w:rsid w:val="00D4445F"/>
    <w:rsid w:val="00D453EB"/>
    <w:rsid w:val="00D45697"/>
    <w:rsid w:val="00D46CE2"/>
    <w:rsid w:val="00D473B4"/>
    <w:rsid w:val="00D526D1"/>
    <w:rsid w:val="00D52A19"/>
    <w:rsid w:val="00D52AE0"/>
    <w:rsid w:val="00D537D1"/>
    <w:rsid w:val="00D53EE0"/>
    <w:rsid w:val="00D54106"/>
    <w:rsid w:val="00D550F5"/>
    <w:rsid w:val="00D55360"/>
    <w:rsid w:val="00D55628"/>
    <w:rsid w:val="00D56AD9"/>
    <w:rsid w:val="00D579ED"/>
    <w:rsid w:val="00D61A96"/>
    <w:rsid w:val="00D61DE2"/>
    <w:rsid w:val="00D62879"/>
    <w:rsid w:val="00D62E3F"/>
    <w:rsid w:val="00D62F09"/>
    <w:rsid w:val="00D64B66"/>
    <w:rsid w:val="00D66F44"/>
    <w:rsid w:val="00D675FC"/>
    <w:rsid w:val="00D71E7E"/>
    <w:rsid w:val="00D724CA"/>
    <w:rsid w:val="00D72852"/>
    <w:rsid w:val="00D72F18"/>
    <w:rsid w:val="00D739E5"/>
    <w:rsid w:val="00D739FD"/>
    <w:rsid w:val="00D74BBD"/>
    <w:rsid w:val="00D7626E"/>
    <w:rsid w:val="00D76283"/>
    <w:rsid w:val="00D80202"/>
    <w:rsid w:val="00D805C9"/>
    <w:rsid w:val="00D81DA9"/>
    <w:rsid w:val="00D82381"/>
    <w:rsid w:val="00D829C3"/>
    <w:rsid w:val="00D83B01"/>
    <w:rsid w:val="00D85659"/>
    <w:rsid w:val="00D8568B"/>
    <w:rsid w:val="00D85D35"/>
    <w:rsid w:val="00D872C0"/>
    <w:rsid w:val="00D874FB"/>
    <w:rsid w:val="00D907AD"/>
    <w:rsid w:val="00D918B6"/>
    <w:rsid w:val="00D91C86"/>
    <w:rsid w:val="00D92449"/>
    <w:rsid w:val="00D92DA7"/>
    <w:rsid w:val="00D93C0C"/>
    <w:rsid w:val="00D95988"/>
    <w:rsid w:val="00D9599B"/>
    <w:rsid w:val="00D95F6F"/>
    <w:rsid w:val="00D9630A"/>
    <w:rsid w:val="00D967F5"/>
    <w:rsid w:val="00D96BAC"/>
    <w:rsid w:val="00D96FDD"/>
    <w:rsid w:val="00D9705D"/>
    <w:rsid w:val="00D974B9"/>
    <w:rsid w:val="00D97607"/>
    <w:rsid w:val="00DA0CFE"/>
    <w:rsid w:val="00DA0DA2"/>
    <w:rsid w:val="00DA2FC8"/>
    <w:rsid w:val="00DA3160"/>
    <w:rsid w:val="00DA3885"/>
    <w:rsid w:val="00DA3CE6"/>
    <w:rsid w:val="00DA3CF2"/>
    <w:rsid w:val="00DA4611"/>
    <w:rsid w:val="00DA471E"/>
    <w:rsid w:val="00DA4881"/>
    <w:rsid w:val="00DA4F33"/>
    <w:rsid w:val="00DA4F44"/>
    <w:rsid w:val="00DA5433"/>
    <w:rsid w:val="00DA5F52"/>
    <w:rsid w:val="00DA6027"/>
    <w:rsid w:val="00DA63DC"/>
    <w:rsid w:val="00DA70DD"/>
    <w:rsid w:val="00DB02C7"/>
    <w:rsid w:val="00DB0931"/>
    <w:rsid w:val="00DB235F"/>
    <w:rsid w:val="00DB3500"/>
    <w:rsid w:val="00DB3E46"/>
    <w:rsid w:val="00DB3E5B"/>
    <w:rsid w:val="00DB6058"/>
    <w:rsid w:val="00DB627F"/>
    <w:rsid w:val="00DB6287"/>
    <w:rsid w:val="00DB6ADD"/>
    <w:rsid w:val="00DB735F"/>
    <w:rsid w:val="00DB7958"/>
    <w:rsid w:val="00DC0B9A"/>
    <w:rsid w:val="00DC101A"/>
    <w:rsid w:val="00DC1DD8"/>
    <w:rsid w:val="00DC1F9C"/>
    <w:rsid w:val="00DC2914"/>
    <w:rsid w:val="00DC3B97"/>
    <w:rsid w:val="00DC3ED8"/>
    <w:rsid w:val="00DC3F61"/>
    <w:rsid w:val="00DC3F74"/>
    <w:rsid w:val="00DC42F8"/>
    <w:rsid w:val="00DC52E0"/>
    <w:rsid w:val="00DC7798"/>
    <w:rsid w:val="00DD03B4"/>
    <w:rsid w:val="00DD0B5E"/>
    <w:rsid w:val="00DD13A8"/>
    <w:rsid w:val="00DD4AD5"/>
    <w:rsid w:val="00DD52C9"/>
    <w:rsid w:val="00DD5B1F"/>
    <w:rsid w:val="00DD5EA2"/>
    <w:rsid w:val="00DD71AA"/>
    <w:rsid w:val="00DD7366"/>
    <w:rsid w:val="00DD7F6C"/>
    <w:rsid w:val="00DE0127"/>
    <w:rsid w:val="00DE0631"/>
    <w:rsid w:val="00DE10D5"/>
    <w:rsid w:val="00DE1C5D"/>
    <w:rsid w:val="00DE2715"/>
    <w:rsid w:val="00DE3304"/>
    <w:rsid w:val="00DE3681"/>
    <w:rsid w:val="00DE5090"/>
    <w:rsid w:val="00DE523D"/>
    <w:rsid w:val="00DE5844"/>
    <w:rsid w:val="00DE6199"/>
    <w:rsid w:val="00DE6F1C"/>
    <w:rsid w:val="00DE7148"/>
    <w:rsid w:val="00DE7208"/>
    <w:rsid w:val="00DF04E9"/>
    <w:rsid w:val="00DF0EBC"/>
    <w:rsid w:val="00DF13C6"/>
    <w:rsid w:val="00DF14FE"/>
    <w:rsid w:val="00DF1639"/>
    <w:rsid w:val="00DF2F1E"/>
    <w:rsid w:val="00DF3E1D"/>
    <w:rsid w:val="00DF6A04"/>
    <w:rsid w:val="00DF6BD3"/>
    <w:rsid w:val="00DF79F6"/>
    <w:rsid w:val="00E00FF0"/>
    <w:rsid w:val="00E01722"/>
    <w:rsid w:val="00E01FE1"/>
    <w:rsid w:val="00E02321"/>
    <w:rsid w:val="00E02600"/>
    <w:rsid w:val="00E031F9"/>
    <w:rsid w:val="00E03254"/>
    <w:rsid w:val="00E03F87"/>
    <w:rsid w:val="00E0548E"/>
    <w:rsid w:val="00E0632D"/>
    <w:rsid w:val="00E06652"/>
    <w:rsid w:val="00E06702"/>
    <w:rsid w:val="00E072AE"/>
    <w:rsid w:val="00E10019"/>
    <w:rsid w:val="00E105C7"/>
    <w:rsid w:val="00E10C40"/>
    <w:rsid w:val="00E121F2"/>
    <w:rsid w:val="00E13520"/>
    <w:rsid w:val="00E13975"/>
    <w:rsid w:val="00E1437D"/>
    <w:rsid w:val="00E156D4"/>
    <w:rsid w:val="00E15BB2"/>
    <w:rsid w:val="00E164CC"/>
    <w:rsid w:val="00E176C5"/>
    <w:rsid w:val="00E21948"/>
    <w:rsid w:val="00E21C93"/>
    <w:rsid w:val="00E23CDA"/>
    <w:rsid w:val="00E2561B"/>
    <w:rsid w:val="00E25CA6"/>
    <w:rsid w:val="00E25F44"/>
    <w:rsid w:val="00E265D7"/>
    <w:rsid w:val="00E267F4"/>
    <w:rsid w:val="00E26B0F"/>
    <w:rsid w:val="00E26D58"/>
    <w:rsid w:val="00E27629"/>
    <w:rsid w:val="00E2788A"/>
    <w:rsid w:val="00E30319"/>
    <w:rsid w:val="00E321B0"/>
    <w:rsid w:val="00E3258B"/>
    <w:rsid w:val="00E34F4A"/>
    <w:rsid w:val="00E35222"/>
    <w:rsid w:val="00E35AA9"/>
    <w:rsid w:val="00E36D2B"/>
    <w:rsid w:val="00E4044B"/>
    <w:rsid w:val="00E420E7"/>
    <w:rsid w:val="00E42345"/>
    <w:rsid w:val="00E4268A"/>
    <w:rsid w:val="00E42904"/>
    <w:rsid w:val="00E42E04"/>
    <w:rsid w:val="00E436AE"/>
    <w:rsid w:val="00E43B23"/>
    <w:rsid w:val="00E43ED3"/>
    <w:rsid w:val="00E45B64"/>
    <w:rsid w:val="00E4647F"/>
    <w:rsid w:val="00E464E5"/>
    <w:rsid w:val="00E473B3"/>
    <w:rsid w:val="00E504C3"/>
    <w:rsid w:val="00E5092F"/>
    <w:rsid w:val="00E50B26"/>
    <w:rsid w:val="00E51882"/>
    <w:rsid w:val="00E51FFA"/>
    <w:rsid w:val="00E521D6"/>
    <w:rsid w:val="00E53235"/>
    <w:rsid w:val="00E536B6"/>
    <w:rsid w:val="00E5407B"/>
    <w:rsid w:val="00E540EA"/>
    <w:rsid w:val="00E54CAE"/>
    <w:rsid w:val="00E54D27"/>
    <w:rsid w:val="00E55228"/>
    <w:rsid w:val="00E55440"/>
    <w:rsid w:val="00E5591E"/>
    <w:rsid w:val="00E55BD2"/>
    <w:rsid w:val="00E56A12"/>
    <w:rsid w:val="00E57588"/>
    <w:rsid w:val="00E57900"/>
    <w:rsid w:val="00E60240"/>
    <w:rsid w:val="00E6279A"/>
    <w:rsid w:val="00E665D2"/>
    <w:rsid w:val="00E72039"/>
    <w:rsid w:val="00E73795"/>
    <w:rsid w:val="00E748D0"/>
    <w:rsid w:val="00E74FB6"/>
    <w:rsid w:val="00E7585A"/>
    <w:rsid w:val="00E76ABA"/>
    <w:rsid w:val="00E76ED9"/>
    <w:rsid w:val="00E7715C"/>
    <w:rsid w:val="00E7754F"/>
    <w:rsid w:val="00E778D5"/>
    <w:rsid w:val="00E7798F"/>
    <w:rsid w:val="00E807C6"/>
    <w:rsid w:val="00E814EE"/>
    <w:rsid w:val="00E81C41"/>
    <w:rsid w:val="00E8206B"/>
    <w:rsid w:val="00E83AE6"/>
    <w:rsid w:val="00E85B45"/>
    <w:rsid w:val="00E85F21"/>
    <w:rsid w:val="00E86BBC"/>
    <w:rsid w:val="00E87EE0"/>
    <w:rsid w:val="00E901B5"/>
    <w:rsid w:val="00E9031A"/>
    <w:rsid w:val="00E90E0F"/>
    <w:rsid w:val="00E92226"/>
    <w:rsid w:val="00E92A7F"/>
    <w:rsid w:val="00E935E6"/>
    <w:rsid w:val="00E93665"/>
    <w:rsid w:val="00E93FA8"/>
    <w:rsid w:val="00E95668"/>
    <w:rsid w:val="00E95EC2"/>
    <w:rsid w:val="00EA0038"/>
    <w:rsid w:val="00EA0C11"/>
    <w:rsid w:val="00EA0FFE"/>
    <w:rsid w:val="00EA1D1F"/>
    <w:rsid w:val="00EA24A0"/>
    <w:rsid w:val="00EA2FF0"/>
    <w:rsid w:val="00EA3474"/>
    <w:rsid w:val="00EA3F81"/>
    <w:rsid w:val="00EA461D"/>
    <w:rsid w:val="00EA5DEC"/>
    <w:rsid w:val="00EA6BDC"/>
    <w:rsid w:val="00EB011D"/>
    <w:rsid w:val="00EB074D"/>
    <w:rsid w:val="00EB1874"/>
    <w:rsid w:val="00EB2997"/>
    <w:rsid w:val="00EB3429"/>
    <w:rsid w:val="00EB3D6D"/>
    <w:rsid w:val="00EB5754"/>
    <w:rsid w:val="00EB589F"/>
    <w:rsid w:val="00EC0520"/>
    <w:rsid w:val="00EC0777"/>
    <w:rsid w:val="00EC097F"/>
    <w:rsid w:val="00EC09EF"/>
    <w:rsid w:val="00EC1459"/>
    <w:rsid w:val="00EC225B"/>
    <w:rsid w:val="00EC2683"/>
    <w:rsid w:val="00EC347D"/>
    <w:rsid w:val="00EC55B5"/>
    <w:rsid w:val="00EC6ABF"/>
    <w:rsid w:val="00ED011F"/>
    <w:rsid w:val="00ED0A9A"/>
    <w:rsid w:val="00ED0D72"/>
    <w:rsid w:val="00ED0F98"/>
    <w:rsid w:val="00ED1292"/>
    <w:rsid w:val="00ED12C2"/>
    <w:rsid w:val="00ED1800"/>
    <w:rsid w:val="00ED1CC0"/>
    <w:rsid w:val="00ED3318"/>
    <w:rsid w:val="00ED36F2"/>
    <w:rsid w:val="00ED39E1"/>
    <w:rsid w:val="00ED55BC"/>
    <w:rsid w:val="00EE008D"/>
    <w:rsid w:val="00EE16F1"/>
    <w:rsid w:val="00EE226B"/>
    <w:rsid w:val="00EE23BB"/>
    <w:rsid w:val="00EE2D11"/>
    <w:rsid w:val="00EE3211"/>
    <w:rsid w:val="00EE3C37"/>
    <w:rsid w:val="00EE3E04"/>
    <w:rsid w:val="00EE5287"/>
    <w:rsid w:val="00EE64FA"/>
    <w:rsid w:val="00EE693B"/>
    <w:rsid w:val="00EE6E27"/>
    <w:rsid w:val="00EE73D6"/>
    <w:rsid w:val="00EE7407"/>
    <w:rsid w:val="00EF004F"/>
    <w:rsid w:val="00EF00E7"/>
    <w:rsid w:val="00EF1121"/>
    <w:rsid w:val="00EF1123"/>
    <w:rsid w:val="00EF196B"/>
    <w:rsid w:val="00EF3661"/>
    <w:rsid w:val="00EF38BF"/>
    <w:rsid w:val="00EF5AED"/>
    <w:rsid w:val="00EF5CA4"/>
    <w:rsid w:val="00EF6252"/>
    <w:rsid w:val="00EF680B"/>
    <w:rsid w:val="00EF699D"/>
    <w:rsid w:val="00EF75F4"/>
    <w:rsid w:val="00EF761B"/>
    <w:rsid w:val="00EF77DA"/>
    <w:rsid w:val="00EF7876"/>
    <w:rsid w:val="00F013A6"/>
    <w:rsid w:val="00F0266E"/>
    <w:rsid w:val="00F05E29"/>
    <w:rsid w:val="00F05E67"/>
    <w:rsid w:val="00F07AC8"/>
    <w:rsid w:val="00F11D2F"/>
    <w:rsid w:val="00F12883"/>
    <w:rsid w:val="00F128F8"/>
    <w:rsid w:val="00F13002"/>
    <w:rsid w:val="00F13BC0"/>
    <w:rsid w:val="00F150D4"/>
    <w:rsid w:val="00F174FD"/>
    <w:rsid w:val="00F17B14"/>
    <w:rsid w:val="00F20DE7"/>
    <w:rsid w:val="00F20E63"/>
    <w:rsid w:val="00F21E84"/>
    <w:rsid w:val="00F230C8"/>
    <w:rsid w:val="00F24056"/>
    <w:rsid w:val="00F241B5"/>
    <w:rsid w:val="00F244B0"/>
    <w:rsid w:val="00F25F03"/>
    <w:rsid w:val="00F26006"/>
    <w:rsid w:val="00F26B86"/>
    <w:rsid w:val="00F2735E"/>
    <w:rsid w:val="00F278C2"/>
    <w:rsid w:val="00F312AC"/>
    <w:rsid w:val="00F313AF"/>
    <w:rsid w:val="00F3149D"/>
    <w:rsid w:val="00F3173F"/>
    <w:rsid w:val="00F320D4"/>
    <w:rsid w:val="00F32657"/>
    <w:rsid w:val="00F32B96"/>
    <w:rsid w:val="00F34981"/>
    <w:rsid w:val="00F37B70"/>
    <w:rsid w:val="00F40397"/>
    <w:rsid w:val="00F403AB"/>
    <w:rsid w:val="00F40EF4"/>
    <w:rsid w:val="00F41E89"/>
    <w:rsid w:val="00F422EF"/>
    <w:rsid w:val="00F42855"/>
    <w:rsid w:val="00F42A07"/>
    <w:rsid w:val="00F42AC6"/>
    <w:rsid w:val="00F441AF"/>
    <w:rsid w:val="00F44363"/>
    <w:rsid w:val="00F466B1"/>
    <w:rsid w:val="00F47A91"/>
    <w:rsid w:val="00F47BAB"/>
    <w:rsid w:val="00F50380"/>
    <w:rsid w:val="00F51D61"/>
    <w:rsid w:val="00F524B5"/>
    <w:rsid w:val="00F528E8"/>
    <w:rsid w:val="00F52CE6"/>
    <w:rsid w:val="00F532EC"/>
    <w:rsid w:val="00F55584"/>
    <w:rsid w:val="00F5571F"/>
    <w:rsid w:val="00F55E4E"/>
    <w:rsid w:val="00F56B9D"/>
    <w:rsid w:val="00F56BB5"/>
    <w:rsid w:val="00F571D7"/>
    <w:rsid w:val="00F574DC"/>
    <w:rsid w:val="00F613EA"/>
    <w:rsid w:val="00F624F1"/>
    <w:rsid w:val="00F636FF"/>
    <w:rsid w:val="00F63FE1"/>
    <w:rsid w:val="00F65831"/>
    <w:rsid w:val="00F65DB1"/>
    <w:rsid w:val="00F66855"/>
    <w:rsid w:val="00F66BE0"/>
    <w:rsid w:val="00F70147"/>
    <w:rsid w:val="00F713D7"/>
    <w:rsid w:val="00F71C5C"/>
    <w:rsid w:val="00F72251"/>
    <w:rsid w:val="00F72289"/>
    <w:rsid w:val="00F730D1"/>
    <w:rsid w:val="00F74059"/>
    <w:rsid w:val="00F740B5"/>
    <w:rsid w:val="00F74F01"/>
    <w:rsid w:val="00F75B7C"/>
    <w:rsid w:val="00F7656D"/>
    <w:rsid w:val="00F7716B"/>
    <w:rsid w:val="00F8230E"/>
    <w:rsid w:val="00F84A90"/>
    <w:rsid w:val="00F855E3"/>
    <w:rsid w:val="00F85673"/>
    <w:rsid w:val="00F872A9"/>
    <w:rsid w:val="00F9074A"/>
    <w:rsid w:val="00F92ECF"/>
    <w:rsid w:val="00F93D57"/>
    <w:rsid w:val="00F9437E"/>
    <w:rsid w:val="00F944A2"/>
    <w:rsid w:val="00F948BA"/>
    <w:rsid w:val="00F94BCD"/>
    <w:rsid w:val="00F97436"/>
    <w:rsid w:val="00FA014D"/>
    <w:rsid w:val="00FA01BA"/>
    <w:rsid w:val="00FA047C"/>
    <w:rsid w:val="00FA084A"/>
    <w:rsid w:val="00FA13A3"/>
    <w:rsid w:val="00FA15FC"/>
    <w:rsid w:val="00FA3F40"/>
    <w:rsid w:val="00FA50EE"/>
    <w:rsid w:val="00FA5BFD"/>
    <w:rsid w:val="00FA7111"/>
    <w:rsid w:val="00FA7682"/>
    <w:rsid w:val="00FB040A"/>
    <w:rsid w:val="00FB15B6"/>
    <w:rsid w:val="00FB2209"/>
    <w:rsid w:val="00FB3B52"/>
    <w:rsid w:val="00FB6AC4"/>
    <w:rsid w:val="00FC09C6"/>
    <w:rsid w:val="00FC0E1D"/>
    <w:rsid w:val="00FC30DA"/>
    <w:rsid w:val="00FC40B3"/>
    <w:rsid w:val="00FD1225"/>
    <w:rsid w:val="00FD20C6"/>
    <w:rsid w:val="00FD255B"/>
    <w:rsid w:val="00FD2E11"/>
    <w:rsid w:val="00FD460D"/>
    <w:rsid w:val="00FD4804"/>
    <w:rsid w:val="00FD506E"/>
    <w:rsid w:val="00FD5395"/>
    <w:rsid w:val="00FD557A"/>
    <w:rsid w:val="00FD6014"/>
    <w:rsid w:val="00FD6418"/>
    <w:rsid w:val="00FD70ED"/>
    <w:rsid w:val="00FD7573"/>
    <w:rsid w:val="00FD7B81"/>
    <w:rsid w:val="00FD7B98"/>
    <w:rsid w:val="00FE0AC9"/>
    <w:rsid w:val="00FE29AA"/>
    <w:rsid w:val="00FE3415"/>
    <w:rsid w:val="00FE37D3"/>
    <w:rsid w:val="00FE5197"/>
    <w:rsid w:val="00FE59C7"/>
    <w:rsid w:val="00FE6093"/>
    <w:rsid w:val="00FE6D1B"/>
    <w:rsid w:val="00FE78C6"/>
    <w:rsid w:val="00FE79AA"/>
    <w:rsid w:val="00FE7DEF"/>
    <w:rsid w:val="00FF0C23"/>
    <w:rsid w:val="00FF127B"/>
    <w:rsid w:val="00FF3C8F"/>
    <w:rsid w:val="00FF3D37"/>
    <w:rsid w:val="00FF3E62"/>
    <w:rsid w:val="00FF4F84"/>
    <w:rsid w:val="00FF535D"/>
    <w:rsid w:val="00FF58AC"/>
    <w:rsid w:val="00FF5C98"/>
    <w:rsid w:val="00FF6381"/>
    <w:rsid w:val="00FF679D"/>
    <w:rsid w:val="00FF6DB2"/>
    <w:rsid w:val="00FF7E2F"/>
    <w:rsid w:val="010E6107"/>
    <w:rsid w:val="01382DB4"/>
    <w:rsid w:val="01423649"/>
    <w:rsid w:val="01457F6F"/>
    <w:rsid w:val="01747D1E"/>
    <w:rsid w:val="01C43576"/>
    <w:rsid w:val="01C47CF3"/>
    <w:rsid w:val="01C96287"/>
    <w:rsid w:val="01CF1907"/>
    <w:rsid w:val="01E4051A"/>
    <w:rsid w:val="01F178BE"/>
    <w:rsid w:val="021C71F5"/>
    <w:rsid w:val="023006A7"/>
    <w:rsid w:val="0252665D"/>
    <w:rsid w:val="025F19CF"/>
    <w:rsid w:val="02856458"/>
    <w:rsid w:val="028A13E5"/>
    <w:rsid w:val="028F64C2"/>
    <w:rsid w:val="02FF7A7B"/>
    <w:rsid w:val="035203D6"/>
    <w:rsid w:val="03610DE0"/>
    <w:rsid w:val="0361681B"/>
    <w:rsid w:val="03ED1CC0"/>
    <w:rsid w:val="03EE1902"/>
    <w:rsid w:val="04253FDA"/>
    <w:rsid w:val="045C66B2"/>
    <w:rsid w:val="04641540"/>
    <w:rsid w:val="048A515F"/>
    <w:rsid w:val="0491498E"/>
    <w:rsid w:val="04A41675"/>
    <w:rsid w:val="04C837E3"/>
    <w:rsid w:val="04D253F8"/>
    <w:rsid w:val="05084354"/>
    <w:rsid w:val="0525422D"/>
    <w:rsid w:val="05460C55"/>
    <w:rsid w:val="056B1564"/>
    <w:rsid w:val="058B77B2"/>
    <w:rsid w:val="05A671DA"/>
    <w:rsid w:val="05B9261D"/>
    <w:rsid w:val="06076A5A"/>
    <w:rsid w:val="0623601E"/>
    <w:rsid w:val="06302DB6"/>
    <w:rsid w:val="06597543"/>
    <w:rsid w:val="06981DF9"/>
    <w:rsid w:val="06C550DB"/>
    <w:rsid w:val="06D0743C"/>
    <w:rsid w:val="071E63F3"/>
    <w:rsid w:val="075E2523"/>
    <w:rsid w:val="0774548E"/>
    <w:rsid w:val="07944BFB"/>
    <w:rsid w:val="07A36A9F"/>
    <w:rsid w:val="07D26F91"/>
    <w:rsid w:val="07F51B22"/>
    <w:rsid w:val="08377730"/>
    <w:rsid w:val="086C26E0"/>
    <w:rsid w:val="08822685"/>
    <w:rsid w:val="088C0A16"/>
    <w:rsid w:val="08C52D6F"/>
    <w:rsid w:val="0929584C"/>
    <w:rsid w:val="092E340E"/>
    <w:rsid w:val="093431FC"/>
    <w:rsid w:val="0966617B"/>
    <w:rsid w:val="09DD2B7E"/>
    <w:rsid w:val="09DE12BD"/>
    <w:rsid w:val="09DF5A3E"/>
    <w:rsid w:val="0A1039BB"/>
    <w:rsid w:val="0A2464AA"/>
    <w:rsid w:val="0A264213"/>
    <w:rsid w:val="0A303D95"/>
    <w:rsid w:val="0A4038E0"/>
    <w:rsid w:val="0A8623B3"/>
    <w:rsid w:val="0A9860DD"/>
    <w:rsid w:val="0B243B52"/>
    <w:rsid w:val="0B591E2E"/>
    <w:rsid w:val="0B6049A4"/>
    <w:rsid w:val="0B982B1A"/>
    <w:rsid w:val="0BCD1763"/>
    <w:rsid w:val="0C1D75EE"/>
    <w:rsid w:val="0C5F0057"/>
    <w:rsid w:val="0C691C6B"/>
    <w:rsid w:val="0C890D10"/>
    <w:rsid w:val="0CB50A66"/>
    <w:rsid w:val="0CC06DF7"/>
    <w:rsid w:val="0DAF4501"/>
    <w:rsid w:val="0DEF62B6"/>
    <w:rsid w:val="0E3C75E8"/>
    <w:rsid w:val="0E5C591E"/>
    <w:rsid w:val="0E617934"/>
    <w:rsid w:val="0E8343A6"/>
    <w:rsid w:val="0E8419FF"/>
    <w:rsid w:val="0EEA0A05"/>
    <w:rsid w:val="0EEE65D1"/>
    <w:rsid w:val="0F0273A3"/>
    <w:rsid w:val="0F4E27DE"/>
    <w:rsid w:val="0F6D2474"/>
    <w:rsid w:val="0F6D575B"/>
    <w:rsid w:val="0F8B645F"/>
    <w:rsid w:val="0F971E23"/>
    <w:rsid w:val="0FAB02B9"/>
    <w:rsid w:val="0FE02217"/>
    <w:rsid w:val="102333CF"/>
    <w:rsid w:val="103A162C"/>
    <w:rsid w:val="106A0522"/>
    <w:rsid w:val="107431BA"/>
    <w:rsid w:val="10956CD9"/>
    <w:rsid w:val="109B03CC"/>
    <w:rsid w:val="109E452C"/>
    <w:rsid w:val="10A24D3A"/>
    <w:rsid w:val="10F54C7E"/>
    <w:rsid w:val="11127111"/>
    <w:rsid w:val="11151235"/>
    <w:rsid w:val="113D42B9"/>
    <w:rsid w:val="11515D18"/>
    <w:rsid w:val="11645423"/>
    <w:rsid w:val="118B5AD6"/>
    <w:rsid w:val="11942369"/>
    <w:rsid w:val="12912E05"/>
    <w:rsid w:val="12A44024"/>
    <w:rsid w:val="12A97B84"/>
    <w:rsid w:val="13223AF1"/>
    <w:rsid w:val="13327318"/>
    <w:rsid w:val="13327FF2"/>
    <w:rsid w:val="13451321"/>
    <w:rsid w:val="134770B1"/>
    <w:rsid w:val="13477DD8"/>
    <w:rsid w:val="13887B1A"/>
    <w:rsid w:val="13923D54"/>
    <w:rsid w:val="13AA413F"/>
    <w:rsid w:val="13D778B6"/>
    <w:rsid w:val="140B4870"/>
    <w:rsid w:val="14162C01"/>
    <w:rsid w:val="142469A5"/>
    <w:rsid w:val="143015E2"/>
    <w:rsid w:val="143A6901"/>
    <w:rsid w:val="14565413"/>
    <w:rsid w:val="14D56784"/>
    <w:rsid w:val="14E4621D"/>
    <w:rsid w:val="1508348E"/>
    <w:rsid w:val="150E2655"/>
    <w:rsid w:val="151F2260"/>
    <w:rsid w:val="15203C88"/>
    <w:rsid w:val="15242DBE"/>
    <w:rsid w:val="1526273B"/>
    <w:rsid w:val="15317A6C"/>
    <w:rsid w:val="154842EA"/>
    <w:rsid w:val="15B21729"/>
    <w:rsid w:val="15EB4E7C"/>
    <w:rsid w:val="15F92FD8"/>
    <w:rsid w:val="1620557D"/>
    <w:rsid w:val="167071E4"/>
    <w:rsid w:val="16733962"/>
    <w:rsid w:val="16757268"/>
    <w:rsid w:val="16997AD2"/>
    <w:rsid w:val="16AC5172"/>
    <w:rsid w:val="16B3479E"/>
    <w:rsid w:val="16FF19EA"/>
    <w:rsid w:val="172179B8"/>
    <w:rsid w:val="1727563E"/>
    <w:rsid w:val="17414D66"/>
    <w:rsid w:val="174A48B0"/>
    <w:rsid w:val="17850FB1"/>
    <w:rsid w:val="17DC4231"/>
    <w:rsid w:val="180E3DC2"/>
    <w:rsid w:val="182944A3"/>
    <w:rsid w:val="1852743B"/>
    <w:rsid w:val="185C1A45"/>
    <w:rsid w:val="188B43D5"/>
    <w:rsid w:val="18A10AF7"/>
    <w:rsid w:val="19024013"/>
    <w:rsid w:val="191F7377"/>
    <w:rsid w:val="19414DFD"/>
    <w:rsid w:val="19420680"/>
    <w:rsid w:val="194C318E"/>
    <w:rsid w:val="1979635F"/>
    <w:rsid w:val="19AF5431"/>
    <w:rsid w:val="19BF22BF"/>
    <w:rsid w:val="19CF3767"/>
    <w:rsid w:val="19D528C7"/>
    <w:rsid w:val="19E96131"/>
    <w:rsid w:val="1A1041D0"/>
    <w:rsid w:val="1A247A97"/>
    <w:rsid w:val="1A3A7593"/>
    <w:rsid w:val="1A7C1301"/>
    <w:rsid w:val="1A9C7638"/>
    <w:rsid w:val="1AA530AD"/>
    <w:rsid w:val="1AFB58F2"/>
    <w:rsid w:val="1B2E3201"/>
    <w:rsid w:val="1B376301"/>
    <w:rsid w:val="1B380F38"/>
    <w:rsid w:val="1B415452"/>
    <w:rsid w:val="1B6B6A0B"/>
    <w:rsid w:val="1B764049"/>
    <w:rsid w:val="1C154F6E"/>
    <w:rsid w:val="1C197E29"/>
    <w:rsid w:val="1C262D11"/>
    <w:rsid w:val="1C4A49B2"/>
    <w:rsid w:val="1C4F6C7E"/>
    <w:rsid w:val="1C625C9F"/>
    <w:rsid w:val="1C912F6B"/>
    <w:rsid w:val="1CD30C0D"/>
    <w:rsid w:val="1D03247A"/>
    <w:rsid w:val="1D047EAE"/>
    <w:rsid w:val="1D320DF5"/>
    <w:rsid w:val="1D6E70D6"/>
    <w:rsid w:val="1D7A568E"/>
    <w:rsid w:val="1DB530CD"/>
    <w:rsid w:val="1DC23799"/>
    <w:rsid w:val="1DD8637C"/>
    <w:rsid w:val="1E2101FE"/>
    <w:rsid w:val="1E3B28B6"/>
    <w:rsid w:val="1E5E66D2"/>
    <w:rsid w:val="1EA416D1"/>
    <w:rsid w:val="1EA4585B"/>
    <w:rsid w:val="1EE61241"/>
    <w:rsid w:val="1EF06882"/>
    <w:rsid w:val="1F010A0B"/>
    <w:rsid w:val="1F06691B"/>
    <w:rsid w:val="1F1C0F96"/>
    <w:rsid w:val="1F1F7A4B"/>
    <w:rsid w:val="1F271CAA"/>
    <w:rsid w:val="1F3C63CC"/>
    <w:rsid w:val="1F8A0ACB"/>
    <w:rsid w:val="1F92518E"/>
    <w:rsid w:val="1FCD7EB9"/>
    <w:rsid w:val="200A5B20"/>
    <w:rsid w:val="20163B31"/>
    <w:rsid w:val="20201EC2"/>
    <w:rsid w:val="20220951"/>
    <w:rsid w:val="204C14F0"/>
    <w:rsid w:val="20585C30"/>
    <w:rsid w:val="206A5249"/>
    <w:rsid w:val="207A3E5E"/>
    <w:rsid w:val="20D17AAC"/>
    <w:rsid w:val="20E91E42"/>
    <w:rsid w:val="20EF3C66"/>
    <w:rsid w:val="21C34CF0"/>
    <w:rsid w:val="21C76D7B"/>
    <w:rsid w:val="21E736FC"/>
    <w:rsid w:val="221E3F06"/>
    <w:rsid w:val="22587EB6"/>
    <w:rsid w:val="22645564"/>
    <w:rsid w:val="229628CB"/>
    <w:rsid w:val="22CC223E"/>
    <w:rsid w:val="22D20532"/>
    <w:rsid w:val="22D66F38"/>
    <w:rsid w:val="22DC346F"/>
    <w:rsid w:val="22FB0071"/>
    <w:rsid w:val="230756AC"/>
    <w:rsid w:val="232A43DD"/>
    <w:rsid w:val="2364201F"/>
    <w:rsid w:val="23A52A88"/>
    <w:rsid w:val="23B0469D"/>
    <w:rsid w:val="23C1773C"/>
    <w:rsid w:val="24470995"/>
    <w:rsid w:val="24482291"/>
    <w:rsid w:val="24674FCB"/>
    <w:rsid w:val="252A6FED"/>
    <w:rsid w:val="253F1428"/>
    <w:rsid w:val="2562407F"/>
    <w:rsid w:val="256C1795"/>
    <w:rsid w:val="25A8151C"/>
    <w:rsid w:val="260F5480"/>
    <w:rsid w:val="269D1C78"/>
    <w:rsid w:val="26A06F6E"/>
    <w:rsid w:val="26B639D7"/>
    <w:rsid w:val="26DE0FD1"/>
    <w:rsid w:val="26E31B2E"/>
    <w:rsid w:val="26EE1790"/>
    <w:rsid w:val="2781405D"/>
    <w:rsid w:val="28041BF2"/>
    <w:rsid w:val="280478D6"/>
    <w:rsid w:val="280B3FC1"/>
    <w:rsid w:val="285A40FB"/>
    <w:rsid w:val="285E3505"/>
    <w:rsid w:val="286233FC"/>
    <w:rsid w:val="287149A1"/>
    <w:rsid w:val="28AF344A"/>
    <w:rsid w:val="28B001A2"/>
    <w:rsid w:val="28B14910"/>
    <w:rsid w:val="28BF25E3"/>
    <w:rsid w:val="28DC6898"/>
    <w:rsid w:val="29854031"/>
    <w:rsid w:val="29880BEA"/>
    <w:rsid w:val="29980F12"/>
    <w:rsid w:val="299E4DB8"/>
    <w:rsid w:val="2A1A4572"/>
    <w:rsid w:val="2A230DAE"/>
    <w:rsid w:val="2A3B04C1"/>
    <w:rsid w:val="2A423861"/>
    <w:rsid w:val="2AB22C1B"/>
    <w:rsid w:val="2AEA3A1A"/>
    <w:rsid w:val="2B267866"/>
    <w:rsid w:val="2B320F6B"/>
    <w:rsid w:val="2B3C72FC"/>
    <w:rsid w:val="2B6A4FC2"/>
    <w:rsid w:val="2BCC7E8E"/>
    <w:rsid w:val="2BD22C0B"/>
    <w:rsid w:val="2C25678C"/>
    <w:rsid w:val="2C3B2E86"/>
    <w:rsid w:val="2CEF21C5"/>
    <w:rsid w:val="2D3102E5"/>
    <w:rsid w:val="2D3364CE"/>
    <w:rsid w:val="2D452F54"/>
    <w:rsid w:val="2D5A676F"/>
    <w:rsid w:val="2DBD6096"/>
    <w:rsid w:val="2DC77CAA"/>
    <w:rsid w:val="2DE26AA6"/>
    <w:rsid w:val="2E1A1742"/>
    <w:rsid w:val="2ECC1AD7"/>
    <w:rsid w:val="2ED72669"/>
    <w:rsid w:val="2F0D2540"/>
    <w:rsid w:val="2F317156"/>
    <w:rsid w:val="2F386C07"/>
    <w:rsid w:val="2F571D98"/>
    <w:rsid w:val="2F7552B2"/>
    <w:rsid w:val="2F9D7121"/>
    <w:rsid w:val="2FD62A87"/>
    <w:rsid w:val="305D6C29"/>
    <w:rsid w:val="307D149D"/>
    <w:rsid w:val="30C10EB6"/>
    <w:rsid w:val="30C44089"/>
    <w:rsid w:val="30D7336F"/>
    <w:rsid w:val="30E531BD"/>
    <w:rsid w:val="30EB624E"/>
    <w:rsid w:val="30EC6A9B"/>
    <w:rsid w:val="311D09DC"/>
    <w:rsid w:val="312F5E08"/>
    <w:rsid w:val="3157337F"/>
    <w:rsid w:val="318254C8"/>
    <w:rsid w:val="319A5D04"/>
    <w:rsid w:val="31A17BC3"/>
    <w:rsid w:val="31F9640B"/>
    <w:rsid w:val="3204001F"/>
    <w:rsid w:val="32242AD2"/>
    <w:rsid w:val="322A3DF1"/>
    <w:rsid w:val="328234D4"/>
    <w:rsid w:val="328E1B6C"/>
    <w:rsid w:val="32C91C94"/>
    <w:rsid w:val="32F93DAF"/>
    <w:rsid w:val="32FF2902"/>
    <w:rsid w:val="330672EA"/>
    <w:rsid w:val="33391532"/>
    <w:rsid w:val="333F0CA1"/>
    <w:rsid w:val="33C92B36"/>
    <w:rsid w:val="33CE41B8"/>
    <w:rsid w:val="33D72119"/>
    <w:rsid w:val="33DC6658"/>
    <w:rsid w:val="33F73CD2"/>
    <w:rsid w:val="34270272"/>
    <w:rsid w:val="343B5701"/>
    <w:rsid w:val="344779A5"/>
    <w:rsid w:val="345532A4"/>
    <w:rsid w:val="34554598"/>
    <w:rsid w:val="34933B51"/>
    <w:rsid w:val="34A90CC0"/>
    <w:rsid w:val="34CF4E84"/>
    <w:rsid w:val="34F27A73"/>
    <w:rsid w:val="35216666"/>
    <w:rsid w:val="352A2CFC"/>
    <w:rsid w:val="353F7ACA"/>
    <w:rsid w:val="358E1AEB"/>
    <w:rsid w:val="35B80C45"/>
    <w:rsid w:val="35C032BE"/>
    <w:rsid w:val="35D579E0"/>
    <w:rsid w:val="366D46DB"/>
    <w:rsid w:val="36820DFD"/>
    <w:rsid w:val="368D718F"/>
    <w:rsid w:val="36DB4D0F"/>
    <w:rsid w:val="370B29C9"/>
    <w:rsid w:val="371812F1"/>
    <w:rsid w:val="371D5182"/>
    <w:rsid w:val="375201D1"/>
    <w:rsid w:val="37647A74"/>
    <w:rsid w:val="378E453E"/>
    <w:rsid w:val="37910FBB"/>
    <w:rsid w:val="37BD5302"/>
    <w:rsid w:val="37CF27BA"/>
    <w:rsid w:val="3801031D"/>
    <w:rsid w:val="3810198E"/>
    <w:rsid w:val="384A2968"/>
    <w:rsid w:val="385641FC"/>
    <w:rsid w:val="386B671F"/>
    <w:rsid w:val="38EE3475"/>
    <w:rsid w:val="390A7481"/>
    <w:rsid w:val="393941D4"/>
    <w:rsid w:val="393F0C84"/>
    <w:rsid w:val="39BB7346"/>
    <w:rsid w:val="39D20B92"/>
    <w:rsid w:val="39EB029D"/>
    <w:rsid w:val="39FC7DAF"/>
    <w:rsid w:val="39FD3633"/>
    <w:rsid w:val="3A0B4374"/>
    <w:rsid w:val="3A276D51"/>
    <w:rsid w:val="3A29797A"/>
    <w:rsid w:val="3A3C2693"/>
    <w:rsid w:val="3A4B3EDA"/>
    <w:rsid w:val="3A73272E"/>
    <w:rsid w:val="3ACB7183"/>
    <w:rsid w:val="3ADC3E14"/>
    <w:rsid w:val="3AEE2E06"/>
    <w:rsid w:val="3B191137"/>
    <w:rsid w:val="3B6405FB"/>
    <w:rsid w:val="3BA64D6C"/>
    <w:rsid w:val="3C1C362D"/>
    <w:rsid w:val="3C1C36C9"/>
    <w:rsid w:val="3C26613B"/>
    <w:rsid w:val="3C94676F"/>
    <w:rsid w:val="3CA96714"/>
    <w:rsid w:val="3CC66044"/>
    <w:rsid w:val="3CE974FE"/>
    <w:rsid w:val="3D0D46DF"/>
    <w:rsid w:val="3D264530"/>
    <w:rsid w:val="3D393E77"/>
    <w:rsid w:val="3D493E51"/>
    <w:rsid w:val="3D61263F"/>
    <w:rsid w:val="3D8C258A"/>
    <w:rsid w:val="3DDA0B0A"/>
    <w:rsid w:val="3DEC58B0"/>
    <w:rsid w:val="3DFA2BBE"/>
    <w:rsid w:val="3DFE50A4"/>
    <w:rsid w:val="3E0F3A5D"/>
    <w:rsid w:val="3EF43B41"/>
    <w:rsid w:val="3F0874F8"/>
    <w:rsid w:val="3F39320C"/>
    <w:rsid w:val="3F602397"/>
    <w:rsid w:val="3F69137B"/>
    <w:rsid w:val="3F6C1603"/>
    <w:rsid w:val="3F6F5F91"/>
    <w:rsid w:val="3FA12730"/>
    <w:rsid w:val="3FDD0BD3"/>
    <w:rsid w:val="3FDE08F5"/>
    <w:rsid w:val="4008017A"/>
    <w:rsid w:val="401776B5"/>
    <w:rsid w:val="40481F49"/>
    <w:rsid w:val="40A57735"/>
    <w:rsid w:val="40C50AD3"/>
    <w:rsid w:val="40E65833"/>
    <w:rsid w:val="414B09AC"/>
    <w:rsid w:val="418A654E"/>
    <w:rsid w:val="41947EA6"/>
    <w:rsid w:val="41D47F93"/>
    <w:rsid w:val="41F533C3"/>
    <w:rsid w:val="42004FD7"/>
    <w:rsid w:val="42014C57"/>
    <w:rsid w:val="4211049B"/>
    <w:rsid w:val="4268218D"/>
    <w:rsid w:val="42772D77"/>
    <w:rsid w:val="42C07614"/>
    <w:rsid w:val="42C42797"/>
    <w:rsid w:val="42C8103A"/>
    <w:rsid w:val="42D178AE"/>
    <w:rsid w:val="42E41580"/>
    <w:rsid w:val="432418C0"/>
    <w:rsid w:val="4351010D"/>
    <w:rsid w:val="435C3C0F"/>
    <w:rsid w:val="43713BB4"/>
    <w:rsid w:val="438B4FB1"/>
    <w:rsid w:val="43947F98"/>
    <w:rsid w:val="439B601B"/>
    <w:rsid w:val="43A45F3A"/>
    <w:rsid w:val="43AE11BC"/>
    <w:rsid w:val="442339D8"/>
    <w:rsid w:val="44563ED5"/>
    <w:rsid w:val="44605A3B"/>
    <w:rsid w:val="44D25AAC"/>
    <w:rsid w:val="44F92736"/>
    <w:rsid w:val="45030AC7"/>
    <w:rsid w:val="45441531"/>
    <w:rsid w:val="45647867"/>
    <w:rsid w:val="456E61AA"/>
    <w:rsid w:val="45913BAE"/>
    <w:rsid w:val="45C66607"/>
    <w:rsid w:val="45D55F98"/>
    <w:rsid w:val="46295027"/>
    <w:rsid w:val="46363AB5"/>
    <w:rsid w:val="4650656B"/>
    <w:rsid w:val="465E3302"/>
    <w:rsid w:val="46722FB9"/>
    <w:rsid w:val="4672735B"/>
    <w:rsid w:val="46816C10"/>
    <w:rsid w:val="46FC0043"/>
    <w:rsid w:val="47051512"/>
    <w:rsid w:val="47567722"/>
    <w:rsid w:val="478E1953"/>
    <w:rsid w:val="47D01EDF"/>
    <w:rsid w:val="47DD782E"/>
    <w:rsid w:val="47FF54E0"/>
    <w:rsid w:val="481822D3"/>
    <w:rsid w:val="48AB2F86"/>
    <w:rsid w:val="48BF3D66"/>
    <w:rsid w:val="48F61D75"/>
    <w:rsid w:val="49746620"/>
    <w:rsid w:val="498C34BA"/>
    <w:rsid w:val="499E6ADA"/>
    <w:rsid w:val="49B8117F"/>
    <w:rsid w:val="4A246431"/>
    <w:rsid w:val="4AB26F61"/>
    <w:rsid w:val="4ABD162D"/>
    <w:rsid w:val="4ACE2F74"/>
    <w:rsid w:val="4AE46A7B"/>
    <w:rsid w:val="4AEA39F4"/>
    <w:rsid w:val="4B3F2B00"/>
    <w:rsid w:val="4B51581A"/>
    <w:rsid w:val="4B8B517E"/>
    <w:rsid w:val="4B9B51B7"/>
    <w:rsid w:val="4BD03E62"/>
    <w:rsid w:val="4C0C69D1"/>
    <w:rsid w:val="4C4A4923"/>
    <w:rsid w:val="4C537700"/>
    <w:rsid w:val="4C8F3727"/>
    <w:rsid w:val="4CB06962"/>
    <w:rsid w:val="4CD01F92"/>
    <w:rsid w:val="4D490586"/>
    <w:rsid w:val="4D5E2AFB"/>
    <w:rsid w:val="4D7A64BE"/>
    <w:rsid w:val="4D7E0E31"/>
    <w:rsid w:val="4D8347ED"/>
    <w:rsid w:val="4E0C3F18"/>
    <w:rsid w:val="4E6D2CB8"/>
    <w:rsid w:val="4E717CF4"/>
    <w:rsid w:val="4E933E07"/>
    <w:rsid w:val="4ED97DE9"/>
    <w:rsid w:val="4F320A25"/>
    <w:rsid w:val="4F404BC5"/>
    <w:rsid w:val="4F45079D"/>
    <w:rsid w:val="4F7C2E75"/>
    <w:rsid w:val="4F851663"/>
    <w:rsid w:val="5027550C"/>
    <w:rsid w:val="5054095A"/>
    <w:rsid w:val="506F306C"/>
    <w:rsid w:val="507B081A"/>
    <w:rsid w:val="50A75D18"/>
    <w:rsid w:val="50CD3844"/>
    <w:rsid w:val="512A4843"/>
    <w:rsid w:val="513A40D0"/>
    <w:rsid w:val="514946EA"/>
    <w:rsid w:val="515A6B83"/>
    <w:rsid w:val="515C4403"/>
    <w:rsid w:val="517A073C"/>
    <w:rsid w:val="517F6B8D"/>
    <w:rsid w:val="519B2E9C"/>
    <w:rsid w:val="51A161BE"/>
    <w:rsid w:val="51D714C7"/>
    <w:rsid w:val="51E00412"/>
    <w:rsid w:val="51F562DF"/>
    <w:rsid w:val="52121BB5"/>
    <w:rsid w:val="521D0102"/>
    <w:rsid w:val="52752859"/>
    <w:rsid w:val="52B513BE"/>
    <w:rsid w:val="52EC03EB"/>
    <w:rsid w:val="530B1DCC"/>
    <w:rsid w:val="530C225C"/>
    <w:rsid w:val="531F0928"/>
    <w:rsid w:val="533E08F9"/>
    <w:rsid w:val="5346672E"/>
    <w:rsid w:val="5357444A"/>
    <w:rsid w:val="535757FA"/>
    <w:rsid w:val="53820B12"/>
    <w:rsid w:val="53C548B8"/>
    <w:rsid w:val="53F96DF7"/>
    <w:rsid w:val="54267F9B"/>
    <w:rsid w:val="54782184"/>
    <w:rsid w:val="54C31A5B"/>
    <w:rsid w:val="5509025D"/>
    <w:rsid w:val="551556A5"/>
    <w:rsid w:val="55401D6C"/>
    <w:rsid w:val="554558D8"/>
    <w:rsid w:val="55754AD4"/>
    <w:rsid w:val="557708B5"/>
    <w:rsid w:val="558B778B"/>
    <w:rsid w:val="559E7B87"/>
    <w:rsid w:val="55C43625"/>
    <w:rsid w:val="55DB77D0"/>
    <w:rsid w:val="55ED318A"/>
    <w:rsid w:val="55FA625C"/>
    <w:rsid w:val="563E54BC"/>
    <w:rsid w:val="565B7F3A"/>
    <w:rsid w:val="56DF7802"/>
    <w:rsid w:val="56FD77F1"/>
    <w:rsid w:val="571E12FD"/>
    <w:rsid w:val="571F24A8"/>
    <w:rsid w:val="573E3DB0"/>
    <w:rsid w:val="574B7326"/>
    <w:rsid w:val="578A642E"/>
    <w:rsid w:val="578C1931"/>
    <w:rsid w:val="57A7215B"/>
    <w:rsid w:val="580367B5"/>
    <w:rsid w:val="581050C4"/>
    <w:rsid w:val="58425BDC"/>
    <w:rsid w:val="58803394"/>
    <w:rsid w:val="588562C6"/>
    <w:rsid w:val="58D6513A"/>
    <w:rsid w:val="59522196"/>
    <w:rsid w:val="597102E2"/>
    <w:rsid w:val="59A92BA5"/>
    <w:rsid w:val="59AA2204"/>
    <w:rsid w:val="59EC260F"/>
    <w:rsid w:val="5A006E37"/>
    <w:rsid w:val="5A6826C8"/>
    <w:rsid w:val="5A6C3F68"/>
    <w:rsid w:val="5ABF32C5"/>
    <w:rsid w:val="5AEE3DBE"/>
    <w:rsid w:val="5B0F6FF4"/>
    <w:rsid w:val="5B1556C4"/>
    <w:rsid w:val="5B343F5B"/>
    <w:rsid w:val="5B715A14"/>
    <w:rsid w:val="5B7F2E79"/>
    <w:rsid w:val="5B8945B3"/>
    <w:rsid w:val="5B9C20DB"/>
    <w:rsid w:val="5BD347B4"/>
    <w:rsid w:val="5BD42235"/>
    <w:rsid w:val="5BDD2B45"/>
    <w:rsid w:val="5BE701AC"/>
    <w:rsid w:val="5BFA51BE"/>
    <w:rsid w:val="5C3B728F"/>
    <w:rsid w:val="5C493E38"/>
    <w:rsid w:val="5C497C75"/>
    <w:rsid w:val="5CD765E0"/>
    <w:rsid w:val="5D385380"/>
    <w:rsid w:val="5D6F7A58"/>
    <w:rsid w:val="5D715229"/>
    <w:rsid w:val="5DA80EB7"/>
    <w:rsid w:val="5DD067F8"/>
    <w:rsid w:val="5E12784F"/>
    <w:rsid w:val="5E26061F"/>
    <w:rsid w:val="5E5450FE"/>
    <w:rsid w:val="5EB21969"/>
    <w:rsid w:val="5ED46B86"/>
    <w:rsid w:val="5ED50624"/>
    <w:rsid w:val="5ED8702A"/>
    <w:rsid w:val="5EDA45BA"/>
    <w:rsid w:val="5EF7597F"/>
    <w:rsid w:val="5F164911"/>
    <w:rsid w:val="5F3560BF"/>
    <w:rsid w:val="5FD50E80"/>
    <w:rsid w:val="60467201"/>
    <w:rsid w:val="607F5921"/>
    <w:rsid w:val="61023B41"/>
    <w:rsid w:val="611B369C"/>
    <w:rsid w:val="614A6BE5"/>
    <w:rsid w:val="61662701"/>
    <w:rsid w:val="61855A0A"/>
    <w:rsid w:val="619F1F9F"/>
    <w:rsid w:val="62037FB9"/>
    <w:rsid w:val="62146209"/>
    <w:rsid w:val="62395D3E"/>
    <w:rsid w:val="623F1E5F"/>
    <w:rsid w:val="627B71A0"/>
    <w:rsid w:val="62C82CA9"/>
    <w:rsid w:val="63130619"/>
    <w:rsid w:val="63483071"/>
    <w:rsid w:val="63800859"/>
    <w:rsid w:val="63936B74"/>
    <w:rsid w:val="64423289"/>
    <w:rsid w:val="645B1696"/>
    <w:rsid w:val="645F60EA"/>
    <w:rsid w:val="647319F7"/>
    <w:rsid w:val="64901066"/>
    <w:rsid w:val="64B1636B"/>
    <w:rsid w:val="64E60AF2"/>
    <w:rsid w:val="6501056A"/>
    <w:rsid w:val="65367019"/>
    <w:rsid w:val="654B2B4E"/>
    <w:rsid w:val="659A6D3E"/>
    <w:rsid w:val="65B62855"/>
    <w:rsid w:val="65C825EA"/>
    <w:rsid w:val="65D920A6"/>
    <w:rsid w:val="6619093D"/>
    <w:rsid w:val="661F6E0C"/>
    <w:rsid w:val="663667DB"/>
    <w:rsid w:val="664107D0"/>
    <w:rsid w:val="667A6BE2"/>
    <w:rsid w:val="667B19B6"/>
    <w:rsid w:val="667C162B"/>
    <w:rsid w:val="66990B2F"/>
    <w:rsid w:val="66B229A3"/>
    <w:rsid w:val="66CC7AB7"/>
    <w:rsid w:val="66EC34BE"/>
    <w:rsid w:val="66ED5FB4"/>
    <w:rsid w:val="670853FD"/>
    <w:rsid w:val="670E46A1"/>
    <w:rsid w:val="67456D79"/>
    <w:rsid w:val="67602EBD"/>
    <w:rsid w:val="67666032"/>
    <w:rsid w:val="676C7B91"/>
    <w:rsid w:val="67706CC4"/>
    <w:rsid w:val="67742D74"/>
    <w:rsid w:val="677A5055"/>
    <w:rsid w:val="678655E4"/>
    <w:rsid w:val="67BC5ABE"/>
    <w:rsid w:val="683F2814"/>
    <w:rsid w:val="68402ED8"/>
    <w:rsid w:val="68511835"/>
    <w:rsid w:val="686D58E2"/>
    <w:rsid w:val="687E024B"/>
    <w:rsid w:val="688A7410"/>
    <w:rsid w:val="68BE5982"/>
    <w:rsid w:val="690B5432"/>
    <w:rsid w:val="6923630A"/>
    <w:rsid w:val="692E7F1E"/>
    <w:rsid w:val="6974674E"/>
    <w:rsid w:val="698F343B"/>
    <w:rsid w:val="699636A9"/>
    <w:rsid w:val="69AC6C0B"/>
    <w:rsid w:val="6A015CF8"/>
    <w:rsid w:val="6A3D00DC"/>
    <w:rsid w:val="6A491970"/>
    <w:rsid w:val="6A5C2B8F"/>
    <w:rsid w:val="6A9A0475"/>
    <w:rsid w:val="6AEA5C76"/>
    <w:rsid w:val="6B072260"/>
    <w:rsid w:val="6B8861F6"/>
    <w:rsid w:val="6BAA11C7"/>
    <w:rsid w:val="6BB256BF"/>
    <w:rsid w:val="6BB44585"/>
    <w:rsid w:val="6BC31BD8"/>
    <w:rsid w:val="6BF74B2E"/>
    <w:rsid w:val="6C272092"/>
    <w:rsid w:val="6C2B07E3"/>
    <w:rsid w:val="6C3A689C"/>
    <w:rsid w:val="6C5534AF"/>
    <w:rsid w:val="6C6241DE"/>
    <w:rsid w:val="6C793D2F"/>
    <w:rsid w:val="6C8969DF"/>
    <w:rsid w:val="6C8F7D1B"/>
    <w:rsid w:val="6CAD2E04"/>
    <w:rsid w:val="6CBD35F3"/>
    <w:rsid w:val="6CFA206B"/>
    <w:rsid w:val="6CFC6C63"/>
    <w:rsid w:val="6D302924"/>
    <w:rsid w:val="6D341F2A"/>
    <w:rsid w:val="6D400349"/>
    <w:rsid w:val="6D447ADB"/>
    <w:rsid w:val="6D474FD5"/>
    <w:rsid w:val="6D727209"/>
    <w:rsid w:val="6D756624"/>
    <w:rsid w:val="6DAA1F76"/>
    <w:rsid w:val="6DAE6B91"/>
    <w:rsid w:val="6E077F01"/>
    <w:rsid w:val="6E20323A"/>
    <w:rsid w:val="6E283E5B"/>
    <w:rsid w:val="6E4E2A84"/>
    <w:rsid w:val="6E500DC6"/>
    <w:rsid w:val="6EA64798"/>
    <w:rsid w:val="6EB66959"/>
    <w:rsid w:val="6EDC35ED"/>
    <w:rsid w:val="6EFC1923"/>
    <w:rsid w:val="6EFC51A7"/>
    <w:rsid w:val="6F6E1A65"/>
    <w:rsid w:val="6FEE0256"/>
    <w:rsid w:val="700C1760"/>
    <w:rsid w:val="703716AB"/>
    <w:rsid w:val="70406A16"/>
    <w:rsid w:val="70593DDE"/>
    <w:rsid w:val="706A37E2"/>
    <w:rsid w:val="70A0333E"/>
    <w:rsid w:val="70A367DC"/>
    <w:rsid w:val="70B97668"/>
    <w:rsid w:val="70C65EC1"/>
    <w:rsid w:val="70DA0EB4"/>
    <w:rsid w:val="713F1EA3"/>
    <w:rsid w:val="714A2FA6"/>
    <w:rsid w:val="715304D9"/>
    <w:rsid w:val="71920663"/>
    <w:rsid w:val="719E6674"/>
    <w:rsid w:val="724C7A91"/>
    <w:rsid w:val="72510C2D"/>
    <w:rsid w:val="726F7A40"/>
    <w:rsid w:val="727A2B5F"/>
    <w:rsid w:val="728241F2"/>
    <w:rsid w:val="728D3B4B"/>
    <w:rsid w:val="72994A08"/>
    <w:rsid w:val="72C267D6"/>
    <w:rsid w:val="72D95730"/>
    <w:rsid w:val="72F3399E"/>
    <w:rsid w:val="73085E5F"/>
    <w:rsid w:val="73166260"/>
    <w:rsid w:val="733A09A1"/>
    <w:rsid w:val="7359610E"/>
    <w:rsid w:val="7396227D"/>
    <w:rsid w:val="739843B3"/>
    <w:rsid w:val="73B1065D"/>
    <w:rsid w:val="73C64D7F"/>
    <w:rsid w:val="73C85151"/>
    <w:rsid w:val="73C93A07"/>
    <w:rsid w:val="73E456D2"/>
    <w:rsid w:val="740D74D1"/>
    <w:rsid w:val="74887320"/>
    <w:rsid w:val="74944C62"/>
    <w:rsid w:val="74952880"/>
    <w:rsid w:val="74964153"/>
    <w:rsid w:val="74A024E4"/>
    <w:rsid w:val="74A677B5"/>
    <w:rsid w:val="74A9289C"/>
    <w:rsid w:val="74AD503C"/>
    <w:rsid w:val="74C0081A"/>
    <w:rsid w:val="74CF3C20"/>
    <w:rsid w:val="74E81B55"/>
    <w:rsid w:val="75011284"/>
    <w:rsid w:val="752175BA"/>
    <w:rsid w:val="756D74E4"/>
    <w:rsid w:val="75882536"/>
    <w:rsid w:val="75C42647"/>
    <w:rsid w:val="75D00657"/>
    <w:rsid w:val="75D100C4"/>
    <w:rsid w:val="765C3ABF"/>
    <w:rsid w:val="7663757C"/>
    <w:rsid w:val="767720EA"/>
    <w:rsid w:val="76776496"/>
    <w:rsid w:val="76853969"/>
    <w:rsid w:val="76B94407"/>
    <w:rsid w:val="76FB7CCC"/>
    <w:rsid w:val="772B760F"/>
    <w:rsid w:val="772D6395"/>
    <w:rsid w:val="774A0BC1"/>
    <w:rsid w:val="77543BCA"/>
    <w:rsid w:val="778238A1"/>
    <w:rsid w:val="778451AB"/>
    <w:rsid w:val="778D1C32"/>
    <w:rsid w:val="77B53DD6"/>
    <w:rsid w:val="77F90B6D"/>
    <w:rsid w:val="77FB2266"/>
    <w:rsid w:val="78173D95"/>
    <w:rsid w:val="78304CBF"/>
    <w:rsid w:val="78711EA5"/>
    <w:rsid w:val="78DE0EE0"/>
    <w:rsid w:val="78F227FE"/>
    <w:rsid w:val="78FC3F32"/>
    <w:rsid w:val="793019F7"/>
    <w:rsid w:val="794B4A02"/>
    <w:rsid w:val="798D302F"/>
    <w:rsid w:val="79BD3F25"/>
    <w:rsid w:val="7A905722"/>
    <w:rsid w:val="7AA51E44"/>
    <w:rsid w:val="7AD0650C"/>
    <w:rsid w:val="7B5D15F3"/>
    <w:rsid w:val="7BBB1C1E"/>
    <w:rsid w:val="7BC36BAD"/>
    <w:rsid w:val="7BFC04F7"/>
    <w:rsid w:val="7BFC0976"/>
    <w:rsid w:val="7C5B3A94"/>
    <w:rsid w:val="7C6552DE"/>
    <w:rsid w:val="7C8313D5"/>
    <w:rsid w:val="7C8E7766"/>
    <w:rsid w:val="7C985AF7"/>
    <w:rsid w:val="7CDC328D"/>
    <w:rsid w:val="7CEF6506"/>
    <w:rsid w:val="7CFA011A"/>
    <w:rsid w:val="7D4071CA"/>
    <w:rsid w:val="7D7B626D"/>
    <w:rsid w:val="7D7C1806"/>
    <w:rsid w:val="7D9E6DEE"/>
    <w:rsid w:val="7DC93C6B"/>
    <w:rsid w:val="7DC945CD"/>
    <w:rsid w:val="7DD532C9"/>
    <w:rsid w:val="7DF34AAF"/>
    <w:rsid w:val="7E0A3E44"/>
    <w:rsid w:val="7E286E4E"/>
    <w:rsid w:val="7E4A0D41"/>
    <w:rsid w:val="7E5252B7"/>
    <w:rsid w:val="7E587DBC"/>
    <w:rsid w:val="7E620CB9"/>
    <w:rsid w:val="7E95476D"/>
    <w:rsid w:val="7EA038CE"/>
    <w:rsid w:val="7ECD2214"/>
    <w:rsid w:val="7F242240"/>
    <w:rsid w:val="7F2C6E61"/>
    <w:rsid w:val="7F5B0B7E"/>
    <w:rsid w:val="7F5D1C11"/>
    <w:rsid w:val="7F656F0F"/>
    <w:rsid w:val="7F690A77"/>
    <w:rsid w:val="7F74100D"/>
    <w:rsid w:val="7F7E7F1B"/>
    <w:rsid w:val="7FA22BE1"/>
    <w:rsid w:val="7FB665F7"/>
    <w:rsid w:val="7FBA383D"/>
    <w:rsid w:val="7FC65CAF"/>
    <w:rsid w:val="7FEF319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qFormat="1" w:unhideWhenUsed="0" w:uiPriority="99" w:semiHidden="0" w:name="HTML Variable"/>
    <w:lsdException w:qFormat="1" w:uiPriority="99" w:semiHidden="0"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1"/>
    <w:qFormat/>
    <w:uiPriority w:val="99"/>
    <w:pPr>
      <w:keepNext/>
      <w:keepLines/>
      <w:spacing w:line="360" w:lineRule="auto"/>
      <w:outlineLvl w:val="0"/>
    </w:pPr>
    <w:rPr>
      <w:b/>
      <w:bCs/>
      <w:kern w:val="44"/>
      <w:sz w:val="32"/>
      <w:szCs w:val="32"/>
    </w:rPr>
  </w:style>
  <w:style w:type="paragraph" w:styleId="4">
    <w:name w:val="heading 2"/>
    <w:basedOn w:val="1"/>
    <w:next w:val="1"/>
    <w:link w:val="52"/>
    <w:qFormat/>
    <w:uiPriority w:val="99"/>
    <w:pPr>
      <w:keepNext/>
      <w:keepLines/>
      <w:spacing w:before="260" w:after="260" w:line="416" w:lineRule="auto"/>
      <w:jc w:val="left"/>
      <w:outlineLvl w:val="1"/>
    </w:pPr>
    <w:rPr>
      <w:rFonts w:ascii="Cambria" w:hAnsi="Cambria" w:cs="Cambria"/>
      <w:b/>
      <w:bCs/>
      <w:sz w:val="32"/>
      <w:szCs w:val="32"/>
    </w:rPr>
  </w:style>
  <w:style w:type="paragraph" w:styleId="5">
    <w:name w:val="heading 3"/>
    <w:basedOn w:val="1"/>
    <w:next w:val="1"/>
    <w:link w:val="53"/>
    <w:qFormat/>
    <w:uiPriority w:val="99"/>
    <w:pPr>
      <w:keepNext/>
      <w:keepLines/>
      <w:spacing w:line="360" w:lineRule="auto"/>
      <w:outlineLvl w:val="2"/>
    </w:pPr>
    <w:rPr>
      <w:b/>
      <w:bCs/>
      <w:sz w:val="24"/>
      <w:szCs w:val="24"/>
    </w:rPr>
  </w:style>
  <w:style w:type="paragraph" w:styleId="6">
    <w:name w:val="heading 4"/>
    <w:basedOn w:val="1"/>
    <w:next w:val="1"/>
    <w:link w:val="54"/>
    <w:qFormat/>
    <w:uiPriority w:val="99"/>
    <w:pPr>
      <w:keepNext/>
      <w:keepLines/>
      <w:spacing w:line="360" w:lineRule="auto"/>
      <w:outlineLvl w:val="3"/>
    </w:pPr>
    <w:rPr>
      <w:rFonts w:ascii="Arial" w:hAnsi="Arial" w:cs="Arial"/>
      <w:b/>
      <w:bCs/>
    </w:rPr>
  </w:style>
  <w:style w:type="paragraph" w:styleId="7">
    <w:name w:val="heading 5"/>
    <w:basedOn w:val="1"/>
    <w:next w:val="1"/>
    <w:link w:val="55"/>
    <w:qFormat/>
    <w:uiPriority w:val="99"/>
    <w:pPr>
      <w:keepNext/>
      <w:keepLines/>
      <w:spacing w:before="280" w:after="290" w:line="376" w:lineRule="auto"/>
      <w:outlineLvl w:val="4"/>
    </w:pPr>
    <w:rPr>
      <w:b/>
      <w:bCs/>
      <w:sz w:val="28"/>
      <w:szCs w:val="28"/>
    </w:rPr>
  </w:style>
  <w:style w:type="paragraph" w:styleId="8">
    <w:name w:val="heading 6"/>
    <w:basedOn w:val="1"/>
    <w:next w:val="1"/>
    <w:link w:val="56"/>
    <w:qFormat/>
    <w:uiPriority w:val="99"/>
    <w:pPr>
      <w:keepNext/>
      <w:keepLines/>
      <w:spacing w:before="240" w:after="64" w:line="320" w:lineRule="auto"/>
      <w:outlineLvl w:val="5"/>
    </w:pPr>
    <w:rPr>
      <w:rFonts w:ascii="Arial" w:hAnsi="Arial" w:eastAsia="黑体" w:cs="Arial"/>
      <w:b/>
      <w:bCs/>
      <w:sz w:val="24"/>
      <w:szCs w:val="24"/>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1"/>
    <w:qFormat/>
    <w:uiPriority w:val="99"/>
    <w:pPr>
      <w:jc w:val="center"/>
    </w:pPr>
  </w:style>
  <w:style w:type="paragraph" w:styleId="9">
    <w:name w:val="toc 7"/>
    <w:basedOn w:val="1"/>
    <w:next w:val="1"/>
    <w:semiHidden/>
    <w:qFormat/>
    <w:uiPriority w:val="99"/>
    <w:pPr>
      <w:ind w:left="1260"/>
      <w:jc w:val="left"/>
    </w:pPr>
    <w:rPr>
      <w:rFonts w:ascii="Calibri" w:hAnsi="Calibri" w:cs="Calibri"/>
      <w:sz w:val="18"/>
      <w:szCs w:val="18"/>
    </w:rPr>
  </w:style>
  <w:style w:type="paragraph" w:styleId="10">
    <w:name w:val="Normal Indent"/>
    <w:basedOn w:val="1"/>
    <w:qFormat/>
    <w:uiPriority w:val="99"/>
    <w:pPr>
      <w:ind w:firstLine="420"/>
    </w:pPr>
  </w:style>
  <w:style w:type="paragraph" w:styleId="11">
    <w:name w:val="Document Map"/>
    <w:basedOn w:val="1"/>
    <w:link w:val="59"/>
    <w:semiHidden/>
    <w:qFormat/>
    <w:uiPriority w:val="99"/>
    <w:pPr>
      <w:shd w:val="clear" w:color="auto" w:fill="000080"/>
    </w:pPr>
  </w:style>
  <w:style w:type="paragraph" w:styleId="12">
    <w:name w:val="annotation text"/>
    <w:basedOn w:val="1"/>
    <w:link w:val="57"/>
    <w:semiHidden/>
    <w:qFormat/>
    <w:uiPriority w:val="99"/>
    <w:pPr>
      <w:jc w:val="left"/>
    </w:pPr>
  </w:style>
  <w:style w:type="paragraph" w:styleId="13">
    <w:name w:val="Body Text 3"/>
    <w:basedOn w:val="1"/>
    <w:link w:val="60"/>
    <w:qFormat/>
    <w:uiPriority w:val="99"/>
    <w:rPr>
      <w:rFonts w:ascii="宋体" w:cs="宋体"/>
      <w:sz w:val="24"/>
      <w:szCs w:val="24"/>
    </w:rPr>
  </w:style>
  <w:style w:type="paragraph" w:styleId="14">
    <w:name w:val="Body Text Indent"/>
    <w:basedOn w:val="1"/>
    <w:link w:val="62"/>
    <w:qFormat/>
    <w:uiPriority w:val="99"/>
    <w:pPr>
      <w:spacing w:line="360" w:lineRule="auto"/>
      <w:ind w:left="424" w:leftChars="202" w:firstLine="567"/>
    </w:pPr>
    <w:rPr>
      <w:sz w:val="24"/>
      <w:szCs w:val="24"/>
    </w:rPr>
  </w:style>
  <w:style w:type="paragraph" w:styleId="15">
    <w:name w:val="toc 5"/>
    <w:basedOn w:val="1"/>
    <w:next w:val="1"/>
    <w:semiHidden/>
    <w:qFormat/>
    <w:uiPriority w:val="99"/>
    <w:pPr>
      <w:ind w:left="840"/>
      <w:jc w:val="left"/>
    </w:pPr>
    <w:rPr>
      <w:rFonts w:ascii="Calibri" w:hAnsi="Calibri" w:cs="Calibri"/>
      <w:sz w:val="18"/>
      <w:szCs w:val="18"/>
    </w:rPr>
  </w:style>
  <w:style w:type="paragraph" w:styleId="16">
    <w:name w:val="toc 3"/>
    <w:basedOn w:val="1"/>
    <w:next w:val="1"/>
    <w:semiHidden/>
    <w:qFormat/>
    <w:uiPriority w:val="99"/>
    <w:pPr>
      <w:ind w:left="420"/>
      <w:jc w:val="left"/>
    </w:pPr>
    <w:rPr>
      <w:rFonts w:ascii="Calibri" w:hAnsi="Calibri" w:cs="Calibri"/>
      <w:i/>
      <w:iCs/>
      <w:sz w:val="20"/>
      <w:szCs w:val="20"/>
    </w:rPr>
  </w:style>
  <w:style w:type="paragraph" w:styleId="17">
    <w:name w:val="Plain Text"/>
    <w:basedOn w:val="1"/>
    <w:link w:val="63"/>
    <w:qFormat/>
    <w:uiPriority w:val="99"/>
    <w:rPr>
      <w:rFonts w:ascii="宋体" w:hAnsi="Courier New" w:cs="宋体"/>
    </w:rPr>
  </w:style>
  <w:style w:type="paragraph" w:styleId="18">
    <w:name w:val="toc 8"/>
    <w:basedOn w:val="1"/>
    <w:next w:val="1"/>
    <w:semiHidden/>
    <w:qFormat/>
    <w:uiPriority w:val="99"/>
    <w:pPr>
      <w:ind w:left="1470"/>
      <w:jc w:val="left"/>
    </w:pPr>
    <w:rPr>
      <w:rFonts w:ascii="Calibri" w:hAnsi="Calibri" w:cs="Calibri"/>
      <w:sz w:val="18"/>
      <w:szCs w:val="18"/>
    </w:rPr>
  </w:style>
  <w:style w:type="paragraph" w:styleId="19">
    <w:name w:val="Date"/>
    <w:basedOn w:val="1"/>
    <w:next w:val="1"/>
    <w:link w:val="64"/>
    <w:qFormat/>
    <w:uiPriority w:val="99"/>
    <w:pPr>
      <w:ind w:left="100" w:leftChars="2500"/>
    </w:pPr>
  </w:style>
  <w:style w:type="paragraph" w:styleId="20">
    <w:name w:val="Body Text Indent 2"/>
    <w:basedOn w:val="1"/>
    <w:link w:val="65"/>
    <w:qFormat/>
    <w:uiPriority w:val="99"/>
    <w:pPr>
      <w:spacing w:line="480" w:lineRule="exact"/>
      <w:ind w:left="-1"/>
    </w:pPr>
    <w:rPr>
      <w:sz w:val="24"/>
      <w:szCs w:val="24"/>
    </w:rPr>
  </w:style>
  <w:style w:type="paragraph" w:styleId="21">
    <w:name w:val="Balloon Text"/>
    <w:basedOn w:val="1"/>
    <w:link w:val="66"/>
    <w:semiHidden/>
    <w:qFormat/>
    <w:uiPriority w:val="99"/>
    <w:rPr>
      <w:sz w:val="18"/>
      <w:szCs w:val="18"/>
    </w:rPr>
  </w:style>
  <w:style w:type="paragraph" w:styleId="22">
    <w:name w:val="footer"/>
    <w:basedOn w:val="1"/>
    <w:link w:val="67"/>
    <w:qFormat/>
    <w:uiPriority w:val="99"/>
    <w:pPr>
      <w:tabs>
        <w:tab w:val="center" w:pos="4153"/>
        <w:tab w:val="right" w:pos="8306"/>
      </w:tabs>
      <w:snapToGrid w:val="0"/>
      <w:jc w:val="left"/>
    </w:pPr>
    <w:rPr>
      <w:sz w:val="18"/>
      <w:szCs w:val="18"/>
    </w:rPr>
  </w:style>
  <w:style w:type="paragraph" w:styleId="23">
    <w:name w:val="header"/>
    <w:basedOn w:val="1"/>
    <w:link w:val="68"/>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spacing w:before="120" w:after="120"/>
      <w:jc w:val="left"/>
    </w:pPr>
    <w:rPr>
      <w:rFonts w:ascii="Calibri" w:hAnsi="Calibri" w:cs="Calibri"/>
      <w:b/>
      <w:bCs/>
      <w:caps/>
      <w:sz w:val="20"/>
      <w:szCs w:val="20"/>
    </w:rPr>
  </w:style>
  <w:style w:type="paragraph" w:styleId="25">
    <w:name w:val="toc 4"/>
    <w:basedOn w:val="1"/>
    <w:next w:val="1"/>
    <w:semiHidden/>
    <w:qFormat/>
    <w:uiPriority w:val="99"/>
    <w:pPr>
      <w:ind w:left="630"/>
      <w:jc w:val="left"/>
    </w:pPr>
    <w:rPr>
      <w:rFonts w:ascii="Calibri" w:hAnsi="Calibri" w:cs="Calibri"/>
      <w:sz w:val="18"/>
      <w:szCs w:val="18"/>
    </w:rPr>
  </w:style>
  <w:style w:type="paragraph" w:styleId="26">
    <w:name w:val="toc 6"/>
    <w:basedOn w:val="1"/>
    <w:next w:val="1"/>
    <w:semiHidden/>
    <w:qFormat/>
    <w:uiPriority w:val="99"/>
    <w:pPr>
      <w:ind w:left="1050"/>
      <w:jc w:val="left"/>
    </w:pPr>
    <w:rPr>
      <w:rFonts w:ascii="Calibri" w:hAnsi="Calibri" w:cs="Calibri"/>
      <w:sz w:val="18"/>
      <w:szCs w:val="18"/>
    </w:rPr>
  </w:style>
  <w:style w:type="paragraph" w:styleId="27">
    <w:name w:val="Body Text Indent 3"/>
    <w:basedOn w:val="1"/>
    <w:link w:val="69"/>
    <w:qFormat/>
    <w:uiPriority w:val="99"/>
    <w:pPr>
      <w:spacing w:line="360" w:lineRule="auto"/>
      <w:ind w:left="420" w:firstLine="480"/>
    </w:pPr>
    <w:rPr>
      <w:rFonts w:ascii="宋体" w:hAnsi="宋体" w:cs="宋体"/>
      <w:sz w:val="24"/>
      <w:szCs w:val="24"/>
    </w:rPr>
  </w:style>
  <w:style w:type="paragraph" w:styleId="28">
    <w:name w:val="toc 2"/>
    <w:basedOn w:val="1"/>
    <w:next w:val="1"/>
    <w:semiHidden/>
    <w:qFormat/>
    <w:uiPriority w:val="99"/>
    <w:pPr>
      <w:ind w:left="210"/>
      <w:jc w:val="left"/>
    </w:pPr>
    <w:rPr>
      <w:rFonts w:ascii="Calibri" w:hAnsi="Calibri" w:cs="Calibri"/>
      <w:smallCaps/>
      <w:sz w:val="20"/>
      <w:szCs w:val="20"/>
    </w:rPr>
  </w:style>
  <w:style w:type="paragraph" w:styleId="29">
    <w:name w:val="toc 9"/>
    <w:basedOn w:val="1"/>
    <w:next w:val="1"/>
    <w:semiHidden/>
    <w:qFormat/>
    <w:uiPriority w:val="99"/>
    <w:pPr>
      <w:ind w:left="1680"/>
      <w:jc w:val="left"/>
    </w:pPr>
    <w:rPr>
      <w:rFonts w:ascii="Calibri" w:hAnsi="Calibri" w:cs="Calibri"/>
      <w:sz w:val="18"/>
      <w:szCs w:val="18"/>
    </w:rPr>
  </w:style>
  <w:style w:type="paragraph" w:styleId="30">
    <w:name w:val="Body Text 2"/>
    <w:basedOn w:val="1"/>
    <w:link w:val="70"/>
    <w:qFormat/>
    <w:uiPriority w:val="99"/>
    <w:pPr>
      <w:adjustRightInd w:val="0"/>
      <w:snapToGrid w:val="0"/>
      <w:spacing w:before="60" w:after="60" w:line="300" w:lineRule="auto"/>
    </w:pPr>
    <w:rPr>
      <w:rFonts w:ascii="宋体" w:cs="宋体"/>
      <w:sz w:val="24"/>
      <w:szCs w:val="24"/>
    </w:rPr>
  </w:style>
  <w:style w:type="paragraph" w:styleId="31">
    <w:name w:val="Normal (Web)"/>
    <w:basedOn w:val="1"/>
    <w:qFormat/>
    <w:uiPriority w:val="99"/>
    <w:pPr>
      <w:widowControl/>
      <w:spacing w:before="100" w:beforeAutospacing="1" w:after="100" w:afterAutospacing="1"/>
      <w:jc w:val="left"/>
    </w:pPr>
    <w:rPr>
      <w:rFonts w:ascii="宋体" w:hAnsi="宋体" w:cs="宋体"/>
      <w:sz w:val="24"/>
      <w:szCs w:val="24"/>
    </w:rPr>
  </w:style>
  <w:style w:type="paragraph" w:styleId="32">
    <w:name w:val="annotation subject"/>
    <w:basedOn w:val="12"/>
    <w:next w:val="12"/>
    <w:link w:val="58"/>
    <w:semiHidden/>
    <w:qFormat/>
    <w:uiPriority w:val="99"/>
    <w:rPr>
      <w:b/>
      <w:bCs/>
    </w:rPr>
  </w:style>
  <w:style w:type="paragraph" w:styleId="33">
    <w:name w:val="Body Text First Indent"/>
    <w:basedOn w:val="2"/>
    <w:qFormat/>
    <w:locked/>
    <w:uiPriority w:val="99"/>
    <w:pPr>
      <w:ind w:firstLine="420" w:firstLineChars="100"/>
    </w:pPr>
    <w:rPr>
      <w:rFonts w:ascii="宋体"/>
    </w:rPr>
  </w:style>
  <w:style w:type="paragraph" w:styleId="34">
    <w:name w:val="Body Text First Indent 2"/>
    <w:basedOn w:val="14"/>
    <w:unhideWhenUsed/>
    <w:qFormat/>
    <w:locked/>
    <w:uiPriority w:val="0"/>
    <w:pPr>
      <w:spacing w:after="120"/>
      <w:ind w:left="420" w:leftChars="200" w:firstLine="420" w:firstLineChars="200"/>
    </w:pPr>
    <w:rPr>
      <w:sz w:val="24"/>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99"/>
    <w:rPr>
      <w:b/>
      <w:bCs/>
    </w:rPr>
  </w:style>
  <w:style w:type="character" w:styleId="39">
    <w:name w:val="page number"/>
    <w:basedOn w:val="37"/>
    <w:qFormat/>
    <w:uiPriority w:val="99"/>
  </w:style>
  <w:style w:type="character" w:styleId="40">
    <w:name w:val="FollowedHyperlink"/>
    <w:basedOn w:val="37"/>
    <w:qFormat/>
    <w:uiPriority w:val="99"/>
    <w:rPr>
      <w:color w:val="auto"/>
      <w:u w:val="none"/>
    </w:rPr>
  </w:style>
  <w:style w:type="character" w:styleId="41">
    <w:name w:val="Emphasis"/>
    <w:basedOn w:val="37"/>
    <w:qFormat/>
    <w:uiPriority w:val="99"/>
    <w:rPr>
      <w:i/>
      <w:iCs/>
    </w:rPr>
  </w:style>
  <w:style w:type="character" w:styleId="42">
    <w:name w:val="HTML Definition"/>
    <w:basedOn w:val="37"/>
    <w:qFormat/>
    <w:uiPriority w:val="99"/>
  </w:style>
  <w:style w:type="character" w:styleId="43">
    <w:name w:val="HTML Acronym"/>
    <w:basedOn w:val="37"/>
    <w:qFormat/>
    <w:uiPriority w:val="99"/>
  </w:style>
  <w:style w:type="character" w:styleId="44">
    <w:name w:val="HTML Variable"/>
    <w:basedOn w:val="37"/>
    <w:qFormat/>
    <w:uiPriority w:val="99"/>
  </w:style>
  <w:style w:type="character" w:styleId="45">
    <w:name w:val="Hyperlink"/>
    <w:basedOn w:val="37"/>
    <w:qFormat/>
    <w:uiPriority w:val="99"/>
    <w:rPr>
      <w:color w:val="auto"/>
      <w:u w:val="none"/>
    </w:rPr>
  </w:style>
  <w:style w:type="character" w:styleId="46">
    <w:name w:val="HTML Code"/>
    <w:basedOn w:val="37"/>
    <w:qFormat/>
    <w:uiPriority w:val="99"/>
    <w:rPr>
      <w:rFonts w:ascii="monospace" w:hAnsi="monospace" w:cs="monospace"/>
      <w:sz w:val="24"/>
      <w:szCs w:val="24"/>
    </w:rPr>
  </w:style>
  <w:style w:type="character" w:styleId="47">
    <w:name w:val="annotation reference"/>
    <w:basedOn w:val="37"/>
    <w:semiHidden/>
    <w:qFormat/>
    <w:uiPriority w:val="99"/>
    <w:rPr>
      <w:sz w:val="21"/>
      <w:szCs w:val="21"/>
    </w:rPr>
  </w:style>
  <w:style w:type="character" w:styleId="48">
    <w:name w:val="HTML Cite"/>
    <w:basedOn w:val="37"/>
    <w:qFormat/>
    <w:uiPriority w:val="99"/>
  </w:style>
  <w:style w:type="character" w:styleId="49">
    <w:name w:val="HTML Keyboard"/>
    <w:basedOn w:val="37"/>
    <w:qFormat/>
    <w:uiPriority w:val="99"/>
    <w:rPr>
      <w:rFonts w:ascii="monospace" w:hAnsi="monospace" w:cs="monospace"/>
      <w:sz w:val="24"/>
      <w:szCs w:val="24"/>
    </w:rPr>
  </w:style>
  <w:style w:type="character" w:styleId="50">
    <w:name w:val="HTML Sample"/>
    <w:basedOn w:val="37"/>
    <w:qFormat/>
    <w:uiPriority w:val="99"/>
    <w:rPr>
      <w:rFonts w:ascii="monospace" w:hAnsi="monospace" w:cs="monospace"/>
      <w:sz w:val="24"/>
      <w:szCs w:val="24"/>
    </w:rPr>
  </w:style>
  <w:style w:type="character" w:customStyle="1" w:styleId="51">
    <w:name w:val="标题 1 Char"/>
    <w:basedOn w:val="37"/>
    <w:link w:val="3"/>
    <w:qFormat/>
    <w:locked/>
    <w:uiPriority w:val="99"/>
    <w:rPr>
      <w:b/>
      <w:bCs/>
      <w:kern w:val="44"/>
      <w:sz w:val="44"/>
      <w:szCs w:val="44"/>
    </w:rPr>
  </w:style>
  <w:style w:type="character" w:customStyle="1" w:styleId="52">
    <w:name w:val="标题 2 Char"/>
    <w:basedOn w:val="37"/>
    <w:link w:val="4"/>
    <w:qFormat/>
    <w:locked/>
    <w:uiPriority w:val="99"/>
    <w:rPr>
      <w:rFonts w:ascii="Cambria" w:hAnsi="Cambria" w:cs="Cambria"/>
      <w:b/>
      <w:bCs/>
      <w:kern w:val="2"/>
      <w:sz w:val="32"/>
      <w:szCs w:val="32"/>
    </w:rPr>
  </w:style>
  <w:style w:type="character" w:customStyle="1" w:styleId="53">
    <w:name w:val="标题 3 Char"/>
    <w:basedOn w:val="37"/>
    <w:link w:val="5"/>
    <w:qFormat/>
    <w:locked/>
    <w:uiPriority w:val="99"/>
    <w:rPr>
      <w:b/>
      <w:bCs/>
      <w:kern w:val="2"/>
      <w:sz w:val="32"/>
      <w:szCs w:val="32"/>
    </w:rPr>
  </w:style>
  <w:style w:type="character" w:customStyle="1" w:styleId="54">
    <w:name w:val="标题 4 Char"/>
    <w:basedOn w:val="37"/>
    <w:link w:val="6"/>
    <w:semiHidden/>
    <w:qFormat/>
    <w:locked/>
    <w:uiPriority w:val="99"/>
    <w:rPr>
      <w:rFonts w:ascii="Cambria" w:hAnsi="Cambria" w:eastAsia="宋体" w:cs="Cambria"/>
      <w:b/>
      <w:bCs/>
      <w:sz w:val="28"/>
      <w:szCs w:val="28"/>
    </w:rPr>
  </w:style>
  <w:style w:type="character" w:customStyle="1" w:styleId="55">
    <w:name w:val="标题 5 Char"/>
    <w:basedOn w:val="37"/>
    <w:link w:val="7"/>
    <w:qFormat/>
    <w:locked/>
    <w:uiPriority w:val="99"/>
    <w:rPr>
      <w:b/>
      <w:bCs/>
      <w:kern w:val="2"/>
      <w:sz w:val="28"/>
      <w:szCs w:val="28"/>
    </w:rPr>
  </w:style>
  <w:style w:type="character" w:customStyle="1" w:styleId="56">
    <w:name w:val="标题 6 Char"/>
    <w:basedOn w:val="37"/>
    <w:link w:val="8"/>
    <w:semiHidden/>
    <w:qFormat/>
    <w:locked/>
    <w:uiPriority w:val="99"/>
    <w:rPr>
      <w:rFonts w:ascii="Cambria" w:hAnsi="Cambria" w:eastAsia="宋体" w:cs="Cambria"/>
      <w:b/>
      <w:bCs/>
      <w:sz w:val="24"/>
      <w:szCs w:val="24"/>
    </w:rPr>
  </w:style>
  <w:style w:type="character" w:customStyle="1" w:styleId="57">
    <w:name w:val="批注文字 Char"/>
    <w:basedOn w:val="37"/>
    <w:link w:val="12"/>
    <w:semiHidden/>
    <w:qFormat/>
    <w:locked/>
    <w:uiPriority w:val="99"/>
    <w:rPr>
      <w:sz w:val="21"/>
      <w:szCs w:val="21"/>
    </w:rPr>
  </w:style>
  <w:style w:type="character" w:customStyle="1" w:styleId="58">
    <w:name w:val="批注主题 Char"/>
    <w:basedOn w:val="57"/>
    <w:link w:val="32"/>
    <w:semiHidden/>
    <w:qFormat/>
    <w:locked/>
    <w:uiPriority w:val="99"/>
    <w:rPr>
      <w:b/>
      <w:bCs/>
    </w:rPr>
  </w:style>
  <w:style w:type="character" w:customStyle="1" w:styleId="59">
    <w:name w:val="文档结构图 Char"/>
    <w:basedOn w:val="37"/>
    <w:link w:val="11"/>
    <w:semiHidden/>
    <w:qFormat/>
    <w:locked/>
    <w:uiPriority w:val="99"/>
    <w:rPr>
      <w:sz w:val="2"/>
      <w:szCs w:val="2"/>
    </w:rPr>
  </w:style>
  <w:style w:type="character" w:customStyle="1" w:styleId="60">
    <w:name w:val="正文文本 3 Char"/>
    <w:basedOn w:val="37"/>
    <w:link w:val="13"/>
    <w:semiHidden/>
    <w:qFormat/>
    <w:locked/>
    <w:uiPriority w:val="99"/>
    <w:rPr>
      <w:sz w:val="16"/>
      <w:szCs w:val="16"/>
    </w:rPr>
  </w:style>
  <w:style w:type="character" w:customStyle="1" w:styleId="61">
    <w:name w:val="正文文本 Char"/>
    <w:basedOn w:val="37"/>
    <w:link w:val="2"/>
    <w:qFormat/>
    <w:locked/>
    <w:uiPriority w:val="99"/>
    <w:rPr>
      <w:rFonts w:eastAsia="宋体"/>
      <w:kern w:val="2"/>
      <w:sz w:val="21"/>
      <w:szCs w:val="21"/>
      <w:lang w:val="en-US" w:eastAsia="zh-CN"/>
    </w:rPr>
  </w:style>
  <w:style w:type="character" w:customStyle="1" w:styleId="62">
    <w:name w:val="正文文本缩进 Char"/>
    <w:basedOn w:val="37"/>
    <w:link w:val="14"/>
    <w:qFormat/>
    <w:locked/>
    <w:uiPriority w:val="99"/>
    <w:rPr>
      <w:snapToGrid w:val="0"/>
      <w:sz w:val="24"/>
      <w:szCs w:val="24"/>
    </w:rPr>
  </w:style>
  <w:style w:type="character" w:customStyle="1" w:styleId="63">
    <w:name w:val="纯文本 Char"/>
    <w:basedOn w:val="37"/>
    <w:link w:val="17"/>
    <w:qFormat/>
    <w:locked/>
    <w:uiPriority w:val="99"/>
    <w:rPr>
      <w:rFonts w:ascii="宋体" w:hAnsi="Courier New" w:eastAsia="宋体" w:cs="宋体"/>
      <w:kern w:val="2"/>
      <w:sz w:val="21"/>
      <w:szCs w:val="21"/>
      <w:lang w:val="en-US" w:eastAsia="zh-CN"/>
    </w:rPr>
  </w:style>
  <w:style w:type="character" w:customStyle="1" w:styleId="64">
    <w:name w:val="日期 Char"/>
    <w:basedOn w:val="37"/>
    <w:link w:val="19"/>
    <w:semiHidden/>
    <w:qFormat/>
    <w:locked/>
    <w:uiPriority w:val="99"/>
    <w:rPr>
      <w:sz w:val="21"/>
      <w:szCs w:val="21"/>
    </w:rPr>
  </w:style>
  <w:style w:type="character" w:customStyle="1" w:styleId="65">
    <w:name w:val="正文文本缩进 2 Char"/>
    <w:basedOn w:val="37"/>
    <w:link w:val="20"/>
    <w:qFormat/>
    <w:locked/>
    <w:uiPriority w:val="99"/>
    <w:rPr>
      <w:snapToGrid w:val="0"/>
      <w:sz w:val="24"/>
      <w:szCs w:val="24"/>
    </w:rPr>
  </w:style>
  <w:style w:type="character" w:customStyle="1" w:styleId="66">
    <w:name w:val="批注框文本 Char"/>
    <w:basedOn w:val="37"/>
    <w:link w:val="21"/>
    <w:qFormat/>
    <w:locked/>
    <w:uiPriority w:val="99"/>
    <w:rPr>
      <w:kern w:val="2"/>
      <w:sz w:val="18"/>
      <w:szCs w:val="18"/>
    </w:rPr>
  </w:style>
  <w:style w:type="character" w:customStyle="1" w:styleId="67">
    <w:name w:val="页脚 Char"/>
    <w:basedOn w:val="37"/>
    <w:link w:val="22"/>
    <w:qFormat/>
    <w:locked/>
    <w:uiPriority w:val="99"/>
    <w:rPr>
      <w:rFonts w:eastAsia="宋体"/>
      <w:kern w:val="2"/>
      <w:sz w:val="18"/>
      <w:szCs w:val="18"/>
      <w:lang w:val="en-US" w:eastAsia="zh-CN"/>
    </w:rPr>
  </w:style>
  <w:style w:type="character" w:customStyle="1" w:styleId="68">
    <w:name w:val="页眉 Char"/>
    <w:basedOn w:val="37"/>
    <w:link w:val="23"/>
    <w:semiHidden/>
    <w:qFormat/>
    <w:locked/>
    <w:uiPriority w:val="99"/>
    <w:rPr>
      <w:sz w:val="18"/>
      <w:szCs w:val="18"/>
    </w:rPr>
  </w:style>
  <w:style w:type="character" w:customStyle="1" w:styleId="69">
    <w:name w:val="正文文本缩进 3 Char"/>
    <w:basedOn w:val="37"/>
    <w:link w:val="27"/>
    <w:qFormat/>
    <w:locked/>
    <w:uiPriority w:val="99"/>
    <w:rPr>
      <w:rFonts w:ascii="宋体" w:eastAsia="宋体" w:cs="宋体"/>
      <w:snapToGrid w:val="0"/>
      <w:sz w:val="24"/>
      <w:szCs w:val="24"/>
    </w:rPr>
  </w:style>
  <w:style w:type="character" w:customStyle="1" w:styleId="70">
    <w:name w:val="正文文本 2 Char"/>
    <w:basedOn w:val="37"/>
    <w:link w:val="30"/>
    <w:qFormat/>
    <w:locked/>
    <w:uiPriority w:val="99"/>
    <w:rPr>
      <w:rFonts w:ascii="宋体" w:cs="宋体"/>
      <w:kern w:val="2"/>
      <w:sz w:val="24"/>
      <w:szCs w:val="24"/>
    </w:rPr>
  </w:style>
  <w:style w:type="character" w:customStyle="1" w:styleId="71">
    <w:name w:val="Char Char24"/>
    <w:qFormat/>
    <w:locked/>
    <w:uiPriority w:val="99"/>
    <w:rPr>
      <w:rFonts w:eastAsia="宋体"/>
      <w:b/>
      <w:bCs/>
      <w:kern w:val="2"/>
      <w:sz w:val="32"/>
      <w:szCs w:val="32"/>
      <w:lang w:val="en-US" w:eastAsia="zh-CN"/>
    </w:rPr>
  </w:style>
  <w:style w:type="character" w:customStyle="1" w:styleId="72">
    <w:name w:val="t_tag"/>
    <w:basedOn w:val="37"/>
    <w:qFormat/>
    <w:uiPriority w:val="99"/>
  </w:style>
  <w:style w:type="character" w:customStyle="1" w:styleId="73">
    <w:name w:val="Char Char3"/>
    <w:qFormat/>
    <w:uiPriority w:val="99"/>
    <w:rPr>
      <w:rFonts w:eastAsia="宋体"/>
      <w:kern w:val="2"/>
      <w:sz w:val="24"/>
      <w:szCs w:val="24"/>
      <w:lang w:val="en-US" w:eastAsia="zh-CN"/>
    </w:rPr>
  </w:style>
  <w:style w:type="paragraph" w:customStyle="1" w:styleId="74">
    <w:name w:val="Char Char Char Char"/>
    <w:basedOn w:val="1"/>
    <w:qFormat/>
    <w:uiPriority w:val="99"/>
    <w:rPr>
      <w:rFonts w:ascii="Tahoma" w:hAnsi="Tahoma" w:cs="Tahoma"/>
      <w:sz w:val="24"/>
      <w:szCs w:val="24"/>
    </w:rPr>
  </w:style>
  <w:style w:type="paragraph" w:customStyle="1" w:styleId="75">
    <w:name w:val="Char Char Char"/>
    <w:basedOn w:val="1"/>
    <w:qFormat/>
    <w:uiPriority w:val="99"/>
    <w:pPr>
      <w:spacing w:line="360" w:lineRule="auto"/>
    </w:pPr>
  </w:style>
  <w:style w:type="paragraph" w:customStyle="1" w:styleId="76">
    <w:name w:val="列出段落1"/>
    <w:basedOn w:val="1"/>
    <w:qFormat/>
    <w:uiPriority w:val="99"/>
    <w:pPr>
      <w:ind w:firstLine="420" w:firstLineChars="200"/>
    </w:pPr>
    <w:rPr>
      <w:rFonts w:ascii="Calibri" w:hAnsi="Calibri" w:cs="Calibri"/>
    </w:rPr>
  </w:style>
  <w:style w:type="paragraph" w:customStyle="1" w:styleId="77">
    <w:name w:val="Char"/>
    <w:basedOn w:val="1"/>
    <w:qFormat/>
    <w:uiPriority w:val="99"/>
    <w:pPr>
      <w:spacing w:line="360" w:lineRule="auto"/>
    </w:pPr>
    <w:rPr>
      <w:rFonts w:ascii="仿宋_GB2312" w:eastAsia="仿宋_GB2312" w:cs="仿宋_GB2312"/>
      <w:b/>
      <w:bCs/>
      <w:sz w:val="32"/>
      <w:szCs w:val="32"/>
    </w:rPr>
  </w:style>
  <w:style w:type="paragraph" w:customStyle="1" w:styleId="78">
    <w:name w:val="保留正文"/>
    <w:basedOn w:val="2"/>
    <w:qFormat/>
    <w:uiPriority w:val="99"/>
    <w:pPr>
      <w:keepNext/>
      <w:spacing w:after="160"/>
      <w:jc w:val="both"/>
    </w:pPr>
  </w:style>
  <w:style w:type="paragraph" w:customStyle="1" w:styleId="79">
    <w:name w:val="普通 (Web)"/>
    <w:basedOn w:val="1"/>
    <w:qFormat/>
    <w:uiPriority w:val="99"/>
    <w:pPr>
      <w:widowControl/>
      <w:spacing w:before="100" w:beforeAutospacing="1" w:after="100" w:afterAutospacing="1"/>
      <w:jc w:val="left"/>
    </w:pPr>
    <w:rPr>
      <w:rFonts w:ascii="宋体" w:hAnsi="宋体" w:cs="宋体"/>
      <w:sz w:val="24"/>
      <w:szCs w:val="24"/>
    </w:rPr>
  </w:style>
  <w:style w:type="paragraph" w:customStyle="1" w:styleId="80">
    <w:name w:val="目录"/>
    <w:basedOn w:val="1"/>
    <w:qFormat/>
    <w:uiPriority w:val="99"/>
    <w:pPr>
      <w:widowControl/>
      <w:jc w:val="center"/>
    </w:pPr>
    <w:rPr>
      <w:rFonts w:ascii="宋体" w:cs="宋体"/>
      <w:b/>
      <w:bCs/>
      <w:sz w:val="36"/>
      <w:szCs w:val="36"/>
    </w:rPr>
  </w:style>
  <w:style w:type="paragraph" w:customStyle="1" w:styleId="81">
    <w:name w:val="Char Char Char Char1"/>
    <w:basedOn w:val="1"/>
    <w:qFormat/>
    <w:uiPriority w:val="99"/>
    <w:pPr>
      <w:adjustRightInd w:val="0"/>
      <w:spacing w:line="440" w:lineRule="exact"/>
    </w:pPr>
    <w:rPr>
      <w:sz w:val="20"/>
      <w:szCs w:val="20"/>
    </w:rPr>
  </w:style>
  <w:style w:type="character" w:customStyle="1" w:styleId="82">
    <w:name w:val="ui-bz-bg-hover"/>
    <w:basedOn w:val="37"/>
    <w:qFormat/>
    <w:uiPriority w:val="99"/>
    <w:rPr>
      <w:shd w:val="clear" w:color="auto" w:fill="000000"/>
    </w:rPr>
  </w:style>
  <w:style w:type="character" w:customStyle="1" w:styleId="83">
    <w:name w:val="ui-bz-bg-hover1"/>
    <w:basedOn w:val="37"/>
    <w:qFormat/>
    <w:uiPriority w:val="99"/>
  </w:style>
  <w:style w:type="character" w:customStyle="1" w:styleId="84">
    <w:name w:val="top-icon"/>
    <w:basedOn w:val="37"/>
    <w:qFormat/>
    <w:uiPriority w:val="99"/>
  </w:style>
  <w:style w:type="character" w:customStyle="1" w:styleId="85">
    <w:name w:val="t-tag"/>
    <w:basedOn w:val="37"/>
    <w:qFormat/>
    <w:uiPriority w:val="99"/>
    <w:rPr>
      <w:color w:val="FFFFFF"/>
      <w:sz w:val="18"/>
      <w:szCs w:val="18"/>
      <w:shd w:val="clear" w:color="auto" w:fill="auto"/>
    </w:rPr>
  </w:style>
  <w:style w:type="character" w:customStyle="1" w:styleId="86">
    <w:name w:val="bds_more2"/>
    <w:basedOn w:val="37"/>
    <w:qFormat/>
    <w:uiPriority w:val="99"/>
  </w:style>
  <w:style w:type="character" w:customStyle="1" w:styleId="87">
    <w:name w:val="bds_more3"/>
    <w:basedOn w:val="37"/>
    <w:qFormat/>
    <w:uiPriority w:val="99"/>
  </w:style>
  <w:style w:type="character" w:customStyle="1" w:styleId="88">
    <w:name w:val="f-star"/>
    <w:basedOn w:val="37"/>
    <w:qFormat/>
    <w:uiPriority w:val="99"/>
    <w:rPr>
      <w:color w:val="auto"/>
      <w:sz w:val="21"/>
      <w:szCs w:val="21"/>
    </w:rPr>
  </w:style>
  <w:style w:type="character" w:customStyle="1" w:styleId="89">
    <w:name w:val="bds_nopic"/>
    <w:basedOn w:val="37"/>
    <w:qFormat/>
    <w:uiPriority w:val="99"/>
  </w:style>
  <w:style w:type="character" w:customStyle="1" w:styleId="90">
    <w:name w:val="orange"/>
    <w:basedOn w:val="37"/>
    <w:qFormat/>
    <w:uiPriority w:val="99"/>
    <w:rPr>
      <w:color w:val="auto"/>
    </w:rPr>
  </w:style>
  <w:style w:type="character" w:customStyle="1" w:styleId="91">
    <w:name w:val="org_name"/>
    <w:basedOn w:val="37"/>
    <w:qFormat/>
    <w:uiPriority w:val="99"/>
  </w:style>
  <w:style w:type="character" w:customStyle="1" w:styleId="92">
    <w:name w:val="no42"/>
    <w:basedOn w:val="37"/>
    <w:qFormat/>
    <w:uiPriority w:val="99"/>
  </w:style>
  <w:style w:type="character" w:customStyle="1" w:styleId="93">
    <w:name w:val="no52"/>
    <w:basedOn w:val="37"/>
    <w:qFormat/>
    <w:uiPriority w:val="99"/>
  </w:style>
  <w:style w:type="character" w:customStyle="1" w:styleId="94">
    <w:name w:val="no62"/>
    <w:basedOn w:val="37"/>
    <w:qFormat/>
    <w:uiPriority w:val="99"/>
  </w:style>
  <w:style w:type="character" w:customStyle="1" w:styleId="95">
    <w:name w:val="no72"/>
    <w:basedOn w:val="37"/>
    <w:qFormat/>
    <w:uiPriority w:val="99"/>
  </w:style>
  <w:style w:type="character" w:customStyle="1" w:styleId="96">
    <w:name w:val="ico-jiang"/>
    <w:basedOn w:val="37"/>
    <w:qFormat/>
    <w:uiPriority w:val="99"/>
  </w:style>
  <w:style w:type="character" w:customStyle="1" w:styleId="97">
    <w:name w:val="ico-jiang1"/>
    <w:basedOn w:val="37"/>
    <w:qFormat/>
    <w:uiPriority w:val="99"/>
  </w:style>
  <w:style w:type="character" w:customStyle="1" w:styleId="98">
    <w:name w:val="my-notice1"/>
    <w:basedOn w:val="37"/>
    <w:qFormat/>
    <w:uiPriority w:val="99"/>
  </w:style>
  <w:style w:type="character" w:customStyle="1" w:styleId="99">
    <w:name w:val="my-class"/>
    <w:basedOn w:val="37"/>
    <w:qFormat/>
    <w:uiPriority w:val="99"/>
  </w:style>
  <w:style w:type="character" w:customStyle="1" w:styleId="100">
    <w:name w:val="tip10"/>
    <w:basedOn w:val="37"/>
    <w:qFormat/>
    <w:uiPriority w:val="99"/>
    <w:rPr>
      <w:vanish/>
      <w:color w:val="FF0000"/>
      <w:sz w:val="18"/>
      <w:szCs w:val="18"/>
    </w:rPr>
  </w:style>
  <w:style w:type="character" w:customStyle="1" w:styleId="101">
    <w:name w:val="my-class2"/>
    <w:basedOn w:val="37"/>
    <w:qFormat/>
    <w:uiPriority w:val="99"/>
  </w:style>
  <w:style w:type="character" w:customStyle="1" w:styleId="102">
    <w:name w:val="bds_more"/>
    <w:basedOn w:val="37"/>
    <w:qFormat/>
    <w:uiPriority w:val="99"/>
  </w:style>
  <w:style w:type="character" w:customStyle="1" w:styleId="103">
    <w:name w:val="bds_more1"/>
    <w:basedOn w:val="37"/>
    <w:qFormat/>
    <w:uiPriority w:val="99"/>
    <w:rPr>
      <w:rFonts w:ascii="宋体" w:hAnsi="宋体" w:eastAsia="宋体" w:cs="宋体"/>
    </w:rPr>
  </w:style>
  <w:style w:type="character" w:customStyle="1" w:styleId="104">
    <w:name w:val="bds_nopic1"/>
    <w:basedOn w:val="37"/>
    <w:qFormat/>
    <w:uiPriority w:val="99"/>
  </w:style>
  <w:style w:type="character" w:customStyle="1" w:styleId="105">
    <w:name w:val="bds_nopic2"/>
    <w:basedOn w:val="37"/>
    <w:qFormat/>
    <w:uiPriority w:val="99"/>
  </w:style>
  <w:style w:type="character" w:customStyle="1" w:styleId="106">
    <w:name w:val="orange6"/>
    <w:basedOn w:val="37"/>
    <w:qFormat/>
    <w:uiPriority w:val="99"/>
    <w:rPr>
      <w:color w:val="auto"/>
    </w:rPr>
  </w:style>
  <w:style w:type="character" w:customStyle="1" w:styleId="107">
    <w:name w:val="font31"/>
    <w:basedOn w:val="37"/>
    <w:qFormat/>
    <w:uiPriority w:val="99"/>
    <w:rPr>
      <w:rFonts w:ascii="font-weight : 400" w:hAnsi="font-weight : 400" w:cs="font-weight : 400"/>
      <w:color w:val="000000"/>
      <w:sz w:val="20"/>
      <w:szCs w:val="20"/>
      <w:u w:val="none"/>
      <w:vertAlign w:val="superscript"/>
    </w:rPr>
  </w:style>
  <w:style w:type="character" w:customStyle="1" w:styleId="108">
    <w:name w:val="font01"/>
    <w:basedOn w:val="37"/>
    <w:qFormat/>
    <w:uiPriority w:val="99"/>
    <w:rPr>
      <w:rFonts w:ascii="宋体" w:hAnsi="宋体" w:eastAsia="宋体" w:cs="宋体"/>
      <w:color w:val="FF0000"/>
      <w:sz w:val="20"/>
      <w:szCs w:val="20"/>
      <w:u w:val="none"/>
    </w:rPr>
  </w:style>
  <w:style w:type="character" w:customStyle="1" w:styleId="109">
    <w:name w:val="font11"/>
    <w:basedOn w:val="37"/>
    <w:qFormat/>
    <w:uiPriority w:val="99"/>
    <w:rPr>
      <w:rFonts w:ascii="宋体" w:hAnsi="宋体" w:eastAsia="宋体" w:cs="宋体"/>
      <w:color w:val="000000"/>
      <w:sz w:val="20"/>
      <w:szCs w:val="20"/>
      <w:u w:val="none"/>
    </w:rPr>
  </w:style>
  <w:style w:type="paragraph" w:customStyle="1" w:styleId="110">
    <w:name w:val="Revision1"/>
    <w:hidden/>
    <w:qFormat/>
    <w:uiPriority w:val="99"/>
    <w:rPr>
      <w:rFonts w:ascii="Times New Roman" w:hAnsi="Times New Roman" w:eastAsia="宋体" w:cs="Times New Roman"/>
      <w:kern w:val="2"/>
      <w:sz w:val="21"/>
      <w:szCs w:val="21"/>
      <w:lang w:val="en-US" w:eastAsia="zh-CN" w:bidi="ar-SA"/>
    </w:rPr>
  </w:style>
  <w:style w:type="paragraph" w:customStyle="1" w:styleId="111">
    <w:name w:val="表注1"/>
    <w:basedOn w:val="1"/>
    <w:unhideWhenUsed/>
    <w:qFormat/>
    <w:uiPriority w:val="0"/>
    <w:pPr>
      <w:adjustRightInd w:val="0"/>
      <w:snapToGrid w:val="0"/>
      <w:spacing w:beforeLines="50" w:line="300" w:lineRule="auto"/>
      <w:ind w:left="350" w:hanging="350" w:hangingChars="350"/>
    </w:pPr>
    <w:rPr>
      <w:rFonts w:hint="eastAsia" w:eastAsia="仿宋_GB2312"/>
      <w:color w:val="000000"/>
    </w:rPr>
  </w:style>
  <w:style w:type="paragraph" w:customStyle="1" w:styleId="112">
    <w:name w:val="List Paragraph"/>
    <w:basedOn w:val="1"/>
    <w:qFormat/>
    <w:uiPriority w:val="34"/>
    <w:pPr>
      <w:ind w:firstLine="420" w:firstLineChars="200"/>
    </w:pPr>
  </w:style>
  <w:style w:type="paragraph" w:customStyle="1" w:styleId="113">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73</Pages>
  <Words>27978</Words>
  <Characters>30609</Characters>
  <Lines>97</Lines>
  <Paragraphs>102</Paragraphs>
  <TotalTime>11</TotalTime>
  <ScaleCrop>false</ScaleCrop>
  <LinksUpToDate>false</LinksUpToDate>
  <CharactersWithSpaces>31608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2015-07-29T10:12:00Z</dcterms:created>
  <dc:creator>Longwill-4</dc:creator>
  <cp:lastModifiedBy>Administrator</cp:lastModifiedBy>
  <cp:lastPrinted>2017-05-10T10:09:00Z</cp:lastPrinted>
  <dcterms:modified xsi:type="dcterms:W3CDTF">2022-04-08T06:31:36Z</dcterms:modified>
  <dc:title>招标编号:SXLHZB2009-276</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039CFC1F191241B39CF7D371897BCB53</vt:lpwstr>
  </property>
</Properties>
</file>